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jc w:val="center"/>
        <w:rPr/>
      </w:pPr>
      <w:r>
        <w:rPr>
          <w:rStyle w:val="Style14"/>
          <w:rFonts w:ascii="Times New Roman" w:hAnsi="Times New Roman" w:eastAsia="標楷體"/>
          <w:b/>
          <w:sz w:val="36"/>
          <w:szCs w:val="36"/>
        </w:rPr>
        <w:t>精神護理之家評鑑委員遴聘要點</w:t>
      </w:r>
    </w:p>
    <w:p>
      <w:pPr>
        <w:pStyle w:val="BodyText"/>
        <w:spacing w:lineRule="exact" w:line="400"/>
        <w:ind w:firstLine="3150"/>
        <w:rPr/>
      </w:pPr>
      <w:r>
        <w:rPr>
          <w:rStyle w:val="Style14"/>
          <w:rFonts w:ascii="Times New Roman" w:hAnsi="Times New Roman" w:eastAsia="標楷體"/>
          <w:sz w:val="20"/>
          <w:szCs w:val="20"/>
        </w:rPr>
        <w:t>中華民國</w:t>
      </w:r>
      <w:r>
        <w:rPr>
          <w:rStyle w:val="Style14"/>
          <w:rFonts w:eastAsia="標楷體" w:ascii="Times New Roman" w:hAnsi="Times New Roman"/>
          <w:sz w:val="20"/>
          <w:szCs w:val="20"/>
        </w:rPr>
        <w:t>110</w:t>
      </w:r>
      <w:r>
        <w:rPr>
          <w:rStyle w:val="Style14"/>
          <w:rFonts w:ascii="Times New Roman" w:hAnsi="Times New Roman" w:eastAsia="標楷體"/>
          <w:sz w:val="20"/>
          <w:szCs w:val="20"/>
        </w:rPr>
        <w:t>年</w:t>
      </w:r>
      <w:r>
        <w:rPr>
          <w:rStyle w:val="Style14"/>
          <w:rFonts w:eastAsia="標楷體" w:ascii="Times New Roman" w:hAnsi="Times New Roman"/>
          <w:sz w:val="20"/>
          <w:szCs w:val="20"/>
        </w:rPr>
        <w:t>1</w:t>
      </w:r>
      <w:r>
        <w:rPr>
          <w:rStyle w:val="Style14"/>
          <w:rFonts w:ascii="Times New Roman" w:hAnsi="Times New Roman" w:eastAsia="標楷體"/>
          <w:sz w:val="20"/>
          <w:szCs w:val="20"/>
        </w:rPr>
        <w:t>月</w:t>
      </w:r>
      <w:r>
        <w:rPr>
          <w:rStyle w:val="Style14"/>
          <w:rFonts w:eastAsia="標楷體" w:ascii="Times New Roman" w:hAnsi="Times New Roman"/>
          <w:sz w:val="20"/>
          <w:szCs w:val="20"/>
        </w:rPr>
        <w:t>5</w:t>
      </w:r>
      <w:r>
        <w:rPr>
          <w:rStyle w:val="Style14"/>
          <w:rFonts w:ascii="Times New Roman" w:hAnsi="Times New Roman" w:eastAsia="標楷體"/>
          <w:sz w:val="20"/>
          <w:szCs w:val="20"/>
        </w:rPr>
        <w:t>日衛部心字第</w:t>
      </w:r>
      <w:r>
        <w:rPr>
          <w:rStyle w:val="Style14"/>
          <w:rFonts w:eastAsia="標楷體" w:ascii="Times New Roman" w:hAnsi="Times New Roman"/>
          <w:sz w:val="20"/>
          <w:szCs w:val="20"/>
        </w:rPr>
        <w:t>1091762879</w:t>
      </w:r>
      <w:r>
        <w:rPr>
          <w:rStyle w:val="Style14"/>
          <w:rFonts w:ascii="Times New Roman" w:hAnsi="Times New Roman" w:eastAsia="標楷體"/>
          <w:sz w:val="20"/>
          <w:szCs w:val="20"/>
        </w:rPr>
        <w:t>號函訂定</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總則</w:t>
      </w:r>
    </w:p>
    <w:p>
      <w:pPr>
        <w:pStyle w:val="BodyText"/>
        <w:tabs>
          <w:tab w:val="clear" w:pos="480"/>
        </w:tabs>
        <w:spacing w:lineRule="exact" w:line="400"/>
        <w:ind w:left="566" w:hanging="566"/>
        <w:jc w:val="both"/>
        <w:rPr/>
      </w:pPr>
      <w:r>
        <w:rPr>
          <w:rStyle w:val="Style14"/>
          <w:rFonts w:ascii="Times New Roman" w:hAnsi="Times New Roman" w:eastAsia="標楷體"/>
          <w:sz w:val="28"/>
          <w:szCs w:val="28"/>
        </w:rPr>
        <w:t>一、衛生福利部（以下簡稱本部）為健全精神護理之家評鑑委員（以下簡稱評鑑委員）遴聘制度，並持續強化儲備評鑑委員所需知識及技能，特訂定本要點。</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二、評鑑委員應具備下列人格特質及技能：</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良好溝通能力、技巧與認知力。</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良好觀察能力與分析技巧。</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態度謙遜、心態開放，能傾聽與尊重。</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獨立作業且能與團隊合作。</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誠實與正直。</w:t>
      </w:r>
    </w:p>
    <w:p>
      <w:pPr>
        <w:pStyle w:val="BodyText"/>
        <w:tabs>
          <w:tab w:val="clear" w:pos="480"/>
        </w:tabs>
        <w:spacing w:lineRule="exact" w:line="400"/>
        <w:ind w:left="566" w:hanging="566"/>
        <w:jc w:val="both"/>
        <w:rPr/>
      </w:pPr>
      <w:r>
        <w:rPr>
          <w:rStyle w:val="Style14"/>
          <w:rFonts w:ascii="Times New Roman" w:hAnsi="Times New Roman" w:eastAsia="標楷體"/>
          <w:sz w:val="28"/>
          <w:szCs w:val="28"/>
        </w:rPr>
        <w:t>三、</w:t>
      </w:r>
      <w:r>
        <w:rPr>
          <w:rStyle w:val="Style14"/>
          <w:rFonts w:ascii="Times New Roman" w:hAnsi="Times New Roman" w:eastAsia="標楷體"/>
          <w:color w:val="000000"/>
          <w:sz w:val="28"/>
          <w:szCs w:val="28"/>
        </w:rPr>
        <w:t>評鑑委員分為醫護、管理及環境安全三大領域。</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評鑑委員資格</w:t>
      </w:r>
    </w:p>
    <w:p>
      <w:pPr>
        <w:pStyle w:val="BodyText"/>
        <w:tabs>
          <w:tab w:val="clear" w:pos="480"/>
        </w:tabs>
        <w:spacing w:lineRule="exact" w:line="400"/>
        <w:ind w:left="585" w:hanging="549"/>
        <w:jc w:val="both"/>
        <w:rPr/>
      </w:pPr>
      <w:r>
        <w:rPr>
          <w:rStyle w:val="Style14"/>
          <w:rFonts w:ascii="Times New Roman" w:hAnsi="Times New Roman" w:eastAsia="標楷體"/>
          <w:sz w:val="28"/>
          <w:szCs w:val="28"/>
        </w:rPr>
        <w:t>四、</w:t>
      </w:r>
      <w:r>
        <w:rPr>
          <w:rStyle w:val="Style14"/>
          <w:rFonts w:ascii="Times New Roman" w:hAnsi="Times New Roman" w:eastAsia="標楷體"/>
          <w:color w:val="000000"/>
          <w:sz w:val="28"/>
          <w:szCs w:val="28"/>
        </w:rPr>
        <w:t>醫護領域之評鑑委員，應具備下列資格：</w:t>
      </w:r>
    </w:p>
    <w:p>
      <w:pPr>
        <w:pStyle w:val="BodyText"/>
        <w:numPr>
          <w:ilvl w:val="1"/>
          <w:numId w:val="2"/>
        </w:numPr>
        <w:tabs>
          <w:tab w:val="clear" w:pos="480"/>
        </w:tabs>
        <w:snapToGrid w:val="false"/>
        <w:spacing w:lineRule="exact" w:line="400"/>
        <w:ind w:left="851" w:hanging="501"/>
        <w:jc w:val="both"/>
        <w:rPr/>
      </w:pPr>
      <w:r>
        <w:rPr>
          <w:rStyle w:val="Style14"/>
          <w:rFonts w:ascii="Times New Roman" w:hAnsi="Times New Roman" w:eastAsia="標楷體"/>
          <w:color w:val="000000"/>
          <w:sz w:val="28"/>
          <w:szCs w:val="28"/>
        </w:rPr>
        <w:t>年齡未滿</w:t>
      </w:r>
      <w:r>
        <w:rPr>
          <w:rStyle w:val="Style14"/>
          <w:rFonts w:ascii="Times New Roman" w:hAnsi="Times New Roman" w:eastAsia="標楷體"/>
          <w:bCs/>
          <w:color w:val="000000"/>
          <w:sz w:val="28"/>
          <w:szCs w:val="28"/>
        </w:rPr>
        <w:t>七十五</w:t>
      </w:r>
      <w:r>
        <w:rPr>
          <w:rStyle w:val="Style14"/>
          <w:rFonts w:ascii="Times New Roman" w:hAnsi="Times New Roman" w:eastAsia="標楷體"/>
          <w:color w:val="000000"/>
          <w:sz w:val="28"/>
          <w:szCs w:val="28"/>
        </w:rPr>
        <w:t>歲。</w:t>
      </w:r>
    </w:p>
    <w:p>
      <w:pPr>
        <w:pStyle w:val="BodyText"/>
        <w:numPr>
          <w:ilvl w:val="1"/>
          <w:numId w:val="2"/>
        </w:numPr>
        <w:tabs>
          <w:tab w:val="clear" w:pos="480"/>
        </w:tabs>
        <w:snapToGrid w:val="false"/>
        <w:spacing w:lineRule="exact" w:line="400"/>
        <w:ind w:left="851" w:hanging="501"/>
        <w:jc w:val="both"/>
        <w:rPr>
          <w:rFonts w:ascii="Times New Roman" w:hAnsi="Times New Roman" w:eastAsia="標楷體"/>
          <w:color w:val="000000"/>
          <w:sz w:val="28"/>
          <w:szCs w:val="28"/>
        </w:rPr>
      </w:pPr>
      <w:r>
        <w:rPr>
          <w:rFonts w:ascii="Times New Roman" w:hAnsi="Times New Roman" w:eastAsia="標楷體"/>
          <w:color w:val="000000"/>
          <w:sz w:val="28"/>
          <w:szCs w:val="28"/>
        </w:rPr>
        <w:t>公立或立案之私立大學、獨立學院或符合教育部承認之國外大學、獨立學院醫學、護理、心理、職能治療或社會工作相關科、系、組、所畢業，領有醫師、護理師、臨床心理師、職能治療師或社會工作師證書。</w:t>
      </w:r>
    </w:p>
    <w:p>
      <w:pPr>
        <w:pStyle w:val="BodyText"/>
        <w:numPr>
          <w:ilvl w:val="1"/>
          <w:numId w:val="2"/>
        </w:numPr>
        <w:tabs>
          <w:tab w:val="clear" w:pos="480"/>
        </w:tabs>
        <w:snapToGrid w:val="false"/>
        <w:spacing w:lineRule="exact" w:line="400"/>
        <w:ind w:left="851" w:hanging="501"/>
        <w:jc w:val="both"/>
        <w:rPr>
          <w:rFonts w:ascii="Times New Roman" w:hAnsi="Times New Roman" w:eastAsia="標楷體"/>
          <w:color w:val="000000"/>
          <w:sz w:val="28"/>
          <w:szCs w:val="28"/>
        </w:rPr>
      </w:pPr>
      <w:r>
        <w:rPr>
          <w:rFonts w:ascii="Times New Roman" w:hAnsi="Times New Roman" w:eastAsia="標楷體"/>
          <w:color w:val="000000"/>
          <w:sz w:val="28"/>
          <w:szCs w:val="28"/>
        </w:rPr>
        <w:t>具有下列工作經歷之一：</w:t>
      </w:r>
    </w:p>
    <w:p>
      <w:pPr>
        <w:pStyle w:val="BodyText"/>
        <w:numPr>
          <w:ilvl w:val="2"/>
          <w:numId w:val="2"/>
        </w:numPr>
        <w:snapToGrid w:val="false"/>
        <w:spacing w:lineRule="exact" w:line="400"/>
        <w:ind w:hanging="266"/>
        <w:jc w:val="both"/>
        <w:rPr/>
      </w:pPr>
      <w:r>
        <w:rPr>
          <w:rStyle w:val="Style14"/>
          <w:rFonts w:ascii="Times New Roman" w:hAnsi="Times New Roman" w:eastAsia="標楷體"/>
          <w:color w:val="000000"/>
          <w:sz w:val="28"/>
          <w:szCs w:val="28"/>
        </w:rPr>
        <w:t>精神科專科醫師擔任教學醫院精神醫療專業領域臨床實務經驗</w:t>
      </w:r>
      <w:r>
        <w:rPr>
          <w:rStyle w:val="Style14"/>
          <w:rFonts w:ascii="Times New Roman" w:hAnsi="Times New Roman" w:eastAsia="標楷體"/>
          <w:bCs/>
          <w:color w:val="000000"/>
          <w:sz w:val="28"/>
          <w:szCs w:val="28"/>
        </w:rPr>
        <w:t>四</w:t>
      </w:r>
      <w:r>
        <w:rPr>
          <w:rStyle w:val="Style14"/>
          <w:rFonts w:ascii="Times New Roman" w:hAnsi="Times New Roman" w:eastAsia="標楷體"/>
          <w:color w:val="000000"/>
          <w:sz w:val="28"/>
          <w:szCs w:val="28"/>
        </w:rPr>
        <w:t>年以上。</w:t>
      </w:r>
    </w:p>
    <w:p>
      <w:pPr>
        <w:pStyle w:val="BodyText"/>
        <w:numPr>
          <w:ilvl w:val="2"/>
          <w:numId w:val="2"/>
        </w:numPr>
        <w:snapToGrid w:val="false"/>
        <w:spacing w:lineRule="exact" w:line="400"/>
        <w:ind w:hanging="266"/>
        <w:jc w:val="both"/>
        <w:rPr/>
      </w:pPr>
      <w:r>
        <w:rPr>
          <w:rStyle w:val="Style14"/>
          <w:rFonts w:ascii="Times New Roman" w:hAnsi="Times New Roman" w:eastAsia="標楷體"/>
          <w:color w:val="000000"/>
          <w:sz w:val="28"/>
          <w:szCs w:val="28"/>
        </w:rPr>
        <w:t>臨床心理師擔任教學醫院精神醫療專業領域臨床實務經驗</w:t>
      </w:r>
      <w:r>
        <w:rPr>
          <w:rStyle w:val="Style14"/>
          <w:rFonts w:ascii="Times New Roman" w:hAnsi="Times New Roman" w:eastAsia="標楷體"/>
          <w:bCs/>
          <w:color w:val="000000"/>
          <w:sz w:val="28"/>
          <w:szCs w:val="28"/>
        </w:rPr>
        <w:t>六</w:t>
      </w:r>
      <w:r>
        <w:rPr>
          <w:rStyle w:val="Style14"/>
          <w:rFonts w:ascii="Times New Roman" w:hAnsi="Times New Roman" w:eastAsia="標楷體"/>
          <w:color w:val="000000"/>
          <w:sz w:val="28"/>
          <w:szCs w:val="28"/>
        </w:rPr>
        <w:t>年以上。</w:t>
      </w:r>
    </w:p>
    <w:p>
      <w:pPr>
        <w:pStyle w:val="BodyText"/>
        <w:numPr>
          <w:ilvl w:val="2"/>
          <w:numId w:val="2"/>
        </w:numPr>
        <w:snapToGrid w:val="false"/>
        <w:spacing w:lineRule="exact" w:line="400"/>
        <w:ind w:hanging="266"/>
        <w:jc w:val="both"/>
        <w:rPr/>
      </w:pPr>
      <w:r>
        <w:rPr>
          <w:rStyle w:val="Style14"/>
          <w:rFonts w:ascii="Times New Roman" w:hAnsi="Times New Roman" w:eastAsia="標楷體"/>
          <w:color w:val="000000"/>
          <w:sz w:val="28"/>
          <w:szCs w:val="28"/>
        </w:rPr>
        <w:t>護理師、職能治療師、社會工作師擔任教學醫院精神醫療專業領域臨床實務經驗</w:t>
      </w:r>
      <w:r>
        <w:rPr>
          <w:rStyle w:val="Style14"/>
          <w:rFonts w:ascii="Times New Roman" w:hAnsi="Times New Roman" w:eastAsia="標楷體"/>
          <w:bCs/>
          <w:color w:val="000000"/>
          <w:sz w:val="28"/>
          <w:szCs w:val="28"/>
        </w:rPr>
        <w:t>八</w:t>
      </w:r>
      <w:r>
        <w:rPr>
          <w:rStyle w:val="Style14"/>
          <w:rFonts w:ascii="Times New Roman" w:hAnsi="Times New Roman" w:eastAsia="標楷體"/>
          <w:color w:val="000000"/>
          <w:sz w:val="28"/>
          <w:szCs w:val="28"/>
        </w:rPr>
        <w:t>年以上。</w:t>
      </w:r>
    </w:p>
    <w:p>
      <w:pPr>
        <w:pStyle w:val="BodyText"/>
        <w:numPr>
          <w:ilvl w:val="2"/>
          <w:numId w:val="2"/>
        </w:numPr>
        <w:snapToGrid w:val="false"/>
        <w:spacing w:lineRule="exact" w:line="400"/>
        <w:ind w:hanging="266"/>
        <w:jc w:val="both"/>
        <w:rPr/>
      </w:pPr>
      <w:r>
        <w:rPr>
          <w:rStyle w:val="Style14"/>
          <w:rFonts w:ascii="Times New Roman" w:hAnsi="Times New Roman" w:eastAsia="標楷體"/>
          <w:color w:val="000000"/>
          <w:sz w:val="28"/>
          <w:szCs w:val="28"/>
        </w:rPr>
        <w:t>醫師、護理師、臨床心理師、職能治療師或社會工作師擔任教學醫院精神醫療專業領域主管以上職務</w:t>
      </w:r>
      <w:r>
        <w:rPr>
          <w:rStyle w:val="Style14"/>
          <w:rFonts w:ascii="Times New Roman" w:hAnsi="Times New Roman" w:eastAsia="標楷體"/>
          <w:bCs/>
          <w:color w:val="000000"/>
          <w:sz w:val="28"/>
          <w:szCs w:val="28"/>
        </w:rPr>
        <w:t>三</w:t>
      </w:r>
      <w:r>
        <w:rPr>
          <w:rStyle w:val="Style14"/>
          <w:rFonts w:ascii="Times New Roman" w:hAnsi="Times New Roman" w:eastAsia="標楷體"/>
          <w:color w:val="000000"/>
          <w:sz w:val="28"/>
          <w:szCs w:val="28"/>
        </w:rPr>
        <w:t>年以上。</w:t>
      </w:r>
    </w:p>
    <w:p>
      <w:pPr>
        <w:pStyle w:val="BodyText"/>
        <w:tabs>
          <w:tab w:val="clear" w:pos="480"/>
        </w:tabs>
        <w:spacing w:lineRule="exact" w:line="400"/>
        <w:ind w:left="284" w:hanging="0"/>
        <w:jc w:val="both"/>
        <w:rPr/>
      </w:pPr>
      <w:r>
        <w:rPr>
          <w:rStyle w:val="Style14"/>
          <w:rFonts w:ascii="Times New Roman" w:hAnsi="Times New Roman" w:eastAsia="標楷體"/>
          <w:color w:val="000000"/>
          <w:sz w:val="28"/>
          <w:szCs w:val="28"/>
        </w:rPr>
        <w:t>具前項各款資格，並曾擔任精神護理之家專任之專業人員</w:t>
      </w:r>
      <w:r>
        <w:rPr>
          <w:rStyle w:val="Style14"/>
          <w:rFonts w:ascii="Times New Roman" w:hAnsi="Times New Roman" w:eastAsia="標楷體"/>
          <w:bCs/>
          <w:color w:val="000000"/>
          <w:sz w:val="28"/>
          <w:szCs w:val="28"/>
        </w:rPr>
        <w:t>三</w:t>
      </w:r>
      <w:r>
        <w:rPr>
          <w:rStyle w:val="Style14"/>
          <w:rFonts w:ascii="Times New Roman" w:hAnsi="Times New Roman" w:eastAsia="標楷體"/>
          <w:color w:val="000000"/>
          <w:sz w:val="28"/>
          <w:szCs w:val="28"/>
        </w:rPr>
        <w:t>年以上者，優先考量。</w:t>
      </w:r>
    </w:p>
    <w:p>
      <w:pPr>
        <w:pStyle w:val="BodyText"/>
        <w:spacing w:lineRule="exact" w:line="400"/>
        <w:jc w:val="both"/>
        <w:rPr/>
      </w:pPr>
      <w:r>
        <w:rPr>
          <w:rStyle w:val="Style14"/>
          <w:rFonts w:ascii="Times New Roman" w:hAnsi="Times New Roman" w:eastAsia="標楷體"/>
          <w:sz w:val="28"/>
          <w:szCs w:val="28"/>
        </w:rPr>
        <w:t>五、</w:t>
      </w:r>
      <w:r>
        <w:rPr>
          <w:rStyle w:val="Style14"/>
          <w:rFonts w:ascii="Times New Roman" w:hAnsi="Times New Roman" w:eastAsia="標楷體"/>
          <w:color w:val="000000"/>
          <w:sz w:val="28"/>
          <w:szCs w:val="28"/>
        </w:rPr>
        <w:t>管理領域之評鑑委員，應具備下列資格：</w:t>
      </w:r>
    </w:p>
    <w:p>
      <w:pPr>
        <w:pStyle w:val="BodyText"/>
        <w:tabs>
          <w:tab w:val="clear" w:pos="480"/>
          <w:tab w:val="left" w:pos="709" w:leader="none"/>
          <w:tab w:val="left" w:pos="851" w:leader="none"/>
        </w:tabs>
        <w:snapToGrid w:val="false"/>
        <w:spacing w:lineRule="exact" w:line="400"/>
        <w:ind w:firstLine="364"/>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一</w:t>
      </w:r>
      <w:r>
        <w:rPr>
          <w:rStyle w:val="Style14"/>
          <w:rFonts w:eastAsia="標楷體" w:ascii="Times New Roman" w:hAnsi="Times New Roman"/>
          <w:color w:val="000000"/>
          <w:sz w:val="28"/>
          <w:szCs w:val="28"/>
        </w:rPr>
        <w:t>)</w:t>
        <w:tab/>
      </w:r>
      <w:r>
        <w:rPr>
          <w:rStyle w:val="Style14"/>
          <w:rFonts w:ascii="Times New Roman" w:hAnsi="Times New Roman" w:eastAsia="標楷體"/>
          <w:color w:val="000000"/>
          <w:sz w:val="28"/>
          <w:szCs w:val="28"/>
        </w:rPr>
        <w:t>年齡未滿</w:t>
      </w:r>
      <w:r>
        <w:rPr>
          <w:rStyle w:val="Style14"/>
          <w:rFonts w:ascii="Times New Roman" w:hAnsi="Times New Roman" w:eastAsia="標楷體"/>
          <w:bCs/>
          <w:color w:val="000000"/>
          <w:sz w:val="28"/>
          <w:szCs w:val="28"/>
        </w:rPr>
        <w:t>七十五</w:t>
      </w:r>
      <w:r>
        <w:rPr>
          <w:rStyle w:val="Style14"/>
          <w:rFonts w:ascii="Times New Roman" w:hAnsi="Times New Roman" w:eastAsia="標楷體"/>
          <w:color w:val="000000"/>
          <w:sz w:val="28"/>
          <w:szCs w:val="28"/>
        </w:rPr>
        <w:t>歲。</w:t>
      </w:r>
    </w:p>
    <w:p>
      <w:pPr>
        <w:pStyle w:val="BodyText"/>
        <w:numPr>
          <w:ilvl w:val="0"/>
          <w:numId w:val="3"/>
        </w:numPr>
        <w:tabs>
          <w:tab w:val="clear" w:pos="480"/>
        </w:tabs>
        <w:spacing w:lineRule="exact" w:line="400"/>
        <w:ind w:left="851" w:hanging="0"/>
        <w:jc w:val="both"/>
        <w:rPr/>
      </w:pPr>
      <w:r>
        <w:rPr>
          <w:rStyle w:val="Style14"/>
          <w:rFonts w:ascii="Times New Roman" w:hAnsi="Times New Roman" w:eastAsia="標楷體"/>
          <w:color w:val="000000"/>
          <w:spacing w:val="-4"/>
          <w:sz w:val="28"/>
          <w:szCs w:val="28"/>
        </w:rPr>
        <w:t>公立或立案之私立大學、獨立學院或符合教育部採認規定之國外大學、獨立學院醫學、醫事、醫管、公共衛生及社會工作相關科、系、所或管理科、系、所畢業，具學士以上學位證書；其中醫事及社會工作人員應領有各該專業人員證書，且擔任教學醫院精神醫療專業領域主管或精神護理之家負責人</w:t>
      </w:r>
      <w:r>
        <w:rPr>
          <w:rStyle w:val="Style14"/>
          <w:rFonts w:ascii="Times New Roman" w:hAnsi="Times New Roman" w:eastAsia="標楷體"/>
          <w:bCs/>
          <w:color w:val="000000"/>
          <w:spacing w:val="-4"/>
          <w:sz w:val="28"/>
          <w:szCs w:val="28"/>
        </w:rPr>
        <w:t>三</w:t>
      </w:r>
      <w:r>
        <w:rPr>
          <w:rStyle w:val="Style14"/>
          <w:rFonts w:ascii="Times New Roman" w:hAnsi="Times New Roman" w:eastAsia="標楷體"/>
          <w:color w:val="000000"/>
          <w:spacing w:val="-4"/>
          <w:sz w:val="28"/>
          <w:szCs w:val="28"/>
        </w:rPr>
        <w:t>年以上。</w:t>
      </w:r>
    </w:p>
    <w:p>
      <w:pPr>
        <w:pStyle w:val="BodyText"/>
        <w:numPr>
          <w:ilvl w:val="0"/>
          <w:numId w:val="4"/>
        </w:numPr>
        <w:spacing w:lineRule="exact" w:line="400"/>
        <w:jc w:val="both"/>
        <w:rPr>
          <w:rFonts w:ascii="Times New Roman" w:hAnsi="Times New Roman" w:eastAsia="標楷體"/>
          <w:color w:val="000000"/>
          <w:sz w:val="28"/>
          <w:szCs w:val="28"/>
        </w:rPr>
      </w:pPr>
      <w:r>
        <w:rPr>
          <w:rFonts w:ascii="Times New Roman" w:hAnsi="Times New Roman" w:eastAsia="標楷體"/>
          <w:color w:val="000000"/>
          <w:sz w:val="28"/>
          <w:szCs w:val="28"/>
        </w:rPr>
        <w:t>環境安全領域之評鑑委員，應具備下列資格：</w:t>
      </w:r>
    </w:p>
    <w:p>
      <w:pPr>
        <w:pStyle w:val="BodyText"/>
        <w:numPr>
          <w:ilvl w:val="1"/>
          <w:numId w:val="4"/>
        </w:numPr>
        <w:tabs>
          <w:tab w:val="clear" w:pos="480"/>
        </w:tabs>
        <w:snapToGrid w:val="false"/>
        <w:spacing w:lineRule="exact" w:line="400"/>
        <w:ind w:left="854" w:hanging="518"/>
        <w:jc w:val="both"/>
        <w:rPr/>
      </w:pPr>
      <w:r>
        <w:rPr>
          <w:rStyle w:val="Style14"/>
          <w:rFonts w:ascii="Times New Roman" w:hAnsi="Times New Roman" w:eastAsia="標楷體"/>
          <w:color w:val="000000"/>
          <w:sz w:val="28"/>
          <w:szCs w:val="28"/>
        </w:rPr>
        <w:t>年齡未滿</w:t>
      </w:r>
      <w:r>
        <w:rPr>
          <w:rStyle w:val="Style14"/>
          <w:rFonts w:ascii="Times New Roman" w:hAnsi="Times New Roman" w:eastAsia="標楷體"/>
          <w:bCs/>
          <w:color w:val="000000"/>
          <w:sz w:val="28"/>
          <w:szCs w:val="28"/>
        </w:rPr>
        <w:t>七十五</w:t>
      </w:r>
      <w:r>
        <w:rPr>
          <w:rStyle w:val="Style14"/>
          <w:rFonts w:ascii="Times New Roman" w:hAnsi="Times New Roman" w:eastAsia="標楷體"/>
          <w:color w:val="000000"/>
          <w:sz w:val="28"/>
          <w:szCs w:val="28"/>
        </w:rPr>
        <w:t>歲。</w:t>
      </w:r>
    </w:p>
    <w:p>
      <w:pPr>
        <w:pStyle w:val="BodyText"/>
        <w:numPr>
          <w:ilvl w:val="1"/>
          <w:numId w:val="4"/>
        </w:numPr>
        <w:tabs>
          <w:tab w:val="clear" w:pos="480"/>
        </w:tabs>
        <w:snapToGrid w:val="false"/>
        <w:spacing w:lineRule="exact" w:line="400"/>
        <w:ind w:left="854" w:hanging="518"/>
        <w:jc w:val="both"/>
        <w:rPr>
          <w:rFonts w:ascii="Times New Roman" w:hAnsi="Times New Roman" w:eastAsia="標楷體"/>
          <w:color w:val="000000"/>
          <w:sz w:val="28"/>
          <w:szCs w:val="28"/>
        </w:rPr>
      </w:pPr>
      <w:r>
        <w:rPr>
          <w:rFonts w:ascii="Times New Roman" w:hAnsi="Times New Roman" w:eastAsia="標楷體"/>
          <w:color w:val="000000"/>
          <w:sz w:val="28"/>
          <w:szCs w:val="28"/>
        </w:rPr>
        <w:t>具備建築、消防安全、緊急避難相關專長、證照。</w:t>
      </w:r>
    </w:p>
    <w:p>
      <w:pPr>
        <w:pStyle w:val="BodyText"/>
        <w:tabs>
          <w:tab w:val="clear" w:pos="480"/>
        </w:tabs>
        <w:snapToGrid w:val="false"/>
        <w:spacing w:lineRule="exact" w:line="400"/>
        <w:ind w:left="851" w:hanging="567"/>
        <w:jc w:val="both"/>
        <w:rPr>
          <w:rFonts w:ascii="Times New Roman" w:hAnsi="Times New Roman" w:eastAsia="標楷體"/>
          <w:color w:val="000000"/>
          <w:sz w:val="28"/>
          <w:szCs w:val="28"/>
        </w:rPr>
      </w:pPr>
      <w:r>
        <w:rPr>
          <w:rFonts w:ascii="Times New Roman" w:hAnsi="Times New Roman" w:eastAsia="標楷體"/>
          <w:color w:val="000000"/>
          <w:sz w:val="28"/>
          <w:szCs w:val="28"/>
        </w:rPr>
        <w:t>同時具備前項及前點第二款資格者，優先考量。</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儲備評鑑委員資格</w:t>
      </w:r>
    </w:p>
    <w:p>
      <w:pPr>
        <w:pStyle w:val="BodyText"/>
        <w:tabs>
          <w:tab w:val="clear" w:pos="480"/>
        </w:tabs>
        <w:spacing w:lineRule="exact" w:line="400"/>
        <w:ind w:left="585" w:hanging="549"/>
        <w:jc w:val="both"/>
        <w:rPr>
          <w:rFonts w:ascii="Times New Roman" w:hAnsi="Times New Roman" w:eastAsia="標楷體"/>
          <w:sz w:val="28"/>
          <w:szCs w:val="28"/>
        </w:rPr>
      </w:pPr>
      <w:r>
        <w:rPr>
          <w:rFonts w:ascii="Times New Roman" w:hAnsi="Times New Roman" w:eastAsia="標楷體"/>
          <w:sz w:val="28"/>
          <w:szCs w:val="28"/>
        </w:rPr>
        <w:t>七、具評鑑委員資格，且符合下列情形者，得為儲備評鑑委員：</w:t>
      </w:r>
    </w:p>
    <w:p>
      <w:pPr>
        <w:pStyle w:val="BodyText"/>
        <w:tabs>
          <w:tab w:val="clear" w:pos="480"/>
        </w:tabs>
        <w:snapToGrid w:val="false"/>
        <w:spacing w:lineRule="exact" w:line="400"/>
        <w:ind w:left="565" w:hanging="18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經遴選或推薦並經本部核定。</w:t>
      </w:r>
    </w:p>
    <w:p>
      <w:pPr>
        <w:pStyle w:val="BodyText"/>
        <w:tabs>
          <w:tab w:val="clear" w:pos="480"/>
        </w:tabs>
        <w:snapToGrid w:val="false"/>
        <w:spacing w:lineRule="exact" w:line="400"/>
        <w:ind w:left="565" w:hanging="18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經當事人同意。</w:t>
      </w:r>
    </w:p>
    <w:p>
      <w:pPr>
        <w:pStyle w:val="BodyText"/>
        <w:tabs>
          <w:tab w:val="clear" w:pos="480"/>
        </w:tabs>
        <w:snapToGrid w:val="false"/>
        <w:spacing w:lineRule="exact" w:line="400"/>
        <w:ind w:left="565" w:hanging="18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完成評鑑基礎訓練課程。</w:t>
      </w:r>
    </w:p>
    <w:p>
      <w:pPr>
        <w:pStyle w:val="BodyText"/>
        <w:tabs>
          <w:tab w:val="clear" w:pos="480"/>
        </w:tabs>
        <w:snapToGrid w:val="false"/>
        <w:spacing w:lineRule="exact" w:line="400"/>
        <w:ind w:left="585" w:hanging="549"/>
        <w:jc w:val="both"/>
        <w:rPr>
          <w:rFonts w:ascii="Times New Roman" w:hAnsi="Times New Roman" w:eastAsia="標楷體"/>
          <w:sz w:val="28"/>
          <w:szCs w:val="28"/>
        </w:rPr>
      </w:pPr>
      <w:r>
        <w:rPr>
          <w:rFonts w:ascii="Times New Roman" w:hAnsi="Times New Roman" w:eastAsia="標楷體"/>
          <w:sz w:val="28"/>
          <w:szCs w:val="28"/>
        </w:rPr>
        <w:t>八、有下列情形之一者，不得為儲備評鑑委員：</w:t>
      </w:r>
    </w:p>
    <w:p>
      <w:pPr>
        <w:pStyle w:val="BodyText"/>
        <w:tabs>
          <w:tab w:val="clear" w:pos="480"/>
        </w:tabs>
        <w:snapToGrid w:val="false"/>
        <w:spacing w:lineRule="exact" w:line="400"/>
        <w:ind w:left="851" w:hanging="46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年齡滿七十五歲。</w:t>
      </w:r>
    </w:p>
    <w:p>
      <w:pPr>
        <w:pStyle w:val="BodyText"/>
        <w:tabs>
          <w:tab w:val="clear" w:pos="480"/>
        </w:tabs>
        <w:snapToGrid w:val="false"/>
        <w:spacing w:lineRule="exact" w:line="400"/>
        <w:ind w:left="851" w:hanging="46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違反毒品危害防制條例經判刑確定。</w:t>
      </w:r>
    </w:p>
    <w:p>
      <w:pPr>
        <w:pStyle w:val="BodyText"/>
        <w:tabs>
          <w:tab w:val="clear" w:pos="480"/>
        </w:tabs>
        <w:spacing w:lineRule="exact" w:line="400"/>
        <w:ind w:left="871" w:hanging="48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其他足堪認定之情事（如違反醫療倫理、違背善良風俗、違反法令規定情節重大且經判刑或懲戒確定）。</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九、儲備評鑑委員，除由本部推薦及遴選外，並得由下列團體推薦：</w:t>
      </w:r>
    </w:p>
    <w:p>
      <w:pPr>
        <w:pStyle w:val="Style19"/>
        <w:snapToGrid w:val="false"/>
        <w:spacing w:lineRule="exact" w:line="400"/>
        <w:ind w:left="853" w:hanging="476"/>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一</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管理專業：社團法人台灣醫務管理學會或第二款至第</w:t>
      </w:r>
      <w:r>
        <w:rPr>
          <w:rStyle w:val="Style14"/>
          <w:rFonts w:ascii="Times New Roman" w:hAnsi="Times New Roman" w:eastAsia="標楷體"/>
          <w:color w:val="000000"/>
          <w:sz w:val="28"/>
          <w:szCs w:val="28"/>
          <w:lang w:eastAsia="zh-TW"/>
        </w:rPr>
        <w:t>七</w:t>
      </w:r>
      <w:r>
        <w:rPr>
          <w:rStyle w:val="Style14"/>
          <w:rFonts w:ascii="Times New Roman" w:hAnsi="Times New Roman" w:eastAsia="標楷體"/>
          <w:color w:val="000000"/>
          <w:sz w:val="28"/>
          <w:szCs w:val="28"/>
        </w:rPr>
        <w:t>款之推薦單位。</w:t>
      </w:r>
    </w:p>
    <w:p>
      <w:pPr>
        <w:pStyle w:val="Style19"/>
        <w:snapToGrid w:val="false"/>
        <w:spacing w:lineRule="exact" w:line="400"/>
        <w:ind w:left="853" w:hanging="476"/>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二</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職能治療專業：中華民國職能治療師公會全國聯合會</w:t>
      </w:r>
      <w:r>
        <w:rPr>
          <w:rStyle w:val="Style14"/>
          <w:rFonts w:eastAsia="標楷體"/>
          <w:sz w:val="28"/>
          <w:szCs w:val="28"/>
        </w:rPr>
        <w:t>、</w:t>
      </w:r>
      <w:r>
        <w:rPr>
          <w:rStyle w:val="Style14"/>
          <w:rFonts w:eastAsia="標楷體"/>
          <w:color w:val="000000"/>
          <w:sz w:val="28"/>
          <w:szCs w:val="28"/>
        </w:rPr>
        <w:t>社團法人臺灣職能治療學會</w:t>
      </w:r>
      <w:r>
        <w:rPr>
          <w:rStyle w:val="Style14"/>
          <w:rFonts w:ascii="Times New Roman" w:hAnsi="Times New Roman" w:eastAsia="標楷體"/>
          <w:color w:val="000000"/>
          <w:sz w:val="28"/>
          <w:szCs w:val="28"/>
        </w:rPr>
        <w:t>。</w:t>
      </w:r>
    </w:p>
    <w:p>
      <w:pPr>
        <w:pStyle w:val="Style19"/>
        <w:snapToGrid w:val="false"/>
        <w:spacing w:lineRule="exact" w:line="400"/>
        <w:ind w:left="853" w:hanging="476"/>
        <w:jc w:val="both"/>
        <w:rPr>
          <w:rFonts w:ascii="Times New Roman" w:hAnsi="Times New Roman" w:eastAsia="標楷體"/>
          <w:color w:val="000000"/>
          <w:sz w:val="28"/>
          <w:szCs w:val="28"/>
        </w:rPr>
      </w:pPr>
      <w:r>
        <w:rPr>
          <w:rFonts w:eastAsia="標楷體" w:ascii="Times New Roman" w:hAnsi="Times New Roman"/>
          <w:color w:val="000000"/>
          <w:sz w:val="28"/>
          <w:szCs w:val="28"/>
        </w:rPr>
        <w:t>(</w:t>
      </w:r>
      <w:r>
        <w:rPr>
          <w:rFonts w:ascii="Times New Roman" w:hAnsi="Times New Roman" w:eastAsia="標楷體"/>
          <w:color w:val="000000"/>
          <w:sz w:val="28"/>
          <w:szCs w:val="28"/>
        </w:rPr>
        <w:t>三</w:t>
      </w:r>
      <w:r>
        <w:rPr>
          <w:rFonts w:eastAsia="標楷體" w:ascii="Times New Roman" w:hAnsi="Times New Roman"/>
          <w:color w:val="000000"/>
          <w:sz w:val="28"/>
          <w:szCs w:val="28"/>
        </w:rPr>
        <w:t>)</w:t>
      </w:r>
      <w:r>
        <w:rPr>
          <w:rFonts w:ascii="Times New Roman" w:hAnsi="Times New Roman" w:eastAsia="標楷體"/>
          <w:color w:val="000000"/>
          <w:sz w:val="28"/>
          <w:szCs w:val="28"/>
        </w:rPr>
        <w:t>社會工作專業：台灣心理衛生社會工作學會。</w:t>
      </w:r>
    </w:p>
    <w:p>
      <w:pPr>
        <w:pStyle w:val="Style19"/>
        <w:snapToGrid w:val="false"/>
        <w:spacing w:lineRule="exact" w:line="400"/>
        <w:ind w:left="853" w:hanging="476"/>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四</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臨床心理專業：中華民國臨床心理師公會全國聯合會</w:t>
      </w:r>
      <w:r>
        <w:rPr>
          <w:rStyle w:val="Style14"/>
          <w:rFonts w:eastAsia="標楷體"/>
          <w:sz w:val="28"/>
          <w:szCs w:val="28"/>
        </w:rPr>
        <w:t>、台灣臨床心理學會</w:t>
      </w:r>
      <w:r>
        <w:rPr>
          <w:rStyle w:val="Style14"/>
          <w:rFonts w:ascii="Times New Roman" w:hAnsi="Times New Roman" w:eastAsia="標楷體"/>
          <w:color w:val="000000"/>
          <w:sz w:val="28"/>
          <w:szCs w:val="28"/>
        </w:rPr>
        <w:t>。</w:t>
      </w:r>
    </w:p>
    <w:p>
      <w:pPr>
        <w:pStyle w:val="Style19"/>
        <w:snapToGrid w:val="false"/>
        <w:spacing w:lineRule="exact" w:line="400"/>
        <w:ind w:left="853" w:hanging="476"/>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五</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護理專業：社團法人中華民國精神衛生護理學會</w:t>
      </w:r>
      <w:r>
        <w:rPr>
          <w:rStyle w:val="Style14"/>
          <w:rFonts w:eastAsia="標楷體"/>
          <w:sz w:val="28"/>
          <w:szCs w:val="28"/>
        </w:rPr>
        <w:t>、台灣護理學會</w:t>
      </w:r>
      <w:r>
        <w:rPr>
          <w:rStyle w:val="Style14"/>
          <w:rFonts w:ascii="Times New Roman" w:hAnsi="Times New Roman" w:eastAsia="標楷體"/>
          <w:color w:val="000000"/>
          <w:sz w:val="28"/>
          <w:szCs w:val="28"/>
        </w:rPr>
        <w:t>。</w:t>
      </w:r>
    </w:p>
    <w:p>
      <w:pPr>
        <w:pStyle w:val="Style19"/>
        <w:snapToGrid w:val="false"/>
        <w:spacing w:lineRule="exact" w:line="400"/>
        <w:ind w:left="853" w:hanging="476"/>
        <w:jc w:val="both"/>
        <w:rPr>
          <w:rFonts w:ascii="Times New Roman" w:hAnsi="Times New Roman" w:eastAsia="標楷體"/>
          <w:color w:val="000000"/>
          <w:sz w:val="28"/>
          <w:szCs w:val="28"/>
        </w:rPr>
      </w:pPr>
      <w:r>
        <w:rPr>
          <w:rFonts w:eastAsia="標楷體" w:ascii="Times New Roman" w:hAnsi="Times New Roman"/>
          <w:color w:val="000000"/>
          <w:sz w:val="28"/>
          <w:szCs w:val="28"/>
        </w:rPr>
        <w:t>(</w:t>
      </w:r>
      <w:r>
        <w:rPr>
          <w:rFonts w:ascii="Times New Roman" w:hAnsi="Times New Roman" w:eastAsia="標楷體"/>
          <w:color w:val="000000"/>
          <w:sz w:val="28"/>
          <w:szCs w:val="28"/>
        </w:rPr>
        <w:t>六</w:t>
      </w:r>
      <w:r>
        <w:rPr>
          <w:rFonts w:eastAsia="標楷體" w:ascii="Times New Roman" w:hAnsi="Times New Roman"/>
          <w:color w:val="000000"/>
          <w:sz w:val="28"/>
          <w:szCs w:val="28"/>
        </w:rPr>
        <w:t>)</w:t>
      </w:r>
      <w:r>
        <w:rPr>
          <w:rFonts w:ascii="Times New Roman" w:hAnsi="Times New Roman" w:eastAsia="標楷體"/>
          <w:color w:val="000000"/>
          <w:sz w:val="28"/>
          <w:szCs w:val="28"/>
        </w:rPr>
        <w:t>醫師專業：台灣精神醫學會。</w:t>
      </w:r>
    </w:p>
    <w:p>
      <w:pPr>
        <w:pStyle w:val="Style19"/>
        <w:snapToGrid w:val="false"/>
        <w:spacing w:lineRule="exact" w:line="400"/>
        <w:ind w:left="853" w:hanging="476"/>
        <w:jc w:val="both"/>
        <w:rPr>
          <w:rFonts w:ascii="Times New Roman" w:hAnsi="Times New Roman" w:eastAsia="標楷體"/>
          <w:color w:val="000000"/>
          <w:sz w:val="28"/>
          <w:szCs w:val="28"/>
        </w:rPr>
      </w:pPr>
      <w:r>
        <w:rPr>
          <w:rFonts w:eastAsia="標楷體" w:ascii="Times New Roman" w:hAnsi="Times New Roman"/>
          <w:color w:val="000000"/>
          <w:sz w:val="28"/>
          <w:szCs w:val="28"/>
        </w:rPr>
        <w:t>(</w:t>
      </w:r>
      <w:r>
        <w:rPr>
          <w:rFonts w:ascii="Times New Roman" w:hAnsi="Times New Roman" w:eastAsia="標楷體"/>
          <w:color w:val="000000"/>
          <w:sz w:val="28"/>
          <w:szCs w:val="28"/>
        </w:rPr>
        <w:t>七</w:t>
      </w:r>
      <w:r>
        <w:rPr>
          <w:rFonts w:eastAsia="標楷體" w:ascii="Times New Roman" w:hAnsi="Times New Roman"/>
          <w:color w:val="000000"/>
          <w:sz w:val="28"/>
          <w:szCs w:val="28"/>
        </w:rPr>
        <w:t>)</w:t>
      </w:r>
      <w:r>
        <w:rPr>
          <w:rFonts w:ascii="Times New Roman" w:hAnsi="Times New Roman" w:eastAsia="標楷體"/>
          <w:color w:val="000000"/>
          <w:sz w:val="28"/>
          <w:szCs w:val="28"/>
        </w:rPr>
        <w:t>長照專業：台灣長期照護專業協會。</w:t>
      </w:r>
    </w:p>
    <w:p>
      <w:pPr>
        <w:pStyle w:val="Style19"/>
        <w:snapToGrid w:val="false"/>
        <w:spacing w:lineRule="exact" w:line="400"/>
        <w:ind w:left="853" w:hanging="476"/>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八</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環境安全專業：</w:t>
      </w:r>
      <w:r>
        <w:rPr>
          <w:rStyle w:val="Style14"/>
          <w:rFonts w:ascii="Times New Roman" w:hAnsi="Times New Roman" w:eastAsia="標楷體"/>
          <w:bCs/>
          <w:color w:val="000000"/>
          <w:sz w:val="28"/>
          <w:szCs w:val="28"/>
        </w:rPr>
        <w:t>內政部</w:t>
      </w:r>
      <w:r>
        <w:rPr>
          <w:rStyle w:val="Style14"/>
          <w:rFonts w:ascii="Times New Roman" w:hAnsi="Times New Roman" w:eastAsia="標楷體"/>
          <w:color w:val="000000"/>
          <w:sz w:val="28"/>
          <w:szCs w:val="28"/>
        </w:rPr>
        <w:t>消防署、</w:t>
      </w:r>
      <w:r>
        <w:rPr>
          <w:rStyle w:val="Style14"/>
          <w:rFonts w:ascii="Times New Roman" w:hAnsi="Times New Roman" w:eastAsia="標楷體"/>
          <w:bCs/>
          <w:color w:val="000000"/>
          <w:sz w:val="28"/>
          <w:szCs w:val="28"/>
        </w:rPr>
        <w:t>內政部</w:t>
      </w:r>
      <w:r>
        <w:rPr>
          <w:rStyle w:val="Style14"/>
          <w:rFonts w:ascii="Times New Roman" w:hAnsi="Times New Roman" w:eastAsia="標楷體"/>
          <w:color w:val="000000"/>
          <w:sz w:val="28"/>
          <w:szCs w:val="28"/>
        </w:rPr>
        <w:t>營建署、</w:t>
      </w:r>
      <w:r>
        <w:rPr>
          <w:rStyle w:val="Style14"/>
          <w:rFonts w:ascii="Times New Roman" w:hAnsi="Times New Roman" w:eastAsia="標楷體"/>
          <w:bCs/>
          <w:color w:val="000000"/>
          <w:sz w:val="28"/>
          <w:szCs w:val="28"/>
        </w:rPr>
        <w:t>各縣市政府消防局</w:t>
      </w:r>
      <w:r>
        <w:rPr>
          <w:rStyle w:val="Style14"/>
          <w:rFonts w:ascii="Times New Roman" w:hAnsi="Times New Roman" w:eastAsia="標楷體"/>
          <w:color w:val="000000"/>
          <w:sz w:val="28"/>
          <w:szCs w:val="28"/>
        </w:rPr>
        <w:t>、</w:t>
      </w:r>
      <w:r>
        <w:rPr>
          <w:rStyle w:val="Style14"/>
          <w:rFonts w:ascii="Times New Roman" w:hAnsi="Times New Roman" w:eastAsia="標楷體"/>
          <w:bCs/>
          <w:color w:val="000000"/>
          <w:sz w:val="28"/>
          <w:szCs w:val="28"/>
        </w:rPr>
        <w:t>中央警察大學</w:t>
      </w:r>
      <w:r>
        <w:rPr>
          <w:rStyle w:val="Style14"/>
          <w:rFonts w:ascii="Times New Roman" w:hAnsi="Times New Roman" w:eastAsia="標楷體"/>
          <w:color w:val="000000"/>
          <w:sz w:val="28"/>
          <w:szCs w:val="28"/>
        </w:rPr>
        <w:t>、臺灣</w:t>
      </w:r>
      <w:r>
        <w:rPr>
          <w:rStyle w:val="Style14"/>
          <w:rFonts w:ascii="Times New Roman" w:hAnsi="Times New Roman" w:eastAsia="標楷體"/>
          <w:bCs/>
          <w:color w:val="000000"/>
          <w:sz w:val="28"/>
          <w:szCs w:val="28"/>
        </w:rPr>
        <w:t>警察專科學校</w:t>
      </w:r>
      <w:r>
        <w:rPr>
          <w:rStyle w:val="Style14"/>
          <w:rFonts w:ascii="Times New Roman" w:hAnsi="Times New Roman" w:eastAsia="標楷體"/>
          <w:color w:val="000000"/>
          <w:sz w:val="28"/>
          <w:szCs w:val="28"/>
        </w:rPr>
        <w:t>、</w:t>
      </w:r>
      <w:r>
        <w:rPr>
          <w:rStyle w:val="Style14"/>
          <w:rFonts w:ascii="Times New Roman" w:hAnsi="Times New Roman" w:eastAsia="標楷體"/>
          <w:bCs/>
          <w:color w:val="000000"/>
          <w:sz w:val="28"/>
          <w:szCs w:val="28"/>
        </w:rPr>
        <w:t>內政部建築研究所</w:t>
      </w:r>
      <w:r>
        <w:rPr>
          <w:rStyle w:val="Style14"/>
          <w:rFonts w:ascii="Times New Roman" w:hAnsi="Times New Roman" w:eastAsia="標楷體"/>
          <w:color w:val="000000"/>
          <w:sz w:val="28"/>
          <w:szCs w:val="28"/>
        </w:rPr>
        <w:t>、</w:t>
      </w:r>
      <w:r>
        <w:rPr>
          <w:rStyle w:val="Style14"/>
          <w:rFonts w:ascii="Times New Roman" w:hAnsi="Times New Roman" w:eastAsia="標楷體"/>
          <w:bCs/>
          <w:color w:val="000000"/>
          <w:sz w:val="28"/>
          <w:szCs w:val="28"/>
        </w:rPr>
        <w:t>財團法人台灣建築中心</w:t>
      </w:r>
      <w:r>
        <w:rPr>
          <w:rStyle w:val="Style14"/>
          <w:rFonts w:ascii="Times New Roman" w:hAnsi="Times New Roman" w:eastAsia="標楷體"/>
          <w:color w:val="000000"/>
          <w:sz w:val="28"/>
          <w:szCs w:val="28"/>
        </w:rPr>
        <w:t>、</w:t>
      </w:r>
      <w:r>
        <w:rPr>
          <w:rStyle w:val="Style14"/>
          <w:rFonts w:ascii="Times New Roman" w:hAnsi="Times New Roman" w:eastAsia="標楷體"/>
          <w:bCs/>
          <w:color w:val="000000"/>
          <w:sz w:val="28"/>
          <w:szCs w:val="28"/>
        </w:rPr>
        <w:t>社團法人美國消防工程師學會台灣分會</w:t>
      </w:r>
      <w:r>
        <w:rPr>
          <w:rStyle w:val="Style14"/>
          <w:rFonts w:ascii="Times New Roman" w:hAnsi="Times New Roman" w:eastAsia="標楷體"/>
          <w:color w:val="000000"/>
          <w:sz w:val="28"/>
          <w:szCs w:val="28"/>
        </w:rPr>
        <w:t>、</w:t>
      </w:r>
      <w:r>
        <w:rPr>
          <w:rStyle w:val="Style14"/>
          <w:rFonts w:ascii="Times New Roman" w:hAnsi="Times New Roman" w:eastAsia="標楷體"/>
          <w:bCs/>
          <w:color w:val="000000"/>
          <w:sz w:val="28"/>
          <w:szCs w:val="28"/>
        </w:rPr>
        <w:t>國家災害防救科技中心</w:t>
      </w:r>
      <w:r>
        <w:rPr>
          <w:rStyle w:val="Style14"/>
          <w:rFonts w:ascii="Times New Roman" w:hAnsi="Times New Roman" w:eastAsia="標楷體"/>
          <w:color w:val="000000"/>
          <w:sz w:val="28"/>
          <w:szCs w:val="28"/>
        </w:rPr>
        <w:t>、行政院</w:t>
      </w:r>
      <w:r>
        <w:rPr>
          <w:rStyle w:val="Style14"/>
          <w:rFonts w:ascii="Times New Roman" w:hAnsi="Times New Roman" w:eastAsia="標楷體"/>
          <w:bCs/>
          <w:color w:val="000000"/>
          <w:sz w:val="28"/>
          <w:szCs w:val="28"/>
        </w:rPr>
        <w:t>中央災害防救會報</w:t>
      </w:r>
      <w:r>
        <w:rPr>
          <w:rStyle w:val="Style14"/>
          <w:rFonts w:ascii="Times New Roman" w:hAnsi="Times New Roman" w:eastAsia="標楷體"/>
          <w:color w:val="000000"/>
          <w:sz w:val="28"/>
          <w:szCs w:val="28"/>
        </w:rPr>
        <w:t>、中華民國全國建築師公會。</w:t>
      </w:r>
    </w:p>
    <w:p>
      <w:pPr>
        <w:pStyle w:val="BodyText"/>
        <w:tabs>
          <w:tab w:val="clear" w:pos="480"/>
        </w:tabs>
        <w:spacing w:lineRule="exact" w:line="400"/>
        <w:ind w:left="853" w:hanging="476"/>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color w:val="000000"/>
          <w:sz w:val="28"/>
          <w:szCs w:val="28"/>
        </w:rPr>
        <w:t>九</w:t>
      </w:r>
      <w:r>
        <w:rPr>
          <w:rStyle w:val="Style14"/>
          <w:rFonts w:eastAsia="標楷體" w:ascii="Times New Roman" w:hAnsi="Times New Roman"/>
          <w:color w:val="000000"/>
          <w:sz w:val="28"/>
          <w:szCs w:val="28"/>
        </w:rPr>
        <w:t>)</w:t>
      </w:r>
      <w:r>
        <w:rPr>
          <w:rStyle w:val="Style14"/>
          <w:rFonts w:eastAsia="標楷體"/>
          <w:sz w:val="28"/>
          <w:szCs w:val="28"/>
        </w:rPr>
        <w:t>本部精神護理之家評鑑委託協辦單位（以下簡稱本部委託協辦單位）。</w:t>
      </w:r>
    </w:p>
    <w:p>
      <w:pPr>
        <w:pStyle w:val="BodyText"/>
        <w:tabs>
          <w:tab w:val="clear" w:pos="480"/>
        </w:tabs>
        <w:spacing w:lineRule="exact" w:line="400"/>
        <w:ind w:left="284" w:hanging="0"/>
        <w:jc w:val="both"/>
        <w:rPr/>
      </w:pPr>
      <w:r>
        <w:rPr>
          <w:rStyle w:val="Style14"/>
          <w:rFonts w:ascii="Times New Roman" w:hAnsi="Times New Roman" w:eastAsia="標楷體"/>
          <w:sz w:val="28"/>
          <w:szCs w:val="28"/>
        </w:rPr>
        <w:t>前項推薦名額，由本部依每年度評鑑精神護理之家數之需求訂定之。</w:t>
      </w:r>
    </w:p>
    <w:p>
      <w:pPr>
        <w:pStyle w:val="BodyText"/>
        <w:tabs>
          <w:tab w:val="clear" w:pos="480"/>
        </w:tabs>
        <w:spacing w:lineRule="exact" w:line="400"/>
        <w:ind w:left="490" w:hanging="490"/>
        <w:jc w:val="both"/>
        <w:rPr/>
      </w:pPr>
      <w:r>
        <w:rPr>
          <w:rStyle w:val="Style14"/>
          <w:rFonts w:ascii="Times New Roman" w:hAnsi="Times New Roman" w:eastAsia="標楷體"/>
          <w:sz w:val="28"/>
          <w:szCs w:val="28"/>
        </w:rPr>
        <w:t>十、儲備評鑑委員之推薦，由本部或</w:t>
      </w:r>
      <w:r>
        <w:rPr>
          <w:rStyle w:val="Style14"/>
          <w:rFonts w:eastAsia="標楷體"/>
          <w:sz w:val="28"/>
          <w:szCs w:val="28"/>
        </w:rPr>
        <w:t>本部委託協辦單位</w:t>
      </w:r>
      <w:r>
        <w:rPr>
          <w:rStyle w:val="Style14"/>
          <w:rFonts w:ascii="Times New Roman" w:hAnsi="Times New Roman" w:eastAsia="標楷體"/>
          <w:sz w:val="28"/>
          <w:szCs w:val="28"/>
        </w:rPr>
        <w:t>函請推薦單位依需求人數，推薦符合資格之人選，逕送至本部委託協辦單位進行書面資格審核後報本部核定。</w:t>
      </w:r>
    </w:p>
    <w:p>
      <w:pPr>
        <w:pStyle w:val="BodyText"/>
        <w:tabs>
          <w:tab w:val="clear" w:pos="480"/>
        </w:tabs>
        <w:spacing w:lineRule="exact" w:line="400"/>
        <w:ind w:left="516" w:hanging="14"/>
        <w:jc w:val="both"/>
        <w:rPr/>
      </w:pPr>
      <w:r>
        <w:rPr>
          <w:rStyle w:val="Style14"/>
          <w:rFonts w:eastAsia="標楷體"/>
          <w:sz w:val="28"/>
          <w:szCs w:val="28"/>
        </w:rPr>
        <w:t>儲備評鑑委員由本部委託協辦單位辦理推薦者，由本部書面審核及核定。</w:t>
      </w:r>
    </w:p>
    <w:p>
      <w:pPr>
        <w:pStyle w:val="BodyText"/>
        <w:tabs>
          <w:tab w:val="clear" w:pos="480"/>
        </w:tabs>
        <w:snapToGrid w:val="false"/>
        <w:spacing w:lineRule="exact" w:line="400"/>
        <w:ind w:left="829" w:hanging="829"/>
        <w:jc w:val="both"/>
        <w:rPr/>
      </w:pPr>
      <w:r>
        <w:rPr>
          <w:rStyle w:val="Style14"/>
          <w:rFonts w:ascii="Times New Roman" w:hAnsi="Times New Roman" w:eastAsia="標楷體"/>
          <w:sz w:val="28"/>
          <w:szCs w:val="28"/>
        </w:rPr>
        <w:t>十一、</w:t>
      </w:r>
      <w:r>
        <w:rPr>
          <w:rStyle w:val="Style14"/>
          <w:rFonts w:eastAsia="標楷體"/>
          <w:sz w:val="28"/>
          <w:szCs w:val="28"/>
        </w:rPr>
        <w:t>經本部核定之儲備評鑑委員，其核定之有效期間為四年，屆期本部得重新遴選。</w:t>
      </w:r>
    </w:p>
    <w:p>
      <w:pPr>
        <w:pStyle w:val="BodyText"/>
        <w:tabs>
          <w:tab w:val="clear" w:pos="480"/>
        </w:tabs>
        <w:spacing w:lineRule="exact" w:line="400"/>
        <w:ind w:left="782" w:hanging="0"/>
        <w:jc w:val="both"/>
        <w:rPr/>
      </w:pPr>
      <w:r>
        <w:rPr>
          <w:rStyle w:val="Style14"/>
          <w:rFonts w:eastAsia="標楷體"/>
          <w:sz w:val="28"/>
          <w:szCs w:val="28"/>
        </w:rPr>
        <w:t>儲備評鑑委員應參加本部委託協辦單位辦理之評鑑基礎訓練課程，</w:t>
      </w:r>
      <w:r>
        <w:rPr>
          <w:rStyle w:val="Style14"/>
          <w:rFonts w:eastAsia="標楷體"/>
          <w:color w:val="000000"/>
          <w:sz w:val="28"/>
          <w:szCs w:val="28"/>
        </w:rPr>
        <w:t>訓練期間之交通費、住宿費及雜費，由受訓學員自行負擔。</w:t>
      </w:r>
    </w:p>
    <w:p>
      <w:pPr>
        <w:pStyle w:val="BodyText"/>
        <w:tabs>
          <w:tab w:val="clear" w:pos="480"/>
        </w:tabs>
        <w:snapToGrid w:val="false"/>
        <w:spacing w:lineRule="exact" w:line="400"/>
        <w:ind w:left="829" w:hanging="829"/>
        <w:jc w:val="both"/>
        <w:rPr/>
      </w:pPr>
      <w:r>
        <w:rPr>
          <w:rStyle w:val="Style14"/>
          <w:rFonts w:ascii="Times New Roman" w:hAnsi="Times New Roman" w:eastAsia="標楷體"/>
          <w:sz w:val="28"/>
          <w:szCs w:val="28"/>
        </w:rPr>
        <w:t>十二、評鑑基礎訓練課程，應</w:t>
      </w:r>
      <w:r>
        <w:rPr>
          <w:rStyle w:val="Style14"/>
          <w:rFonts w:eastAsia="標楷體"/>
          <w:color w:val="000000"/>
          <w:sz w:val="28"/>
          <w:szCs w:val="28"/>
        </w:rPr>
        <w:t>全程參與，其評核依據如下</w:t>
      </w:r>
      <w:r>
        <w:rPr>
          <w:rStyle w:val="Style14"/>
          <w:rFonts w:ascii="Times New Roman" w:hAnsi="Times New Roman" w:eastAsia="標楷體"/>
          <w:sz w:val="28"/>
          <w:szCs w:val="28"/>
        </w:rPr>
        <w:t>：</w:t>
      </w:r>
    </w:p>
    <w:p>
      <w:pPr>
        <w:pStyle w:val="BodyText"/>
        <w:numPr>
          <w:ilvl w:val="1"/>
          <w:numId w:val="5"/>
        </w:numPr>
        <w:tabs>
          <w:tab w:val="clear" w:pos="480"/>
        </w:tabs>
        <w:spacing w:lineRule="exact" w:line="400"/>
        <w:ind w:left="1133" w:hanging="567"/>
        <w:jc w:val="both"/>
        <w:rPr/>
      </w:pPr>
      <w:r>
        <w:rPr>
          <w:rStyle w:val="Style14"/>
          <w:rFonts w:ascii="Times New Roman" w:hAnsi="Times New Roman" w:eastAsia="標楷體"/>
          <w:color w:val="000000"/>
          <w:sz w:val="28"/>
          <w:szCs w:val="28"/>
        </w:rPr>
        <w:t>核心</w:t>
      </w:r>
      <w:r>
        <w:rPr>
          <w:rStyle w:val="Style14"/>
          <w:rFonts w:ascii="Times New Roman" w:hAnsi="Times New Roman" w:eastAsia="標楷體"/>
          <w:bCs/>
          <w:sz w:val="28"/>
          <w:szCs w:val="28"/>
        </w:rPr>
        <w:t>訓練課程</w:t>
      </w:r>
      <w:r>
        <w:rPr>
          <w:rStyle w:val="Style14"/>
          <w:rFonts w:ascii="Times New Roman" w:hAnsi="Times New Roman" w:eastAsia="標楷體"/>
          <w:sz w:val="28"/>
          <w:szCs w:val="28"/>
        </w:rPr>
        <w:t>：</w:t>
      </w:r>
    </w:p>
    <w:p>
      <w:pPr>
        <w:pStyle w:val="BodyText"/>
        <w:numPr>
          <w:ilvl w:val="2"/>
          <w:numId w:val="5"/>
        </w:numPr>
        <w:tabs>
          <w:tab w:val="clear" w:pos="480"/>
        </w:tabs>
        <w:snapToGrid w:val="false"/>
        <w:spacing w:lineRule="exact" w:line="400"/>
        <w:ind w:left="1386" w:hanging="280"/>
        <w:jc w:val="both"/>
        <w:rPr/>
      </w:pPr>
      <w:r>
        <w:rPr>
          <w:rStyle w:val="Style14"/>
          <w:rFonts w:ascii="Times New Roman" w:hAnsi="Times New Roman" w:eastAsia="標楷體"/>
          <w:sz w:val="28"/>
          <w:szCs w:val="28"/>
        </w:rPr>
        <w:t>課後評量：以受訓學員對課程內容之了解程度，評估其是否具備擔任評鑑委員之基本專業能力與評鑑態度。</w:t>
      </w:r>
    </w:p>
    <w:p>
      <w:pPr>
        <w:pStyle w:val="BodyText"/>
        <w:numPr>
          <w:ilvl w:val="2"/>
          <w:numId w:val="5"/>
        </w:numPr>
        <w:tabs>
          <w:tab w:val="clear" w:pos="480"/>
        </w:tabs>
        <w:snapToGrid w:val="false"/>
        <w:spacing w:lineRule="exact" w:line="400"/>
        <w:ind w:left="1386" w:hanging="280"/>
        <w:jc w:val="both"/>
        <w:rPr/>
      </w:pPr>
      <w:r>
        <w:rPr>
          <w:rStyle w:val="Style14"/>
          <w:rFonts w:ascii="Times New Roman" w:hAnsi="Times New Roman" w:eastAsia="標楷體"/>
          <w:sz w:val="28"/>
          <w:szCs w:val="28"/>
        </w:rPr>
        <w:t>參與狀況：以受訓學員對各項課程之參與及投入程度進行評核。</w:t>
      </w:r>
    </w:p>
    <w:p>
      <w:pPr>
        <w:pStyle w:val="BodyText"/>
        <w:numPr>
          <w:ilvl w:val="2"/>
          <w:numId w:val="5"/>
        </w:numPr>
        <w:tabs>
          <w:tab w:val="clear" w:pos="480"/>
        </w:tabs>
        <w:snapToGrid w:val="false"/>
        <w:spacing w:lineRule="exact" w:line="400"/>
        <w:ind w:left="1386" w:hanging="280"/>
        <w:jc w:val="both"/>
        <w:rPr/>
      </w:pPr>
      <w:r>
        <w:rPr>
          <w:rStyle w:val="Style14"/>
          <w:rFonts w:ascii="Times New Roman" w:hAnsi="Times New Roman" w:eastAsia="標楷體"/>
          <w:sz w:val="28"/>
          <w:szCs w:val="28"/>
        </w:rPr>
        <w:t>自我評量：受訓學員於課後針對課程內容及相關規範，自我評量其是否適任評鑑委員。</w:t>
      </w:r>
    </w:p>
    <w:p>
      <w:pPr>
        <w:pStyle w:val="BodyText"/>
        <w:numPr>
          <w:ilvl w:val="1"/>
          <w:numId w:val="5"/>
        </w:numPr>
        <w:tabs>
          <w:tab w:val="clear" w:pos="480"/>
        </w:tabs>
        <w:spacing w:lineRule="exact" w:line="400"/>
        <w:ind w:left="1132" w:hanging="568"/>
        <w:jc w:val="both"/>
        <w:rPr/>
      </w:pPr>
      <w:r>
        <w:rPr>
          <w:rStyle w:val="Style14"/>
          <w:rFonts w:ascii="Times New Roman" w:hAnsi="Times New Roman" w:eastAsia="標楷體"/>
          <w:sz w:val="28"/>
          <w:szCs w:val="28"/>
        </w:rPr>
        <w:t>實地訓練：</w:t>
      </w:r>
    </w:p>
    <w:p>
      <w:pPr>
        <w:pStyle w:val="BodyText"/>
        <w:numPr>
          <w:ilvl w:val="2"/>
          <w:numId w:val="5"/>
        </w:numPr>
        <w:tabs>
          <w:tab w:val="clear" w:pos="480"/>
        </w:tabs>
        <w:snapToGrid w:val="false"/>
        <w:spacing w:lineRule="exact" w:line="400"/>
        <w:ind w:left="1414" w:hanging="294"/>
        <w:jc w:val="both"/>
        <w:rPr/>
      </w:pPr>
      <w:r>
        <w:rPr>
          <w:rStyle w:val="Style14"/>
          <w:rFonts w:ascii="Times New Roman" w:hAnsi="Times New Roman" w:eastAsia="標楷體"/>
          <w:sz w:val="28"/>
          <w:szCs w:val="28"/>
        </w:rPr>
        <w:t>參與狀況：受訓學員應於各查證點配合點名，以確認其確實與團隊共同行動。</w:t>
      </w:r>
    </w:p>
    <w:p>
      <w:pPr>
        <w:pStyle w:val="BodyText"/>
        <w:numPr>
          <w:ilvl w:val="2"/>
          <w:numId w:val="5"/>
        </w:numPr>
        <w:tabs>
          <w:tab w:val="clear" w:pos="480"/>
        </w:tabs>
        <w:snapToGrid w:val="false"/>
        <w:spacing w:lineRule="exact" w:line="400"/>
        <w:ind w:left="1414" w:hanging="294"/>
        <w:jc w:val="both"/>
        <w:rPr/>
      </w:pPr>
      <w:r>
        <w:rPr>
          <w:rStyle w:val="Style14"/>
          <w:rFonts w:ascii="Times New Roman" w:hAnsi="Times New Roman" w:eastAsia="標楷體"/>
          <w:sz w:val="28"/>
          <w:szCs w:val="28"/>
        </w:rPr>
        <w:t>自我評量：受訓學員於實地訓練後填寫自評表，以評估自身學習狀況。</w:t>
      </w:r>
    </w:p>
    <w:p>
      <w:pPr>
        <w:pStyle w:val="BodyText"/>
        <w:numPr>
          <w:ilvl w:val="1"/>
          <w:numId w:val="5"/>
        </w:numPr>
        <w:tabs>
          <w:tab w:val="clear" w:pos="480"/>
        </w:tabs>
        <w:spacing w:lineRule="exact" w:line="400"/>
        <w:ind w:left="1131" w:hanging="560"/>
        <w:jc w:val="both"/>
        <w:rPr/>
      </w:pPr>
      <w:r>
        <w:rPr>
          <w:rStyle w:val="Style14"/>
          <w:rFonts w:ascii="Times New Roman" w:hAnsi="Times New Roman" w:eastAsia="標楷體"/>
          <w:sz w:val="28"/>
          <w:szCs w:val="28"/>
        </w:rPr>
        <w:t>實地觀摩訓練課程：</w:t>
      </w:r>
    </w:p>
    <w:p>
      <w:pPr>
        <w:pStyle w:val="BodyText"/>
        <w:numPr>
          <w:ilvl w:val="2"/>
          <w:numId w:val="5"/>
        </w:numPr>
        <w:tabs>
          <w:tab w:val="clear" w:pos="480"/>
        </w:tabs>
        <w:snapToGrid w:val="false"/>
        <w:spacing w:lineRule="exact" w:line="400"/>
        <w:ind w:left="1414" w:hanging="294"/>
        <w:jc w:val="both"/>
        <w:rPr/>
      </w:pPr>
      <w:r>
        <w:rPr>
          <w:rStyle w:val="Style14"/>
          <w:rFonts w:ascii="Times New Roman" w:hAnsi="Times New Roman" w:eastAsia="標楷體"/>
          <w:sz w:val="28"/>
          <w:szCs w:val="28"/>
        </w:rPr>
        <w:t>參與狀況：受訓學員應提供該年度可安排出梯之時間，並經安排後接受實地觀摩訓練。</w:t>
      </w:r>
    </w:p>
    <w:p>
      <w:pPr>
        <w:pStyle w:val="BodyText"/>
        <w:numPr>
          <w:ilvl w:val="2"/>
          <w:numId w:val="5"/>
        </w:numPr>
        <w:tabs>
          <w:tab w:val="clear" w:pos="480"/>
        </w:tabs>
        <w:snapToGrid w:val="false"/>
        <w:spacing w:lineRule="exact" w:line="400"/>
        <w:ind w:left="1414" w:hanging="294"/>
        <w:jc w:val="both"/>
        <w:rPr/>
      </w:pPr>
      <w:r>
        <w:rPr>
          <w:rStyle w:val="Style14"/>
          <w:rFonts w:ascii="Times New Roman" w:hAnsi="Times New Roman" w:eastAsia="標楷體"/>
          <w:sz w:val="28"/>
          <w:szCs w:val="28"/>
        </w:rPr>
        <w:t>指導委員評核：安排同領域指導委員一名，評核受訓學員核心訓練課程學習狀況。</w:t>
      </w:r>
    </w:p>
    <w:p>
      <w:pPr>
        <w:pStyle w:val="BodyText"/>
        <w:numPr>
          <w:ilvl w:val="2"/>
          <w:numId w:val="5"/>
        </w:numPr>
        <w:tabs>
          <w:tab w:val="clear" w:pos="480"/>
        </w:tabs>
        <w:snapToGrid w:val="false"/>
        <w:spacing w:lineRule="exact" w:line="400"/>
        <w:ind w:left="1414" w:hanging="294"/>
        <w:jc w:val="both"/>
        <w:rPr/>
      </w:pPr>
      <w:r>
        <w:rPr>
          <w:rStyle w:val="Style14"/>
          <w:rFonts w:ascii="Times New Roman" w:hAnsi="Times New Roman" w:eastAsia="標楷體"/>
          <w:sz w:val="28"/>
          <w:szCs w:val="28"/>
        </w:rPr>
        <w:t>自我評量：受訓學員於實地觀摩訓練後填寫自評表，以評估自身學習狀況。</w:t>
      </w:r>
    </w:p>
    <w:p>
      <w:pPr>
        <w:pStyle w:val="BodyText"/>
        <w:tabs>
          <w:tab w:val="clear" w:pos="480"/>
          <w:tab w:val="left" w:pos="1134" w:leader="none"/>
        </w:tabs>
        <w:spacing w:lineRule="exact" w:line="400"/>
        <w:ind w:left="283" w:firstLine="1"/>
        <w:jc w:val="both"/>
        <w:rPr/>
      </w:pPr>
      <w:r>
        <w:rPr>
          <w:rStyle w:val="Style14"/>
          <w:rFonts w:ascii="Times New Roman" w:hAnsi="Times New Roman" w:eastAsia="標楷體"/>
          <w:sz w:val="28"/>
          <w:szCs w:val="28"/>
        </w:rPr>
        <w:t>各項評量結果達一定標準，且全程參加並認同精神護理之家評鑑宗旨及精神者為合格。</w:t>
      </w:r>
    </w:p>
    <w:p>
      <w:pPr>
        <w:pStyle w:val="BodyText"/>
        <w:tabs>
          <w:tab w:val="clear" w:pos="480"/>
        </w:tabs>
        <w:spacing w:lineRule="exact" w:line="400"/>
        <w:ind w:left="708" w:hanging="708"/>
        <w:jc w:val="both"/>
        <w:rPr/>
      </w:pPr>
      <w:r>
        <w:rPr>
          <w:rStyle w:val="Style14"/>
          <w:rFonts w:ascii="Times New Roman" w:hAnsi="Times New Roman" w:eastAsia="標楷體"/>
          <w:sz w:val="28"/>
          <w:szCs w:val="28"/>
        </w:rPr>
        <w:t>十三、儲備評鑑委員應參加並達成本部委託協辦單位所辦理之評鑑委員講習或繼續教育課程至少三十二點</w:t>
      </w:r>
      <w:r>
        <w:rPr>
          <w:rStyle w:val="Style14"/>
          <w:rFonts w:eastAsia="標楷體" w:ascii="Times New Roman" w:hAnsi="Times New Roman"/>
          <w:sz w:val="28"/>
          <w:szCs w:val="28"/>
        </w:rPr>
        <w:t>(</w:t>
      </w:r>
      <w:r>
        <w:rPr>
          <w:rStyle w:val="Style14"/>
          <w:rFonts w:ascii="Times New Roman" w:hAnsi="Times New Roman" w:eastAsia="標楷體"/>
          <w:sz w:val="28"/>
          <w:szCs w:val="28"/>
        </w:rPr>
        <w:t>含實體課程或數位課程</w:t>
      </w:r>
      <w:r>
        <w:rPr>
          <w:rStyle w:val="Style14"/>
          <w:rFonts w:eastAsia="標楷體" w:ascii="Times New Roman" w:hAnsi="Times New Roman"/>
          <w:sz w:val="28"/>
          <w:szCs w:val="28"/>
        </w:rPr>
        <w:t>)</w:t>
      </w:r>
      <w:r>
        <w:rPr>
          <w:rStyle w:val="Style14"/>
          <w:rFonts w:ascii="Times New Roman" w:hAnsi="Times New Roman" w:eastAsia="標楷體"/>
          <w:sz w:val="28"/>
          <w:szCs w:val="28"/>
        </w:rPr>
        <w:t>，且遵守相關作業規範。兼具精神照護機構評鑑二類型以上儲備評鑑委員資格者，其相同課程之教育訓練積分，得重複採計。</w:t>
      </w:r>
    </w:p>
    <w:p>
      <w:pPr>
        <w:pStyle w:val="BodyText"/>
        <w:tabs>
          <w:tab w:val="clear" w:pos="480"/>
        </w:tabs>
        <w:snapToGrid w:val="false"/>
        <w:spacing w:lineRule="exact" w:line="400"/>
        <w:ind w:left="742" w:hanging="742"/>
        <w:jc w:val="both"/>
        <w:rPr>
          <w:rFonts w:ascii="Times New Roman" w:hAnsi="Times New Roman" w:eastAsia="標楷體"/>
          <w:sz w:val="28"/>
          <w:szCs w:val="28"/>
        </w:rPr>
      </w:pPr>
      <w:r>
        <w:rPr>
          <w:rFonts w:ascii="Times New Roman" w:hAnsi="Times New Roman" w:eastAsia="標楷體"/>
          <w:sz w:val="28"/>
          <w:szCs w:val="28"/>
        </w:rPr>
        <w:t>十四、有下列情形之一，並有具體事證者，經評鑑業務專案小組會議決議（必要時得請儲備評鑑委員進行書面說明），並報請本部核准後，取消儲備評鑑委員資格：</w:t>
      </w:r>
    </w:p>
    <w:p>
      <w:pPr>
        <w:pStyle w:val="BodyText"/>
        <w:tabs>
          <w:tab w:val="clear" w:pos="480"/>
        </w:tabs>
        <w:snapToGrid w:val="false"/>
        <w:spacing w:lineRule="exact" w:line="400"/>
        <w:ind w:left="1032"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年齡滿七十五歲。</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違反毒品危害防制條例經判刑確定。</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經本部認定有嚴重違反評鑑之宗旨、目的與精神，或違反評鑑委員作業須知情事，致損害評鑑形象或造成重大不良影響。</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無意願繼續擔任儲備評鑑委員。</w:t>
      </w:r>
    </w:p>
    <w:p>
      <w:pPr>
        <w:pStyle w:val="BodyText"/>
        <w:tabs>
          <w:tab w:val="clear" w:pos="480"/>
        </w:tabs>
        <w:snapToGrid w:val="false"/>
        <w:spacing w:lineRule="exact" w:line="400"/>
        <w:ind w:left="1032"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eastAsia="標楷體"/>
          <w:sz w:val="28"/>
          <w:szCs w:val="28"/>
        </w:rPr>
        <w:t>違反</w:t>
      </w:r>
      <w:r>
        <w:rPr>
          <w:rStyle w:val="Style14"/>
          <w:rFonts w:eastAsia="標楷體"/>
          <w:bCs/>
          <w:sz w:val="28"/>
          <w:szCs w:val="28"/>
        </w:rPr>
        <w:t>儲備評鑑委員繼續教育</w:t>
      </w:r>
      <w:r>
        <w:rPr>
          <w:rStyle w:val="Style14"/>
          <w:rFonts w:eastAsia="標楷體"/>
          <w:sz w:val="28"/>
          <w:szCs w:val="28"/>
        </w:rPr>
        <w:t>規定，經認定不得擔任儲備評鑑委員。</w:t>
      </w:r>
    </w:p>
    <w:p>
      <w:pPr>
        <w:pStyle w:val="BodyText"/>
        <w:tabs>
          <w:tab w:val="clear" w:pos="480"/>
        </w:tabs>
        <w:snapToGrid w:val="false"/>
        <w:spacing w:lineRule="exact" w:line="400"/>
        <w:ind w:left="1032"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ascii="Times New Roman" w:hAnsi="Times New Roman" w:eastAsia="標楷體"/>
          <w:sz w:val="28"/>
          <w:szCs w:val="28"/>
        </w:rPr>
        <w:t>其他足堪認定之情事（如違反醫療倫理、違背善良風俗、違反法令規定情節重大且經判刑或懲戒確定）。</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評鑑委員之遴聘</w:t>
      </w:r>
    </w:p>
    <w:p>
      <w:pPr>
        <w:pStyle w:val="BodyText"/>
        <w:tabs>
          <w:tab w:val="clear" w:pos="480"/>
        </w:tabs>
        <w:spacing w:lineRule="exact" w:line="400"/>
        <w:ind w:left="848" w:hanging="848"/>
        <w:jc w:val="both"/>
        <w:rPr>
          <w:rFonts w:ascii="Times New Roman" w:hAnsi="Times New Roman" w:eastAsia="標楷體"/>
          <w:sz w:val="28"/>
          <w:szCs w:val="28"/>
        </w:rPr>
      </w:pPr>
      <w:r>
        <w:rPr>
          <w:rFonts w:ascii="Times New Roman" w:hAnsi="Times New Roman" w:eastAsia="標楷體"/>
          <w:sz w:val="28"/>
          <w:szCs w:val="28"/>
        </w:rPr>
        <w:t>十五、評鑑委員之遴聘，於每年度辦理評鑑作業前，依該年度預估之委員需求人數，由本部自完成評鑑基礎訓練課程之儲備委員當中，以抽籤方式選定，任期最長為一年。</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十六、有下列情形之一者，不予遴聘為評鑑委員：</w:t>
      </w:r>
    </w:p>
    <w:p>
      <w:pPr>
        <w:pStyle w:val="BodyText"/>
        <w:tabs>
          <w:tab w:val="clear" w:pos="480"/>
        </w:tabs>
        <w:snapToGrid w:val="false"/>
        <w:spacing w:lineRule="exact" w:line="400"/>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最近三年內因違法或不正當行為，致服務機構或個人受衛生福利部中央健康保險署停約處分或受衛生主管機關依醫療相關法令處分。</w:t>
      </w:r>
    </w:p>
    <w:p>
      <w:pPr>
        <w:pStyle w:val="BodyText"/>
        <w:tabs>
          <w:tab w:val="clear" w:pos="480"/>
        </w:tabs>
        <w:snapToGrid w:val="false"/>
        <w:spacing w:lineRule="exact" w:line="400"/>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最近一年內評鑑行程排定後，無故未出梯次數達三次。</w:t>
      </w:r>
    </w:p>
    <w:p>
      <w:pPr>
        <w:pStyle w:val="BodyText"/>
        <w:tabs>
          <w:tab w:val="clear" w:pos="480"/>
        </w:tabs>
        <w:snapToGrid w:val="false"/>
        <w:spacing w:lineRule="exact" w:line="400"/>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無意願或因業務繁忙無法繼續擔任評鑑委員。</w:t>
      </w:r>
    </w:p>
    <w:p>
      <w:pPr>
        <w:pStyle w:val="BodyText"/>
        <w:tabs>
          <w:tab w:val="clear" w:pos="480"/>
        </w:tabs>
        <w:snapToGrid w:val="false"/>
        <w:spacing w:lineRule="exact" w:line="400"/>
        <w:ind w:left="1116"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eastAsia="標楷體"/>
          <w:sz w:val="28"/>
          <w:szCs w:val="28"/>
        </w:rPr>
        <w:t>經本部認定曾有違反評鑑委員作業須知情事，致損害評鑑結果之公正性或造成重大不良影響。</w:t>
      </w:r>
    </w:p>
    <w:p>
      <w:pPr>
        <w:pStyle w:val="BodyText"/>
        <w:tabs>
          <w:tab w:val="clear" w:pos="480"/>
        </w:tabs>
        <w:snapToGrid w:val="false"/>
        <w:spacing w:lineRule="exact" w:line="400"/>
        <w:ind w:left="1116" w:hanging="468"/>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五</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評鑑委員評核成績不佳，或具有其他具體事證，經評鑑業務專案小組會議決議（必要時得請評鑑委員進行書面說明），並報請本部核准。</w:t>
      </w:r>
    </w:p>
    <w:p>
      <w:pPr>
        <w:pStyle w:val="BodyText"/>
        <w:tabs>
          <w:tab w:val="clear" w:pos="480"/>
        </w:tabs>
        <w:spacing w:lineRule="exact" w:line="400"/>
        <w:ind w:left="984" w:hanging="137"/>
        <w:jc w:val="both"/>
        <w:rPr>
          <w:rFonts w:eastAsia="標楷體"/>
          <w:bCs/>
          <w:sz w:val="28"/>
          <w:szCs w:val="28"/>
        </w:rPr>
      </w:pPr>
      <w:r>
        <w:rPr>
          <w:rFonts w:eastAsia="標楷體"/>
          <w:bCs/>
          <w:sz w:val="28"/>
          <w:szCs w:val="28"/>
        </w:rPr>
        <w:t>評鑑委員有第十四點之情事，取消其資格。</w:t>
      </w:r>
    </w:p>
    <w:p>
      <w:pPr>
        <w:pStyle w:val="BodyText"/>
        <w:tabs>
          <w:tab w:val="clear" w:pos="480"/>
        </w:tabs>
        <w:spacing w:lineRule="exact" w:line="400"/>
        <w:ind w:left="848" w:hanging="848"/>
        <w:jc w:val="both"/>
        <w:rPr>
          <w:rFonts w:ascii="Times New Roman" w:hAnsi="Times New Roman" w:eastAsia="標楷體"/>
          <w:sz w:val="28"/>
          <w:szCs w:val="28"/>
        </w:rPr>
      </w:pPr>
      <w:r>
        <w:rPr>
          <w:rFonts w:ascii="Times New Roman" w:hAnsi="Times New Roman" w:eastAsia="標楷體"/>
          <w:sz w:val="28"/>
          <w:szCs w:val="28"/>
        </w:rPr>
        <w:t>十七、為使評鑑委員對當年度評鑑基準建立評量共識，評鑑委員應參加評鑑行前會議及共識會議；如未參加者，不予安排評鑑行程。</w:t>
      </w:r>
    </w:p>
    <w:p>
      <w:pPr>
        <w:pStyle w:val="Style19"/>
        <w:snapToGrid w:val="false"/>
        <w:spacing w:lineRule="exact" w:line="440"/>
        <w:ind w:left="0" w:hanging="0"/>
        <w:jc w:val="both"/>
        <w:rPr/>
      </w:pPr>
      <w:r>
        <w:rPr>
          <w:rStyle w:val="Style14"/>
          <w:rFonts w:ascii="Times New Roman" w:hAnsi="Times New Roman" w:eastAsia="標楷體"/>
          <w:sz w:val="28"/>
          <w:szCs w:val="28"/>
        </w:rPr>
        <w:t>十八、</w:t>
      </w:r>
      <w:r>
        <w:rPr>
          <w:rStyle w:val="Style14"/>
          <w:rFonts w:eastAsia="標楷體"/>
          <w:sz w:val="28"/>
          <w:szCs w:val="28"/>
        </w:rPr>
        <w:t>評鑑委員有下列情形之一者，應予迴避該受評機構之評鑑：</w:t>
      </w:r>
    </w:p>
    <w:p>
      <w:pPr>
        <w:pStyle w:val="BodyText"/>
        <w:numPr>
          <w:ilvl w:val="1"/>
          <w:numId w:val="6"/>
        </w:numPr>
        <w:tabs>
          <w:tab w:val="clear" w:pos="480"/>
          <w:tab w:val="left" w:pos="1134" w:leader="none"/>
        </w:tabs>
        <w:snapToGrid w:val="false"/>
        <w:spacing w:lineRule="exact" w:line="440"/>
        <w:ind w:left="1131" w:hanging="476"/>
        <w:rPr>
          <w:rFonts w:eastAsia="標楷體"/>
          <w:sz w:val="28"/>
          <w:szCs w:val="28"/>
        </w:rPr>
      </w:pPr>
      <w:r>
        <w:rPr>
          <w:rFonts w:eastAsia="標楷體"/>
          <w:sz w:val="28"/>
          <w:szCs w:val="28"/>
        </w:rPr>
        <w:t>任職單位與受評機構係屬相關醫療照護體系，或具協同經營或策略聯盟關係。</w:t>
      </w:r>
    </w:p>
    <w:p>
      <w:pPr>
        <w:pStyle w:val="BodyText"/>
        <w:numPr>
          <w:ilvl w:val="1"/>
          <w:numId w:val="6"/>
        </w:numPr>
        <w:tabs>
          <w:tab w:val="clear" w:pos="480"/>
          <w:tab w:val="left" w:pos="1134" w:leader="none"/>
        </w:tabs>
        <w:snapToGrid w:val="false"/>
        <w:spacing w:lineRule="exact" w:line="440"/>
        <w:ind w:left="1131" w:hanging="476"/>
        <w:rPr>
          <w:rFonts w:eastAsia="標楷體"/>
          <w:sz w:val="28"/>
          <w:szCs w:val="28"/>
        </w:rPr>
      </w:pPr>
      <w:r>
        <w:rPr>
          <w:rFonts w:eastAsia="標楷體"/>
          <w:sz w:val="28"/>
          <w:szCs w:val="28"/>
        </w:rPr>
        <w:t>現職或五年內曾任職於受評機構。</w:t>
      </w:r>
    </w:p>
    <w:p>
      <w:pPr>
        <w:pStyle w:val="BodyText"/>
        <w:numPr>
          <w:ilvl w:val="1"/>
          <w:numId w:val="6"/>
        </w:numPr>
        <w:tabs>
          <w:tab w:val="clear" w:pos="480"/>
          <w:tab w:val="left" w:pos="1134" w:leader="none"/>
        </w:tabs>
        <w:snapToGrid w:val="false"/>
        <w:spacing w:lineRule="exact" w:line="440"/>
        <w:ind w:left="1131" w:hanging="476"/>
        <w:rPr>
          <w:rFonts w:eastAsia="標楷體"/>
          <w:sz w:val="28"/>
          <w:szCs w:val="28"/>
        </w:rPr>
      </w:pPr>
      <w:r>
        <w:rPr>
          <w:rFonts w:eastAsia="標楷體"/>
          <w:sz w:val="28"/>
          <w:szCs w:val="28"/>
        </w:rPr>
        <w:t>現職或三年內曾擔任受評機構之董監事或顧問。</w:t>
      </w:r>
    </w:p>
    <w:p>
      <w:pPr>
        <w:pStyle w:val="BodyText"/>
        <w:numPr>
          <w:ilvl w:val="1"/>
          <w:numId w:val="6"/>
        </w:numPr>
        <w:tabs>
          <w:tab w:val="clear" w:pos="480"/>
          <w:tab w:val="left" w:pos="1134" w:leader="none"/>
        </w:tabs>
        <w:snapToGrid w:val="false"/>
        <w:spacing w:lineRule="exact" w:line="440"/>
        <w:ind w:left="1131" w:hanging="476"/>
        <w:rPr>
          <w:rFonts w:eastAsia="標楷體"/>
          <w:sz w:val="28"/>
          <w:szCs w:val="28"/>
        </w:rPr>
      </w:pPr>
      <w:r>
        <w:rPr>
          <w:rFonts w:eastAsia="標楷體"/>
          <w:sz w:val="28"/>
          <w:szCs w:val="28"/>
        </w:rPr>
        <w:t>一年內曾至受評機構進行預評或評鑑相關之指導。</w:t>
      </w:r>
    </w:p>
    <w:p>
      <w:pPr>
        <w:pStyle w:val="BodyText"/>
        <w:numPr>
          <w:ilvl w:val="1"/>
          <w:numId w:val="6"/>
        </w:numPr>
        <w:tabs>
          <w:tab w:val="clear" w:pos="480"/>
          <w:tab w:val="left" w:pos="1134" w:leader="none"/>
        </w:tabs>
        <w:snapToGrid w:val="false"/>
        <w:spacing w:lineRule="exact" w:line="440"/>
        <w:ind w:left="1131" w:hanging="476"/>
        <w:rPr>
          <w:rFonts w:eastAsia="標楷體"/>
          <w:sz w:val="28"/>
          <w:szCs w:val="28"/>
        </w:rPr>
      </w:pPr>
      <w:r>
        <w:rPr>
          <w:rFonts w:eastAsia="標楷體"/>
          <w:sz w:val="28"/>
          <w:szCs w:val="28"/>
        </w:rPr>
        <w:t>配偶、前配偶、四親等內之血親或三親等內之姻親或曾有此關係者任職於受評機構。</w:t>
      </w:r>
    </w:p>
    <w:p>
      <w:pPr>
        <w:pStyle w:val="BodyText"/>
        <w:tabs>
          <w:tab w:val="clear" w:pos="480"/>
          <w:tab w:val="left" w:pos="1134" w:leader="none"/>
        </w:tabs>
        <w:snapToGrid w:val="false"/>
        <w:spacing w:lineRule="exact" w:line="440"/>
        <w:ind w:left="847" w:hanging="0"/>
        <w:rPr>
          <w:rFonts w:eastAsia="標楷體"/>
          <w:sz w:val="28"/>
          <w:szCs w:val="28"/>
        </w:rPr>
      </w:pPr>
      <w:r>
        <w:rPr>
          <w:rFonts w:eastAsia="標楷體"/>
          <w:sz w:val="28"/>
          <w:szCs w:val="28"/>
        </w:rPr>
        <w:t>評鑑委員如為現任民意代表，應予迴避當年度評鑑作業。</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評鑑委員倫理</w:t>
      </w:r>
    </w:p>
    <w:p>
      <w:pPr>
        <w:pStyle w:val="BodyText"/>
        <w:tabs>
          <w:tab w:val="clear" w:pos="480"/>
        </w:tabs>
        <w:spacing w:lineRule="exact" w:line="400"/>
        <w:ind w:left="1134" w:hanging="1134"/>
        <w:jc w:val="both"/>
        <w:rPr/>
      </w:pPr>
      <w:r>
        <w:rPr>
          <w:rStyle w:val="Style14"/>
          <w:rFonts w:ascii="Times New Roman" w:hAnsi="Times New Roman" w:eastAsia="標楷體"/>
          <w:sz w:val="28"/>
          <w:szCs w:val="28"/>
        </w:rPr>
        <w:t>十九、評鑑委員</w:t>
      </w:r>
      <w:r>
        <w:rPr>
          <w:rStyle w:val="Style14"/>
          <w:rFonts w:ascii="Times New Roman" w:hAnsi="Times New Roman" w:eastAsia="標楷體"/>
          <w:color w:val="000000"/>
          <w:sz w:val="28"/>
          <w:szCs w:val="28"/>
        </w:rPr>
        <w:t>應遵守下列倫理要求：</w:t>
      </w:r>
    </w:p>
    <w:p>
      <w:pPr>
        <w:pStyle w:val="BodyText"/>
        <w:tabs>
          <w:tab w:val="clear" w:pos="480"/>
        </w:tabs>
        <w:spacing w:lineRule="exact" w:line="400"/>
        <w:ind w:left="1134"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eastAsia="標楷體"/>
          <w:sz w:val="28"/>
          <w:szCs w:val="28"/>
        </w:rPr>
        <w:t>有前點所列應迴避情形或與受評機構有利益衝突相關情事，應主動告知本部委託協辦單位並迴避。</w:t>
      </w:r>
    </w:p>
    <w:p>
      <w:pPr>
        <w:pStyle w:val="BodyText"/>
        <w:tabs>
          <w:tab w:val="clear" w:pos="480"/>
        </w:tabs>
        <w:spacing w:lineRule="exact" w:line="400"/>
        <w:ind w:left="1134"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評鑑相關情事不受任何請託或關說，且不與受評機構私下接洽。</w:t>
      </w:r>
    </w:p>
    <w:p>
      <w:pPr>
        <w:pStyle w:val="BodyText"/>
        <w:tabs>
          <w:tab w:val="clear" w:pos="480"/>
        </w:tabs>
        <w:spacing w:lineRule="exact" w:line="400"/>
        <w:ind w:left="1134"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實地評鑑時，應秉持公正客觀立場，依評鑑基準及評量共識進行評量，以符標準之一致性，並給予受評機構適當建議及相關輔導諮詢。</w:t>
      </w:r>
    </w:p>
    <w:p>
      <w:pPr>
        <w:pStyle w:val="BodyText"/>
        <w:tabs>
          <w:tab w:val="clear" w:pos="480"/>
        </w:tabs>
        <w:spacing w:lineRule="exact" w:line="400"/>
        <w:ind w:left="1134"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實地評鑑期間，不接受茶點、飲料以外之招待及贈禮。</w:t>
      </w:r>
    </w:p>
    <w:p>
      <w:pPr>
        <w:pStyle w:val="BodyText"/>
        <w:tabs>
          <w:tab w:val="clear" w:pos="480"/>
        </w:tabs>
        <w:spacing w:lineRule="exact" w:line="400"/>
        <w:ind w:left="1134"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實地評鑑期間，不得提出與評鑑無關之要求，如與工作人員訪談時，藉以網羅其至自身服務單位等不當言行。</w:t>
      </w:r>
    </w:p>
    <w:p>
      <w:pPr>
        <w:pStyle w:val="BodyText"/>
        <w:tabs>
          <w:tab w:val="clear" w:pos="480"/>
        </w:tabs>
        <w:spacing w:lineRule="exact" w:line="400"/>
        <w:ind w:left="1134"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ascii="Times New Roman" w:hAnsi="Times New Roman" w:eastAsia="標楷體"/>
          <w:sz w:val="28"/>
          <w:szCs w:val="28"/>
        </w:rPr>
        <w:t>不公開談論不利於受評機構之情事，以避免損害受評機構。</w:t>
      </w:r>
    </w:p>
    <w:p>
      <w:pPr>
        <w:pStyle w:val="BodyText"/>
        <w:tabs>
          <w:tab w:val="clear" w:pos="480"/>
        </w:tabs>
        <w:spacing w:lineRule="exact" w:line="400"/>
        <w:ind w:left="1134" w:hanging="462"/>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bCs/>
          <w:color w:val="000000"/>
          <w:sz w:val="28"/>
          <w:szCs w:val="28"/>
        </w:rPr>
        <w:t>七</w:t>
      </w:r>
      <w:r>
        <w:rPr>
          <w:rStyle w:val="Style14"/>
          <w:rFonts w:eastAsia="標楷體" w:ascii="Times New Roman" w:hAnsi="Times New Roman"/>
          <w:bCs/>
          <w:color w:val="000000"/>
          <w:sz w:val="28"/>
          <w:szCs w:val="28"/>
        </w:rPr>
        <w:t>)</w:t>
      </w:r>
      <w:r>
        <w:rPr>
          <w:rStyle w:val="Style14"/>
          <w:rFonts w:eastAsia="標楷體"/>
          <w:bCs/>
          <w:sz w:val="28"/>
          <w:szCs w:val="28"/>
        </w:rPr>
        <w:t>對於所接觸之評鑑相關資料，應遵守保密義務。</w:t>
      </w:r>
    </w:p>
    <w:p>
      <w:pPr>
        <w:pStyle w:val="BodyText"/>
        <w:tabs>
          <w:tab w:val="clear" w:pos="480"/>
        </w:tabs>
        <w:spacing w:lineRule="exact" w:line="400"/>
        <w:ind w:left="848" w:hanging="176"/>
        <w:jc w:val="both"/>
        <w:rPr>
          <w:rFonts w:ascii="Times New Roman" w:hAnsi="Times New Roman" w:eastAsia="標楷體"/>
          <w:bCs/>
          <w:color w:val="000000"/>
          <w:sz w:val="28"/>
          <w:szCs w:val="28"/>
        </w:rPr>
      </w:pPr>
      <w:r>
        <w:rPr>
          <w:rFonts w:eastAsia="標楷體" w:ascii="Times New Roman" w:hAnsi="Times New Roman"/>
          <w:bCs/>
          <w:color w:val="000000"/>
          <w:sz w:val="28"/>
          <w:szCs w:val="28"/>
        </w:rPr>
        <w:t>(</w:t>
      </w:r>
      <w:r>
        <w:rPr>
          <w:rFonts w:ascii="Times New Roman" w:hAnsi="Times New Roman" w:eastAsia="標楷體"/>
          <w:bCs/>
          <w:color w:val="000000"/>
          <w:sz w:val="28"/>
          <w:szCs w:val="28"/>
        </w:rPr>
        <w:t>八</w:t>
      </w:r>
      <w:r>
        <w:rPr>
          <w:rFonts w:eastAsia="標楷體" w:ascii="Times New Roman" w:hAnsi="Times New Roman"/>
          <w:bCs/>
          <w:color w:val="000000"/>
          <w:sz w:val="28"/>
          <w:szCs w:val="28"/>
        </w:rPr>
        <w:t>)</w:t>
      </w:r>
      <w:r>
        <w:rPr>
          <w:rFonts w:ascii="Times New Roman" w:hAnsi="Times New Roman" w:eastAsia="標楷體"/>
          <w:bCs/>
          <w:color w:val="000000"/>
          <w:sz w:val="28"/>
          <w:szCs w:val="28"/>
        </w:rPr>
        <w:t>不對外提供評鑑行程、委員名單及評鑑成績等相關資料。</w:t>
      </w:r>
    </w:p>
    <w:p>
      <w:pPr>
        <w:pStyle w:val="BodyText"/>
        <w:tabs>
          <w:tab w:val="clear" w:pos="480"/>
        </w:tabs>
        <w:snapToGrid w:val="false"/>
        <w:spacing w:lineRule="exact" w:line="400"/>
        <w:ind w:left="1134" w:hanging="1134"/>
        <w:jc w:val="both"/>
        <w:rPr>
          <w:rFonts w:ascii="Times New Roman" w:hAnsi="Times New Roman" w:eastAsia="標楷體"/>
          <w:sz w:val="28"/>
          <w:szCs w:val="28"/>
        </w:rPr>
      </w:pPr>
      <w:r>
        <w:rPr>
          <w:rFonts w:ascii="Times New Roman" w:hAnsi="Times New Roman" w:eastAsia="標楷體"/>
          <w:sz w:val="28"/>
          <w:szCs w:val="28"/>
        </w:rPr>
        <w:t>二十、評鑑委員應予配合執行事項如下：</w:t>
      </w:r>
    </w:p>
    <w:p>
      <w:pPr>
        <w:pStyle w:val="BodyText"/>
        <w:tabs>
          <w:tab w:val="clear" w:pos="480"/>
        </w:tabs>
        <w:snapToGrid w:val="false"/>
        <w:spacing w:lineRule="exact" w:line="400"/>
        <w:ind w:left="1105" w:hanging="45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清楚了解評鑑相關作業規定，並據以確實執行評鑑工作。</w:t>
      </w:r>
    </w:p>
    <w:p>
      <w:pPr>
        <w:pStyle w:val="BodyText"/>
        <w:tabs>
          <w:tab w:val="clear" w:pos="480"/>
        </w:tabs>
        <w:snapToGrid w:val="false"/>
        <w:spacing w:lineRule="exact" w:line="400"/>
        <w:ind w:left="1105" w:hanging="45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每年至少提供六梯次且每梯次連續二日至三日之時間，以供安排實地評鑑行程。</w:t>
      </w:r>
    </w:p>
    <w:p>
      <w:pPr>
        <w:pStyle w:val="BodyText"/>
        <w:tabs>
          <w:tab w:val="clear" w:pos="480"/>
        </w:tabs>
        <w:snapToGrid w:val="false"/>
        <w:spacing w:lineRule="exact" w:line="400"/>
        <w:ind w:left="1105" w:hanging="45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eastAsia="標楷體"/>
          <w:sz w:val="28"/>
          <w:szCs w:val="28"/>
        </w:rPr>
        <w:t>配合本部委託協辦單位安排評鑑，不得挑選受評機構、擅自變更實地評鑑行程或作業流程。</w:t>
      </w:r>
    </w:p>
    <w:p>
      <w:pPr>
        <w:pStyle w:val="BodyText"/>
        <w:tabs>
          <w:tab w:val="clear" w:pos="480"/>
        </w:tabs>
        <w:snapToGrid w:val="false"/>
        <w:spacing w:lineRule="exact" w:line="400"/>
        <w:ind w:left="1105" w:hanging="45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配合實地評鑑之行程安排，避免遲到、早退或接受受評機構所安排與評鑑無關之參觀行程。</w:t>
      </w:r>
    </w:p>
    <w:p>
      <w:pPr>
        <w:pStyle w:val="BodyText"/>
        <w:tabs>
          <w:tab w:val="clear" w:pos="480"/>
        </w:tabs>
        <w:snapToGrid w:val="false"/>
        <w:spacing w:lineRule="exact" w:line="400"/>
        <w:ind w:left="1105" w:hanging="459"/>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五</w:t>
      </w:r>
      <w:r>
        <w:rPr>
          <w:rFonts w:eastAsia="標楷體" w:ascii="Times New Roman" w:hAnsi="Times New Roman"/>
          <w:sz w:val="28"/>
          <w:szCs w:val="28"/>
        </w:rPr>
        <w:t>)</w:t>
      </w:r>
      <w:r>
        <w:rPr>
          <w:rFonts w:ascii="Times New Roman" w:hAnsi="Times New Roman" w:eastAsia="標楷體"/>
          <w:sz w:val="28"/>
          <w:szCs w:val="28"/>
        </w:rPr>
        <w:t>遵守評鑑相關作業規範，並於規定期限內繳交評鑑成績評量表及書面建議事項。</w:t>
      </w:r>
    </w:p>
    <w:p>
      <w:pPr>
        <w:pStyle w:val="BodyText"/>
        <w:tabs>
          <w:tab w:val="clear" w:pos="480"/>
        </w:tabs>
        <w:snapToGrid w:val="false"/>
        <w:spacing w:lineRule="exact" w:line="400"/>
        <w:ind w:left="1105" w:hanging="459"/>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eastAsia="標楷體"/>
          <w:bCs/>
          <w:sz w:val="28"/>
          <w:szCs w:val="28"/>
        </w:rPr>
        <w:t>簽署評鑑利益迴避聲明書及保密切結書。</w:t>
      </w:r>
    </w:p>
    <w:p>
      <w:pPr>
        <w:pStyle w:val="BodyText"/>
        <w:tabs>
          <w:tab w:val="clear" w:pos="480"/>
        </w:tabs>
        <w:spacing w:lineRule="exact" w:line="400"/>
        <w:ind w:left="1105" w:hanging="459"/>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bCs/>
          <w:color w:val="000000"/>
          <w:sz w:val="28"/>
          <w:szCs w:val="28"/>
        </w:rPr>
        <w:t>七</w:t>
      </w:r>
      <w:r>
        <w:rPr>
          <w:rStyle w:val="Style14"/>
          <w:rFonts w:eastAsia="標楷體" w:ascii="Times New Roman" w:hAnsi="Times New Roman"/>
          <w:bCs/>
          <w:color w:val="000000"/>
          <w:sz w:val="28"/>
          <w:szCs w:val="28"/>
        </w:rPr>
        <w:t>)</w:t>
      </w:r>
      <w:r>
        <w:rPr>
          <w:rStyle w:val="Style14"/>
          <w:rFonts w:ascii="Times New Roman" w:hAnsi="Times New Roman" w:eastAsia="標楷體"/>
          <w:sz w:val="28"/>
          <w:szCs w:val="28"/>
        </w:rPr>
        <w:t>參與評鑑相關研習活動及出席相關會議，交流與分享專業知識與經驗。</w:t>
      </w:r>
    </w:p>
    <w:p>
      <w:pPr>
        <w:pStyle w:val="BodyText"/>
        <w:tabs>
          <w:tab w:val="clear" w:pos="480"/>
        </w:tabs>
        <w:spacing w:lineRule="exact" w:line="400"/>
        <w:ind w:left="1105" w:hanging="459"/>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bCs/>
          <w:color w:val="000000"/>
          <w:sz w:val="28"/>
          <w:szCs w:val="28"/>
        </w:rPr>
        <w:t>八</w:t>
      </w:r>
      <w:r>
        <w:rPr>
          <w:rStyle w:val="Style14"/>
          <w:rFonts w:eastAsia="標楷體" w:ascii="Times New Roman" w:hAnsi="Times New Roman"/>
          <w:bCs/>
          <w:color w:val="000000"/>
          <w:sz w:val="28"/>
          <w:szCs w:val="28"/>
        </w:rPr>
        <w:t>)</w:t>
      </w:r>
      <w:r>
        <w:rPr>
          <w:rStyle w:val="Style14"/>
          <w:rFonts w:eastAsia="標楷體"/>
          <w:bCs/>
          <w:sz w:val="28"/>
          <w:szCs w:val="28"/>
        </w:rPr>
        <w:t>不得向受評機構索取與評鑑不相關之資料，或對評鑑資料（如病歷）進行複製（如影印、攝影、錄影、電子檔案存取）或擅自攜出機構外。</w:t>
      </w:r>
    </w:p>
    <w:sectPr>
      <w:footerReference w:type="default" r:id="rId2"/>
      <w:type w:val="nextPage"/>
      <w:pgSz w:w="11906" w:h="16838"/>
      <w:pgMar w:left="1800" w:right="1800" w:gutter="0" w:header="0" w:top="851" w:footer="992" w:bottom="1440"/>
      <w:pgNumType w:fmt="decimal"/>
      <w:formProt w:val="false"/>
      <w:textDirection w:val="lrTb"/>
      <w:docGrid w:type="lines" w:linePitch="600" w:charSpace="4294946815"/>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Times New Roman">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7</w:t>
    </w:r>
    <w:r>
      <w:rPr>
        <w:rStyle w:val="Style14"/>
        <w:lang w:val="zh-TW"/>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taiwaneseCountingThousand"/>
      <w:lvlText w:val="第%1章"/>
      <w:lvlJc w:val="left"/>
      <w:pPr>
        <w:tabs>
          <w:tab w:val="num" w:pos="0"/>
        </w:tabs>
        <w:ind w:left="5156" w:hanging="1044"/>
      </w:pPr>
      <w:rPr>
        <w:lang w:val="en-US"/>
      </w:rPr>
    </w:lvl>
    <w:lvl w:ilvl="1">
      <w:start w:val="1"/>
      <w:numFmt w:val="ideographTraditional"/>
      <w:lvlText w:val="%2、"/>
      <w:lvlJc w:val="left"/>
      <w:pPr>
        <w:tabs>
          <w:tab w:val="num" w:pos="0"/>
        </w:tabs>
        <w:ind w:left="5072" w:hanging="480"/>
      </w:pPr>
    </w:lvl>
    <w:lvl w:ilvl="2">
      <w:start w:val="1"/>
      <w:numFmt w:val="lowerRoman"/>
      <w:lvlText w:val="%3."/>
      <w:lvlJc w:val="right"/>
      <w:pPr>
        <w:tabs>
          <w:tab w:val="num" w:pos="0"/>
        </w:tabs>
        <w:ind w:left="5552" w:hanging="480"/>
      </w:pPr>
    </w:lvl>
    <w:lvl w:ilvl="3">
      <w:start w:val="1"/>
      <w:numFmt w:val="decimal"/>
      <w:lvlText w:val="%4."/>
      <w:lvlJc w:val="left"/>
      <w:pPr>
        <w:tabs>
          <w:tab w:val="num" w:pos="0"/>
        </w:tabs>
        <w:ind w:left="6032" w:hanging="480"/>
      </w:pPr>
    </w:lvl>
    <w:lvl w:ilvl="4">
      <w:start w:val="1"/>
      <w:numFmt w:val="ideographTraditional"/>
      <w:lvlText w:val="%5、"/>
      <w:lvlJc w:val="left"/>
      <w:pPr>
        <w:tabs>
          <w:tab w:val="num" w:pos="0"/>
        </w:tabs>
        <w:ind w:left="6512" w:hanging="480"/>
      </w:pPr>
    </w:lvl>
    <w:lvl w:ilvl="5">
      <w:start w:val="1"/>
      <w:numFmt w:val="lowerRoman"/>
      <w:lvlText w:val="%6."/>
      <w:lvlJc w:val="right"/>
      <w:pPr>
        <w:tabs>
          <w:tab w:val="num" w:pos="0"/>
        </w:tabs>
        <w:ind w:left="6992" w:hanging="480"/>
      </w:pPr>
    </w:lvl>
    <w:lvl w:ilvl="6">
      <w:start w:val="1"/>
      <w:numFmt w:val="decimal"/>
      <w:lvlText w:val="%7."/>
      <w:lvlJc w:val="left"/>
      <w:pPr>
        <w:tabs>
          <w:tab w:val="num" w:pos="0"/>
        </w:tabs>
        <w:ind w:left="7472" w:hanging="480"/>
      </w:pPr>
    </w:lvl>
    <w:lvl w:ilvl="7">
      <w:start w:val="1"/>
      <w:numFmt w:val="ideographTraditional"/>
      <w:lvlText w:val="%8、"/>
      <w:lvlJc w:val="left"/>
      <w:pPr>
        <w:tabs>
          <w:tab w:val="num" w:pos="0"/>
        </w:tabs>
        <w:ind w:left="7952" w:hanging="480"/>
      </w:pPr>
    </w:lvl>
    <w:lvl w:ilvl="8">
      <w:start w:val="1"/>
      <w:numFmt w:val="lowerRoman"/>
      <w:lvlText w:val="%9."/>
      <w:lvlJc w:val="right"/>
      <w:pPr>
        <w:tabs>
          <w:tab w:val="num" w:pos="0"/>
        </w:tabs>
        <w:ind w:left="8432" w:hanging="480"/>
      </w:pPr>
    </w:lvl>
  </w:abstractNum>
  <w:abstractNum w:abstractNumId="2">
    <w:lvl w:ilvl="0">
      <w:start w:val="7"/>
      <w:numFmt w:val="taiwaneseCountingThousand"/>
      <w:lvlText w:val="%1、"/>
      <w:lvlJc w:val="left"/>
      <w:pPr>
        <w:tabs>
          <w:tab w:val="num" w:pos="0"/>
        </w:tabs>
        <w:ind w:left="567" w:hanging="567"/>
      </w:pPr>
      <w:rPr>
        <w:rFonts w:cs="Times New Roman"/>
        <w:lang w:val="en-US"/>
      </w:rPr>
    </w:lvl>
    <w:lvl w:ilvl="1">
      <w:start w:val="1"/>
      <w:numFmt w:val="taiwaneseCountingThousand"/>
      <w:lvlText w:val="(%2)"/>
      <w:lvlJc w:val="left"/>
      <w:pPr>
        <w:tabs>
          <w:tab w:val="num" w:pos="0"/>
        </w:tabs>
        <w:ind w:left="907" w:hanging="482"/>
      </w:pPr>
      <w:rPr>
        <w:rFonts w:cs="Times New Roman"/>
      </w:rPr>
    </w:lvl>
    <w:lvl w:ilvl="2">
      <w:start w:val="1"/>
      <w:numFmt w:val="decimal"/>
      <w:lvlText w:val="%3."/>
      <w:lvlJc w:val="left"/>
      <w:pPr>
        <w:tabs>
          <w:tab w:val="num" w:pos="0"/>
        </w:tabs>
        <w:ind w:left="1134" w:hanging="283"/>
      </w:pPr>
      <w:rPr>
        <w:rFonts w:cs="Times New Roman"/>
        <w:color w:val="auto"/>
      </w:rPr>
    </w:lvl>
    <w:lvl w:ilvl="3">
      <w:start w:val="1"/>
      <w:numFmt w:val="decimal"/>
      <w:lvlText w:val="(%4)"/>
      <w:lvlJc w:val="left"/>
      <w:pPr>
        <w:tabs>
          <w:tab w:val="num" w:pos="0"/>
        </w:tabs>
        <w:ind w:left="2268" w:hanging="992"/>
      </w:pPr>
      <w:rPr>
        <w:rFonts w:cs="Times New Roman"/>
      </w:rPr>
    </w:lvl>
    <w:lvl w:ilvl="4">
      <w:start w:val="1"/>
      <w:numFmt w:val="decimal"/>
      <w:lvlText w:val="%1.%2.%3.%4.%5"/>
      <w:lvlJc w:val="left"/>
      <w:pPr>
        <w:tabs>
          <w:tab w:val="num" w:pos="0"/>
        </w:tabs>
        <w:ind w:left="2551" w:hanging="850"/>
      </w:pPr>
      <w:rPr>
        <w:rFonts w:cs="Times New Roman"/>
      </w:rPr>
    </w:lvl>
    <w:lvl w:ilvl="5">
      <w:start w:val="1"/>
      <w:numFmt w:val="decimal"/>
      <w:lvlText w:val="%1.%2.%3.%4.%5.%6"/>
      <w:lvlJc w:val="left"/>
      <w:pPr>
        <w:tabs>
          <w:tab w:val="num" w:pos="0"/>
        </w:tabs>
        <w:ind w:left="3260" w:hanging="1134"/>
      </w:pPr>
      <w:rPr>
        <w:rFonts w:cs="Times New Roman"/>
      </w:rPr>
    </w:lvl>
    <w:lvl w:ilvl="6">
      <w:start w:val="1"/>
      <w:numFmt w:val="decimal"/>
      <w:lvlText w:val="%1.%2.%3.%4.%5.%6.%7"/>
      <w:lvlJc w:val="left"/>
      <w:pPr>
        <w:tabs>
          <w:tab w:val="num" w:pos="0"/>
        </w:tabs>
        <w:ind w:left="3827" w:hanging="1276"/>
      </w:pPr>
      <w:rPr>
        <w:rFonts w:cs="Times New Roman"/>
      </w:rPr>
    </w:lvl>
    <w:lvl w:ilvl="7">
      <w:start w:val="1"/>
      <w:numFmt w:val="decimal"/>
      <w:lvlText w:val="%1.%2.%3.%4.%5.%6.%7.%8"/>
      <w:lvlJc w:val="left"/>
      <w:pPr>
        <w:tabs>
          <w:tab w:val="num" w:pos="0"/>
        </w:tabs>
        <w:ind w:left="4394" w:hanging="1418"/>
      </w:pPr>
      <w:rPr>
        <w:rFonts w:cs="Times New Roman"/>
      </w:rPr>
    </w:lvl>
    <w:lvl w:ilvl="8">
      <w:start w:val="1"/>
      <w:numFmt w:val="decimal"/>
      <w:lvlText w:val="%1.%2.%3.%4.%5.%6.%7.%8.%9"/>
      <w:lvlJc w:val="left"/>
      <w:pPr>
        <w:tabs>
          <w:tab w:val="num" w:pos="0"/>
        </w:tabs>
        <w:ind w:left="5102" w:hanging="1700"/>
      </w:pPr>
      <w:rPr>
        <w:rFonts w:cs="Times New Roman"/>
      </w:rPr>
    </w:lvl>
  </w:abstractNum>
  <w:abstractNum w:abstractNumId="3">
    <w:lvl w:ilvl="0">
      <w:start w:val="2"/>
      <w:numFmt w:val="taiwaneseCountingThousand"/>
      <w:lvlText w:val="(%1)"/>
      <w:lvlJc w:val="left"/>
      <w:pPr>
        <w:tabs>
          <w:tab w:val="num" w:pos="0"/>
        </w:tabs>
        <w:ind w:left="4592"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lvl w:ilvl="0">
      <w:start w:val="6"/>
      <w:numFmt w:val="taiwaneseCountingThousand"/>
      <w:lvlText w:val="%1、"/>
      <w:lvlJc w:val="left"/>
      <w:pPr>
        <w:tabs>
          <w:tab w:val="num" w:pos="0"/>
        </w:tabs>
        <w:ind w:left="567" w:hanging="567"/>
      </w:pPr>
      <w:rPr>
        <w:rFonts w:cs="Times New Roman"/>
      </w:rPr>
    </w:lvl>
    <w:lvl w:ilvl="1">
      <w:start w:val="1"/>
      <w:numFmt w:val="taiwaneseCountingThousand"/>
      <w:lvlText w:val="(%2)"/>
      <w:lvlJc w:val="left"/>
      <w:pPr>
        <w:tabs>
          <w:tab w:val="num" w:pos="0"/>
        </w:tabs>
        <w:ind w:left="1475" w:hanging="482"/>
      </w:pPr>
      <w:rPr>
        <w:rFonts w:cs="Times New Roman"/>
      </w:rPr>
    </w:lvl>
    <w:lvl w:ilvl="2">
      <w:start w:val="1"/>
      <w:numFmt w:val="decimal"/>
      <w:lvlText w:val="%3."/>
      <w:lvlJc w:val="left"/>
      <w:pPr>
        <w:tabs>
          <w:tab w:val="num" w:pos="0"/>
        </w:tabs>
        <w:ind w:left="1134" w:hanging="283"/>
      </w:pPr>
      <w:rPr>
        <w:rFonts w:cs="Times New Roman"/>
        <w:color w:val="auto"/>
      </w:rPr>
    </w:lvl>
    <w:lvl w:ilvl="3">
      <w:start w:val="1"/>
      <w:numFmt w:val="decimal"/>
      <w:lvlText w:val="(%4)"/>
      <w:lvlJc w:val="left"/>
      <w:pPr>
        <w:tabs>
          <w:tab w:val="num" w:pos="0"/>
        </w:tabs>
        <w:ind w:left="2268" w:hanging="992"/>
      </w:pPr>
      <w:rPr>
        <w:rFonts w:cs="Times New Roman"/>
      </w:rPr>
    </w:lvl>
    <w:lvl w:ilvl="4">
      <w:start w:val="1"/>
      <w:numFmt w:val="decimal"/>
      <w:lvlText w:val="%1.%2.%3.%4.%5"/>
      <w:lvlJc w:val="left"/>
      <w:pPr>
        <w:tabs>
          <w:tab w:val="num" w:pos="0"/>
        </w:tabs>
        <w:ind w:left="2551" w:hanging="850"/>
      </w:pPr>
      <w:rPr>
        <w:rFonts w:cs="Times New Roman"/>
      </w:rPr>
    </w:lvl>
    <w:lvl w:ilvl="5">
      <w:start w:val="1"/>
      <w:numFmt w:val="decimal"/>
      <w:lvlText w:val="%1.%2.%3.%4.%5.%6"/>
      <w:lvlJc w:val="left"/>
      <w:pPr>
        <w:tabs>
          <w:tab w:val="num" w:pos="0"/>
        </w:tabs>
        <w:ind w:left="3260" w:hanging="1134"/>
      </w:pPr>
      <w:rPr>
        <w:rFonts w:cs="Times New Roman"/>
      </w:rPr>
    </w:lvl>
    <w:lvl w:ilvl="6">
      <w:start w:val="1"/>
      <w:numFmt w:val="decimal"/>
      <w:lvlText w:val="%1.%2.%3.%4.%5.%6.%7"/>
      <w:lvlJc w:val="left"/>
      <w:pPr>
        <w:tabs>
          <w:tab w:val="num" w:pos="0"/>
        </w:tabs>
        <w:ind w:left="3827" w:hanging="1276"/>
      </w:pPr>
      <w:rPr>
        <w:rFonts w:cs="Times New Roman"/>
      </w:rPr>
    </w:lvl>
    <w:lvl w:ilvl="7">
      <w:start w:val="1"/>
      <w:numFmt w:val="decimal"/>
      <w:lvlText w:val="%1.%2.%3.%4.%5.%6.%7.%8"/>
      <w:lvlJc w:val="left"/>
      <w:pPr>
        <w:tabs>
          <w:tab w:val="num" w:pos="0"/>
        </w:tabs>
        <w:ind w:left="4394" w:hanging="1418"/>
      </w:pPr>
      <w:rPr>
        <w:rFonts w:cs="Times New Roman"/>
      </w:rPr>
    </w:lvl>
    <w:lvl w:ilvl="8">
      <w:start w:val="1"/>
      <w:numFmt w:val="decimal"/>
      <w:lvlText w:val="%1.%2.%3.%4.%5.%6.%7.%8.%9"/>
      <w:lvlJc w:val="left"/>
      <w:pPr>
        <w:tabs>
          <w:tab w:val="num" w:pos="0"/>
        </w:tabs>
        <w:ind w:left="5102" w:hanging="1700"/>
      </w:pPr>
      <w:rPr>
        <w:rFonts w:cs="Times New Roman"/>
      </w:rPr>
    </w:lvl>
  </w:abstractNum>
  <w:abstractNum w:abstractNumId="5">
    <w:lvl w:ilvl="0">
      <w:start w:val="19"/>
      <w:numFmt w:val="taiwaneseCountingThousand"/>
      <w:lvlText w:val="%1、"/>
      <w:lvlJc w:val="left"/>
      <w:pPr>
        <w:tabs>
          <w:tab w:val="num" w:pos="0"/>
        </w:tabs>
        <w:ind w:left="567" w:hanging="567"/>
      </w:pPr>
      <w:rPr>
        <w:rFonts w:cs="Times New Roman"/>
      </w:rPr>
    </w:lvl>
    <w:lvl w:ilvl="1">
      <w:start w:val="1"/>
      <w:numFmt w:val="taiwaneseCountingThousand"/>
      <w:lvlText w:val="(%2)"/>
      <w:lvlJc w:val="left"/>
      <w:pPr>
        <w:tabs>
          <w:tab w:val="num" w:pos="0"/>
        </w:tabs>
        <w:ind w:left="907" w:hanging="482"/>
      </w:pPr>
      <w:rPr>
        <w:rFonts w:cs="Times New Roman"/>
      </w:rPr>
    </w:lvl>
    <w:lvl w:ilvl="2">
      <w:start w:val="1"/>
      <w:numFmt w:val="decimal"/>
      <w:lvlText w:val="%3."/>
      <w:lvlJc w:val="left"/>
      <w:pPr>
        <w:tabs>
          <w:tab w:val="num" w:pos="0"/>
        </w:tabs>
        <w:ind w:left="1134" w:hanging="283"/>
      </w:pPr>
      <w:rPr>
        <w:rFonts w:cs="Times New Roman"/>
      </w:rPr>
    </w:lvl>
    <w:lvl w:ilvl="3">
      <w:start w:val="1"/>
      <w:numFmt w:val="decimal"/>
      <w:lvlText w:val="(%4)"/>
      <w:lvlJc w:val="left"/>
      <w:pPr>
        <w:tabs>
          <w:tab w:val="num" w:pos="0"/>
        </w:tabs>
        <w:ind w:left="2268" w:hanging="992"/>
      </w:pPr>
      <w:rPr>
        <w:rFonts w:cs="Times New Roman"/>
      </w:rPr>
    </w:lvl>
    <w:lvl w:ilvl="4">
      <w:start w:val="1"/>
      <w:numFmt w:val="decimal"/>
      <w:lvlText w:val="%1.%2.%3.%4.%5"/>
      <w:lvlJc w:val="left"/>
      <w:pPr>
        <w:tabs>
          <w:tab w:val="num" w:pos="0"/>
        </w:tabs>
        <w:ind w:left="2551" w:hanging="850"/>
      </w:pPr>
      <w:rPr>
        <w:rFonts w:cs="Times New Roman"/>
      </w:rPr>
    </w:lvl>
    <w:lvl w:ilvl="5">
      <w:start w:val="1"/>
      <w:numFmt w:val="decimal"/>
      <w:lvlText w:val="%1.%2.%3.%4.%5.%6"/>
      <w:lvlJc w:val="left"/>
      <w:pPr>
        <w:tabs>
          <w:tab w:val="num" w:pos="0"/>
        </w:tabs>
        <w:ind w:left="3260" w:hanging="1134"/>
      </w:pPr>
      <w:rPr>
        <w:rFonts w:cs="Times New Roman"/>
      </w:rPr>
    </w:lvl>
    <w:lvl w:ilvl="6">
      <w:start w:val="1"/>
      <w:numFmt w:val="decimal"/>
      <w:lvlText w:val="%1.%2.%3.%4.%5.%6.%7"/>
      <w:lvlJc w:val="left"/>
      <w:pPr>
        <w:tabs>
          <w:tab w:val="num" w:pos="0"/>
        </w:tabs>
        <w:ind w:left="3827" w:hanging="1276"/>
      </w:pPr>
      <w:rPr>
        <w:rFonts w:cs="Times New Roman"/>
      </w:rPr>
    </w:lvl>
    <w:lvl w:ilvl="7">
      <w:start w:val="1"/>
      <w:numFmt w:val="decimal"/>
      <w:lvlText w:val="%1.%2.%3.%4.%5.%6.%7.%8"/>
      <w:lvlJc w:val="left"/>
      <w:pPr>
        <w:tabs>
          <w:tab w:val="num" w:pos="0"/>
        </w:tabs>
        <w:ind w:left="4394" w:hanging="1418"/>
      </w:pPr>
      <w:rPr>
        <w:rFonts w:cs="Times New Roman"/>
      </w:rPr>
    </w:lvl>
    <w:lvl w:ilvl="8">
      <w:start w:val="1"/>
      <w:numFmt w:val="decimal"/>
      <w:lvlText w:val="%1.%2.%3.%4.%5.%6.%7.%8.%9"/>
      <w:lvlJc w:val="left"/>
      <w:pPr>
        <w:tabs>
          <w:tab w:val="num" w:pos="0"/>
        </w:tabs>
        <w:ind w:left="5102" w:hanging="1700"/>
      </w:pPr>
      <w:rPr>
        <w:rFonts w:cs="Times New Roman"/>
      </w:rPr>
    </w:lvl>
  </w:abstractNum>
  <w:abstractNum w:abstractNumId="6">
    <w:lvl w:ilvl="0">
      <w:start w:val="1"/>
      <w:numFmt w:val="taiwaneseCountingThousand"/>
      <w:lvlText w:val="%1、"/>
      <w:lvlJc w:val="left"/>
      <w:pPr>
        <w:tabs>
          <w:tab w:val="num" w:pos="0"/>
        </w:tabs>
        <w:ind w:left="1331" w:hanging="480"/>
      </w:pPr>
    </w:lvl>
    <w:lvl w:ilvl="1">
      <w:start w:val="1"/>
      <w:numFmt w:val="taiwaneseCountingThousand"/>
      <w:lvlText w:val="(%2)"/>
      <w:lvlJc w:val="left"/>
      <w:pPr>
        <w:tabs>
          <w:tab w:val="num" w:pos="0"/>
        </w:tabs>
        <w:ind w:left="1756" w:hanging="480"/>
      </w:pPr>
      <w:rPr>
        <w:rFonts w:ascii="Times New Roman" w:hAnsi="Times New Roman" w:eastAsia="標楷體" w:cs="Times New Roman"/>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清單段落 字元"/>
    <w:qFormat/>
    <w:rPr>
      <w:kern w:val="2"/>
      <w:sz w:val="24"/>
      <w:szCs w:val="22"/>
    </w:rPr>
  </w:style>
  <w:style w:type="character" w:styleId="Style16">
    <w:name w:val="頁首 字元"/>
    <w:qFormat/>
    <w:rPr>
      <w:kern w:val="2"/>
    </w:rPr>
  </w:style>
  <w:style w:type="character" w:styleId="Style17">
    <w:name w:val="頁尾 字元"/>
    <w:qFormat/>
    <w:rPr>
      <w:kern w:val="2"/>
    </w:rPr>
  </w:style>
  <w:style w:type="character" w:styleId="Style18">
    <w:name w:val="註解方塊文字 字元"/>
    <w:qFormat/>
    <w:rPr>
      <w:rFonts w:ascii="Cambria" w:hAnsi="Cambria" w:eastAsia="新細明體" w:cs="Times New Roman"/>
      <w:kern w:val="2"/>
      <w:sz w:val="18"/>
      <w:szCs w:val="18"/>
    </w:rPr>
  </w:style>
  <w:style w:type="character" w:styleId="WWCharLFO1LVL1">
    <w:name w:val="WW_CharLFO1LVL1"/>
    <w:qFormat/>
    <w:rPr>
      <w:lang w:val="en-US"/>
    </w:rPr>
  </w:style>
  <w:style w:type="character" w:styleId="WWCharLFO10LVL1">
    <w:name w:val="WW_CharLFO10LVL1"/>
    <w:qFormat/>
    <w:rPr>
      <w:rFonts w:cs="Times New Roman"/>
    </w:rPr>
  </w:style>
  <w:style w:type="character" w:styleId="WWCharLFO10LVL2">
    <w:name w:val="WW_CharLFO10LVL2"/>
    <w:qFormat/>
    <w:rPr>
      <w:rFonts w:cs="Times New Roman"/>
    </w:rPr>
  </w:style>
  <w:style w:type="character" w:styleId="WWCharLFO10LVL3">
    <w:name w:val="WW_CharLFO10LVL3"/>
    <w:qFormat/>
    <w:rPr>
      <w:rFonts w:cs="Times New Roman"/>
    </w:rPr>
  </w:style>
  <w:style w:type="character" w:styleId="WWCharLFO10LVL4">
    <w:name w:val="WW_CharLFO10LVL4"/>
    <w:qFormat/>
    <w:rPr>
      <w:rFonts w:cs="Times New Roman"/>
    </w:rPr>
  </w:style>
  <w:style w:type="character" w:styleId="WWCharLFO10LVL5">
    <w:name w:val="WW_CharLFO10LVL5"/>
    <w:qFormat/>
    <w:rPr>
      <w:rFonts w:cs="Times New Roman"/>
    </w:rPr>
  </w:style>
  <w:style w:type="character" w:styleId="WWCharLFO10LVL6">
    <w:name w:val="WW_CharLFO10LVL6"/>
    <w:qFormat/>
    <w:rPr>
      <w:rFonts w:cs="Times New Roman"/>
    </w:rPr>
  </w:style>
  <w:style w:type="character" w:styleId="WWCharLFO10LVL7">
    <w:name w:val="WW_CharLFO10LVL7"/>
    <w:qFormat/>
    <w:rPr>
      <w:rFonts w:cs="Times New Roman"/>
    </w:rPr>
  </w:style>
  <w:style w:type="character" w:styleId="WWCharLFO10LVL8">
    <w:name w:val="WW_CharLFO10LVL8"/>
    <w:qFormat/>
    <w:rPr>
      <w:rFonts w:cs="Times New Roman"/>
    </w:rPr>
  </w:style>
  <w:style w:type="character" w:styleId="WWCharLFO10LVL9">
    <w:name w:val="WW_CharLFO10LVL9"/>
    <w:qFormat/>
    <w:rPr>
      <w:rFonts w:cs="Times New Roman"/>
    </w:rPr>
  </w:style>
  <w:style w:type="character" w:styleId="WWCharLFO11LVL1">
    <w:name w:val="WW_CharLFO11LVL1"/>
    <w:qFormat/>
    <w:rPr>
      <w:rFonts w:cs="Times New Roman"/>
      <w:lang w:val="en-US"/>
    </w:rPr>
  </w:style>
  <w:style w:type="character" w:styleId="WWCharLFO11LVL2">
    <w:name w:val="WW_CharLFO11LVL2"/>
    <w:qFormat/>
    <w:rPr>
      <w:rFonts w:cs="Times New Roman"/>
    </w:rPr>
  </w:style>
  <w:style w:type="character" w:styleId="WWCharLFO11LVL3">
    <w:name w:val="WW_CharLFO11LVL3"/>
    <w:qFormat/>
    <w:rPr>
      <w:rFonts w:cs="Times New Roman"/>
      <w:color w:val="auto"/>
    </w:rPr>
  </w:style>
  <w:style w:type="character" w:styleId="WWCharLFO11LVL4">
    <w:name w:val="WW_CharLFO11LVL4"/>
    <w:qFormat/>
    <w:rPr>
      <w:rFonts w:cs="Times New Roman"/>
    </w:rPr>
  </w:style>
  <w:style w:type="character" w:styleId="WWCharLFO11LVL5">
    <w:name w:val="WW_CharLFO11LVL5"/>
    <w:qFormat/>
    <w:rPr>
      <w:rFonts w:cs="Times New Roman"/>
    </w:rPr>
  </w:style>
  <w:style w:type="character" w:styleId="WWCharLFO11LVL6">
    <w:name w:val="WW_CharLFO11LVL6"/>
    <w:qFormat/>
    <w:rPr>
      <w:rFonts w:cs="Times New Roman"/>
    </w:rPr>
  </w:style>
  <w:style w:type="character" w:styleId="WWCharLFO11LVL7">
    <w:name w:val="WW_CharLFO11LVL7"/>
    <w:qFormat/>
    <w:rPr>
      <w:rFonts w:cs="Times New Roman"/>
    </w:rPr>
  </w:style>
  <w:style w:type="character" w:styleId="WWCharLFO11LVL8">
    <w:name w:val="WW_CharLFO11LVL8"/>
    <w:qFormat/>
    <w:rPr>
      <w:rFonts w:cs="Times New Roman"/>
    </w:rPr>
  </w:style>
  <w:style w:type="character" w:styleId="WWCharLFO11LVL9">
    <w:name w:val="WW_CharLFO11LVL9"/>
    <w:qFormat/>
    <w:rPr>
      <w:rFonts w:cs="Times New Roman"/>
    </w:rPr>
  </w:style>
  <w:style w:type="character" w:styleId="WWCharLFO12LVL1">
    <w:name w:val="WW_CharLFO12LVL1"/>
    <w:qFormat/>
    <w:rPr>
      <w:rFonts w:cs="Times New Roman"/>
    </w:rPr>
  </w:style>
  <w:style w:type="character" w:styleId="WWCharLFO12LVL2">
    <w:name w:val="WW_CharLFO12LVL2"/>
    <w:qFormat/>
    <w:rPr>
      <w:rFonts w:cs="Times New Roman"/>
    </w:rPr>
  </w:style>
  <w:style w:type="character" w:styleId="WWCharLFO12LVL3">
    <w:name w:val="WW_CharLFO12LVL3"/>
    <w:qFormat/>
    <w:rPr>
      <w:rFonts w:cs="Times New Roman"/>
      <w:color w:val="auto"/>
    </w:rPr>
  </w:style>
  <w:style w:type="character" w:styleId="WWCharLFO12LVL4">
    <w:name w:val="WW_CharLFO12LVL4"/>
    <w:qFormat/>
    <w:rPr>
      <w:rFonts w:cs="Times New Roman"/>
    </w:rPr>
  </w:style>
  <w:style w:type="character" w:styleId="WWCharLFO12LVL5">
    <w:name w:val="WW_CharLFO12LVL5"/>
    <w:qFormat/>
    <w:rPr>
      <w:rFonts w:cs="Times New Roman"/>
    </w:rPr>
  </w:style>
  <w:style w:type="character" w:styleId="WWCharLFO12LVL6">
    <w:name w:val="WW_CharLFO12LVL6"/>
    <w:qFormat/>
    <w:rPr>
      <w:rFonts w:cs="Times New Roman"/>
    </w:rPr>
  </w:style>
  <w:style w:type="character" w:styleId="WWCharLFO12LVL7">
    <w:name w:val="WW_CharLFO12LVL7"/>
    <w:qFormat/>
    <w:rPr>
      <w:rFonts w:cs="Times New Roman"/>
    </w:rPr>
  </w:style>
  <w:style w:type="character" w:styleId="WWCharLFO12LVL8">
    <w:name w:val="WW_CharLFO12LVL8"/>
    <w:qFormat/>
    <w:rPr>
      <w:rFonts w:cs="Times New Roman"/>
    </w:rPr>
  </w:style>
  <w:style w:type="character" w:styleId="WWCharLFO12LVL9">
    <w:name w:val="WW_CharLFO12LVL9"/>
    <w:qFormat/>
    <w:rPr>
      <w:rFonts w:cs="Times New Roman"/>
    </w:rPr>
  </w:style>
  <w:style w:type="character" w:styleId="WWCharLFO15LVL2">
    <w:name w:val="WW_CharLFO15LVL2"/>
    <w:qFormat/>
    <w:rPr>
      <w:rFonts w:ascii="Times New Roman" w:hAnsi="Times New Roman" w:eastAsia="標楷體" w:cs="Times New Roman"/>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9">
    <w:name w:val="清單段落"/>
    <w:basedOn w:val="BodyText"/>
    <w:qFormat/>
    <w:pPr>
      <w:tabs>
        <w:tab w:val="clear" w:pos="480"/>
      </w:tabs>
      <w:suppressAutoHyphens w:val="true"/>
      <w:ind w:left="480" w:hanging="0"/>
    </w:pPr>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註解方塊文字"/>
    <w:basedOn w:val="BodyText"/>
    <w:qFormat/>
    <w:pPr>
      <w:suppressAutoHyphens w:val="true"/>
    </w:pPr>
    <w:rPr>
      <w:rFonts w:ascii="Cambria" w:hAnsi="Cambria"/>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6</Pages>
  <Words>547</Words>
  <Characters>3120</Characters>
  <CharactersWithSpaces>3660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2021-01-06T09:09:00Z</dcterms:created>
  <dc:creator>yumei</dc:creator>
  <dc:description/>
  <dc:language>zh-TW</dc:language>
  <cp:lastModifiedBy>心理及口腔健康司周保宏</cp:lastModifiedBy>
  <cp:lastPrinted>2017-02-23T01:47:00Z</cp:lastPrinted>
  <dcterms:modified xsi:type="dcterms:W3CDTF">2021-01-06T09:09:00Z</dcterms:modified>
  <cp:revision>2</cp:revision>
  <dc:subject/>
  <dc:title/>
</cp:coreProperties>
</file>