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/>
      </w:pPr>
      <w:r>
        <w:rPr>
          <w:rStyle w:val="Style14"/>
          <w:rFonts w:ascii="Arial" w:hAnsi="Arial" w:cs="Arial" w:eastAsia="標楷體"/>
          <w:kern w:val="0"/>
          <w:sz w:val="36"/>
          <w:szCs w:val="36"/>
        </w:rPr>
        <w:drawing>
          <wp:inline distT="0" distB="0" distL="0" distR="0">
            <wp:extent cx="5981700" cy="8458200"/>
            <wp:effectExtent l="0" t="0" r="0" b="0"/>
            <wp:docPr id="1" name="圖片 1" descr="1040903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1040903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BodyText"/>
        <w:snapToGrid w:val="false"/>
        <w:spacing w:lineRule="atLeast" w:line="240"/>
        <w:jc w:val="center"/>
        <w:rPr/>
      </w:pPr>
      <w:r>
        <w:rPr>
          <w:rStyle w:val="Style14"/>
          <w:rFonts w:ascii="Arial" w:hAnsi="Arial" w:cs="Arial" w:eastAsia="標楷體"/>
          <w:kern w:val="0"/>
          <w:sz w:val="36"/>
          <w:szCs w:val="36"/>
        </w:rPr>
        <w:t xml:space="preserve"> </w:t>
      </w:r>
      <w:r>
        <w:rPr>
          <w:rStyle w:val="Style14"/>
          <w:rFonts w:ascii="Arial" w:hAnsi="Arial" w:cs="Arial" w:eastAsia="標楷體"/>
          <w:kern w:val="0"/>
          <w:sz w:val="36"/>
          <w:szCs w:val="36"/>
        </w:rPr>
        <w:t>精神復健機構評鑑不定時及即時追蹤輔導訪查作業程序</w: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3223260</wp:posOffset>
                </wp:positionH>
                <wp:positionV relativeFrom="paragraph">
                  <wp:posOffset>281305</wp:posOffset>
                </wp:positionV>
                <wp:extent cx="3097530" cy="1413510"/>
                <wp:effectExtent l="0" t="0" r="0" b="0"/>
                <wp:wrapNone/>
                <wp:docPr id="2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7530" cy="14135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96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11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0960201014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27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0970206834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98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0980208184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99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22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0990006323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100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1000264116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 xml:space="preserve">號函公告修正。 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103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19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1031760786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104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1041761355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9pt;height:111.3pt;mso-wrap-distance-left:0pt;mso-wrap-distance-right:0pt;mso-wrap-distance-top:0pt;mso-wrap-distance-bottom:0pt;margin-top:22.15pt;mso-position-vertical-relative:text;margin-left:253.8pt;mso-position-horizontal-relative:text">
                <v:textbox>
                  <w:txbxContent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96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11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0960201014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號函公告。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27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0970206834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98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0980208184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99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22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0990006323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100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1000264116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 xml:space="preserve">號函公告修正。 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103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19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1031760786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104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1041761355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exact" w:line="4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壹、追蹤輔導訪查目的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一、衛生福利部（以下稱本部）藉由不定時追蹤輔導訪查，持續監督精神復健機構加強業務管理，並輔導機構針對精神復健機構評鑑之結果進行改善，以提升復健服務品質。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二、若機構發生重大違規或新聞爭議案件時，得即時透過實地訪查方式，逕予監督並協助提供機構改善建議。</w:t>
      </w:r>
    </w:p>
    <w:p>
      <w:pPr>
        <w:pStyle w:val="BodyText"/>
        <w:snapToGrid w:val="false"/>
        <w:spacing w:lineRule="exact" w:line="4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貳、辦理機關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一、精神復健機構評鑑合格機構之追蹤輔導訪查作業由本部主辦，並得委託辦理。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二、訪查時之精神衛生法、精神復健機構設置及管理辦法等查證作業，由直轄市、縣（市）衛生局（以下簡稱衛生局）配合辦理。</w:t>
      </w:r>
    </w:p>
    <w:p>
      <w:pPr>
        <w:pStyle w:val="BodyText"/>
        <w:tabs>
          <w:tab w:val="clear" w:pos="480"/>
        </w:tabs>
        <w:spacing w:lineRule="exact" w:line="480"/>
        <w:ind w:left="574" w:hanging="57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參、辦理年度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6" w:hanging="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得於每年辦理。</w:t>
      </w:r>
    </w:p>
    <w:p>
      <w:pPr>
        <w:pStyle w:val="BodyText"/>
        <w:snapToGrid w:val="false"/>
        <w:spacing w:lineRule="exact" w:line="4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肆、追蹤輔導訪查委員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6" w:hanging="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每年得由本部聘請專家及相關業務主管，擔任追蹤輔導訪查作業之訪查委員，進行實地訪查。</w:t>
      </w:r>
    </w:p>
    <w:p>
      <w:pPr>
        <w:pStyle w:val="BodyText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伍、不定時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追蹤輔導訪查對象</w:t>
      </w:r>
    </w:p>
    <w:p>
      <w:pPr>
        <w:pStyle w:val="Style18"/>
        <w:numPr>
          <w:ilvl w:val="0"/>
          <w:numId w:val="1"/>
        </w:numPr>
        <w:tabs>
          <w:tab w:val="left" w:pos="2182" w:leader="none"/>
        </w:tabs>
        <w:snapToGrid w:val="false"/>
        <w:spacing w:lineRule="exact" w:line="480"/>
        <w:ind w:left="2182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精神復健機構於評鑑合格效期內，且訪查當年度未再申請精神復健機構評鑑或專案複評者，列為不定時追蹤輔導訪查之對象。</w:t>
      </w:r>
    </w:p>
    <w:p>
      <w:pPr>
        <w:pStyle w:val="Style18"/>
        <w:numPr>
          <w:ilvl w:val="0"/>
          <w:numId w:val="1"/>
        </w:numPr>
        <w:tabs>
          <w:tab w:val="left" w:pos="2182" w:leader="none"/>
        </w:tabs>
        <w:snapToGrid w:val="false"/>
        <w:spacing w:lineRule="exact" w:line="480"/>
        <w:ind w:left="2182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前項評鑑合格之機構，若有下列情形之一者，則列為必要追蹤輔導訪查機構</w:t>
      </w:r>
      <w:r>
        <w:rPr>
          <w:rStyle w:val="Style14"/>
          <w:rFonts w:eastAsia="標楷體"/>
          <w:sz w:val="28"/>
          <w:szCs w:val="28"/>
        </w:rPr>
        <w:t>，其餘機構以抽籤方式辦理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（一）評鑑成績未達</w:t>
      </w:r>
      <w:r>
        <w:rPr>
          <w:rFonts w:eastAsia="標楷體" w:ascii="Times New Roman" w:hAnsi="Times New Roman"/>
          <w:sz w:val="28"/>
          <w:szCs w:val="28"/>
        </w:rPr>
        <w:t>65</w:t>
      </w:r>
      <w:r>
        <w:rPr>
          <w:rFonts w:ascii="Times New Roman" w:hAnsi="Times New Roman" w:eastAsia="標楷體"/>
          <w:sz w:val="28"/>
          <w:szCs w:val="28"/>
        </w:rPr>
        <w:t>分者。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（二）「復健業務之提供」及「具有復健服務品質之管理措施」二大評鑑面向，任一面向得分未達該面向配分之</w:t>
      </w:r>
      <w:r>
        <w:rPr>
          <w:rFonts w:eastAsia="標楷體" w:ascii="Times New Roman" w:hAnsi="Times New Roman"/>
          <w:sz w:val="28"/>
          <w:szCs w:val="28"/>
        </w:rPr>
        <w:t>60%</w:t>
      </w:r>
      <w:r>
        <w:rPr>
          <w:rFonts w:ascii="Times New Roman" w:hAnsi="Times New Roman" w:eastAsia="標楷體"/>
          <w:sz w:val="28"/>
          <w:szCs w:val="28"/>
        </w:rPr>
        <w:t>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（三）新設立之機構於首次接受精神復健機構評鑑即通過合格者。但屬變更負責人之新設立機構，不在此限。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（四）經衛生主管機關認定醫療品質欠佳需改善、違反法規、醫學倫理或影響病人安全之重大事件者。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（五）經評定公告為合格之機構，在有效期間內，有變更機構名稱、登記可收治服務對象數增加、原服務量下總樓地板面積縮減</w:t>
      </w:r>
      <w:r>
        <w:rPr>
          <w:rStyle w:val="Style14"/>
          <w:rFonts w:eastAsia="標楷體"/>
          <w:sz w:val="28"/>
          <w:szCs w:val="28"/>
        </w:rPr>
        <w:t>或總樓地板面積擴增</w:t>
      </w:r>
      <w:r>
        <w:rPr>
          <w:rStyle w:val="Style14"/>
          <w:rFonts w:ascii="Times New Roman" w:hAnsi="Times New Roman" w:eastAsia="標楷體"/>
          <w:sz w:val="28"/>
          <w:szCs w:val="28"/>
        </w:rPr>
        <w:t>等其中一項情事以上，且經查符合精神復健機構設置及管理辦法者。惟配合法令規定或政策實施致須變更機構名稱者不在此限。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（六）其他經評鑑評定會議決議列為必要追蹤輔導訪查對象者。</w:t>
      </w:r>
    </w:p>
    <w:p>
      <w:pPr>
        <w:pStyle w:val="BodyText"/>
        <w:tabs>
          <w:tab w:val="clear" w:pos="480"/>
        </w:tabs>
        <w:spacing w:lineRule="exact" w:line="480"/>
        <w:ind w:left="574" w:hanging="574"/>
        <w:jc w:val="both"/>
        <w:rPr/>
      </w:pPr>
      <w:r>
        <w:rPr>
          <w:rStyle w:val="Style14"/>
          <w:rFonts w:eastAsia="標楷體"/>
          <w:sz w:val="28"/>
          <w:szCs w:val="28"/>
        </w:rPr>
        <w:t>陸、即時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追蹤輔導訪查對象</w:t>
      </w:r>
    </w:p>
    <w:p>
      <w:pPr>
        <w:pStyle w:val="BodyText"/>
        <w:tabs>
          <w:tab w:val="clear" w:pos="480"/>
        </w:tabs>
        <w:spacing w:lineRule="exact" w:line="480"/>
        <w:ind w:left="572" w:hanging="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機構於評鑑合格效期內，發生重大違規事件或新聞案件（如有明顯違反法令、醫學倫理、影響病人安全等情事），得列為即時追蹤輔導訪查對象。</w:t>
      </w:r>
    </w:p>
    <w:p>
      <w:pPr>
        <w:pStyle w:val="BodyText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柒、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追蹤輔導訪查內容</w:t>
      </w:r>
    </w:p>
    <w:p>
      <w:pPr>
        <w:pStyle w:val="BodyText"/>
        <w:tabs>
          <w:tab w:val="clear" w:pos="480"/>
        </w:tabs>
        <w:spacing w:lineRule="exact" w:line="480"/>
        <w:ind w:left="570" w:hanging="232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一、不定時追蹤輔導訪查內容：</w:t>
      </w:r>
    </w:p>
    <w:p>
      <w:pPr>
        <w:pStyle w:val="BodyText"/>
        <w:tabs>
          <w:tab w:val="clear" w:pos="480"/>
        </w:tabs>
        <w:spacing w:lineRule="exact" w:line="480"/>
        <w:ind w:left="992" w:hanging="224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  <w:t>1.</w:t>
      </w:r>
      <w:r>
        <w:rPr>
          <w:rFonts w:ascii="Times New Roman" w:hAnsi="Times New Roman" w:eastAsia="標楷體"/>
          <w:sz w:val="28"/>
          <w:szCs w:val="28"/>
        </w:rPr>
        <w:t>機構對於最近一次評鑑結果意見表所提改善事項、建議事項及綜合意見之改善情形。</w:t>
      </w:r>
    </w:p>
    <w:p>
      <w:pPr>
        <w:pStyle w:val="BodyText"/>
        <w:tabs>
          <w:tab w:val="clear" w:pos="480"/>
        </w:tabs>
        <w:spacing w:lineRule="exact" w:line="480"/>
        <w:ind w:left="992" w:hanging="224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  <w:t>2.</w:t>
      </w:r>
      <w:r>
        <w:rPr>
          <w:rFonts w:ascii="Times New Roman" w:hAnsi="Times New Roman" w:eastAsia="標楷體"/>
          <w:sz w:val="28"/>
          <w:szCs w:val="28"/>
        </w:rPr>
        <w:t>配合當年度衛生政策推動之重要評鑑基準。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二、即時追蹤輔導訪查內容為發生重大違規或新聞案件之事項。</w:t>
      </w:r>
    </w:p>
    <w:p>
      <w:pPr>
        <w:pStyle w:val="BodyText"/>
        <w:snapToGrid w:val="false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捌、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追蹤輔導填報資料</w:t>
      </w:r>
    </w:p>
    <w:p>
      <w:pPr>
        <w:pStyle w:val="Style18"/>
        <w:numPr>
          <w:ilvl w:val="0"/>
          <w:numId w:val="2"/>
        </w:numPr>
        <w:tabs>
          <w:tab w:val="left" w:pos="1757" w:leader="none"/>
        </w:tabs>
        <w:snapToGrid w:val="false"/>
        <w:spacing w:lineRule="exact" w:line="480"/>
        <w:ind w:left="1757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第伍點、第陸點所列追蹤輔導訪查對象，應就第柒點訪查內容填復資料，其格式、方式及期限，由協辦單位</w:t>
      </w:r>
      <w:r>
        <w:rPr>
          <w:rStyle w:val="Style14"/>
          <w:rFonts w:eastAsia="標楷體"/>
          <w:sz w:val="28"/>
          <w:szCs w:val="28"/>
        </w:rPr>
        <w:t>公告於其網站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2"/>
        </w:numPr>
        <w:tabs>
          <w:tab w:val="left" w:pos="1757" w:leader="none"/>
        </w:tabs>
        <w:snapToGrid w:val="false"/>
        <w:spacing w:lineRule="exact" w:line="480"/>
        <w:ind w:left="1757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未於協辦單位通知之期限內填報訪查資料者，本部得限期要求機構填報，逾期未填報者，列為次一年度優先實地訪查之對象，並請衛生局加強督導考核。經通知限期填報仍未填報者，則視為最近一次評鑑結果意見表所提建議改善事項未改善，本部得依精神衛生法五十四條規定處罰。</w:t>
      </w:r>
    </w:p>
    <w:p>
      <w:pPr>
        <w:pStyle w:val="BodyText"/>
        <w:snapToGrid w:val="false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玖、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追蹤輔導訪查方式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追蹤輔導訪查作業採不定時或即時方式辦理，安排委員前往實地訪查</w:t>
      </w:r>
      <w:r>
        <w:rPr>
          <w:rStyle w:val="Style14"/>
          <w:rFonts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各機構之實地訪查日程，由協辦單位個別通知。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實地訪查程序：</w:t>
      </w:r>
    </w:p>
    <w:p>
      <w:pPr>
        <w:pStyle w:val="BodyText"/>
        <w:tabs>
          <w:tab w:val="clear" w:pos="480"/>
        </w:tabs>
        <w:spacing w:lineRule="exact" w:line="480"/>
        <w:ind w:left="851" w:hanging="426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（一）實地查證。</w:t>
      </w:r>
    </w:p>
    <w:p>
      <w:pPr>
        <w:pStyle w:val="BodyText"/>
        <w:tabs>
          <w:tab w:val="clear" w:pos="480"/>
        </w:tabs>
        <w:spacing w:lineRule="exact" w:line="480"/>
        <w:ind w:left="851" w:hanging="426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（二）意見交換。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實地訪查時間：以</w:t>
      </w:r>
      <w:r>
        <w:rPr>
          <w:rFonts w:eastAsia="標楷體" w:ascii="Times New Roman" w:hAnsi="Times New Roman"/>
          <w:sz w:val="28"/>
          <w:szCs w:val="28"/>
        </w:rPr>
        <w:t>2-2.5</w:t>
      </w:r>
      <w:r>
        <w:rPr>
          <w:rFonts w:ascii="Times New Roman" w:hAnsi="Times New Roman" w:eastAsia="標楷體"/>
          <w:sz w:val="28"/>
          <w:szCs w:val="28"/>
        </w:rPr>
        <w:t>小時為原則。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實地訪查當日，如有發現重大違規情事者，將提至評定會議討論。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不定時追蹤輔導訪查評量方式：評量受訪機構最近一次評鑑建議改善事項之執行狀況，成績以</w:t>
      </w:r>
      <w:r>
        <w:rPr>
          <w:rFonts w:eastAsia="標楷體" w:ascii="Times New Roman" w:hAnsi="Times New Roman"/>
          <w:sz w:val="28"/>
          <w:szCs w:val="28"/>
        </w:rPr>
        <w:t>A</w:t>
      </w:r>
      <w:r>
        <w:rPr>
          <w:rFonts w:ascii="Times New Roman" w:hAnsi="Times New Roman" w:eastAsia="標楷體"/>
          <w:sz w:val="28"/>
          <w:szCs w:val="28"/>
        </w:rPr>
        <w:t>、</w:t>
      </w:r>
      <w:r>
        <w:rPr>
          <w:rFonts w:eastAsia="標楷體" w:ascii="Times New Roman" w:hAnsi="Times New Roman"/>
          <w:sz w:val="28"/>
          <w:szCs w:val="28"/>
        </w:rPr>
        <w:t>B</w:t>
      </w:r>
      <w:r>
        <w:rPr>
          <w:rFonts w:ascii="Times New Roman" w:hAnsi="Times New Roman" w:eastAsia="標楷體"/>
          <w:sz w:val="28"/>
          <w:szCs w:val="28"/>
        </w:rPr>
        <w:t>、</w:t>
      </w:r>
      <w:r>
        <w:rPr>
          <w:rFonts w:eastAsia="標楷體" w:ascii="Times New Roman" w:hAnsi="Times New Roman"/>
          <w:sz w:val="28"/>
          <w:szCs w:val="28"/>
        </w:rPr>
        <w:t>C</w:t>
      </w:r>
      <w:r>
        <w:rPr>
          <w:rFonts w:ascii="Times New Roman" w:hAnsi="Times New Roman" w:eastAsia="標楷體"/>
          <w:sz w:val="28"/>
          <w:szCs w:val="28"/>
        </w:rPr>
        <w:t>、</w:t>
      </w:r>
      <w:r>
        <w:rPr>
          <w:rFonts w:eastAsia="標楷體" w:ascii="Times New Roman" w:hAnsi="Times New Roman"/>
          <w:sz w:val="28"/>
          <w:szCs w:val="28"/>
        </w:rPr>
        <w:t>D</w:t>
      </w:r>
      <w:r>
        <w:rPr>
          <w:rFonts w:ascii="Times New Roman" w:hAnsi="Times New Roman" w:eastAsia="標楷體"/>
          <w:sz w:val="28"/>
          <w:szCs w:val="28"/>
        </w:rPr>
        <w:t>、</w:t>
      </w:r>
      <w:r>
        <w:rPr>
          <w:rFonts w:eastAsia="標楷體" w:ascii="Times New Roman" w:hAnsi="Times New Roman"/>
          <w:sz w:val="28"/>
          <w:szCs w:val="28"/>
        </w:rPr>
        <w:t>E</w:t>
      </w:r>
      <w:r>
        <w:rPr>
          <w:rFonts w:ascii="Times New Roman" w:hAnsi="Times New Roman" w:eastAsia="標楷體"/>
          <w:sz w:val="28"/>
          <w:szCs w:val="28"/>
        </w:rPr>
        <w:t>共五級方式評核，評核原則如下：</w:t>
      </w:r>
    </w:p>
    <w:tbl>
      <w:tblPr>
        <w:tblW w:w="8031" w:type="dxa"/>
        <w:jc w:val="left"/>
        <w:tblInd w:w="10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6897"/>
      </w:tblGrid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A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或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改善情況良好且超過期望者，視實際改善情形評分。</w:t>
            </w:r>
          </w:p>
        </w:tc>
      </w:tr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在其能力範圍內已作改善者。</w:t>
            </w:r>
          </w:p>
        </w:tc>
      </w:tr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D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稍作改善者。</w:t>
            </w:r>
          </w:p>
        </w:tc>
      </w:tr>
      <w:tr>
        <w:trPr/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6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未改善或無意願改善者。</w:t>
            </w:r>
          </w:p>
        </w:tc>
      </w:tr>
    </w:tbl>
    <w:p>
      <w:pPr>
        <w:pStyle w:val="BodyText"/>
        <w:snapToGrid w:val="false"/>
        <w:spacing w:lineRule="exact" w:line="4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拾、追蹤輔導訪查結果</w:t>
      </w:r>
    </w:p>
    <w:p>
      <w:pPr>
        <w:pStyle w:val="Style18"/>
        <w:numPr>
          <w:ilvl w:val="0"/>
          <w:numId w:val="4"/>
        </w:numPr>
        <w:tabs>
          <w:tab w:val="left" w:pos="1899" w:leader="none"/>
        </w:tabs>
        <w:snapToGrid w:val="false"/>
        <w:spacing w:lineRule="exact" w:line="480"/>
        <w:ind w:left="1899" w:hanging="1189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不定時追蹤輔導訪查</w:t>
      </w:r>
      <w:r>
        <w:rPr>
          <w:rStyle w:val="Style14"/>
          <w:rFonts w:eastAsia="標楷體"/>
          <w:sz w:val="28"/>
          <w:szCs w:val="28"/>
        </w:rPr>
        <w:t>結果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</w:p>
    <w:p>
      <w:pPr>
        <w:pStyle w:val="Style18"/>
        <w:numPr>
          <w:ilvl w:val="0"/>
          <w:numId w:val="5"/>
        </w:numPr>
        <w:tabs>
          <w:tab w:val="left" w:pos="2891" w:leader="none"/>
        </w:tabs>
        <w:snapToGrid w:val="false"/>
        <w:spacing w:lineRule="exact" w:line="480"/>
        <w:ind w:left="2891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訪查結果意見表由協辦單位以書面通知受訪機構，並作為下次評鑑或追蹤輔導之參考</w:t>
      </w:r>
      <w:r>
        <w:rPr>
          <w:rStyle w:val="Style14"/>
          <w:rFonts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5"/>
        </w:numPr>
        <w:tabs>
          <w:tab w:val="left" w:pos="2891" w:leader="none"/>
        </w:tabs>
        <w:snapToGrid w:val="false"/>
        <w:spacing w:lineRule="exact" w:line="480"/>
        <w:ind w:left="2891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機構經查證發現有不符規定之情事者，將由本部通知機構所在地衛生局依相關法令及權責要求限期改善。未於期限內改善者，得依精神衛生法五十四條規定處罰。</w:t>
      </w:r>
    </w:p>
    <w:p>
      <w:pPr>
        <w:pStyle w:val="Style18"/>
        <w:numPr>
          <w:ilvl w:val="0"/>
          <w:numId w:val="5"/>
        </w:numPr>
        <w:tabs>
          <w:tab w:val="left" w:pos="2891" w:leader="none"/>
        </w:tabs>
        <w:snapToGrid w:val="false"/>
        <w:spacing w:lineRule="exact" w:line="480"/>
        <w:ind w:left="2891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機構經查證發現有不符原評鑑基準之事實者，本部得通知限期改善，其不改善或情節重大者，除依相關法令辦理外，得由本部逕予公告變更、取消機構之評鑑合格效期或類別。</w:t>
      </w:r>
    </w:p>
    <w:p>
      <w:pPr>
        <w:pStyle w:val="Style18"/>
        <w:numPr>
          <w:ilvl w:val="0"/>
          <w:numId w:val="5"/>
        </w:numPr>
        <w:tabs>
          <w:tab w:val="left" w:pos="2891" w:leader="none"/>
        </w:tabs>
        <w:snapToGrid w:val="false"/>
        <w:spacing w:lineRule="exact" w:line="480"/>
        <w:ind w:left="2891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機構之訪查結果，如最近一次評鑑建議改善事項改善情形經評量為「未達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（不含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）」之項數，佔全部建議改善事項總項數之比例超過</w:t>
      </w:r>
      <w:r>
        <w:rPr>
          <w:rStyle w:val="Style14"/>
          <w:rFonts w:eastAsia="標楷體" w:ascii="Times New Roman" w:hAnsi="Times New Roman"/>
          <w:sz w:val="28"/>
          <w:szCs w:val="28"/>
        </w:rPr>
        <w:t>30%</w:t>
      </w:r>
      <w:r>
        <w:rPr>
          <w:rStyle w:val="Style14"/>
          <w:rFonts w:ascii="Times New Roman" w:hAnsi="Times New Roman" w:eastAsia="標楷體"/>
          <w:sz w:val="28"/>
          <w:szCs w:val="28"/>
        </w:rPr>
        <w:t>者，即評定為「須加強改善之機構」。</w:t>
      </w:r>
    </w:p>
    <w:p>
      <w:pPr>
        <w:pStyle w:val="Style18"/>
        <w:numPr>
          <w:ilvl w:val="0"/>
          <w:numId w:val="5"/>
        </w:numPr>
        <w:tabs>
          <w:tab w:val="left" w:pos="2891" w:leader="none"/>
        </w:tabs>
        <w:snapToGrid w:val="false"/>
        <w:spacing w:lineRule="exact" w:line="480"/>
        <w:ind w:left="2891" w:hanging="480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訪查結果經評定為「須加強改善之機構」者，應於接獲評定結果通知後半年內回復書面改善報告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以下簡稱書面報告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至當地衛生局，當地衛生局須於收到機構書面報告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個月內查核其改善情形，並將結果回饋予本部且副知協辦單位、當地社會局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處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及須加強改善之受查核機構。如須加強改善機構之書面報告未於期限內回復者，當地衛生局應通知本部並副知協辦單位，並加強對該機構追蹤輔導。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、須加強改善機構之書面報告於期限內回復，且改善項目達</w:t>
      </w:r>
      <w:r>
        <w:rPr>
          <w:rStyle w:val="Style14"/>
          <w:rFonts w:eastAsia="標楷體" w:ascii="Times New Roman" w:hAnsi="Times New Roman"/>
          <w:sz w:val="28"/>
          <w:szCs w:val="28"/>
        </w:rPr>
        <w:t>70%</w:t>
      </w:r>
      <w:r>
        <w:rPr>
          <w:rStyle w:val="Style14"/>
          <w:rFonts w:ascii="Times New Roman" w:hAnsi="Times New Roman" w:eastAsia="標楷體"/>
          <w:sz w:val="28"/>
          <w:szCs w:val="28"/>
        </w:rPr>
        <w:t>以上者即不再追蹤，並列為下次機構評鑑評分之參考。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、須加強改善機構之書面報告於期限內回復，惟改善項目未達</w:t>
      </w:r>
      <w:r>
        <w:rPr>
          <w:rFonts w:eastAsia="標楷體" w:ascii="Times New Roman" w:hAnsi="Times New Roman"/>
          <w:sz w:val="28"/>
          <w:szCs w:val="28"/>
        </w:rPr>
        <w:t>70%</w:t>
      </w:r>
      <w:r>
        <w:rPr>
          <w:rFonts w:ascii="Times New Roman" w:hAnsi="Times New Roman" w:eastAsia="標楷體"/>
          <w:sz w:val="28"/>
          <w:szCs w:val="28"/>
        </w:rPr>
        <w:t>者，將請當地衛生局持續追蹤半年，並加強督導考核至下次機構評鑑。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</w:rPr>
        <w:t>3</w:t>
      </w:r>
      <w:r>
        <w:rPr>
          <w:rStyle w:val="Style14"/>
          <w:rFonts w:ascii="Times New Roman" w:hAnsi="Times New Roman" w:eastAsia="標楷體"/>
          <w:sz w:val="28"/>
          <w:szCs w:val="28"/>
        </w:rPr>
        <w:t>、須加強改善機構之書面報告未於期限內回復者，視為不改善，依下列原則處理</w:t>
      </w:r>
      <w:r>
        <w:rPr>
          <w:rStyle w:val="Style14"/>
          <w:rFonts w:eastAsia="標楷體"/>
          <w:sz w:val="28"/>
          <w:szCs w:val="28"/>
        </w:rPr>
        <w:t>：</w:t>
      </w:r>
    </w:p>
    <w:p>
      <w:pPr>
        <w:pStyle w:val="Style18"/>
        <w:snapToGrid w:val="false"/>
        <w:spacing w:lineRule="exact" w:line="480"/>
        <w:ind w:left="1700" w:hanging="42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(1)</w:t>
      </w:r>
      <w:r>
        <w:rPr>
          <w:rStyle w:val="Style14"/>
          <w:rFonts w:ascii="Times New Roman" w:hAnsi="Times New Roman" w:eastAsia="標楷體"/>
          <w:sz w:val="28"/>
          <w:szCs w:val="28"/>
        </w:rPr>
        <w:t>除依據精神復健機構設置及管理辦法等相關法規辦理以外，本部得逕予公告變更、取消機構之評鑑合格效期或類別。</w:t>
      </w:r>
    </w:p>
    <w:p>
      <w:pPr>
        <w:pStyle w:val="Style18"/>
        <w:snapToGrid w:val="false"/>
        <w:spacing w:lineRule="exact" w:line="480"/>
        <w:ind w:left="1700" w:hanging="42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(2)</w:t>
      </w:r>
      <w:r>
        <w:rPr>
          <w:rStyle w:val="Style14"/>
          <w:rFonts w:ascii="Times New Roman" w:hAnsi="Times New Roman" w:eastAsia="標楷體"/>
          <w:sz w:val="28"/>
          <w:szCs w:val="28"/>
        </w:rPr>
        <w:t>由本部行文通知機構，於文到後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個月內，提送改善情形書面報告至當地衛生局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及</w:t>
      </w:r>
      <w:r>
        <w:rPr>
          <w:rStyle w:val="Style14"/>
          <w:rFonts w:ascii="Times New Roman" w:hAnsi="Times New Roman" w:eastAsia="標楷體"/>
          <w:sz w:val="28"/>
          <w:szCs w:val="28"/>
        </w:rPr>
        <w:t>本部，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並</w:t>
      </w:r>
      <w:r>
        <w:rPr>
          <w:rStyle w:val="Style14"/>
          <w:rFonts w:ascii="Times New Roman" w:hAnsi="Times New Roman" w:eastAsia="標楷體"/>
          <w:sz w:val="28"/>
          <w:szCs w:val="28"/>
        </w:rPr>
        <w:t>副知本部中央健康保險署、地方社會局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處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及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請</w:t>
      </w:r>
      <w:r>
        <w:rPr>
          <w:rStyle w:val="Style14"/>
          <w:rFonts w:ascii="Times New Roman" w:hAnsi="Times New Roman" w:eastAsia="標楷體"/>
          <w:sz w:val="28"/>
          <w:szCs w:val="28"/>
        </w:rPr>
        <w:t>衛生局加強督導，並列為次ㄧ年度優先追蹤輔導訪查之對象。</w:t>
      </w:r>
    </w:p>
    <w:p>
      <w:pPr>
        <w:pStyle w:val="Style18"/>
        <w:numPr>
          <w:ilvl w:val="0"/>
          <w:numId w:val="4"/>
        </w:numPr>
        <w:tabs>
          <w:tab w:val="left" w:pos="1899" w:leader="none"/>
        </w:tabs>
        <w:snapToGrid w:val="false"/>
        <w:spacing w:lineRule="exact" w:line="480"/>
        <w:ind w:left="1899" w:hanging="1189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即時追蹤輔導訪查</w:t>
      </w:r>
      <w:r>
        <w:rPr>
          <w:rStyle w:val="Style14"/>
          <w:rFonts w:eastAsia="標楷體"/>
          <w:sz w:val="28"/>
          <w:szCs w:val="28"/>
        </w:rPr>
        <w:t>結果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同前項第一款及第二款</w:t>
      </w:r>
      <w:r>
        <w:rPr>
          <w:rStyle w:val="Style14"/>
          <w:rFonts w:ascii="Times New Roman" w:hAnsi="Times New Roman" w:eastAsia="標楷體"/>
          <w:sz w:val="28"/>
          <w:szCs w:val="28"/>
        </w:rPr>
        <w:t>辦理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。</w:t>
      </w:r>
    </w:p>
    <w:p>
      <w:pPr>
        <w:pStyle w:val="Style18"/>
        <w:snapToGrid w:val="false"/>
        <w:spacing w:lineRule="exact" w:line="480"/>
        <w:ind w:left="1700" w:hanging="423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</w:r>
    </w:p>
    <w:sectPr>
      <w:footerReference w:type="default" r:id="rId3"/>
      <w:type w:val="nextPage"/>
      <w:pgSz w:w="11906" w:h="16838"/>
      <w:pgMar w:left="1440" w:right="1440" w:gutter="0" w:header="0" w:top="567" w:footer="567" w:bottom="907"/>
      <w:pgNumType w:fmt="decimal"/>
      <w:formProt w:val="false"/>
      <w:textDirection w:val="lrTb"/>
      <w:docGrid w:type="snapToChar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  <w:font w:name="Arial">
    <w:charset w:val="88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6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</w:lvl>
    <w:lvl w:ilvl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>
      <w:start w:val="1"/>
      <w:numFmt w:val="lowerRoman"/>
      <w:lvlText w:val="%3."/>
      <w:lvlJc w:val="right"/>
      <w:pPr>
        <w:tabs>
          <w:tab w:val="num" w:pos="2291"/>
        </w:tabs>
        <w:ind w:left="2291" w:hanging="0"/>
      </w:p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>
      <w:start w:val="1"/>
      <w:numFmt w:val="lowerRoman"/>
      <w:lvlText w:val="%6."/>
      <w:lvlJc w:val="right"/>
      <w:pPr>
        <w:tabs>
          <w:tab w:val="num" w:pos="3731"/>
        </w:tabs>
        <w:ind w:left="3731" w:hanging="0"/>
      </w:pPr>
    </w:lvl>
    <w:lvl w:ilvl="6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>
      <w:start w:val="1"/>
      <w:numFmt w:val="lowerRoman"/>
      <w:lvlText w:val="%9."/>
      <w:lvlJc w:val="right"/>
      <w:pPr>
        <w:tabs>
          <w:tab w:val="num" w:pos="5171"/>
        </w:tabs>
        <w:ind w:left="5171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3032"/>
        </w:tabs>
        <w:ind w:left="3032" w:hanging="480"/>
      </w:pPr>
    </w:lvl>
    <w:lvl w:ilvl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>
      <w:start w:val="1"/>
      <w:numFmt w:val="lowerRoman"/>
      <w:lvlText w:val="%9."/>
      <w:lvlJc w:val="right"/>
      <w:pPr>
        <w:tabs>
          <w:tab w:val="num" w:pos="4920"/>
        </w:tabs>
        <w:ind w:left="4920" w:hanging="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5">
    <w:lvl w:ilvl="0">
      <w:start w:val="1"/>
      <w:numFmt w:val="taiwaneseCountingThousand"/>
      <w:lvlText w:val="(%1)"/>
      <w:lvlJc w:val="left"/>
      <w:pPr>
        <w:tabs>
          <w:tab w:val="num" w:pos="1757"/>
        </w:tabs>
        <w:ind w:left="1757" w:hanging="480"/>
      </w:pPr>
    </w:lvl>
    <w:lvl w:ilvl="1">
      <w:start w:val="1"/>
      <w:numFmt w:val="ideographTraditional"/>
      <w:lvlText w:val="%2、"/>
      <w:lvlJc w:val="left"/>
      <w:pPr>
        <w:tabs>
          <w:tab w:val="num" w:pos="1953"/>
        </w:tabs>
        <w:ind w:left="1953" w:hanging="480"/>
      </w:pPr>
    </w:lvl>
    <w:lvl w:ilvl="2">
      <w:start w:val="1"/>
      <w:numFmt w:val="lowerRoman"/>
      <w:lvlText w:val="%3."/>
      <w:lvlJc w:val="right"/>
      <w:pPr>
        <w:tabs>
          <w:tab w:val="num" w:pos="2433"/>
        </w:tabs>
        <w:ind w:left="2433" w:hanging="0"/>
      </w:pPr>
    </w:lvl>
    <w:lvl w:ilvl="3">
      <w:start w:val="1"/>
      <w:numFmt w:val="decimal"/>
      <w:lvlText w:val="%4."/>
      <w:lvlJc w:val="left"/>
      <w:pPr>
        <w:tabs>
          <w:tab w:val="num" w:pos="2913"/>
        </w:tabs>
        <w:ind w:left="2913" w:hanging="480"/>
      </w:pPr>
    </w:lvl>
    <w:lvl w:ilvl="4">
      <w:start w:val="1"/>
      <w:numFmt w:val="ideographTraditional"/>
      <w:lvlText w:val="%5、"/>
      <w:lvlJc w:val="left"/>
      <w:pPr>
        <w:tabs>
          <w:tab w:val="num" w:pos="3393"/>
        </w:tabs>
        <w:ind w:left="3393" w:hanging="480"/>
      </w:pPr>
    </w:lvl>
    <w:lvl w:ilvl="5">
      <w:start w:val="1"/>
      <w:numFmt w:val="lowerRoman"/>
      <w:lvlText w:val="%6."/>
      <w:lvlJc w:val="right"/>
      <w:pPr>
        <w:tabs>
          <w:tab w:val="num" w:pos="3873"/>
        </w:tabs>
        <w:ind w:left="3873" w:hanging="0"/>
      </w:pPr>
    </w:lvl>
    <w:lvl w:ilvl="6">
      <w:start w:val="1"/>
      <w:numFmt w:val="decimal"/>
      <w:lvlText w:val="%7."/>
      <w:lvlJc w:val="left"/>
      <w:pPr>
        <w:tabs>
          <w:tab w:val="num" w:pos="4353"/>
        </w:tabs>
        <w:ind w:left="4353" w:hanging="480"/>
      </w:pPr>
    </w:lvl>
    <w:lvl w:ilvl="7">
      <w:start w:val="1"/>
      <w:numFmt w:val="ideographTraditional"/>
      <w:lvlText w:val="%8、"/>
      <w:lvlJc w:val="left"/>
      <w:pPr>
        <w:tabs>
          <w:tab w:val="num" w:pos="4833"/>
        </w:tabs>
        <w:ind w:left="4833" w:hanging="480"/>
      </w:pPr>
    </w:lvl>
    <w:lvl w:ilvl="8">
      <w:start w:val="1"/>
      <w:numFmt w:val="lowerRoman"/>
      <w:lvlText w:val="%9."/>
      <w:lvlJc w:val="right"/>
      <w:pPr>
        <w:tabs>
          <w:tab w:val="num" w:pos="5313"/>
        </w:tabs>
        <w:ind w:left="5313" w:hanging="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rFonts w:ascii="Calibri" w:hAnsi="Calibri" w:eastAsia="新細明體" w:cs="Times New Roman"/>
      <w:sz w:val="20"/>
      <w:szCs w:val="20"/>
    </w:rPr>
  </w:style>
  <w:style w:type="character" w:styleId="Style16">
    <w:name w:val="頁尾 字元"/>
    <w:basedOn w:val="Style14"/>
    <w:qFormat/>
    <w:rPr>
      <w:rFonts w:ascii="Calibri" w:hAnsi="Calibri" w:eastAsia="新細明體" w:cs="Times New Roman"/>
      <w:sz w:val="20"/>
      <w:szCs w:val="20"/>
    </w:rPr>
  </w:style>
  <w:style w:type="character" w:styleId="Style17">
    <w:name w:val="清單段落 字元"/>
    <w:qFormat/>
    <w:rPr>
      <w:kern w:val="2"/>
      <w:sz w:val="24"/>
      <w:szCs w:val="22"/>
    </w:rPr>
  </w:style>
  <w:style w:type="character" w:styleId="WWCharLFO2LVL1">
    <w:name w:val="WW_CharLFO2LVL1"/>
    <w:qFormat/>
    <w:rPr>
      <w:rFonts w:ascii="Calibri" w:hAnsi="Calibri" w:cs="Times New Roman"/>
    </w:rPr>
  </w:style>
  <w:style w:type="character" w:styleId="WWCharLFO3LVL1">
    <w:name w:val="WW_CharLFO3LVL1"/>
    <w:qFormat/>
    <w:rPr>
      <w:rFonts w:ascii="Times New Roman" w:hAnsi="Times New Roman" w:cs="Times New Roman"/>
    </w:rPr>
  </w:style>
  <w:style w:type="character" w:styleId="WWCharLFO4LVL1">
    <w:name w:val="WW_CharLFO4LVL1"/>
    <w:qFormat/>
    <w:rPr>
      <w:rFonts w:ascii="Calibri" w:hAnsi="Calibri" w:cs="Times New Roman"/>
    </w:rPr>
  </w:style>
  <w:style w:type="character" w:styleId="WWCharLFO7LVL1">
    <w:name w:val="WW_CharLFO7LVL1"/>
    <w:qFormat/>
    <w:rPr>
      <w:rFonts w:ascii="Times New Roman" w:hAnsi="Times New Roman" w:cs="Times New Roman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外框內容"/>
    <w:basedOn w:val="Normal"/>
    <w:qFormat/>
    <w:pPr/>
    <w:rPr/>
  </w:style>
  <w:style w:type="paragraph" w:styleId="Style21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5</Pages>
  <Words>334</Words>
  <Characters>1908</Characters>
  <CharactersWithSpaces>2238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2015-10-21T01:22:00Z</dcterms:created>
  <dc:creator>温莉筠</dc:creator>
  <dc:description/>
  <dc:language>zh-TW</dc:language>
  <cp:lastModifiedBy>yumei</cp:lastModifiedBy>
  <cp:lastPrinted>2014-05-16T12:45:00Z</cp:lastPrinted>
  <dcterms:modified xsi:type="dcterms:W3CDTF">2015-10-21T01:22:00Z</dcterms:modified>
  <cp:revision>2</cp:revision>
  <dc:subject/>
  <dc:title/>
</cp:coreProperties>
</file>