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autoSpaceDE w:val="false"/>
        <w:snapToGrid w:val="false"/>
        <w:spacing w:lineRule="auto" w:line="360"/>
        <w:jc w:val="center"/>
        <w:rPr/>
      </w:pPr>
      <w:r>
        <w:rPr>
          <w:rStyle w:val="Style14"/>
          <w:rFonts w:ascii="Times New Roman" w:hAnsi="Times New Roman" w:eastAsia="標楷體"/>
          <w:b/>
          <w:sz w:val="36"/>
          <w:szCs w:val="36"/>
        </w:rPr>
        <w:drawing>
          <wp:inline distT="0" distB="0" distL="0" distR="0">
            <wp:extent cx="5756910" cy="8141970"/>
            <wp:effectExtent l="0" t="0" r="0" b="0"/>
            <wp:docPr id="1" name="圖片 1" descr="D:\心口司公文\108年\精神復健機構\2 作業程序已核對\公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D:\心口司公文\108年\精神復健機構\2 作業程序已核對\公告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14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BodyText"/>
        <w:autoSpaceDE w:val="false"/>
        <w:snapToGrid w:val="false"/>
        <w:spacing w:lineRule="auto" w:line="360"/>
        <w:jc w:val="center"/>
        <w:rPr/>
      </w:pPr>
      <w:bookmarkStart w:id="0" w:name="OLE_LINK124"/>
      <w:bookmarkStart w:id="1" w:name="OLE_LINK123"/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8870950</wp:posOffset>
                </wp:positionH>
                <wp:positionV relativeFrom="paragraph">
                  <wp:posOffset>-198755</wp:posOffset>
                </wp:positionV>
                <wp:extent cx="732790" cy="342900"/>
                <wp:effectExtent l="5080" t="5080" r="5715" b="5715"/>
                <wp:wrapNone/>
                <wp:docPr id="2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960" cy="34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附件三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Rectangle 2" coordsize="21600,21600" path="m0,0l21600,0l21600,21600l0,21600xe" fillcolor="white" stroked="t" o:allowincell="f" style="position:absolute;margin-left:698.5pt;margin-top:-15.65pt;width:57.65pt;height:26.95pt;mso-wrap-style:square;v-text-anchor:top">
                <v:textbox>
                  <w:txbxContent>
                    <w:p>
                      <w:pPr>
                        <w:jc w:val="center"/>
                        <w:rPr/>
                      </w:pPr>
                      <w:r>
                        <w:rPr>
                          <w:rFonts w:ascii="標楷體" w:hAnsi="標楷體" w:eastAsia="標楷體"/>
                        </w:rPr>
                        <w:t>附件三</w:t>
                      </w:r>
                    </w:p>
                  </w:txbxContent>
                </v:textbox>
                <v:fill o:detectmouseclick="t" type="solid" color2="black"/>
                <v:stroke color="black" weight="9360" joinstyle="miter" endcap="flat"/>
                <w10:wrap type="none"/>
              </v:shape>
            </w:pict>
          </mc:Fallback>
        </mc:AlternateConten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精神復健機構評鑑</w:t>
      </w:r>
      <w:bookmarkEnd w:id="0"/>
      <w:bookmarkEnd w:id="1"/>
      <w:r>
        <w:rPr>
          <w:rStyle w:val="Style14"/>
          <w:rFonts w:ascii="Times New Roman" w:hAnsi="Times New Roman" w:eastAsia="標楷體"/>
          <w:b/>
          <w:sz w:val="36"/>
          <w:szCs w:val="36"/>
        </w:rPr>
        <w:t>作業程序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106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10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1061760468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107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1071760421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107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28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1071762186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spacing w:before="180" w:after="0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評鑑目的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建立安全、有效、以病人為中心、適時、效率、公正優質的精神復健服務體制。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評核精神復健機構服務品質，提供民眾選擇參考。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監督精神復健機構加強業務管理，確保精神病人之社區復健服務品質。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spacing w:lineRule="exact" w:line="480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辦理機關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衛生福利部主辦，得委託協辦。委託之協辦單位由衛生福利部每年於網站公告。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spacing w:lineRule="exact" w:line="480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辦理年度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精神復健機構評鑑每年均得辦理。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spacing w:lineRule="exact" w:line="480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評鑑委員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由主辦機關聘請有關專家及相關業務主管擔任評鑑委員，進行實地評鑑。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spacing w:lineRule="exact" w:line="240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申請資格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firstLine="56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於本作業程序申請期限截止前，經審查符合「精神復健機構設置及管理辦法」與「精神復健機構設置標準表」規定領有開業執照，並具下列各款情形之一者，始得提出申請：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精神復健機構於當年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日前領有開業執照者。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評鑑合格效期已屆最後一年。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前一年評鑑結果為「評鑑不合格」者。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機構經評鑑後遷移、擴充、增建或改建者。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auto" w:line="360" w:before="180" w:after="0"/>
        <w:ind w:left="566" w:firstLine="661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前項第一款為私立精神復健機構變更負責人者，接受評鑑時，</w:t>
      </w:r>
      <w:r>
        <w:rPr>
          <w:rStyle w:val="Style14"/>
          <w:rFonts w:ascii="Times New Roman" w:hAnsi="Times New Roman" w:eastAsia="標楷體"/>
          <w:sz w:val="28"/>
          <w:szCs w:val="28"/>
        </w:rPr>
        <w:t>其資料提供應含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機構變更前個案及業務相關資料。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申請類別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日間型精神復健機構。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住宿型精神復健機構。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評鑑內容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依「精神復健機構評鑑基準」所列項目辦理。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申請表件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公告於衛生福利部精神復健機構評鑑管理系統與協辦單位網站。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申請程序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申請日期由協辦單位公告於其網站。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評鑑資料申報方式為網路申報，資料繳交之相關規定請詳參閱申請評鑑注意事項，逾期不受理。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請於前述期限內辦理下列事項：</w:t>
      </w:r>
    </w:p>
    <w:p>
      <w:pPr>
        <w:pStyle w:val="BodyText"/>
        <w:numPr>
          <w:ilvl w:val="1"/>
          <w:numId w:val="6"/>
        </w:numPr>
        <w:tabs>
          <w:tab w:val="clear" w:pos="480"/>
          <w:tab w:val="left" w:pos="2944" w:leader="none"/>
        </w:tabs>
        <w:snapToGrid w:val="false"/>
        <w:spacing w:lineRule="exact" w:line="480"/>
        <w:ind w:left="2944" w:hanging="141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至衛生福利部精神復健機構評鑑管理系統填寫「申請書」（如附件一），填寫完畢後下載「申請書」</w:t>
      </w:r>
      <w:r>
        <w:rPr>
          <w:rFonts w:eastAsia="標楷體" w:ascii="Times New Roman" w:hAnsi="Times New Roman"/>
          <w:kern w:val="0"/>
          <w:sz w:val="28"/>
          <w:szCs w:val="28"/>
        </w:rPr>
        <w:t xml:space="preserve">(A4 </w:t>
      </w:r>
      <w:r>
        <w:rPr>
          <w:rFonts w:ascii="Times New Roman" w:hAnsi="Times New Roman" w:eastAsia="標楷體"/>
          <w:kern w:val="0"/>
          <w:sz w:val="28"/>
          <w:szCs w:val="28"/>
        </w:rPr>
        <w:t>紙張規格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，並完成負責人簽章欄及關防，檢齊後由專人送達或郵寄（以郵戳為憑）至協辦單位提出申請，逾期不受理；如有相關證明文件未及備齊，應於截止日起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日內完成補件。</w:t>
      </w:r>
    </w:p>
    <w:p>
      <w:pPr>
        <w:pStyle w:val="BodyText"/>
        <w:numPr>
          <w:ilvl w:val="1"/>
          <w:numId w:val="6"/>
        </w:numPr>
        <w:tabs>
          <w:tab w:val="clear" w:pos="480"/>
          <w:tab w:val="left" w:pos="2944" w:leader="none"/>
        </w:tabs>
        <w:snapToGrid w:val="false"/>
        <w:spacing w:lineRule="exact" w:line="480"/>
        <w:ind w:left="2944" w:hanging="141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另檢送「機構開業登記事項查證回復單」（如附件二，</w:t>
      </w:r>
      <w:r>
        <w:rPr>
          <w:rFonts w:eastAsia="標楷體" w:ascii="Times New Roman" w:hAnsi="Times New Roman"/>
          <w:kern w:val="0"/>
          <w:sz w:val="28"/>
          <w:szCs w:val="28"/>
        </w:rPr>
        <w:t>A4</w:t>
      </w:r>
      <w:r>
        <w:rPr>
          <w:rFonts w:ascii="Times New Roman" w:hAnsi="Times New Roman" w:eastAsia="標楷體"/>
          <w:kern w:val="0"/>
          <w:sz w:val="28"/>
          <w:szCs w:val="28"/>
        </w:rPr>
        <w:t>紙張規格，請於上述系統網頁下載）至所在地衛生局申請查證，衛生局查證後之結果，將寄回協辦單位處。</w:t>
      </w:r>
    </w:p>
    <w:p>
      <w:pPr>
        <w:pStyle w:val="BodyText"/>
        <w:autoSpaceDE w:val="false"/>
        <w:snapToGrid w:val="false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拾、評鑑作業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由協辦單位依本程序之規定初審各申請機構所送之資料，經初審不合申請資格者，由衛生福利部通知機構，不進行實地評鑑。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2944" w:leader="none"/>
        </w:tabs>
        <w:snapToGrid w:val="false"/>
        <w:spacing w:lineRule="exact" w:line="480"/>
        <w:ind w:left="2944" w:hanging="141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經初審合格之機構，將由協辦單位於實地評鑑日程前</w:t>
      </w:r>
      <w:r>
        <w:rPr>
          <w:rFonts w:eastAsia="標楷體" w:ascii="Times New Roman" w:hAnsi="Times New Roman"/>
          <w:kern w:val="0"/>
          <w:sz w:val="28"/>
          <w:szCs w:val="28"/>
        </w:rPr>
        <w:t>10</w:t>
      </w:r>
      <w:r>
        <w:rPr>
          <w:rFonts w:ascii="Times New Roman" w:hAnsi="Times New Roman" w:eastAsia="標楷體"/>
          <w:kern w:val="0"/>
          <w:sz w:val="28"/>
          <w:szCs w:val="28"/>
        </w:rPr>
        <w:t>個工作天通知受評機構。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2944" w:leader="none"/>
        </w:tabs>
        <w:snapToGrid w:val="false"/>
        <w:spacing w:lineRule="exact" w:line="480"/>
        <w:ind w:left="2944" w:hanging="141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實地評鑑程序：</w:t>
      </w:r>
    </w:p>
    <w:p>
      <w:pPr>
        <w:pStyle w:val="BodyText"/>
        <w:numPr>
          <w:ilvl w:val="2"/>
          <w:numId w:val="9"/>
        </w:numPr>
        <w:tabs>
          <w:tab w:val="clear" w:pos="480"/>
          <w:tab w:val="left" w:pos="1723" w:leader="none"/>
        </w:tabs>
        <w:snapToGrid w:val="false"/>
        <w:spacing w:lineRule="exact" w:line="480"/>
        <w:ind w:left="1723" w:hanging="50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機構簡報。</w:t>
      </w:r>
    </w:p>
    <w:p>
      <w:pPr>
        <w:pStyle w:val="BodyText"/>
        <w:numPr>
          <w:ilvl w:val="2"/>
          <w:numId w:val="9"/>
        </w:numPr>
        <w:tabs>
          <w:tab w:val="clear" w:pos="480"/>
          <w:tab w:val="left" w:pos="1723" w:leader="none"/>
        </w:tabs>
        <w:snapToGrid w:val="false"/>
        <w:spacing w:lineRule="exact" w:line="480"/>
        <w:ind w:left="1723" w:hanging="50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實地查證。</w:t>
      </w:r>
    </w:p>
    <w:p>
      <w:pPr>
        <w:pStyle w:val="BodyText"/>
        <w:numPr>
          <w:ilvl w:val="2"/>
          <w:numId w:val="9"/>
        </w:numPr>
        <w:tabs>
          <w:tab w:val="clear" w:pos="480"/>
          <w:tab w:val="left" w:pos="1723" w:leader="none"/>
        </w:tabs>
        <w:snapToGrid w:val="false"/>
        <w:spacing w:lineRule="exact" w:line="480"/>
        <w:ind w:left="1723" w:hanging="50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綜合討論。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2944" w:leader="none"/>
        </w:tabs>
        <w:snapToGrid w:val="false"/>
        <w:spacing w:lineRule="exact" w:line="480"/>
        <w:ind w:left="2944" w:hanging="141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實地評鑑時間：以</w:t>
      </w:r>
      <w:r>
        <w:rPr>
          <w:rFonts w:eastAsia="標楷體" w:ascii="Times New Roman" w:hAnsi="Times New Roman"/>
          <w:kern w:val="0"/>
          <w:sz w:val="28"/>
          <w:szCs w:val="28"/>
        </w:rPr>
        <w:t>3</w:t>
      </w:r>
      <w:r>
        <w:rPr>
          <w:rFonts w:ascii="Times New Roman" w:hAnsi="Times New Roman" w:eastAsia="標楷體"/>
          <w:kern w:val="0"/>
          <w:sz w:val="28"/>
          <w:szCs w:val="28"/>
        </w:rPr>
        <w:t>至</w:t>
      </w:r>
      <w:r>
        <w:rPr>
          <w:rFonts w:eastAsia="標楷體" w:ascii="Times New Roman" w:hAnsi="Times New Roman"/>
          <w:kern w:val="0"/>
          <w:sz w:val="28"/>
          <w:szCs w:val="28"/>
        </w:rPr>
        <w:t>3.5</w:t>
      </w:r>
      <w:r>
        <w:rPr>
          <w:rFonts w:ascii="Times New Roman" w:hAnsi="Times New Roman" w:eastAsia="標楷體"/>
          <w:kern w:val="0"/>
          <w:sz w:val="28"/>
          <w:szCs w:val="28"/>
        </w:rPr>
        <w:t>小時為原則，進行方式及時間分配如附件三。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為符合評鑑作業需要，得由協辦單位安排評鑑委員觀摩實地評鑑作業。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拾壹、實地評鑑日期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得於每年</w:t>
      </w:r>
      <w:r>
        <w:rPr>
          <w:rFonts w:eastAsia="標楷體" w:ascii="Times New Roman" w:hAnsi="Times New Roman"/>
          <w:kern w:val="0"/>
          <w:sz w:val="28"/>
          <w:szCs w:val="28"/>
        </w:rPr>
        <w:t>4</w:t>
      </w:r>
      <w:r>
        <w:rPr>
          <w:rFonts w:ascii="Times New Roman" w:hAnsi="Times New Roman" w:eastAsia="標楷體"/>
          <w:kern w:val="0"/>
          <w:sz w:val="28"/>
          <w:szCs w:val="28"/>
        </w:rPr>
        <w:t>月至</w:t>
      </w:r>
      <w:r>
        <w:rPr>
          <w:rFonts w:eastAsia="標楷體" w:ascii="Times New Roman" w:hAnsi="Times New Roman"/>
          <w:kern w:val="0"/>
          <w:sz w:val="28"/>
          <w:szCs w:val="28"/>
        </w:rPr>
        <w:t>11</w:t>
      </w:r>
      <w:r>
        <w:rPr>
          <w:rFonts w:ascii="Times New Roman" w:hAnsi="Times New Roman" w:eastAsia="標楷體"/>
          <w:kern w:val="0"/>
          <w:sz w:val="28"/>
          <w:szCs w:val="28"/>
        </w:rPr>
        <w:t>月辦理。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拾貳、評鑑成績核算及評定原則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依「精神復健機構評鑑成績核算方式與合格基準」（如附件四）進行評量與評定。</w:t>
      </w:r>
    </w:p>
    <w:p>
      <w:pPr>
        <w:pStyle w:val="BodyText"/>
        <w:autoSpaceDE w:val="false"/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拾參、評鑑結果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評鑑結果由主辦機關召開評定會議確認成績後公告，並發給合格證明文件，由協辦單位發給實地評鑑個別建議事項。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經評鑑合格之機構，其評鑑資格有效期間為</w:t>
      </w:r>
      <w:r>
        <w:rPr>
          <w:rStyle w:val="Style14"/>
          <w:rFonts w:eastAsia="標楷體" w:ascii="Times New Roman" w:hAnsi="Times New Roman"/>
          <w:sz w:val="28"/>
          <w:szCs w:val="28"/>
        </w:rPr>
        <w:t>4</w:t>
      </w:r>
      <w:r>
        <w:rPr>
          <w:rStyle w:val="Style14"/>
          <w:rFonts w:ascii="Times New Roman" w:hAnsi="Times New Roman" w:eastAsia="標楷體"/>
          <w:sz w:val="28"/>
          <w:szCs w:val="28"/>
        </w:rPr>
        <w:t>年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，惟經複評達合格基準者，其合格效期為原評鑑合格效期屆滿日後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年。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 xml:space="preserve">經評鑑合格之私立機構，如發生變更負責人等異動，其評鑑合格效期認定如下： 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2944" w:leader="none"/>
        </w:tabs>
        <w:snapToGrid w:val="false"/>
        <w:spacing w:lineRule="exact" w:line="480"/>
        <w:ind w:left="2944" w:hanging="141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機構如因故歇業，由另一位負責人，於原址重新申請開業者（俗稱變更負責人），即屬新設立機構，應重新申請最近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次評鑑。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2944" w:leader="none"/>
        </w:tabs>
        <w:snapToGrid w:val="false"/>
        <w:spacing w:lineRule="exact" w:line="480"/>
        <w:ind w:left="2944" w:hanging="141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前款變更負責人之新設立機構，如實際上軟硬體設施及機構名稱並無異動，欲延續原評鑑合格效期者，應於變更負責人後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個月內，申請「專案複評」（惟領有開業執照日期已逾當年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者，應於次年接受評鑑），接受專案複評時，其資料提供應含機構變更前個案及業務相關資料。通過「專案複評」者，得延續原評鑑合格效期；未通過「專案複評」者，則以主辦機關通知機構未通過「專案複評」之當月月底，為其原評鑑合格效期截止日。惟如機構變更負責人時，其評鑑合格效期已屆最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年者，應重新申請評鑑。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87" w:leader="none"/>
        </w:tabs>
        <w:snapToGrid w:val="false"/>
        <w:spacing w:lineRule="exact" w:line="480"/>
        <w:ind w:left="1687" w:hanging="112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經評定公告為合格之機構，在有效期間內，如發生重大違規事件，得予註銷評鑑合格類別。所稱發生重大違規事件之處理與認定，由衛生福利部組成審查小組辦理。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87" w:leader="none"/>
        </w:tabs>
        <w:snapToGrid w:val="false"/>
        <w:spacing w:lineRule="exact" w:line="480"/>
        <w:ind w:left="1687" w:hanging="112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機構對評鑑結果有疑義者，得於公告後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個月內向主辦機關申請複查，惟複查結果不提供成績資料。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87" w:leader="none"/>
        </w:tabs>
        <w:snapToGrid w:val="false"/>
        <w:spacing w:lineRule="exact" w:line="480"/>
        <w:ind w:left="1687" w:hanging="1121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評鑑結果未達合格基準者，於評鑑結果公告後</w:t>
      </w:r>
      <w:r>
        <w:rPr>
          <w:rStyle w:val="Style14"/>
          <w:rFonts w:eastAsia="標楷體" w:ascii="Times New Roman" w:hAnsi="Times New Roman"/>
          <w:sz w:val="28"/>
          <w:szCs w:val="28"/>
        </w:rPr>
        <w:t>2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個月內僅進行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次複評。複評已達合格基準者，由本部逕予核定並公告為評鑑合格機構</w:t>
      </w:r>
      <w:r>
        <w:rPr>
          <w:rStyle w:val="Style14"/>
          <w:rFonts w:ascii="標楷體" w:hAnsi="標楷體" w:eastAsia="標楷體"/>
          <w:sz w:val="28"/>
          <w:szCs w:val="28"/>
        </w:rPr>
        <w:t>；</w:t>
      </w:r>
      <w:r>
        <w:rPr>
          <w:rStyle w:val="Style14"/>
          <w:rFonts w:ascii="Times New Roman" w:hAnsi="Times New Roman" w:eastAsia="標楷體"/>
          <w:sz w:val="28"/>
          <w:szCs w:val="28"/>
        </w:rPr>
        <w:t>反之</w:t>
      </w:r>
      <w:r>
        <w:rPr>
          <w:rStyle w:val="Style14"/>
          <w:rFonts w:ascii="標楷體" w:hAnsi="標楷體" w:eastAsia="標楷體"/>
          <w:sz w:val="28"/>
          <w:szCs w:val="28"/>
        </w:rPr>
        <w:t>，</w:t>
      </w:r>
      <w:r>
        <w:rPr>
          <w:rStyle w:val="Style14"/>
          <w:rFonts w:ascii="Times New Roman" w:hAnsi="Times New Roman" w:eastAsia="標楷體"/>
          <w:sz w:val="28"/>
          <w:szCs w:val="28"/>
        </w:rPr>
        <w:t>則列為「評鑑不合格」，由主辦機關逕予核定並公告且函知機構，以主辦機關函知「評鑑不合格」之當月月底或原評鑑合格效期屆滿日，為其評鑑合格效期截止日。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87" w:leader="none"/>
        </w:tabs>
        <w:snapToGrid w:val="false"/>
        <w:spacing w:lineRule="exact" w:line="480"/>
        <w:ind w:left="1687" w:hanging="112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如有不符「精神復健機構設置及管理辦法」規定者，得由直轄市、縣（市）衛生局依相關法規及權責要求限期改善。屆期已改善者，精神復健機構評鑑成績雖達合格基準，次一年度得列為不定時追蹤輔導訪查必要追蹤輔導訪查機構（情節重大者得縮短合格效期）；屆期未改善者，得由衛生福利部逕予核定為「不合格」機構，並應由直轄市、縣（市）衛生局依法裁處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87" w:leader="none"/>
        </w:tabs>
        <w:snapToGrid w:val="false"/>
        <w:spacing w:lineRule="exact" w:line="480"/>
        <w:ind w:left="1687" w:hanging="112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於第拾參點第一款評鑑結果公告後，其有不服者，機構得依法提起訴願及行政訴訟。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87" w:leader="none"/>
        </w:tabs>
        <w:snapToGrid w:val="false"/>
        <w:spacing w:lineRule="exact" w:line="480"/>
        <w:ind w:left="1687" w:hanging="112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實地評鑑期間受評機構不得對評鑑委員進行照相、錄音、監視、錄影、直播及任意散布影像等侵害隱私情事，一經發現應立即刪除影像，列為下次評鑑參考，並得依相關法律辦理。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87" w:leader="none"/>
        </w:tabs>
        <w:snapToGrid w:val="false"/>
        <w:spacing w:lineRule="exact" w:line="480"/>
        <w:ind w:left="1687" w:hanging="112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如遇天然災害（如：風災、水災、震災、土石流災害及其他天然災害），受評機構所在地之縣市政府發布停班，則中止實地評鑑作業，將擇期接續實地評鑑方式完成評鑑作業。前述實地評鑑中止及後續處理，由本部或協辦單位通知機構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897" w:leader="none"/>
        </w:tabs>
        <w:snapToGrid w:val="false"/>
        <w:spacing w:lineRule="exact" w:line="480"/>
        <w:ind w:left="1897" w:hanging="133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國內或受評機構發生重大疫情：將視衛生福利部中央流行疫情指揮中心、縣</w:t>
      </w: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市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衛生局地方流行疫情指揮中心之疫情分級警示情形，以及確認受評機構實際情況後，由協辦單位配合辦理行程取消或變更事宜。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附件二、精神復健機構開業登記事項查證回復單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附件三、精神復健機構實地評鑑進行方式及時間分配表</w:t>
      </w:r>
    </w:p>
    <w:p>
      <w:pPr>
        <w:sectPr>
          <w:footerReference w:type="default" r:id="rId3"/>
          <w:type w:val="nextPage"/>
          <w:pgSz w:w="11907" w:h="16840"/>
          <w:pgMar w:left="1418" w:right="1418" w:gutter="0" w:header="0" w:top="680" w:footer="567" w:bottom="1134"/>
          <w:pgNumType w:fmt="decimal"/>
          <w:formProt w:val="false"/>
          <w:textDirection w:val="lrTb"/>
          <w:docGrid w:type="snapToChars" w:linePitch="600" w:charSpace="40960"/>
        </w:sectPr>
        <w:pStyle w:val="BodyText"/>
        <w:tabs>
          <w:tab w:val="clear" w:pos="480"/>
        </w:tabs>
        <w:autoSpaceDE w:val="false"/>
        <w:snapToGrid w:val="false"/>
        <w:spacing w:lineRule="exact" w:line="480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附件四、精神復健機構評鑑成績核算方式與合格基準</w:t>
      </w:r>
      <w:r>
        <w:br w:type="page"/>
      </w:r>
    </w:p>
    <w:p>
      <w:pPr>
        <w:pStyle w:val="BodyText"/>
        <w:widowControl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32"/>
        </w:rPr>
        <w:t>附件一、精神復健機構評鑑申請書</w: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4937760</wp:posOffset>
                </wp:positionH>
                <wp:positionV relativeFrom="paragraph">
                  <wp:posOffset>-7620</wp:posOffset>
                </wp:positionV>
                <wp:extent cx="1223645" cy="457200"/>
                <wp:effectExtent l="0" t="0" r="0" b="0"/>
                <wp:wrapNone/>
                <wp:docPr id="3" name="文字方塊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457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35pt;height:36pt;mso-wrap-distance-left:0pt;mso-wrap-distance-right:0pt;mso-wrap-distance-top:0pt;mso-wrap-distance-bottom:0pt;margin-top:-0.6pt;mso-position-vertical-relative:text;margin-left:388.8pt;mso-position-horizontal-relative:text">
                <v:textbox>
                  <w:txbxContent>
                    <w:p>
                      <w:pPr>
                        <w:pStyle w:val="BodyText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  <w:u w:val="single"/>
                        </w:rPr>
                        <w:t xml:space="preserve">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9555" w:type="dxa"/>
        <w:jc w:val="left"/>
        <w:tblInd w:w="-15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3263"/>
        <w:gridCol w:w="451"/>
        <w:gridCol w:w="1762"/>
        <w:gridCol w:w="582"/>
        <w:gridCol w:w="45"/>
        <w:gridCol w:w="3452"/>
      </w:tblGrid>
      <w:tr>
        <w:trPr>
          <w:trHeight w:val="4720" w:hRule="atLeast"/>
        </w:trPr>
        <w:tc>
          <w:tcPr>
            <w:tcW w:w="9555" w:type="dxa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BodyText"/>
              <w:spacing w:lineRule="auto" w:line="480"/>
              <w:ind w:right="-43" w:firstLine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本機構申請參加貴部辦理之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年度精神復健機構評鑑，並願意主動提供評鑑所需資料及配合各項評鑑作業；有關本機構開業登記事項查證回復單，另案送請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縣（市）政府衛生局查證，敬請　鑒核。</w:t>
            </w:r>
          </w:p>
          <w:p>
            <w:pPr>
              <w:pStyle w:val="BodyText"/>
              <w:spacing w:lineRule="auto" w:line="480"/>
              <w:ind w:firstLine="792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此     致</w:t>
            </w:r>
          </w:p>
          <w:p>
            <w:pPr>
              <w:pStyle w:val="BodyText"/>
              <w:spacing w:lineRule="auto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衛生福利部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申請機構名稱（全銜）：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申請機構代碼（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碼）：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申請評鑑類別：</w:t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</w:tc>
        <w:tc>
          <w:tcPr>
            <w:tcW w:w="582" w:type="dxa"/>
            <w:tcBorders/>
            <w:vAlign w:val="center"/>
          </w:tcPr>
          <w:p>
            <w:pPr>
              <w:pStyle w:val="BodyText"/>
              <w:tabs>
                <w:tab w:val="clear" w:pos="480"/>
              </w:tabs>
              <w:spacing w:lineRule="atLeast" w:line="0"/>
              <w:ind w:left="-1" w:hanging="196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97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住宿型機構</w:t>
            </w:r>
          </w:p>
        </w:tc>
      </w:tr>
      <w:tr>
        <w:trPr>
          <w:trHeight w:val="60" w:hRule="atLeast"/>
        </w:trPr>
        <w:tc>
          <w:tcPr>
            <w:tcW w:w="3263" w:type="dxa"/>
            <w:vMerge w:val="restart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最近一次評鑑結果：</w:t>
            </w:r>
          </w:p>
        </w:tc>
        <w:tc>
          <w:tcPr>
            <w:tcW w:w="451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</w:t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日間型機構評鑑合格</w:t>
            </w:r>
          </w:p>
        </w:tc>
      </w:tr>
      <w:tr>
        <w:trPr>
          <w:trHeight w:val="134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日間型機構評鑑不合格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住宿型機構評鑑不合格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複評後合格</w:t>
            </w:r>
          </w:p>
        </w:tc>
      </w:tr>
      <w:tr>
        <w:trPr>
          <w:trHeight w:val="567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5841" w:type="dxa"/>
            <w:gridSpan w:val="4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新申請機構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負責人簽章：</w:t>
            </w:r>
          </w:p>
        </w:tc>
        <w:tc>
          <w:tcPr>
            <w:tcW w:w="2795" w:type="dxa"/>
            <w:gridSpan w:val="3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497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請蓋關防及負責人章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聯絡人（職稱）：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地址：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電話：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1641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傳真：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425" w:hRule="atLeast"/>
        </w:trPr>
        <w:tc>
          <w:tcPr>
            <w:tcW w:w="9555" w:type="dxa"/>
            <w:gridSpan w:val="6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中華民國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</w:tc>
      </w:tr>
    </w:tbl>
    <w:p>
      <w:pPr>
        <w:pStyle w:val="BodyText"/>
        <w:widowControl/>
        <w:rPr>
          <w:rStyle w:val="Style14"/>
          <w:rFonts w:ascii="Times New Roman" w:hAnsi="Times New Roman" w:eastAsia="標楷體"/>
          <w:sz w:val="28"/>
          <w:szCs w:val="20"/>
          <w:u w:val="single"/>
        </w:rPr>
      </w:pPr>
      <w:r>
        <w:br w:type="page"/>
      </w: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4555490</wp:posOffset>
                </wp:positionH>
                <wp:positionV relativeFrom="paragraph">
                  <wp:posOffset>-114935</wp:posOffset>
                </wp:positionV>
                <wp:extent cx="1410970" cy="342900"/>
                <wp:effectExtent l="0" t="0" r="0" b="0"/>
                <wp:wrapNone/>
                <wp:docPr id="4" name="Text Box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1pt;height:27pt;mso-wrap-distance-left:0pt;mso-wrap-distance-right:0pt;mso-wrap-distance-top:0pt;mso-wrap-distance-bottom:0pt;margin-top:-9.05pt;mso-position-vertical-relative:text;margin-left:358.7pt;mso-position-horizontal-relative:text">
                <v:textbox>
                  <w:txbxContent>
                    <w:p>
                      <w:pPr>
                        <w:pStyle w:val="BodyText"/>
                        <w:spacing w:lineRule="atLeast" w:line="0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413"/>
      </w:tblGrid>
      <w:tr>
        <w:trPr/>
        <w:tc>
          <w:tcPr>
            <w:tcW w:w="94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附件二、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108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年度精神復健機構開業登記事項查證回復單</w:t>
            </w:r>
          </w:p>
          <w:p>
            <w:pPr>
              <w:pStyle w:val="BodyText"/>
              <w:spacing w:lineRule="exact" w:line="40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本機構參加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年度精神復健機構評鑑，設置類別為：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日間型機構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請就本機構之開業情形、負責人、專任管理人員、專業人員及核可服務量等資料予以查證，並請將結果通知財團法人醫院評鑑暨醫療品質策進會。</w:t>
            </w:r>
          </w:p>
          <w:p>
            <w:pPr>
              <w:pStyle w:val="Style29"/>
              <w:spacing w:lineRule="exact" w:line="400"/>
              <w:jc w:val="left"/>
              <w:rPr/>
            </w:pPr>
            <w:r>
              <w:rPr>
                <w:rStyle w:val="Style14"/>
                <w:szCs w:val="28"/>
                <w:lang w:val="en-US" w:eastAsia="zh-TW"/>
              </w:rPr>
              <w:t>此致</w:t>
            </w:r>
            <w:r>
              <w:rPr>
                <w:rStyle w:val="Style14"/>
                <w:szCs w:val="28"/>
                <w:lang w:val="en-US" w:eastAsia="zh-TW"/>
              </w:rPr>
              <w:br/>
            </w:r>
            <w:r>
              <w:rPr>
                <w:rStyle w:val="Style14"/>
                <w:rFonts w:ascii="標楷體" w:hAnsi="標楷體"/>
                <w:sz w:val="20"/>
                <w:u w:val="single"/>
              </w:rPr>
              <w:t>○○</w:t>
            </w:r>
            <w:r>
              <w:rPr>
                <w:rStyle w:val="Style14"/>
                <w:szCs w:val="28"/>
                <w:lang w:val="en-US" w:eastAsia="zh-TW"/>
              </w:rPr>
              <w:t xml:space="preserve">縣（市）衛生局 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申請機構：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              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負責人：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（請蓋關防及負責人章）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填表人簽章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: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  <w:u w:val="single"/>
              </w:rPr>
              <w:t xml:space="preserve">                </w:t>
            </w:r>
          </w:p>
        </w:tc>
      </w:tr>
    </w:tbl>
    <w:p>
      <w:pPr>
        <w:pStyle w:val="BodyText"/>
        <w:snapToGrid w:val="false"/>
        <w:spacing w:lineRule="atLeast" w:line="240" w:before="180" w:after="0"/>
        <w:jc w:val="both"/>
        <w:rPr/>
      </w:pPr>
      <w:r>
        <w:rPr>
          <w:rStyle w:val="Style14"/>
          <w:rFonts w:ascii="新細明體" w:hAnsi="新細明體" w:cs="新細明體"/>
          <w:sz w:val="28"/>
          <w:szCs w:val="28"/>
        </w:rPr>
        <w:t>◎</w:t>
      </w:r>
      <w:r>
        <w:rPr>
          <w:rStyle w:val="Style14"/>
          <w:rFonts w:ascii="Times New Roman" w:hAnsi="Times New Roman" w:eastAsia="標楷體"/>
          <w:sz w:val="28"/>
          <w:szCs w:val="28"/>
        </w:rPr>
        <w:t>查證機構下列資料是否與衛生局登記之資料相符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73"/>
        <w:gridCol w:w="1079"/>
        <w:gridCol w:w="2133"/>
        <w:gridCol w:w="1546"/>
        <w:gridCol w:w="1666"/>
        <w:gridCol w:w="2016"/>
      </w:tblGrid>
      <w:tr>
        <w:trPr>
          <w:tblHeader w:val="true"/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項 目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本機構填報資料（機構填寫）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該機構登記資料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查證結果</w:t>
            </w:r>
          </w:p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機構屬性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公立機構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醫療法人附設機構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私立機構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醫療機構附設機構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公立機構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醫療法人附設機構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私立機構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醫療機構附設機構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設置類別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執業登記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是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否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是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否 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機構代碼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1235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登記開業日期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原始發照日期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377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年   月   日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年   月   日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663" w:hRule="atLeast"/>
        </w:trPr>
        <w:tc>
          <w:tcPr>
            <w:tcW w:w="9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負責人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2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1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238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 　</w:t>
            </w:r>
          </w:p>
          <w:p>
            <w:pPr>
              <w:pStyle w:val="BodyText"/>
              <w:snapToGrid w:val="false"/>
              <w:spacing w:lineRule="exact" w:line="400"/>
              <w:ind w:firstLine="238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     時數／每週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以下機構請勾選：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未抵任兼任專業人員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8" w:hanging="16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snapToGrid w:val="false"/>
              <w:spacing w:lineRule="exact" w:line="400"/>
              <w:ind w:firstLine="25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_____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1519" w:hanging="126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時數／每週</w:t>
            </w:r>
          </w:p>
        </w:tc>
        <w:tc>
          <w:tcPr>
            <w:tcW w:w="20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9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專任管理人員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6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位　　　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420" w:hanging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位　　　     </w:t>
            </w:r>
          </w:p>
        </w:tc>
        <w:tc>
          <w:tcPr>
            <w:tcW w:w="2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423" w:hRule="atLeast"/>
        </w:trPr>
        <w:tc>
          <w:tcPr>
            <w:tcW w:w="9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tbl>
            <w:tblPr>
              <w:tblW w:w="2972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13"/>
              <w:gridCol w:w="709"/>
              <w:gridCol w:w="850"/>
            </w:tblGrid>
            <w:tr>
              <w:trPr>
                <w:trHeight w:val="583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  <w:tbl>
            <w:tblPr>
              <w:tblW w:w="3004" w:type="dxa"/>
              <w:jc w:val="left"/>
              <w:tblInd w:w="2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87"/>
              <w:gridCol w:w="567"/>
              <w:gridCol w:w="850"/>
            </w:tblGrid>
            <w:tr>
              <w:trPr>
                <w:trHeight w:val="583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專業人員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119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29"/>
              <w:gridCol w:w="430"/>
              <w:gridCol w:w="563"/>
              <w:gridCol w:w="997"/>
            </w:tblGrid>
            <w:tr>
              <w:trPr/>
              <w:tc>
                <w:tcPr>
                  <w:tcW w:w="11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43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>
                <w:trHeight w:val="834" w:hRule="atLeast"/>
              </w:trPr>
              <w:tc>
                <w:tcPr>
                  <w:tcW w:w="1129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430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118" w:type="dxa"/>
              <w:jc w:val="left"/>
              <w:tblInd w:w="2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567"/>
              <w:gridCol w:w="396"/>
              <w:gridCol w:w="850"/>
            </w:tblGrid>
            <w:tr>
              <w:trPr/>
              <w:tc>
                <w:tcPr>
                  <w:tcW w:w="13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2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/>
              <w:tc>
                <w:tcPr>
                  <w:tcW w:w="1305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衛　生　局核可服務量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總樓地板面積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firstLine="7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 xml:space="preserve">平均每床 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人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面積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72" w:firstLine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</w:tbl>
    <w:p>
      <w:pPr>
        <w:pStyle w:val="BodyText"/>
        <w:snapToGrid w:val="false"/>
        <w:rPr/>
      </w:pPr>
      <w:r>
        <w:rPr/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266"/>
        <w:gridCol w:w="3147"/>
      </w:tblGrid>
      <w:tr>
        <w:trPr>
          <w:trHeight w:val="20" w:hRule="atLeast"/>
        </w:trPr>
        <w:tc>
          <w:tcPr>
            <w:tcW w:w="9413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 w:cs="新細明體"/>
                <w:sz w:val="28"/>
                <w:szCs w:val="28"/>
              </w:rPr>
              <w:t>◎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綜合意見（衛生局填寫）</w:t>
            </w:r>
          </w:p>
        </w:tc>
      </w:tr>
      <w:tr>
        <w:trPr>
          <w:trHeight w:val="20" w:hRule="atLeast"/>
        </w:trPr>
        <w:tc>
          <w:tcPr>
            <w:tcW w:w="941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綜合上述資料該機構：</w:t>
            </w:r>
          </w:p>
          <w:p>
            <w:pPr>
              <w:pStyle w:val="BodyText"/>
              <w:numPr>
                <w:ilvl w:val="0"/>
                <w:numId w:val="14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符合精神復健機構設置標準</w:t>
            </w:r>
          </w:p>
          <w:p>
            <w:pPr>
              <w:pStyle w:val="BodyText"/>
              <w:numPr>
                <w:ilvl w:val="0"/>
                <w:numId w:val="14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不符合精神復健機構設置標準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請說明：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 ）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該機構是否屬新設立機構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：</w:t>
            </w:r>
          </w:p>
          <w:p>
            <w:pPr>
              <w:pStyle w:val="BodyText"/>
              <w:numPr>
                <w:ilvl w:val="0"/>
                <w:numId w:val="15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是，請勾選以下原因：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567" w:firstLine="14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Fonts w:ascii="標楷體" w:hAnsi="標楷體" w:eastAsia="標楷體"/>
                <w:sz w:val="28"/>
                <w:szCs w:val="28"/>
              </w:rPr>
              <w:t>首次設立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因故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歇業，由另一位負責人，於原址重新申請開業者（即俗稱變更負責人）。</w:t>
            </w:r>
          </w:p>
          <w:p>
            <w:pPr>
              <w:pStyle w:val="BodyText"/>
              <w:numPr>
                <w:ilvl w:val="0"/>
                <w:numId w:val="15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否，惟自前次評鑑迄今，期間有下列情形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請勾選，可複選，並填入次數及最近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次異動日期）：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遷移地址（機構名稱及負責人並無異動）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公立醫院附設機構變更負責人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89" w:firstLine="2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僅變更機構名稱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機構主體設施設備及工作人員並無異動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1274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擴充、增建及改建已變更原評鑑規模、範圍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以上均無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。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該機構於本局所登記之資料，業已輸入「醫事機構管理系統」中：</w:t>
            </w:r>
          </w:p>
          <w:p>
            <w:pPr>
              <w:pStyle w:val="BodyText"/>
              <w:numPr>
                <w:ilvl w:val="0"/>
                <w:numId w:val="16"/>
              </w:numPr>
              <w:tabs>
                <w:tab w:val="clear" w:pos="480"/>
                <w:tab w:val="left" w:pos="960" w:leader="none"/>
              </w:tabs>
              <w:spacing w:lineRule="exact" w:line="400"/>
              <w:ind w:left="960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已核實輸入</w:t>
            </w:r>
          </w:p>
          <w:p>
            <w:pPr>
              <w:pStyle w:val="BodyText"/>
              <w:numPr>
                <w:ilvl w:val="0"/>
                <w:numId w:val="16"/>
              </w:numPr>
              <w:tabs>
                <w:tab w:val="clear" w:pos="480"/>
                <w:tab w:val="left" w:pos="960" w:leader="none"/>
              </w:tabs>
              <w:spacing w:lineRule="exact" w:line="400"/>
              <w:ind w:left="960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未輸入（註：務請於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日內完成輸入，以免影響該機構之評鑑成績。）</w:t>
            </w:r>
          </w:p>
        </w:tc>
      </w:tr>
      <w:tr>
        <w:trPr>
          <w:trHeight w:val="20" w:hRule="atLeast"/>
        </w:trPr>
        <w:tc>
          <w:tcPr>
            <w:tcW w:w="9413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　　　　　　　        　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縣（市）衛生局</w:t>
            </w:r>
          </w:p>
        </w:tc>
      </w:tr>
      <w:tr>
        <w:trPr>
          <w:trHeight w:val="20" w:hRule="atLeast"/>
        </w:trPr>
        <w:tc>
          <w:tcPr>
            <w:tcW w:w="6266" w:type="dxa"/>
            <w:tcBorders>
              <w:lef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查證人員：</w:t>
            </w:r>
          </w:p>
        </w:tc>
        <w:tc>
          <w:tcPr>
            <w:tcW w:w="3147" w:type="dxa"/>
            <w:tcBorders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  <w:tr>
        <w:trPr>
          <w:trHeight w:val="20" w:hRule="atLeast"/>
        </w:trPr>
        <w:tc>
          <w:tcPr>
            <w:tcW w:w="62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業務主管：</w:t>
            </w:r>
          </w:p>
        </w:tc>
        <w:tc>
          <w:tcPr>
            <w:tcW w:w="314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</w:tbl>
    <w:p>
      <w:pPr>
        <w:pStyle w:val="BodyText"/>
        <w:tabs>
          <w:tab w:val="clear" w:pos="480"/>
        </w:tabs>
        <w:snapToGrid w:val="false"/>
        <w:spacing w:lineRule="atLeast" w:line="240"/>
        <w:ind w:left="560" w:hanging="56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註：</w:t>
      </w:r>
    </w:p>
    <w:p>
      <w:pPr>
        <w:pStyle w:val="BodyText"/>
        <w:numPr>
          <w:ilvl w:val="0"/>
          <w:numId w:val="17"/>
        </w:numPr>
        <w:tabs>
          <w:tab w:val="clear" w:pos="480"/>
          <w:tab w:val="left" w:pos="764" w:leader="none"/>
        </w:tabs>
        <w:snapToGrid w:val="false"/>
        <w:spacing w:lineRule="atLeast" w:line="240"/>
        <w:ind w:left="764" w:hanging="764"/>
        <w:jc w:val="both"/>
        <w:rPr/>
      </w:pPr>
      <w:r>
        <w:rPr>
          <w:rStyle w:val="Style14"/>
          <w:rFonts w:ascii="Times New Roman" w:hAnsi="Times New Roman" w:eastAsia="標楷體"/>
          <w:sz w:val="26"/>
          <w:szCs w:val="26"/>
        </w:rPr>
        <w:t>請確認該機構於貴局所登記之資料，業已輸入「</w:t>
      </w:r>
      <w:r>
        <w:rPr>
          <w:rStyle w:val="Style14"/>
          <w:rFonts w:ascii="Times New Roman" w:hAnsi="Times New Roman" w:eastAsia="標楷體"/>
          <w:b/>
          <w:sz w:val="26"/>
          <w:szCs w:val="26"/>
        </w:rPr>
        <w:t>醫事管理系統</w:t>
      </w:r>
      <w:r>
        <w:rPr>
          <w:rStyle w:val="Style14"/>
          <w:rFonts w:ascii="Times New Roman" w:hAnsi="Times New Roman" w:eastAsia="標楷體"/>
          <w:sz w:val="26"/>
          <w:szCs w:val="26"/>
        </w:rPr>
        <w:t>」中，以免影響該機構之評鑑成績。</w:t>
      </w:r>
    </w:p>
    <w:p>
      <w:pPr>
        <w:pStyle w:val="BodyText"/>
        <w:numPr>
          <w:ilvl w:val="0"/>
          <w:numId w:val="17"/>
        </w:numPr>
        <w:tabs>
          <w:tab w:val="clear" w:pos="480"/>
          <w:tab w:val="left" w:pos="764" w:leader="none"/>
        </w:tabs>
        <w:snapToGrid w:val="false"/>
        <w:spacing w:lineRule="atLeast" w:line="240"/>
        <w:ind w:left="764" w:hanging="764"/>
        <w:jc w:val="both"/>
        <w:rPr/>
      </w:pPr>
      <w:r>
        <w:rPr>
          <w:rStyle w:val="Style14"/>
          <w:rFonts w:ascii="Times New Roman" w:hAnsi="Times New Roman" w:eastAsia="標楷體"/>
          <w:sz w:val="26"/>
          <w:szCs w:val="26"/>
        </w:rPr>
        <w:t>本回復單煩請貴局於</w:t>
      </w:r>
      <w:r>
        <w:rPr>
          <w:rStyle w:val="Style14"/>
          <w:rFonts w:ascii="標楷體" w:hAnsi="標楷體" w:eastAsia="標楷體"/>
          <w:sz w:val="26"/>
          <w:szCs w:val="26"/>
        </w:rPr>
        <w:t>○○○</w:t>
      </w:r>
      <w:r>
        <w:rPr>
          <w:rStyle w:val="Style14"/>
          <w:rFonts w:ascii="Times New Roman" w:hAnsi="Times New Roman" w:eastAsia="標楷體"/>
          <w:sz w:val="26"/>
          <w:szCs w:val="26"/>
        </w:rPr>
        <w:t>年</w:t>
      </w:r>
      <w:r>
        <w:rPr>
          <w:rStyle w:val="Style14"/>
          <w:rFonts w:ascii="標楷體" w:hAnsi="標楷體" w:eastAsia="標楷體"/>
          <w:sz w:val="26"/>
          <w:szCs w:val="26"/>
        </w:rPr>
        <w:t>○○</w:t>
      </w:r>
      <w:r>
        <w:rPr>
          <w:rStyle w:val="Style14"/>
          <w:rFonts w:ascii="Times New Roman" w:hAnsi="Times New Roman" w:eastAsia="標楷體"/>
          <w:sz w:val="26"/>
          <w:szCs w:val="26"/>
        </w:rPr>
        <w:t>月</w:t>
      </w:r>
      <w:r>
        <w:rPr>
          <w:rStyle w:val="Style14"/>
          <w:rFonts w:ascii="標楷體" w:hAnsi="標楷體" w:eastAsia="標楷體"/>
          <w:sz w:val="26"/>
          <w:szCs w:val="26"/>
        </w:rPr>
        <w:t>○○</w:t>
      </w:r>
      <w:r>
        <w:rPr>
          <w:rStyle w:val="Style14"/>
          <w:rFonts w:ascii="Times New Roman" w:hAnsi="Times New Roman" w:eastAsia="標楷體"/>
          <w:sz w:val="26"/>
          <w:szCs w:val="26"/>
        </w:rPr>
        <w:t>日前逕寄財團法人醫院評鑑暨醫療品質策進會（</w:t>
      </w:r>
      <w:r>
        <w:rPr>
          <w:rStyle w:val="Style14"/>
          <w:rFonts w:eastAsia="標楷體" w:ascii="Times New Roman" w:hAnsi="Times New Roman"/>
          <w:sz w:val="26"/>
          <w:szCs w:val="26"/>
        </w:rPr>
        <w:t xml:space="preserve">220 </w:t>
      </w:r>
      <w:r>
        <w:rPr>
          <w:rStyle w:val="Style14"/>
          <w:rFonts w:ascii="Times New Roman" w:hAnsi="Times New Roman" w:eastAsia="標楷體"/>
          <w:sz w:val="26"/>
          <w:szCs w:val="26"/>
        </w:rPr>
        <w:t>新北市板橋區三民路二段</w:t>
      </w:r>
      <w:r>
        <w:rPr>
          <w:rStyle w:val="Style14"/>
          <w:rFonts w:eastAsia="標楷體" w:ascii="Times New Roman" w:hAnsi="Times New Roman"/>
          <w:sz w:val="26"/>
          <w:szCs w:val="26"/>
        </w:rPr>
        <w:t xml:space="preserve">31 </w:t>
      </w:r>
      <w:r>
        <w:rPr>
          <w:rStyle w:val="Style14"/>
          <w:rFonts w:ascii="Times New Roman" w:hAnsi="Times New Roman" w:eastAsia="標楷體"/>
          <w:sz w:val="26"/>
          <w:szCs w:val="26"/>
        </w:rPr>
        <w:t>號</w:t>
      </w:r>
      <w:r>
        <w:rPr>
          <w:rStyle w:val="Style14"/>
          <w:rFonts w:eastAsia="標楷體" w:ascii="Times New Roman" w:hAnsi="Times New Roman"/>
          <w:sz w:val="26"/>
          <w:szCs w:val="26"/>
        </w:rPr>
        <w:t xml:space="preserve">5 </w:t>
      </w:r>
      <w:r>
        <w:rPr>
          <w:rStyle w:val="Style14"/>
          <w:rFonts w:ascii="Times New Roman" w:hAnsi="Times New Roman" w:eastAsia="標楷體"/>
          <w:sz w:val="26"/>
          <w:szCs w:val="26"/>
        </w:rPr>
        <w:t>樓）彙辦，以符合機構申請評鑑時效。</w:t>
      </w:r>
    </w:p>
    <w:p>
      <w:pPr>
        <w:pStyle w:val="BodyText"/>
        <w:jc w:val="center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</w:tabs>
        <w:ind w:left="284" w:hanging="0"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20"/>
        </w:rPr>
        <w:t>附件三、</w:t>
      </w:r>
      <w:r>
        <w:rPr>
          <w:rStyle w:val="Style14"/>
          <w:rFonts w:eastAsia="標楷體" w:ascii="Times New Roman" w:hAnsi="Times New Roman"/>
          <w:b/>
          <w:sz w:val="32"/>
          <w:szCs w:val="20"/>
        </w:rPr>
        <w:t>108</w:t>
      </w:r>
      <w:r>
        <w:rPr>
          <w:rStyle w:val="Style14"/>
          <w:rFonts w:ascii="Times New Roman" w:hAnsi="Times New Roman" w:eastAsia="標楷體"/>
          <w:b/>
          <w:sz w:val="32"/>
          <w:szCs w:val="20"/>
        </w:rPr>
        <w:t>年度精神復健機構實地評鑑進行方式及時間分配表</w:t>
      </w:r>
    </w:p>
    <w:tbl>
      <w:tblPr>
        <w:tblW w:w="9067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98"/>
        <w:gridCol w:w="2011"/>
        <w:gridCol w:w="1958"/>
      </w:tblGrid>
      <w:tr>
        <w:trPr>
          <w:trHeight w:val="70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進 行 程 序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時間分配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備註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會前會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20-30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一、負責人致詞及介紹陪評人員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二、召集委員致詞並介紹評鑑委員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三、機構簡報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四、實地查證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60-90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1</w:t>
            </w:r>
            <w:r>
              <w:rPr>
                <w:rFonts w:ascii="Times New Roman" w:hAnsi="Times New Roman" w:eastAsia="標楷體"/>
                <w:szCs w:val="24"/>
              </w:rPr>
              <w:t>、</w:t>
            </w:r>
            <w:r>
              <w:rPr>
                <w:rFonts w:eastAsia="標楷體" w:ascii="Times New Roman" w:hAnsi="Times New Roman"/>
                <w:szCs w:val="24"/>
              </w:rPr>
              <w:t>2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五、機構代表面談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3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六、陪同人員報告及交換意見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4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七、委員整理資料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5</w:t>
            </w:r>
          </w:p>
        </w:tc>
      </w:tr>
      <w:tr>
        <w:trPr>
          <w:trHeight w:val="80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八、綜合討論</w:t>
            </w:r>
          </w:p>
          <w:p>
            <w:pPr>
              <w:pStyle w:val="BodyText"/>
              <w:numPr>
                <w:ilvl w:val="0"/>
                <w:numId w:val="18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衛生局查證報告</w:t>
            </w:r>
          </w:p>
          <w:p>
            <w:pPr>
              <w:pStyle w:val="BodyText"/>
              <w:numPr>
                <w:ilvl w:val="0"/>
                <w:numId w:val="18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相關單位查證</w:t>
            </w:r>
            <w:r>
              <w:rPr>
                <w:rFonts w:eastAsia="標楷體" w:ascii="Times New Roman" w:hAnsi="Times New Roman"/>
                <w:sz w:val="30"/>
                <w:szCs w:val="30"/>
              </w:rPr>
              <w:t>(</w:t>
            </w:r>
            <w:r>
              <w:rPr>
                <w:rFonts w:ascii="Times New Roman" w:hAnsi="Times New Roman" w:eastAsia="標楷體"/>
                <w:sz w:val="30"/>
                <w:szCs w:val="30"/>
              </w:rPr>
              <w:t>檢查結果</w:t>
            </w:r>
            <w:r>
              <w:rPr>
                <w:rFonts w:eastAsia="標楷體" w:ascii="Times New Roman" w:hAnsi="Times New Roman"/>
                <w:sz w:val="30"/>
                <w:szCs w:val="30"/>
              </w:rPr>
              <w:t>)</w:t>
            </w:r>
            <w:r>
              <w:rPr>
                <w:rFonts w:ascii="Times New Roman" w:hAnsi="Times New Roman" w:eastAsia="標楷體"/>
                <w:sz w:val="30"/>
                <w:szCs w:val="30"/>
              </w:rPr>
              <w:t>報告</w:t>
            </w:r>
          </w:p>
          <w:p>
            <w:pPr>
              <w:pStyle w:val="BodyText"/>
              <w:numPr>
                <w:ilvl w:val="0"/>
                <w:numId w:val="18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委員講評</w:t>
            </w:r>
          </w:p>
          <w:p>
            <w:pPr>
              <w:pStyle w:val="BodyText"/>
              <w:numPr>
                <w:ilvl w:val="0"/>
                <w:numId w:val="18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受評機構提出說明或意見交換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6</w:t>
            </w:r>
          </w:p>
        </w:tc>
      </w:tr>
      <w:tr>
        <w:trPr>
          <w:trHeight w:val="80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right="-33" w:hanging="0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合計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180-210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</w:tbl>
    <w:p>
      <w:pPr>
        <w:pStyle w:val="BodyText"/>
        <w:snapToGrid w:val="false"/>
        <w:rPr/>
      </w:pPr>
      <w:r>
        <w:rPr>
          <w:rStyle w:val="Style14"/>
          <w:rFonts w:ascii="標楷體" w:hAnsi="標楷體" w:eastAsia="標楷體"/>
          <w:sz w:val="22"/>
        </w:rPr>
        <w:t>說</w:t>
      </w:r>
      <w:r>
        <w:rPr>
          <w:rStyle w:val="Style14"/>
          <w:rFonts w:ascii="Times New Roman" w:hAnsi="Times New Roman" w:eastAsia="標楷體"/>
          <w:sz w:val="22"/>
        </w:rPr>
        <w:t>明：停留於機構時間以</w:t>
      </w:r>
      <w:r>
        <w:rPr>
          <w:rStyle w:val="Style14"/>
          <w:rFonts w:eastAsia="標楷體" w:ascii="Times New Roman" w:hAnsi="Times New Roman"/>
          <w:sz w:val="22"/>
        </w:rPr>
        <w:t>3-3.5</w:t>
      </w:r>
      <w:r>
        <w:rPr>
          <w:rStyle w:val="Style14"/>
          <w:rFonts w:ascii="Times New Roman" w:hAnsi="Times New Roman" w:eastAsia="標楷體"/>
          <w:sz w:val="22"/>
        </w:rPr>
        <w:t>小時為原則</w:t>
      </w:r>
      <w:r>
        <w:rPr>
          <w:rStyle w:val="Style14"/>
          <w:rFonts w:ascii="標楷體" w:hAnsi="標楷體" w:eastAsia="標楷體"/>
          <w:sz w:val="22"/>
        </w:rPr>
        <w:t>。</w:t>
      </w:r>
    </w:p>
    <w:p>
      <w:pPr>
        <w:pStyle w:val="BodyText"/>
        <w:snapToGrid w:val="false"/>
        <w:spacing w:lineRule="auto" w:line="300"/>
        <w:rPr>
          <w:rFonts w:ascii="Times New Roman" w:hAnsi="Times New Roman" w:eastAsia="標楷體"/>
          <w:b/>
          <w:sz w:val="26"/>
          <w:szCs w:val="26"/>
        </w:rPr>
      </w:pPr>
      <w:r>
        <w:rPr>
          <w:rFonts w:ascii="Times New Roman" w:hAnsi="Times New Roman" w:eastAsia="標楷體"/>
          <w:b/>
          <w:sz w:val="26"/>
          <w:szCs w:val="26"/>
        </w:rPr>
        <w:t>備註：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spacing w:lineRule="auto" w:line="300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1</w:t>
      </w:r>
      <w:r>
        <w:rPr>
          <w:rFonts w:ascii="Times New Roman" w:hAnsi="Times New Roman" w:eastAsia="標楷體"/>
          <w:szCs w:val="26"/>
        </w:rPr>
        <w:t>、實地評鑑期間，為利評鑑委員進行訪談，請貴機構配合勿安排住民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學員團體外出活動（如郊遊、參訪等），並不得拒絕委員訪視依常規外出之住民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學員。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spacing w:lineRule="auto" w:line="300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2</w:t>
      </w:r>
      <w:r>
        <w:rPr>
          <w:rFonts w:ascii="Times New Roman" w:hAnsi="Times New Roman" w:eastAsia="標楷體"/>
          <w:szCs w:val="26"/>
        </w:rPr>
        <w:t>、評鑑委員查證時，請機構指派業務相關同仁陪同並備詢，惟以不影響作業正常運作為原則。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spacing w:lineRule="auto" w:line="300"/>
        <w:ind w:left="600" w:hanging="360"/>
        <w:rPr/>
      </w:pPr>
      <w:r>
        <w:rPr>
          <w:rStyle w:val="Style14"/>
          <w:rFonts w:eastAsia="標楷體" w:ascii="Times New Roman" w:hAnsi="Times New Roman"/>
          <w:szCs w:val="26"/>
        </w:rPr>
        <w:t>3</w:t>
      </w:r>
      <w:r>
        <w:rPr>
          <w:rStyle w:val="Style14"/>
          <w:rFonts w:ascii="Times New Roman" w:hAnsi="Times New Roman" w:eastAsia="標楷體"/>
          <w:szCs w:val="26"/>
        </w:rPr>
        <w:t>、機構面談人員由委員現場決定</w:t>
      </w:r>
      <w:r>
        <w:rPr>
          <w:rStyle w:val="Style14"/>
          <w:rFonts w:ascii="標楷體" w:hAnsi="標楷體" w:eastAsia="標楷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列席人數以</w:t>
      </w:r>
      <w:r>
        <w:rPr>
          <w:rStyle w:val="Style14"/>
          <w:rFonts w:eastAsia="標楷體" w:ascii="Times New Roman" w:hAnsi="Times New Roman"/>
          <w:szCs w:val="26"/>
        </w:rPr>
        <w:t>2</w:t>
      </w:r>
      <w:r>
        <w:rPr>
          <w:rStyle w:val="Style14"/>
          <w:rFonts w:ascii="Times New Roman" w:hAnsi="Times New Roman" w:eastAsia="標楷體"/>
          <w:szCs w:val="26"/>
        </w:rPr>
        <w:t>至</w:t>
      </w:r>
      <w:r>
        <w:rPr>
          <w:rStyle w:val="Style14"/>
          <w:rFonts w:eastAsia="標楷體" w:ascii="Times New Roman" w:hAnsi="Times New Roman"/>
          <w:szCs w:val="26"/>
        </w:rPr>
        <w:t>3</w:t>
      </w:r>
      <w:r>
        <w:rPr>
          <w:rStyle w:val="Style14"/>
          <w:rFonts w:ascii="Times New Roman" w:hAnsi="Times New Roman" w:eastAsia="標楷體"/>
          <w:szCs w:val="26"/>
        </w:rPr>
        <w:t>人為原則，列席對象以</w:t>
      </w:r>
      <w:r>
        <w:rPr>
          <w:rStyle w:val="Style14"/>
          <w:rFonts w:ascii="標楷體" w:hAnsi="標楷體" w:eastAsia="標楷體"/>
          <w:szCs w:val="26"/>
        </w:rPr>
        <w:t>負責人、機構經營者為主。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spacing w:lineRule="auto" w:line="300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4</w:t>
      </w:r>
      <w:r>
        <w:rPr>
          <w:rFonts w:ascii="Times New Roman" w:hAnsi="Times New Roman" w:eastAsia="標楷體"/>
          <w:szCs w:val="26"/>
        </w:rPr>
        <w:t>、陪同人員報告時段，受評機構同仁請迴避（實地評鑑陪同人員係指：衛生局代表、社會局代表、健保署代表、病人權益促進團體代表）。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spacing w:lineRule="auto" w:line="300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5</w:t>
      </w:r>
      <w:r>
        <w:rPr>
          <w:rFonts w:ascii="Times New Roman" w:hAnsi="Times New Roman" w:eastAsia="標楷體"/>
          <w:szCs w:val="26"/>
        </w:rPr>
        <w:t>、委員整理資料時段，陪同人員及受評機構同仁請迴避。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spacing w:lineRule="auto" w:line="300"/>
        <w:ind w:left="600" w:hanging="360"/>
        <w:rPr/>
      </w:pPr>
      <w:r>
        <w:rPr>
          <w:rStyle w:val="Style14"/>
          <w:rFonts w:eastAsia="標楷體" w:ascii="Times New Roman" w:hAnsi="Times New Roman"/>
          <w:szCs w:val="26"/>
        </w:rPr>
        <w:t>6</w:t>
      </w:r>
      <w:r>
        <w:rPr>
          <w:rStyle w:val="Style14"/>
          <w:rFonts w:ascii="Times New Roman" w:hAnsi="Times New Roman" w:eastAsia="標楷體"/>
          <w:szCs w:val="26"/>
        </w:rPr>
        <w:t>、地方衛生局及相關單位</w:t>
      </w:r>
      <w:r>
        <w:rPr>
          <w:rStyle w:val="Style14"/>
          <w:rFonts w:eastAsia="標楷體" w:ascii="Times New Roman" w:hAnsi="Times New Roman"/>
          <w:szCs w:val="26"/>
        </w:rPr>
        <w:t>(</w:t>
      </w:r>
      <w:r>
        <w:rPr>
          <w:rStyle w:val="Style14"/>
          <w:rFonts w:ascii="Times New Roman" w:hAnsi="Times New Roman" w:eastAsia="標楷體"/>
          <w:szCs w:val="26"/>
        </w:rPr>
        <w:t>視需要邀請</w:t>
      </w:r>
      <w:r>
        <w:rPr>
          <w:rStyle w:val="Style14"/>
          <w:rFonts w:ascii="新細明體" w:hAnsi="新細明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如消防局等</w:t>
      </w:r>
      <w:r>
        <w:rPr>
          <w:rStyle w:val="Style14"/>
          <w:rFonts w:eastAsia="標楷體" w:ascii="Times New Roman" w:hAnsi="Times New Roman"/>
          <w:szCs w:val="26"/>
        </w:rPr>
        <w:t>)</w:t>
      </w:r>
      <w:r>
        <w:rPr>
          <w:rStyle w:val="Style14"/>
          <w:rFonts w:ascii="Times New Roman" w:hAnsi="Times New Roman" w:eastAsia="標楷體"/>
          <w:szCs w:val="26"/>
        </w:rPr>
        <w:t>代表</w:t>
      </w:r>
      <w:r>
        <w:rPr>
          <w:rStyle w:val="Style14"/>
          <w:rFonts w:ascii="新細明體" w:hAnsi="新細明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應配合進行口頭報告並提供實地查證</w:t>
      </w:r>
      <w:r>
        <w:rPr>
          <w:rStyle w:val="Style14"/>
          <w:rFonts w:eastAsia="標楷體" w:ascii="Times New Roman" w:hAnsi="Times New Roman"/>
          <w:szCs w:val="26"/>
        </w:rPr>
        <w:t>(</w:t>
      </w:r>
      <w:r>
        <w:rPr>
          <w:rStyle w:val="Style14"/>
          <w:rFonts w:ascii="Times New Roman" w:hAnsi="Times New Roman" w:eastAsia="標楷體"/>
          <w:szCs w:val="26"/>
        </w:rPr>
        <w:t>檢查結果</w:t>
      </w:r>
      <w:r>
        <w:rPr>
          <w:rStyle w:val="Style14"/>
          <w:rFonts w:eastAsia="標楷體" w:ascii="Times New Roman" w:hAnsi="Times New Roman"/>
          <w:szCs w:val="26"/>
        </w:rPr>
        <w:t>)</w:t>
      </w:r>
      <w:r>
        <w:rPr>
          <w:rStyle w:val="Style14"/>
          <w:rFonts w:ascii="Times New Roman" w:hAnsi="Times New Roman" w:eastAsia="標楷體"/>
          <w:szCs w:val="26"/>
        </w:rPr>
        <w:t>報告書面資料。</w:t>
      </w:r>
    </w:p>
    <w:p>
      <w:pPr>
        <w:pStyle w:val="BodyText"/>
        <w:snapToGrid w:val="false"/>
        <w:spacing w:lineRule="exact" w:line="240"/>
        <w:ind w:firstLine="651"/>
        <w:jc w:val="both"/>
        <w:rPr>
          <w:rFonts w:ascii="標楷體" w:hAnsi="標楷體" w:eastAsia="標楷體"/>
          <w:b/>
          <w:sz w:val="26"/>
          <w:szCs w:val="26"/>
        </w:rPr>
      </w:pPr>
      <w:r>
        <w:rPr>
          <w:rFonts w:eastAsia="標楷體" w:ascii="標楷體" w:hAnsi="標楷體"/>
          <w:b/>
          <w:sz w:val="26"/>
          <w:szCs w:val="26"/>
        </w:rPr>
      </w:r>
      <w:r>
        <w:br w:type="page"/>
      </w:r>
    </w:p>
    <w:p>
      <w:pPr>
        <w:pStyle w:val="BodyText"/>
        <w:widowControl/>
        <w:tabs>
          <w:tab w:val="clear" w:pos="480"/>
        </w:tabs>
        <w:ind w:left="0" w:hanging="283"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32"/>
        </w:rPr>
        <w:t>附件四、</w:t>
      </w:r>
      <w:r>
        <w:rPr>
          <w:rStyle w:val="Style14"/>
          <w:rFonts w:ascii="Times New Roman" w:hAnsi="Times New Roman" w:eastAsia="標楷體"/>
          <w:b/>
          <w:kern w:val="0"/>
          <w:sz w:val="32"/>
          <w:szCs w:val="32"/>
        </w:rPr>
        <w:t>精神復健機構評鑑成績核算方式與合格基準</w:t>
      </w:r>
    </w:p>
    <w:p>
      <w:pPr>
        <w:pStyle w:val="BodyText"/>
        <w:numPr>
          <w:ilvl w:val="0"/>
          <w:numId w:val="19"/>
        </w:numPr>
        <w:tabs>
          <w:tab w:val="clear" w:pos="480"/>
          <w:tab w:val="left" w:pos="1669" w:leader="none"/>
        </w:tabs>
        <w:autoSpaceDE w:val="false"/>
        <w:snapToGrid w:val="false"/>
        <w:spacing w:lineRule="exact" w:line="500"/>
        <w:ind w:left="1669" w:hanging="104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精神復健機構評鑑基準共分</w:t>
      </w:r>
      <w:r>
        <w:rPr>
          <w:rFonts w:eastAsia="標楷體" w:ascii="Times New Roman" w:hAnsi="Times New Roman"/>
          <w:sz w:val="28"/>
          <w:szCs w:val="28"/>
        </w:rPr>
        <w:t>3</w:t>
      </w:r>
      <w:r>
        <w:rPr>
          <w:rFonts w:ascii="Times New Roman" w:hAnsi="Times New Roman" w:eastAsia="標楷體"/>
          <w:sz w:val="28"/>
          <w:szCs w:val="28"/>
        </w:rPr>
        <w:t>大章，各章配分如下表：</w:t>
      </w:r>
    </w:p>
    <w:tbl>
      <w:tblPr>
        <w:tblW w:w="8647" w:type="dxa"/>
        <w:jc w:val="left"/>
        <w:tblInd w:w="59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821"/>
        <w:gridCol w:w="1842"/>
        <w:gridCol w:w="1984"/>
      </w:tblGrid>
      <w:tr>
        <w:trPr>
          <w:trHeight w:val="20" w:hRule="atLeast"/>
        </w:trPr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3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配分</w:t>
            </w:r>
          </w:p>
        </w:tc>
      </w:tr>
      <w:tr>
        <w:trPr>
          <w:trHeight w:val="20" w:hRule="atLeast"/>
        </w:trPr>
        <w:tc>
          <w:tcPr>
            <w:tcW w:w="48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45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第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章、經營管理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</w:tr>
      <w:tr>
        <w:trPr>
          <w:trHeight w:val="419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  <w:tr>
        <w:trPr>
          <w:trHeight w:val="42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30</w:t>
            </w:r>
          </w:p>
        </w:tc>
      </w:tr>
      <w:tr>
        <w:trPr>
          <w:trHeight w:val="417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總分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</w:tr>
    </w:tbl>
    <w:p>
      <w:pPr>
        <w:pStyle w:val="BodyText"/>
        <w:numPr>
          <w:ilvl w:val="0"/>
          <w:numId w:val="19"/>
        </w:numPr>
        <w:tabs>
          <w:tab w:val="clear" w:pos="480"/>
          <w:tab w:val="left" w:pos="1669" w:leader="none"/>
        </w:tabs>
        <w:autoSpaceDE w:val="false"/>
        <w:snapToGrid w:val="false"/>
        <w:spacing w:lineRule="exact" w:line="500" w:before="240" w:after="0"/>
        <w:ind w:left="1669" w:hanging="104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精神復健機構評鑑合格基準及成績核算方式：</w:t>
      </w:r>
    </w:p>
    <w:p>
      <w:pPr>
        <w:pStyle w:val="BodyText"/>
        <w:numPr>
          <w:ilvl w:val="2"/>
          <w:numId w:val="20"/>
        </w:numPr>
        <w:tabs>
          <w:tab w:val="clear" w:pos="480"/>
          <w:tab w:val="left" w:pos="2094" w:leader="none"/>
        </w:tabs>
        <w:autoSpaceDE w:val="false"/>
        <w:snapToGrid w:val="false"/>
        <w:spacing w:lineRule="exact" w:line="500"/>
        <w:ind w:left="2094" w:hanging="1330"/>
        <w:rPr>
          <w:rFonts w:ascii="Times New Roman" w:hAnsi="Times New Roman" w:eastAsia="標楷體"/>
          <w:kern w:val="0"/>
          <w:sz w:val="28"/>
          <w:szCs w:val="28"/>
          <w:shd w:fill="FFFFFF" w:val="clear"/>
        </w:rPr>
      </w:pP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精神復健機構評鑑基準分以「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D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」五級等級評量（分別為該項基準配分之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80%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40%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）及以「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」三級等級評量（分別為該項基準配分之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20%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）；評量基準達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以上（即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）者，該受評條文始為合格。</w:t>
      </w:r>
    </w:p>
    <w:p>
      <w:pPr>
        <w:pStyle w:val="BodyText"/>
        <w:numPr>
          <w:ilvl w:val="2"/>
          <w:numId w:val="20"/>
        </w:numPr>
        <w:tabs>
          <w:tab w:val="clear" w:pos="480"/>
          <w:tab w:val="left" w:pos="2094" w:leader="none"/>
        </w:tabs>
        <w:autoSpaceDE w:val="false"/>
        <w:snapToGrid w:val="false"/>
        <w:spacing w:lineRule="exact" w:line="500"/>
        <w:ind w:left="2094" w:hanging="1330"/>
        <w:rPr>
          <w:rFonts w:ascii="Times New Roman" w:hAnsi="Times New Roman" w:eastAsia="標楷體"/>
          <w:bCs/>
          <w:sz w:val="28"/>
          <w:szCs w:val="28"/>
        </w:rPr>
      </w:pPr>
      <w:r>
        <w:rPr>
          <w:rFonts w:ascii="Times New Roman" w:hAnsi="Times New Roman" w:eastAsia="標楷體"/>
          <w:bCs/>
          <w:sz w:val="28"/>
          <w:szCs w:val="28"/>
        </w:rPr>
        <w:t>評鑑基準分類統計表</w:t>
      </w:r>
    </w:p>
    <w:tbl>
      <w:tblPr>
        <w:tblW w:w="9803" w:type="dxa"/>
        <w:jc w:val="left"/>
        <w:tblInd w:w="16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26"/>
        <w:gridCol w:w="850"/>
        <w:gridCol w:w="1299"/>
        <w:gridCol w:w="992"/>
        <w:gridCol w:w="709"/>
        <w:gridCol w:w="829"/>
        <w:gridCol w:w="1297"/>
        <w:gridCol w:w="993"/>
        <w:gridCol w:w="708"/>
      </w:tblGrid>
      <w:tr>
        <w:trPr>
          <w:trHeight w:val="241" w:hRule="atLeast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76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條文數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5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3827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章、經營管理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8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9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13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合計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31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32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</w:tbl>
    <w:p>
      <w:pPr>
        <w:pStyle w:val="BodyText"/>
        <w:numPr>
          <w:ilvl w:val="2"/>
          <w:numId w:val="20"/>
        </w:numPr>
        <w:tabs>
          <w:tab w:val="clear" w:pos="480"/>
          <w:tab w:val="left" w:pos="2236" w:leader="none"/>
        </w:tabs>
        <w:autoSpaceDE w:val="false"/>
        <w:snapToGrid w:val="false"/>
        <w:spacing w:lineRule="exact" w:line="500"/>
        <w:ind w:left="2236" w:hanging="1472"/>
        <w:rPr>
          <w:rFonts w:ascii="Times New Roman" w:hAnsi="Times New Roman" w:eastAsia="標楷體"/>
          <w:bCs/>
          <w:sz w:val="28"/>
          <w:szCs w:val="28"/>
        </w:rPr>
      </w:pPr>
      <w:r>
        <w:rPr>
          <w:rFonts w:eastAsia="標楷體"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 w:eastAsia="標楷體"/>
          <w:bCs/>
          <w:sz w:val="28"/>
          <w:szCs w:val="28"/>
        </w:rPr>
        <w:t>精神復健機構評鑑合格基準：</w:t>
      </w:r>
    </w:p>
    <w:tbl>
      <w:tblPr>
        <w:tblW w:w="9354" w:type="dxa"/>
        <w:jc w:val="left"/>
        <w:tblInd w:w="52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2"/>
        <w:gridCol w:w="3259"/>
        <w:gridCol w:w="1843"/>
      </w:tblGrid>
      <w:tr>
        <w:trPr>
          <w:tblHeader w:val="true"/>
          <w:trHeight w:val="791" w:hRule="atLeast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項目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合格基準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right="-1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合格分數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佔總分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2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比例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重點條文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3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(C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以上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%)</w:t>
            </w:r>
          </w:p>
        </w:tc>
      </w:tr>
      <w:tr>
        <w:trPr>
          <w:trHeight w:val="637" w:hRule="atLeast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精神復健機構評鑑合格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住宿型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100%</w:t>
            </w:r>
          </w:p>
        </w:tc>
      </w:tr>
      <w:tr>
        <w:trPr>
          <w:trHeight w:val="637" w:hRule="atLeast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-103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精神復健機構評鑑合格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日間型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</w:tabs>
        <w:snapToGrid w:val="false"/>
        <w:ind w:left="566" w:right="240" w:hanging="0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註：</w:t>
      </w:r>
    </w:p>
    <w:p>
      <w:pPr>
        <w:pStyle w:val="BodyText"/>
        <w:numPr>
          <w:ilvl w:val="1"/>
          <w:numId w:val="21"/>
        </w:numPr>
        <w:tabs>
          <w:tab w:val="clear" w:pos="480"/>
          <w:tab w:val="left" w:pos="2944" w:leader="none"/>
        </w:tabs>
        <w:snapToGrid w:val="false"/>
        <w:ind w:left="2944" w:right="-84" w:hanging="76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精神復健機構評鑑合格分數係總分之</w:t>
      </w:r>
      <w:r>
        <w:rPr>
          <w:rFonts w:eastAsia="標楷體" w:ascii="Times New Roman" w:hAnsi="Times New Roman"/>
          <w:szCs w:val="24"/>
        </w:rPr>
        <w:t>60%</w:t>
      </w:r>
      <w:r>
        <w:rPr>
          <w:rFonts w:ascii="Times New Roman" w:hAnsi="Times New Roman" w:eastAsia="標楷體"/>
          <w:szCs w:val="24"/>
        </w:rPr>
        <w:t>。</w:t>
      </w:r>
    </w:p>
    <w:p>
      <w:pPr>
        <w:pStyle w:val="BodyText"/>
        <w:numPr>
          <w:ilvl w:val="1"/>
          <w:numId w:val="21"/>
        </w:numPr>
        <w:tabs>
          <w:tab w:val="clear" w:pos="480"/>
          <w:tab w:val="left" w:pos="2944" w:leader="none"/>
        </w:tabs>
        <w:snapToGrid w:val="false"/>
        <w:ind w:left="2944" w:right="-84" w:hanging="764"/>
        <w:rPr/>
      </w:pPr>
      <w:r>
        <w:rPr>
          <w:rStyle w:val="Style14"/>
          <w:rFonts w:ascii="Times New Roman" w:hAnsi="Times New Roman" w:eastAsia="標楷體"/>
          <w:szCs w:val="24"/>
        </w:rPr>
        <w:t>若有可免評</w:t>
      </w:r>
      <w:r>
        <w:rPr>
          <w:rStyle w:val="Style14"/>
          <w:rFonts w:ascii="Times New Roman" w:hAnsi="Times New Roman" w:eastAsia="標楷體"/>
          <w:kern w:val="0"/>
          <w:szCs w:val="24"/>
        </w:rPr>
        <w:t>條文</w:t>
      </w:r>
      <w:r>
        <w:rPr>
          <w:rStyle w:val="Style14"/>
          <w:rFonts w:ascii="Times New Roman" w:hAnsi="Times New Roman" w:eastAsia="標楷體"/>
          <w:szCs w:val="24"/>
        </w:rPr>
        <w:t>，</w:t>
      </w:r>
      <w:r>
        <w:rPr>
          <w:rStyle w:val="Style14"/>
          <w:rFonts w:ascii="Times New Roman" w:hAnsi="Times New Roman" w:eastAsia="標楷體"/>
          <w:kern w:val="0"/>
          <w:szCs w:val="24"/>
        </w:rPr>
        <w:t>則其總分係扣除可免評條文後，加總各受評條文配分計。</w:t>
      </w:r>
    </w:p>
    <w:p>
      <w:pPr>
        <w:pStyle w:val="BodyText"/>
        <w:numPr>
          <w:ilvl w:val="1"/>
          <w:numId w:val="21"/>
        </w:numPr>
        <w:tabs>
          <w:tab w:val="clear" w:pos="480"/>
          <w:tab w:val="left" w:pos="2944" w:leader="none"/>
        </w:tabs>
        <w:snapToGrid w:val="false"/>
        <w:ind w:left="2944" w:right="-84" w:hanging="76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另</w:t>
      </w:r>
      <w:r>
        <w:rPr>
          <w:rFonts w:eastAsia="標楷體" w:ascii="Times New Roman" w:hAnsi="Times New Roman"/>
          <w:szCs w:val="24"/>
        </w:rPr>
        <w:t>108</w:t>
      </w:r>
      <w:r>
        <w:rPr>
          <w:rFonts w:ascii="Times New Roman" w:hAnsi="Times New Roman" w:eastAsia="標楷體"/>
          <w:szCs w:val="24"/>
        </w:rPr>
        <w:t>年度精神復健機構評鑑基準之住宿型機構訂有重點條文項目，即基準「</w:t>
      </w:r>
      <w:r>
        <w:rPr>
          <w:rFonts w:eastAsia="標楷體" w:ascii="Times New Roman" w:hAnsi="Times New Roman"/>
          <w:szCs w:val="24"/>
        </w:rPr>
        <w:t>1.4</w:t>
      </w:r>
      <w:r>
        <w:rPr>
          <w:rFonts w:ascii="Times New Roman" w:hAnsi="Times New Roman" w:eastAsia="標楷體"/>
          <w:szCs w:val="24"/>
        </w:rPr>
        <w:t>適切的日、夜間人力配置」、「</w:t>
      </w:r>
      <w:r>
        <w:rPr>
          <w:rFonts w:eastAsia="標楷體" w:ascii="Times New Roman" w:hAnsi="Times New Roman"/>
          <w:szCs w:val="24"/>
        </w:rPr>
        <w:t>3.11</w:t>
      </w:r>
      <w:r>
        <w:rPr>
          <w:rFonts w:ascii="Times New Roman" w:hAnsi="Times New Roman" w:eastAsia="標楷體"/>
          <w:szCs w:val="24"/>
        </w:rPr>
        <w:t>維護住民出入自由」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條，前述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條重點條文得分，須全數達</w:t>
      </w:r>
      <w:r>
        <w:rPr>
          <w:rFonts w:eastAsia="標楷體" w:ascii="Times New Roman" w:hAnsi="Times New Roman"/>
          <w:szCs w:val="24"/>
        </w:rPr>
        <w:t>C</w:t>
      </w:r>
      <w:r>
        <w:rPr>
          <w:rFonts w:ascii="Times New Roman" w:hAnsi="Times New Roman" w:eastAsia="標楷體"/>
          <w:szCs w:val="24"/>
        </w:rPr>
        <w:t>以上，始為合格。</w:t>
      </w:r>
    </w:p>
    <w:p>
      <w:pPr>
        <w:pStyle w:val="BodyText"/>
        <w:numPr>
          <w:ilvl w:val="0"/>
          <w:numId w:val="19"/>
        </w:numPr>
        <w:tabs>
          <w:tab w:val="clear" w:pos="480"/>
          <w:tab w:val="left" w:pos="1669" w:leader="none"/>
        </w:tabs>
        <w:autoSpaceDE w:val="false"/>
        <w:snapToGrid w:val="false"/>
        <w:spacing w:lineRule="exact" w:line="500" w:before="240" w:after="0"/>
        <w:ind w:left="1669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機構若因業務關係、新設立、第一次申請評鑑或前次評鑑無建議改善事項時，下列評鑑條文得免評</w:t>
      </w: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：</w:t>
      </w:r>
    </w:p>
    <w:tbl>
      <w:tblPr>
        <w:tblW w:w="45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87"/>
        <w:gridCol w:w="1652"/>
        <w:gridCol w:w="1732"/>
      </w:tblGrid>
      <w:tr>
        <w:trPr>
          <w:trHeight w:val="345" w:hRule="atLeast"/>
        </w:trPr>
        <w:tc>
          <w:tcPr>
            <w:tcW w:w="5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評鑑條文</w:t>
            </w: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配分</w:t>
            </w:r>
          </w:p>
        </w:tc>
      </w:tr>
      <w:tr>
        <w:trPr>
          <w:trHeight w:val="291" w:hRule="atLeast"/>
        </w:trPr>
        <w:tc>
          <w:tcPr>
            <w:tcW w:w="508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日間型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住宿型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</w:tr>
      <w:tr>
        <w:trPr>
          <w:trHeight w:val="946" w:hRule="atLeast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1.2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專任工作人員人力穩定性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946" w:hRule="atLeast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1.9(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日間型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或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1.11(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住宿型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</w:p>
          <w:p>
            <w:pPr>
              <w:pStyle w:val="BodyText"/>
              <w:widowControl/>
              <w:snapToGrid w:val="false"/>
              <w:spacing w:lineRule="atLeast" w:line="240" w:before="90" w:after="90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前次評鑑建議事項辦理情形確實且具成效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946" w:hRule="atLeast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3.5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適切的復健基金管理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</w:p>
        </w:tc>
      </w:tr>
    </w:tbl>
    <w:p>
      <w:pPr>
        <w:pStyle w:val="BodyText"/>
        <w:tabs>
          <w:tab w:val="clear" w:pos="480"/>
        </w:tabs>
        <w:autoSpaceDE w:val="false"/>
        <w:snapToGrid w:val="false"/>
        <w:spacing w:lineRule="auto" w:line="360"/>
        <w:ind w:left="561" w:hanging="561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</w:r>
    </w:p>
    <w:sectPr>
      <w:footerReference w:type="default" r:id="rId4"/>
      <w:footerReference w:type="first" r:id="rId5"/>
      <w:type w:val="nextPage"/>
      <w:pgSz w:w="11907" w:h="16840"/>
      <w:pgMar w:left="1247" w:right="1247" w:gutter="0" w:header="0" w:top="1134" w:footer="1134" w:bottom="1622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細明體">
    <w:charset w:val="88"/>
    <w:family w:val="modern"/>
    <w:pitch w:val="fixed"/>
  </w:font>
  <w:font w:name="Times New Roman">
    <w:charset w:val="88"/>
    <w:family w:val="roman"/>
    <w:pitch w:val="variable"/>
  </w:font>
  <w:font w:name="Cambria">
    <w:charset w:val="88"/>
    <w:family w:val="roman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  <w:font w:name="Arial Unicode MS">
    <w:charset w:val="88"/>
    <w:family w:val="swiss"/>
    <w:pitch w:val="variable"/>
  </w:font>
  <w:font w:name="新細明體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</w:t>
    </w:r>
    <w:r>
      <w:rPr>
        <w:rStyle w:val="Style14"/>
        <w:lang w:val="zh-TW" w:eastAsia="zh-TW"/>
      </w:rPr>
      <w:fldChar w:fldCharType="end"/>
    </w:r>
  </w:p>
  <w:p>
    <w:pPr>
      <w:pStyle w:val="Footer"/>
      <w:jc w:val="center"/>
      <w:rPr>
        <w:rFonts w:eastAsia="標楷體"/>
      </w:rPr>
    </w:pPr>
    <w:r>
      <w:rPr>
        <w:rFonts w:eastAsia="標楷體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16</w:t>
    </w:r>
    <w:r>
      <w:rPr>
        <w:rStyle w:val="Style14"/>
        <w:lang w:val="zh-TW" w:eastAsia="zh-TW"/>
      </w:rPr>
      <w:fldChar w:fldCharType="end"/>
    </w:r>
  </w:p>
  <w:p>
    <w:pPr>
      <w:pStyle w:val="Footer"/>
      <w:jc w:val="center"/>
      <w:rPr>
        <w:rFonts w:eastAsia="標楷體"/>
      </w:rPr>
    </w:pPr>
    <w:r>
      <w:rPr>
        <w:rFonts w:eastAsia="標楷體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5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6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1243"/>
        </w:tabs>
        <w:ind w:left="1243" w:hanging="480"/>
      </w:pPr>
      <w:rPr>
        <w:sz w:val="28"/>
        <w:i w:val="false"/>
        <w:b w:val="false"/>
        <w:szCs w:val="28"/>
        <w:rFonts w:ascii="Times New Roman" w:hAnsi="Times New Roman" w:eastAsia="標楷體" w:cs="Times New Roman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7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8">
    <w:lvl w:ilvl="0">
      <w:start w:val="1"/>
      <w:numFmt w:val="taiwaneseCountingThousand"/>
      <w:lvlText w:val="（%1）"/>
      <w:lvlJc w:val="left"/>
      <w:pPr>
        <w:tabs>
          <w:tab w:val="num" w:pos="1243"/>
        </w:tabs>
        <w:ind w:left="1243" w:hanging="480"/>
      </w:pPr>
      <w:rPr>
        <w:sz w:val="28"/>
        <w:i w:val="false"/>
        <w:b w:val="false"/>
        <w:szCs w:val="28"/>
        <w:rFonts w:ascii="Times New Roman" w:hAnsi="Times New Roman" w:eastAsia="標楷體" w:cs="Times New Roman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9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1243"/>
        </w:tabs>
        <w:ind w:left="1243" w:hanging="480"/>
      </w:pPr>
    </w:lvl>
    <w:lvl w:ilvl="2">
      <w:start w:val="1"/>
      <w:numFmt w:val="decimal"/>
      <w:lvlText w:val="%3."/>
      <w:lvlJc w:val="left"/>
      <w:pPr>
        <w:tabs>
          <w:tab w:val="num" w:pos="1723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10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11">
    <w:lvl w:ilvl="0">
      <w:start w:val="1"/>
      <w:numFmt w:val="taiwaneseCountingThousand"/>
      <w:lvlText w:val="（%1）"/>
      <w:lvlJc w:val="left"/>
      <w:pPr>
        <w:tabs>
          <w:tab w:val="num" w:pos="1243"/>
        </w:tabs>
        <w:ind w:left="1243" w:hanging="480"/>
      </w:pPr>
      <w:rPr>
        <w:rFonts w:ascii="Times New Roman" w:hAnsi="Times New Roman" w:eastAsia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2">
    <w:lvl w:ilvl="0">
      <w:start w:val="1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4">
    <w:lvl w:ilvl="0">
      <w:start w:val="1"/>
      <w:numFmt w:val="bullet"/>
      <w:lvlText w:val="○"/>
      <w:lvlJc w:val="left"/>
      <w:pPr>
        <w:tabs>
          <w:tab w:val="num" w:pos="1046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○"/>
      <w:lvlJc w:val="left"/>
      <w:pPr>
        <w:tabs>
          <w:tab w:val="num" w:pos="1046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○"/>
      <w:lvlJc w:val="left"/>
      <w:pPr>
        <w:tabs>
          <w:tab w:val="num" w:pos="960"/>
        </w:tabs>
        <w:ind w:left="96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763"/>
        </w:tabs>
        <w:ind w:left="763" w:hanging="240"/>
      </w:pPr>
    </w:lvl>
    <w:lvl w:ilvl="1">
      <w:start w:val="1"/>
      <w:numFmt w:val="ideographTraditional"/>
      <w:lvlText w:val="%2、"/>
      <w:lvlJc w:val="left"/>
      <w:pPr>
        <w:tabs>
          <w:tab w:val="num" w:pos="1483"/>
        </w:tabs>
        <w:ind w:left="1483" w:hanging="480"/>
      </w:pPr>
    </w:lvl>
    <w:lvl w:ilvl="2">
      <w:start w:val="1"/>
      <w:numFmt w:val="lowerRoman"/>
      <w:lvlText w:val="%3."/>
      <w:lvlJc w:val="right"/>
      <w:pPr>
        <w:tabs>
          <w:tab w:val="num" w:pos="1963"/>
        </w:tabs>
        <w:ind w:left="1963" w:hanging="0"/>
      </w:pPr>
    </w:lvl>
    <w:lvl w:ilvl="3">
      <w:start w:val="1"/>
      <w:numFmt w:val="decimal"/>
      <w:lvlText w:val="%4."/>
      <w:lvlJc w:val="left"/>
      <w:pPr>
        <w:tabs>
          <w:tab w:val="num" w:pos="2443"/>
        </w:tabs>
        <w:ind w:left="2443" w:hanging="480"/>
      </w:pPr>
    </w:lvl>
    <w:lvl w:ilvl="4">
      <w:start w:val="1"/>
      <w:numFmt w:val="ideographTraditional"/>
      <w:lvlText w:val="%5、"/>
      <w:lvlJc w:val="left"/>
      <w:pPr>
        <w:tabs>
          <w:tab w:val="num" w:pos="2923"/>
        </w:tabs>
        <w:ind w:left="2923" w:hanging="480"/>
      </w:pPr>
    </w:lvl>
    <w:lvl w:ilvl="5">
      <w:start w:val="1"/>
      <w:numFmt w:val="lowerRoman"/>
      <w:lvlText w:val="%6."/>
      <w:lvlJc w:val="right"/>
      <w:pPr>
        <w:tabs>
          <w:tab w:val="num" w:pos="3403"/>
        </w:tabs>
        <w:ind w:left="3403" w:hanging="0"/>
      </w:pPr>
    </w:lvl>
    <w:lvl w:ilvl="6">
      <w:start w:val="1"/>
      <w:numFmt w:val="decimal"/>
      <w:lvlText w:val="%7."/>
      <w:lvlJc w:val="left"/>
      <w:pPr>
        <w:tabs>
          <w:tab w:val="num" w:pos="3883"/>
        </w:tabs>
        <w:ind w:left="3883" w:hanging="480"/>
      </w:pPr>
    </w:lvl>
    <w:lvl w:ilvl="7">
      <w:start w:val="1"/>
      <w:numFmt w:val="ideographTraditional"/>
      <w:lvlText w:val="%8、"/>
      <w:lvlJc w:val="left"/>
      <w:pPr>
        <w:tabs>
          <w:tab w:val="num" w:pos="4363"/>
        </w:tabs>
        <w:ind w:left="4363" w:hanging="480"/>
      </w:pPr>
    </w:lvl>
    <w:lvl w:ilvl="8">
      <w:start w:val="1"/>
      <w:numFmt w:val="lowerRoman"/>
      <w:lvlText w:val="%9."/>
      <w:lvlJc w:val="right"/>
      <w:pPr>
        <w:tabs>
          <w:tab w:val="num" w:pos="4843"/>
        </w:tabs>
        <w:ind w:left="4843" w:hanging="0"/>
      </w:pPr>
    </w:lvl>
  </w:abstractNum>
  <w:abstractNum w:abstractNumId="19"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0"/>
      </w:pPr>
    </w:lvl>
  </w:abstractNum>
  <w:abstractNum w:abstractNumId="20">
    <w:lvl w:ilvl="0">
      <w:start w:val="1"/>
      <w:numFmt w:val="taiwaneseCountingThousand"/>
      <w:lvlText w:val="（%1）"/>
      <w:lvlJc w:val="left"/>
      <w:pPr>
        <w:tabs>
          <w:tab w:val="num" w:pos="756"/>
        </w:tabs>
        <w:ind w:left="756" w:hanging="480"/>
      </w:pPr>
    </w:lvl>
    <w:lvl w:ilvl="1">
      <w:start w:val="1"/>
      <w:numFmt w:val="ideographTraditional"/>
      <w:lvlText w:val="%2、"/>
      <w:lvlJc w:val="left"/>
      <w:pPr>
        <w:tabs>
          <w:tab w:val="num" w:pos="1236"/>
        </w:tabs>
        <w:ind w:left="1236" w:hanging="480"/>
      </w:pPr>
    </w:lvl>
    <w:lvl w:ilvl="2">
      <w:start w:val="1"/>
      <w:numFmt w:val="taiwaneseCountingThousand"/>
      <w:lvlText w:val="（%3）"/>
      <w:lvlJc w:val="lef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2196"/>
        </w:tabs>
        <w:ind w:left="2196" w:hanging="480"/>
      </w:pPr>
    </w:lvl>
    <w:lvl w:ilvl="4">
      <w:start w:val="1"/>
      <w:numFmt w:val="ideographTraditional"/>
      <w:lvlText w:val="%5、"/>
      <w:lvlJc w:val="left"/>
      <w:pPr>
        <w:tabs>
          <w:tab w:val="num" w:pos="2676"/>
        </w:tabs>
        <w:ind w:left="2676" w:hanging="480"/>
      </w:pPr>
    </w:lvl>
    <w:lvl w:ilvl="5">
      <w:start w:val="1"/>
      <w:numFmt w:val="lowerRoman"/>
      <w:lvlText w:val="%6."/>
      <w:lvlJc w:val="right"/>
      <w:pPr>
        <w:tabs>
          <w:tab w:val="num" w:pos="3156"/>
        </w:tabs>
        <w:ind w:left="3156" w:hanging="0"/>
      </w:pPr>
    </w:lvl>
    <w:lvl w:ilvl="6">
      <w:start w:val="1"/>
      <w:numFmt w:val="decimal"/>
      <w:lvlText w:val="%7."/>
      <w:lvlJc w:val="left"/>
      <w:pPr>
        <w:tabs>
          <w:tab w:val="num" w:pos="3636"/>
        </w:tabs>
        <w:ind w:left="3636" w:hanging="480"/>
      </w:pPr>
    </w:lvl>
    <w:lvl w:ilvl="7">
      <w:start w:val="1"/>
      <w:numFmt w:val="ideographTraditional"/>
      <w:lvlText w:val="%8、"/>
      <w:lvlJc w:val="left"/>
      <w:pPr>
        <w:tabs>
          <w:tab w:val="num" w:pos="4116"/>
        </w:tabs>
        <w:ind w:left="4116" w:hanging="480"/>
      </w:pPr>
    </w:lvl>
    <w:lvl w:ilvl="8">
      <w:start w:val="1"/>
      <w:numFmt w:val="lowerRoman"/>
      <w:lvlText w:val="%9."/>
      <w:lvlJc w:val="right"/>
      <w:pPr>
        <w:tabs>
          <w:tab w:val="num" w:pos="4596"/>
        </w:tabs>
        <w:ind w:left="4596" w:hanging="0"/>
      </w:p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1046"/>
        </w:tabs>
        <w:ind w:left="1046" w:hanging="480"/>
      </w:pPr>
    </w:lvl>
    <w:lvl w:ilvl="1">
      <w:start w:val="1"/>
      <w:numFmt w:val="decimal"/>
      <w:lvlText w:val="%2."/>
      <w:lvlJc w:val="left"/>
      <w:pPr>
        <w:tabs>
          <w:tab w:val="num" w:pos="1526"/>
        </w:tabs>
        <w:ind w:left="1526" w:hanging="480"/>
      </w:pPr>
    </w:lvl>
    <w:lvl w:ilvl="2">
      <w:start w:val="1"/>
      <w:numFmt w:val="lowerRoman"/>
      <w:lvlText w:val="%3."/>
      <w:lvlJc w:val="right"/>
      <w:pPr>
        <w:tabs>
          <w:tab w:val="num" w:pos="2006"/>
        </w:tabs>
        <w:ind w:left="2006" w:hanging="0"/>
      </w:pPr>
    </w:lvl>
    <w:lvl w:ilvl="3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>
      <w:start w:val="1"/>
      <w:numFmt w:val="lowerRoman"/>
      <w:lvlText w:val="%6."/>
      <w:lvlJc w:val="right"/>
      <w:pPr>
        <w:tabs>
          <w:tab w:val="num" w:pos="3446"/>
        </w:tabs>
        <w:ind w:left="3446" w:hanging="0"/>
      </w:pPr>
    </w:lvl>
    <w:lvl w:ilvl="6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>
      <w:start w:val="1"/>
      <w:numFmt w:val="lowerRoman"/>
      <w:lvlText w:val="%9."/>
      <w:lvlJc w:val="right"/>
      <w:pPr>
        <w:tabs>
          <w:tab w:val="num" w:pos="4886"/>
        </w:tabs>
        <w:ind w:left="4886" w:hanging="0"/>
      </w:pPr>
    </w:lvl>
  </w:abstractNum>
  <w:abstractNum w:abstractNumId="2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HTML">
    <w:name w:val="HTML 預設格式 字元"/>
    <w:qFormat/>
    <w:rPr>
      <w:rFonts w:ascii="細明體" w:hAnsi="細明體" w:eastAsia="細明體" w:cs="細明體"/>
      <w:sz w:val="24"/>
      <w:szCs w:val="24"/>
    </w:rPr>
  </w:style>
  <w:style w:type="character" w:styleId="2">
    <w:name w:val="本文 2 字元"/>
    <w:qFormat/>
    <w:rPr>
      <w:rFonts w:ascii="Times New Roman" w:hAnsi="Times New Roman"/>
      <w:kern w:val="2"/>
      <w:sz w:val="24"/>
      <w:szCs w:val="24"/>
    </w:rPr>
  </w:style>
  <w:style w:type="character" w:styleId="3">
    <w:name w:val="本文 3 字元"/>
    <w:qFormat/>
    <w:rPr>
      <w:rFonts w:ascii="Times New Roman" w:hAnsi="Times New Roman"/>
      <w:kern w:val="2"/>
      <w:sz w:val="16"/>
      <w:szCs w:val="16"/>
    </w:rPr>
  </w:style>
  <w:style w:type="character" w:styleId="Style17">
    <w:name w:val="超連結"/>
    <w:qFormat/>
    <w:rPr>
      <w:color w:val="0000FF"/>
      <w:u w:val="single"/>
    </w:rPr>
  </w:style>
  <w:style w:type="character" w:styleId="Style18">
    <w:name w:val="本文縮排 字元"/>
    <w:qFormat/>
    <w:rPr>
      <w:kern w:val="2"/>
      <w:sz w:val="24"/>
      <w:szCs w:val="22"/>
    </w:rPr>
  </w:style>
  <w:style w:type="character" w:styleId="PageNumber">
    <w:name w:val="Page Number"/>
    <w:basedOn w:val="Style14"/>
    <w:rPr/>
  </w:style>
  <w:style w:type="character" w:styleId="Style19">
    <w:name w:val="清單段落 字元"/>
    <w:qFormat/>
    <w:rPr>
      <w:kern w:val="2"/>
      <w:sz w:val="24"/>
      <w:szCs w:val="22"/>
    </w:rPr>
  </w:style>
  <w:style w:type="character" w:styleId="Style20">
    <w:name w:val="本文 字元"/>
    <w:qFormat/>
    <w:rPr>
      <w:rFonts w:ascii="Times New Roman" w:hAnsi="Times New Roman" w:eastAsia="標楷體"/>
      <w:kern w:val="2"/>
      <w:sz w:val="28"/>
    </w:rPr>
  </w:style>
  <w:style w:type="character" w:styleId="Style21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Style22">
    <w:name w:val="註解參照"/>
    <w:qFormat/>
    <w:rPr>
      <w:sz w:val="18"/>
      <w:szCs w:val="18"/>
    </w:rPr>
  </w:style>
  <w:style w:type="character" w:styleId="Style23">
    <w:name w:val="註解文字 字元"/>
    <w:qFormat/>
    <w:rPr>
      <w:kern w:val="2"/>
      <w:sz w:val="24"/>
      <w:szCs w:val="22"/>
    </w:rPr>
  </w:style>
  <w:style w:type="character" w:styleId="Style24">
    <w:name w:val="註解主旨 字元"/>
    <w:qFormat/>
    <w:rPr>
      <w:b/>
      <w:bCs/>
      <w:kern w:val="2"/>
      <w:sz w:val="24"/>
      <w:szCs w:val="22"/>
    </w:rPr>
  </w:style>
  <w:style w:type="character" w:styleId="WWCharLFO3LVL1">
    <w:name w:val="WW_CharLFO3LVL1"/>
    <w:qFormat/>
    <w:rPr>
      <w:rFonts w:ascii="標楷體" w:hAnsi="標楷體" w:eastAsia="標楷體"/>
    </w:rPr>
  </w:style>
  <w:style w:type="character" w:styleId="WWCharLFO3LVL2">
    <w:name w:val="WW_CharLFO3LVL2"/>
    <w:qFormat/>
    <w:rPr>
      <w:rFonts w:ascii="Wingdings" w:hAnsi="Wingdings"/>
    </w:rPr>
  </w:style>
  <w:style w:type="character" w:styleId="WWCharLFO3LVL3">
    <w:name w:val="WW_CharLFO3LVL3"/>
    <w:qFormat/>
    <w:rPr>
      <w:rFonts w:ascii="Wingdings" w:hAnsi="Wingdings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4LVL2">
    <w:name w:val="WW_CharLFO4LVL2"/>
    <w:qFormat/>
    <w:rPr>
      <w:rFonts w:ascii="Wingdings" w:hAnsi="Wingdings"/>
    </w:rPr>
  </w:style>
  <w:style w:type="character" w:styleId="WWCharLFO4LVL3">
    <w:name w:val="WW_CharLFO4LVL3"/>
    <w:qFormat/>
    <w:rPr>
      <w:rFonts w:ascii="Wingdings" w:hAnsi="Wingdings"/>
    </w:rPr>
  </w:style>
  <w:style w:type="character" w:styleId="WWCharLFO4LVL4">
    <w:name w:val="WW_CharLFO4LVL4"/>
    <w:qFormat/>
    <w:rPr>
      <w:rFonts w:ascii="Wingdings" w:hAnsi="Wingdings"/>
    </w:rPr>
  </w:style>
  <w:style w:type="character" w:styleId="WWCharLFO4LVL5">
    <w:name w:val="WW_CharLFO4LVL5"/>
    <w:qFormat/>
    <w:rPr>
      <w:rFonts w:ascii="Wingdings" w:hAnsi="Wingdings"/>
    </w:rPr>
  </w:style>
  <w:style w:type="character" w:styleId="WWCharLFO4LVL6">
    <w:name w:val="WW_CharLFO4LVL6"/>
    <w:qFormat/>
    <w:rPr>
      <w:rFonts w:ascii="Wingdings" w:hAnsi="Wingdings"/>
    </w:rPr>
  </w:style>
  <w:style w:type="character" w:styleId="WWCharLFO4LVL7">
    <w:name w:val="WW_CharLFO4LVL7"/>
    <w:qFormat/>
    <w:rPr>
      <w:rFonts w:ascii="Wingdings" w:hAnsi="Wingdings"/>
    </w:rPr>
  </w:style>
  <w:style w:type="character" w:styleId="WWCharLFO4LVL8">
    <w:name w:val="WW_CharLFO4LVL8"/>
    <w:qFormat/>
    <w:rPr>
      <w:rFonts w:ascii="Wingdings" w:hAnsi="Wingdings"/>
    </w:rPr>
  </w:style>
  <w:style w:type="character" w:styleId="WWCharLFO4LVL9">
    <w:name w:val="WW_CharLFO4LVL9"/>
    <w:qFormat/>
    <w:rPr>
      <w:rFonts w:ascii="Wingdings" w:hAnsi="Wingdings"/>
    </w:rPr>
  </w:style>
  <w:style w:type="character" w:styleId="WWCharLFO5LVL1">
    <w:name w:val="WW_CharLFO5LVL1"/>
    <w:qFormat/>
    <w:rPr>
      <w:rFonts w:ascii="標楷體" w:hAnsi="標楷體" w:eastAsia="標楷體"/>
    </w:rPr>
  </w:style>
  <w:style w:type="character" w:styleId="WWCharLFO5LVL2">
    <w:name w:val="WW_CharLFO5LVL2"/>
    <w:qFormat/>
    <w:rPr>
      <w:rFonts w:ascii="Wingdings" w:hAnsi="Wingdings"/>
    </w:rPr>
  </w:style>
  <w:style w:type="character" w:styleId="WWCharLFO5LVL3">
    <w:name w:val="WW_CharLFO5LVL3"/>
    <w:qFormat/>
    <w:rPr>
      <w:rFonts w:ascii="Wingdings" w:hAnsi="Wingdings"/>
    </w:rPr>
  </w:style>
  <w:style w:type="character" w:styleId="WWCharLFO5LVL4">
    <w:name w:val="WW_CharLFO5LVL4"/>
    <w:qFormat/>
    <w:rPr>
      <w:rFonts w:ascii="Wingdings" w:hAnsi="Wingdings"/>
    </w:rPr>
  </w:style>
  <w:style w:type="character" w:styleId="WWCharLFO5LVL5">
    <w:name w:val="WW_CharLFO5LVL5"/>
    <w:qFormat/>
    <w:rPr>
      <w:rFonts w:ascii="Wingdings" w:hAnsi="Wingdings"/>
    </w:rPr>
  </w:style>
  <w:style w:type="character" w:styleId="WWCharLFO5LVL6">
    <w:name w:val="WW_CharLFO5LVL6"/>
    <w:qFormat/>
    <w:rPr>
      <w:rFonts w:ascii="Wingdings" w:hAnsi="Wingdings"/>
    </w:rPr>
  </w:style>
  <w:style w:type="character" w:styleId="WWCharLFO5LVL7">
    <w:name w:val="WW_CharLFO5LVL7"/>
    <w:qFormat/>
    <w:rPr>
      <w:rFonts w:ascii="Wingdings" w:hAnsi="Wingdings"/>
    </w:rPr>
  </w:style>
  <w:style w:type="character" w:styleId="WWCharLFO5LVL8">
    <w:name w:val="WW_CharLFO5LVL8"/>
    <w:qFormat/>
    <w:rPr>
      <w:rFonts w:ascii="Wingdings" w:hAnsi="Wingdings"/>
    </w:rPr>
  </w:style>
  <w:style w:type="character" w:styleId="WWCharLFO5LVL9">
    <w:name w:val="WW_CharLFO5LVL9"/>
    <w:qFormat/>
    <w:rPr>
      <w:rFonts w:ascii="Wingdings" w:hAnsi="Wingdings"/>
    </w:rPr>
  </w:style>
  <w:style w:type="character" w:styleId="WWCharLFO6LVL1">
    <w:name w:val="WW_CharLFO6LVL1"/>
    <w:qFormat/>
    <w:rPr>
      <w:rFonts w:ascii="標楷體" w:hAnsi="標楷體" w:eastAsia="標楷體"/>
    </w:rPr>
  </w:style>
  <w:style w:type="character" w:styleId="WWCharLFO6LVL2">
    <w:name w:val="WW_CharLFO6LVL2"/>
    <w:qFormat/>
    <w:rPr>
      <w:rFonts w:ascii="Wingdings" w:hAnsi="Wingdings"/>
    </w:rPr>
  </w:style>
  <w:style w:type="character" w:styleId="WWCharLFO6LVL3">
    <w:name w:val="WW_CharLFO6LVL3"/>
    <w:qFormat/>
    <w:rPr>
      <w:rFonts w:ascii="Wingdings" w:hAnsi="Wingdings"/>
    </w:rPr>
  </w:style>
  <w:style w:type="character" w:styleId="WWCharLFO6LVL4">
    <w:name w:val="WW_CharLFO6LVL4"/>
    <w:qFormat/>
    <w:rPr>
      <w:rFonts w:ascii="Wingdings" w:hAnsi="Wingdings"/>
    </w:rPr>
  </w:style>
  <w:style w:type="character" w:styleId="WWCharLFO6LVL5">
    <w:name w:val="WW_CharLFO6LVL5"/>
    <w:qFormat/>
    <w:rPr>
      <w:rFonts w:ascii="Wingdings" w:hAnsi="Wingdings"/>
    </w:rPr>
  </w:style>
  <w:style w:type="character" w:styleId="WWCharLFO6LVL6">
    <w:name w:val="WW_CharLFO6LVL6"/>
    <w:qFormat/>
    <w:rPr>
      <w:rFonts w:ascii="Wingdings" w:hAnsi="Wingdings"/>
    </w:rPr>
  </w:style>
  <w:style w:type="character" w:styleId="WWCharLFO6LVL7">
    <w:name w:val="WW_CharLFO6LVL7"/>
    <w:qFormat/>
    <w:rPr>
      <w:rFonts w:ascii="Wingdings" w:hAnsi="Wingdings"/>
    </w:rPr>
  </w:style>
  <w:style w:type="character" w:styleId="WWCharLFO6LVL8">
    <w:name w:val="WW_CharLFO6LVL8"/>
    <w:qFormat/>
    <w:rPr>
      <w:rFonts w:ascii="Wingdings" w:hAnsi="Wingdings"/>
    </w:rPr>
  </w:style>
  <w:style w:type="character" w:styleId="WWCharLFO6LVL9">
    <w:name w:val="WW_CharLFO6LVL9"/>
    <w:qFormat/>
    <w:rPr>
      <w:rFonts w:ascii="Wingdings" w:hAnsi="Wingdings"/>
    </w:rPr>
  </w:style>
  <w:style w:type="character" w:styleId="WWCharLFO9LVL1">
    <w:name w:val="WW_CharLFO9LVL1"/>
    <w:qFormat/>
    <w:rPr>
      <w:b w:val="false"/>
      <w:sz w:val="28"/>
      <w:szCs w:val="28"/>
      <w:lang w:val="en-US"/>
    </w:rPr>
  </w:style>
  <w:style w:type="character" w:styleId="WWCharLFO11LVL1">
    <w:name w:val="WW_CharLFO11LVL1"/>
    <w:qFormat/>
    <w:rPr>
      <w:lang w:val="en-US"/>
    </w:rPr>
  </w:style>
  <w:style w:type="character" w:styleId="WWCharLFO17LVL1">
    <w:name w:val="WW_CharLFO17LVL1"/>
    <w:qFormat/>
    <w:rPr>
      <w:lang w:val="en-US"/>
    </w:rPr>
  </w:style>
  <w:style w:type="character" w:styleId="WWCharLFO19LVL1">
    <w:name w:val="WW_CharLFO19LVL1"/>
    <w:qFormat/>
    <w:rPr>
      <w:lang w:val="en-US"/>
    </w:rPr>
  </w:style>
  <w:style w:type="character" w:styleId="WWCharLFO25LVL2">
    <w:name w:val="WW_CharLFO25LVL2"/>
    <w:qFormat/>
    <w:rPr>
      <w:b w:val="false"/>
      <w:strike w:val="false"/>
      <w:dstrike w:val="false"/>
    </w:rPr>
  </w:style>
  <w:style w:type="character" w:styleId="WWCharLFO26LVL1">
    <w:name w:val="WW_CharLFO26LVL1"/>
    <w:qFormat/>
    <w:rPr>
      <w:b w:val="false"/>
      <w:strike w:val="false"/>
      <w:dstrike w:val="false"/>
    </w:rPr>
  </w:style>
  <w:style w:type="character" w:styleId="WWCharLFO32LVL1">
    <w:name w:val="WW_CharLFO32LVL1"/>
    <w:qFormat/>
    <w:rPr>
      <w:lang w:val="en-US"/>
    </w:rPr>
  </w:style>
  <w:style w:type="character" w:styleId="WWCharLFO32LVL2">
    <w:name w:val="WW_CharLFO32LVL2"/>
    <w:qFormat/>
    <w:rPr>
      <w:rFonts w:ascii="Times New Roman" w:hAnsi="Times New Roman" w:eastAsia="標楷體" w:cs="Times New Roman"/>
      <w:b w:val="false"/>
      <w:i w:val="false"/>
      <w:color w:val="auto"/>
      <w:sz w:val="28"/>
      <w:szCs w:val="28"/>
    </w:rPr>
  </w:style>
  <w:style w:type="character" w:styleId="WWCharLFO33LVL1">
    <w:name w:val="WW_CharLFO33LVL1"/>
    <w:qFormat/>
    <w:rPr>
      <w:lang w:val="en-US"/>
    </w:rPr>
  </w:style>
  <w:style w:type="character" w:styleId="WWCharLFO34LVL1">
    <w:name w:val="WW_CharLFO34LVL1"/>
    <w:qFormat/>
    <w:rPr>
      <w:lang w:val="en-US"/>
    </w:rPr>
  </w:style>
  <w:style w:type="character" w:styleId="WWCharLFO36LVL1">
    <w:name w:val="WW_CharLFO36LVL1"/>
    <w:qFormat/>
    <w:rPr>
      <w:lang w:val="en-US"/>
    </w:rPr>
  </w:style>
  <w:style w:type="character" w:styleId="WWCharLFO37LVL1">
    <w:name w:val="WW_CharLFO37LVL1"/>
    <w:qFormat/>
    <w:rPr>
      <w:lang w:val="en-US"/>
    </w:rPr>
  </w:style>
  <w:style w:type="character" w:styleId="WWCharLFO38LVL1">
    <w:name w:val="WW_CharLFO38LVL1"/>
    <w:qFormat/>
    <w:rPr>
      <w:lang w:val="en-US"/>
    </w:rPr>
  </w:style>
  <w:style w:type="character" w:styleId="WWCharLFO39LVL1">
    <w:name w:val="WW_CharLFO39LVL1"/>
    <w:qFormat/>
    <w:rPr>
      <w:lang w:val="en-US"/>
    </w:rPr>
  </w:style>
  <w:style w:type="character" w:styleId="WWCharLFO40LVL1">
    <w:name w:val="WW_CharLFO40LVL1"/>
    <w:qFormat/>
    <w:rPr>
      <w:lang w:val="en-US"/>
    </w:rPr>
  </w:style>
  <w:style w:type="character" w:styleId="WWCharLFO41LVL1">
    <w:name w:val="WW_CharLFO41LVL1"/>
    <w:qFormat/>
    <w:rPr>
      <w:rFonts w:ascii="Times New Roman" w:hAnsi="Times New Roman" w:eastAsia="標楷體" w:cs="Times New Roman"/>
      <w:b w:val="false"/>
      <w:i w:val="false"/>
      <w:color w:val="auto"/>
      <w:sz w:val="28"/>
      <w:szCs w:val="28"/>
    </w:rPr>
  </w:style>
  <w:style w:type="character" w:styleId="WWCharLFO42LVL1">
    <w:name w:val="WW_CharLFO42LVL1"/>
    <w:qFormat/>
    <w:rPr>
      <w:rFonts w:ascii="Times New Roman" w:hAnsi="Times New Roman" w:eastAsia="標楷體" w:cs="Times New Roman"/>
    </w:rPr>
  </w:style>
  <w:style w:type="character" w:styleId="WWCharLFO47LVL1">
    <w:name w:val="WW_CharLFO47LVL1"/>
    <w:qFormat/>
    <w:rPr>
      <w:color w:val="auto"/>
      <w:sz w:val="26"/>
      <w:szCs w:val="26"/>
    </w:rPr>
  </w:style>
  <w:style w:type="character" w:styleId="WWCharLFO47LVL2">
    <w:name w:val="WW_CharLFO47LVL2"/>
    <w:qFormat/>
    <w:rPr>
      <w:rFonts w:ascii="Calibri" w:hAnsi="Calibri" w:eastAsia="新細明體"/>
      <w:sz w:val="2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25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6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HTML1">
    <w:name w:val="HTML 預設格式"/>
    <w:basedOn w:val="BodyText"/>
    <w:qFormat/>
    <w:pPr>
      <w:widowControl/>
      <w:tabs>
        <w:tab w:val="clear" w:pos="48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細明體" w:hAnsi="細明體" w:eastAsia="細明體"/>
      <w:kern w:val="0"/>
      <w:szCs w:val="24"/>
    </w:rPr>
  </w:style>
  <w:style w:type="paragraph" w:styleId="21">
    <w:name w:val="本文 2"/>
    <w:basedOn w:val="BodyText"/>
    <w:qFormat/>
    <w:pPr>
      <w:suppressAutoHyphens w:val="true"/>
      <w:spacing w:lineRule="auto" w:line="480" w:before="0" w:after="120"/>
    </w:pPr>
    <w:rPr>
      <w:rFonts w:ascii="Times New Roman" w:hAnsi="Times New Roman"/>
      <w:szCs w:val="24"/>
    </w:rPr>
  </w:style>
  <w:style w:type="paragraph" w:styleId="31">
    <w:name w:val="本文 3"/>
    <w:basedOn w:val="BodyText"/>
    <w:qFormat/>
    <w:pPr>
      <w:suppressAutoHyphens w:val="true"/>
      <w:spacing w:before="0" w:after="120"/>
    </w:pPr>
    <w:rPr>
      <w:rFonts w:ascii="Times New Roman" w:hAnsi="Times New Roman"/>
      <w:sz w:val="16"/>
      <w:szCs w:val="16"/>
    </w:rPr>
  </w:style>
  <w:style w:type="paragraph" w:styleId="Style27">
    <w:name w:val="本文縮排"/>
    <w:basedOn w:val="BodyText"/>
    <w:qFormat/>
    <w:pPr>
      <w:tabs>
        <w:tab w:val="clear" w:pos="480"/>
      </w:tabs>
      <w:suppressAutoHyphens w:val="true"/>
      <w:spacing w:before="0" w:after="120"/>
      <w:ind w:left="480" w:hanging="0"/>
    </w:pPr>
    <w:rPr/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  <w:szCs w:val="24"/>
    </w:rPr>
  </w:style>
  <w:style w:type="paragraph" w:styleId="Style28">
    <w:name w:val="標號"/>
    <w:basedOn w:val="BodyText"/>
    <w:next w:val="BodyText"/>
    <w:qFormat/>
    <w:pPr>
      <w:suppressAutoHyphens w:val="true"/>
    </w:pPr>
    <w:rPr>
      <w:rFonts w:ascii="Times New Roman" w:hAnsi="Times New Roman" w:eastAsia="標楷體"/>
      <w:sz w:val="20"/>
      <w:szCs w:val="20"/>
    </w:rPr>
  </w:style>
  <w:style w:type="paragraph" w:styleId="Style29">
    <w:name w:val="本文"/>
    <w:basedOn w:val="BodyText"/>
    <w:qFormat/>
    <w:pPr>
      <w:suppressAutoHyphens w:val="true"/>
      <w:jc w:val="both"/>
    </w:pPr>
    <w:rPr>
      <w:rFonts w:ascii="Times New Roman" w:hAnsi="Times New Roman" w:eastAsia="標楷體"/>
      <w:sz w:val="28"/>
      <w:szCs w:val="20"/>
    </w:rPr>
  </w:style>
  <w:style w:type="paragraph" w:styleId="Style30">
    <w:name w:val="修訂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31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32">
    <w:name w:val="註解文字"/>
    <w:basedOn w:val="BodyText"/>
    <w:qFormat/>
    <w:pPr>
      <w:suppressAutoHyphens w:val="true"/>
    </w:pPr>
    <w:rPr/>
  </w:style>
  <w:style w:type="paragraph" w:styleId="Style33">
    <w:name w:val="註解主旨"/>
    <w:basedOn w:val="Style32"/>
    <w:next w:val="Style32"/>
    <w:qFormat/>
    <w:pPr>
      <w:suppressAutoHyphens w:val="true"/>
    </w:pPr>
    <w:rPr>
      <w:b/>
      <w:bCs/>
    </w:rPr>
  </w:style>
  <w:style w:type="paragraph" w:styleId="Style34">
    <w:name w:val="外框內容"/>
    <w:basedOn w:val="Normal"/>
    <w:qFormat/>
    <w:pPr/>
    <w:rPr/>
  </w:style>
  <w:style w:type="paragraph" w:styleId="Style35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13</Pages>
  <Words>962</Words>
  <Characters>5490</Characters>
  <CharactersWithSpaces>6440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2019-01-02T06:29:00Z</dcterms:created>
  <dc:creator>陳國維</dc:creator>
  <dc:description/>
  <dc:language>zh-TW</dc:language>
  <cp:lastModifiedBy>心理及口腔健康司蕭玉梅</cp:lastModifiedBy>
  <cp:lastPrinted>2019-01-02T06:23:00Z</cp:lastPrinted>
  <dcterms:modified xsi:type="dcterms:W3CDTF">2019-01-02T06:29:00Z</dcterms:modified>
  <cp:revision>2</cp:revision>
  <dc:subject/>
  <dc:title>精神復健機構及精神護理之家評鑑與不定時追蹤輔導訪查計畫</dc:title>
</cp:coreProperties>
</file>