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exact" w:line="440" w:before="180" w:after="0"/>
        <w:jc w:val="center"/>
        <w:rPr/>
      </w:pPr>
      <w:bookmarkStart w:id="0" w:name="OLE_LINK3"/>
      <w:bookmarkStart w:id="1" w:name="OLE_LINK2"/>
      <w:bookmarkStart w:id="2" w:name="OLE_LINK1"/>
      <w:bookmarkEnd w:id="0"/>
      <w:bookmarkEnd w:id="1"/>
      <w:bookmarkEnd w:id="2"/>
      <w:r>
        <w:rPr>
          <w:rStyle w:val="Style14"/>
          <w:rFonts w:eastAsia="標楷體"/>
          <w:b/>
          <w:sz w:val="32"/>
          <w:szCs w:val="32"/>
        </w:rPr>
        <w:t>108</w:t>
      </w:r>
      <w:r>
        <w:rPr>
          <w:rStyle w:val="Style14"/>
          <w:rFonts w:eastAsia="標楷體"/>
          <w:b/>
          <w:sz w:val="32"/>
          <w:szCs w:val="32"/>
        </w:rPr>
        <w:t>年度</w:t>
      </w:r>
      <w:r>
        <w:rPr>
          <w:rStyle w:val="Style14"/>
          <w:rFonts w:eastAsia="標楷體"/>
          <w:b/>
          <w:bCs/>
          <w:sz w:val="34"/>
          <w:szCs w:val="34"/>
        </w:rPr>
        <w:t>精神科醫院及精神科教學醫院評鑑基本資料表</w:t>
      </w:r>
    </w:p>
    <w:p>
      <w:pPr>
        <w:pStyle w:val="BodyText"/>
        <w:spacing w:lineRule="exact" w:line="440" w:before="180" w:after="0"/>
        <w:jc w:val="center"/>
        <w:rPr>
          <w:rFonts w:eastAsia="標楷體"/>
          <w:b/>
          <w:bCs/>
        </w:rPr>
      </w:pPr>
      <w:r>
        <w:rPr>
          <w:rFonts w:eastAsia="標楷體"/>
          <w:b/>
          <w:bCs/>
        </w:rPr>
      </w:r>
    </w:p>
    <w:tbl>
      <w:tblPr>
        <w:tblW w:w="9889" w:type="dxa"/>
        <w:jc w:val="left"/>
        <w:tblInd w:w="-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9"/>
      </w:tblGrid>
      <w:tr>
        <w:trPr/>
        <w:tc>
          <w:tcPr>
            <w:tcW w:w="988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>
            <w:pPr>
              <w:pStyle w:val="BodyText"/>
              <w:tabs>
                <w:tab w:val="clear" w:pos="480"/>
              </w:tabs>
              <w:ind w:left="1841" w:hanging="1841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填表注意事項：除規定於實地評鑑現場準備相關資料備查外，其餘資料於繳交期限截止後，恕無法受理抽換及補件作業，若資料有需要更正則請醫院於實地評鑑時提出說明。</w:t>
            </w:r>
          </w:p>
        </w:tc>
      </w:tr>
    </w:tbl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>
          <w:rFonts w:ascii="Times New Roman" w:hAnsi="Times New Roman" w:eastAsia="標楷體"/>
          <w:b/>
          <w:bCs/>
          <w:szCs w:val="24"/>
        </w:rPr>
      </w:pPr>
      <w:r>
        <w:rPr>
          <w:rFonts w:ascii="Times New Roman" w:hAnsi="Times New Roman" w:eastAsia="標楷體"/>
          <w:b/>
          <w:bCs/>
          <w:szCs w:val="24"/>
        </w:rPr>
        <w:t>醫院名稱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醫院名稱：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 xml:space="preserve">   </w:t>
        <w:tab/>
      </w:r>
      <w:r>
        <w:rPr>
          <w:rStyle w:val="Style14"/>
          <w:rFonts w:ascii="Times New Roman" w:hAnsi="Times New Roman" w:eastAsia="標楷體"/>
        </w:rPr>
        <w:t>醫療機構統一代碼（</w:t>
      </w:r>
      <w:r>
        <w:rPr>
          <w:rStyle w:val="Style14"/>
          <w:rFonts w:eastAsia="標楷體" w:ascii="Times New Roman" w:hAnsi="Times New Roman"/>
        </w:rPr>
        <w:t>10</w:t>
      </w:r>
      <w:r>
        <w:rPr>
          <w:rStyle w:val="Style14"/>
          <w:rFonts w:ascii="Times New Roman" w:hAnsi="Times New Roman" w:eastAsia="標楷體"/>
        </w:rPr>
        <w:t>碼）：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英文全銜：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ab/>
        <w:t xml:space="preserve">    </w:t>
        <w:tab/>
        <w:tab/>
      </w:r>
      <w:r>
        <w:rPr>
          <w:rStyle w:val="Style14"/>
          <w:rFonts w:ascii="Times New Roman" w:hAnsi="Times New Roman" w:eastAsia="標楷體"/>
        </w:rPr>
        <w:t>網址：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       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負責醫師姓名：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</w:t>
      </w:r>
      <w:r>
        <w:rPr>
          <w:rStyle w:val="Style14"/>
          <w:rFonts w:ascii="Times New Roman" w:hAnsi="Times New Roman" w:eastAsia="標楷體"/>
        </w:rPr>
        <w:t>；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ascii="Times New Roman" w:hAnsi="Times New Roman" w:eastAsia="標楷體"/>
        </w:rPr>
        <w:t>醫療區域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次區域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院長姓名：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ascii="Times New Roman" w:hAnsi="Times New Roman" w:eastAsia="標楷體"/>
        </w:rPr>
        <w:t>聯絡人姓名與職稱：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        </w:t>
      </w:r>
    </w:p>
    <w:p>
      <w:pPr>
        <w:pStyle w:val="Style26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郵遞區號：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1" name="Text Box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24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鄉鎮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0" b="0"/>
                <wp:wrapNone/>
                <wp:docPr id="2" name="Text Box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7pt;mso-wrap-distance-left:0pt;mso-wrap-distance-right:0pt;mso-wrap-distance-top:0pt;mso-wrap-distance-bottom:0pt;margin-top:20.25pt;mso-position-vertical-relative:text;margin-left:33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村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5943600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3" name="Text Box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anchor="t" lIns="36195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468pt;mso-position-horizontal-relative:text">
                <v:textbox inset="0.0395833333333333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路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6"/>
        <w:tabs>
          <w:tab w:val="clear" w:pos="480"/>
          <w:tab w:val="left" w:pos="720" w:leader="none"/>
        </w:tabs>
        <w:spacing w:lineRule="atLeast" w:line="500"/>
        <w:ind w:left="1620" w:hanging="1260"/>
        <w:rPr/>
      </w:pPr>
      <w:r>
        <w:rPr>
          <w:rStyle w:val="Style14"/>
          <w:rFonts w:ascii="Times New Roman" w:hAnsi="Times New Roman" w:eastAsia="標楷體"/>
        </w:rPr>
        <w:t>醫院地址：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</w:r>
      <w:r>
        <w:rPr>
          <w:rStyle w:val="Style14"/>
          <w:rFonts w:ascii="Times New Roman" w:hAnsi="Times New Roman" w:eastAsia="標楷體"/>
        </w:rPr>
        <w:t>縣</w:t>
      </w:r>
      <w:r>
        <w:rPr>
          <w:rStyle w:val="Style14"/>
          <w:rFonts w:eastAsia="標楷體" w:ascii="Times New Roman" w:hAnsi="Times New Roman"/>
        </w:rPr>
        <w:t>(</w:t>
      </w:r>
      <w:r>
        <w:rPr>
          <w:rStyle w:val="Style14"/>
          <w:rFonts w:ascii="Times New Roman" w:hAnsi="Times New Roman" w:eastAsia="標楷體"/>
        </w:rPr>
        <w:t>市</w:t>
      </w:r>
      <w:r>
        <w:rPr>
          <w:rStyle w:val="Style14"/>
          <w:rFonts w:eastAsia="標楷體" w:ascii="Times New Roman" w:hAnsi="Times New Roman"/>
        </w:rPr>
        <w:t>)</w:t>
      </w:r>
      <w:r>
        <w:rPr>
          <w:rStyle w:val="Style14"/>
          <w:rFonts w:eastAsia="標楷體" w:ascii="Times New Roman" w:hAnsi="Times New Roman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　　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 xml:space="preserve">　 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鄰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</w:t>
      </w:r>
      <w:r>
        <w:rPr>
          <w:rStyle w:val="Style14"/>
          <w:rFonts w:eastAsia="標楷體" w:ascii="Times New Roman" w:hAnsi="Times New Roman"/>
        </w:rPr>
        <w:t xml:space="preserve"> </w:t>
      </w:r>
    </w:p>
    <w:p>
      <w:pPr>
        <w:pStyle w:val="Style26"/>
        <w:tabs>
          <w:tab w:val="clear" w:pos="480"/>
          <w:tab w:val="left" w:pos="720" w:leader="none"/>
        </w:tabs>
        <w:spacing w:lineRule="atLeast" w:line="500"/>
        <w:ind w:left="1620" w:hanging="60"/>
        <w:rPr/>
      </w:pP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 </w:t>
      </w:r>
      <w:r>
        <w:rPr>
          <w:rStyle w:val="Style14"/>
          <w:rFonts w:ascii="Times New Roman" w:hAnsi="Times New Roman" w:eastAsia="標楷體"/>
        </w:rPr>
        <w:t>段</w:t>
      </w:r>
      <w:r>
        <w:rPr>
          <w:rStyle w:val="Style14"/>
          <w:rFonts w:ascii="Times New Roman" w:hAnsi="Times New Roman" w:eastAsia="標楷體"/>
          <w:u w:val="single"/>
        </w:rPr>
        <w:t>＿＿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ascii="Times New Roman" w:hAnsi="Times New Roman" w:eastAsia="標楷體"/>
        </w:rPr>
        <w:t>巷</w:t>
      </w:r>
      <w:r>
        <w:rPr>
          <w:rStyle w:val="Style14"/>
          <w:rFonts w:ascii="Times New Roman" w:hAnsi="Times New Roman" w:eastAsia="標楷體"/>
          <w:u w:val="single"/>
        </w:rPr>
        <w:t xml:space="preserve">＿＿  </w:t>
      </w:r>
      <w:r>
        <w:rPr>
          <w:rStyle w:val="Style14"/>
          <w:rFonts w:ascii="Times New Roman" w:hAnsi="Times New Roman" w:eastAsia="標楷體"/>
          <w:szCs w:val="24"/>
        </w:rPr>
        <w:t>弄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號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樓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聯絡電話：</w:t>
      </w:r>
      <w:r>
        <w:rPr>
          <w:rStyle w:val="Style14"/>
          <w:rFonts w:eastAsia="標楷體"/>
          <w:u w:val="single"/>
        </w:rPr>
        <w:t xml:space="preserve">                                   </w:t>
      </w:r>
      <w:r>
        <w:rPr>
          <w:rStyle w:val="Style14"/>
          <w:rFonts w:eastAsia="標楷體"/>
        </w:rPr>
        <w:t>填表日期：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 xml:space="preserve">年 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日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E-mail</w:t>
      </w:r>
      <w:r>
        <w:rPr>
          <w:rStyle w:val="Style14"/>
          <w:rFonts w:eastAsia="標楷體"/>
        </w:rPr>
        <w:t>：</w:t>
      </w:r>
      <w:r>
        <w:rPr>
          <w:rStyle w:val="Style14"/>
          <w:rFonts w:eastAsia="標楷體"/>
          <w:u w:val="single"/>
        </w:rPr>
        <w:t xml:space="preserve">                              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醫院類別（請打 </w:t>
      </w:r>
      <w:r>
        <w:rPr>
          <w:rFonts w:eastAsia="標楷體"/>
        </w:rPr>
        <w:t xml:space="preserve">"√" </w:t>
      </w:r>
      <w:r>
        <w:rPr>
          <w:rFonts w:eastAsia="標楷體"/>
        </w:rPr>
        <w:t>）：</w:t>
      </w:r>
    </w:p>
    <w:p>
      <w:pPr>
        <w:pStyle w:val="Style26"/>
        <w:tabs>
          <w:tab w:val="clear" w:pos="480"/>
          <w:tab w:val="left" w:pos="1080" w:leader="none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精神科醫院 ○綜合醫院 ○醫院 ○慢性醫院 ○其他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 xml:space="preserve">最近一次評鑑結果： </w:t>
      </w:r>
    </w:p>
    <w:p>
      <w:pPr>
        <w:pStyle w:val="Style26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2.1</w:t>
      </w:r>
      <w:r>
        <w:rPr>
          <w:rFonts w:ascii="Times New Roman" w:hAnsi="Times New Roman" w:eastAsia="標楷體"/>
        </w:rPr>
        <w:t>精神科醫院評鑑：</w:t>
      </w:r>
    </w:p>
    <w:p>
      <w:pPr>
        <w:pStyle w:val="Style26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新申請醫院　</w:t>
      </w:r>
    </w:p>
    <w:p>
      <w:pPr>
        <w:pStyle w:val="Style26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年度；評鑑結果：○精神科醫院優等○精神科醫院合格</w:t>
      </w:r>
    </w:p>
    <w:p>
      <w:pPr>
        <w:pStyle w:val="Style26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2.2</w:t>
      </w:r>
      <w:r>
        <w:rPr>
          <w:rFonts w:ascii="Times New Roman" w:hAnsi="Times New Roman" w:eastAsia="標楷體"/>
        </w:rPr>
        <w:t>精神科教學醫院評鑑：</w:t>
      </w:r>
    </w:p>
    <w:p>
      <w:pPr>
        <w:pStyle w:val="Style26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非教學</w:t>
      </w:r>
    </w:p>
    <w:p>
      <w:pPr>
        <w:pStyle w:val="Style26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年度；評鑑結果：○醫師及醫事人員類精神科教學醫院合格</w:t>
      </w:r>
    </w:p>
    <w:p>
      <w:pPr>
        <w:pStyle w:val="Style26"/>
        <w:tabs>
          <w:tab w:val="clear" w:pos="480"/>
        </w:tabs>
        <w:spacing w:lineRule="exact" w:line="440"/>
        <w:ind w:left="964" w:firstLine="3641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醫事人員類</w:t>
      </w:r>
      <w:r>
        <w:rPr>
          <w:rFonts w:eastAsia="標楷體" w:ascii="Times New Roman" w:hAnsi="Times New Roman"/>
        </w:rPr>
        <w:t>(</w:t>
      </w:r>
      <w:r>
        <w:rPr>
          <w:rFonts w:ascii="Times New Roman" w:hAnsi="Times New Roman" w:eastAsia="標楷體"/>
        </w:rPr>
        <w:t>非醫師</w:t>
      </w:r>
      <w:r>
        <w:rPr>
          <w:rFonts w:eastAsia="標楷體" w:ascii="Times New Roman" w:hAnsi="Times New Roman"/>
        </w:rPr>
        <w:t>)</w:t>
      </w:r>
      <w:r>
        <w:rPr>
          <w:rFonts w:ascii="Times New Roman" w:hAnsi="Times New Roman" w:eastAsia="標楷體"/>
        </w:rPr>
        <w:t>精神科教學醫院合格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/>
      </w:pPr>
      <w:r>
        <w:rPr>
          <w:rStyle w:val="Style14"/>
          <w:rFonts w:eastAsia="標楷體"/>
        </w:rPr>
        <w:t>3.</w:t>
      </w:r>
      <w:r>
        <w:rPr>
          <w:rStyle w:val="Style14"/>
          <w:rFonts w:eastAsia="標楷體"/>
        </w:rPr>
        <w:t>貴院於衛生局登記開業之日期：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年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日；核准文號：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字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號</w:t>
      </w:r>
    </w:p>
    <w:p>
      <w:pPr>
        <w:pStyle w:val="Style26"/>
        <w:spacing w:lineRule="exact" w:line="440"/>
        <w:ind w:firstLine="362"/>
        <w:rPr/>
      </w:pPr>
      <w:r>
        <w:rPr>
          <w:rStyle w:val="Style14"/>
          <w:rFonts w:ascii="Times New Roman" w:hAnsi="Times New Roman" w:eastAsia="標楷體"/>
        </w:rPr>
        <w:t>最近一次申請開放使用床數登記之異動日期：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 xml:space="preserve">月 </w:t>
      </w:r>
      <w:r>
        <w:rPr>
          <w:rStyle w:val="Style14"/>
          <w:rFonts w:ascii="Times New Roman" w:hAnsi="Times New Roman" w:eastAsia="標楷體"/>
          <w:u w:val="single"/>
        </w:rPr>
        <w:t xml:space="preserve">   </w:t>
      </w:r>
      <w:r>
        <w:rPr>
          <w:rStyle w:val="Style14"/>
          <w:rFonts w:ascii="Times New Roman" w:hAnsi="Times New Roman" w:eastAsia="標楷體"/>
        </w:rPr>
        <w:t>日；</w:t>
      </w:r>
    </w:p>
    <w:p>
      <w:pPr>
        <w:pStyle w:val="Style26"/>
        <w:tabs>
          <w:tab w:val="clear" w:pos="480"/>
        </w:tabs>
        <w:spacing w:lineRule="atLeast" w:line="500"/>
        <w:ind w:left="900" w:hanging="540"/>
        <w:rPr/>
      </w:pPr>
      <w:r>
        <w:rPr>
          <w:rStyle w:val="Style14"/>
          <w:rFonts w:ascii="Times New Roman" w:hAnsi="Times New Roman" w:eastAsia="標楷體"/>
        </w:rPr>
        <w:t>核准文號：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ascii="Times New Roman" w:hAnsi="Times New Roman" w:eastAsia="標楷體"/>
        </w:rPr>
        <w:t>字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w:rPr>
          <w:rStyle w:val="Style14"/>
          <w:rFonts w:ascii="Times New Roman" w:hAnsi="Times New Roman" w:eastAsia="標楷體"/>
        </w:rPr>
        <w:t>號</w:t>
      </w:r>
    </w:p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r>
        <w:rPr/>
      </w:r>
      <w:bookmarkStart w:id="3" w:name="OLE_LINK3"/>
      <w:bookmarkStart w:id="4" w:name="OLE_LINK2"/>
      <w:bookmarkStart w:id="5" w:name="OLE_LINK1"/>
      <w:bookmarkStart w:id="6" w:name="OLE_LINK3"/>
      <w:bookmarkStart w:id="7" w:name="OLE_LINK2"/>
      <w:bookmarkStart w:id="8" w:name="OLE_LINK1"/>
      <w:bookmarkEnd w:id="6"/>
      <w:bookmarkEnd w:id="7"/>
      <w:bookmarkEnd w:id="8"/>
      <w:r>
        <w:br w:type="page"/>
      </w:r>
    </w:p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r>
        <w:rPr>
          <w:rStyle w:val="Style14"/>
          <w:rFonts w:ascii="Times New Roman" w:hAnsi="Times New Roman" w:eastAsia="標楷體"/>
          <w:b/>
          <w:bCs/>
          <w:szCs w:val="24"/>
        </w:rPr>
        <w:t>設備容量（以填表日之資料為準）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病床資料： </w:t>
      </w:r>
    </w:p>
    <w:tbl>
      <w:tblPr>
        <w:tblW w:w="47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86"/>
        <w:gridCol w:w="1269"/>
        <w:gridCol w:w="3815"/>
        <w:gridCol w:w="2663"/>
      </w:tblGrid>
      <w:tr>
        <w:trPr>
          <w:trHeight w:val="232" w:hRule="atLeast"/>
        </w:trPr>
        <w:tc>
          <w:tcPr>
            <w:tcW w:w="6170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項目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開放數（床）</w:t>
            </w:r>
          </w:p>
        </w:tc>
      </w:tr>
      <w:tr>
        <w:trPr>
          <w:trHeight w:val="330" w:hRule="atLeast"/>
        </w:trPr>
        <w:tc>
          <w:tcPr>
            <w:tcW w:w="108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一般病床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1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1269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急性病床</w:t>
            </w:r>
          </w:p>
        </w:tc>
        <w:tc>
          <w:tcPr>
            <w:tcW w:w="38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急性一般病床</w:t>
            </w:r>
          </w:p>
        </w:tc>
        <w:tc>
          <w:tcPr>
            <w:tcW w:w="266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精神急性一般病床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慢性病床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慢性一般病床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精神慢性一般病床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慢性結核病床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漢生病病床（慢性癩病病床）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08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特殊病床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加護病床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燒傷加護病床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觀察床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急診觀察病床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觀察病床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其他觀察病床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隔離病床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普通隔離病床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正壓隔離病床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負壓隔離病床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嬰兒病床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嬰兒床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手術恢復床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血液透析床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腹膜透析病床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安寧病床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精神科加護病床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亞急性呼吸照護病床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慢性呼吸照護病床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骨髓移植病床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性侵害犯罪加害人強制治療病床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急性後期照護病床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08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84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整合醫學急診後送病床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總病床數（</w:t>
            </w:r>
            <w:r>
              <w:rPr>
                <w:rFonts w:eastAsia="標楷體"/>
                <w:kern w:val="0"/>
              </w:rPr>
              <w:t>1</w:t>
            </w:r>
            <w:r>
              <w:rPr>
                <w:rFonts w:eastAsia="標楷體"/>
                <w:kern w:val="0"/>
              </w:rPr>
              <w:t>）</w:t>
            </w:r>
            <w:r>
              <w:rPr>
                <w:rFonts w:eastAsia="標楷體"/>
                <w:kern w:val="0"/>
              </w:rPr>
              <w:t>+</w:t>
            </w: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kern w:val="0"/>
          <w:sz w:val="20"/>
          <w:szCs w:val="20"/>
        </w:rPr>
        <w:t>開放數</w:t>
      </w:r>
      <w:r>
        <w:rPr>
          <w:rStyle w:val="Style14"/>
          <w:rFonts w:eastAsia="標楷體"/>
          <w:b/>
          <w:kern w:val="0"/>
          <w:sz w:val="20"/>
          <w:szCs w:val="20"/>
        </w:rPr>
        <w:t>-</w:t>
      </w:r>
      <w:r>
        <w:rPr>
          <w:rStyle w:val="Style14"/>
          <w:rFonts w:eastAsia="標楷體"/>
          <w:b/>
          <w:sz w:val="20"/>
          <w:szCs w:val="20"/>
        </w:rPr>
        <w:t>以衛生局登記之開放床數計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2.</w:t>
      </w:r>
      <w:r>
        <w:rPr>
          <w:rStyle w:val="Style14"/>
          <w:rFonts w:eastAsia="標楷體"/>
        </w:rPr>
        <w:t>其他醫療相關設備或機構</w:t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200"/>
        <w:gridCol w:w="2540"/>
      </w:tblGrid>
      <w:tr>
        <w:trPr>
          <w:tblHeader w:val="true"/>
          <w:trHeight w:val="232" w:hRule="atLeast"/>
        </w:trPr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項目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</w:t>
            </w:r>
          </w:p>
        </w:tc>
      </w:tr>
      <w:tr>
        <w:trPr>
          <w:trHeight w:val="330" w:hRule="atLeast"/>
        </w:trPr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牙醫治療台（台）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診察室（間）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精神科日間照護單位（人數）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日間照護（人數）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救護車（輛）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rPr/>
      </w:pPr>
      <w:r>
        <w:rPr/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99"/>
        <w:gridCol w:w="2839"/>
        <w:gridCol w:w="2183"/>
        <w:gridCol w:w="2419"/>
      </w:tblGrid>
      <w:tr>
        <w:trPr>
          <w:trHeight w:val="330" w:hRule="atLeast"/>
        </w:trPr>
        <w:tc>
          <w:tcPr>
            <w:tcW w:w="4138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</w:t>
            </w:r>
            <w:r>
              <w:rPr>
                <w:rFonts w:eastAsia="標楷體"/>
                <w:kern w:val="0"/>
              </w:rPr>
              <w:t>/</w:t>
            </w:r>
            <w:r>
              <w:rPr>
                <w:rFonts w:eastAsia="標楷體"/>
                <w:kern w:val="0"/>
              </w:rPr>
              <w:t>核可數量</w:t>
            </w:r>
          </w:p>
        </w:tc>
        <w:tc>
          <w:tcPr>
            <w:tcW w:w="241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是否設在醫院建物內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bookmarkStart w:id="9" w:name="OLE_LINK4"/>
            <w:bookmarkEnd w:id="9"/>
            <w:r>
              <w:rPr>
                <w:rFonts w:eastAsia="標楷體"/>
              </w:rPr>
              <w:t>附設護理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機構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一般護理之家（床）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精神護理之家（床）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日間照護服務量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產後護理（床）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居家護理服務量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bookmarkStart w:id="10" w:name="OLE_LINK4"/>
            <w:bookmarkEnd w:id="10"/>
            <w:r>
              <w:rPr>
                <w:rFonts w:eastAsia="標楷體"/>
              </w:rPr>
              <w:t>附設精神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復健機構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日間型精神復健機構服務量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住宿型精神復健機構床位數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其他附設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機構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安養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養護機構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身心障礙福利機構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2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日間托老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備註：開放數</w:t>
      </w:r>
      <w:r>
        <w:rPr>
          <w:rFonts w:eastAsia="標楷體"/>
          <w:b/>
          <w:sz w:val="20"/>
          <w:szCs w:val="20"/>
        </w:rPr>
        <w:t>-</w:t>
      </w:r>
      <w:r>
        <w:rPr>
          <w:rFonts w:eastAsia="標楷體"/>
          <w:b/>
          <w:sz w:val="20"/>
          <w:szCs w:val="20"/>
        </w:rPr>
        <w:t>係指於衛生局登記開放數</w:t>
      </w:r>
      <w:r>
        <w:br w:type="page"/>
      </w:r>
    </w:p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ascii="Times New Roman" w:hAnsi="Times New Roman" w:eastAsia="標楷體"/>
          <w:b/>
          <w:bCs/>
        </w:rPr>
        <w:t>醫院員工人數統計</w:t>
      </w:r>
      <w:r>
        <w:rPr>
          <w:rStyle w:val="Style14"/>
          <w:rFonts w:ascii="Times New Roman" w:hAnsi="Times New Roman" w:eastAsia="標楷體"/>
          <w:b/>
        </w:rPr>
        <w:t>（以填表日之資料為準）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1.</w:t>
      </w:r>
      <w:r>
        <w:rPr>
          <w:rStyle w:val="Style14"/>
          <w:rFonts w:eastAsia="標楷體"/>
        </w:rPr>
        <w:t>醫師人數：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06"/>
        <w:gridCol w:w="1509"/>
        <w:gridCol w:w="2909"/>
        <w:gridCol w:w="2909"/>
      </w:tblGrid>
      <w:tr>
        <w:trPr>
          <w:trHeight w:val="70" w:hRule="atLeast"/>
          <w:cantSplit w:val="true"/>
        </w:trPr>
        <w:tc>
          <w:tcPr>
            <w:tcW w:w="3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分      類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專任人數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napToGrid w:val="false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兼任人數</w:t>
            </w:r>
          </w:p>
        </w:tc>
      </w:tr>
      <w:tr>
        <w:trPr>
          <w:trHeight w:val="70" w:hRule="atLeast"/>
          <w:cantSplit w:val="true"/>
        </w:trPr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西　醫　師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主治醫師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住院醫師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3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牙　醫　師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3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中　醫　師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指領有中央主管機關核發之醫師証書者。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  <w:tab/>
      </w:r>
      <w:r>
        <w:rPr>
          <w:rFonts w:eastAsia="標楷體"/>
          <w:b/>
          <w:sz w:val="20"/>
          <w:szCs w:val="20"/>
        </w:rPr>
        <w:t>兼任人員：依醫療機構設置標準第二十條規定事先報准之時數，每週達</w:t>
      </w:r>
      <w:r>
        <w:rPr>
          <w:rFonts w:eastAsia="標楷體"/>
          <w:b/>
          <w:sz w:val="20"/>
          <w:szCs w:val="20"/>
        </w:rPr>
        <w:t>44</w:t>
      </w:r>
      <w:r>
        <w:rPr>
          <w:rFonts w:eastAsia="標楷體"/>
          <w:b/>
          <w:sz w:val="20"/>
          <w:szCs w:val="20"/>
        </w:rPr>
        <w:t>小時者，得折算醫師人力一人。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專科醫師數：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04"/>
        <w:gridCol w:w="1035"/>
        <w:gridCol w:w="1037"/>
        <w:gridCol w:w="1037"/>
        <w:gridCol w:w="1037"/>
        <w:gridCol w:w="1553"/>
        <w:gridCol w:w="1330"/>
      </w:tblGrid>
      <w:tr>
        <w:trPr>
          <w:tblHeader w:val="true"/>
          <w:trHeight w:val="425" w:hRule="atLeast"/>
          <w:cantSplit w:val="true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 科 分 類</w:t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主治醫師人數</w:t>
            </w:r>
          </w:p>
        </w:tc>
        <w:tc>
          <w:tcPr>
            <w:tcW w:w="207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專科醫師人數</w:t>
            </w:r>
            <w:r>
              <w:rPr>
                <w:rStyle w:val="Style14"/>
                <w:rFonts w:eastAsia="標楷體" w:ascii="Times New Roman" w:hAnsi="Times New Roman"/>
                <w:position w:val="6"/>
                <w:sz w:val="16"/>
                <w:szCs w:val="24"/>
                <w:lang w:val="en-US" w:eastAsia="zh-TW"/>
              </w:rPr>
              <w:t>1</w:t>
            </w:r>
          </w:p>
        </w:tc>
        <w:tc>
          <w:tcPr>
            <w:tcW w:w="1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醫院具訓練該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專科醫師資格</w:t>
            </w:r>
          </w:p>
        </w:tc>
        <w:tc>
          <w:tcPr>
            <w:tcW w:w="1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現有住院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醫師人數</w:t>
            </w:r>
          </w:p>
        </w:tc>
      </w:tr>
      <w:tr>
        <w:trPr>
          <w:tblHeader w:val="true"/>
          <w:trHeight w:val="243" w:hRule="atLeast"/>
          <w:cantSplit w:val="true"/>
        </w:trPr>
        <w:tc>
          <w:tcPr>
            <w:tcW w:w="18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</w:t>
            </w:r>
          </w:p>
        </w:tc>
        <w:tc>
          <w:tcPr>
            <w:tcW w:w="1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lang w:val="en-US" w:eastAsia="zh-TW"/>
              </w:rPr>
              <w:t>是  ○否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lang w:val="en-US" w:eastAsia="zh-TW"/>
              </w:rPr>
              <w:t>是  ○否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11" w:name="OLE_LINK5"/>
      <w:bookmarkEnd w:id="11"/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專科醫師人數：指領有中央衛生主管機關核發之專科醫師證書者。</w:t>
      </w:r>
      <w:r>
        <w:rPr>
          <w:rStyle w:val="Style14"/>
          <w:rFonts w:eastAsia="標楷體"/>
          <w:b/>
          <w:sz w:val="20"/>
          <w:szCs w:val="20"/>
          <w:u w:val="single"/>
        </w:rPr>
        <w:t>若一人領有二科以上專科醫師證書，則以其執業登記科別計算</w:t>
      </w:r>
      <w:r>
        <w:rPr>
          <w:rStyle w:val="Style14"/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住院醫師資格之認定，以正在接受部定專科醫師訓練的醫師為主（不包含次專科訓練）。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如表格篇幅不足，請自行增列。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bookmarkStart w:id="12" w:name="OLE_LINK5"/>
      <w:bookmarkEnd w:id="12"/>
      <w:r>
        <w:rPr>
          <w:rFonts w:eastAsia="標楷體"/>
        </w:rPr>
        <w:t xml:space="preserve">3. </w:t>
      </w:r>
      <w:r>
        <w:rPr>
          <w:rFonts w:eastAsia="標楷體"/>
        </w:rPr>
        <w:t>其他醫事專門職業人員及行政人員數：</w:t>
      </w:r>
    </w:p>
    <w:tbl>
      <w:tblPr>
        <w:tblW w:w="8420" w:type="dxa"/>
        <w:jc w:val="left"/>
        <w:tblInd w:w="54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41"/>
        <w:gridCol w:w="3118"/>
        <w:gridCol w:w="2060"/>
        <w:gridCol w:w="2201"/>
      </w:tblGrid>
      <w:tr>
        <w:trPr>
          <w:trHeight w:val="284" w:hRule="atLeast"/>
          <w:cantSplit w:val="true"/>
        </w:trPr>
        <w:tc>
          <w:tcPr>
            <w:tcW w:w="4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類          別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專任人數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napToGrid w:val="false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兼任人數</w:t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藥劑生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醫事放射師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醫事放射士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醫事檢驗師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醫事檢驗生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鑲牙生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中藥員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齒模員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接骨員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物理治療生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職能治療生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諮商心理師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臨床心理師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30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社工人員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精神醫療社會工作師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精神醫療社會工作人員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exact" w:line="24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行政人員（餘請列述之）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病歷管理人員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工程技術人員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資訊技術人員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78" w:hRule="atLeast"/>
          <w:cantSplit w:val="true"/>
        </w:trPr>
        <w:tc>
          <w:tcPr>
            <w:tcW w:w="10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醫務行政人員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技工、工友、司機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合計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如具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種以上資格，應以其執業登記者填報。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無證照者以括號（）表示。</w:t>
      </w:r>
      <w:r>
        <w:br w:type="page"/>
      </w:r>
    </w:p>
    <w:p>
      <w:pPr>
        <w:pStyle w:val="Style26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ascii="Times New Roman" w:hAnsi="Times New Roman" w:eastAsia="標楷體"/>
          <w:b/>
          <w:szCs w:val="24"/>
        </w:rPr>
        <w:t>醫療業務統計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>門、急診業務量統計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85"/>
        <w:gridCol w:w="1044"/>
        <w:gridCol w:w="1743"/>
        <w:gridCol w:w="1742"/>
        <w:gridCol w:w="1743"/>
        <w:gridCol w:w="1741"/>
      </w:tblGrid>
      <w:tr>
        <w:trPr>
          <w:tblHeader w:val="true"/>
          <w:trHeight w:val="748" w:hRule="atLeast"/>
          <w:cantSplit w:val="true"/>
        </w:trPr>
        <w:tc>
          <w:tcPr>
            <w:tcW w:w="2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right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lang w:val="en-US" w:eastAsia="zh-TW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 xml:space="preserve">項目     </w:t>
            </w:r>
            <w:r>
              <w:rPr>
                <w:rStyle w:val="Style14"/>
                <w:rFonts w:ascii="Times New Roman" w:hAnsi="Times New Roman" w:eastAsia="標楷體"/>
                <w:sz w:val="20"/>
                <w:lang w:val="en-US" w:eastAsia="zh-TW"/>
              </w:rPr>
              <w:t xml:space="preserve">  </w:t>
            </w:r>
          </w:p>
        </w:tc>
        <w:tc>
          <w:tcPr>
            <w:tcW w:w="17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107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全年門診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人次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初  診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複  診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平均每日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門診人次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初  診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複  診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全年急診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人次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日  班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小夜班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大夜班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平均每日</w:t>
            </w:r>
          </w:p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急診人次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日  班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小夜班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大夜班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2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0" w:hanging="26"/>
        <w:rPr/>
      </w:pPr>
      <w:r>
        <w:rPr/>
        <w:t xml:space="preserve"> </w:t>
      </w:r>
      <w:r>
        <w:rPr>
          <w:rStyle w:val="Style14"/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>
        <w:rPr>
          <w:rFonts w:eastAsia="標楷體"/>
          <w:b/>
          <w:sz w:val="20"/>
          <w:szCs w:val="20"/>
        </w:rPr>
        <w:t>(</w:t>
      </w:r>
      <w:r>
        <w:rPr>
          <w:rFonts w:eastAsia="標楷體"/>
          <w:b/>
          <w:sz w:val="20"/>
          <w:szCs w:val="20"/>
        </w:rPr>
        <w:t>含夜間門診及假日門診</w:t>
      </w:r>
      <w:r>
        <w:rPr>
          <w:rFonts w:eastAsia="標楷體"/>
          <w:b/>
          <w:sz w:val="20"/>
          <w:szCs w:val="20"/>
        </w:rPr>
        <w:t>)</w:t>
      </w:r>
      <w:r>
        <w:rPr>
          <w:rFonts w:eastAsia="標楷體"/>
          <w:b/>
          <w:sz w:val="20"/>
          <w:szCs w:val="20"/>
        </w:rPr>
        <w:t>之累計。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不含急診人次與門診體格檢查之人次。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如同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人掛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科或就診某科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次，即以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人次累計。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平均每日門診人次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全年門診人次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全年實際門診日數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全年急診人次：全年急診掛號，且實際完成就診人次之累計。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夜間門診不列入急診。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夜間至急診處就診視為急診。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平均每日急診人次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急診人次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全年實際開急診總日數</w:t>
      </w:r>
    </w:p>
    <w:p>
      <w:pPr>
        <w:pStyle w:val="BodyText"/>
        <w:spacing w:lineRule="atLeast" w:line="500"/>
        <w:ind w:right="-720" w:hanging="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住院業務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2.1.</w:t>
      </w:r>
      <w:r>
        <w:rPr>
          <w:rFonts w:eastAsia="標楷體"/>
        </w:rPr>
        <w:t>病床數（應以衛生局登記之開放床數計）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92"/>
        <w:gridCol w:w="1962"/>
        <w:gridCol w:w="1685"/>
        <w:gridCol w:w="1687"/>
        <w:gridCol w:w="1687"/>
        <w:gridCol w:w="1685"/>
      </w:tblGrid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74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病床數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107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2.2.</w:t>
      </w:r>
      <w:r>
        <w:rPr>
          <w:rFonts w:eastAsia="標楷體"/>
        </w:rPr>
        <w:t>全年住院人次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92"/>
        <w:gridCol w:w="1962"/>
        <w:gridCol w:w="1685"/>
        <w:gridCol w:w="1687"/>
        <w:gridCol w:w="1687"/>
        <w:gridCol w:w="1685"/>
      </w:tblGrid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74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全年住院人次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107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全年住院人次：全年醫院每日辦理住院手續之入院人次之累計，不含住院健檢人次。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病人住院期間若轉換科別，則僅列計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住院人次；但轉換病床別，則另計轉床後之住院人次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2.3</w:t>
      </w:r>
      <w:r>
        <w:rPr>
          <w:rFonts w:eastAsia="標楷體"/>
        </w:rPr>
        <w:t>全年住院人日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92"/>
        <w:gridCol w:w="1962"/>
        <w:gridCol w:w="1685"/>
        <w:gridCol w:w="1687"/>
        <w:gridCol w:w="1687"/>
        <w:gridCol w:w="1685"/>
      </w:tblGrid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74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全年住院人日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107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日住院人日。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病人在住院期間轉換科別或病床別時，如仍保留原佔床位時，須同時列計兩邊床位之住院人日，但若未保留原佔床位時，則僅計算新佔用病床之人日即可。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2.4</w:t>
      </w:r>
      <w:r>
        <w:rPr>
          <w:rFonts w:eastAsia="標楷體"/>
        </w:rPr>
        <w:t>平均佔床率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92"/>
        <w:gridCol w:w="1962"/>
        <w:gridCol w:w="1685"/>
        <w:gridCol w:w="1687"/>
        <w:gridCol w:w="1687"/>
        <w:gridCol w:w="1685"/>
      </w:tblGrid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kinsoku w:val="false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 xml:space="preserve">-(%) 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74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平均佔床率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107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佔床率</w:t>
      </w:r>
      <w:r>
        <w:rPr>
          <w:rFonts w:eastAsia="標楷體"/>
          <w:b/>
          <w:sz w:val="20"/>
          <w:szCs w:val="20"/>
        </w:rPr>
        <w:t>=(</w:t>
      </w:r>
      <w:r>
        <w:rPr>
          <w:rFonts w:eastAsia="標楷體"/>
          <w:b/>
          <w:sz w:val="20"/>
          <w:szCs w:val="20"/>
        </w:rPr>
        <w:t>該類病床全年總住院人日數</w:t>
      </w:r>
      <w:r>
        <w:rPr>
          <w:rFonts w:eastAsia="標楷體"/>
          <w:b/>
          <w:sz w:val="20"/>
          <w:szCs w:val="20"/>
        </w:rPr>
        <w:t>)÷(</w:t>
      </w:r>
      <w:r>
        <w:rPr>
          <w:rFonts w:eastAsia="標楷體"/>
          <w:b/>
          <w:sz w:val="20"/>
          <w:szCs w:val="20"/>
        </w:rPr>
        <w:t>該類病床數</w:t>
      </w:r>
      <w:r>
        <w:rPr>
          <w:rFonts w:eastAsia="標楷體"/>
          <w:b/>
          <w:sz w:val="20"/>
          <w:szCs w:val="20"/>
        </w:rPr>
        <w:t>×</w:t>
      </w:r>
      <w:r>
        <w:rPr>
          <w:rFonts w:eastAsia="標楷體"/>
          <w:b/>
          <w:sz w:val="20"/>
          <w:szCs w:val="20"/>
        </w:rPr>
        <w:t>總日數</w:t>
      </w:r>
      <w:r>
        <w:rPr>
          <w:rFonts w:eastAsia="標楷體"/>
          <w:b/>
          <w:sz w:val="20"/>
          <w:szCs w:val="20"/>
        </w:rPr>
        <w:t>)×100 (</w:t>
      </w:r>
      <w:r>
        <w:rPr>
          <w:rFonts w:eastAsia="標楷體"/>
          <w:b/>
          <w:sz w:val="20"/>
          <w:szCs w:val="20"/>
        </w:rPr>
        <w:t>％</w:t>
      </w:r>
      <w:r>
        <w:rPr>
          <w:rFonts w:eastAsia="標楷體"/>
          <w:b/>
          <w:sz w:val="20"/>
          <w:szCs w:val="20"/>
        </w:rPr>
        <w:t>)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2.5</w:t>
      </w:r>
      <w:r>
        <w:rPr>
          <w:rFonts w:eastAsia="標楷體"/>
        </w:rPr>
        <w:t>平均住院日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92"/>
        <w:gridCol w:w="1962"/>
        <w:gridCol w:w="1685"/>
        <w:gridCol w:w="1687"/>
        <w:gridCol w:w="1687"/>
        <w:gridCol w:w="1685"/>
      </w:tblGrid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74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平均住院日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5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107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5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平均住院日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全年總住院人日數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spacing w:lineRule="atLeast" w:line="500"/>
        <w:ind w:right="-720" w:hanging="0"/>
        <w:rPr>
          <w:rFonts w:eastAsia="標楷體"/>
        </w:rPr>
      </w:pPr>
      <w:r>
        <w:rPr>
          <w:rFonts w:eastAsia="標楷體"/>
        </w:rPr>
        <w:t>3.</w:t>
      </w:r>
      <w:r>
        <w:rPr>
          <w:rFonts w:eastAsia="標楷體"/>
        </w:rPr>
        <w:t>其他業務統計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10"/>
        <w:gridCol w:w="1672"/>
        <w:gridCol w:w="1672"/>
        <w:gridCol w:w="1672"/>
        <w:gridCol w:w="1672"/>
      </w:tblGrid>
      <w:tr>
        <w:trPr>
          <w:tblHeader w:val="true"/>
          <w:trHeight w:val="20" w:hRule="atLeast"/>
          <w:cantSplit w:val="true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6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6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16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106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107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20" w:hRule="atLeast"/>
          <w:cantSplit w:val="true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粗死亡人數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淨死亡人數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住院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48</w:t>
            </w: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小時內死亡人數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總出院病人數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粗死亡率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淨死亡率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6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sz w:val="20"/>
        </w:rPr>
        <w:t xml:space="preserve"> 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</w:rPr>
        <w:t>1.</w:t>
      </w:r>
      <w:r>
        <w:rPr>
          <w:rStyle w:val="Style14"/>
          <w:rFonts w:eastAsia="標楷體"/>
          <w:b/>
          <w:sz w:val="20"/>
        </w:rPr>
        <w:t>粗死亡人數</w:t>
      </w:r>
      <w:r>
        <w:rPr>
          <w:rStyle w:val="Style14"/>
          <w:rFonts w:eastAsia="標楷體"/>
          <w:b/>
          <w:sz w:val="20"/>
          <w:szCs w:val="20"/>
        </w:rPr>
        <w:t>：全年住院後死亡人數，不含急診死亡及未離開產房即死亡之新生兒及死產人數。（粗死亡人數大於或等於淨死亡人數）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淨死亡人數：全年住院後超過</w:t>
      </w:r>
      <w:r>
        <w:rPr>
          <w:rFonts w:eastAsia="標楷體"/>
          <w:b/>
          <w:sz w:val="20"/>
          <w:szCs w:val="20"/>
        </w:rPr>
        <w:t>48</w:t>
      </w:r>
      <w:r>
        <w:rPr>
          <w:rFonts w:eastAsia="標楷體"/>
          <w:b/>
          <w:sz w:val="20"/>
          <w:szCs w:val="20"/>
        </w:rPr>
        <w:t>小時才死亡人數。臨終病人自動出院者以醫院為其出具死亡診斷者始計。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粗死亡率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全年住院病人死亡數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全年總出院病人數</w:t>
      </w:r>
      <w:r>
        <w:rPr>
          <w:rFonts w:eastAsia="標楷體"/>
          <w:b/>
          <w:sz w:val="20"/>
          <w:szCs w:val="20"/>
        </w:rPr>
        <w:t>×100 (</w:t>
      </w:r>
      <w:r>
        <w:rPr>
          <w:rFonts w:eastAsia="標楷體"/>
          <w:b/>
          <w:sz w:val="20"/>
          <w:szCs w:val="20"/>
        </w:rPr>
        <w:t>％</w:t>
      </w:r>
      <w:r>
        <w:rPr>
          <w:rFonts w:eastAsia="標楷體"/>
          <w:b/>
          <w:sz w:val="20"/>
          <w:szCs w:val="20"/>
        </w:rPr>
        <w:t>)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淨死亡率</w:t>
      </w:r>
      <w:r>
        <w:rPr>
          <w:rStyle w:val="Style14"/>
          <w:rFonts w:eastAsia="標楷體"/>
          <w:b/>
          <w:sz w:val="20"/>
          <w:szCs w:val="20"/>
        </w:rPr>
        <w:t>=</w:t>
      </w:r>
      <w:r>
        <w:rPr>
          <w:rStyle w:val="Style14"/>
          <w:rFonts w:eastAsia="標楷體"/>
          <w:b/>
          <w:sz w:val="20"/>
          <w:szCs w:val="20"/>
        </w:rPr>
        <w:t>全年</w:t>
      </w:r>
      <w:r>
        <w:rPr>
          <w:rStyle w:val="Style14"/>
          <w:rFonts w:eastAsia="標楷體"/>
          <w:b/>
          <w:sz w:val="20"/>
        </w:rPr>
        <w:t>住院超過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小時死亡人數</w:t>
      </w:r>
      <w:r>
        <w:rPr>
          <w:rStyle w:val="Style14"/>
          <w:rFonts w:eastAsia="標楷體"/>
          <w:b/>
          <w:sz w:val="20"/>
        </w:rPr>
        <w:t>÷(</w:t>
      </w:r>
      <w:r>
        <w:rPr>
          <w:rStyle w:val="Style14"/>
          <w:rFonts w:eastAsia="標楷體"/>
          <w:b/>
          <w:sz w:val="20"/>
        </w:rPr>
        <w:t>全年總出院病人數－住院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小時內死亡人數</w:t>
      </w:r>
      <w:r>
        <w:rPr>
          <w:rStyle w:val="Style14"/>
          <w:rFonts w:eastAsia="標楷體"/>
          <w:b/>
          <w:sz w:val="20"/>
        </w:rPr>
        <w:t>) ×100 (</w:t>
      </w:r>
      <w:r>
        <w:rPr>
          <w:rStyle w:val="Style14"/>
          <w:rFonts w:eastAsia="標楷體"/>
          <w:b/>
          <w:sz w:val="20"/>
        </w:rPr>
        <w:t>％</w:t>
      </w:r>
      <w:r>
        <w:rPr>
          <w:rStyle w:val="Style14"/>
          <w:rFonts w:eastAsia="標楷體"/>
          <w:b/>
          <w:sz w:val="20"/>
        </w:rPr>
        <w:t>)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/>
      </w:pPr>
      <w:r>
        <w:rPr>
          <w:rStyle w:val="Style14"/>
          <w:rFonts w:eastAsia="標楷體"/>
        </w:rPr>
        <w:t xml:space="preserve">4. 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</w:rPr>
        <w:t>資料統計期間</w:t>
      </w:r>
      <w:r>
        <w:rPr>
          <w:rStyle w:val="Style14"/>
          <w:rFonts w:eastAsia="標楷體"/>
          <w:b/>
        </w:rPr>
        <w:t>104.1.1~</w:t>
      </w:r>
      <w:r>
        <w:rPr>
          <w:rStyle w:val="Style14"/>
          <w:rFonts w:eastAsia="標楷體"/>
          <w:b/>
          <w:bCs/>
        </w:rPr>
        <w:t>107</w:t>
      </w:r>
      <w:r>
        <w:rPr>
          <w:rStyle w:val="Style14"/>
          <w:rFonts w:eastAsia="標楷體"/>
          <w:b/>
        </w:rPr>
        <w:t>.12.31</w:t>
      </w:r>
      <w:r>
        <w:rPr>
          <w:rStyle w:val="Style14"/>
          <w:rFonts w:eastAsia="標楷體"/>
        </w:rPr>
        <w:t>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4.1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104.1.1~104.12.31</w:t>
      </w:r>
      <w:r>
        <w:rPr>
          <w:rStyle w:val="Style14"/>
          <w:rFonts w:eastAsia="標楷體"/>
        </w:rPr>
        <w:t>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33"/>
        <w:gridCol w:w="1236"/>
        <w:gridCol w:w="1019"/>
        <w:gridCol w:w="722"/>
        <w:gridCol w:w="725"/>
        <w:gridCol w:w="723"/>
        <w:gridCol w:w="724"/>
        <w:gridCol w:w="723"/>
        <w:gridCol w:w="725"/>
        <w:gridCol w:w="722"/>
        <w:gridCol w:w="725"/>
        <w:gridCol w:w="721"/>
      </w:tblGrid>
      <w:tr>
        <w:trPr>
          <w:tblHeader w:val="true"/>
          <w:trHeight w:val="631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以已辦理住院手續之病人統計。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 xml:space="preserve"> </w:t>
      </w:r>
      <w:r>
        <w:rPr>
          <w:rStyle w:val="Style14"/>
          <w:rFonts w:eastAsia="標楷體"/>
        </w:rPr>
        <w:t>4.2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105.1.1~105.12.31</w:t>
      </w:r>
      <w:r>
        <w:rPr>
          <w:rStyle w:val="Style14"/>
          <w:rFonts w:eastAsia="標楷體"/>
        </w:rPr>
        <w:t>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33"/>
        <w:gridCol w:w="1236"/>
        <w:gridCol w:w="1019"/>
        <w:gridCol w:w="722"/>
        <w:gridCol w:w="725"/>
        <w:gridCol w:w="723"/>
        <w:gridCol w:w="724"/>
        <w:gridCol w:w="723"/>
        <w:gridCol w:w="725"/>
        <w:gridCol w:w="722"/>
        <w:gridCol w:w="725"/>
        <w:gridCol w:w="721"/>
      </w:tblGrid>
      <w:tr>
        <w:trPr>
          <w:tblHeader w:val="true"/>
          <w:trHeight w:val="631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4.3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106.1.1~106.12.31</w:t>
      </w:r>
      <w:r>
        <w:rPr>
          <w:rStyle w:val="Style14"/>
          <w:rFonts w:eastAsia="標楷體"/>
        </w:rPr>
        <w:t>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33"/>
        <w:gridCol w:w="1236"/>
        <w:gridCol w:w="1019"/>
        <w:gridCol w:w="722"/>
        <w:gridCol w:w="725"/>
        <w:gridCol w:w="723"/>
        <w:gridCol w:w="724"/>
        <w:gridCol w:w="723"/>
        <w:gridCol w:w="725"/>
        <w:gridCol w:w="722"/>
        <w:gridCol w:w="725"/>
        <w:gridCol w:w="721"/>
      </w:tblGrid>
      <w:tr>
        <w:trPr>
          <w:tblHeader w:val="true"/>
          <w:trHeight w:val="631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8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4.4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107.1.1~107.12.31</w:t>
      </w:r>
      <w:r>
        <w:rPr>
          <w:rStyle w:val="Style14"/>
          <w:rFonts w:eastAsia="標楷體"/>
        </w:rPr>
        <w:t>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97"/>
        <w:gridCol w:w="1236"/>
        <w:gridCol w:w="1034"/>
        <w:gridCol w:w="725"/>
        <w:gridCol w:w="726"/>
        <w:gridCol w:w="726"/>
        <w:gridCol w:w="725"/>
        <w:gridCol w:w="726"/>
        <w:gridCol w:w="726"/>
        <w:gridCol w:w="725"/>
        <w:gridCol w:w="726"/>
        <w:gridCol w:w="726"/>
      </w:tblGrid>
      <w:tr>
        <w:trPr>
          <w:tblHeader w:val="true"/>
          <w:trHeight w:val="631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6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/>
      </w:pPr>
      <w:r>
        <w:rPr>
          <w:rStyle w:val="Style14"/>
          <w:rFonts w:eastAsia="標楷體"/>
        </w:rPr>
        <w:t>5.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104.1.1~</w:t>
      </w:r>
      <w:r>
        <w:rPr>
          <w:rStyle w:val="Style14"/>
          <w:rFonts w:eastAsia="標楷體"/>
          <w:b/>
          <w:bCs/>
        </w:rPr>
        <w:t>107</w:t>
      </w:r>
      <w:r>
        <w:rPr>
          <w:rStyle w:val="Style14"/>
          <w:rFonts w:eastAsia="標楷體"/>
          <w:b/>
        </w:rPr>
        <w:t>.12.31</w:t>
      </w:r>
      <w:r>
        <w:rPr>
          <w:rStyle w:val="Style14"/>
          <w:rFonts w:eastAsia="標楷體"/>
        </w:rPr>
        <w:t>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5.1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104.1.1~104.12.31</w:t>
      </w:r>
      <w:r>
        <w:rPr>
          <w:rStyle w:val="Style14"/>
          <w:rFonts w:eastAsia="標楷體"/>
        </w:rPr>
        <w:t>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341"/>
        <w:gridCol w:w="1935"/>
        <w:gridCol w:w="742"/>
        <w:gridCol w:w="670"/>
        <w:gridCol w:w="670"/>
        <w:gridCol w:w="886"/>
        <w:gridCol w:w="1007"/>
        <w:gridCol w:w="1708"/>
      </w:tblGrid>
      <w:tr>
        <w:trPr>
          <w:tblHeader w:val="true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 / ICD-10-CM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 xml:space="preserve">  </w:t>
      </w:r>
      <w:r>
        <w:rPr>
          <w:rStyle w:val="Style14"/>
          <w:rFonts w:eastAsia="標楷體"/>
        </w:rPr>
        <w:t>5.2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 xml:space="preserve">大疾病別統計表 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105.1.1~105.12.31</w:t>
      </w:r>
      <w:r>
        <w:rPr>
          <w:rStyle w:val="Style14"/>
          <w:rFonts w:eastAsia="標楷體"/>
        </w:rPr>
        <w:t>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243"/>
        <w:gridCol w:w="2033"/>
        <w:gridCol w:w="742"/>
        <w:gridCol w:w="670"/>
        <w:gridCol w:w="670"/>
        <w:gridCol w:w="886"/>
        <w:gridCol w:w="1007"/>
        <w:gridCol w:w="1708"/>
      </w:tblGrid>
      <w:tr>
        <w:trPr/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 xml:space="preserve"> </w:t>
      </w:r>
      <w:r>
        <w:rPr>
          <w:rStyle w:val="Style14"/>
          <w:rFonts w:eastAsia="標楷體"/>
        </w:rPr>
        <w:t>5.3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106.1.1~</w:t>
      </w:r>
      <w:r>
        <w:rPr>
          <w:rStyle w:val="Style14"/>
          <w:rFonts w:eastAsia="標楷體"/>
          <w:b/>
          <w:bCs/>
        </w:rPr>
        <w:t>106</w:t>
      </w:r>
      <w:r>
        <w:rPr>
          <w:rStyle w:val="Style14"/>
          <w:rFonts w:eastAsia="標楷體"/>
          <w:b/>
        </w:rPr>
        <w:t>.12.31</w:t>
      </w:r>
      <w:r>
        <w:rPr>
          <w:rStyle w:val="Style14"/>
          <w:rFonts w:eastAsia="標楷體"/>
        </w:rPr>
        <w:t>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243"/>
        <w:gridCol w:w="2033"/>
        <w:gridCol w:w="742"/>
        <w:gridCol w:w="670"/>
        <w:gridCol w:w="670"/>
        <w:gridCol w:w="886"/>
        <w:gridCol w:w="1007"/>
        <w:gridCol w:w="1708"/>
      </w:tblGrid>
      <w:tr>
        <w:trPr/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7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5.4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  <w:b/>
        </w:rPr>
        <w:t>107.1.1~</w:t>
      </w:r>
      <w:r>
        <w:rPr>
          <w:rStyle w:val="Style14"/>
          <w:rFonts w:eastAsia="標楷體"/>
          <w:b/>
          <w:bCs/>
        </w:rPr>
        <w:t>107</w:t>
      </w:r>
      <w:r>
        <w:rPr>
          <w:rStyle w:val="Style14"/>
          <w:rFonts w:eastAsia="標楷體"/>
          <w:b/>
        </w:rPr>
        <w:t>.12.31</w:t>
      </w:r>
      <w:r>
        <w:rPr>
          <w:rStyle w:val="Style14"/>
          <w:rFonts w:eastAsia="標楷體"/>
        </w:rPr>
        <w:t>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6"/>
        <w:gridCol w:w="1737"/>
        <w:gridCol w:w="1508"/>
        <w:gridCol w:w="756"/>
        <w:gridCol w:w="672"/>
        <w:gridCol w:w="685"/>
        <w:gridCol w:w="882"/>
        <w:gridCol w:w="1022"/>
        <w:gridCol w:w="1750"/>
      </w:tblGrid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7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8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4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</w:r>
      <w:r>
        <w:br w:type="page"/>
      </w:r>
    </w:p>
    <w:p>
      <w:pPr>
        <w:pStyle w:val="Style26"/>
        <w:tabs>
          <w:tab w:val="clear" w:pos="480"/>
        </w:tabs>
        <w:snapToGrid w:val="false"/>
        <w:ind w:left="480" w:hanging="480"/>
        <w:jc w:val="center"/>
        <w:rPr/>
      </w:pPr>
      <w:r>
        <w:rPr>
          <w:rStyle w:val="Style14"/>
          <w:rFonts w:ascii="Times New Roman" w:hAnsi="Times New Roman" w:eastAsia="標楷體"/>
          <w:b/>
          <w:bCs/>
          <w:sz w:val="28"/>
        </w:rPr>
        <w:t>填表說明</w:t>
      </w:r>
    </w:p>
    <w:p>
      <w:pPr>
        <w:pStyle w:val="Style26"/>
        <w:tabs>
          <w:tab w:val="clear" w:pos="480"/>
        </w:tabs>
        <w:snapToGrid w:val="false"/>
        <w:ind w:left="400" w:hanging="400"/>
        <w:rPr>
          <w:rFonts w:ascii="Times New Roman" w:hAnsi="Times New Roman" w:eastAsia="標楷體"/>
          <w:sz w:val="20"/>
        </w:rPr>
      </w:pPr>
      <w:r>
        <w:rPr>
          <w:rFonts w:eastAsia="標楷體" w:ascii="Times New Roman" w:hAnsi="Times New Roman"/>
          <w:sz w:val="20"/>
        </w:rPr>
      </w:r>
    </w:p>
    <w:p>
      <w:pPr>
        <w:pStyle w:val="Style26"/>
        <w:tabs>
          <w:tab w:val="clear" w:pos="480"/>
        </w:tabs>
        <w:snapToGrid w:val="false"/>
        <w:ind w:left="400" w:hanging="40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>
      <w:pPr>
        <w:pStyle w:val="Style26"/>
        <w:snapToGrid w:val="false"/>
        <w:jc w:val="both"/>
        <w:rPr>
          <w:rFonts w:ascii="Times New Roman" w:hAnsi="Times New Roman" w:eastAsia="標楷體"/>
          <w:b/>
          <w:bCs/>
          <w:sz w:val="20"/>
        </w:rPr>
      </w:pPr>
      <w:r>
        <w:rPr>
          <w:rFonts w:eastAsia="標楷體" w:ascii="Times New Roman" w:hAnsi="Times New Roman"/>
          <w:b/>
          <w:bCs/>
          <w:sz w:val="20"/>
        </w:rPr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二、醫療業務量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全年門診人次：全年前往醫院經掛號後，實際就診各科別門診人次</w:t>
      </w:r>
      <w:r>
        <w:rPr>
          <w:rFonts w:eastAsia="標楷體" w:ascii="Times New Roman" w:hAnsi="Times New Roman"/>
          <w:sz w:val="20"/>
        </w:rPr>
        <w:t>(</w:t>
      </w:r>
      <w:r>
        <w:rPr>
          <w:rFonts w:ascii="Times New Roman" w:hAnsi="Times New Roman" w:eastAsia="標楷體"/>
          <w:sz w:val="20"/>
        </w:rPr>
        <w:t>含夜間門診及假日門診</w:t>
      </w:r>
      <w:r>
        <w:rPr>
          <w:rFonts w:eastAsia="標楷體" w:ascii="Times New Roman" w:hAnsi="Times New Roman"/>
          <w:sz w:val="20"/>
        </w:rPr>
        <w:t>)</w:t>
      </w:r>
      <w:r>
        <w:rPr>
          <w:rFonts w:ascii="Times New Roman" w:hAnsi="Times New Roman" w:eastAsia="標楷體"/>
          <w:sz w:val="20"/>
        </w:rPr>
        <w:t>之累計。</w:t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(1)</w:t>
      </w:r>
      <w:r>
        <w:rPr>
          <w:rFonts w:ascii="Times New Roman" w:hAnsi="Times New Roman" w:eastAsia="標楷體"/>
          <w:sz w:val="20"/>
        </w:rPr>
        <w:t>不含急診人次與門診體格檢查之人次。</w:t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(2)</w:t>
      </w:r>
      <w:r>
        <w:rPr>
          <w:rFonts w:ascii="Times New Roman" w:hAnsi="Times New Roman" w:eastAsia="標楷體"/>
          <w:sz w:val="20"/>
        </w:rPr>
        <w:t>如同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人掛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科或就診某科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次，即以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人次之累計。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門診健檢人次：包括就業、考試、執照、就學、人壽保險、婚前健檢及成人健檢等人次之累計。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全年急診人次：全年急診掛號，且實際完成就診人次之累計。</w:t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(1)</w:t>
      </w:r>
      <w:r>
        <w:rPr>
          <w:rFonts w:ascii="Times New Roman" w:hAnsi="Times New Roman" w:eastAsia="標楷體"/>
          <w:sz w:val="20"/>
        </w:rPr>
        <w:t>夜間門診不列入急診。</w:t>
      </w:r>
    </w:p>
    <w:p>
      <w:pPr>
        <w:pStyle w:val="Style26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(2)</w:t>
      </w:r>
      <w:r>
        <w:rPr>
          <w:rFonts w:ascii="Times New Roman" w:hAnsi="Times New Roman" w:eastAsia="標楷體"/>
          <w:sz w:val="20"/>
        </w:rPr>
        <w:t>夜間至急診處就診視為急診。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住院人次：全年醫院每日辦理住院手續之入院人次之累計，不含住院健檢人次。急診後辦理住院手續者列入住院人次，但急診後未辦理住院手續者列入急診人次。病人住院期間若轉換科別，則僅列計一住院人次；但轉換病床，則另計轉床後之住院人次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次，惟如再轉回原轉出病床別時，如未再辦理住院手續，則不需重複列計。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住院人日：全年每日住院人數之累計，住院病人以有辦理住院手續者始列計。計算方式為算進不算出，惟當日住出院者算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日住院人日。病人在住院期間轉換科別或病床別時，如仍保留原佔床位時，須同時列計兩邊床位之住院人日，但若未保留原佔床位時，則僅計算新佔用病床之人日即可。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平均每日住院人數</w:t>
      </w:r>
      <w:r>
        <w:rPr>
          <w:rFonts w:eastAsia="標楷體" w:ascii="Times New Roman" w:hAnsi="Times New Roman"/>
          <w:sz w:val="20"/>
        </w:rPr>
        <w:t>=</w:t>
      </w:r>
      <w:r>
        <w:rPr>
          <w:rFonts w:ascii="Times New Roman" w:hAnsi="Times New Roman" w:eastAsia="標楷體"/>
          <w:sz w:val="20"/>
        </w:rPr>
        <w:t>全年總住院人日數</w:t>
      </w:r>
      <w:r>
        <w:rPr>
          <w:rFonts w:eastAsia="標楷體" w:ascii="Times New Roman" w:hAnsi="Times New Roman"/>
          <w:sz w:val="20"/>
        </w:rPr>
        <w:t>÷</w:t>
      </w:r>
      <w:r>
        <w:rPr>
          <w:rFonts w:ascii="Times New Roman" w:hAnsi="Times New Roman" w:eastAsia="標楷體"/>
          <w:sz w:val="20"/>
        </w:rPr>
        <w:t>全年內之總日數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病床佔床率</w:t>
      </w:r>
      <w:r>
        <w:rPr>
          <w:rFonts w:eastAsia="標楷體" w:ascii="Times New Roman" w:hAnsi="Times New Roman"/>
          <w:sz w:val="20"/>
        </w:rPr>
        <w:t>= (</w:t>
      </w:r>
      <w:r>
        <w:rPr>
          <w:rFonts w:ascii="Times New Roman" w:hAnsi="Times New Roman" w:eastAsia="標楷體"/>
          <w:sz w:val="20"/>
        </w:rPr>
        <w:t>該類病床全年總住院人日數</w:t>
      </w:r>
      <w:r>
        <w:rPr>
          <w:rFonts w:eastAsia="標楷體" w:ascii="Times New Roman" w:hAnsi="Times New Roman"/>
          <w:sz w:val="20"/>
        </w:rPr>
        <w:t>)÷(</w:t>
      </w:r>
      <w:r>
        <w:rPr>
          <w:rFonts w:ascii="Times New Roman" w:hAnsi="Times New Roman" w:eastAsia="標楷體"/>
          <w:sz w:val="20"/>
        </w:rPr>
        <w:t>該類病床數</w:t>
      </w:r>
      <w:r>
        <w:rPr>
          <w:rFonts w:eastAsia="標楷體" w:ascii="Times New Roman" w:hAnsi="Times New Roman"/>
          <w:sz w:val="20"/>
        </w:rPr>
        <w:t>×</w:t>
      </w:r>
      <w:r>
        <w:rPr>
          <w:rFonts w:ascii="Times New Roman" w:hAnsi="Times New Roman" w:eastAsia="標楷體"/>
          <w:sz w:val="20"/>
        </w:rPr>
        <w:t>總日數</w:t>
      </w:r>
      <w:r>
        <w:rPr>
          <w:rFonts w:eastAsia="標楷體" w:ascii="Times New Roman" w:hAnsi="Times New Roman"/>
          <w:sz w:val="20"/>
        </w:rPr>
        <w:t>)×100 (</w:t>
      </w:r>
      <w:r>
        <w:rPr>
          <w:rFonts w:ascii="Times New Roman" w:hAnsi="Times New Roman" w:eastAsia="標楷體"/>
          <w:sz w:val="20"/>
        </w:rPr>
        <w:t>％</w:t>
      </w:r>
      <w:r>
        <w:rPr>
          <w:rFonts w:eastAsia="標楷體" w:ascii="Times New Roman" w:hAnsi="Times New Roman"/>
          <w:sz w:val="20"/>
        </w:rPr>
        <w:t>)</w:t>
      </w:r>
    </w:p>
    <w:p>
      <w:pPr>
        <w:pStyle w:val="Style26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平均住院日</w:t>
      </w:r>
      <w:r>
        <w:rPr>
          <w:rFonts w:eastAsia="標楷體" w:ascii="Times New Roman" w:hAnsi="Times New Roman"/>
          <w:sz w:val="20"/>
        </w:rPr>
        <w:t>=</w:t>
      </w:r>
      <w:r>
        <w:rPr>
          <w:rFonts w:ascii="Times New Roman" w:hAnsi="Times New Roman" w:eastAsia="標楷體"/>
          <w:sz w:val="20"/>
        </w:rPr>
        <w:t>全年總住院人日數</w:t>
      </w:r>
      <w:r>
        <w:rPr>
          <w:rFonts w:eastAsia="標楷體" w:ascii="Times New Roman" w:hAnsi="Times New Roman"/>
          <w:sz w:val="20"/>
        </w:rPr>
        <w:t>÷</w:t>
      </w:r>
      <w:r>
        <w:rPr>
          <w:rFonts w:ascii="Times New Roman" w:hAnsi="Times New Roman" w:eastAsia="標楷體"/>
          <w:sz w:val="20"/>
        </w:rPr>
        <w:t>全年總住院人次數</w:t>
      </w:r>
    </w:p>
    <w:p>
      <w:pPr>
        <w:pStyle w:val="BodyText"/>
        <w:autoSpaceDE w:val="false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autoSpaceDE w:val="false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三、疾病統計：</w:t>
      </w:r>
    </w:p>
    <w:p>
      <w:pPr>
        <w:pStyle w:val="Style26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此說明適用於上列住院病人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大疾病別統計表及門診病人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大疾病別統計表。</w:t>
      </w:r>
    </w:p>
    <w:p>
      <w:pPr>
        <w:pStyle w:val="Style26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為能呈現醫院診療服務之特性，疾病統計可以</w:t>
      </w:r>
      <w:r>
        <w:rPr>
          <w:rFonts w:eastAsia="標楷體" w:ascii="Times New Roman" w:hAnsi="Times New Roman"/>
          <w:sz w:val="20"/>
        </w:rPr>
        <w:t>ICD-9-CM</w:t>
      </w:r>
      <w:r>
        <w:rPr>
          <w:rFonts w:ascii="Times New Roman" w:hAnsi="Times New Roman" w:eastAsia="標楷體"/>
          <w:sz w:val="20"/>
        </w:rPr>
        <w:t>（如：</w:t>
      </w:r>
      <w:r>
        <w:rPr>
          <w:rFonts w:eastAsia="標楷體" w:ascii="Times New Roman" w:hAnsi="Times New Roman"/>
          <w:sz w:val="20"/>
        </w:rPr>
        <w:t>290-319</w:t>
      </w:r>
      <w:r>
        <w:rPr>
          <w:rFonts w:ascii="Times New Roman" w:hAnsi="Times New Roman" w:eastAsia="標楷體"/>
          <w:sz w:val="20"/>
        </w:rPr>
        <w:t>）、</w:t>
      </w:r>
      <w:r>
        <w:rPr>
          <w:rFonts w:eastAsia="標楷體" w:ascii="Times New Roman" w:hAnsi="Times New Roman"/>
          <w:sz w:val="20"/>
        </w:rPr>
        <w:t>ICD-10-CM</w:t>
      </w:r>
      <w:r>
        <w:rPr>
          <w:rFonts w:ascii="Times New Roman" w:hAnsi="Times New Roman" w:eastAsia="標楷體"/>
          <w:sz w:val="20"/>
        </w:rPr>
        <w:t>（如：</w:t>
      </w:r>
      <w:r>
        <w:rPr>
          <w:rFonts w:eastAsia="標楷體" w:ascii="Times New Roman" w:hAnsi="Times New Roman"/>
          <w:sz w:val="20"/>
        </w:rPr>
        <w:t>F03~F99</w:t>
      </w:r>
      <w:r>
        <w:rPr>
          <w:rFonts w:ascii="Times New Roman" w:hAnsi="Times New Roman" w:eastAsia="標楷體"/>
          <w:sz w:val="20"/>
        </w:rPr>
        <w:t>等）前三碼集合分類，以主診斷為主，可予再組分類進行統計，需排除</w:t>
      </w:r>
      <w:r>
        <w:rPr>
          <w:rFonts w:eastAsia="標楷體" w:ascii="Times New Roman" w:hAnsi="Times New Roman"/>
          <w:sz w:val="20"/>
        </w:rPr>
        <w:t>V code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E code</w:t>
      </w:r>
      <w:r>
        <w:rPr>
          <w:rFonts w:ascii="Times New Roman" w:hAnsi="Times New Roman" w:eastAsia="標楷體"/>
          <w:sz w:val="20"/>
        </w:rPr>
        <w:t>及</w:t>
      </w:r>
      <w:r>
        <w:rPr>
          <w:rFonts w:eastAsia="標楷體" w:ascii="Times New Roman" w:hAnsi="Times New Roman"/>
          <w:sz w:val="20"/>
        </w:rPr>
        <w:t>M code</w:t>
      </w:r>
      <w:r>
        <w:rPr>
          <w:rFonts w:ascii="Times New Roman" w:hAnsi="Times New Roman" w:eastAsia="標楷體"/>
          <w:sz w:val="20"/>
        </w:rPr>
        <w:t>。</w:t>
      </w:r>
    </w:p>
    <w:p>
      <w:pPr>
        <w:pStyle w:val="BodyText"/>
        <w:autoSpaceDE w:val="false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304" w:right="1304" w:gutter="0" w:header="567" w:top="1134" w:footer="794" w:bottom="1134"/>
      <w:pgNumType w:start="1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  <w:font w:name="Arial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39</w:t>
    </w:r>
    <w:r>
      <w:rPr>
        <w:rStyle w:val="Style14"/>
        <w:lang w:val="zh-TW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eastAsia="標楷體"/>
        <w:sz w:val="22"/>
        <w:szCs w:val="22"/>
      </w:rPr>
    </w:pPr>
    <w:r>
      <w:rPr>
        <w:rFonts w:eastAsia="標楷體"/>
        <w:sz w:val="22"/>
        <w:szCs w:val="22"/>
      </w:rPr>
      <w:t>108</w:t>
    </w:r>
    <w:r>
      <w:rPr>
        <w:rFonts w:eastAsia="標楷體"/>
        <w:sz w:val="22"/>
        <w:szCs w:val="22"/>
      </w:rPr>
      <w:t>年度精神科醫院及精神科教學醫院評鑑基本資料表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170"/>
        </w:tabs>
        <w:ind w:left="170" w:hanging="170"/>
      </w:pPr>
      <w:rPr>
        <w:b/>
        <w:rFonts w:ascii="Times New Roman" w:hAnsi="Times New Roman" w:eastAsia="標楷體" w:cs="Times New Roman"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b w:val="false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PageNumber">
    <w:name w:val="Page Number"/>
    <w:basedOn w:val="Style14"/>
    <w:rPr/>
  </w:style>
  <w:style w:type="character" w:styleId="Style15">
    <w:name w:val="超連結"/>
    <w:qFormat/>
    <w:rPr>
      <w:color w:val="0000FF"/>
      <w:u w:val="single"/>
    </w:rPr>
  </w:style>
  <w:style w:type="character" w:styleId="WWCharLFO9LVL1">
    <w:name w:val="WW_CharLFO9LVL1"/>
    <w:qFormat/>
    <w:rPr>
      <w:u w:val="none"/>
    </w:rPr>
  </w:style>
  <w:style w:type="character" w:styleId="WWCharLFO9LVL2">
    <w:name w:val="WW_CharLFO9LVL2"/>
    <w:qFormat/>
    <w:rPr>
      <w:u w:val="none"/>
    </w:rPr>
  </w:style>
  <w:style w:type="character" w:styleId="Style16">
    <w:name w:val="清單段落 字元"/>
    <w:qFormat/>
    <w:rPr>
      <w:rFonts w:ascii="Calibri" w:hAnsi="Calibri"/>
      <w:kern w:val="2"/>
      <w:sz w:val="24"/>
      <w:szCs w:val="22"/>
    </w:rPr>
  </w:style>
  <w:style w:type="character" w:styleId="Style17">
    <w:name w:val="純文字 字元"/>
    <w:qFormat/>
    <w:rPr>
      <w:rFonts w:ascii="細明體" w:hAnsi="細明體" w:eastAsia="細明體"/>
      <w:kern w:val="2"/>
      <w:sz w:val="24"/>
    </w:rPr>
  </w:style>
  <w:style w:type="character" w:styleId="Style18">
    <w:name w:val="頁尾 字元"/>
    <w:qFormat/>
    <w:rPr>
      <w:kern w:val="2"/>
    </w:rPr>
  </w:style>
  <w:style w:type="character" w:styleId="Style19">
    <w:name w:val="註解參照"/>
    <w:qFormat/>
    <w:rPr>
      <w:sz w:val="18"/>
      <w:szCs w:val="18"/>
    </w:rPr>
  </w:style>
  <w:style w:type="character" w:styleId="Style20">
    <w:name w:val="註解文字 字元"/>
    <w:qFormat/>
    <w:rPr>
      <w:rFonts w:eastAsia="標楷體"/>
      <w:sz w:val="28"/>
    </w:rPr>
  </w:style>
  <w:style w:type="character" w:styleId="Style21">
    <w:name w:val="註解主旨 字元"/>
    <w:qFormat/>
    <w:rPr>
      <w:rFonts w:eastAsia="標楷體"/>
      <w:b/>
      <w:bCs/>
      <w:kern w:val="2"/>
      <w:sz w:val="24"/>
      <w:szCs w:val="24"/>
    </w:rPr>
  </w:style>
  <w:style w:type="character" w:styleId="WWCharLFO1LVL2">
    <w:name w:val="WW_CharLFO1LVL2"/>
    <w:qFormat/>
    <w:rPr>
      <w:sz w:val="24"/>
    </w:rPr>
  </w:style>
  <w:style w:type="character" w:styleId="WWCharLFO4LVL1">
    <w:name w:val="WW_CharLFO4LVL1"/>
    <w:qFormat/>
    <w:rPr>
      <w:rFonts w:cs="Times New Roman"/>
    </w:rPr>
  </w:style>
  <w:style w:type="character" w:styleId="WWCharLFO5LVL1">
    <w:name w:val="WW_CharLFO5LVL1"/>
    <w:qFormat/>
    <w:rPr>
      <w:rFonts w:ascii="Times New Roman" w:hAnsi="Times New Roman" w:eastAsia="標楷體" w:cs="Times New Roman"/>
      <w:b/>
    </w:rPr>
  </w:style>
  <w:style w:type="character" w:styleId="WWCharLFO5LVL2">
    <w:name w:val="WW_CharLFO5LVL2"/>
    <w:qFormat/>
    <w:rPr>
      <w:rFonts w:ascii="Times New Roman" w:hAnsi="Times New Roman" w:cs="Times New Roman"/>
      <w:b w:val="false"/>
    </w:rPr>
  </w:style>
  <w:style w:type="character" w:styleId="WWCharLFO6LVL1">
    <w:name w:val="WW_CharLFO6LVL1"/>
    <w:qFormat/>
    <w:rPr>
      <w:rFonts w:ascii="Times New Roman" w:hAnsi="Times New Roman" w:cs="Times New Roman"/>
    </w:rPr>
  </w:style>
  <w:style w:type="character" w:styleId="WWCharLFO7LVL2">
    <w:name w:val="WW_CharLFO7LVL2"/>
    <w:qFormat/>
    <w:rPr>
      <w:sz w:val="24"/>
      <w:szCs w:val="24"/>
    </w:rPr>
  </w:style>
  <w:style w:type="character" w:styleId="WWCharLFO8LVL2">
    <w:name w:val="WW_CharLFO8LVL2"/>
    <w:qFormat/>
    <w:rPr>
      <w:rFonts w:ascii="標楷體" w:hAnsi="標楷體" w:eastAsia="標楷體" w:cs="Times New Roman"/>
    </w:rPr>
  </w:style>
  <w:style w:type="character" w:styleId="WWCharLFO10LVL1">
    <w:name w:val="WW_CharLFO10LVL1"/>
    <w:qFormat/>
    <w:rPr>
      <w:u w:val="none"/>
    </w:rPr>
  </w:style>
  <w:style w:type="character" w:styleId="WWCharLFO11LVL1">
    <w:name w:val="WW_CharLFO11LVL1"/>
    <w:qFormat/>
    <w:rPr>
      <w:rFonts w:ascii="Times New Roman" w:hAnsi="Times New Roman" w:cs="Times New Roman"/>
      <w:b/>
    </w:rPr>
  </w:style>
  <w:style w:type="character" w:styleId="WWCharLFO11LVL2">
    <w:name w:val="WW_CharLFO11LVL2"/>
    <w:qFormat/>
    <w:rPr>
      <w:rFonts w:ascii="Times New Roman" w:hAnsi="Times New Roman" w:cs="Times New Roman"/>
      <w:b w:val="false"/>
    </w:rPr>
  </w:style>
  <w:style w:type="character" w:styleId="WWCharLFO12LVL1">
    <w:name w:val="WW_CharLFO12LVL1"/>
    <w:qFormat/>
    <w:rPr>
      <w:rFonts w:ascii="Times New Roman" w:hAnsi="Times New Roman" w:eastAsia="標楷體" w:cs="Times New Roman"/>
      <w:b/>
    </w:rPr>
  </w:style>
  <w:style w:type="character" w:styleId="WWCharLFO12LVL2">
    <w:name w:val="WW_CharLFO12LVL2"/>
    <w:qFormat/>
    <w:rPr>
      <w:rFonts w:ascii="Times New Roman" w:hAnsi="Times New Roman" w:cs="Times New Roman"/>
      <w:b w:val="false"/>
    </w:rPr>
  </w:style>
  <w:style w:type="character" w:styleId="WWCharLFO13LVL1">
    <w:name w:val="WW_CharLFO13LVL1"/>
    <w:qFormat/>
    <w:rPr>
      <w:rFonts w:ascii="Times New Roman" w:hAnsi="Times New Roman" w:eastAsia="標楷體" w:cs="Times New Roman"/>
      <w:b/>
    </w:rPr>
  </w:style>
  <w:style w:type="character" w:styleId="WWCharLFO13LVL2">
    <w:name w:val="WW_CharLFO13LVL2"/>
    <w:qFormat/>
    <w:rPr>
      <w:rFonts w:ascii="Times New Roman" w:hAnsi="Times New Roman" w:cs="Times New Roman"/>
      <w:b w:val="false"/>
    </w:rPr>
  </w:style>
  <w:style w:type="character" w:styleId="WWCharLFO16LVL1">
    <w:name w:val="WW_CharLFO16LVL1"/>
    <w:qFormat/>
    <w:rPr>
      <w:rFonts w:cs="Arial"/>
      <w:b/>
      <w:sz w:val="28"/>
    </w:rPr>
  </w:style>
  <w:style w:type="character" w:styleId="WWCharLFO17LVL1">
    <w:name w:val="WW_CharLFO17LVL1"/>
    <w:qFormat/>
    <w:rPr>
      <w:color w:val="auto"/>
    </w:rPr>
  </w:style>
  <w:style w:type="character" w:styleId="WWCharLFO18LVL1">
    <w:name w:val="WW_CharLFO18LVL1"/>
    <w:qFormat/>
    <w:rPr>
      <w:sz w:val="28"/>
      <w:szCs w:val="28"/>
    </w:rPr>
  </w:style>
  <w:style w:type="character" w:styleId="WWCharLFO18LVL2">
    <w:name w:val="WW_CharLFO18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20LVL1">
    <w:name w:val="WW_CharLFO20LVL1"/>
    <w:qFormat/>
    <w:rPr>
      <w:color w:val="auto"/>
    </w:rPr>
  </w:style>
  <w:style w:type="character" w:styleId="WWCharLFO21LVL1">
    <w:name w:val="WW_CharLFO21LVL1"/>
    <w:qFormat/>
    <w:rPr>
      <w:color w:val="auto"/>
    </w:rPr>
  </w:style>
  <w:style w:type="character" w:styleId="WWCharLFO22LVL1">
    <w:name w:val="WW_CharLFO22LVL1"/>
    <w:qFormat/>
    <w:rPr>
      <w:color w:val="auto"/>
      <w:sz w:val="24"/>
      <w:szCs w:val="24"/>
    </w:rPr>
  </w:style>
  <w:style w:type="character" w:styleId="WWCharLFO23LVL1">
    <w:name w:val="WW_CharLFO23LVL1"/>
    <w:qFormat/>
    <w:rPr>
      <w:color w:val="auto"/>
      <w:sz w:val="24"/>
      <w:szCs w:val="24"/>
    </w:rPr>
  </w:style>
  <w:style w:type="character" w:styleId="WWCharLFO24LVL1">
    <w:name w:val="WW_CharLFO24LVL1"/>
    <w:qFormat/>
    <w:rPr>
      <w:color w:val="auto"/>
      <w:sz w:val="24"/>
      <w:szCs w:val="24"/>
    </w:rPr>
  </w:style>
  <w:style w:type="character" w:styleId="WWCharLFO25LVL1">
    <w:name w:val="WW_CharLFO2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6LVL1">
    <w:name w:val="WW_CharLFO2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7LVL1">
    <w:name w:val="WW_CharLFO2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8LVL1">
    <w:name w:val="WW_CharLFO28LVL1"/>
    <w:qFormat/>
    <w:rPr>
      <w:b/>
      <w:sz w:val="28"/>
    </w:rPr>
  </w:style>
  <w:style w:type="character" w:styleId="WWCharLFO29LVL1">
    <w:name w:val="WW_CharLFO2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0LVL1">
    <w:name w:val="WW_CharLFO30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2">
    <w:name w:val="WW_CharLFO31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3">
    <w:name w:val="WW_CharLFO31LVL3"/>
    <w:qFormat/>
    <w:rPr>
      <w:rFonts w:ascii="標楷體" w:hAnsi="標楷體" w:eastAsia="標楷體" w:cs="Times New Roman"/>
    </w:rPr>
  </w:style>
  <w:style w:type="character" w:styleId="WWCharLFO32LVL1">
    <w:name w:val="WW_CharLFO32LVL1"/>
    <w:qFormat/>
    <w:rPr>
      <w:rFonts w:ascii="Times New Roman" w:hAnsi="Times New Roman" w:cs="Times New Roman"/>
    </w:rPr>
  </w:style>
  <w:style w:type="character" w:styleId="WWCharLFO32LVL2">
    <w:name w:val="WW_CharLFO32LVL2"/>
    <w:qFormat/>
    <w:rPr>
      <w:rFonts w:ascii="標楷體" w:hAnsi="標楷體" w:eastAsia="標楷體" w:cs="Times New Roman"/>
      <w:lang w:val="en-US"/>
    </w:rPr>
  </w:style>
  <w:style w:type="character" w:styleId="WWCharLFO33LVL1">
    <w:name w:val="WW_CharLFO33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4LVL1">
    <w:name w:val="WW_CharLFO34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5LVL1">
    <w:name w:val="WW_CharLFO3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6LVL1">
    <w:name w:val="WW_CharLFO3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7LVL1">
    <w:name w:val="WW_CharLFO3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8LVL1">
    <w:name w:val="WW_CharLFO38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9LVL1">
    <w:name w:val="WW_CharLFO3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22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3">
    <w:name w:val="本文縮排"/>
    <w:basedOn w:val="BodyText"/>
    <w:qFormat/>
    <w:pPr>
      <w:suppressAutoHyphens w:val="true"/>
      <w:ind w:firstLine="480"/>
      <w:jc w:val="both"/>
    </w:pPr>
    <w:rPr>
      <w:rFonts w:eastAsia="標楷體"/>
    </w:rPr>
  </w:style>
  <w:style w:type="paragraph" w:styleId="Style24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rFonts w:eastAsia="標楷體"/>
    </w:rPr>
  </w:style>
  <w:style w:type="paragraph" w:styleId="Style25">
    <w:name w:val="本文"/>
    <w:basedOn w:val="BodyText"/>
    <w:qFormat/>
    <w:pPr>
      <w:suppressAutoHyphens w:val="true"/>
      <w:jc w:val="both"/>
    </w:pPr>
    <w:rPr>
      <w:rFonts w:eastAsia="標楷體"/>
    </w:rPr>
  </w:style>
  <w:style w:type="paragraph" w:styleId="3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rFonts w:eastAsia="標楷體"/>
    </w:rPr>
  </w:style>
  <w:style w:type="paragraph" w:styleId="21">
    <w:name w:val="本文 2"/>
    <w:basedOn w:val="BodyText"/>
    <w:qFormat/>
    <w:pPr>
      <w:suppressAutoHyphens w:val="true"/>
      <w:snapToGrid w:val="false"/>
      <w:jc w:val="both"/>
    </w:pPr>
    <w:rPr>
      <w:rFonts w:eastAsia="標楷體"/>
      <w:sz w:val="20"/>
    </w:rPr>
  </w:style>
  <w:style w:type="paragraph" w:styleId="31">
    <w:name w:val="本文 3"/>
    <w:basedOn w:val="BodyText"/>
    <w:qFormat/>
    <w:pPr>
      <w:suppressAutoHyphens w:val="true"/>
      <w:jc w:val="both"/>
    </w:pPr>
    <w:rPr>
      <w:rFonts w:eastAsia="標楷體"/>
      <w:sz w:val="22"/>
    </w:rPr>
  </w:style>
  <w:style w:type="paragraph" w:styleId="Style26">
    <w:name w:val="純文字"/>
    <w:basedOn w:val="BodyText"/>
    <w:qFormat/>
    <w:pPr>
      <w:suppressAutoHyphens w:val="true"/>
    </w:pPr>
    <w:rPr>
      <w:rFonts w:ascii="細明體" w:hAnsi="細明體" w:eastAsia="細明體"/>
      <w:szCs w:val="20"/>
    </w:rPr>
  </w:style>
  <w:style w:type="paragraph" w:styleId="Style27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360" w:leader="none"/>
      </w:tabs>
      <w:suppressAutoHyphens w:val="true"/>
      <w:spacing w:before="360" w:after="0"/>
      <w:ind w:left="360" w:hanging="360"/>
    </w:pPr>
    <w:rPr>
      <w:rFonts w:eastAsia="標楷體"/>
      <w:b/>
      <w:bCs/>
      <w:sz w:val="26"/>
    </w:rPr>
  </w:style>
  <w:style w:type="paragraph" w:styleId="Style28">
    <w:name w:val="註解文字"/>
    <w:basedOn w:val="BodyText"/>
    <w:qFormat/>
    <w:pPr>
      <w:suppressAutoHyphens w:val="true"/>
      <w:spacing w:lineRule="atLeast" w:line="360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29">
    <w:name w:val="註解方塊文字"/>
    <w:basedOn w:val="BodyText"/>
    <w:qFormat/>
    <w:pPr>
      <w:suppressAutoHyphens w:val="true"/>
    </w:pPr>
    <w:rPr>
      <w:rFonts w:ascii="Arial" w:hAnsi="Arial"/>
      <w:sz w:val="18"/>
      <w:szCs w:val="18"/>
    </w:rPr>
  </w:style>
  <w:style w:type="paragraph" w:styleId="Style30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31">
    <w:name w:val="註解主旨"/>
    <w:basedOn w:val="Style28"/>
    <w:next w:val="Style28"/>
    <w:qFormat/>
    <w:pPr>
      <w:suppressAutoHyphens w:val="true"/>
      <w:spacing w:lineRule="auto" w:line="240"/>
      <w:textAlignment w:val="auto"/>
    </w:pPr>
    <w:rPr>
      <w:rFonts w:eastAsia="新細明體"/>
      <w:b/>
      <w:bCs/>
      <w:kern w:val="2"/>
      <w:sz w:val="24"/>
      <w:szCs w:val="24"/>
    </w:rPr>
  </w:style>
  <w:style w:type="paragraph" w:styleId="Style32">
    <w:name w:val="表格內容"/>
    <w:basedOn w:val="Normal"/>
    <w:qFormat/>
    <w:pPr>
      <w:widowControl w:val="false"/>
      <w:suppressLineNumbers/>
    </w:pPr>
    <w:rPr/>
  </w:style>
  <w:style w:type="paragraph" w:styleId="Style33">
    <w:name w:val="外框內容"/>
    <w:basedOn w:val="Normal"/>
    <w:qFormat/>
    <w:pPr/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17</Pages>
  <Words>1436</Words>
  <Characters>8187</Characters>
  <CharactersWithSpaces>9604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2018-12-27T07:21:00Z</dcterms:created>
  <dc:creator>SASAGO SHIGERU</dc:creator>
  <dc:description/>
  <dc:language>zh-TW</dc:language>
  <cp:lastModifiedBy>心理及口腔健康司蕭玉梅</cp:lastModifiedBy>
  <cp:lastPrinted>2018-11-06T10:17:00Z</cp:lastPrinted>
  <dcterms:modified xsi:type="dcterms:W3CDTF">2018-12-27T07:21:00Z</dcterms:modified>
  <cp:revision>2</cp:revision>
  <dc:subject/>
  <dc:title>研討會的介紹說明</dc:title>
</cp:coreProperties>
</file>