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napToGrid w:val="false"/>
        <w:spacing w:lineRule="atLeast" w:line="240" w:before="72" w:after="72"/>
        <w:jc w:val="center"/>
        <w:rPr/>
      </w:pPr>
      <w:r>
        <w:rPr>
          <w:rStyle w:val="Style14"/>
          <w:rFonts w:ascii="Times New Roman" w:hAnsi="Times New Roman" w:eastAsia="標楷體"/>
          <w:kern w:val="0"/>
          <w:sz w:val="32"/>
          <w:szCs w:val="32"/>
        </w:rPr>
        <w:drawing>
          <wp:inline distT="0" distB="0" distL="0" distR="0">
            <wp:extent cx="6116320" cy="8643620"/>
            <wp:effectExtent l="0" t="0" r="0" b="0"/>
            <wp:docPr id="1" name="圖片 1" descr="公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公告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864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BodyText"/>
        <w:snapToGrid w:val="false"/>
        <w:spacing w:lineRule="atLeast" w:line="240" w:before="72" w:after="72"/>
        <w:jc w:val="center"/>
        <w:rPr/>
      </w:pPr>
      <w:r>
        <w:rPr>
          <w:rStyle w:val="Style14"/>
          <w:rFonts w:ascii="Times New Roman" w:hAnsi="Times New Roman" w:eastAsia="標楷體"/>
          <w:kern w:val="0"/>
          <w:sz w:val="32"/>
          <w:szCs w:val="32"/>
        </w:rPr>
        <w:t>精神護理之家評鑑不定時及即時追蹤輔導訪查作業程序</w:t>
      </w:r>
      <w:r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column">
                  <wp:posOffset>3658235</wp:posOffset>
                </wp:positionH>
                <wp:positionV relativeFrom="paragraph">
                  <wp:posOffset>260985</wp:posOffset>
                </wp:positionV>
                <wp:extent cx="2842260" cy="676275"/>
                <wp:effectExtent l="0" t="0" r="0" b="0"/>
                <wp:wrapNone/>
                <wp:docPr id="2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676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rPr/>
                            </w:pPr>
                            <w:r>
                              <w:rPr>
                                <w:rStyle w:val="Style14"/>
                                <w:rFonts w:eastAsia="標楷體" w:ascii="Times New Roman" w:hAnsi="Times New Roman"/>
                                <w:sz w:val="18"/>
                                <w:szCs w:val="18"/>
                              </w:rPr>
                              <w:t>105</w:t>
                            </w:r>
                            <w:r>
                              <w:rPr>
                                <w:rStyle w:val="Style14"/>
                                <w:rFonts w:ascii="Times New Roman" w:hAnsi="Times New Roman"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 w:ascii="Times New Roman" w:hAnsi="Times New Roman"/>
                                <w:sz w:val="18"/>
                                <w:szCs w:val="18"/>
                              </w:rPr>
                              <w:t>9</w:t>
                            </w:r>
                            <w:r>
                              <w:rPr>
                                <w:rStyle w:val="Style14"/>
                                <w:rFonts w:ascii="Times New Roman" w:hAnsi="Times New Roman"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 w:ascii="Times New Roman" w:hAnsi="Times New Roman"/>
                                <w:sz w:val="18"/>
                                <w:szCs w:val="18"/>
                              </w:rPr>
                              <w:t>5</w:t>
                            </w:r>
                            <w:r>
                              <w:rPr>
                                <w:rStyle w:val="Style14"/>
                                <w:rFonts w:ascii="Times New Roman" w:hAnsi="Times New Roman" w:eastAsia="標楷體"/>
                                <w:sz w:val="18"/>
                                <w:szCs w:val="18"/>
                              </w:rPr>
                              <w:t>日衛部心字第</w:t>
                            </w:r>
                            <w:r>
                              <w:rPr>
                                <w:rStyle w:val="Style14"/>
                                <w:rFonts w:ascii="Times New Roman" w:hAnsi="Times New Roman"/>
                                <w:sz w:val="18"/>
                                <w:szCs w:val="18"/>
                              </w:rPr>
                              <w:t>1051761317</w:t>
                            </w:r>
                            <w:r>
                              <w:rPr>
                                <w:rStyle w:val="Style14"/>
                                <w:rFonts w:ascii="Times New Roman" w:hAnsi="Times New Roman" w:eastAsia="標楷體"/>
                                <w:sz w:val="18"/>
                                <w:szCs w:val="18"/>
                              </w:rPr>
                              <w:t>號函公告</w:t>
                            </w:r>
                          </w:p>
                          <w:p>
                            <w:pPr>
                              <w:pStyle w:val="BodyText"/>
                              <w:rPr>
                                <w:rFonts w:ascii="Times New Roman" w:hAnsi="Times New Roman"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 w:ascii="Times New Roman" w:hAnsi="Times New Roman"/>
                                <w:sz w:val="18"/>
                                <w:szCs w:val="18"/>
                              </w:rPr>
                              <w:t>107</w:t>
                            </w:r>
                            <w:r>
                              <w:rPr>
                                <w:rFonts w:ascii="Times New Roman" w:hAnsi="Times New Roman"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Fonts w:eastAsia="標楷體" w:ascii="Times New Roman" w:hAnsi="Times New Roman"/>
                                <w:sz w:val="18"/>
                                <w:szCs w:val="18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Fonts w:eastAsia="標楷體" w:ascii="Times New Roman" w:hAnsi="Times New Roman"/>
                                <w:sz w:val="18"/>
                                <w:szCs w:val="18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eastAsia="標楷體"/>
                                <w:sz w:val="18"/>
                                <w:szCs w:val="18"/>
                              </w:rPr>
                              <w:t>日衛部心字第</w:t>
                            </w:r>
                            <w:r>
                              <w:rPr>
                                <w:rFonts w:eastAsia="標楷體" w:ascii="Times New Roman" w:hAnsi="Times New Roman"/>
                                <w:sz w:val="18"/>
                                <w:szCs w:val="18"/>
                              </w:rPr>
                              <w:t>1071761247</w:t>
                            </w:r>
                            <w:r>
                              <w:rPr>
                                <w:rFonts w:ascii="Times New Roman" w:hAnsi="Times New Roman" w:eastAsia="標楷體"/>
                                <w:sz w:val="18"/>
                                <w:szCs w:val="18"/>
                              </w:rPr>
                              <w:t>號函公告修正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3.8pt;height:53.25pt;mso-wrap-distance-left:0pt;mso-wrap-distance-right:0pt;mso-wrap-distance-top:0pt;mso-wrap-distance-bottom:0pt;margin-top:20.55pt;mso-position-vertical-relative:text;margin-left:288.05pt;mso-position-horizontal-relative:text">
                <v:textbox>
                  <w:txbxContent>
                    <w:p>
                      <w:pPr>
                        <w:pStyle w:val="BodyText"/>
                        <w:rPr/>
                      </w:pPr>
                      <w:r>
                        <w:rPr>
                          <w:rStyle w:val="Style14"/>
                          <w:rFonts w:eastAsia="標楷體" w:ascii="Times New Roman" w:hAnsi="Times New Roman"/>
                          <w:sz w:val="18"/>
                          <w:szCs w:val="18"/>
                        </w:rPr>
                        <w:t>105</w:t>
                      </w:r>
                      <w:r>
                        <w:rPr>
                          <w:rStyle w:val="Style14"/>
                          <w:rFonts w:ascii="Times New Roman" w:hAnsi="Times New Roman"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 w:ascii="Times New Roman" w:hAnsi="Times New Roman"/>
                          <w:sz w:val="18"/>
                          <w:szCs w:val="18"/>
                        </w:rPr>
                        <w:t>9</w:t>
                      </w:r>
                      <w:r>
                        <w:rPr>
                          <w:rStyle w:val="Style14"/>
                          <w:rFonts w:ascii="Times New Roman" w:hAnsi="Times New Roman"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 w:ascii="Times New Roman" w:hAnsi="Times New Roman"/>
                          <w:sz w:val="18"/>
                          <w:szCs w:val="18"/>
                        </w:rPr>
                        <w:t>5</w:t>
                      </w:r>
                      <w:r>
                        <w:rPr>
                          <w:rStyle w:val="Style14"/>
                          <w:rFonts w:ascii="Times New Roman" w:hAnsi="Times New Roman" w:eastAsia="標楷體"/>
                          <w:sz w:val="18"/>
                          <w:szCs w:val="18"/>
                        </w:rPr>
                        <w:t>日衛部心字第</w:t>
                      </w:r>
                      <w:r>
                        <w:rPr>
                          <w:rStyle w:val="Style14"/>
                          <w:rFonts w:ascii="Times New Roman" w:hAnsi="Times New Roman"/>
                          <w:sz w:val="18"/>
                          <w:szCs w:val="18"/>
                        </w:rPr>
                        <w:t>1051761317</w:t>
                      </w:r>
                      <w:r>
                        <w:rPr>
                          <w:rStyle w:val="Style14"/>
                          <w:rFonts w:ascii="Times New Roman" w:hAnsi="Times New Roman" w:eastAsia="標楷體"/>
                          <w:sz w:val="18"/>
                          <w:szCs w:val="18"/>
                        </w:rPr>
                        <w:t>號函公告</w:t>
                      </w:r>
                    </w:p>
                    <w:p>
                      <w:pPr>
                        <w:pStyle w:val="BodyText"/>
                        <w:rPr>
                          <w:rFonts w:ascii="Times New Roman" w:hAnsi="Times New Roman"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 w:ascii="Times New Roman" w:hAnsi="Times New Roman"/>
                          <w:sz w:val="18"/>
                          <w:szCs w:val="18"/>
                        </w:rPr>
                        <w:t>107</w:t>
                      </w:r>
                      <w:r>
                        <w:rPr>
                          <w:rFonts w:ascii="Times New Roman" w:hAnsi="Times New Roman"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Fonts w:eastAsia="標楷體" w:ascii="Times New Roman" w:hAnsi="Times New Roman"/>
                          <w:sz w:val="18"/>
                          <w:szCs w:val="18"/>
                        </w:rPr>
                        <w:t>8</w:t>
                      </w:r>
                      <w:r>
                        <w:rPr>
                          <w:rFonts w:ascii="Times New Roman" w:hAnsi="Times New Roman"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Fonts w:eastAsia="標楷體" w:ascii="Times New Roman" w:hAnsi="Times New Roman"/>
                          <w:sz w:val="18"/>
                          <w:szCs w:val="18"/>
                        </w:rPr>
                        <w:t>3</w:t>
                      </w:r>
                      <w:r>
                        <w:rPr>
                          <w:rFonts w:ascii="Times New Roman" w:hAnsi="Times New Roman" w:eastAsia="標楷體"/>
                          <w:sz w:val="18"/>
                          <w:szCs w:val="18"/>
                        </w:rPr>
                        <w:t>日衛部心字第</w:t>
                      </w:r>
                      <w:r>
                        <w:rPr>
                          <w:rFonts w:eastAsia="標楷體" w:ascii="Times New Roman" w:hAnsi="Times New Roman"/>
                          <w:sz w:val="18"/>
                          <w:szCs w:val="18"/>
                        </w:rPr>
                        <w:t>1071761247</w:t>
                      </w:r>
                      <w:r>
                        <w:rPr>
                          <w:rFonts w:ascii="Times New Roman" w:hAnsi="Times New Roman" w:eastAsia="標楷體"/>
                          <w:sz w:val="18"/>
                          <w:szCs w:val="18"/>
                        </w:rPr>
                        <w:t>號函公告修正</w:t>
                      </w:r>
                    </w:p>
                    <w:p>
                      <w:pPr>
                        <w:pStyle w:val="BodyText"/>
                        <w:spacing w:lineRule="exact" w:line="280"/>
                        <w:rPr>
                          <w:rFonts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snapToGrid w:val="false"/>
        <w:spacing w:lineRule="atLeast" w:line="240" w:before="72" w:after="72"/>
        <w:rPr>
          <w:rFonts w:ascii="Times New Roman" w:hAnsi="Times New Roman" w:eastAsia="標楷體"/>
          <w:kern w:val="0"/>
          <w:sz w:val="32"/>
          <w:szCs w:val="32"/>
        </w:rPr>
      </w:pPr>
      <w:r>
        <w:rPr>
          <w:rFonts w:eastAsia="標楷體" w:ascii="Times New Roman" w:hAnsi="Times New Roman"/>
          <w:kern w:val="0"/>
          <w:sz w:val="32"/>
          <w:szCs w:val="32"/>
        </w:rPr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847" w:leader="none"/>
        </w:tabs>
        <w:snapToGrid w:val="false"/>
        <w:spacing w:lineRule="exact" w:line="480"/>
        <w:ind w:left="2847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追蹤輔導訪查目的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衛生福利部（以下稱本部）藉由不定時追蹤輔導訪查，持續監督精神護理之家加強業務管理，並輔導機構針對精神護理之家評鑑之結果進行改善，以提升照護服務品質。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若機構發生重大違規或新聞爭議案件時，得即時透過實地訪查方式，逕予監督並協助提供機構改善建議。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847" w:leader="none"/>
        </w:tabs>
        <w:snapToGrid w:val="false"/>
        <w:spacing w:lineRule="exact" w:line="480"/>
        <w:ind w:left="2847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辦理機關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精神護理之家評鑑合格機構之追蹤輔導訪查作業由本部主辦，並得委託辦理。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訪查時之「護理人員法」、「護理機構分類設置標準」與「護理機構設置標準表」等查證作業，由直轄市、縣（市）衛生局（以下簡稱衛生局）配合辦理。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847" w:leader="none"/>
        </w:tabs>
        <w:snapToGrid w:val="false"/>
        <w:spacing w:lineRule="exact" w:line="480"/>
        <w:ind w:left="2847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7" w:hanging="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得於每年辦理。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847" w:leader="none"/>
        </w:tabs>
        <w:snapToGrid w:val="false"/>
        <w:spacing w:lineRule="exact" w:line="480"/>
        <w:ind w:left="2847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追蹤輔導訪查委員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7" w:hanging="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每年得由本部聘請專家及相關業務主管，擔任追蹤輔導訪查作業之訪查委員，進行實地訪查。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847" w:leader="none"/>
        </w:tabs>
        <w:snapToGrid w:val="false"/>
        <w:spacing w:lineRule="exact" w:line="480"/>
        <w:ind w:left="2847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不定時追蹤輔導訪查對象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精神護理之家於評鑑合格效期內，且訪查當年度未再申請精神護理之家評鑑者，列為不定時追蹤輔導訪查之對象。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前項評鑑合格之機構，若有下列情形之一者，得優先列為必要追蹤輔導訪查機構，其餘機構以抽籤方式辦理：</w:t>
      </w:r>
    </w:p>
    <w:p>
      <w:pPr>
        <w:pStyle w:val="BodyText"/>
        <w:numPr>
          <w:ilvl w:val="1"/>
          <w:numId w:val="5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eastAsia="標楷體" w:ascii="Times New Roman" w:hAnsi="Times New Roman"/>
          <w:sz w:val="28"/>
          <w:szCs w:val="28"/>
        </w:rPr>
        <w:t>105</w:t>
      </w:r>
      <w:r>
        <w:rPr>
          <w:rFonts w:ascii="Times New Roman" w:hAnsi="Times New Roman" w:eastAsia="標楷體"/>
          <w:sz w:val="28"/>
          <w:szCs w:val="28"/>
        </w:rPr>
        <w:t>年度前之「生活照顧與專業照護」或</w:t>
      </w:r>
      <w:r>
        <w:rPr>
          <w:rFonts w:eastAsia="標楷體" w:ascii="Times New Roman" w:hAnsi="Times New Roman"/>
          <w:sz w:val="28"/>
          <w:szCs w:val="28"/>
        </w:rPr>
        <w:t>106</w:t>
      </w:r>
      <w:r>
        <w:rPr>
          <w:rFonts w:ascii="Times New Roman" w:hAnsi="Times New Roman" w:eastAsia="標楷體"/>
          <w:sz w:val="28"/>
          <w:szCs w:val="28"/>
        </w:rPr>
        <w:t>年度後之「照護服務」</w:t>
      </w:r>
      <w:r>
        <w:rPr>
          <w:rFonts w:eastAsia="標楷體" w:ascii="Times New Roman" w:hAnsi="Times New Roman"/>
          <w:sz w:val="28"/>
          <w:szCs w:val="28"/>
        </w:rPr>
        <w:t>C</w:t>
      </w:r>
      <w:r>
        <w:rPr>
          <w:rFonts w:ascii="Times New Roman" w:hAnsi="Times New Roman" w:eastAsia="標楷體"/>
          <w:sz w:val="28"/>
          <w:szCs w:val="28"/>
        </w:rPr>
        <w:t>以上項目未達該面向配分之</w:t>
      </w:r>
      <w:r>
        <w:rPr>
          <w:rFonts w:eastAsia="標楷體" w:ascii="Times New Roman" w:hAnsi="Times New Roman"/>
          <w:sz w:val="28"/>
          <w:szCs w:val="28"/>
        </w:rPr>
        <w:t>65%</w:t>
      </w:r>
      <w:r>
        <w:rPr>
          <w:rFonts w:ascii="Times New Roman" w:hAnsi="Times New Roman" w:eastAsia="標楷體"/>
          <w:sz w:val="28"/>
          <w:szCs w:val="28"/>
        </w:rPr>
        <w:t>。</w:t>
      </w:r>
    </w:p>
    <w:p>
      <w:pPr>
        <w:pStyle w:val="BodyText"/>
        <w:numPr>
          <w:ilvl w:val="1"/>
          <w:numId w:val="5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任一項一級必要項目未達</w:t>
      </w:r>
      <w:r>
        <w:rPr>
          <w:rFonts w:eastAsia="標楷體" w:ascii="Times New Roman" w:hAnsi="Times New Roman"/>
          <w:sz w:val="28"/>
          <w:szCs w:val="28"/>
        </w:rPr>
        <w:t>C</w:t>
      </w:r>
      <w:r>
        <w:rPr>
          <w:rFonts w:ascii="Times New Roman" w:hAnsi="Times New Roman" w:eastAsia="標楷體"/>
          <w:sz w:val="28"/>
          <w:szCs w:val="28"/>
        </w:rPr>
        <w:t>。</w:t>
      </w:r>
    </w:p>
    <w:p>
      <w:pPr>
        <w:pStyle w:val="BodyText"/>
        <w:numPr>
          <w:ilvl w:val="1"/>
          <w:numId w:val="5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新設立之機構於首次接受精神護理之家評鑑即通過合格。但屬變更負責人之新設立機構，不在此限。</w:t>
      </w:r>
    </w:p>
    <w:p>
      <w:pPr>
        <w:pStyle w:val="BodyText"/>
        <w:numPr>
          <w:ilvl w:val="1"/>
          <w:numId w:val="5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經衛生主管機關認定醫療品質欠佳須改善、違反法規、醫學倫理或影響住民安全之重大事件。</w:t>
      </w:r>
    </w:p>
    <w:p>
      <w:pPr>
        <w:pStyle w:val="BodyText"/>
        <w:numPr>
          <w:ilvl w:val="1"/>
          <w:numId w:val="5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其他經評鑑評定會議決議列為必要追蹤輔導訪查對象。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847" w:leader="none"/>
        </w:tabs>
        <w:snapToGrid w:val="false"/>
        <w:spacing w:lineRule="exact" w:line="480"/>
        <w:ind w:left="2847" w:hanging="1287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即時追蹤輔導訪查對象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7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機構於評鑑合格效期內，發生重大違規事件或新聞案件（如有明顯違反法令、醫學倫理、影響住民安全等情事），得列為即時追蹤輔導訪查對象。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847" w:leader="none"/>
        </w:tabs>
        <w:snapToGrid w:val="false"/>
        <w:spacing w:lineRule="exact" w:line="480"/>
        <w:ind w:left="2847" w:hanging="1287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追蹤輔導訪查內容</w:t>
      </w:r>
    </w:p>
    <w:p>
      <w:pPr>
        <w:pStyle w:val="BodyText"/>
        <w:numPr>
          <w:ilvl w:val="0"/>
          <w:numId w:val="6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不定時追蹤輔導訪查內容：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機構</w:t>
      </w:r>
      <w:r>
        <w:rPr>
          <w:rStyle w:val="Style14"/>
          <w:rFonts w:ascii="Times New Roman" w:hAnsi="Times New Roman" w:eastAsia="標楷體"/>
          <w:sz w:val="28"/>
          <w:szCs w:val="28"/>
        </w:rPr>
        <w:t>對於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最近一次評鑑結果意見表所提改善事項、建議事項及綜合意見之改善情形。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配合當</w:t>
      </w:r>
      <w:r>
        <w:rPr>
          <w:rStyle w:val="Style14"/>
          <w:rFonts w:ascii="Times New Roman" w:hAnsi="Times New Roman" w:eastAsia="標楷體"/>
          <w:sz w:val="28"/>
          <w:szCs w:val="28"/>
        </w:rPr>
        <w:t>年度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衛生政策推動之重要評鑑基準。</w:t>
      </w:r>
    </w:p>
    <w:p>
      <w:pPr>
        <w:pStyle w:val="BodyText"/>
        <w:numPr>
          <w:ilvl w:val="0"/>
          <w:numId w:val="6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即時追蹤輔導訪查內容為發生重大違規或新聞案件之事項。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847" w:leader="none"/>
        </w:tabs>
        <w:snapToGrid w:val="false"/>
        <w:spacing w:lineRule="exact" w:line="480"/>
        <w:ind w:left="2847" w:hanging="1287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追蹤</w:t>
      </w:r>
      <w:r>
        <w:rPr>
          <w:rStyle w:val="Style14"/>
          <w:rFonts w:ascii="Times New Roman" w:hAnsi="Times New Roman" w:eastAsia="標楷體"/>
          <w:sz w:val="28"/>
          <w:szCs w:val="28"/>
        </w:rPr>
        <w:t>輔導填報資料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第伍點、第陸點所列追蹤輔導訪查對象，應就第柒點訪查內容填復資料，其格式、方式及期限，由協辦單位公告於其網站。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未於協辦單位通知之期限內填報訪查資料者，本部得限期要求機構填報，逾期未填報者，列為次一年度優先實地訪查之對象，並請衛生局加強督導考核。經通知限期填報仍未填報者，則視為最近一次評鑑結果意見表所提建議改善事項未改善，本部得依護理人員法第</w:t>
      </w:r>
      <w:r>
        <w:rPr>
          <w:rFonts w:eastAsia="標楷體" w:ascii="Times New Roman" w:hAnsi="Times New Roman"/>
          <w:sz w:val="28"/>
          <w:szCs w:val="28"/>
        </w:rPr>
        <w:t>23</w:t>
      </w:r>
      <w:r>
        <w:rPr>
          <w:rFonts w:ascii="Times New Roman" w:hAnsi="Times New Roman" w:eastAsia="標楷體"/>
          <w:sz w:val="28"/>
          <w:szCs w:val="28"/>
        </w:rPr>
        <w:t>條之</w:t>
      </w:r>
      <w:r>
        <w:rPr>
          <w:rFonts w:eastAsia="標楷體" w:ascii="Times New Roman" w:hAnsi="Times New Roman"/>
          <w:sz w:val="28"/>
          <w:szCs w:val="28"/>
        </w:rPr>
        <w:t>2</w:t>
      </w:r>
      <w:r>
        <w:rPr>
          <w:rFonts w:ascii="Times New Roman" w:hAnsi="Times New Roman" w:eastAsia="標楷體"/>
          <w:sz w:val="28"/>
          <w:szCs w:val="28"/>
        </w:rPr>
        <w:t>規定處罰。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847" w:leader="none"/>
        </w:tabs>
        <w:snapToGrid w:val="false"/>
        <w:spacing w:lineRule="exact" w:line="480"/>
        <w:ind w:left="2847" w:hanging="128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追蹤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輔導訪查方式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200" w:leader="none"/>
        </w:tabs>
        <w:snapToGrid w:val="false"/>
        <w:spacing w:lineRule="exact" w:line="480"/>
        <w:ind w:left="1200" w:hanging="13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追蹤輔導訪查作業採不定時或即時方式辦理，安排委員前往實地訪查。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200" w:leader="none"/>
        </w:tabs>
        <w:snapToGrid w:val="false"/>
        <w:spacing w:lineRule="exact" w:line="480"/>
        <w:ind w:left="1200" w:hanging="13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各機構之實地訪查日程，由協辦單位個別通知。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200" w:leader="none"/>
        </w:tabs>
        <w:snapToGrid w:val="false"/>
        <w:spacing w:lineRule="exact" w:line="480"/>
        <w:ind w:left="1200" w:hanging="13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實地訪查程序：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實地查證。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意見交換。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200" w:leader="none"/>
        </w:tabs>
        <w:snapToGrid w:val="false"/>
        <w:spacing w:lineRule="exact" w:line="480"/>
        <w:ind w:left="1200" w:hanging="13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實地訪查時間：以</w:t>
      </w:r>
      <w:r>
        <w:rPr>
          <w:rFonts w:eastAsia="標楷體" w:ascii="Times New Roman" w:hAnsi="Times New Roman"/>
          <w:kern w:val="0"/>
          <w:sz w:val="28"/>
          <w:szCs w:val="28"/>
        </w:rPr>
        <w:t>2-2.5</w:t>
      </w:r>
      <w:r>
        <w:rPr>
          <w:rFonts w:ascii="Times New Roman" w:hAnsi="Times New Roman" w:eastAsia="標楷體"/>
          <w:kern w:val="0"/>
          <w:sz w:val="28"/>
          <w:szCs w:val="28"/>
        </w:rPr>
        <w:t>小時為原則。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200" w:leader="none"/>
        </w:tabs>
        <w:snapToGrid w:val="false"/>
        <w:spacing w:lineRule="exact" w:line="480"/>
        <w:ind w:left="1200" w:hanging="13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實地訪查當日，如有發現重大違規情事者，將提至評定會議討論。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93" w:leader="none"/>
        </w:tabs>
        <w:snapToGrid w:val="false"/>
        <w:spacing w:lineRule="exact" w:line="480"/>
        <w:ind w:left="2193" w:hanging="1189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不定時追蹤輔導訪查評量方式：評量受訪機構最近一次評鑑</w:t>
      </w:r>
      <w:r>
        <w:rPr>
          <w:rStyle w:val="Style14"/>
          <w:rFonts w:ascii="Times New Roman" w:hAnsi="Times New Roman" w:eastAsia="標楷體"/>
          <w:sz w:val="28"/>
          <w:szCs w:val="26"/>
        </w:rPr>
        <w:t>所提改善事項、建議事項及綜合意見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之執行狀況，成績以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A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B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D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E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共五級方式評核，評核原則如下：</w:t>
      </w:r>
    </w:p>
    <w:tbl>
      <w:tblPr>
        <w:tblW w:w="445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5"/>
        <w:gridCol w:w="6789"/>
      </w:tblGrid>
      <w:tr>
        <w:trPr>
          <w:trHeight w:val="567" w:hRule="atLeast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300"/>
              <w:jc w:val="center"/>
              <w:rPr>
                <w:rFonts w:ascii="Times New Roman" w:hAnsi="Times New Roman" w:eastAsia="標楷體"/>
                <w:sz w:val="28"/>
                <w:szCs w:val="24"/>
              </w:rPr>
            </w:pPr>
            <w:r>
              <w:rPr>
                <w:rFonts w:eastAsia="標楷體" w:ascii="Times New Roman" w:hAnsi="Times New Roman"/>
                <w:sz w:val="28"/>
                <w:szCs w:val="24"/>
              </w:rPr>
              <w:t>A</w:t>
            </w:r>
            <w:r>
              <w:rPr>
                <w:rFonts w:ascii="Times New Roman" w:hAnsi="Times New Roman" w:eastAsia="標楷體"/>
                <w:sz w:val="28"/>
                <w:szCs w:val="24"/>
              </w:rPr>
              <w:t>或</w:t>
            </w:r>
            <w:r>
              <w:rPr>
                <w:rFonts w:eastAsia="標楷體" w:ascii="Times New Roman" w:hAnsi="Times New Roman"/>
                <w:sz w:val="28"/>
                <w:szCs w:val="24"/>
              </w:rPr>
              <w:t>B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3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6"/>
              </w:rPr>
              <w:t>改善情況良好且超過期望者，視實際改善情形評分。</w:t>
            </w:r>
          </w:p>
        </w:tc>
      </w:tr>
      <w:tr>
        <w:trPr>
          <w:trHeight w:val="567" w:hRule="atLeast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300"/>
              <w:jc w:val="center"/>
              <w:rPr>
                <w:rFonts w:ascii="Times New Roman" w:hAnsi="Times New Roman" w:eastAsia="標楷體"/>
                <w:sz w:val="28"/>
                <w:szCs w:val="24"/>
              </w:rPr>
            </w:pPr>
            <w:r>
              <w:rPr>
                <w:rFonts w:eastAsia="標楷體" w:ascii="Times New Roman" w:hAnsi="Times New Roman"/>
                <w:sz w:val="28"/>
                <w:szCs w:val="24"/>
              </w:rPr>
              <w:t>C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3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6"/>
              </w:rPr>
              <w:t>在其能力範圍內已作改善者。</w:t>
            </w:r>
          </w:p>
        </w:tc>
      </w:tr>
      <w:tr>
        <w:trPr>
          <w:trHeight w:val="567" w:hRule="atLeast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300"/>
              <w:jc w:val="center"/>
              <w:rPr>
                <w:rFonts w:ascii="Times New Roman" w:hAnsi="Times New Roman" w:eastAsia="標楷體"/>
                <w:sz w:val="28"/>
                <w:szCs w:val="24"/>
              </w:rPr>
            </w:pPr>
            <w:r>
              <w:rPr>
                <w:rFonts w:eastAsia="標楷體" w:ascii="Times New Roman" w:hAnsi="Times New Roman"/>
                <w:sz w:val="28"/>
                <w:szCs w:val="24"/>
              </w:rPr>
              <w:t>D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3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6"/>
              </w:rPr>
              <w:t>稍作改善者。</w:t>
            </w:r>
          </w:p>
        </w:tc>
      </w:tr>
      <w:tr>
        <w:trPr>
          <w:trHeight w:val="567" w:hRule="atLeast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300"/>
              <w:jc w:val="center"/>
              <w:rPr>
                <w:rFonts w:ascii="Times New Roman" w:hAnsi="Times New Roman" w:eastAsia="標楷體"/>
                <w:sz w:val="28"/>
                <w:szCs w:val="24"/>
              </w:rPr>
            </w:pPr>
            <w:r>
              <w:rPr>
                <w:rFonts w:eastAsia="標楷體" w:ascii="Times New Roman" w:hAnsi="Times New Roman"/>
                <w:sz w:val="28"/>
                <w:szCs w:val="24"/>
              </w:rPr>
              <w:t>E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3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6"/>
              </w:rPr>
              <w:t>未改善或無意願改善者。</w:t>
            </w:r>
          </w:p>
        </w:tc>
      </w:tr>
    </w:tbl>
    <w:p>
      <w:pPr>
        <w:pStyle w:val="BodyText"/>
        <w:tabs>
          <w:tab w:val="clear" w:pos="480"/>
          <w:tab w:val="left" w:pos="851" w:leader="none"/>
        </w:tabs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拾、追蹤輔導訪查結果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1200" w:leader="none"/>
        </w:tabs>
        <w:snapToGrid w:val="false"/>
        <w:spacing w:lineRule="exact" w:line="480"/>
        <w:ind w:left="1200" w:hanging="1396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不定時追蹤輔導訪查結果：</w:t>
      </w:r>
    </w:p>
    <w:p>
      <w:pPr>
        <w:pStyle w:val="BodyText"/>
        <w:numPr>
          <w:ilvl w:val="0"/>
          <w:numId w:val="12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訪查</w:t>
      </w:r>
      <w:r>
        <w:rPr>
          <w:rStyle w:val="Style14"/>
          <w:rFonts w:ascii="Times New Roman" w:hAnsi="Times New Roman" w:eastAsia="標楷體"/>
          <w:sz w:val="28"/>
          <w:szCs w:val="28"/>
        </w:rPr>
        <w:t>結果意見表由協辦單位以書面通知受訪機構，並作為下次評鑑或追蹤輔導之參考。</w:t>
      </w:r>
    </w:p>
    <w:p>
      <w:pPr>
        <w:pStyle w:val="BodyText"/>
        <w:numPr>
          <w:ilvl w:val="0"/>
          <w:numId w:val="12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機構經查證發現有不符規定之情事者，將由本部通知機構所在地衛生局依相關法令及權責要求限期改善。未於期限內改善者，得依護理人員法第</w:t>
      </w:r>
      <w:r>
        <w:rPr>
          <w:rFonts w:eastAsia="標楷體" w:ascii="Times New Roman" w:hAnsi="Times New Roman"/>
          <w:sz w:val="28"/>
          <w:szCs w:val="28"/>
        </w:rPr>
        <w:t>31</w:t>
      </w:r>
      <w:r>
        <w:rPr>
          <w:rFonts w:ascii="Times New Roman" w:hAnsi="Times New Roman" w:eastAsia="標楷體"/>
          <w:sz w:val="28"/>
          <w:szCs w:val="28"/>
        </w:rPr>
        <w:t>條之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規定處罰。</w:t>
      </w:r>
    </w:p>
    <w:p>
      <w:pPr>
        <w:pStyle w:val="BodyText"/>
        <w:numPr>
          <w:ilvl w:val="0"/>
          <w:numId w:val="12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機構經查證發現有不符原評鑑基準之事實者，本部得通知限期改善，其不改善或情節重大者，除依相關法令辦理外，得由本部逕予公告變更、取消機構之評鑑合格效期或類別。</w:t>
      </w:r>
    </w:p>
    <w:p>
      <w:pPr>
        <w:pStyle w:val="BodyText"/>
        <w:numPr>
          <w:ilvl w:val="0"/>
          <w:numId w:val="12"/>
        </w:numPr>
        <w:tabs>
          <w:tab w:val="clear" w:pos="480"/>
          <w:tab w:val="left" w:pos="3098" w:leader="none"/>
        </w:tabs>
        <w:snapToGrid w:val="false"/>
        <w:spacing w:lineRule="exact" w:line="480"/>
        <w:ind w:left="3098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機構經追蹤輔導訪查評定會議決議，列為「須加強改善之機構者，應於接獲評定結果通知後半年內回復書面改善報告（以下簡稱書面報告）至當地衛生局，當地衛生局須於收到機構書面報告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個月內查核其改善情形，並將結果回饋予本部且副知協辦單位、當地社會局（處）及須加強改善之受查核機構。如須加強改善機構之書面報告未於期限內回復者，當地衛生局應通知本部並副知協辦單位，並加強對該機構追蹤輔導。</w:t>
      </w:r>
    </w:p>
    <w:p>
      <w:pPr>
        <w:pStyle w:val="BodyText"/>
        <w:numPr>
          <w:ilvl w:val="1"/>
          <w:numId w:val="12"/>
        </w:numPr>
        <w:tabs>
          <w:tab w:val="clear" w:pos="480"/>
          <w:tab w:val="left" w:pos="2160" w:leader="none"/>
        </w:tabs>
        <w:snapToGrid w:val="false"/>
        <w:spacing w:lineRule="exact" w:line="480"/>
        <w:ind w:left="2160" w:hanging="48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須加強改善機構之書面報告於期限內回復，且改善項目達</w:t>
      </w:r>
      <w:r>
        <w:rPr>
          <w:rFonts w:eastAsia="標楷體" w:ascii="Times New Roman" w:hAnsi="Times New Roman"/>
          <w:sz w:val="28"/>
          <w:szCs w:val="28"/>
        </w:rPr>
        <w:t>70%</w:t>
      </w:r>
      <w:r>
        <w:rPr>
          <w:rFonts w:ascii="Times New Roman" w:hAnsi="Times New Roman" w:eastAsia="標楷體"/>
          <w:sz w:val="28"/>
          <w:szCs w:val="28"/>
        </w:rPr>
        <w:t>以上者即不再追蹤，並列為下次機構評鑑評分之參考。</w:t>
      </w:r>
    </w:p>
    <w:p>
      <w:pPr>
        <w:pStyle w:val="BodyText"/>
        <w:numPr>
          <w:ilvl w:val="1"/>
          <w:numId w:val="12"/>
        </w:numPr>
        <w:tabs>
          <w:tab w:val="clear" w:pos="480"/>
          <w:tab w:val="left" w:pos="2160" w:leader="none"/>
        </w:tabs>
        <w:snapToGrid w:val="false"/>
        <w:spacing w:lineRule="exact" w:line="480"/>
        <w:ind w:left="2160" w:hanging="48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須加強改善機構之書面報告於期限內回復，惟改善項目未達</w:t>
      </w:r>
      <w:r>
        <w:rPr>
          <w:rFonts w:eastAsia="標楷體" w:ascii="Times New Roman" w:hAnsi="Times New Roman"/>
          <w:sz w:val="28"/>
          <w:szCs w:val="28"/>
        </w:rPr>
        <w:t>70%</w:t>
      </w:r>
      <w:r>
        <w:rPr>
          <w:rFonts w:ascii="Times New Roman" w:hAnsi="Times New Roman" w:eastAsia="標楷體"/>
          <w:sz w:val="28"/>
          <w:szCs w:val="28"/>
        </w:rPr>
        <w:t>者，將請當地衛生局持續追蹤半年，並加強督導考核至下次機構評鑑。</w:t>
      </w:r>
    </w:p>
    <w:p>
      <w:pPr>
        <w:pStyle w:val="BodyText"/>
        <w:numPr>
          <w:ilvl w:val="1"/>
          <w:numId w:val="12"/>
        </w:numPr>
        <w:tabs>
          <w:tab w:val="clear" w:pos="480"/>
          <w:tab w:val="left" w:pos="2160" w:leader="none"/>
        </w:tabs>
        <w:snapToGrid w:val="false"/>
        <w:spacing w:lineRule="exact" w:line="480"/>
        <w:ind w:left="2160" w:hanging="48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須加強改善機構之書面報告未於期限內回復者，視為不改善，依下列原則處理：</w:t>
      </w:r>
    </w:p>
    <w:p>
      <w:pPr>
        <w:pStyle w:val="BodyText"/>
        <w:numPr>
          <w:ilvl w:val="2"/>
          <w:numId w:val="12"/>
        </w:numPr>
        <w:tabs>
          <w:tab w:val="clear" w:pos="480"/>
          <w:tab w:val="left" w:pos="2640" w:leader="none"/>
        </w:tabs>
        <w:snapToGrid w:val="false"/>
        <w:spacing w:lineRule="exact" w:line="480"/>
        <w:ind w:left="2640" w:hanging="48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除依據</w:t>
      </w:r>
      <w:r>
        <w:rPr>
          <w:rStyle w:val="Style14"/>
          <w:rFonts w:ascii="Times New Roman" w:hAnsi="Times New Roman" w:eastAsia="標楷體"/>
          <w:color w:val="000000"/>
          <w:sz w:val="28"/>
          <w:szCs w:val="28"/>
        </w:rPr>
        <w:t>護理機構分類設置標準</w:t>
      </w:r>
      <w:r>
        <w:rPr>
          <w:rStyle w:val="Style14"/>
          <w:rFonts w:ascii="Times New Roman" w:hAnsi="Times New Roman" w:eastAsia="標楷體"/>
          <w:sz w:val="28"/>
          <w:szCs w:val="28"/>
        </w:rPr>
        <w:t>等相關法規辦理以外，本部得逕予公告變更、取消機構之評鑑合格效期或類別。</w:t>
      </w:r>
    </w:p>
    <w:p>
      <w:pPr>
        <w:pStyle w:val="BodyText"/>
        <w:numPr>
          <w:ilvl w:val="2"/>
          <w:numId w:val="12"/>
        </w:numPr>
        <w:tabs>
          <w:tab w:val="clear" w:pos="480"/>
          <w:tab w:val="left" w:pos="2640" w:leader="none"/>
        </w:tabs>
        <w:snapToGrid w:val="false"/>
        <w:spacing w:lineRule="exact" w:line="480"/>
        <w:ind w:left="2640" w:hanging="48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由本部行文通知機構，於文到後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個月內，提送改善情形書面報告至當地衛生局及本部，並副知本部中央健康保險署、地方社會局（處）及請衛生局加強督導，並列為次ㄧ年度優先追蹤輔導訪查之對象。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1200" w:leader="none"/>
        </w:tabs>
        <w:snapToGrid w:val="false"/>
        <w:spacing w:lineRule="exact" w:line="480"/>
        <w:ind w:left="1200" w:hanging="1396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即時追蹤輔導訪查結果：</w:t>
      </w:r>
      <w:r>
        <w:rPr>
          <w:rStyle w:val="Style14"/>
          <w:rFonts w:ascii="Times New Roman" w:hAnsi="Times New Roman" w:eastAsia="標楷體"/>
          <w:color w:val="000000"/>
          <w:kern w:val="0"/>
          <w:sz w:val="28"/>
          <w:szCs w:val="28"/>
        </w:rPr>
        <w:t>同前項第一款及第二款辦理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。</w:t>
      </w:r>
    </w:p>
    <w:p>
      <w:pPr>
        <w:pStyle w:val="BodyText"/>
        <w:snapToGrid w:val="false"/>
        <w:spacing w:lineRule="exact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footerReference w:type="default" r:id="rId3"/>
      <w:type w:val="nextPage"/>
      <w:pgSz w:w="11907" w:h="16840"/>
      <w:pgMar w:left="1134" w:right="1134" w:gutter="0" w:header="0" w:top="680" w:footer="567" w:bottom="1134"/>
      <w:pgNumType w:fmt="decimal"/>
      <w:formProt w:val="false"/>
      <w:textDirection w:val="lrTb"/>
      <w:docGrid w:type="snapToChar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細明體">
    <w:charset w:val="88"/>
    <w:family w:val="modern"/>
    <w:pitch w:val="fixed"/>
  </w:font>
  <w:font w:name="Times New Roman">
    <w:charset w:val="88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rFonts w:eastAsia="標楷體"/>
      </w:rPr>
      <w:t>第</w:t>
    </w:r>
    <w:r>
      <w:rPr>
        <w:rStyle w:val="Style14"/>
        <w:rFonts w:eastAsia="標楷體"/>
        <w:lang w:val="zh-TW"/>
      </w:rPr>
      <w:fldChar w:fldCharType="begin"/>
    </w:r>
    <w:r>
      <w:rPr>
        <w:rStyle w:val="Style14"/>
        <w:rFonts w:eastAsia="標楷體"/>
        <w:lang w:val="zh-TW"/>
      </w:rPr>
      <w:instrText xml:space="preserve"> PAGE </w:instrText>
    </w:r>
    <w:r>
      <w:rPr>
        <w:rStyle w:val="Style14"/>
        <w:rFonts w:eastAsia="標楷體"/>
        <w:lang w:val="zh-TW"/>
      </w:rPr>
      <w:fldChar w:fldCharType="separate"/>
    </w:r>
    <w:r>
      <w:rPr>
        <w:rStyle w:val="Style14"/>
        <w:rFonts w:eastAsia="標楷體"/>
        <w:lang w:val="zh-TW"/>
      </w:rPr>
      <w:t>5</w:t>
    </w:r>
    <w:r>
      <w:rPr>
        <w:rStyle w:val="Style14"/>
        <w:rFonts w:eastAsia="標楷體"/>
        <w:lang w:val="zh-TW"/>
      </w:rPr>
      <w:fldChar w:fldCharType="end"/>
    </w:r>
    <w:r>
      <w:rPr>
        <w:rStyle w:val="Style14"/>
        <w:rFonts w:eastAsia="標楷體"/>
      </w:rPr>
      <w:t>頁，共</w:t>
    </w:r>
    <w:r>
      <w:rPr>
        <w:rStyle w:val="Style14"/>
        <w:rFonts w:eastAsia="標楷體"/>
      </w:rPr>
      <w:fldChar w:fldCharType="begin"/>
    </w:r>
    <w:r>
      <w:rPr>
        <w:rStyle w:val="Style14"/>
        <w:rFonts w:eastAsia="標楷體"/>
      </w:rPr>
      <w:instrText xml:space="preserve"> NUMPAGES </w:instrText>
    </w:r>
    <w:r>
      <w:rPr>
        <w:rStyle w:val="Style14"/>
        <w:rFonts w:eastAsia="標楷體"/>
      </w:rPr>
      <w:fldChar w:fldCharType="separate"/>
    </w:r>
    <w:r>
      <w:rPr>
        <w:rStyle w:val="Style14"/>
        <w:rFonts w:eastAsia="標楷體"/>
      </w:rPr>
      <w:t>5</w:t>
    </w:r>
    <w:r>
      <w:rPr>
        <w:rStyle w:val="Style14"/>
        <w:rFonts w:eastAsia="標楷體"/>
      </w:rPr>
      <w:fldChar w:fldCharType="end"/>
    </w:r>
    <w:r>
      <w:rPr>
        <w:rStyle w:val="Style14"/>
        <w:rFonts w:eastAsia="標楷體"/>
      </w:rPr>
      <w:t>頁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ideographLegalTraditional"/>
      <w:lvlText w:val="%1、"/>
      <w:lvlJc w:val="left"/>
      <w:pPr>
        <w:tabs>
          <w:tab w:val="num" w:pos="2280"/>
        </w:tabs>
        <w:ind w:left="2280" w:hanging="720"/>
      </w:pPr>
      <w:rPr>
        <w:sz w:val="28"/>
        <w:u w:val="none"/>
        <w:b w:val="false"/>
        <w:szCs w:val="28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sz w:val="28"/>
        <w:b w:val="false"/>
        <w:szCs w:val="28"/>
        <w:lang w:val="en-US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5"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</w:lvl>
    <w:lvl w:ilvl="1">
      <w:start w:val="1"/>
      <w:numFmt w:val="taiwaneseCountingThousand"/>
      <w:lvlText w:val="(%2)"/>
      <w:lvlJc w:val="left"/>
      <w:pPr>
        <w:tabs>
          <w:tab w:val="num" w:pos="1680"/>
        </w:tabs>
        <w:ind w:left="1680" w:hanging="48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6"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7">
    <w:lvl w:ilvl="0">
      <w:start w:val="1"/>
      <w:numFmt w:val="taiwaneseCountingThousand"/>
      <w:lvlText w:val="(%1)"/>
      <w:lvlJc w:val="left"/>
      <w:pPr>
        <w:tabs>
          <w:tab w:val="num" w:pos="1680"/>
        </w:tabs>
        <w:ind w:left="16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>
      <w:start w:val="1"/>
      <w:numFmt w:val="lowerRoman"/>
      <w:lvlText w:val="%3."/>
      <w:lvlJc w:val="right"/>
      <w:pPr>
        <w:tabs>
          <w:tab w:val="num" w:pos="2640"/>
        </w:tabs>
        <w:ind w:left="2640" w:hanging="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0"/>
      </w:pPr>
    </w:lvl>
    <w:lvl w:ilvl="6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>
      <w:start w:val="1"/>
      <w:numFmt w:val="lowerRoman"/>
      <w:lvlText w:val="%9."/>
      <w:lvlJc w:val="right"/>
      <w:pPr>
        <w:tabs>
          <w:tab w:val="num" w:pos="5520"/>
        </w:tabs>
        <w:ind w:left="5520" w:hanging="0"/>
      </w:pPr>
    </w:lvl>
  </w:abstractNum>
  <w:abstractNum w:abstractNumId="8"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9"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10">
    <w:lvl w:ilvl="0">
      <w:start w:val="1"/>
      <w:numFmt w:val="taiwaneseCountingThousand"/>
      <w:lvlText w:val="(%1)"/>
      <w:lvlJc w:val="left"/>
      <w:pPr>
        <w:tabs>
          <w:tab w:val="num" w:pos="1680"/>
        </w:tabs>
        <w:ind w:left="16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>
      <w:start w:val="1"/>
      <w:numFmt w:val="lowerRoman"/>
      <w:lvlText w:val="%3."/>
      <w:lvlJc w:val="right"/>
      <w:pPr>
        <w:tabs>
          <w:tab w:val="num" w:pos="2640"/>
        </w:tabs>
        <w:ind w:left="2640" w:hanging="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0"/>
      </w:pPr>
    </w:lvl>
    <w:lvl w:ilvl="6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>
      <w:start w:val="1"/>
      <w:numFmt w:val="lowerRoman"/>
      <w:lvlText w:val="%9."/>
      <w:lvlJc w:val="right"/>
      <w:pPr>
        <w:tabs>
          <w:tab w:val="num" w:pos="5520"/>
        </w:tabs>
        <w:ind w:left="5520" w:hanging="0"/>
      </w:pPr>
    </w:lvl>
  </w:abstractNum>
  <w:abstractNum w:abstractNumId="11"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12">
    <w:lvl w:ilvl="0">
      <w:start w:val="1"/>
      <w:numFmt w:val="taiwaneseCountingThousand"/>
      <w:lvlText w:val="(%1)"/>
      <w:lvlJc w:val="left"/>
      <w:pPr>
        <w:tabs>
          <w:tab w:val="num" w:pos="1680"/>
        </w:tabs>
        <w:ind w:left="1680" w:hanging="48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480"/>
      </w:pPr>
    </w:lvl>
    <w:lvl w:ilvl="2">
      <w:start w:val="1"/>
      <w:numFmt w:val="decimal"/>
      <w:lvlText w:val="(%3)"/>
      <w:lvlJc w:val="left"/>
      <w:pPr>
        <w:tabs>
          <w:tab w:val="num" w:pos="2640"/>
        </w:tabs>
        <w:ind w:left="2640" w:hanging="480"/>
      </w:pPr>
    </w:lvl>
    <w:lvl w:ilvl="3">
      <w:start w:val="1"/>
      <w:numFmt w:val="decimal"/>
      <w:lvlText w:val="(%4)"/>
      <w:lvlJc w:val="left"/>
      <w:pPr>
        <w:tabs>
          <w:tab w:val="num" w:pos="3000"/>
        </w:tabs>
        <w:ind w:left="3000" w:hanging="360"/>
      </w:pPr>
    </w:lvl>
    <w:lvl w:ilvl="4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0"/>
      </w:pPr>
    </w:lvl>
    <w:lvl w:ilvl="6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>
      <w:start w:val="1"/>
      <w:numFmt w:val="lowerRoman"/>
      <w:lvlText w:val="%9."/>
      <w:lvlJc w:val="right"/>
      <w:pPr>
        <w:tabs>
          <w:tab w:val="num" w:pos="5520"/>
        </w:tabs>
        <w:ind w:left="5520" w:hanging="0"/>
      </w:p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尾 字元"/>
    <w:qFormat/>
    <w:rPr>
      <w:rFonts w:ascii="Calibri" w:hAnsi="Calibri" w:eastAsia="新細明體" w:cs="Times New Roman"/>
      <w:sz w:val="20"/>
      <w:szCs w:val="20"/>
    </w:rPr>
  </w:style>
  <w:style w:type="character" w:styleId="PageNumber">
    <w:name w:val="Page Number"/>
    <w:rPr/>
  </w:style>
  <w:style w:type="character" w:styleId="Style16">
    <w:name w:val="註解方塊文字 字元"/>
    <w:qFormat/>
    <w:rPr>
      <w:rFonts w:ascii="Cambria" w:hAnsi="Cambria" w:eastAsia="新細明體" w:cs="Times New Roman"/>
      <w:sz w:val="18"/>
      <w:szCs w:val="18"/>
    </w:rPr>
  </w:style>
  <w:style w:type="character" w:styleId="Style17">
    <w:name w:val="頁首 字元"/>
    <w:qFormat/>
    <w:rPr>
      <w:kern w:val="2"/>
    </w:rPr>
  </w:style>
  <w:style w:type="character" w:styleId="HTML">
    <w:name w:val="HTML 預設格式 字元"/>
    <w:qFormat/>
    <w:rPr>
      <w:rFonts w:ascii="細明體" w:hAnsi="細明體" w:eastAsia="細明體" w:cs="細明體"/>
      <w:sz w:val="24"/>
      <w:szCs w:val="24"/>
    </w:rPr>
  </w:style>
  <w:style w:type="character" w:styleId="WWCharLFO2LVL1">
    <w:name w:val="WW_CharLFO2LVL1"/>
    <w:qFormat/>
    <w:rPr>
      <w:b w:val="false"/>
      <w:sz w:val="28"/>
      <w:szCs w:val="28"/>
      <w:lang w:val="en-US"/>
    </w:rPr>
  </w:style>
  <w:style w:type="character" w:styleId="WWCharLFO3LVL1">
    <w:name w:val="WW_CharLFO3LVL1"/>
    <w:qFormat/>
    <w:rPr>
      <w:rFonts w:ascii="Times New Roman" w:hAnsi="Times New Roman" w:cs="Times New Roman"/>
    </w:rPr>
  </w:style>
  <w:style w:type="character" w:styleId="WWCharLFO4LVL1">
    <w:name w:val="WW_CharLFO4LVL1"/>
    <w:qFormat/>
    <w:rPr>
      <w:rFonts w:ascii="Times New Roman" w:hAnsi="Times New Roman" w:cs="Times New Roman"/>
    </w:rPr>
  </w:style>
  <w:style w:type="character" w:styleId="WWCharLFO4LVL2">
    <w:name w:val="WW_CharLFO4LVL2"/>
    <w:qFormat/>
    <w:rPr>
      <w:color w:val="auto"/>
    </w:rPr>
  </w:style>
  <w:style w:type="character" w:styleId="WWCharLFO6LVL1">
    <w:name w:val="WW_CharLFO6LVL1"/>
    <w:qFormat/>
    <w:rPr>
      <w:rFonts w:ascii="Times New Roman" w:hAnsi="Times New Roman" w:cs="Times New Roman"/>
    </w:rPr>
  </w:style>
  <w:style w:type="character" w:styleId="WWCharLFO7LVL3">
    <w:name w:val="WW_CharLFO7LVL3"/>
    <w:qFormat/>
    <w:rPr>
      <w:lang w:val="en-US"/>
    </w:rPr>
  </w:style>
  <w:style w:type="character" w:styleId="WWCharLFO8LVL1">
    <w:name w:val="WW_CharLFO8LVL1"/>
    <w:qFormat/>
    <w:rPr>
      <w:b w:val="false"/>
      <w:sz w:val="28"/>
      <w:szCs w:val="28"/>
      <w:u w:val="none"/>
      <w:lang w:val="en-US"/>
    </w:rPr>
  </w:style>
  <w:style w:type="character" w:styleId="WWCharLFO8LVL2">
    <w:name w:val="WW_CharLFO8LVL2"/>
    <w:qFormat/>
    <w:rPr>
      <w:b w:val="false"/>
      <w:sz w:val="28"/>
      <w:szCs w:val="28"/>
      <w:lang w:val="en-US"/>
    </w:rPr>
  </w:style>
  <w:style w:type="character" w:styleId="WWCharLFO9LVL1">
    <w:name w:val="WW_CharLFO9LVL1"/>
    <w:qFormat/>
    <w:rPr>
      <w:rFonts w:ascii="Times New Roman" w:hAnsi="Times New Roman" w:cs="Times New Roman"/>
    </w:rPr>
  </w:style>
  <w:style w:type="character" w:styleId="WWCharLFO10LVL1">
    <w:name w:val="WW_CharLFO10LVL1"/>
    <w:qFormat/>
    <w:rPr>
      <w:rFonts w:ascii="Times New Roman" w:hAnsi="Times New Roman" w:cs="Times New Roman"/>
    </w:rPr>
  </w:style>
  <w:style w:type="character" w:styleId="WWCharLFO12LVL1">
    <w:name w:val="WW_CharLFO12LVL1"/>
    <w:qFormat/>
    <w:rPr>
      <w:lang w:val="en-US"/>
    </w:rPr>
  </w:style>
  <w:style w:type="character" w:styleId="WWCharLFO13LVL1">
    <w:name w:val="WW_CharLFO13LVL1"/>
    <w:qFormat/>
    <w:rPr>
      <w:lang w:val="en-US"/>
    </w:rPr>
  </w:style>
  <w:style w:type="character" w:styleId="WWCharLFO14LVL2">
    <w:name w:val="WW_CharLFO14LVL2"/>
    <w:qFormat/>
    <w:rPr>
      <w:b w:val="false"/>
      <w:sz w:val="28"/>
      <w:szCs w:val="28"/>
      <w:lang w:val="en-US"/>
    </w:rPr>
  </w:style>
  <w:style w:type="character" w:styleId="WWCharLFO15LVL1">
    <w:name w:val="WW_CharLFO15LVL1"/>
    <w:qFormat/>
    <w:rPr>
      <w:color w:val="auto"/>
    </w:rPr>
  </w:style>
  <w:style w:type="character" w:styleId="WWCharLFO15LVL3">
    <w:name w:val="WW_CharLFO15LVL3"/>
    <w:qFormat/>
    <w:rPr>
      <w:color w:val="auto"/>
    </w:rPr>
  </w:style>
  <w:style w:type="character" w:styleId="WWCharLFO16LVL1">
    <w:name w:val="WW_CharLFO16LVL1"/>
    <w:qFormat/>
    <w:rPr>
      <w:b w:val="false"/>
      <w:sz w:val="28"/>
      <w:szCs w:val="28"/>
      <w:lang w:val="en-US"/>
    </w:rPr>
  </w:style>
  <w:style w:type="character" w:styleId="WWCharLFO16LVL2">
    <w:name w:val="WW_CharLFO16LVL2"/>
    <w:qFormat/>
    <w:rPr>
      <w:b w:val="false"/>
      <w:sz w:val="28"/>
      <w:szCs w:val="28"/>
      <w:lang w:val="en-US"/>
    </w:rPr>
  </w:style>
  <w:style w:type="character" w:styleId="WWCharLFO17LVL1">
    <w:name w:val="WW_CharLFO17LVL1"/>
    <w:qFormat/>
    <w:rPr>
      <w:sz w:val="26"/>
      <w:szCs w:val="26"/>
    </w:rPr>
  </w:style>
  <w:style w:type="character" w:styleId="WWCharLFO19LVL1">
    <w:name w:val="WW_CharLFO19LVL1"/>
    <w:qFormat/>
    <w:rPr>
      <w:b w:val="false"/>
      <w:sz w:val="26"/>
      <w:szCs w:val="26"/>
    </w:rPr>
  </w:style>
  <w:style w:type="character" w:styleId="WWCharLFO22LVL1">
    <w:name w:val="WW_CharLFO22LVL1"/>
    <w:qFormat/>
    <w:rPr>
      <w:b w:val="false"/>
      <w:sz w:val="28"/>
      <w:szCs w:val="28"/>
      <w:lang w:val="en-US"/>
    </w:rPr>
  </w:style>
  <w:style w:type="character" w:styleId="WWCharLFO24LVL1">
    <w:name w:val="WW_CharLFO24LVL1"/>
    <w:qFormat/>
    <w:rPr>
      <w:rFonts w:ascii="Wingdings" w:hAnsi="Wingdings"/>
    </w:rPr>
  </w:style>
  <w:style w:type="character" w:styleId="WWCharLFO24LVL2">
    <w:name w:val="WW_CharLFO24LVL2"/>
    <w:qFormat/>
    <w:rPr>
      <w:rFonts w:ascii="Wingdings" w:hAnsi="Wingdings"/>
    </w:rPr>
  </w:style>
  <w:style w:type="character" w:styleId="WWCharLFO24LVL3">
    <w:name w:val="WW_CharLFO24LVL3"/>
    <w:qFormat/>
    <w:rPr>
      <w:rFonts w:ascii="Wingdings" w:hAnsi="Wingdings"/>
    </w:rPr>
  </w:style>
  <w:style w:type="character" w:styleId="WWCharLFO24LVL4">
    <w:name w:val="WW_CharLFO24LVL4"/>
    <w:qFormat/>
    <w:rPr>
      <w:rFonts w:ascii="Wingdings" w:hAnsi="Wingdings"/>
    </w:rPr>
  </w:style>
  <w:style w:type="character" w:styleId="WWCharLFO24LVL5">
    <w:name w:val="WW_CharLFO24LVL5"/>
    <w:qFormat/>
    <w:rPr>
      <w:rFonts w:ascii="Wingdings" w:hAnsi="Wingdings"/>
    </w:rPr>
  </w:style>
  <w:style w:type="character" w:styleId="WWCharLFO24LVL6">
    <w:name w:val="WW_CharLFO24LVL6"/>
    <w:qFormat/>
    <w:rPr>
      <w:rFonts w:ascii="Wingdings" w:hAnsi="Wingdings"/>
    </w:rPr>
  </w:style>
  <w:style w:type="character" w:styleId="WWCharLFO24LVL7">
    <w:name w:val="WW_CharLFO24LVL7"/>
    <w:qFormat/>
    <w:rPr>
      <w:rFonts w:ascii="Wingdings" w:hAnsi="Wingdings"/>
    </w:rPr>
  </w:style>
  <w:style w:type="character" w:styleId="WWCharLFO24LVL8">
    <w:name w:val="WW_CharLFO24LVL8"/>
    <w:qFormat/>
    <w:rPr>
      <w:rFonts w:ascii="Wingdings" w:hAnsi="Wingdings"/>
    </w:rPr>
  </w:style>
  <w:style w:type="character" w:styleId="WWCharLFO24LVL9">
    <w:name w:val="WW_CharLFO24LVL9"/>
    <w:qFormat/>
    <w:rPr>
      <w:rFonts w:ascii="Wingdings" w:hAnsi="Wingdings"/>
    </w:rPr>
  </w:style>
  <w:style w:type="character" w:styleId="WWCharLFO32LVL2">
    <w:name w:val="WW_CharLFO32LVL2"/>
    <w:qFormat/>
    <w:rPr>
      <w:rFonts w:ascii="Times New Roman" w:hAnsi="Times New Roman" w:cs="Times New Roman"/>
    </w:rPr>
  </w:style>
  <w:style w:type="character" w:styleId="WWCharLFO36LVL1">
    <w:name w:val="WW_CharLFO36LVL1"/>
    <w:qFormat/>
    <w:rPr>
      <w:rFonts w:ascii="Times New Roman" w:hAnsi="Times New Roman" w:cs="Times New Roman"/>
    </w:rPr>
  </w:style>
  <w:style w:type="character" w:styleId="WWCharLFO37LVL1">
    <w:name w:val="WW_CharLFO37LVL1"/>
    <w:qFormat/>
    <w:rPr>
      <w:rFonts w:ascii="Times New Roman" w:hAnsi="Times New Roman" w:cs="Times New Roman"/>
    </w:rPr>
  </w:style>
  <w:style w:type="character" w:styleId="WWCharLFO38LVL1">
    <w:name w:val="WW_CharLFO38LVL1"/>
    <w:qFormat/>
    <w:rPr>
      <w:rFonts w:ascii="Times New Roman" w:hAnsi="Times New Roman" w:cs="Times New Roman"/>
    </w:rPr>
  </w:style>
  <w:style w:type="character" w:styleId="WWCharLFO39LVL1">
    <w:name w:val="WW_CharLFO39LVL1"/>
    <w:qFormat/>
    <w:rPr>
      <w:b w:val="false"/>
      <w:sz w:val="28"/>
      <w:szCs w:val="28"/>
      <w:lang w:val="en-US"/>
    </w:rPr>
  </w:style>
  <w:style w:type="character" w:styleId="WWCharLFO40LVL1">
    <w:name w:val="WW_CharLFO40LVL1"/>
    <w:qFormat/>
    <w:rPr>
      <w:b w:val="false"/>
      <w:sz w:val="28"/>
      <w:szCs w:val="28"/>
      <w:lang w:val="en-US"/>
    </w:rPr>
  </w:style>
  <w:style w:type="character" w:styleId="WWCharLFO42LVL1">
    <w:name w:val="WW_CharLFO42LVL1"/>
    <w:qFormat/>
    <w:rPr>
      <w:rFonts w:ascii="Times New Roman" w:hAnsi="Times New Roman" w:cs="Times New Roman"/>
    </w:rPr>
  </w:style>
  <w:style w:type="character" w:styleId="WWCharLFO44LVL1">
    <w:name w:val="WW_CharLFO44LVL1"/>
    <w:qFormat/>
    <w:rPr>
      <w:rFonts w:ascii="Times New Roman" w:hAnsi="Times New Roman" w:cs="Times New Roman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19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Style20">
    <w:name w:val="註解方塊文字"/>
    <w:basedOn w:val="BodyText"/>
    <w:qFormat/>
    <w:pPr>
      <w:suppressAutoHyphens w:val="true"/>
    </w:pPr>
    <w:rPr>
      <w:rFonts w:ascii="Cambria" w:hAnsi="Cambria"/>
      <w:kern w:val="0"/>
      <w:sz w:val="18"/>
      <w:szCs w:val="18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HTML1">
    <w:name w:val="HTML 預設格式"/>
    <w:basedOn w:val="BodyText"/>
    <w:qFormat/>
    <w:pPr>
      <w:widowControl/>
      <w:tabs>
        <w:tab w:val="clear" w:pos="48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細明體" w:hAnsi="細明體" w:eastAsia="細明體"/>
      <w:kern w:val="0"/>
      <w:szCs w:val="24"/>
    </w:rPr>
  </w:style>
  <w:style w:type="paragraph" w:styleId="Style21">
    <w:name w:val="外框內容"/>
    <w:basedOn w:val="Normal"/>
    <w:qFormat/>
    <w:pPr/>
    <w:rPr/>
  </w:style>
  <w:style w:type="paragraph" w:styleId="Style22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MODA_ODF_Application_Tools/3.8.2.1$Windows_X86_64 LibreOffice_project/f5c26b4b56ec181260ce3dbfc96a37e316bb7ca8</Application>
  <AppVersion>15.0000</AppVersion>
  <Pages>5</Pages>
  <Words>297</Words>
  <Characters>1694</Characters>
  <CharactersWithSpaces>1988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2018-08-03T09:15:00Z</dcterms:created>
  <dc:creator>陳國維</dc:creator>
  <dc:description/>
  <dc:language>zh-TW</dc:language>
  <cp:lastModifiedBy>心理及口腔健康司蕭玉梅</cp:lastModifiedBy>
  <cp:lastPrinted>2018-08-03T03:59:00Z</cp:lastPrinted>
  <dcterms:modified xsi:type="dcterms:W3CDTF">2018-08-03T09:15:00Z</dcterms:modified>
  <cp:revision>2</cp:revision>
  <dc:subject/>
  <dc:title/>
</cp:coreProperties>
</file>