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media/image1.jpeg" ContentType="image/jpeg"/>
  <Override PartName="/word/settings.xml" ContentType="application/vnd.openxmlformats-officedocument.wordprocessingml.settings+xml"/>
  <Override PartName="/word/styles.xml" ContentType="application/vnd.openxmlformats-officedocument.wordprocessingml.styles+xml"/>
  <Override PartName="/word/footer1.xml" ContentType="application/vnd.openxmlformats-officedocument.wordprocessingml.footer+xml"/>
  <Override PartName="/word/numbering.xml" ContentType="application/vnd.openxmlformats-officedocument.wordprocessingml.numbering+xml"/>
  <Override PartName="/word/fontTable.xml" ContentType="application/vnd.openxmlformats-officedocument.wordprocessingml.fontTable+xml"/>
  <Override PartName="/word/theme/theme1.xml" ContentType="application/vnd.openxmlformats-officedocument.them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BodyText"/>
        <w:spacing w:lineRule="exact" w:line="480"/>
        <w:jc w:val="center"/>
        <w:rPr/>
      </w:pPr>
      <w:r>
        <w:rPr/>
        <w:drawing>
          <wp:anchor behindDoc="0" distT="0" distB="0" distL="0" distR="0" simplePos="0" locked="0" layoutInCell="1" allowOverlap="1" relativeHeight="8">
            <wp:simplePos x="0" y="0"/>
            <wp:positionH relativeFrom="column">
              <wp:posOffset>-13970</wp:posOffset>
            </wp:positionH>
            <wp:positionV relativeFrom="paragraph">
              <wp:posOffset>154305</wp:posOffset>
            </wp:positionV>
            <wp:extent cx="5270500" cy="7452995"/>
            <wp:effectExtent l="0" t="0" r="0" b="0"/>
            <wp:wrapNone/>
            <wp:docPr id="1" name="圖片 2" descr="公告"/>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圖片 2" descr="公告"/>
                    <pic:cNvPicPr>
                      <a:picLocks noChangeAspect="1" noChangeArrowheads="1"/>
                    </pic:cNvPicPr>
                  </pic:nvPicPr>
                  <pic:blipFill>
                    <a:blip r:embed="rId2"/>
                    <a:stretch>
                      <a:fillRect/>
                    </a:stretch>
                  </pic:blipFill>
                  <pic:spPr bwMode="auto">
                    <a:xfrm>
                      <a:off x="0" y="0"/>
                      <a:ext cx="5270500" cy="7452995"/>
                    </a:xfrm>
                    <a:prstGeom prst="rect">
                      <a:avLst/>
                    </a:prstGeom>
                  </pic:spPr>
                </pic:pic>
              </a:graphicData>
            </a:graphic>
          </wp:anchor>
        </w:drawing>
      </w:r>
      <w:r>
        <w:br w:type="page"/>
      </w:r>
    </w:p>
    <w:p>
      <w:pPr>
        <w:pStyle w:val="BodyText"/>
        <w:spacing w:lineRule="exact" w:line="480"/>
        <w:jc w:val="center"/>
        <w:rPr/>
      </w:pPr>
      <w:r>
        <w:rPr>
          <w:rStyle w:val="Style14"/>
          <w:rFonts w:eastAsia="標楷體"/>
          <w:color w:val="000000"/>
          <w:sz w:val="36"/>
          <w:szCs w:val="36"/>
        </w:rPr>
        <w:t>精神科醫院評鑑及精神科教學醫院評鑑不定時及即時追蹤輔導訪查作業程序</w:t>
      </w:r>
    </w:p>
    <w:p>
      <w:pPr>
        <w:pStyle w:val="BodyText"/>
        <w:spacing w:lineRule="exact" w:line="480"/>
        <w:jc w:val="center"/>
        <w:rPr>
          <w:rFonts w:eastAsia="標楷體"/>
          <w:color w:val="000000"/>
          <w:sz w:val="36"/>
          <w:szCs w:val="36"/>
        </w:rPr>
      </w:pPr>
      <w:r>
        <w:rPr>
          <w:rFonts w:eastAsia="標楷體"/>
          <w:color w:val="000000"/>
          <w:sz w:val="36"/>
          <w:szCs w:val="36"/>
        </w:rPr>
      </w:r>
    </w:p>
    <w:p>
      <w:pPr>
        <w:pStyle w:val="BodyText"/>
        <w:tabs>
          <w:tab w:val="clear" w:pos="480"/>
        </w:tabs>
        <w:spacing w:lineRule="exact" w:line="440"/>
        <w:ind w:left="4109" w:hanging="0"/>
        <w:jc w:val="both"/>
        <w:rPr/>
      </w:pPr>
      <w:r>
        <w:rPr>
          <w:rStyle w:val="Style14"/>
          <w:rFonts w:eastAsia="標楷體"/>
          <w:color w:val="000000"/>
          <w:spacing w:val="-20"/>
          <w:kern w:val="0"/>
          <w:sz w:val="20"/>
          <w:szCs w:val="20"/>
        </w:rPr>
        <w:t>104</w:t>
      </w:r>
      <w:r>
        <w:rPr>
          <w:rStyle w:val="Style14"/>
          <w:rFonts w:eastAsia="標楷體"/>
          <w:color w:val="000000"/>
          <w:spacing w:val="-20"/>
          <w:kern w:val="0"/>
          <w:sz w:val="20"/>
          <w:szCs w:val="20"/>
        </w:rPr>
        <w:t>年</w:t>
      </w:r>
      <w:r>
        <w:rPr>
          <w:rStyle w:val="Style14"/>
          <w:rFonts w:eastAsia="標楷體"/>
          <w:color w:val="000000"/>
          <w:spacing w:val="-20"/>
          <w:kern w:val="0"/>
          <w:sz w:val="20"/>
          <w:szCs w:val="20"/>
        </w:rPr>
        <w:t>10</w:t>
      </w:r>
      <w:r>
        <w:rPr>
          <w:rStyle w:val="Style14"/>
          <w:rFonts w:eastAsia="標楷體"/>
          <w:color w:val="000000"/>
          <w:spacing w:val="-20"/>
          <w:kern w:val="0"/>
          <w:sz w:val="20"/>
          <w:szCs w:val="20"/>
        </w:rPr>
        <w:t>月</w:t>
      </w:r>
      <w:r>
        <w:rPr>
          <w:rStyle w:val="Style14"/>
          <w:rFonts w:eastAsia="標楷體"/>
          <w:color w:val="000000"/>
          <w:spacing w:val="-20"/>
          <w:kern w:val="0"/>
          <w:sz w:val="20"/>
          <w:szCs w:val="20"/>
        </w:rPr>
        <w:t>1</w:t>
      </w:r>
      <w:r>
        <w:rPr>
          <w:rStyle w:val="Style14"/>
          <w:rFonts w:eastAsia="標楷體"/>
          <w:color w:val="000000"/>
          <w:spacing w:val="-20"/>
          <w:kern w:val="0"/>
          <w:sz w:val="20"/>
          <w:szCs w:val="20"/>
        </w:rPr>
        <w:t>日</w:t>
      </w:r>
      <w:r>
        <w:rPr>
          <w:rStyle w:val="Style14"/>
          <w:rFonts w:eastAsia="標楷體"/>
          <w:color w:val="000000"/>
          <w:spacing w:val="-20"/>
          <w:kern w:val="0"/>
          <w:sz w:val="36"/>
          <w:szCs w:val="36"/>
          <w:eastAsianLayout w:combine="true"/>
        </w:rPr>
        <w:t>衛生福利部衛部心字第</w:t>
      </w:r>
      <w:r>
        <w:rPr>
          <w:rStyle w:val="Style14"/>
          <w:rFonts w:eastAsia="標楷體"/>
          <w:color w:val="000000"/>
          <w:spacing w:val="-20"/>
          <w:kern w:val="0"/>
          <w:sz w:val="36"/>
          <w:szCs w:val="36"/>
          <w:eastAsianLayout w:combine="true"/>
        </w:rPr>
        <w:t>1041761369</w:t>
      </w:r>
      <w:r>
        <w:rPr>
          <w:rStyle w:val="Style14"/>
          <w:rFonts w:eastAsia="標楷體"/>
          <w:color w:val="000000"/>
          <w:spacing w:val="-20"/>
          <w:kern w:val="0"/>
          <w:sz w:val="36"/>
          <w:szCs w:val="36"/>
          <w:eastAsianLayout w:combine="true"/>
        </w:rPr>
        <w:t>號教育部臺教高</w:t>
      </w:r>
      <w:r>
        <w:rPr>
          <w:rStyle w:val="Style14"/>
          <w:rFonts w:eastAsia="標楷體"/>
          <w:color w:val="000000"/>
          <w:spacing w:val="-20"/>
          <w:kern w:val="0"/>
          <w:sz w:val="36"/>
          <w:szCs w:val="36"/>
          <w:eastAsianLayout w:combine="true"/>
        </w:rPr>
        <w:t>(</w:t>
      </w:r>
      <w:r>
        <w:rPr>
          <w:rStyle w:val="Style14"/>
          <w:rFonts w:eastAsia="標楷體"/>
          <w:color w:val="000000"/>
          <w:spacing w:val="-20"/>
          <w:kern w:val="0"/>
          <w:sz w:val="36"/>
          <w:szCs w:val="36"/>
          <w:eastAsianLayout w:combine="true"/>
        </w:rPr>
        <w:t>五</w:t>
      </w:r>
      <w:r>
        <w:rPr>
          <w:rStyle w:val="Style14"/>
          <w:rFonts w:eastAsia="標楷體"/>
          <w:color w:val="000000"/>
          <w:spacing w:val="-20"/>
          <w:kern w:val="0"/>
          <w:sz w:val="36"/>
          <w:szCs w:val="36"/>
          <w:eastAsianLayout w:combine="true"/>
        </w:rPr>
        <w:t>)</w:t>
      </w:r>
      <w:r>
        <w:rPr>
          <w:rStyle w:val="Style14"/>
          <w:rFonts w:eastAsia="標楷體"/>
          <w:color w:val="000000"/>
          <w:spacing w:val="-20"/>
          <w:kern w:val="0"/>
          <w:sz w:val="36"/>
          <w:szCs w:val="36"/>
          <w:eastAsianLayout w:combine="true"/>
        </w:rPr>
        <w:t>字第</w:t>
      </w:r>
      <w:r>
        <w:rPr>
          <w:rStyle w:val="Style14"/>
          <w:rFonts w:eastAsia="標楷體"/>
          <w:color w:val="000000"/>
          <w:spacing w:val="-20"/>
          <w:kern w:val="0"/>
          <w:sz w:val="36"/>
          <w:szCs w:val="36"/>
          <w:eastAsianLayout w:combine="true"/>
        </w:rPr>
        <w:t>1040128244A</w:t>
      </w:r>
      <w:r>
        <w:rPr>
          <w:rStyle w:val="Style14"/>
          <w:rFonts w:eastAsia="標楷體"/>
          <w:color w:val="000000"/>
          <w:spacing w:val="-20"/>
          <w:kern w:val="0"/>
          <w:sz w:val="36"/>
          <w:szCs w:val="36"/>
          <w:eastAsianLayout w:combine="true"/>
        </w:rPr>
        <w:t>號</w:t>
      </w:r>
      <w:r>
        <w:rPr>
          <w:rStyle w:val="Style14"/>
          <w:rFonts w:eastAsia="標楷體"/>
          <w:color w:val="000000"/>
          <w:spacing w:val="-20"/>
          <w:kern w:val="0"/>
          <w:sz w:val="20"/>
          <w:szCs w:val="20"/>
        </w:rPr>
        <w:t>會銜公告</w:t>
      </w:r>
    </w:p>
    <w:p>
      <w:pPr>
        <w:pStyle w:val="BodyText"/>
        <w:tabs>
          <w:tab w:val="clear" w:pos="480"/>
        </w:tabs>
        <w:spacing w:lineRule="exact" w:line="440"/>
        <w:ind w:left="4109" w:hanging="0"/>
        <w:jc w:val="both"/>
        <w:rPr>
          <w:rFonts w:eastAsia="標楷體"/>
          <w:color w:val="000000"/>
          <w:spacing w:val="-20"/>
          <w:kern w:val="0"/>
          <w:sz w:val="20"/>
          <w:szCs w:val="20"/>
        </w:rPr>
      </w:pPr>
      <w:r>
        <w:rPr>
          <w:rFonts w:eastAsia="標楷體"/>
          <w:color w:val="000000"/>
          <w:spacing w:val="-20"/>
          <w:kern w:val="0"/>
          <w:sz w:val="20"/>
          <w:szCs w:val="20"/>
        </w:rPr>
        <w:t>107</w:t>
      </w:r>
      <w:r>
        <w:rPr>
          <w:rFonts w:eastAsia="標楷體"/>
          <w:color w:val="000000"/>
          <w:spacing w:val="-20"/>
          <w:kern w:val="0"/>
          <w:sz w:val="20"/>
          <w:szCs w:val="20"/>
        </w:rPr>
        <w:t>年</w:t>
      </w:r>
      <w:r>
        <w:rPr>
          <w:rFonts w:eastAsia="標楷體"/>
          <w:color w:val="000000"/>
          <w:spacing w:val="-20"/>
          <w:kern w:val="0"/>
          <w:sz w:val="20"/>
          <w:szCs w:val="20"/>
        </w:rPr>
        <w:t>4</w:t>
      </w:r>
      <w:r>
        <w:rPr>
          <w:rFonts w:eastAsia="標楷體"/>
          <w:color w:val="000000"/>
          <w:spacing w:val="-20"/>
          <w:kern w:val="0"/>
          <w:sz w:val="20"/>
          <w:szCs w:val="20"/>
        </w:rPr>
        <w:t>月</w:t>
      </w:r>
      <w:r>
        <w:rPr>
          <w:rFonts w:eastAsia="標楷體"/>
          <w:color w:val="000000"/>
          <w:spacing w:val="-20"/>
          <w:kern w:val="0"/>
          <w:sz w:val="20"/>
          <w:szCs w:val="20"/>
        </w:rPr>
        <w:t>13</w:t>
      </w:r>
      <w:r>
        <w:rPr>
          <w:rFonts w:eastAsia="標楷體"/>
          <w:color w:val="000000"/>
          <w:spacing w:val="-20"/>
          <w:kern w:val="0"/>
          <w:sz w:val="20"/>
          <w:szCs w:val="20"/>
        </w:rPr>
        <w:t>日衛部心字第</w:t>
      </w:r>
      <w:r>
        <w:rPr>
          <w:rFonts w:eastAsia="標楷體"/>
          <w:color w:val="000000"/>
          <w:spacing w:val="-20"/>
          <w:kern w:val="0"/>
          <w:sz w:val="20"/>
          <w:szCs w:val="20"/>
        </w:rPr>
        <w:t>1071760615</w:t>
      </w:r>
      <w:r>
        <w:rPr>
          <w:rFonts w:eastAsia="標楷體"/>
          <w:color w:val="000000"/>
          <w:spacing w:val="-20"/>
          <w:kern w:val="0"/>
          <w:sz w:val="20"/>
          <w:szCs w:val="20"/>
        </w:rPr>
        <w:t>號公告修正</w:t>
      </w:r>
    </w:p>
    <w:p>
      <w:pPr>
        <w:pStyle w:val="BodyText"/>
        <w:numPr>
          <w:ilvl w:val="0"/>
          <w:numId w:val="1"/>
        </w:numPr>
        <w:tabs>
          <w:tab w:val="clear" w:pos="480"/>
          <w:tab w:val="left" w:pos="720" w:leader="none"/>
        </w:tabs>
        <w:spacing w:lineRule="exact" w:line="480"/>
        <w:ind w:left="720" w:hanging="720"/>
        <w:jc w:val="both"/>
        <w:rPr>
          <w:rFonts w:eastAsia="標楷體"/>
          <w:color w:val="000000"/>
          <w:sz w:val="32"/>
          <w:szCs w:val="32"/>
        </w:rPr>
      </w:pPr>
      <w:r>
        <w:rPr>
          <w:rFonts w:eastAsia="標楷體"/>
          <w:color w:val="000000"/>
          <w:sz w:val="32"/>
          <w:szCs w:val="32"/>
        </w:rPr>
        <w:t>追蹤輔導訪查目的</w:t>
      </w:r>
    </w:p>
    <w:p>
      <w:pPr>
        <w:pStyle w:val="BodyText"/>
        <w:tabs>
          <w:tab w:val="clear" w:pos="480"/>
        </w:tabs>
        <w:spacing w:lineRule="exact" w:line="500"/>
        <w:ind w:left="720" w:hanging="0"/>
        <w:jc w:val="both"/>
        <w:rPr>
          <w:rFonts w:eastAsia="標楷體"/>
          <w:color w:val="000000"/>
          <w:sz w:val="32"/>
          <w:szCs w:val="32"/>
        </w:rPr>
      </w:pPr>
      <w:r>
        <w:rPr>
          <w:rFonts w:eastAsia="標楷體"/>
          <w:color w:val="000000"/>
          <w:sz w:val="32"/>
          <w:szCs w:val="32"/>
        </w:rPr>
        <w:t>衛生福利部（以下稱本部）為持續監督醫院加強業務管理，並輔導醫院針對精神科醫院評鑑及精神科教學醫院評鑑之結果進行改善，以提升醫療服務品質，特訂定本作業程序。</w:t>
      </w:r>
    </w:p>
    <w:p>
      <w:pPr>
        <w:pStyle w:val="BodyText"/>
        <w:numPr>
          <w:ilvl w:val="0"/>
          <w:numId w:val="1"/>
        </w:numPr>
        <w:tabs>
          <w:tab w:val="clear" w:pos="480"/>
          <w:tab w:val="left" w:pos="720" w:leader="none"/>
        </w:tabs>
        <w:spacing w:lineRule="exact" w:line="480"/>
        <w:ind w:left="720" w:hanging="720"/>
        <w:jc w:val="both"/>
        <w:rPr>
          <w:rFonts w:eastAsia="標楷體"/>
          <w:color w:val="000000"/>
          <w:sz w:val="32"/>
          <w:szCs w:val="32"/>
        </w:rPr>
      </w:pPr>
      <w:r>
        <w:rPr>
          <w:rFonts w:eastAsia="標楷體"/>
          <w:color w:val="000000"/>
          <w:sz w:val="32"/>
          <w:szCs w:val="32"/>
        </w:rPr>
        <w:t>辦理機關</w:t>
      </w:r>
    </w:p>
    <w:p>
      <w:pPr>
        <w:pStyle w:val="BodyText"/>
        <w:tabs>
          <w:tab w:val="clear" w:pos="480"/>
          <w:tab w:val="left" w:pos="1023" w:leader="none"/>
        </w:tabs>
        <w:spacing w:lineRule="exact" w:line="480"/>
        <w:ind w:left="991" w:hanging="566"/>
        <w:jc w:val="both"/>
        <w:rPr>
          <w:rFonts w:eastAsia="標楷體"/>
          <w:color w:val="000000"/>
          <w:sz w:val="32"/>
          <w:szCs w:val="32"/>
        </w:rPr>
      </w:pPr>
      <w:r>
        <w:rPr>
          <w:rFonts w:eastAsia="標楷體"/>
          <w:color w:val="000000"/>
          <w:sz w:val="32"/>
          <w:szCs w:val="32"/>
        </w:rPr>
        <w:t>一、精神科醫院評鑑及精神科教學醫院評鑑合格醫院之追蹤輔導訪查（以下稱追蹤輔導訪查）作業由本部會同教育部主辦（以下稱主辦機關），並得委託辦理。</w:t>
      </w:r>
    </w:p>
    <w:p>
      <w:pPr>
        <w:pStyle w:val="BodyText"/>
        <w:tabs>
          <w:tab w:val="clear" w:pos="480"/>
        </w:tabs>
        <w:spacing w:lineRule="exact" w:line="480"/>
        <w:ind w:left="1132" w:hanging="707"/>
        <w:jc w:val="both"/>
        <w:rPr>
          <w:rFonts w:eastAsia="標楷體"/>
          <w:color w:val="000000"/>
          <w:sz w:val="32"/>
          <w:szCs w:val="32"/>
        </w:rPr>
      </w:pPr>
      <w:r>
        <w:rPr>
          <w:rFonts w:eastAsia="標楷體"/>
          <w:color w:val="000000"/>
          <w:sz w:val="32"/>
          <w:szCs w:val="32"/>
        </w:rPr>
        <w:t>二、訪查時之醫療法、醫療機構設置標準等查證作業，由直轄市、縣（市）衛生局（以下簡稱衛生局）配合辦理。</w:t>
      </w:r>
    </w:p>
    <w:p>
      <w:pPr>
        <w:pStyle w:val="BodyText"/>
        <w:numPr>
          <w:ilvl w:val="0"/>
          <w:numId w:val="1"/>
        </w:numPr>
        <w:tabs>
          <w:tab w:val="clear" w:pos="480"/>
          <w:tab w:val="left" w:pos="720" w:leader="none"/>
        </w:tabs>
        <w:spacing w:lineRule="exact" w:line="480"/>
        <w:ind w:left="720" w:hanging="720"/>
        <w:jc w:val="both"/>
        <w:rPr/>
      </w:pPr>
      <w:r>
        <w:rPr>
          <w:rStyle w:val="Style14"/>
          <w:rFonts w:eastAsia="標楷體"/>
          <w:color w:val="000000"/>
          <w:sz w:val="32"/>
          <w:szCs w:val="32"/>
        </w:rPr>
        <w:t>辦理年度</w:t>
      </w:r>
    </w:p>
    <w:p>
      <w:pPr>
        <w:pStyle w:val="BodyText"/>
        <w:tabs>
          <w:tab w:val="clear" w:pos="480"/>
        </w:tabs>
        <w:spacing w:lineRule="exact" w:line="480"/>
        <w:ind w:left="720" w:hanging="0"/>
        <w:jc w:val="both"/>
        <w:rPr/>
      </w:pPr>
      <w:r>
        <w:rPr>
          <w:rStyle w:val="Style14"/>
          <w:rFonts w:eastAsia="標楷體"/>
          <w:color w:val="000000"/>
          <w:sz w:val="32"/>
          <w:szCs w:val="32"/>
        </w:rPr>
        <w:t>每年辦理。</w:t>
      </w:r>
    </w:p>
    <w:p>
      <w:pPr>
        <w:pStyle w:val="BodyText"/>
        <w:numPr>
          <w:ilvl w:val="0"/>
          <w:numId w:val="1"/>
        </w:numPr>
        <w:tabs>
          <w:tab w:val="clear" w:pos="480"/>
          <w:tab w:val="left" w:pos="720" w:leader="none"/>
        </w:tabs>
        <w:spacing w:lineRule="exact" w:line="500"/>
        <w:ind w:left="720" w:hanging="720"/>
        <w:jc w:val="both"/>
        <w:rPr>
          <w:rFonts w:eastAsia="標楷體"/>
          <w:color w:val="000000"/>
          <w:sz w:val="32"/>
          <w:szCs w:val="32"/>
        </w:rPr>
      </w:pPr>
      <w:r>
        <w:rPr>
          <w:rFonts w:eastAsia="標楷體"/>
          <w:color w:val="000000"/>
          <w:sz w:val="32"/>
          <w:szCs w:val="32"/>
        </w:rPr>
        <w:t>追蹤輔導訪查委員</w:t>
      </w:r>
    </w:p>
    <w:p>
      <w:pPr>
        <w:pStyle w:val="BodyText"/>
        <w:tabs>
          <w:tab w:val="clear" w:pos="480"/>
        </w:tabs>
        <w:spacing w:lineRule="exact" w:line="500"/>
        <w:ind w:left="720" w:hanging="0"/>
        <w:jc w:val="both"/>
        <w:rPr>
          <w:rFonts w:eastAsia="標楷體"/>
          <w:color w:val="000000"/>
          <w:sz w:val="32"/>
          <w:szCs w:val="32"/>
        </w:rPr>
      </w:pPr>
      <w:r>
        <w:rPr>
          <w:rFonts w:eastAsia="標楷體"/>
          <w:color w:val="000000"/>
          <w:sz w:val="32"/>
          <w:szCs w:val="32"/>
        </w:rPr>
        <w:t>主辦機關得聘請專家或相關業務主管擔任追蹤輔導訪查委員，並分領域進行追蹤輔導訪查。</w:t>
      </w:r>
    </w:p>
    <w:p>
      <w:pPr>
        <w:pStyle w:val="BodyText"/>
        <w:numPr>
          <w:ilvl w:val="0"/>
          <w:numId w:val="1"/>
        </w:numPr>
        <w:tabs>
          <w:tab w:val="clear" w:pos="480"/>
          <w:tab w:val="left" w:pos="720" w:leader="none"/>
        </w:tabs>
        <w:spacing w:lineRule="exact" w:line="500"/>
        <w:ind w:left="720" w:hanging="720"/>
        <w:jc w:val="both"/>
        <w:rPr>
          <w:rFonts w:eastAsia="標楷體"/>
          <w:color w:val="000000"/>
          <w:sz w:val="32"/>
          <w:szCs w:val="32"/>
        </w:rPr>
      </w:pPr>
      <w:r>
        <w:rPr>
          <w:rFonts w:eastAsia="標楷體"/>
          <w:color w:val="000000"/>
          <w:sz w:val="32"/>
          <w:szCs w:val="32"/>
        </w:rPr>
        <w:t>不定時追蹤輔導訪查對象</w:t>
      </w:r>
    </w:p>
    <w:p>
      <w:pPr>
        <w:pStyle w:val="BodyText"/>
        <w:tabs>
          <w:tab w:val="clear" w:pos="480"/>
        </w:tabs>
        <w:spacing w:lineRule="exact" w:line="500"/>
        <w:ind w:left="1134" w:hanging="707"/>
        <w:jc w:val="both"/>
        <w:rPr>
          <w:rFonts w:eastAsia="標楷體"/>
          <w:color w:val="000000"/>
          <w:sz w:val="32"/>
          <w:szCs w:val="32"/>
        </w:rPr>
      </w:pPr>
      <w:r>
        <w:rPr>
          <w:rFonts w:eastAsia="標楷體"/>
          <w:color w:val="000000"/>
          <w:sz w:val="32"/>
          <w:szCs w:val="32"/>
        </w:rPr>
        <w:t>一、醫院於評鑑合格效期內，且訪查當年度未申請精神科醫院評鑑或精神科教學醫院評鑑或專案全院複評者，列為不定時追蹤輔導訪查之對象，以抽籤方式辦理。</w:t>
      </w:r>
    </w:p>
    <w:p>
      <w:pPr>
        <w:pStyle w:val="BodyText"/>
        <w:tabs>
          <w:tab w:val="clear" w:pos="480"/>
        </w:tabs>
        <w:spacing w:lineRule="exact" w:line="500"/>
        <w:ind w:left="1417" w:hanging="707"/>
        <w:jc w:val="both"/>
        <w:rPr>
          <w:rFonts w:eastAsia="標楷體"/>
          <w:color w:val="000000"/>
          <w:sz w:val="32"/>
          <w:szCs w:val="32"/>
        </w:rPr>
      </w:pPr>
      <w:r>
        <w:rPr>
          <w:rFonts w:eastAsia="標楷體"/>
          <w:color w:val="000000"/>
          <w:sz w:val="32"/>
          <w:szCs w:val="32"/>
        </w:rPr>
        <w:t>二、前項不定時追蹤輔導訪查對象中，若有下列情形之一者，得優先列為必要追蹤輔導訪查對象。</w:t>
      </w:r>
    </w:p>
    <w:p>
      <w:pPr>
        <w:pStyle w:val="BodyText"/>
        <w:tabs>
          <w:tab w:val="clear" w:pos="480"/>
        </w:tabs>
        <w:spacing w:lineRule="exact" w:line="500"/>
        <w:ind w:left="1651" w:hanging="941"/>
        <w:jc w:val="both"/>
        <w:rPr>
          <w:rFonts w:eastAsia="標楷體"/>
          <w:color w:val="000000"/>
          <w:sz w:val="32"/>
          <w:szCs w:val="32"/>
        </w:rPr>
      </w:pPr>
      <w:r>
        <w:rPr>
          <w:rFonts w:eastAsia="標楷體"/>
          <w:color w:val="000000"/>
          <w:sz w:val="32"/>
          <w:szCs w:val="32"/>
        </w:rPr>
        <w:t>（一）經重點複查或重點條文複查始公告為合格醫院。</w:t>
      </w:r>
    </w:p>
    <w:p>
      <w:pPr>
        <w:pStyle w:val="BodyText"/>
        <w:tabs>
          <w:tab w:val="clear" w:pos="480"/>
        </w:tabs>
        <w:spacing w:lineRule="exact" w:line="500"/>
        <w:ind w:left="1651" w:hanging="941"/>
        <w:jc w:val="both"/>
        <w:rPr>
          <w:rFonts w:eastAsia="標楷體"/>
          <w:color w:val="000000"/>
          <w:sz w:val="32"/>
          <w:szCs w:val="32"/>
        </w:rPr>
      </w:pPr>
      <w:r>
        <w:rPr>
          <w:rFonts w:eastAsia="標楷體"/>
          <w:color w:val="000000"/>
          <w:sz w:val="32"/>
          <w:szCs w:val="32"/>
        </w:rPr>
        <w:t>（二）</w:t>
      </w:r>
      <w:r>
        <w:rPr>
          <w:rFonts w:eastAsia="標楷體"/>
          <w:color w:val="000000"/>
          <w:sz w:val="32"/>
          <w:szCs w:val="32"/>
        </w:rPr>
        <w:t>104-105</w:t>
      </w:r>
      <w:r>
        <w:rPr>
          <w:rFonts w:eastAsia="標楷體"/>
          <w:color w:val="000000"/>
          <w:sz w:val="32"/>
          <w:szCs w:val="32"/>
        </w:rPr>
        <w:t>年評鑑基準達</w:t>
      </w:r>
      <w:r>
        <w:rPr>
          <w:rFonts w:eastAsia="標楷體"/>
          <w:color w:val="000000"/>
          <w:sz w:val="32"/>
          <w:szCs w:val="32"/>
        </w:rPr>
        <w:t>C</w:t>
      </w:r>
      <w:r>
        <w:rPr>
          <w:rFonts w:eastAsia="標楷體"/>
          <w:color w:val="000000"/>
          <w:sz w:val="32"/>
          <w:szCs w:val="32"/>
        </w:rPr>
        <w:t>以上或</w:t>
      </w:r>
      <w:r>
        <w:rPr>
          <w:rFonts w:eastAsia="標楷體"/>
          <w:color w:val="000000"/>
          <w:sz w:val="32"/>
          <w:szCs w:val="32"/>
        </w:rPr>
        <w:t>106</w:t>
      </w:r>
      <w:r>
        <w:rPr>
          <w:rFonts w:eastAsia="標楷體"/>
          <w:color w:val="000000"/>
          <w:sz w:val="32"/>
          <w:szCs w:val="32"/>
        </w:rPr>
        <w:t>年評量基準達符合之項數偏低者，得加重比重抽籤。</w:t>
      </w:r>
    </w:p>
    <w:p>
      <w:pPr>
        <w:pStyle w:val="BodyText"/>
        <w:tabs>
          <w:tab w:val="clear" w:pos="480"/>
        </w:tabs>
        <w:spacing w:lineRule="exact" w:line="500"/>
        <w:ind w:left="1651" w:hanging="941"/>
        <w:jc w:val="both"/>
        <w:rPr>
          <w:rFonts w:eastAsia="標楷體"/>
          <w:color w:val="000000"/>
          <w:sz w:val="32"/>
          <w:szCs w:val="32"/>
        </w:rPr>
      </w:pPr>
      <w:r>
        <w:rPr>
          <w:rFonts w:eastAsia="標楷體"/>
          <w:color w:val="000000"/>
          <w:sz w:val="32"/>
          <w:szCs w:val="32"/>
        </w:rPr>
        <w:t>（三）經本部全民健康保險爭議審議會或衛生主管機關認定醫療品質欠佳需改善、違反法規、醫學倫理或影響病人安全之重大事件者。</w:t>
      </w:r>
    </w:p>
    <w:p>
      <w:pPr>
        <w:pStyle w:val="BodyText"/>
        <w:tabs>
          <w:tab w:val="clear" w:pos="480"/>
        </w:tabs>
        <w:spacing w:lineRule="exact" w:line="500"/>
        <w:ind w:left="1651" w:hanging="941"/>
        <w:jc w:val="both"/>
        <w:rPr>
          <w:rFonts w:eastAsia="標楷體"/>
          <w:color w:val="000000"/>
          <w:sz w:val="32"/>
          <w:szCs w:val="32"/>
        </w:rPr>
      </w:pPr>
      <w:r>
        <w:rPr>
          <w:rFonts w:eastAsia="標楷體"/>
          <w:color w:val="000000"/>
          <w:sz w:val="32"/>
          <w:szCs w:val="32"/>
        </w:rPr>
        <w:t>（四）新設立之醫院於設立年度通過醫院評鑑者。但屬變更負責醫師之新設立醫院，不在此限。</w:t>
      </w:r>
    </w:p>
    <w:p>
      <w:pPr>
        <w:pStyle w:val="BodyText"/>
        <w:tabs>
          <w:tab w:val="clear" w:pos="480"/>
        </w:tabs>
        <w:spacing w:lineRule="exact" w:line="500"/>
        <w:ind w:left="1651" w:hanging="941"/>
        <w:jc w:val="both"/>
        <w:rPr>
          <w:rFonts w:eastAsia="標楷體"/>
          <w:color w:val="000000"/>
          <w:sz w:val="32"/>
          <w:szCs w:val="32"/>
        </w:rPr>
      </w:pPr>
      <w:r>
        <w:rPr>
          <w:rFonts w:eastAsia="標楷體"/>
          <w:color w:val="000000"/>
          <w:sz w:val="32"/>
          <w:szCs w:val="32"/>
        </w:rPr>
        <w:t>（五）其他經評鑑評定會議決議次一年度列為必要追蹤輔導訪查對象者。</w:t>
      </w:r>
    </w:p>
    <w:p>
      <w:pPr>
        <w:pStyle w:val="BodyText"/>
        <w:numPr>
          <w:ilvl w:val="0"/>
          <w:numId w:val="1"/>
        </w:numPr>
        <w:tabs>
          <w:tab w:val="clear" w:pos="480"/>
          <w:tab w:val="left" w:pos="720" w:leader="none"/>
        </w:tabs>
        <w:spacing w:lineRule="exact" w:line="500"/>
        <w:ind w:left="720" w:hanging="720"/>
        <w:jc w:val="both"/>
        <w:rPr>
          <w:rFonts w:eastAsia="標楷體"/>
          <w:color w:val="000000"/>
          <w:sz w:val="32"/>
          <w:szCs w:val="32"/>
        </w:rPr>
      </w:pPr>
      <w:r>
        <w:rPr>
          <w:rFonts w:eastAsia="標楷體"/>
          <w:color w:val="000000"/>
          <w:sz w:val="32"/>
          <w:szCs w:val="32"/>
        </w:rPr>
        <w:t>即時追蹤輔導訪查對象</w:t>
      </w:r>
    </w:p>
    <w:p>
      <w:pPr>
        <w:pStyle w:val="BodyText"/>
        <w:tabs>
          <w:tab w:val="clear" w:pos="480"/>
        </w:tabs>
        <w:spacing w:lineRule="exact" w:line="500"/>
        <w:ind w:left="720" w:hanging="0"/>
        <w:jc w:val="both"/>
        <w:rPr>
          <w:rFonts w:eastAsia="標楷體"/>
          <w:color w:val="000000"/>
          <w:sz w:val="32"/>
          <w:szCs w:val="32"/>
        </w:rPr>
      </w:pPr>
      <w:r>
        <w:rPr>
          <w:rFonts w:eastAsia="標楷體"/>
          <w:color w:val="000000"/>
          <w:sz w:val="32"/>
          <w:szCs w:val="32"/>
        </w:rPr>
        <w:t>醫院於評鑑合格效期內，發生重大違規事件或新聞案件（如有明顯違反法令、醫學倫理、影響病人安全等情事），得列為即時追蹤輔導訪查對象，由協辦單位即時通知並辦理即時追蹤輔導訪查。</w:t>
      </w:r>
    </w:p>
    <w:p>
      <w:pPr>
        <w:pStyle w:val="BodyText"/>
        <w:numPr>
          <w:ilvl w:val="0"/>
          <w:numId w:val="1"/>
        </w:numPr>
        <w:tabs>
          <w:tab w:val="clear" w:pos="480"/>
          <w:tab w:val="left" w:pos="720" w:leader="none"/>
        </w:tabs>
        <w:spacing w:lineRule="exact" w:line="500"/>
        <w:ind w:left="720" w:hanging="720"/>
        <w:jc w:val="both"/>
        <w:rPr>
          <w:rFonts w:eastAsia="標楷體"/>
          <w:color w:val="000000"/>
          <w:sz w:val="32"/>
          <w:szCs w:val="32"/>
        </w:rPr>
      </w:pPr>
      <w:r>
        <w:rPr>
          <w:rFonts w:eastAsia="標楷體"/>
          <w:color w:val="000000"/>
          <w:sz w:val="32"/>
          <w:szCs w:val="32"/>
        </w:rPr>
        <w:t>追蹤輔導訪查內容</w:t>
      </w:r>
    </w:p>
    <w:p>
      <w:pPr>
        <w:pStyle w:val="BodyText"/>
        <w:numPr>
          <w:ilvl w:val="0"/>
          <w:numId w:val="2"/>
        </w:numPr>
        <w:tabs>
          <w:tab w:val="clear" w:pos="480"/>
          <w:tab w:val="left" w:pos="2334" w:leader="none"/>
        </w:tabs>
        <w:spacing w:lineRule="exact" w:line="500"/>
        <w:ind w:left="2334" w:hanging="1188"/>
        <w:jc w:val="both"/>
        <w:rPr/>
      </w:pPr>
      <w:r>
        <w:rPr>
          <w:rStyle w:val="Style14"/>
          <w:rFonts w:eastAsia="標楷體"/>
          <w:color w:val="000000"/>
          <w:sz w:val="32"/>
          <w:szCs w:val="32"/>
        </w:rPr>
        <w:t>不定時追蹤輔導訪查內容，為醫院對於最近一次評鑑結果意見表所提建議</w:t>
      </w:r>
      <w:r>
        <w:rPr>
          <w:rStyle w:val="Style14"/>
          <w:rFonts w:eastAsia="標楷體"/>
          <w:b/>
          <w:color w:val="000000"/>
          <w:sz w:val="32"/>
          <w:szCs w:val="32"/>
        </w:rPr>
        <w:t>改善事項、建議事項及綜合意見</w:t>
      </w:r>
      <w:r>
        <w:rPr>
          <w:rStyle w:val="Style14"/>
          <w:rFonts w:eastAsia="標楷體"/>
          <w:color w:val="000000"/>
          <w:sz w:val="32"/>
          <w:szCs w:val="32"/>
        </w:rPr>
        <w:t>之改善情形，以及納入衛生局業務考評或主辦機關當年度關注議題之評鑑基準。</w:t>
      </w:r>
    </w:p>
    <w:p>
      <w:pPr>
        <w:pStyle w:val="BodyText"/>
        <w:numPr>
          <w:ilvl w:val="0"/>
          <w:numId w:val="2"/>
        </w:numPr>
        <w:tabs>
          <w:tab w:val="clear" w:pos="480"/>
          <w:tab w:val="left" w:pos="2334" w:leader="none"/>
        </w:tabs>
        <w:spacing w:lineRule="exact" w:line="500"/>
        <w:ind w:left="2334" w:hanging="1188"/>
        <w:jc w:val="both"/>
        <w:rPr>
          <w:rFonts w:eastAsia="標楷體"/>
          <w:color w:val="000000"/>
          <w:sz w:val="32"/>
          <w:szCs w:val="32"/>
        </w:rPr>
      </w:pPr>
      <w:r>
        <w:rPr>
          <w:rFonts w:eastAsia="標楷體"/>
          <w:color w:val="000000"/>
          <w:sz w:val="32"/>
          <w:szCs w:val="32"/>
        </w:rPr>
        <w:t xml:space="preserve">即時追蹤輔導訪查內容為發生重大違規或新聞案件之事項。 </w:t>
      </w:r>
    </w:p>
    <w:p>
      <w:pPr>
        <w:pStyle w:val="BodyText"/>
        <w:numPr>
          <w:ilvl w:val="0"/>
          <w:numId w:val="1"/>
        </w:numPr>
        <w:tabs>
          <w:tab w:val="clear" w:pos="480"/>
          <w:tab w:val="left" w:pos="720" w:leader="none"/>
        </w:tabs>
        <w:spacing w:lineRule="exact" w:line="500"/>
        <w:ind w:left="720" w:hanging="720"/>
        <w:jc w:val="both"/>
        <w:rPr>
          <w:rFonts w:eastAsia="標楷體"/>
          <w:color w:val="000000"/>
          <w:sz w:val="32"/>
          <w:szCs w:val="32"/>
        </w:rPr>
      </w:pPr>
      <w:r>
        <w:rPr>
          <w:rFonts w:eastAsia="標楷體"/>
          <w:color w:val="000000"/>
          <w:sz w:val="32"/>
          <w:szCs w:val="32"/>
        </w:rPr>
        <w:t>追蹤輔導填報資料</w:t>
      </w:r>
    </w:p>
    <w:p>
      <w:pPr>
        <w:pStyle w:val="BodyText"/>
        <w:tabs>
          <w:tab w:val="clear" w:pos="480"/>
          <w:tab w:val="left" w:pos="1134" w:leader="none"/>
        </w:tabs>
        <w:spacing w:lineRule="exact" w:line="500"/>
        <w:ind w:left="1132" w:hanging="707"/>
        <w:jc w:val="both"/>
        <w:rPr>
          <w:rFonts w:eastAsia="標楷體"/>
          <w:color w:val="000000"/>
          <w:sz w:val="32"/>
          <w:szCs w:val="32"/>
        </w:rPr>
      </w:pPr>
      <w:r>
        <w:rPr>
          <w:rFonts w:eastAsia="標楷體"/>
          <w:color w:val="000000"/>
          <w:sz w:val="32"/>
          <w:szCs w:val="32"/>
        </w:rPr>
        <w:t>一、第伍點及第陸點所列追蹤輔導訪查之對象，應就第柒點訪查內容填復資料，其格式、方式及期限，由協辦單位公告於其網站。</w:t>
      </w:r>
    </w:p>
    <w:p>
      <w:pPr>
        <w:pStyle w:val="BodyText"/>
        <w:tabs>
          <w:tab w:val="clear" w:pos="480"/>
          <w:tab w:val="left" w:pos="1134" w:leader="none"/>
        </w:tabs>
        <w:spacing w:lineRule="exact" w:line="500"/>
        <w:ind w:left="1132" w:hanging="707"/>
        <w:jc w:val="both"/>
        <w:rPr>
          <w:rFonts w:eastAsia="標楷體"/>
          <w:color w:val="000000"/>
          <w:sz w:val="32"/>
          <w:szCs w:val="32"/>
        </w:rPr>
      </w:pPr>
      <w:r>
        <w:rPr>
          <w:rFonts w:eastAsia="標楷體"/>
          <w:color w:val="000000"/>
          <w:sz w:val="32"/>
          <w:szCs w:val="32"/>
        </w:rPr>
        <w:t>二、未於協辦單位通知之期限內填報訪查資料者，主辦機關得限期要求醫院填報，逾期未填報者，列為次一年度優先追蹤輔導訪查之對象，並請衛生局加強督導考核。經通知限期填報仍未填報者，則視為最近一次評鑑結果意見表所提建議改善事項未改善，主辦機關得依醫療法施行細則第十六條第二項及第六十二條第二項規定調降其評鑑合格類別或註銷其評鑑合格資格。</w:t>
      </w:r>
    </w:p>
    <w:p>
      <w:pPr>
        <w:pStyle w:val="BodyText"/>
        <w:numPr>
          <w:ilvl w:val="0"/>
          <w:numId w:val="1"/>
        </w:numPr>
        <w:tabs>
          <w:tab w:val="clear" w:pos="480"/>
          <w:tab w:val="left" w:pos="720" w:leader="none"/>
        </w:tabs>
        <w:spacing w:lineRule="exact" w:line="500"/>
        <w:ind w:left="720" w:hanging="720"/>
        <w:jc w:val="both"/>
        <w:rPr>
          <w:rFonts w:eastAsia="標楷體"/>
          <w:color w:val="000000"/>
          <w:sz w:val="32"/>
          <w:szCs w:val="32"/>
        </w:rPr>
      </w:pPr>
      <w:r>
        <w:rPr>
          <w:rFonts w:eastAsia="標楷體"/>
          <w:color w:val="000000"/>
          <w:sz w:val="32"/>
          <w:szCs w:val="32"/>
        </w:rPr>
        <w:t>追蹤輔導訪查方式</w:t>
      </w:r>
    </w:p>
    <w:p>
      <w:pPr>
        <w:pStyle w:val="BodyText"/>
        <w:tabs>
          <w:tab w:val="clear" w:pos="480"/>
        </w:tabs>
        <w:spacing w:lineRule="exact" w:line="480"/>
        <w:ind w:left="991" w:hanging="566"/>
        <w:jc w:val="both"/>
        <w:rPr>
          <w:rFonts w:eastAsia="標楷體"/>
          <w:color w:val="000000"/>
          <w:sz w:val="32"/>
          <w:szCs w:val="32"/>
        </w:rPr>
      </w:pPr>
      <w:r>
        <w:rPr>
          <w:rFonts w:eastAsia="標楷體"/>
          <w:color w:val="000000"/>
          <w:sz w:val="32"/>
          <w:szCs w:val="32"/>
        </w:rPr>
        <w:t>一、追蹤輔導訪查作業採不定時或即時之方式辦理，並依醫院最近一次評鑑結果或作業需要，安排委員前往。</w:t>
      </w:r>
    </w:p>
    <w:p>
      <w:pPr>
        <w:pStyle w:val="BodyText"/>
        <w:tabs>
          <w:tab w:val="clear" w:pos="480"/>
        </w:tabs>
        <w:spacing w:lineRule="exact" w:line="480"/>
        <w:ind w:left="991" w:hanging="566"/>
        <w:jc w:val="both"/>
        <w:rPr>
          <w:rFonts w:eastAsia="標楷體"/>
          <w:color w:val="000000"/>
          <w:sz w:val="32"/>
          <w:szCs w:val="32"/>
        </w:rPr>
      </w:pPr>
      <w:r>
        <w:rPr>
          <w:rFonts w:eastAsia="標楷體"/>
          <w:color w:val="000000"/>
          <w:sz w:val="32"/>
          <w:szCs w:val="32"/>
        </w:rPr>
        <w:t>二、各醫院之追蹤輔導訪查日程，由協辦單位個別書面通知接受訪查之醫院。</w:t>
      </w:r>
    </w:p>
    <w:p>
      <w:pPr>
        <w:pStyle w:val="BodyText"/>
        <w:tabs>
          <w:tab w:val="clear" w:pos="480"/>
        </w:tabs>
        <w:spacing w:lineRule="exact" w:line="480"/>
        <w:ind w:left="991" w:hanging="566"/>
        <w:jc w:val="both"/>
        <w:rPr>
          <w:rFonts w:eastAsia="標楷體"/>
          <w:color w:val="000000"/>
          <w:sz w:val="32"/>
          <w:szCs w:val="32"/>
        </w:rPr>
      </w:pPr>
      <w:r>
        <w:rPr>
          <w:rFonts w:eastAsia="標楷體"/>
          <w:color w:val="000000"/>
          <w:sz w:val="32"/>
          <w:szCs w:val="32"/>
        </w:rPr>
        <w:t>三、追蹤輔導訪查程序如下：</w:t>
      </w:r>
    </w:p>
    <w:p>
      <w:pPr>
        <w:pStyle w:val="BodyText"/>
        <w:tabs>
          <w:tab w:val="clear" w:pos="480"/>
        </w:tabs>
        <w:spacing w:lineRule="exact" w:line="480"/>
        <w:ind w:left="720" w:hanging="0"/>
        <w:jc w:val="both"/>
        <w:rPr>
          <w:rFonts w:eastAsia="標楷體"/>
          <w:color w:val="000000"/>
          <w:sz w:val="32"/>
          <w:szCs w:val="32"/>
        </w:rPr>
      </w:pPr>
      <w:r>
        <w:rPr>
          <w:rFonts w:eastAsia="標楷體"/>
          <w:color w:val="000000"/>
          <w:sz w:val="32"/>
          <w:szCs w:val="32"/>
        </w:rPr>
        <w:t>(</w:t>
      </w:r>
      <w:r>
        <w:rPr>
          <w:rFonts w:eastAsia="標楷體"/>
          <w:color w:val="000000"/>
          <w:sz w:val="32"/>
          <w:szCs w:val="32"/>
        </w:rPr>
        <w:t>一</w:t>
      </w:r>
      <w:r>
        <w:rPr>
          <w:rFonts w:eastAsia="標楷體"/>
          <w:color w:val="000000"/>
          <w:sz w:val="32"/>
          <w:szCs w:val="32"/>
        </w:rPr>
        <w:t>)</w:t>
      </w:r>
      <w:r>
        <w:rPr>
          <w:rFonts w:eastAsia="標楷體"/>
          <w:color w:val="000000"/>
          <w:sz w:val="32"/>
          <w:szCs w:val="32"/>
        </w:rPr>
        <w:t>實地查證。</w:t>
      </w:r>
    </w:p>
    <w:p>
      <w:pPr>
        <w:pStyle w:val="BodyText"/>
        <w:tabs>
          <w:tab w:val="clear" w:pos="480"/>
        </w:tabs>
        <w:spacing w:lineRule="exact" w:line="480"/>
        <w:ind w:left="720" w:hanging="0"/>
        <w:jc w:val="both"/>
        <w:rPr/>
      </w:pPr>
      <w:r>
        <w:rPr>
          <w:rStyle w:val="Style14"/>
          <w:rFonts w:eastAsia="標楷體"/>
          <w:color w:val="000000"/>
          <w:sz w:val="32"/>
          <w:szCs w:val="32"/>
        </w:rPr>
        <w:t>(</w:t>
      </w:r>
      <w:r>
        <w:rPr>
          <w:rStyle w:val="Style14"/>
          <w:rFonts w:eastAsia="標楷體"/>
          <w:color w:val="000000"/>
          <w:sz w:val="32"/>
          <w:szCs w:val="32"/>
        </w:rPr>
        <w:t>二</w:t>
      </w:r>
      <w:r>
        <w:rPr>
          <w:rStyle w:val="Style14"/>
          <w:rFonts w:eastAsia="標楷體"/>
          <w:color w:val="000000"/>
          <w:sz w:val="32"/>
          <w:szCs w:val="32"/>
        </w:rPr>
        <w:t>)</w:t>
      </w:r>
      <w:r>
        <w:rPr>
          <w:rStyle w:val="Style14"/>
          <w:rFonts w:eastAsia="標楷體"/>
          <w:color w:val="000000"/>
          <w:sz w:val="32"/>
          <w:szCs w:val="32"/>
        </w:rPr>
        <w:t>意見交換。</w:t>
      </w:r>
    </w:p>
    <w:p>
      <w:pPr>
        <w:pStyle w:val="BodyText"/>
        <w:tabs>
          <w:tab w:val="clear" w:pos="480"/>
        </w:tabs>
        <w:spacing w:lineRule="exact" w:line="480"/>
        <w:ind w:left="991" w:hanging="566"/>
        <w:jc w:val="both"/>
        <w:rPr>
          <w:rFonts w:eastAsia="標楷體"/>
          <w:color w:val="000000"/>
          <w:sz w:val="32"/>
          <w:szCs w:val="32"/>
        </w:rPr>
      </w:pPr>
      <w:r>
        <w:rPr>
          <w:rFonts w:eastAsia="標楷體"/>
          <w:color w:val="000000"/>
          <w:sz w:val="32"/>
          <w:szCs w:val="32"/>
        </w:rPr>
        <w:t>四、追蹤輔導訪查時間</w:t>
      </w:r>
      <w:r>
        <w:rPr>
          <w:rFonts w:eastAsia="標楷體"/>
          <w:color w:val="000000"/>
          <w:sz w:val="32"/>
          <w:szCs w:val="32"/>
        </w:rPr>
        <w:t>120</w:t>
      </w:r>
      <w:r>
        <w:rPr>
          <w:rFonts w:eastAsia="標楷體"/>
          <w:color w:val="000000"/>
          <w:sz w:val="32"/>
          <w:szCs w:val="32"/>
        </w:rPr>
        <w:t>分鐘至</w:t>
      </w:r>
      <w:r>
        <w:rPr>
          <w:rFonts w:eastAsia="標楷體"/>
          <w:color w:val="000000"/>
          <w:sz w:val="32"/>
          <w:szCs w:val="32"/>
        </w:rPr>
        <w:t>200</w:t>
      </w:r>
      <w:r>
        <w:rPr>
          <w:rFonts w:eastAsia="標楷體"/>
          <w:color w:val="000000"/>
          <w:sz w:val="32"/>
          <w:szCs w:val="32"/>
        </w:rPr>
        <w:t>分鐘。</w:t>
      </w:r>
    </w:p>
    <w:p>
      <w:pPr>
        <w:pStyle w:val="BodyText"/>
        <w:tabs>
          <w:tab w:val="clear" w:pos="480"/>
        </w:tabs>
        <w:spacing w:lineRule="exact" w:line="480"/>
        <w:ind w:left="991" w:hanging="566"/>
        <w:jc w:val="both"/>
        <w:rPr>
          <w:rFonts w:eastAsia="標楷體"/>
          <w:color w:val="000000"/>
          <w:sz w:val="32"/>
          <w:szCs w:val="32"/>
        </w:rPr>
      </w:pPr>
      <w:r>
        <w:rPr>
          <w:rFonts w:eastAsia="標楷體"/>
          <w:color w:val="000000"/>
          <w:sz w:val="32"/>
          <w:szCs w:val="32"/>
        </w:rPr>
        <w:t>五、追蹤輔導訪查當日，如有發現重大違規情事者，將提至追蹤輔導訪查評定會議討論。</w:t>
      </w:r>
    </w:p>
    <w:p>
      <w:pPr>
        <w:pStyle w:val="BodyText"/>
        <w:snapToGrid w:val="false"/>
        <w:spacing w:lineRule="exact" w:line="480"/>
        <w:jc w:val="both"/>
        <w:rPr>
          <w:rFonts w:eastAsia="標楷體"/>
          <w:color w:val="000000"/>
          <w:sz w:val="32"/>
          <w:szCs w:val="32"/>
        </w:rPr>
      </w:pPr>
      <w:r>
        <w:rPr>
          <w:rFonts w:eastAsia="標楷體"/>
          <w:color w:val="000000"/>
          <w:sz w:val="32"/>
          <w:szCs w:val="32"/>
        </w:rPr>
        <w:t>拾、追蹤輔導訪查結果</w:t>
      </w:r>
    </w:p>
    <w:p>
      <w:pPr>
        <w:pStyle w:val="Style18"/>
        <w:numPr>
          <w:ilvl w:val="0"/>
          <w:numId w:val="3"/>
        </w:numPr>
        <w:tabs>
          <w:tab w:val="left" w:pos="2040" w:leader="none"/>
        </w:tabs>
        <w:snapToGrid w:val="false"/>
        <w:spacing w:lineRule="exact" w:line="480"/>
        <w:ind w:left="2040" w:hanging="1188"/>
        <w:jc w:val="both"/>
        <w:rPr>
          <w:rFonts w:ascii="Times New Roman" w:hAnsi="Times New Roman" w:eastAsia="標楷體"/>
          <w:color w:val="000000"/>
          <w:sz w:val="32"/>
          <w:szCs w:val="32"/>
        </w:rPr>
      </w:pPr>
      <w:r>
        <w:rPr>
          <w:rFonts w:ascii="Times New Roman" w:hAnsi="Times New Roman" w:eastAsia="標楷體"/>
          <w:color w:val="000000"/>
          <w:sz w:val="32"/>
          <w:szCs w:val="32"/>
        </w:rPr>
        <w:t>不定時追蹤輔導訪查結果：</w:t>
      </w:r>
    </w:p>
    <w:p>
      <w:pPr>
        <w:pStyle w:val="Style18"/>
        <w:numPr>
          <w:ilvl w:val="0"/>
          <w:numId w:val="4"/>
        </w:numPr>
        <w:tabs>
          <w:tab w:val="left" w:pos="2061" w:leader="none"/>
        </w:tabs>
        <w:snapToGrid w:val="false"/>
        <w:spacing w:lineRule="exact" w:line="480"/>
        <w:ind w:left="2061" w:hanging="927"/>
        <w:jc w:val="both"/>
        <w:rPr>
          <w:rFonts w:ascii="Times New Roman" w:hAnsi="Times New Roman" w:eastAsia="標楷體"/>
          <w:color w:val="000000"/>
          <w:sz w:val="32"/>
          <w:szCs w:val="32"/>
        </w:rPr>
      </w:pPr>
      <w:r>
        <w:rPr>
          <w:rFonts w:ascii="Times New Roman" w:hAnsi="Times New Roman" w:eastAsia="標楷體"/>
          <w:color w:val="000000"/>
          <w:sz w:val="32"/>
          <w:szCs w:val="32"/>
        </w:rPr>
        <w:t>追蹤輔導訪查結果意見表由協辦單位以書面通知醫院，並作為下次評鑑或追蹤輔導之參考。</w:t>
      </w:r>
    </w:p>
    <w:p>
      <w:pPr>
        <w:pStyle w:val="Style18"/>
        <w:numPr>
          <w:ilvl w:val="0"/>
          <w:numId w:val="4"/>
        </w:numPr>
        <w:tabs>
          <w:tab w:val="left" w:pos="2061" w:leader="none"/>
        </w:tabs>
        <w:snapToGrid w:val="false"/>
        <w:spacing w:lineRule="exact" w:line="480"/>
        <w:ind w:left="2061" w:hanging="927"/>
        <w:jc w:val="both"/>
        <w:rPr>
          <w:rFonts w:ascii="Times New Roman" w:hAnsi="Times New Roman" w:eastAsia="標楷體"/>
          <w:color w:val="000000"/>
          <w:sz w:val="32"/>
          <w:szCs w:val="32"/>
        </w:rPr>
      </w:pPr>
      <w:r>
        <w:rPr>
          <w:rFonts w:ascii="Times New Roman" w:hAnsi="Times New Roman" w:eastAsia="標楷體"/>
          <w:color w:val="000000"/>
          <w:sz w:val="32"/>
          <w:szCs w:val="32"/>
        </w:rPr>
        <w:t>醫院經查證發現有不符醫療機構設置標準規定之情事者，將由主辦機關通知醫院所在地衛生局依相關法令及權責要求限期改善。未於期限內改善者，主辦機關得依醫療法施行細則第十六條第二項及第六十二條第二項規定調降其評鑑合格類別或註銷其評鑑合格資格。</w:t>
      </w:r>
    </w:p>
    <w:p>
      <w:pPr>
        <w:pStyle w:val="Style18"/>
        <w:numPr>
          <w:ilvl w:val="0"/>
          <w:numId w:val="4"/>
        </w:numPr>
        <w:tabs>
          <w:tab w:val="left" w:pos="2061" w:leader="none"/>
        </w:tabs>
        <w:snapToGrid w:val="false"/>
        <w:spacing w:lineRule="exact" w:line="480"/>
        <w:ind w:left="2061" w:hanging="927"/>
        <w:jc w:val="both"/>
        <w:rPr>
          <w:rFonts w:ascii="Times New Roman" w:hAnsi="Times New Roman" w:eastAsia="標楷體"/>
          <w:color w:val="000000"/>
          <w:sz w:val="32"/>
          <w:szCs w:val="32"/>
        </w:rPr>
      </w:pPr>
      <w:r>
        <w:rPr>
          <w:rFonts w:ascii="Times New Roman" w:hAnsi="Times New Roman" w:eastAsia="標楷體"/>
          <w:color w:val="000000"/>
          <w:sz w:val="32"/>
          <w:szCs w:val="32"/>
        </w:rPr>
        <w:t>醫院經查證發現有不符原評鑑基準之事實者，主辦機關得通知限期改善，其不改善或情節重大者，除依相關法令辦理外，主辦機關得依醫療法施行細則第十六條第二項及第六十二條第二項規定調降其評鑑合格類別或註銷其評鑑合格資格。</w:t>
      </w:r>
    </w:p>
    <w:p>
      <w:pPr>
        <w:pStyle w:val="Style18"/>
        <w:numPr>
          <w:ilvl w:val="0"/>
          <w:numId w:val="4"/>
        </w:numPr>
        <w:tabs>
          <w:tab w:val="left" w:pos="2061" w:leader="none"/>
        </w:tabs>
        <w:snapToGrid w:val="false"/>
        <w:spacing w:lineRule="exact" w:line="480"/>
        <w:ind w:left="2061" w:hanging="927"/>
        <w:jc w:val="both"/>
        <w:rPr/>
      </w:pPr>
      <w:r>
        <w:rPr>
          <w:rStyle w:val="Style14"/>
          <w:rFonts w:ascii="Times New Roman" w:hAnsi="Times New Roman" w:eastAsia="標楷體"/>
          <w:color w:val="000000"/>
          <w:sz w:val="32"/>
          <w:szCs w:val="32"/>
          <w:lang w:val="en-US"/>
        </w:rPr>
        <w:t>醫院經追蹤輔導訪查評定會議決議，列為「須加強改善醫院」者，醫院應於接獲評定結果通知後</w:t>
      </w:r>
      <w:r>
        <w:rPr>
          <w:rStyle w:val="Style14"/>
          <w:rFonts w:eastAsia="標楷體" w:ascii="Times New Roman" w:hAnsi="Times New Roman"/>
          <w:color w:val="000000"/>
          <w:sz w:val="32"/>
          <w:szCs w:val="32"/>
          <w:lang w:val="en-US"/>
        </w:rPr>
        <w:t>3</w:t>
      </w:r>
      <w:r>
        <w:rPr>
          <w:rStyle w:val="Style14"/>
          <w:rFonts w:ascii="Times New Roman" w:hAnsi="Times New Roman" w:eastAsia="標楷體"/>
          <w:color w:val="000000"/>
          <w:sz w:val="32"/>
          <w:szCs w:val="32"/>
          <w:lang w:val="en-US"/>
        </w:rPr>
        <w:t>個月內填復改善情形予衛生局，由衛生局持續追蹤輔導，並加強督導考核至該院參與下次評鑑或追蹤輔導訪查。</w:t>
      </w:r>
    </w:p>
    <w:p>
      <w:pPr>
        <w:pStyle w:val="Style18"/>
        <w:numPr>
          <w:ilvl w:val="0"/>
          <w:numId w:val="4"/>
        </w:numPr>
        <w:tabs>
          <w:tab w:val="left" w:pos="2061" w:leader="none"/>
        </w:tabs>
        <w:snapToGrid w:val="false"/>
        <w:spacing w:lineRule="exact" w:line="480"/>
        <w:ind w:left="2061" w:hanging="927"/>
        <w:jc w:val="both"/>
        <w:rPr>
          <w:rFonts w:ascii="Times New Roman" w:hAnsi="Times New Roman" w:eastAsia="標楷體"/>
          <w:color w:val="000000"/>
          <w:sz w:val="32"/>
          <w:szCs w:val="32"/>
        </w:rPr>
      </w:pPr>
      <w:r>
        <w:rPr>
          <w:rFonts w:ascii="Times New Roman" w:hAnsi="Times New Roman" w:eastAsia="標楷體"/>
          <w:color w:val="000000"/>
          <w:sz w:val="32"/>
          <w:szCs w:val="32"/>
        </w:rPr>
        <w:t>須加強改善醫院未依前點所定期限回復改善情形者，視為未改善，並依下列原則處理：</w:t>
      </w:r>
    </w:p>
    <w:p>
      <w:pPr>
        <w:pStyle w:val="BodyText"/>
        <w:numPr>
          <w:ilvl w:val="0"/>
          <w:numId w:val="5"/>
        </w:numPr>
        <w:tabs>
          <w:tab w:val="clear" w:pos="480"/>
          <w:tab w:val="left" w:pos="2914" w:leader="none"/>
        </w:tabs>
        <w:spacing w:lineRule="exact" w:line="480"/>
        <w:ind w:left="2914" w:hanging="644"/>
        <w:jc w:val="both"/>
        <w:rPr>
          <w:rFonts w:eastAsia="標楷體"/>
          <w:color w:val="000000"/>
          <w:sz w:val="32"/>
          <w:szCs w:val="32"/>
        </w:rPr>
      </w:pPr>
      <w:r>
        <w:rPr>
          <w:rFonts w:eastAsia="標楷體"/>
          <w:color w:val="000000"/>
          <w:sz w:val="32"/>
          <w:szCs w:val="32"/>
        </w:rPr>
        <w:t>除依相關法令辦理外，主辦機關得依醫療法施行細則第十六條第二項款及第六十二條第二項規定，調降其評鑑合格類別或註銷其評鑑合格資格。</w:t>
      </w:r>
    </w:p>
    <w:p>
      <w:pPr>
        <w:pStyle w:val="BodyText"/>
        <w:numPr>
          <w:ilvl w:val="0"/>
          <w:numId w:val="5"/>
        </w:numPr>
        <w:tabs>
          <w:tab w:val="clear" w:pos="480"/>
          <w:tab w:val="left" w:pos="2914" w:leader="none"/>
        </w:tabs>
        <w:spacing w:lineRule="exact" w:line="480"/>
        <w:ind w:left="2914" w:hanging="644"/>
        <w:jc w:val="both"/>
        <w:rPr>
          <w:rFonts w:eastAsia="標楷體"/>
          <w:color w:val="000000"/>
          <w:sz w:val="32"/>
          <w:szCs w:val="32"/>
        </w:rPr>
      </w:pPr>
      <w:r>
        <w:rPr>
          <w:rFonts w:eastAsia="標楷體"/>
          <w:color w:val="000000"/>
          <w:sz w:val="32"/>
          <w:szCs w:val="32"/>
        </w:rPr>
        <w:t>得由主辦機關行文通知醫院，限期要求醫院提送改善報告至當地衛生局，並副知該醫院層級所屬之協會、本部中央健康保險署及衛生局加強督導考核，且列為次ㄧ年度優先追蹤輔導訪查之對象。</w:t>
      </w:r>
    </w:p>
    <w:p>
      <w:pPr>
        <w:pStyle w:val="Style18"/>
        <w:numPr>
          <w:ilvl w:val="0"/>
          <w:numId w:val="3"/>
        </w:numPr>
        <w:tabs>
          <w:tab w:val="left" w:pos="2040" w:leader="none"/>
        </w:tabs>
        <w:snapToGrid w:val="false"/>
        <w:spacing w:lineRule="exact" w:line="480"/>
        <w:ind w:left="2040" w:hanging="1188"/>
        <w:jc w:val="both"/>
        <w:rPr>
          <w:rFonts w:ascii="Times New Roman" w:hAnsi="Times New Roman" w:eastAsia="標楷體"/>
          <w:color w:val="000000"/>
          <w:sz w:val="32"/>
          <w:szCs w:val="32"/>
        </w:rPr>
      </w:pPr>
      <w:r>
        <w:rPr>
          <w:rFonts w:ascii="Times New Roman" w:hAnsi="Times New Roman" w:eastAsia="標楷體"/>
          <w:color w:val="000000"/>
          <w:sz w:val="32"/>
          <w:szCs w:val="32"/>
        </w:rPr>
        <w:t>即時追蹤輔導訪查結果：同前項第一款及第二款辦理。</w:t>
      </w:r>
    </w:p>
    <w:p>
      <w:pPr>
        <w:pStyle w:val="BodyText"/>
        <w:rPr>
          <w:color w:val="000000"/>
        </w:rPr>
      </w:pPr>
      <w:r>
        <w:rPr>
          <w:color w:val="000000"/>
        </w:rPr>
      </w:r>
    </w:p>
    <w:sectPr>
      <w:footerReference w:type="default" r:id="rId3"/>
      <w:type w:val="nextPage"/>
      <w:pgSz w:w="11906" w:h="16838"/>
      <w:pgMar w:left="1800" w:right="1800" w:gutter="0" w:header="0" w:top="567" w:footer="567" w:bottom="1440"/>
      <w:pgNumType w:fmt="decimal"/>
      <w:formProt w:val="false"/>
      <w:textDirection w:val="lrTb"/>
      <w:docGrid w:type="lines" w:linePitch="600" w:charSpace="4096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88"/>
    <w:family w:val="roman"/>
    <w:pitch w:val="variable"/>
  </w:font>
  <w:font w:name="Times New Roman">
    <w:charset w:val="88"/>
    <w:family w:val="roman"/>
    <w:pitch w:val="variable"/>
  </w:font>
  <w:font w:name="Calibri">
    <w:charset w:val="88"/>
    <w:family w:val="swiss"/>
    <w:pitch w:val="variable"/>
  </w:font>
  <w:font w:name="Arial">
    <w:charset w:val="88"/>
    <w:family w:val="swiss"/>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r>
      <mc:AlternateContent>
        <mc:Choice Requires="wps">
          <w:drawing>
            <wp:anchor behindDoc="0" distT="0" distB="0" distL="0" distR="0" simplePos="0" locked="0" layoutInCell="0" allowOverlap="1" relativeHeight="7">
              <wp:simplePos x="0" y="0"/>
              <wp:positionH relativeFrom="margin">
                <wp:align>center</wp:align>
              </wp:positionH>
              <wp:positionV relativeFrom="paragraph">
                <wp:posOffset>635</wp:posOffset>
              </wp:positionV>
              <wp:extent cx="64135" cy="146685"/>
              <wp:effectExtent l="0" t="0" r="0" b="0"/>
              <wp:wrapSquare wrapText="bothSides"/>
              <wp:docPr id="2" name="外框1"/>
              <a:graphic xmlns:a="http://schemas.openxmlformats.org/drawingml/2006/main">
                <a:graphicData uri="http://schemas.microsoft.com/office/word/2010/wordprocessingShape">
                  <wps:wsp>
                    <wps:cNvSpPr txBox="1"/>
                    <wps:spPr>
                      <a:xfrm>
                        <a:off x="0" y="0"/>
                        <a:ext cx="64135" cy="146685"/>
                      </a:xfrm>
                      <a:prstGeom prst="rect"/>
                      <a:solidFill>
                        <a:srgbClr val="FFFFFF"/>
                      </a:solidFill>
                    </wps:spPr>
                    <wps:txbx>
                      <w:txbxContent>
                        <w:p>
                          <w:pPr>
                            <w:pStyle w:val="Footer"/>
                            <w:rPr/>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txbxContent>
                    </wps:txbx>
                    <wps:bodyPr anchor="t" lIns="0" tIns="0" rIns="0" bIns="0">
                      <a:noAutofit/>
                    </wps:bodyPr>
                  </wps:wsp>
                </a:graphicData>
              </a:graphic>
            </wp:anchor>
          </w:drawing>
        </mc:Choice>
        <mc:Fallback>
          <w:pict>
            <v:rect style="position:absolute;rotation:-0;width:5.05pt;height:11.55pt;mso-wrap-distance-left:0pt;mso-wrap-distance-right:0pt;mso-wrap-distance-top:0pt;mso-wrap-distance-bottom:0pt;margin-top:0.05pt;mso-position-vertical-relative:text;margin-left:205.15pt;mso-position-horizontal:center;mso-position-horizontal-relative:margin">
              <v:textbox inset="0in,0in,0in,0in">
                <w:txbxContent>
                  <w:p>
                    <w:pPr>
                      <w:pStyle w:val="Footer"/>
                      <w:rPr/>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txbxContent>
              </v:textbox>
              <w10:wrap type="square"/>
            </v:rect>
          </w:pict>
        </mc:Fallback>
      </mc:AlternateContent>
    </w:r>
  </w:p>
</w:ft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ideographLegalTraditional"/>
      <w:lvlText w:val="%1、"/>
      <w:lvlJc w:val="left"/>
      <w:pPr>
        <w:tabs>
          <w:tab w:val="num" w:pos="720"/>
        </w:tabs>
        <w:ind w:left="720" w:hanging="720"/>
      </w:pPr>
      <w:rPr>
        <w:color w:val="auto"/>
        <w:lang w:val="en-US"/>
      </w:rPr>
    </w:lvl>
    <w:lvl w:ilvl="1">
      <w:start w:val="10"/>
      <w:numFmt w:val="japaneseLegal"/>
      <w:lvlText w:val="%2、"/>
      <w:lvlJc w:val="left"/>
      <w:pPr>
        <w:tabs>
          <w:tab w:val="num" w:pos="1200"/>
        </w:tabs>
        <w:ind w:left="1200" w:hanging="720"/>
      </w:pPr>
      <w:rPr>
        <w:rFonts w:ascii="Times New Roman" w:hAnsi="Times New Roman"/>
      </w:rPr>
    </w:lvl>
    <w:lvl w:ilvl="2">
      <w:start w:val="1"/>
      <w:numFmt w:val="taiwaneseCountingThousand"/>
      <w:lvlText w:val="%3、"/>
      <w:lvlJc w:val="left"/>
      <w:pPr>
        <w:tabs>
          <w:tab w:val="num" w:pos="1680"/>
        </w:tabs>
        <w:ind w:left="1680" w:hanging="72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0"/>
      </w:pPr>
    </w:lvl>
  </w:abstractNum>
  <w:abstractNum w:abstractNumId="2">
    <w:lvl w:ilvl="0">
      <w:start w:val="1"/>
      <w:numFmt w:val="taiwaneseCountingThousand"/>
      <w:lvlText w:val="%1、"/>
      <w:lvlJc w:val="left"/>
      <w:pPr>
        <w:tabs>
          <w:tab w:val="num" w:pos="1200"/>
        </w:tabs>
        <w:ind w:left="1200" w:hanging="480"/>
      </w:pPr>
    </w:lvl>
    <w:lvl w:ilvl="1">
      <w:start w:val="1"/>
      <w:numFmt w:val="ideographTraditional"/>
      <w:lvlText w:val="%2、"/>
      <w:lvlJc w:val="left"/>
      <w:pPr>
        <w:tabs>
          <w:tab w:val="num" w:pos="1680"/>
        </w:tabs>
        <w:ind w:left="1680" w:hanging="480"/>
      </w:pPr>
    </w:lvl>
    <w:lvl w:ilvl="2">
      <w:start w:val="1"/>
      <w:numFmt w:val="lowerRoman"/>
      <w:lvlText w:val="%3."/>
      <w:lvlJc w:val="right"/>
      <w:pPr>
        <w:tabs>
          <w:tab w:val="num" w:pos="2160"/>
        </w:tabs>
        <w:ind w:left="2160" w:hanging="0"/>
      </w:pPr>
    </w:lvl>
    <w:lvl w:ilvl="3">
      <w:start w:val="1"/>
      <w:numFmt w:val="decimal"/>
      <w:lvlText w:val="%4."/>
      <w:lvlJc w:val="left"/>
      <w:pPr>
        <w:tabs>
          <w:tab w:val="num" w:pos="2640"/>
        </w:tabs>
        <w:ind w:left="2640" w:hanging="480"/>
      </w:pPr>
    </w:lvl>
    <w:lvl w:ilvl="4">
      <w:start w:val="1"/>
      <w:numFmt w:val="ideographTraditional"/>
      <w:lvlText w:val="%5、"/>
      <w:lvlJc w:val="left"/>
      <w:pPr>
        <w:tabs>
          <w:tab w:val="num" w:pos="3120"/>
        </w:tabs>
        <w:ind w:left="3120" w:hanging="480"/>
      </w:pPr>
    </w:lvl>
    <w:lvl w:ilvl="5">
      <w:start w:val="1"/>
      <w:numFmt w:val="lowerRoman"/>
      <w:lvlText w:val="%6."/>
      <w:lvlJc w:val="right"/>
      <w:pPr>
        <w:tabs>
          <w:tab w:val="num" w:pos="3600"/>
        </w:tabs>
        <w:ind w:left="3600" w:hanging="0"/>
      </w:pPr>
    </w:lvl>
    <w:lvl w:ilvl="6">
      <w:start w:val="1"/>
      <w:numFmt w:val="decimal"/>
      <w:lvlText w:val="%7."/>
      <w:lvlJc w:val="left"/>
      <w:pPr>
        <w:tabs>
          <w:tab w:val="num" w:pos="4080"/>
        </w:tabs>
        <w:ind w:left="4080" w:hanging="480"/>
      </w:pPr>
    </w:lvl>
    <w:lvl w:ilvl="7">
      <w:start w:val="1"/>
      <w:numFmt w:val="ideographTraditional"/>
      <w:lvlText w:val="%8、"/>
      <w:lvlJc w:val="left"/>
      <w:pPr>
        <w:tabs>
          <w:tab w:val="num" w:pos="4560"/>
        </w:tabs>
        <w:ind w:left="4560" w:hanging="480"/>
      </w:pPr>
    </w:lvl>
    <w:lvl w:ilvl="8">
      <w:start w:val="1"/>
      <w:numFmt w:val="lowerRoman"/>
      <w:lvlText w:val="%9."/>
      <w:lvlJc w:val="right"/>
      <w:pPr>
        <w:tabs>
          <w:tab w:val="num" w:pos="5040"/>
        </w:tabs>
        <w:ind w:left="5040" w:hanging="0"/>
      </w:pPr>
    </w:lvl>
  </w:abstractNum>
  <w:abstractNum w:abstractNumId="3">
    <w:lvl w:ilvl="0">
      <w:start w:val="1"/>
      <w:numFmt w:val="taiwaneseCountingThousand"/>
      <w:lvlText w:val="%1、"/>
      <w:lvlJc w:val="left"/>
      <w:pPr>
        <w:tabs>
          <w:tab w:val="num" w:pos="906"/>
        </w:tabs>
        <w:ind w:left="906" w:hanging="480"/>
      </w:pPr>
    </w:lvl>
    <w:lvl w:ilvl="1">
      <w:start w:val="1"/>
      <w:numFmt w:val="ideographTraditional"/>
      <w:lvlText w:val="%2、"/>
      <w:lvlJc w:val="left"/>
      <w:pPr>
        <w:tabs>
          <w:tab w:val="num" w:pos="1680"/>
        </w:tabs>
        <w:ind w:left="1680" w:hanging="480"/>
      </w:pPr>
    </w:lvl>
    <w:lvl w:ilvl="2">
      <w:start w:val="1"/>
      <w:numFmt w:val="lowerRoman"/>
      <w:lvlText w:val="%3."/>
      <w:lvlJc w:val="right"/>
      <w:pPr>
        <w:tabs>
          <w:tab w:val="num" w:pos="2160"/>
        </w:tabs>
        <w:ind w:left="2160" w:hanging="0"/>
      </w:pPr>
    </w:lvl>
    <w:lvl w:ilvl="3">
      <w:start w:val="1"/>
      <w:numFmt w:val="decimal"/>
      <w:lvlText w:val="%4."/>
      <w:lvlJc w:val="left"/>
      <w:pPr>
        <w:tabs>
          <w:tab w:val="num" w:pos="2640"/>
        </w:tabs>
        <w:ind w:left="2640" w:hanging="480"/>
      </w:pPr>
    </w:lvl>
    <w:lvl w:ilvl="4">
      <w:start w:val="1"/>
      <w:numFmt w:val="ideographTraditional"/>
      <w:lvlText w:val="%5、"/>
      <w:lvlJc w:val="left"/>
      <w:pPr>
        <w:tabs>
          <w:tab w:val="num" w:pos="3120"/>
        </w:tabs>
        <w:ind w:left="3120" w:hanging="480"/>
      </w:pPr>
    </w:lvl>
    <w:lvl w:ilvl="5">
      <w:start w:val="1"/>
      <w:numFmt w:val="lowerRoman"/>
      <w:lvlText w:val="%6."/>
      <w:lvlJc w:val="right"/>
      <w:pPr>
        <w:tabs>
          <w:tab w:val="num" w:pos="3600"/>
        </w:tabs>
        <w:ind w:left="3600" w:hanging="0"/>
      </w:pPr>
    </w:lvl>
    <w:lvl w:ilvl="6">
      <w:start w:val="1"/>
      <w:numFmt w:val="decimal"/>
      <w:lvlText w:val="%7."/>
      <w:lvlJc w:val="left"/>
      <w:pPr>
        <w:tabs>
          <w:tab w:val="num" w:pos="4080"/>
        </w:tabs>
        <w:ind w:left="4080" w:hanging="480"/>
      </w:pPr>
    </w:lvl>
    <w:lvl w:ilvl="7">
      <w:start w:val="1"/>
      <w:numFmt w:val="ideographTraditional"/>
      <w:lvlText w:val="%8、"/>
      <w:lvlJc w:val="left"/>
      <w:pPr>
        <w:tabs>
          <w:tab w:val="num" w:pos="4560"/>
        </w:tabs>
        <w:ind w:left="4560" w:hanging="480"/>
      </w:pPr>
    </w:lvl>
    <w:lvl w:ilvl="8">
      <w:start w:val="1"/>
      <w:numFmt w:val="lowerRoman"/>
      <w:lvlText w:val="%9."/>
      <w:lvlJc w:val="right"/>
      <w:pPr>
        <w:tabs>
          <w:tab w:val="num" w:pos="5040"/>
        </w:tabs>
        <w:ind w:left="5040" w:hanging="0"/>
      </w:pPr>
    </w:lvl>
  </w:abstractNum>
  <w:abstractNum w:abstractNumId="4">
    <w:lvl w:ilvl="0">
      <w:start w:val="1"/>
      <w:numFmt w:val="taiwaneseCountingThousand"/>
      <w:lvlText w:val="(%1)"/>
      <w:lvlJc w:val="left"/>
      <w:pPr>
        <w:tabs>
          <w:tab w:val="num" w:pos="785"/>
        </w:tabs>
        <w:ind w:left="785" w:hanging="360"/>
      </w:pPr>
      <w:rPr>
        <w:u w:val="none"/>
      </w:rPr>
    </w:lvl>
    <w:lvl w:ilvl="1">
      <w:start w:val="1"/>
      <w:numFmt w:val="ideographTraditional"/>
      <w:lvlText w:val="%2、"/>
      <w:lvlJc w:val="left"/>
      <w:pPr>
        <w:tabs>
          <w:tab w:val="num" w:pos="1385"/>
        </w:tabs>
        <w:ind w:left="1385" w:hanging="480"/>
      </w:pPr>
    </w:lvl>
    <w:lvl w:ilvl="2">
      <w:start w:val="1"/>
      <w:numFmt w:val="lowerRoman"/>
      <w:lvlText w:val="%3."/>
      <w:lvlJc w:val="right"/>
      <w:pPr>
        <w:tabs>
          <w:tab w:val="num" w:pos="1865"/>
        </w:tabs>
        <w:ind w:left="1865" w:hanging="0"/>
      </w:pPr>
    </w:lvl>
    <w:lvl w:ilvl="3">
      <w:start w:val="1"/>
      <w:numFmt w:val="decimal"/>
      <w:lvlText w:val="%4."/>
      <w:lvlJc w:val="left"/>
      <w:pPr>
        <w:tabs>
          <w:tab w:val="num" w:pos="2345"/>
        </w:tabs>
        <w:ind w:left="2345" w:hanging="480"/>
      </w:pPr>
    </w:lvl>
    <w:lvl w:ilvl="4">
      <w:start w:val="1"/>
      <w:numFmt w:val="ideographTraditional"/>
      <w:lvlText w:val="%5、"/>
      <w:lvlJc w:val="left"/>
      <w:pPr>
        <w:tabs>
          <w:tab w:val="num" w:pos="2825"/>
        </w:tabs>
        <w:ind w:left="2825" w:hanging="480"/>
      </w:pPr>
    </w:lvl>
    <w:lvl w:ilvl="5">
      <w:start w:val="1"/>
      <w:numFmt w:val="lowerRoman"/>
      <w:lvlText w:val="%6."/>
      <w:lvlJc w:val="right"/>
      <w:pPr>
        <w:tabs>
          <w:tab w:val="num" w:pos="3305"/>
        </w:tabs>
        <w:ind w:left="3305" w:hanging="0"/>
      </w:pPr>
    </w:lvl>
    <w:lvl w:ilvl="6">
      <w:start w:val="1"/>
      <w:numFmt w:val="decimal"/>
      <w:lvlText w:val="%7."/>
      <w:lvlJc w:val="left"/>
      <w:pPr>
        <w:tabs>
          <w:tab w:val="num" w:pos="3785"/>
        </w:tabs>
        <w:ind w:left="3785" w:hanging="480"/>
      </w:pPr>
    </w:lvl>
    <w:lvl w:ilvl="7">
      <w:start w:val="1"/>
      <w:numFmt w:val="ideographTraditional"/>
      <w:lvlText w:val="%8、"/>
      <w:lvlJc w:val="left"/>
      <w:pPr>
        <w:tabs>
          <w:tab w:val="num" w:pos="4265"/>
        </w:tabs>
        <w:ind w:left="4265" w:hanging="480"/>
      </w:pPr>
    </w:lvl>
    <w:lvl w:ilvl="8">
      <w:start w:val="1"/>
      <w:numFmt w:val="lowerRoman"/>
      <w:lvlText w:val="%9."/>
      <w:lvlJc w:val="right"/>
      <w:pPr>
        <w:tabs>
          <w:tab w:val="num" w:pos="4745"/>
        </w:tabs>
        <w:ind w:left="4745" w:hanging="0"/>
      </w:pPr>
    </w:lvl>
  </w:abstractNum>
  <w:abstractNum w:abstractNumId="5">
    <w:lvl w:ilvl="0">
      <w:start w:val="1"/>
      <w:numFmt w:val="decimal"/>
      <w:lvlText w:val="%1."/>
      <w:lvlJc w:val="left"/>
      <w:pPr>
        <w:tabs>
          <w:tab w:val="num" w:pos="1354"/>
        </w:tabs>
        <w:ind w:left="1354" w:hanging="360"/>
      </w:pPr>
      <w:rPr>
        <w:u w:val="none"/>
      </w:rPr>
    </w:lvl>
    <w:lvl w:ilvl="1">
      <w:start w:val="1"/>
      <w:numFmt w:val="ideographTraditional"/>
      <w:lvlText w:val="%2、"/>
      <w:lvlJc w:val="left"/>
      <w:pPr>
        <w:tabs>
          <w:tab w:val="num" w:pos="1954"/>
        </w:tabs>
        <w:ind w:left="1954" w:hanging="480"/>
      </w:pPr>
    </w:lvl>
    <w:lvl w:ilvl="2">
      <w:start w:val="1"/>
      <w:numFmt w:val="lowerRoman"/>
      <w:lvlText w:val="%3."/>
      <w:lvlJc w:val="right"/>
      <w:pPr>
        <w:tabs>
          <w:tab w:val="num" w:pos="2434"/>
        </w:tabs>
        <w:ind w:left="2434" w:hanging="0"/>
      </w:pPr>
    </w:lvl>
    <w:lvl w:ilvl="3">
      <w:start w:val="1"/>
      <w:numFmt w:val="decimal"/>
      <w:lvlText w:val="%4."/>
      <w:lvlJc w:val="left"/>
      <w:pPr>
        <w:tabs>
          <w:tab w:val="num" w:pos="2914"/>
        </w:tabs>
        <w:ind w:left="2914" w:hanging="480"/>
      </w:pPr>
    </w:lvl>
    <w:lvl w:ilvl="4">
      <w:start w:val="1"/>
      <w:numFmt w:val="ideographTraditional"/>
      <w:lvlText w:val="%5、"/>
      <w:lvlJc w:val="left"/>
      <w:pPr>
        <w:tabs>
          <w:tab w:val="num" w:pos="3394"/>
        </w:tabs>
        <w:ind w:left="3394" w:hanging="480"/>
      </w:pPr>
    </w:lvl>
    <w:lvl w:ilvl="5">
      <w:start w:val="1"/>
      <w:numFmt w:val="lowerRoman"/>
      <w:lvlText w:val="%6."/>
      <w:lvlJc w:val="right"/>
      <w:pPr>
        <w:tabs>
          <w:tab w:val="num" w:pos="3874"/>
        </w:tabs>
        <w:ind w:left="3874" w:hanging="0"/>
      </w:pPr>
    </w:lvl>
    <w:lvl w:ilvl="6">
      <w:start w:val="1"/>
      <w:numFmt w:val="decimal"/>
      <w:lvlText w:val="%7."/>
      <w:lvlJc w:val="left"/>
      <w:pPr>
        <w:tabs>
          <w:tab w:val="num" w:pos="4354"/>
        </w:tabs>
        <w:ind w:left="4354" w:hanging="480"/>
      </w:pPr>
    </w:lvl>
    <w:lvl w:ilvl="7">
      <w:start w:val="1"/>
      <w:numFmt w:val="ideographTraditional"/>
      <w:lvlText w:val="%8、"/>
      <w:lvlJc w:val="left"/>
      <w:pPr>
        <w:tabs>
          <w:tab w:val="num" w:pos="4834"/>
        </w:tabs>
        <w:ind w:left="4834" w:hanging="480"/>
      </w:pPr>
    </w:lvl>
    <w:lvl w:ilvl="8">
      <w:start w:val="1"/>
      <w:numFmt w:val="lowerRoman"/>
      <w:lvlText w:val="%9."/>
      <w:lvlJc w:val="right"/>
      <w:pPr>
        <w:tabs>
          <w:tab w:val="num" w:pos="5314"/>
        </w:tabs>
        <w:ind w:left="5314" w:hanging="0"/>
      </w:pPr>
    </w:lvl>
  </w:abstractNum>
  <w:abstractNum w:abstractNumId="6">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w="http://schemas.openxmlformats.org/wordprocessingml/2006/main">
  <w:zoom w:percent="100"/>
  <w:defaultTabStop w:val="480"/>
  <w:autoHyphenation w:val="true"/>
  <w:compat>
    <w:doNotExpandShiftReturn/>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新細明體" w:cs="Times New Roman"/>
        <w:lang w:val="en-US" w:eastAsia="zh-TW" w:bidi="ar-SA"/>
      </w:rPr>
    </w:rPrDefault>
    <w:pPrDefault>
      <w:pPr>
        <w:widowControl/>
        <w:suppressAutoHyphens w:val="false"/>
      </w:pPr>
    </w:pPrDefault>
  </w:docDefaults>
  <w:style w:type="paragraph" w:styleId="Normal">
    <w:name w:val="Normal"/>
    <w:qFormat/>
    <w:pPr>
      <w:keepNext w:val="false"/>
      <w:keepLines w:val="false"/>
      <w:pageBreakBefore w:val="false"/>
      <w:widowControl/>
      <w:pBdr/>
      <w:shd w:fill="auto" w:val="clear"/>
      <w:kinsoku w:val="true"/>
      <w:overflowPunct w:val="true"/>
      <w:autoSpaceDE w:val="true"/>
      <w:bidi w:val="0"/>
      <w:snapToGrid w:val="true"/>
      <w:spacing w:lineRule="auto" w:line="240"/>
      <w:jc w:val="left"/>
    </w:pPr>
    <w:rPr>
      <w:rFonts w:ascii="Times New Roman" w:hAnsi="Times New Roman" w:eastAsia="新細明體" w:cs="Times New Roman"/>
      <w:b w:val="false"/>
      <w:bCs w:val="false"/>
      <w:i w:val="false"/>
      <w:iCs w:val="false"/>
      <w:caps w:val="false"/>
      <w:smallCaps w:val="false"/>
      <w:strike w:val="false"/>
      <w:dstrike w:val="false"/>
      <w:outline w:val="false"/>
      <w:emboss w:val="false"/>
      <w:imprint w:val="false"/>
      <w:color w:val="auto"/>
      <w:spacing w:val="0"/>
      <w:w w:val="100"/>
      <w:kern w:val="0"/>
      <w:position w:val="0"/>
      <w:sz w:val="20"/>
      <w:sz w:val="20"/>
      <w:szCs w:val="20"/>
      <w:u w:val="none"/>
      <w:shd w:fill="auto" w:val="clear"/>
      <w:vertAlign w:val="baseline"/>
      <w:em w:val="none"/>
      <w:lang w:val="en-US" w:eastAsia="zh-TW" w:bidi="ar-SA"/>
    </w:rPr>
  </w:style>
  <w:style w:type="character" w:styleId="Style14">
    <w:name w:val="預設段落字型"/>
    <w:qFormat/>
    <w:rPr/>
  </w:style>
  <w:style w:type="character" w:styleId="PageNumber">
    <w:name w:val="Page Number"/>
    <w:basedOn w:val="Style14"/>
    <w:rPr/>
  </w:style>
  <w:style w:type="character" w:styleId="Style15">
    <w:name w:val="清單段落 字元"/>
    <w:qFormat/>
    <w:rPr>
      <w:rFonts w:ascii="Calibri" w:hAnsi="Calibri"/>
      <w:kern w:val="2"/>
      <w:sz w:val="24"/>
      <w:szCs w:val="22"/>
    </w:rPr>
  </w:style>
  <w:style w:type="character" w:styleId="WWCharLFO2LVL1">
    <w:name w:val="WW_CharLFO2LVL1"/>
    <w:qFormat/>
    <w:rPr>
      <w:color w:val="auto"/>
      <w:lang w:val="en-US"/>
    </w:rPr>
  </w:style>
  <w:style w:type="character" w:styleId="WWCharLFO2LVL2">
    <w:name w:val="WW_CharLFO2LVL2"/>
    <w:qFormat/>
    <w:rPr>
      <w:rFonts w:ascii="Times New Roman" w:hAnsi="Times New Roman"/>
    </w:rPr>
  </w:style>
  <w:style w:type="character" w:styleId="WWCharLFO16LVL1">
    <w:name w:val="WW_CharLFO16LVL1"/>
    <w:qFormat/>
    <w:rPr>
      <w:rFonts w:ascii="Times New Roman" w:hAnsi="Times New Roman"/>
      <w:color w:val="000000"/>
      <w:u w:val="single"/>
    </w:rPr>
  </w:style>
  <w:style w:type="character" w:styleId="WWCharLFO20LVL1">
    <w:name w:val="WW_CharLFO20LVL1"/>
    <w:qFormat/>
    <w:rPr>
      <w:u w:val="none"/>
    </w:rPr>
  </w:style>
  <w:style w:type="character" w:styleId="WWCharLFO21LVL1">
    <w:name w:val="WW_CharLFO21LVL1"/>
    <w:qFormat/>
    <w:rPr>
      <w:u w:val="none"/>
    </w:rPr>
  </w:style>
  <w:style w:type="paragraph" w:styleId="BodyText">
    <w:name w:val="Body Text"/>
    <w:pPr>
      <w:keepNext w:val="false"/>
      <w:keepLines w:val="false"/>
      <w:pageBreakBefore w:val="false"/>
      <w:widowControl w:val="false"/>
      <w:pBdr/>
      <w:shd w:fill="auto" w:val="clear"/>
      <w:suppressAutoHyphens w:val="true"/>
      <w:kinsoku w:val="true"/>
      <w:overflowPunct w:val="true"/>
      <w:autoSpaceDE w:val="true"/>
      <w:bidi w:val="0"/>
      <w:snapToGrid w:val="true"/>
      <w:spacing w:lineRule="auto" w:line="240"/>
      <w:jc w:val="left"/>
    </w:pPr>
    <w:rPr>
      <w:rFonts w:ascii="Times New Roman" w:hAnsi="Times New Roman" w:eastAsia="新細明體" w:cs="Times New Roman"/>
      <w:b w:val="false"/>
      <w:bCs w:val="false"/>
      <w:i w:val="false"/>
      <w:iCs w:val="false"/>
      <w:caps w:val="false"/>
      <w:smallCaps w:val="false"/>
      <w:strike w:val="false"/>
      <w:dstrike w:val="false"/>
      <w:outline w:val="false"/>
      <w:emboss w:val="false"/>
      <w:imprint w:val="false"/>
      <w:color w:val="auto"/>
      <w:spacing w:val="0"/>
      <w:w w:val="100"/>
      <w:kern w:val="2"/>
      <w:position w:val="0"/>
      <w:sz w:val="24"/>
      <w:sz w:val="24"/>
      <w:szCs w:val="24"/>
      <w:u w:val="none"/>
      <w:shd w:fill="auto" w:val="clear"/>
      <w:vertAlign w:val="baseline"/>
      <w:em w:val="none"/>
      <w:lang w:val="en-US" w:eastAsia="zh-TW" w:bidi="ar-SA"/>
    </w:rPr>
  </w:style>
  <w:style w:type="paragraph" w:styleId="Style16">
    <w:name w:val="頁首與頁尾"/>
    <w:basedOn w:val="Normal"/>
    <w:qFormat/>
    <w:pPr>
      <w:suppressLineNumbers/>
      <w:tabs>
        <w:tab w:val="clear" w:pos="480"/>
        <w:tab w:val="center" w:pos="4819" w:leader="none"/>
        <w:tab w:val="right" w:pos="9638" w:leader="none"/>
      </w:tabs>
    </w:pPr>
    <w:rPr/>
  </w:style>
  <w:style w:type="paragraph" w:styleId="Footer">
    <w:name w:val="Footer"/>
    <w:basedOn w:val="BodyText"/>
    <w:pPr>
      <w:tabs>
        <w:tab w:val="clear" w:pos="480"/>
        <w:tab w:val="center" w:pos="4153" w:leader="none"/>
        <w:tab w:val="right" w:pos="8306" w:leader="none"/>
      </w:tabs>
      <w:suppressAutoHyphens w:val="true"/>
      <w:snapToGrid w:val="false"/>
    </w:pPr>
    <w:rPr>
      <w:sz w:val="20"/>
      <w:szCs w:val="20"/>
    </w:rPr>
  </w:style>
  <w:style w:type="paragraph" w:styleId="Style17">
    <w:name w:val="註解方塊文字"/>
    <w:basedOn w:val="BodyText"/>
    <w:qFormat/>
    <w:pPr>
      <w:suppressAutoHyphens w:val="true"/>
    </w:pPr>
    <w:rPr>
      <w:rFonts w:ascii="Arial" w:hAnsi="Arial"/>
      <w:sz w:val="18"/>
      <w:szCs w:val="18"/>
    </w:rPr>
  </w:style>
  <w:style w:type="paragraph" w:styleId="Header">
    <w:name w:val="Header"/>
    <w:basedOn w:val="BodyText"/>
    <w:pPr>
      <w:tabs>
        <w:tab w:val="clear" w:pos="480"/>
        <w:tab w:val="center" w:pos="4153" w:leader="none"/>
        <w:tab w:val="right" w:pos="8306" w:leader="none"/>
      </w:tabs>
      <w:suppressAutoHyphens w:val="true"/>
      <w:snapToGrid w:val="false"/>
    </w:pPr>
    <w:rPr>
      <w:sz w:val="20"/>
      <w:szCs w:val="20"/>
    </w:rPr>
  </w:style>
  <w:style w:type="paragraph" w:styleId="Style18">
    <w:name w:val="清單段落"/>
    <w:basedOn w:val="BodyText"/>
    <w:qFormat/>
    <w:pPr>
      <w:tabs>
        <w:tab w:val="clear" w:pos="480"/>
      </w:tabs>
      <w:suppressAutoHyphens w:val="true"/>
      <w:ind w:left="480" w:hanging="0"/>
    </w:pPr>
    <w:rPr>
      <w:rFonts w:ascii="Calibri" w:hAnsi="Calibri"/>
      <w:szCs w:val="22"/>
    </w:rPr>
  </w:style>
  <w:style w:type="paragraph" w:styleId="Style19">
    <w:name w:val="外框內容"/>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oter" Target="footer1.xml"/><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0</TotalTime>
  <Application>MODA_ODF_Application_Tools/3.8.2.1$Windows_X86_64 LibreOffice_project/f5c26b4b56ec181260ce3dbfc96a37e316bb7ca8</Application>
  <AppVersion>15.0000</AppVersion>
  <Pages>5</Pages>
  <Words>293</Words>
  <Characters>1673</Characters>
  <CharactersWithSpaces>1963</CharactersWithSpaces>
  <Paragraphs>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2018-04-13T02:53:00Z</dcterms:created>
  <dc:creator>行政院衛生署</dc:creator>
  <dc:description/>
  <cp:keywords>醫院評鑑</cp:keywords>
  <dc:language>zh-TW</dc:language>
  <cp:lastModifiedBy>心理及口腔健康司蕭玉梅</cp:lastModifiedBy>
  <cp:lastPrinted>2018-04-03T06:32:00Z</cp:lastPrinted>
  <dcterms:modified xsi:type="dcterms:W3CDTF">2018-04-13T02:53:00Z</dcterms:modified>
  <cp:revision>2</cp:revision>
  <dc:subject>衛生署中英文網站</dc:subject>
  <dc:title>公告修正「醫院評鑑及教學醫院評鑑不定時及即時追蹤輔導訪查作業程序」</dc:title>
</cp:coreProperties>
</file>