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napToGrid w:val="false"/>
        <w:spacing w:lineRule="atLeast" w:line="240"/>
        <w:jc w:val="center"/>
        <w:rPr/>
      </w:pPr>
      <w:r>
        <w:rPr>
          <w:rStyle w:val="Style14"/>
          <w:rFonts w:ascii="Arial" w:hAnsi="Arial" w:cs="Arial" w:eastAsia="標楷體"/>
          <w:kern w:val="0"/>
          <w:sz w:val="36"/>
          <w:szCs w:val="36"/>
        </w:rPr>
        <w:drawing>
          <wp:inline distT="0" distB="0" distL="0" distR="0">
            <wp:extent cx="5734050" cy="8105775"/>
            <wp:effectExtent l="0" t="0" r="0" b="0"/>
            <wp:docPr id="1" name="圖片 1" descr="D:\心口司公文\107年\精神復健機構\5 107年度精神復健機構評鑑不定時追蹤輔導訪查作業程序\公告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 descr="D:\心口司公文\107年\精神復健機構\5 107年度精神復健機構評鑑不定時追蹤輔導訪查作業程序\公告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tabs>
          <w:tab w:val="clear" w:pos="480"/>
        </w:tabs>
        <w:snapToGrid w:val="false"/>
        <w:spacing w:lineRule="atLeast" w:line="240"/>
        <w:ind w:left="-142" w:right="-341" w:hanging="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ascii="Arial" w:hAnsi="Arial" w:cs="Arial" w:eastAsia="標楷體"/>
          <w:kern w:val="0"/>
          <w:sz w:val="36"/>
          <w:szCs w:val="36"/>
        </w:rPr>
        <w:t>精神復健機構評鑑不定時及即時追蹤輔導訪查作業程序</w:t>
      </w:r>
    </w:p>
    <w:p>
      <w:pPr>
        <w:pStyle w:val="BodyText"/>
        <w:snapToGrid w:val="false"/>
        <w:spacing w:lineRule="atLeast" w:line="240"/>
        <w:jc w:val="center"/>
        <w:rPr>
          <w:rStyle w:val="Style14"/>
          <w:rFonts w:ascii="Arial" w:hAnsi="Arial" w:eastAsia="標楷體" w:cs="Arial"/>
          <w:kern w:val="0"/>
          <w:sz w:val="36"/>
          <w:szCs w:val="36"/>
        </w:rPr>
      </w:pPr>
      <w:r>
        <w:rPr/>
      </w:r>
      <w:r>
        <mc:AlternateContent>
          <mc:Choice Requires="wps">
            <w:drawing>
              <wp:anchor behindDoc="1" distT="0" distB="0" distL="0" distR="0" simplePos="0" locked="0" layoutInCell="1" allowOverlap="1" relativeHeight="3">
                <wp:simplePos x="0" y="0"/>
                <wp:positionH relativeFrom="column">
                  <wp:posOffset>3166110</wp:posOffset>
                </wp:positionH>
                <wp:positionV relativeFrom="paragraph">
                  <wp:posOffset>41275</wp:posOffset>
                </wp:positionV>
                <wp:extent cx="3097530" cy="1524000"/>
                <wp:effectExtent l="0" t="0" r="0" b="0"/>
                <wp:wrapNone/>
                <wp:docPr id="2" name="Text Box 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7530" cy="15240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96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11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0960201014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97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27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0970206834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98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8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17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0980208184</w:t>
                            </w:r>
                            <w:r>
                              <w:rPr>
                                <w:rStyle w:val="Style14"/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99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22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0990006323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100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8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17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日衛署醫字第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1000264116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 xml:space="preserve">號函公告修正。 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103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5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19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日衛部心字第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1031760786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104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9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3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日衛部心字第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1041761355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107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年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月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13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日衛部心字第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1071760619</w:t>
                            </w: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號函公告修正。</w:t>
                            </w:r>
                          </w:p>
                          <w:p>
                            <w:pPr>
                              <w:pStyle w:val="BodyText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r>
                          </w:p>
                          <w:p>
                            <w:pPr>
                              <w:pStyle w:val="BodyText"/>
                              <w:spacing w:lineRule="exact" w:line="280"/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  <w:szCs w:val="18"/>
                              </w:rPr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43.9pt;height:120pt;mso-wrap-distance-left:0pt;mso-wrap-distance-right:0pt;mso-wrap-distance-top:0pt;mso-wrap-distance-bottom:0pt;margin-top:3.25pt;mso-position-vertical-relative:text;margin-left:249.3pt;mso-position-horizontal-relative:text">
                <v:textbox>
                  <w:txbxContent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96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11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0960201014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號函公告。</w:t>
                      </w:r>
                    </w:p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97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27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0970206834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98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8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17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0980208184</w:t>
                      </w:r>
                      <w:r>
                        <w:rPr>
                          <w:rStyle w:val="Style14"/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>99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22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0990006323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100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8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17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日衛署醫字第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1000264116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 xml:space="preserve">號函公告修正。 </w:t>
                      </w:r>
                    </w:p>
                    <w:p>
                      <w:pPr>
                        <w:pStyle w:val="BodyText"/>
                        <w:spacing w:lineRule="exact" w:line="280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103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5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19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日衛部心字第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1031760786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spacing w:lineRule="exact" w:line="280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104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9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3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日衛部心字第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1041761355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107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年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月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13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日衛部心字第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1071760619</w:t>
                      </w:r>
                      <w:r>
                        <w:rPr>
                          <w:rFonts w:eastAsia="標楷體"/>
                          <w:sz w:val="18"/>
                          <w:szCs w:val="18"/>
                        </w:rPr>
                        <w:t>號函公告修正。</w:t>
                      </w:r>
                    </w:p>
                    <w:p>
                      <w:pPr>
                        <w:pStyle w:val="BodyText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</w:r>
                    </w:p>
                    <w:p>
                      <w:pPr>
                        <w:pStyle w:val="BodyText"/>
                        <w:spacing w:lineRule="exact" w:line="280"/>
                        <w:rPr>
                          <w:rFonts w:eastAsia="標楷體"/>
                          <w:sz w:val="18"/>
                          <w:szCs w:val="18"/>
                        </w:rPr>
                      </w:pPr>
                      <w:r>
                        <w:rPr>
                          <w:rFonts w:eastAsia="標楷體"/>
                          <w:sz w:val="18"/>
                          <w:szCs w:val="18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atLeast" w:line="240"/>
        <w:jc w:val="center"/>
        <w:rPr>
          <w:rFonts w:ascii="Arial" w:hAnsi="Arial" w:eastAsia="標楷體" w:cs="Arial"/>
          <w:kern w:val="0"/>
          <w:sz w:val="36"/>
          <w:szCs w:val="36"/>
        </w:rPr>
      </w:pPr>
      <w:r>
        <w:rPr>
          <w:rFonts w:eastAsia="標楷體" w:cs="Arial" w:ascii="Arial" w:hAnsi="Arial"/>
          <w:kern w:val="0"/>
          <w:sz w:val="36"/>
          <w:szCs w:val="36"/>
        </w:rPr>
      </w:r>
    </w:p>
    <w:p>
      <w:pPr>
        <w:pStyle w:val="BodyText"/>
        <w:snapToGrid w:val="false"/>
        <w:spacing w:lineRule="exact" w:line="4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壹、追蹤輔導訪查目的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一、衛生福利部（以下稱本部）藉由不定時追蹤輔導訪查，持續監督精神復健機構加強業務管理，並輔導機構針對精神復健機構評鑑之結果進行改善，以提升復健服務品質。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二、若機構發生重大違規或新聞爭議案件時，得即時透過實地訪查方式，逕予監督並協助提供機構改善建議。</w:t>
      </w:r>
    </w:p>
    <w:p>
      <w:pPr>
        <w:pStyle w:val="BodyText"/>
        <w:snapToGrid w:val="false"/>
        <w:spacing w:lineRule="exact" w:line="4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貳、辦理機關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一、精神復健機構評鑑合格機構之追蹤輔導訪查作業由本部主辦，並得委託辦理。</w:t>
      </w:r>
    </w:p>
    <w:p>
      <w:pPr>
        <w:pStyle w:val="BodyText"/>
        <w:tabs>
          <w:tab w:val="clear" w:pos="480"/>
        </w:tabs>
        <w:spacing w:lineRule="exact" w:line="480"/>
        <w:ind w:left="847" w:hanging="56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二、訪查時之精神衛生法、精神復健機構設置及管理辦法等查證作業，由直轄市、縣（市）衛生局（以下簡稱衛生局）配合辦理。</w:t>
      </w:r>
    </w:p>
    <w:p>
      <w:pPr>
        <w:pStyle w:val="BodyText"/>
        <w:tabs>
          <w:tab w:val="clear" w:pos="480"/>
        </w:tabs>
        <w:spacing w:lineRule="exact" w:line="480"/>
        <w:ind w:left="574" w:hanging="57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參、辦理年度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6" w:hanging="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得於每年辦理。</w:t>
      </w:r>
    </w:p>
    <w:p>
      <w:pPr>
        <w:pStyle w:val="BodyText"/>
        <w:snapToGrid w:val="false"/>
        <w:spacing w:lineRule="exact" w:line="480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肆、追蹤輔導訪查委員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566" w:hanging="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每年得由本部聘請專家及相關業務主管，擔任追蹤輔導訪查作業之訪查委員，進行實地訪查。</w:t>
      </w:r>
    </w:p>
    <w:p>
      <w:pPr>
        <w:pStyle w:val="BodyText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伍、不定時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追蹤輔導訪查對象</w:t>
      </w:r>
    </w:p>
    <w:p>
      <w:pPr>
        <w:pStyle w:val="Style18"/>
        <w:numPr>
          <w:ilvl w:val="0"/>
          <w:numId w:val="1"/>
        </w:numPr>
        <w:tabs>
          <w:tab w:val="left" w:pos="1899" w:leader="none"/>
        </w:tabs>
        <w:snapToGrid w:val="false"/>
        <w:spacing w:lineRule="exact" w:line="480"/>
        <w:ind w:left="1899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精神復健機構於評鑑合格效期內，且訪查當年度未再申請精神復健機構評鑑或專案複評者，列為不定時追蹤輔導訪查之對象</w:t>
      </w:r>
      <w:r>
        <w:rPr>
          <w:rStyle w:val="Style14"/>
          <w:rFonts w:ascii="標楷體" w:hAnsi="標楷體" w:eastAsia="標楷體"/>
          <w:sz w:val="28"/>
          <w:szCs w:val="28"/>
        </w:rPr>
        <w:t>，</w:t>
      </w:r>
      <w:r>
        <w:rPr>
          <w:rStyle w:val="Style14"/>
          <w:rFonts w:eastAsia="標楷體"/>
          <w:sz w:val="28"/>
          <w:szCs w:val="28"/>
        </w:rPr>
        <w:t>以抽籤方式辦理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1"/>
        </w:numPr>
        <w:tabs>
          <w:tab w:val="left" w:pos="1899" w:leader="none"/>
        </w:tabs>
        <w:snapToGrid w:val="false"/>
        <w:spacing w:lineRule="exact" w:line="480"/>
        <w:ind w:left="1899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前項不定時追蹤輔導訪查對象，若有下列情形之一者，得優先列為必要追蹤輔導訪查機構：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（一）評鑑成績未達</w:t>
      </w:r>
      <w:r>
        <w:rPr>
          <w:rFonts w:eastAsia="標楷體" w:ascii="Times New Roman" w:hAnsi="Times New Roman"/>
          <w:sz w:val="28"/>
          <w:szCs w:val="28"/>
        </w:rPr>
        <w:t>65</w:t>
      </w:r>
      <w:r>
        <w:rPr>
          <w:rFonts w:ascii="Times New Roman" w:hAnsi="Times New Roman" w:eastAsia="標楷體"/>
          <w:sz w:val="28"/>
          <w:szCs w:val="28"/>
        </w:rPr>
        <w:t>分者。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（二）</w:t>
      </w:r>
      <w:r>
        <w:rPr>
          <w:rStyle w:val="Style14"/>
          <w:rFonts w:eastAsia="標楷體" w:ascii="Times New Roman" w:hAnsi="Times New Roman"/>
          <w:sz w:val="28"/>
          <w:szCs w:val="28"/>
        </w:rPr>
        <w:t>104-105</w:t>
      </w:r>
      <w:r>
        <w:rPr>
          <w:rStyle w:val="Style14"/>
          <w:rFonts w:ascii="Times New Roman" w:hAnsi="Times New Roman" w:eastAsia="標楷體"/>
          <w:sz w:val="28"/>
          <w:szCs w:val="28"/>
        </w:rPr>
        <w:t>年度之「復健業務之提供」及「具有復健服務品質之管理措施」或</w:t>
      </w:r>
      <w:r>
        <w:rPr>
          <w:rStyle w:val="Style14"/>
          <w:rFonts w:eastAsia="標楷體" w:ascii="Times New Roman" w:hAnsi="Times New Roman"/>
          <w:sz w:val="28"/>
          <w:szCs w:val="28"/>
        </w:rPr>
        <w:t>106</w:t>
      </w:r>
      <w:r>
        <w:rPr>
          <w:rStyle w:val="Style14"/>
          <w:rFonts w:ascii="Times New Roman" w:hAnsi="Times New Roman" w:eastAsia="標楷體"/>
          <w:sz w:val="28"/>
          <w:szCs w:val="28"/>
        </w:rPr>
        <w:t>年度之「復健服務」及「服務品質」等面向，任一章節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以上項目未達該章節總項目之</w:t>
      </w:r>
      <w:r>
        <w:rPr>
          <w:rStyle w:val="Style14"/>
          <w:rFonts w:eastAsia="標楷體" w:ascii="Times New Roman" w:hAnsi="Times New Roman"/>
          <w:sz w:val="28"/>
          <w:szCs w:val="28"/>
        </w:rPr>
        <w:t>60%</w:t>
      </w:r>
      <w:r>
        <w:rPr>
          <w:rStyle w:val="Style14"/>
          <w:rFonts w:ascii="Times New Roman" w:hAnsi="Times New Roman" w:eastAsia="標楷體"/>
          <w:sz w:val="28"/>
          <w:szCs w:val="28"/>
        </w:rPr>
        <w:t>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（三）新設立之機構於首次接受精神復健機構評鑑即通過合格者。但屬變更負責人之新設立機構，不在此限。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（四）經衛生主管機關認定醫療品質欠佳需改善、違反法規、醫學倫理或影響病人安全之重大事件者。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五）經評定公告為合格之機構，在有效期間內，有變更機構名稱、原服務量下總樓地板面積縮減等其中一項情事以上，且經查符合精神復健機構設置及管理辦法者。惟配合法令規定或政策實施致須變更機構名稱者不在此限。</w:t>
      </w:r>
    </w:p>
    <w:p>
      <w:pPr>
        <w:pStyle w:val="BodyText"/>
        <w:tabs>
          <w:tab w:val="clear" w:pos="480"/>
        </w:tabs>
        <w:spacing w:lineRule="exact" w:line="480"/>
        <w:ind w:left="1274" w:hanging="77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（六）其他經評鑑評定會議決議次一年度列為必要追蹤輔導訪查對象者。</w:t>
      </w:r>
    </w:p>
    <w:p>
      <w:pPr>
        <w:pStyle w:val="BodyText"/>
        <w:tabs>
          <w:tab w:val="clear" w:pos="480"/>
        </w:tabs>
        <w:spacing w:lineRule="exact" w:line="480"/>
        <w:ind w:left="574" w:hanging="574"/>
        <w:jc w:val="both"/>
        <w:rPr/>
      </w:pPr>
      <w:r>
        <w:rPr>
          <w:rStyle w:val="Style14"/>
          <w:rFonts w:eastAsia="標楷體"/>
          <w:sz w:val="28"/>
          <w:szCs w:val="28"/>
        </w:rPr>
        <w:t>陸、即時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追蹤輔導訪查對象</w:t>
      </w:r>
    </w:p>
    <w:p>
      <w:pPr>
        <w:pStyle w:val="BodyText"/>
        <w:tabs>
          <w:tab w:val="clear" w:pos="480"/>
        </w:tabs>
        <w:spacing w:lineRule="exact" w:line="480"/>
        <w:ind w:left="572" w:hanging="6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機構於評鑑合格效期內，發生重大違規事件或新聞案件（如有明顯違反法令、醫學倫理、影響病人安全等情事），得列為即時追蹤輔導訪查對象。</w:t>
      </w:r>
    </w:p>
    <w:p>
      <w:pPr>
        <w:pStyle w:val="BodyText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柒、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追蹤輔導訪查內容</w:t>
      </w:r>
    </w:p>
    <w:p>
      <w:pPr>
        <w:pStyle w:val="BodyText"/>
        <w:tabs>
          <w:tab w:val="clear" w:pos="480"/>
        </w:tabs>
        <w:spacing w:lineRule="exact" w:line="480"/>
        <w:ind w:left="570" w:hanging="232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一、不定時追蹤輔導訪查內容：</w:t>
      </w:r>
    </w:p>
    <w:p>
      <w:pPr>
        <w:pStyle w:val="BodyText"/>
        <w:tabs>
          <w:tab w:val="clear" w:pos="480"/>
        </w:tabs>
        <w:spacing w:lineRule="exact" w:line="480"/>
        <w:ind w:left="1327" w:hanging="85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（一）機構對於最近一次評鑑結果意見表所提改善事項、建議事項及綜合意見之改善情形。</w:t>
      </w:r>
    </w:p>
    <w:p>
      <w:pPr>
        <w:pStyle w:val="BodyText"/>
        <w:tabs>
          <w:tab w:val="clear" w:pos="480"/>
        </w:tabs>
        <w:spacing w:lineRule="exact" w:line="480"/>
        <w:ind w:left="697" w:hanging="224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（二）配合當年度衛生政策推動之重要評鑑基準。</w:t>
      </w:r>
    </w:p>
    <w:p>
      <w:pPr>
        <w:pStyle w:val="BodyText"/>
        <w:tabs>
          <w:tab w:val="clear" w:pos="480"/>
        </w:tabs>
        <w:snapToGrid w:val="false"/>
        <w:spacing w:lineRule="exact" w:line="480"/>
        <w:ind w:left="283" w:hanging="0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二、即時追蹤輔導訪查內容為發生重大違規或新聞案件之事項。</w:t>
      </w:r>
    </w:p>
    <w:p>
      <w:pPr>
        <w:pStyle w:val="BodyText"/>
        <w:snapToGrid w:val="false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捌、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追蹤輔導填報資料</w:t>
      </w:r>
    </w:p>
    <w:p>
      <w:pPr>
        <w:pStyle w:val="Style18"/>
        <w:numPr>
          <w:ilvl w:val="0"/>
          <w:numId w:val="2"/>
        </w:numPr>
        <w:tabs>
          <w:tab w:val="left" w:pos="1757" w:leader="none"/>
        </w:tabs>
        <w:snapToGrid w:val="false"/>
        <w:spacing w:lineRule="exact" w:line="480"/>
        <w:ind w:left="1757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第伍點、第陸點所列追蹤輔導訪查對象，應就第柒點訪查內容填復資料，其格式、方式及期限，由協辦單位</w:t>
      </w:r>
      <w:r>
        <w:rPr>
          <w:rStyle w:val="Style14"/>
          <w:rFonts w:eastAsia="標楷體"/>
          <w:sz w:val="28"/>
          <w:szCs w:val="28"/>
        </w:rPr>
        <w:t>公告於其網站</w:t>
      </w:r>
      <w:r>
        <w:rPr>
          <w:rStyle w:val="Style14"/>
          <w:rFonts w:ascii="Times New Roman" w:hAnsi="Times New Roman"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2"/>
        </w:numPr>
        <w:tabs>
          <w:tab w:val="left" w:pos="1757" w:leader="none"/>
        </w:tabs>
        <w:snapToGrid w:val="false"/>
        <w:spacing w:lineRule="exact" w:line="480"/>
        <w:ind w:left="1757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未於協辦單位通知之期限內填報訪查資料者，本部得限期要求機構填報，逾期未填報者，列為次一年度優先實地訪查之對象，並請衛生局加強督導考核。經通知限期填報仍未填報者，則視為最近一次評鑑結果意見表所提建議改善事項未改善，本部得依精神衛生法五十四條規定處罰。</w:t>
      </w:r>
    </w:p>
    <w:p>
      <w:pPr>
        <w:pStyle w:val="BodyText"/>
        <w:snapToGrid w:val="false"/>
        <w:spacing w:lineRule="exact" w:line="480"/>
        <w:rPr/>
      </w:pPr>
      <w:r>
        <w:rPr>
          <w:rStyle w:val="Style14"/>
          <w:rFonts w:eastAsia="標楷體"/>
          <w:sz w:val="28"/>
          <w:szCs w:val="28"/>
        </w:rPr>
        <w:t>玖、</w:t>
      </w:r>
      <w:r>
        <w:rPr>
          <w:rStyle w:val="Style14"/>
          <w:rFonts w:ascii="Times New Roman" w:hAnsi="Times New Roman" w:eastAsia="標楷體"/>
          <w:sz w:val="28"/>
          <w:szCs w:val="28"/>
        </w:rPr>
        <w:t>追蹤輔導訪查方式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追蹤輔導訪查作業採不定時或即時方式辦理，安排委員前往實地訪查</w:t>
      </w:r>
      <w:r>
        <w:rPr>
          <w:rStyle w:val="Style14"/>
          <w:rFonts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各機構之實地訪查日程，由協辦單位個別通知。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實地訪查程序：</w:t>
      </w:r>
    </w:p>
    <w:p>
      <w:pPr>
        <w:pStyle w:val="BodyText"/>
        <w:tabs>
          <w:tab w:val="clear" w:pos="480"/>
        </w:tabs>
        <w:spacing w:lineRule="exact" w:line="480"/>
        <w:ind w:left="851" w:hanging="426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（一）實地查證。</w:t>
      </w:r>
    </w:p>
    <w:p>
      <w:pPr>
        <w:pStyle w:val="BodyText"/>
        <w:tabs>
          <w:tab w:val="clear" w:pos="480"/>
        </w:tabs>
        <w:spacing w:lineRule="exact" w:line="480"/>
        <w:ind w:left="851" w:hanging="426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（二）意見交換。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>
          <w:rFonts w:ascii="Times New Roman" w:hAnsi="Times New Roman" w:eastAsia="標楷體"/>
          <w:sz w:val="28"/>
          <w:szCs w:val="28"/>
        </w:rPr>
      </w:pPr>
      <w:r>
        <w:rPr>
          <w:rFonts w:ascii="Times New Roman" w:hAnsi="Times New Roman" w:eastAsia="標楷體"/>
          <w:sz w:val="28"/>
          <w:szCs w:val="28"/>
        </w:rPr>
        <w:t>實地訪查時間：以</w:t>
      </w:r>
      <w:r>
        <w:rPr>
          <w:rFonts w:eastAsia="標楷體" w:ascii="Times New Roman" w:hAnsi="Times New Roman"/>
          <w:sz w:val="28"/>
          <w:szCs w:val="28"/>
        </w:rPr>
        <w:t>2-2.5</w:t>
      </w:r>
      <w:r>
        <w:rPr>
          <w:rFonts w:ascii="Times New Roman" w:hAnsi="Times New Roman" w:eastAsia="標楷體"/>
          <w:sz w:val="28"/>
          <w:szCs w:val="28"/>
        </w:rPr>
        <w:t>小時為原則。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實地訪查當日，如有發現重大違規情事者，將提至評定會議討論。</w:t>
      </w:r>
    </w:p>
    <w:p>
      <w:pPr>
        <w:pStyle w:val="Style18"/>
        <w:numPr>
          <w:ilvl w:val="0"/>
          <w:numId w:val="3"/>
        </w:numPr>
        <w:tabs>
          <w:tab w:val="left" w:pos="3883" w:leader="none"/>
        </w:tabs>
        <w:snapToGrid w:val="false"/>
        <w:spacing w:lineRule="exact" w:line="480"/>
        <w:ind w:left="3883" w:hanging="1047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不定時追蹤輔導訪查評量方式：評量受訪機構最近一次評鑑</w:t>
      </w:r>
      <w:r>
        <w:rPr>
          <w:rStyle w:val="Style14"/>
          <w:rFonts w:ascii="Times New Roman" w:hAnsi="Times New Roman" w:eastAsia="標楷體"/>
          <w:sz w:val="28"/>
          <w:szCs w:val="28"/>
          <w:lang w:val="en-US"/>
        </w:rPr>
        <w:t>所提改善事項、建議事項及綜合意見</w:t>
      </w:r>
      <w:r>
        <w:rPr>
          <w:rStyle w:val="Style14"/>
          <w:rFonts w:ascii="Times New Roman" w:hAnsi="Times New Roman" w:eastAsia="標楷體"/>
          <w:sz w:val="28"/>
          <w:szCs w:val="28"/>
        </w:rPr>
        <w:t>之執行狀況，成績以</w:t>
      </w:r>
      <w:r>
        <w:rPr>
          <w:rStyle w:val="Style14"/>
          <w:rFonts w:eastAsia="標楷體" w:ascii="Times New Roman" w:hAnsi="Times New Roman"/>
          <w:sz w:val="28"/>
          <w:szCs w:val="28"/>
        </w:rPr>
        <w:t>A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B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C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D</w:t>
      </w:r>
      <w:r>
        <w:rPr>
          <w:rStyle w:val="Style14"/>
          <w:rFonts w:ascii="Times New Roman" w:hAnsi="Times New Roman" w:eastAsia="標楷體"/>
          <w:sz w:val="28"/>
          <w:szCs w:val="28"/>
        </w:rPr>
        <w:t>、</w:t>
      </w:r>
      <w:r>
        <w:rPr>
          <w:rStyle w:val="Style14"/>
          <w:rFonts w:eastAsia="標楷體" w:ascii="Times New Roman" w:hAnsi="Times New Roman"/>
          <w:sz w:val="28"/>
          <w:szCs w:val="28"/>
        </w:rPr>
        <w:t>E</w:t>
      </w:r>
      <w:r>
        <w:rPr>
          <w:rStyle w:val="Style14"/>
          <w:rFonts w:ascii="Times New Roman" w:hAnsi="Times New Roman" w:eastAsia="標楷體"/>
          <w:sz w:val="28"/>
          <w:szCs w:val="28"/>
        </w:rPr>
        <w:t>共五級方式評核，評核原則如下：</w:t>
      </w:r>
    </w:p>
    <w:tbl>
      <w:tblPr>
        <w:tblW w:w="7514" w:type="dxa"/>
        <w:jc w:val="left"/>
        <w:tblInd w:w="10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5"/>
        <w:gridCol w:w="6429"/>
      </w:tblGrid>
      <w:tr>
        <w:trPr/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A</w:t>
            </w:r>
            <w:r>
              <w:rPr>
                <w:rFonts w:ascii="Times New Roman" w:hAnsi="Times New Roman" w:eastAsia="標楷體"/>
                <w:sz w:val="28"/>
                <w:szCs w:val="28"/>
              </w:rPr>
              <w:t>或</w:t>
            </w:r>
            <w:r>
              <w:rPr>
                <w:rFonts w:eastAsia="標楷體" w:ascii="Times New Roman" w:hAnsi="Times New Roman"/>
                <w:sz w:val="28"/>
                <w:szCs w:val="28"/>
              </w:rPr>
              <w:t>B</w:t>
            </w:r>
          </w:p>
        </w:tc>
        <w:tc>
          <w:tcPr>
            <w:tcW w:w="6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改善情況良好且超過期望者，視實際改善情形評分。</w:t>
            </w:r>
          </w:p>
        </w:tc>
      </w:tr>
      <w:tr>
        <w:trPr/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C</w:t>
            </w:r>
          </w:p>
        </w:tc>
        <w:tc>
          <w:tcPr>
            <w:tcW w:w="6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在其能力範圍內已作改善者。</w:t>
            </w:r>
          </w:p>
        </w:tc>
      </w:tr>
      <w:tr>
        <w:trPr/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D</w:t>
            </w:r>
          </w:p>
        </w:tc>
        <w:tc>
          <w:tcPr>
            <w:tcW w:w="6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稍作改善者。</w:t>
            </w:r>
          </w:p>
        </w:tc>
      </w:tr>
      <w:tr>
        <w:trPr/>
        <w:tc>
          <w:tcPr>
            <w:tcW w:w="1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eastAsia="標楷體" w:ascii="Times New Roman" w:hAnsi="Times New Roman"/>
                <w:sz w:val="28"/>
                <w:szCs w:val="28"/>
              </w:rPr>
              <w:t>E</w:t>
            </w:r>
          </w:p>
        </w:tc>
        <w:tc>
          <w:tcPr>
            <w:tcW w:w="6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spacing w:lineRule="exact" w:line="480"/>
              <w:rPr>
                <w:rFonts w:ascii="Times New Roman" w:hAnsi="Times New Roman" w:eastAsia="標楷體"/>
                <w:sz w:val="28"/>
                <w:szCs w:val="28"/>
              </w:rPr>
            </w:pPr>
            <w:r>
              <w:rPr>
                <w:rFonts w:ascii="Times New Roman" w:hAnsi="Times New Roman" w:eastAsia="標楷體"/>
                <w:sz w:val="28"/>
                <w:szCs w:val="28"/>
              </w:rPr>
              <w:t>未改善或無意願改善者。</w:t>
            </w:r>
          </w:p>
        </w:tc>
      </w:tr>
    </w:tbl>
    <w:p>
      <w:pPr>
        <w:pStyle w:val="BodyText"/>
        <w:snapToGrid w:val="false"/>
        <w:spacing w:lineRule="exact" w:line="480"/>
        <w:jc w:val="both"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拾、追蹤輔導訪查結果</w:t>
      </w:r>
    </w:p>
    <w:p>
      <w:pPr>
        <w:pStyle w:val="Style18"/>
        <w:numPr>
          <w:ilvl w:val="0"/>
          <w:numId w:val="4"/>
        </w:numPr>
        <w:tabs>
          <w:tab w:val="left" w:pos="1899" w:leader="none"/>
        </w:tabs>
        <w:snapToGrid w:val="false"/>
        <w:spacing w:lineRule="exact" w:line="480"/>
        <w:ind w:left="1899" w:hanging="1189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不定時追蹤輔導訪查</w:t>
      </w:r>
      <w:r>
        <w:rPr>
          <w:rStyle w:val="Style14"/>
          <w:rFonts w:eastAsia="標楷體"/>
          <w:sz w:val="28"/>
          <w:szCs w:val="28"/>
        </w:rPr>
        <w:t>結果</w:t>
      </w:r>
      <w:r>
        <w:rPr>
          <w:rStyle w:val="Style14"/>
          <w:rFonts w:ascii="Times New Roman" w:hAnsi="Times New Roman" w:eastAsia="標楷體"/>
          <w:sz w:val="28"/>
          <w:szCs w:val="28"/>
        </w:rPr>
        <w:t>：</w:t>
      </w:r>
    </w:p>
    <w:p>
      <w:pPr>
        <w:pStyle w:val="Style18"/>
        <w:numPr>
          <w:ilvl w:val="0"/>
          <w:numId w:val="5"/>
        </w:numPr>
        <w:tabs>
          <w:tab w:val="left" w:pos="3045" w:leader="none"/>
        </w:tabs>
        <w:snapToGrid w:val="false"/>
        <w:spacing w:lineRule="exact" w:line="480"/>
        <w:ind w:left="3045" w:hanging="134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訪查結果意見表由協辦單位以書面通知受訪機構，並作為下次評鑑或追蹤輔導之參考</w:t>
      </w:r>
      <w:r>
        <w:rPr>
          <w:rStyle w:val="Style14"/>
          <w:rFonts w:eastAsia="標楷體"/>
          <w:sz w:val="28"/>
          <w:szCs w:val="28"/>
        </w:rPr>
        <w:t>。</w:t>
      </w:r>
    </w:p>
    <w:p>
      <w:pPr>
        <w:pStyle w:val="Style18"/>
        <w:numPr>
          <w:ilvl w:val="0"/>
          <w:numId w:val="5"/>
        </w:numPr>
        <w:tabs>
          <w:tab w:val="left" w:pos="3045" w:leader="none"/>
        </w:tabs>
        <w:snapToGrid w:val="false"/>
        <w:spacing w:lineRule="exact" w:line="480"/>
        <w:ind w:left="3045" w:hanging="134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機構經查證發現有不符規定之情事者，將由本部通知機構所在地衛生局依相關法令及權責要求限期改善。未於期限內改善者，得依精神衛生法五十四條規定處罰。</w:t>
      </w:r>
    </w:p>
    <w:p>
      <w:pPr>
        <w:pStyle w:val="Style18"/>
        <w:numPr>
          <w:ilvl w:val="0"/>
          <w:numId w:val="5"/>
        </w:numPr>
        <w:tabs>
          <w:tab w:val="left" w:pos="3045" w:leader="none"/>
        </w:tabs>
        <w:snapToGrid w:val="false"/>
        <w:spacing w:lineRule="exact" w:line="480"/>
        <w:ind w:left="3045" w:hanging="134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機構經查證發現有不符原評鑑基準之事實者，本部得通知限期改善，其不改善或情節重大者，除依相關法令辦理外，得由本部逕予公告變更、取消機構之評鑑合格效期或類別。</w:t>
      </w:r>
    </w:p>
    <w:p>
      <w:pPr>
        <w:pStyle w:val="Style18"/>
        <w:numPr>
          <w:ilvl w:val="0"/>
          <w:numId w:val="5"/>
        </w:numPr>
        <w:tabs>
          <w:tab w:val="left" w:pos="3045" w:leader="none"/>
        </w:tabs>
        <w:snapToGrid w:val="false"/>
        <w:spacing w:lineRule="exact" w:line="480"/>
        <w:ind w:left="3045" w:hanging="1342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機構</w:t>
      </w:r>
      <w:r>
        <w:rPr>
          <w:rStyle w:val="Style14"/>
          <w:rFonts w:ascii="Times New Roman" w:hAnsi="Times New Roman" w:eastAsia="標楷體"/>
          <w:sz w:val="28"/>
          <w:szCs w:val="28"/>
          <w:lang w:val="en-US"/>
        </w:rPr>
        <w:t>經追蹤輔導訪查評定會議決議，列為</w:t>
      </w:r>
      <w:r>
        <w:rPr>
          <w:rStyle w:val="Style14"/>
          <w:rFonts w:ascii="Times New Roman" w:hAnsi="Times New Roman" w:eastAsia="標楷體"/>
          <w:sz w:val="28"/>
          <w:szCs w:val="28"/>
        </w:rPr>
        <w:t>「須加強改善之機構」者，應於接獲評定結果通知後半年內回復書面改善報告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以下簡稱書面報告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至當地衛生局，當地衛生局須於收到機構書面報告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個月內查核其改善情形，並將結果回饋予本部且副知協辦單位、當地社會局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處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及須加強改善之受查核機構。如須加強改善機構之書面報告未於期限內回復者，當地衛生局應通知本部並副知協辦單位，並加強對該機構追蹤輔導。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、須加強改善機構之書面報告於期限內回復，且改善項目達</w:t>
      </w:r>
      <w:r>
        <w:rPr>
          <w:rStyle w:val="Style14"/>
          <w:rFonts w:eastAsia="標楷體" w:ascii="Times New Roman" w:hAnsi="Times New Roman"/>
          <w:sz w:val="28"/>
          <w:szCs w:val="28"/>
        </w:rPr>
        <w:t>70%</w:t>
      </w:r>
      <w:r>
        <w:rPr>
          <w:rStyle w:val="Style14"/>
          <w:rFonts w:ascii="Times New Roman" w:hAnsi="Times New Roman" w:eastAsia="標楷體"/>
          <w:sz w:val="28"/>
          <w:szCs w:val="28"/>
        </w:rPr>
        <w:t>以上者即不再追蹤，並列為下次機構評鑑評分之參考。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>
          <w:rFonts w:ascii="Times New Roman" w:hAnsi="Times New Roman" w:eastAsia="標楷體"/>
          <w:sz w:val="28"/>
          <w:szCs w:val="28"/>
        </w:rPr>
      </w:pPr>
      <w:r>
        <w:rPr>
          <w:rFonts w:eastAsia="標楷體" w:ascii="Times New Roman" w:hAnsi="Times New Roman"/>
          <w:sz w:val="28"/>
          <w:szCs w:val="28"/>
        </w:rPr>
        <w:t>2</w:t>
      </w:r>
      <w:r>
        <w:rPr>
          <w:rFonts w:ascii="Times New Roman" w:hAnsi="Times New Roman" w:eastAsia="標楷體"/>
          <w:sz w:val="28"/>
          <w:szCs w:val="28"/>
        </w:rPr>
        <w:t>、須加強改善機構之書面報告於期限內回復，惟改善項目未達</w:t>
      </w:r>
      <w:r>
        <w:rPr>
          <w:rFonts w:eastAsia="標楷體" w:ascii="Times New Roman" w:hAnsi="Times New Roman"/>
          <w:sz w:val="28"/>
          <w:szCs w:val="28"/>
        </w:rPr>
        <w:t>70%</w:t>
      </w:r>
      <w:r>
        <w:rPr>
          <w:rFonts w:ascii="Times New Roman" w:hAnsi="Times New Roman" w:eastAsia="標楷體"/>
          <w:sz w:val="28"/>
          <w:szCs w:val="28"/>
        </w:rPr>
        <w:t>者，將請當地衛生局持續追蹤半年，並加強督導考核至下次機構評鑑。</w:t>
      </w:r>
    </w:p>
    <w:p>
      <w:pPr>
        <w:pStyle w:val="BodyText"/>
        <w:tabs>
          <w:tab w:val="clear" w:pos="480"/>
        </w:tabs>
        <w:spacing w:lineRule="exact" w:line="480"/>
        <w:ind w:left="1418" w:hanging="28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</w:rPr>
        <w:t>3</w:t>
      </w:r>
      <w:r>
        <w:rPr>
          <w:rStyle w:val="Style14"/>
          <w:rFonts w:ascii="Times New Roman" w:hAnsi="Times New Roman" w:eastAsia="標楷體"/>
          <w:sz w:val="28"/>
          <w:szCs w:val="28"/>
        </w:rPr>
        <w:t>、須加強改善機構之書面報告未於期限內回復者，視為不改善，依下列原則處理</w:t>
      </w:r>
      <w:r>
        <w:rPr>
          <w:rStyle w:val="Style14"/>
          <w:rFonts w:eastAsia="標楷體"/>
          <w:sz w:val="28"/>
          <w:szCs w:val="28"/>
        </w:rPr>
        <w:t>：</w:t>
      </w:r>
    </w:p>
    <w:p>
      <w:pPr>
        <w:pStyle w:val="Style18"/>
        <w:snapToGrid w:val="false"/>
        <w:spacing w:lineRule="exact" w:line="480"/>
        <w:ind w:left="1700" w:hanging="42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(1)</w:t>
      </w:r>
      <w:r>
        <w:rPr>
          <w:rStyle w:val="Style14"/>
          <w:rFonts w:ascii="Times New Roman" w:hAnsi="Times New Roman" w:eastAsia="標楷體"/>
          <w:sz w:val="28"/>
          <w:szCs w:val="28"/>
        </w:rPr>
        <w:t>除依據精神復健機構設置及管理辦法等相關法規辦理以外，本部得逕予公告變更、取消機構之評鑑合格效期或類別。</w:t>
      </w:r>
    </w:p>
    <w:p>
      <w:pPr>
        <w:pStyle w:val="Style18"/>
        <w:snapToGrid w:val="false"/>
        <w:spacing w:lineRule="exact" w:line="480"/>
        <w:ind w:left="1700" w:hanging="423"/>
        <w:jc w:val="both"/>
        <w:rPr/>
      </w:pP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(2)</w:t>
      </w:r>
      <w:r>
        <w:rPr>
          <w:rStyle w:val="Style14"/>
          <w:rFonts w:ascii="Times New Roman" w:hAnsi="Times New Roman" w:eastAsia="標楷體"/>
          <w:sz w:val="28"/>
          <w:szCs w:val="28"/>
        </w:rPr>
        <w:t>由本部行文通知機構，於文到後</w:t>
      </w:r>
      <w:r>
        <w:rPr>
          <w:rStyle w:val="Style14"/>
          <w:rFonts w:eastAsia="標楷體" w:ascii="Times New Roman" w:hAnsi="Times New Roman"/>
          <w:sz w:val="28"/>
          <w:szCs w:val="28"/>
        </w:rPr>
        <w:t>1</w:t>
      </w:r>
      <w:r>
        <w:rPr>
          <w:rStyle w:val="Style14"/>
          <w:rFonts w:ascii="Times New Roman" w:hAnsi="Times New Roman" w:eastAsia="標楷體"/>
          <w:sz w:val="28"/>
          <w:szCs w:val="28"/>
        </w:rPr>
        <w:t>個月內，提送改善情形書面報告至當地衛生局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及</w:t>
      </w:r>
      <w:r>
        <w:rPr>
          <w:rStyle w:val="Style14"/>
          <w:rFonts w:ascii="Times New Roman" w:hAnsi="Times New Roman" w:eastAsia="標楷體"/>
          <w:sz w:val="28"/>
          <w:szCs w:val="28"/>
        </w:rPr>
        <w:t>本部，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並</w:t>
      </w:r>
      <w:r>
        <w:rPr>
          <w:rStyle w:val="Style14"/>
          <w:rFonts w:ascii="Times New Roman" w:hAnsi="Times New Roman" w:eastAsia="標楷體"/>
          <w:sz w:val="28"/>
          <w:szCs w:val="28"/>
        </w:rPr>
        <w:t>副知本部中央健康保險署、地方社會局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(</w:t>
      </w:r>
      <w:r>
        <w:rPr>
          <w:rStyle w:val="Style14"/>
          <w:rFonts w:ascii="Times New Roman" w:hAnsi="Times New Roman" w:eastAsia="標楷體"/>
          <w:sz w:val="28"/>
          <w:szCs w:val="28"/>
        </w:rPr>
        <w:t>處</w:t>
      </w:r>
      <w:r>
        <w:rPr>
          <w:rStyle w:val="Style14"/>
          <w:rFonts w:eastAsia="標楷體" w:ascii="Times New Roman" w:hAnsi="Times New Roman"/>
          <w:sz w:val="28"/>
          <w:szCs w:val="28"/>
          <w:lang w:eastAsia="zh-TW"/>
        </w:rPr>
        <w:t>)</w:t>
      </w:r>
      <w:r>
        <w:rPr>
          <w:rStyle w:val="Style14"/>
          <w:rFonts w:ascii="Times New Roman" w:hAnsi="Times New Roman" w:eastAsia="標楷體"/>
          <w:sz w:val="28"/>
          <w:szCs w:val="28"/>
        </w:rPr>
        <w:t>及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請</w:t>
      </w:r>
      <w:r>
        <w:rPr>
          <w:rStyle w:val="Style14"/>
          <w:rFonts w:ascii="Times New Roman" w:hAnsi="Times New Roman" w:eastAsia="標楷體"/>
          <w:sz w:val="28"/>
          <w:szCs w:val="28"/>
        </w:rPr>
        <w:t>衛生局加強督導，並列為次ㄧ年度優先追蹤輔導訪查之對象。</w:t>
      </w:r>
    </w:p>
    <w:p>
      <w:pPr>
        <w:pStyle w:val="Style18"/>
        <w:numPr>
          <w:ilvl w:val="0"/>
          <w:numId w:val="4"/>
        </w:numPr>
        <w:tabs>
          <w:tab w:val="left" w:pos="1899" w:leader="none"/>
        </w:tabs>
        <w:snapToGrid w:val="false"/>
        <w:spacing w:lineRule="exact" w:line="480"/>
        <w:ind w:left="1899" w:hanging="1189"/>
        <w:jc w:val="both"/>
        <w:rPr/>
      </w:pPr>
      <w:r>
        <w:rPr>
          <w:rStyle w:val="Style14"/>
          <w:rFonts w:ascii="Times New Roman" w:hAnsi="Times New Roman" w:eastAsia="標楷體"/>
          <w:sz w:val="28"/>
          <w:szCs w:val="28"/>
        </w:rPr>
        <w:t>即時追蹤輔導訪查</w:t>
      </w:r>
      <w:r>
        <w:rPr>
          <w:rStyle w:val="Style14"/>
          <w:rFonts w:eastAsia="標楷體"/>
          <w:sz w:val="28"/>
          <w:szCs w:val="28"/>
        </w:rPr>
        <w:t>結果</w:t>
      </w:r>
      <w:r>
        <w:rPr>
          <w:rStyle w:val="Style14"/>
          <w:rFonts w:ascii="Times New Roman" w:hAnsi="Times New Roman" w:eastAsia="標楷體"/>
          <w:sz w:val="28"/>
          <w:szCs w:val="28"/>
        </w:rPr>
        <w:t>：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同前項第一款及第二款</w:t>
      </w:r>
      <w:r>
        <w:rPr>
          <w:rStyle w:val="Style14"/>
          <w:rFonts w:ascii="Times New Roman" w:hAnsi="Times New Roman" w:eastAsia="標楷體"/>
          <w:sz w:val="28"/>
          <w:szCs w:val="28"/>
        </w:rPr>
        <w:t>辦理</w:t>
      </w:r>
      <w:r>
        <w:rPr>
          <w:rStyle w:val="Style14"/>
          <w:rFonts w:ascii="Times New Roman" w:hAnsi="Times New Roman" w:eastAsia="標楷體"/>
          <w:sz w:val="28"/>
          <w:szCs w:val="28"/>
          <w:lang w:eastAsia="zh-TW"/>
        </w:rPr>
        <w:t>。</w:t>
      </w:r>
    </w:p>
    <w:sectPr>
      <w:footerReference w:type="default" r:id="rId3"/>
      <w:type w:val="nextPage"/>
      <w:pgSz w:w="11906" w:h="16838"/>
      <w:pgMar w:left="1800" w:right="1800" w:gutter="0" w:header="0" w:top="567" w:footer="567" w:bottom="1440"/>
      <w:pgNumType w:fmt="decimal"/>
      <w:formProt w:val="false"/>
      <w:textDirection w:val="lrTb"/>
      <w:docGrid w:type="snapToChar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  <w:font w:name="Arial">
    <w:charset w:val="88"/>
    <w:family w:val="swiss"/>
    <w:pitch w:val="variable"/>
  </w:font>
  <w:font w:name="標楷體">
    <w:charset w:val="88"/>
    <w:family w:val="script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7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taiwaneseCountingThousand"/>
      <w:lvlText w:val="%1、"/>
      <w:lvlJc w:val="left"/>
      <w:pPr>
        <w:tabs>
          <w:tab w:val="num" w:pos="1048"/>
        </w:tabs>
        <w:ind w:left="1048" w:hanging="480"/>
      </w:pPr>
    </w:lvl>
    <w:lvl w:ilvl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>
      <w:start w:val="1"/>
      <w:numFmt w:val="lowerRoman"/>
      <w:lvlText w:val="%3."/>
      <w:lvlJc w:val="right"/>
      <w:pPr>
        <w:tabs>
          <w:tab w:val="num" w:pos="2291"/>
        </w:tabs>
        <w:ind w:left="2291" w:hanging="0"/>
      </w:p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>
      <w:start w:val="1"/>
      <w:numFmt w:val="lowerRoman"/>
      <w:lvlText w:val="%6."/>
      <w:lvlJc w:val="right"/>
      <w:pPr>
        <w:tabs>
          <w:tab w:val="num" w:pos="3731"/>
        </w:tabs>
        <w:ind w:left="3731" w:hanging="0"/>
      </w:pPr>
    </w:lvl>
    <w:lvl w:ilvl="6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>
      <w:start w:val="1"/>
      <w:numFmt w:val="lowerRoman"/>
      <w:lvlText w:val="%9."/>
      <w:lvlJc w:val="right"/>
      <w:pPr>
        <w:tabs>
          <w:tab w:val="num" w:pos="5171"/>
        </w:tabs>
        <w:ind w:left="5171" w:hanging="0"/>
      </w:pPr>
    </w:lvl>
  </w:abstractNum>
  <w:abstractNum w:abstractNumId="2">
    <w:lvl w:ilvl="0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3032"/>
        </w:tabs>
        <w:ind w:left="3032" w:hanging="480"/>
      </w:pPr>
    </w:lvl>
    <w:lvl w:ilvl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>
      <w:start w:val="1"/>
      <w:numFmt w:val="lowerRoman"/>
      <w:lvlText w:val="%3."/>
      <w:lvlJc w:val="right"/>
      <w:pPr>
        <w:tabs>
          <w:tab w:val="num" w:pos="2040"/>
        </w:tabs>
        <w:ind w:left="2040" w:hanging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>
      <w:start w:val="1"/>
      <w:numFmt w:val="lowerRoman"/>
      <w:lvlText w:val="%6."/>
      <w:lvlJc w:val="right"/>
      <w:pPr>
        <w:tabs>
          <w:tab w:val="num" w:pos="3480"/>
        </w:tabs>
        <w:ind w:left="3480" w:hanging="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>
      <w:start w:val="1"/>
      <w:numFmt w:val="lowerRoman"/>
      <w:lvlText w:val="%9."/>
      <w:lvlJc w:val="right"/>
      <w:pPr>
        <w:tabs>
          <w:tab w:val="num" w:pos="4920"/>
        </w:tabs>
        <w:ind w:left="4920" w:hanging="0"/>
      </w:pPr>
    </w:lvl>
  </w:abstractNum>
  <w:abstractNum w:abstractNumId="4">
    <w:lvl w:ilvl="0">
      <w:start w:val="1"/>
      <w:numFmt w:val="taiwaneseCountingThousand"/>
      <w:lvlText w:val="%1、"/>
      <w:lvlJc w:val="left"/>
      <w:pPr>
        <w:tabs>
          <w:tab w:val="num" w:pos="906"/>
        </w:tabs>
        <w:ind w:left="906" w:hanging="480"/>
      </w:pPr>
    </w:lvl>
    <w:lvl w:ilvl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0"/>
      </w:pPr>
    </w:lvl>
    <w:lvl w:ilvl="3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0"/>
      </w:pPr>
    </w:lvl>
    <w:lvl w:ilvl="6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>
      <w:start w:val="1"/>
      <w:numFmt w:val="lowerRoman"/>
      <w:lvlText w:val="%9."/>
      <w:lvlJc w:val="right"/>
      <w:pPr>
        <w:tabs>
          <w:tab w:val="num" w:pos="5040"/>
        </w:tabs>
        <w:ind w:left="5040" w:hanging="0"/>
      </w:pPr>
    </w:lvl>
  </w:abstractNum>
  <w:abstractNum w:abstractNumId="5">
    <w:lvl w:ilvl="0">
      <w:start w:val="1"/>
      <w:numFmt w:val="taiwaneseCountingThousand"/>
      <w:lvlText w:val="（%1）"/>
      <w:lvlJc w:val="left"/>
      <w:pPr>
        <w:tabs>
          <w:tab w:val="num" w:pos="1757"/>
        </w:tabs>
        <w:ind w:left="1757" w:hanging="480"/>
      </w:pPr>
    </w:lvl>
    <w:lvl w:ilvl="1">
      <w:start w:val="1"/>
      <w:numFmt w:val="ideographTraditional"/>
      <w:lvlText w:val="%2、"/>
      <w:lvlJc w:val="left"/>
      <w:pPr>
        <w:tabs>
          <w:tab w:val="num" w:pos="1953"/>
        </w:tabs>
        <w:ind w:left="1953" w:hanging="480"/>
      </w:pPr>
    </w:lvl>
    <w:lvl w:ilvl="2">
      <w:start w:val="1"/>
      <w:numFmt w:val="lowerRoman"/>
      <w:lvlText w:val="%3."/>
      <w:lvlJc w:val="right"/>
      <w:pPr>
        <w:tabs>
          <w:tab w:val="num" w:pos="2433"/>
        </w:tabs>
        <w:ind w:left="2433" w:hanging="0"/>
      </w:pPr>
    </w:lvl>
    <w:lvl w:ilvl="3">
      <w:start w:val="1"/>
      <w:numFmt w:val="decimal"/>
      <w:lvlText w:val="%4."/>
      <w:lvlJc w:val="left"/>
      <w:pPr>
        <w:tabs>
          <w:tab w:val="num" w:pos="2913"/>
        </w:tabs>
        <w:ind w:left="2913" w:hanging="480"/>
      </w:pPr>
    </w:lvl>
    <w:lvl w:ilvl="4">
      <w:start w:val="1"/>
      <w:numFmt w:val="ideographTraditional"/>
      <w:lvlText w:val="%5、"/>
      <w:lvlJc w:val="left"/>
      <w:pPr>
        <w:tabs>
          <w:tab w:val="num" w:pos="3393"/>
        </w:tabs>
        <w:ind w:left="3393" w:hanging="480"/>
      </w:pPr>
    </w:lvl>
    <w:lvl w:ilvl="5">
      <w:start w:val="1"/>
      <w:numFmt w:val="lowerRoman"/>
      <w:lvlText w:val="%6."/>
      <w:lvlJc w:val="right"/>
      <w:pPr>
        <w:tabs>
          <w:tab w:val="num" w:pos="3873"/>
        </w:tabs>
        <w:ind w:left="3873" w:hanging="0"/>
      </w:pPr>
    </w:lvl>
    <w:lvl w:ilvl="6">
      <w:start w:val="1"/>
      <w:numFmt w:val="decimal"/>
      <w:lvlText w:val="%7."/>
      <w:lvlJc w:val="left"/>
      <w:pPr>
        <w:tabs>
          <w:tab w:val="num" w:pos="4353"/>
        </w:tabs>
        <w:ind w:left="4353" w:hanging="480"/>
      </w:pPr>
    </w:lvl>
    <w:lvl w:ilvl="7">
      <w:start w:val="1"/>
      <w:numFmt w:val="ideographTraditional"/>
      <w:lvlText w:val="%8、"/>
      <w:lvlJc w:val="left"/>
      <w:pPr>
        <w:tabs>
          <w:tab w:val="num" w:pos="4833"/>
        </w:tabs>
        <w:ind w:left="4833" w:hanging="480"/>
      </w:pPr>
    </w:lvl>
    <w:lvl w:ilvl="8">
      <w:start w:val="1"/>
      <w:numFmt w:val="lowerRoman"/>
      <w:lvlText w:val="%9."/>
      <w:lvlJc w:val="right"/>
      <w:pPr>
        <w:tabs>
          <w:tab w:val="num" w:pos="5313"/>
        </w:tabs>
        <w:ind w:left="5313" w:hanging="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rFonts w:ascii="Calibri" w:hAnsi="Calibri" w:eastAsia="新細明體" w:cs="Times New Roman"/>
      <w:sz w:val="20"/>
      <w:szCs w:val="20"/>
    </w:rPr>
  </w:style>
  <w:style w:type="character" w:styleId="Style16">
    <w:name w:val="頁尾 字元"/>
    <w:qFormat/>
    <w:rPr>
      <w:rFonts w:ascii="Calibri" w:hAnsi="Calibri" w:eastAsia="新細明體" w:cs="Times New Roman"/>
      <w:sz w:val="20"/>
      <w:szCs w:val="20"/>
    </w:rPr>
  </w:style>
  <w:style w:type="character" w:styleId="Style17">
    <w:name w:val="清單段落 字元"/>
    <w:qFormat/>
    <w:rPr>
      <w:kern w:val="2"/>
      <w:sz w:val="24"/>
      <w:szCs w:val="22"/>
    </w:rPr>
  </w:style>
  <w:style w:type="character" w:styleId="WWCharLFO2LVL1">
    <w:name w:val="WW_CharLFO2LVL1"/>
    <w:qFormat/>
    <w:rPr>
      <w:rFonts w:ascii="Calibri" w:hAnsi="Calibri" w:cs="Times New Roman"/>
    </w:rPr>
  </w:style>
  <w:style w:type="character" w:styleId="WWCharLFO3LVL1">
    <w:name w:val="WW_CharLFO3LVL1"/>
    <w:qFormat/>
    <w:rPr>
      <w:rFonts w:ascii="Times New Roman" w:hAnsi="Times New Roman" w:cs="Times New Roman"/>
    </w:rPr>
  </w:style>
  <w:style w:type="character" w:styleId="WWCharLFO4LVL1">
    <w:name w:val="WW_CharLFO4LVL1"/>
    <w:qFormat/>
    <w:rPr>
      <w:rFonts w:ascii="Calibri" w:hAnsi="Calibri" w:cs="Times New Roman"/>
    </w:rPr>
  </w:style>
  <w:style w:type="character" w:styleId="WWCharLFO7LVL1">
    <w:name w:val="WW_CharLFO7LVL1"/>
    <w:qFormat/>
    <w:rPr>
      <w:rFonts w:ascii="Times New Roman" w:hAnsi="Times New Roman" w:cs="Times New Roman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/>
  </w:style>
  <w:style w:type="paragraph" w:styleId="Style19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20">
    <w:name w:val="外框內容"/>
    <w:basedOn w:val="Normal"/>
    <w:qFormat/>
    <w:pPr/>
    <w:rPr/>
  </w:style>
  <w:style w:type="paragraph" w:styleId="Style21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5</Pages>
  <Words>327</Words>
  <Characters>1868</Characters>
  <CharactersWithSpaces>2191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2018-04-13T02:33:00Z</dcterms:created>
  <dc:creator>温莉筠</dc:creator>
  <dc:description/>
  <dc:language>zh-TW</dc:language>
  <cp:lastModifiedBy>心理及口腔健康司蕭玉梅</cp:lastModifiedBy>
  <cp:lastPrinted>2014-05-16T12:45:00Z</cp:lastPrinted>
  <dcterms:modified xsi:type="dcterms:W3CDTF">2018-04-13T02:33:00Z</dcterms:modified>
  <cp:revision>2</cp:revision>
  <dc:subject/>
  <dc:title/>
</cp:coreProperties>
</file>