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autoSpaceDE w:val="false"/>
        <w:snapToGrid w:val="false"/>
        <w:jc w:val="center"/>
        <w:rPr/>
      </w:pPr>
      <w:r>
        <w:rPr>
          <w:rStyle w:val="Style14"/>
          <w:rFonts w:ascii="Times New Roman" w:hAnsi="Times New Roman" w:eastAsia="標楷體"/>
          <w:b/>
          <w:sz w:val="36"/>
          <w:szCs w:val="36"/>
        </w:rPr>
        <w:drawing>
          <wp:inline distT="0" distB="0" distL="0" distR="0">
            <wp:extent cx="6118860" cy="8648700"/>
            <wp:effectExtent l="0" t="0" r="0" b="0"/>
            <wp:docPr id="1" name="圖片 1" descr="D:\心口司公文\106年(精神復健機構及護理之家作業程序評鑑成績 不符合以D或E 符合改以C列計  不定時改或書面審查)\精神復健機構\4 作業程序\公告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D:\心口司公文\106年(精神復健機構及護理之家作業程序評鑑成績 不符合以D或E 符合改以C列計  不定時改或書面審查)\精神復健機構\4 作業程序\公告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864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autoSpaceDE w:val="false"/>
        <w:snapToGrid w:val="false"/>
        <w:jc w:val="center"/>
        <w:rPr>
          <w:rFonts w:ascii="Times New Roman" w:hAnsi="Times New Roman" w:eastAsia="標楷體"/>
          <w:b/>
          <w:sz w:val="36"/>
          <w:szCs w:val="36"/>
        </w:rPr>
      </w:pPr>
      <w:r>
        <w:rPr>
          <w:rFonts w:eastAsia="標楷體" w:ascii="Times New Roman" w:hAnsi="Times New Roman"/>
          <w:b/>
          <w:sz w:val="36"/>
          <w:szCs w:val="36"/>
        </w:rPr>
      </w:r>
    </w:p>
    <w:p>
      <w:pPr>
        <w:pStyle w:val="BodyText"/>
        <w:autoSpaceDE w:val="false"/>
        <w:snapToGrid w:val="false"/>
        <w:jc w:val="center"/>
        <w:rPr>
          <w:rFonts w:ascii="Times New Roman" w:hAnsi="Times New Roman" w:eastAsia="標楷體"/>
          <w:b/>
          <w:sz w:val="36"/>
          <w:szCs w:val="36"/>
        </w:rPr>
      </w:pPr>
      <w:r>
        <w:rPr>
          <w:rFonts w:eastAsia="標楷體" w:ascii="Times New Roman" w:hAnsi="Times New Roman"/>
          <w:b/>
          <w:sz w:val="36"/>
          <w:szCs w:val="36"/>
        </w:rPr>
      </w:r>
    </w:p>
    <w:p>
      <w:pPr>
        <w:pStyle w:val="BodyText"/>
        <w:autoSpaceDE w:val="false"/>
        <w:snapToGrid w:val="false"/>
        <w:jc w:val="center"/>
        <w:rPr/>
      </w:pPr>
      <w:bookmarkStart w:id="0" w:name="OLE_LINK124"/>
      <w:bookmarkStart w:id="1" w:name="OLE_LINK123"/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column">
                  <wp:posOffset>8870950</wp:posOffset>
                </wp:positionH>
                <wp:positionV relativeFrom="paragraph">
                  <wp:posOffset>-198755</wp:posOffset>
                </wp:positionV>
                <wp:extent cx="732790" cy="342900"/>
                <wp:effectExtent l="5080" t="5080" r="5715" b="5715"/>
                <wp:wrapNone/>
                <wp:docPr id="2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960" cy="343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附件三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Rectangle 2" coordsize="21600,21600" path="m0,0l21600,0l21600,21600l0,21600xe" fillcolor="white" stroked="t" o:allowincell="f" style="position:absolute;margin-left:698.5pt;margin-top:-15.65pt;width:57.65pt;height:26.95pt;mso-wrap-style:square;v-text-anchor:top">
                <v:textbox>
                  <w:txbxContent>
                    <w:p>
                      <w:pPr>
                        <w:jc w:val="center"/>
                        <w:rPr/>
                      </w:pPr>
                      <w:r>
                        <w:rPr>
                          <w:rFonts w:ascii="標楷體" w:hAnsi="標楷體" w:eastAsia="標楷體"/>
                        </w:rPr>
                        <w:t>附件三</w:t>
                      </w:r>
                    </w:p>
                  </w:txbxContent>
                </v:textbox>
                <v:fill o:detectmouseclick="t" type="solid" color2="black"/>
                <v:stroke color="black" weight="9360" joinstyle="miter" endcap="flat"/>
                <w10:wrap type="none"/>
              </v:shape>
            </w:pict>
          </mc:Fallback>
        </mc:AlternateContent>
      </w:r>
      <w:r>
        <w:rPr>
          <w:rStyle w:val="Style14"/>
          <w:rFonts w:ascii="Times New Roman" w:hAnsi="Times New Roman" w:eastAsia="標楷體"/>
          <w:b/>
          <w:sz w:val="36"/>
          <w:szCs w:val="36"/>
        </w:rPr>
        <w:t>精神復健機構評鑑</w:t>
      </w:r>
      <w:bookmarkEnd w:id="0"/>
      <w:bookmarkEnd w:id="1"/>
      <w:r>
        <w:rPr>
          <w:rStyle w:val="Style14"/>
          <w:rFonts w:ascii="Times New Roman" w:hAnsi="Times New Roman" w:eastAsia="標楷體"/>
          <w:b/>
          <w:sz w:val="36"/>
          <w:szCs w:val="36"/>
        </w:rPr>
        <w:t>作業程序</w:t>
      </w:r>
    </w:p>
    <w:p>
      <w:pPr>
        <w:pStyle w:val="BodyText"/>
        <w:tabs>
          <w:tab w:val="clear" w:pos="480"/>
          <w:tab w:val="left" w:pos="851" w:leader="none"/>
        </w:tabs>
        <w:autoSpaceDE w:val="false"/>
        <w:snapToGrid w:val="false"/>
        <w:spacing w:before="360" w:after="0"/>
        <w:jc w:val="right"/>
        <w:rPr>
          <w:rFonts w:ascii="Times New Roman" w:hAnsi="Times New Roman" w:eastAsia="標楷體"/>
        </w:rPr>
      </w:pPr>
      <w:r>
        <w:rPr>
          <w:rFonts w:eastAsia="標楷體" w:ascii="Times New Roman" w:hAnsi="Times New Roman"/>
        </w:rPr>
        <w:t>106</w:t>
      </w:r>
      <w:r>
        <w:rPr>
          <w:rFonts w:ascii="Times New Roman" w:hAnsi="Times New Roman" w:eastAsia="標楷體"/>
        </w:rPr>
        <w:t>年</w:t>
      </w:r>
      <w:r>
        <w:rPr>
          <w:rFonts w:eastAsia="標楷體" w:ascii="Times New Roman" w:hAnsi="Times New Roman"/>
        </w:rPr>
        <w:t>3</w:t>
      </w:r>
      <w:r>
        <w:rPr>
          <w:rFonts w:ascii="Times New Roman" w:hAnsi="Times New Roman" w:eastAsia="標楷體"/>
        </w:rPr>
        <w:t>月</w:t>
      </w:r>
      <w:r>
        <w:rPr>
          <w:rFonts w:eastAsia="標楷體" w:ascii="Times New Roman" w:hAnsi="Times New Roman"/>
        </w:rPr>
        <w:t>10</w:t>
      </w:r>
      <w:r>
        <w:rPr>
          <w:rFonts w:ascii="Times New Roman" w:hAnsi="Times New Roman" w:eastAsia="標楷體"/>
        </w:rPr>
        <w:t>日衛部心字第</w:t>
      </w:r>
      <w:r>
        <w:rPr>
          <w:rFonts w:eastAsia="標楷體" w:ascii="Times New Roman" w:hAnsi="Times New Roman"/>
        </w:rPr>
        <w:t>1061760468</w:t>
      </w:r>
      <w:r>
        <w:rPr>
          <w:rFonts w:ascii="Times New Roman" w:hAnsi="Times New Roman" w:eastAsia="標楷體"/>
        </w:rPr>
        <w:t>號函修訂</w:t>
      </w:r>
    </w:p>
    <w:p>
      <w:pPr>
        <w:pStyle w:val="BodyText"/>
        <w:tabs>
          <w:tab w:val="clear" w:pos="480"/>
          <w:tab w:val="left" w:pos="851" w:leader="none"/>
        </w:tabs>
        <w:autoSpaceDE w:val="false"/>
        <w:snapToGrid w:val="false"/>
        <w:spacing w:lineRule="exact" w:line="480"/>
        <w:jc w:val="both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壹、評鑑目的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398" w:leader="none"/>
        </w:tabs>
        <w:autoSpaceDE w:val="false"/>
        <w:snapToGrid w:val="false"/>
        <w:spacing w:lineRule="exact" w:line="480"/>
        <w:ind w:left="1398" w:hanging="1048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建立安全、有效、以病人為中心、適時、效率、公正優質的精神復健服務體制。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398" w:leader="none"/>
        </w:tabs>
        <w:autoSpaceDE w:val="false"/>
        <w:snapToGrid w:val="false"/>
        <w:spacing w:lineRule="exact" w:line="480"/>
        <w:ind w:left="1398" w:hanging="1048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評核精神復健機構服務品質，提供民眾選擇參考。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398" w:leader="none"/>
        </w:tabs>
        <w:autoSpaceDE w:val="false"/>
        <w:snapToGrid w:val="false"/>
        <w:spacing w:lineRule="exact" w:line="480"/>
        <w:ind w:left="1398" w:hanging="1048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監督精神復健機構加強業務管理，確保精神病人之社區復健服務品質。</w:t>
      </w:r>
    </w:p>
    <w:p>
      <w:pPr>
        <w:pStyle w:val="BodyText"/>
        <w:autoSpaceDE w:val="false"/>
        <w:snapToGrid w:val="false"/>
        <w:spacing w:lineRule="exact" w:line="480"/>
        <w:jc w:val="both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貳、辦理機關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566" w:hanging="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衛生福利部主辦，得委託協辦。委託之協辦單位由衛生福利部每年於網站公告。</w:t>
      </w:r>
    </w:p>
    <w:p>
      <w:pPr>
        <w:pStyle w:val="BodyText"/>
        <w:autoSpaceDE w:val="false"/>
        <w:snapToGrid w:val="false"/>
        <w:spacing w:lineRule="exact" w:line="480"/>
        <w:jc w:val="both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參、辦理年度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566" w:hanging="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精神復健機構評鑑每年均得辦理。</w:t>
      </w:r>
    </w:p>
    <w:p>
      <w:pPr>
        <w:pStyle w:val="BodyText"/>
        <w:autoSpaceDE w:val="false"/>
        <w:snapToGrid w:val="false"/>
        <w:spacing w:lineRule="exact" w:line="480"/>
        <w:jc w:val="both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肆、評鑑委員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566" w:hanging="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由主辦機關聘請有關專家及相關業務主管擔任評鑑委員，進行實地評鑑。</w:t>
      </w:r>
    </w:p>
    <w:p>
      <w:pPr>
        <w:pStyle w:val="BodyText"/>
        <w:autoSpaceDE w:val="false"/>
        <w:snapToGrid w:val="false"/>
        <w:spacing w:lineRule="exact" w:line="480"/>
        <w:jc w:val="both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伍、申請資格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566" w:hanging="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 xml:space="preserve">    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於本作業程序申請期限截止前，經審查符合「精神復健機構設置及管理辦法」與「精神復健機構設置標準表」規定領有開業執照，並具下列各款情形之一者，始得提出申請：</w:t>
      </w:r>
    </w:p>
    <w:p>
      <w:pPr>
        <w:pStyle w:val="Style29"/>
        <w:widowControl/>
        <w:numPr>
          <w:ilvl w:val="1"/>
          <w:numId w:val="3"/>
        </w:numPr>
        <w:tabs>
          <w:tab w:val="left" w:pos="1823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exact" w:line="480"/>
        <w:ind w:left="1823" w:hanging="939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精神復健機構於當年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月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31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日前領有開業執照者。</w:t>
      </w:r>
    </w:p>
    <w:p>
      <w:pPr>
        <w:pStyle w:val="Style29"/>
        <w:widowControl/>
        <w:numPr>
          <w:ilvl w:val="1"/>
          <w:numId w:val="3"/>
        </w:numPr>
        <w:tabs>
          <w:tab w:val="left" w:pos="1823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exact" w:line="480"/>
        <w:ind w:left="1823" w:hanging="939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評鑑合格效期已屆最後一年。</w:t>
      </w:r>
    </w:p>
    <w:p>
      <w:pPr>
        <w:pStyle w:val="Style29"/>
        <w:widowControl/>
        <w:numPr>
          <w:ilvl w:val="1"/>
          <w:numId w:val="3"/>
        </w:numPr>
        <w:tabs>
          <w:tab w:val="left" w:pos="1823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exact" w:line="480"/>
        <w:ind w:left="1823" w:hanging="939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前一年評鑑結果為「評鑑不合格」者。</w:t>
      </w:r>
    </w:p>
    <w:p>
      <w:pPr>
        <w:pStyle w:val="Style29"/>
        <w:widowControl/>
        <w:numPr>
          <w:ilvl w:val="1"/>
          <w:numId w:val="3"/>
        </w:numPr>
        <w:tabs>
          <w:tab w:val="left" w:pos="1823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exact" w:line="480"/>
        <w:ind w:left="1823" w:hanging="939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機構經評鑑後遷移、擴充、增建或改建者。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566" w:firstLine="661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前項第一款為私立精神復健機構變更負責人者，接受評鑑時，</w:t>
      </w:r>
      <w:r>
        <w:rPr>
          <w:rStyle w:val="Style14"/>
          <w:rFonts w:ascii="Times New Roman" w:hAnsi="Times New Roman" w:eastAsia="標楷體"/>
          <w:sz w:val="28"/>
          <w:szCs w:val="28"/>
        </w:rPr>
        <w:t>其資料提供應含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機構變更前個案及業務相關資料。</w:t>
      </w:r>
    </w:p>
    <w:p>
      <w:pPr>
        <w:pStyle w:val="BodyText"/>
        <w:autoSpaceDE w:val="false"/>
        <w:snapToGrid w:val="false"/>
        <w:spacing w:lineRule="exact" w:line="480"/>
        <w:jc w:val="both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陸、申請類別</w:t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1081" w:leader="none"/>
        </w:tabs>
        <w:snapToGrid w:val="false"/>
        <w:spacing w:lineRule="exact" w:line="480"/>
        <w:ind w:left="1081" w:hanging="797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日間型精神復健機構。</w:t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1081" w:leader="none"/>
        </w:tabs>
        <w:snapToGrid w:val="false"/>
        <w:spacing w:lineRule="exact" w:line="480"/>
        <w:ind w:left="1081" w:hanging="797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住宿型精神復健機構。</w:t>
      </w:r>
    </w:p>
    <w:p>
      <w:pPr>
        <w:pStyle w:val="BodyText"/>
        <w:snapToGrid w:val="false"/>
        <w:spacing w:lineRule="exact" w:line="480"/>
        <w:jc w:val="both"/>
        <w:rPr/>
      </w:pPr>
      <w:r>
        <w:rPr>
          <w:rStyle w:val="Style14"/>
          <w:rFonts w:ascii="Times New Roman" w:hAnsi="Times New Roman" w:eastAsia="標楷體"/>
          <w:b/>
          <w:sz w:val="28"/>
          <w:szCs w:val="28"/>
        </w:rPr>
        <w:t>柒、評鑑內容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480" w:hanging="0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依「精神復健機構評鑑基準」所列項目辦理。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432" w:hanging="432"/>
        <w:jc w:val="both"/>
        <w:rPr/>
      </w:pPr>
      <w:r>
        <w:rPr>
          <w:rStyle w:val="Style14"/>
          <w:rFonts w:ascii="Times New Roman" w:hAnsi="Times New Roman" w:eastAsia="標楷體"/>
          <w:b/>
          <w:sz w:val="28"/>
          <w:szCs w:val="28"/>
        </w:rPr>
        <w:t>捌、申請表件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566" w:hanging="0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公告於衛生福利部精神復健機構評鑑管理系統與協辦單位網站。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432" w:hanging="432"/>
        <w:jc w:val="both"/>
        <w:rPr/>
      </w:pPr>
      <w:r>
        <w:rPr>
          <w:rStyle w:val="Style14"/>
          <w:rFonts w:ascii="Times New Roman" w:hAnsi="Times New Roman" w:eastAsia="標楷體"/>
          <w:b/>
          <w:sz w:val="28"/>
          <w:szCs w:val="28"/>
        </w:rPr>
        <w:t>玖、申請程序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1081" w:leader="none"/>
        </w:tabs>
        <w:snapToGrid w:val="false"/>
        <w:spacing w:lineRule="exact" w:line="480"/>
        <w:ind w:left="1081" w:hanging="79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申請日期由協辦單位公告於其網站。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1331" w:leader="none"/>
        </w:tabs>
        <w:snapToGrid w:val="false"/>
        <w:spacing w:lineRule="exact" w:line="480"/>
        <w:ind w:left="1331" w:hanging="104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評鑑資料申報方式為網路申報，資料繳交之相關規定請詳參閱申請評鑑注意事項，逾期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不受理</w:t>
      </w:r>
      <w:r>
        <w:rPr>
          <w:rStyle w:val="Style14"/>
          <w:rFonts w:ascii="Times New Roman" w:hAnsi="Times New Roman" w:eastAsia="標楷體"/>
          <w:sz w:val="28"/>
          <w:szCs w:val="28"/>
        </w:rPr>
        <w:t>。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1081" w:leader="none"/>
        </w:tabs>
        <w:snapToGrid w:val="false"/>
        <w:spacing w:lineRule="exact" w:line="480"/>
        <w:ind w:left="1081" w:hanging="79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請於前述期限內辦理下列事項：</w:t>
      </w:r>
    </w:p>
    <w:p>
      <w:pPr>
        <w:pStyle w:val="BodyText"/>
        <w:numPr>
          <w:ilvl w:val="2"/>
          <w:numId w:val="6"/>
        </w:numPr>
        <w:tabs>
          <w:tab w:val="clear" w:pos="480"/>
          <w:tab w:val="left" w:pos="3425" w:leader="none"/>
        </w:tabs>
        <w:snapToGrid w:val="false"/>
        <w:spacing w:lineRule="exact" w:line="480"/>
        <w:ind w:left="3425" w:hanging="1331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至衛生福利部精神復健機構評鑑管理系統填寫「申請書」</w:t>
      </w:r>
      <w:r>
        <w:rPr>
          <w:rStyle w:val="Style14"/>
          <w:rFonts w:eastAsia="標楷體" w:ascii="Times New Roman" w:hAnsi="Times New Roman"/>
          <w:sz w:val="28"/>
          <w:szCs w:val="28"/>
        </w:rPr>
        <w:t>(</w:t>
      </w:r>
      <w:r>
        <w:rPr>
          <w:rStyle w:val="Style14"/>
          <w:rFonts w:ascii="Times New Roman" w:hAnsi="Times New Roman" w:eastAsia="標楷體"/>
          <w:sz w:val="28"/>
          <w:szCs w:val="28"/>
        </w:rPr>
        <w:t>如附件一</w:t>
      </w:r>
      <w:r>
        <w:rPr>
          <w:rStyle w:val="Style14"/>
          <w:rFonts w:eastAsia="標楷體" w:ascii="Times New Roman" w:hAnsi="Times New Roman"/>
          <w:sz w:val="28"/>
          <w:szCs w:val="28"/>
        </w:rPr>
        <w:t>)</w:t>
      </w:r>
      <w:r>
        <w:rPr>
          <w:rStyle w:val="Style14"/>
          <w:rFonts w:ascii="Times New Roman" w:hAnsi="Times New Roman" w:eastAsia="標楷體"/>
          <w:sz w:val="28"/>
          <w:szCs w:val="28"/>
        </w:rPr>
        <w:t>，填寫完畢後下載「申請書」</w:t>
      </w:r>
      <w:r>
        <w:rPr>
          <w:rStyle w:val="Style14"/>
          <w:rFonts w:eastAsia="標楷體" w:ascii="Times New Roman" w:hAnsi="Times New Roman"/>
          <w:sz w:val="28"/>
          <w:szCs w:val="28"/>
        </w:rPr>
        <w:t xml:space="preserve">(A4 </w:t>
      </w:r>
      <w:r>
        <w:rPr>
          <w:rStyle w:val="Style14"/>
          <w:rFonts w:ascii="Times New Roman" w:hAnsi="Times New Roman" w:eastAsia="標楷體"/>
          <w:sz w:val="28"/>
          <w:szCs w:val="28"/>
        </w:rPr>
        <w:t>紙張規格</w:t>
      </w:r>
      <w:r>
        <w:rPr>
          <w:rStyle w:val="Style14"/>
          <w:rFonts w:eastAsia="標楷體" w:ascii="Times New Roman" w:hAnsi="Times New Roman"/>
          <w:sz w:val="28"/>
          <w:szCs w:val="28"/>
        </w:rPr>
        <w:t>)</w:t>
      </w:r>
      <w:r>
        <w:rPr>
          <w:rStyle w:val="Style14"/>
          <w:rFonts w:ascii="Times New Roman" w:hAnsi="Times New Roman" w:eastAsia="標楷體"/>
          <w:sz w:val="28"/>
          <w:szCs w:val="28"/>
        </w:rPr>
        <w:t>，並完成負責人簽章欄及關防，檢齊後由專人送達或郵寄（以郵戳為憑）至協辦單位提出申請，逾期不受理；如有相關證明文件未及備齊，應於截止日起</w:t>
      </w:r>
      <w:r>
        <w:rPr>
          <w:rStyle w:val="Style14"/>
          <w:rFonts w:eastAsia="標楷體" w:ascii="Times New Roman" w:hAnsi="Times New Roman"/>
          <w:sz w:val="28"/>
          <w:szCs w:val="28"/>
        </w:rPr>
        <w:t>5</w:t>
      </w:r>
      <w:r>
        <w:rPr>
          <w:rStyle w:val="Style14"/>
          <w:rFonts w:ascii="Times New Roman" w:hAnsi="Times New Roman" w:eastAsia="標楷體"/>
          <w:sz w:val="28"/>
          <w:szCs w:val="28"/>
        </w:rPr>
        <w:t>日內完成補件。</w:t>
      </w:r>
    </w:p>
    <w:p>
      <w:pPr>
        <w:pStyle w:val="BodyText"/>
        <w:numPr>
          <w:ilvl w:val="2"/>
          <w:numId w:val="6"/>
        </w:numPr>
        <w:tabs>
          <w:tab w:val="clear" w:pos="480"/>
          <w:tab w:val="left" w:pos="3425" w:leader="none"/>
        </w:tabs>
        <w:snapToGrid w:val="false"/>
        <w:spacing w:lineRule="exact" w:line="480"/>
        <w:ind w:left="3425" w:hanging="1331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另檢送「機構開業登記事項查證回復單」（如附件二，</w:t>
      </w:r>
      <w:r>
        <w:rPr>
          <w:rStyle w:val="Style14"/>
          <w:rFonts w:eastAsia="標楷體" w:ascii="Times New Roman" w:hAnsi="Times New Roman"/>
          <w:sz w:val="28"/>
          <w:szCs w:val="28"/>
        </w:rPr>
        <w:t>A4</w:t>
      </w:r>
      <w:r>
        <w:rPr>
          <w:rStyle w:val="Style14"/>
          <w:rFonts w:ascii="Times New Roman" w:hAnsi="Times New Roman" w:eastAsia="標楷體"/>
          <w:sz w:val="28"/>
          <w:szCs w:val="28"/>
        </w:rPr>
        <w:t>紙張規格，請於上述系統網頁下載）至所在地衛生局申請查證，衛生局查證後之結果，將寄回協辦單位處。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432" w:hanging="432"/>
        <w:jc w:val="both"/>
        <w:rPr/>
      </w:pPr>
      <w:r>
        <w:rPr>
          <w:rStyle w:val="Style14"/>
          <w:rFonts w:ascii="Times New Roman" w:hAnsi="Times New Roman" w:eastAsia="標楷體"/>
          <w:b/>
          <w:sz w:val="28"/>
          <w:szCs w:val="28"/>
        </w:rPr>
        <w:t>拾、評鑑作業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1365" w:leader="none"/>
        </w:tabs>
        <w:snapToGrid w:val="false"/>
        <w:spacing w:lineRule="exact" w:line="480"/>
        <w:ind w:left="1365" w:hanging="104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由協辦單位依本程序之規定初審各申請機構所送之資料，經初審不合申請資格者，由衛生福利部通知機構，不進行實地評鑑。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1365" w:leader="none"/>
        </w:tabs>
        <w:snapToGrid w:val="false"/>
        <w:spacing w:lineRule="exact" w:line="480"/>
        <w:ind w:left="1365" w:hanging="104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實地評鑑</w:t>
      </w:r>
    </w:p>
    <w:p>
      <w:pPr>
        <w:pStyle w:val="BodyText"/>
        <w:numPr>
          <w:ilvl w:val="2"/>
          <w:numId w:val="8"/>
        </w:numPr>
        <w:tabs>
          <w:tab w:val="clear" w:pos="480"/>
          <w:tab w:val="left" w:pos="3175" w:leader="none"/>
        </w:tabs>
        <w:snapToGrid w:val="false"/>
        <w:spacing w:lineRule="exact" w:line="480"/>
        <w:ind w:left="3175" w:hanging="1331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經初審合格之機構，將由協辦單位於實地評鑑日程前</w:t>
      </w:r>
      <w:r>
        <w:rPr>
          <w:rStyle w:val="Style14"/>
          <w:rFonts w:eastAsia="標楷體" w:ascii="Times New Roman" w:hAnsi="Times New Roman"/>
          <w:sz w:val="28"/>
          <w:szCs w:val="28"/>
        </w:rPr>
        <w:t>10</w:t>
      </w:r>
      <w:r>
        <w:rPr>
          <w:rStyle w:val="Style14"/>
          <w:rFonts w:ascii="Times New Roman" w:hAnsi="Times New Roman" w:eastAsia="標楷體"/>
          <w:sz w:val="28"/>
          <w:szCs w:val="28"/>
        </w:rPr>
        <w:t>個工作天通知受評機構。</w:t>
      </w:r>
    </w:p>
    <w:p>
      <w:pPr>
        <w:pStyle w:val="BodyText"/>
        <w:numPr>
          <w:ilvl w:val="2"/>
          <w:numId w:val="8"/>
        </w:numPr>
        <w:tabs>
          <w:tab w:val="clear" w:pos="480"/>
          <w:tab w:val="left" w:pos="3175" w:leader="none"/>
        </w:tabs>
        <w:snapToGrid w:val="false"/>
        <w:spacing w:lineRule="exact" w:line="480"/>
        <w:ind w:left="3175" w:hanging="1331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實地評鑑程序：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3072" w:leader="none"/>
        </w:tabs>
        <w:snapToGrid w:val="false"/>
        <w:spacing w:lineRule="exact" w:line="480"/>
        <w:ind w:left="3072" w:hanging="480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機構簡報。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3072" w:leader="none"/>
        </w:tabs>
        <w:snapToGrid w:val="false"/>
        <w:spacing w:lineRule="exact" w:line="480"/>
        <w:ind w:left="3072" w:hanging="480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實地查證。</w:t>
      </w:r>
    </w:p>
    <w:p>
      <w:pPr>
        <w:pStyle w:val="BodyText"/>
        <w:numPr>
          <w:ilvl w:val="0"/>
          <w:numId w:val="9"/>
        </w:numPr>
        <w:tabs>
          <w:tab w:val="clear" w:pos="480"/>
          <w:tab w:val="left" w:pos="3072" w:leader="none"/>
        </w:tabs>
        <w:snapToGrid w:val="false"/>
        <w:spacing w:lineRule="exact" w:line="480"/>
        <w:ind w:left="3072" w:hanging="480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綜合討論。</w:t>
      </w:r>
    </w:p>
    <w:p>
      <w:pPr>
        <w:pStyle w:val="BodyText"/>
        <w:numPr>
          <w:ilvl w:val="2"/>
          <w:numId w:val="8"/>
        </w:numPr>
        <w:tabs>
          <w:tab w:val="clear" w:pos="480"/>
          <w:tab w:val="left" w:pos="3175" w:leader="none"/>
        </w:tabs>
        <w:snapToGrid w:val="false"/>
        <w:spacing w:lineRule="exact" w:line="480"/>
        <w:ind w:left="3175" w:hanging="1331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實地評鑑時間：以</w:t>
      </w:r>
      <w:r>
        <w:rPr>
          <w:rStyle w:val="Style14"/>
          <w:rFonts w:eastAsia="標楷體" w:ascii="Times New Roman" w:hAnsi="Times New Roman"/>
          <w:sz w:val="28"/>
          <w:szCs w:val="28"/>
        </w:rPr>
        <w:t>3</w:t>
      </w:r>
      <w:r>
        <w:rPr>
          <w:rStyle w:val="Style14"/>
          <w:rFonts w:ascii="Times New Roman" w:hAnsi="Times New Roman" w:eastAsia="標楷體"/>
          <w:sz w:val="28"/>
          <w:szCs w:val="28"/>
        </w:rPr>
        <w:t>至</w:t>
      </w:r>
      <w:r>
        <w:rPr>
          <w:rStyle w:val="Style14"/>
          <w:rFonts w:eastAsia="標楷體" w:ascii="Times New Roman" w:hAnsi="Times New Roman"/>
          <w:sz w:val="28"/>
          <w:szCs w:val="28"/>
        </w:rPr>
        <w:t>3.5</w:t>
      </w:r>
      <w:r>
        <w:rPr>
          <w:rStyle w:val="Style14"/>
          <w:rFonts w:ascii="Times New Roman" w:hAnsi="Times New Roman" w:eastAsia="標楷體"/>
          <w:sz w:val="28"/>
          <w:szCs w:val="28"/>
        </w:rPr>
        <w:t>小時為原則，進行方式及時間分配如附件三。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1365" w:leader="none"/>
        </w:tabs>
        <w:snapToGrid w:val="false"/>
        <w:spacing w:lineRule="exact" w:line="480"/>
        <w:ind w:left="1365" w:hanging="104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為符合評鑑作業需要，得由協辦單位安排評鑑委員觀摩實地評鑑作業。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432" w:hanging="432"/>
        <w:jc w:val="both"/>
        <w:rPr/>
      </w:pPr>
      <w:r>
        <w:rPr>
          <w:rStyle w:val="Style14"/>
          <w:rFonts w:ascii="Times New Roman" w:hAnsi="Times New Roman" w:eastAsia="標楷體"/>
          <w:b/>
          <w:sz w:val="28"/>
          <w:szCs w:val="28"/>
        </w:rPr>
        <w:t>拾壹、實地評鑑日期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850" w:hanging="0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得於每年</w:t>
      </w:r>
      <w:r>
        <w:rPr>
          <w:rStyle w:val="Style14"/>
          <w:rFonts w:eastAsia="標楷體" w:ascii="Times New Roman" w:hAnsi="Times New Roman"/>
          <w:sz w:val="28"/>
          <w:szCs w:val="28"/>
        </w:rPr>
        <w:t>4</w:t>
      </w:r>
      <w:r>
        <w:rPr>
          <w:rStyle w:val="Style14"/>
          <w:rFonts w:ascii="Times New Roman" w:hAnsi="Times New Roman" w:eastAsia="標楷體"/>
          <w:sz w:val="28"/>
          <w:szCs w:val="28"/>
        </w:rPr>
        <w:t>月至</w:t>
      </w:r>
      <w:r>
        <w:rPr>
          <w:rStyle w:val="Style14"/>
          <w:rFonts w:eastAsia="標楷體" w:ascii="Times New Roman" w:hAnsi="Times New Roman"/>
          <w:sz w:val="28"/>
          <w:szCs w:val="28"/>
        </w:rPr>
        <w:t>11</w:t>
      </w:r>
      <w:r>
        <w:rPr>
          <w:rStyle w:val="Style14"/>
          <w:rFonts w:ascii="Times New Roman" w:hAnsi="Times New Roman" w:eastAsia="標楷體"/>
          <w:sz w:val="28"/>
          <w:szCs w:val="28"/>
        </w:rPr>
        <w:t>月辦理。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922" w:hanging="922"/>
        <w:jc w:val="both"/>
        <w:rPr/>
      </w:pPr>
      <w:r>
        <w:rPr>
          <w:rStyle w:val="Style14"/>
          <w:rFonts w:ascii="Times New Roman" w:hAnsi="Times New Roman" w:eastAsia="標楷體"/>
          <w:b/>
          <w:sz w:val="28"/>
          <w:szCs w:val="28"/>
        </w:rPr>
        <w:t>拾貳、評鑑成績核算及評定原則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850" w:hanging="0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依「精神復健機構評鑑成績核算方式與合格基準」（如附件四）進行評量與評定。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922" w:hanging="922"/>
        <w:jc w:val="both"/>
        <w:rPr/>
      </w:pPr>
      <w:r>
        <w:rPr>
          <w:rStyle w:val="Style14"/>
          <w:rFonts w:ascii="Times New Roman" w:hAnsi="Times New Roman" w:eastAsia="標楷體"/>
          <w:b/>
          <w:sz w:val="28"/>
          <w:szCs w:val="28"/>
        </w:rPr>
        <w:t>拾參、評鑑結果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504" w:leader="none"/>
        </w:tabs>
        <w:snapToGrid w:val="false"/>
        <w:spacing w:lineRule="exact" w:line="480"/>
        <w:ind w:left="1504" w:hanging="104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評鑑結果由主辦機關召開評定會議確認成績後公告，並發給合格證明文件，由協辦單位發給實地評鑑個別建議事項。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504" w:leader="none"/>
        </w:tabs>
        <w:snapToGrid w:val="false"/>
        <w:spacing w:lineRule="exact" w:line="480"/>
        <w:ind w:left="1504" w:hanging="104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經評鑑合格之機構，其評鑑資格有效期間為</w:t>
      </w:r>
      <w:r>
        <w:rPr>
          <w:rStyle w:val="Style14"/>
          <w:rFonts w:eastAsia="標楷體" w:ascii="Times New Roman" w:hAnsi="Times New Roman"/>
          <w:sz w:val="28"/>
          <w:szCs w:val="28"/>
        </w:rPr>
        <w:t>4</w:t>
      </w:r>
      <w:r>
        <w:rPr>
          <w:rStyle w:val="Style14"/>
          <w:rFonts w:ascii="Times New Roman" w:hAnsi="Times New Roman" w:eastAsia="標楷體"/>
          <w:sz w:val="28"/>
          <w:szCs w:val="28"/>
        </w:rPr>
        <w:t>年。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504" w:leader="none"/>
        </w:tabs>
        <w:snapToGrid w:val="false"/>
        <w:spacing w:lineRule="exact" w:line="480"/>
        <w:ind w:left="1504" w:hanging="1047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 xml:space="preserve">經評鑑合格之私立機構，如發生變更負責人等異動，其評鑑合格效期認定如下： </w:t>
      </w:r>
    </w:p>
    <w:p>
      <w:pPr>
        <w:pStyle w:val="BodyText"/>
        <w:numPr>
          <w:ilvl w:val="0"/>
          <w:numId w:val="11"/>
        </w:numPr>
        <w:tabs>
          <w:tab w:val="clear" w:pos="480"/>
          <w:tab w:val="left" w:pos="1473" w:leader="none"/>
        </w:tabs>
        <w:snapToGrid w:val="false"/>
        <w:spacing w:lineRule="exact" w:line="480"/>
        <w:ind w:left="1473" w:hanging="48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機構如因故歇業，由另一位負責人，於原址重新申請開業者（俗稱變更負責人），即屬新設立機構，應重新申請最近</w:t>
      </w:r>
      <w:r>
        <w:rPr>
          <w:rFonts w:eastAsia="標楷體" w:ascii="Times New Roman" w:hAnsi="Times New Roman"/>
          <w:sz w:val="28"/>
          <w:szCs w:val="28"/>
        </w:rPr>
        <w:t>1</w:t>
      </w:r>
      <w:r>
        <w:rPr>
          <w:rFonts w:ascii="Times New Roman" w:hAnsi="Times New Roman" w:eastAsia="標楷體"/>
          <w:sz w:val="28"/>
          <w:szCs w:val="28"/>
        </w:rPr>
        <w:t>次評鑑。</w:t>
      </w:r>
    </w:p>
    <w:p>
      <w:pPr>
        <w:pStyle w:val="BodyText"/>
        <w:numPr>
          <w:ilvl w:val="0"/>
          <w:numId w:val="11"/>
        </w:numPr>
        <w:tabs>
          <w:tab w:val="clear" w:pos="480"/>
          <w:tab w:val="left" w:pos="1473" w:leader="none"/>
        </w:tabs>
        <w:snapToGrid w:val="false"/>
        <w:spacing w:lineRule="exact" w:line="480"/>
        <w:ind w:left="1473" w:hanging="48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前款變更負責人之新設立機構，如實際上軟硬體設施及機構名稱並無異動，欲延續原評鑑合格效期者，應於變更負責人後</w:t>
      </w:r>
      <w:r>
        <w:rPr>
          <w:rFonts w:eastAsia="標楷體" w:ascii="Times New Roman" w:hAnsi="Times New Roman"/>
          <w:sz w:val="28"/>
          <w:szCs w:val="28"/>
        </w:rPr>
        <w:t>1</w:t>
      </w:r>
      <w:r>
        <w:rPr>
          <w:rFonts w:ascii="Times New Roman" w:hAnsi="Times New Roman" w:eastAsia="標楷體"/>
          <w:sz w:val="28"/>
          <w:szCs w:val="28"/>
        </w:rPr>
        <w:t>個月內，申請「專案複評」（惟領有開業執照日期已逾當年</w:t>
      </w:r>
      <w:r>
        <w:rPr>
          <w:rFonts w:eastAsia="標楷體" w:ascii="Times New Roman" w:hAnsi="Times New Roman"/>
          <w:sz w:val="28"/>
          <w:szCs w:val="28"/>
        </w:rPr>
        <w:t>5</w:t>
      </w:r>
      <w:r>
        <w:rPr>
          <w:rFonts w:ascii="Times New Roman" w:hAnsi="Times New Roman" w:eastAsia="標楷體"/>
          <w:sz w:val="28"/>
          <w:szCs w:val="28"/>
        </w:rPr>
        <w:t>月</w:t>
      </w:r>
      <w:r>
        <w:rPr>
          <w:rFonts w:eastAsia="標楷體" w:ascii="Times New Roman" w:hAnsi="Times New Roman"/>
          <w:sz w:val="28"/>
          <w:szCs w:val="28"/>
        </w:rPr>
        <w:t>31</w:t>
      </w:r>
      <w:r>
        <w:rPr>
          <w:rFonts w:ascii="Times New Roman" w:hAnsi="Times New Roman" w:eastAsia="標楷體"/>
          <w:sz w:val="28"/>
          <w:szCs w:val="28"/>
        </w:rPr>
        <w:t>日者，應於次年接受評鑑），接受專案複評時，其資料提供應含機構變更前個案及業務相關資料。通過「專案複評」者，得延續原評鑑合格效期；未通過「專案複評」者，則以主辦機關通知機構未通過「專案複評」之當月月底，為其原評鑑合格效期截止日。惟如機構變更負責人時，其評鑑合格效期已屆最後</w:t>
      </w:r>
      <w:r>
        <w:rPr>
          <w:rFonts w:eastAsia="標楷體" w:ascii="Times New Roman" w:hAnsi="Times New Roman"/>
          <w:sz w:val="28"/>
          <w:szCs w:val="28"/>
        </w:rPr>
        <w:t>1</w:t>
      </w:r>
      <w:r>
        <w:rPr>
          <w:rFonts w:ascii="Times New Roman" w:hAnsi="Times New Roman" w:eastAsia="標楷體"/>
          <w:sz w:val="28"/>
          <w:szCs w:val="28"/>
        </w:rPr>
        <w:t>年者，應重新申請評鑑。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504" w:leader="none"/>
        </w:tabs>
        <w:snapToGrid w:val="false"/>
        <w:spacing w:lineRule="exact" w:line="480"/>
        <w:ind w:left="1504" w:hanging="104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經評定公告為合格之機構，在有效期間內，如發生重大違規事件，得予註銷評鑑合格類別。所稱發生重大違規事件之處理與認定，由衛生福利部組成審查小組辦理。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504" w:leader="none"/>
        </w:tabs>
        <w:snapToGrid w:val="false"/>
        <w:spacing w:lineRule="exact" w:line="480"/>
        <w:ind w:left="1504" w:hanging="104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機構對評鑑結果有疑義者，得於公告後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個月內向主辦機關申請複查，惟複查結果不提供成績資料。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504" w:leader="none"/>
        </w:tabs>
        <w:snapToGrid w:val="false"/>
        <w:spacing w:lineRule="exact" w:line="480"/>
        <w:ind w:left="1504" w:hanging="104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評鑑結果未達合格基準者，於評鑑結果公告後</w:t>
      </w:r>
      <w:r>
        <w:rPr>
          <w:rStyle w:val="Style14"/>
          <w:rFonts w:eastAsia="標楷體" w:ascii="Times New Roman" w:hAnsi="Times New Roman"/>
          <w:sz w:val="28"/>
          <w:szCs w:val="28"/>
        </w:rPr>
        <w:t>2</w:t>
      </w:r>
      <w:r>
        <w:rPr>
          <w:rStyle w:val="Style14"/>
          <w:rFonts w:ascii="Times New Roman" w:hAnsi="Times New Roman" w:eastAsia="標楷體"/>
          <w:sz w:val="28"/>
          <w:szCs w:val="28"/>
        </w:rPr>
        <w:t>個月內僅進行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次複評。複評已達合格基準者，由本部逕予公告為評鑑合格機構，其合格效期為原評鑑合格效期屆滿日後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年。若複評仍未達合格基準者，則列為「評鑑不合格」，由主辦機關公告並函知機構，且以主辦機關函知「評鑑不合格」之當月月底或原評鑑合格效期屆滿日，為其評鑑合格效期截止日。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504" w:leader="none"/>
        </w:tabs>
        <w:snapToGrid w:val="false"/>
        <w:spacing w:lineRule="exact" w:line="480"/>
        <w:ind w:left="1504" w:hanging="1047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實地評鑑期間受評機構如有不符「精神復健機構設置及管理辦法」規定者，得由直轄市、縣（市）衛生局依相關法規及權責要求限期改善。屆期已改善者，精神復健機構評鑑成績雖達合格基準，次一年度得列為不定時追蹤輔導訪查必要追蹤輔導訪查機構（情節重大者得縮短合格效期）；屆期未改善者，得由衛生福利部逕予核定為「不合格」機構，並應由直轄市、縣（市）衛生局依法裁處。</w:t>
      </w:r>
      <w:r>
        <w:br w:type="page"/>
      </w:r>
    </w:p>
    <w:p>
      <w:pPr>
        <w:pStyle w:val="BodyText"/>
        <w:snapToGrid w:val="false"/>
        <w:spacing w:lineRule="atLeast" w:line="240" w:before="0" w:after="180"/>
        <w:jc w:val="center"/>
        <w:rPr/>
      </w:pPr>
      <w:r>
        <w:rPr>
          <w:rStyle w:val="Style14"/>
          <w:rFonts w:ascii="Times New Roman" w:hAnsi="Times New Roman" w:eastAsia="標楷體"/>
          <w:b/>
          <w:sz w:val="28"/>
          <w:szCs w:val="28"/>
        </w:rPr>
        <w:t>精神復健機構評鑑申請書</w:t>
      </w:r>
    </w:p>
    <w:tbl>
      <w:tblPr>
        <w:tblW w:w="9771" w:type="dxa"/>
        <w:jc w:val="center"/>
        <w:tblInd w:w="0" w:type="dxa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3230"/>
        <w:gridCol w:w="449"/>
        <w:gridCol w:w="1743"/>
        <w:gridCol w:w="496"/>
        <w:gridCol w:w="322"/>
        <w:gridCol w:w="300"/>
        <w:gridCol w:w="3182"/>
        <w:gridCol w:w="49"/>
      </w:tblGrid>
      <w:tr>
        <w:trPr>
          <w:trHeight w:val="4720" w:hRule="atLeast"/>
        </w:trPr>
        <w:tc>
          <w:tcPr>
            <w:tcW w:w="9771" w:type="dxa"/>
            <w:gridSpan w:val="8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BodyText"/>
              <w:spacing w:lineRule="auto" w:line="480"/>
              <w:ind w:right="-43" w:firstLine="48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本機構申請參加貴部辦理之</w:t>
            </w:r>
            <w:r>
              <w:rPr>
                <w:rStyle w:val="Style14"/>
                <w:rFonts w:ascii="新細明體" w:hAnsi="新細明體"/>
                <w:sz w:val="28"/>
                <w:szCs w:val="28"/>
              </w:rPr>
              <w:t>〇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年度精神復健機構評鑑，並願意主動提供評鑑所需資料及配合各項評鑑作業；有關本機構開業登記事項查證回復單，另案送請</w:t>
            </w:r>
            <w:r>
              <w:rPr>
                <w:rStyle w:val="Style14"/>
                <w:rFonts w:ascii="新細明體" w:hAnsi="新細明體"/>
                <w:sz w:val="28"/>
                <w:szCs w:val="28"/>
                <w:u w:val="single"/>
              </w:rPr>
              <w:t>〇〇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縣（市）政府衛生局查證，敬請　鑒核。</w:t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3">
                      <wp:simplePos x="0" y="0"/>
                      <wp:positionH relativeFrom="column">
                        <wp:posOffset>5412105</wp:posOffset>
                      </wp:positionH>
                      <wp:positionV relativeFrom="paragraph">
                        <wp:posOffset>-763905</wp:posOffset>
                      </wp:positionV>
                      <wp:extent cx="655320" cy="476250"/>
                      <wp:effectExtent l="0" t="0" r="0" b="0"/>
                      <wp:wrapNone/>
                      <wp:docPr id="3" name="文字方塊 307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5320" cy="476250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BodyText"/>
                                    <w:rPr>
                                      <w:rFonts w:ascii="標楷體" w:hAns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hAnsi="標楷體" w:eastAsia="標楷體"/>
                                    </w:rPr>
                                    <w:t>附件一</w:t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rokecolor="#000000" strokeweight="0pt" style="position:absolute;rotation:-0;width:51.6pt;height:37.5pt;mso-wrap-distance-left:0pt;mso-wrap-distance-right:0pt;mso-wrap-distance-top:0pt;mso-wrap-distance-bottom:0pt;margin-top:-60.15pt;mso-position-vertical-relative:text;margin-left:426.15pt;mso-position-horizontal-relative:text">
                      <v:textbox>
                        <w:txbxContent>
                          <w:p>
                            <w:pPr>
                              <w:pStyle w:val="BodyText"/>
                              <w:rPr>
                                <w:rFonts w:ascii="標楷體" w:hAnsi="標楷體" w:eastAsia="標楷體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附件一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4">
                      <wp:simplePos x="0" y="0"/>
                      <wp:positionH relativeFrom="column">
                        <wp:posOffset>4284980</wp:posOffset>
                      </wp:positionH>
                      <wp:positionV relativeFrom="paragraph">
                        <wp:posOffset>-363855</wp:posOffset>
                      </wp:positionV>
                      <wp:extent cx="2162175" cy="393065"/>
                      <wp:effectExtent l="0" t="0" r="0" b="0"/>
                      <wp:wrapNone/>
                      <wp:docPr id="4" name="文字方塊 1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2175" cy="393065"/>
                              </a:xfrm>
                              <a:prstGeom prst="rect"/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>
                                  <w:pPr>
                                    <w:pStyle w:val="BodyText"/>
                                    <w:spacing w:lineRule="atLeast" w:line="0"/>
                                    <w:rPr/>
                                  </w:pPr>
                                  <w:r>
                                    <w:rPr>
                                      <w:rStyle w:val="Style14"/>
                                      <w:rFonts w:eastAsia="標楷體"/>
                                      <w:color w:val="000000"/>
                                      <w:sz w:val="28"/>
                                      <w:szCs w:val="28"/>
                                    </w:rPr>
                                    <w:t>編號：</w:t>
                                  </w:r>
                                  <w:r>
                                    <w:rPr>
                                      <w:rStyle w:val="Style14"/>
                                      <w:rFonts w:eastAsia="標楷體"/>
                                      <w:color w:val="000000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          </w:t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yle="position:absolute;rotation:-0;width:170.25pt;height:30.95pt;mso-wrap-distance-left:0pt;mso-wrap-distance-right:0pt;mso-wrap-distance-top:0pt;mso-wrap-distance-bottom:0pt;margin-top:-28.65pt;mso-position-vertical-relative:text;margin-left:337.4pt;mso-position-horizontal-relative:text">
                      <v:textbo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color w:val="000000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eastAsia="標楷體"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  <w:p>
            <w:pPr>
              <w:pStyle w:val="BodyText"/>
              <w:spacing w:lineRule="auto" w:line="480"/>
              <w:ind w:firstLine="792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此     致</w:t>
            </w:r>
          </w:p>
          <w:p>
            <w:pPr>
              <w:pStyle w:val="BodyText"/>
              <w:spacing w:lineRule="auto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衛生福利部</w:t>
            </w:r>
          </w:p>
        </w:tc>
      </w:tr>
      <w:tr>
        <w:trPr>
          <w:trHeight w:val="567" w:hRule="atLeast"/>
        </w:trPr>
        <w:tc>
          <w:tcPr>
            <w:tcW w:w="3230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申請機構名稱（全銜）：</w:t>
            </w:r>
          </w:p>
        </w:tc>
        <w:tc>
          <w:tcPr>
            <w:tcW w:w="6492" w:type="dxa"/>
            <w:gridSpan w:val="6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30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申請機構代碼（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碼）：</w:t>
            </w:r>
          </w:p>
        </w:tc>
        <w:tc>
          <w:tcPr>
            <w:tcW w:w="6492" w:type="dxa"/>
            <w:gridSpan w:val="6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30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申請評鑑類別：</w:t>
            </w:r>
          </w:p>
        </w:tc>
        <w:tc>
          <w:tcPr>
            <w:tcW w:w="449" w:type="dxa"/>
            <w:tcBorders/>
            <w:vAlign w:val="center"/>
          </w:tcPr>
          <w:p>
            <w:pPr>
              <w:pStyle w:val="BodyText"/>
              <w:spacing w:lineRule="atLeast" w:line="0"/>
              <w:jc w:val="right"/>
              <w:rPr/>
            </w:pPr>
            <w:r>
              <w:rPr>
                <w:rStyle w:val="Style14"/>
                <w:rFonts w:ascii="新細明體" w:hAnsi="新細明體"/>
                <w:sz w:val="28"/>
                <w:szCs w:val="28"/>
              </w:rPr>
              <w:t>〇</w:t>
            </w:r>
          </w:p>
        </w:tc>
        <w:tc>
          <w:tcPr>
            <w:tcW w:w="2239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</w:tc>
        <w:tc>
          <w:tcPr>
            <w:tcW w:w="622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jc w:val="right"/>
              <w:rPr/>
            </w:pPr>
            <w:r>
              <w:rPr>
                <w:rStyle w:val="Style14"/>
                <w:rFonts w:ascii="新細明體" w:hAnsi="新細明體"/>
                <w:sz w:val="28"/>
                <w:szCs w:val="28"/>
              </w:rPr>
              <w:t>〇</w:t>
            </w:r>
          </w:p>
        </w:tc>
        <w:tc>
          <w:tcPr>
            <w:tcW w:w="318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60" w:hRule="atLeast"/>
        </w:trPr>
        <w:tc>
          <w:tcPr>
            <w:tcW w:w="3230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49" w:type="dxa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sz w:val="28"/>
                <w:szCs w:val="28"/>
              </w:rPr>
            </w:r>
          </w:p>
        </w:tc>
        <w:tc>
          <w:tcPr>
            <w:tcW w:w="1743" w:type="dxa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  <w:u w:val="single"/>
              </w:rPr>
            </w:pPr>
            <w:r>
              <w:rPr>
                <w:rFonts w:eastAsia="標楷體" w:ascii="Times New Roman" w:hAnsi="Times New Roman"/>
                <w:sz w:val="28"/>
                <w:szCs w:val="28"/>
                <w:u w:val="single"/>
              </w:rPr>
            </w:r>
          </w:p>
        </w:tc>
        <w:tc>
          <w:tcPr>
            <w:tcW w:w="818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/>
                <w:sz w:val="28"/>
                <w:szCs w:val="28"/>
              </w:rPr>
            </w:r>
          </w:p>
        </w:tc>
        <w:tc>
          <w:tcPr>
            <w:tcW w:w="3482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60" w:hRule="atLeast"/>
        </w:trPr>
        <w:tc>
          <w:tcPr>
            <w:tcW w:w="3230" w:type="dxa"/>
            <w:vMerge w:val="restart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最近一次評鑑結果：</w:t>
            </w:r>
          </w:p>
        </w:tc>
        <w:tc>
          <w:tcPr>
            <w:tcW w:w="449" w:type="dxa"/>
            <w:vMerge w:val="restart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/>
            </w:pPr>
            <w:r>
              <w:rPr>
                <w:rStyle w:val="Style14"/>
                <w:rFonts w:ascii="新細明體" w:hAnsi="新細明體"/>
                <w:sz w:val="28"/>
                <w:szCs w:val="28"/>
              </w:rPr>
              <w:t>〇</w:t>
            </w:r>
          </w:p>
        </w:tc>
        <w:tc>
          <w:tcPr>
            <w:tcW w:w="1743" w:type="dxa"/>
            <w:vMerge w:val="restart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</w:t>
            </w:r>
          </w:p>
        </w:tc>
        <w:tc>
          <w:tcPr>
            <w:tcW w:w="818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/>
            </w:pPr>
            <w:r>
              <w:rPr>
                <w:rStyle w:val="Style14"/>
                <w:rFonts w:ascii="新細明體" w:hAnsi="新細明體"/>
                <w:sz w:val="28"/>
                <w:szCs w:val="28"/>
              </w:rPr>
              <w:t>〇</w:t>
            </w:r>
          </w:p>
        </w:tc>
        <w:tc>
          <w:tcPr>
            <w:tcW w:w="3482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日間型機構評鑑合格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134" w:hRule="atLeast"/>
        </w:trPr>
        <w:tc>
          <w:tcPr>
            <w:tcW w:w="3230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9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43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18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/>
            </w:pPr>
            <w:r>
              <w:rPr>
                <w:rStyle w:val="Style14"/>
                <w:rFonts w:ascii="新細明體" w:hAnsi="新細明體"/>
                <w:sz w:val="28"/>
                <w:szCs w:val="28"/>
              </w:rPr>
              <w:t>〇</w:t>
            </w:r>
          </w:p>
        </w:tc>
        <w:tc>
          <w:tcPr>
            <w:tcW w:w="3482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住宿型機構評鑑合格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340" w:hRule="atLeast"/>
        </w:trPr>
        <w:tc>
          <w:tcPr>
            <w:tcW w:w="3230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9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43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18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/>
            </w:pPr>
            <w:r>
              <w:rPr>
                <w:rStyle w:val="Style14"/>
                <w:rFonts w:ascii="新細明體" w:hAnsi="新細明體"/>
                <w:sz w:val="28"/>
                <w:szCs w:val="28"/>
              </w:rPr>
              <w:t>〇</w:t>
            </w:r>
          </w:p>
        </w:tc>
        <w:tc>
          <w:tcPr>
            <w:tcW w:w="3482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日間型機構評鑑不合格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340" w:hRule="atLeast"/>
        </w:trPr>
        <w:tc>
          <w:tcPr>
            <w:tcW w:w="3230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9" w:type="dxa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743" w:type="dxa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818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/>
            </w:pPr>
            <w:r>
              <w:rPr>
                <w:rStyle w:val="Style14"/>
                <w:rFonts w:ascii="新細明體" w:hAnsi="新細明體"/>
                <w:sz w:val="28"/>
                <w:szCs w:val="28"/>
              </w:rPr>
              <w:t>〇</w:t>
            </w:r>
          </w:p>
        </w:tc>
        <w:tc>
          <w:tcPr>
            <w:tcW w:w="3482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住宿型機構評鑑不合格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340" w:hRule="atLeast"/>
        </w:trPr>
        <w:tc>
          <w:tcPr>
            <w:tcW w:w="3230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9" w:type="dxa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743" w:type="dxa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818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/>
            </w:pPr>
            <w:r>
              <w:rPr>
                <w:rStyle w:val="Style14"/>
                <w:rFonts w:ascii="新細明體" w:hAnsi="新細明體"/>
                <w:sz w:val="28"/>
                <w:szCs w:val="28"/>
              </w:rPr>
              <w:t>〇</w:t>
            </w:r>
          </w:p>
        </w:tc>
        <w:tc>
          <w:tcPr>
            <w:tcW w:w="3482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複評後合格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30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9" w:type="dxa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/>
            </w:pPr>
            <w:r>
              <w:rPr>
                <w:rStyle w:val="Style14"/>
                <w:rFonts w:ascii="新細明體" w:hAnsi="新細明體"/>
                <w:sz w:val="28"/>
                <w:szCs w:val="28"/>
              </w:rPr>
              <w:t>〇</w:t>
            </w:r>
          </w:p>
        </w:tc>
        <w:tc>
          <w:tcPr>
            <w:tcW w:w="6043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新申請機構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30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負責人簽章：</w:t>
            </w:r>
          </w:p>
        </w:tc>
        <w:tc>
          <w:tcPr>
            <w:tcW w:w="3310" w:type="dxa"/>
            <w:gridSpan w:val="5"/>
            <w:tcBorders/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18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請蓋關防及負責人章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30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聯絡人（職稱）：</w:t>
            </w:r>
          </w:p>
        </w:tc>
        <w:tc>
          <w:tcPr>
            <w:tcW w:w="6492" w:type="dxa"/>
            <w:gridSpan w:val="6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30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地址：</w:t>
            </w:r>
          </w:p>
        </w:tc>
        <w:tc>
          <w:tcPr>
            <w:tcW w:w="6492" w:type="dxa"/>
            <w:gridSpan w:val="6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30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電話：</w:t>
            </w:r>
          </w:p>
        </w:tc>
        <w:tc>
          <w:tcPr>
            <w:tcW w:w="6492" w:type="dxa"/>
            <w:gridSpan w:val="6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30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傳真：</w:t>
            </w:r>
          </w:p>
        </w:tc>
        <w:tc>
          <w:tcPr>
            <w:tcW w:w="6492" w:type="dxa"/>
            <w:gridSpan w:val="6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9722" w:type="dxa"/>
            <w:gridSpan w:val="7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中華民國</w:t>
            </w:r>
            <w:r>
              <w:rPr>
                <w:rStyle w:val="Style14"/>
                <w:rFonts w:ascii="新細明體" w:hAnsi="新細明體"/>
                <w:sz w:val="28"/>
                <w:szCs w:val="28"/>
              </w:rPr>
              <w:t>〇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新細明體" w:hAnsi="新細明體"/>
                <w:sz w:val="28"/>
                <w:szCs w:val="28"/>
              </w:rPr>
              <w:t>〇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新細明體" w:hAnsi="新細明體"/>
                <w:sz w:val="28"/>
                <w:szCs w:val="28"/>
              </w:rPr>
              <w:t>〇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left"/>
              <w:rPr/>
            </w:pPr>
            <w:r>
              <w:rPr/>
            </w:r>
          </w:p>
        </w:tc>
      </w:tr>
    </w:tbl>
    <w:p>
      <w:pPr>
        <w:pStyle w:val="BodyText"/>
        <w:spacing w:lineRule="exact" w:line="360"/>
        <w:jc w:val="center"/>
        <w:rPr/>
      </w:pPr>
      <w:r>
        <w:br w:type="page"/>
      </w:r>
      <w:r>
        <w:rPr/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eastAsia="標楷體" w:ascii="Times New Roman" w:hAnsi="Times New Roman"/>
                <w:szCs w:val="24"/>
              </w:rPr>
              <w:t>106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年度精神復健機構開業登記事項查證回復單</w:t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5">
                      <wp:simplePos x="0" y="0"/>
                      <wp:positionH relativeFrom="column">
                        <wp:posOffset>4648200</wp:posOffset>
                      </wp:positionH>
                      <wp:positionV relativeFrom="paragraph">
                        <wp:posOffset>-313690</wp:posOffset>
                      </wp:positionV>
                      <wp:extent cx="1828800" cy="342900"/>
                      <wp:effectExtent l="0" t="0" r="0" b="0"/>
                      <wp:wrapNone/>
                      <wp:docPr id="5" name="文字方塊 1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342900"/>
                              </a:xfrm>
                              <a:prstGeom prst="rect"/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>
                                  <w:pPr>
                                    <w:pStyle w:val="BodyText"/>
                                    <w:spacing w:lineRule="atLeast" w:line="0"/>
                                    <w:rPr/>
                                  </w:pPr>
                                  <w:r>
                                    <w:rPr>
                                      <w:rStyle w:val="Style14"/>
                                      <w:rFonts w:ascii="標楷體" w:hAnsi="標楷體" w:eastAsia="標楷體"/>
                                      <w:sz w:val="28"/>
                                      <w:szCs w:val="28"/>
                                    </w:rPr>
                                    <w:t>編號：</w:t>
                                  </w:r>
                                  <w:r>
                                    <w:rPr>
                                      <w:rStyle w:val="Style14"/>
                                      <w:rFonts w:ascii="標楷體" w:hAnsi="標楷體" w:eastAsia="標楷體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          </w:t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yle="position:absolute;rotation:-0;width:144pt;height:27pt;mso-wrap-distance-left:0pt;mso-wrap-distance-right:0pt;mso-wrap-distance-top:0pt;mso-wrap-distance-bottom:0pt;margin-top:-24.7pt;mso-position-vertical-relative:text;margin-left:366pt;mso-position-horizontal-relative:text">
                      <v:textbo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6">
                      <wp:simplePos x="0" y="0"/>
                      <wp:positionH relativeFrom="column">
                        <wp:posOffset>5706110</wp:posOffset>
                      </wp:positionH>
                      <wp:positionV relativeFrom="paragraph">
                        <wp:posOffset>-645160</wp:posOffset>
                      </wp:positionV>
                      <wp:extent cx="655320" cy="476250"/>
                      <wp:effectExtent l="0" t="0" r="0" b="0"/>
                      <wp:wrapNone/>
                      <wp:docPr id="6" name="文字方塊 1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5320" cy="476250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BodyText"/>
                                    <w:rPr>
                                      <w:rFonts w:ascii="標楷體" w:hAns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hAnsi="標楷體" w:eastAsia="標楷體"/>
                                    </w:rPr>
                                    <w:t>附件二</w:t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rokecolor="#000000" strokeweight="0pt" style="position:absolute;rotation:-0;width:51.6pt;height:37.5pt;mso-wrap-distance-left:0pt;mso-wrap-distance-right:0pt;mso-wrap-distance-top:0pt;mso-wrap-distance-bottom:0pt;margin-top:-50.8pt;mso-position-vertical-relative:text;margin-left:449.3pt;mso-position-horizontal-relative:text">
                      <v:textbox>
                        <w:txbxContent>
                          <w:p>
                            <w:pPr>
                              <w:pStyle w:val="BodyText"/>
                              <w:rPr>
                                <w:rFonts w:ascii="標楷體" w:hAnsi="標楷體" w:eastAsia="標楷體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附件二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  <w:p>
            <w:pPr>
              <w:pStyle w:val="BodyText"/>
              <w:spacing w:lineRule="exact" w:line="400"/>
              <w:jc w:val="right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年</w:t>
            </w:r>
            <w:r>
              <w:rPr>
                <w:rStyle w:val="Style14"/>
                <w:rFonts w:ascii="標楷體" w:hAnsi="標楷體" w:eastAsia="標楷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月</w:t>
            </w:r>
            <w:r>
              <w:rPr>
                <w:rStyle w:val="Style14"/>
                <w:rFonts w:ascii="標楷體" w:hAnsi="標楷體" w:eastAsia="標楷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日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本機構參加</w:t>
            </w:r>
            <w:r>
              <w:rPr>
                <w:rStyle w:val="Style14"/>
                <w:rFonts w:ascii="新細明體" w:hAnsi="新細明體"/>
                <w:szCs w:val="24"/>
                <w:u w:val="single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年度精神復健機構評鑑，設置類別為：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日間型機構 </w:t>
            </w: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住宿型機構</w:t>
            </w:r>
          </w:p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請就本機構之開業情形、負責人、專任管理人員、專業人員及核可服務量等資料予以查證，並請將結果通知財團法人醫院評鑑暨醫療品質策進會。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此致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br/>
            </w:r>
            <w:r>
              <w:rPr>
                <w:rStyle w:val="Style14"/>
                <w:rFonts w:eastAsia="標楷體" w:ascii="標楷體" w:hAnsi="標楷體"/>
                <w:szCs w:val="24"/>
                <w:u w:val="single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縣（市）衛生局 </w:t>
            </w:r>
          </w:p>
        </w:tc>
      </w:tr>
      <w:tr>
        <w:trPr>
          <w:trHeight w:val="360" w:hRule="atLeast"/>
        </w:trPr>
        <w:tc>
          <w:tcPr>
            <w:tcW w:w="96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申請機構：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                              </w:t>
            </w:r>
          </w:p>
        </w:tc>
      </w:tr>
      <w:tr>
        <w:trPr>
          <w:trHeight w:val="360" w:hRule="atLeast"/>
        </w:trPr>
        <w:tc>
          <w:tcPr>
            <w:tcW w:w="963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負 責 人：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                            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（請蓋關防及負責人章）</w:t>
            </w:r>
          </w:p>
        </w:tc>
      </w:tr>
      <w:tr>
        <w:trPr>
          <w:trHeight w:val="360" w:hRule="atLeast"/>
        </w:trPr>
        <w:tc>
          <w:tcPr>
            <w:tcW w:w="9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填表人簽章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>:</w:t>
            </w:r>
            <w:r>
              <w:rPr>
                <w:rStyle w:val="Style14"/>
                <w:rFonts w:eastAsia="標楷體" w:ascii="Times New Roman" w:hAnsi="Times New Roman"/>
                <w:szCs w:val="24"/>
                <w:u w:val="single"/>
              </w:rPr>
              <w:t xml:space="preserve">                                </w:t>
            </w:r>
          </w:p>
        </w:tc>
      </w:tr>
    </w:tbl>
    <w:p>
      <w:pPr>
        <w:pStyle w:val="BodyText"/>
        <w:snapToGrid w:val="false"/>
        <w:spacing w:lineRule="atLeast" w:line="240" w:before="180" w:after="0"/>
        <w:jc w:val="both"/>
        <w:rPr/>
      </w:pPr>
      <w:r>
        <w:rPr>
          <w:rStyle w:val="Style14"/>
          <w:rFonts w:ascii="新細明體" w:hAnsi="新細明體" w:cs="新細明體"/>
          <w:szCs w:val="24"/>
        </w:rPr>
        <w:t>◎</w:t>
      </w:r>
      <w:r>
        <w:rPr>
          <w:rStyle w:val="Style14"/>
          <w:rFonts w:ascii="Times New Roman" w:hAnsi="Times New Roman" w:eastAsia="標楷體"/>
          <w:szCs w:val="24"/>
        </w:rPr>
        <w:t>查證機構下列資料是否與衛生局登記之資料相符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49"/>
        <w:gridCol w:w="848"/>
        <w:gridCol w:w="2398"/>
        <w:gridCol w:w="1350"/>
        <w:gridCol w:w="1904"/>
        <w:gridCol w:w="1889"/>
      </w:tblGrid>
      <w:tr>
        <w:trPr>
          <w:tblHeader w:val="true"/>
          <w:trHeight w:val="20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Cs w:val="24"/>
              </w:rPr>
            </w:pPr>
            <w:r>
              <w:rPr>
                <w:rFonts w:ascii="Times New Roman" w:hAnsi="Times New Roman" w:eastAsia="標楷體"/>
                <w:spacing w:val="-12"/>
                <w:szCs w:val="24"/>
              </w:rPr>
              <w:t>項 目</w:t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本機構填報資料（機構填寫）</w:t>
            </w:r>
          </w:p>
        </w:tc>
        <w:tc>
          <w:tcPr>
            <w:tcW w:w="3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該機構登記資料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（衛生局填寫）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查證結果</w:t>
            </w:r>
          </w:p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（衛生局填寫）</w:t>
            </w:r>
          </w:p>
        </w:tc>
      </w:tr>
      <w:tr>
        <w:trPr>
          <w:trHeight w:val="20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Cs w:val="24"/>
              </w:rPr>
            </w:pPr>
            <w:r>
              <w:rPr>
                <w:rFonts w:ascii="Times New Roman" w:hAnsi="Times New Roman" w:eastAsia="標楷體"/>
                <w:spacing w:val="-12"/>
                <w:szCs w:val="24"/>
              </w:rPr>
              <w:t>機構屬性</w:t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公立機構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醫療法人附設機構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私立機構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醫療機構附設機構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法人或其他人民團體附設機構</w:t>
            </w:r>
          </w:p>
        </w:tc>
        <w:tc>
          <w:tcPr>
            <w:tcW w:w="3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公立機關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醫療法人附設機構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私立機構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醫療機構附設機構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法人或其他人民團體附設機構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Cs w:val="24"/>
              </w:rPr>
            </w:pPr>
            <w:r>
              <w:rPr>
                <w:rFonts w:ascii="Times New Roman" w:hAnsi="Times New Roman" w:eastAsia="標楷體"/>
                <w:spacing w:val="-12"/>
                <w:szCs w:val="24"/>
              </w:rPr>
              <w:t>設置類別</w:t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日間型機構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住宿型機構</w:t>
            </w:r>
          </w:p>
        </w:tc>
        <w:tc>
          <w:tcPr>
            <w:tcW w:w="3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日間型機構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住宿型機構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>)</w:t>
            </w:r>
          </w:p>
        </w:tc>
      </w:tr>
      <w:tr>
        <w:trPr>
          <w:trHeight w:val="20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Cs w:val="24"/>
              </w:rPr>
            </w:pPr>
            <w:r>
              <w:rPr>
                <w:rFonts w:ascii="Times New Roman" w:hAnsi="Times New Roman" w:eastAsia="標楷體"/>
                <w:spacing w:val="-12"/>
                <w:szCs w:val="24"/>
              </w:rPr>
              <w:t>執業登記</w:t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於評鑑申請截止日前領有開業執照？</w:t>
            </w: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是</w:t>
            </w: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否</w:t>
            </w:r>
          </w:p>
        </w:tc>
        <w:tc>
          <w:tcPr>
            <w:tcW w:w="3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於評鑑申請截止日前領有開業執照？</w:t>
            </w: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是 </w:t>
            </w: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否 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Cs w:val="24"/>
              </w:rPr>
            </w:pPr>
            <w:r>
              <w:rPr>
                <w:rFonts w:ascii="Times New Roman" w:hAnsi="Times New Roman" w:eastAsia="標楷體"/>
                <w:spacing w:val="-12"/>
                <w:szCs w:val="24"/>
              </w:rPr>
              <w:t>機構代碼</w:t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3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 xml:space="preserve">)       </w:t>
            </w:r>
          </w:p>
        </w:tc>
      </w:tr>
      <w:tr>
        <w:trPr>
          <w:trHeight w:val="1235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Cs w:val="24"/>
              </w:rPr>
            </w:pPr>
            <w:r>
              <w:rPr>
                <w:rFonts w:ascii="Times New Roman" w:hAnsi="Times New Roman" w:eastAsia="標楷體"/>
                <w:spacing w:val="-12"/>
                <w:szCs w:val="24"/>
              </w:rPr>
              <w:t>登記開業日期</w:t>
            </w:r>
            <w:r>
              <w:rPr>
                <w:rFonts w:eastAsia="標楷體" w:ascii="Times New Roman" w:hAnsi="Times New Roman"/>
                <w:spacing w:val="-12"/>
                <w:szCs w:val="24"/>
              </w:rPr>
              <w:t>(</w:t>
            </w:r>
            <w:r>
              <w:rPr>
                <w:rFonts w:ascii="Times New Roman" w:hAnsi="Times New Roman" w:eastAsia="標楷體"/>
                <w:spacing w:val="-12"/>
                <w:szCs w:val="24"/>
              </w:rPr>
              <w:t>原始發照日期</w:t>
            </w:r>
            <w:r>
              <w:rPr>
                <w:rFonts w:eastAsia="標楷體" w:ascii="Times New Roman" w:hAnsi="Times New Roman"/>
                <w:spacing w:val="-12"/>
                <w:szCs w:val="24"/>
              </w:rPr>
              <w:t>)</w:t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年   月   日</w:t>
            </w:r>
          </w:p>
        </w:tc>
        <w:tc>
          <w:tcPr>
            <w:tcW w:w="3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ind w:firstLine="60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年   月   日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>)</w:t>
            </w:r>
          </w:p>
        </w:tc>
      </w:tr>
      <w:tr>
        <w:trPr>
          <w:trHeight w:val="20" w:hRule="atLeast"/>
        </w:trPr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Cs w:val="24"/>
              </w:rPr>
            </w:pPr>
            <w:r>
              <w:rPr>
                <w:rFonts w:ascii="Times New Roman" w:hAnsi="Times New Roman" w:eastAsia="標楷體"/>
                <w:spacing w:val="-12"/>
                <w:szCs w:val="24"/>
              </w:rPr>
              <w:t>負責人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姓名：</w:t>
            </w:r>
          </w:p>
        </w:tc>
        <w:tc>
          <w:tcPr>
            <w:tcW w:w="23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姓名：</w:t>
            </w:r>
          </w:p>
        </w:tc>
        <w:tc>
          <w:tcPr>
            <w:tcW w:w="19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1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2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服務量為</w:t>
            </w:r>
            <w:r>
              <w:rPr>
                <w:rFonts w:eastAsia="標楷體" w:ascii="Times New Roman" w:hAnsi="Times New Roman"/>
                <w:szCs w:val="24"/>
              </w:rPr>
              <w:t xml:space="preserve">49 </w:t>
            </w:r>
            <w:r>
              <w:rPr>
                <w:rFonts w:ascii="Times New Roman" w:hAnsi="Times New Roman" w:eastAsia="標楷體"/>
                <w:szCs w:val="24"/>
              </w:rPr>
              <w:t>床</w:t>
            </w:r>
            <w:r>
              <w:rPr>
                <w:rFonts w:eastAsia="標楷體" w:ascii="Times New Roman" w:hAnsi="Times New Roman"/>
                <w:szCs w:val="24"/>
              </w:rPr>
              <w:t>(</w:t>
            </w:r>
            <w:r>
              <w:rPr>
                <w:rFonts w:ascii="Times New Roman" w:hAnsi="Times New Roman" w:eastAsia="標楷體"/>
                <w:szCs w:val="24"/>
              </w:rPr>
              <w:t>人</w:t>
            </w:r>
            <w:r>
              <w:rPr>
                <w:rFonts w:eastAsia="標楷體" w:ascii="Times New Roman" w:hAnsi="Times New Roman"/>
                <w:szCs w:val="24"/>
              </w:rPr>
              <w:t>)</w:t>
            </w:r>
            <w:r>
              <w:rPr>
                <w:rFonts w:ascii="Times New Roman" w:hAnsi="Times New Roman" w:eastAsia="標楷體"/>
                <w:szCs w:val="24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未抵任兼任專業人員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238" w:hanging="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專業領域 　</w:t>
            </w:r>
          </w:p>
          <w:p>
            <w:pPr>
              <w:pStyle w:val="BodyText"/>
              <w:snapToGrid w:val="false"/>
              <w:spacing w:lineRule="exact" w:line="400"/>
              <w:ind w:firstLine="204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抵任     時數／每週</w:t>
            </w:r>
          </w:p>
        </w:tc>
        <w:tc>
          <w:tcPr>
            <w:tcW w:w="3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服務量為</w:t>
            </w:r>
            <w:r>
              <w:rPr>
                <w:rFonts w:eastAsia="標楷體" w:ascii="Times New Roman" w:hAnsi="Times New Roman"/>
                <w:szCs w:val="24"/>
              </w:rPr>
              <w:t xml:space="preserve">49 </w:t>
            </w:r>
            <w:r>
              <w:rPr>
                <w:rFonts w:ascii="Times New Roman" w:hAnsi="Times New Roman" w:eastAsia="標楷體"/>
                <w:szCs w:val="24"/>
              </w:rPr>
              <w:t>床</w:t>
            </w:r>
            <w:r>
              <w:rPr>
                <w:rFonts w:eastAsia="標楷體" w:ascii="Times New Roman" w:hAnsi="Times New Roman"/>
                <w:szCs w:val="24"/>
              </w:rPr>
              <w:t>(</w:t>
            </w:r>
            <w:r>
              <w:rPr>
                <w:rFonts w:ascii="Times New Roman" w:hAnsi="Times New Roman" w:eastAsia="標楷體"/>
                <w:szCs w:val="24"/>
              </w:rPr>
              <w:t>人</w:t>
            </w:r>
            <w:r>
              <w:rPr>
                <w:rFonts w:eastAsia="標楷體" w:ascii="Times New Roman" w:hAnsi="Times New Roman"/>
                <w:szCs w:val="24"/>
              </w:rPr>
              <w:t>)</w:t>
            </w:r>
            <w:r>
              <w:rPr>
                <w:rFonts w:ascii="Times New Roman" w:hAnsi="Times New Roman" w:eastAsia="標楷體"/>
                <w:szCs w:val="24"/>
              </w:rPr>
              <w:t>以下機構請勾選：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未抵任兼任專業人員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5" w:hanging="19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抵任兼任專業人員</w:t>
            </w:r>
          </w:p>
          <w:p>
            <w:pPr>
              <w:pStyle w:val="BodyText"/>
              <w:snapToGrid w:val="false"/>
              <w:spacing w:lineRule="exact" w:line="400"/>
              <w:ind w:firstLine="221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專業領域</w:t>
            </w:r>
            <w:r>
              <w:rPr>
                <w:rFonts w:eastAsia="標楷體" w:ascii="Times New Roman" w:hAnsi="Times New Roman"/>
                <w:szCs w:val="24"/>
              </w:rPr>
              <w:t>_____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1339" w:hanging="108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抵任</w:t>
            </w:r>
            <w:r>
              <w:rPr>
                <w:rFonts w:eastAsia="標楷體" w:ascii="Times New Roman" w:hAnsi="Times New Roman"/>
                <w:szCs w:val="24"/>
              </w:rPr>
              <w:t>___</w:t>
            </w:r>
            <w:r>
              <w:rPr>
                <w:rFonts w:ascii="Times New Roman" w:hAnsi="Times New Roman" w:eastAsia="標楷體"/>
                <w:szCs w:val="24"/>
              </w:rPr>
              <w:t>時數／每週</w:t>
            </w:r>
          </w:p>
        </w:tc>
        <w:tc>
          <w:tcPr>
            <w:tcW w:w="18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Cs w:val="24"/>
              </w:rPr>
            </w:pPr>
            <w:r>
              <w:rPr>
                <w:rFonts w:ascii="Times New Roman" w:hAnsi="Times New Roman" w:eastAsia="標楷體"/>
                <w:spacing w:val="-12"/>
                <w:szCs w:val="24"/>
              </w:rPr>
              <w:t>專任管理人員</w:t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6" w:hanging="0"/>
              <w:jc w:val="right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位　　　</w:t>
            </w:r>
          </w:p>
        </w:tc>
        <w:tc>
          <w:tcPr>
            <w:tcW w:w="3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360" w:hanging="360"/>
              <w:jc w:val="right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位　　　     </w:t>
            </w:r>
          </w:p>
        </w:tc>
        <w:tc>
          <w:tcPr>
            <w:tcW w:w="1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 xml:space="preserve">)       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3879" w:hRule="atLeast"/>
        </w:trPr>
        <w:tc>
          <w:tcPr>
            <w:tcW w:w="12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服務量為</w:t>
            </w:r>
            <w:r>
              <w:rPr>
                <w:rFonts w:eastAsia="標楷體" w:ascii="Times New Roman" w:hAnsi="Times New Roman"/>
                <w:szCs w:val="24"/>
              </w:rPr>
              <w:t xml:space="preserve">49 </w:t>
            </w:r>
            <w:r>
              <w:rPr>
                <w:rFonts w:ascii="Times New Roman" w:hAnsi="Times New Roman" w:eastAsia="標楷體"/>
                <w:szCs w:val="24"/>
              </w:rPr>
              <w:t>床</w:t>
            </w:r>
            <w:r>
              <w:rPr>
                <w:rFonts w:eastAsia="標楷體" w:ascii="Times New Roman" w:hAnsi="Times New Roman"/>
                <w:szCs w:val="24"/>
              </w:rPr>
              <w:t>(</w:t>
            </w:r>
            <w:r>
              <w:rPr>
                <w:rFonts w:ascii="Times New Roman" w:hAnsi="Times New Roman" w:eastAsia="標楷體"/>
                <w:szCs w:val="24"/>
              </w:rPr>
              <w:t>人</w:t>
            </w:r>
            <w:r>
              <w:rPr>
                <w:rFonts w:eastAsia="標楷體" w:ascii="Times New Roman" w:hAnsi="Times New Roman"/>
                <w:szCs w:val="24"/>
              </w:rPr>
              <w:t>)</w:t>
            </w:r>
            <w:r>
              <w:rPr>
                <w:rFonts w:ascii="Times New Roman" w:hAnsi="Times New Roman" w:eastAsia="標楷體"/>
                <w:szCs w:val="24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未抵任兼任專業人員    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抵任兼任專業人員 </w:t>
            </w:r>
          </w:p>
          <w:tbl>
            <w:tblPr>
              <w:tblW w:w="3346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2"/>
              <w:gridCol w:w="567"/>
              <w:gridCol w:w="907"/>
            </w:tblGrid>
            <w:tr>
              <w:trPr>
                <w:trHeight w:val="583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專業領域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人數</w:t>
                  </w:r>
                </w:p>
              </w:tc>
              <w:tc>
                <w:tcPr>
                  <w:tcW w:w="9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Cs w:val="24"/>
                    </w:rPr>
                    <w:t>(</w:t>
                  </w:r>
                  <w:r>
                    <w:rPr>
                      <w:rFonts w:ascii="Times New Roman" w:hAnsi="Times New Roman" w:eastAsia="標楷體"/>
                      <w:szCs w:val="24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Cs w:val="24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3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服務量為</w:t>
            </w:r>
            <w:r>
              <w:rPr>
                <w:rFonts w:eastAsia="標楷體" w:ascii="Times New Roman" w:hAnsi="Times New Roman"/>
                <w:szCs w:val="24"/>
              </w:rPr>
              <w:t xml:space="preserve">49 </w:t>
            </w:r>
            <w:r>
              <w:rPr>
                <w:rFonts w:ascii="Times New Roman" w:hAnsi="Times New Roman" w:eastAsia="標楷體"/>
                <w:szCs w:val="24"/>
              </w:rPr>
              <w:t>床</w:t>
            </w:r>
            <w:r>
              <w:rPr>
                <w:rFonts w:eastAsia="標楷體" w:ascii="Times New Roman" w:hAnsi="Times New Roman"/>
                <w:szCs w:val="24"/>
              </w:rPr>
              <w:t>(</w:t>
            </w:r>
            <w:r>
              <w:rPr>
                <w:rFonts w:ascii="Times New Roman" w:hAnsi="Times New Roman" w:eastAsia="標楷體"/>
                <w:szCs w:val="24"/>
              </w:rPr>
              <w:t>人</w:t>
            </w:r>
            <w:r>
              <w:rPr>
                <w:rFonts w:eastAsia="標楷體" w:ascii="Times New Roman" w:hAnsi="Times New Roman"/>
                <w:szCs w:val="24"/>
              </w:rPr>
              <w:t>)</w:t>
            </w:r>
            <w:r>
              <w:rPr>
                <w:rFonts w:ascii="Times New Roman" w:hAnsi="Times New Roman" w:eastAsia="標楷體"/>
                <w:szCs w:val="24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未抵任兼任專業人員    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抵任兼任專業人員 </w:t>
            </w:r>
          </w:p>
          <w:tbl>
            <w:tblPr>
              <w:tblW w:w="3346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2"/>
              <w:gridCol w:w="567"/>
              <w:gridCol w:w="907"/>
            </w:tblGrid>
            <w:tr>
              <w:trPr>
                <w:trHeight w:val="583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專業領域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人數</w:t>
                  </w:r>
                </w:p>
              </w:tc>
              <w:tc>
                <w:tcPr>
                  <w:tcW w:w="9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Cs w:val="24"/>
                    </w:rPr>
                    <w:t>(</w:t>
                  </w:r>
                  <w:r>
                    <w:rPr>
                      <w:rFonts w:ascii="Times New Roman" w:hAnsi="Times New Roman" w:eastAsia="標楷體"/>
                      <w:szCs w:val="24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Cs w:val="24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  <w:tc>
          <w:tcPr>
            <w:tcW w:w="18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225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Cs w:val="24"/>
              </w:rPr>
            </w:pPr>
            <w:r>
              <w:rPr>
                <w:rFonts w:ascii="Times New Roman" w:hAnsi="Times New Roman" w:eastAsia="標楷體"/>
                <w:spacing w:val="-12"/>
                <w:szCs w:val="24"/>
              </w:rPr>
              <w:t>專業人員</w:t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365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5"/>
              <w:gridCol w:w="567"/>
              <w:gridCol w:w="567"/>
              <w:gridCol w:w="926"/>
            </w:tblGrid>
            <w:tr>
              <w:trPr/>
              <w:tc>
                <w:tcPr>
                  <w:tcW w:w="13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專業領域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專任人數</w:t>
                  </w:r>
                </w:p>
              </w:tc>
              <w:tc>
                <w:tcPr>
                  <w:tcW w:w="149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兼任人數</w:t>
                  </w:r>
                </w:p>
              </w:tc>
            </w:tr>
            <w:tr>
              <w:trPr/>
              <w:tc>
                <w:tcPr>
                  <w:tcW w:w="1305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人數</w:t>
                  </w:r>
                </w:p>
              </w:tc>
              <w:tc>
                <w:tcPr>
                  <w:tcW w:w="9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職能治療師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職能治療生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醫師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（未包含負責人及專任管理人員抵任專業人員時數）</w:t>
            </w:r>
          </w:p>
        </w:tc>
        <w:tc>
          <w:tcPr>
            <w:tcW w:w="3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367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5"/>
              <w:gridCol w:w="567"/>
              <w:gridCol w:w="567"/>
              <w:gridCol w:w="928"/>
            </w:tblGrid>
            <w:tr>
              <w:trPr/>
              <w:tc>
                <w:tcPr>
                  <w:tcW w:w="13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專業領域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專任人數</w:t>
                  </w:r>
                </w:p>
              </w:tc>
              <w:tc>
                <w:tcPr>
                  <w:tcW w:w="149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兼任人數</w:t>
                  </w:r>
                </w:p>
              </w:tc>
            </w:tr>
            <w:tr>
              <w:trPr/>
              <w:tc>
                <w:tcPr>
                  <w:tcW w:w="1305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人數</w:t>
                  </w:r>
                </w:p>
              </w:tc>
              <w:tc>
                <w:tcPr>
                  <w:tcW w:w="9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職能治療師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職能治療生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ascii="Times New Roman" w:hAnsi="Times New Roman" w:eastAsia="標楷體"/>
                      <w:szCs w:val="24"/>
                    </w:rPr>
                    <w:t>醫師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  <w:tc>
                <w:tcPr>
                  <w:tcW w:w="9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Cs w:val="24"/>
                    </w:rPr>
                  </w:pPr>
                  <w:r>
                    <w:rPr>
                      <w:rFonts w:eastAsia="標楷體" w:ascii="Times New Roman" w:hAnsi="Times New Roman"/>
                      <w:szCs w:val="24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（未包含負責人及專任管理人員抵任專業人員時數）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 xml:space="preserve">)      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20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Cs w:val="24"/>
              </w:rPr>
            </w:pPr>
            <w:r>
              <w:rPr>
                <w:rFonts w:ascii="Times New Roman" w:hAnsi="Times New Roman" w:eastAsia="標楷體"/>
                <w:spacing w:val="-12"/>
                <w:szCs w:val="24"/>
              </w:rPr>
              <w:t>衛生局核可服務量</w:t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right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     </w:t>
            </w:r>
            <w:r>
              <w:rPr>
                <w:rFonts w:ascii="Times New Roman" w:hAnsi="Times New Roman" w:eastAsia="標楷體"/>
                <w:szCs w:val="24"/>
              </w:rPr>
              <w:t>床（人）</w:t>
            </w:r>
          </w:p>
        </w:tc>
        <w:tc>
          <w:tcPr>
            <w:tcW w:w="3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right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</w:t>
            </w:r>
            <w:r>
              <w:rPr>
                <w:rFonts w:ascii="Times New Roman" w:hAnsi="Times New Roman" w:eastAsia="標楷體"/>
                <w:szCs w:val="24"/>
              </w:rPr>
              <w:t>床（人）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 xml:space="preserve">)      </w:t>
            </w:r>
          </w:p>
        </w:tc>
      </w:tr>
      <w:tr>
        <w:trPr>
          <w:trHeight w:val="20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Cs w:val="24"/>
              </w:rPr>
            </w:pPr>
            <w:r>
              <w:rPr>
                <w:rFonts w:ascii="Times New Roman" w:hAnsi="Times New Roman" w:eastAsia="標楷體"/>
                <w:spacing w:val="-12"/>
                <w:szCs w:val="24"/>
              </w:rPr>
              <w:t>總樓地板面積</w:t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ind w:firstLine="600"/>
              <w:jc w:val="right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   </w:t>
            </w:r>
            <w:r>
              <w:rPr>
                <w:rFonts w:ascii="Times New Roman" w:hAnsi="Times New Roman" w:eastAsia="標楷體"/>
                <w:szCs w:val="24"/>
              </w:rPr>
              <w:t>平方公尺</w:t>
            </w:r>
          </w:p>
        </w:tc>
        <w:tc>
          <w:tcPr>
            <w:tcW w:w="3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right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平方公尺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Cs w:val="24"/>
              </w:rPr>
            </w:pPr>
            <w:r>
              <w:rPr>
                <w:rFonts w:ascii="Times New Roman" w:hAnsi="Times New Roman" w:eastAsia="標楷體"/>
                <w:spacing w:val="-12"/>
                <w:szCs w:val="24"/>
              </w:rPr>
              <w:t xml:space="preserve">平均每床 </w:t>
            </w:r>
            <w:r>
              <w:rPr>
                <w:rFonts w:eastAsia="標楷體" w:ascii="Times New Roman" w:hAnsi="Times New Roman"/>
                <w:spacing w:val="-12"/>
                <w:szCs w:val="24"/>
              </w:rPr>
              <w:t>(</w:t>
            </w:r>
            <w:r>
              <w:rPr>
                <w:rFonts w:ascii="Times New Roman" w:hAnsi="Times New Roman" w:eastAsia="標楷體"/>
                <w:spacing w:val="-12"/>
                <w:szCs w:val="24"/>
              </w:rPr>
              <w:t>人</w:t>
            </w:r>
            <w:r>
              <w:rPr>
                <w:rFonts w:eastAsia="標楷體" w:ascii="Times New Roman" w:hAnsi="Times New Roman"/>
                <w:spacing w:val="-12"/>
                <w:szCs w:val="24"/>
              </w:rPr>
              <w:t>)</w:t>
            </w:r>
            <w:r>
              <w:rPr>
                <w:rFonts w:ascii="Times New Roman" w:hAnsi="Times New Roman" w:eastAsia="標楷體"/>
                <w:spacing w:val="-12"/>
                <w:szCs w:val="24"/>
              </w:rPr>
              <w:t>面積</w:t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72" w:firstLine="360"/>
              <w:jc w:val="right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  </w:t>
            </w:r>
            <w:r>
              <w:rPr>
                <w:rFonts w:ascii="Times New Roman" w:hAnsi="Times New Roman" w:eastAsia="標楷體"/>
                <w:szCs w:val="24"/>
              </w:rPr>
              <w:t>平方公尺</w:t>
            </w:r>
          </w:p>
        </w:tc>
        <w:tc>
          <w:tcPr>
            <w:tcW w:w="3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right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平方公尺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/>
                <w:szCs w:val="24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 xml:space="preserve">)       </w:t>
            </w:r>
          </w:p>
        </w:tc>
      </w:tr>
    </w:tbl>
    <w:p>
      <w:pPr>
        <w:pStyle w:val="BodyText"/>
        <w:rPr>
          <w:szCs w:val="24"/>
        </w:rPr>
      </w:pPr>
      <w:r>
        <w:rPr>
          <w:szCs w:val="24"/>
        </w:rPr>
      </w:r>
    </w:p>
    <w:p>
      <w:pPr>
        <w:pStyle w:val="BodyText"/>
        <w:rPr>
          <w:szCs w:val="24"/>
        </w:rPr>
      </w:pPr>
      <w:r>
        <w:rPr>
          <w:szCs w:val="24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62"/>
        <w:gridCol w:w="3476"/>
      </w:tblGrid>
      <w:tr>
        <w:trPr>
          <w:trHeight w:val="20" w:hRule="atLeast"/>
        </w:trPr>
        <w:tc>
          <w:tcPr>
            <w:tcW w:w="9638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 w:cs="新細明體"/>
                <w:szCs w:val="24"/>
              </w:rPr>
              <w:t>◎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綜合意見（衛生局填寫）</w:t>
            </w:r>
          </w:p>
        </w:tc>
      </w:tr>
      <w:tr>
        <w:trPr>
          <w:trHeight w:val="20" w:hRule="atLeast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  <w:tab w:val="left" w:pos="1527" w:leader="none"/>
              </w:tabs>
              <w:spacing w:lineRule="exact" w:line="400"/>
              <w:ind w:left="1527" w:hanging="1047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綜合上述資料該機構：</w:t>
            </w:r>
          </w:p>
          <w:p>
            <w:pPr>
              <w:pStyle w:val="BodyText"/>
              <w:numPr>
                <w:ilvl w:val="0"/>
                <w:numId w:val="14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符合精神復健機構設置標準</w:t>
            </w:r>
          </w:p>
          <w:p>
            <w:pPr>
              <w:pStyle w:val="BodyText"/>
              <w:numPr>
                <w:ilvl w:val="0"/>
                <w:numId w:val="14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不符合精神復健機構設置標準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請說明：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                             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）</w:t>
            </w:r>
          </w:p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  <w:tab w:val="left" w:pos="1527" w:leader="none"/>
              </w:tabs>
              <w:spacing w:lineRule="exact" w:line="400"/>
              <w:ind w:left="1527" w:hanging="1047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該機構是否屬新設立機構</w:t>
            </w:r>
            <w:r>
              <w:rPr>
                <w:rStyle w:val="Style14"/>
                <w:rFonts w:ascii="標楷體" w:hAnsi="標楷體" w:eastAsia="標楷體"/>
                <w:szCs w:val="24"/>
              </w:rPr>
              <w:t>：</w:t>
            </w:r>
          </w:p>
          <w:p>
            <w:pPr>
              <w:pStyle w:val="BodyText"/>
              <w:numPr>
                <w:ilvl w:val="0"/>
                <w:numId w:val="15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>
                <w:rFonts w:ascii="標楷體" w:hAnsi="標楷體" w:eastAsia="標楷體"/>
                <w:szCs w:val="24"/>
              </w:rPr>
            </w:pPr>
            <w:r>
              <w:rPr>
                <w:rFonts w:ascii="標楷體" w:hAnsi="標楷體" w:eastAsia="標楷體"/>
                <w:szCs w:val="24"/>
              </w:rPr>
              <w:t>是，請勾選以下原因：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567" w:firstLine="120"/>
              <w:jc w:val="both"/>
              <w:rPr>
                <w:rFonts w:ascii="標楷體" w:hAnsi="標楷體" w:eastAsia="標楷體"/>
                <w:szCs w:val="24"/>
              </w:rPr>
            </w:pPr>
            <w:r>
              <w:rPr>
                <w:rFonts w:ascii="標楷體" w:hAnsi="標楷體" w:eastAsia="標楷體"/>
                <w:szCs w:val="24"/>
              </w:rPr>
              <w:t xml:space="preserve"> ○</w:t>
            </w:r>
            <w:r>
              <w:rPr>
                <w:rFonts w:ascii="標楷體" w:hAnsi="標楷體" w:eastAsia="標楷體"/>
                <w:szCs w:val="24"/>
              </w:rPr>
              <w:t>首次設立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50" w:hanging="242"/>
              <w:jc w:val="both"/>
              <w:rPr/>
            </w:pPr>
            <w:r>
              <w:rPr>
                <w:rStyle w:val="Style14"/>
                <w:rFonts w:ascii="標楷體" w:hAnsi="標楷體" w:eastAsia="標楷體"/>
                <w:szCs w:val="24"/>
              </w:rPr>
              <w:t xml:space="preserve"> ○</w:t>
            </w:r>
            <w:r>
              <w:rPr>
                <w:rStyle w:val="Style14"/>
                <w:rFonts w:ascii="標楷體" w:hAnsi="標楷體" w:eastAsia="標楷體"/>
                <w:szCs w:val="24"/>
              </w:rPr>
              <w:t>因故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歇業，由另一位負責人，於原址重新申請開業者（俗稱變更負責人）。</w:t>
            </w:r>
          </w:p>
          <w:p>
            <w:pPr>
              <w:pStyle w:val="BodyText"/>
              <w:numPr>
                <w:ilvl w:val="0"/>
                <w:numId w:val="15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否，惟自前次評鑑迄今，期間有下列情形</w:t>
            </w:r>
            <w:r>
              <w:rPr>
                <w:rFonts w:eastAsia="標楷體" w:ascii="Times New Roman" w:hAnsi="Times New Roman"/>
                <w:szCs w:val="24"/>
              </w:rPr>
              <w:t>(</w:t>
            </w:r>
            <w:r>
              <w:rPr>
                <w:rFonts w:ascii="Times New Roman" w:hAnsi="Times New Roman" w:eastAsia="標楷體"/>
                <w:szCs w:val="24"/>
              </w:rPr>
              <w:t>請勾選，可複選，並填入次數及最近</w:t>
            </w:r>
            <w:r>
              <w:rPr>
                <w:rFonts w:eastAsia="標楷體" w:ascii="Times New Roman" w:hAnsi="Times New Roman"/>
                <w:szCs w:val="24"/>
              </w:rPr>
              <w:t>1</w:t>
            </w:r>
            <w:r>
              <w:rPr>
                <w:rFonts w:ascii="Times New Roman" w:hAnsi="Times New Roman" w:eastAsia="標楷體"/>
                <w:szCs w:val="24"/>
              </w:rPr>
              <w:t>次異動日期）：</w:t>
            </w:r>
          </w:p>
          <w:p>
            <w:pPr>
              <w:pStyle w:val="BodyText"/>
              <w:numPr>
                <w:ilvl w:val="2"/>
                <w:numId w:val="16"/>
              </w:numPr>
              <w:tabs>
                <w:tab w:val="clear" w:pos="480"/>
                <w:tab w:val="left" w:pos="2716" w:leader="none"/>
              </w:tabs>
              <w:spacing w:lineRule="exact" w:line="400"/>
              <w:ind w:left="2716" w:hanging="796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遷移地址（機構名稱及負責人並無異動）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日。</w:t>
            </w:r>
          </w:p>
          <w:p>
            <w:pPr>
              <w:pStyle w:val="BodyText"/>
              <w:numPr>
                <w:ilvl w:val="2"/>
                <w:numId w:val="16"/>
              </w:numPr>
              <w:tabs>
                <w:tab w:val="clear" w:pos="480"/>
                <w:tab w:val="left" w:pos="2716" w:leader="none"/>
              </w:tabs>
              <w:spacing w:lineRule="exact" w:line="400"/>
              <w:ind w:left="2716" w:hanging="796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公立醫院附設機構變更負責人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日。</w:t>
            </w:r>
          </w:p>
          <w:p>
            <w:pPr>
              <w:pStyle w:val="BodyText"/>
              <w:numPr>
                <w:ilvl w:val="2"/>
                <w:numId w:val="16"/>
              </w:numPr>
              <w:tabs>
                <w:tab w:val="clear" w:pos="480"/>
                <w:tab w:val="left" w:pos="2716" w:leader="none"/>
              </w:tabs>
              <w:spacing w:lineRule="exact" w:line="400"/>
              <w:ind w:left="2716" w:hanging="796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僅變更機構名稱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機構主體設施設備及工作人員並無異動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>)</w:t>
            </w:r>
            <w:r>
              <w:rPr>
                <w:rStyle w:val="Style14"/>
                <w:rFonts w:eastAsia="標楷體" w:ascii="Times New Roman" w:hAnsi="Times New Roman"/>
                <w:szCs w:val="24"/>
                <w:u w:val="single"/>
              </w:rPr>
              <w:t xml:space="preserve">   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日。</w:t>
            </w:r>
          </w:p>
          <w:p>
            <w:pPr>
              <w:pStyle w:val="BodyText"/>
              <w:numPr>
                <w:ilvl w:val="2"/>
                <w:numId w:val="16"/>
              </w:numPr>
              <w:tabs>
                <w:tab w:val="clear" w:pos="480"/>
                <w:tab w:val="left" w:pos="2716" w:leader="none"/>
              </w:tabs>
              <w:spacing w:lineRule="exact" w:line="400"/>
              <w:ind w:left="2716" w:hanging="796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>擴充、增建及改建已變更原評鑑規模、範圍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Cs w:val="24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日。</w:t>
            </w:r>
          </w:p>
          <w:p>
            <w:pPr>
              <w:pStyle w:val="BodyText"/>
              <w:numPr>
                <w:ilvl w:val="2"/>
                <w:numId w:val="16"/>
              </w:numPr>
              <w:tabs>
                <w:tab w:val="clear" w:pos="480"/>
                <w:tab w:val="left" w:pos="2716" w:leader="none"/>
              </w:tabs>
              <w:spacing w:lineRule="exact" w:line="400"/>
              <w:ind w:left="2716" w:hanging="796"/>
              <w:jc w:val="both"/>
              <w:rPr/>
            </w:pPr>
            <w:r>
              <w:rPr>
                <w:rStyle w:val="Style14"/>
                <w:rFonts w:ascii="標楷體" w:hAnsi="標楷體" w:eastAsia="標楷體"/>
                <w:szCs w:val="24"/>
              </w:rPr>
              <w:t>以上均無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。</w:t>
            </w:r>
          </w:p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  <w:tab w:val="left" w:pos="1527" w:leader="none"/>
              </w:tabs>
              <w:spacing w:lineRule="exact" w:line="400"/>
              <w:ind w:left="1527" w:hanging="1047"/>
              <w:jc w:val="both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該機構於本局所登記之資料，業已輸入「醫事管理系統」中：</w:t>
            </w:r>
          </w:p>
          <w:p>
            <w:pPr>
              <w:pStyle w:val="BodyText"/>
              <w:numPr>
                <w:ilvl w:val="0"/>
                <w:numId w:val="17"/>
              </w:numPr>
              <w:tabs>
                <w:tab w:val="clear" w:pos="480"/>
                <w:tab w:val="left" w:pos="960" w:leader="none"/>
              </w:tabs>
              <w:spacing w:lineRule="exact" w:line="400"/>
              <w:ind w:left="960" w:hanging="48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已核實輸入</w:t>
            </w:r>
          </w:p>
          <w:p>
            <w:pPr>
              <w:pStyle w:val="BodyText"/>
              <w:numPr>
                <w:ilvl w:val="0"/>
                <w:numId w:val="17"/>
              </w:numPr>
              <w:tabs>
                <w:tab w:val="clear" w:pos="480"/>
                <w:tab w:val="left" w:pos="960" w:leader="none"/>
              </w:tabs>
              <w:spacing w:lineRule="exact" w:line="400"/>
              <w:ind w:left="960" w:hanging="48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未輸入（註：務請於</w:t>
            </w:r>
            <w:r>
              <w:rPr>
                <w:rFonts w:eastAsia="標楷體" w:ascii="Times New Roman" w:hAnsi="Times New Roman"/>
                <w:szCs w:val="24"/>
              </w:rPr>
              <w:t xml:space="preserve">3 </w:t>
            </w:r>
            <w:r>
              <w:rPr>
                <w:rFonts w:ascii="Times New Roman" w:hAnsi="Times New Roman" w:eastAsia="標楷體"/>
                <w:szCs w:val="24"/>
              </w:rPr>
              <w:t>日內完成輸入，以免影響該機構之評鑑成績。）</w:t>
            </w:r>
          </w:p>
        </w:tc>
      </w:tr>
      <w:tr>
        <w:trPr>
          <w:trHeight w:val="20" w:hRule="atLeast"/>
        </w:trPr>
        <w:tc>
          <w:tcPr>
            <w:tcW w:w="9638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</w:rPr>
              <w:t xml:space="preserve">　　　　　　　        　      </w:t>
            </w:r>
            <w:r>
              <w:rPr>
                <w:rStyle w:val="Style14"/>
                <w:rFonts w:ascii="Times New Roman" w:hAnsi="Times New Roman" w:eastAsia="標楷體"/>
                <w:szCs w:val="24"/>
                <w:u w:val="single"/>
              </w:rPr>
              <w:t xml:space="preserve">                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縣（市）衛生局</w:t>
            </w:r>
          </w:p>
        </w:tc>
      </w:tr>
      <w:tr>
        <w:trPr>
          <w:trHeight w:val="20" w:hRule="atLeast"/>
        </w:trPr>
        <w:tc>
          <w:tcPr>
            <w:tcW w:w="6162" w:type="dxa"/>
            <w:tcBorders>
              <w:lef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查證人員：</w:t>
            </w:r>
          </w:p>
        </w:tc>
        <w:tc>
          <w:tcPr>
            <w:tcW w:w="3476" w:type="dxa"/>
            <w:tcBorders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簽章        </w:t>
            </w:r>
          </w:p>
        </w:tc>
      </w:tr>
      <w:tr>
        <w:trPr>
          <w:trHeight w:val="20" w:hRule="atLeast"/>
        </w:trPr>
        <w:tc>
          <w:tcPr>
            <w:tcW w:w="61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業務主管：</w:t>
            </w:r>
          </w:p>
        </w:tc>
        <w:tc>
          <w:tcPr>
            <w:tcW w:w="347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 xml:space="preserve">簽章        </w:t>
            </w:r>
          </w:p>
        </w:tc>
      </w:tr>
    </w:tbl>
    <w:p>
      <w:pPr>
        <w:pStyle w:val="BodyText"/>
        <w:tabs>
          <w:tab w:val="clear" w:pos="480"/>
        </w:tabs>
        <w:snapToGrid w:val="false"/>
        <w:spacing w:lineRule="atLeast" w:line="240"/>
        <w:ind w:left="480" w:hanging="480"/>
        <w:jc w:val="both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註：</w:t>
      </w:r>
    </w:p>
    <w:p>
      <w:pPr>
        <w:pStyle w:val="BodyText"/>
        <w:numPr>
          <w:ilvl w:val="0"/>
          <w:numId w:val="18"/>
        </w:numPr>
        <w:tabs>
          <w:tab w:val="clear" w:pos="480"/>
          <w:tab w:val="left" w:pos="764" w:leader="none"/>
        </w:tabs>
        <w:snapToGrid w:val="false"/>
        <w:spacing w:lineRule="atLeast" w:line="240"/>
        <w:ind w:left="764" w:hanging="764"/>
        <w:jc w:val="both"/>
        <w:rPr/>
      </w:pPr>
      <w:r>
        <w:rPr>
          <w:rStyle w:val="Style14"/>
          <w:rFonts w:ascii="Times New Roman" w:hAnsi="Times New Roman" w:eastAsia="標楷體"/>
          <w:szCs w:val="24"/>
        </w:rPr>
        <w:t>請確認該機構於貴局所登記之資料，業已輸入「</w:t>
      </w:r>
      <w:r>
        <w:rPr>
          <w:rStyle w:val="Style14"/>
          <w:rFonts w:ascii="Times New Roman" w:hAnsi="Times New Roman" w:eastAsia="標楷體"/>
          <w:szCs w:val="24"/>
          <w:u w:val="single"/>
        </w:rPr>
        <w:t>醫事管理系統</w:t>
      </w:r>
      <w:r>
        <w:rPr>
          <w:rStyle w:val="Style14"/>
          <w:rFonts w:ascii="Times New Roman" w:hAnsi="Times New Roman" w:eastAsia="標楷體"/>
          <w:szCs w:val="24"/>
        </w:rPr>
        <w:t>」中，以免影響該機構之評鑑成績。</w:t>
      </w:r>
    </w:p>
    <w:p>
      <w:pPr>
        <w:pStyle w:val="BodyText"/>
        <w:numPr>
          <w:ilvl w:val="0"/>
          <w:numId w:val="18"/>
        </w:numPr>
        <w:tabs>
          <w:tab w:val="clear" w:pos="480"/>
          <w:tab w:val="left" w:pos="764" w:leader="none"/>
        </w:tabs>
        <w:snapToGrid w:val="false"/>
        <w:spacing w:lineRule="atLeast" w:line="240"/>
        <w:ind w:left="764" w:hanging="764"/>
        <w:jc w:val="both"/>
        <w:rPr/>
      </w:pPr>
      <w:r>
        <w:rPr>
          <w:rStyle w:val="Style14"/>
          <w:rFonts w:ascii="Times New Roman" w:hAnsi="Times New Roman" w:eastAsia="標楷體"/>
          <w:szCs w:val="24"/>
        </w:rPr>
        <w:t>本回復單煩請貴局於</w:t>
      </w:r>
      <w:r>
        <w:rPr>
          <w:rStyle w:val="Style14"/>
          <w:rFonts w:ascii="標楷體" w:hAnsi="標楷體" w:eastAsia="標楷體"/>
          <w:szCs w:val="24"/>
        </w:rPr>
        <w:t>○</w:t>
      </w:r>
      <w:r>
        <w:rPr>
          <w:rStyle w:val="Style14"/>
          <w:rFonts w:ascii="Times New Roman" w:hAnsi="Times New Roman" w:eastAsia="標楷體"/>
          <w:szCs w:val="24"/>
        </w:rPr>
        <w:t>年</w:t>
      </w:r>
      <w:r>
        <w:rPr>
          <w:rStyle w:val="Style14"/>
          <w:rFonts w:ascii="標楷體" w:hAnsi="標楷體" w:eastAsia="標楷體"/>
          <w:szCs w:val="24"/>
        </w:rPr>
        <w:t>○</w:t>
      </w:r>
      <w:r>
        <w:rPr>
          <w:rStyle w:val="Style14"/>
          <w:rFonts w:ascii="Times New Roman" w:hAnsi="Times New Roman" w:eastAsia="標楷體"/>
          <w:szCs w:val="24"/>
        </w:rPr>
        <w:t>月</w:t>
      </w:r>
      <w:r>
        <w:rPr>
          <w:rStyle w:val="Style14"/>
          <w:rFonts w:ascii="標楷體" w:hAnsi="標楷體" w:eastAsia="標楷體"/>
          <w:szCs w:val="24"/>
        </w:rPr>
        <w:t>○</w:t>
      </w:r>
      <w:r>
        <w:rPr>
          <w:rStyle w:val="Style14"/>
          <w:rFonts w:ascii="Times New Roman" w:hAnsi="Times New Roman" w:eastAsia="標楷體"/>
          <w:szCs w:val="24"/>
        </w:rPr>
        <w:t>日前逕寄財團法人醫院評鑑暨醫療品質策進會（</w:t>
      </w:r>
      <w:r>
        <w:rPr>
          <w:rStyle w:val="Style14"/>
          <w:rFonts w:eastAsia="標楷體" w:ascii="Times New Roman" w:hAnsi="Times New Roman"/>
          <w:szCs w:val="24"/>
        </w:rPr>
        <w:t xml:space="preserve">220 </w:t>
      </w:r>
      <w:r>
        <w:rPr>
          <w:rStyle w:val="Style14"/>
          <w:rFonts w:ascii="Times New Roman" w:hAnsi="Times New Roman" w:eastAsia="標楷體"/>
          <w:szCs w:val="24"/>
        </w:rPr>
        <w:t>新北市板橋區三民路二段</w:t>
      </w:r>
      <w:r>
        <w:rPr>
          <w:rStyle w:val="Style14"/>
          <w:rFonts w:eastAsia="標楷體" w:ascii="Times New Roman" w:hAnsi="Times New Roman"/>
          <w:szCs w:val="24"/>
        </w:rPr>
        <w:t xml:space="preserve">31 </w:t>
      </w:r>
      <w:r>
        <w:rPr>
          <w:rStyle w:val="Style14"/>
          <w:rFonts w:ascii="Times New Roman" w:hAnsi="Times New Roman" w:eastAsia="標楷體"/>
          <w:szCs w:val="24"/>
        </w:rPr>
        <w:t>號</w:t>
      </w:r>
      <w:r>
        <w:rPr>
          <w:rStyle w:val="Style14"/>
          <w:rFonts w:eastAsia="標楷體" w:ascii="Times New Roman" w:hAnsi="Times New Roman"/>
          <w:szCs w:val="24"/>
        </w:rPr>
        <w:t xml:space="preserve">5 </w:t>
      </w:r>
      <w:r>
        <w:rPr>
          <w:rStyle w:val="Style14"/>
          <w:rFonts w:ascii="Times New Roman" w:hAnsi="Times New Roman" w:eastAsia="標楷體"/>
          <w:szCs w:val="24"/>
        </w:rPr>
        <w:t>樓）彙辦，以符合機構申請評鑑時效。</w:t>
      </w:r>
      <w:r>
        <w:br w:type="page"/>
      </w:r>
    </w:p>
    <w:p>
      <w:pPr>
        <w:pStyle w:val="BodyText"/>
        <w:jc w:val="center"/>
        <w:rPr/>
      </w:pPr>
      <w:r>
        <w:rPr>
          <w:rStyle w:val="Style14"/>
          <w:rFonts w:eastAsia="標楷體" w:ascii="Times New Roman" w:hAnsi="Times New Roman"/>
          <w:b/>
          <w:sz w:val="28"/>
          <w:szCs w:val="28"/>
        </w:rPr>
        <w:t>106</w:t>
      </w:r>
      <w:r>
        <w:rPr>
          <w:rStyle w:val="Style14"/>
          <w:rFonts w:ascii="Times New Roman" w:hAnsi="Times New Roman" w:eastAsia="標楷體"/>
          <w:b/>
          <w:sz w:val="28"/>
          <w:szCs w:val="28"/>
        </w:rPr>
        <w:t>年度精神復健機構實地評鑑進行方式及時間分配表</w: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posOffset>5858510</wp:posOffset>
                </wp:positionH>
                <wp:positionV relativeFrom="paragraph">
                  <wp:posOffset>-257810</wp:posOffset>
                </wp:positionV>
                <wp:extent cx="655320" cy="476250"/>
                <wp:effectExtent l="0" t="0" r="0" b="0"/>
                <wp:wrapNone/>
                <wp:docPr id="7" name="文字方塊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" cy="4762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標楷體" w:hAnsi="標楷體" w:eastAsia="標楷體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附件三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-0;width:51.6pt;height:37.5pt;mso-wrap-distance-left:0pt;mso-wrap-distance-right:0pt;mso-wrap-distance-top:0pt;mso-wrap-distance-bottom:0pt;margin-top:-20.3pt;mso-position-vertical-relative:text;margin-left:461.3pt;mso-position-horizontal-relative:text">
                <v:textbox>
                  <w:txbxContent>
                    <w:p>
                      <w:pPr>
                        <w:pStyle w:val="BodyText"/>
                        <w:rPr>
                          <w:rFonts w:ascii="標楷體" w:hAnsi="標楷體" w:eastAsia="標楷體"/>
                        </w:rPr>
                      </w:pPr>
                      <w:r>
                        <w:rPr>
                          <w:rFonts w:ascii="標楷體" w:hAnsi="標楷體" w:eastAsia="標楷體"/>
                        </w:rPr>
                        <w:t>附件三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948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00"/>
        <w:gridCol w:w="2748"/>
        <w:gridCol w:w="2835"/>
      </w:tblGrid>
      <w:tr>
        <w:trPr>
          <w:trHeight w:val="950" w:hRule="atLeast"/>
          <w:cantSplit w:val="true"/>
        </w:trPr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進 行 程 序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時間分配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備註</w:t>
            </w:r>
          </w:p>
        </w:tc>
      </w:tr>
      <w:tr>
        <w:trPr>
          <w:trHeight w:val="580" w:hRule="atLeast"/>
          <w:cantSplit w:val="true"/>
        </w:trPr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一、負責人致詞及介紹陪評人員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5</w:t>
            </w:r>
            <w:r>
              <w:rPr>
                <w:rFonts w:ascii="Times New Roman" w:hAnsi="Times New Roman" w:eastAsia="標楷體"/>
                <w:szCs w:val="24"/>
              </w:rPr>
              <w:t>分鐘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二、召集委員致詞並介紹評鑑委員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5</w:t>
            </w:r>
            <w:r>
              <w:rPr>
                <w:rFonts w:ascii="Times New Roman" w:hAnsi="Times New Roman" w:eastAsia="標楷體"/>
                <w:szCs w:val="24"/>
              </w:rPr>
              <w:t>分鐘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三、機構簡報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20</w:t>
            </w:r>
            <w:r>
              <w:rPr>
                <w:rFonts w:ascii="Times New Roman" w:hAnsi="Times New Roman" w:eastAsia="標楷體"/>
                <w:szCs w:val="24"/>
              </w:rPr>
              <w:t>分鐘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簡報資料請置於會場</w:t>
            </w:r>
          </w:p>
        </w:tc>
      </w:tr>
      <w:tr>
        <w:trPr>
          <w:trHeight w:val="580" w:hRule="atLeast"/>
          <w:cantSplit w:val="true"/>
        </w:trPr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四、實地查證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szCs w:val="24"/>
              </w:rPr>
              <w:t>60-90</w:t>
            </w:r>
            <w:r>
              <w:rPr>
                <w:rStyle w:val="Style14"/>
                <w:rFonts w:ascii="Times New Roman" w:hAnsi="Times New Roman" w:eastAsia="標楷體"/>
                <w:szCs w:val="24"/>
              </w:rPr>
              <w:t>分鐘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1</w:t>
            </w:r>
            <w:r>
              <w:rPr>
                <w:rFonts w:ascii="Times New Roman" w:hAnsi="Times New Roman" w:eastAsia="標楷體"/>
                <w:szCs w:val="24"/>
              </w:rPr>
              <w:t>、</w:t>
            </w:r>
            <w:r>
              <w:rPr>
                <w:rFonts w:eastAsia="標楷體" w:ascii="Times New Roman" w:hAnsi="Times New Roman"/>
                <w:szCs w:val="24"/>
              </w:rPr>
              <w:t>2</w:t>
            </w:r>
          </w:p>
        </w:tc>
      </w:tr>
      <w:tr>
        <w:trPr>
          <w:trHeight w:val="580" w:hRule="atLeast"/>
          <w:cantSplit w:val="true"/>
        </w:trPr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五、機構代表面談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20</w:t>
            </w:r>
            <w:r>
              <w:rPr>
                <w:rFonts w:ascii="Times New Roman" w:hAnsi="Times New Roman" w:eastAsia="標楷體"/>
                <w:szCs w:val="24"/>
              </w:rPr>
              <w:t>分鐘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3</w:t>
            </w:r>
          </w:p>
        </w:tc>
      </w:tr>
      <w:tr>
        <w:trPr>
          <w:trHeight w:val="580" w:hRule="atLeast"/>
          <w:cantSplit w:val="true"/>
        </w:trPr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六、陪同人員報告及交換意見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10</w:t>
            </w:r>
            <w:r>
              <w:rPr>
                <w:rFonts w:ascii="Times New Roman" w:hAnsi="Times New Roman" w:eastAsia="標楷體"/>
                <w:szCs w:val="24"/>
              </w:rPr>
              <w:t>分鐘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4</w:t>
            </w:r>
          </w:p>
        </w:tc>
      </w:tr>
      <w:tr>
        <w:trPr>
          <w:trHeight w:val="580" w:hRule="atLeast"/>
          <w:cantSplit w:val="true"/>
        </w:trPr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七、委員整理資料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40</w:t>
            </w:r>
            <w:r>
              <w:rPr>
                <w:rFonts w:ascii="Times New Roman" w:hAnsi="Times New Roman" w:eastAsia="標楷體"/>
                <w:szCs w:val="24"/>
              </w:rPr>
              <w:t>分鐘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5</w:t>
            </w:r>
          </w:p>
        </w:tc>
      </w:tr>
      <w:tr>
        <w:trPr>
          <w:trHeight w:val="800" w:hRule="atLeast"/>
          <w:cantSplit w:val="true"/>
        </w:trPr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八、綜合討論</w:t>
            </w:r>
          </w:p>
          <w:p>
            <w:pPr>
              <w:pStyle w:val="BodyText"/>
              <w:numPr>
                <w:ilvl w:val="0"/>
                <w:numId w:val="19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衛生局查證報告</w:t>
            </w:r>
          </w:p>
          <w:p>
            <w:pPr>
              <w:pStyle w:val="BodyText"/>
              <w:numPr>
                <w:ilvl w:val="0"/>
                <w:numId w:val="19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委員講評</w:t>
            </w:r>
          </w:p>
          <w:p>
            <w:pPr>
              <w:pStyle w:val="BodyText"/>
              <w:numPr>
                <w:ilvl w:val="0"/>
                <w:numId w:val="19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受評機構提出說明或意見交換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20</w:t>
            </w:r>
            <w:r>
              <w:rPr>
                <w:rFonts w:ascii="Times New Roman" w:hAnsi="Times New Roman" w:eastAsia="標楷體"/>
                <w:szCs w:val="24"/>
              </w:rPr>
              <w:t>分鐘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  <w:u w:val="single"/>
              </w:rPr>
            </w:pPr>
            <w:r>
              <w:rPr>
                <w:rFonts w:ascii="Times New Roman" w:hAnsi="Times New Roman" w:eastAsia="標楷體"/>
                <w:szCs w:val="24"/>
                <w:u w:val="single"/>
              </w:rPr>
              <w:t>註</w:t>
            </w:r>
            <w:r>
              <w:rPr>
                <w:rFonts w:eastAsia="標楷體" w:ascii="Times New Roman" w:hAnsi="Times New Roman"/>
                <w:szCs w:val="24"/>
                <w:u w:val="single"/>
              </w:rPr>
              <w:t>6</w:t>
            </w:r>
          </w:p>
        </w:tc>
      </w:tr>
      <w:tr>
        <w:trPr>
          <w:trHeight w:val="800" w:hRule="atLeast"/>
          <w:cantSplit w:val="true"/>
        </w:trPr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合計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  <w:t>180-210</w:t>
            </w:r>
            <w:r>
              <w:rPr>
                <w:rFonts w:ascii="Times New Roman" w:hAnsi="Times New Roman" w:eastAsia="標楷體"/>
                <w:szCs w:val="24"/>
              </w:rPr>
              <w:t>分鐘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</w:tbl>
    <w:p>
      <w:pPr>
        <w:pStyle w:val="BodyText"/>
        <w:snapToGrid w:val="false"/>
        <w:spacing w:lineRule="auto" w:line="300"/>
        <w:rPr>
          <w:rFonts w:ascii="Times New Roman" w:hAnsi="Times New Roman" w:eastAsia="標楷體"/>
          <w:b/>
          <w:szCs w:val="24"/>
        </w:rPr>
      </w:pPr>
      <w:r>
        <w:rPr>
          <w:rFonts w:ascii="Times New Roman" w:hAnsi="Times New Roman" w:eastAsia="標楷體"/>
          <w:b/>
          <w:szCs w:val="24"/>
        </w:rPr>
        <w:t>備註：</w:t>
      </w:r>
    </w:p>
    <w:p>
      <w:pPr>
        <w:pStyle w:val="BodyText"/>
        <w:numPr>
          <w:ilvl w:val="0"/>
          <w:numId w:val="20"/>
        </w:numPr>
        <w:tabs>
          <w:tab w:val="clear" w:pos="480"/>
          <w:tab w:val="left" w:pos="1146" w:leader="none"/>
        </w:tabs>
        <w:snapToGrid w:val="false"/>
        <w:spacing w:lineRule="auto" w:line="300"/>
        <w:ind w:left="1146" w:hanging="764"/>
        <w:jc w:val="both"/>
        <w:rPr/>
      </w:pPr>
      <w:r>
        <w:rPr>
          <w:rStyle w:val="Style14"/>
          <w:rFonts w:ascii="Times New Roman" w:hAnsi="Times New Roman" w:eastAsia="標楷體"/>
          <w:szCs w:val="24"/>
        </w:rPr>
        <w:t>實地評鑑期間，為利評鑑委員進行訪談，請 貴機構配合</w:t>
      </w:r>
      <w:r>
        <w:rPr>
          <w:rStyle w:val="Style14"/>
          <w:rFonts w:ascii="Times New Roman" w:hAnsi="Times New Roman" w:eastAsia="標楷體"/>
          <w:b/>
          <w:szCs w:val="24"/>
          <w:shd w:fill="FFFFFF" w:val="clear"/>
        </w:rPr>
        <w:t>勿安排住民</w:t>
      </w:r>
      <w:r>
        <w:rPr>
          <w:rStyle w:val="Style14"/>
          <w:rFonts w:eastAsia="標楷體" w:ascii="Times New Roman" w:hAnsi="Times New Roman"/>
          <w:b/>
          <w:szCs w:val="24"/>
          <w:shd w:fill="FFFFFF" w:val="clear"/>
        </w:rPr>
        <w:t>/</w:t>
      </w:r>
      <w:r>
        <w:rPr>
          <w:rStyle w:val="Style14"/>
          <w:rFonts w:ascii="Times New Roman" w:hAnsi="Times New Roman" w:eastAsia="標楷體"/>
          <w:b/>
          <w:szCs w:val="24"/>
          <w:shd w:fill="FFFFFF" w:val="clear"/>
        </w:rPr>
        <w:t>學員團體外出活動</w:t>
      </w:r>
      <w:r>
        <w:rPr>
          <w:rStyle w:val="Style14"/>
          <w:rFonts w:ascii="Times New Roman" w:hAnsi="Times New Roman" w:eastAsia="標楷體"/>
          <w:szCs w:val="24"/>
        </w:rPr>
        <w:t>（如郊遊、參訪等），並</w:t>
      </w:r>
      <w:r>
        <w:rPr>
          <w:rStyle w:val="Style14"/>
          <w:rFonts w:ascii="Times New Roman" w:hAnsi="Times New Roman" w:eastAsia="標楷體"/>
          <w:b/>
          <w:szCs w:val="24"/>
          <w:shd w:fill="FFFFFF" w:val="clear"/>
        </w:rPr>
        <w:t>不得拒絕</w:t>
      </w:r>
      <w:r>
        <w:rPr>
          <w:rStyle w:val="Style14"/>
          <w:rFonts w:ascii="Times New Roman" w:hAnsi="Times New Roman" w:eastAsia="標楷體"/>
          <w:szCs w:val="24"/>
        </w:rPr>
        <w:t>委員</w:t>
      </w:r>
      <w:r>
        <w:rPr>
          <w:rStyle w:val="Style14"/>
          <w:rFonts w:ascii="Times New Roman" w:hAnsi="Times New Roman" w:eastAsia="標楷體"/>
          <w:b/>
          <w:szCs w:val="24"/>
          <w:shd w:fill="FFFFFF" w:val="clear"/>
        </w:rPr>
        <w:t>訪視</w:t>
      </w:r>
      <w:r>
        <w:rPr>
          <w:rStyle w:val="Style14"/>
          <w:rFonts w:ascii="Times New Roman" w:hAnsi="Times New Roman" w:eastAsia="標楷體"/>
          <w:szCs w:val="24"/>
        </w:rPr>
        <w:t>依常規外出之住民</w:t>
      </w:r>
      <w:r>
        <w:rPr>
          <w:rStyle w:val="Style14"/>
          <w:rFonts w:eastAsia="標楷體" w:ascii="Times New Roman" w:hAnsi="Times New Roman"/>
          <w:szCs w:val="24"/>
        </w:rPr>
        <w:t>/</w:t>
      </w:r>
      <w:r>
        <w:rPr>
          <w:rStyle w:val="Style14"/>
          <w:rFonts w:ascii="Times New Roman" w:hAnsi="Times New Roman" w:eastAsia="標楷體"/>
          <w:szCs w:val="24"/>
        </w:rPr>
        <w:t>學員。</w:t>
      </w:r>
    </w:p>
    <w:p>
      <w:pPr>
        <w:pStyle w:val="BodyText"/>
        <w:numPr>
          <w:ilvl w:val="0"/>
          <w:numId w:val="20"/>
        </w:numPr>
        <w:tabs>
          <w:tab w:val="clear" w:pos="480"/>
          <w:tab w:val="left" w:pos="1146" w:leader="none"/>
        </w:tabs>
        <w:snapToGrid w:val="false"/>
        <w:spacing w:lineRule="auto" w:line="300"/>
        <w:ind w:left="1146" w:hanging="764"/>
        <w:jc w:val="both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評鑑委員查證時，請機構指派業務相關同仁陪同並備詢，惟以不影響作業正常運作為原則。</w:t>
      </w:r>
    </w:p>
    <w:p>
      <w:pPr>
        <w:pStyle w:val="BodyText"/>
        <w:numPr>
          <w:ilvl w:val="0"/>
          <w:numId w:val="20"/>
        </w:numPr>
        <w:tabs>
          <w:tab w:val="clear" w:pos="480"/>
          <w:tab w:val="left" w:pos="1146" w:leader="none"/>
        </w:tabs>
        <w:snapToGrid w:val="false"/>
        <w:spacing w:lineRule="auto" w:line="300"/>
        <w:ind w:left="1146" w:hanging="764"/>
        <w:jc w:val="both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機構面談人員由委員現場決定，列席人數以</w:t>
      </w:r>
      <w:r>
        <w:rPr>
          <w:rFonts w:eastAsia="標楷體" w:ascii="Times New Roman" w:hAnsi="Times New Roman"/>
          <w:szCs w:val="24"/>
        </w:rPr>
        <w:t>2</w:t>
      </w:r>
      <w:r>
        <w:rPr>
          <w:rFonts w:ascii="Times New Roman" w:hAnsi="Times New Roman" w:eastAsia="標楷體"/>
          <w:szCs w:val="24"/>
        </w:rPr>
        <w:t>至</w:t>
      </w:r>
      <w:r>
        <w:rPr>
          <w:rFonts w:eastAsia="標楷體" w:ascii="Times New Roman" w:hAnsi="Times New Roman"/>
          <w:szCs w:val="24"/>
        </w:rPr>
        <w:t>3</w:t>
      </w:r>
      <w:r>
        <w:rPr>
          <w:rFonts w:ascii="Times New Roman" w:hAnsi="Times New Roman" w:eastAsia="標楷體"/>
          <w:szCs w:val="24"/>
        </w:rPr>
        <w:t>人為原則，列席對象以負責人、機構經營者為主。</w:t>
      </w:r>
    </w:p>
    <w:p>
      <w:pPr>
        <w:pStyle w:val="BodyText"/>
        <w:numPr>
          <w:ilvl w:val="0"/>
          <w:numId w:val="20"/>
        </w:numPr>
        <w:tabs>
          <w:tab w:val="clear" w:pos="480"/>
          <w:tab w:val="left" w:pos="1146" w:leader="none"/>
        </w:tabs>
        <w:snapToGrid w:val="false"/>
        <w:spacing w:lineRule="auto" w:line="300"/>
        <w:ind w:left="1146" w:hanging="764"/>
        <w:jc w:val="both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陪同人員報告時段，受評機構同仁請迴避</w:t>
      </w:r>
      <w:r>
        <w:rPr>
          <w:rFonts w:eastAsia="標楷體" w:ascii="Times New Roman" w:hAnsi="Times New Roman"/>
          <w:szCs w:val="24"/>
        </w:rPr>
        <w:t>(</w:t>
      </w:r>
      <w:r>
        <w:rPr>
          <w:rFonts w:ascii="Times New Roman" w:hAnsi="Times New Roman" w:eastAsia="標楷體"/>
          <w:szCs w:val="24"/>
        </w:rPr>
        <w:t>實地評鑑陪同人員係指：衛生局代表、社會局代表、健保署代表、病人權益促進團體代表</w:t>
      </w:r>
      <w:r>
        <w:rPr>
          <w:rFonts w:eastAsia="標楷體" w:ascii="Times New Roman" w:hAnsi="Times New Roman"/>
          <w:szCs w:val="24"/>
        </w:rPr>
        <w:t>)</w:t>
      </w:r>
      <w:r>
        <w:rPr>
          <w:rFonts w:ascii="Times New Roman" w:hAnsi="Times New Roman" w:eastAsia="標楷體"/>
          <w:szCs w:val="24"/>
        </w:rPr>
        <w:t>。</w:t>
      </w:r>
    </w:p>
    <w:p>
      <w:pPr>
        <w:pStyle w:val="BodyText"/>
        <w:numPr>
          <w:ilvl w:val="0"/>
          <w:numId w:val="20"/>
        </w:numPr>
        <w:tabs>
          <w:tab w:val="clear" w:pos="480"/>
          <w:tab w:val="left" w:pos="1146" w:leader="none"/>
        </w:tabs>
        <w:snapToGrid w:val="false"/>
        <w:spacing w:lineRule="auto" w:line="300"/>
        <w:ind w:left="1146" w:hanging="764"/>
        <w:jc w:val="both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委員整理資料時段，陪同人員及受評機構同仁請迴避。</w:t>
      </w:r>
    </w:p>
    <w:p>
      <w:pPr>
        <w:pStyle w:val="BodyText"/>
        <w:numPr>
          <w:ilvl w:val="0"/>
          <w:numId w:val="20"/>
        </w:numPr>
        <w:tabs>
          <w:tab w:val="clear" w:pos="480"/>
          <w:tab w:val="left" w:pos="1146" w:leader="none"/>
        </w:tabs>
        <w:snapToGrid w:val="false"/>
        <w:spacing w:lineRule="auto" w:line="300"/>
        <w:ind w:left="1146" w:hanging="764"/>
        <w:jc w:val="both"/>
        <w:rPr/>
      </w:pPr>
      <w:r>
        <w:rPr>
          <w:rStyle w:val="Style14"/>
          <w:rFonts w:ascii="Times New Roman" w:hAnsi="Times New Roman" w:eastAsia="標楷體"/>
          <w:szCs w:val="24"/>
          <w:u w:val="single"/>
        </w:rPr>
        <w:t>地方衛生局</w:t>
      </w:r>
      <w:r>
        <w:rPr>
          <w:rStyle w:val="Style14"/>
          <w:rFonts w:ascii="Times New Roman" w:hAnsi="Times New Roman" w:eastAsia="標楷體"/>
          <w:b/>
          <w:szCs w:val="24"/>
          <w:u w:val="single"/>
        </w:rPr>
        <w:t>應</w:t>
      </w:r>
      <w:r>
        <w:rPr>
          <w:rStyle w:val="Style14"/>
          <w:rFonts w:ascii="Times New Roman" w:hAnsi="Times New Roman" w:eastAsia="標楷體"/>
          <w:szCs w:val="24"/>
          <w:u w:val="single"/>
        </w:rPr>
        <w:t>配合進行口頭報告並提供實地查證報告書面資料。</w:t>
      </w:r>
    </w:p>
    <w:p>
      <w:pPr>
        <w:sectPr>
          <w:footerReference w:type="default" r:id="rId3"/>
          <w:type w:val="nextPage"/>
          <w:pgSz w:w="11906" w:h="16838"/>
          <w:pgMar w:left="1134" w:right="1134" w:gutter="0" w:header="0" w:top="851" w:footer="556" w:bottom="1134"/>
          <w:pgNumType w:fmt="decimal"/>
          <w:formProt w:val="false"/>
          <w:textDirection w:val="lrTb"/>
          <w:docGrid w:type="lines" w:linePitch="600" w:charSpace="40960"/>
        </w:sectPr>
        <w:pStyle w:val="BodyText"/>
        <w:tabs>
          <w:tab w:val="clear" w:pos="480"/>
        </w:tabs>
        <w:snapToGrid w:val="false"/>
        <w:spacing w:lineRule="atLeast" w:line="240"/>
        <w:ind w:left="284" w:hanging="0"/>
        <w:jc w:val="both"/>
        <w:rPr>
          <w:rFonts w:ascii="Times New Roman" w:hAnsi="Times New Roman" w:eastAsia="標楷體"/>
          <w:sz w:val="26"/>
          <w:szCs w:val="26"/>
        </w:rPr>
      </w:pPr>
      <w:r>
        <w:rPr>
          <w:rFonts w:eastAsia="標楷體" w:ascii="Times New Roman" w:hAnsi="Times New Roman"/>
          <w:sz w:val="26"/>
          <w:szCs w:val="26"/>
        </w:rPr>
      </w:r>
      <w:r>
        <w:br w:type="page"/>
      </w:r>
    </w:p>
    <w:p>
      <w:pPr>
        <w:pStyle w:val="BodyText"/>
        <w:widowControl/>
        <w:spacing w:before="120" w:after="0"/>
        <w:jc w:val="center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精神復健機構評鑑成績核算方式與合格基準</w: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posOffset>5465445</wp:posOffset>
                </wp:positionH>
                <wp:positionV relativeFrom="paragraph">
                  <wp:posOffset>-236855</wp:posOffset>
                </wp:positionV>
                <wp:extent cx="655320" cy="476250"/>
                <wp:effectExtent l="0" t="0" r="0" b="0"/>
                <wp:wrapNone/>
                <wp:docPr id="8" name="文字方塊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" cy="4762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jc w:val="right"/>
                              <w:rPr>
                                <w:rFonts w:ascii="標楷體" w:hAnsi="標楷體" w:eastAsia="標楷體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附件四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-0;width:51.6pt;height:37.5pt;mso-wrap-distance-left:0pt;mso-wrap-distance-right:0pt;mso-wrap-distance-top:0pt;mso-wrap-distance-bottom:0pt;margin-top:-18.65pt;mso-position-vertical-relative:text;margin-left:430.35pt;mso-position-horizontal-relative:text">
                <v:textbox>
                  <w:txbxContent>
                    <w:p>
                      <w:pPr>
                        <w:pStyle w:val="BodyText"/>
                        <w:jc w:val="right"/>
                        <w:rPr>
                          <w:rFonts w:ascii="標楷體" w:hAnsi="標楷體" w:eastAsia="標楷體"/>
                        </w:rPr>
                      </w:pPr>
                      <w:r>
                        <w:rPr>
                          <w:rFonts w:ascii="標楷體" w:hAnsi="標楷體" w:eastAsia="標楷體"/>
                        </w:rPr>
                        <w:t>附件四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widowControl/>
        <w:numPr>
          <w:ilvl w:val="0"/>
          <w:numId w:val="21"/>
        </w:numPr>
        <w:tabs>
          <w:tab w:val="clear" w:pos="480"/>
          <w:tab w:val="left" w:pos="1047" w:leader="none"/>
        </w:tabs>
        <w:spacing w:before="120" w:after="0"/>
        <w:ind w:left="1047" w:hanging="1047"/>
        <w:rPr/>
      </w:pPr>
      <w:r>
        <w:rPr>
          <w:rStyle w:val="Style14"/>
          <w:rFonts w:ascii="Times New Roman" w:hAnsi="Times New Roman" w:eastAsia="標楷體"/>
          <w:szCs w:val="24"/>
        </w:rPr>
        <w:t>精</w:t>
      </w:r>
      <w:r>
        <w:rPr>
          <w:rStyle w:val="Style14"/>
          <w:rFonts w:ascii="Times New Roman" w:hAnsi="Times New Roman" w:eastAsia="標楷體"/>
          <w:sz w:val="26"/>
          <w:szCs w:val="26"/>
        </w:rPr>
        <w:t>神復健機構評鑑基準共分</w:t>
      </w:r>
      <w:r>
        <w:rPr>
          <w:rStyle w:val="Style14"/>
          <w:rFonts w:eastAsia="標楷體" w:ascii="Times New Roman" w:hAnsi="Times New Roman"/>
          <w:sz w:val="26"/>
          <w:szCs w:val="26"/>
        </w:rPr>
        <w:t>3</w:t>
      </w:r>
      <w:r>
        <w:rPr>
          <w:rStyle w:val="Style14"/>
          <w:rFonts w:ascii="Times New Roman" w:hAnsi="Times New Roman" w:eastAsia="標楷體"/>
          <w:sz w:val="26"/>
          <w:szCs w:val="26"/>
        </w:rPr>
        <w:t>大章，各章配分如下表：</w:t>
      </w:r>
    </w:p>
    <w:tbl>
      <w:tblPr>
        <w:tblW w:w="8647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821"/>
        <w:gridCol w:w="1842"/>
        <w:gridCol w:w="1984"/>
      </w:tblGrid>
      <w:tr>
        <w:trPr>
          <w:trHeight w:val="20" w:hRule="atLeast"/>
        </w:trPr>
        <w:tc>
          <w:tcPr>
            <w:tcW w:w="4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評鑑項目</w:t>
            </w:r>
          </w:p>
        </w:tc>
        <w:tc>
          <w:tcPr>
            <w:tcW w:w="3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配分</w:t>
            </w:r>
          </w:p>
        </w:tc>
      </w:tr>
      <w:tr>
        <w:trPr>
          <w:trHeight w:val="20" w:hRule="atLeast"/>
        </w:trPr>
        <w:tc>
          <w:tcPr>
            <w:tcW w:w="48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日間型機構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住宿型機構</w:t>
            </w:r>
          </w:p>
        </w:tc>
      </w:tr>
      <w:tr>
        <w:trPr>
          <w:trHeight w:val="455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第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章、經營管理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33</w:t>
            </w:r>
          </w:p>
        </w:tc>
      </w:tr>
      <w:tr>
        <w:trPr>
          <w:trHeight w:val="419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2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章、復健服務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37</w:t>
            </w:r>
          </w:p>
        </w:tc>
      </w:tr>
      <w:tr>
        <w:trPr>
          <w:trHeight w:val="425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章、服務品質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30</w:t>
            </w:r>
          </w:p>
        </w:tc>
      </w:tr>
      <w:tr>
        <w:trPr>
          <w:trHeight w:val="417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總分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100</w:t>
            </w:r>
          </w:p>
        </w:tc>
      </w:tr>
    </w:tbl>
    <w:p>
      <w:pPr>
        <w:pStyle w:val="BodyText"/>
        <w:widowControl/>
        <w:numPr>
          <w:ilvl w:val="0"/>
          <w:numId w:val="21"/>
        </w:numPr>
        <w:tabs>
          <w:tab w:val="clear" w:pos="480"/>
          <w:tab w:val="left" w:pos="1047" w:leader="none"/>
        </w:tabs>
        <w:spacing w:before="120" w:after="0"/>
        <w:ind w:left="1047" w:hanging="1047"/>
        <w:rPr/>
      </w:pPr>
      <w:r>
        <w:rPr>
          <w:rStyle w:val="Style14"/>
          <w:rFonts w:ascii="Times New Roman" w:hAnsi="Times New Roman" w:eastAsia="標楷體"/>
          <w:sz w:val="26"/>
          <w:szCs w:val="26"/>
        </w:rPr>
        <w:t>精神復健機構</w:t>
      </w:r>
      <w:r>
        <w:rPr>
          <w:rStyle w:val="Style14"/>
          <w:rFonts w:ascii="Times New Roman" w:hAnsi="Times New Roman" w:eastAsia="標楷體"/>
          <w:szCs w:val="24"/>
        </w:rPr>
        <w:t>評鑑</w:t>
      </w:r>
      <w:r>
        <w:rPr>
          <w:rStyle w:val="Style14"/>
          <w:rFonts w:ascii="Times New Roman" w:hAnsi="Times New Roman" w:eastAsia="標楷體"/>
          <w:sz w:val="26"/>
          <w:szCs w:val="26"/>
        </w:rPr>
        <w:t>合格基準及成績核算方式：</w:t>
      </w:r>
    </w:p>
    <w:p>
      <w:pPr>
        <w:pStyle w:val="BodyText"/>
        <w:numPr>
          <w:ilvl w:val="0"/>
          <w:numId w:val="22"/>
        </w:numPr>
        <w:tabs>
          <w:tab w:val="clear" w:pos="480"/>
          <w:tab w:val="left" w:pos="1331" w:leader="none"/>
        </w:tabs>
        <w:ind w:left="1331" w:hanging="1047"/>
        <w:rPr/>
      </w:pPr>
      <w:r>
        <w:rPr>
          <w:rStyle w:val="Style14"/>
          <w:rFonts w:ascii="Times New Roman" w:hAnsi="Times New Roman" w:eastAsia="標楷體"/>
          <w:bCs/>
          <w:sz w:val="26"/>
          <w:szCs w:val="26"/>
        </w:rPr>
        <w:t>精神復健</w:t>
      </w:r>
      <w:r>
        <w:rPr>
          <w:rStyle w:val="Style14"/>
          <w:rFonts w:ascii="Times New Roman" w:hAnsi="Times New Roman" w:eastAsia="標楷體"/>
          <w:sz w:val="26"/>
          <w:szCs w:val="26"/>
        </w:rPr>
        <w:t>機構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評鑑基準分以「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A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、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B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、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C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、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D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、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E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」五級等級評量（分別為該項基準配分之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100%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、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80%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、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60%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、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40%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、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0%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）及以「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A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、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C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、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E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」三級等級評量（分別為該項基準配分之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100%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、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60%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、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20%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）；評量基準達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C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以上（即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A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或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B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或</w:t>
      </w:r>
      <w:r>
        <w:rPr>
          <w:rStyle w:val="Style14"/>
          <w:rFonts w:eastAsia="標楷體" w:ascii="Times New Roman" w:hAnsi="Times New Roman"/>
          <w:bCs/>
          <w:sz w:val="26"/>
          <w:szCs w:val="26"/>
        </w:rPr>
        <w:t>C</w:t>
      </w:r>
      <w:r>
        <w:rPr>
          <w:rStyle w:val="Style14"/>
          <w:rFonts w:ascii="Times New Roman" w:hAnsi="Times New Roman" w:eastAsia="標楷體"/>
          <w:bCs/>
          <w:sz w:val="26"/>
          <w:szCs w:val="26"/>
        </w:rPr>
        <w:t>）者，該受評條文始為合格。</w:t>
      </w:r>
    </w:p>
    <w:p>
      <w:pPr>
        <w:pStyle w:val="BodyText"/>
        <w:numPr>
          <w:ilvl w:val="0"/>
          <w:numId w:val="22"/>
        </w:numPr>
        <w:tabs>
          <w:tab w:val="clear" w:pos="480"/>
          <w:tab w:val="left" w:pos="1331" w:leader="none"/>
        </w:tabs>
        <w:ind w:left="1331" w:hanging="1047"/>
        <w:rPr>
          <w:rFonts w:ascii="Times New Roman" w:hAnsi="Times New Roman" w:eastAsia="標楷體"/>
          <w:sz w:val="26"/>
          <w:szCs w:val="26"/>
        </w:rPr>
      </w:pPr>
      <w:r>
        <w:rPr>
          <w:rFonts w:ascii="Times New Roman" w:hAnsi="Times New Roman" w:eastAsia="標楷體"/>
          <w:sz w:val="26"/>
          <w:szCs w:val="26"/>
        </w:rPr>
        <w:t>評鑑基準分類統計表</w:t>
      </w:r>
    </w:p>
    <w:tbl>
      <w:tblPr>
        <w:tblW w:w="9193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26"/>
        <w:gridCol w:w="850"/>
        <w:gridCol w:w="993"/>
        <w:gridCol w:w="992"/>
        <w:gridCol w:w="709"/>
        <w:gridCol w:w="829"/>
        <w:gridCol w:w="993"/>
        <w:gridCol w:w="993"/>
        <w:gridCol w:w="708"/>
      </w:tblGrid>
      <w:tr>
        <w:trPr>
          <w:trHeight w:val="241" w:hRule="atLeast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uto" w:line="36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評鑑項目</w:t>
            </w:r>
          </w:p>
        </w:tc>
        <w:tc>
          <w:tcPr>
            <w:tcW w:w="706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uto" w:line="36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條文數</w:t>
            </w:r>
          </w:p>
        </w:tc>
      </w:tr>
      <w:tr>
        <w:trPr>
          <w:trHeight w:val="259" w:hRule="atLeast"/>
        </w:trPr>
        <w:tc>
          <w:tcPr>
            <w:tcW w:w="21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44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uto" w:line="36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日間型機構</w:t>
            </w:r>
          </w:p>
        </w:tc>
        <w:tc>
          <w:tcPr>
            <w:tcW w:w="3523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uto" w:line="360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住宿型機構</w:t>
            </w:r>
          </w:p>
        </w:tc>
      </w:tr>
      <w:tr>
        <w:trPr>
          <w:trHeight w:val="259" w:hRule="atLeast"/>
        </w:trPr>
        <w:tc>
          <w:tcPr>
            <w:tcW w:w="21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bCs/>
                <w:sz w:val="26"/>
                <w:szCs w:val="26"/>
              </w:rPr>
              <w:t>一般</w:t>
            </w:r>
          </w:p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bCs/>
                <w:sz w:val="26"/>
                <w:szCs w:val="26"/>
              </w:rPr>
              <w:t>條文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bCs/>
                <w:sz w:val="26"/>
                <w:szCs w:val="26"/>
              </w:rPr>
              <w:t>重點條文之條數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bCs/>
                <w:sz w:val="26"/>
                <w:szCs w:val="26"/>
              </w:rPr>
              <w:t>可免評條文數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bCs/>
                <w:sz w:val="26"/>
                <w:szCs w:val="26"/>
              </w:rPr>
              <w:t>總條文數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bCs/>
                <w:sz w:val="26"/>
                <w:szCs w:val="26"/>
              </w:rPr>
              <w:t>一般</w:t>
            </w:r>
          </w:p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bCs/>
                <w:sz w:val="26"/>
                <w:szCs w:val="26"/>
              </w:rPr>
              <w:t>條文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bCs/>
                <w:sz w:val="26"/>
                <w:szCs w:val="26"/>
              </w:rPr>
              <w:t>重點條文之條數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bCs/>
                <w:sz w:val="26"/>
                <w:szCs w:val="26"/>
              </w:rPr>
              <w:t>可免評條文數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bCs/>
                <w:sz w:val="26"/>
                <w:szCs w:val="26"/>
              </w:rPr>
              <w:t>總條文數</w:t>
            </w:r>
          </w:p>
        </w:tc>
      </w:tr>
      <w:tr>
        <w:trPr>
          <w:trHeight w:val="259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20" w:hanging="52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章、經營管理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12</w:t>
            </w:r>
          </w:p>
        </w:tc>
      </w:tr>
      <w:tr>
        <w:trPr>
          <w:trHeight w:val="259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20" w:hanging="52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2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章、復健服務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12</w:t>
            </w:r>
          </w:p>
        </w:tc>
      </w:tr>
      <w:tr>
        <w:trPr>
          <w:trHeight w:val="259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20" w:hanging="52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章、服務品質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13</w:t>
            </w:r>
          </w:p>
        </w:tc>
      </w:tr>
      <w:tr>
        <w:trPr>
          <w:trHeight w:val="409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20" w:hanging="52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合計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37</w:t>
            </w:r>
          </w:p>
        </w:tc>
      </w:tr>
    </w:tbl>
    <w:p>
      <w:pPr>
        <w:pStyle w:val="BodyText"/>
        <w:numPr>
          <w:ilvl w:val="0"/>
          <w:numId w:val="22"/>
        </w:numPr>
        <w:tabs>
          <w:tab w:val="clear" w:pos="480"/>
          <w:tab w:val="left" w:pos="1331" w:leader="none"/>
        </w:tabs>
        <w:ind w:left="1331" w:hanging="1047"/>
        <w:rPr>
          <w:rFonts w:ascii="Times New Roman" w:hAnsi="Times New Roman" w:eastAsia="標楷體"/>
          <w:sz w:val="26"/>
          <w:szCs w:val="26"/>
        </w:rPr>
      </w:pPr>
      <w:r>
        <w:rPr>
          <w:rFonts w:ascii="Times New Roman" w:hAnsi="Times New Roman" w:eastAsia="標楷體"/>
          <w:sz w:val="26"/>
          <w:szCs w:val="26"/>
        </w:rPr>
        <w:t xml:space="preserve">精神復健機構評鑑合格基準： </w:t>
      </w:r>
    </w:p>
    <w:tbl>
      <w:tblPr>
        <w:tblW w:w="975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9"/>
        <w:gridCol w:w="3402"/>
        <w:gridCol w:w="2136"/>
      </w:tblGrid>
      <w:tr>
        <w:trPr>
          <w:tblHeader w:val="true"/>
          <w:trHeight w:val="791" w:hRule="atLeas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right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z w:val="26"/>
                <w:szCs w:val="26"/>
              </w:rPr>
              <w:t>項目</w:t>
            </w:r>
          </w:p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both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z w:val="26"/>
                <w:szCs w:val="26"/>
              </w:rPr>
              <w:t>合格基準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/>
              <w:ind w:right="240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合格分數</w:t>
            </w:r>
            <w:r>
              <w:rPr>
                <w:rStyle w:val="Style14"/>
                <w:rFonts w:eastAsia="標楷體" w:ascii="Times New Roman" w:hAnsi="Times New Roman"/>
                <w:position w:val="7"/>
                <w:sz w:val="17"/>
                <w:sz w:val="26"/>
                <w:szCs w:val="26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佔總分</w:t>
            </w:r>
            <w:r>
              <w:rPr>
                <w:rStyle w:val="Style14"/>
                <w:rFonts w:eastAsia="標楷體" w:ascii="Times New Roman" w:hAnsi="Times New Roman"/>
                <w:position w:val="7"/>
                <w:sz w:val="17"/>
                <w:sz w:val="26"/>
                <w:szCs w:val="26"/>
              </w:rPr>
              <w:t>2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比例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重點條文</w:t>
            </w:r>
            <w:r>
              <w:rPr>
                <w:rStyle w:val="Style14"/>
                <w:rFonts w:eastAsia="標楷體" w:ascii="Times New Roman" w:hAnsi="Times New Roman"/>
                <w:position w:val="7"/>
                <w:sz w:val="17"/>
                <w:sz w:val="26"/>
                <w:szCs w:val="26"/>
              </w:rPr>
              <w:t>3</w:t>
            </w:r>
          </w:p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sz w:val="26"/>
                <w:szCs w:val="26"/>
              </w:rPr>
              <w:t>(C</w:t>
            </w:r>
            <w:r>
              <w:rPr>
                <w:rFonts w:ascii="Times New Roman" w:hAnsi="Times New Roman" w:eastAsia="標楷體"/>
                <w:sz w:val="26"/>
                <w:szCs w:val="26"/>
              </w:rPr>
              <w:t>以上</w:t>
            </w:r>
            <w:r>
              <w:rPr>
                <w:rFonts w:eastAsia="標楷體" w:ascii="Times New Roman" w:hAnsi="Times New Roman"/>
                <w:sz w:val="26"/>
                <w:szCs w:val="26"/>
              </w:rPr>
              <w:t>%)</w:t>
            </w:r>
          </w:p>
        </w:tc>
      </w:tr>
      <w:tr>
        <w:trPr/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z w:val="26"/>
                <w:szCs w:val="26"/>
              </w:rPr>
              <w:t>精神復健機構評鑑合格</w:t>
            </w:r>
            <w:r>
              <w:rPr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z w:val="26"/>
                <w:szCs w:val="26"/>
              </w:rPr>
              <w:t>住宿型</w:t>
            </w:r>
            <w:r>
              <w:rPr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sz w:val="26"/>
                <w:szCs w:val="26"/>
              </w:rPr>
              <w:t>60%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sz w:val="26"/>
                <w:szCs w:val="26"/>
              </w:rPr>
              <w:t>100%</w:t>
            </w:r>
          </w:p>
        </w:tc>
      </w:tr>
      <w:tr>
        <w:trPr/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z w:val="26"/>
                <w:szCs w:val="26"/>
              </w:rPr>
              <w:t>精神復健機構評鑑合格</w:t>
            </w:r>
            <w:r>
              <w:rPr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z w:val="26"/>
                <w:szCs w:val="26"/>
              </w:rPr>
              <w:t>日間型</w:t>
            </w:r>
            <w:r>
              <w:rPr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sz w:val="26"/>
                <w:szCs w:val="26"/>
              </w:rPr>
              <w:t>60%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>
                <w:rStyle w:val="Style14"/>
                <w:rFonts w:ascii="Times New Roman" w:hAnsi="Times New Roman" w:eastAsia="標楷體"/>
                <w:sz w:val="26"/>
                <w:szCs w:val="26"/>
              </w:rPr>
            </w:pPr>
            <w:r>
              <w:rPr/>
              <mc:AlternateContent>
                <mc:Choice Requires="wps">
                  <w:drawing>
                    <wp:anchor behindDoc="0" distT="0" distB="0" distL="0" distR="0" simplePos="0" locked="0" layoutInCell="1" allowOverlap="1" relativeHeight="10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35560</wp:posOffset>
                      </wp:positionV>
                      <wp:extent cx="36195" cy="36195"/>
                      <wp:effectExtent l="633730" t="132080" r="633730" b="132080"/>
                      <wp:wrapNone/>
                      <wp:docPr id="9" name="AutoShape 1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4560" cy="291240"/>
                              </a:xfrm>
                              <a:prstGeom prst="straightConnector1">
                                <a:avLst/>
                              </a:prstGeom>
                              <a:ln w="936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path="m,l21600,21600nfe">
                      <v:stroke joinstyle="miter"/>
                      <v:path gradientshapeok="t" o:connecttype="rect" textboxrect="0,0,21600,21600"/>
                    </v:shapetype>
                    <v:shape id="shape_0" ID="AutoShape 11" stroked="t" o:allowincell="f" style="position:absolute;margin-left:-3.05pt;margin-top:2.8pt;width:101.9pt;height:22.9pt" type="_x0000_t32">
                      <v:stroke color="black" weight="9360" joinstyle="round" endcap="flat"/>
                      <v:fill o:detectmouseclick="t" on="false"/>
                      <w10:wrap type="none"/>
                    </v:shape>
                  </w:pict>
                </mc:Fallback>
              </mc:AlternateContent>
            </w:r>
          </w:p>
        </w:tc>
      </w:tr>
    </w:tbl>
    <w:p>
      <w:pPr>
        <w:pStyle w:val="BodyText"/>
        <w:tabs>
          <w:tab w:val="clear" w:pos="480"/>
          <w:tab w:val="left" w:pos="851" w:leader="none"/>
        </w:tabs>
        <w:autoSpaceDE w:val="false"/>
        <w:snapToGrid w:val="false"/>
        <w:spacing w:lineRule="atLeast" w:line="400"/>
        <w:rPr>
          <w:rFonts w:ascii="Times New Roman" w:hAnsi="Times New Roman" w:eastAsia="標楷體"/>
          <w:sz w:val="26"/>
          <w:szCs w:val="26"/>
        </w:rPr>
      </w:pPr>
      <w:r>
        <w:rPr>
          <w:rFonts w:ascii="Times New Roman" w:hAnsi="Times New Roman" w:eastAsia="標楷體"/>
          <w:sz w:val="26"/>
          <w:szCs w:val="26"/>
        </w:rPr>
        <w:t>註：</w:t>
      </w:r>
    </w:p>
    <w:p>
      <w:pPr>
        <w:pStyle w:val="BodyText"/>
        <w:numPr>
          <w:ilvl w:val="1"/>
          <w:numId w:val="23"/>
        </w:numPr>
        <w:tabs>
          <w:tab w:val="clear" w:pos="480"/>
          <w:tab w:val="left" w:pos="2519" w:leader="none"/>
        </w:tabs>
        <w:snapToGrid w:val="false"/>
        <w:ind w:left="2519" w:right="240" w:hanging="764"/>
        <w:rPr>
          <w:rFonts w:ascii="Times New Roman" w:hAnsi="Times New Roman" w:eastAsia="標楷體"/>
          <w:sz w:val="26"/>
          <w:szCs w:val="26"/>
        </w:rPr>
      </w:pPr>
      <w:r>
        <w:rPr>
          <w:rFonts w:ascii="Times New Roman" w:hAnsi="Times New Roman" w:eastAsia="標楷體"/>
          <w:sz w:val="26"/>
          <w:szCs w:val="26"/>
        </w:rPr>
        <w:t>精神復健機構評鑑合格分數係總分之</w:t>
      </w:r>
      <w:r>
        <w:rPr>
          <w:rFonts w:eastAsia="標楷體" w:ascii="Times New Roman" w:hAnsi="Times New Roman"/>
          <w:sz w:val="26"/>
          <w:szCs w:val="26"/>
        </w:rPr>
        <w:t>60%</w:t>
      </w:r>
      <w:r>
        <w:rPr>
          <w:rFonts w:ascii="Times New Roman" w:hAnsi="Times New Roman" w:eastAsia="標楷體"/>
          <w:sz w:val="26"/>
          <w:szCs w:val="26"/>
        </w:rPr>
        <w:t>。</w:t>
      </w:r>
    </w:p>
    <w:p>
      <w:pPr>
        <w:pStyle w:val="BodyText"/>
        <w:numPr>
          <w:ilvl w:val="1"/>
          <w:numId w:val="23"/>
        </w:numPr>
        <w:tabs>
          <w:tab w:val="clear" w:pos="480"/>
          <w:tab w:val="left" w:pos="2519" w:leader="none"/>
        </w:tabs>
        <w:snapToGrid w:val="false"/>
        <w:ind w:left="2519" w:right="240" w:hanging="764"/>
        <w:rPr/>
      </w:pPr>
      <w:r>
        <w:rPr>
          <w:rStyle w:val="Style14"/>
          <w:rFonts w:ascii="Times New Roman" w:hAnsi="Times New Roman" w:eastAsia="標楷體"/>
          <w:sz w:val="26"/>
          <w:szCs w:val="26"/>
        </w:rPr>
        <w:t>若有可免評</w:t>
      </w:r>
      <w:r>
        <w:rPr>
          <w:rStyle w:val="Style14"/>
          <w:rFonts w:ascii="Times New Roman" w:hAnsi="Times New Roman" w:eastAsia="標楷體"/>
          <w:kern w:val="0"/>
          <w:sz w:val="26"/>
          <w:szCs w:val="26"/>
        </w:rPr>
        <w:t>條文</w:t>
      </w:r>
      <w:r>
        <w:rPr>
          <w:rStyle w:val="Style14"/>
          <w:rFonts w:ascii="Times New Roman" w:hAnsi="Times New Roman" w:eastAsia="標楷體"/>
          <w:sz w:val="26"/>
          <w:szCs w:val="26"/>
        </w:rPr>
        <w:t>，</w:t>
      </w:r>
      <w:r>
        <w:rPr>
          <w:rStyle w:val="Style14"/>
          <w:rFonts w:ascii="Times New Roman" w:hAnsi="Times New Roman" w:eastAsia="標楷體"/>
          <w:kern w:val="0"/>
          <w:sz w:val="26"/>
          <w:szCs w:val="26"/>
        </w:rPr>
        <w:t>則其總分係扣除可免評條文後，加總各受評條文配分計。</w:t>
      </w:r>
    </w:p>
    <w:p>
      <w:pPr>
        <w:pStyle w:val="BodyText"/>
        <w:numPr>
          <w:ilvl w:val="1"/>
          <w:numId w:val="23"/>
        </w:numPr>
        <w:tabs>
          <w:tab w:val="clear" w:pos="480"/>
          <w:tab w:val="left" w:pos="2519" w:leader="none"/>
        </w:tabs>
        <w:snapToGrid w:val="false"/>
        <w:ind w:left="2519" w:right="240" w:hanging="764"/>
        <w:rPr>
          <w:rFonts w:ascii="Times New Roman" w:hAnsi="Times New Roman" w:eastAsia="標楷體"/>
          <w:sz w:val="26"/>
          <w:szCs w:val="26"/>
        </w:rPr>
      </w:pPr>
      <w:r>
        <w:rPr>
          <w:rFonts w:ascii="Times New Roman" w:hAnsi="Times New Roman" w:eastAsia="標楷體"/>
          <w:sz w:val="26"/>
          <w:szCs w:val="26"/>
        </w:rPr>
        <w:t>另</w:t>
      </w:r>
      <w:r>
        <w:rPr>
          <w:rFonts w:eastAsia="標楷體" w:ascii="Times New Roman" w:hAnsi="Times New Roman"/>
          <w:sz w:val="26"/>
          <w:szCs w:val="26"/>
        </w:rPr>
        <w:t>106</w:t>
      </w:r>
      <w:r>
        <w:rPr>
          <w:rFonts w:ascii="Times New Roman" w:hAnsi="Times New Roman" w:eastAsia="標楷體"/>
          <w:sz w:val="26"/>
          <w:szCs w:val="26"/>
        </w:rPr>
        <w:t>年度精神復健機構評鑑基準之住宿型機構訂有重點條文項目，即基準「</w:t>
      </w:r>
      <w:r>
        <w:rPr>
          <w:rFonts w:eastAsia="標楷體" w:ascii="Times New Roman" w:hAnsi="Times New Roman"/>
          <w:sz w:val="26"/>
          <w:szCs w:val="26"/>
        </w:rPr>
        <w:t>1.4</w:t>
      </w:r>
      <w:r>
        <w:rPr>
          <w:rFonts w:ascii="Times New Roman" w:hAnsi="Times New Roman" w:eastAsia="標楷體"/>
          <w:sz w:val="26"/>
          <w:szCs w:val="26"/>
        </w:rPr>
        <w:t>適切的日、夜間人力配置」、「</w:t>
      </w:r>
      <w:r>
        <w:rPr>
          <w:rFonts w:eastAsia="標楷體" w:ascii="Times New Roman" w:hAnsi="Times New Roman"/>
          <w:sz w:val="26"/>
          <w:szCs w:val="26"/>
        </w:rPr>
        <w:t>3.11</w:t>
      </w:r>
      <w:r>
        <w:rPr>
          <w:rFonts w:ascii="Times New Roman" w:hAnsi="Times New Roman" w:eastAsia="標楷體"/>
          <w:sz w:val="26"/>
          <w:szCs w:val="26"/>
        </w:rPr>
        <w:t>維護住民出入自由」</w:t>
      </w:r>
      <w:r>
        <w:rPr>
          <w:rFonts w:eastAsia="標楷體" w:ascii="Times New Roman" w:hAnsi="Times New Roman"/>
          <w:sz w:val="26"/>
          <w:szCs w:val="26"/>
        </w:rPr>
        <w:t>2</w:t>
      </w:r>
      <w:r>
        <w:rPr>
          <w:rFonts w:ascii="Times New Roman" w:hAnsi="Times New Roman" w:eastAsia="標楷體"/>
          <w:sz w:val="26"/>
          <w:szCs w:val="26"/>
        </w:rPr>
        <w:t>條，前述</w:t>
      </w:r>
      <w:r>
        <w:rPr>
          <w:rFonts w:eastAsia="標楷體" w:ascii="Times New Roman" w:hAnsi="Times New Roman"/>
          <w:sz w:val="26"/>
          <w:szCs w:val="26"/>
        </w:rPr>
        <w:t>2</w:t>
      </w:r>
      <w:r>
        <w:rPr>
          <w:rFonts w:ascii="Times New Roman" w:hAnsi="Times New Roman" w:eastAsia="標楷體"/>
          <w:sz w:val="26"/>
          <w:szCs w:val="26"/>
        </w:rPr>
        <w:t>條重點條文得分，須全數達</w:t>
      </w:r>
      <w:r>
        <w:rPr>
          <w:rFonts w:eastAsia="標楷體" w:ascii="Times New Roman" w:hAnsi="Times New Roman"/>
          <w:sz w:val="26"/>
          <w:szCs w:val="26"/>
        </w:rPr>
        <w:t>C</w:t>
      </w:r>
      <w:r>
        <w:rPr>
          <w:rFonts w:ascii="Times New Roman" w:hAnsi="Times New Roman" w:eastAsia="標楷體"/>
          <w:sz w:val="26"/>
          <w:szCs w:val="26"/>
        </w:rPr>
        <w:t>以上，始為合格。</w:t>
      </w:r>
    </w:p>
    <w:p>
      <w:pPr>
        <w:pStyle w:val="BodyText"/>
        <w:widowControl/>
        <w:numPr>
          <w:ilvl w:val="0"/>
          <w:numId w:val="21"/>
        </w:numPr>
        <w:tabs>
          <w:tab w:val="clear" w:pos="480"/>
          <w:tab w:val="left" w:pos="1047" w:leader="none"/>
        </w:tabs>
        <w:spacing w:before="120" w:after="0"/>
        <w:ind w:left="1047" w:hanging="1047"/>
        <w:rPr/>
      </w:pPr>
      <w:r>
        <w:rPr>
          <w:rStyle w:val="Style14"/>
          <w:rFonts w:ascii="Times New Roman" w:hAnsi="Times New Roman" w:eastAsia="標楷體"/>
          <w:kern w:val="0"/>
          <w:sz w:val="26"/>
          <w:szCs w:val="26"/>
        </w:rPr>
        <w:t>機構若因業務關係、新設立、第一次申請評鑑或</w:t>
      </w:r>
      <w:r>
        <w:rPr>
          <w:rStyle w:val="Style14"/>
          <w:rFonts w:ascii="Times New Roman" w:hAnsi="Times New Roman" w:eastAsia="標楷體"/>
          <w:sz w:val="26"/>
          <w:szCs w:val="26"/>
        </w:rPr>
        <w:t>前</w:t>
      </w:r>
      <w:r>
        <w:rPr>
          <w:rStyle w:val="Style14"/>
          <w:rFonts w:ascii="Times New Roman" w:hAnsi="Times New Roman" w:eastAsia="標楷體"/>
          <w:kern w:val="0"/>
          <w:sz w:val="26"/>
          <w:szCs w:val="26"/>
        </w:rPr>
        <w:t>次評鑑無建議改善事項時，下列評鑑條文得免評：</w:t>
      </w:r>
    </w:p>
    <w:tbl>
      <w:tblPr>
        <w:tblW w:w="45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210"/>
        <w:gridCol w:w="1691"/>
        <w:gridCol w:w="1774"/>
      </w:tblGrid>
      <w:tr>
        <w:trPr>
          <w:trHeight w:val="345" w:hRule="atLeast"/>
        </w:trPr>
        <w:tc>
          <w:tcPr>
            <w:tcW w:w="5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評鑑條文</w:t>
            </w:r>
          </w:p>
        </w:tc>
        <w:tc>
          <w:tcPr>
            <w:tcW w:w="3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配分</w:t>
            </w:r>
          </w:p>
        </w:tc>
      </w:tr>
      <w:tr>
        <w:trPr>
          <w:trHeight w:val="291" w:hRule="atLeast"/>
        </w:trPr>
        <w:tc>
          <w:tcPr>
            <w:tcW w:w="52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 xml:space="preserve">精神復健機構 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日間型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 xml:space="preserve">精神復健機構 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住宿型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</w:tr>
      <w:tr>
        <w:trPr>
          <w:trHeight w:val="293" w:hRule="atLeast"/>
        </w:trPr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1.2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專任工作人員人力穩定性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</w:tr>
      <w:tr>
        <w:trPr>
          <w:trHeight w:val="293" w:hRule="atLeast"/>
        </w:trPr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1.9(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日間型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)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或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1.11(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住宿型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)</w:t>
            </w:r>
          </w:p>
          <w:p>
            <w:pPr>
              <w:pStyle w:val="BodyText"/>
              <w:widowControl/>
              <w:snapToGrid w:val="false"/>
              <w:spacing w:lineRule="atLeast" w:line="240" w:before="90" w:after="90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前次評鑑建議事項辦理情形確實且具成效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</w:tr>
      <w:tr>
        <w:trPr>
          <w:trHeight w:val="341" w:hRule="atLeast"/>
        </w:trPr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3.5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適切的復健基金管理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2</w:t>
            </w:r>
          </w:p>
        </w:tc>
      </w:tr>
    </w:tbl>
    <w:p>
      <w:pPr>
        <w:pStyle w:val="BodyText"/>
        <w:widowControl/>
        <w:rPr/>
      </w:pPr>
      <w:r>
        <w:rPr>
          <w:rStyle w:val="Style14"/>
          <w:rFonts w:eastAsia="標楷體"/>
          <w:b/>
          <w:sz w:val="28"/>
          <w:szCs w:val="28"/>
        </w:rPr>
        <w:t xml:space="preserve"> </w:t>
      </w:r>
    </w:p>
    <w:sectPr>
      <w:headerReference w:type="default" r:id="rId4"/>
      <w:footerReference w:type="default" r:id="rId5"/>
      <w:footerReference w:type="first" r:id="rId6"/>
      <w:type w:val="nextPage"/>
      <w:pgSz w:w="11907" w:h="16840"/>
      <w:pgMar w:left="1134" w:right="1134" w:gutter="0" w:header="425" w:top="1134" w:footer="1134" w:bottom="851"/>
      <w:pgNumType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script"/>
    <w:pitch w:val="fixed"/>
  </w:font>
  <w:font w:name="Wingdings">
    <w:charset w:val="02"/>
    <w:family w:val="auto"/>
    <w:pitch w:val="variable"/>
  </w:font>
  <w:font w:name="新細明體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1</w:t>
    </w:r>
    <w:r>
      <w:rPr>
        <w:rStyle w:val="Style14"/>
        <w:lang w:val="zh-TW"/>
      </w:rPr>
      <w:fldChar w:fldCharType="end"/>
    </w:r>
  </w:p>
  <w:p>
    <w:pPr>
      <w:pStyle w:val="Footer"/>
      <w:jc w:val="center"/>
      <w:rPr>
        <w:rFonts w:ascii="Times New Roman" w:hAnsi="Times New Roman" w:eastAsia="標楷體"/>
      </w:rPr>
    </w:pPr>
    <w:r>
      <w:rPr>
        <w:rFonts w:eastAsia="標楷體" w:ascii="Times New Roman" w:hAnsi="Times New Roman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15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taiwaneseCountingThousand"/>
      <w:lvlText w:val="%1、"/>
      <w:lvlJc w:val="left"/>
      <w:pPr>
        <w:tabs>
          <w:tab w:val="num" w:pos="425"/>
        </w:tabs>
        <w:ind w:left="425" w:hanging="425"/>
      </w:pPr>
    </w:lvl>
    <w:lvl w:ilvl="1">
      <w:start w:val="1"/>
      <w:numFmt w:val="taiwaneseCountingThousand"/>
      <w:lvlText w:val="(%2)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FullWidth"/>
      <w:lvlText w:val="%3.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FullWidth"/>
      <w:lvlText w:val="(%4)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(%6)"/>
      <w:lvlJc w:val="left"/>
      <w:pPr>
        <w:tabs>
          <w:tab w:val="num" w:pos="3260"/>
        </w:tabs>
        <w:ind w:left="3260" w:hanging="1134"/>
      </w:pPr>
    </w:lvl>
    <w:lvl w:ilvl="6">
      <w:start w:val="1"/>
      <w:numFmt w:val="upperLetter"/>
      <w:lvlText w:val="%7.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tabs>
          <w:tab w:val="num" w:pos="655"/>
        </w:tabs>
        <w:ind w:left="655" w:hanging="480"/>
      </w:pPr>
    </w:lvl>
    <w:lvl w:ilvl="1">
      <w:start w:val="1"/>
      <w:numFmt w:val="ideographTraditional"/>
      <w:lvlText w:val="%2、"/>
      <w:lvlJc w:val="left"/>
      <w:pPr>
        <w:tabs>
          <w:tab w:val="num" w:pos="1135"/>
        </w:tabs>
        <w:ind w:left="1135" w:hanging="480"/>
      </w:pPr>
    </w:lvl>
    <w:lvl w:ilvl="2">
      <w:start w:val="1"/>
      <w:numFmt w:val="lowerRoman"/>
      <w:lvlText w:val="%3."/>
      <w:lvlJc w:val="right"/>
      <w:pPr>
        <w:tabs>
          <w:tab w:val="num" w:pos="1615"/>
        </w:tabs>
        <w:ind w:left="1615" w:hanging="0"/>
      </w:pPr>
    </w:lvl>
    <w:lvl w:ilvl="3">
      <w:start w:val="1"/>
      <w:numFmt w:val="decimal"/>
      <w:lvlText w:val="%4."/>
      <w:lvlJc w:val="left"/>
      <w:pPr>
        <w:tabs>
          <w:tab w:val="num" w:pos="2095"/>
        </w:tabs>
        <w:ind w:left="2095" w:hanging="480"/>
      </w:pPr>
    </w:lvl>
    <w:lvl w:ilvl="4">
      <w:start w:val="1"/>
      <w:numFmt w:val="ideographTraditional"/>
      <w:lvlText w:val="%5、"/>
      <w:lvlJc w:val="left"/>
      <w:pPr>
        <w:tabs>
          <w:tab w:val="num" w:pos="2575"/>
        </w:tabs>
        <w:ind w:left="2575" w:hanging="480"/>
      </w:pPr>
    </w:lvl>
    <w:lvl w:ilvl="5">
      <w:start w:val="1"/>
      <w:numFmt w:val="lowerRoman"/>
      <w:lvlText w:val="%6."/>
      <w:lvlJc w:val="right"/>
      <w:pPr>
        <w:tabs>
          <w:tab w:val="num" w:pos="3055"/>
        </w:tabs>
        <w:ind w:left="3055" w:hanging="0"/>
      </w:pPr>
    </w:lvl>
    <w:lvl w:ilvl="6">
      <w:start w:val="1"/>
      <w:numFmt w:val="decimal"/>
      <w:lvlText w:val="%7."/>
      <w:lvlJc w:val="left"/>
      <w:pPr>
        <w:tabs>
          <w:tab w:val="num" w:pos="3535"/>
        </w:tabs>
        <w:ind w:left="3535" w:hanging="480"/>
      </w:pPr>
    </w:lvl>
    <w:lvl w:ilvl="7">
      <w:start w:val="1"/>
      <w:numFmt w:val="ideographTraditional"/>
      <w:lvlText w:val="%8、"/>
      <w:lvlJc w:val="left"/>
      <w:pPr>
        <w:tabs>
          <w:tab w:val="num" w:pos="4015"/>
        </w:tabs>
        <w:ind w:left="4015" w:hanging="480"/>
      </w:pPr>
    </w:lvl>
    <w:lvl w:ilvl="8">
      <w:start w:val="1"/>
      <w:numFmt w:val="lowerRoman"/>
      <w:lvlText w:val="%9."/>
      <w:lvlJc w:val="right"/>
      <w:pPr>
        <w:tabs>
          <w:tab w:val="num" w:pos="4495"/>
        </w:tabs>
        <w:ind w:left="4495" w:hanging="0"/>
      </w:pPr>
    </w:lvl>
  </w:abstractNum>
  <w:abstractNum w:abstractNumId="3">
    <w:lvl w:ilvl="0">
      <w:start w:val="1"/>
      <w:numFmt w:val="taiwaneseCountingThousand"/>
      <w:lvlText w:val="(%1)"/>
      <w:lvlJc w:val="left"/>
      <w:pPr>
        <w:tabs>
          <w:tab w:val="num" w:pos="600"/>
        </w:tabs>
        <w:ind w:left="60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1080"/>
        </w:tabs>
        <w:ind w:left="1080" w:hanging="480"/>
      </w:pPr>
      <w:rPr>
        <w:dstrike w:val="false"/>
        <w:strike w:val="false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0"/>
      </w:p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0"/>
      </w:p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0"/>
      </w:pPr>
    </w:lvl>
  </w:abstractNum>
  <w:abstractNum w:abstractNumId="4"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840"/>
        </w:tabs>
        <w:ind w:left="8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5"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(%3)"/>
      <w:lvlJc w:val="left"/>
      <w:pPr>
        <w:tabs>
          <w:tab w:val="num" w:pos="1320"/>
        </w:tabs>
        <w:ind w:left="1320" w:hanging="36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6">
    <w:lvl w:ilvl="0">
      <w:start w:val="1"/>
      <w:numFmt w:val="taiwaneseCountingThousand"/>
      <w:lvlText w:val="（%1）"/>
      <w:lvlJc w:val="left"/>
      <w:pPr>
        <w:tabs>
          <w:tab w:val="num" w:pos="1047"/>
        </w:tabs>
        <w:ind w:left="1047" w:hanging="480"/>
      </w:pPr>
    </w:lvl>
    <w:lvl w:ilvl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</w:lvl>
    <w:lvl w:ilvl="2">
      <w:start w:val="1"/>
      <w:numFmt w:val="taiwaneseCountingThousand"/>
      <w:lvlText w:val="（%3）"/>
      <w:lvlJc w:val="left"/>
      <w:pPr>
        <w:tabs>
          <w:tab w:val="num" w:pos="2007"/>
        </w:tabs>
        <w:ind w:left="2007" w:hanging="480"/>
      </w:pPr>
    </w:lvl>
    <w:lvl w:ilvl="3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</w:lvl>
    <w:lvl w:ilvl="4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</w:lvl>
    <w:lvl w:ilvl="5">
      <w:start w:val="1"/>
      <w:numFmt w:val="lowerRoman"/>
      <w:lvlText w:val="%6."/>
      <w:lvlJc w:val="right"/>
      <w:pPr>
        <w:tabs>
          <w:tab w:val="num" w:pos="3447"/>
        </w:tabs>
        <w:ind w:left="3447" w:hanging="0"/>
      </w:pPr>
    </w:lvl>
    <w:lvl w:ilvl="6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</w:lvl>
    <w:lvl w:ilvl="7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</w:lvl>
    <w:lvl w:ilvl="8">
      <w:start w:val="1"/>
      <w:numFmt w:val="lowerRoman"/>
      <w:lvlText w:val="%9."/>
      <w:lvlJc w:val="right"/>
      <w:pPr>
        <w:tabs>
          <w:tab w:val="num" w:pos="4887"/>
        </w:tabs>
        <w:ind w:left="4887" w:hanging="0"/>
      </w:pPr>
    </w:lvl>
  </w:abstractNum>
  <w:abstractNum w:abstractNumId="7">
    <w:lvl w:ilvl="0">
      <w:start w:val="1"/>
      <w:numFmt w:val="taiwaneseCountingThousand"/>
      <w:lvlText w:val="%1、"/>
      <w:lvlJc w:val="left"/>
      <w:pPr>
        <w:tabs>
          <w:tab w:val="num" w:pos="514"/>
        </w:tabs>
        <w:ind w:left="514" w:hanging="480"/>
      </w:pPr>
    </w:lvl>
    <w:lvl w:ilvl="1">
      <w:start w:val="1"/>
      <w:numFmt w:val="ideographTraditional"/>
      <w:lvlText w:val="%2、"/>
      <w:lvlJc w:val="left"/>
      <w:pPr>
        <w:tabs>
          <w:tab w:val="num" w:pos="994"/>
        </w:tabs>
        <w:ind w:left="994" w:hanging="480"/>
      </w:pPr>
    </w:lvl>
    <w:lvl w:ilvl="2">
      <w:start w:val="1"/>
      <w:numFmt w:val="lowerRoman"/>
      <w:lvlText w:val="%3."/>
      <w:lvlJc w:val="right"/>
      <w:pPr>
        <w:tabs>
          <w:tab w:val="num" w:pos="1474"/>
        </w:tabs>
        <w:ind w:left="1474" w:hanging="0"/>
      </w:pPr>
    </w:lvl>
    <w:lvl w:ilvl="3">
      <w:start w:val="1"/>
      <w:numFmt w:val="decimal"/>
      <w:lvlText w:val="%4."/>
      <w:lvlJc w:val="left"/>
      <w:pPr>
        <w:tabs>
          <w:tab w:val="num" w:pos="1954"/>
        </w:tabs>
        <w:ind w:left="1954" w:hanging="480"/>
      </w:pPr>
    </w:lvl>
    <w:lvl w:ilvl="4">
      <w:start w:val="1"/>
      <w:numFmt w:val="ideographTraditional"/>
      <w:lvlText w:val="%5、"/>
      <w:lvlJc w:val="left"/>
      <w:pPr>
        <w:tabs>
          <w:tab w:val="num" w:pos="2434"/>
        </w:tabs>
        <w:ind w:left="2434" w:hanging="480"/>
      </w:pPr>
    </w:lvl>
    <w:lvl w:ilvl="5">
      <w:start w:val="1"/>
      <w:numFmt w:val="lowerRoman"/>
      <w:lvlText w:val="%6."/>
      <w:lvlJc w:val="right"/>
      <w:pPr>
        <w:tabs>
          <w:tab w:val="num" w:pos="2914"/>
        </w:tabs>
        <w:ind w:left="2914" w:hanging="0"/>
      </w:pPr>
    </w:lvl>
    <w:lvl w:ilvl="6">
      <w:start w:val="1"/>
      <w:numFmt w:val="decimal"/>
      <w:lvlText w:val="%7."/>
      <w:lvlJc w:val="left"/>
      <w:pPr>
        <w:tabs>
          <w:tab w:val="num" w:pos="3394"/>
        </w:tabs>
        <w:ind w:left="3394" w:hanging="480"/>
      </w:pPr>
    </w:lvl>
    <w:lvl w:ilvl="7">
      <w:start w:val="1"/>
      <w:numFmt w:val="ideographTraditional"/>
      <w:lvlText w:val="%8、"/>
      <w:lvlJc w:val="left"/>
      <w:pPr>
        <w:tabs>
          <w:tab w:val="num" w:pos="3874"/>
        </w:tabs>
        <w:ind w:left="3874" w:hanging="480"/>
      </w:pPr>
    </w:lvl>
    <w:lvl w:ilvl="8">
      <w:start w:val="1"/>
      <w:numFmt w:val="lowerRoman"/>
      <w:lvlText w:val="%9."/>
      <w:lvlJc w:val="right"/>
      <w:pPr>
        <w:tabs>
          <w:tab w:val="num" w:pos="4354"/>
        </w:tabs>
        <w:ind w:left="4354" w:hanging="0"/>
      </w:pPr>
    </w:lvl>
  </w:abstractNum>
  <w:abstractNum w:abstractNumId="8">
    <w:lvl w:ilvl="0">
      <w:start w:val="1"/>
      <w:numFmt w:val="taiwaneseCountingThousand"/>
      <w:lvlText w:val="（%1）"/>
      <w:lvlJc w:val="left"/>
      <w:pPr>
        <w:tabs>
          <w:tab w:val="num" w:pos="655"/>
        </w:tabs>
        <w:ind w:left="655" w:hanging="480"/>
      </w:pPr>
    </w:lvl>
    <w:lvl w:ilvl="1">
      <w:start w:val="1"/>
      <w:numFmt w:val="ideographTraditional"/>
      <w:lvlText w:val="%2、"/>
      <w:lvlJc w:val="left"/>
      <w:pPr>
        <w:tabs>
          <w:tab w:val="num" w:pos="1135"/>
        </w:tabs>
        <w:ind w:left="1135" w:hanging="480"/>
      </w:pPr>
    </w:lvl>
    <w:lvl w:ilvl="2">
      <w:start w:val="1"/>
      <w:numFmt w:val="taiwaneseCountingThousand"/>
      <w:lvlText w:val="（%3）"/>
      <w:lvlJc w:val="left"/>
      <w:pPr>
        <w:tabs>
          <w:tab w:val="num" w:pos="1615"/>
        </w:tabs>
        <w:ind w:left="1615" w:hanging="480"/>
      </w:pPr>
    </w:lvl>
    <w:lvl w:ilvl="3">
      <w:start w:val="1"/>
      <w:numFmt w:val="decimal"/>
      <w:lvlText w:val="%4."/>
      <w:lvlJc w:val="left"/>
      <w:pPr>
        <w:tabs>
          <w:tab w:val="num" w:pos="2095"/>
        </w:tabs>
        <w:ind w:left="2095" w:hanging="480"/>
      </w:pPr>
    </w:lvl>
    <w:lvl w:ilvl="4">
      <w:start w:val="1"/>
      <w:numFmt w:val="ideographTraditional"/>
      <w:lvlText w:val="%5、"/>
      <w:lvlJc w:val="left"/>
      <w:pPr>
        <w:tabs>
          <w:tab w:val="num" w:pos="2575"/>
        </w:tabs>
        <w:ind w:left="2575" w:hanging="480"/>
      </w:pPr>
    </w:lvl>
    <w:lvl w:ilvl="5">
      <w:start w:val="1"/>
      <w:numFmt w:val="lowerRoman"/>
      <w:lvlText w:val="%6."/>
      <w:lvlJc w:val="right"/>
      <w:pPr>
        <w:tabs>
          <w:tab w:val="num" w:pos="3055"/>
        </w:tabs>
        <w:ind w:left="3055" w:hanging="0"/>
      </w:pPr>
    </w:lvl>
    <w:lvl w:ilvl="6">
      <w:start w:val="1"/>
      <w:numFmt w:val="decimal"/>
      <w:lvlText w:val="%7."/>
      <w:lvlJc w:val="left"/>
      <w:pPr>
        <w:tabs>
          <w:tab w:val="num" w:pos="3535"/>
        </w:tabs>
        <w:ind w:left="3535" w:hanging="480"/>
      </w:pPr>
    </w:lvl>
    <w:lvl w:ilvl="7">
      <w:start w:val="1"/>
      <w:numFmt w:val="ideographTraditional"/>
      <w:lvlText w:val="%8、"/>
      <w:lvlJc w:val="left"/>
      <w:pPr>
        <w:tabs>
          <w:tab w:val="num" w:pos="4015"/>
        </w:tabs>
        <w:ind w:left="4015" w:hanging="480"/>
      </w:pPr>
    </w:lvl>
    <w:lvl w:ilvl="8">
      <w:start w:val="1"/>
      <w:numFmt w:val="lowerRoman"/>
      <w:lvlText w:val="%9."/>
      <w:lvlJc w:val="right"/>
      <w:pPr>
        <w:tabs>
          <w:tab w:val="num" w:pos="4495"/>
        </w:tabs>
        <w:ind w:left="4495" w:hanging="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1656"/>
        </w:tabs>
        <w:ind w:left="1656" w:hanging="480"/>
      </w:pPr>
    </w:lvl>
    <w:lvl w:ilvl="1">
      <w:start w:val="1"/>
      <w:numFmt w:val="ideographTraditional"/>
      <w:lvlText w:val="%2、"/>
      <w:lvlJc w:val="left"/>
      <w:pPr>
        <w:tabs>
          <w:tab w:val="num" w:pos="2136"/>
        </w:tabs>
        <w:ind w:left="2136" w:hanging="480"/>
      </w:pPr>
    </w:lvl>
    <w:lvl w:ilvl="2">
      <w:start w:val="1"/>
      <w:numFmt w:val="lowerRoman"/>
      <w:lvlText w:val="%3."/>
      <w:lvlJc w:val="right"/>
      <w:pPr>
        <w:tabs>
          <w:tab w:val="num" w:pos="2616"/>
        </w:tabs>
        <w:ind w:left="2616" w:hanging="0"/>
      </w:pPr>
    </w:lvl>
    <w:lvl w:ilvl="3">
      <w:start w:val="1"/>
      <w:numFmt w:val="decimal"/>
      <w:lvlText w:val="%4."/>
      <w:lvlJc w:val="left"/>
      <w:pPr>
        <w:tabs>
          <w:tab w:val="num" w:pos="3096"/>
        </w:tabs>
        <w:ind w:left="3096" w:hanging="480"/>
      </w:pPr>
    </w:lvl>
    <w:lvl w:ilvl="4">
      <w:start w:val="1"/>
      <w:numFmt w:val="ideographTraditional"/>
      <w:lvlText w:val="%5、"/>
      <w:lvlJc w:val="left"/>
      <w:pPr>
        <w:tabs>
          <w:tab w:val="num" w:pos="3576"/>
        </w:tabs>
        <w:ind w:left="3576" w:hanging="480"/>
      </w:pPr>
    </w:lvl>
    <w:lvl w:ilvl="5">
      <w:start w:val="1"/>
      <w:numFmt w:val="lowerRoman"/>
      <w:lvlText w:val="%6."/>
      <w:lvlJc w:val="right"/>
      <w:pPr>
        <w:tabs>
          <w:tab w:val="num" w:pos="4056"/>
        </w:tabs>
        <w:ind w:left="4056" w:hanging="0"/>
      </w:p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480"/>
      </w:pPr>
    </w:lvl>
    <w:lvl w:ilvl="7">
      <w:start w:val="1"/>
      <w:numFmt w:val="ideographTraditional"/>
      <w:lvlText w:val="%8、"/>
      <w:lvlJc w:val="left"/>
      <w:pPr>
        <w:tabs>
          <w:tab w:val="num" w:pos="5016"/>
        </w:tabs>
        <w:ind w:left="5016" w:hanging="480"/>
      </w:pPr>
    </w:lvl>
    <w:lvl w:ilvl="8">
      <w:start w:val="1"/>
      <w:numFmt w:val="lowerRoman"/>
      <w:lvlText w:val="%9."/>
      <w:lvlJc w:val="right"/>
      <w:pPr>
        <w:tabs>
          <w:tab w:val="num" w:pos="5496"/>
        </w:tabs>
        <w:ind w:left="5496" w:hanging="0"/>
      </w:pPr>
    </w:lvl>
  </w:abstractNum>
  <w:abstractNum w:abstractNumId="10">
    <w:lvl w:ilvl="0">
      <w:start w:val="1"/>
      <w:numFmt w:val="taiwaneseCountingThousand"/>
      <w:lvlText w:val="%1、"/>
      <w:lvlJc w:val="left"/>
      <w:pPr>
        <w:tabs>
          <w:tab w:val="num" w:pos="511"/>
        </w:tabs>
        <w:ind w:left="511" w:hanging="480"/>
      </w:pPr>
    </w:lvl>
    <w:lvl w:ilvl="1">
      <w:start w:val="1"/>
      <w:numFmt w:val="ideographTraditional"/>
      <w:lvlText w:val="%2、"/>
      <w:lvlJc w:val="left"/>
      <w:pPr>
        <w:tabs>
          <w:tab w:val="num" w:pos="991"/>
        </w:tabs>
        <w:ind w:left="991" w:hanging="480"/>
      </w:pPr>
    </w:lvl>
    <w:lvl w:ilvl="2">
      <w:start w:val="1"/>
      <w:numFmt w:val="lowerRoman"/>
      <w:lvlText w:val="%3."/>
      <w:lvlJc w:val="right"/>
      <w:pPr>
        <w:tabs>
          <w:tab w:val="num" w:pos="1471"/>
        </w:tabs>
        <w:ind w:left="1471" w:hanging="0"/>
      </w:pPr>
    </w:lvl>
    <w:lvl w:ilvl="3">
      <w:start w:val="1"/>
      <w:numFmt w:val="decimal"/>
      <w:lvlText w:val="%4."/>
      <w:lvlJc w:val="left"/>
      <w:pPr>
        <w:tabs>
          <w:tab w:val="num" w:pos="1951"/>
        </w:tabs>
        <w:ind w:left="1951" w:hanging="480"/>
      </w:pPr>
    </w:lvl>
    <w:lvl w:ilvl="4">
      <w:start w:val="1"/>
      <w:numFmt w:val="ideographTraditional"/>
      <w:lvlText w:val="%5、"/>
      <w:lvlJc w:val="left"/>
      <w:pPr>
        <w:tabs>
          <w:tab w:val="num" w:pos="2431"/>
        </w:tabs>
        <w:ind w:left="2431" w:hanging="480"/>
      </w:pPr>
    </w:lvl>
    <w:lvl w:ilvl="5">
      <w:start w:val="1"/>
      <w:numFmt w:val="lowerRoman"/>
      <w:lvlText w:val="%6."/>
      <w:lvlJc w:val="right"/>
      <w:pPr>
        <w:tabs>
          <w:tab w:val="num" w:pos="2911"/>
        </w:tabs>
        <w:ind w:left="2911" w:hanging="0"/>
      </w:pPr>
    </w:lvl>
    <w:lvl w:ilvl="6">
      <w:start w:val="1"/>
      <w:numFmt w:val="decimal"/>
      <w:lvlText w:val="%7."/>
      <w:lvlJc w:val="left"/>
      <w:pPr>
        <w:tabs>
          <w:tab w:val="num" w:pos="3391"/>
        </w:tabs>
        <w:ind w:left="3391" w:hanging="480"/>
      </w:pPr>
    </w:lvl>
    <w:lvl w:ilvl="7">
      <w:start w:val="1"/>
      <w:numFmt w:val="ideographTraditional"/>
      <w:lvlText w:val="%8、"/>
      <w:lvlJc w:val="left"/>
      <w:pPr>
        <w:tabs>
          <w:tab w:val="num" w:pos="3871"/>
        </w:tabs>
        <w:ind w:left="3871" w:hanging="480"/>
      </w:pPr>
    </w:lvl>
    <w:lvl w:ilvl="8">
      <w:start w:val="1"/>
      <w:numFmt w:val="lowerRoman"/>
      <w:lvlText w:val="%9."/>
      <w:lvlJc w:val="right"/>
      <w:pPr>
        <w:tabs>
          <w:tab w:val="num" w:pos="4351"/>
        </w:tabs>
        <w:ind w:left="4351" w:hanging="0"/>
      </w:pPr>
    </w:lvl>
  </w:abstractNum>
  <w:abstractNum w:abstractNumId="11">
    <w:lvl w:ilvl="0">
      <w:start w:val="1"/>
      <w:numFmt w:val="taiwaneseCountingThousand"/>
      <w:lvlText w:val="(%1)"/>
      <w:lvlJc w:val="left"/>
      <w:pPr>
        <w:tabs>
          <w:tab w:val="num" w:pos="1473"/>
        </w:tabs>
        <w:ind w:left="1473" w:hanging="480"/>
      </w:pPr>
    </w:lvl>
    <w:lvl w:ilvl="1">
      <w:start w:val="1"/>
      <w:numFmt w:val="ideographTraditional"/>
      <w:lvlText w:val="%2、"/>
      <w:lvlJc w:val="left"/>
      <w:pPr>
        <w:tabs>
          <w:tab w:val="num" w:pos="1953"/>
        </w:tabs>
        <w:ind w:left="1953" w:hanging="480"/>
      </w:pPr>
    </w:lvl>
    <w:lvl w:ilvl="2">
      <w:start w:val="1"/>
      <w:numFmt w:val="lowerRoman"/>
      <w:lvlText w:val="%3."/>
      <w:lvlJc w:val="right"/>
      <w:pPr>
        <w:tabs>
          <w:tab w:val="num" w:pos="2433"/>
        </w:tabs>
        <w:ind w:left="2433" w:hanging="0"/>
      </w:pPr>
    </w:lvl>
    <w:lvl w:ilvl="3">
      <w:start w:val="1"/>
      <w:numFmt w:val="decimal"/>
      <w:lvlText w:val="%4."/>
      <w:lvlJc w:val="left"/>
      <w:pPr>
        <w:tabs>
          <w:tab w:val="num" w:pos="2913"/>
        </w:tabs>
        <w:ind w:left="2913" w:hanging="480"/>
      </w:pPr>
    </w:lvl>
    <w:lvl w:ilvl="4">
      <w:start w:val="1"/>
      <w:numFmt w:val="ideographTraditional"/>
      <w:lvlText w:val="%5、"/>
      <w:lvlJc w:val="left"/>
      <w:pPr>
        <w:tabs>
          <w:tab w:val="num" w:pos="3393"/>
        </w:tabs>
        <w:ind w:left="3393" w:hanging="480"/>
      </w:pPr>
    </w:lvl>
    <w:lvl w:ilvl="5">
      <w:start w:val="1"/>
      <w:numFmt w:val="lowerRoman"/>
      <w:lvlText w:val="%6."/>
      <w:lvlJc w:val="right"/>
      <w:pPr>
        <w:tabs>
          <w:tab w:val="num" w:pos="3873"/>
        </w:tabs>
        <w:ind w:left="3873" w:hanging="0"/>
      </w:pPr>
    </w:lvl>
    <w:lvl w:ilvl="6">
      <w:start w:val="1"/>
      <w:numFmt w:val="decimal"/>
      <w:lvlText w:val="%7."/>
      <w:lvlJc w:val="left"/>
      <w:pPr>
        <w:tabs>
          <w:tab w:val="num" w:pos="4353"/>
        </w:tabs>
        <w:ind w:left="4353" w:hanging="480"/>
      </w:pPr>
    </w:lvl>
    <w:lvl w:ilvl="7">
      <w:start w:val="1"/>
      <w:numFmt w:val="ideographTraditional"/>
      <w:lvlText w:val="%8、"/>
      <w:lvlJc w:val="left"/>
      <w:pPr>
        <w:tabs>
          <w:tab w:val="num" w:pos="4833"/>
        </w:tabs>
        <w:ind w:left="4833" w:hanging="480"/>
      </w:pPr>
    </w:lvl>
    <w:lvl w:ilvl="8">
      <w:start w:val="1"/>
      <w:numFmt w:val="lowerRoman"/>
      <w:lvlText w:val="%9."/>
      <w:lvlJc w:val="right"/>
      <w:pPr>
        <w:tabs>
          <w:tab w:val="num" w:pos="5313"/>
        </w:tabs>
        <w:ind w:left="5313" w:hanging="0"/>
      </w:pPr>
    </w:lvl>
  </w:abstractNum>
  <w:abstractNum w:abstractNumId="12">
    <w:lvl w:ilvl="0">
      <w:start w:val="1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（%3）"/>
      <w:lvlJc w:val="left"/>
      <w:pPr>
        <w:tabs>
          <w:tab w:val="num" w:pos="1845"/>
        </w:tabs>
        <w:ind w:left="1845" w:hanging="885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14">
    <w:lvl w:ilvl="0">
      <w:start w:val="1"/>
      <w:numFmt w:val="bullet"/>
      <w:lvlText w:val="○"/>
      <w:lvlJc w:val="left"/>
      <w:pPr>
        <w:tabs>
          <w:tab w:val="num" w:pos="1046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○"/>
      <w:lvlJc w:val="left"/>
      <w:pPr>
        <w:tabs>
          <w:tab w:val="num" w:pos="1046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□"/>
      <w:lvlJc w:val="left"/>
      <w:pPr>
        <w:tabs>
          <w:tab w:val="num" w:pos="1440"/>
        </w:tabs>
        <w:ind w:left="1440" w:hanging="480"/>
      </w:pPr>
      <w:rPr>
        <w:rFonts w:ascii="標楷體" w:hAnsi="標楷體" w:cs="標楷體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bullet"/>
      <w:lvlText w:val="○"/>
      <w:lvlJc w:val="left"/>
      <w:pPr>
        <w:tabs>
          <w:tab w:val="num" w:pos="960"/>
        </w:tabs>
        <w:ind w:left="96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cs="Wingdings" w:hint="default"/>
      </w:rPr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763"/>
        </w:tabs>
        <w:ind w:left="763" w:hanging="240"/>
      </w:pPr>
    </w:lvl>
    <w:lvl w:ilvl="1">
      <w:start w:val="1"/>
      <w:numFmt w:val="ideographTraditional"/>
      <w:lvlText w:val="%2、"/>
      <w:lvlJc w:val="left"/>
      <w:pPr>
        <w:tabs>
          <w:tab w:val="num" w:pos="1483"/>
        </w:tabs>
        <w:ind w:left="1483" w:hanging="480"/>
      </w:pPr>
    </w:lvl>
    <w:lvl w:ilvl="2">
      <w:start w:val="1"/>
      <w:numFmt w:val="lowerRoman"/>
      <w:lvlText w:val="%3."/>
      <w:lvlJc w:val="right"/>
      <w:pPr>
        <w:tabs>
          <w:tab w:val="num" w:pos="1963"/>
        </w:tabs>
        <w:ind w:left="1963" w:hanging="0"/>
      </w:pPr>
    </w:lvl>
    <w:lvl w:ilvl="3">
      <w:start w:val="1"/>
      <w:numFmt w:val="decimal"/>
      <w:lvlText w:val="%4."/>
      <w:lvlJc w:val="left"/>
      <w:pPr>
        <w:tabs>
          <w:tab w:val="num" w:pos="2443"/>
        </w:tabs>
        <w:ind w:left="2443" w:hanging="480"/>
      </w:pPr>
    </w:lvl>
    <w:lvl w:ilvl="4">
      <w:start w:val="1"/>
      <w:numFmt w:val="ideographTraditional"/>
      <w:lvlText w:val="%5、"/>
      <w:lvlJc w:val="left"/>
      <w:pPr>
        <w:tabs>
          <w:tab w:val="num" w:pos="2923"/>
        </w:tabs>
        <w:ind w:left="2923" w:hanging="480"/>
      </w:pPr>
    </w:lvl>
    <w:lvl w:ilvl="5">
      <w:start w:val="1"/>
      <w:numFmt w:val="lowerRoman"/>
      <w:lvlText w:val="%6."/>
      <w:lvlJc w:val="right"/>
      <w:pPr>
        <w:tabs>
          <w:tab w:val="num" w:pos="3403"/>
        </w:tabs>
        <w:ind w:left="3403" w:hanging="0"/>
      </w:pPr>
    </w:lvl>
    <w:lvl w:ilvl="6">
      <w:start w:val="1"/>
      <w:numFmt w:val="decimal"/>
      <w:lvlText w:val="%7."/>
      <w:lvlJc w:val="left"/>
      <w:pPr>
        <w:tabs>
          <w:tab w:val="num" w:pos="3883"/>
        </w:tabs>
        <w:ind w:left="3883" w:hanging="480"/>
      </w:pPr>
    </w:lvl>
    <w:lvl w:ilvl="7">
      <w:start w:val="1"/>
      <w:numFmt w:val="ideographTraditional"/>
      <w:lvlText w:val="%8、"/>
      <w:lvlJc w:val="left"/>
      <w:pPr>
        <w:tabs>
          <w:tab w:val="num" w:pos="4363"/>
        </w:tabs>
        <w:ind w:left="4363" w:hanging="480"/>
      </w:pPr>
    </w:lvl>
    <w:lvl w:ilvl="8">
      <w:start w:val="1"/>
      <w:numFmt w:val="lowerRoman"/>
      <w:lvlText w:val="%9."/>
      <w:lvlJc w:val="right"/>
      <w:pPr>
        <w:tabs>
          <w:tab w:val="num" w:pos="4843"/>
        </w:tabs>
        <w:ind w:left="4843" w:hanging="0"/>
      </w:pPr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480"/>
      </w:pPr>
    </w:lvl>
    <w:lvl w:ilvl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>
      <w:start w:val="1"/>
      <w:numFmt w:val="lowerRoman"/>
      <w:lvlText w:val="%6."/>
      <w:lvlJc w:val="right"/>
      <w:pPr>
        <w:tabs>
          <w:tab w:val="num" w:pos="3120"/>
        </w:tabs>
        <w:ind w:left="3120" w:hanging="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>
      <w:start w:val="1"/>
      <w:numFmt w:val="lowerRoman"/>
      <w:lvlText w:val="%9."/>
      <w:lvlJc w:val="right"/>
      <w:pPr>
        <w:tabs>
          <w:tab w:val="num" w:pos="4560"/>
        </w:tabs>
        <w:ind w:left="4560" w:hanging="0"/>
      </w:pPr>
    </w:lvl>
  </w:abstractNum>
  <w:abstractNum w:abstractNumId="21"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sz w:val="26"/>
        <w:szCs w:val="26"/>
        <w:color w:val="auto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sz w:val="28"/>
        <w:rFonts w:ascii="Calibri" w:hAnsi="Calibri" w:eastAsia="新細明體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22">
    <w:lvl w:ilvl="0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1046"/>
        </w:tabs>
        <w:ind w:left="1046" w:hanging="480"/>
      </w:pPr>
    </w:lvl>
    <w:lvl w:ilvl="1">
      <w:start w:val="1"/>
      <w:numFmt w:val="decimal"/>
      <w:lvlText w:val="%2."/>
      <w:lvlJc w:val="left"/>
      <w:pPr>
        <w:tabs>
          <w:tab w:val="num" w:pos="1526"/>
        </w:tabs>
        <w:ind w:left="1526" w:hanging="480"/>
      </w:pPr>
    </w:lvl>
    <w:lvl w:ilvl="2">
      <w:start w:val="1"/>
      <w:numFmt w:val="lowerRoman"/>
      <w:lvlText w:val="%3."/>
      <w:lvlJc w:val="right"/>
      <w:pPr>
        <w:tabs>
          <w:tab w:val="num" w:pos="2006"/>
        </w:tabs>
        <w:ind w:left="2006" w:hanging="0"/>
      </w:pPr>
    </w:lvl>
    <w:lvl w:ilvl="3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>
      <w:start w:val="1"/>
      <w:numFmt w:val="lowerRoman"/>
      <w:lvlText w:val="%6."/>
      <w:lvlJc w:val="right"/>
      <w:pPr>
        <w:tabs>
          <w:tab w:val="num" w:pos="3446"/>
        </w:tabs>
        <w:ind w:left="3446" w:hanging="0"/>
      </w:pPr>
    </w:lvl>
    <w:lvl w:ilvl="6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>
      <w:start w:val="1"/>
      <w:numFmt w:val="lowerRoman"/>
      <w:lvlText w:val="%9."/>
      <w:lvlJc w:val="right"/>
      <w:pPr>
        <w:tabs>
          <w:tab w:val="num" w:pos="4886"/>
        </w:tabs>
        <w:ind w:left="4886" w:hanging="0"/>
      </w:pPr>
    </w:lvl>
  </w:abstractNum>
  <w:abstractNum w:abstractNumId="2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清單段落 字元"/>
    <w:qFormat/>
    <w:rPr/>
  </w:style>
  <w:style w:type="character" w:styleId="Style16">
    <w:name w:val="預留位置文字"/>
    <w:qFormat/>
    <w:rPr>
      <w:color w:val="808080"/>
    </w:rPr>
  </w:style>
  <w:style w:type="character" w:styleId="Style17">
    <w:name w:val="超連結"/>
    <w:qFormat/>
    <w:rPr>
      <w:color w:val="0000FF"/>
      <w:u w:val="single"/>
    </w:rPr>
  </w:style>
  <w:style w:type="character" w:styleId="Style18">
    <w:name w:val="頁首 字元"/>
    <w:qFormat/>
    <w:rPr>
      <w:rFonts w:ascii="Calibri" w:hAnsi="Calibri" w:eastAsia="新細明體" w:cs="Times New Roman"/>
      <w:sz w:val="20"/>
      <w:szCs w:val="20"/>
    </w:rPr>
  </w:style>
  <w:style w:type="character" w:styleId="Style19">
    <w:name w:val="頁尾 字元"/>
    <w:qFormat/>
    <w:rPr>
      <w:sz w:val="20"/>
      <w:szCs w:val="20"/>
    </w:rPr>
  </w:style>
  <w:style w:type="character" w:styleId="PageNumber">
    <w:name w:val="Page Number"/>
    <w:basedOn w:val="Style14"/>
    <w:rPr/>
  </w:style>
  <w:style w:type="character" w:styleId="Style20">
    <w:name w:val="註解方塊文字 字元"/>
    <w:qFormat/>
    <w:rPr>
      <w:rFonts w:ascii="Cambria" w:hAnsi="Cambria" w:eastAsia="新細明體" w:cs="Times New Roman"/>
      <w:sz w:val="18"/>
      <w:szCs w:val="18"/>
    </w:rPr>
  </w:style>
  <w:style w:type="character" w:styleId="Style21">
    <w:name w:val="註解參照"/>
    <w:qFormat/>
    <w:rPr>
      <w:sz w:val="18"/>
      <w:szCs w:val="18"/>
    </w:rPr>
  </w:style>
  <w:style w:type="character" w:styleId="Style22">
    <w:name w:val="註解文字 字元"/>
    <w:basedOn w:val="Style14"/>
    <w:qFormat/>
    <w:rPr/>
  </w:style>
  <w:style w:type="character" w:styleId="Style23">
    <w:name w:val="註解主旨 字元"/>
    <w:qFormat/>
    <w:rPr>
      <w:b/>
      <w:bCs/>
    </w:rPr>
  </w:style>
  <w:style w:type="character" w:styleId="Style24">
    <w:name w:val="本文 字元"/>
    <w:qFormat/>
    <w:rPr>
      <w:rFonts w:ascii="Times New Roman" w:hAnsi="Times New Roman" w:eastAsia="標楷體" w:cs="Times New Roman"/>
      <w:sz w:val="28"/>
      <w:szCs w:val="20"/>
    </w:rPr>
  </w:style>
  <w:style w:type="character" w:styleId="Style25">
    <w:name w:val="問候 字元"/>
    <w:qFormat/>
    <w:rPr>
      <w:rFonts w:ascii="Times New Roman" w:hAnsi="Times New Roman" w:eastAsia="標楷體" w:cs="Times New Roman"/>
      <w:szCs w:val="24"/>
    </w:rPr>
  </w:style>
  <w:style w:type="character" w:styleId="Style26">
    <w:name w:val="結語 字元"/>
    <w:qFormat/>
    <w:rPr>
      <w:rFonts w:ascii="Times New Roman" w:hAnsi="Times New Roman" w:eastAsia="標楷體" w:cs="Times New Roman"/>
      <w:szCs w:val="24"/>
    </w:rPr>
  </w:style>
  <w:style w:type="character" w:styleId="Style27">
    <w:name w:val="本文縮排 字元"/>
    <w:qFormat/>
    <w:rPr>
      <w:rFonts w:ascii="Calibri" w:hAnsi="Calibri" w:eastAsia="新細明體" w:cs="Times New Roman"/>
    </w:rPr>
  </w:style>
  <w:style w:type="character" w:styleId="Style28">
    <w:name w:val="日期 字元"/>
    <w:qFormat/>
    <w:rPr>
      <w:rFonts w:ascii="Calibri" w:hAnsi="Calibri" w:eastAsia="新細明體" w:cs="Times New Roman"/>
    </w:rPr>
  </w:style>
  <w:style w:type="character" w:styleId="3">
    <w:name w:val="本文縮排 3 字元"/>
    <w:qFormat/>
    <w:rPr>
      <w:rFonts w:ascii="標楷體" w:hAnsi="標楷體" w:eastAsia="標楷體" w:cs="Times New Roman"/>
      <w:kern w:val="0"/>
      <w:szCs w:val="24"/>
    </w:rPr>
  </w:style>
  <w:style w:type="character" w:styleId="Ui">
    <w:name w:val="ui"/>
    <w:qFormat/>
    <w:rPr>
      <w:b w:val="false"/>
      <w:bCs w:val="false"/>
    </w:rPr>
  </w:style>
  <w:style w:type="character" w:styleId="WWCharLFO3LVL1">
    <w:name w:val="WW_CharLFO3LVL1"/>
    <w:qFormat/>
    <w:rPr>
      <w:rFonts w:ascii="標楷體" w:hAnsi="標楷體" w:eastAsia="標楷體"/>
    </w:rPr>
  </w:style>
  <w:style w:type="character" w:styleId="WWCharLFO3LVL2">
    <w:name w:val="WW_CharLFO3LVL2"/>
    <w:qFormat/>
    <w:rPr>
      <w:rFonts w:ascii="Wingdings" w:hAnsi="Wingdings"/>
    </w:rPr>
  </w:style>
  <w:style w:type="character" w:styleId="WWCharLFO3LVL3">
    <w:name w:val="WW_CharLFO3LVL3"/>
    <w:qFormat/>
    <w:rPr>
      <w:rFonts w:ascii="Wingdings" w:hAnsi="Wingdings"/>
    </w:rPr>
  </w:style>
  <w:style w:type="character" w:styleId="WWCharLFO3LVL4">
    <w:name w:val="WW_CharLFO3LVL4"/>
    <w:qFormat/>
    <w:rPr>
      <w:rFonts w:ascii="Wingdings" w:hAnsi="Wingdings"/>
    </w:rPr>
  </w:style>
  <w:style w:type="character" w:styleId="WWCharLFO3LVL5">
    <w:name w:val="WW_CharLFO3LVL5"/>
    <w:qFormat/>
    <w:rPr>
      <w:rFonts w:ascii="Wingdings" w:hAnsi="Wingdings"/>
    </w:rPr>
  </w:style>
  <w:style w:type="character" w:styleId="WWCharLFO3LVL6">
    <w:name w:val="WW_CharLFO3LVL6"/>
    <w:qFormat/>
    <w:rPr>
      <w:rFonts w:ascii="Wingdings" w:hAnsi="Wingdings"/>
    </w:rPr>
  </w:style>
  <w:style w:type="character" w:styleId="WWCharLFO3LVL7">
    <w:name w:val="WW_CharLFO3LVL7"/>
    <w:qFormat/>
    <w:rPr>
      <w:rFonts w:ascii="Wingdings" w:hAnsi="Wingdings"/>
    </w:rPr>
  </w:style>
  <w:style w:type="character" w:styleId="WWCharLFO3LVL8">
    <w:name w:val="WW_CharLFO3LVL8"/>
    <w:qFormat/>
    <w:rPr>
      <w:rFonts w:ascii="Wingdings" w:hAnsi="Wingdings"/>
    </w:rPr>
  </w:style>
  <w:style w:type="character" w:styleId="WWCharLFO3LVL9">
    <w:name w:val="WW_CharLFO3LVL9"/>
    <w:qFormat/>
    <w:rPr>
      <w:rFonts w:ascii="Wingdings" w:hAnsi="Wingdings"/>
    </w:rPr>
  </w:style>
  <w:style w:type="character" w:styleId="WWCharLFO4LVL1">
    <w:name w:val="WW_CharLFO4LVL1"/>
    <w:qFormat/>
    <w:rPr>
      <w:rFonts w:ascii="標楷體" w:hAnsi="標楷體" w:eastAsia="標楷體"/>
    </w:rPr>
  </w:style>
  <w:style w:type="character" w:styleId="WWCharLFO4LVL2">
    <w:name w:val="WW_CharLFO4LVL2"/>
    <w:qFormat/>
    <w:rPr>
      <w:rFonts w:ascii="Wingdings" w:hAnsi="Wingdings"/>
    </w:rPr>
  </w:style>
  <w:style w:type="character" w:styleId="WWCharLFO4LVL3">
    <w:name w:val="WW_CharLFO4LVL3"/>
    <w:qFormat/>
    <w:rPr>
      <w:rFonts w:ascii="Wingdings" w:hAnsi="Wingdings"/>
    </w:rPr>
  </w:style>
  <w:style w:type="character" w:styleId="WWCharLFO4LVL4">
    <w:name w:val="WW_CharLFO4LVL4"/>
    <w:qFormat/>
    <w:rPr>
      <w:rFonts w:ascii="Wingdings" w:hAnsi="Wingdings"/>
    </w:rPr>
  </w:style>
  <w:style w:type="character" w:styleId="WWCharLFO4LVL5">
    <w:name w:val="WW_CharLFO4LVL5"/>
    <w:qFormat/>
    <w:rPr>
      <w:rFonts w:ascii="Wingdings" w:hAnsi="Wingdings"/>
    </w:rPr>
  </w:style>
  <w:style w:type="character" w:styleId="WWCharLFO4LVL6">
    <w:name w:val="WW_CharLFO4LVL6"/>
    <w:qFormat/>
    <w:rPr>
      <w:rFonts w:ascii="Wingdings" w:hAnsi="Wingdings"/>
    </w:rPr>
  </w:style>
  <w:style w:type="character" w:styleId="WWCharLFO4LVL7">
    <w:name w:val="WW_CharLFO4LVL7"/>
    <w:qFormat/>
    <w:rPr>
      <w:rFonts w:ascii="Wingdings" w:hAnsi="Wingdings"/>
    </w:rPr>
  </w:style>
  <w:style w:type="character" w:styleId="WWCharLFO4LVL8">
    <w:name w:val="WW_CharLFO4LVL8"/>
    <w:qFormat/>
    <w:rPr>
      <w:rFonts w:ascii="Wingdings" w:hAnsi="Wingdings"/>
    </w:rPr>
  </w:style>
  <w:style w:type="character" w:styleId="WWCharLFO4LVL9">
    <w:name w:val="WW_CharLFO4LVL9"/>
    <w:qFormat/>
    <w:rPr>
      <w:rFonts w:ascii="Wingdings" w:hAnsi="Wingdings"/>
    </w:rPr>
  </w:style>
  <w:style w:type="character" w:styleId="WWCharLFO5LVL1">
    <w:name w:val="WW_CharLFO5LVL1"/>
    <w:qFormat/>
    <w:rPr>
      <w:rFonts w:ascii="標楷體" w:hAnsi="標楷體" w:eastAsia="標楷體"/>
    </w:rPr>
  </w:style>
  <w:style w:type="character" w:styleId="WWCharLFO5LVL2">
    <w:name w:val="WW_CharLFO5LVL2"/>
    <w:qFormat/>
    <w:rPr>
      <w:rFonts w:ascii="Wingdings" w:hAnsi="Wingdings"/>
    </w:rPr>
  </w:style>
  <w:style w:type="character" w:styleId="WWCharLFO5LVL3">
    <w:name w:val="WW_CharLFO5LVL3"/>
    <w:qFormat/>
    <w:rPr>
      <w:rFonts w:ascii="Wingdings" w:hAnsi="Wingdings"/>
    </w:rPr>
  </w:style>
  <w:style w:type="character" w:styleId="WWCharLFO5LVL4">
    <w:name w:val="WW_CharLFO5LVL4"/>
    <w:qFormat/>
    <w:rPr>
      <w:rFonts w:ascii="Wingdings" w:hAnsi="Wingdings"/>
    </w:rPr>
  </w:style>
  <w:style w:type="character" w:styleId="WWCharLFO5LVL5">
    <w:name w:val="WW_CharLFO5LVL5"/>
    <w:qFormat/>
    <w:rPr>
      <w:rFonts w:ascii="Wingdings" w:hAnsi="Wingdings"/>
    </w:rPr>
  </w:style>
  <w:style w:type="character" w:styleId="WWCharLFO5LVL6">
    <w:name w:val="WW_CharLFO5LVL6"/>
    <w:qFormat/>
    <w:rPr>
      <w:rFonts w:ascii="Wingdings" w:hAnsi="Wingdings"/>
    </w:rPr>
  </w:style>
  <w:style w:type="character" w:styleId="WWCharLFO5LVL7">
    <w:name w:val="WW_CharLFO5LVL7"/>
    <w:qFormat/>
    <w:rPr>
      <w:rFonts w:ascii="Wingdings" w:hAnsi="Wingdings"/>
    </w:rPr>
  </w:style>
  <w:style w:type="character" w:styleId="WWCharLFO5LVL8">
    <w:name w:val="WW_CharLFO5LVL8"/>
    <w:qFormat/>
    <w:rPr>
      <w:rFonts w:ascii="Wingdings" w:hAnsi="Wingdings"/>
    </w:rPr>
  </w:style>
  <w:style w:type="character" w:styleId="WWCharLFO5LVL9">
    <w:name w:val="WW_CharLFO5LVL9"/>
    <w:qFormat/>
    <w:rPr>
      <w:rFonts w:ascii="Wingdings" w:hAnsi="Wingdings"/>
    </w:rPr>
  </w:style>
  <w:style w:type="character" w:styleId="WWCharLFO6LVL1">
    <w:name w:val="WW_CharLFO6LVL1"/>
    <w:qFormat/>
    <w:rPr>
      <w:rFonts w:ascii="標楷體" w:hAnsi="標楷體" w:eastAsia="標楷體"/>
    </w:rPr>
  </w:style>
  <w:style w:type="character" w:styleId="WWCharLFO6LVL2">
    <w:name w:val="WW_CharLFO6LVL2"/>
    <w:qFormat/>
    <w:rPr>
      <w:rFonts w:ascii="Wingdings" w:hAnsi="Wingdings"/>
    </w:rPr>
  </w:style>
  <w:style w:type="character" w:styleId="WWCharLFO6LVL3">
    <w:name w:val="WW_CharLFO6LVL3"/>
    <w:qFormat/>
    <w:rPr>
      <w:rFonts w:ascii="Wingdings" w:hAnsi="Wingdings"/>
    </w:rPr>
  </w:style>
  <w:style w:type="character" w:styleId="WWCharLFO6LVL4">
    <w:name w:val="WW_CharLFO6LVL4"/>
    <w:qFormat/>
    <w:rPr>
      <w:rFonts w:ascii="Wingdings" w:hAnsi="Wingdings"/>
    </w:rPr>
  </w:style>
  <w:style w:type="character" w:styleId="WWCharLFO6LVL5">
    <w:name w:val="WW_CharLFO6LVL5"/>
    <w:qFormat/>
    <w:rPr>
      <w:rFonts w:ascii="Wingdings" w:hAnsi="Wingdings"/>
    </w:rPr>
  </w:style>
  <w:style w:type="character" w:styleId="WWCharLFO6LVL6">
    <w:name w:val="WW_CharLFO6LVL6"/>
    <w:qFormat/>
    <w:rPr>
      <w:rFonts w:ascii="Wingdings" w:hAnsi="Wingdings"/>
    </w:rPr>
  </w:style>
  <w:style w:type="character" w:styleId="WWCharLFO6LVL7">
    <w:name w:val="WW_CharLFO6LVL7"/>
    <w:qFormat/>
    <w:rPr>
      <w:rFonts w:ascii="Wingdings" w:hAnsi="Wingdings"/>
    </w:rPr>
  </w:style>
  <w:style w:type="character" w:styleId="WWCharLFO6LVL8">
    <w:name w:val="WW_CharLFO6LVL8"/>
    <w:qFormat/>
    <w:rPr>
      <w:rFonts w:ascii="Wingdings" w:hAnsi="Wingdings"/>
    </w:rPr>
  </w:style>
  <w:style w:type="character" w:styleId="WWCharLFO6LVL9">
    <w:name w:val="WW_CharLFO6LVL9"/>
    <w:qFormat/>
    <w:rPr>
      <w:rFonts w:ascii="Wingdings" w:hAnsi="Wingdings"/>
    </w:rPr>
  </w:style>
  <w:style w:type="character" w:styleId="WWCharLFO15LVL1">
    <w:name w:val="WW_CharLFO15LVL1"/>
    <w:qFormat/>
    <w:rPr>
      <w:rFonts w:ascii="標楷體" w:hAnsi="標楷體" w:eastAsia="標楷體"/>
    </w:rPr>
  </w:style>
  <w:style w:type="character" w:styleId="WWCharLFO15LVL2">
    <w:name w:val="WW_CharLFO15LVL2"/>
    <w:qFormat/>
    <w:rPr>
      <w:rFonts w:ascii="Wingdings" w:hAnsi="Wingdings"/>
    </w:rPr>
  </w:style>
  <w:style w:type="character" w:styleId="WWCharLFO15LVL3">
    <w:name w:val="WW_CharLFO15LVL3"/>
    <w:qFormat/>
    <w:rPr>
      <w:rFonts w:ascii="標楷體" w:hAnsi="標楷體" w:eastAsia="標楷體"/>
    </w:rPr>
  </w:style>
  <w:style w:type="character" w:styleId="WWCharLFO15LVL4">
    <w:name w:val="WW_CharLFO15LVL4"/>
    <w:qFormat/>
    <w:rPr>
      <w:rFonts w:ascii="Wingdings" w:hAnsi="Wingdings"/>
    </w:rPr>
  </w:style>
  <w:style w:type="character" w:styleId="WWCharLFO15LVL5">
    <w:name w:val="WW_CharLFO15LVL5"/>
    <w:qFormat/>
    <w:rPr>
      <w:rFonts w:ascii="Wingdings" w:hAnsi="Wingdings"/>
    </w:rPr>
  </w:style>
  <w:style w:type="character" w:styleId="WWCharLFO15LVL6">
    <w:name w:val="WW_CharLFO15LVL6"/>
    <w:qFormat/>
    <w:rPr>
      <w:rFonts w:ascii="Wingdings" w:hAnsi="Wingdings"/>
    </w:rPr>
  </w:style>
  <w:style w:type="character" w:styleId="WWCharLFO15LVL7">
    <w:name w:val="WW_CharLFO15LVL7"/>
    <w:qFormat/>
    <w:rPr>
      <w:rFonts w:ascii="Wingdings" w:hAnsi="Wingdings"/>
    </w:rPr>
  </w:style>
  <w:style w:type="character" w:styleId="WWCharLFO15LVL8">
    <w:name w:val="WW_CharLFO15LVL8"/>
    <w:qFormat/>
    <w:rPr>
      <w:rFonts w:ascii="Wingdings" w:hAnsi="Wingdings"/>
    </w:rPr>
  </w:style>
  <w:style w:type="character" w:styleId="WWCharLFO15LVL9">
    <w:name w:val="WW_CharLFO15LVL9"/>
    <w:qFormat/>
    <w:rPr>
      <w:rFonts w:ascii="Wingdings" w:hAnsi="Wingdings"/>
    </w:rPr>
  </w:style>
  <w:style w:type="character" w:styleId="WWCharLFO18LVL2">
    <w:name w:val="WW_CharLFO18LVL2"/>
    <w:qFormat/>
    <w:rPr>
      <w:strike w:val="false"/>
      <w:dstrike w:val="false"/>
    </w:rPr>
  </w:style>
  <w:style w:type="character" w:styleId="WWCharLFO20LVL1">
    <w:name w:val="WW_CharLFO20LVL1"/>
    <w:qFormat/>
    <w:rPr>
      <w:color w:val="auto"/>
      <w:sz w:val="26"/>
      <w:szCs w:val="26"/>
    </w:rPr>
  </w:style>
  <w:style w:type="character" w:styleId="WWCharLFO20LVL2">
    <w:name w:val="WW_CharLFO20LVL2"/>
    <w:qFormat/>
    <w:rPr>
      <w:rFonts w:ascii="Calibri" w:hAnsi="Calibri" w:eastAsia="新細明體"/>
      <w:sz w:val="2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29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/>
  </w:style>
  <w:style w:type="paragraph" w:styleId="Style30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Style31">
    <w:name w:val="註解方塊文字"/>
    <w:basedOn w:val="BodyText"/>
    <w:qFormat/>
    <w:pPr>
      <w:suppressAutoHyphens w:val="true"/>
    </w:pPr>
    <w:rPr>
      <w:rFonts w:ascii="Cambria" w:hAnsi="Cambria"/>
      <w:kern w:val="0"/>
      <w:sz w:val="18"/>
      <w:szCs w:val="18"/>
    </w:rPr>
  </w:style>
  <w:style w:type="paragraph" w:styleId="Default">
    <w:name w:val="Default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left"/>
    </w:pPr>
    <w:rPr>
      <w:rFonts w:ascii="標楷體" w:hAnsi="標楷體" w:eastAsia="標楷體" w:cs="標楷體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32">
    <w:name w:val="註解文字"/>
    <w:basedOn w:val="BodyText"/>
    <w:qFormat/>
    <w:pPr>
      <w:suppressAutoHyphens w:val="true"/>
    </w:pPr>
    <w:rPr/>
  </w:style>
  <w:style w:type="paragraph" w:styleId="Style33">
    <w:name w:val="註解主旨"/>
    <w:basedOn w:val="Style32"/>
    <w:next w:val="Style32"/>
    <w:qFormat/>
    <w:pPr>
      <w:suppressAutoHyphens w:val="true"/>
    </w:pPr>
    <w:rPr>
      <w:b/>
      <w:bCs/>
      <w:kern w:val="0"/>
      <w:sz w:val="20"/>
      <w:szCs w:val="20"/>
    </w:rPr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Style34">
    <w:name w:val="本文"/>
    <w:basedOn w:val="BodyText"/>
    <w:qFormat/>
    <w:pPr>
      <w:suppressAutoHyphens w:val="true"/>
      <w:jc w:val="both"/>
    </w:pPr>
    <w:rPr>
      <w:rFonts w:ascii="Times New Roman" w:hAnsi="Times New Roman" w:eastAsia="標楷體"/>
      <w:kern w:val="0"/>
      <w:sz w:val="28"/>
      <w:szCs w:val="20"/>
    </w:rPr>
  </w:style>
  <w:style w:type="paragraph" w:styleId="Style35">
    <w:name w:val="問候"/>
    <w:basedOn w:val="BodyText"/>
    <w:next w:val="BodyText"/>
    <w:qFormat/>
    <w:pPr>
      <w:suppressAutoHyphens w:val="true"/>
    </w:pPr>
    <w:rPr>
      <w:rFonts w:ascii="Times New Roman" w:hAnsi="Times New Roman" w:eastAsia="標楷體"/>
      <w:kern w:val="0"/>
      <w:sz w:val="20"/>
      <w:szCs w:val="24"/>
    </w:rPr>
  </w:style>
  <w:style w:type="paragraph" w:styleId="Style36">
    <w:name w:val="結語"/>
    <w:basedOn w:val="BodyText"/>
    <w:qFormat/>
    <w:pPr>
      <w:tabs>
        <w:tab w:val="clear" w:pos="480"/>
      </w:tabs>
      <w:suppressAutoHyphens w:val="true"/>
      <w:ind w:left="100" w:hanging="0"/>
    </w:pPr>
    <w:rPr>
      <w:rFonts w:ascii="Times New Roman" w:hAnsi="Times New Roman" w:eastAsia="標楷體"/>
      <w:kern w:val="0"/>
      <w:sz w:val="20"/>
      <w:szCs w:val="24"/>
    </w:rPr>
  </w:style>
  <w:style w:type="paragraph" w:styleId="Style37">
    <w:name w:val="本文縮排"/>
    <w:basedOn w:val="BodyText"/>
    <w:qFormat/>
    <w:pPr>
      <w:tabs>
        <w:tab w:val="clear" w:pos="480"/>
      </w:tabs>
      <w:suppressAutoHyphens w:val="true"/>
      <w:spacing w:before="0" w:after="120"/>
      <w:ind w:left="480" w:hanging="0"/>
    </w:pPr>
    <w:rPr>
      <w:kern w:val="0"/>
      <w:sz w:val="20"/>
      <w:szCs w:val="20"/>
    </w:rPr>
  </w:style>
  <w:style w:type="paragraph" w:styleId="Style38">
    <w:name w:val="日期"/>
    <w:basedOn w:val="BodyText"/>
    <w:next w:val="BodyText"/>
    <w:qFormat/>
    <w:pPr>
      <w:suppressAutoHyphens w:val="true"/>
      <w:jc w:val="right"/>
    </w:pPr>
    <w:rPr>
      <w:kern w:val="0"/>
      <w:sz w:val="20"/>
      <w:szCs w:val="20"/>
    </w:rPr>
  </w:style>
  <w:style w:type="paragraph" w:styleId="S2">
    <w:name w:val="s2"/>
    <w:basedOn w:val="BodyText"/>
    <w:qFormat/>
    <w:pPr>
      <w:widowControl/>
      <w:numPr>
        <w:ilvl w:val="0"/>
        <w:numId w:val="1"/>
      </w:numPr>
      <w:suppressAutoHyphens w:val="true"/>
      <w:spacing w:lineRule="exact" w:line="320"/>
    </w:pPr>
    <w:rPr>
      <w:rFonts w:ascii="標楷體" w:hAnsi="標楷體" w:eastAsia="標楷體"/>
      <w:kern w:val="0"/>
      <w:sz w:val="28"/>
      <w:szCs w:val="24"/>
    </w:rPr>
  </w:style>
  <w:style w:type="paragraph" w:styleId="S1">
    <w:name w:val="s1"/>
    <w:basedOn w:val="BodyText"/>
    <w:qFormat/>
    <w:pPr>
      <w:numPr>
        <w:ilvl w:val="0"/>
        <w:numId w:val="1"/>
      </w:numPr>
      <w:suppressAutoHyphens w:val="true"/>
      <w:spacing w:lineRule="exact" w:line="360"/>
    </w:pPr>
    <w:rPr>
      <w:rFonts w:ascii="Times New Roman" w:hAnsi="Times New Roman" w:eastAsia="標楷體"/>
      <w:sz w:val="28"/>
      <w:szCs w:val="24"/>
    </w:rPr>
  </w:style>
  <w:style w:type="paragraph" w:styleId="S5">
    <w:name w:val="s5"/>
    <w:basedOn w:val="BodyText"/>
    <w:qFormat/>
    <w:pPr>
      <w:numPr>
        <w:ilvl w:val="0"/>
        <w:numId w:val="1"/>
      </w:numPr>
      <w:suppressAutoHyphens w:val="true"/>
      <w:spacing w:lineRule="exact" w:line="320"/>
    </w:pPr>
    <w:rPr>
      <w:rFonts w:ascii="Times New Roman" w:hAnsi="Times New Roman" w:eastAsia="標楷體"/>
      <w:kern w:val="0"/>
      <w:szCs w:val="24"/>
    </w:rPr>
  </w:style>
  <w:style w:type="paragraph" w:styleId="S6">
    <w:name w:val="s6"/>
    <w:basedOn w:val="BodyText"/>
    <w:qFormat/>
    <w:pPr>
      <w:numPr>
        <w:ilvl w:val="0"/>
        <w:numId w:val="1"/>
      </w:numPr>
      <w:suppressAutoHyphens w:val="true"/>
      <w:spacing w:lineRule="exact" w:line="320"/>
    </w:pPr>
    <w:rPr>
      <w:rFonts w:ascii="Times New Roman" w:hAnsi="Times New Roman" w:eastAsia="標楷體"/>
      <w:szCs w:val="24"/>
    </w:rPr>
  </w:style>
  <w:style w:type="paragraph" w:styleId="S3">
    <w:name w:val="s3"/>
    <w:basedOn w:val="BodyText"/>
    <w:qFormat/>
    <w:pPr>
      <w:numPr>
        <w:ilvl w:val="0"/>
        <w:numId w:val="1"/>
      </w:numPr>
      <w:suppressAutoHyphens w:val="true"/>
    </w:pPr>
    <w:rPr>
      <w:rFonts w:ascii="Times New Roman" w:hAnsi="Times New Roman" w:eastAsia="標楷體"/>
      <w:szCs w:val="24"/>
    </w:rPr>
  </w:style>
  <w:style w:type="paragraph" w:styleId="S4">
    <w:name w:val="s4"/>
    <w:basedOn w:val="BodyText"/>
    <w:qFormat/>
    <w:pPr>
      <w:numPr>
        <w:ilvl w:val="0"/>
        <w:numId w:val="1"/>
      </w:numPr>
      <w:suppressAutoHyphens w:val="true"/>
    </w:pPr>
    <w:rPr>
      <w:rFonts w:ascii="Times New Roman" w:hAnsi="Times New Roman" w:eastAsia="標楷體"/>
      <w:szCs w:val="24"/>
    </w:rPr>
  </w:style>
  <w:style w:type="paragraph" w:styleId="S7">
    <w:name w:val="s7"/>
    <w:basedOn w:val="S6"/>
    <w:qFormat/>
    <w:pPr>
      <w:numPr>
        <w:ilvl w:val="0"/>
        <w:numId w:val="1"/>
      </w:numPr>
      <w:tabs>
        <w:tab w:val="clear" w:pos="480"/>
        <w:tab w:val="left" w:pos="360" w:leader="none"/>
        <w:tab w:val="left" w:pos="3360" w:leader="none"/>
      </w:tabs>
      <w:suppressAutoHyphens w:val="true"/>
      <w:ind w:left="3360" w:hanging="480"/>
    </w:pPr>
    <w:rPr>
      <w:kern w:val="0"/>
    </w:rPr>
  </w:style>
  <w:style w:type="paragraph" w:styleId="31">
    <w:name w:val="本文縮排 3"/>
    <w:basedOn w:val="BodyText"/>
    <w:qFormat/>
    <w:pPr>
      <w:widowControl/>
      <w:tabs>
        <w:tab w:val="clear" w:pos="480"/>
      </w:tabs>
      <w:suppressAutoHyphens w:val="true"/>
      <w:snapToGrid w:val="false"/>
      <w:spacing w:lineRule="atLeast" w:line="400"/>
      <w:ind w:left="480" w:hanging="480"/>
      <w:jc w:val="both"/>
    </w:pPr>
    <w:rPr>
      <w:rFonts w:ascii="標楷體" w:hAnsi="標楷體" w:eastAsia="標楷體"/>
      <w:kern w:val="0"/>
      <w:sz w:val="20"/>
      <w:szCs w:val="24"/>
    </w:rPr>
  </w:style>
  <w:style w:type="paragraph" w:styleId="Style39">
    <w:name w:val="修訂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40">
    <w:name w:val="表格內容"/>
    <w:basedOn w:val="Normal"/>
    <w:qFormat/>
    <w:pPr>
      <w:widowControl w:val="false"/>
      <w:suppressLineNumbers/>
    </w:pPr>
    <w:rPr/>
  </w:style>
  <w:style w:type="paragraph" w:styleId="Style41">
    <w:name w:val="外框內容"/>
    <w:basedOn w:val="Normal"/>
    <w:qFormat/>
    <w:pPr/>
    <w:rPr/>
  </w:style>
  <w:style w:type="numbering" w:styleId="LFO17">
    <w:name w:val="LFO1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header" Target="head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12</Pages>
  <Words>885</Words>
  <Characters>5050</Characters>
  <CharactersWithSpaces>5924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2017-03-10T08:48:00Z</dcterms:created>
  <dc:creator>邱婉蓉</dc:creator>
  <dc:description/>
  <dc:language>zh-TW</dc:language>
  <cp:lastModifiedBy>yumei</cp:lastModifiedBy>
  <cp:lastPrinted>2017-02-23T13:07:00Z</cp:lastPrinted>
  <dcterms:modified xsi:type="dcterms:W3CDTF">2017-03-10T08:48:00Z</dcterms:modified>
  <cp:revision>2</cp:revision>
  <dc:subject/>
  <dc:title/>
</cp:coreProperties>
</file>