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1000"/>
        <w:jc w:val="center"/>
        <w:rPr/>
      </w:pPr>
      <w:r>
        <w:rPr/>
        <w:drawing>
          <wp:anchor behindDoc="1" distT="0" distB="0" distL="0" distR="0" simplePos="0" locked="0" layoutInCell="1" allowOverlap="1" relativeHeight="2">
            <wp:simplePos x="0" y="0"/>
            <wp:positionH relativeFrom="column">
              <wp:posOffset>129540</wp:posOffset>
            </wp:positionH>
            <wp:positionV relativeFrom="paragraph">
              <wp:posOffset>175895</wp:posOffset>
            </wp:positionV>
            <wp:extent cx="6477000" cy="9159240"/>
            <wp:effectExtent l="0" t="0" r="0" b="0"/>
            <wp:wrapNone/>
            <wp:docPr id="1" name="圖片 3"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3" descr="公告"/>
                    <pic:cNvPicPr>
                      <a:picLocks noChangeAspect="1" noChangeArrowheads="1"/>
                    </pic:cNvPicPr>
                  </pic:nvPicPr>
                  <pic:blipFill>
                    <a:blip r:embed="rId2"/>
                    <a:stretch>
                      <a:fillRect/>
                    </a:stretch>
                  </pic:blipFill>
                  <pic:spPr bwMode="auto">
                    <a:xfrm>
                      <a:off x="0" y="0"/>
                      <a:ext cx="6477000" cy="9159240"/>
                    </a:xfrm>
                    <a:prstGeom prst="rect">
                      <a:avLst/>
                    </a:prstGeom>
                  </pic:spPr>
                </pic:pic>
              </a:graphicData>
            </a:graphic>
          </wp:anchor>
        </w:drawing>
      </w:r>
      <w:bookmarkStart w:id="0" w:name="_Toc282534346"/>
      <w:bookmarkStart w:id="1" w:name="_Toc282534346"/>
      <w:r>
        <w:br w:type="page"/>
      </w:r>
    </w:p>
    <w:p>
      <w:pPr>
        <w:pStyle w:val="BodyText"/>
        <w:jc w:val="center"/>
        <w:rPr/>
      </w:pPr>
      <w:r>
        <w:rPr>
          <w:rStyle w:val="Style13"/>
          <w:rFonts w:ascii="標楷體" w:hAnsi="標楷體" w:eastAsia="標楷體"/>
          <w:b/>
          <w:sz w:val="56"/>
          <w:szCs w:val="56"/>
        </w:rPr>
        <w:t>衛生福利部</w:t>
      </w:r>
    </w:p>
    <w:p>
      <w:pPr>
        <w:pStyle w:val="BodyText"/>
        <w:tabs>
          <w:tab w:val="clear" w:pos="480"/>
        </w:tabs>
        <w:snapToGrid w:val="false"/>
        <w:spacing w:lineRule="atLeast" w:line="240" w:before="0" w:after="180"/>
        <w:ind w:left="-360" w:right="-360" w:hanging="0"/>
        <w:jc w:val="center"/>
        <w:rPr/>
      </w:pPr>
      <w:r>
        <w:rPr>
          <w:rStyle w:val="Style13"/>
          <w:rFonts w:ascii="標楷體" w:hAnsi="標楷體" w:eastAsia="標楷體"/>
          <w:b/>
          <w:sz w:val="56"/>
          <w:szCs w:val="56"/>
        </w:rPr>
        <w:t>精神科醫院評鑑基準</w:t>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pPr>
      <w:r>
        <w:rPr>
          <w:rStyle w:val="Style13"/>
          <w:rFonts w:ascii="標楷體" w:hAnsi="標楷體" w:eastAsia="標楷體"/>
          <w:b/>
          <w:sz w:val="36"/>
        </w:rPr>
        <w:drawing>
          <wp:inline distT="0" distB="0" distL="0" distR="0">
            <wp:extent cx="2347595" cy="2320925"/>
            <wp:effectExtent l="0" t="0" r="0" b="0"/>
            <wp:docPr id="2" name="圖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sz w:val="40"/>
          <w:szCs w:val="40"/>
        </w:rPr>
      </w:pPr>
      <w:r>
        <w:rPr>
          <w:rFonts w:eastAsia="標楷體" w:cs="Arial" w:ascii="Arial" w:hAnsi="Arial"/>
          <w:sz w:val="40"/>
          <w:szCs w:val="40"/>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ind w:firstLine="1200"/>
        <w:jc w:val="center"/>
        <w:rPr>
          <w:rFonts w:eastAsia="標楷體"/>
          <w:sz w:val="32"/>
        </w:rPr>
      </w:pPr>
      <w:r>
        <w:rPr>
          <w:rFonts w:eastAsia="標楷體"/>
          <w:sz w:val="32"/>
        </w:rPr>
      </w:r>
    </w:p>
    <w:p>
      <w:pPr>
        <w:pStyle w:val="BodyText"/>
        <w:jc w:val="center"/>
        <w:rPr/>
      </w:pPr>
      <w:r>
        <w:rPr>
          <w:rStyle w:val="Style13"/>
          <w:rFonts w:eastAsia="標楷體"/>
          <w:b/>
          <w:sz w:val="40"/>
          <w:szCs w:val="32"/>
        </w:rPr>
        <w:t>中 華 民 國</w:t>
      </w:r>
      <w:r>
        <w:rPr>
          <w:rStyle w:val="Style13"/>
          <w:rFonts w:eastAsia="標楷體"/>
          <w:b/>
          <w:sz w:val="40"/>
          <w:szCs w:val="40"/>
        </w:rPr>
        <w:t>106</w:t>
      </w:r>
      <w:r>
        <w:rPr>
          <w:rStyle w:val="Style13"/>
          <w:rFonts w:eastAsia="標楷體"/>
          <w:b/>
          <w:sz w:val="40"/>
          <w:szCs w:val="40"/>
        </w:rPr>
        <w:t>年</w:t>
      </w:r>
      <w:r>
        <w:rPr>
          <w:rStyle w:val="Style13"/>
          <w:rFonts w:eastAsia="標楷體"/>
          <w:b/>
          <w:sz w:val="40"/>
          <w:szCs w:val="40"/>
        </w:rPr>
        <w:t>5</w:t>
      </w:r>
      <w:r>
        <w:rPr>
          <w:rStyle w:val="Style13"/>
          <w:rFonts w:eastAsia="標楷體"/>
          <w:b/>
          <w:sz w:val="40"/>
          <w:szCs w:val="40"/>
        </w:rPr>
        <w:t>月</w:t>
      </w:r>
      <w:r>
        <w:rPr>
          <w:rStyle w:val="Style13"/>
          <w:rFonts w:eastAsia="標楷體"/>
          <w:b/>
          <w:sz w:val="40"/>
          <w:szCs w:val="40"/>
        </w:rPr>
        <w:t>3</w:t>
      </w:r>
      <w:r>
        <w:rPr>
          <w:rStyle w:val="Style13"/>
          <w:rFonts w:eastAsia="標楷體"/>
          <w:b/>
          <w:sz w:val="40"/>
          <w:szCs w:val="40"/>
        </w:rPr>
        <w:t>日</w:t>
      </w:r>
      <w:r>
        <w:br w:type="page"/>
      </w:r>
    </w:p>
    <w:p>
      <w:pPr>
        <w:pStyle w:val="BodyText"/>
        <w:jc w:val="center"/>
        <w:rPr>
          <w:rFonts w:eastAsia="標楷體"/>
          <w:sz w:val="32"/>
          <w:szCs w:val="32"/>
        </w:rPr>
      </w:pPr>
      <w:r>
        <w:rPr>
          <w:rFonts w:eastAsia="標楷體"/>
          <w:sz w:val="32"/>
          <w:szCs w:val="32"/>
        </w:rPr>
        <w:t>106</w:t>
      </w:r>
      <w:r>
        <w:rPr>
          <w:rFonts w:eastAsia="標楷體"/>
          <w:sz w:val="32"/>
          <w:szCs w:val="32"/>
        </w:rPr>
        <w:t>年度精神科醫院評鑑基準</w:t>
      </w:r>
    </w:p>
    <w:p>
      <w:pPr>
        <w:pStyle w:val="BodyText"/>
        <w:jc w:val="center"/>
        <w:rPr>
          <w:rFonts w:eastAsia="標楷體"/>
          <w:sz w:val="32"/>
          <w:szCs w:val="32"/>
        </w:rPr>
      </w:pPr>
      <w:r>
        <w:rPr>
          <w:rFonts w:eastAsia="標楷體"/>
          <w:sz w:val="32"/>
          <w:szCs w:val="32"/>
        </w:rPr>
        <w:t>目錄</w:t>
      </w:r>
    </w:p>
    <w:sdt>
      <w:sdtPr>
        <w:docPartObj>
          <w:docPartGallery w:val="Table of Contents"/>
          <w:docPartUnique w:val="true"/>
        </w:docPartObj>
      </w:sdtPr>
      <w:sdtContent>
        <w:p>
          <w:pPr>
            <w:pStyle w:val="11"/>
            <w:tabs>
              <w:tab w:val="clear" w:pos="480"/>
              <w:tab w:val="right" w:pos="10195" w:leader="dot"/>
            </w:tabs>
            <w:rPr/>
          </w:pPr>
          <w:r>
            <w:fldChar w:fldCharType="begin"/>
          </w:r>
          <w:r>
            <w:rPr>
              <w:rStyle w:val="Hyperlink"/>
              <w:sz w:val="28"/>
              <w:szCs w:val="28"/>
              <w:rFonts w:eastAsia="標楷體"/>
              <w:color w:val="auto"/>
            </w:rPr>
            <w:instrText xml:space="preserve"> TOC \o "1-3" \h</w:instrText>
          </w:r>
          <w:r>
            <w:rPr>
              <w:rStyle w:val="Hyperlink"/>
              <w:sz w:val="28"/>
              <w:szCs w:val="28"/>
              <w:rFonts w:eastAsia="標楷體"/>
              <w:color w:val="auto"/>
            </w:rPr>
            <w:fldChar w:fldCharType="separate"/>
          </w:r>
          <w:hyperlink w:anchor="_Toc480548255" w:tgtFrame="_top">
            <w:r>
              <w:rPr>
                <w:rStyle w:val="Hyperlink"/>
                <w:rFonts w:eastAsia="標楷體"/>
                <w:color w:val="auto"/>
                <w:sz w:val="28"/>
                <w:szCs w:val="28"/>
              </w:rPr>
              <w:t>凡 例</w:t>
            </w:r>
            <w:r>
              <w:rPr>
                <w:webHidden/>
              </w:rPr>
              <w:fldChar w:fldCharType="begin"/>
            </w:r>
            <w:r>
              <w:rPr>
                <w:webHidden/>
              </w:rPr>
              <w:instrText xml:space="preserve">PAGEREF _Toc480548255 \h</w:instrText>
            </w:r>
            <w:r>
              <w:rPr>
                <w:webHidden/>
              </w:rPr>
              <w:fldChar w:fldCharType="separate"/>
            </w:r>
            <w:r>
              <w:rPr>
                <w:rStyle w:val="Hyperlink"/>
                <w:rFonts w:eastAsia="標楷體"/>
                <w:sz w:val="28"/>
                <w:szCs w:val="28"/>
              </w:rPr>
              <w:tab/>
              <w:t>III</w:t>
            </w:r>
            <w:r>
              <w:rPr>
                <w:webHidden/>
              </w:rPr>
              <w:fldChar w:fldCharType="end"/>
            </w:r>
          </w:hyperlink>
        </w:p>
        <w:p>
          <w:pPr>
            <w:pStyle w:val="11"/>
            <w:tabs>
              <w:tab w:val="clear" w:pos="480"/>
              <w:tab w:val="right" w:pos="10195" w:leader="dot"/>
            </w:tabs>
            <w:rPr/>
          </w:pPr>
          <w:hyperlink w:anchor="_Toc480548256"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1.1</w:t>
            </w:r>
            <w:r>
              <w:rPr>
                <w:rStyle w:val="Hyperlink"/>
                <w:rFonts w:eastAsia="標楷體"/>
                <w:color w:val="auto"/>
                <w:sz w:val="28"/>
                <w:szCs w:val="28"/>
              </w:rPr>
              <w:t>章 醫院經營策略</w:t>
            </w:r>
            <w:r>
              <w:rPr>
                <w:webHidden/>
              </w:rPr>
              <w:fldChar w:fldCharType="begin"/>
            </w:r>
            <w:r>
              <w:rPr>
                <w:webHidden/>
              </w:rPr>
              <w:instrText xml:space="preserve">PAGEREF _Toc480548256 \h</w:instrText>
            </w:r>
            <w:r>
              <w:rPr>
                <w:webHidden/>
              </w:rPr>
              <w:fldChar w:fldCharType="separate"/>
            </w:r>
            <w:r>
              <w:rPr>
                <w:rStyle w:val="Hyperlink"/>
                <w:rFonts w:eastAsia="標楷體"/>
                <w:sz w:val="28"/>
                <w:szCs w:val="28"/>
              </w:rPr>
              <w:tab/>
              <w:t>1</w:t>
            </w:r>
            <w:r>
              <w:rPr>
                <w:webHidden/>
              </w:rPr>
              <w:fldChar w:fldCharType="end"/>
            </w:r>
          </w:hyperlink>
        </w:p>
        <w:p>
          <w:pPr>
            <w:pStyle w:val="11"/>
            <w:tabs>
              <w:tab w:val="clear" w:pos="480"/>
              <w:tab w:val="right" w:pos="10195" w:leader="dot"/>
            </w:tabs>
            <w:rPr/>
          </w:pPr>
          <w:hyperlink w:anchor="_Toc480548257"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1.2</w:t>
            </w:r>
            <w:r>
              <w:rPr>
                <w:rStyle w:val="Hyperlink"/>
                <w:rFonts w:eastAsia="標楷體"/>
                <w:color w:val="auto"/>
                <w:sz w:val="28"/>
                <w:szCs w:val="28"/>
              </w:rPr>
              <w:t>章 人力資源管理與員工支持</w:t>
            </w:r>
            <w:r>
              <w:rPr>
                <w:webHidden/>
              </w:rPr>
              <w:fldChar w:fldCharType="begin"/>
            </w:r>
            <w:r>
              <w:rPr>
                <w:webHidden/>
              </w:rPr>
              <w:instrText xml:space="preserve">PAGEREF _Toc480548257 \h</w:instrText>
            </w:r>
            <w:r>
              <w:rPr>
                <w:webHidden/>
              </w:rPr>
              <w:fldChar w:fldCharType="separate"/>
            </w:r>
            <w:r>
              <w:rPr>
                <w:rStyle w:val="Hyperlink"/>
                <w:rFonts w:eastAsia="標楷體"/>
                <w:sz w:val="28"/>
                <w:szCs w:val="28"/>
              </w:rPr>
              <w:tab/>
              <w:t>3</w:t>
            </w:r>
            <w:r>
              <w:rPr>
                <w:webHidden/>
              </w:rPr>
              <w:fldChar w:fldCharType="end"/>
            </w:r>
          </w:hyperlink>
        </w:p>
        <w:p>
          <w:pPr>
            <w:pStyle w:val="11"/>
            <w:tabs>
              <w:tab w:val="clear" w:pos="480"/>
              <w:tab w:val="right" w:pos="10195" w:leader="dot"/>
            </w:tabs>
            <w:rPr/>
          </w:pPr>
          <w:hyperlink w:anchor="_Toc480548258"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1.3</w:t>
            </w:r>
            <w:r>
              <w:rPr>
                <w:rStyle w:val="Hyperlink"/>
                <w:rFonts w:eastAsia="標楷體"/>
                <w:color w:val="auto"/>
                <w:sz w:val="28"/>
                <w:szCs w:val="28"/>
              </w:rPr>
              <w:t>章 員工教育訓練</w:t>
            </w:r>
            <w:r>
              <w:rPr>
                <w:webHidden/>
              </w:rPr>
              <w:fldChar w:fldCharType="begin"/>
            </w:r>
            <w:r>
              <w:rPr>
                <w:webHidden/>
              </w:rPr>
              <w:instrText xml:space="preserve">PAGEREF _Toc480548258 \h</w:instrText>
            </w:r>
            <w:r>
              <w:rPr>
                <w:webHidden/>
              </w:rPr>
              <w:fldChar w:fldCharType="separate"/>
            </w:r>
            <w:r>
              <w:rPr>
                <w:rStyle w:val="Hyperlink"/>
                <w:rFonts w:eastAsia="標楷體"/>
                <w:sz w:val="28"/>
                <w:szCs w:val="28"/>
              </w:rPr>
              <w:tab/>
              <w:t>5</w:t>
            </w:r>
            <w:r>
              <w:rPr>
                <w:webHidden/>
              </w:rPr>
              <w:fldChar w:fldCharType="end"/>
            </w:r>
          </w:hyperlink>
        </w:p>
        <w:p>
          <w:pPr>
            <w:pStyle w:val="11"/>
            <w:tabs>
              <w:tab w:val="clear" w:pos="480"/>
              <w:tab w:val="right" w:pos="10195" w:leader="dot"/>
            </w:tabs>
            <w:rPr/>
          </w:pPr>
          <w:hyperlink w:anchor="_Toc480548259"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1.4</w:t>
            </w:r>
            <w:r>
              <w:rPr>
                <w:rStyle w:val="Hyperlink"/>
                <w:rFonts w:eastAsia="標楷體"/>
                <w:color w:val="auto"/>
                <w:sz w:val="28"/>
                <w:szCs w:val="28"/>
              </w:rPr>
              <w:t>章 病歷、資訊與溝通管理</w:t>
            </w:r>
            <w:r>
              <w:rPr>
                <w:webHidden/>
              </w:rPr>
              <w:fldChar w:fldCharType="begin"/>
            </w:r>
            <w:r>
              <w:rPr>
                <w:webHidden/>
              </w:rPr>
              <w:instrText xml:space="preserve">PAGEREF _Toc480548259 \h</w:instrText>
            </w:r>
            <w:r>
              <w:rPr>
                <w:webHidden/>
              </w:rPr>
              <w:fldChar w:fldCharType="separate"/>
            </w:r>
            <w:r>
              <w:rPr>
                <w:rStyle w:val="Hyperlink"/>
                <w:rFonts w:eastAsia="標楷體"/>
                <w:sz w:val="28"/>
                <w:szCs w:val="28"/>
              </w:rPr>
              <w:tab/>
              <w:t>6</w:t>
            </w:r>
            <w:r>
              <w:rPr>
                <w:webHidden/>
              </w:rPr>
              <w:fldChar w:fldCharType="end"/>
            </w:r>
          </w:hyperlink>
        </w:p>
        <w:p>
          <w:pPr>
            <w:pStyle w:val="11"/>
            <w:tabs>
              <w:tab w:val="clear" w:pos="480"/>
              <w:tab w:val="right" w:pos="10195" w:leader="dot"/>
            </w:tabs>
            <w:rPr/>
          </w:pPr>
          <w:hyperlink w:anchor="_Toc480548260"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1.5</w:t>
            </w:r>
            <w:r>
              <w:rPr>
                <w:rStyle w:val="Hyperlink"/>
                <w:rFonts w:eastAsia="標楷體"/>
                <w:color w:val="auto"/>
                <w:sz w:val="28"/>
                <w:szCs w:val="28"/>
              </w:rPr>
              <w:t>章 安全的環境與設備</w:t>
            </w:r>
            <w:r>
              <w:rPr>
                <w:webHidden/>
              </w:rPr>
              <w:fldChar w:fldCharType="begin"/>
            </w:r>
            <w:r>
              <w:rPr>
                <w:webHidden/>
              </w:rPr>
              <w:instrText xml:space="preserve">PAGEREF _Toc480548260 \h</w:instrText>
            </w:r>
            <w:r>
              <w:rPr>
                <w:webHidden/>
              </w:rPr>
              <w:fldChar w:fldCharType="separate"/>
            </w:r>
            <w:r>
              <w:rPr>
                <w:rStyle w:val="Hyperlink"/>
                <w:rFonts w:eastAsia="標楷體"/>
                <w:sz w:val="28"/>
                <w:szCs w:val="28"/>
              </w:rPr>
              <w:tab/>
              <w:t>7</w:t>
            </w:r>
            <w:r>
              <w:rPr>
                <w:webHidden/>
              </w:rPr>
              <w:fldChar w:fldCharType="end"/>
            </w:r>
          </w:hyperlink>
        </w:p>
        <w:p>
          <w:pPr>
            <w:pStyle w:val="11"/>
            <w:tabs>
              <w:tab w:val="clear" w:pos="480"/>
              <w:tab w:val="right" w:pos="10195" w:leader="dot"/>
            </w:tabs>
            <w:rPr/>
          </w:pPr>
          <w:hyperlink w:anchor="_Toc480548261"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1.6</w:t>
            </w:r>
            <w:r>
              <w:rPr>
                <w:rStyle w:val="Hyperlink"/>
                <w:rFonts w:eastAsia="標楷體"/>
                <w:color w:val="auto"/>
                <w:sz w:val="28"/>
                <w:szCs w:val="28"/>
              </w:rPr>
              <w:t>章 病人導向之服務與管理</w:t>
            </w:r>
            <w:r>
              <w:rPr>
                <w:webHidden/>
              </w:rPr>
              <w:fldChar w:fldCharType="begin"/>
            </w:r>
            <w:r>
              <w:rPr>
                <w:webHidden/>
              </w:rPr>
              <w:instrText xml:space="preserve">PAGEREF _Toc480548261 \h</w:instrText>
            </w:r>
            <w:r>
              <w:rPr>
                <w:webHidden/>
              </w:rPr>
              <w:fldChar w:fldCharType="separate"/>
            </w:r>
            <w:r>
              <w:rPr>
                <w:rStyle w:val="Hyperlink"/>
                <w:rFonts w:eastAsia="標楷體"/>
                <w:sz w:val="28"/>
                <w:szCs w:val="28"/>
              </w:rPr>
              <w:tab/>
              <w:t>10</w:t>
            </w:r>
            <w:r>
              <w:rPr>
                <w:webHidden/>
              </w:rPr>
              <w:fldChar w:fldCharType="end"/>
            </w:r>
          </w:hyperlink>
        </w:p>
        <w:p>
          <w:pPr>
            <w:pStyle w:val="11"/>
            <w:tabs>
              <w:tab w:val="clear" w:pos="480"/>
              <w:tab w:val="right" w:pos="10195" w:leader="dot"/>
            </w:tabs>
            <w:rPr/>
          </w:pPr>
          <w:hyperlink w:anchor="_Toc480548262"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1.7</w:t>
            </w:r>
            <w:r>
              <w:rPr>
                <w:rStyle w:val="Hyperlink"/>
                <w:rFonts w:eastAsia="標楷體"/>
                <w:color w:val="auto"/>
                <w:sz w:val="28"/>
                <w:szCs w:val="28"/>
              </w:rPr>
              <w:t>章 危機管理與緊急災害應變</w:t>
            </w:r>
            <w:r>
              <w:rPr>
                <w:webHidden/>
              </w:rPr>
              <w:fldChar w:fldCharType="begin"/>
            </w:r>
            <w:r>
              <w:rPr>
                <w:webHidden/>
              </w:rPr>
              <w:instrText xml:space="preserve">PAGEREF _Toc480548262 \h</w:instrText>
            </w:r>
            <w:r>
              <w:rPr>
                <w:webHidden/>
              </w:rPr>
              <w:fldChar w:fldCharType="separate"/>
            </w:r>
            <w:r>
              <w:rPr>
                <w:rStyle w:val="Hyperlink"/>
                <w:rFonts w:eastAsia="標楷體"/>
                <w:sz w:val="28"/>
                <w:szCs w:val="28"/>
              </w:rPr>
              <w:tab/>
              <w:t>12</w:t>
            </w:r>
            <w:r>
              <w:rPr>
                <w:webHidden/>
              </w:rPr>
              <w:fldChar w:fldCharType="end"/>
            </w:r>
          </w:hyperlink>
        </w:p>
        <w:p>
          <w:pPr>
            <w:pStyle w:val="11"/>
            <w:tabs>
              <w:tab w:val="clear" w:pos="480"/>
              <w:tab w:val="right" w:pos="10195" w:leader="dot"/>
            </w:tabs>
            <w:rPr/>
          </w:pPr>
          <w:hyperlink w:anchor="_Toc480548263"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2.1</w:t>
            </w:r>
            <w:r>
              <w:rPr>
                <w:rStyle w:val="Hyperlink"/>
                <w:rFonts w:eastAsia="標楷體"/>
                <w:color w:val="auto"/>
                <w:sz w:val="28"/>
                <w:szCs w:val="28"/>
              </w:rPr>
              <w:t>章 病人及家屬權責</w:t>
            </w:r>
            <w:r>
              <w:rPr>
                <w:webHidden/>
              </w:rPr>
              <w:fldChar w:fldCharType="begin"/>
            </w:r>
            <w:r>
              <w:rPr>
                <w:webHidden/>
              </w:rPr>
              <w:instrText xml:space="preserve">PAGEREF _Toc480548263 \h</w:instrText>
            </w:r>
            <w:r>
              <w:rPr>
                <w:webHidden/>
              </w:rPr>
              <w:fldChar w:fldCharType="separate"/>
            </w:r>
            <w:r>
              <w:rPr>
                <w:rStyle w:val="Hyperlink"/>
                <w:rFonts w:eastAsia="標楷體"/>
                <w:sz w:val="28"/>
                <w:szCs w:val="28"/>
              </w:rPr>
              <w:tab/>
              <w:t>13</w:t>
            </w:r>
            <w:r>
              <w:rPr>
                <w:webHidden/>
              </w:rPr>
              <w:fldChar w:fldCharType="end"/>
            </w:r>
          </w:hyperlink>
        </w:p>
        <w:p>
          <w:pPr>
            <w:pStyle w:val="11"/>
            <w:tabs>
              <w:tab w:val="clear" w:pos="480"/>
              <w:tab w:val="right" w:pos="10195" w:leader="dot"/>
            </w:tabs>
            <w:rPr/>
          </w:pPr>
          <w:hyperlink w:anchor="_Toc480548264"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2.2</w:t>
            </w:r>
            <w:r>
              <w:rPr>
                <w:rStyle w:val="Hyperlink"/>
                <w:rFonts w:eastAsia="標楷體"/>
                <w:color w:val="auto"/>
                <w:sz w:val="28"/>
                <w:szCs w:val="28"/>
              </w:rPr>
              <w:t>章 醫療照護品質與安全管理</w:t>
            </w:r>
            <w:r>
              <w:rPr>
                <w:webHidden/>
              </w:rPr>
              <w:fldChar w:fldCharType="begin"/>
            </w:r>
            <w:r>
              <w:rPr>
                <w:webHidden/>
              </w:rPr>
              <w:instrText xml:space="preserve">PAGEREF _Toc480548264 \h</w:instrText>
            </w:r>
            <w:r>
              <w:rPr>
                <w:webHidden/>
              </w:rPr>
              <w:fldChar w:fldCharType="separate"/>
            </w:r>
            <w:r>
              <w:rPr>
                <w:rStyle w:val="Hyperlink"/>
                <w:rFonts w:eastAsia="標楷體"/>
                <w:sz w:val="28"/>
                <w:szCs w:val="28"/>
              </w:rPr>
              <w:tab/>
              <w:t>15</w:t>
            </w:r>
            <w:r>
              <w:rPr>
                <w:webHidden/>
              </w:rPr>
              <w:fldChar w:fldCharType="end"/>
            </w:r>
          </w:hyperlink>
        </w:p>
        <w:p>
          <w:pPr>
            <w:pStyle w:val="11"/>
            <w:tabs>
              <w:tab w:val="clear" w:pos="480"/>
              <w:tab w:val="right" w:pos="10195" w:leader="dot"/>
            </w:tabs>
            <w:rPr/>
          </w:pPr>
          <w:hyperlink w:anchor="_Toc480548265"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2.3</w:t>
            </w:r>
            <w:r>
              <w:rPr>
                <w:rStyle w:val="Hyperlink"/>
                <w:rFonts w:eastAsia="標楷體"/>
                <w:color w:val="auto"/>
                <w:sz w:val="28"/>
                <w:szCs w:val="28"/>
              </w:rPr>
              <w:t>章 醫療照護之執行與評估</w:t>
            </w:r>
            <w:r>
              <w:rPr>
                <w:webHidden/>
              </w:rPr>
              <w:fldChar w:fldCharType="begin"/>
            </w:r>
            <w:r>
              <w:rPr>
                <w:webHidden/>
              </w:rPr>
              <w:instrText xml:space="preserve">PAGEREF _Toc480548265 \h</w:instrText>
            </w:r>
            <w:r>
              <w:rPr>
                <w:webHidden/>
              </w:rPr>
              <w:fldChar w:fldCharType="separate"/>
            </w:r>
            <w:r>
              <w:rPr>
                <w:rStyle w:val="Hyperlink"/>
                <w:rFonts w:eastAsia="標楷體"/>
                <w:sz w:val="28"/>
                <w:szCs w:val="28"/>
              </w:rPr>
              <w:tab/>
              <w:t>17</w:t>
            </w:r>
            <w:r>
              <w:rPr>
                <w:webHidden/>
              </w:rPr>
              <w:fldChar w:fldCharType="end"/>
            </w:r>
          </w:hyperlink>
        </w:p>
        <w:p>
          <w:pPr>
            <w:pStyle w:val="11"/>
            <w:tabs>
              <w:tab w:val="clear" w:pos="480"/>
              <w:tab w:val="right" w:pos="10195" w:leader="dot"/>
            </w:tabs>
            <w:rPr/>
          </w:pPr>
          <w:hyperlink w:anchor="_Toc480548266"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2.4</w:t>
            </w:r>
            <w:r>
              <w:rPr>
                <w:rStyle w:val="Hyperlink"/>
                <w:rFonts w:eastAsia="標楷體"/>
                <w:color w:val="auto"/>
                <w:sz w:val="28"/>
                <w:szCs w:val="28"/>
              </w:rPr>
              <w:t>章 特殊照護服務</w:t>
            </w:r>
            <w:r>
              <w:rPr>
                <w:webHidden/>
              </w:rPr>
              <w:fldChar w:fldCharType="begin"/>
            </w:r>
            <w:r>
              <w:rPr>
                <w:webHidden/>
              </w:rPr>
              <w:instrText xml:space="preserve">PAGEREF _Toc480548266 \h</w:instrText>
            </w:r>
            <w:r>
              <w:rPr>
                <w:webHidden/>
              </w:rPr>
              <w:fldChar w:fldCharType="separate"/>
            </w:r>
            <w:r>
              <w:rPr>
                <w:rStyle w:val="Hyperlink"/>
                <w:rFonts w:eastAsia="標楷體"/>
                <w:sz w:val="28"/>
                <w:szCs w:val="28"/>
              </w:rPr>
              <w:tab/>
              <w:t>19</w:t>
            </w:r>
            <w:r>
              <w:rPr>
                <w:webHidden/>
              </w:rPr>
              <w:fldChar w:fldCharType="end"/>
            </w:r>
          </w:hyperlink>
        </w:p>
        <w:p>
          <w:pPr>
            <w:pStyle w:val="11"/>
            <w:tabs>
              <w:tab w:val="clear" w:pos="480"/>
              <w:tab w:val="right" w:pos="10195" w:leader="dot"/>
            </w:tabs>
            <w:rPr/>
          </w:pPr>
          <w:hyperlink w:anchor="_Toc480548267"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2.5</w:t>
            </w:r>
            <w:r>
              <w:rPr>
                <w:rStyle w:val="Hyperlink"/>
                <w:rFonts w:eastAsia="標楷體"/>
                <w:color w:val="auto"/>
                <w:sz w:val="28"/>
                <w:szCs w:val="28"/>
              </w:rPr>
              <w:t>章 用藥安全</w:t>
            </w:r>
            <w:r>
              <w:rPr>
                <w:webHidden/>
              </w:rPr>
              <w:fldChar w:fldCharType="begin"/>
            </w:r>
            <w:r>
              <w:rPr>
                <w:webHidden/>
              </w:rPr>
              <w:instrText xml:space="preserve">PAGEREF _Toc480548267 \h</w:instrText>
            </w:r>
            <w:r>
              <w:rPr>
                <w:webHidden/>
              </w:rPr>
              <w:fldChar w:fldCharType="separate"/>
            </w:r>
            <w:r>
              <w:rPr>
                <w:rStyle w:val="Hyperlink"/>
                <w:rFonts w:eastAsia="標楷體"/>
                <w:sz w:val="28"/>
                <w:szCs w:val="28"/>
              </w:rPr>
              <w:tab/>
              <w:t>22</w:t>
            </w:r>
            <w:r>
              <w:rPr>
                <w:webHidden/>
              </w:rPr>
              <w:fldChar w:fldCharType="end"/>
            </w:r>
          </w:hyperlink>
        </w:p>
        <w:p>
          <w:pPr>
            <w:pStyle w:val="11"/>
            <w:tabs>
              <w:tab w:val="clear" w:pos="480"/>
              <w:tab w:val="right" w:pos="10195" w:leader="dot"/>
            </w:tabs>
            <w:rPr/>
          </w:pPr>
          <w:hyperlink w:anchor="_Toc480548268"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2.6</w:t>
            </w:r>
            <w:r>
              <w:rPr>
                <w:rStyle w:val="Hyperlink"/>
                <w:rFonts w:eastAsia="標楷體"/>
                <w:color w:val="auto"/>
                <w:sz w:val="28"/>
                <w:szCs w:val="28"/>
              </w:rPr>
              <w:t>章 感染管制</w:t>
            </w:r>
            <w:r>
              <w:rPr>
                <w:webHidden/>
              </w:rPr>
              <w:fldChar w:fldCharType="begin"/>
            </w:r>
            <w:r>
              <w:rPr>
                <w:webHidden/>
              </w:rPr>
              <w:instrText xml:space="preserve">PAGEREF _Toc480548268 \h</w:instrText>
            </w:r>
            <w:r>
              <w:rPr>
                <w:webHidden/>
              </w:rPr>
              <w:fldChar w:fldCharType="separate"/>
            </w:r>
            <w:r>
              <w:rPr>
                <w:rStyle w:val="Hyperlink"/>
                <w:rFonts w:eastAsia="標楷體"/>
                <w:sz w:val="28"/>
                <w:szCs w:val="28"/>
              </w:rPr>
              <w:tab/>
              <w:t>24</w:t>
            </w:r>
            <w:r>
              <w:rPr>
                <w:webHidden/>
              </w:rPr>
              <w:fldChar w:fldCharType="end"/>
            </w:r>
          </w:hyperlink>
        </w:p>
        <w:p>
          <w:pPr>
            <w:pStyle w:val="11"/>
            <w:tabs>
              <w:tab w:val="clear" w:pos="480"/>
              <w:tab w:val="right" w:pos="10195" w:leader="dot"/>
            </w:tabs>
            <w:rPr/>
          </w:pPr>
          <w:hyperlink w:anchor="_Toc480548269"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2.7</w:t>
            </w:r>
            <w:r>
              <w:rPr>
                <w:rStyle w:val="Hyperlink"/>
                <w:rFonts w:eastAsia="標楷體"/>
                <w:color w:val="auto"/>
                <w:sz w:val="28"/>
                <w:szCs w:val="28"/>
              </w:rPr>
              <w:t>章 檢驗、病理與放射作業</w:t>
            </w:r>
            <w:r>
              <w:rPr>
                <w:webHidden/>
              </w:rPr>
              <w:fldChar w:fldCharType="begin"/>
            </w:r>
            <w:r>
              <w:rPr>
                <w:webHidden/>
              </w:rPr>
              <w:instrText xml:space="preserve">PAGEREF _Toc480548269 \h</w:instrText>
            </w:r>
            <w:r>
              <w:rPr>
                <w:webHidden/>
              </w:rPr>
              <w:fldChar w:fldCharType="separate"/>
            </w:r>
            <w:r>
              <w:rPr>
                <w:rStyle w:val="Hyperlink"/>
                <w:rFonts w:eastAsia="標楷體"/>
                <w:sz w:val="28"/>
                <w:szCs w:val="28"/>
              </w:rPr>
              <w:tab/>
              <w:t>25</w:t>
            </w:r>
            <w:r>
              <w:rPr>
                <w:webHidden/>
              </w:rPr>
              <w:fldChar w:fldCharType="end"/>
            </w:r>
          </w:hyperlink>
          <w:r>
            <w:rPr>
              <w:rStyle w:val="Hyperlink"/>
              <w:sz w:val="28"/>
              <w:szCs w:val="28"/>
              <w:rFonts w:eastAsia="標楷體"/>
            </w:rPr>
            <w:fldChar w:fldCharType="end"/>
          </w:r>
        </w:p>
      </w:sdtContent>
    </w:sdt>
    <w:p>
      <w:pPr>
        <w:pStyle w:val="Heading1"/>
        <w:tabs>
          <w:tab w:val="clear" w:pos="480"/>
          <w:tab w:val="left" w:pos="0" w:leader="none"/>
        </w:tabs>
        <w:ind w:left="0" w:hanging="0"/>
        <w:rPr/>
      </w:pPr>
      <w:r>
        <w:br w:type="page"/>
      </w:r>
      <w:bookmarkStart w:id="2" w:name="_Toc282534346"/>
      <w:bookmarkStart w:id="3" w:name="_Toc480548255"/>
      <w:bookmarkStart w:id="4" w:name="_Toc333924922"/>
      <w:bookmarkStart w:id="5" w:name="凡例"/>
      <w:r>
        <w:rPr/>
        <w:t>凡 例</w:t>
      </w:r>
      <w:bookmarkEnd w:id="2"/>
      <w:bookmarkEnd w:id="3"/>
      <w:bookmarkEnd w:id="4"/>
      <w:bookmarkEnd w:id="5"/>
    </w:p>
    <w:p>
      <w:pPr>
        <w:pStyle w:val="BodyText"/>
        <w:numPr>
          <w:ilvl w:val="0"/>
          <w:numId w:val="2"/>
        </w:numPr>
        <w:tabs>
          <w:tab w:val="clear" w:pos="480"/>
          <w:tab w:val="left" w:pos="1110" w:leader="none"/>
        </w:tabs>
        <w:snapToGrid w:val="false"/>
        <w:spacing w:lineRule="auto" w:line="360"/>
        <w:ind w:left="1110" w:hanging="1110"/>
        <w:rPr>
          <w:rFonts w:eastAsia="標楷體"/>
          <w:sz w:val="28"/>
          <w:szCs w:val="28"/>
        </w:rPr>
      </w:pPr>
      <w:r>
        <w:rPr>
          <w:rFonts w:eastAsia="標楷體"/>
          <w:sz w:val="28"/>
          <w:szCs w:val="28"/>
        </w:rPr>
        <w:t>本基準內容之編排，區分為篇、章、條、項、款五個層級，計分「經營管理篇」與「醫療照護篇」，每篇各</w:t>
      </w:r>
      <w:r>
        <w:rPr>
          <w:rFonts w:eastAsia="標楷體"/>
          <w:sz w:val="28"/>
          <w:szCs w:val="28"/>
        </w:rPr>
        <w:t>7</w:t>
      </w:r>
      <w:r>
        <w:rPr>
          <w:rFonts w:eastAsia="標楷體"/>
          <w:sz w:val="28"/>
          <w:szCs w:val="28"/>
        </w:rPr>
        <w:t>個章節，共計</w:t>
      </w:r>
      <w:r>
        <w:rPr>
          <w:rFonts w:eastAsia="標楷體"/>
          <w:sz w:val="28"/>
          <w:szCs w:val="28"/>
        </w:rPr>
        <w:t>109</w:t>
      </w:r>
      <w:r>
        <w:rPr>
          <w:rFonts w:eastAsia="標楷體"/>
          <w:sz w:val="28"/>
          <w:szCs w:val="28"/>
        </w:rPr>
        <w:t>條。其中章號使用二碼數字，條號使用三碼數字。引用條文規定時，可略去篇名與章名。</w:t>
      </w:r>
    </w:p>
    <w:p>
      <w:pPr>
        <w:pStyle w:val="BodyText"/>
        <w:numPr>
          <w:ilvl w:val="0"/>
          <w:numId w:val="2"/>
        </w:numPr>
        <w:tabs>
          <w:tab w:val="clear" w:pos="480"/>
          <w:tab w:val="left" w:pos="480" w:leader="none"/>
        </w:tabs>
        <w:snapToGrid w:val="false"/>
        <w:spacing w:lineRule="auto" w:line="360"/>
        <w:ind w:left="480" w:hanging="480"/>
        <w:rPr>
          <w:rFonts w:eastAsia="標楷體"/>
          <w:sz w:val="28"/>
          <w:szCs w:val="28"/>
        </w:rPr>
      </w:pPr>
      <w:r>
        <w:rPr>
          <w:rFonts w:eastAsia="標楷體"/>
          <w:sz w:val="28"/>
          <w:szCs w:val="28"/>
        </w:rPr>
        <w:t>本基準之條文，有下列分類方式（參考下頁附表）：</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依醫院可否選擇免評該條文，可區分為「不可免評之條文」與「可免評之條文（</w:t>
      </w:r>
      <w:r>
        <w:rPr>
          <w:rFonts w:eastAsia="標楷體"/>
          <w:sz w:val="28"/>
          <w:szCs w:val="28"/>
        </w:rPr>
        <w:t>not applicable</w:t>
      </w:r>
      <w:r>
        <w:rPr>
          <w:rFonts w:eastAsia="標楷體"/>
          <w:sz w:val="28"/>
          <w:szCs w:val="28"/>
        </w:rPr>
        <w:t>）」。「可免評之條文」，除該條文另有規定者外，可略分為兩類：</w:t>
      </w:r>
    </w:p>
    <w:p>
      <w:pPr>
        <w:pStyle w:val="BodyText"/>
        <w:numPr>
          <w:ilvl w:val="0"/>
          <w:numId w:val="4"/>
        </w:numPr>
        <w:tabs>
          <w:tab w:val="clear" w:pos="480"/>
          <w:tab w:val="left" w:pos="1680" w:leader="none"/>
        </w:tabs>
        <w:snapToGrid w:val="false"/>
        <w:spacing w:lineRule="auto" w:line="360"/>
        <w:ind w:left="1680" w:hanging="720"/>
        <w:rPr>
          <w:rFonts w:eastAsia="標楷體"/>
          <w:sz w:val="28"/>
          <w:szCs w:val="28"/>
        </w:rPr>
      </w:pPr>
      <w:r>
        <w:rPr>
          <w:rFonts w:eastAsia="標楷體"/>
          <w:sz w:val="28"/>
          <w:szCs w:val="28"/>
        </w:rPr>
        <w:t>因醫院未提供該項服務而選擇免評之條文，於條號前以「可」字註記。</w:t>
      </w:r>
    </w:p>
    <w:p>
      <w:pPr>
        <w:pStyle w:val="BodyText"/>
        <w:numPr>
          <w:ilvl w:val="0"/>
          <w:numId w:val="4"/>
        </w:numPr>
        <w:tabs>
          <w:tab w:val="clear" w:pos="480"/>
          <w:tab w:val="left" w:pos="2926" w:leader="none"/>
        </w:tabs>
        <w:snapToGrid w:val="false"/>
        <w:spacing w:lineRule="auto" w:line="360"/>
        <w:ind w:left="2926" w:hanging="1006"/>
        <w:rPr>
          <w:rFonts w:eastAsia="標楷體"/>
          <w:sz w:val="28"/>
          <w:szCs w:val="28"/>
        </w:rPr>
      </w:pPr>
      <w:r>
        <w:rPr>
          <w:rFonts w:eastAsia="標楷體"/>
          <w:sz w:val="28"/>
          <w:szCs w:val="28"/>
        </w:rPr>
        <w:t>僅限精神急性一般病床及精神慢性一般病床加總合計</w:t>
      </w:r>
      <w:r>
        <w:rPr>
          <w:rFonts w:eastAsia="標楷體"/>
          <w:sz w:val="28"/>
          <w:szCs w:val="28"/>
        </w:rPr>
        <w:t>99</w:t>
      </w:r>
      <w:r>
        <w:rPr>
          <w:rFonts w:eastAsia="標楷體"/>
          <w:sz w:val="28"/>
          <w:szCs w:val="28"/>
        </w:rPr>
        <w:t>床（含）以下之醫院，可選擇免評之條文者，於條號前以「可</w:t>
      </w:r>
      <w:r>
        <w:rPr>
          <w:rFonts w:eastAsia="標楷體"/>
          <w:sz w:val="28"/>
          <w:szCs w:val="28"/>
        </w:rPr>
        <w:t>*</w:t>
      </w:r>
      <w:r>
        <w:rPr>
          <w:rFonts w:eastAsia="標楷體"/>
          <w:sz w:val="28"/>
          <w:szCs w:val="28"/>
        </w:rPr>
        <w:t xml:space="preserve">」字註記。 </w:t>
      </w:r>
    </w:p>
    <w:p>
      <w:pPr>
        <w:pStyle w:val="BodyText"/>
        <w:numPr>
          <w:ilvl w:val="0"/>
          <w:numId w:val="3"/>
        </w:numPr>
        <w:tabs>
          <w:tab w:val="clear" w:pos="480"/>
          <w:tab w:val="left" w:pos="960" w:leader="none"/>
        </w:tabs>
        <w:snapToGrid w:val="false"/>
        <w:spacing w:lineRule="auto" w:line="360"/>
        <w:ind w:left="960" w:hanging="480"/>
        <w:rPr/>
      </w:pPr>
      <w:r>
        <w:rPr>
          <w:rStyle w:val="Style13"/>
          <w:rFonts w:eastAsia="標楷體"/>
          <w:sz w:val="28"/>
          <w:szCs w:val="28"/>
        </w:rPr>
        <w:t>評量方式為「符合、不符合」，</w:t>
      </w:r>
      <w:r>
        <w:rPr>
          <w:rStyle w:val="Style13"/>
          <w:rFonts w:eastAsia="標楷體"/>
          <w:bCs/>
          <w:sz w:val="28"/>
          <w:szCs w:val="28"/>
        </w:rPr>
        <w:t>評鑑基準評量達「符合」者，該條文始為合格。</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「必要條文」，此類條文規範基本的醫事人員之人力標準，於條號前以「必」字註記，共計有</w:t>
      </w:r>
      <w:r>
        <w:rPr>
          <w:rFonts w:eastAsia="標楷體"/>
          <w:sz w:val="28"/>
          <w:szCs w:val="28"/>
        </w:rPr>
        <w:t>4</w:t>
      </w:r>
      <w:r>
        <w:rPr>
          <w:rFonts w:eastAsia="標楷體"/>
          <w:sz w:val="28"/>
          <w:szCs w:val="28"/>
        </w:rPr>
        <w:t>條（</w:t>
      </w:r>
      <w:r>
        <w:rPr>
          <w:rFonts w:eastAsia="標楷體"/>
          <w:sz w:val="28"/>
          <w:szCs w:val="28"/>
        </w:rPr>
        <w:t>1.2.7</w:t>
      </w:r>
      <w:r>
        <w:rPr>
          <w:rFonts w:eastAsia="標楷體"/>
          <w:sz w:val="28"/>
          <w:szCs w:val="28"/>
        </w:rPr>
        <w:t>、</w:t>
      </w:r>
      <w:r>
        <w:rPr>
          <w:rFonts w:eastAsia="標楷體"/>
          <w:sz w:val="28"/>
          <w:szCs w:val="28"/>
        </w:rPr>
        <w:t>1.2.10</w:t>
      </w:r>
      <w:r>
        <w:rPr>
          <w:rFonts w:eastAsia="標楷體"/>
          <w:sz w:val="28"/>
          <w:szCs w:val="28"/>
        </w:rPr>
        <w:t>、</w:t>
      </w:r>
      <w:r>
        <w:rPr>
          <w:rFonts w:eastAsia="標楷體"/>
          <w:sz w:val="28"/>
          <w:szCs w:val="28"/>
        </w:rPr>
        <w:t>1.2.11</w:t>
      </w:r>
      <w:r>
        <w:rPr>
          <w:rFonts w:eastAsia="標楷體"/>
          <w:sz w:val="28"/>
          <w:szCs w:val="28"/>
        </w:rPr>
        <w:t>、</w:t>
      </w:r>
      <w:r>
        <w:rPr>
          <w:rFonts w:eastAsia="標楷體"/>
          <w:sz w:val="28"/>
          <w:szCs w:val="28"/>
        </w:rPr>
        <w:t>1.2.12</w:t>
      </w:r>
      <w:r>
        <w:rPr>
          <w:rFonts w:eastAsia="標楷體"/>
          <w:sz w:val="28"/>
          <w:szCs w:val="28"/>
        </w:rPr>
        <w:t>）。若此類條文評量為不合格者，則列為「評鑑不合格」。</w:t>
      </w:r>
    </w:p>
    <w:p>
      <w:pPr>
        <w:pStyle w:val="BodyText"/>
        <w:numPr>
          <w:ilvl w:val="0"/>
          <w:numId w:val="3"/>
        </w:numPr>
        <w:tabs>
          <w:tab w:val="clear" w:pos="480"/>
          <w:tab w:val="left" w:pos="960" w:leader="none"/>
        </w:tabs>
        <w:snapToGrid w:val="false"/>
        <w:spacing w:lineRule="auto" w:line="360"/>
        <w:ind w:left="960" w:hanging="480"/>
        <w:jc w:val="both"/>
        <w:rPr/>
      </w:pPr>
      <w:r>
        <w:rPr>
          <w:rStyle w:val="Style13"/>
          <w:rFonts w:eastAsia="標楷體"/>
          <w:sz w:val="28"/>
          <w:szCs w:val="28"/>
        </w:rPr>
        <w:t>「重點條文」，有下列分類方式（參考下頁附表）</w:t>
      </w:r>
      <w:r>
        <w:rPr>
          <w:rStyle w:val="Style13"/>
          <w:rFonts w:ascii="標楷體" w:hAnsi="標楷體" w:eastAsia="標楷體"/>
          <w:sz w:val="28"/>
          <w:szCs w:val="28"/>
        </w:rPr>
        <w:t>，</w:t>
      </w:r>
      <w:r>
        <w:rPr>
          <w:rStyle w:val="Style13"/>
          <w:rFonts w:eastAsia="標楷體"/>
          <w:sz w:val="28"/>
          <w:szCs w:val="28"/>
        </w:rPr>
        <w:t>若此類條文評量為不合格者，則須限期改善並接受複查：</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條號前以「重」字註記，共計有</w:t>
      </w:r>
      <w:r>
        <w:rPr>
          <w:rFonts w:eastAsia="標楷體"/>
          <w:sz w:val="28"/>
          <w:szCs w:val="28"/>
        </w:rPr>
        <w:t>1</w:t>
      </w:r>
      <w:r>
        <w:rPr>
          <w:rFonts w:eastAsia="標楷體"/>
          <w:sz w:val="28"/>
          <w:szCs w:val="28"/>
        </w:rPr>
        <w:t>條（</w:t>
      </w:r>
      <w:r>
        <w:rPr>
          <w:rFonts w:eastAsia="標楷體"/>
          <w:sz w:val="28"/>
          <w:szCs w:val="28"/>
        </w:rPr>
        <w:t>2.3.5</w:t>
      </w:r>
      <w:r>
        <w:rPr>
          <w:rFonts w:eastAsia="標楷體"/>
          <w:sz w:val="28"/>
          <w:szCs w:val="28"/>
        </w:rPr>
        <w:t>），此類條文規範護病比標準。</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3</w:t>
      </w:r>
      <w:r>
        <w:rPr>
          <w:rFonts w:eastAsia="標楷體"/>
          <w:sz w:val="28"/>
          <w:szCs w:val="28"/>
        </w:rPr>
        <w:t>條（</w:t>
      </w:r>
      <w:r>
        <w:rPr>
          <w:rFonts w:eastAsia="標楷體"/>
          <w:sz w:val="28"/>
          <w:szCs w:val="28"/>
        </w:rPr>
        <w:t>1.2.13</w:t>
      </w:r>
      <w:r>
        <w:rPr>
          <w:rFonts w:eastAsia="標楷體"/>
          <w:sz w:val="28"/>
          <w:szCs w:val="28"/>
        </w:rPr>
        <w:t>、</w:t>
      </w:r>
      <w:r>
        <w:rPr>
          <w:rFonts w:eastAsia="標楷體"/>
          <w:sz w:val="28"/>
          <w:szCs w:val="28"/>
        </w:rPr>
        <w:t>1.2.14</w:t>
      </w:r>
      <w:r>
        <w:rPr>
          <w:rFonts w:eastAsia="標楷體"/>
          <w:sz w:val="28"/>
          <w:szCs w:val="28"/>
        </w:rPr>
        <w:t>、</w:t>
      </w:r>
      <w:r>
        <w:rPr>
          <w:rFonts w:eastAsia="標楷體"/>
          <w:sz w:val="28"/>
          <w:szCs w:val="28"/>
        </w:rPr>
        <w:t>1.2.15</w:t>
      </w:r>
      <w:r>
        <w:rPr>
          <w:rFonts w:eastAsia="標楷體"/>
          <w:sz w:val="28"/>
          <w:szCs w:val="28"/>
        </w:rPr>
        <w:t>），分別規範職能治療服務、臨床心理及社工三職類人力配置，為精神科教學醫院之重點條文。</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1</w:t>
      </w:r>
      <w:r>
        <w:rPr>
          <w:rFonts w:eastAsia="標楷體"/>
          <w:sz w:val="28"/>
          <w:szCs w:val="28"/>
        </w:rPr>
        <w:t>條（</w:t>
      </w:r>
      <w:r>
        <w:rPr>
          <w:rFonts w:eastAsia="標楷體"/>
          <w:sz w:val="28"/>
          <w:szCs w:val="28"/>
        </w:rPr>
        <w:t>1.2.16</w:t>
      </w:r>
      <w:r>
        <w:rPr>
          <w:rFonts w:eastAsia="標楷體"/>
          <w:sz w:val="28"/>
          <w:szCs w:val="28"/>
        </w:rPr>
        <w:t xml:space="preserve">），規範職能治療服務、臨床心理及社工三職類員額人力配置加總後之總額，為精神科醫院之重點條文；若為精神科教學醫院，本條得免評。 </w:t>
      </w:r>
    </w:p>
    <w:p>
      <w:pPr>
        <w:pStyle w:val="BodyText"/>
        <w:numPr>
          <w:ilvl w:val="0"/>
          <w:numId w:val="5"/>
        </w:numPr>
        <w:tabs>
          <w:tab w:val="clear" w:pos="480"/>
          <w:tab w:val="left" w:pos="2956" w:leader="none"/>
        </w:tabs>
        <w:snapToGrid w:val="false"/>
        <w:spacing w:lineRule="auto" w:line="360"/>
        <w:ind w:left="2956" w:hanging="1036"/>
        <w:jc w:val="both"/>
        <w:rPr/>
      </w:pPr>
      <w:r>
        <w:rPr>
          <w:rStyle w:val="Style13"/>
          <w:rFonts w:eastAsia="標楷體"/>
          <w:sz w:val="28"/>
          <w:szCs w:val="28"/>
        </w:rPr>
        <w:t>如醫院非為精神科教學醫院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2</w:t>
      </w:r>
      <w:r>
        <w:rPr>
          <w:rStyle w:val="Style13"/>
          <w:rFonts w:eastAsia="標楷體"/>
          <w:sz w:val="28"/>
          <w:szCs w:val="28"/>
        </w:rPr>
        <w:t>條（</w:t>
      </w:r>
      <w:r>
        <w:rPr>
          <w:rStyle w:val="Style13"/>
          <w:rFonts w:eastAsia="標楷體"/>
          <w:sz w:val="28"/>
          <w:szCs w:val="28"/>
        </w:rPr>
        <w:t>1.2.16</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r>
        <w:rPr>
          <w:rStyle w:val="Style13"/>
          <w:rFonts w:ascii="標楷體" w:hAnsi="標楷體" w:eastAsia="標楷體"/>
          <w:sz w:val="28"/>
          <w:szCs w:val="28"/>
        </w:rPr>
        <w:t>，</w:t>
      </w:r>
      <w:r>
        <w:rPr>
          <w:rStyle w:val="Style13"/>
          <w:rFonts w:eastAsia="標楷體"/>
          <w:sz w:val="28"/>
          <w:szCs w:val="28"/>
        </w:rPr>
        <w:t>如醫院為精神科教學醫院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4</w:t>
      </w:r>
      <w:r>
        <w:rPr>
          <w:rStyle w:val="Style13"/>
          <w:rFonts w:eastAsia="標楷體"/>
          <w:sz w:val="28"/>
          <w:szCs w:val="28"/>
        </w:rPr>
        <w:t>條（</w:t>
      </w:r>
      <w:r>
        <w:rPr>
          <w:rStyle w:val="Style13"/>
          <w:rFonts w:eastAsia="標楷體"/>
          <w:sz w:val="28"/>
          <w:szCs w:val="28"/>
        </w:rPr>
        <w:t>1.2.13</w:t>
      </w:r>
      <w:r>
        <w:rPr>
          <w:rStyle w:val="Style13"/>
          <w:rFonts w:eastAsia="標楷體"/>
          <w:sz w:val="28"/>
          <w:szCs w:val="28"/>
        </w:rPr>
        <w:t>、</w:t>
      </w:r>
      <w:r>
        <w:rPr>
          <w:rStyle w:val="Style13"/>
          <w:rFonts w:eastAsia="標楷體"/>
          <w:sz w:val="28"/>
          <w:szCs w:val="28"/>
        </w:rPr>
        <w:t>1.2.14</w:t>
      </w:r>
      <w:r>
        <w:rPr>
          <w:rStyle w:val="Style13"/>
          <w:rFonts w:eastAsia="標楷體"/>
          <w:sz w:val="28"/>
          <w:szCs w:val="28"/>
        </w:rPr>
        <w:t>、</w:t>
      </w:r>
      <w:r>
        <w:rPr>
          <w:rStyle w:val="Style13"/>
          <w:rFonts w:eastAsia="標楷體"/>
          <w:sz w:val="28"/>
          <w:szCs w:val="28"/>
        </w:rPr>
        <w:t>1.2.15</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p>
    <w:p>
      <w:pPr>
        <w:pStyle w:val="BodyText"/>
        <w:numPr>
          <w:ilvl w:val="0"/>
          <w:numId w:val="3"/>
        </w:numPr>
        <w:tabs>
          <w:tab w:val="clear" w:pos="480"/>
          <w:tab w:val="left" w:pos="960" w:leader="none"/>
        </w:tabs>
        <w:snapToGrid w:val="false"/>
        <w:spacing w:lineRule="auto" w:line="360"/>
        <w:ind w:left="960" w:hanging="480"/>
        <w:rPr/>
      </w:pPr>
      <w:r>
        <w:rPr>
          <w:rStyle w:val="Style13"/>
          <w:rFonts w:eastAsia="標楷體"/>
          <w:sz w:val="28"/>
          <w:szCs w:val="28"/>
        </w:rPr>
        <w:t>「試評條文」，於條號前以「試」字註記，共計有</w:t>
      </w:r>
      <w:r>
        <w:rPr>
          <w:rStyle w:val="Style13"/>
          <w:rFonts w:eastAsia="標楷體"/>
          <w:sz w:val="28"/>
          <w:szCs w:val="28"/>
        </w:rPr>
        <w:t>6</w:t>
      </w:r>
      <w:r>
        <w:rPr>
          <w:rStyle w:val="Style13"/>
          <w:rFonts w:eastAsia="標楷體"/>
          <w:sz w:val="28"/>
          <w:szCs w:val="28"/>
        </w:rPr>
        <w:t>條</w:t>
      </w:r>
      <w:r>
        <w:rPr>
          <w:rStyle w:val="Style13"/>
          <w:rFonts w:eastAsia="標楷體"/>
          <w:sz w:val="28"/>
          <w:szCs w:val="28"/>
        </w:rPr>
        <w:t>(2.4.22</w:t>
      </w:r>
      <w:r>
        <w:rPr>
          <w:rStyle w:val="Style13"/>
          <w:rFonts w:eastAsia="標楷體"/>
          <w:sz w:val="28"/>
          <w:szCs w:val="28"/>
        </w:rPr>
        <w:t>、</w:t>
      </w:r>
      <w:r>
        <w:rPr>
          <w:rStyle w:val="Style13"/>
          <w:rFonts w:eastAsia="標楷體"/>
          <w:sz w:val="28"/>
          <w:szCs w:val="28"/>
        </w:rPr>
        <w:t>2.4.23</w:t>
      </w:r>
      <w:r>
        <w:rPr>
          <w:rStyle w:val="Style13"/>
          <w:rFonts w:eastAsia="標楷體"/>
          <w:sz w:val="28"/>
          <w:szCs w:val="28"/>
        </w:rPr>
        <w:t>、</w:t>
      </w:r>
      <w:r>
        <w:rPr>
          <w:rStyle w:val="Style13"/>
          <w:rFonts w:eastAsia="標楷體"/>
          <w:sz w:val="28"/>
          <w:szCs w:val="28"/>
        </w:rPr>
        <w:t>2.4.24</w:t>
      </w:r>
      <w:r>
        <w:rPr>
          <w:rStyle w:val="Style13"/>
          <w:rFonts w:eastAsia="標楷體"/>
          <w:sz w:val="28"/>
          <w:szCs w:val="28"/>
        </w:rPr>
        <w:t>、</w:t>
      </w:r>
      <w:r>
        <w:rPr>
          <w:rStyle w:val="Style13"/>
          <w:rFonts w:eastAsia="標楷體"/>
          <w:sz w:val="28"/>
          <w:szCs w:val="28"/>
        </w:rPr>
        <w:t>2.4.25</w:t>
      </w:r>
      <w:r>
        <w:rPr>
          <w:rStyle w:val="Style13"/>
          <w:rFonts w:eastAsia="標楷體"/>
          <w:sz w:val="28"/>
          <w:szCs w:val="28"/>
        </w:rPr>
        <w:t>、</w:t>
      </w:r>
      <w:r>
        <w:rPr>
          <w:rStyle w:val="Style13"/>
          <w:rFonts w:eastAsia="標楷體"/>
          <w:sz w:val="28"/>
          <w:szCs w:val="28"/>
        </w:rPr>
        <w:t>2.4.26</w:t>
      </w:r>
      <w:r>
        <w:rPr>
          <w:rStyle w:val="Style13"/>
          <w:rFonts w:eastAsia="標楷體"/>
          <w:sz w:val="28"/>
          <w:szCs w:val="28"/>
        </w:rPr>
        <w:t>、</w:t>
      </w:r>
      <w:r>
        <w:rPr>
          <w:rStyle w:val="Style13"/>
          <w:rFonts w:eastAsia="標楷體"/>
          <w:sz w:val="28"/>
          <w:szCs w:val="28"/>
        </w:rPr>
        <w:t>2.4.27)</w:t>
      </w:r>
      <w:r>
        <w:rPr>
          <w:rStyle w:val="Style13"/>
          <w:rFonts w:eastAsia="標楷體"/>
          <w:sz w:val="28"/>
          <w:szCs w:val="28"/>
        </w:rPr>
        <w:t>，惟此類條文評量結果不納入評鑑成績計算。</w:t>
      </w:r>
    </w:p>
    <w:p>
      <w:pPr>
        <w:pStyle w:val="BodyText"/>
        <w:numPr>
          <w:ilvl w:val="0"/>
          <w:numId w:val="3"/>
        </w:numPr>
        <w:tabs>
          <w:tab w:val="clear" w:pos="480"/>
          <w:tab w:val="left" w:pos="960" w:leader="none"/>
        </w:tabs>
        <w:snapToGrid w:val="false"/>
        <w:spacing w:lineRule="auto" w:line="360"/>
        <w:ind w:left="960" w:hanging="480"/>
        <w:jc w:val="both"/>
        <w:rPr>
          <w:rFonts w:eastAsia="標楷體"/>
          <w:sz w:val="28"/>
          <w:szCs w:val="28"/>
        </w:rPr>
      </w:pPr>
      <w:r>
        <w:rPr>
          <w:rFonts w:eastAsia="標楷體"/>
          <w:sz w:val="28"/>
          <w:szCs w:val="28"/>
        </w:rPr>
        <w:t>於符合項目後以「試</w:t>
      </w:r>
      <w:r>
        <w:rPr>
          <w:rFonts w:eastAsia="標楷體"/>
          <w:sz w:val="28"/>
          <w:szCs w:val="28"/>
        </w:rPr>
        <w:t>/</w:t>
      </w:r>
      <w:r>
        <w:rPr>
          <w:rFonts w:eastAsia="標楷體"/>
          <w:sz w:val="28"/>
          <w:szCs w:val="28"/>
        </w:rPr>
        <w:t>可」字註記者，列為試評項目，評量結果不納入評鑑成績計算，惟申請「總病床</w:t>
      </w:r>
      <w:r>
        <w:rPr>
          <w:rFonts w:eastAsia="標楷體"/>
          <w:sz w:val="28"/>
          <w:szCs w:val="28"/>
        </w:rPr>
        <w:t>99</w:t>
      </w:r>
      <w:r>
        <w:rPr>
          <w:rFonts w:eastAsia="標楷體"/>
          <w:sz w:val="28"/>
          <w:szCs w:val="28"/>
        </w:rPr>
        <w:t>床（含）以下」者可免評；其相對應之評量方法及建議佐證資料將註記「試</w:t>
      </w:r>
      <w:r>
        <w:rPr>
          <w:rFonts w:eastAsia="標楷體"/>
          <w:sz w:val="28"/>
          <w:szCs w:val="28"/>
        </w:rPr>
        <w:t>/</w:t>
      </w:r>
      <w:r>
        <w:rPr>
          <w:rFonts w:eastAsia="標楷體"/>
          <w:sz w:val="28"/>
          <w:szCs w:val="28"/>
        </w:rPr>
        <w:t>可」。</w:t>
      </w:r>
      <w:r>
        <w:br w:type="page"/>
      </w:r>
    </w:p>
    <w:p>
      <w:pPr>
        <w:pStyle w:val="BodyText"/>
        <w:snapToGrid w:val="false"/>
        <w:spacing w:lineRule="auto" w:line="360"/>
        <w:jc w:val="center"/>
        <w:rPr/>
      </w:pPr>
      <w:r>
        <w:rPr>
          <w:rStyle w:val="Style13"/>
          <w:rFonts w:eastAsia="標楷體"/>
          <w:b/>
          <w:sz w:val="28"/>
          <w:szCs w:val="28"/>
        </w:rPr>
        <w:t>附表、</w:t>
      </w:r>
      <w:r>
        <w:rPr>
          <w:rStyle w:val="Style13"/>
          <w:rFonts w:eastAsia="標楷體"/>
          <w:b/>
          <w:sz w:val="28"/>
          <w:szCs w:val="28"/>
        </w:rPr>
        <w:t>106</w:t>
      </w:r>
      <w:r>
        <w:rPr>
          <w:rStyle w:val="Style13"/>
          <w:rFonts w:eastAsia="標楷體"/>
          <w:b/>
          <w:sz w:val="28"/>
          <w:szCs w:val="28"/>
        </w:rPr>
        <w:t>年度精神科醫院評鑑基準條文分類統計表</w:t>
      </w:r>
    </w:p>
    <w:tbl>
      <w:tblPr>
        <w:tblW w:w="5000" w:type="pct"/>
        <w:jc w:val="center"/>
        <w:tblInd w:w="0" w:type="dxa"/>
        <w:tblLayout w:type="fixed"/>
        <w:tblCellMar>
          <w:top w:w="0" w:type="dxa"/>
          <w:left w:w="108" w:type="dxa"/>
          <w:bottom w:w="0" w:type="dxa"/>
          <w:right w:w="108" w:type="dxa"/>
        </w:tblCellMar>
      </w:tblPr>
      <w:tblGrid>
        <w:gridCol w:w="486"/>
        <w:gridCol w:w="555"/>
        <w:gridCol w:w="2433"/>
        <w:gridCol w:w="683"/>
        <w:gridCol w:w="688"/>
        <w:gridCol w:w="1231"/>
        <w:gridCol w:w="971"/>
        <w:gridCol w:w="486"/>
        <w:gridCol w:w="625"/>
        <w:gridCol w:w="832"/>
        <w:gridCol w:w="1215"/>
      </w:tblGrid>
      <w:tr>
        <w:trPr>
          <w:trHeight w:val="442"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篇</w:t>
            </w:r>
          </w:p>
        </w:tc>
        <w:tc>
          <w:tcPr>
            <w:tcW w:w="2988"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章</w:t>
            </w:r>
          </w:p>
        </w:tc>
        <w:tc>
          <w:tcPr>
            <w:tcW w:w="68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條數</w:t>
            </w:r>
          </w:p>
        </w:tc>
        <w:tc>
          <w:tcPr>
            <w:tcW w:w="1919"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可免評條文之條數</w:t>
            </w:r>
          </w:p>
        </w:tc>
        <w:tc>
          <w:tcPr>
            <w:tcW w:w="97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必要條文之條數</w:t>
            </w:r>
          </w:p>
        </w:tc>
        <w:tc>
          <w:tcPr>
            <w:tcW w:w="1943"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重點條文之條數</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試評</w:t>
            </w:r>
          </w:p>
          <w:p>
            <w:pPr>
              <w:pStyle w:val="BodyText"/>
              <w:snapToGrid w:val="false"/>
              <w:spacing w:lineRule="exact" w:line="400"/>
              <w:jc w:val="center"/>
              <w:rPr>
                <w:rFonts w:eastAsia="標楷體"/>
                <w:sz w:val="28"/>
                <w:szCs w:val="28"/>
              </w:rPr>
            </w:pPr>
            <w:r>
              <w:rPr>
                <w:rFonts w:eastAsia="標楷體"/>
                <w:sz w:val="28"/>
                <w:szCs w:val="28"/>
              </w:rPr>
              <w:t>條文之條數</w:t>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可</w:t>
            </w:r>
          </w:p>
        </w:tc>
        <w:tc>
          <w:tcPr>
            <w:tcW w:w="123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pPr>
            <w:r>
              <w:rPr>
                <w:rStyle w:val="Style13"/>
                <w:rFonts w:eastAsia="標楷體"/>
                <w:sz w:val="28"/>
                <w:szCs w:val="28"/>
              </w:rPr>
              <w:t>可</w:t>
            </w:r>
            <w:r>
              <w:rPr>
                <w:rStyle w:val="Style13"/>
                <w:rFonts w:eastAsia="標楷體"/>
                <w:sz w:val="28"/>
                <w:szCs w:val="28"/>
              </w:rPr>
              <w:t>*</w:t>
            </w:r>
            <w:r>
              <w:rPr>
                <w:rStyle w:val="Style13"/>
                <w:rFonts w:eastAsia="標楷體"/>
                <w:szCs w:val="28"/>
              </w:rPr>
              <w:t>（總床數</w:t>
            </w:r>
            <w:r>
              <w:rPr>
                <w:rStyle w:val="Style13"/>
                <w:rFonts w:eastAsia="標楷體"/>
                <w:szCs w:val="28"/>
              </w:rPr>
              <w:t>99</w:t>
            </w:r>
            <w:r>
              <w:rPr>
                <w:rStyle w:val="Style13"/>
                <w:rFonts w:eastAsia="標楷體"/>
                <w:szCs w:val="28"/>
              </w:rPr>
              <w:t>床以下）</w:t>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43"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8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p>
        </w:tc>
        <w:tc>
          <w:tcPr>
            <w:tcW w:w="62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83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56"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一</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經營管理</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醫院經營策略</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76"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人力資源管理與員工支持</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員工教育訓練</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病歷、資訊與溝通管理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安全的環境與設備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3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病人導向之服務與管理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危機管理與緊急災害應變</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eastAsia="標楷體"/>
                <w:sz w:val="28"/>
                <w:szCs w:val="28"/>
              </w:rPr>
            </w:pPr>
            <w:r>
              <w:rPr>
                <w:rFonts w:eastAsia="標楷體"/>
                <w:sz w:val="28"/>
                <w:szCs w:val="28"/>
              </w:rPr>
              <w:t>第一篇合計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40</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3</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二</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醫療照護</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病人及家屬權責</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醫療照護品質與安全管理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醫療照護之執行與評估</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特殊照護服務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78"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用藥安全</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感染管制</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9"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檢驗、病理與放射作業</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8</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第二篇合計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22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lang w:eastAsia="zh-CN"/>
              </w:rPr>
            </w:pPr>
            <w:r>
              <w:rPr>
                <w:rFonts w:eastAsia="標楷體"/>
                <w:sz w:val="28"/>
                <w:szCs w:val="28"/>
                <w:lang w:eastAsia="zh-CN"/>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67"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總計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109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bl>
    <w:p>
      <w:pPr>
        <w:sectPr>
          <w:headerReference w:type="default" r:id="rId4"/>
          <w:footerReference w:type="default" r:id="rId5"/>
          <w:type w:val="nextPage"/>
          <w:pgSz w:w="11907" w:h="16839"/>
          <w:pgMar w:left="851" w:right="851" w:gutter="0" w:header="680" w:top="851" w:footer="567" w:bottom="851"/>
          <w:pgNumType w:fmt="upperRoman"/>
          <w:formProt w:val="false"/>
          <w:textDirection w:val="lrTb"/>
          <w:docGrid w:type="lines" w:linePitch="600" w:charSpace="40960"/>
        </w:sectPr>
      </w:pPr>
      <w:r>
        <w:br w:type="page"/>
      </w:r>
    </w:p>
    <w:p>
      <w:pPr>
        <w:pStyle w:val="Heading1"/>
        <w:tabs>
          <w:tab w:val="clear" w:pos="480"/>
          <w:tab w:val="left" w:pos="0" w:leader="none"/>
        </w:tabs>
        <w:ind w:left="0" w:hanging="0"/>
        <w:rPr/>
      </w:pPr>
      <w:bookmarkStart w:id="6" w:name="_Toc480548256"/>
      <w:bookmarkStart w:id="7" w:name="_Toc333924923"/>
      <w:bookmarkStart w:id="8" w:name="第11篇"/>
      <w:r>
        <w:rPr/>
        <w:t>第</w:t>
      </w:r>
      <w:r>
        <w:rPr/>
        <w:t>1</w:t>
      </w:r>
      <w:r>
        <w:rPr/>
        <w:t>篇、經營管理  第</w:t>
      </w:r>
      <w:r>
        <w:rPr/>
        <w:t>1.1</w:t>
      </w:r>
      <w:r>
        <w:rPr/>
        <w:t>章 醫院經營策略</w:t>
      </w:r>
      <w:bookmarkEnd w:id="6"/>
      <w:bookmarkEnd w:id="7"/>
      <w:bookmarkEnd w:id="8"/>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
                <w:kern w:val="0"/>
              </w:rPr>
            </w:pPr>
            <w:r>
              <w:rPr>
                <w:rFonts w:eastAsia="標楷體"/>
                <w:b/>
                <w:kern w:val="0"/>
              </w:rPr>
              <w:t>1.1</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spacing w:lineRule="atLeast" w:line="0"/>
              <w:rPr>
                <w:rFonts w:eastAsia="標楷體"/>
                <w:b/>
                <w:kern w:val="0"/>
              </w:rPr>
            </w:pPr>
            <w:r>
              <w:rPr>
                <w:rFonts w:eastAsia="標楷體"/>
                <w:b/>
                <w:kern w:val="0"/>
              </w:rPr>
              <w:t>醫院經營策略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rPr>
                <w:rFonts w:eastAsia="標楷體"/>
                <w:b/>
              </w:rPr>
            </w:pPr>
            <w:r>
              <w:rPr>
                <w:rFonts w:eastAsia="標楷體"/>
                <w:b/>
              </w:rPr>
              <w:t>【重點說明】</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醫院經營管理實務中，經營策略決定醫院的定位及政策，透過每項政策的擘劃、實質的領導，建構符合醫院定位的文化，發展以病人為中心的醫療，確保所提供之醫療服務是社區民眾所需要的。在策略規劃過程中，醫院的監督或治理團隊</w:t>
            </w:r>
            <w:r>
              <w:rPr>
                <w:rStyle w:val="Style13"/>
                <w:rFonts w:eastAsia="標楷體"/>
                <w:kern w:val="0"/>
              </w:rPr>
              <w:t>（</w:t>
            </w:r>
            <w:r>
              <w:rPr>
                <w:rStyle w:val="Style13"/>
                <w:rFonts w:eastAsia="標楷體"/>
              </w:rPr>
              <w:t>Governing body</w:t>
            </w:r>
            <w:r>
              <w:rPr>
                <w:rStyle w:val="Style13"/>
                <w:rFonts w:eastAsia="標楷體"/>
              </w:rPr>
              <w:t>，可包含董事會、出資者或院長，依個別醫院架構可自行定位</w:t>
            </w:r>
            <w:r>
              <w:rPr>
                <w:rStyle w:val="Style13"/>
                <w:rFonts w:eastAsia="標楷體"/>
                <w:kern w:val="0"/>
              </w:rPr>
              <w:t>）</w:t>
            </w:r>
            <w:r>
              <w:rPr>
                <w:rStyle w:val="Style13"/>
                <w:rFonts w:eastAsia="標楷體"/>
              </w:rPr>
              <w:t>負責邀集經營團隊</w:t>
            </w:r>
            <w:r>
              <w:rPr>
                <w:rStyle w:val="Style13"/>
                <w:rFonts w:eastAsia="標楷體"/>
              </w:rPr>
              <w:t>(executive team)</w:t>
            </w:r>
            <w:r>
              <w:rPr>
                <w:rStyle w:val="Style13"/>
                <w:rFonts w:eastAsia="標楷體"/>
                <w:kern w:val="0"/>
              </w:rPr>
              <w:t>（</w:t>
            </w:r>
            <w:r>
              <w:rPr>
                <w:rStyle w:val="Style13"/>
                <w:rFonts w:eastAsia="標楷體"/>
              </w:rPr>
              <w:t>可能包含院長、副院長、資深主管、部科或醫療團隊主管依個別醫院架構可自行定位</w:t>
            </w:r>
            <w:r>
              <w:rPr>
                <w:rStyle w:val="Style13"/>
                <w:rFonts w:eastAsia="標楷體"/>
                <w:kern w:val="0"/>
              </w:rPr>
              <w:t>）</w:t>
            </w:r>
            <w:r>
              <w:rPr>
                <w:rStyle w:val="Style13"/>
                <w:rFonts w:eastAsia="標楷體"/>
              </w:rPr>
              <w:t>共同設定醫院宗旨、願景及目標，</w:t>
            </w:r>
            <w:r>
              <w:rPr>
                <w:rStyle w:val="Style13"/>
                <w:rFonts w:eastAsia="標楷體"/>
                <w:kern w:val="0"/>
              </w:rPr>
              <w:t>明訂組織架構及指揮系統，落實分層負責與分工，並</w:t>
            </w:r>
            <w:r>
              <w:rPr>
                <w:rStyle w:val="Style13"/>
                <w:rFonts w:eastAsia="標楷體"/>
              </w:rPr>
              <w:t>由監督或治理團隊尋求必要資源，經營團隊遵循宗旨、願景及目標，擬訂計畫與策略，型塑追求病人安全及醫療品質之文化，建立內部病安、品質促進及管理機制，提供病人真正需要、適度不浪費的醫療照護。</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在此前提下，依循宗旨、願景及目標所訂定之短中長期計畫，應以團隊概念共同建構，在策略規劃過程中應將服務區域之需求納入，以符合醫院永續發展之需要。另外，經</w:t>
            </w:r>
            <w:r>
              <w:rPr>
                <w:rStyle w:val="Style13"/>
                <w:rFonts w:eastAsia="標楷體"/>
                <w:kern w:val="0"/>
              </w:rPr>
              <w:t>營團隊應具備執行職務所必須之知識、技能及素養，定期收集病人安全、醫療品質與經營管理（</w:t>
            </w:r>
            <w:r>
              <w:rPr>
                <w:rStyle w:val="Style13"/>
                <w:rFonts w:eastAsia="標楷體"/>
              </w:rPr>
              <w:t>業務與流程</w:t>
            </w:r>
            <w:r>
              <w:rPr>
                <w:rStyle w:val="Style13"/>
                <w:rFonts w:eastAsia="標楷體"/>
                <w:kern w:val="0"/>
              </w:rPr>
              <w:t>）</w:t>
            </w:r>
            <w:r>
              <w:rPr>
                <w:rStyle w:val="Style13"/>
                <w:rFonts w:eastAsia="標楷體"/>
              </w:rPr>
              <w:t>相關之全院指標</w:t>
            </w:r>
            <w:r>
              <w:rPr>
                <w:rStyle w:val="Style13"/>
                <w:rFonts w:eastAsia="標楷體"/>
                <w:kern w:val="0"/>
              </w:rPr>
              <w:t>並進行分析，醫院之監督或治理團隊與經營團隊間應定期針對相關資料之分析結果進行</w:t>
            </w:r>
            <w:r>
              <w:rPr>
                <w:rStyle w:val="Style13"/>
                <w:rFonts w:eastAsia="標楷體"/>
              </w:rPr>
              <w:t>討論，以確認需改善之</w:t>
            </w:r>
            <w:r>
              <w:rPr>
                <w:rStyle w:val="Style13"/>
                <w:rFonts w:eastAsia="標楷體"/>
                <w:kern w:val="0"/>
              </w:rPr>
              <w:t>相關</w:t>
            </w:r>
            <w:r>
              <w:rPr>
                <w:rStyle w:val="Style13"/>
                <w:rFonts w:eastAsia="標楷體"/>
              </w:rPr>
              <w:t>議題，如監控高門診人次之品質等問題。其他，如會計、成本管理與財務稽核作業等亦是確保醫院財務健全達成永續經營所不可或缺之經營策略支援系統。為確保醫院之總體經營績效符合醫院之宗旨、國家政策與法令之要求，監督或治理團隊與經營團隊應定期溝通與檢討，由經營團隊提出解決方案並進行改善。醫院評鑑之整體規劃，遂依此概念整合本功能相關基準及評分說明。</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1.1.1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明訂宗旨、願景及目標，確認醫院在服務區域的角色及功能，並據以擬定適當之目標與計畫</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98" w:hanging="398"/>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1.1.2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明訂組織架構及指揮系統，落實分層負責與分工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98" w:hanging="398"/>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1.1.3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rPr>
              <w:t>應</w:t>
            </w:r>
            <w:r>
              <w:rPr>
                <w:rStyle w:val="Style13"/>
                <w:rFonts w:eastAsia="標楷體"/>
                <w:kern w:val="0"/>
              </w:rPr>
              <w:t>訂有</w:t>
            </w:r>
            <w:r>
              <w:rPr>
                <w:rStyle w:val="Style13"/>
                <w:rFonts w:eastAsia="標楷體"/>
              </w:rPr>
              <w:t>醫療品質及病人安全</w:t>
            </w:r>
            <w:r>
              <w:rPr>
                <w:rStyle w:val="Style13"/>
                <w:rFonts w:eastAsia="標楷體"/>
                <w:kern w:val="0"/>
              </w:rPr>
              <w:t>指標，</w:t>
            </w:r>
            <w:r>
              <w:rPr>
                <w:rStyle w:val="Style13"/>
                <w:rFonts w:eastAsia="標楷體"/>
              </w:rPr>
              <w:t>並如期提報持續性監測系統之量性指標及質性文件</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98" w:hanging="398"/>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1.1.4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擬定並參與社區健康促進活動</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82" w:hanging="182"/>
              <w:rPr>
                <w:kern w:val="0"/>
              </w:rPr>
            </w:pPr>
            <w:r>
              <w:rPr>
                <w:kern w:val="0"/>
              </w:rPr>
            </w:r>
          </w:p>
        </w:tc>
      </w:tr>
    </w:tbl>
    <w:p>
      <w:pPr>
        <w:pStyle w:val="BodyText"/>
        <w:rPr>
          <w:rFonts w:eastAsia="標楷體"/>
          <w:b/>
        </w:rPr>
      </w:pPr>
      <w:r>
        <w:rPr>
          <w:rFonts w:eastAsia="標楷體"/>
          <w:b/>
        </w:rPr>
      </w:r>
      <w:bookmarkStart w:id="9" w:name="第12篇"/>
      <w:bookmarkStart w:id="10" w:name="第12篇"/>
      <w:bookmarkEnd w:id="10"/>
      <w:r>
        <w:br w:type="page"/>
      </w:r>
    </w:p>
    <w:p>
      <w:pPr>
        <w:pStyle w:val="Heading1"/>
        <w:tabs>
          <w:tab w:val="clear" w:pos="480"/>
          <w:tab w:val="left" w:pos="0" w:leader="none"/>
        </w:tabs>
        <w:ind w:left="0" w:hanging="0"/>
        <w:rPr/>
      </w:pPr>
      <w:bookmarkStart w:id="11" w:name="第12篇"/>
      <w:bookmarkStart w:id="12" w:name="_Toc480548257"/>
      <w:bookmarkEnd w:id="11"/>
      <w:r>
        <w:rPr/>
        <w:t>第</w:t>
      </w:r>
      <w:r>
        <w:rPr/>
        <w:t>1</w:t>
      </w:r>
      <w:r>
        <w:rPr/>
        <w:t>篇、經營管理  第</w:t>
      </w:r>
      <w:r>
        <w:rPr/>
        <w:t>1.2</w:t>
      </w:r>
      <w:r>
        <w:rPr/>
        <w:t>章</w:t>
      </w:r>
      <w:r>
        <w:rPr>
          <w:rStyle w:val="Style13"/>
          <w:lang w:eastAsia="zh-TW"/>
        </w:rPr>
        <w:t xml:space="preserve"> </w:t>
      </w:r>
      <w:r>
        <w:rPr/>
        <w:t>人力資源管理與員工支持</w:t>
      </w:r>
      <w:bookmarkEnd w:id="12"/>
    </w:p>
    <w:tbl>
      <w:tblPr>
        <w:tblW w:w="5000" w:type="pct"/>
        <w:jc w:val="left"/>
        <w:tblInd w:w="-5" w:type="dxa"/>
        <w:tblLayout w:type="fixed"/>
        <w:tblCellMar>
          <w:top w:w="0" w:type="dxa"/>
          <w:left w:w="108" w:type="dxa"/>
          <w:bottom w:w="0" w:type="dxa"/>
          <w:right w:w="108" w:type="dxa"/>
        </w:tblCellMar>
      </w:tblPr>
      <w:tblGrid>
        <w:gridCol w:w="872"/>
        <w:gridCol w:w="902"/>
        <w:gridCol w:w="4117"/>
        <w:gridCol w:w="4109"/>
      </w:tblGrid>
      <w:tr>
        <w:trPr>
          <w:tblHeader w:val="true"/>
          <w:trHeight w:val="20" w:hRule="atLeast"/>
        </w:trPr>
        <w:tc>
          <w:tcPr>
            <w:tcW w:w="1774"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09"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kern w:val="0"/>
              </w:rPr>
            </w:pPr>
            <w:r>
              <w:rPr>
                <w:rFonts w:eastAsia="標楷體"/>
                <w:b/>
                <w:kern w:val="0"/>
              </w:rPr>
              <w:t>1.2</w:t>
            </w:r>
          </w:p>
        </w:tc>
        <w:tc>
          <w:tcPr>
            <w:tcW w:w="4117"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人力資源管理與員工支持</w:t>
            </w:r>
          </w:p>
        </w:tc>
        <w:tc>
          <w:tcPr>
            <w:tcW w:w="4109"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rPr>
            </w:pPr>
            <w:r>
              <w:rPr>
                <w:rFonts w:eastAsia="標楷體"/>
                <w:b/>
              </w:rPr>
              <w:t>【重點說明】</w:t>
            </w:r>
          </w:p>
          <w:p>
            <w:pPr>
              <w:pStyle w:val="BodyText"/>
              <w:snapToGrid w:val="false"/>
              <w:jc w:val="both"/>
              <w:rPr>
                <w:rFonts w:eastAsia="標楷體"/>
              </w:rPr>
            </w:pPr>
            <w:r>
              <w:rPr>
                <w:rFonts w:eastAsia="標楷體"/>
              </w:rPr>
              <w:t xml:space="preserve">    </w:t>
            </w:r>
            <w:r>
              <w:rPr>
                <w:rFonts w:eastAsia="標楷體"/>
              </w:rPr>
              <w:t>妥善的員工管理與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另希望引導醫院及主管瞭解院內應定期評估人員能力、適當配置人員、給予適切工作內容及合理之工作量，由此確保人員不致承受過多、過重之責任、壓力與業務範圍，確保醫療品質及提升病人安全。</w:t>
            </w:r>
          </w:p>
          <w:p>
            <w:pPr>
              <w:pStyle w:val="BodyText"/>
              <w:snapToGrid w:val="false"/>
              <w:jc w:val="both"/>
              <w:rPr>
                <w:rFonts w:eastAsia="標楷體"/>
              </w:rPr>
            </w:pPr>
            <w:r>
              <w:rPr>
                <w:rFonts w:eastAsia="標楷體"/>
              </w:rPr>
              <w:t xml:space="preserve">    </w:t>
            </w:r>
            <w:r>
              <w:rPr>
                <w:rFonts w:eastAsia="標楷體"/>
              </w:rPr>
              <w:t>醫院首先需建立人事管理制度，依醫院規模、屬性配置適當人員或成立相關單位，依法及醫院實務需要設計招募、徵選、薪資規定…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pPr>
              <w:pStyle w:val="BodyText"/>
              <w:widowControl/>
              <w:snapToGrid w:val="false"/>
              <w:spacing w:lineRule="exact" w:line="320"/>
              <w:jc w:val="both"/>
              <w:rPr/>
            </w:pPr>
            <w:r>
              <w:rPr>
                <w:rStyle w:val="Style13"/>
                <w:rFonts w:eastAsia="標楷體"/>
              </w:rPr>
              <w:t xml:space="preserve">    </w:t>
            </w:r>
            <w:r>
              <w:rPr>
                <w:rStyle w:val="Style13"/>
                <w:rFonts w:eastAsia="標楷體"/>
              </w:rPr>
              <w:t>醫院是一高度壓力工作場所，醫院除建構安全、適合工作的環境外，在員工支持方面，應重視工作人員健康防護、促進與福利，有健康、滿意的工作人員才有專業、有品質的醫療服務。另外，應提供工作人員適當的意見反應管道（如：滿意度調查、主管信箱等）及心理支持及輔導機制，釐清工作同仁所提問題予以適當處理，協助員工調適，定期辦理紓壓或情緒支持相關講座或活動，提升員工心理衛生相關知能，甚至有互助機制，減輕員工面臨困境或醫療糾紛時之壓力。</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1.2.1</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設置人事管理專責單位，各部門的職掌及職務規範明確，並對醫師的診療品質及工作量，定期作客觀的評估</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1.2.2</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訂有明確之員工晉用及薪資制度且執行合宜</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1.2.3</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設立職業安全衛生專責組織、人員，並訂定</w:t>
            </w:r>
            <w:r>
              <w:rPr>
                <w:rStyle w:val="Style13"/>
                <w:rFonts w:eastAsia="標楷體"/>
                <w:kern w:val="0"/>
                <w:szCs w:val="20"/>
              </w:rPr>
              <w:t>職業安全衛生管理</w:t>
            </w:r>
            <w:r>
              <w:rPr>
                <w:rStyle w:val="Style13"/>
                <w:rFonts w:eastAsia="標楷體"/>
                <w:kern w:val="0"/>
              </w:rPr>
              <w:t>計畫，及確實執行員工意外事件防範措施</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1.2.4</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致力於建置完善合宜之工作環境，訂有且執行員工健康促進活動與福利制度</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1.2.5</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有關懷輔導機制對院內員工提供心理及情緒等支持，並有員工申訴管道</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pPr>
            <w:r>
              <w:rPr>
                <w:rStyle w:val="Style13"/>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rPr>
            </w:pPr>
            <w:r>
              <w:rPr>
                <w:rFonts w:eastAsia="標楷體"/>
              </w:rPr>
              <w:t>1.2.6</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對外包業務及人員有適當管理機制</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未有業務外包者，可自選本條免評。</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pPr>
            <w:r>
              <w:rPr>
                <w:rStyle w:val="Style13"/>
                <w:rFonts w:eastAsia="標楷體"/>
                <w:kern w:val="0"/>
              </w:rPr>
              <w:t>必</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1.2.7</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rPr>
              <w:t>適當醫師人力配置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ind w:left="240" w:hanging="0"/>
              <w:jc w:val="both"/>
              <w:rPr/>
            </w:pPr>
            <w:r>
              <w:rPr>
                <w:rStyle w:val="Style13"/>
                <w:rFonts w:eastAsia="標楷體"/>
                <w:kern w:val="0"/>
              </w:rPr>
              <w:t>本條為必要條文，必須達符合。</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1.2.8</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適當醫事放射人力配置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醫院若未</w:t>
            </w:r>
            <w:r>
              <w:rPr>
                <w:rStyle w:val="Style13"/>
                <w:rFonts w:eastAsia="標楷體"/>
              </w:rPr>
              <w:t>設有放射部門，可自選本條免評，惟聘有醫事放射人員且設有</w:t>
            </w:r>
            <w:r>
              <w:rPr>
                <w:rStyle w:val="Style13"/>
                <w:rFonts w:eastAsia="標楷體"/>
              </w:rPr>
              <w:t>X</w:t>
            </w:r>
            <w:r>
              <w:rPr>
                <w:rStyle w:val="Style13"/>
                <w:rFonts w:eastAsia="標楷體"/>
              </w:rPr>
              <w:t>光等設備並提供放射之服務，本項基準則須受評。</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26" w:right="-84" w:hanging="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1.2.9</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bCs/>
                <w:kern w:val="0"/>
              </w:rPr>
              <w:t>適當醫事檢驗人力配置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t>必</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rPr>
            </w:pPr>
            <w:r>
              <w:rPr>
                <w:rFonts w:eastAsia="標楷體"/>
              </w:rPr>
              <w:t>1.2.10</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t>依據病房特性配置適當護理人力</w:t>
            </w:r>
          </w:p>
        </w:tc>
        <w:tc>
          <w:tcPr>
            <w:tcW w:w="4109"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0"/>
              <w:rPr/>
            </w:pPr>
            <w:r>
              <w:rPr>
                <w:rStyle w:val="Style13"/>
                <w:rFonts w:eastAsia="標楷體"/>
                <w:kern w:val="0"/>
              </w:rPr>
              <w:t>本條為必要條文，必須達符合。</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1.2.11</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bCs/>
                <w:kern w:val="0"/>
              </w:rPr>
            </w:pPr>
            <w:r>
              <w:rPr>
                <w:rFonts w:eastAsia="標楷體"/>
                <w:bCs/>
                <w:kern w:val="0"/>
              </w:rPr>
              <w:t>適當藥事人力配置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0"/>
              <w:jc w:val="both"/>
              <w:rPr/>
            </w:pPr>
            <w:r>
              <w:rPr>
                <w:rStyle w:val="Style13"/>
                <w:rFonts w:eastAsia="標楷體"/>
                <w:kern w:val="0"/>
              </w:rPr>
              <w:t>本條為必要條文，必須達符合。</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1.2.12</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rPr>
              <w:t>適當營養人力配置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ind w:left="240" w:hanging="0"/>
              <w:jc w:val="both"/>
              <w:rPr/>
            </w:pPr>
            <w:r>
              <w:rPr>
                <w:rStyle w:val="Style13"/>
                <w:rFonts w:eastAsia="標楷體"/>
                <w:kern w:val="0"/>
              </w:rPr>
              <w:t>本條為必要條文，必須達符合。</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1.2.13</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適當之職能治療服務組織與人力配置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jc w:val="both"/>
              <w:rPr/>
            </w:pPr>
            <w:r>
              <w:rPr>
                <w:rStyle w:val="Style13"/>
                <w:rFonts w:eastAsia="標楷體"/>
              </w:rPr>
              <w:t>本條為精神科教學醫院之重點條文。</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1.2.14</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適當之臨床心理人力配置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jc w:val="both"/>
              <w:rPr/>
            </w:pPr>
            <w:r>
              <w:rPr>
                <w:rStyle w:val="Style13"/>
                <w:rFonts w:eastAsia="標楷體"/>
              </w:rPr>
              <w:t>本條為精神科教學醫院之重點條文。</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rPr>
              <w:t>重</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1.2.15</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應有</w:t>
            </w:r>
            <w:r>
              <w:rPr>
                <w:rStyle w:val="Style13"/>
                <w:rFonts w:eastAsia="標楷體"/>
              </w:rPr>
              <w:t>適當</w:t>
            </w:r>
            <w:r>
              <w:rPr>
                <w:rStyle w:val="Style13"/>
                <w:rFonts w:eastAsia="標楷體"/>
                <w:kern w:val="0"/>
              </w:rPr>
              <w:t>社工人</w:t>
            </w:r>
            <w:r>
              <w:rPr>
                <w:rStyle w:val="Style13"/>
                <w:rFonts w:eastAsia="標楷體"/>
              </w:rPr>
              <w:t>力以確保精神醫療社工服務品質</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jc w:val="both"/>
              <w:rPr/>
            </w:pPr>
            <w:r>
              <w:rPr>
                <w:rStyle w:val="Style13"/>
                <w:rFonts w:eastAsia="標楷體"/>
              </w:rPr>
              <w:t>本條為精神科教學醫院之重點條文。</w:t>
            </w:r>
          </w:p>
        </w:tc>
      </w:tr>
      <w:tr>
        <w:trPr>
          <w:trHeight w:val="20" w:hRule="atLeast"/>
        </w:trPr>
        <w:tc>
          <w:tcPr>
            <w:tcW w:w="8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1.2.16</w:t>
            </w:r>
          </w:p>
        </w:tc>
        <w:tc>
          <w:tcPr>
            <w:tcW w:w="411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適當之職能治療服務、臨床心理及社工人力配置</w:t>
            </w:r>
          </w:p>
        </w:tc>
        <w:tc>
          <w:tcPr>
            <w:tcW w:w="410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jc w:val="both"/>
              <w:rPr>
                <w:rFonts w:eastAsia="標楷體"/>
              </w:rPr>
            </w:pPr>
            <w:r>
              <w:rPr>
                <w:rFonts w:eastAsia="標楷體"/>
              </w:rPr>
              <w:t>1.</w:t>
            </w:r>
            <w:r>
              <w:rPr>
                <w:rFonts w:eastAsia="標楷體"/>
              </w:rPr>
              <w:t>本條為精神科醫院之重點條文。</w:t>
            </w:r>
          </w:p>
          <w:p>
            <w:pPr>
              <w:pStyle w:val="BodyText"/>
              <w:tabs>
                <w:tab w:val="clear" w:pos="480"/>
              </w:tabs>
              <w:snapToGrid w:val="false"/>
              <w:ind w:left="240" w:hanging="0"/>
              <w:jc w:val="both"/>
              <w:rPr/>
            </w:pPr>
            <w:r>
              <w:rPr>
                <w:rStyle w:val="Style13"/>
                <w:rFonts w:eastAsia="標楷體"/>
                <w:kern w:val="0"/>
              </w:rPr>
              <w:t>2.</w:t>
            </w:r>
            <w:r>
              <w:rPr>
                <w:rStyle w:val="Style13"/>
                <w:rFonts w:eastAsia="標楷體"/>
              </w:rPr>
              <w:t>若為精神科教學醫院，本條得免評。</w:t>
            </w:r>
          </w:p>
        </w:tc>
      </w:tr>
    </w:tbl>
    <w:p>
      <w:pPr>
        <w:pStyle w:val="BodyText"/>
        <w:rPr>
          <w:rFonts w:eastAsia="標楷體"/>
          <w:b/>
        </w:rPr>
      </w:pPr>
      <w:r>
        <w:rPr>
          <w:rFonts w:eastAsia="標楷體"/>
          <w:b/>
        </w:rPr>
      </w:r>
      <w:bookmarkStart w:id="13" w:name="第13篇"/>
      <w:bookmarkStart w:id="14" w:name="第13篇"/>
      <w:bookmarkEnd w:id="14"/>
      <w:r>
        <w:br w:type="page"/>
      </w:r>
    </w:p>
    <w:p>
      <w:pPr>
        <w:pStyle w:val="Heading1"/>
        <w:tabs>
          <w:tab w:val="clear" w:pos="480"/>
          <w:tab w:val="left" w:pos="0" w:leader="none"/>
        </w:tabs>
        <w:ind w:left="0" w:hanging="0"/>
        <w:rPr/>
      </w:pPr>
      <w:bookmarkStart w:id="15" w:name="第13篇"/>
      <w:bookmarkStart w:id="16" w:name="_Toc480548258"/>
      <w:bookmarkEnd w:id="15"/>
      <w:r>
        <w:rPr/>
        <w:t>第</w:t>
      </w:r>
      <w:r>
        <w:rPr/>
        <w:t>1</w:t>
      </w:r>
      <w:r>
        <w:rPr/>
        <w:t>篇、經營管理  第</w:t>
      </w:r>
      <w:r>
        <w:rPr/>
        <w:t>1.</w:t>
      </w:r>
      <w:r>
        <w:rPr>
          <w:rStyle w:val="Style13"/>
          <w:lang w:eastAsia="zh-TW"/>
        </w:rPr>
        <w:t>3</w:t>
      </w:r>
      <w:r>
        <w:rPr/>
        <w:t>章 員工教育訓練</w:t>
      </w:r>
      <w:bookmarkEnd w:id="16"/>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1.3</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員工教育訓練</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392" w:hanging="392"/>
              <w:jc w:val="both"/>
              <w:rPr>
                <w:rFonts w:eastAsia="標楷體"/>
                <w:b/>
                <w:bCs/>
                <w:kern w:val="0"/>
              </w:rPr>
            </w:pPr>
            <w:r>
              <w:rPr>
                <w:rFonts w:eastAsia="標楷體"/>
                <w:b/>
                <w:bCs/>
                <w:kern w:val="0"/>
              </w:rPr>
              <w:t>【重點說明】</w:t>
            </w:r>
          </w:p>
          <w:p>
            <w:pPr>
              <w:pStyle w:val="BodyText"/>
              <w:widowControl/>
              <w:tabs>
                <w:tab w:val="clear" w:pos="480"/>
              </w:tabs>
              <w:snapToGrid w:val="false"/>
              <w:spacing w:lineRule="exact" w:line="320"/>
              <w:ind w:left="17" w:hanging="17"/>
              <w:rPr/>
            </w:pPr>
            <w:r>
              <w:rPr>
                <w:rStyle w:val="Style13"/>
                <w:rFonts w:eastAsia="標楷體"/>
                <w:bCs/>
                <w:kern w:val="0"/>
              </w:rPr>
              <w:t xml:space="preserve">    </w:t>
            </w:r>
            <w:r>
              <w:rPr>
                <w:rStyle w:val="Style13"/>
                <w:rFonts w:eastAsia="標楷體"/>
                <w:bCs/>
                <w:kern w:val="0"/>
              </w:rPr>
              <w:t>醫院應設置員工教育訓練之專責人員、委員會或部門負責院內員工教育及進修，諸如病人權利、病人安全、醫學</w:t>
            </w:r>
            <w:r>
              <w:rPr>
                <w:rStyle w:val="Style13"/>
                <w:rFonts w:eastAsia="標楷體"/>
                <w:bCs/>
                <w:kern w:val="0"/>
              </w:rPr>
              <w:t>/</w:t>
            </w:r>
            <w:r>
              <w:rPr>
                <w:rStyle w:val="Style13"/>
                <w:rFonts w:eastAsia="標楷體"/>
                <w:bCs/>
                <w:kern w:val="0"/>
              </w:rPr>
              <w:t>醫事</w:t>
            </w:r>
            <w:r>
              <w:rPr>
                <w:rStyle w:val="Style13"/>
                <w:rFonts w:eastAsia="標楷體"/>
                <w:bCs/>
                <w:kern w:val="0"/>
              </w:rPr>
              <w:t>/</w:t>
            </w:r>
            <w:r>
              <w:rPr>
                <w:rStyle w:val="Style13"/>
                <w:rFonts w:eastAsia="標楷體"/>
                <w:bCs/>
                <w:kern w:val="0"/>
              </w:rPr>
              <w:t>護理倫理、全人醫療、感染管制、院內突發危急病人急救措施及危機處理等重要議題應列為必要教育及進修課程。</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1.3.1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設置員工教育訓練專責人員、委員會或部門，負責院內</w:t>
            </w:r>
            <w:r>
              <w:rPr>
                <w:rStyle w:val="Style13"/>
                <w:rFonts w:eastAsia="標楷體"/>
                <w:bCs/>
                <w:kern w:val="0"/>
              </w:rPr>
              <w:t>員工</w:t>
            </w:r>
            <w:r>
              <w:rPr>
                <w:rStyle w:val="Style13"/>
                <w:rFonts w:eastAsia="標楷體"/>
                <w:kern w:val="0"/>
              </w:rPr>
              <w:t>教育及進修</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1.3.2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對於新進員工辦理到職訓練，並有評估考核</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55" w:hanging="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1.3.3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應定期對員工實施突發危急病人急救措施之教育訓練</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2" w:hanging="422"/>
              <w:jc w:val="both"/>
              <w:rPr>
                <w:rFonts w:eastAsia="標楷體"/>
                <w:bCs/>
                <w:kern w:val="0"/>
              </w:rPr>
            </w:pPr>
            <w:r>
              <w:rPr>
                <w:rFonts w:eastAsia="標楷體"/>
                <w:bCs/>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1.3.4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醫院有志工之設置，並有明確之管理辦法及教育訓練</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 xml:space="preserve">] </w:t>
            </w:r>
          </w:p>
          <w:p>
            <w:pPr>
              <w:pStyle w:val="BodyText"/>
              <w:tabs>
                <w:tab w:val="clear" w:pos="480"/>
              </w:tabs>
              <w:snapToGrid w:val="false"/>
              <w:ind w:left="240" w:hanging="0"/>
              <w:rPr/>
            </w:pPr>
            <w:r>
              <w:rPr>
                <w:rStyle w:val="Style13"/>
                <w:rFonts w:eastAsia="標楷體"/>
                <w:kern w:val="0"/>
              </w:rPr>
              <w:t>未向社會局或衛生局申請設置有志工者，可自選本條免評。</w:t>
            </w:r>
          </w:p>
        </w:tc>
      </w:tr>
    </w:tbl>
    <w:p>
      <w:pPr>
        <w:pStyle w:val="BodyText"/>
        <w:rPr>
          <w:rFonts w:eastAsia="標楷體"/>
          <w:b/>
        </w:rPr>
      </w:pPr>
      <w:r>
        <w:rPr>
          <w:rFonts w:eastAsia="標楷體"/>
          <w:b/>
        </w:rPr>
      </w:r>
      <w:bookmarkStart w:id="17" w:name="第14篇"/>
      <w:bookmarkStart w:id="18" w:name="第14篇"/>
      <w:bookmarkEnd w:id="18"/>
      <w:r>
        <w:br w:type="page"/>
      </w:r>
    </w:p>
    <w:p>
      <w:pPr>
        <w:pStyle w:val="Heading1"/>
        <w:tabs>
          <w:tab w:val="clear" w:pos="480"/>
          <w:tab w:val="left" w:pos="0" w:leader="none"/>
        </w:tabs>
        <w:ind w:left="0" w:hanging="0"/>
        <w:rPr/>
      </w:pPr>
      <w:bookmarkStart w:id="19" w:name="第14篇"/>
      <w:bookmarkStart w:id="20" w:name="_Toc480548259"/>
      <w:bookmarkEnd w:id="19"/>
      <w:r>
        <w:rPr/>
        <w:t>第</w:t>
      </w:r>
      <w:r>
        <w:rPr/>
        <w:t>1</w:t>
      </w:r>
      <w:r>
        <w:rPr/>
        <w:t>篇、經營管理  第</w:t>
      </w:r>
      <w:r>
        <w:rPr/>
        <w:t>1.</w:t>
      </w:r>
      <w:r>
        <w:rPr>
          <w:rStyle w:val="Style13"/>
          <w:lang w:eastAsia="zh-TW"/>
        </w:rPr>
        <w:t>4</w:t>
      </w:r>
      <w:r>
        <w:rPr/>
        <w:t>章 病歷、資訊與溝通管理</w:t>
      </w:r>
      <w:bookmarkEnd w:id="20"/>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1.4</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病歷、資訊與溝通管道</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【重點說明】</w:t>
            </w:r>
          </w:p>
          <w:p>
            <w:pPr>
              <w:pStyle w:val="BodyText"/>
              <w:snapToGrid w:val="false"/>
              <w:jc w:val="both"/>
              <w:rPr/>
            </w:pPr>
            <w:r>
              <w:rPr>
                <w:rStyle w:val="Style13"/>
                <w:rFonts w:eastAsia="標楷體"/>
                <w:bCs/>
              </w:rPr>
              <w:t xml:space="preserve">    </w:t>
            </w:r>
            <w:r>
              <w:rPr>
                <w:rStyle w:val="Style13"/>
                <w:rFonts w:eastAsia="標楷體"/>
              </w:rPr>
              <w:t>病歷之妥善管理，對醫院提供的醫療品質有很大的影響，此功能將評估病歷妥善管理、應用之體制是否完善適當，包括：</w:t>
            </w:r>
          </w:p>
          <w:p>
            <w:pPr>
              <w:pStyle w:val="BodyText"/>
              <w:tabs>
                <w:tab w:val="clear" w:pos="480"/>
              </w:tabs>
              <w:snapToGrid w:val="false"/>
              <w:ind w:left="178" w:hanging="178"/>
              <w:jc w:val="both"/>
              <w:rPr/>
            </w:pPr>
            <w:r>
              <w:rPr>
                <w:rStyle w:val="Style13"/>
                <w:rFonts w:eastAsia="標楷體"/>
              </w:rPr>
              <w:t>1.</w:t>
            </w:r>
            <w:r>
              <w:rPr>
                <w:rStyle w:val="Style13"/>
                <w:rFonts w:eastAsia="標楷體"/>
                <w:kern w:val="0"/>
              </w:rPr>
              <w:t>病人的病歷應統一合併管理，妥善整理（編號、登記、歸類），以利其他專業診療參考，避免發生重複診療之缺失。</w:t>
            </w:r>
          </w:p>
          <w:p>
            <w:pPr>
              <w:pStyle w:val="BodyText"/>
              <w:tabs>
                <w:tab w:val="clear" w:pos="480"/>
              </w:tabs>
              <w:snapToGrid w:val="false"/>
              <w:ind w:left="178" w:hanging="178"/>
              <w:jc w:val="both"/>
              <w:rPr>
                <w:rFonts w:eastAsia="標楷體"/>
                <w:kern w:val="0"/>
              </w:rPr>
            </w:pPr>
            <w:r>
              <w:rPr>
                <w:rFonts w:eastAsia="標楷體"/>
                <w:kern w:val="0"/>
              </w:rPr>
              <w:t>2.</w:t>
            </w:r>
            <w:r>
              <w:rPr>
                <w:rFonts w:eastAsia="標楷體"/>
                <w:kern w:val="0"/>
              </w:rPr>
              <w:t>應明確掌握病歷行蹤及品質，訂有防止遺失的管理機制及質與量的審查等品質確保機制。</w:t>
            </w:r>
          </w:p>
          <w:p>
            <w:pPr>
              <w:pStyle w:val="BodyText"/>
              <w:tabs>
                <w:tab w:val="clear" w:pos="480"/>
              </w:tabs>
              <w:snapToGrid w:val="false"/>
              <w:ind w:left="178" w:hanging="178"/>
              <w:jc w:val="both"/>
              <w:rPr>
                <w:rFonts w:eastAsia="標楷體"/>
                <w:kern w:val="0"/>
              </w:rPr>
            </w:pPr>
            <w:r>
              <w:rPr>
                <w:rFonts w:eastAsia="標楷體"/>
                <w:kern w:val="0"/>
              </w:rPr>
              <w:t>3.</w:t>
            </w:r>
            <w:r>
              <w:rPr>
                <w:rFonts w:eastAsia="標楷體"/>
                <w:kern w:val="0"/>
              </w:rPr>
              <w:t>使用統一之病歷號，避免同名、同姓病人發生弄錯的缺失。</w:t>
            </w:r>
          </w:p>
          <w:p>
            <w:pPr>
              <w:pStyle w:val="BodyText"/>
              <w:tabs>
                <w:tab w:val="clear" w:pos="480"/>
              </w:tabs>
              <w:snapToGrid w:val="false"/>
              <w:ind w:left="178" w:hanging="178"/>
              <w:jc w:val="both"/>
              <w:rPr>
                <w:rFonts w:eastAsia="標楷體"/>
                <w:kern w:val="0"/>
              </w:rPr>
            </w:pPr>
            <w:r>
              <w:rPr>
                <w:rFonts w:eastAsia="標楷體"/>
                <w:kern w:val="0"/>
              </w:rPr>
              <w:t>4.</w:t>
            </w:r>
            <w:r>
              <w:rPr>
                <w:rFonts w:eastAsia="標楷體"/>
                <w:kern w:val="0"/>
              </w:rPr>
              <w:t>能快速檢索符合特定條件的病歷。</w:t>
            </w:r>
          </w:p>
          <w:p>
            <w:pPr>
              <w:pStyle w:val="BodyText"/>
              <w:tabs>
                <w:tab w:val="clear" w:pos="480"/>
              </w:tabs>
              <w:snapToGrid w:val="false"/>
              <w:ind w:left="178" w:hanging="178"/>
              <w:jc w:val="both"/>
              <w:rPr>
                <w:rFonts w:eastAsia="標楷體"/>
                <w:kern w:val="0"/>
              </w:rPr>
            </w:pPr>
            <w:r>
              <w:rPr>
                <w:rFonts w:eastAsia="標楷體"/>
                <w:kern w:val="0"/>
              </w:rPr>
              <w:t>5.</w:t>
            </w:r>
            <w:r>
              <w:rPr>
                <w:rFonts w:eastAsia="標楷體"/>
                <w:kern w:val="0"/>
              </w:rPr>
              <w:t>門診病歷送到診間等之即時性評估。</w:t>
            </w:r>
          </w:p>
          <w:p>
            <w:pPr>
              <w:pStyle w:val="BodyText"/>
              <w:tabs>
                <w:tab w:val="clear" w:pos="480"/>
              </w:tabs>
              <w:snapToGrid w:val="false"/>
              <w:ind w:left="178" w:hanging="178"/>
              <w:jc w:val="both"/>
              <w:rPr>
                <w:rFonts w:eastAsia="標楷體"/>
                <w:kern w:val="0"/>
              </w:rPr>
            </w:pPr>
            <w:r>
              <w:rPr>
                <w:rFonts w:eastAsia="標楷體"/>
                <w:kern w:val="0"/>
              </w:rPr>
              <w:t>6.</w:t>
            </w:r>
            <w:r>
              <w:rPr>
                <w:rFonts w:eastAsia="標楷體"/>
                <w:kern w:val="0"/>
              </w:rPr>
              <w:t>應對病歷內容有完善之保密措施。</w:t>
            </w:r>
          </w:p>
          <w:p>
            <w:pPr>
              <w:pStyle w:val="BodyText"/>
              <w:tabs>
                <w:tab w:val="clear" w:pos="480"/>
              </w:tabs>
              <w:snapToGrid w:val="false"/>
              <w:ind w:left="178" w:hanging="178"/>
              <w:jc w:val="both"/>
              <w:rPr>
                <w:rFonts w:eastAsia="標楷體"/>
                <w:kern w:val="0"/>
              </w:rPr>
            </w:pPr>
            <w:r>
              <w:rPr>
                <w:rFonts w:eastAsia="標楷體"/>
                <w:kern w:val="0"/>
              </w:rPr>
              <w:t>7.</w:t>
            </w:r>
            <w:r>
              <w:rPr>
                <w:rFonts w:eastAsia="標楷體"/>
                <w:kern w:val="0"/>
              </w:rPr>
              <w:t>電子病歷相關管理、執行確依民國</w:t>
            </w:r>
            <w:r>
              <w:rPr>
                <w:rFonts w:eastAsia="標楷體"/>
                <w:kern w:val="0"/>
              </w:rPr>
              <w:t>98</w:t>
            </w:r>
            <w:r>
              <w:rPr>
                <w:rFonts w:eastAsia="標楷體"/>
                <w:kern w:val="0"/>
              </w:rPr>
              <w:t>年</w:t>
            </w:r>
            <w:r>
              <w:rPr>
                <w:rFonts w:eastAsia="標楷體"/>
                <w:kern w:val="0"/>
              </w:rPr>
              <w:t>8</w:t>
            </w:r>
            <w:r>
              <w:rPr>
                <w:rFonts w:eastAsia="標楷體"/>
                <w:kern w:val="0"/>
              </w:rPr>
              <w:t>月</w:t>
            </w:r>
            <w:r>
              <w:rPr>
                <w:rFonts w:eastAsia="標楷體"/>
                <w:kern w:val="0"/>
              </w:rPr>
              <w:t>11</w:t>
            </w:r>
            <w:r>
              <w:rPr>
                <w:rFonts w:eastAsia="標楷體"/>
                <w:kern w:val="0"/>
              </w:rPr>
              <w:t>日公告修正之醫療機構電子病歷製作及管理辦法辦理。</w:t>
            </w:r>
          </w:p>
          <w:p>
            <w:pPr>
              <w:pStyle w:val="BodyText"/>
              <w:tabs>
                <w:tab w:val="clear" w:pos="480"/>
              </w:tabs>
              <w:snapToGrid w:val="false"/>
              <w:ind w:left="178" w:hanging="178"/>
              <w:jc w:val="both"/>
              <w:rPr>
                <w:rFonts w:eastAsia="標楷體"/>
                <w:kern w:val="0"/>
              </w:rPr>
            </w:pPr>
            <w:r>
              <w:rPr>
                <w:rFonts w:eastAsia="標楷體"/>
                <w:kern w:val="0"/>
              </w:rPr>
              <w:t>8.</w:t>
            </w:r>
            <w:r>
              <w:rPr>
                <w:rFonts w:eastAsia="標楷體"/>
                <w:kern w:val="0"/>
              </w:rPr>
              <w:t>定期利用病歷製作、提供及檢討臨床、效率及業務評估指標或資料。</w:t>
            </w:r>
          </w:p>
          <w:p>
            <w:pPr>
              <w:pStyle w:val="BodyText"/>
              <w:widowControl/>
              <w:tabs>
                <w:tab w:val="clear" w:pos="480"/>
              </w:tabs>
              <w:snapToGrid w:val="false"/>
              <w:spacing w:lineRule="exact" w:line="320"/>
              <w:ind w:left="2" w:hanging="0"/>
              <w:jc w:val="both"/>
              <w:rPr/>
            </w:pPr>
            <w:r>
              <w:rPr>
                <w:rStyle w:val="Style13"/>
                <w:rFonts w:eastAsia="標楷體"/>
              </w:rPr>
              <w:t xml:space="preserve">    </w:t>
            </w:r>
            <w:r>
              <w:rPr>
                <w:rStyle w:val="Style13"/>
                <w:rFonts w:eastAsia="標楷體"/>
              </w:rPr>
              <w:t>在資訊與溝通管理方面，醫院應明訂資訊管理及安全相關政策與作業規範，確保資訊具有「保密性」、「安全性」、「可用性」與「完整性」等必備條件，防止病人資料遺失、誤用，明確訂定病人資訊保密相關措施。</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1.4.1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健全的病歷資訊管理制度及環境，且病歷部門人力品質和作業功能良好</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360" w:hanging="360"/>
              <w:rPr>
                <w:rFonts w:eastAsia="標楷體"/>
                <w:bCs/>
                <w:kern w:val="0"/>
              </w:rPr>
            </w:pPr>
            <w:r>
              <w:rPr>
                <w:rFonts w:eastAsia="標楷體"/>
                <w:bCs/>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1.4.2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rFonts w:eastAsia="標楷體"/>
                <w:kern w:val="0"/>
              </w:rPr>
            </w:pPr>
            <w:r>
              <w:rPr>
                <w:rFonts w:eastAsia="標楷體"/>
                <w:kern w:val="0"/>
              </w:rPr>
              <w:t>病歷應詳實記載，有作量與質的審查，並作系統性歸檔以維護完整性</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15" w:hanging="415"/>
              <w:rPr>
                <w:rFonts w:eastAsia="標楷體"/>
                <w:bCs/>
                <w:kern w:val="0"/>
              </w:rPr>
            </w:pPr>
            <w:r>
              <w:rPr>
                <w:rFonts w:eastAsia="標楷體"/>
                <w:bCs/>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t>1.4.3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bCs/>
              </w:rPr>
              <w:t>資訊部門配合臨床及行政部門建立完善作業系統，</w:t>
            </w:r>
            <w:r>
              <w:rPr>
                <w:rStyle w:val="Style13"/>
                <w:rFonts w:eastAsia="標楷體"/>
                <w:kern w:val="0"/>
              </w:rPr>
              <w:t>且院內各系統連線作業及院外聯繫系統功能良好，以確保資訊安全及維護病人隱私，並訂有緊急應變處理機制</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15" w:hanging="415"/>
              <w:rPr>
                <w:rFonts w:eastAsia="標楷體"/>
                <w:bCs/>
                <w:kern w:val="0"/>
              </w:rPr>
            </w:pPr>
            <w:r>
              <w:rPr>
                <w:rFonts w:eastAsia="標楷體"/>
                <w:bCs/>
                <w:kern w:val="0"/>
              </w:rPr>
            </w:r>
          </w:p>
        </w:tc>
      </w:tr>
    </w:tbl>
    <w:p>
      <w:pPr>
        <w:pStyle w:val="BodyText"/>
        <w:rPr>
          <w:rFonts w:eastAsia="標楷體"/>
          <w:b/>
          <w:kern w:val="2"/>
        </w:rPr>
      </w:pPr>
      <w:r>
        <w:rPr>
          <w:rFonts w:eastAsia="標楷體"/>
          <w:b/>
          <w:kern w:val="2"/>
        </w:rPr>
      </w:r>
      <w:r>
        <w:br w:type="page"/>
      </w:r>
    </w:p>
    <w:p>
      <w:pPr>
        <w:pStyle w:val="Heading1"/>
        <w:tabs>
          <w:tab w:val="clear" w:pos="480"/>
          <w:tab w:val="left" w:pos="0" w:leader="none"/>
        </w:tabs>
        <w:ind w:left="0" w:hanging="0"/>
        <w:rPr/>
      </w:pPr>
      <w:bookmarkStart w:id="21" w:name="_Toc480548260"/>
      <w:r>
        <w:rPr/>
        <w:t>第</w:t>
      </w:r>
      <w:r>
        <w:rPr/>
        <w:t>1</w:t>
      </w:r>
      <w:r>
        <w:rPr/>
        <w:t>篇、經營管理  第</w:t>
      </w:r>
      <w:r>
        <w:rPr/>
        <w:t>1.</w:t>
      </w:r>
      <w:r>
        <w:rPr>
          <w:rStyle w:val="Style13"/>
          <w:lang w:eastAsia="zh-TW"/>
        </w:rPr>
        <w:t>5</w:t>
      </w:r>
      <w:r>
        <w:rPr/>
        <w:t>章 安全的環境與設備</w:t>
      </w:r>
      <w:bookmarkEnd w:id="21"/>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1.5</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bCs/>
                <w:kern w:val="0"/>
              </w:rPr>
            </w:pPr>
            <w:r>
              <w:rPr>
                <w:rFonts w:eastAsia="標楷體"/>
                <w:b/>
                <w:bCs/>
                <w:kern w:val="0"/>
              </w:rPr>
              <w:t>安全的環境與設備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rPr>
                <w:rFonts w:eastAsia="標楷體"/>
                <w:b/>
                <w:bCs/>
                <w:kern w:val="0"/>
              </w:rPr>
            </w:pPr>
            <w:r>
              <w:rPr>
                <w:rFonts w:eastAsia="標楷體"/>
                <w:b/>
                <w:bCs/>
                <w:kern w:val="0"/>
              </w:rPr>
              <w:t>【重點說明】</w:t>
            </w:r>
          </w:p>
          <w:p>
            <w:pPr>
              <w:pStyle w:val="BodyText"/>
              <w:snapToGrid w:val="false"/>
              <w:jc w:val="both"/>
              <w:rPr>
                <w:rFonts w:eastAsia="標楷體"/>
              </w:rPr>
            </w:pPr>
            <w:r>
              <w:rPr>
                <w:rFonts w:eastAsia="標楷體"/>
              </w:rPr>
              <w:t>依據美國健康照護研究與品質管理局</w:t>
            </w:r>
            <w:r>
              <w:rPr>
                <w:rFonts w:eastAsia="標楷體"/>
              </w:rPr>
              <w:t>(Agency for Health care Research and Quality, AHRQ)</w:t>
            </w:r>
            <w:r>
              <w:rPr>
                <w:rFonts w:eastAsia="標楷體"/>
              </w:rPr>
              <w:t>之建議「要提升病人安全必須確保醫療照護過程不會發生任何意外或可預防性之傷害」，因此醫院之經營者在規劃醫院之建築與相關之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pPr>
              <w:pStyle w:val="BodyText"/>
              <w:snapToGrid w:val="false"/>
              <w:jc w:val="both"/>
              <w:rPr>
                <w:rFonts w:eastAsia="標楷體"/>
              </w:rPr>
            </w:pPr>
            <w:r>
              <w:rPr>
                <w:rFonts w:eastAsia="標楷體"/>
              </w:rPr>
              <w:t xml:space="preserve">    </w:t>
            </w:r>
            <w:r>
              <w:rPr>
                <w:rFonts w:eastAsia="標楷體"/>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如坐式、蹲式、輪椅用等種類）、其數量除應符合一般病人及家屬之需要外，亦須提供親子適用之設施設備、浴廁等；為確保病人安全與權益，應考量設施設備之可用性（如：輪椅加附點滴架進入浴廁），並設置急救鈴與建立相關之維護與保養機制。對於就診空間與病房應設定音量管制、維持適當之溫度與濕度以提供合宜舒適之就醫環境。</w:t>
            </w:r>
          </w:p>
          <w:p>
            <w:pPr>
              <w:pStyle w:val="BodyText"/>
              <w:snapToGrid w:val="false"/>
              <w:jc w:val="both"/>
              <w:rPr/>
            </w:pPr>
            <w:r>
              <w:rPr>
                <w:rStyle w:val="Style13"/>
                <w:rFonts w:eastAsia="標楷體"/>
              </w:rPr>
              <w:t xml:space="preserve">    </w:t>
            </w:r>
            <w:r>
              <w:rPr>
                <w:rStyle w:val="Style13"/>
                <w:rFonts w:eastAsia="標楷體"/>
              </w:rPr>
              <w:t>醫院之照護環境安全主要涉及下列兩個層面，包括（一）安全</w:t>
            </w:r>
            <w:r>
              <w:rPr>
                <w:rStyle w:val="Style13"/>
                <w:rFonts w:eastAsia="標楷體"/>
              </w:rPr>
              <w:t>(Safety)</w:t>
            </w:r>
            <w:r>
              <w:rPr>
                <w:rStyle w:val="Style13"/>
                <w:rFonts w:eastAsia="標楷體"/>
              </w:rPr>
              <w:t>：應避免建築與相關硬體設施因設計與維修不當或人為疏忽造成病人、訪客與員工之傷害；（二）保全</w:t>
            </w:r>
            <w:r>
              <w:rPr>
                <w:rStyle w:val="Style13"/>
                <w:rFonts w:eastAsia="標楷體"/>
              </w:rPr>
              <w:t>(Security)</w:t>
            </w:r>
            <w:r>
              <w:rPr>
                <w:rStyle w:val="Style13"/>
                <w:rFonts w:eastAsia="標楷體"/>
              </w:rPr>
              <w:t>：避免人為蓄意破壞、偷竊、暴力攻擊、縱火等威脅病人、家屬與員工生命財產之安全。為協助醫院建立安全防護體系，本章之評鑑基準亦包括</w:t>
            </w:r>
            <w:r>
              <w:rPr>
                <w:rStyle w:val="Style13"/>
                <w:rFonts w:eastAsia="標楷體"/>
                <w:bCs/>
                <w:kern w:val="0"/>
              </w:rPr>
              <w:t>提供安全、清潔及安靜之醫院與病房環境</w:t>
            </w:r>
            <w:r>
              <w:rPr>
                <w:rStyle w:val="Style13"/>
                <w:rFonts w:eastAsia="標楷體"/>
              </w:rPr>
              <w:t>（如設有機制定期檢查急救鈴或緊急呼救系統、扶手及防滑設施之功能）、訂定安全管理作業規範，提供病人及員工安全的環境（如設有保全監測設備、防止電梯墜落、用電安全管理等）。</w:t>
            </w:r>
          </w:p>
          <w:p>
            <w:pPr>
              <w:pStyle w:val="BodyText"/>
              <w:snapToGrid w:val="false"/>
              <w:jc w:val="both"/>
              <w:rPr>
                <w:rFonts w:eastAsia="標楷體"/>
              </w:rPr>
            </w:pPr>
            <w:r>
              <w:rPr>
                <w:rFonts w:eastAsia="標楷體"/>
              </w:rPr>
              <w:t xml:space="preserve">    </w:t>
            </w:r>
            <w:r>
              <w:rPr>
                <w:rFonts w:eastAsia="標楷體"/>
              </w:rPr>
              <w:t>為避免病人在接受診療過程中因醫療儀器之使用與教育訓練不足、維修保養不當（特別是對於高風險之醫療儀器，如電擊器、生理監視器與輸液幫浦等未建立預防性保養制度）或相關之基礎設施維修保養不當（如電力或醫療氣體）導致侵襲性檢查突然中斷而造成病人傷害或死亡，醫院應定期執行醫療儀器或相關器材與基礎設施（包括機電、安全、消防、供水、緊急供電、醫用氣體等）或系統等之維護、檢查、測試、保養或校正作業。另，為避免員工在工作中受到暴力之攻擊，醫院應採必要措施，以確保醫事人員執行醫療業務時之安全。</w:t>
            </w:r>
          </w:p>
          <w:p>
            <w:pPr>
              <w:pStyle w:val="BodyText"/>
              <w:widowControl/>
              <w:snapToGrid w:val="false"/>
              <w:spacing w:lineRule="exact" w:line="320"/>
              <w:ind w:firstLine="480"/>
              <w:rPr/>
            </w:pPr>
            <w:r>
              <w:rPr>
                <w:rStyle w:val="Style13"/>
                <w:rFonts w:eastAsia="標楷體"/>
              </w:rPr>
              <w:t>考量住院病人在住院期間之需求，醫院應依病人之特性設置病床，並應保持病房之清潔與安全性，包括定期檢查床欄之安全性、床墊與所使用之床單應定期清潔與消毒，以防止如疥瘡之群聚感染。另為確保醫院之飲食安全，醫院之廚房與供餐作業應符合膳食安全衛生管理作業之規範，如危害分析與重要管制點</w:t>
            </w:r>
            <w:r>
              <w:rPr>
                <w:rStyle w:val="Style13"/>
                <w:rFonts w:eastAsia="標楷體"/>
              </w:rPr>
              <w:t>(Hazard Analysis Critical Control Point, HACCP)</w:t>
            </w:r>
            <w:r>
              <w:rPr>
                <w:rStyle w:val="Style13"/>
                <w:rFonts w:eastAsia="標楷體"/>
              </w:rPr>
              <w:t>之認證規定或地方衛生主管機關的「中央廚房衛生自主管理認證」或食品良好衛生規範</w:t>
            </w:r>
            <w:r>
              <w:rPr>
                <w:rStyle w:val="Style13"/>
                <w:rFonts w:eastAsia="標楷體"/>
              </w:rPr>
              <w:t>(Good Hygienic Practice, GHP)</w:t>
            </w:r>
            <w:r>
              <w:rPr>
                <w:rStyle w:val="Style13"/>
                <w:rFonts w:eastAsia="標楷體"/>
              </w:rPr>
              <w:t>。</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1.5.1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 w:val="left" w:pos="11199" w:leader="none"/>
              </w:tabs>
              <w:snapToGrid w:val="false"/>
              <w:jc w:val="both"/>
              <w:rPr/>
            </w:pPr>
            <w:r>
              <w:rPr>
                <w:rStyle w:val="Style13"/>
                <w:rFonts w:eastAsia="標楷體"/>
                <w:bCs/>
                <w:kern w:val="0"/>
              </w:rPr>
              <w:t>提供安全、清潔及安靜之醫院與病房環境，各部門落實整潔維護，確實施行院內清潔工作，並定期消毒除蟲</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1.5.2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訂定安全管理作業規範，提供病人及員工安全的環境</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1.5.3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醫療機構應採必要措施，以確保醫事人員執行醫療業務時之安全</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t>1.5.4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bCs/>
                <w:kern w:val="0"/>
              </w:rPr>
            </w:pPr>
            <w:r>
              <w:rPr>
                <w:rFonts w:eastAsia="標楷體"/>
                <w:bCs/>
                <w:kern w:val="0"/>
              </w:rPr>
              <w:t>藥品與醫療器材採購及管理能符合醫療照護業務之需要，並確保品質</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t>1.5.5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bCs/>
                <w:kern w:val="0"/>
              </w:rPr>
            </w:pPr>
            <w:r>
              <w:rPr>
                <w:rFonts w:eastAsia="標楷體"/>
                <w:bCs/>
                <w:kern w:val="0"/>
              </w:rPr>
              <w:t>定期執行醫院設施、設備、醫療儀器、醫用氣體或相關器材等之維護、檢查、測試、保養或校正作業，並有紀錄可查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bCs/>
                <w:kern w:val="0"/>
              </w:rPr>
              <w:t>1.5.6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t>定期檢查及維修機電、安全、消防、供水、緊急供電等設備或系統，並有紀錄可查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bCs/>
                <w:kern w:val="0"/>
              </w:rPr>
              <w:t>1.5.7</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bCs/>
                <w:kern w:val="0"/>
              </w:rPr>
              <w:t>膳食</w:t>
            </w:r>
            <w:r>
              <w:rPr>
                <w:rStyle w:val="Style13"/>
                <w:rFonts w:eastAsia="標楷體"/>
                <w:bCs/>
              </w:rPr>
              <w:t>安全衛生管理良好</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rPr>
                <w:rFonts w:eastAsia="標楷體"/>
              </w:rPr>
            </w:pPr>
            <w:r>
              <w:rPr>
                <w:rFonts w:eastAsia="標楷體"/>
              </w:rPr>
              <w:t>符合下列全部條件者，可自選本條免評：</w:t>
            </w:r>
          </w:p>
          <w:p>
            <w:pPr>
              <w:pStyle w:val="BodyText"/>
              <w:widowControl/>
              <w:numPr>
                <w:ilvl w:val="0"/>
                <w:numId w:val="6"/>
              </w:numPr>
              <w:tabs>
                <w:tab w:val="clear" w:pos="480"/>
                <w:tab w:val="left" w:pos="960" w:leader="none"/>
              </w:tabs>
              <w:snapToGrid w:val="false"/>
              <w:spacing w:lineRule="atLeast" w:line="0"/>
              <w:ind w:left="960" w:hanging="480"/>
              <w:rPr>
                <w:rFonts w:eastAsia="標楷體"/>
              </w:rPr>
            </w:pPr>
            <w:r>
              <w:rPr>
                <w:rFonts w:eastAsia="標楷體"/>
              </w:rPr>
              <w:t>未提供膳食服務者。</w:t>
            </w:r>
          </w:p>
          <w:p>
            <w:pPr>
              <w:pStyle w:val="BodyText"/>
              <w:widowControl/>
              <w:numPr>
                <w:ilvl w:val="0"/>
                <w:numId w:val="6"/>
              </w:numPr>
              <w:tabs>
                <w:tab w:val="clear" w:pos="480"/>
                <w:tab w:val="left" w:pos="960" w:leader="none"/>
              </w:tabs>
              <w:snapToGrid w:val="false"/>
              <w:spacing w:lineRule="atLeast" w:line="0"/>
              <w:ind w:left="960" w:hanging="480"/>
              <w:rPr/>
            </w:pPr>
            <w:r>
              <w:rPr>
                <w:rStyle w:val="Style13"/>
                <w:rFonts w:eastAsia="標楷體"/>
              </w:rPr>
              <w:t>申請「總病床</w:t>
            </w:r>
            <w:r>
              <w:rPr>
                <w:rStyle w:val="Style13"/>
                <w:rFonts w:eastAsia="標楷體"/>
              </w:rPr>
              <w:t>99</w:t>
            </w:r>
            <w:r>
              <w:rPr>
                <w:rStyle w:val="Style13"/>
                <w:rFonts w:eastAsia="標楷體"/>
              </w:rPr>
              <w:t>床（含）以下」者。</w:t>
            </w:r>
          </w:p>
        </w:tc>
      </w:tr>
    </w:tbl>
    <w:p>
      <w:pPr>
        <w:pStyle w:val="Heading1"/>
        <w:tabs>
          <w:tab w:val="clear" w:pos="480"/>
          <w:tab w:val="left" w:pos="0" w:leader="none"/>
        </w:tabs>
        <w:ind w:left="0" w:hanging="0"/>
        <w:rPr/>
      </w:pPr>
      <w:r>
        <w:rPr/>
      </w:r>
      <w:bookmarkStart w:id="22" w:name="第16篇"/>
      <w:bookmarkStart w:id="23" w:name="第16篇"/>
      <w:bookmarkEnd w:id="23"/>
      <w:r>
        <w:br w:type="page"/>
      </w:r>
    </w:p>
    <w:p>
      <w:pPr>
        <w:pStyle w:val="Heading1"/>
        <w:tabs>
          <w:tab w:val="clear" w:pos="480"/>
          <w:tab w:val="left" w:pos="0" w:leader="none"/>
        </w:tabs>
        <w:ind w:left="0" w:hanging="0"/>
        <w:outlineLvl w:val="9"/>
        <w:rPr/>
      </w:pPr>
      <w:bookmarkStart w:id="24" w:name="第16篇"/>
      <w:bookmarkStart w:id="25" w:name="_Toc480548261"/>
      <w:bookmarkEnd w:id="24"/>
      <w:r>
        <w:rPr/>
        <w:t>第</w:t>
      </w:r>
      <w:r>
        <w:rPr/>
        <w:t>1</w:t>
      </w:r>
      <w:r>
        <w:rPr/>
        <w:t>篇、經營管理  第</w:t>
      </w:r>
      <w:r>
        <w:rPr/>
        <w:t>1.</w:t>
      </w:r>
      <w:r>
        <w:rPr>
          <w:rStyle w:val="Style13"/>
          <w:lang w:eastAsia="zh-TW"/>
        </w:rPr>
        <w:t>6</w:t>
      </w:r>
      <w:r>
        <w:rPr/>
        <w:t>章 病人導向之服務與管理</w:t>
      </w:r>
      <w:bookmarkEnd w:id="25"/>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1.6</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bCs/>
                <w:kern w:val="0"/>
              </w:rPr>
            </w:pPr>
            <w:r>
              <w:rPr>
                <w:rFonts w:eastAsia="標楷體"/>
                <w:b/>
                <w:bCs/>
                <w:kern w:val="0"/>
              </w:rPr>
              <w:t>病人導向之服務與管理</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6" w:hanging="396"/>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醫院應提供親切合宜，以病人為導向的醫療服務，包括醫院應注意諮詢服務場所的提供、服務人員及引導人員之配置、言辭及儀態；工作人員應配戴名牌。</w:t>
            </w:r>
          </w:p>
          <w:p>
            <w:pPr>
              <w:pStyle w:val="BodyText"/>
              <w:snapToGrid w:val="false"/>
              <w:jc w:val="both"/>
              <w:rPr>
                <w:rFonts w:eastAsia="標楷體"/>
              </w:rPr>
            </w:pPr>
            <w:r>
              <w:rPr>
                <w:rFonts w:eastAsia="標楷體"/>
              </w:rPr>
              <w:t xml:space="preserve">    </w:t>
            </w:r>
            <w:r>
              <w:rPr>
                <w:rFonts w:eastAsia="標楷體"/>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pPr>
              <w:pStyle w:val="BodyText"/>
              <w:snapToGrid w:val="false"/>
              <w:jc w:val="both"/>
              <w:rPr>
                <w:rFonts w:eastAsia="標楷體"/>
              </w:rPr>
            </w:pPr>
            <w:r>
              <w:rPr>
                <w:rFonts w:eastAsia="標楷體"/>
              </w:rPr>
              <w:t xml:space="preserve">    </w:t>
            </w:r>
            <w:r>
              <w:rPr>
                <w:rFonts w:eastAsia="標楷體"/>
              </w:rPr>
              <w:t>病床的有效利用，不僅是善用社會資源，且自醫院經營穩定的觀點而言，亦為重要的指標，無論是急性或長期療養床，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pPr>
              <w:pStyle w:val="BodyText"/>
              <w:snapToGrid w:val="false"/>
              <w:jc w:val="both"/>
              <w:rPr>
                <w:rFonts w:eastAsia="標楷體"/>
              </w:rPr>
            </w:pPr>
            <w:r>
              <w:rPr>
                <w:rFonts w:eastAsia="標楷體"/>
              </w:rPr>
              <w:t xml:space="preserve">    </w:t>
            </w:r>
            <w:r>
              <w:rPr>
                <w:rFonts w:eastAsia="標楷體"/>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pPr>
              <w:pStyle w:val="BodyText"/>
              <w:snapToGrid w:val="false"/>
              <w:spacing w:lineRule="exact" w:line="320"/>
              <w:rPr/>
            </w:pPr>
            <w:r>
              <w:rPr>
                <w:rStyle w:val="Style13"/>
                <w:rFonts w:eastAsia="標楷體"/>
              </w:rPr>
              <w:t xml:space="preserve">    </w:t>
            </w:r>
            <w:r>
              <w:rPr>
                <w:rStyle w:val="Style13"/>
                <w:rFonts w:eastAsia="標楷體"/>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Pr>
                <w:rStyle w:val="Style13"/>
                <w:rFonts w:eastAsia="標楷體"/>
              </w:rPr>
              <w:t>Plan-Do-Check-Act</w:t>
            </w:r>
            <w:r>
              <w:rPr>
                <w:rStyle w:val="Style13"/>
                <w:rFonts w:eastAsia="標楷體"/>
              </w:rPr>
              <w:t>（</w:t>
            </w:r>
            <w:r>
              <w:rPr>
                <w:rStyle w:val="Style13"/>
                <w:rFonts w:eastAsia="標楷體"/>
              </w:rPr>
              <w:t>PDCA cycle</w:t>
            </w:r>
            <w:r>
              <w:rPr>
                <w:rStyle w:val="Style13"/>
                <w:rFonts w:eastAsia="標楷體"/>
              </w:rPr>
              <w:t>：計畫－執行－檢核－活動）步驟，並確認</w:t>
            </w:r>
            <w:r>
              <w:rPr>
                <w:rStyle w:val="Style13"/>
                <w:rFonts w:eastAsia="標楷體"/>
              </w:rPr>
              <w:t>Check</w:t>
            </w:r>
            <w:r>
              <w:rPr>
                <w:rStyle w:val="Style13"/>
                <w:rFonts w:eastAsia="標楷體"/>
              </w:rPr>
              <w:t>及</w:t>
            </w:r>
            <w:r>
              <w:rPr>
                <w:rStyle w:val="Style13"/>
                <w:rFonts w:eastAsia="標楷體"/>
              </w:rPr>
              <w:t>Act</w:t>
            </w:r>
            <w:r>
              <w:rPr>
                <w:rStyle w:val="Style13"/>
                <w:rFonts w:eastAsia="標楷體"/>
              </w:rPr>
              <w:t>部分的成效。尤其對於病人或家屬的意見、抱怨、申訴應有專責處理模式與流程以盡快處理，對於病人或家屬訪客用餐、購物環境或相關資訊亦應適當提供，使醫用者及其家屬訪客方便取得所需服務。</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center"/>
              <w:rPr>
                <w:rFonts w:eastAsia="標楷體"/>
              </w:rPr>
            </w:pPr>
            <w:r>
              <w:rPr>
                <w:rFonts w:eastAsia="標楷體"/>
              </w:rPr>
              <w:t>1.6.1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bCs/>
                <w:kern w:val="0"/>
              </w:rPr>
              <w:t>第一線工作人員服務態度親切，能提供整合、流暢之病人就醫流程、一般諮詢、引導、推送病人等服務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center"/>
              <w:rPr/>
            </w:pPr>
            <w:r>
              <w:rPr>
                <w:rStyle w:val="Style13"/>
                <w:rFonts w:eastAsia="標楷體"/>
                <w:bCs/>
                <w:kern w:val="0"/>
              </w:rPr>
              <w:t>1.6.2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bCs/>
                <w:kern w:val="0"/>
              </w:rPr>
              <w:t>提供病人與民眾衛教與</w:t>
            </w:r>
            <w:r>
              <w:rPr>
                <w:rStyle w:val="Style13"/>
                <w:rFonts w:eastAsia="標楷體"/>
                <w:kern w:val="0"/>
              </w:rPr>
              <w:t>醫院服務資訊，並提供病人完整的就醫資訊及醫療諮詢</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center"/>
              <w:rPr>
                <w:rFonts w:eastAsia="標楷體"/>
              </w:rPr>
            </w:pPr>
            <w:r>
              <w:rPr>
                <w:rFonts w:eastAsia="標楷體"/>
              </w:rPr>
              <w:t>1.6.3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rPr>
              <w:t>提供病人就醫之掛號、批價收費及辦理入出院作業等便利服務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center"/>
              <w:rPr>
                <w:rFonts w:eastAsia="標楷體"/>
              </w:rPr>
            </w:pPr>
            <w:r>
              <w:rPr>
                <w:rFonts w:eastAsia="標楷體"/>
              </w:rPr>
              <w:t>1.6.4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bCs/>
                <w:kern w:val="0"/>
              </w:rPr>
              <w:t>對於病人或家屬的意見、抱怨、申訴設有專責單位或人員處理，並明訂處理流程</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363" w:hanging="406"/>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6" w:name="_Toc480548262"/>
      <w:r>
        <w:rPr/>
        <w:t>第</w:t>
      </w:r>
      <w:r>
        <w:rPr/>
        <w:t>1</w:t>
      </w:r>
      <w:r>
        <w:rPr/>
        <w:t>篇、經營管理  第</w:t>
      </w:r>
      <w:r>
        <w:rPr/>
        <w:t>1.</w:t>
      </w:r>
      <w:r>
        <w:rPr>
          <w:rStyle w:val="Style13"/>
          <w:lang w:eastAsia="zh-TW"/>
        </w:rPr>
        <w:t>7</w:t>
      </w:r>
      <w:r>
        <w:rPr/>
        <w:t>章 危機管理與緊急災害應變</w:t>
      </w:r>
      <w:bookmarkEnd w:id="2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危機管理與緊急災害應變</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eastAsia="標楷體"/>
                <w:b/>
                <w:kern w:val="0"/>
              </w:rPr>
            </w:pPr>
            <w:r>
              <w:rPr>
                <w:rFonts w:eastAsia="標楷體"/>
                <w:b/>
                <w:kern w:val="0"/>
              </w:rPr>
              <w:t>【重點說明】</w:t>
            </w:r>
          </w:p>
          <w:p>
            <w:pPr>
              <w:pStyle w:val="BodyText"/>
              <w:snapToGrid w:val="false"/>
              <w:jc w:val="both"/>
              <w:rPr>
                <w:rFonts w:eastAsia="標楷體"/>
              </w:rPr>
            </w:pPr>
            <w:r>
              <w:rPr>
                <w:rFonts w:eastAsia="標楷體"/>
              </w:rPr>
              <w:t xml:space="preserve">    </w:t>
            </w:r>
            <w:r>
              <w:rPr>
                <w:rFonts w:eastAsia="標楷體"/>
              </w:rPr>
              <w:t xml:space="preserve">為確保員工與就醫病人及其家屬之安全，醫院應建立危機管理機制，且依據危機管理需要儲備或即時取得災害所需之醫療用品、通訊器材及其他資源，並有檢討改善機制。醫院在建立危機管理機制時應成立專責組織（如危機管理委員會）或指定專責人員統籌醫院危機管理事宜，包括運用風險分析工具（如災害脆弱度分析）評估醫院可能發生之危機或緊急事件，並依據危害分析結果研擬危機管理計畫，包括減災預防、準備、應變與復原。 </w:t>
            </w:r>
          </w:p>
          <w:p>
            <w:pPr>
              <w:pStyle w:val="BodyText"/>
              <w:snapToGrid w:val="false"/>
              <w:jc w:val="both"/>
              <w:rPr>
                <w:rFonts w:eastAsia="標楷體"/>
              </w:rPr>
            </w:pPr>
            <w:r>
              <w:rPr>
                <w:rFonts w:eastAsia="標楷體"/>
              </w:rPr>
              <w:t xml:space="preserve">    </w:t>
            </w:r>
            <w:r>
              <w:rPr>
                <w:rFonts w:eastAsia="標楷體"/>
              </w:rPr>
              <w:t>為提升醫院面對危機事件發生時之緊急應變能力以減少災害之衝擊，對突發危機事件應建立健全之應變指揮體系與依災害等級制定應變組織之啟動規模（如需動員之應變職務與應變團隊人數）。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與地方政府或相關團體共同辦理大量傷患處理之訓練，以滿足所在社區發生災害時之救護需求。</w:t>
            </w:r>
          </w:p>
          <w:p>
            <w:pPr>
              <w:pStyle w:val="BodyText"/>
              <w:snapToGrid w:val="false"/>
              <w:spacing w:lineRule="exact" w:line="320"/>
              <w:rPr>
                <w:rFonts w:eastAsia="標楷體"/>
              </w:rPr>
            </w:pPr>
            <w:r>
              <w:rPr>
                <w:rFonts w:eastAsia="標楷體"/>
              </w:rPr>
              <w:t xml:space="preserve">    </w:t>
            </w:r>
            <w:r>
              <w:rPr>
                <w:rFonts w:eastAsia="標楷體"/>
              </w:rPr>
              <w:t>醫院面對可能或已發生之醫事爭議事件時，應以誠實的態度，指定專責人員或單位妥善因應，對外回應醫事爭議事件。為防範事件再發生，醫院應釐清事故發生原因及真相，正確掌握事件發展，並應有檢討紀錄及防範事件再發生之措施，作為改善之參考依據。另外，對於相關受影響之醫院同仁亦應提供支援互助機制，共同從經驗中學習。</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1.7.1</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建立醫事爭議事件處理機制，且對涉及醫事爭議員工有支持及關懷辦法</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15" w:hanging="41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1.7.2</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rPr>
              <w:t>建立醫院危機管理機制及緊急災害應變計畫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15" w:hanging="415"/>
              <w:rPr>
                <w:rFonts w:eastAsia="標楷體"/>
                <w:kern w:val="0"/>
              </w:rPr>
            </w:pPr>
            <w:r>
              <w:rPr>
                <w:rFonts w:eastAsia="標楷體"/>
                <w:kern w:val="0"/>
              </w:rPr>
            </w:r>
          </w:p>
        </w:tc>
      </w:tr>
    </w:tbl>
    <w:p>
      <w:pPr>
        <w:pStyle w:val="BodyText"/>
        <w:rPr>
          <w:rFonts w:eastAsia="標楷體"/>
          <w:b/>
        </w:rPr>
      </w:pPr>
      <w:r>
        <w:rPr>
          <w:rFonts w:eastAsia="標楷體"/>
          <w:b/>
        </w:rPr>
      </w:r>
      <w:bookmarkStart w:id="27" w:name="第18篇"/>
      <w:bookmarkStart w:id="28" w:name="第18篇"/>
      <w:bookmarkEnd w:id="28"/>
      <w:r>
        <w:br w:type="page"/>
      </w:r>
    </w:p>
    <w:p>
      <w:pPr>
        <w:pStyle w:val="Heading1"/>
        <w:tabs>
          <w:tab w:val="clear" w:pos="480"/>
          <w:tab w:val="left" w:pos="0" w:leader="none"/>
        </w:tabs>
        <w:ind w:left="0" w:hanging="0"/>
        <w:rPr/>
      </w:pPr>
      <w:bookmarkStart w:id="29" w:name="第18篇"/>
      <w:bookmarkStart w:id="30" w:name="_Toc480548263"/>
      <w:bookmarkEnd w:id="29"/>
      <w:r>
        <w:rPr/>
        <w:t>第</w:t>
      </w:r>
      <w:r>
        <w:rPr/>
        <w:t>2</w:t>
      </w:r>
      <w:r>
        <w:rPr/>
        <w:t>篇、醫療照護  第</w:t>
      </w:r>
      <w:r>
        <w:rPr/>
        <w:t>2.1</w:t>
      </w:r>
      <w:r>
        <w:rPr/>
        <w:t>章 病人及家屬權責</w:t>
      </w:r>
      <w:bookmarkEnd w:id="30"/>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2.1</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病人及家屬權責</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【重點說明】</w:t>
            </w:r>
          </w:p>
          <w:p>
            <w:pPr>
              <w:pStyle w:val="BodyText"/>
              <w:snapToGrid w:val="false"/>
              <w:jc w:val="both"/>
              <w:rPr/>
            </w:pPr>
            <w:r>
              <w:rPr>
                <w:rStyle w:val="Style13"/>
                <w:rFonts w:eastAsia="標楷體"/>
              </w:rPr>
              <w:t xml:space="preserve">    </w:t>
            </w:r>
            <w:r>
              <w:rPr>
                <w:rStyle w:val="Style13"/>
                <w:rFonts w:eastAsia="標楷體"/>
                <w:kern w:val="0"/>
              </w:rPr>
              <w:t>每位病人都具有獨特性，有著不同的需求、價值觀和信仰。故當病人就醫時，應該受到奠基在醫學倫理基礎下的妥適照護，此為病人基本的權利。為保障病人就醫的權利，醫院應尊重病人的觀點，明確訂定有關病人權利的相關政策、規範，並公開倡導，讓病人及家屬能充份瞭解其權利並參與醫療決策；同時也要教育員工理解及尊重病人的自主性和價值觀，提供保護病人尊嚴且周到的醫療服務。讓醫院、員工與病人家屬共同營造一個重視病人就醫權利的優質照護環境。</w:t>
            </w:r>
          </w:p>
          <w:p>
            <w:pPr>
              <w:pStyle w:val="BodyText"/>
              <w:snapToGrid w:val="false"/>
              <w:jc w:val="both"/>
              <w:rPr>
                <w:rFonts w:eastAsia="標楷體"/>
                <w:kern w:val="0"/>
              </w:rPr>
            </w:pPr>
            <w:r>
              <w:rPr>
                <w:rFonts w:eastAsia="標楷體"/>
                <w:kern w:val="0"/>
              </w:rPr>
              <w:t>因此本章的重點有下列幾項：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醫院應明訂維護病人權利的政策或規範，並向病人、家屬及員工宣導、說明相關就醫權利的內容。</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教育院內工作人員在執行醫療照護與服務時，應向病人充份說明、溝通，並隨時留意尊重及保護病人權利。</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病人接受診療時，醫療照護團隊應向病人說明，特別是進行侵入性檢查或治療前，應提供書面說明以確保內容正確被瞭解，並取得病人完整簽署的同意書。</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應鼓勵病人及其家屬參與醫療決策，工作人員以病人及家屬能理解之語言，解說病人的健康及醫療相關的資訊，如病人欲尋求其他醫療人員之意見時，醫院應主動協助。</w:t>
            </w:r>
          </w:p>
          <w:p>
            <w:pPr>
              <w:pStyle w:val="BodyText"/>
              <w:tabs>
                <w:tab w:val="clear" w:pos="480"/>
              </w:tabs>
              <w:snapToGrid w:val="false"/>
              <w:ind w:left="180" w:hanging="180"/>
              <w:jc w:val="both"/>
              <w:rPr>
                <w:rFonts w:eastAsia="標楷體"/>
                <w:kern w:val="0"/>
              </w:rPr>
            </w:pPr>
            <w:r>
              <w:rPr>
                <w:rFonts w:eastAsia="標楷體"/>
                <w:kern w:val="0"/>
              </w:rPr>
              <w:t>5.</w:t>
            </w:r>
            <w:r>
              <w:rPr>
                <w:rFonts w:eastAsia="標楷體"/>
                <w:kern w:val="0"/>
              </w:rPr>
              <w:t>為維護及尊重病人的醫療自主權，醫院能對病人、家屬提供有關生命末期醫療抉擇的相關資訊，並制定相關規範或標準作業程序，以利工作人員遵循。</w:t>
            </w:r>
          </w:p>
          <w:p>
            <w:pPr>
              <w:pStyle w:val="BodyText"/>
              <w:tabs>
                <w:tab w:val="clear" w:pos="480"/>
              </w:tabs>
              <w:snapToGrid w:val="false"/>
              <w:ind w:left="180" w:hanging="180"/>
              <w:jc w:val="both"/>
              <w:rPr>
                <w:rFonts w:eastAsia="標楷體"/>
                <w:kern w:val="0"/>
              </w:rPr>
            </w:pPr>
            <w:r>
              <w:rPr>
                <w:rFonts w:eastAsia="標楷體"/>
                <w:kern w:val="0"/>
              </w:rPr>
              <w:t>6.</w:t>
            </w:r>
            <w:r>
              <w:rPr>
                <w:rFonts w:eastAsia="標楷體"/>
                <w:kern w:val="0"/>
              </w:rPr>
              <w:t>精神病人為特殊族群，其自主、隱私、通訊等權利容易受到傷害，故於精神衛生法特別加以保障。對於強制住院及社區治療之精神嚴重病人應經依法鑑定及申請審查通過始能執行強制住院及強制社區治療。</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kern w:val="0"/>
              </w:rPr>
            </w:pPr>
            <w:r>
              <w:rPr>
                <w:rFonts w:eastAsia="標楷體"/>
                <w:kern w:val="0"/>
              </w:rPr>
              <w:t>2.1.1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明訂維護病人權利的政策或規範，並讓病人、家屬及員工瞭解、尊重其權利</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2.1.2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在診斷治療病人的過程，應適當說明病情、處置及治療方式，並依規定取得病人同意</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2.1.3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嚴重病人緊急安置或強制住院作業應符合精神衛生法規定，並提供必要之治療及保護</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rPr/>
            </w:pPr>
            <w:r>
              <w:rPr>
                <w:rStyle w:val="Style13"/>
                <w:rFonts w:eastAsia="標楷體"/>
              </w:rPr>
              <w:t>非直轄市、縣（市）衛生局所指定</w:t>
            </w:r>
            <w:r>
              <w:rPr>
                <w:rStyle w:val="Style13"/>
                <w:rFonts w:eastAsia="標楷體"/>
                <w:kern w:val="0"/>
              </w:rPr>
              <w:t>強制住院之精神醫療機構者，可自選本條免評。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2.1.4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提供強制社區治療服務，並符合精神衛生法規定</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0" w:hanging="0"/>
              <w:rPr/>
            </w:pPr>
            <w:r>
              <w:rPr>
                <w:rStyle w:val="Style13"/>
                <w:rFonts w:eastAsia="標楷體"/>
              </w:rPr>
              <w:t>非直轄市、縣（市）衛生局所指定</w:t>
            </w:r>
            <w:r>
              <w:rPr>
                <w:rStyle w:val="Style13"/>
                <w:rFonts w:eastAsia="標楷體"/>
                <w:kern w:val="0"/>
              </w:rPr>
              <w:t>強制社區治療之精神醫療機構者，可自選本條免評。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2.1.5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病人於</w:t>
            </w:r>
            <w:r>
              <w:rPr>
                <w:rStyle w:val="Style13"/>
                <w:rFonts w:eastAsia="標楷體"/>
              </w:rPr>
              <w:t>門</w:t>
            </w:r>
            <w:r>
              <w:rPr>
                <w:rStyle w:val="Style13"/>
                <w:rFonts w:eastAsia="標楷體"/>
                <w:kern w:val="0"/>
              </w:rPr>
              <w:t>診及</w:t>
            </w:r>
            <w:r>
              <w:rPr>
                <w:rStyle w:val="Style13"/>
                <w:rFonts w:eastAsia="標楷體"/>
              </w:rPr>
              <w:t>住院時</w:t>
            </w:r>
            <w:r>
              <w:rPr>
                <w:rStyle w:val="Style13"/>
                <w:rFonts w:eastAsia="標楷體"/>
                <w:kern w:val="0"/>
              </w:rPr>
              <w:t>之檢查、處置與檢體採集和運送，皆應保障其隱私及權利</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2.1.6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pPr>
            <w:r>
              <w:rPr>
                <w:rStyle w:val="Style13"/>
                <w:rFonts w:eastAsia="標楷體"/>
                <w:kern w:val="0"/>
              </w:rPr>
              <w:t>精神病人從事之勞務作業應符合治療目的，且應明確訂定精神科病人職能收益管理方針，並作適當的執行管理</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31" w:name="_Toc480548264"/>
      <w:r>
        <w:rPr/>
        <w:t>第</w:t>
      </w:r>
      <w:r>
        <w:rPr/>
        <w:t>2</w:t>
      </w:r>
      <w:r>
        <w:rPr/>
        <w:t>篇、醫療照護  第</w:t>
      </w:r>
      <w:r>
        <w:rPr/>
        <w:t>2.2</w:t>
      </w:r>
      <w:r>
        <w:rPr/>
        <w:t>章 醫療照護品質</w:t>
      </w:r>
      <w:r>
        <w:rPr>
          <w:rStyle w:val="Style13"/>
          <w:lang w:eastAsia="zh-TW"/>
        </w:rPr>
        <w:t>與安全</w:t>
      </w:r>
      <w:r>
        <w:rPr/>
        <w:t>管理</w:t>
      </w:r>
      <w:bookmarkEnd w:id="31"/>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2.2</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醫療照護品質與安全管理</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2" w:hanging="192"/>
              <w:jc w:val="both"/>
              <w:rPr>
                <w:rFonts w:eastAsia="標楷體"/>
                <w:b/>
                <w:bCs/>
                <w:kern w:val="0"/>
              </w:rPr>
            </w:pPr>
            <w:r>
              <w:rPr>
                <w:rFonts w:eastAsia="標楷體"/>
                <w:b/>
                <w:bCs/>
                <w:kern w:val="0"/>
              </w:rPr>
              <w:t>【重點說明】</w:t>
            </w:r>
          </w:p>
          <w:p>
            <w:pPr>
              <w:pStyle w:val="BodyText"/>
              <w:snapToGrid w:val="false"/>
              <w:jc w:val="both"/>
              <w:rPr/>
            </w:pPr>
            <w:r>
              <w:rPr>
                <w:rStyle w:val="Style13"/>
                <w:rFonts w:eastAsia="標楷體"/>
                <w:bCs/>
                <w:kern w:val="0"/>
              </w:rPr>
              <w:t>　  醫療照護品質及病人安全是每日常規醫療照護的根本。此信念必須深植於每位</w:t>
            </w:r>
            <w:r>
              <w:rPr>
                <w:rStyle w:val="Style13"/>
                <w:rFonts w:eastAsia="標楷體"/>
                <w:kern w:val="0"/>
              </w:rPr>
              <w:t>醫療工作人員</w:t>
            </w:r>
            <w:r>
              <w:rPr>
                <w:rStyle w:val="Style13"/>
                <w:rFonts w:eastAsia="標楷體"/>
                <w:bCs/>
                <w:kern w:val="0"/>
              </w:rPr>
              <w:t>的心中，從不間斷的醫療照護品質精進，使醫療照護效率提升，更充分利用資源並減少病人於醫療照護中所承受之風險。主管對品管及病安的重視為成功的首要條件，經由</w:t>
            </w:r>
            <w:r>
              <w:rPr>
                <w:rStyle w:val="Style13"/>
                <w:rFonts w:eastAsia="標楷體"/>
                <w:kern w:val="0"/>
              </w:rPr>
              <w:t>良好之全院</w:t>
            </w:r>
            <w:r>
              <w:rPr>
                <w:rStyle w:val="Style13"/>
                <w:rFonts w:eastAsia="標楷體"/>
                <w:bCs/>
                <w:kern w:val="0"/>
              </w:rPr>
              <w:t>醫療照護品質</w:t>
            </w:r>
            <w:r>
              <w:rPr>
                <w:rStyle w:val="Style13"/>
                <w:rFonts w:eastAsia="標楷體"/>
                <w:kern w:val="0"/>
              </w:rPr>
              <w:t>管理計畫，建立</w:t>
            </w:r>
            <w:r>
              <w:rPr>
                <w:rStyle w:val="Style13"/>
                <w:rFonts w:eastAsia="標楷體"/>
                <w:bCs/>
                <w:kern w:val="0"/>
              </w:rPr>
              <w:t>醫療組織文化中對品質及病人安全的關注，</w:t>
            </w:r>
            <w:r>
              <w:rPr>
                <w:rStyle w:val="Style13"/>
                <w:rFonts w:eastAsia="標楷體"/>
                <w:kern w:val="0"/>
              </w:rPr>
              <w:t>進而</w:t>
            </w:r>
            <w:r>
              <w:rPr>
                <w:rStyle w:val="Style13"/>
                <w:rFonts w:eastAsia="標楷體"/>
                <w:bCs/>
                <w:kern w:val="0"/>
              </w:rPr>
              <w:t>利用各種資料分析及改善計畫，達成醫療品質的持續進步。因</w:t>
            </w:r>
            <w:r>
              <w:rPr>
                <w:rStyle w:val="Style13"/>
                <w:rFonts w:eastAsia="標楷體"/>
                <w:kern w:val="0"/>
              </w:rPr>
              <w:t>此本章規範之目的有下列幾項：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管理者須規劃醫療照護品質管理計畫：增進醫療照護品質需要許多臨床科部、醫療專業及行政管理之合作，必須有良好之全院管理架構及計畫；醫院管理者應建立品質管理架構、推動品質精進計畫及監督此系統之運作以達成目標。有醫院管理者之重視及支持，才能塑造出醫院之品質及病安之文化。</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訂定適當之醫療品質控制指標以保障病人安全：醫院應利用收集之資訊，針對危急、高風險、易出錯等方面，建立適當之醫療品質控制指標，藉由指標分析，尋求優先的品質改善項目，以保障病人安全。</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建立品質及病人安全的醫療組織文化：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pPr>
              <w:pStyle w:val="BodyText"/>
              <w:tabs>
                <w:tab w:val="clear" w:pos="480"/>
              </w:tabs>
              <w:snapToGrid w:val="false"/>
              <w:ind w:left="180" w:hanging="180"/>
              <w:jc w:val="both"/>
              <w:rPr/>
            </w:pPr>
            <w:r>
              <w:rPr>
                <w:rStyle w:val="Style13"/>
                <w:rFonts w:eastAsia="標楷體"/>
                <w:kern w:val="0"/>
              </w:rPr>
              <w:t>5.</w:t>
            </w:r>
            <w:r>
              <w:rPr>
                <w:rStyle w:val="Style13"/>
                <w:rFonts w:eastAsia="標楷體"/>
                <w:kern w:val="0"/>
              </w:rPr>
              <w:t xml:space="preserve">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 </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pPr>
            <w:r>
              <w:rPr>
                <w:rStyle w:val="Style13"/>
                <w:rFonts w:eastAsia="標楷體"/>
                <w:bCs/>
                <w:kern w:val="0"/>
              </w:rPr>
              <w:t>2.2.1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醫院應訂定及推動全院品管及病人安全計畫，並定期檢討改善</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08" w:hanging="408"/>
              <w:jc w:val="both"/>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pPr>
            <w:r>
              <w:rPr>
                <w:rStyle w:val="Style13"/>
                <w:rFonts w:eastAsia="標楷體"/>
                <w:kern w:val="0"/>
              </w:rPr>
              <w:t>2.2.2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對於發生之醫療不良事件，能進行根本原因分析，訂定預防措施及改善</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192" w:hanging="192"/>
              <w:textAlignment w:val="baseline"/>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2.2.3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定期舉行照護品質相關會議，應用實證醫學佐證，檢討改善實務運作，</w:t>
            </w:r>
            <w:r>
              <w:rPr>
                <w:rStyle w:val="Style13"/>
                <w:rFonts w:eastAsia="標楷體"/>
              </w:rPr>
              <w:t>並建立機制以檢討醫療倫理與法律相關之病例與主題</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384" w:hanging="384"/>
              <w:rPr>
                <w:rFonts w:eastAsia="標楷體"/>
                <w:kern w:val="0"/>
              </w:rPr>
            </w:pPr>
            <w:r>
              <w:rPr>
                <w:rFonts w:eastAsia="標楷體"/>
                <w:kern w:val="0"/>
              </w:rPr>
            </w:r>
          </w:p>
        </w:tc>
      </w:tr>
    </w:tbl>
    <w:p>
      <w:pPr>
        <w:pStyle w:val="Heading1"/>
        <w:tabs>
          <w:tab w:val="clear" w:pos="480"/>
          <w:tab w:val="left" w:pos="0" w:leader="none"/>
        </w:tabs>
        <w:ind w:left="0" w:hanging="0"/>
        <w:rPr/>
      </w:pPr>
      <w:r>
        <w:rPr/>
      </w:r>
      <w:r>
        <w:br w:type="page"/>
      </w:r>
    </w:p>
    <w:p>
      <w:pPr>
        <w:pStyle w:val="Heading1"/>
        <w:tabs>
          <w:tab w:val="clear" w:pos="480"/>
          <w:tab w:val="left" w:pos="0" w:leader="none"/>
        </w:tabs>
        <w:ind w:left="0" w:hanging="0"/>
        <w:outlineLvl w:val="9"/>
        <w:rPr/>
      </w:pPr>
      <w:bookmarkStart w:id="32" w:name="_Toc480548265"/>
      <w:r>
        <w:rPr/>
        <w:t>第</w:t>
      </w:r>
      <w:r>
        <w:rPr/>
        <w:t>2</w:t>
      </w:r>
      <w:r>
        <w:rPr/>
        <w:t>篇、醫療照護  第</w:t>
      </w:r>
      <w:r>
        <w:rPr/>
        <w:t>2.3</w:t>
      </w:r>
      <w:r>
        <w:rPr/>
        <w:t>章 醫療照護之執行與評估</w:t>
      </w:r>
      <w:bookmarkEnd w:id="32"/>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2.3</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醫療照護之執行與評估</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textAlignment w:val="baseline"/>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精神科醫療照護團隊由醫師、護理、藥劑、社會工作、心理、職能治療、營養及相關專業人員組成。醫院對於病人所提供之醫療照護為整體醫療照護的一個環節，並於完成階段性醫療照護後，應考慮病人之病情安排持續性照護服務。如此不僅能有效使用醫療資源，並能提供病人所需照護且改善病人之健康狀態。</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4" w:hanging="194"/>
              <w:rPr/>
            </w:pPr>
            <w:r>
              <w:rPr>
                <w:rStyle w:val="Style13"/>
                <w:rFonts w:eastAsia="標楷體"/>
              </w:rPr>
              <w:t>1.</w:t>
            </w:r>
            <w:r>
              <w:rPr>
                <w:rStyle w:val="Style13"/>
                <w:rFonts w:eastAsia="標楷體"/>
              </w:rPr>
              <w:t>明</w:t>
            </w:r>
            <w:r>
              <w:rPr>
                <w:rStyle w:val="Style13"/>
                <w:rFonts w:eastAsia="標楷體"/>
                <w:bCs/>
                <w:kern w:val="0"/>
              </w:rPr>
              <w:t>定醫療照護團隊人員權責，並有良好的團隊運作以提供病人醫療照護。</w:t>
            </w:r>
          </w:p>
          <w:p>
            <w:pPr>
              <w:pStyle w:val="BodyText"/>
              <w:tabs>
                <w:tab w:val="clear" w:pos="480"/>
              </w:tabs>
              <w:snapToGrid w:val="false"/>
              <w:ind w:left="194" w:hanging="194"/>
              <w:rPr>
                <w:rFonts w:eastAsia="標楷體"/>
                <w:bCs/>
                <w:kern w:val="0"/>
              </w:rPr>
            </w:pPr>
            <w:r>
              <w:rPr>
                <w:rFonts w:eastAsia="標楷體"/>
                <w:bCs/>
                <w:kern w:val="0"/>
              </w:rPr>
              <w:t>2.</w:t>
            </w:r>
            <w:r>
              <w:rPr>
                <w:rFonts w:eastAsia="標楷體"/>
                <w:bCs/>
                <w:kern w:val="0"/>
              </w:rPr>
              <w:t>醫療照護團隊成員應將病人評估及訂定出之醫療照護計畫，詳細記載於病歷中，以使病人照護相關資訊能確實傳遞。</w:t>
            </w:r>
          </w:p>
          <w:p>
            <w:pPr>
              <w:pStyle w:val="BodyText"/>
              <w:tabs>
                <w:tab w:val="clear" w:pos="480"/>
              </w:tabs>
              <w:snapToGrid w:val="false"/>
              <w:ind w:left="194" w:hanging="194"/>
              <w:rPr>
                <w:rFonts w:eastAsia="標楷體"/>
                <w:bCs/>
                <w:kern w:val="0"/>
              </w:rPr>
            </w:pPr>
            <w:r>
              <w:rPr>
                <w:rFonts w:eastAsia="標楷體"/>
                <w:bCs/>
                <w:kern w:val="0"/>
              </w:rPr>
              <w:t>3.</w:t>
            </w:r>
            <w:r>
              <w:rPr>
                <w:rFonts w:eastAsia="標楷體"/>
                <w:bCs/>
                <w:kern w:val="0"/>
              </w:rPr>
              <w:t>應明訂作業常規以確保醫囑被安全地執行。</w:t>
            </w:r>
          </w:p>
          <w:p>
            <w:pPr>
              <w:pStyle w:val="BodyText"/>
              <w:tabs>
                <w:tab w:val="clear" w:pos="480"/>
              </w:tabs>
              <w:snapToGrid w:val="false"/>
              <w:ind w:left="194" w:hanging="194"/>
              <w:rPr>
                <w:rFonts w:eastAsia="標楷體"/>
                <w:bCs/>
                <w:kern w:val="0"/>
              </w:rPr>
            </w:pPr>
            <w:r>
              <w:rPr>
                <w:rFonts w:eastAsia="標楷體"/>
                <w:bCs/>
                <w:kern w:val="0"/>
              </w:rPr>
              <w:t>4.</w:t>
            </w:r>
            <w:r>
              <w:rPr>
                <w:rFonts w:eastAsia="標楷體"/>
                <w:bCs/>
                <w:kern w:val="0"/>
              </w:rPr>
              <w:t>依病情需要，適切照會相關之醫療照護團隊，各種領域間有良好的協調及溝通，以達合適之醫療照護。</w:t>
            </w:r>
          </w:p>
          <w:p>
            <w:pPr>
              <w:pStyle w:val="BodyText"/>
              <w:tabs>
                <w:tab w:val="clear" w:pos="480"/>
              </w:tabs>
              <w:snapToGrid w:val="false"/>
              <w:ind w:left="194" w:hanging="194"/>
              <w:rPr>
                <w:rFonts w:eastAsia="標楷體"/>
                <w:bCs/>
                <w:kern w:val="0"/>
              </w:rPr>
            </w:pPr>
            <w:r>
              <w:rPr>
                <w:rFonts w:eastAsia="標楷體"/>
                <w:bCs/>
                <w:kern w:val="0"/>
              </w:rPr>
              <w:t>5.</w:t>
            </w:r>
            <w:r>
              <w:rPr>
                <w:rFonts w:eastAsia="標楷體"/>
                <w:bCs/>
                <w:kern w:val="0"/>
              </w:rPr>
              <w:t>病人轉出至其他單位時，應提供醫療照護摘要，以達持續性照護之目的。</w:t>
            </w:r>
          </w:p>
          <w:p>
            <w:pPr>
              <w:pStyle w:val="BodyText"/>
              <w:tabs>
                <w:tab w:val="clear" w:pos="480"/>
              </w:tabs>
              <w:snapToGrid w:val="false"/>
              <w:ind w:left="194" w:hanging="194"/>
              <w:rPr>
                <w:rFonts w:eastAsia="標楷體"/>
                <w:bCs/>
                <w:kern w:val="0"/>
              </w:rPr>
            </w:pPr>
            <w:r>
              <w:rPr>
                <w:rFonts w:eastAsia="標楷體"/>
                <w:bCs/>
                <w:kern w:val="0"/>
              </w:rPr>
              <w:t>6.</w:t>
            </w:r>
            <w:r>
              <w:rPr>
                <w:rFonts w:eastAsia="標楷體"/>
                <w:bCs/>
                <w:kern w:val="0"/>
              </w:rPr>
              <w:t>應協助病人實施適切之轉診，轉診之安排應考量病人安全，留意轉診過程中必要醫療照護之安排。病人轉出或出院至其他單位時，應提供醫療照護摘要，以達持續性照護目標。</w:t>
            </w:r>
          </w:p>
          <w:p>
            <w:pPr>
              <w:pStyle w:val="BodyText"/>
              <w:tabs>
                <w:tab w:val="clear" w:pos="480"/>
              </w:tabs>
              <w:snapToGrid w:val="false"/>
              <w:ind w:left="194" w:hanging="194"/>
              <w:rPr>
                <w:rFonts w:eastAsia="標楷體"/>
                <w:bCs/>
                <w:kern w:val="0"/>
              </w:rPr>
            </w:pPr>
            <w:r>
              <w:rPr>
                <w:rFonts w:eastAsia="標楷體"/>
                <w:bCs/>
                <w:kern w:val="0"/>
              </w:rPr>
              <w:t>7.</w:t>
            </w:r>
            <w:r>
              <w:rPr>
                <w:rFonts w:eastAsia="標楷體"/>
                <w:bCs/>
                <w:kern w:val="0"/>
              </w:rPr>
              <w:t>醫療照護團隊應提供病人出院準備及後續照護復健計畫，包含提供出院病人適當之用藥指導、營養指導、生活指導、復健指導、回診預約與出院摘要等資訊，醫院亦應與後續照護服務之單位建立連繫及合作關係，確保病人獲得適切之後續照護。</w:t>
            </w:r>
          </w:p>
          <w:p>
            <w:pPr>
              <w:pStyle w:val="BodyText"/>
              <w:tabs>
                <w:tab w:val="clear" w:pos="480"/>
              </w:tabs>
              <w:snapToGrid w:val="false"/>
              <w:spacing w:lineRule="exact" w:line="320"/>
              <w:ind w:left="194" w:hanging="194"/>
              <w:textAlignment w:val="baseline"/>
              <w:rPr/>
            </w:pPr>
            <w:r>
              <w:rPr>
                <w:rStyle w:val="Style13"/>
                <w:rFonts w:eastAsia="標楷體"/>
                <w:bCs/>
                <w:kern w:val="0"/>
              </w:rPr>
              <w:t>8.</w:t>
            </w:r>
            <w:r>
              <w:rPr>
                <w:rStyle w:val="Style13"/>
                <w:rFonts w:eastAsia="標楷體"/>
                <w:bCs/>
                <w:kern w:val="0"/>
              </w:rPr>
              <w:t>醫院提供適當居家照護服務，應透過機制掌握服務執行情形，並於案例討論會評估、檢討及改善居家照護服務模式或內容。</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住院病人應由主治醫師負責照護，並讓病人知悉</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823"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病歷應詳實記載病況變化、治療方式及其治療依據說明等，以供事後檢討</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醫療照護團隊人員應了解病人問題，並讓接班人員知悉；如有轉出至其他單位及科別時，應製作照護摘要或交班紀錄，以達持續性照護</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2.3.4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pPr>
            <w:r>
              <w:rPr>
                <w:rStyle w:val="Style13"/>
                <w:rFonts w:eastAsia="標楷體"/>
                <w:bCs/>
                <w:kern w:val="0"/>
              </w:rPr>
              <w:t>護理過程完整，能因應病人狀況提供適切可行的護理照護計畫</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重</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rPr>
              <w:t>適當的護病比</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snapToGrid w:val="false"/>
              <w:rPr/>
            </w:pPr>
            <w:r>
              <w:rPr>
                <w:rStyle w:val="Style13"/>
                <w:rFonts w:eastAsia="標楷體"/>
              </w:rPr>
              <w:t xml:space="preserve"> </w:t>
            </w:r>
            <w:r>
              <w:rPr>
                <w:rStyle w:val="Style13"/>
                <w:rFonts w:eastAsia="標楷體"/>
              </w:rPr>
              <w:t>本條為重點條文。</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2.3.6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醫囑之記載與確認應有標準作業，以確保醫囑安全執行</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1012"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2.3.7</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依病情需要，提供醫療照護團隊照會轉介服務，並與院外機構建立良好轉診合作關係</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2.3.8</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依據病情評估結果，提供適切之復健治療計畫</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2.3.9</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訂有行動限制（隔離、約束）之作業常規</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2.3.10</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評估住院病人營養狀態，適切給予營養及飲食指導</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2.3.11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t>提供病人適當之衛教資料與指導</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2.3.12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明訂院內突發危急病人急救措施，且應落實執行</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2.3.13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醫療照護團隊應依病人需求，提供適切、完整的出院照護計畫與指導，</w:t>
            </w:r>
            <w:r>
              <w:rPr>
                <w:rStyle w:val="Style13"/>
                <w:rFonts w:eastAsia="標楷體"/>
              </w:rPr>
              <w:t>並有紀錄</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2.3.14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適當執行居家治療服務，並有評估、檢討，以利品質提升</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snapToGrid w:val="false"/>
              <w:rPr/>
            </w:pPr>
            <w:r>
              <w:rPr>
                <w:rStyle w:val="Style13"/>
                <w:rFonts w:eastAsia="標楷體"/>
              </w:rPr>
              <w:t>未向衛生福利部中央健康保險署申報居家</w:t>
            </w:r>
            <w:r>
              <w:rPr>
                <w:rStyle w:val="Style13"/>
                <w:rFonts w:eastAsia="標楷體"/>
                <w:kern w:val="0"/>
              </w:rPr>
              <w:t>治療</w:t>
            </w:r>
            <w:r>
              <w:rPr>
                <w:rStyle w:val="Style13"/>
                <w:rFonts w:eastAsia="標楷體"/>
              </w:rPr>
              <w:t>給付醫院可自選本條免評。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2.3.15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訂定病人非預期重病、重傷或死亡之處理流程</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33" w:name="_Toc480548266"/>
      <w:r>
        <w:rPr/>
        <w:t>第</w:t>
      </w:r>
      <w:r>
        <w:rPr/>
        <w:t>2</w:t>
      </w:r>
      <w:r>
        <w:rPr/>
        <w:t>篇、醫療照護  第</w:t>
      </w:r>
      <w:r>
        <w:rPr/>
        <w:t>2.4</w:t>
      </w:r>
      <w:r>
        <w:rPr/>
        <w:t>章 特殊照護服務</w:t>
      </w:r>
      <w:bookmarkEnd w:id="33"/>
    </w:p>
    <w:tbl>
      <w:tblPr>
        <w:tblW w:w="5000" w:type="pct"/>
        <w:jc w:val="left"/>
        <w:tblInd w:w="-5" w:type="dxa"/>
        <w:tblLayout w:type="fixed"/>
        <w:tblCellMar>
          <w:top w:w="0" w:type="dxa"/>
          <w:left w:w="108" w:type="dxa"/>
          <w:bottom w:w="0" w:type="dxa"/>
          <w:right w:w="108" w:type="dxa"/>
        </w:tblCellMar>
      </w:tblPr>
      <w:tblGrid>
        <w:gridCol w:w="874"/>
        <w:gridCol w:w="902"/>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2.4</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b/>
                <w:kern w:val="0"/>
              </w:rPr>
            </w:pPr>
            <w:r>
              <w:rPr>
                <w:rFonts w:eastAsia="標楷體"/>
                <w:b/>
                <w:kern w:val="0"/>
              </w:rPr>
              <w:t>特殊照護服務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kern w:val="0"/>
              </w:rPr>
            </w:pPr>
            <w:r>
              <w:rPr>
                <w:rFonts w:eastAsia="標楷體"/>
                <w:b/>
                <w:kern w:val="0"/>
              </w:rPr>
              <w:t>【重點說明】</w:t>
            </w:r>
          </w:p>
          <w:p>
            <w:pPr>
              <w:pStyle w:val="BodyText"/>
              <w:snapToGrid w:val="false"/>
              <w:rPr/>
            </w:pPr>
            <w:r>
              <w:rPr>
                <w:rStyle w:val="Style13"/>
                <w:rFonts w:eastAsia="標楷體"/>
                <w:bCs/>
                <w:kern w:val="0"/>
              </w:rPr>
              <w:t xml:space="preserve">    </w:t>
            </w:r>
            <w:r>
              <w:rPr>
                <w:rStyle w:val="Style13"/>
                <w:rFonts w:eastAsia="標楷體"/>
              </w:rPr>
              <w:t>在醫療中有許多特殊照護，如：家庭暴力、兒童虐待、性侵害、酒精藥物成癮等，病人之醫療照護執行與評估十分重要，因此醫院必須特別對此訂定適宜之標準流程及規定，以提供適宜的照護品質。</w:t>
            </w:r>
          </w:p>
          <w:p>
            <w:pPr>
              <w:pStyle w:val="BodyText"/>
              <w:snapToGrid w:val="false"/>
              <w:rPr>
                <w:rFonts w:eastAsia="標楷體"/>
              </w:rPr>
            </w:pPr>
            <w:r>
              <w:rPr>
                <w:rFonts w:eastAsia="標楷體"/>
              </w:rPr>
              <w:t xml:space="preserve">本章規範之目的有下列幾項： </w:t>
            </w:r>
          </w:p>
          <w:p>
            <w:pPr>
              <w:pStyle w:val="BodyText"/>
              <w:tabs>
                <w:tab w:val="clear" w:pos="480"/>
              </w:tabs>
              <w:snapToGrid w:val="false"/>
              <w:ind w:left="192" w:hanging="192"/>
              <w:rPr>
                <w:rFonts w:eastAsia="標楷體"/>
                <w:bCs/>
                <w:kern w:val="0"/>
              </w:rPr>
            </w:pPr>
            <w:r>
              <w:rPr>
                <w:rFonts w:eastAsia="標楷體"/>
                <w:bCs/>
                <w:kern w:val="0"/>
              </w:rPr>
              <w:t>1.</w:t>
            </w:r>
            <w:r>
              <w:rPr>
                <w:rFonts w:eastAsia="標楷體"/>
                <w:bCs/>
                <w:kern w:val="0"/>
              </w:rPr>
              <w:t>照護精神科病人應提供適宜的精神照護內容，並配合執行家庭暴力、兒童虐待、性侵害、酒藥癮治療及自殺防治等政府政策。</w:t>
            </w:r>
          </w:p>
          <w:p>
            <w:pPr>
              <w:pStyle w:val="BodyText"/>
              <w:tabs>
                <w:tab w:val="clear" w:pos="480"/>
              </w:tabs>
              <w:snapToGrid w:val="false"/>
              <w:ind w:left="192" w:hanging="192"/>
              <w:rPr>
                <w:rFonts w:eastAsia="標楷體"/>
                <w:bCs/>
                <w:kern w:val="0"/>
              </w:rPr>
            </w:pPr>
            <w:r>
              <w:rPr>
                <w:rFonts w:eastAsia="標楷體"/>
                <w:bCs/>
                <w:kern w:val="0"/>
              </w:rPr>
              <w:t>2.</w:t>
            </w:r>
            <w:r>
              <w:rPr>
                <w:rFonts w:eastAsia="標楷體"/>
                <w:bCs/>
                <w:kern w:val="0"/>
              </w:rPr>
              <w:t>提供符合醫院角色功能的精神科職能治療、社會工作、和臨床心理服務，並有合宜的品質管理。</w:t>
            </w:r>
          </w:p>
          <w:p>
            <w:pPr>
              <w:pStyle w:val="BodyText"/>
              <w:tabs>
                <w:tab w:val="clear" w:pos="480"/>
              </w:tabs>
              <w:snapToGrid w:val="false"/>
              <w:ind w:left="192" w:hanging="192"/>
              <w:rPr>
                <w:rFonts w:eastAsia="標楷體"/>
                <w:bCs/>
                <w:kern w:val="0"/>
              </w:rPr>
            </w:pPr>
            <w:r>
              <w:rPr>
                <w:rFonts w:eastAsia="標楷體"/>
                <w:bCs/>
                <w:kern w:val="0"/>
              </w:rPr>
              <w:t>3.</w:t>
            </w:r>
            <w:r>
              <w:rPr>
                <w:rFonts w:eastAsia="標楷體"/>
                <w:bCs/>
                <w:kern w:val="0"/>
              </w:rPr>
              <w:t>若有透析照護、呼吸照護、牙醫、中醫等應由合格醫療照護團隊提供，應有合格設施設備，建立維護管理機制並確實執行，以建置安全的照護環境。</w:t>
            </w:r>
          </w:p>
          <w:p>
            <w:pPr>
              <w:pStyle w:val="BodyText"/>
              <w:tabs>
                <w:tab w:val="clear" w:pos="480"/>
              </w:tabs>
              <w:snapToGrid w:val="false"/>
              <w:ind w:left="192" w:hanging="192"/>
              <w:rPr/>
            </w:pPr>
            <w:r>
              <w:rPr>
                <w:rStyle w:val="Style13"/>
                <w:rFonts w:eastAsia="標楷體"/>
                <w:bCs/>
                <w:kern w:val="0"/>
              </w:rPr>
              <w:t>4.</w:t>
            </w:r>
            <w:r>
              <w:rPr>
                <w:rStyle w:val="Style13"/>
                <w:rFonts w:eastAsia="標楷體"/>
                <w:bCs/>
                <w:kern w:val="0"/>
              </w:rPr>
              <w:t>特殊病人照護應有合宜的醫療品質管理，除建立及確實執行感染管制作業外，亦應設定醫</w:t>
            </w:r>
            <w:r>
              <w:rPr>
                <w:rStyle w:val="Style13"/>
                <w:rFonts w:eastAsia="標楷體"/>
              </w:rPr>
              <w:t xml:space="preserve">療及病人照護品質指標或目標，確保病人權益。 </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2.4.1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依醫院的角色任務，提供急診病人處置能力</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jc w:val="both"/>
              <w:rPr/>
            </w:pPr>
            <w:r>
              <w:rPr>
                <w:rStyle w:val="Style13"/>
                <w:rFonts w:eastAsia="標楷體"/>
              </w:rPr>
              <w:t>未設有急診室者，或經中央主管機關同意不設急診室者，可自選本條免評。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2.4.2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良好的加護病房管理、收案評估、診療品質與紀錄</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未設有加護病房者，可自選本條免評。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精神科慢性病房照護業務應提供以病人為中心之治療模式</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tabs>
                <w:tab w:val="clear" w:pos="480"/>
              </w:tabs>
              <w:snapToGrid w:val="false"/>
              <w:ind w:left="372" w:hanging="0"/>
              <w:rPr/>
            </w:pPr>
            <w:r>
              <w:rPr>
                <w:rStyle w:val="Style13"/>
                <w:rFonts w:eastAsia="標楷體"/>
                <w:kern w:val="0"/>
              </w:rPr>
              <w:t>未設有精神科慢性一般病房者，可自選本條免評。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精神科日間照護業務應提供以病人為中心之治療模式</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未設有精神科日間照護單位者，可自選本條免評。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2.4.5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rPr>
                <w:rFonts w:eastAsia="標楷體"/>
                <w:kern w:val="0"/>
              </w:rPr>
            </w:pPr>
            <w:r>
              <w:rPr>
                <w:rFonts w:eastAsia="標楷體"/>
                <w:kern w:val="0"/>
              </w:rPr>
              <w:t>提供兒童及少年保護、家庭暴力防治相關處遇業務</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2"/>
              <w:rPr>
                <w:rFonts w:eastAsia="標楷體"/>
              </w:rPr>
            </w:pPr>
            <w:r>
              <w:rPr>
                <w:rFonts w:eastAsia="標楷體"/>
              </w:rPr>
              <w:t>總病床</w:t>
            </w:r>
            <w:r>
              <w:rPr>
                <w:rFonts w:eastAsia="標楷體"/>
              </w:rPr>
              <w:t>99</w:t>
            </w:r>
            <w:r>
              <w:rPr>
                <w:rFonts w:eastAsia="標楷體"/>
              </w:rPr>
              <w:t>床（含）以下者，可自選本條免評。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2.4.6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rPr>
                <w:rFonts w:eastAsia="標楷體"/>
                <w:kern w:val="0"/>
              </w:rPr>
            </w:pPr>
            <w:r>
              <w:rPr>
                <w:rFonts w:eastAsia="標楷體"/>
                <w:kern w:val="0"/>
              </w:rPr>
              <w:t>提供性侵害防治相關處遇業務</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0"/>
              <w:rPr/>
            </w:pPr>
            <w:r>
              <w:rPr>
                <w:rStyle w:val="Style13"/>
                <w:rFonts w:eastAsia="標楷體"/>
              </w:rPr>
              <w:t>總病床</w:t>
            </w:r>
            <w:r>
              <w:rPr>
                <w:rStyle w:val="Style13"/>
                <w:rFonts w:eastAsia="標楷體"/>
              </w:rPr>
              <w:t>99</w:t>
            </w:r>
            <w:r>
              <w:rPr>
                <w:rStyle w:val="Style13"/>
                <w:rFonts w:eastAsia="標楷體"/>
              </w:rPr>
              <w:t>床（含）以下者，可自選本條免評。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2.4.7</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設有成癮治療專業人力提供酒精、藥物成癮者治療服務並掌握執行情形、品質檢討及改善分析</w:t>
            </w:r>
          </w:p>
        </w:tc>
        <w:tc>
          <w:tcPr>
            <w:tcW w:w="41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tabs>
                <w:tab w:val="clear" w:pos="480"/>
              </w:tabs>
              <w:snapToGrid w:val="false"/>
              <w:ind w:left="240" w:hanging="0"/>
              <w:jc w:val="both"/>
              <w:rPr/>
            </w:pPr>
            <w:r>
              <w:rPr>
                <w:rStyle w:val="Style13"/>
                <w:rFonts w:eastAsia="標楷體"/>
              </w:rPr>
              <w:t>非衛生福利部指定</w:t>
            </w:r>
            <w:r>
              <w:rPr>
                <w:rStyle w:val="Style13"/>
                <w:rFonts w:eastAsia="標楷體"/>
                <w:kern w:val="0"/>
              </w:rPr>
              <w:t>藥癮戒治</w:t>
            </w:r>
            <w:r>
              <w:rPr>
                <w:rStyle w:val="Style13"/>
                <w:rFonts w:eastAsia="標楷體"/>
              </w:rPr>
              <w:t>機構</w:t>
            </w:r>
            <w:r>
              <w:rPr>
                <w:rStyle w:val="Style13"/>
                <w:rFonts w:eastAsia="標楷體"/>
                <w:kern w:val="0"/>
              </w:rPr>
              <w:t>者，可自選本條免評。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2.4.8</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落實自殺防治工作</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t>2.4.9</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t>明確訂定職能治療的方針、任務、功能</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3"/>
                <w:rFonts w:eastAsia="標楷體"/>
                <w:kern w:val="0"/>
              </w:rPr>
              <w:t>2.4.10</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t>依病人需要提供合宜職能治療評估、計畫與多元服務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t>2.4.11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t>掌握復健資訊，並檢討分析職能治療部門之運作情形</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2.4.12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rPr>
              <w:t>明確訂定精神醫療社會工作的方針、任務、功能，並積極提升服務品質</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2.4.13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評估病人社會心理需求，據以制訂精神醫療社會工作計畫，並提供多元服務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2.4.14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評估病人之家庭功能，並據以提供適當的家族治療或家庭支持服務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2.4.15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依病人需求提供適宜的臨床心理服務</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2.4.16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依病人需求提供適宜的臨床心理衡鑑與品質</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2.4.17</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依病人需求提供適宜的臨床心理治療與品質</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2.4.18</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依據病人需求積極開發及連結相關社會資源，協助病人社區安置</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2.4.19</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建立透析照護服務設施、設備、儀器管理機制，確實執行</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kern w:val="0"/>
              </w:rPr>
            </w:pPr>
            <w:r>
              <w:rPr>
                <w:rFonts w:eastAsia="標楷體"/>
                <w:kern w:val="0"/>
              </w:rPr>
              <w:t>符合下列全部條件者，可自選本條免評：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）未登記設有血液透析床及腹膜透析床。</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）未提供透析照護服務（腹膜透析或血液透析）。</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2.4.20</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透析照護服務之醫療照護品質適當</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kern w:val="0"/>
              </w:rPr>
            </w:pPr>
            <w:r>
              <w:rPr>
                <w:rFonts w:eastAsia="標楷體"/>
                <w:kern w:val="0"/>
              </w:rPr>
              <w:t>符合下列全部條件者，可自選本條免評：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）未登記設有血液透析床及腹膜透析床。</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）未提供透析照護服務（腹膜透析或血液透析）。</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2.4.21</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慢性呼吸照護病房</w:t>
            </w:r>
            <w:r>
              <w:rPr>
                <w:rStyle w:val="Style13"/>
                <w:rFonts w:eastAsia="標楷體"/>
              </w:rPr>
              <w:t>(RCW)</w:t>
            </w:r>
            <w:r>
              <w:rPr>
                <w:rStyle w:val="Style13"/>
                <w:rFonts w:eastAsia="標楷體"/>
              </w:rPr>
              <w:t>之醫療照護品質適當</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kern w:val="0"/>
              </w:rPr>
            </w:pPr>
            <w:r>
              <w:rPr>
                <w:rFonts w:eastAsia="標楷體"/>
                <w:kern w:val="0"/>
              </w:rPr>
              <w:t>符合以下全部條件者，可自選本條免評：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）未登記設有慢性呼吸照護病房</w:t>
            </w:r>
            <w:r>
              <w:rPr>
                <w:rFonts w:eastAsia="標楷體"/>
                <w:kern w:val="0"/>
              </w:rPr>
              <w:t>(RCW)</w:t>
            </w:r>
            <w:r>
              <w:rPr>
                <w:rFonts w:eastAsia="標楷體"/>
                <w:kern w:val="0"/>
              </w:rPr>
              <w:t>。</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）於急性病房未收治使用呼吸器超過</w:t>
            </w:r>
            <w:r>
              <w:rPr>
                <w:rStyle w:val="Style13"/>
                <w:rFonts w:eastAsia="標楷體"/>
                <w:kern w:val="0"/>
              </w:rPr>
              <w:t>63</w:t>
            </w:r>
            <w:r>
              <w:rPr>
                <w:rStyle w:val="Style13"/>
                <w:rFonts w:eastAsia="標楷體"/>
                <w:kern w:val="0"/>
              </w:rPr>
              <w:t>天之病人；或於急性病房有收治使用呼吸器超過</w:t>
            </w:r>
            <w:r>
              <w:rPr>
                <w:rStyle w:val="Style13"/>
                <w:rFonts w:eastAsia="標楷體"/>
                <w:kern w:val="0"/>
              </w:rPr>
              <w:t>21</w:t>
            </w:r>
            <w:r>
              <w:rPr>
                <w:rStyle w:val="Style13"/>
                <w:rFonts w:eastAsia="標楷體"/>
                <w:kern w:val="0"/>
              </w:rPr>
              <w:t>天（</w:t>
            </w:r>
            <w:r>
              <w:rPr>
                <w:rStyle w:val="Style13"/>
                <w:rFonts w:eastAsia="標楷體"/>
                <w:kern w:val="0"/>
              </w:rPr>
              <w:t>63</w:t>
            </w:r>
            <w:r>
              <w:rPr>
                <w:rStyle w:val="Style13"/>
                <w:rFonts w:eastAsia="標楷體"/>
                <w:kern w:val="0"/>
              </w:rPr>
              <w:t>天以下）之病人。</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2.4.22</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牙醫部門應有完備之設施、設備、儀器，並確實執行保養管理及清潔管理</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rPr>
            </w:pPr>
            <w:r>
              <w:rPr>
                <w:rFonts w:eastAsia="標楷體"/>
              </w:rPr>
              <w:t>符合下列全部條件者，可自選本條免評：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）未設置牙科、口腔顎面外科、口腔病理科、齒顎矯正科。</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）未提供牙科相關服務。</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2.4.23</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具備符合標準之牙科照護作業程序，並確實執行</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rPr>
              <w:t>符合下列全部條件者，可自選本條免評：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）未設置牙科、口腔顎面外科、口腔病理科、齒顎矯正科。</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）未提供牙科相關服務。</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2.4.24</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牙醫部門具有完備之品質管理政策及病人安全措施</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bCs/>
              </w:rPr>
              <w:t>符合下列全部條件者</w:t>
            </w:r>
            <w:r>
              <w:rPr>
                <w:rStyle w:val="Style13"/>
                <w:rFonts w:eastAsia="標楷體"/>
              </w:rPr>
              <w:t>，可自選本條免評：</w:t>
            </w:r>
          </w:p>
          <w:p>
            <w:pPr>
              <w:pStyle w:val="BodyText"/>
              <w:tabs>
                <w:tab w:val="clear" w:pos="480"/>
              </w:tabs>
              <w:snapToGrid w:val="false"/>
              <w:ind w:left="888" w:hanging="614"/>
              <w:rPr>
                <w:rFonts w:eastAsia="標楷體"/>
                <w:kern w:val="0"/>
              </w:rPr>
            </w:pPr>
            <w:r>
              <w:rPr>
                <w:rFonts w:eastAsia="標楷體"/>
                <w:kern w:val="0"/>
              </w:rPr>
              <w:t>（</w:t>
            </w:r>
            <w:r>
              <w:rPr>
                <w:rFonts w:eastAsia="標楷體"/>
                <w:kern w:val="0"/>
              </w:rPr>
              <w:t>1</w:t>
            </w:r>
            <w:r>
              <w:rPr>
                <w:rFonts w:eastAsia="標楷體"/>
                <w:kern w:val="0"/>
              </w:rPr>
              <w:t>）未設置牙科、口腔顎面外科、口腔病理科、齒顎矯正科。</w:t>
            </w:r>
          </w:p>
          <w:p>
            <w:pPr>
              <w:pStyle w:val="BodyText"/>
              <w:tabs>
                <w:tab w:val="clear" w:pos="480"/>
              </w:tabs>
              <w:snapToGrid w:val="false"/>
              <w:ind w:left="888" w:hanging="614"/>
              <w:rPr/>
            </w:pPr>
            <w:r>
              <w:rPr>
                <w:rStyle w:val="Style13"/>
                <w:rFonts w:eastAsia="標楷體"/>
                <w:kern w:val="0"/>
              </w:rPr>
              <w:t>（</w:t>
            </w:r>
            <w:r>
              <w:rPr>
                <w:rStyle w:val="Style13"/>
                <w:rFonts w:eastAsia="標楷體"/>
                <w:kern w:val="0"/>
              </w:rPr>
              <w:t>2</w:t>
            </w:r>
            <w:r>
              <w:rPr>
                <w:rStyle w:val="Style13"/>
                <w:rFonts w:eastAsia="標楷體"/>
                <w:kern w:val="0"/>
              </w:rPr>
              <w:t>）未提供牙科相關服務。</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2.4.25</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應由適當中醫醫療團隊提供中醫及跨團隊醫療照護</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rPr>
            </w:pPr>
            <w:r>
              <w:rPr>
                <w:rFonts w:eastAsia="標楷體"/>
              </w:rPr>
              <w:t>中醫部門未達</w:t>
            </w:r>
            <w:r>
              <w:rPr>
                <w:rFonts w:eastAsia="標楷體"/>
              </w:rPr>
              <w:t>4</w:t>
            </w:r>
            <w:r>
              <w:rPr>
                <w:rFonts w:eastAsia="標楷體"/>
              </w:rPr>
              <w:t>名中醫師者，本條免評。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2.4.26</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中醫部門應有完備之設施、設備、儀器，並確實執行保養管理及清潔管理</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r>
        <w:trPr>
          <w:trHeight w:val="20" w:hRule="atLeast"/>
        </w:trPr>
        <w:tc>
          <w:tcPr>
            <w:tcW w:w="8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p>
            <w:pPr>
              <w:pStyle w:val="BodyText"/>
              <w:snapToGrid w:val="false"/>
              <w:jc w:val="both"/>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2.4.27</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中醫部門具有完備的病人安全措施</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34" w:name="_Toc480548267"/>
      <w:r>
        <w:rPr/>
        <w:t>第</w:t>
      </w:r>
      <w:r>
        <w:rPr/>
        <w:t>2</w:t>
      </w:r>
      <w:r>
        <w:rPr/>
        <w:t>篇、醫療照護  第</w:t>
      </w:r>
      <w:r>
        <w:rPr/>
        <w:t>2.5</w:t>
      </w:r>
      <w:r>
        <w:rPr/>
        <w:t>章 用藥安全</w:t>
      </w:r>
      <w:bookmarkEnd w:id="34"/>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用藥安全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藥品對疾病之預防、治療及症狀緩解均占有十分重要的角色。藥品管理是醫院對藥品使用過程中整體流程之監測，需要醫療機構內各種領域的員工的協調配合。醫院對藥品選擇、採購、儲存、處方、調劑、配送、給藥、記錄及追蹤效用等，均應訂定標準流程並持續品質監測改善，以提升用藥安全。本章規範之目的有下列幾項：</w:t>
            </w:r>
          </w:p>
          <w:p>
            <w:pPr>
              <w:pStyle w:val="BodyText"/>
              <w:tabs>
                <w:tab w:val="clear" w:pos="480"/>
                <w:tab w:val="left" w:pos="11199" w:leader="none"/>
              </w:tabs>
              <w:snapToGrid w:val="false"/>
              <w:ind w:left="168" w:hanging="168"/>
              <w:rPr>
                <w:rFonts w:eastAsia="標楷體"/>
              </w:rPr>
            </w:pPr>
            <w:r>
              <w:rPr>
                <w:rFonts w:eastAsia="標楷體"/>
              </w:rPr>
              <w:t>1.</w:t>
            </w:r>
            <w:r>
              <w:rPr>
                <w:rFonts w:eastAsia="標楷體"/>
              </w:rPr>
              <w:t>醫院應確保合法、適當的藥事人員人力；為確保藥品品質，藥品必須有良好保存管理，藥品存放之必要的硬體設備及設施，必須維持正常狀況。</w:t>
            </w:r>
          </w:p>
          <w:p>
            <w:pPr>
              <w:pStyle w:val="BodyText"/>
              <w:tabs>
                <w:tab w:val="clear" w:pos="480"/>
                <w:tab w:val="left" w:pos="11199" w:leader="none"/>
              </w:tabs>
              <w:snapToGrid w:val="false"/>
              <w:ind w:left="168" w:hanging="168"/>
              <w:rPr>
                <w:rFonts w:eastAsia="標楷體"/>
              </w:rPr>
            </w:pPr>
            <w:r>
              <w:rPr>
                <w:rFonts w:eastAsia="標楷體"/>
              </w:rPr>
              <w:t>2.</w:t>
            </w:r>
            <w:r>
              <w:rPr>
                <w:rFonts w:eastAsia="標楷體"/>
              </w:rPr>
              <w:t>在藥品的庫存管理上，應依據醫療的需要採用合適藥品。醫院應訂有藥品採用原則之標準化作業程序，以實際需要及病人用藥安全管理為考量決定採購藥品類別及掌握適當的庫存量，並確保使用之藥品均於有效期限中。</w:t>
            </w:r>
          </w:p>
          <w:p>
            <w:pPr>
              <w:pStyle w:val="BodyText"/>
              <w:tabs>
                <w:tab w:val="clear" w:pos="480"/>
                <w:tab w:val="left" w:pos="11199" w:leader="none"/>
              </w:tabs>
              <w:snapToGrid w:val="false"/>
              <w:ind w:left="168" w:hanging="168"/>
              <w:rPr>
                <w:rFonts w:eastAsia="標楷體"/>
              </w:rPr>
            </w:pPr>
            <w:r>
              <w:rPr>
                <w:rFonts w:eastAsia="標楷體"/>
              </w:rPr>
              <w:t>3.</w:t>
            </w:r>
            <w:r>
              <w:rPr>
                <w:rFonts w:eastAsia="標楷體"/>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pPr>
              <w:pStyle w:val="BodyText"/>
              <w:tabs>
                <w:tab w:val="clear" w:pos="480"/>
                <w:tab w:val="left" w:pos="11199" w:leader="none"/>
              </w:tabs>
              <w:snapToGrid w:val="false"/>
              <w:ind w:left="168" w:hanging="168"/>
              <w:rPr>
                <w:rFonts w:eastAsia="標楷體"/>
              </w:rPr>
            </w:pPr>
            <w:r>
              <w:rPr>
                <w:rFonts w:eastAsia="標楷體"/>
              </w:rPr>
              <w:t>4.</w:t>
            </w:r>
            <w:r>
              <w:rPr>
                <w:rFonts w:eastAsia="標楷體"/>
              </w:rPr>
              <w:t>在藥品調劑上，建議可參考「藥品優良調劑作業準則」</w:t>
            </w:r>
            <w:r>
              <w:rPr>
                <w:rFonts w:eastAsia="標楷體"/>
              </w:rPr>
              <w:t>(GDP)</w:t>
            </w:r>
            <w:r>
              <w:rPr>
                <w:rFonts w:eastAsia="標楷體"/>
              </w:rPr>
              <w:t>訂有明確的門診及住院調劑作業程序。對於高警訊藥品、特殊混合注射藥品應有特殊的保存、調劑流程以保障用藥安全。</w:t>
            </w:r>
          </w:p>
          <w:p>
            <w:pPr>
              <w:pStyle w:val="BodyText"/>
              <w:tabs>
                <w:tab w:val="clear" w:pos="480"/>
                <w:tab w:val="left" w:pos="11199" w:leader="none"/>
              </w:tabs>
              <w:snapToGrid w:val="false"/>
              <w:ind w:left="168" w:hanging="168"/>
              <w:rPr>
                <w:rFonts w:eastAsia="標楷體"/>
              </w:rPr>
            </w:pPr>
            <w:r>
              <w:rPr>
                <w:rFonts w:eastAsia="標楷體"/>
              </w:rPr>
              <w:t>5.</w:t>
            </w:r>
            <w:r>
              <w:rPr>
                <w:rFonts w:eastAsia="標楷體"/>
              </w:rPr>
              <w:t>為達正確的給藥，應確實執行標準作業程序，且給藥前應瞭解藥效、副作用、使用量及病人是否有藥品過敏等情形。於給藥中、給藥後應注意病人反應，如有需要須正確且迅速處理。</w:t>
            </w:r>
          </w:p>
          <w:p>
            <w:pPr>
              <w:pStyle w:val="BodyText"/>
              <w:tabs>
                <w:tab w:val="clear" w:pos="480"/>
                <w:tab w:val="left" w:pos="11199" w:leader="none"/>
              </w:tabs>
              <w:snapToGrid w:val="false"/>
              <w:ind w:left="168" w:hanging="168"/>
              <w:rPr>
                <w:rFonts w:eastAsia="標楷體"/>
              </w:rPr>
            </w:pPr>
            <w:r>
              <w:rPr>
                <w:rFonts w:eastAsia="標楷體"/>
              </w:rPr>
              <w:t>6.</w:t>
            </w:r>
            <w:r>
              <w:rPr>
                <w:rFonts w:eastAsia="標楷體"/>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pPr>
              <w:pStyle w:val="BodyText"/>
              <w:tabs>
                <w:tab w:val="clear" w:pos="480"/>
              </w:tabs>
              <w:snapToGrid w:val="false"/>
              <w:spacing w:lineRule="exact" w:line="320"/>
              <w:ind w:left="250" w:hanging="250"/>
              <w:rPr/>
            </w:pPr>
            <w:r>
              <w:rPr>
                <w:rStyle w:val="Style13"/>
                <w:rFonts w:eastAsia="標楷體"/>
              </w:rPr>
              <w:t>7.</w:t>
            </w:r>
            <w:r>
              <w:rPr>
                <w:rStyle w:val="Style13"/>
                <w:rFonts w:eastAsia="標楷體"/>
              </w:rPr>
              <w:t xml:space="preserve">醫療照護團隊應提供病人用藥指導，並對民眾提供各項藥品相關資料。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2.5.1</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t>藥劑部門之設備及設施應符合業務所需，並妥善保養及維護</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2.5.2</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應有藥品識別或類似機制，防止用藥錯誤及不適當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2.5.3</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訂定正確用藥標準作業程序</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2.5.4</w:t>
            </w:r>
            <w:r>
              <w:rPr>
                <w:rStyle w:val="Style13"/>
                <w:rFonts w:eastAsia="標楷體"/>
              </w:rPr>
              <w:tab/>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提供適當之藥品資訊及臨床藥學服務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2.5.5</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t>藥品供應有緊急用藥之因應措施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2.5.6</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both"/>
              <w:rPr>
                <w:rFonts w:eastAsia="標楷體"/>
                <w:kern w:val="0"/>
              </w:rPr>
            </w:pPr>
            <w:r>
              <w:rPr>
                <w:rFonts w:eastAsia="標楷體"/>
                <w:kern w:val="0"/>
              </w:rPr>
              <w:t>提供病人用藥教育</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rPr>
            </w:pPr>
            <w:r>
              <w:rPr>
                <w:rFonts w:eastAsia="標楷體"/>
              </w:rPr>
              <w:t>2.5.7</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t>病人對藥品使用的反應及病情變化，醫療人員應正確且迅速處理</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bl>
    <w:p>
      <w:pPr>
        <w:pStyle w:val="Heading1"/>
        <w:tabs>
          <w:tab w:val="clear" w:pos="480"/>
          <w:tab w:val="left" w:pos="0" w:leader="none"/>
        </w:tabs>
        <w:ind w:left="0" w:hanging="0"/>
        <w:rPr/>
      </w:pPr>
      <w:r>
        <w:rPr/>
      </w:r>
      <w:r>
        <w:br w:type="page"/>
      </w:r>
    </w:p>
    <w:p>
      <w:pPr>
        <w:pStyle w:val="Heading1"/>
        <w:tabs>
          <w:tab w:val="clear" w:pos="480"/>
          <w:tab w:val="left" w:pos="0" w:leader="none"/>
        </w:tabs>
        <w:ind w:left="0" w:hanging="0"/>
        <w:outlineLvl w:val="9"/>
        <w:rPr/>
      </w:pPr>
      <w:bookmarkStart w:id="35" w:name="_Toc480548268"/>
      <w:r>
        <w:rPr/>
        <w:t>第</w:t>
      </w:r>
      <w:r>
        <w:rPr/>
        <w:t>2</w:t>
      </w:r>
      <w:r>
        <w:rPr/>
        <w:t>篇、醫療照護  第</w:t>
      </w:r>
      <w:r>
        <w:rPr/>
        <w:t>2.6</w:t>
      </w:r>
      <w:r>
        <w:rPr/>
        <w:t>章 感染管制</w:t>
      </w:r>
      <w:bookmarkEnd w:id="35"/>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感染管制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20"/>
              <w:ind w:left="360" w:hanging="360"/>
              <w:jc w:val="both"/>
              <w:rPr>
                <w:rFonts w:eastAsia="標楷體"/>
                <w:b/>
              </w:rPr>
            </w:pPr>
            <w:r>
              <w:rPr>
                <w:rFonts w:eastAsia="標楷體"/>
                <w:b/>
              </w:rPr>
              <w:t>【重點說明】</w:t>
            </w:r>
          </w:p>
          <w:p>
            <w:pPr>
              <w:pStyle w:val="BodyText"/>
              <w:snapToGrid w:val="false"/>
              <w:rPr/>
            </w:pPr>
            <w:r>
              <w:rPr>
                <w:rStyle w:val="Style13"/>
                <w:rFonts w:eastAsia="標楷體"/>
                <w:kern w:val="0"/>
              </w:rPr>
              <w:t xml:space="preserve">    </w:t>
            </w:r>
            <w:r>
              <w:rPr>
                <w:rStyle w:val="Style13"/>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85" w:hanging="185"/>
              <w:jc w:val="both"/>
              <w:rPr/>
            </w:pPr>
            <w:r>
              <w:rPr>
                <w:rStyle w:val="Style13"/>
                <w:rFonts w:eastAsia="標楷體"/>
              </w:rPr>
              <w:t>1.</w:t>
            </w:r>
            <w:r>
              <w:rPr>
                <w:rStyle w:val="Style13"/>
                <w:rFonts w:eastAsia="標楷體"/>
              </w:rPr>
              <w:t>醫院應</w:t>
            </w:r>
            <w:r>
              <w:rPr>
                <w:rStyle w:val="Style13"/>
                <w:rFonts w:eastAsia="標楷體"/>
                <w:kern w:val="0"/>
              </w:rPr>
              <w:t>設立感染管制相關單位，且確實執行各項業務以達感染管制目的。並有計畫且持續進行感染管制監測及改善方案。</w:t>
            </w:r>
          </w:p>
          <w:p>
            <w:pPr>
              <w:pStyle w:val="BodyText"/>
              <w:tabs>
                <w:tab w:val="clear" w:pos="480"/>
              </w:tabs>
              <w:snapToGrid w:val="false"/>
              <w:ind w:left="185" w:hanging="185"/>
              <w:jc w:val="both"/>
              <w:rPr>
                <w:rFonts w:eastAsia="標楷體"/>
                <w:kern w:val="0"/>
              </w:rPr>
            </w:pPr>
            <w:r>
              <w:rPr>
                <w:rFonts w:eastAsia="標楷體"/>
                <w:kern w:val="0"/>
              </w:rPr>
              <w:t>2.</w:t>
            </w:r>
            <w:r>
              <w:rPr>
                <w:rFonts w:eastAsia="標楷體"/>
                <w:kern w:val="0"/>
              </w:rPr>
              <w:t>應對各種預期可能發生之感染事件有應變計畫，訂有感染管制手冊以提供醫院內各部門執行感染管制之根據。加強員工的感染管制教育，使所有工作人員知悉感染管制對策方法及步驟。</w:t>
            </w:r>
          </w:p>
          <w:p>
            <w:pPr>
              <w:pStyle w:val="BodyText"/>
              <w:tabs>
                <w:tab w:val="clear" w:pos="480"/>
              </w:tabs>
              <w:snapToGrid w:val="false"/>
              <w:ind w:left="185" w:hanging="185"/>
              <w:jc w:val="both"/>
              <w:rPr>
                <w:rFonts w:eastAsia="標楷體"/>
                <w:kern w:val="0"/>
              </w:rPr>
            </w:pPr>
            <w:r>
              <w:rPr>
                <w:rFonts w:eastAsia="標楷體"/>
                <w:kern w:val="0"/>
              </w:rPr>
              <w:t>3.</w:t>
            </w:r>
            <w:r>
              <w:rPr>
                <w:rFonts w:eastAsia="標楷體"/>
                <w:kern w:val="0"/>
              </w:rPr>
              <w:t>適當且足夠的防護設備及洗手設備。</w:t>
            </w:r>
          </w:p>
          <w:p>
            <w:pPr>
              <w:pStyle w:val="BodyText"/>
              <w:tabs>
                <w:tab w:val="clear" w:pos="480"/>
              </w:tabs>
              <w:snapToGrid w:val="false"/>
              <w:ind w:left="185" w:hanging="185"/>
              <w:jc w:val="both"/>
              <w:rPr>
                <w:rFonts w:eastAsia="標楷體"/>
                <w:kern w:val="0"/>
              </w:rPr>
            </w:pPr>
            <w:r>
              <w:rPr>
                <w:rFonts w:eastAsia="標楷體"/>
                <w:kern w:val="0"/>
              </w:rPr>
              <w:t>4.</w:t>
            </w:r>
            <w:r>
              <w:rPr>
                <w:rFonts w:eastAsia="標楷體"/>
                <w:kern w:val="0"/>
              </w:rPr>
              <w:t>訂有員工保護措施，並落實執行。</w:t>
            </w:r>
          </w:p>
          <w:p>
            <w:pPr>
              <w:pStyle w:val="BodyText"/>
              <w:tabs>
                <w:tab w:val="clear" w:pos="480"/>
              </w:tabs>
              <w:snapToGrid w:val="false"/>
              <w:ind w:left="185" w:hanging="185"/>
              <w:jc w:val="both"/>
              <w:rPr>
                <w:rFonts w:eastAsia="標楷體"/>
                <w:kern w:val="0"/>
              </w:rPr>
            </w:pPr>
            <w:r>
              <w:rPr>
                <w:rFonts w:eastAsia="標楷體"/>
                <w:kern w:val="0"/>
              </w:rPr>
              <w:t>5.</w:t>
            </w:r>
            <w:r>
              <w:rPr>
                <w:rFonts w:eastAsia="標楷體"/>
                <w:kern w:val="0"/>
              </w:rPr>
              <w:t>隨時能掌握醫院醫療照護相關感染的最新狀況，採取具體且適當的感染管制措施。</w:t>
            </w:r>
          </w:p>
          <w:p>
            <w:pPr>
              <w:pStyle w:val="BodyText"/>
              <w:tabs>
                <w:tab w:val="clear" w:pos="480"/>
              </w:tabs>
              <w:snapToGrid w:val="false"/>
              <w:ind w:left="185" w:hanging="185"/>
              <w:jc w:val="both"/>
              <w:rPr>
                <w:rFonts w:eastAsia="標楷體"/>
                <w:kern w:val="0"/>
              </w:rPr>
            </w:pPr>
            <w:r>
              <w:rPr>
                <w:rFonts w:eastAsia="標楷體"/>
                <w:kern w:val="0"/>
              </w:rPr>
              <w:t>6.</w:t>
            </w:r>
            <w:r>
              <w:rPr>
                <w:rFonts w:eastAsia="標楷體"/>
                <w:kern w:val="0"/>
              </w:rPr>
              <w:t>建立抗生素管理機制促進抗生素適當及合理之使用。</w:t>
            </w:r>
          </w:p>
          <w:p>
            <w:pPr>
              <w:pStyle w:val="BodyText"/>
              <w:tabs>
                <w:tab w:val="clear" w:pos="480"/>
              </w:tabs>
              <w:snapToGrid w:val="false"/>
              <w:spacing w:lineRule="exact" w:line="320"/>
              <w:ind w:left="180" w:hanging="180"/>
              <w:textAlignment w:val="baseline"/>
              <w:rPr/>
            </w:pPr>
            <w:r>
              <w:rPr>
                <w:rStyle w:val="Style13"/>
                <w:rFonts w:eastAsia="標楷體"/>
                <w:kern w:val="0"/>
              </w:rPr>
              <w:t>7.</w:t>
            </w:r>
            <w:r>
              <w:rPr>
                <w:rStyle w:val="Style13"/>
                <w:rFonts w:eastAsia="標楷體"/>
                <w:kern w:val="0"/>
              </w:rPr>
              <w:t>衛材、器</w:t>
            </w:r>
            <w:r>
              <w:rPr>
                <w:rStyle w:val="Style13"/>
                <w:rFonts w:eastAsia="標楷體"/>
              </w:rPr>
              <w:t>械之清潔管理、滅菌消毒、儲存、動線、租賃及配送等步驟及管理方法，均應符合感染管制原則。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2.6.1</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落實執行感染管制措施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2.6.2</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確實執行衛材之清潔、消毒、滅菌及環境清消</w:t>
            </w:r>
          </w:p>
        </w:tc>
        <w:tc>
          <w:tcPr>
            <w:tcW w:w="4114" w:type="dxa"/>
            <w:tcBorders>
              <w:top w:val="single" w:sz="4" w:space="0" w:color="000000"/>
              <w:left w:val="single" w:sz="4" w:space="0" w:color="000000"/>
              <w:bottom w:val="single" w:sz="4" w:space="0" w:color="000000"/>
              <w:right w:val="single" w:sz="4" w:space="0" w:color="000000"/>
            </w:tcBorders>
          </w:tcPr>
          <w:p>
            <w:pPr>
              <w:pStyle w:val="BodyText"/>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2.6.3</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246" w:leader="none"/>
                <w:tab w:val="left" w:pos="11199" w:leader="none"/>
              </w:tabs>
              <w:snapToGrid w:val="false"/>
              <w:jc w:val="both"/>
              <w:rPr/>
            </w:pPr>
            <w:r>
              <w:rPr>
                <w:rStyle w:val="Style13"/>
                <w:rFonts w:eastAsia="標楷體"/>
                <w:kern w:val="0"/>
              </w:rPr>
              <w:t>落實抗生素抗藥性管理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36" w:name="_Toc480548269"/>
      <w:r>
        <w:rPr/>
        <w:t>第</w:t>
      </w:r>
      <w:r>
        <w:rPr/>
        <w:t>2</w:t>
      </w:r>
      <w:r>
        <w:rPr/>
        <w:t>篇、醫療照護  第</w:t>
      </w:r>
      <w:r>
        <w:rPr/>
        <w:t>2.7</w:t>
      </w:r>
      <w:r>
        <w:rPr/>
        <w:t>章 檢驗、病理與放射作業</w:t>
      </w:r>
      <w:bookmarkEnd w:id="3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shd w:fill="F2F2F2" w:val="clear"/>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pPr>
            <w:r>
              <w:rPr>
                <w:rStyle w:val="Style13"/>
                <w:rFonts w:eastAsia="標楷體"/>
                <w:b/>
              </w:rPr>
              <w:t>檢驗、病理與放射作業</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w:t>
            </w:r>
            <w:r>
              <w:rPr>
                <w:rStyle w:val="Style13"/>
                <w:rFonts w:eastAsia="標楷體"/>
                <w:bCs/>
                <w:kern w:val="0"/>
              </w:rPr>
              <w:t>成員</w:t>
            </w:r>
            <w:r>
              <w:rPr>
                <w:rStyle w:val="Style13"/>
                <w:rFonts w:eastAsia="標楷體"/>
              </w:rPr>
              <w:t>共同的參與，結合各領域的專長，整合出最適切的醫療照護計畫。醫院應對各種評估執行及分析訂定適宜之標準，以確保醫療照護團隊能有效的溝通及整合。因此醫院必須特別對各種檢驗、檢查訂定適宜之標準流程及規定，以提供適宜的照護品質。</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2" w:hanging="192"/>
              <w:jc w:val="both"/>
              <w:rPr/>
            </w:pPr>
            <w:r>
              <w:rPr>
                <w:rStyle w:val="Style13"/>
                <w:rFonts w:eastAsia="標楷體"/>
              </w:rPr>
              <w:t>1.</w:t>
            </w:r>
            <w:r>
              <w:rPr>
                <w:rStyle w:val="Style13"/>
                <w:rFonts w:eastAsia="標楷體"/>
              </w:rPr>
              <w:t>醫事檢驗、解剖病理、血品供應單位及放射影像的各種檢查及治療應訂定運作規範，以確保安全及病人</w:t>
            </w:r>
            <w:r>
              <w:rPr>
                <w:rStyle w:val="Style13"/>
                <w:rFonts w:eastAsia="標楷體"/>
                <w:bCs/>
                <w:kern w:val="0"/>
              </w:rPr>
              <w:t>的評估資訊正確。</w:t>
            </w:r>
          </w:p>
          <w:p>
            <w:pPr>
              <w:pStyle w:val="BodyText"/>
              <w:widowControl/>
              <w:tabs>
                <w:tab w:val="clear" w:pos="480"/>
              </w:tabs>
              <w:snapToGrid w:val="false"/>
              <w:spacing w:lineRule="atLeast" w:line="0"/>
              <w:ind w:left="192" w:hanging="192"/>
              <w:rPr/>
            </w:pPr>
            <w:r>
              <w:rPr>
                <w:rStyle w:val="Style13"/>
                <w:rFonts w:eastAsia="標楷體"/>
              </w:rPr>
              <w:t>2.</w:t>
            </w:r>
            <w:r>
              <w:rPr>
                <w:rStyle w:val="Style13"/>
                <w:rFonts w:eastAsia="標楷體"/>
              </w:rPr>
              <w:t>醫事檢驗、解剖病理、血品供應單位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eastAsia="標楷體"/>
                <w:kern w:val="0"/>
              </w:rPr>
              <w:t>2.7.1</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rPr>
              <w:t>具備合宜的醫事檢驗設備，並能確保其正常運作與環境安全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
                <w:kern w:val="0"/>
              </w:rPr>
              <w:t>[</w:t>
            </w:r>
            <w:r>
              <w:rPr>
                <w:rStyle w:val="Style13"/>
                <w:rFonts w:eastAsia="標楷體"/>
                <w:b/>
                <w:kern w:val="0"/>
              </w:rPr>
              <w:t>註</w:t>
            </w:r>
            <w:r>
              <w:rPr>
                <w:rStyle w:val="Style13"/>
                <w:rFonts w:eastAsia="標楷體"/>
                <w:b/>
                <w:kern w:val="0"/>
              </w:rPr>
              <w:t>]</w:t>
            </w:r>
          </w:p>
          <w:p>
            <w:pPr>
              <w:pStyle w:val="BodyText"/>
              <w:tabs>
                <w:tab w:val="clear" w:pos="480"/>
              </w:tabs>
              <w:snapToGrid w:val="false"/>
              <w:ind w:left="240" w:hanging="0"/>
              <w:rPr>
                <w:rFonts w:eastAsia="標楷體"/>
                <w:kern w:val="0"/>
              </w:rPr>
            </w:pPr>
            <w:r>
              <w:rPr>
                <w:rFonts w:eastAsia="標楷體"/>
                <w:kern w:val="0"/>
              </w:rPr>
              <w:t>符合下列全部條件者，可自選本條免評：</w:t>
            </w:r>
          </w:p>
          <w:p>
            <w:pPr>
              <w:pStyle w:val="BodyText"/>
              <w:tabs>
                <w:tab w:val="clear" w:pos="480"/>
              </w:tabs>
              <w:snapToGrid w:val="false"/>
              <w:ind w:left="758" w:hanging="307"/>
              <w:rPr>
                <w:rFonts w:eastAsia="標楷體"/>
              </w:rPr>
            </w:pPr>
            <w:r>
              <w:rPr>
                <w:rFonts w:eastAsia="標楷體"/>
              </w:rPr>
              <w:t>(1)</w:t>
            </w:r>
            <w:r>
              <w:rPr>
                <w:rFonts w:eastAsia="標楷體"/>
              </w:rPr>
              <w:t>總病床</w:t>
            </w:r>
            <w:r>
              <w:rPr>
                <w:rFonts w:eastAsia="標楷體"/>
              </w:rPr>
              <w:t>99</w:t>
            </w:r>
            <w:r>
              <w:rPr>
                <w:rFonts w:eastAsia="標楷體"/>
              </w:rPr>
              <w:t>床（含）以下。</w:t>
            </w:r>
          </w:p>
          <w:p>
            <w:pPr>
              <w:pStyle w:val="BodyText"/>
              <w:tabs>
                <w:tab w:val="clear" w:pos="480"/>
              </w:tabs>
              <w:snapToGrid w:val="false"/>
              <w:ind w:left="758" w:hanging="307"/>
              <w:rPr/>
            </w:pPr>
            <w:r>
              <w:rPr>
                <w:rStyle w:val="Style13"/>
                <w:rFonts w:eastAsia="標楷體"/>
              </w:rPr>
              <w:t>(2)</w:t>
            </w:r>
            <w:r>
              <w:rPr>
                <w:rStyle w:val="Style13"/>
                <w:rFonts w:eastAsia="標楷體"/>
              </w:rPr>
              <w:t>未設有醫事檢驗部門。</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2.7.2</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pPr>
            <w:r>
              <w:rPr>
                <w:rStyle w:val="Style13"/>
                <w:rFonts w:eastAsia="標楷體"/>
                <w:kern w:val="0"/>
              </w:rPr>
              <w:t>具備符合標準之醫事檢驗作業</w:t>
            </w:r>
            <w:r>
              <w:rPr>
                <w:rStyle w:val="Style13"/>
                <w:rFonts w:eastAsia="標楷體"/>
              </w:rPr>
              <w:t>程序</w:t>
            </w:r>
            <w:r>
              <w:rPr>
                <w:rStyle w:val="Style13"/>
                <w:rFonts w:eastAsia="標楷體"/>
                <w:kern w:val="0"/>
              </w:rPr>
              <w:t>，並確實執行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2.7.3</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醫事檢驗作業具有完備的品質保證措施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425" w:hanging="425"/>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2.7.4</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設有合宜之血品供應單位及供輸血作業程序，並能確實執行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432" w:hanging="192"/>
              <w:rPr>
                <w:rFonts w:eastAsia="標楷體"/>
              </w:rPr>
            </w:pPr>
            <w:r>
              <w:rPr>
                <w:rFonts w:eastAsia="標楷體"/>
              </w:rPr>
              <w:t>1.</w:t>
            </w:r>
            <w:r>
              <w:rPr>
                <w:rFonts w:eastAsia="標楷體"/>
              </w:rPr>
              <w:t>未設有血品供應單位</w:t>
            </w:r>
            <w:r>
              <w:rPr>
                <w:rFonts w:eastAsia="標楷體"/>
              </w:rPr>
              <w:t>(</w:t>
            </w:r>
            <w:r>
              <w:rPr>
                <w:rFonts w:eastAsia="標楷體"/>
              </w:rPr>
              <w:t>含血庫</w:t>
            </w:r>
            <w:r>
              <w:rPr>
                <w:rFonts w:eastAsia="標楷體"/>
              </w:rPr>
              <w:t>)</w:t>
            </w:r>
            <w:r>
              <w:rPr>
                <w:rFonts w:eastAsia="標楷體"/>
              </w:rPr>
              <w:t>且未執行輸血作業者，可自選本條免評。</w:t>
            </w:r>
          </w:p>
          <w:p>
            <w:pPr>
              <w:pStyle w:val="BodyText"/>
              <w:tabs>
                <w:tab w:val="clear" w:pos="480"/>
              </w:tabs>
              <w:snapToGrid w:val="false"/>
              <w:ind w:left="432" w:hanging="192"/>
              <w:rPr/>
            </w:pPr>
            <w:r>
              <w:rPr>
                <w:rStyle w:val="Style13"/>
                <w:rFonts w:eastAsia="標楷體"/>
              </w:rPr>
              <w:t>2.</w:t>
            </w:r>
            <w:r>
              <w:rPr>
                <w:rStyle w:val="Style13"/>
                <w:rFonts w:eastAsia="標楷體"/>
              </w:rPr>
              <w:t>符合項目</w:t>
            </w:r>
            <w:r>
              <w:rPr>
                <w:rStyle w:val="Style13"/>
                <w:rFonts w:eastAsia="標楷體"/>
              </w:rPr>
              <w:t>9</w:t>
            </w:r>
            <w:r>
              <w:rPr>
                <w:rStyle w:val="Style13"/>
                <w:rFonts w:eastAsia="標楷體"/>
              </w:rPr>
              <w:t>列為試評項目，評量結果不納入評鑑成績計算，惟申請「總病床數</w:t>
            </w:r>
            <w:r>
              <w:rPr>
                <w:rStyle w:val="Style13"/>
                <w:rFonts w:eastAsia="標楷體"/>
              </w:rPr>
              <w:t>99</w:t>
            </w:r>
            <w:r>
              <w:rPr>
                <w:rStyle w:val="Style13"/>
                <w:rFonts w:eastAsia="標楷體"/>
              </w:rPr>
              <w:t>床（含）以下」者可免評。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2.7.5</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血品供應作業具有品質保證措施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432" w:hanging="192"/>
              <w:rPr>
                <w:rFonts w:eastAsia="標楷體"/>
              </w:rPr>
            </w:pPr>
            <w:r>
              <w:rPr>
                <w:rFonts w:eastAsia="標楷體"/>
              </w:rPr>
              <w:t>1.</w:t>
            </w:r>
            <w:r>
              <w:rPr>
                <w:rFonts w:eastAsia="標楷體"/>
              </w:rPr>
              <w:t>未設有血品供應單位</w:t>
            </w:r>
            <w:r>
              <w:rPr>
                <w:rFonts w:eastAsia="標楷體"/>
              </w:rPr>
              <w:t>(</w:t>
            </w:r>
            <w:r>
              <w:rPr>
                <w:rFonts w:eastAsia="標楷體"/>
              </w:rPr>
              <w:t>含血庫</w:t>
            </w:r>
            <w:r>
              <w:rPr>
                <w:rFonts w:eastAsia="標楷體"/>
              </w:rPr>
              <w:t>)</w:t>
            </w:r>
            <w:r>
              <w:rPr>
                <w:rFonts w:eastAsia="標楷體"/>
              </w:rPr>
              <w:t>且未執行輸血作業者，可自選本條免評。</w:t>
            </w:r>
          </w:p>
          <w:p>
            <w:pPr>
              <w:pStyle w:val="BodyText"/>
              <w:tabs>
                <w:tab w:val="clear" w:pos="480"/>
              </w:tabs>
              <w:snapToGrid w:val="false"/>
              <w:ind w:left="432" w:hanging="192"/>
              <w:rPr/>
            </w:pPr>
            <w:r>
              <w:rPr>
                <w:rStyle w:val="Style13"/>
                <w:rFonts w:eastAsia="標楷體"/>
              </w:rPr>
              <w:t>2.</w:t>
            </w:r>
            <w:r>
              <w:rPr>
                <w:rStyle w:val="Style13"/>
                <w:rFonts w:eastAsia="標楷體"/>
              </w:rPr>
              <w:t>符合項目</w:t>
            </w:r>
            <w:r>
              <w:rPr>
                <w:rStyle w:val="Style13"/>
                <w:rFonts w:eastAsia="標楷體"/>
              </w:rPr>
              <w:t>4</w:t>
            </w:r>
            <w:r>
              <w:rPr>
                <w:rStyle w:val="Style13"/>
                <w:rFonts w:eastAsia="標楷體"/>
              </w:rPr>
              <w:t>、</w:t>
            </w:r>
            <w:r>
              <w:rPr>
                <w:rStyle w:val="Style13"/>
                <w:rFonts w:eastAsia="標楷體"/>
              </w:rPr>
              <w:t>5</w:t>
            </w:r>
            <w:r>
              <w:rPr>
                <w:rStyle w:val="Style13"/>
                <w:rFonts w:eastAsia="標楷體"/>
              </w:rPr>
              <w:t>列為試評項目，評量結果不納入評鑑成績計算，惟申請「總病床數</w:t>
            </w:r>
            <w:r>
              <w:rPr>
                <w:rStyle w:val="Style13"/>
                <w:rFonts w:eastAsia="標楷體"/>
              </w:rPr>
              <w:t>99</w:t>
            </w:r>
            <w:r>
              <w:rPr>
                <w:rStyle w:val="Style13"/>
                <w:rFonts w:eastAsia="標楷體"/>
              </w:rPr>
              <w:t>床（含）以下」者可免評。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2.7.6</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具備合宜的放射診斷</w:t>
            </w:r>
            <w:r>
              <w:rPr>
                <w:rStyle w:val="Style13"/>
                <w:rFonts w:eastAsia="標楷體"/>
              </w:rPr>
              <w:t>（含核子醫學）</w:t>
            </w:r>
            <w:r>
              <w:rPr>
                <w:rStyle w:val="Style13"/>
                <w:rFonts w:eastAsia="標楷體"/>
                <w:kern w:val="0"/>
              </w:rPr>
              <w:t>設備，並能確保其功能正常運作與環境安全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tabs>
                <w:tab w:val="clear" w:pos="480"/>
              </w:tabs>
              <w:snapToGrid w:val="false"/>
              <w:ind w:left="432" w:hanging="192"/>
              <w:rPr>
                <w:rFonts w:eastAsia="標楷體"/>
              </w:rPr>
            </w:pPr>
            <w:r>
              <w:rPr>
                <w:rFonts w:eastAsia="標楷體"/>
              </w:rPr>
              <w:t>1.</w:t>
            </w:r>
            <w:r>
              <w:rPr>
                <w:rFonts w:eastAsia="標楷體"/>
              </w:rPr>
              <w:t>未有放射診斷或核子醫學儀器者，可自選本條免評。</w:t>
            </w:r>
          </w:p>
          <w:p>
            <w:pPr>
              <w:pStyle w:val="BodyText"/>
              <w:tabs>
                <w:tab w:val="clear" w:pos="480"/>
              </w:tabs>
              <w:snapToGrid w:val="false"/>
              <w:ind w:left="432" w:hanging="192"/>
              <w:rPr>
                <w:rFonts w:eastAsia="標楷體"/>
              </w:rPr>
            </w:pPr>
            <w:r>
              <w:rPr>
                <w:rFonts w:eastAsia="標楷體"/>
              </w:rPr>
              <w:t>2.</w:t>
            </w:r>
            <w:r>
              <w:rPr>
                <w:rFonts w:eastAsia="標楷體"/>
              </w:rPr>
              <w:t>符合項目</w:t>
            </w:r>
            <w:r>
              <w:rPr>
                <w:rFonts w:eastAsia="標楷體"/>
              </w:rPr>
              <w:t>5</w:t>
            </w:r>
            <w:r>
              <w:rPr>
                <w:rFonts w:eastAsia="標楷體"/>
              </w:rPr>
              <w:t>、</w:t>
            </w:r>
            <w:r>
              <w:rPr>
                <w:rFonts w:eastAsia="標楷體"/>
              </w:rPr>
              <w:t>6</w:t>
            </w:r>
            <w:r>
              <w:rPr>
                <w:rFonts w:eastAsia="標楷體"/>
              </w:rPr>
              <w:t>列為試評項目，評量結果不納入評鑑成績計算，惟申請「總病床數</w:t>
            </w:r>
            <w:r>
              <w:rPr>
                <w:rFonts w:eastAsia="標楷體"/>
              </w:rPr>
              <w:t>99</w:t>
            </w:r>
            <w:r>
              <w:rPr>
                <w:rFonts w:eastAsia="標楷體"/>
              </w:rPr>
              <w:t>床（含）以下」者可免評。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2.7.7</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具備符合標準之放射診斷</w:t>
            </w:r>
            <w:r>
              <w:rPr>
                <w:rStyle w:val="Style13"/>
                <w:rFonts w:eastAsia="標楷體"/>
              </w:rPr>
              <w:t>（含核子醫學）</w:t>
            </w:r>
            <w:r>
              <w:rPr>
                <w:rStyle w:val="Style13"/>
                <w:rFonts w:eastAsia="標楷體"/>
                <w:kern w:val="0"/>
              </w:rPr>
              <w:t>作業程序，並確實執行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Cs/>
                <w:kern w:val="0"/>
              </w:rPr>
              <w:t>[</w:t>
            </w:r>
            <w:r>
              <w:rPr>
                <w:rStyle w:val="Style13"/>
                <w:rFonts w:eastAsia="標楷體"/>
                <w:bCs/>
                <w:kern w:val="0"/>
              </w:rPr>
              <w:t>註</w:t>
            </w:r>
            <w:r>
              <w:rPr>
                <w:rStyle w:val="Style13"/>
                <w:rFonts w:eastAsia="標楷體"/>
                <w:bCs/>
                <w:kern w:val="0"/>
              </w:rPr>
              <w:t>]</w:t>
            </w:r>
          </w:p>
          <w:p>
            <w:pPr>
              <w:pStyle w:val="BodyText"/>
              <w:tabs>
                <w:tab w:val="clear" w:pos="480"/>
              </w:tabs>
              <w:snapToGrid w:val="false"/>
              <w:ind w:left="432" w:hanging="192"/>
              <w:rPr>
                <w:rFonts w:eastAsia="標楷體"/>
              </w:rPr>
            </w:pPr>
            <w:r>
              <w:rPr>
                <w:rFonts w:eastAsia="標楷體"/>
              </w:rPr>
              <w:t>1.</w:t>
            </w:r>
            <w:r>
              <w:rPr>
                <w:rFonts w:eastAsia="標楷體"/>
              </w:rPr>
              <w:t>未有放射診斷或核子醫學儀器者，可自選本條免評。</w:t>
            </w:r>
          </w:p>
          <w:p>
            <w:pPr>
              <w:pStyle w:val="BodyText"/>
              <w:tabs>
                <w:tab w:val="clear" w:pos="480"/>
              </w:tabs>
              <w:snapToGrid w:val="false"/>
              <w:ind w:left="432" w:hanging="192"/>
              <w:rPr/>
            </w:pPr>
            <w:r>
              <w:rPr>
                <w:rStyle w:val="Style13"/>
                <w:rFonts w:eastAsia="標楷體"/>
              </w:rPr>
              <w:t>2.</w:t>
            </w:r>
            <w:r>
              <w:rPr>
                <w:rStyle w:val="Style13"/>
                <w:rFonts w:eastAsia="標楷體"/>
              </w:rPr>
              <w:t>符合項目</w:t>
            </w:r>
            <w:r>
              <w:rPr>
                <w:rStyle w:val="Style13"/>
                <w:rFonts w:eastAsia="標楷體"/>
              </w:rPr>
              <w:t>5</w:t>
            </w:r>
            <w:r>
              <w:rPr>
                <w:rStyle w:val="Style13"/>
                <w:rFonts w:eastAsia="標楷體"/>
              </w:rPr>
              <w:t>、</w:t>
            </w:r>
            <w:r>
              <w:rPr>
                <w:rStyle w:val="Style13"/>
                <w:rFonts w:eastAsia="標楷體"/>
              </w:rPr>
              <w:t>6</w:t>
            </w:r>
            <w:r>
              <w:rPr>
                <w:rStyle w:val="Style13"/>
                <w:rFonts w:eastAsia="標楷體"/>
              </w:rPr>
              <w:t>列為試評項目，評量結果不納入評鑑成績計算，惟申請「總病床數</w:t>
            </w:r>
            <w:r>
              <w:rPr>
                <w:rStyle w:val="Style13"/>
                <w:rFonts w:eastAsia="標楷體"/>
                <w:kern w:val="0"/>
              </w:rPr>
              <w:t>99</w:t>
            </w:r>
            <w:r>
              <w:rPr>
                <w:rStyle w:val="Style13"/>
                <w:rFonts w:eastAsia="標楷體"/>
                <w:kern w:val="0"/>
              </w:rPr>
              <w:t>床（含）以下」者可免評。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kern w:val="0"/>
              </w:rPr>
            </w:pPr>
            <w:r>
              <w:rPr>
                <w:rFonts w:eastAsia="標楷體"/>
                <w:kern w:val="0"/>
              </w:rPr>
              <w:t>2.7.8</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eastAsia="標楷體"/>
                <w:kern w:val="0"/>
              </w:rPr>
              <w:t>放射診斷</w:t>
            </w:r>
            <w:r>
              <w:rPr>
                <w:rStyle w:val="Style13"/>
                <w:rFonts w:eastAsia="標楷體"/>
              </w:rPr>
              <w:t>（含核子醫學）</w:t>
            </w:r>
            <w:r>
              <w:rPr>
                <w:rStyle w:val="Style13"/>
                <w:rFonts w:eastAsia="標楷體"/>
                <w:kern w:val="0"/>
              </w:rPr>
              <w:t>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bCs/>
                <w:kern w:val="0"/>
              </w:rPr>
              <w:t>[</w:t>
            </w:r>
            <w:r>
              <w:rPr>
                <w:rStyle w:val="Style13"/>
                <w:rFonts w:eastAsia="標楷體"/>
                <w:bCs/>
                <w:kern w:val="0"/>
              </w:rPr>
              <w:t>註</w:t>
            </w:r>
            <w:r>
              <w:rPr>
                <w:rStyle w:val="Style13"/>
                <w:rFonts w:eastAsia="標楷體"/>
                <w:bCs/>
                <w:kern w:val="0"/>
              </w:rPr>
              <w:t>]</w:t>
            </w:r>
          </w:p>
          <w:p>
            <w:pPr>
              <w:pStyle w:val="BodyText"/>
              <w:tabs>
                <w:tab w:val="clear" w:pos="480"/>
              </w:tabs>
              <w:snapToGrid w:val="false"/>
              <w:ind w:left="432" w:hanging="192"/>
              <w:rPr/>
            </w:pPr>
            <w:r>
              <w:rPr>
                <w:rStyle w:val="Style13"/>
                <w:rFonts w:eastAsia="標楷體"/>
                <w:kern w:val="0"/>
              </w:rPr>
              <w:t>1.</w:t>
            </w:r>
            <w:r>
              <w:rPr>
                <w:rStyle w:val="Style13"/>
                <w:rFonts w:eastAsia="標楷體"/>
                <w:kern w:val="0"/>
              </w:rPr>
              <w:t>未有放射診</w:t>
            </w:r>
            <w:r>
              <w:rPr>
                <w:rStyle w:val="Style13"/>
                <w:rFonts w:eastAsia="標楷體"/>
                <w:bCs/>
                <w:kern w:val="0"/>
              </w:rPr>
              <w:t>斷或核子醫學儀器者，可自</w:t>
            </w:r>
            <w:r>
              <w:rPr>
                <w:rStyle w:val="Style13"/>
                <w:rFonts w:eastAsia="標楷體"/>
                <w:kern w:val="0"/>
              </w:rPr>
              <w:t>選本條免評</w:t>
            </w:r>
            <w:r>
              <w:rPr>
                <w:rStyle w:val="Style13"/>
                <w:rFonts w:eastAsia="標楷體"/>
                <w:bCs/>
                <w:kern w:val="0"/>
              </w:rPr>
              <w:t>。</w:t>
            </w:r>
          </w:p>
          <w:p>
            <w:pPr>
              <w:pStyle w:val="BodyText"/>
              <w:tabs>
                <w:tab w:val="clear" w:pos="480"/>
              </w:tabs>
              <w:snapToGrid w:val="false"/>
              <w:ind w:left="432" w:hanging="192"/>
              <w:rPr/>
            </w:pPr>
            <w:r>
              <w:rPr>
                <w:rStyle w:val="Style13"/>
                <w:rFonts w:eastAsia="標楷體"/>
                <w:bCs/>
                <w:kern w:val="0"/>
              </w:rPr>
              <w:t>2.</w:t>
            </w:r>
            <w:r>
              <w:rPr>
                <w:rStyle w:val="Style13"/>
                <w:rFonts w:eastAsia="標楷體"/>
                <w:bCs/>
                <w:kern w:val="0"/>
              </w:rPr>
              <w:t>符合項目</w:t>
            </w:r>
            <w:r>
              <w:rPr>
                <w:rStyle w:val="Style13"/>
                <w:rFonts w:eastAsia="標楷體"/>
                <w:bCs/>
                <w:kern w:val="0"/>
              </w:rPr>
              <w:t>4</w:t>
            </w:r>
            <w:r>
              <w:rPr>
                <w:rStyle w:val="Style13"/>
                <w:rFonts w:eastAsia="標楷體"/>
                <w:bCs/>
                <w:kern w:val="0"/>
              </w:rPr>
              <w:t>、</w:t>
            </w:r>
            <w:r>
              <w:rPr>
                <w:rStyle w:val="Style13"/>
                <w:rFonts w:eastAsia="標楷體"/>
                <w:bCs/>
                <w:kern w:val="0"/>
              </w:rPr>
              <w:t>5</w:t>
            </w:r>
            <w:r>
              <w:rPr>
                <w:rStyle w:val="Style13"/>
                <w:rFonts w:eastAsia="標楷體"/>
                <w:bCs/>
                <w:kern w:val="0"/>
              </w:rPr>
              <w:t>列為試評項目，評量結果不納入評鑑成績計算，惟申請「總病床數</w:t>
            </w:r>
            <w:r>
              <w:rPr>
                <w:rStyle w:val="Style13"/>
                <w:rFonts w:eastAsia="標楷體"/>
                <w:bCs/>
                <w:kern w:val="0"/>
              </w:rPr>
              <w:t>99</w:t>
            </w:r>
            <w:r>
              <w:rPr>
                <w:rStyle w:val="Style13"/>
                <w:rFonts w:eastAsia="標楷體"/>
                <w:bCs/>
                <w:kern w:val="0"/>
              </w:rPr>
              <w:t>床（含）以下」者可免評。</w:t>
            </w:r>
          </w:p>
        </w:tc>
      </w:tr>
    </w:tbl>
    <w:p>
      <w:pPr>
        <w:pStyle w:val="Heading1"/>
        <w:tabs>
          <w:tab w:val="clear" w:pos="480"/>
          <w:tab w:val="left" w:pos="0" w:leader="none"/>
        </w:tabs>
        <w:spacing w:before="14" w:after="14"/>
        <w:ind w:left="0" w:hanging="0"/>
        <w:jc w:val="left"/>
        <w:rPr/>
      </w:pPr>
      <w:r>
        <w:rPr/>
        <w:t xml:space="preserve"> </w:t>
      </w:r>
    </w:p>
    <w:sectPr>
      <w:headerReference w:type="default" r:id="rId6"/>
      <w:headerReference w:type="first" r:id="rId7"/>
      <w:footerReference w:type="default" r:id="rId8"/>
      <w:footerReference w:type="first" r:id="rId9"/>
      <w:type w:val="nextPage"/>
      <w:pgSz w:w="11907" w:h="16839"/>
      <w:pgMar w:left="851" w:right="851" w:gutter="0" w:header="680" w:top="851" w:footer="567" w:bottom="851"/>
      <w:pgNumType w:start="1"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Cambria">
    <w:charset w:val="88"/>
    <w:family w:val="roman"/>
    <w:pitch w:val="variable"/>
  </w:font>
  <w:font w:name="Liberation Sans">
    <w:altName w:val="Arial"/>
    <w:charset w:val="88"/>
    <w:family w:val="swiss"/>
    <w:pitch w:val="variable"/>
  </w:font>
  <w:font w:name="Arial">
    <w:charset w:val="88"/>
    <w:family w:val="swiss"/>
    <w:pitch w:val="variable"/>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I</w:t>
    </w:r>
    <w:r>
      <w:rPr>
        <w:rStyle w:val="Style13"/>
        <w:lang w:val="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33</w:t>
    </w:r>
    <w:r>
      <w:rPr>
        <w:rStyle w:val="Style13"/>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lang w:eastAsia="zh-TW"/>
      </w:rPr>
    </w:pPr>
    <w:r>
      <w:rPr>
        <w:rFonts w:eastAsia="標楷體"/>
        <w:lang w:eastAsia="zh-TW"/>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lang w:eastAsia="zh-TW"/>
      </w:rPr>
    </w:pPr>
    <w:r>
      <w:rPr>
        <w:rFonts w:eastAsia="標楷體"/>
        <w:lang w:eastAsia="zh-TW"/>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taiwaneseCountingThousand"/>
      <w:lvlText w:val="%1、"/>
      <w:lvlJc w:val="left"/>
      <w:pPr>
        <w:tabs>
          <w:tab w:val="num" w:pos="480"/>
        </w:tabs>
        <w:ind w:left="480" w:hanging="480"/>
      </w:pPr>
    </w:lvl>
    <w:lvl w:ilvl="1">
      <w:start w:val="1"/>
      <w:numFmt w:val="taiwaneseCountingThousand"/>
      <w:lvlText w:val="（%2）"/>
      <w:lvlJc w:val="left"/>
      <w:pPr>
        <w:tabs>
          <w:tab w:val="num" w:pos="1200"/>
        </w:tabs>
        <w:ind w:left="1200" w:hanging="720"/>
      </w:pPr>
    </w:lvl>
    <w:lvl w:ilvl="2">
      <w:start w:val="1"/>
      <w:numFmt w:val="decimal"/>
      <w:lvlText w:val="%3."/>
      <w:lvlJc w:val="left"/>
      <w:pPr>
        <w:tabs>
          <w:tab w:val="num" w:pos="1320"/>
        </w:tabs>
        <w:ind w:left="1320" w:hanging="36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taiwaneseCountingThousand"/>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4">
    <w:lvl w:ilvl="0">
      <w:start w:val="1"/>
      <w:numFmt w:val="decimal"/>
      <w:lvlText w:val="%1."/>
      <w:lvlJc w:val="left"/>
      <w:pPr>
        <w:tabs>
          <w:tab w:val="num" w:pos="1680"/>
        </w:tabs>
        <w:ind w:left="1680" w:hanging="720"/>
      </w:pPr>
    </w:lvl>
    <w:lvl w:ilvl="1">
      <w:start w:val="1"/>
      <w:numFmt w:val="decimal"/>
      <w:lvlText w:val="(%2)"/>
      <w:lvlJc w:val="left"/>
      <w:pPr>
        <w:tabs>
          <w:tab w:val="num" w:pos="1800"/>
        </w:tabs>
        <w:ind w:left="1800" w:hanging="36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abstractNum w:abstractNumId="5">
    <w:lvl w:ilvl="0">
      <w:start w:val="1"/>
      <w:numFmt w:val="decimal"/>
      <w:lvlText w:val="%1."/>
      <w:lvlJc w:val="left"/>
      <w:pPr>
        <w:tabs>
          <w:tab w:val="num" w:pos="1680"/>
        </w:tabs>
        <w:ind w:left="1680" w:hanging="720"/>
      </w:pPr>
    </w:lvl>
    <w:lvl w:ilvl="1">
      <w:start w:val="1"/>
      <w:numFmt w:val="decimal"/>
      <w:lvlText w:val="(%2)"/>
      <w:lvlJc w:val="left"/>
      <w:pPr>
        <w:tabs>
          <w:tab w:val="num" w:pos="1800"/>
        </w:tabs>
        <w:ind w:left="1800" w:hanging="36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abstractNum w:abstractNumId="6">
    <w:lvl w:ilvl="0">
      <w:start w:val="1"/>
      <w:numFmt w:val="decimal"/>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autoRedefine/>
    <w:qFormat/>
    <w:pPr>
      <w:keepNext w:val="true"/>
      <w:numPr>
        <w:ilvl w:val="0"/>
        <w:numId w:val="1"/>
      </w:numPr>
      <w:suppressAutoHyphens w:val="true"/>
      <w:spacing w:before="14" w:after="14"/>
      <w:jc w:val="center"/>
      <w:outlineLvl w:val="0"/>
    </w:pPr>
    <w:rPr>
      <w:rFonts w:eastAsia="標楷體"/>
      <w:b/>
      <w:kern w:val="2"/>
      <w:sz w:val="28"/>
      <w:szCs w:val="28"/>
    </w:rPr>
  </w:style>
  <w:style w:type="character" w:styleId="Style13">
    <w:name w:val="預設段落字型"/>
    <w:qFormat/>
    <w:rPr/>
  </w:style>
  <w:style w:type="character" w:styleId="HTML">
    <w:name w:val="HTML 預設格式 字元"/>
    <w:qFormat/>
    <w:rPr>
      <w:rFonts w:ascii="細明體" w:hAnsi="細明體" w:eastAsia="細明體" w:cs="細明體"/>
      <w:sz w:val="24"/>
      <w:szCs w:val="24"/>
      <w:lang w:val="en-US" w:eastAsia="zh-TW" w:bidi="ar-SA"/>
    </w:rPr>
  </w:style>
  <w:style w:type="character" w:styleId="PageNumber">
    <w:name w:val="Page Number"/>
    <w:basedOn w:val="Style13"/>
    <w:rPr/>
  </w:style>
  <w:style w:type="character" w:styleId="Style14">
    <w:name w:val="本文 字元"/>
    <w:qFormat/>
    <w:rPr>
      <w:sz w:val="26"/>
      <w:szCs w:val="24"/>
    </w:rPr>
  </w:style>
  <w:style w:type="character" w:styleId="Style15">
    <w:name w:val="註釋標題 字元"/>
    <w:qFormat/>
    <w:rPr>
      <w:rFonts w:eastAsia="標楷體"/>
      <w:bCs/>
      <w:sz w:val="24"/>
      <w:szCs w:val="24"/>
    </w:rPr>
  </w:style>
  <w:style w:type="character" w:styleId="1">
    <w:name w:val="標題 1 字元"/>
    <w:qFormat/>
    <w:rPr>
      <w:rFonts w:eastAsia="標楷體"/>
      <w:b/>
      <w:kern w:val="2"/>
      <w:sz w:val="28"/>
      <w:szCs w:val="28"/>
    </w:rPr>
  </w:style>
  <w:style w:type="character" w:styleId="Style16">
    <w:name w:val="頁首 字元"/>
    <w:qFormat/>
    <w:rPr>
      <w:kern w:val="2"/>
    </w:rPr>
  </w:style>
  <w:style w:type="character" w:styleId="Style17">
    <w:name w:val="頁尾 字元"/>
    <w:qFormat/>
    <w:rPr>
      <w:kern w:val="2"/>
    </w:rPr>
  </w:style>
  <w:style w:type="character" w:styleId="Style18">
    <w:name w:val="超連結"/>
    <w:qFormat/>
    <w:rPr>
      <w:color w:val="0000FF"/>
      <w:u w:val="single"/>
    </w:rPr>
  </w:style>
  <w:style w:type="character" w:styleId="Style19">
    <w:name w:val="已查閱的超連結"/>
    <w:qFormat/>
    <w:rPr>
      <w:color w:val="800080"/>
      <w:u w:val="single"/>
    </w:rPr>
  </w:style>
  <w:style w:type="character" w:styleId="Style20">
    <w:name w:val="註解方塊文字 字元"/>
    <w:qFormat/>
    <w:rPr>
      <w:rFonts w:ascii="Cambria" w:hAnsi="Cambria" w:eastAsia="新細明體" w:cs="Times New Roman"/>
      <w:kern w:val="2"/>
      <w:sz w:val="18"/>
      <w:szCs w:val="18"/>
    </w:rPr>
  </w:style>
  <w:style w:type="character" w:styleId="Unnamed1">
    <w:name w:val="unnamed1"/>
    <w:basedOn w:val="Style13"/>
    <w:qFormat/>
    <w:rPr/>
  </w:style>
  <w:style w:type="character" w:styleId="Hyperlink">
    <w:name w:val="Hyperlink"/>
    <w:rPr>
      <w:color w:val="000080"/>
      <w:u w:val="single"/>
    </w:rPr>
  </w:style>
  <w:style w:type="paragraph" w:styleId="Style21">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2">
    <w:name w:val="本文縮排"/>
    <w:basedOn w:val="BodyText"/>
    <w:qFormat/>
    <w:pPr>
      <w:tabs>
        <w:tab w:val="clear" w:pos="480"/>
      </w:tabs>
      <w:suppressAutoHyphens w:val="true"/>
      <w:spacing w:before="0" w:after="120"/>
      <w:ind w:left="480" w:hanging="0"/>
    </w:pPr>
    <w:rPr>
      <w:rFonts w:eastAsia="標楷體"/>
    </w:rPr>
  </w:style>
  <w:style w:type="paragraph" w:styleId="2">
    <w:name w:val="目錄 2"/>
    <w:basedOn w:val="BodyText"/>
    <w:next w:val="BodyText"/>
    <w:autoRedefine/>
    <w:qFormat/>
    <w:pPr>
      <w:tabs>
        <w:tab w:val="clear" w:pos="480"/>
      </w:tabs>
      <w:suppressAutoHyphens w:val="true"/>
      <w:ind w:left="240" w:hanging="0"/>
    </w:pPr>
    <w:rPr>
      <w:smallCaps/>
      <w:sz w:val="20"/>
      <w:szCs w:val="20"/>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rPr>
  </w:style>
  <w:style w:type="paragraph" w:styleId="Style23">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4">
    <w:name w:val="問候"/>
    <w:basedOn w:val="BodyText"/>
    <w:next w:val="BodyText"/>
    <w:qFormat/>
    <w:pPr>
      <w:suppressAutoHyphens w:val="true"/>
    </w:pPr>
    <w:rPr>
      <w:rFonts w:ascii="Arial" w:hAnsi="Arial" w:eastAsia="標楷體" w:cs="Arial"/>
      <w:color w:val="000000"/>
    </w:rPr>
  </w:style>
  <w:style w:type="paragraph" w:styleId="Style25">
    <w:name w:val="結語"/>
    <w:basedOn w:val="BodyText"/>
    <w:qFormat/>
    <w:pPr>
      <w:tabs>
        <w:tab w:val="clear" w:pos="480"/>
      </w:tabs>
      <w:suppressAutoHyphens w:val="true"/>
      <w:ind w:left="100" w:hanging="0"/>
    </w:pPr>
    <w:rPr>
      <w:rFonts w:ascii="Arial" w:hAnsi="Arial" w:eastAsia="標楷體" w:cs="Arial"/>
      <w:color w:val="000000"/>
    </w:rPr>
  </w:style>
  <w:style w:type="paragraph" w:styleId="Style26">
    <w:name w:val="本文"/>
    <w:basedOn w:val="BodyText"/>
    <w:qFormat/>
    <w:pPr>
      <w:widowControl/>
      <w:suppressAutoHyphens w:val="true"/>
    </w:pPr>
    <w:rPr>
      <w:kern w:val="0"/>
      <w:sz w:val="26"/>
    </w:rPr>
  </w:style>
  <w:style w:type="paragraph" w:styleId="Style27">
    <w:name w:val="清單段落"/>
    <w:basedOn w:val="BodyText"/>
    <w:qFormat/>
    <w:pPr>
      <w:tabs>
        <w:tab w:val="clear" w:pos="480"/>
      </w:tabs>
      <w:suppressAutoHyphens w:val="true"/>
      <w:ind w:left="480" w:hanging="0"/>
    </w:pPr>
    <w:rPr/>
  </w:style>
  <w:style w:type="paragraph" w:styleId="Style28">
    <w:name w:val="註釋標題"/>
    <w:basedOn w:val="BodyText"/>
    <w:next w:val="BodyText"/>
    <w:qFormat/>
    <w:pPr>
      <w:suppressAutoHyphens w:val="true"/>
      <w:jc w:val="center"/>
    </w:pPr>
    <w:rPr>
      <w:rFonts w:eastAsia="標楷體"/>
      <w:bCs/>
      <w:kern w:val="0"/>
    </w:rPr>
  </w:style>
  <w:style w:type="paragraph" w:styleId="11">
    <w:name w:val="目錄 1"/>
    <w:basedOn w:val="BodyText"/>
    <w:next w:val="BodyText"/>
    <w:autoRedefine/>
    <w:qFormat/>
    <w:pPr>
      <w:suppressAutoHyphens w:val="true"/>
    </w:pPr>
    <w:rPr/>
  </w:style>
  <w:style w:type="paragraph" w:styleId="Style29">
    <w:name w:val="註解方塊文字"/>
    <w:basedOn w:val="BodyText"/>
    <w:qFormat/>
    <w:pPr>
      <w:suppressAutoHyphens w:val="true"/>
    </w:pPr>
    <w:rPr>
      <w:rFonts w:ascii="Cambria" w:hAnsi="Cambria"/>
      <w:sz w:val="18"/>
      <w:szCs w:val="18"/>
    </w:rPr>
  </w:style>
  <w:style w:type="paragraph" w:styleId="Style30">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1">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32</Pages>
  <Words>2697</Words>
  <Characters>15379</Characters>
  <CharactersWithSpaces>18040</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2017-05-03T04:21:00Z</dcterms:created>
  <dc:creator>ryan.hou</dc:creator>
  <dc:description/>
  <dc:language>zh-TW</dc:language>
  <cp:lastModifiedBy>yumei</cp:lastModifiedBy>
  <cp:lastPrinted>2017-05-03T01:38:00Z</cp:lastPrinted>
  <dcterms:modified xsi:type="dcterms:W3CDTF">2017-05-03T04:21:00Z</dcterms:modified>
  <cp:revision>2</cp:revision>
  <dc:subject/>
  <dc:title>1</dc:title>
</cp:coreProperties>
</file>