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tabs>
          <w:tab w:val="clear" w:pos="480"/>
        </w:tabs>
        <w:spacing w:lineRule="exact" w:line="440" w:before="180" w:after="0"/>
        <w:ind w:left="240" w:hanging="0"/>
        <w:jc w:val="center"/>
        <w:rPr/>
      </w:pPr>
      <w:r>
        <w:rPr>
          <w:rStyle w:val="Style14"/>
          <w:rFonts w:eastAsia="標楷體"/>
          <w:b/>
          <w:sz w:val="32"/>
          <w:szCs w:val="32"/>
        </w:rPr>
        <w:t>106</w:t>
      </w:r>
      <w:r>
        <w:rPr>
          <w:rStyle w:val="Style14"/>
          <w:rFonts w:eastAsia="標楷體"/>
          <w:b/>
          <w:sz w:val="32"/>
          <w:szCs w:val="32"/>
        </w:rPr>
        <w:t>年度</w:t>
      </w:r>
      <w:r>
        <w:rPr>
          <w:rStyle w:val="Style14"/>
          <w:rFonts w:eastAsia="標楷體"/>
          <w:b/>
          <w:bCs/>
          <w:sz w:val="34"/>
          <w:szCs w:val="34"/>
        </w:rPr>
        <w:t>精神科醫院評鑑補充資料表</w:t>
      </w:r>
      <w:r>
        <w:rPr>
          <w:rStyle w:val="Style14"/>
          <w:rFonts w:eastAsia="標楷體"/>
          <w:b/>
          <w:bCs/>
          <w:sz w:val="34"/>
          <w:szCs w:val="34"/>
        </w:rPr>
        <w:br/>
      </w:r>
      <w:r>
        <w:rPr>
          <w:rStyle w:val="Style14"/>
          <w:rFonts w:eastAsia="標楷體"/>
          <w:b/>
          <w:bCs/>
          <w:sz w:val="34"/>
          <w:szCs w:val="34"/>
        </w:rPr>
        <w:t>第</w:t>
      </w:r>
      <w:r>
        <w:rPr>
          <w:rStyle w:val="Style14"/>
          <w:rFonts w:eastAsia="標楷體"/>
          <w:b/>
          <w:bCs/>
          <w:sz w:val="34"/>
          <w:szCs w:val="34"/>
        </w:rPr>
        <w:t>1</w:t>
      </w:r>
      <w:r>
        <w:rPr>
          <w:rStyle w:val="Style14"/>
          <w:rFonts w:eastAsia="標楷體"/>
          <w:b/>
          <w:bCs/>
          <w:sz w:val="34"/>
          <w:szCs w:val="34"/>
        </w:rPr>
        <w:t>篇、經營管理</w:t>
      </w:r>
    </w:p>
    <w:tbl>
      <w:tblPr>
        <w:tblW w:w="5000" w:type="pct"/>
        <w:jc w:val="left"/>
        <w:tblInd w:w="0" w:type="dxa"/>
        <w:tblLayout w:type="fixed"/>
        <w:tblCellMar>
          <w:top w:w="0" w:type="dxa"/>
          <w:left w:w="0" w:type="dxa"/>
          <w:bottom w:w="0" w:type="dxa"/>
          <w:right w:w="0" w:type="dxa"/>
        </w:tblCellMar>
      </w:tblPr>
      <w:tblGrid>
        <w:gridCol w:w="1521"/>
        <w:gridCol w:w="170"/>
        <w:gridCol w:w="3996"/>
        <w:gridCol w:w="1133"/>
        <w:gridCol w:w="184"/>
        <w:gridCol w:w="2634"/>
      </w:tblGrid>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70"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6"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3"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84"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4"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70"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6"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3"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84"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4"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40" w:before="180" w:after="0"/>
        <w:rPr>
          <w:rFonts w:eastAsia="標楷體"/>
          <w:b/>
          <w:bCs/>
        </w:rPr>
      </w:pPr>
      <w:r>
        <w:rPr>
          <w:rFonts w:eastAsia="標楷體"/>
          <w:b/>
          <w:bCs/>
        </w:rPr>
      </w:r>
    </w:p>
    <w:tbl>
      <w:tblPr>
        <w:tblW w:w="9694" w:type="dxa"/>
        <w:jc w:val="left"/>
        <w:tblInd w:w="-45" w:type="dxa"/>
        <w:tblLayout w:type="fixed"/>
        <w:tblCellMar>
          <w:top w:w="0" w:type="dxa"/>
          <w:left w:w="108" w:type="dxa"/>
          <w:bottom w:w="0" w:type="dxa"/>
          <w:right w:w="108" w:type="dxa"/>
        </w:tblCellMar>
      </w:tblPr>
      <w:tblGrid>
        <w:gridCol w:w="9694"/>
      </w:tblGrid>
      <w:tr>
        <w:trPr/>
        <w:tc>
          <w:tcPr>
            <w:tcW w:w="9694" w:type="dxa"/>
            <w:tcBorders>
              <w:top w:val="double" w:sz="12" w:space="0" w:color="000000"/>
              <w:left w:val="double" w:sz="12" w:space="0" w:color="000000"/>
              <w:bottom w:val="double" w:sz="12" w:space="0" w:color="000000"/>
              <w:right w:val="double" w:sz="12" w:space="0" w:color="000000"/>
            </w:tcBorders>
          </w:tcPr>
          <w:p>
            <w:pPr>
              <w:pStyle w:val="BodyText"/>
              <w:rPr>
                <w:rFonts w:eastAsia="標楷體"/>
              </w:rPr>
            </w:pPr>
            <w:r>
              <w:rPr>
                <w:rFonts w:eastAsia="標楷體"/>
              </w:rPr>
              <w:t>※</w:t>
            </w:r>
            <w:r>
              <w:rPr>
                <w:rFonts w:eastAsia="標楷體"/>
              </w:rPr>
              <w:t>填表注意事項：</w:t>
            </w:r>
          </w:p>
          <w:p>
            <w:pPr>
              <w:pStyle w:val="BodyText"/>
              <w:numPr>
                <w:ilvl w:val="0"/>
                <w:numId w:val="2"/>
              </w:numPr>
              <w:tabs>
                <w:tab w:val="clear" w:pos="480"/>
                <w:tab w:val="left" w:pos="960" w:leader="none"/>
              </w:tabs>
              <w:ind w:left="960" w:hanging="480"/>
              <w:rPr>
                <w:rFonts w:eastAsia="標楷體"/>
              </w:rPr>
            </w:pPr>
            <w:r>
              <w:rPr>
                <w:rFonts w:eastAsia="標楷體"/>
              </w:rPr>
              <w:t>除規定於實地評鑑現場準備相關資料備查外，其餘資料於繳交期限截止後，恕無法受理抽換及補件作業，若資料有需要更正則請醫院於實地評鑑時提出說明。</w:t>
            </w:r>
          </w:p>
          <w:p>
            <w:pPr>
              <w:pStyle w:val="BodyText"/>
              <w:numPr>
                <w:ilvl w:val="0"/>
                <w:numId w:val="2"/>
              </w:numPr>
              <w:tabs>
                <w:tab w:val="clear" w:pos="480"/>
                <w:tab w:val="left" w:pos="960" w:leader="none"/>
              </w:tabs>
              <w:ind w:left="960" w:hanging="480"/>
              <w:rPr>
                <w:rFonts w:eastAsia="標楷體"/>
                <w:b/>
              </w:rPr>
            </w:pPr>
            <w:r>
              <w:rPr>
                <w:rFonts w:eastAsia="標楷體"/>
                <w:b/>
              </w:rPr>
              <w:t>請檢附最近一次消防檢查、建築物公共安全檢查及勞動檢查結果公文及附件。</w:t>
            </w:r>
          </w:p>
        </w:tc>
      </w:tr>
    </w:tbl>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醫院經營管理</w:t>
      </w:r>
    </w:p>
    <w:p>
      <w:pPr>
        <w:pStyle w:val="BodyText"/>
        <w:numPr>
          <w:ilvl w:val="0"/>
          <w:numId w:val="4"/>
        </w:numPr>
        <w:tabs>
          <w:tab w:val="clear" w:pos="480"/>
          <w:tab w:val="left" w:pos="838" w:leader="none"/>
        </w:tabs>
        <w:spacing w:lineRule="exact" w:line="500"/>
        <w:ind w:left="838" w:hanging="644"/>
        <w:rPr>
          <w:rFonts w:eastAsia="標楷體"/>
        </w:rPr>
      </w:pPr>
      <w:r>
        <w:rPr>
          <w:rFonts w:eastAsia="標楷體"/>
        </w:rPr>
        <w:t>貴院五項主要醫療業務管理指標名稱與近</w:t>
      </w:r>
      <w:r>
        <w:rPr>
          <w:rFonts w:eastAsia="標楷體"/>
        </w:rPr>
        <w:t>4</w:t>
      </w:r>
      <w:r>
        <w:rPr>
          <w:rFonts w:eastAsia="標楷體"/>
        </w:rPr>
        <w:t xml:space="preserve">年 </w:t>
      </w:r>
      <w:r>
        <w:rPr>
          <w:rFonts w:eastAsia="標楷體"/>
        </w:rPr>
        <w:t>(102</w:t>
      </w:r>
      <w:r>
        <w:rPr>
          <w:rFonts w:eastAsia="標楷體"/>
        </w:rPr>
        <w:t>年</w:t>
      </w:r>
      <w:r>
        <w:rPr>
          <w:rFonts w:eastAsia="標楷體"/>
        </w:rPr>
        <w:t>~105</w:t>
      </w:r>
      <w:r>
        <w:rPr>
          <w:rFonts w:eastAsia="標楷體"/>
        </w:rPr>
        <w:t>年</w:t>
      </w:r>
      <w:r>
        <w:rPr>
          <w:rFonts w:eastAsia="標楷體"/>
        </w:rPr>
        <w:t>)</w:t>
      </w:r>
      <w:r>
        <w:rPr>
          <w:rFonts w:eastAsia="標楷體"/>
        </w:rPr>
        <w:t>實績表：</w:t>
      </w:r>
    </w:p>
    <w:tbl>
      <w:tblPr>
        <w:tblW w:w="5000" w:type="pct"/>
        <w:jc w:val="right"/>
        <w:tblInd w:w="0" w:type="dxa"/>
        <w:tblLayout w:type="fixed"/>
        <w:tblCellMar>
          <w:top w:w="0" w:type="dxa"/>
          <w:left w:w="28" w:type="dxa"/>
          <w:bottom w:w="0" w:type="dxa"/>
          <w:right w:w="28" w:type="dxa"/>
        </w:tblCellMar>
      </w:tblPr>
      <w:tblGrid>
        <w:gridCol w:w="2489"/>
        <w:gridCol w:w="1302"/>
        <w:gridCol w:w="1304"/>
        <w:gridCol w:w="1303"/>
        <w:gridCol w:w="1304"/>
        <w:gridCol w:w="1936"/>
      </w:tblGrid>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right"/>
              <w:rPr>
                <w:rFonts w:eastAsia="標楷體"/>
              </w:rPr>
            </w:pPr>
            <w:r>
              <w:rPr>
                <w:rFonts w:eastAsia="標楷體"/>
              </w:rPr>
              <w:t>年度</w:t>
            </w:r>
          </w:p>
          <w:p>
            <w:pPr>
              <w:pStyle w:val="BodyText"/>
              <w:autoSpaceDE w:val="false"/>
              <w:spacing w:lineRule="exact" w:line="320"/>
              <w:rPr>
                <w:rFonts w:eastAsia="標楷體"/>
              </w:rPr>
            </w:pPr>
            <w:r>
              <w:rPr>
                <w:rFonts w:eastAsia="標楷體"/>
              </w:rPr>
              <w:t>指標項目</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指標操作型定義及公式說明</w:t>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1.</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2.</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3.</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4.</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5.</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ind w:left="360" w:hanging="0"/>
        <w:rPr>
          <w:rFonts w:eastAsia="標楷體"/>
          <w:b/>
          <w:sz w:val="20"/>
          <w:szCs w:val="20"/>
        </w:rPr>
      </w:pPr>
      <w:r>
        <w:rPr>
          <w:rFonts w:eastAsia="標楷體"/>
          <w:b/>
          <w:sz w:val="20"/>
          <w:szCs w:val="20"/>
        </w:rPr>
        <w:t>備註：建議可參考精神科醫院評鑑基準第</w:t>
      </w:r>
      <w:r>
        <w:rPr>
          <w:rFonts w:eastAsia="標楷體"/>
          <w:b/>
          <w:sz w:val="20"/>
          <w:szCs w:val="20"/>
        </w:rPr>
        <w:t>1.1.3</w:t>
      </w:r>
      <w:r>
        <w:rPr>
          <w:rFonts w:eastAsia="標楷體"/>
          <w:b/>
          <w:sz w:val="20"/>
          <w:szCs w:val="20"/>
        </w:rPr>
        <w:t>條進行填寫。</w:t>
      </w:r>
    </w:p>
    <w:p>
      <w:pPr>
        <w:pStyle w:val="BodyText"/>
        <w:numPr>
          <w:ilvl w:val="0"/>
          <w:numId w:val="3"/>
        </w:numPr>
        <w:tabs>
          <w:tab w:val="clear" w:pos="480"/>
          <w:tab w:val="left" w:pos="962" w:leader="none"/>
        </w:tabs>
        <w:spacing w:lineRule="exact" w:line="500"/>
        <w:ind w:left="962" w:hanging="480"/>
        <w:rPr>
          <w:rFonts w:eastAsia="標楷體"/>
          <w:b/>
          <w:bCs/>
          <w:sz w:val="28"/>
          <w:szCs w:val="28"/>
        </w:rPr>
      </w:pPr>
      <w:r>
        <w:rPr>
          <w:rFonts w:eastAsia="標楷體"/>
          <w:b/>
          <w:bCs/>
          <w:sz w:val="28"/>
          <w:szCs w:val="28"/>
        </w:rPr>
        <w:t>財務管理及會計制度</w:t>
      </w:r>
    </w:p>
    <w:p>
      <w:pPr>
        <w:pStyle w:val="BodyText"/>
        <w:numPr>
          <w:ilvl w:val="0"/>
          <w:numId w:val="5"/>
        </w:numPr>
        <w:tabs>
          <w:tab w:val="clear" w:pos="480"/>
          <w:tab w:val="left" w:pos="838" w:leader="none"/>
        </w:tabs>
        <w:spacing w:lineRule="exact" w:line="500"/>
        <w:ind w:left="838" w:hanging="644"/>
        <w:rPr>
          <w:rFonts w:eastAsia="標楷體"/>
        </w:rPr>
      </w:pPr>
      <w:r>
        <w:rPr>
          <w:rFonts w:eastAsia="標楷體"/>
        </w:rPr>
        <w:t>近</w:t>
      </w:r>
      <w:r>
        <w:rPr>
          <w:rFonts w:eastAsia="標楷體"/>
        </w:rPr>
        <w:t>4</w:t>
      </w:r>
      <w:r>
        <w:rPr>
          <w:rFonts w:eastAsia="標楷體"/>
        </w:rPr>
        <w:t>年醫院收支狀況</w:t>
      </w:r>
    </w:p>
    <w:tbl>
      <w:tblPr>
        <w:tblW w:w="5000" w:type="pct"/>
        <w:jc w:val="left"/>
        <w:tblInd w:w="-5" w:type="dxa"/>
        <w:tblLayout w:type="fixed"/>
        <w:tblCellMar>
          <w:top w:w="0" w:type="dxa"/>
          <w:left w:w="28" w:type="dxa"/>
          <w:bottom w:w="0" w:type="dxa"/>
          <w:right w:w="28" w:type="dxa"/>
        </w:tblCellMar>
      </w:tblPr>
      <w:tblGrid>
        <w:gridCol w:w="436"/>
        <w:gridCol w:w="438"/>
        <w:gridCol w:w="1887"/>
        <w:gridCol w:w="1719"/>
        <w:gridCol w:w="1719"/>
        <w:gridCol w:w="1719"/>
        <w:gridCol w:w="1720"/>
      </w:tblGrid>
      <w:tr>
        <w:trPr>
          <w:tblHeader w:val="true"/>
          <w:trHeight w:val="340" w:hRule="atLeast"/>
        </w:trPr>
        <w:tc>
          <w:tcPr>
            <w:tcW w:w="2761" w:type="dxa"/>
            <w:gridSpan w:val="3"/>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　　目</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r>
      <w:tr>
        <w:trPr>
          <w:trHeight w:val="397" w:hRule="atLeast"/>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收入面</w:t>
            </w:r>
          </w:p>
        </w:tc>
        <w:tc>
          <w:tcPr>
            <w:tcW w:w="4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全</w:t>
            </w:r>
          </w:p>
          <w:p>
            <w:pPr>
              <w:pStyle w:val="BodyText"/>
              <w:autoSpaceDE w:val="false"/>
              <w:spacing w:lineRule="atLeast" w:line="0"/>
              <w:jc w:val="center"/>
              <w:rPr>
                <w:rFonts w:eastAsia="標楷體"/>
              </w:rPr>
            </w:pPr>
            <w:r>
              <w:rPr>
                <w:rFonts w:eastAsia="標楷體"/>
              </w:rPr>
              <w:t>院</w:t>
            </w:r>
          </w:p>
          <w:p>
            <w:pPr>
              <w:pStyle w:val="BodyText"/>
              <w:autoSpaceDE w:val="false"/>
              <w:spacing w:lineRule="atLeast" w:line="0"/>
              <w:jc w:val="center"/>
              <w:rPr>
                <w:rFonts w:eastAsia="標楷體"/>
              </w:rPr>
            </w:pPr>
            <w:r>
              <w:rPr>
                <w:rFonts w:eastAsia="標楷體"/>
              </w:rPr>
              <w:t>總</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門診收入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急診收入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捐贈收入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政府補助收入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w:t>
            </w:r>
          </w:p>
          <w:p>
            <w:pPr>
              <w:pStyle w:val="BodyText"/>
              <w:autoSpaceDE w:val="false"/>
              <w:spacing w:lineRule="atLeast" w:line="0"/>
              <w:jc w:val="center"/>
              <w:rPr>
                <w:rFonts w:eastAsia="標楷體"/>
              </w:rPr>
            </w:pPr>
            <w:r>
              <w:rPr>
                <w:rFonts w:eastAsia="標楷體"/>
              </w:rPr>
              <w:t>療</w:t>
            </w:r>
          </w:p>
          <w:p>
            <w:pPr>
              <w:pStyle w:val="BodyText"/>
              <w:autoSpaceDE w:val="false"/>
              <w:spacing w:lineRule="atLeast" w:line="0"/>
              <w:jc w:val="center"/>
              <w:rPr>
                <w:rFonts w:eastAsia="標楷體"/>
              </w:rPr>
            </w:pPr>
            <w:r>
              <w:rPr>
                <w:rFonts w:eastAsia="標楷體"/>
              </w:rPr>
              <w:t>作</w:t>
            </w:r>
          </w:p>
          <w:p>
            <w:pPr>
              <w:pStyle w:val="BodyText"/>
              <w:autoSpaceDE w:val="false"/>
              <w:spacing w:lineRule="atLeast" w:line="0"/>
              <w:jc w:val="center"/>
              <w:rPr>
                <w:rFonts w:eastAsia="標楷體"/>
              </w:rPr>
            </w:pPr>
            <w:r>
              <w:rPr>
                <w:rFonts w:eastAsia="標楷體"/>
              </w:rPr>
              <w:t>業</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49"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69"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檢查檢驗收入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44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支出面</w:t>
            </w:r>
          </w:p>
        </w:tc>
        <w:tc>
          <w:tcPr>
            <w:tcW w:w="2325"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325"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325"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325"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1.</w:t>
      </w:r>
      <w:r>
        <w:rPr>
          <w:rFonts w:eastAsia="標楷體"/>
          <w:b/>
          <w:sz w:val="20"/>
          <w:szCs w:val="20"/>
        </w:rPr>
        <w:t>全院總收入</w:t>
      </w:r>
      <w:r>
        <w:rPr>
          <w:rFonts w:eastAsia="標楷體"/>
          <w:b/>
          <w:sz w:val="20"/>
          <w:szCs w:val="20"/>
        </w:rPr>
        <w:t>=</w:t>
      </w:r>
      <w:r>
        <w:rPr>
          <w:rFonts w:eastAsia="標楷體"/>
          <w:b/>
          <w:sz w:val="20"/>
          <w:szCs w:val="20"/>
        </w:rPr>
        <w:t>門診收入＋急診收入＋住院收入＋捐贈收入＋政府補助收入＋其他收入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2.</w:t>
      </w:r>
      <w:r>
        <w:rPr>
          <w:rFonts w:eastAsia="標楷體"/>
          <w:b/>
          <w:sz w:val="20"/>
          <w:szCs w:val="20"/>
        </w:rPr>
        <w:t>醫療作業收入</w:t>
      </w:r>
      <w:r>
        <w:rPr>
          <w:rFonts w:eastAsia="標楷體"/>
          <w:b/>
          <w:sz w:val="20"/>
          <w:szCs w:val="20"/>
        </w:rPr>
        <w:t>=</w:t>
      </w:r>
      <w:r>
        <w:rPr>
          <w:rFonts w:eastAsia="標楷體"/>
          <w:b/>
          <w:sz w:val="20"/>
          <w:szCs w:val="20"/>
        </w:rPr>
        <w:t>藥品收入＋衛材收入＋檢查檢驗收入</w:t>
      </w:r>
      <w:r>
        <w:rPr>
          <w:rFonts w:eastAsia="標楷體"/>
          <w:b/>
          <w:sz w:val="20"/>
          <w:szCs w:val="20"/>
        </w:rPr>
        <w:t>+</w:t>
      </w:r>
      <w:r>
        <w:rPr>
          <w:rFonts w:eastAsia="標楷體"/>
          <w:b/>
          <w:sz w:val="20"/>
          <w:szCs w:val="20"/>
        </w:rPr>
        <w:t>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3.</w:t>
      </w:r>
      <w:r>
        <w:rPr>
          <w:rFonts w:eastAsia="標楷體"/>
          <w:b/>
          <w:sz w:val="20"/>
          <w:szCs w:val="20"/>
        </w:rPr>
        <w:t>門診、急診、住院收入百分比係指各該類收入除以全院總收入之值。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其他收入係指醫療作業收入扣除藥品、衛材、檢查收入後之值。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5.</w:t>
      </w:r>
      <w:r>
        <w:rPr>
          <w:rFonts w:eastAsia="標楷體"/>
          <w:b/>
          <w:sz w:val="20"/>
          <w:szCs w:val="20"/>
        </w:rPr>
        <w:t>藥品、衛材、檢查檢驗收入百分比係指各該類收入除以醫療作業收入之值。</w:t>
      </w:r>
    </w:p>
    <w:p>
      <w:pPr>
        <w:pStyle w:val="BodyText"/>
        <w:numPr>
          <w:ilvl w:val="0"/>
          <w:numId w:val="5"/>
        </w:numPr>
        <w:tabs>
          <w:tab w:val="clear" w:pos="480"/>
          <w:tab w:val="left" w:pos="838" w:leader="none"/>
        </w:tabs>
        <w:spacing w:lineRule="exact" w:line="500"/>
        <w:ind w:left="838" w:hanging="644"/>
        <w:rPr>
          <w:rFonts w:eastAsia="標楷體"/>
        </w:rPr>
      </w:pPr>
      <w:r>
        <w:rPr>
          <w:rFonts w:eastAsia="標楷體"/>
        </w:rPr>
        <w:t>近</w:t>
      </w:r>
      <w:r>
        <w:rPr>
          <w:rFonts w:eastAsia="標楷體"/>
        </w:rPr>
        <w:t>4</w:t>
      </w:r>
      <w:r>
        <w:rPr>
          <w:rFonts w:eastAsia="標楷體"/>
        </w:rPr>
        <w:t>年</w:t>
      </w:r>
      <w:r>
        <w:rPr>
          <w:rFonts w:eastAsia="標楷體"/>
        </w:rPr>
        <w:t>(102</w:t>
      </w:r>
      <w:r>
        <w:rPr>
          <w:rFonts w:eastAsia="標楷體"/>
        </w:rPr>
        <w:t>年</w:t>
      </w:r>
      <w:r>
        <w:rPr>
          <w:rFonts w:eastAsia="標楷體"/>
        </w:rPr>
        <w:t>~105</w:t>
      </w:r>
      <w:r>
        <w:rPr>
          <w:rFonts w:eastAsia="標楷體"/>
        </w:rPr>
        <w:t>年</w:t>
      </w:r>
      <w:r>
        <w:rPr>
          <w:rFonts w:eastAsia="標楷體"/>
        </w:rPr>
        <w:t>)</w:t>
      </w:r>
      <w:r>
        <w:rPr>
          <w:rFonts w:eastAsia="標楷體"/>
        </w:rPr>
        <w:t>醫院資產收支狀況</w:t>
      </w:r>
    </w:p>
    <w:tbl>
      <w:tblPr>
        <w:tblW w:w="5000" w:type="pct"/>
        <w:jc w:val="left"/>
        <w:tblInd w:w="-5" w:type="dxa"/>
        <w:tblLayout w:type="fixed"/>
        <w:tblCellMar>
          <w:top w:w="0" w:type="dxa"/>
          <w:left w:w="108" w:type="dxa"/>
          <w:bottom w:w="0" w:type="dxa"/>
          <w:right w:w="108" w:type="dxa"/>
        </w:tblCellMar>
      </w:tblPr>
      <w:tblGrid>
        <w:gridCol w:w="1420"/>
        <w:gridCol w:w="2022"/>
        <w:gridCol w:w="2023"/>
        <w:gridCol w:w="2192"/>
        <w:gridCol w:w="1981"/>
      </w:tblGrid>
      <w:tr>
        <w:trPr>
          <w:trHeight w:val="163" w:hRule="atLeast"/>
        </w:trPr>
        <w:tc>
          <w:tcPr>
            <w:tcW w:w="142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t>項目</w:t>
            </w:r>
          </w:p>
        </w:tc>
        <w:tc>
          <w:tcPr>
            <w:tcW w:w="202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102.1.1~102.12.31</w:t>
            </w:r>
          </w:p>
        </w:tc>
        <w:tc>
          <w:tcPr>
            <w:tcW w:w="202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103.1.1~103.12.31</w:t>
            </w:r>
          </w:p>
        </w:tc>
        <w:tc>
          <w:tcPr>
            <w:tcW w:w="219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104.1.1~104.12.31</w:t>
            </w:r>
          </w:p>
        </w:tc>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105.1.1~105.12.31</w:t>
            </w:r>
          </w:p>
        </w:tc>
      </w:tr>
      <w:tr>
        <w:trPr>
          <w:trHeight w:val="163" w:hRule="atLeast"/>
        </w:trPr>
        <w:tc>
          <w:tcPr>
            <w:tcW w:w="142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t>流動比率</w:t>
            </w:r>
            <w:r>
              <w:rPr>
                <w:rFonts w:eastAsia="標楷體"/>
              </w:rPr>
              <w:t>%</w:t>
            </w:r>
          </w:p>
        </w:tc>
        <w:tc>
          <w:tcPr>
            <w:tcW w:w="202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202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219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170" w:hRule="atLeast"/>
        </w:trPr>
        <w:tc>
          <w:tcPr>
            <w:tcW w:w="142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t>負債比率</w:t>
            </w:r>
            <w:r>
              <w:rPr>
                <w:rFonts w:eastAsia="標楷體"/>
              </w:rPr>
              <w:t>%</w:t>
            </w:r>
          </w:p>
        </w:tc>
        <w:tc>
          <w:tcPr>
            <w:tcW w:w="202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202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219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流動比率</w:t>
      </w:r>
      <w:r>
        <w:rPr>
          <w:rFonts w:eastAsia="標楷體"/>
          <w:b/>
          <w:sz w:val="20"/>
          <w:szCs w:val="20"/>
        </w:rPr>
        <w:t>=(</w:t>
      </w:r>
      <w:r>
        <w:rPr>
          <w:rFonts w:eastAsia="標楷體"/>
          <w:b/>
          <w:sz w:val="20"/>
          <w:szCs w:val="20"/>
        </w:rPr>
        <w:t>流動資產</w:t>
      </w:r>
      <w:r>
        <w:rPr>
          <w:rFonts w:eastAsia="標楷體"/>
          <w:b/>
          <w:sz w:val="20"/>
          <w:szCs w:val="20"/>
        </w:rPr>
        <w:t>÷</w:t>
      </w:r>
      <w:r>
        <w:rPr>
          <w:rFonts w:eastAsia="標楷體"/>
          <w:b/>
          <w:sz w:val="20"/>
          <w:szCs w:val="20"/>
        </w:rPr>
        <w:t>流動負債</w:t>
      </w:r>
      <w:r>
        <w:rPr>
          <w:rFonts w:eastAsia="標楷體"/>
          <w:b/>
          <w:sz w:val="20"/>
          <w:szCs w:val="20"/>
        </w:rPr>
        <w:t>)×100%</w:t>
      </w:r>
      <w:r>
        <w:rPr>
          <w:rFonts w:eastAsia="標楷體"/>
          <w:b/>
          <w:sz w:val="20"/>
          <w:szCs w:val="20"/>
        </w:rPr>
        <w:t>。</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負債比率</w:t>
      </w:r>
      <w:r>
        <w:rPr>
          <w:rFonts w:eastAsia="標楷體"/>
          <w:b/>
          <w:sz w:val="20"/>
          <w:szCs w:val="20"/>
        </w:rPr>
        <w:t>=(</w:t>
      </w:r>
      <w:r>
        <w:rPr>
          <w:rFonts w:eastAsia="標楷體"/>
          <w:b/>
          <w:sz w:val="20"/>
          <w:szCs w:val="20"/>
        </w:rPr>
        <w:t>負債總額</w:t>
      </w:r>
      <w:r>
        <w:rPr>
          <w:rFonts w:eastAsia="標楷體"/>
          <w:b/>
          <w:sz w:val="20"/>
          <w:szCs w:val="20"/>
        </w:rPr>
        <w:t>÷</w:t>
      </w:r>
      <w:r>
        <w:rPr>
          <w:rFonts w:eastAsia="標楷體"/>
          <w:b/>
          <w:sz w:val="20"/>
          <w:szCs w:val="20"/>
        </w:rPr>
        <w:t>資產總額</w:t>
      </w:r>
      <w:r>
        <w:rPr>
          <w:rFonts w:eastAsia="標楷體"/>
          <w:b/>
          <w:sz w:val="20"/>
          <w:szCs w:val="20"/>
        </w:rPr>
        <w:t>)×100%</w:t>
      </w:r>
      <w:r>
        <w:rPr>
          <w:rFonts w:eastAsia="標楷體"/>
          <w:b/>
          <w:sz w:val="20"/>
          <w:szCs w:val="20"/>
        </w:rPr>
        <w:t>。</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流動資產：係指現金、銀行存款、短期投資、應收票據、應收帳款、存貨、短期預付費用及其他合理預期在</w:t>
      </w:r>
      <w:r>
        <w:rPr>
          <w:rFonts w:eastAsia="標楷體"/>
          <w:b/>
          <w:sz w:val="20"/>
          <w:szCs w:val="20"/>
        </w:rPr>
        <w:t>1</w:t>
      </w:r>
      <w:r>
        <w:rPr>
          <w:rFonts w:eastAsia="標楷體"/>
          <w:b/>
          <w:sz w:val="20"/>
          <w:szCs w:val="20"/>
        </w:rPr>
        <w:t>年或一營業週期</w:t>
      </w:r>
      <w:r>
        <w:rPr>
          <w:rFonts w:eastAsia="標楷體"/>
          <w:b/>
          <w:sz w:val="20"/>
          <w:szCs w:val="20"/>
        </w:rPr>
        <w:t>(</w:t>
      </w:r>
      <w:r>
        <w:rPr>
          <w:rFonts w:eastAsia="標楷體"/>
          <w:b/>
          <w:sz w:val="20"/>
          <w:szCs w:val="20"/>
        </w:rPr>
        <w:t>自投入現金、購置原料、製成產品、出售產品、再收回現金之程序，</w:t>
      </w:r>
      <w:r>
        <w:rPr>
          <w:rFonts w:eastAsia="標楷體"/>
          <w:b/>
          <w:sz w:val="20"/>
          <w:szCs w:val="20"/>
        </w:rPr>
        <w:t>Operating cycle)</w:t>
      </w:r>
      <w:r>
        <w:rPr>
          <w:rFonts w:eastAsia="標楷體"/>
          <w:b/>
          <w:sz w:val="20"/>
          <w:szCs w:val="20"/>
        </w:rPr>
        <w:t>能夠轉換為現金、出售或耗用之資產。</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流動負債：係指預期須動用流動資產或產生新的流動負債償還之負債，通常包括銀行借款、銀行透支、應付票據、應付帳款、應付費用、預收收益、應付所得稅等。</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負債總額：係指流動負債、長期負債</w:t>
      </w:r>
      <w:r>
        <w:rPr>
          <w:rFonts w:eastAsia="標楷體"/>
          <w:b/>
          <w:sz w:val="20"/>
          <w:szCs w:val="20"/>
        </w:rPr>
        <w:t>(</w:t>
      </w:r>
      <w:r>
        <w:rPr>
          <w:rFonts w:eastAsia="標楷體"/>
          <w:b/>
          <w:sz w:val="20"/>
          <w:szCs w:val="20"/>
        </w:rPr>
        <w:t>係指在下一年度或下一營業週期不必動用流動資產，亦不必產生新的流動負債加以償還之債務</w:t>
      </w:r>
      <w:r>
        <w:rPr>
          <w:rFonts w:eastAsia="標楷體"/>
          <w:b/>
          <w:sz w:val="20"/>
          <w:szCs w:val="20"/>
        </w:rPr>
        <w:t>)</w:t>
      </w:r>
      <w:r>
        <w:rPr>
          <w:rFonts w:eastAsia="標楷體"/>
          <w:b/>
          <w:sz w:val="20"/>
          <w:szCs w:val="20"/>
        </w:rPr>
        <w:t>、其他負債</w:t>
      </w:r>
      <w:r>
        <w:rPr>
          <w:rFonts w:eastAsia="標楷體"/>
          <w:b/>
          <w:sz w:val="20"/>
          <w:szCs w:val="20"/>
        </w:rPr>
        <w:t>(</w:t>
      </w:r>
      <w:r>
        <w:rPr>
          <w:rFonts w:eastAsia="標楷體"/>
          <w:b/>
          <w:sz w:val="20"/>
          <w:szCs w:val="20"/>
        </w:rPr>
        <w:t>或稱遞延貸項</w:t>
      </w:r>
      <w:r>
        <w:rPr>
          <w:rFonts w:eastAsia="標楷體"/>
          <w:b/>
          <w:sz w:val="20"/>
          <w:szCs w:val="20"/>
        </w:rPr>
        <w:t>(deferred credits)</w:t>
      </w:r>
      <w:r>
        <w:rPr>
          <w:rFonts w:eastAsia="標楷體"/>
          <w:b/>
          <w:sz w:val="20"/>
          <w:szCs w:val="20"/>
        </w:rPr>
        <w:t>，凡不屬於流動及長期負債者稱之</w:t>
      </w:r>
      <w:r>
        <w:rPr>
          <w:rFonts w:eastAsia="標楷體"/>
          <w:b/>
          <w:sz w:val="20"/>
          <w:szCs w:val="20"/>
        </w:rPr>
        <w:t>)</w:t>
      </w:r>
      <w:r>
        <w:rPr>
          <w:rFonts w:eastAsia="標楷體"/>
          <w:b/>
          <w:sz w:val="20"/>
          <w:szCs w:val="20"/>
        </w:rPr>
        <w:t>之總和。</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資產總額：係指流動資產、投資及基金</w:t>
      </w:r>
      <w:r>
        <w:rPr>
          <w:rFonts w:eastAsia="標楷體"/>
          <w:b/>
          <w:sz w:val="20"/>
          <w:szCs w:val="20"/>
        </w:rPr>
        <w:t>(</w:t>
      </w:r>
      <w:r>
        <w:rPr>
          <w:rFonts w:eastAsia="標楷體"/>
          <w:b/>
          <w:sz w:val="20"/>
          <w:szCs w:val="20"/>
        </w:rPr>
        <w:t>以獲取財務或營業上之利益為目的，非供營業直接使用而擬長期持有之投資，及為供特定用途所累積或提撥之基金</w:t>
      </w:r>
      <w:r>
        <w:rPr>
          <w:rFonts w:eastAsia="標楷體"/>
          <w:b/>
          <w:sz w:val="20"/>
          <w:szCs w:val="20"/>
        </w:rPr>
        <w:t>)</w:t>
      </w:r>
      <w:r>
        <w:rPr>
          <w:rFonts w:eastAsia="標楷體"/>
          <w:b/>
          <w:sz w:val="20"/>
          <w:szCs w:val="20"/>
        </w:rPr>
        <w:t>、固定資產</w:t>
      </w:r>
      <w:r>
        <w:rPr>
          <w:rFonts w:eastAsia="標楷體"/>
          <w:b/>
          <w:sz w:val="20"/>
          <w:szCs w:val="20"/>
        </w:rPr>
        <w:t>(</w:t>
      </w:r>
      <w:r>
        <w:rPr>
          <w:rFonts w:eastAsia="標楷體"/>
          <w:b/>
          <w:sz w:val="20"/>
          <w:szCs w:val="20"/>
        </w:rPr>
        <w:t>係指有實體存在，供營業使用而不以出售為目的且使用年限超過</w:t>
      </w:r>
      <w:r>
        <w:rPr>
          <w:rFonts w:eastAsia="標楷體"/>
          <w:b/>
          <w:sz w:val="20"/>
          <w:szCs w:val="20"/>
        </w:rPr>
        <w:t>1</w:t>
      </w:r>
      <w:r>
        <w:rPr>
          <w:rFonts w:eastAsia="標楷體"/>
          <w:b/>
          <w:sz w:val="20"/>
          <w:szCs w:val="20"/>
        </w:rPr>
        <w:t>年以上之資產，通常包括土地、建築物、機器、其他設備及自然資源等</w:t>
      </w:r>
      <w:r>
        <w:rPr>
          <w:rFonts w:eastAsia="標楷體"/>
          <w:b/>
          <w:sz w:val="20"/>
          <w:szCs w:val="20"/>
        </w:rPr>
        <w:t>)</w:t>
      </w:r>
      <w:r>
        <w:rPr>
          <w:rFonts w:eastAsia="標楷體"/>
          <w:b/>
          <w:sz w:val="20"/>
          <w:szCs w:val="20"/>
        </w:rPr>
        <w:t>、無形資產</w:t>
      </w:r>
      <w:r>
        <w:rPr>
          <w:rFonts w:eastAsia="標楷體"/>
          <w:b/>
          <w:sz w:val="20"/>
          <w:szCs w:val="20"/>
        </w:rPr>
        <w:t>(</w:t>
      </w:r>
      <w:r>
        <w:rPr>
          <w:rFonts w:eastAsia="標楷體"/>
          <w:b/>
          <w:sz w:val="20"/>
          <w:szCs w:val="20"/>
        </w:rPr>
        <w:t>係指供營業使用，有經濟效益但無實體存在的經濟資源，如專利權、開辦費、商譽等</w:t>
      </w:r>
      <w:r>
        <w:rPr>
          <w:rFonts w:eastAsia="標楷體"/>
          <w:b/>
          <w:sz w:val="20"/>
          <w:szCs w:val="20"/>
        </w:rPr>
        <w:t>)</w:t>
      </w:r>
      <w:r>
        <w:rPr>
          <w:rFonts w:eastAsia="標楷體"/>
          <w:b/>
          <w:sz w:val="20"/>
          <w:szCs w:val="20"/>
        </w:rPr>
        <w:t>、遞延借項</w:t>
      </w:r>
      <w:r>
        <w:rPr>
          <w:rFonts w:eastAsia="標楷體"/>
          <w:b/>
          <w:sz w:val="20"/>
          <w:szCs w:val="20"/>
        </w:rPr>
        <w:t>(</w:t>
      </w:r>
      <w:r>
        <w:rPr>
          <w:rFonts w:eastAsia="標楷體"/>
          <w:b/>
          <w:sz w:val="20"/>
          <w:szCs w:val="20"/>
        </w:rPr>
        <w:t>即遞延費用，係指長期預付款或一項支出，其預期效益超過</w:t>
      </w:r>
      <w:r>
        <w:rPr>
          <w:rFonts w:eastAsia="標楷體"/>
          <w:b/>
          <w:sz w:val="20"/>
          <w:szCs w:val="20"/>
        </w:rPr>
        <w:t>1</w:t>
      </w:r>
      <w:r>
        <w:rPr>
          <w:rFonts w:eastAsia="標楷體"/>
          <w:b/>
          <w:sz w:val="20"/>
          <w:szCs w:val="20"/>
        </w:rPr>
        <w:t>年以上者</w:t>
      </w:r>
      <w:r>
        <w:rPr>
          <w:rFonts w:eastAsia="標楷體"/>
          <w:b/>
          <w:sz w:val="20"/>
          <w:szCs w:val="20"/>
        </w:rPr>
        <w:t>)</w:t>
      </w:r>
      <w:r>
        <w:rPr>
          <w:rFonts w:eastAsia="標楷體"/>
          <w:b/>
          <w:sz w:val="20"/>
          <w:szCs w:val="20"/>
        </w:rPr>
        <w:t>、其他資產</w:t>
      </w:r>
      <w:r>
        <w:rPr>
          <w:rFonts w:eastAsia="標楷體"/>
          <w:b/>
          <w:sz w:val="20"/>
          <w:szCs w:val="20"/>
        </w:rPr>
        <w:t>(</w:t>
      </w:r>
      <w:r>
        <w:rPr>
          <w:rFonts w:eastAsia="標楷體"/>
          <w:b/>
          <w:sz w:val="20"/>
          <w:szCs w:val="20"/>
        </w:rPr>
        <w:t>除遞延借項外，凡無適當項目可歸屬之資產屬之</w:t>
      </w:r>
      <w:r>
        <w:rPr>
          <w:rFonts w:eastAsia="標楷體"/>
          <w:b/>
          <w:sz w:val="20"/>
          <w:szCs w:val="20"/>
        </w:rPr>
        <w:t>)</w:t>
      </w:r>
      <w:r>
        <w:rPr>
          <w:rFonts w:eastAsia="標楷體"/>
          <w:b/>
          <w:sz w:val="20"/>
          <w:szCs w:val="20"/>
        </w:rPr>
        <w:t>。</w:t>
      </w:r>
    </w:p>
    <w:p>
      <w:pPr>
        <w:pStyle w:val="BodyText"/>
        <w:numPr>
          <w:ilvl w:val="0"/>
          <w:numId w:val="5"/>
        </w:numPr>
        <w:tabs>
          <w:tab w:val="clear" w:pos="480"/>
          <w:tab w:val="left" w:pos="838" w:leader="none"/>
        </w:tabs>
        <w:spacing w:lineRule="exact" w:line="500"/>
        <w:ind w:left="838" w:hanging="644"/>
        <w:rPr>
          <w:rFonts w:eastAsia="標楷體"/>
        </w:rPr>
      </w:pPr>
      <w:r>
        <w:rPr>
          <w:rFonts w:eastAsia="標楷體"/>
        </w:rPr>
        <w:t>近</w:t>
      </w:r>
      <w:r>
        <w:rPr>
          <w:rFonts w:eastAsia="標楷體"/>
        </w:rPr>
        <w:t>4</w:t>
      </w:r>
      <w:r>
        <w:rPr>
          <w:rFonts w:eastAsia="標楷體"/>
        </w:rPr>
        <w:t>年醫院支出面其他參考指標</w:t>
      </w:r>
    </w:p>
    <w:tbl>
      <w:tblPr>
        <w:tblW w:w="5000" w:type="pct"/>
        <w:jc w:val="left"/>
        <w:tblInd w:w="-5" w:type="dxa"/>
        <w:tblLayout w:type="fixed"/>
        <w:tblCellMar>
          <w:top w:w="0" w:type="dxa"/>
          <w:left w:w="28" w:type="dxa"/>
          <w:bottom w:w="0" w:type="dxa"/>
          <w:right w:w="28" w:type="dxa"/>
        </w:tblCellMar>
      </w:tblPr>
      <w:tblGrid>
        <w:gridCol w:w="1305"/>
        <w:gridCol w:w="1457"/>
        <w:gridCol w:w="1719"/>
        <w:gridCol w:w="1721"/>
        <w:gridCol w:w="1719"/>
        <w:gridCol w:w="1717"/>
      </w:tblGrid>
      <w:tr>
        <w:trPr>
          <w:trHeight w:val="459" w:hRule="atLeast"/>
          <w:cantSplit w:val="true"/>
        </w:trPr>
        <w:tc>
          <w:tcPr>
            <w:tcW w:w="276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項目</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r>
      <w:tr>
        <w:trPr>
          <w:trHeight w:val="446" w:hRule="atLeast"/>
          <w:cantSplit w:val="true"/>
        </w:trPr>
        <w:tc>
          <w:tcPr>
            <w:tcW w:w="276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30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醫師費支出佔率</w:t>
            </w:r>
            <w:r>
              <w:rPr>
                <w:rFonts w:eastAsia="標楷體"/>
              </w:rPr>
              <w:t>%</w:t>
            </w:r>
          </w:p>
        </w:tc>
        <w:tc>
          <w:tcPr>
            <w:tcW w:w="14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主治醫師</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30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住院醫師</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276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教育與研究支出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1.</w:t>
      </w:r>
      <w:r>
        <w:rPr>
          <w:rFonts w:eastAsia="標楷體"/>
          <w:b/>
          <w:sz w:val="20"/>
          <w:szCs w:val="20"/>
        </w:rPr>
        <w:t>人事費支出佔率</w:t>
      </w:r>
      <w:r>
        <w:rPr>
          <w:rFonts w:eastAsia="標楷體"/>
          <w:b/>
          <w:sz w:val="20"/>
          <w:szCs w:val="20"/>
        </w:rPr>
        <w:t>=</w:t>
      </w:r>
      <w:r>
        <w:rPr>
          <w:rFonts w:eastAsia="標楷體"/>
          <w:b/>
          <w:sz w:val="20"/>
          <w:szCs w:val="20"/>
        </w:rPr>
        <w:t>人事費</w:t>
      </w:r>
      <w:r>
        <w:rPr>
          <w:rFonts w:eastAsia="標楷體"/>
          <w:b/>
          <w:sz w:val="20"/>
          <w:szCs w:val="20"/>
        </w:rPr>
        <w:t>÷</w:t>
      </w:r>
      <w:r>
        <w:rPr>
          <w:rFonts w:eastAsia="標楷體"/>
          <w:b/>
          <w:sz w:val="20"/>
          <w:szCs w:val="20"/>
        </w:rPr>
        <w:t>醫務收入。</w:t>
      </w:r>
    </w:p>
    <w:p>
      <w:pPr>
        <w:pStyle w:val="BodyText"/>
        <w:tabs>
          <w:tab w:val="clear" w:pos="480"/>
        </w:tabs>
        <w:spacing w:lineRule="atLeast" w:line="0"/>
        <w:ind w:left="364" w:hanging="222"/>
        <w:rPr/>
      </w:pPr>
      <w:r>
        <w:rPr>
          <w:rStyle w:val="Style14"/>
          <w:rFonts w:eastAsia="標楷體"/>
          <w:b/>
          <w:sz w:val="20"/>
          <w:szCs w:val="20"/>
        </w:rPr>
        <w:t>(1)</w:t>
      </w:r>
      <w:r>
        <w:rPr>
          <w:rStyle w:val="Style14"/>
          <w:rFonts w:eastAsia="標楷體"/>
          <w:b/>
          <w:sz w:val="20"/>
          <w:szCs w:val="20"/>
        </w:rPr>
        <w:t>醫務收入</w:t>
      </w:r>
      <w:r>
        <w:rPr>
          <w:rStyle w:val="Style14"/>
          <w:rFonts w:eastAsia="標楷體"/>
          <w:b/>
          <w:sz w:val="20"/>
          <w:szCs w:val="20"/>
        </w:rPr>
        <w:t>=</w:t>
      </w:r>
      <w:r>
        <w:rPr>
          <w:rStyle w:val="Style14"/>
          <w:rFonts w:eastAsia="標楷體"/>
          <w:b/>
          <w:sz w:val="20"/>
          <w:szCs w:val="20"/>
        </w:rPr>
        <w:t>門、急、住診收入</w:t>
      </w:r>
      <w:r>
        <w:rPr>
          <w:rStyle w:val="Style14"/>
          <w:rFonts w:eastAsia="標楷體"/>
          <w:b/>
          <w:sz w:val="20"/>
          <w:szCs w:val="20"/>
        </w:rPr>
        <w:t>+</w:t>
      </w:r>
      <w:r>
        <w:rPr>
          <w:rStyle w:val="Style14"/>
          <w:rFonts w:eastAsia="標楷體"/>
          <w:b/>
          <w:sz w:val="20"/>
          <w:szCs w:val="20"/>
        </w:rPr>
        <w:t>其他醫務收入</w:t>
      </w:r>
      <w:r>
        <w:rPr>
          <w:rStyle w:val="Style14"/>
          <w:rFonts w:eastAsia="標楷體"/>
          <w:b/>
          <w:sz w:val="20"/>
          <w:szCs w:val="20"/>
        </w:rPr>
        <w:t>-</w:t>
      </w:r>
      <w:r>
        <w:rPr>
          <w:rStyle w:val="Style14"/>
          <w:rFonts w:eastAsia="標楷體"/>
          <w:b/>
          <w:sz w:val="20"/>
          <w:szCs w:val="20"/>
        </w:rPr>
        <w:t>支付點值調整</w:t>
      </w:r>
      <w:r>
        <w:rPr>
          <w:rStyle w:val="Style14"/>
          <w:rFonts w:eastAsia="標楷體"/>
          <w:b/>
          <w:sz w:val="20"/>
          <w:szCs w:val="20"/>
        </w:rPr>
        <w:t>-</w:t>
      </w:r>
      <w:r>
        <w:rPr>
          <w:rStyle w:val="Style14"/>
          <w:rFonts w:eastAsia="標楷體"/>
          <w:b/>
          <w:sz w:val="20"/>
          <w:szCs w:val="20"/>
        </w:rPr>
        <w:t>健保核退</w:t>
      </w:r>
      <w:r>
        <w:rPr>
          <w:rStyle w:val="Style14"/>
          <w:rFonts w:eastAsia="標楷體"/>
          <w:b/>
          <w:sz w:val="20"/>
          <w:szCs w:val="20"/>
        </w:rPr>
        <w:t>-</w:t>
      </w:r>
      <w:r>
        <w:rPr>
          <w:rStyle w:val="Style14"/>
          <w:rFonts w:eastAsia="標楷體"/>
          <w:b/>
          <w:sz w:val="20"/>
          <w:szCs w:val="20"/>
        </w:rPr>
        <w:t>其他醫療優待。</w:t>
      </w:r>
    </w:p>
    <w:p>
      <w:pPr>
        <w:pStyle w:val="BodyText"/>
        <w:tabs>
          <w:tab w:val="clear" w:pos="480"/>
        </w:tabs>
        <w:spacing w:lineRule="atLeast" w:line="0"/>
        <w:ind w:left="364" w:hanging="222"/>
        <w:rPr>
          <w:rFonts w:eastAsia="標楷體"/>
          <w:b/>
          <w:sz w:val="20"/>
          <w:szCs w:val="20"/>
        </w:rPr>
      </w:pPr>
      <w:r>
        <w:rPr>
          <w:rFonts w:eastAsia="標楷體"/>
          <w:b/>
          <w:sz w:val="20"/>
          <w:szCs w:val="20"/>
        </w:rPr>
        <w:t>(2)</w:t>
      </w:r>
      <w:r>
        <w:rPr>
          <w:rFonts w:eastAsia="標楷體"/>
          <w:b/>
          <w:sz w:val="20"/>
          <w:szCs w:val="20"/>
        </w:rPr>
        <w:t>支付點值調整：因應總額預算支付制度之辦理，所調整之支付點值。</w:t>
      </w:r>
    </w:p>
    <w:p>
      <w:pPr>
        <w:pStyle w:val="BodyText"/>
        <w:tabs>
          <w:tab w:val="clear" w:pos="480"/>
        </w:tabs>
        <w:spacing w:lineRule="atLeast" w:line="0"/>
        <w:ind w:left="364" w:hanging="222"/>
        <w:rPr>
          <w:rFonts w:eastAsia="標楷體"/>
          <w:b/>
          <w:sz w:val="20"/>
          <w:szCs w:val="20"/>
        </w:rPr>
      </w:pPr>
      <w:r>
        <w:rPr>
          <w:rFonts w:eastAsia="標楷體"/>
          <w:b/>
          <w:sz w:val="20"/>
          <w:szCs w:val="20"/>
        </w:rPr>
        <w:t>(3)</w:t>
      </w:r>
      <w:r>
        <w:rPr>
          <w:rFonts w:eastAsia="標楷體"/>
          <w:b/>
          <w:sz w:val="20"/>
          <w:szCs w:val="20"/>
        </w:rPr>
        <w:t>支付點值調整與健保核退金額部分，因中央健康保險署核算點值及刪除額之時程可能為期半年或一年始可確定金額，建議以該年度提列點值或核退損失之預估額為準。</w:t>
      </w:r>
    </w:p>
    <w:p>
      <w:pPr>
        <w:pStyle w:val="BodyText"/>
        <w:tabs>
          <w:tab w:val="clear" w:pos="480"/>
        </w:tabs>
        <w:spacing w:lineRule="atLeast" w:line="0"/>
        <w:ind w:left="364" w:hanging="222"/>
        <w:rPr>
          <w:rFonts w:eastAsia="標楷體"/>
          <w:b/>
          <w:sz w:val="20"/>
          <w:szCs w:val="20"/>
        </w:rPr>
      </w:pPr>
      <w:r>
        <w:rPr>
          <w:rFonts w:eastAsia="標楷體"/>
          <w:b/>
          <w:sz w:val="20"/>
          <w:szCs w:val="20"/>
        </w:rPr>
        <w:t>(4)</w:t>
      </w:r>
      <w:r>
        <w:rPr>
          <w:rFonts w:eastAsia="標楷體"/>
          <w:b/>
          <w:sz w:val="20"/>
          <w:szCs w:val="20"/>
        </w:rPr>
        <w:t>其他醫療優待：凡對於特殊病人或員工及眷屬所給予之折扣皆屬之。</w:t>
      </w:r>
    </w:p>
    <w:p>
      <w:pPr>
        <w:pStyle w:val="BodyText"/>
        <w:tabs>
          <w:tab w:val="clear" w:pos="480"/>
          <w:tab w:val="left" w:pos="360" w:leader="none"/>
          <w:tab w:val="left" w:pos="462" w:leader="none"/>
        </w:tabs>
        <w:spacing w:lineRule="atLeast" w:line="0"/>
        <w:rPr/>
      </w:pPr>
      <w:r>
        <w:rPr>
          <w:rStyle w:val="Style14"/>
          <w:rFonts w:eastAsia="標楷體"/>
          <w:b/>
          <w:sz w:val="20"/>
          <w:szCs w:val="20"/>
        </w:rPr>
        <w:t>2.</w:t>
      </w:r>
      <w:r>
        <w:rPr>
          <w:rStyle w:val="Style14"/>
          <w:rFonts w:eastAsia="標楷體"/>
          <w:b/>
          <w:sz w:val="20"/>
          <w:szCs w:val="20"/>
        </w:rPr>
        <w:t>主治醫師醫師費支出佔率</w:t>
      </w:r>
      <w:r>
        <w:rPr>
          <w:rStyle w:val="Style14"/>
          <w:rFonts w:eastAsia="標楷體"/>
          <w:b/>
          <w:sz w:val="20"/>
          <w:szCs w:val="20"/>
        </w:rPr>
        <w:t>=</w:t>
      </w:r>
      <w:r>
        <w:rPr>
          <w:rStyle w:val="Style14"/>
          <w:rFonts w:eastAsia="標楷體"/>
          <w:b/>
          <w:sz w:val="20"/>
          <w:szCs w:val="20"/>
        </w:rPr>
        <w:t>主治醫師醫師費</w:t>
      </w:r>
      <w:r>
        <w:rPr>
          <w:rStyle w:val="Style14"/>
          <w:rFonts w:eastAsia="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pPr>
      <w:r>
        <w:rPr>
          <w:rStyle w:val="Style14"/>
          <w:rFonts w:eastAsia="標楷體"/>
          <w:b/>
          <w:sz w:val="20"/>
          <w:szCs w:val="20"/>
        </w:rPr>
        <w:t>3.</w:t>
      </w:r>
      <w:r>
        <w:rPr>
          <w:rStyle w:val="Style14"/>
          <w:rFonts w:eastAsia="標楷體"/>
          <w:b/>
          <w:sz w:val="20"/>
          <w:szCs w:val="20"/>
        </w:rPr>
        <w:t>住院醫師醫師費支出佔率</w:t>
      </w:r>
      <w:r>
        <w:rPr>
          <w:rStyle w:val="Style14"/>
          <w:rFonts w:eastAsia="標楷體"/>
          <w:b/>
          <w:sz w:val="20"/>
          <w:szCs w:val="20"/>
        </w:rPr>
        <w:t>=</w:t>
      </w:r>
      <w:r>
        <w:rPr>
          <w:rStyle w:val="Style14"/>
          <w:rFonts w:eastAsia="標楷體"/>
          <w:b/>
          <w:sz w:val="20"/>
          <w:szCs w:val="20"/>
        </w:rPr>
        <w:t>住院醫師醫師費</w:t>
      </w:r>
      <w:r>
        <w:rPr>
          <w:rStyle w:val="Style14"/>
          <w:rFonts w:eastAsia="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所有給予醫師之費用均歸為醫師費支出。</w:t>
      </w:r>
    </w:p>
    <w:p>
      <w:pPr>
        <w:pStyle w:val="BodyText"/>
        <w:tabs>
          <w:tab w:val="clear" w:pos="480"/>
          <w:tab w:val="left" w:pos="360" w:leader="none"/>
          <w:tab w:val="left" w:pos="462" w:leader="none"/>
        </w:tabs>
        <w:spacing w:lineRule="atLeast" w:line="0"/>
        <w:rPr/>
      </w:pPr>
      <w:r>
        <w:rPr>
          <w:rStyle w:val="Style14"/>
          <w:rFonts w:eastAsia="標楷體"/>
          <w:b/>
          <w:sz w:val="20"/>
          <w:szCs w:val="20"/>
        </w:rPr>
        <w:t>5.</w:t>
      </w:r>
      <w:r>
        <w:rPr>
          <w:rStyle w:val="Style14"/>
          <w:rFonts w:eastAsia="標楷體"/>
          <w:b/>
          <w:sz w:val="20"/>
          <w:szCs w:val="20"/>
        </w:rPr>
        <w:t>教育與研究支出佔率</w:t>
      </w:r>
      <w:r>
        <w:rPr>
          <w:rStyle w:val="Style14"/>
          <w:rFonts w:eastAsia="標楷體"/>
          <w:b/>
          <w:sz w:val="20"/>
          <w:szCs w:val="20"/>
        </w:rPr>
        <w:t>=</w:t>
      </w:r>
      <w:r>
        <w:rPr>
          <w:rStyle w:val="Style14"/>
          <w:rFonts w:eastAsia="標楷體"/>
          <w:b/>
          <w:sz w:val="20"/>
          <w:szCs w:val="20"/>
        </w:rPr>
        <w:t>教育與研究支出</w:t>
      </w:r>
      <w:r>
        <w:rPr>
          <w:rStyle w:val="Style14"/>
          <w:rFonts w:eastAsia="標楷體"/>
          <w:b/>
          <w:sz w:val="20"/>
          <w:szCs w:val="20"/>
        </w:rPr>
        <w:t>÷</w:t>
      </w:r>
      <w:r>
        <w:rPr>
          <w:rStyle w:val="Style14"/>
          <w:rFonts w:eastAsia="標楷體"/>
          <w:b/>
          <w:sz w:val="20"/>
          <w:szCs w:val="20"/>
        </w:rPr>
        <w:t>醫務收入。</w:t>
      </w:r>
    </w:p>
    <w:p>
      <w:pPr>
        <w:pStyle w:val="BodyText"/>
        <w:tabs>
          <w:tab w:val="clear" w:pos="480"/>
        </w:tabs>
        <w:spacing w:lineRule="atLeast" w:line="0"/>
        <w:ind w:left="364" w:hanging="222"/>
        <w:rPr>
          <w:rFonts w:eastAsia="標楷體"/>
          <w:b/>
          <w:sz w:val="20"/>
          <w:szCs w:val="20"/>
        </w:rPr>
      </w:pPr>
      <w:r>
        <w:rPr>
          <w:rFonts w:eastAsia="標楷體"/>
          <w:b/>
          <w:sz w:val="20"/>
          <w:szCs w:val="20"/>
        </w:rPr>
        <w:t>(1)</w:t>
      </w:r>
      <w:r>
        <w:rPr>
          <w:rFonts w:eastAsia="標楷體"/>
          <w:b/>
          <w:sz w:val="20"/>
          <w:szCs w:val="20"/>
        </w:rPr>
        <w:t>教育與研究支出：凡依醫療法規定按醫務收入提撥辦理研究發展、人才培訓及健康教育所發生之成本皆屬之。</w:t>
      </w:r>
    </w:p>
    <w:p>
      <w:pPr>
        <w:pStyle w:val="BodyText"/>
        <w:numPr>
          <w:ilvl w:val="0"/>
          <w:numId w:val="5"/>
        </w:numPr>
        <w:tabs>
          <w:tab w:val="clear" w:pos="480"/>
          <w:tab w:val="left" w:pos="838" w:leader="none"/>
        </w:tabs>
        <w:spacing w:lineRule="exact" w:line="500"/>
        <w:ind w:left="838" w:hanging="644"/>
        <w:rPr>
          <w:rFonts w:eastAsia="標楷體"/>
          <w:b/>
          <w:bCs/>
        </w:rPr>
      </w:pPr>
      <w:r>
        <w:rPr>
          <w:rFonts w:eastAsia="標楷體"/>
          <w:b/>
          <w:bCs/>
        </w:rPr>
        <w:t>近</w:t>
      </w:r>
      <w:r>
        <w:rPr>
          <w:rFonts w:eastAsia="標楷體"/>
          <w:b/>
          <w:bCs/>
        </w:rPr>
        <w:t>4</w:t>
      </w:r>
      <w:r>
        <w:rPr>
          <w:rFonts w:eastAsia="標楷體"/>
          <w:b/>
          <w:bCs/>
        </w:rPr>
        <w:t>年</w:t>
      </w:r>
      <w:r>
        <w:rPr>
          <w:rFonts w:eastAsia="標楷體"/>
          <w:b/>
          <w:bCs/>
        </w:rPr>
        <w:t>(102</w:t>
      </w:r>
      <w:r>
        <w:rPr>
          <w:rFonts w:eastAsia="標楷體"/>
          <w:b/>
          <w:bCs/>
        </w:rPr>
        <w:t>年</w:t>
      </w:r>
      <w:r>
        <w:rPr>
          <w:rFonts w:eastAsia="標楷體"/>
          <w:b/>
          <w:bCs/>
        </w:rPr>
        <w:t>~105</w:t>
      </w:r>
      <w:r>
        <w:rPr>
          <w:rFonts w:eastAsia="標楷體"/>
          <w:b/>
          <w:bCs/>
        </w:rPr>
        <w:t>年</w:t>
      </w:r>
      <w:r>
        <w:rPr>
          <w:rFonts w:eastAsia="標楷體"/>
          <w:b/>
          <w:bCs/>
        </w:rPr>
        <w:t xml:space="preserve">) </w:t>
      </w:r>
      <w:r>
        <w:rPr>
          <w:rFonts w:eastAsia="標楷體"/>
          <w:b/>
          <w:bCs/>
        </w:rPr>
        <w:t>醫院稅前盈餘用於調增員工薪資、增聘人力及員工健康促進與福利措施之金額及佔稅前盈餘之百分比</w:t>
      </w:r>
    </w:p>
    <w:tbl>
      <w:tblPr>
        <w:tblW w:w="4950" w:type="pct"/>
        <w:jc w:val="left"/>
        <w:tblInd w:w="-5" w:type="dxa"/>
        <w:tblLayout w:type="fixed"/>
        <w:tblCellMar>
          <w:top w:w="0" w:type="dxa"/>
          <w:left w:w="108" w:type="dxa"/>
          <w:bottom w:w="0" w:type="dxa"/>
          <w:right w:w="108" w:type="dxa"/>
        </w:tblCellMar>
      </w:tblPr>
      <w:tblGrid>
        <w:gridCol w:w="1070"/>
        <w:gridCol w:w="1861"/>
        <w:gridCol w:w="1652"/>
        <w:gridCol w:w="1653"/>
        <w:gridCol w:w="1652"/>
        <w:gridCol w:w="1653"/>
      </w:tblGrid>
      <w:tr>
        <w:trPr>
          <w:trHeight w:val="62" w:hRule="atLeast"/>
        </w:trPr>
        <w:tc>
          <w:tcPr>
            <w:tcW w:w="29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項目</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t>102.1.1~</w:t>
            </w:r>
          </w:p>
          <w:p>
            <w:pPr>
              <w:pStyle w:val="BodyText"/>
              <w:spacing w:lineRule="atLeast" w:line="0"/>
              <w:jc w:val="center"/>
              <w:rPr/>
            </w:pPr>
            <w:r>
              <w:rPr/>
              <w:t>102.12.31</w:t>
            </w:r>
          </w:p>
        </w:tc>
        <w:tc>
          <w:tcPr>
            <w:tcW w:w="165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t>103.1.1~</w:t>
            </w:r>
          </w:p>
          <w:p>
            <w:pPr>
              <w:pStyle w:val="BodyText"/>
              <w:spacing w:lineRule="atLeast" w:line="0"/>
              <w:jc w:val="center"/>
              <w:rPr/>
            </w:pPr>
            <w:r>
              <w:rPr/>
              <w:t>103.12.31</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t>104.1.1~</w:t>
            </w:r>
          </w:p>
          <w:p>
            <w:pPr>
              <w:pStyle w:val="BodyText"/>
              <w:spacing w:lineRule="atLeast" w:line="0"/>
              <w:jc w:val="center"/>
              <w:rPr/>
            </w:pPr>
            <w:r>
              <w:rPr/>
              <w:t>104.12.31</w:t>
            </w:r>
          </w:p>
        </w:tc>
        <w:tc>
          <w:tcPr>
            <w:tcW w:w="165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t>105.1.1~</w:t>
            </w:r>
          </w:p>
          <w:p>
            <w:pPr>
              <w:pStyle w:val="BodyText"/>
              <w:spacing w:lineRule="atLeast" w:line="0"/>
              <w:jc w:val="center"/>
              <w:rPr/>
            </w:pPr>
            <w:r>
              <w:rPr/>
              <w:t>105.12.31</w:t>
            </w:r>
          </w:p>
        </w:tc>
      </w:tr>
      <w:tr>
        <w:trPr>
          <w:trHeight w:val="595" w:hRule="atLeast"/>
        </w:trPr>
        <w:tc>
          <w:tcPr>
            <w:tcW w:w="29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調增員工人力或薪資</w:t>
            </w:r>
          </w:p>
          <w:p>
            <w:pPr>
              <w:pStyle w:val="BodyText"/>
              <w:spacing w:lineRule="atLeast" w:line="0"/>
              <w:jc w:val="center"/>
              <w:rPr/>
            </w:pPr>
            <w:r>
              <w:rPr>
                <w:rStyle w:val="Style14"/>
                <w:rFonts w:eastAsia="標楷體"/>
              </w:rPr>
              <w:t>(</w:t>
            </w:r>
            <w:r>
              <w:rPr>
                <w:rStyle w:val="Style14"/>
                <w:rFonts w:eastAsia="標楷體"/>
              </w:rPr>
              <w:t>當年度調增金額</w:t>
            </w:r>
            <w:r>
              <w:rPr>
                <w:rStyle w:val="Style14"/>
                <w:rFonts w:eastAsia="標楷體"/>
              </w:rPr>
              <w:t>) =A</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608" w:hRule="atLeast"/>
        </w:trPr>
        <w:tc>
          <w:tcPr>
            <w:tcW w:w="29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員工健康促進與福利措施</w:t>
            </w:r>
          </w:p>
          <w:p>
            <w:pPr>
              <w:pStyle w:val="BodyText"/>
              <w:spacing w:lineRule="atLeast" w:line="0"/>
              <w:jc w:val="center"/>
              <w:rPr/>
            </w:pPr>
            <w:r>
              <w:rPr>
                <w:rStyle w:val="Style14"/>
                <w:rFonts w:eastAsia="標楷體"/>
              </w:rPr>
              <w:t>(</w:t>
            </w:r>
            <w:r>
              <w:rPr>
                <w:rStyle w:val="Style14"/>
                <w:rFonts w:eastAsia="標楷體"/>
              </w:rPr>
              <w:t>當年度總金額</w:t>
            </w:r>
            <w:r>
              <w:rPr>
                <w:rStyle w:val="Style14"/>
                <w:rFonts w:eastAsia="標楷體"/>
              </w:rPr>
              <w:t>) =B</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595" w:hRule="atLeast"/>
        </w:trPr>
        <w:tc>
          <w:tcPr>
            <w:tcW w:w="29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上一年稅前盈餘</w:t>
            </w:r>
          </w:p>
          <w:p>
            <w:pPr>
              <w:pStyle w:val="BodyText"/>
              <w:spacing w:lineRule="atLeast" w:line="0"/>
              <w:jc w:val="center"/>
              <w:rPr/>
            </w:pPr>
            <w:r>
              <w:rPr>
                <w:rStyle w:val="Style14"/>
                <w:rFonts w:eastAsia="標楷體"/>
              </w:rPr>
              <w:t>(</w:t>
            </w:r>
            <w:r>
              <w:rPr>
                <w:rStyle w:val="Style14"/>
                <w:rFonts w:eastAsia="標楷體"/>
              </w:rPr>
              <w:t>金額</w:t>
            </w:r>
            <w:r>
              <w:rPr>
                <w:rStyle w:val="Style14"/>
                <w:rFonts w:eastAsia="標楷體"/>
              </w:rPr>
              <w:t>) =C</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608" w:hRule="atLeast"/>
        </w:trPr>
        <w:tc>
          <w:tcPr>
            <w:tcW w:w="107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稅前盈餘使用比率</w:t>
            </w:r>
          </w:p>
        </w:tc>
        <w:tc>
          <w:tcPr>
            <w:tcW w:w="186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調增員工人力或薪資</w:t>
            </w:r>
            <w:r>
              <w:rPr>
                <w:rFonts w:eastAsia="標楷體"/>
              </w:rPr>
              <w:t>%=A/C</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621" w:hRule="atLeast"/>
        </w:trPr>
        <w:tc>
          <w:tcPr>
            <w:tcW w:w="10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6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員工健康促進與福利措施</w:t>
            </w:r>
            <w:r>
              <w:rPr>
                <w:rFonts w:eastAsia="標楷體"/>
              </w:rPr>
              <w:t>%=B/C</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bl>
    <w:p>
      <w:pPr>
        <w:pStyle w:val="BodyText"/>
        <w:tabs>
          <w:tab w:val="clear" w:pos="480"/>
        </w:tabs>
        <w:spacing w:lineRule="atLeast" w:line="0"/>
        <w:ind w:left="364" w:hanging="222"/>
        <w:rPr/>
      </w:pPr>
      <w:r>
        <w:rPr>
          <w:rStyle w:val="Style14"/>
          <w:rFonts w:eastAsia="標楷體"/>
          <w:b/>
          <w:sz w:val="20"/>
        </w:rPr>
        <w:t>備註：不論公立或私立醫院，醫院若未有稅前盈餘，請填「</w:t>
      </w:r>
      <w:r>
        <w:rPr>
          <w:rStyle w:val="Style14"/>
          <w:rFonts w:eastAsia="標楷體"/>
          <w:b/>
          <w:sz w:val="20"/>
        </w:rPr>
        <w:t>0</w:t>
      </w:r>
      <w:r>
        <w:rPr>
          <w:rStyle w:val="Style14"/>
          <w:rFonts w:eastAsia="標楷體"/>
          <w:b/>
          <w:sz w:val="20"/>
        </w:rPr>
        <w:t>」；若盈餘為負值，請以「負值」呈現。</w:t>
      </w:r>
    </w:p>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員工管理</w:t>
      </w:r>
    </w:p>
    <w:p>
      <w:pPr>
        <w:pStyle w:val="BodyText"/>
        <w:numPr>
          <w:ilvl w:val="0"/>
          <w:numId w:val="7"/>
        </w:numPr>
        <w:tabs>
          <w:tab w:val="clear" w:pos="480"/>
          <w:tab w:val="left" w:pos="838" w:leader="none"/>
        </w:tabs>
        <w:spacing w:lineRule="exact" w:line="500"/>
        <w:ind w:left="838" w:hanging="644"/>
        <w:rPr/>
      </w:pPr>
      <w:r>
        <w:rPr>
          <w:rStyle w:val="Style14"/>
          <w:rFonts w:eastAsia="標楷體"/>
        </w:rPr>
        <w:t>人員別工作年資</w:t>
      </w:r>
      <w:r>
        <w:rPr>
          <w:rStyle w:val="Style14"/>
          <w:rFonts w:eastAsia="標楷體"/>
          <w:bCs/>
        </w:rPr>
        <w:t>統計表</w:t>
      </w:r>
      <w:r>
        <w:rPr>
          <w:rStyle w:val="Style14"/>
          <w:rFonts w:eastAsia="標楷體"/>
        </w:rPr>
        <w:t xml:space="preserve"> （以填表日之資料為準）</w:t>
      </w:r>
    </w:p>
    <w:tbl>
      <w:tblPr>
        <w:tblW w:w="5000" w:type="pct"/>
        <w:jc w:val="right"/>
        <w:tblInd w:w="0" w:type="dxa"/>
        <w:tblLayout w:type="fixed"/>
        <w:tblCellMar>
          <w:top w:w="0" w:type="dxa"/>
          <w:left w:w="28" w:type="dxa"/>
          <w:bottom w:w="0" w:type="dxa"/>
          <w:right w:w="28" w:type="dxa"/>
        </w:tblCellMar>
      </w:tblPr>
      <w:tblGrid>
        <w:gridCol w:w="561"/>
        <w:gridCol w:w="2606"/>
        <w:gridCol w:w="1306"/>
        <w:gridCol w:w="1305"/>
        <w:gridCol w:w="1305"/>
        <w:gridCol w:w="1306"/>
        <w:gridCol w:w="1249"/>
      </w:tblGrid>
      <w:tr>
        <w:trPr>
          <w:tblHeader w:val="true"/>
          <w:trHeight w:val="20" w:hRule="atLeast"/>
        </w:trPr>
        <w:tc>
          <w:tcPr>
            <w:tcW w:w="3167"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年資</w:t>
            </w:r>
            <w:r>
              <w:rPr>
                <w:rFonts w:eastAsia="標楷體"/>
              </w:rPr>
              <w:t>-</w:t>
            </w:r>
            <w:r>
              <w:rPr>
                <w:rFonts w:eastAsia="標楷體"/>
              </w:rPr>
              <w:t>人數</w:t>
            </w:r>
          </w:p>
          <w:p>
            <w:pPr>
              <w:pStyle w:val="BodyText"/>
              <w:snapToGrid w:val="false"/>
              <w:rPr>
                <w:rFonts w:eastAsia="標楷體"/>
              </w:rPr>
            </w:pPr>
            <w:r>
              <w:rPr>
                <w:rFonts w:eastAsia="標楷體"/>
              </w:rPr>
              <w:t>職稱</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年以下</w:t>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w:t>
            </w:r>
            <w:r>
              <w:rPr>
                <w:rFonts w:eastAsia="標楷體"/>
              </w:rPr>
              <w:t>~2</w:t>
            </w:r>
            <w:r>
              <w:rPr>
                <w:rFonts w:eastAsia="標楷體"/>
              </w:rPr>
              <w:t>年</w:t>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w:t>
            </w:r>
            <w:r>
              <w:rPr>
                <w:rFonts w:eastAsia="標楷體"/>
              </w:rPr>
              <w:t>年</w:t>
            </w:r>
            <w:r>
              <w:rPr>
                <w:rFonts w:eastAsia="標楷體"/>
              </w:rPr>
              <w:t>~5</w:t>
            </w:r>
            <w:r>
              <w:rPr>
                <w:rFonts w:eastAsia="標楷體"/>
              </w:rPr>
              <w:t>年</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0" w:hRule="atLeast"/>
        </w:trPr>
        <w:tc>
          <w:tcPr>
            <w:tcW w:w="316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16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w:t>
            </w:r>
          </w:p>
          <w:p>
            <w:pPr>
              <w:pStyle w:val="BodyText"/>
              <w:autoSpaceDE w:val="false"/>
              <w:spacing w:lineRule="exact" w:line="320"/>
              <w:jc w:val="left"/>
              <w:rPr>
                <w:rFonts w:eastAsia="標楷體"/>
              </w:rPr>
            </w:pPr>
            <w:r>
              <w:rPr>
                <w:rFonts w:eastAsia="標楷體"/>
              </w:rPr>
              <w:t>事</w:t>
            </w:r>
          </w:p>
          <w:p>
            <w:pPr>
              <w:pStyle w:val="BodyText"/>
              <w:autoSpaceDE w:val="false"/>
              <w:spacing w:lineRule="exact" w:line="320"/>
              <w:jc w:val="left"/>
              <w:rPr>
                <w:rFonts w:eastAsia="標楷體"/>
              </w:rPr>
            </w:pPr>
            <w:r>
              <w:rPr>
                <w:rFonts w:eastAsia="標楷體"/>
              </w:rPr>
              <w:t>人</w:t>
            </w:r>
          </w:p>
          <w:p>
            <w:pPr>
              <w:pStyle w:val="BodyText"/>
              <w:autoSpaceDE w:val="false"/>
              <w:spacing w:lineRule="exact" w:line="320"/>
              <w:jc w:val="left"/>
              <w:rPr>
                <w:rFonts w:eastAsia="標楷體"/>
              </w:rPr>
            </w:pPr>
            <w:r>
              <w:rPr>
                <w:rFonts w:eastAsia="標楷體"/>
              </w:rPr>
              <w:t>員</w:t>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藥劑生</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醫事檢驗生</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物理治療生</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職能治療生</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諮商心理師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臨床心理師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營養師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精神醫療社會工作人員</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16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167" w:type="dxa"/>
            <w:gridSpan w:val="2"/>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合　計</w:t>
            </w:r>
          </w:p>
        </w:tc>
        <w:tc>
          <w:tcPr>
            <w:tcW w:w="1306" w:type="dxa"/>
            <w:tcBorders>
              <w:top w:val="double" w:sz="4" w:space="0" w:color="000000"/>
              <w:left w:val="single" w:sz="4" w:space="0" w:color="000000"/>
              <w:bottom w:val="doub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1305"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167" w:type="dxa"/>
            <w:gridSpan w:val="2"/>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百分比</w:t>
            </w:r>
            <w:r>
              <w:rPr>
                <w:rFonts w:eastAsia="標楷體"/>
              </w:rPr>
              <w:t>%</w:t>
            </w:r>
          </w:p>
        </w:tc>
        <w:tc>
          <w:tcPr>
            <w:tcW w:w="1306"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305"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305"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306"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49"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年資計算：係指在該醫院工作年資。</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工作年資：</w:t>
      </w:r>
      <w:r>
        <w:rPr>
          <w:rFonts w:eastAsia="標楷體"/>
          <w:b/>
          <w:sz w:val="20"/>
          <w:szCs w:val="20"/>
        </w:rPr>
        <w:t>1</w:t>
      </w:r>
      <w:r>
        <w:rPr>
          <w:rFonts w:eastAsia="標楷體"/>
          <w:b/>
          <w:sz w:val="20"/>
          <w:szCs w:val="20"/>
        </w:rPr>
        <w:t>年以下係指工作未滿</w:t>
      </w:r>
      <w:r>
        <w:rPr>
          <w:rFonts w:eastAsia="標楷體"/>
          <w:b/>
          <w:sz w:val="20"/>
          <w:szCs w:val="20"/>
        </w:rPr>
        <w:t>1</w:t>
      </w:r>
      <w:r>
        <w:rPr>
          <w:rFonts w:eastAsia="標楷體"/>
          <w:b/>
          <w:sz w:val="20"/>
          <w:szCs w:val="20"/>
        </w:rPr>
        <w:t>年；</w:t>
      </w:r>
      <w:r>
        <w:rPr>
          <w:rFonts w:eastAsia="標楷體"/>
          <w:b/>
          <w:sz w:val="20"/>
          <w:szCs w:val="20"/>
        </w:rPr>
        <w:t>1-2</w:t>
      </w:r>
      <w:r>
        <w:rPr>
          <w:rFonts w:eastAsia="標楷體"/>
          <w:b/>
          <w:sz w:val="20"/>
          <w:szCs w:val="20"/>
        </w:rPr>
        <w:t>年係指工作超過</w:t>
      </w:r>
      <w:r>
        <w:rPr>
          <w:rFonts w:eastAsia="標楷體"/>
          <w:b/>
          <w:sz w:val="20"/>
          <w:szCs w:val="20"/>
        </w:rPr>
        <w:t>1</w:t>
      </w:r>
      <w:r>
        <w:rPr>
          <w:rFonts w:eastAsia="標楷體"/>
          <w:b/>
          <w:sz w:val="20"/>
          <w:szCs w:val="20"/>
        </w:rPr>
        <w:t>年，未滿</w:t>
      </w:r>
      <w:r>
        <w:rPr>
          <w:rFonts w:eastAsia="標楷體"/>
          <w:b/>
          <w:sz w:val="20"/>
          <w:szCs w:val="20"/>
        </w:rPr>
        <w:t>2</w:t>
      </w:r>
      <w:r>
        <w:rPr>
          <w:rFonts w:eastAsia="標楷體"/>
          <w:b/>
          <w:sz w:val="20"/>
          <w:szCs w:val="20"/>
        </w:rPr>
        <w:t>年；</w:t>
      </w:r>
      <w:r>
        <w:rPr>
          <w:rFonts w:eastAsia="標楷體"/>
          <w:b/>
          <w:sz w:val="20"/>
          <w:szCs w:val="20"/>
        </w:rPr>
        <w:t>2-5</w:t>
      </w:r>
      <w:r>
        <w:rPr>
          <w:rFonts w:eastAsia="標楷體"/>
          <w:b/>
          <w:sz w:val="20"/>
          <w:szCs w:val="20"/>
        </w:rPr>
        <w:t>年係指工作超過</w:t>
      </w:r>
      <w:r>
        <w:rPr>
          <w:rFonts w:eastAsia="標楷體"/>
          <w:b/>
          <w:sz w:val="20"/>
          <w:szCs w:val="20"/>
        </w:rPr>
        <w:t>2</w:t>
      </w:r>
      <w:r>
        <w:rPr>
          <w:rFonts w:eastAsia="標楷體"/>
          <w:b/>
          <w:sz w:val="20"/>
          <w:szCs w:val="20"/>
        </w:rPr>
        <w:t>年，未滿</w:t>
      </w:r>
      <w:r>
        <w:rPr>
          <w:rFonts w:eastAsia="標楷體"/>
          <w:b/>
          <w:sz w:val="20"/>
          <w:szCs w:val="20"/>
        </w:rPr>
        <w:t>5</w:t>
      </w:r>
      <w:r>
        <w:rPr>
          <w:rFonts w:eastAsia="標楷體"/>
          <w:b/>
          <w:sz w:val="20"/>
          <w:szCs w:val="20"/>
        </w:rPr>
        <w:t>年，其餘類推。</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醫事人員：係指醫師、護理人員以外之其他醫事人員。</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新設立的醫院可附加計算院外同等級以上醫院之臨床年資。</w:t>
      </w:r>
    </w:p>
    <w:p>
      <w:pPr>
        <w:pStyle w:val="BodyText"/>
        <w:numPr>
          <w:ilvl w:val="0"/>
          <w:numId w:val="7"/>
        </w:numPr>
        <w:tabs>
          <w:tab w:val="clear" w:pos="480"/>
          <w:tab w:val="left" w:pos="838" w:leader="none"/>
        </w:tabs>
        <w:spacing w:lineRule="exact" w:line="500"/>
        <w:ind w:left="838" w:hanging="644"/>
        <w:rPr>
          <w:rFonts w:eastAsia="標楷體"/>
          <w:bCs/>
        </w:rPr>
      </w:pPr>
      <w:r>
        <w:rPr>
          <w:rFonts w:eastAsia="標楷體"/>
          <w:bCs/>
        </w:rPr>
        <w:t>人員別近</w:t>
      </w:r>
      <w:r>
        <w:rPr>
          <w:rFonts w:eastAsia="標楷體"/>
          <w:bCs/>
        </w:rPr>
        <w:t>4</w:t>
      </w:r>
      <w:r>
        <w:rPr>
          <w:rFonts w:eastAsia="標楷體"/>
          <w:bCs/>
        </w:rPr>
        <w:t>年</w:t>
      </w:r>
      <w:r>
        <w:rPr>
          <w:rFonts w:eastAsia="標楷體"/>
          <w:bCs/>
        </w:rPr>
        <w:t>(102</w:t>
      </w:r>
      <w:r>
        <w:rPr>
          <w:rFonts w:eastAsia="標楷體"/>
          <w:bCs/>
        </w:rPr>
        <w:t>年</w:t>
      </w:r>
      <w:r>
        <w:rPr>
          <w:rFonts w:eastAsia="標楷體"/>
          <w:bCs/>
        </w:rPr>
        <w:t>~105</w:t>
      </w:r>
      <w:r>
        <w:rPr>
          <w:rFonts w:eastAsia="標楷體"/>
          <w:bCs/>
        </w:rPr>
        <w:t>年</w:t>
      </w:r>
      <w:r>
        <w:rPr>
          <w:rFonts w:eastAsia="標楷體"/>
          <w:bCs/>
        </w:rPr>
        <w:t>)</w:t>
      </w:r>
      <w:r>
        <w:rPr>
          <w:rFonts w:eastAsia="標楷體"/>
          <w:bCs/>
        </w:rPr>
        <w:t>離職率統計表</w:t>
      </w:r>
    </w:p>
    <w:tbl>
      <w:tblPr>
        <w:tblW w:w="5000" w:type="pct"/>
        <w:jc w:val="right"/>
        <w:tblInd w:w="0" w:type="dxa"/>
        <w:tblLayout w:type="fixed"/>
        <w:tblCellMar>
          <w:top w:w="0" w:type="dxa"/>
          <w:left w:w="28" w:type="dxa"/>
          <w:bottom w:w="0" w:type="dxa"/>
          <w:right w:w="28" w:type="dxa"/>
        </w:tblCellMar>
      </w:tblPr>
      <w:tblGrid>
        <w:gridCol w:w="2409"/>
        <w:gridCol w:w="1807"/>
        <w:gridCol w:w="1807"/>
        <w:gridCol w:w="1806"/>
        <w:gridCol w:w="1809"/>
      </w:tblGrid>
      <w:tr>
        <w:trPr>
          <w:tblHeader w:val="true"/>
          <w:trHeight w:val="20"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年度</w:t>
            </w:r>
          </w:p>
          <w:p>
            <w:pPr>
              <w:pStyle w:val="BodyText"/>
              <w:snapToGrid w:val="false"/>
              <w:rPr>
                <w:rFonts w:eastAsia="標楷體"/>
              </w:rPr>
            </w:pPr>
            <w:r>
              <w:rPr>
                <w:rFonts w:eastAsia="標楷體"/>
              </w:rPr>
              <w:t>各類人員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bl>
    <w:p>
      <w:pPr>
        <w:pStyle w:val="BodyText"/>
        <w:numPr>
          <w:ilvl w:val="0"/>
          <w:numId w:val="7"/>
        </w:numPr>
        <w:tabs>
          <w:tab w:val="clear" w:pos="480"/>
          <w:tab w:val="left" w:pos="838" w:leader="none"/>
        </w:tabs>
        <w:spacing w:lineRule="exact" w:line="500"/>
        <w:ind w:left="838" w:hanging="644"/>
        <w:rPr/>
      </w:pPr>
      <w:r>
        <w:rPr>
          <w:rStyle w:val="Style14"/>
          <w:rFonts w:eastAsia="標楷體"/>
          <w:bCs/>
        </w:rPr>
        <w:t>貴院是否定期辦理員工滿意度調查？○是，</w:t>
      </w:r>
      <w:r>
        <w:rPr>
          <w:rStyle w:val="Style14"/>
          <w:rFonts w:eastAsia="標楷體"/>
          <w:bCs/>
          <w:u w:val="single"/>
        </w:rPr>
        <w:t xml:space="preserve">    </w:t>
      </w:r>
      <w:r>
        <w:rPr>
          <w:rStyle w:val="Style14"/>
          <w:rFonts w:eastAsia="標楷體"/>
          <w:bCs/>
        </w:rPr>
        <w:t>次</w:t>
      </w:r>
      <w:r>
        <w:rPr>
          <w:rStyle w:val="Style14"/>
          <w:rFonts w:eastAsia="標楷體"/>
          <w:bCs/>
        </w:rPr>
        <w:t>/</w:t>
      </w:r>
      <w:r>
        <w:rPr>
          <w:rStyle w:val="Style14"/>
          <w:rFonts w:eastAsia="標楷體"/>
          <w:bCs/>
          <w:u w:val="single"/>
        </w:rPr>
        <w:t xml:space="preserve">    </w:t>
      </w:r>
      <w:r>
        <w:rPr>
          <w:rStyle w:val="Style14"/>
          <w:rFonts w:eastAsia="標楷體"/>
          <w:bCs/>
        </w:rPr>
        <w:t>年（請續答</w:t>
      </w:r>
      <w:r>
        <w:rPr>
          <w:rStyle w:val="Style14"/>
          <w:rFonts w:eastAsia="標楷體"/>
          <w:bCs/>
        </w:rPr>
        <w:t>3.1~3.3</w:t>
      </w:r>
      <w:r>
        <w:rPr>
          <w:rStyle w:val="Style14"/>
          <w:rFonts w:eastAsia="標楷體"/>
          <w:bCs/>
        </w:rPr>
        <w:t>） ○否</w:t>
      </w:r>
    </w:p>
    <w:p>
      <w:pPr>
        <w:pStyle w:val="BodyText"/>
        <w:spacing w:lineRule="exact" w:line="500"/>
        <w:rPr/>
      </w:pPr>
      <w:r>
        <w:rPr>
          <w:rStyle w:val="Style14"/>
          <w:rFonts w:eastAsia="標楷體"/>
        </w:rPr>
        <w:t>3.1</w:t>
      </w:r>
      <w:r>
        <w:rPr>
          <w:rStyle w:val="Style14"/>
          <w:rFonts w:eastAsia="標楷體"/>
          <w:bCs/>
        </w:rPr>
        <w:t>主辦單位</w:t>
      </w:r>
      <w:r>
        <w:rPr>
          <w:rStyle w:val="Style14"/>
          <w:rFonts w:eastAsia="標楷體"/>
        </w:rPr>
        <w:t>：</w:t>
      </w:r>
      <w:r>
        <w:rPr>
          <w:rStyle w:val="Style14"/>
          <w:rFonts w:eastAsia="標楷體"/>
          <w:u w:val="single"/>
        </w:rPr>
        <w:t xml:space="preserve">                               </w:t>
      </w:r>
    </w:p>
    <w:tbl>
      <w:tblPr>
        <w:tblW w:w="5000" w:type="pct"/>
        <w:jc w:val="right"/>
        <w:tblInd w:w="0" w:type="dxa"/>
        <w:tblLayout w:type="fixed"/>
        <w:tblCellMar>
          <w:top w:w="0" w:type="dxa"/>
          <w:left w:w="28" w:type="dxa"/>
          <w:bottom w:w="0" w:type="dxa"/>
          <w:right w:w="28" w:type="dxa"/>
        </w:tblCellMar>
      </w:tblPr>
      <w:tblGrid>
        <w:gridCol w:w="964"/>
        <w:gridCol w:w="2168"/>
        <w:gridCol w:w="2169"/>
        <w:gridCol w:w="2168"/>
        <w:gridCol w:w="2169"/>
      </w:tblGrid>
      <w:tr>
        <w:trPr>
          <w:tblHeader w:val="true"/>
          <w:trHeight w:val="403" w:hRule="atLeast"/>
        </w:trPr>
        <w:tc>
          <w:tcPr>
            <w:tcW w:w="9638" w:type="dxa"/>
            <w:gridSpan w:val="5"/>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rPr/>
            </w:pPr>
            <w:r>
              <w:rPr>
                <w:rStyle w:val="Style14"/>
                <w:rFonts w:eastAsia="標楷體"/>
              </w:rPr>
              <w:t>3.2.</w:t>
            </w:r>
            <w:r>
              <w:rPr>
                <w:rStyle w:val="Style14"/>
                <w:rFonts w:eastAsia="標楷體"/>
                <w:bCs/>
              </w:rPr>
              <w:t>貴院</w:t>
            </w:r>
            <w:r>
              <w:rPr>
                <w:rStyle w:val="Style14"/>
                <w:rFonts w:eastAsia="標楷體"/>
              </w:rPr>
              <w:t>近</w:t>
            </w:r>
            <w:r>
              <w:rPr>
                <w:rStyle w:val="Style14"/>
                <w:rFonts w:eastAsia="標楷體"/>
              </w:rPr>
              <w:t>4</w:t>
            </w:r>
            <w:r>
              <w:rPr>
                <w:rStyle w:val="Style14"/>
                <w:rFonts w:eastAsia="標楷體"/>
              </w:rPr>
              <w:t>年（</w:t>
            </w:r>
            <w:r>
              <w:rPr>
                <w:rStyle w:val="Style14"/>
                <w:rFonts w:eastAsia="標楷體"/>
                <w:bCs/>
              </w:rPr>
              <w:t>102</w:t>
            </w:r>
            <w:r>
              <w:rPr>
                <w:rStyle w:val="Style14"/>
                <w:rFonts w:eastAsia="標楷體"/>
                <w:bCs/>
              </w:rPr>
              <w:t>年</w:t>
            </w:r>
            <w:r>
              <w:rPr>
                <w:rStyle w:val="Style14"/>
                <w:rFonts w:eastAsia="標楷體"/>
                <w:bCs/>
              </w:rPr>
              <w:t>~105</w:t>
            </w:r>
            <w:r>
              <w:rPr>
                <w:rStyle w:val="Style14"/>
                <w:rFonts w:eastAsia="標楷體"/>
                <w:bCs/>
              </w:rPr>
              <w:t>年</w:t>
            </w:r>
            <w:r>
              <w:rPr>
                <w:rStyle w:val="Style14"/>
                <w:rFonts w:eastAsia="標楷體"/>
              </w:rPr>
              <w:t>）來員工意見調查</w:t>
            </w:r>
            <w:r>
              <w:rPr>
                <w:rStyle w:val="Style14"/>
                <w:rFonts w:eastAsia="標楷體"/>
                <w:b/>
                <w:u w:val="single"/>
              </w:rPr>
              <w:t>最滿意</w:t>
            </w:r>
            <w:r>
              <w:rPr>
                <w:rStyle w:val="Style14"/>
                <w:rFonts w:eastAsia="標楷體"/>
              </w:rPr>
              <w:t>之前</w:t>
            </w:r>
            <w:r>
              <w:rPr>
                <w:rStyle w:val="Style14"/>
                <w:rFonts w:eastAsia="標楷體"/>
              </w:rPr>
              <w:t>5</w:t>
            </w:r>
            <w:r>
              <w:rPr>
                <w:rStyle w:val="Style14"/>
                <w:rFonts w:eastAsia="標楷體"/>
              </w:rPr>
              <w:t>項項目彙總</w:t>
            </w:r>
          </w:p>
        </w:tc>
      </w:tr>
      <w:tr>
        <w:trPr>
          <w:tblHeader w:val="true"/>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t>年度別</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105.1.1~105.12.31</w:t>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1</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2</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3</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4</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5</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38" w:type="dxa"/>
            <w:gridSpan w:val="5"/>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rPr/>
            </w:pPr>
            <w:r>
              <w:rPr>
                <w:rStyle w:val="Style14"/>
                <w:rFonts w:eastAsia="標楷體"/>
              </w:rPr>
              <w:t>3.3.</w:t>
            </w:r>
            <w:r>
              <w:rPr>
                <w:rStyle w:val="Style14"/>
                <w:rFonts w:eastAsia="標楷體"/>
                <w:bCs/>
              </w:rPr>
              <w:t>貴院</w:t>
            </w:r>
            <w:r>
              <w:rPr>
                <w:rStyle w:val="Style14"/>
                <w:rFonts w:eastAsia="標楷體"/>
              </w:rPr>
              <w:t>近</w:t>
            </w:r>
            <w:r>
              <w:rPr>
                <w:rStyle w:val="Style14"/>
                <w:rFonts w:eastAsia="標楷體"/>
              </w:rPr>
              <w:t>4</w:t>
            </w:r>
            <w:r>
              <w:rPr>
                <w:rStyle w:val="Style14"/>
                <w:rFonts w:eastAsia="標楷體"/>
              </w:rPr>
              <w:t>年（</w:t>
            </w:r>
            <w:r>
              <w:rPr>
                <w:rStyle w:val="Style14"/>
                <w:rFonts w:eastAsia="標楷體"/>
                <w:bCs/>
              </w:rPr>
              <w:t>102</w:t>
            </w:r>
            <w:r>
              <w:rPr>
                <w:rStyle w:val="Style14"/>
                <w:rFonts w:eastAsia="標楷體"/>
                <w:bCs/>
              </w:rPr>
              <w:t>年</w:t>
            </w:r>
            <w:r>
              <w:rPr>
                <w:rStyle w:val="Style14"/>
                <w:rFonts w:eastAsia="標楷體"/>
                <w:bCs/>
              </w:rPr>
              <w:t>~105</w:t>
            </w:r>
            <w:r>
              <w:rPr>
                <w:rStyle w:val="Style14"/>
                <w:rFonts w:eastAsia="標楷體"/>
                <w:bCs/>
              </w:rPr>
              <w:t>年</w:t>
            </w:r>
            <w:r>
              <w:rPr>
                <w:rStyle w:val="Style14"/>
                <w:rFonts w:eastAsia="標楷體"/>
              </w:rPr>
              <w:t>）來員工意見調查</w:t>
            </w:r>
            <w:r>
              <w:rPr>
                <w:rStyle w:val="Style14"/>
                <w:rFonts w:eastAsia="標楷體"/>
                <w:b/>
                <w:u w:val="single"/>
              </w:rPr>
              <w:t>最不滿意</w:t>
            </w:r>
            <w:r>
              <w:rPr>
                <w:rStyle w:val="Style14"/>
                <w:rFonts w:eastAsia="標楷體"/>
              </w:rPr>
              <w:t>之前</w:t>
            </w:r>
            <w:r>
              <w:rPr>
                <w:rStyle w:val="Style14"/>
                <w:rFonts w:eastAsia="標楷體"/>
              </w:rPr>
              <w:t>5</w:t>
            </w:r>
            <w:r>
              <w:rPr>
                <w:rStyle w:val="Style14"/>
                <w:rFonts w:eastAsia="標楷體"/>
              </w:rPr>
              <w:t>項項目彙總</w:t>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t>年度別</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105.1.1~105.12.31</w:t>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1</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2</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3</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4</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5</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bl>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外包業務管理</w:t>
      </w:r>
    </w:p>
    <w:p>
      <w:pPr>
        <w:pStyle w:val="BodyText"/>
        <w:spacing w:lineRule="exact" w:line="500"/>
        <w:rPr/>
      </w:pPr>
      <w:r>
        <w:rPr>
          <w:rStyle w:val="Style14"/>
          <w:rFonts w:eastAsia="標楷體"/>
          <w:bCs/>
        </w:rPr>
        <w:t>1.</w:t>
      </w:r>
      <w:r>
        <w:rPr>
          <w:rStyle w:val="Style14"/>
          <w:rFonts w:eastAsia="標楷體"/>
          <w:bCs/>
        </w:rPr>
        <w:t xml:space="preserve">貴院是否有外包業務？ </w:t>
      </w:r>
      <w:r>
        <w:rPr>
          <w:rStyle w:val="Style14"/>
          <w:rFonts w:eastAsia="標楷體"/>
        </w:rPr>
        <w:t>○是（請續答</w:t>
      </w:r>
      <w:r>
        <w:rPr>
          <w:rStyle w:val="Style14"/>
          <w:rFonts w:eastAsia="標楷體"/>
        </w:rPr>
        <w:t>1.1</w:t>
      </w:r>
      <w:r>
        <w:rPr>
          <w:rStyle w:val="Style14"/>
          <w:rFonts w:eastAsia="標楷體"/>
        </w:rPr>
        <w:t>）   ○否</w:t>
      </w:r>
    </w:p>
    <w:p>
      <w:pPr>
        <w:pStyle w:val="BodyText"/>
        <w:spacing w:lineRule="exact" w:line="500"/>
        <w:rPr/>
      </w:pPr>
      <w:r>
        <w:rPr>
          <w:rStyle w:val="Style14"/>
          <w:rFonts w:eastAsia="標楷體"/>
        </w:rPr>
        <w:t>1.1</w:t>
      </w:r>
      <w:r>
        <w:rPr>
          <w:rStyle w:val="Style14"/>
          <w:rFonts w:eastAsia="標楷體"/>
          <w:bCs/>
        </w:rPr>
        <w:t>貴院目前</w:t>
      </w:r>
      <w:r>
        <w:rPr>
          <w:rStyle w:val="Style14"/>
          <w:rFonts w:eastAsia="標楷體"/>
        </w:rPr>
        <w:t>外包情形（該項無外包者，免填後面欄位，如表格篇幅不足，請自行增列）</w:t>
      </w:r>
    </w:p>
    <w:tbl>
      <w:tblPr>
        <w:tblW w:w="5000" w:type="pct"/>
        <w:jc w:val="right"/>
        <w:tblInd w:w="0" w:type="dxa"/>
        <w:tblLayout w:type="fixed"/>
        <w:tblCellMar>
          <w:top w:w="0" w:type="dxa"/>
          <w:left w:w="108" w:type="dxa"/>
          <w:bottom w:w="0" w:type="dxa"/>
          <w:right w:w="108" w:type="dxa"/>
        </w:tblCellMar>
      </w:tblPr>
      <w:tblGrid>
        <w:gridCol w:w="959"/>
        <w:gridCol w:w="4372"/>
        <w:gridCol w:w="4307"/>
      </w:tblGrid>
      <w:tr>
        <w:trPr>
          <w:trHeight w:val="20" w:hRule="atLeast"/>
        </w:trPr>
        <w:tc>
          <w:tcPr>
            <w:tcW w:w="95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sz w:val="22"/>
                <w:szCs w:val="22"/>
              </w:rPr>
            </w:pPr>
            <w:r>
              <w:rPr>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rPr>
              <w:t>總務類業務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sz w:val="22"/>
                <w:szCs w:val="22"/>
              </w:rPr>
            </w:pPr>
            <w:r>
              <w:rPr>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供應類業務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45"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sz w:val="22"/>
                <w:szCs w:val="22"/>
              </w:rPr>
            </w:pPr>
            <w:r>
              <w:rPr>
                <w:rFonts w:eastAsia="標楷體"/>
                <w:sz w:val="22"/>
                <w:szCs w:val="22"/>
              </w:rPr>
            </w:r>
          </w:p>
        </w:tc>
      </w:tr>
      <w:tr>
        <w:trPr>
          <w:trHeight w:val="20" w:hRule="atLeast"/>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b/>
                <w:sz w:val="22"/>
                <w:szCs w:val="22"/>
              </w:rPr>
            </w:pPr>
            <w:r>
              <w:rPr>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工務類業務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儀器類業務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77"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資訊類業務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77"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檢驗類業務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77"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71" w:hRule="atLeast"/>
          <w:cantSplit w:val="true"/>
        </w:trPr>
        <w:tc>
          <w:tcPr>
            <w:tcW w:w="9638" w:type="dxa"/>
            <w:gridSpan w:val="3"/>
            <w:tcBorders>
              <w:top w:val="single" w:sz="4" w:space="0" w:color="000000"/>
            </w:tcBorders>
            <w:vAlign w:val="center"/>
          </w:tcPr>
          <w:p>
            <w:pPr>
              <w:pStyle w:val="BodyText"/>
              <w:spacing w:lineRule="atLeast" w:line="0"/>
              <w:rPr>
                <w:rFonts w:eastAsia="標楷體"/>
                <w:sz w:val="22"/>
                <w:szCs w:val="22"/>
              </w:rPr>
            </w:pPr>
            <w:r>
              <w:rPr>
                <w:rFonts w:eastAsia="標楷體"/>
                <w:sz w:val="22"/>
                <w:szCs w:val="22"/>
              </w:rPr>
              <w:t>註：各類業務範圍可對照醫院評鑑基準第</w:t>
            </w:r>
            <w:r>
              <w:rPr>
                <w:rFonts w:eastAsia="標楷體"/>
                <w:sz w:val="22"/>
                <w:szCs w:val="22"/>
              </w:rPr>
              <w:t>1.2.6</w:t>
            </w:r>
            <w:r>
              <w:rPr>
                <w:rFonts w:eastAsia="標楷體"/>
                <w:sz w:val="22"/>
                <w:szCs w:val="22"/>
              </w:rPr>
              <w:t>條之</w:t>
            </w:r>
            <w:r>
              <w:rPr>
                <w:rFonts w:eastAsia="標楷體"/>
                <w:sz w:val="22"/>
                <w:szCs w:val="22"/>
              </w:rPr>
              <w:t>[</w:t>
            </w:r>
            <w:r>
              <w:rPr>
                <w:rFonts w:eastAsia="標楷體"/>
                <w:sz w:val="22"/>
                <w:szCs w:val="22"/>
              </w:rPr>
              <w:t>註</w:t>
            </w:r>
            <w:r>
              <w:rPr>
                <w:rFonts w:eastAsia="標楷體"/>
                <w:sz w:val="22"/>
                <w:szCs w:val="22"/>
              </w:rPr>
              <w:t>] 3</w:t>
            </w:r>
            <w:r>
              <w:rPr>
                <w:rFonts w:eastAsia="標楷體"/>
                <w:sz w:val="22"/>
                <w:szCs w:val="22"/>
              </w:rPr>
              <w:t>說明。</w:t>
            </w:r>
          </w:p>
        </w:tc>
      </w:tr>
    </w:tbl>
    <w:p>
      <w:pPr>
        <w:pStyle w:val="BodyText"/>
        <w:numPr>
          <w:ilvl w:val="0"/>
          <w:numId w:val="3"/>
        </w:numPr>
        <w:tabs>
          <w:tab w:val="clear" w:pos="480"/>
          <w:tab w:val="left" w:pos="480" w:leader="none"/>
        </w:tabs>
        <w:spacing w:lineRule="exact" w:line="500"/>
        <w:ind w:left="480" w:hanging="480"/>
        <w:rPr>
          <w:rFonts w:eastAsia="標楷體"/>
          <w:b/>
          <w:bCs/>
          <w:sz w:val="28"/>
          <w:szCs w:val="28"/>
        </w:rPr>
      </w:pPr>
      <w:r>
        <w:br w:type="page"/>
      </w:r>
      <w:r>
        <w:rPr>
          <w:rFonts w:eastAsia="標楷體"/>
          <w:b/>
          <w:bCs/>
          <w:sz w:val="28"/>
          <w:szCs w:val="28"/>
        </w:rPr>
        <w:t>員工之教育及進修</w:t>
      </w:r>
    </w:p>
    <w:p>
      <w:pPr>
        <w:pStyle w:val="BodyText"/>
        <w:numPr>
          <w:ilvl w:val="0"/>
          <w:numId w:val="8"/>
        </w:numPr>
        <w:tabs>
          <w:tab w:val="clear" w:pos="480"/>
          <w:tab w:val="left" w:pos="612" w:leader="none"/>
        </w:tabs>
        <w:spacing w:lineRule="exact" w:line="500"/>
        <w:ind w:left="612" w:hanging="612"/>
        <w:rPr/>
      </w:pPr>
      <w:r>
        <w:rPr>
          <w:rStyle w:val="Style14"/>
          <w:rFonts w:eastAsia="標楷體"/>
          <w:bCs/>
        </w:rPr>
        <w:t>貴院是否</w:t>
      </w:r>
      <w:r>
        <w:rPr>
          <w:rStyle w:val="Style14"/>
          <w:rFonts w:eastAsia="標楷體"/>
        </w:rPr>
        <w:t>有員工教育訓練及進修之實際執行成果統計資料？○是，請填下表　○否</w:t>
      </w:r>
    </w:p>
    <w:tbl>
      <w:tblPr>
        <w:tblW w:w="5000" w:type="pct"/>
        <w:jc w:val="right"/>
        <w:tblInd w:w="0" w:type="dxa"/>
        <w:tblLayout w:type="fixed"/>
        <w:tblCellMar>
          <w:top w:w="0" w:type="dxa"/>
          <w:left w:w="28" w:type="dxa"/>
          <w:bottom w:w="0" w:type="dxa"/>
          <w:right w:w="28" w:type="dxa"/>
        </w:tblCellMar>
      </w:tblPr>
      <w:tblGrid>
        <w:gridCol w:w="451"/>
        <w:gridCol w:w="1351"/>
        <w:gridCol w:w="1351"/>
        <w:gridCol w:w="1351"/>
        <w:gridCol w:w="1351"/>
        <w:gridCol w:w="1352"/>
        <w:gridCol w:w="1201"/>
        <w:gridCol w:w="1230"/>
      </w:tblGrid>
      <w:tr>
        <w:trPr>
          <w:tblHeader w:val="true"/>
          <w:trHeight w:val="20" w:hRule="atLeast"/>
        </w:trPr>
        <w:tc>
          <w:tcPr>
            <w:tcW w:w="4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年度別</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總人數</w:t>
            </w:r>
            <w:r>
              <w:rPr>
                <w:rStyle w:val="Style14"/>
                <w:rFonts w:eastAsia="標楷體"/>
                <w:sz w:val="20"/>
                <w:szCs w:val="20"/>
              </w:rPr>
              <w:t>(A)</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院內教育總時數</w:t>
            </w:r>
            <w:r>
              <w:rPr>
                <w:rStyle w:val="Style14"/>
                <w:rFonts w:eastAsia="標楷體"/>
                <w:sz w:val="20"/>
                <w:szCs w:val="20"/>
              </w:rPr>
              <w:t>(B)</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(C)</w:t>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院外教育總時數</w:t>
            </w:r>
            <w:r>
              <w:rPr>
                <w:rStyle w:val="Style14"/>
                <w:rFonts w:eastAsia="標楷體"/>
                <w:sz w:val="20"/>
                <w:szCs w:val="20"/>
              </w:rPr>
              <w:t>(D)</w:t>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(E)</w:t>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合計每人年平均時數</w:t>
            </w:r>
            <w:r>
              <w:rPr>
                <w:rStyle w:val="Style14"/>
                <w:rFonts w:eastAsia="標楷體"/>
                <w:sz w:val="20"/>
                <w:szCs w:val="20"/>
              </w:rPr>
              <w:t>(F)</w:t>
            </w:r>
          </w:p>
        </w:tc>
      </w:tr>
      <w:tr>
        <w:trPr>
          <w:trHeight w:val="360"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102</w:t>
            </w:r>
            <w:r>
              <w:rPr>
                <w:rFonts w:eastAsia="標楷體"/>
              </w:rPr>
              <w:t>年</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103</w:t>
            </w:r>
            <w:r>
              <w:rPr>
                <w:rFonts w:eastAsia="標楷體"/>
              </w:rPr>
              <w:t>年</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104</w:t>
            </w:r>
            <w:r>
              <w:rPr>
                <w:rFonts w:eastAsia="標楷體"/>
              </w:rPr>
              <w:t>年</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105</w:t>
            </w:r>
            <w:r>
              <w:rPr>
                <w:rFonts w:eastAsia="標楷體"/>
              </w:rPr>
              <w:t>年</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「總人數」係指當年度</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日該職類人員在職編制人數。</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「院內教育每人年平均」：</w:t>
      </w:r>
      <w:r>
        <w:rPr>
          <w:rFonts w:eastAsia="標楷體"/>
          <w:b/>
          <w:sz w:val="20"/>
          <w:szCs w:val="20"/>
        </w:rPr>
        <w:t>(C)=(B)/(A)</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「院外教育每人年平均」：</w:t>
      </w:r>
      <w:r>
        <w:rPr>
          <w:rFonts w:eastAsia="標楷體"/>
          <w:b/>
          <w:sz w:val="20"/>
          <w:szCs w:val="20"/>
        </w:rPr>
        <w:t>(E)=(D)/(A)</w:t>
      </w:r>
    </w:p>
    <w:p>
      <w:pPr>
        <w:pStyle w:val="BodyText"/>
        <w:tabs>
          <w:tab w:val="clear" w:pos="480"/>
        </w:tabs>
        <w:spacing w:lineRule="atLeast" w:line="0"/>
        <w:ind w:left="154" w:hanging="154"/>
        <w:rPr>
          <w:rFonts w:eastAsia="標楷體"/>
          <w:b/>
          <w:sz w:val="20"/>
          <w:szCs w:val="20"/>
        </w:rPr>
      </w:pPr>
      <w:r>
        <w:rPr>
          <w:rFonts w:eastAsia="標楷體"/>
          <w:b/>
          <w:sz w:val="20"/>
          <w:szCs w:val="20"/>
        </w:rPr>
        <w:t>5.</w:t>
      </w:r>
      <w:r>
        <w:rPr>
          <w:rFonts w:eastAsia="標楷體"/>
          <w:b/>
          <w:sz w:val="20"/>
          <w:szCs w:val="20"/>
        </w:rPr>
        <w:t>合計每人年平均時數</w:t>
      </w:r>
      <w:r>
        <w:rPr>
          <w:rFonts w:eastAsia="標楷體"/>
          <w:b/>
          <w:sz w:val="20"/>
          <w:szCs w:val="20"/>
        </w:rPr>
        <w:t>(F)=(C)+(E)</w:t>
      </w:r>
    </w:p>
    <w:p>
      <w:pPr>
        <w:pStyle w:val="BodyText"/>
        <w:numPr>
          <w:ilvl w:val="0"/>
          <w:numId w:val="8"/>
        </w:numPr>
        <w:tabs>
          <w:tab w:val="clear" w:pos="480"/>
          <w:tab w:val="left" w:pos="612" w:leader="none"/>
        </w:tabs>
        <w:spacing w:lineRule="exact" w:line="500"/>
        <w:ind w:left="612" w:hanging="612"/>
        <w:rPr/>
      </w:pPr>
      <w:r>
        <w:rPr>
          <w:rStyle w:val="Style14"/>
          <w:rFonts w:eastAsia="標楷體"/>
          <w:bCs/>
        </w:rPr>
        <w:t>必要</w:t>
      </w:r>
      <w:r>
        <w:rPr>
          <w:rStyle w:val="Style14"/>
          <w:rFonts w:eastAsia="標楷體"/>
        </w:rPr>
        <w:t>之教育及進修課程是否包含下述內容：</w:t>
      </w:r>
    </w:p>
    <w:tbl>
      <w:tblPr>
        <w:tblW w:w="5000" w:type="pct"/>
        <w:jc w:val="right"/>
        <w:tblInd w:w="0" w:type="dxa"/>
        <w:tblLayout w:type="fixed"/>
        <w:tblCellMar>
          <w:top w:w="0" w:type="dxa"/>
          <w:left w:w="108" w:type="dxa"/>
          <w:bottom w:w="0" w:type="dxa"/>
          <w:right w:w="108" w:type="dxa"/>
        </w:tblCellMar>
      </w:tblPr>
      <w:tblGrid>
        <w:gridCol w:w="3437"/>
        <w:gridCol w:w="1550"/>
        <w:gridCol w:w="1550"/>
        <w:gridCol w:w="1550"/>
        <w:gridCol w:w="1551"/>
      </w:tblGrid>
      <w:tr>
        <w:trPr>
          <w:tblHeader w:val="true"/>
          <w:trHeight w:val="20" w:hRule="atLeast"/>
        </w:trPr>
        <w:tc>
          <w:tcPr>
            <w:tcW w:w="343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課程內容</w:t>
            </w:r>
          </w:p>
        </w:tc>
        <w:tc>
          <w:tcPr>
            <w:tcW w:w="3100"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教育訓練及進修內容</w:t>
            </w:r>
          </w:p>
          <w:p>
            <w:pPr>
              <w:pStyle w:val="BodyText"/>
              <w:tabs>
                <w:tab w:val="clear" w:pos="480"/>
                <w:tab w:val="left" w:pos="360" w:leader="none"/>
                <w:tab w:val="left" w:pos="540" w:leader="none"/>
              </w:tabs>
              <w:snapToGrid w:val="false"/>
              <w:jc w:val="center"/>
              <w:rPr>
                <w:rFonts w:eastAsia="標楷體"/>
              </w:rPr>
            </w:pPr>
            <w:r>
              <w:rPr>
                <w:rFonts w:eastAsia="標楷體"/>
              </w:rPr>
              <w:t>是否包含前述課程內容</w:t>
            </w:r>
          </w:p>
        </w:tc>
        <w:tc>
          <w:tcPr>
            <w:tcW w:w="3101"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w:t>
            </w:r>
          </w:p>
          <w:p>
            <w:pPr>
              <w:pStyle w:val="BodyText"/>
              <w:tabs>
                <w:tab w:val="clear" w:pos="480"/>
                <w:tab w:val="left" w:pos="360" w:leader="none"/>
                <w:tab w:val="left" w:pos="540" w:leader="none"/>
              </w:tabs>
              <w:snapToGrid w:val="false"/>
              <w:jc w:val="center"/>
              <w:rPr>
                <w:rFonts w:eastAsia="標楷體"/>
              </w:rPr>
            </w:pPr>
            <w:r>
              <w:rPr>
                <w:rFonts w:eastAsia="標楷體"/>
              </w:rPr>
              <w:t>成果評估</w:t>
            </w:r>
          </w:p>
        </w:tc>
      </w:tr>
      <w:tr>
        <w:trPr>
          <w:tblHeader w:val="true"/>
          <w:trHeight w:val="20" w:hRule="atLeast"/>
        </w:trPr>
        <w:tc>
          <w:tcPr>
            <w:tcW w:w="343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5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院內</w:t>
            </w:r>
          </w:p>
        </w:tc>
        <w:tc>
          <w:tcPr>
            <w:tcW w:w="155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院外</w:t>
            </w:r>
          </w:p>
        </w:tc>
        <w:tc>
          <w:tcPr>
            <w:tcW w:w="155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院內</w:t>
            </w:r>
          </w:p>
        </w:tc>
        <w:tc>
          <w:tcPr>
            <w:tcW w:w="1551"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院外</w:t>
            </w:r>
          </w:p>
        </w:tc>
      </w:tr>
      <w:tr>
        <w:trPr>
          <w:trHeight w:val="405"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病人權利相關議題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r>
      <w:tr>
        <w:trPr>
          <w:trHeight w:val="405"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病人安全</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2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醫學</w:t>
            </w:r>
            <w:r>
              <w:rPr>
                <w:rFonts w:eastAsia="標楷體"/>
              </w:rPr>
              <w:t>/</w:t>
            </w:r>
            <w:r>
              <w:rPr>
                <w:rFonts w:eastAsia="標楷體"/>
              </w:rPr>
              <w:t>醫事</w:t>
            </w:r>
            <w:r>
              <w:rPr>
                <w:rFonts w:eastAsia="標楷體"/>
              </w:rPr>
              <w:t>/</w:t>
            </w:r>
            <w:r>
              <w:rPr>
                <w:rFonts w:eastAsia="標楷體"/>
              </w:rPr>
              <w:t>護理倫理</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全人醫療議題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感染管制</w:t>
            </w:r>
            <w:r>
              <w:rPr>
                <w:rFonts w:eastAsia="標楷體"/>
              </w:rPr>
              <w:t>/</w:t>
            </w:r>
            <w:r>
              <w:rPr>
                <w:rFonts w:eastAsia="標楷體"/>
              </w:rPr>
              <w:t>傳染病教育訓練</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醫事爭議預防</w:t>
            </w:r>
            <w:r>
              <w:rPr>
                <w:rFonts w:eastAsia="標楷體"/>
              </w:rPr>
              <w:t>/</w:t>
            </w:r>
            <w:r>
              <w:rPr>
                <w:rFonts w:eastAsia="標楷體"/>
              </w:rPr>
              <w:t>危機管理議題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醫療糾紛議題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醫事法令</w:t>
            </w:r>
            <w:r>
              <w:rPr>
                <w:rFonts w:eastAsia="標楷體"/>
              </w:rPr>
              <w:t>/</w:t>
            </w:r>
            <w:r>
              <w:rPr>
                <w:rFonts w:eastAsia="標楷體"/>
              </w:rPr>
              <w:t>醫療法規議題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bl>
    <w:p>
      <w:pPr>
        <w:pStyle w:val="BodyText"/>
        <w:tabs>
          <w:tab w:val="clear" w:pos="480"/>
          <w:tab w:val="left" w:pos="720" w:leader="none"/>
        </w:tabs>
        <w:spacing w:lineRule="exact" w:line="500"/>
        <w:rPr>
          <w:rFonts w:eastAsia="標楷體"/>
          <w:b/>
          <w:bCs/>
          <w:sz w:val="28"/>
          <w:szCs w:val="28"/>
        </w:rPr>
      </w:pPr>
      <w:r>
        <w:rPr>
          <w:rFonts w:eastAsia="標楷體"/>
          <w:b/>
          <w:bCs/>
          <w:sz w:val="28"/>
          <w:szCs w:val="28"/>
        </w:rPr>
      </w:r>
    </w:p>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營養與膳食衛生管理作業</w:t>
      </w:r>
    </w:p>
    <w:p>
      <w:pPr>
        <w:pStyle w:val="BodyText"/>
        <w:numPr>
          <w:ilvl w:val="0"/>
          <w:numId w:val="9"/>
        </w:numPr>
        <w:tabs>
          <w:tab w:val="clear" w:pos="480"/>
          <w:tab w:val="left" w:pos="654" w:leader="none"/>
        </w:tabs>
        <w:spacing w:lineRule="exact" w:line="500"/>
        <w:ind w:left="654" w:hanging="654"/>
        <w:rPr/>
      </w:pPr>
      <w:r>
        <w:rPr>
          <w:rStyle w:val="Style14"/>
          <w:rFonts w:eastAsia="標楷體"/>
        </w:rPr>
        <w:t>貴院近</w:t>
      </w:r>
      <w:r>
        <w:rPr>
          <w:rStyle w:val="Style14"/>
          <w:rFonts w:eastAsia="標楷體"/>
        </w:rPr>
        <w:t>4</w:t>
      </w:r>
      <w:r>
        <w:rPr>
          <w:rStyle w:val="Style14"/>
          <w:rFonts w:eastAsia="標楷體"/>
        </w:rPr>
        <w:t>年（</w:t>
      </w:r>
      <w:r>
        <w:rPr>
          <w:rStyle w:val="Style14"/>
          <w:rFonts w:eastAsia="標楷體"/>
        </w:rPr>
        <w:t>102</w:t>
      </w:r>
      <w:r>
        <w:rPr>
          <w:rStyle w:val="Style14"/>
          <w:rFonts w:eastAsia="標楷體"/>
        </w:rPr>
        <w:t>年</w:t>
      </w:r>
      <w:r>
        <w:rPr>
          <w:rStyle w:val="Style14"/>
          <w:rFonts w:eastAsia="標楷體"/>
        </w:rPr>
        <w:t>~105</w:t>
      </w:r>
      <w:r>
        <w:rPr>
          <w:rStyle w:val="Style14"/>
          <w:rFonts w:eastAsia="標楷體"/>
        </w:rPr>
        <w:t>年）醫院病人訂餐統計</w:t>
      </w:r>
    </w:p>
    <w:tbl>
      <w:tblPr>
        <w:tblW w:w="5000" w:type="pct"/>
        <w:jc w:val="right"/>
        <w:tblInd w:w="0" w:type="dxa"/>
        <w:tblLayout w:type="fixed"/>
        <w:tblCellMar>
          <w:top w:w="0" w:type="dxa"/>
          <w:left w:w="28" w:type="dxa"/>
          <w:bottom w:w="0" w:type="dxa"/>
          <w:right w:w="28" w:type="dxa"/>
        </w:tblCellMar>
      </w:tblPr>
      <w:tblGrid>
        <w:gridCol w:w="713"/>
        <w:gridCol w:w="897"/>
        <w:gridCol w:w="1078"/>
        <w:gridCol w:w="1078"/>
        <w:gridCol w:w="1077"/>
        <w:gridCol w:w="1078"/>
        <w:gridCol w:w="1082"/>
        <w:gridCol w:w="1257"/>
        <w:gridCol w:w="1378"/>
      </w:tblGrid>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年</w:t>
            </w:r>
          </w:p>
          <w:p>
            <w:pPr>
              <w:pStyle w:val="BodyText"/>
              <w:jc w:val="center"/>
              <w:rPr>
                <w:rFonts w:eastAsia="標楷體"/>
              </w:rPr>
            </w:pPr>
            <w:r>
              <w:rPr>
                <w:rFonts w:eastAsia="標楷體"/>
              </w:rPr>
              <w:t>度</w:t>
            </w:r>
          </w:p>
          <w:p>
            <w:pPr>
              <w:pStyle w:val="BodyText"/>
              <w:jc w:val="center"/>
              <w:rPr>
                <w:rFonts w:eastAsia="標楷體"/>
              </w:rPr>
            </w:pPr>
            <w:r>
              <w:rPr>
                <w:rFonts w:eastAsia="標楷體"/>
              </w:rPr>
              <w:t>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住院</w:t>
            </w:r>
          </w:p>
          <w:p>
            <w:pPr>
              <w:pStyle w:val="BodyText"/>
              <w:jc w:val="center"/>
              <w:rPr>
                <w:rFonts w:eastAsia="標楷體"/>
              </w:rPr>
            </w:pPr>
            <w:r>
              <w:rPr>
                <w:rFonts w:eastAsia="標楷體"/>
              </w:rPr>
              <w:t>人日數</w:t>
            </w:r>
          </w:p>
          <w:p>
            <w:pPr>
              <w:pStyle w:val="BodyText"/>
              <w:jc w:val="center"/>
              <w:rPr>
                <w:rFonts w:eastAsia="標楷體"/>
              </w:rPr>
            </w:pPr>
            <w:r>
              <w:rPr>
                <w:rFonts w:eastAsia="標楷體"/>
              </w:rPr>
              <w:t>(H)</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普通</w:t>
            </w:r>
          </w:p>
          <w:p>
            <w:pPr>
              <w:pStyle w:val="BodyText"/>
              <w:jc w:val="center"/>
              <w:rPr>
                <w:rFonts w:eastAsia="標楷體"/>
              </w:rPr>
            </w:pPr>
            <w:r>
              <w:rPr>
                <w:rFonts w:eastAsia="標楷體"/>
              </w:rPr>
              <w:t>飲食</w:t>
            </w:r>
          </w:p>
        </w:tc>
        <w:tc>
          <w:tcPr>
            <w:tcW w:w="4315" w:type="dxa"/>
            <w:gridSpan w:val="4"/>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治療飲食</w:t>
            </w:r>
            <w:r>
              <w:rPr>
                <w:rFonts w:eastAsia="標楷體"/>
              </w:rPr>
              <w:t>(B)(B=C+D+E)</w:t>
            </w:r>
          </w:p>
        </w:tc>
        <w:tc>
          <w:tcPr>
            <w:tcW w:w="125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訂餐人日數</w:t>
            </w:r>
            <w:r>
              <w:rPr>
                <w:rFonts w:eastAsia="標楷體"/>
              </w:rPr>
              <w:t>(G)</w:t>
            </w:r>
          </w:p>
          <w:p>
            <w:pPr>
              <w:pStyle w:val="BodyText"/>
              <w:jc w:val="center"/>
              <w:rPr>
                <w:rFonts w:eastAsia="標楷體"/>
              </w:rPr>
            </w:pPr>
            <w:r>
              <w:rPr>
                <w:rFonts w:eastAsia="標楷體"/>
              </w:rPr>
              <w:t>(G=A+B)</w:t>
            </w:r>
          </w:p>
        </w:tc>
        <w:tc>
          <w:tcPr>
            <w:tcW w:w="13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訂餐比率</w:t>
            </w:r>
            <w:r>
              <w:rPr>
                <w:rFonts w:eastAsia="標楷體"/>
              </w:rPr>
              <w:t>% G/H</w:t>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一般</w:t>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軟食</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其他</w:t>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合計</w:t>
            </w:r>
          </w:p>
        </w:tc>
        <w:tc>
          <w:tcPr>
            <w:tcW w:w="12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(A)</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(C)</w:t>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(D)</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p>
          <w:p>
            <w:pPr>
              <w:pStyle w:val="BodyText"/>
              <w:jc w:val="center"/>
              <w:rPr>
                <w:rFonts w:eastAsia="標楷體"/>
              </w:rPr>
            </w:pPr>
            <w:r>
              <w:rPr>
                <w:rFonts w:eastAsia="標楷體"/>
              </w:rPr>
              <w:t>(E)</w:t>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(B)</w:t>
            </w:r>
          </w:p>
        </w:tc>
        <w:tc>
          <w:tcPr>
            <w:tcW w:w="12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%(A/G)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%(C/G)</w:t>
            </w:r>
          </w:p>
        </w:tc>
        <w:tc>
          <w:tcPr>
            <w:tcW w:w="107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%(D/G)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%(E/G)</w:t>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%(B/G)</w:t>
            </w:r>
          </w:p>
        </w:tc>
        <w:tc>
          <w:tcPr>
            <w:tcW w:w="12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102</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103</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104</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both"/>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105</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若一般飲食、軟食無法分開計算，請合計在「一般」當中。</w:t>
      </w:r>
      <w:r>
        <w:br w:type="page"/>
      </w:r>
    </w:p>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門診病人等候時間統計</w:t>
      </w:r>
    </w:p>
    <w:p>
      <w:pPr>
        <w:pStyle w:val="BodyText"/>
        <w:numPr>
          <w:ilvl w:val="0"/>
          <w:numId w:val="10"/>
        </w:numPr>
        <w:tabs>
          <w:tab w:val="clear" w:pos="480"/>
          <w:tab w:val="left" w:pos="644" w:leader="none"/>
        </w:tabs>
        <w:spacing w:lineRule="exact" w:line="500"/>
        <w:ind w:left="644" w:hanging="644"/>
        <w:rPr>
          <w:rFonts w:eastAsia="標楷體"/>
        </w:rPr>
      </w:pPr>
      <w:r>
        <w:rPr>
          <w:rFonts w:eastAsia="標楷體"/>
        </w:rPr>
        <w:t>有無統計分析門診病人的等候時間？</w:t>
      </w:r>
    </w:p>
    <w:p>
      <w:pPr>
        <w:pStyle w:val="BodyText"/>
        <w:spacing w:lineRule="exact" w:line="400"/>
        <w:ind w:firstLine="360"/>
        <w:rPr/>
      </w:pPr>
      <w:r>
        <w:rPr>
          <w:rStyle w:val="Style14"/>
          <w:rFonts w:eastAsia="標楷體"/>
        </w:rPr>
        <w:t>○</w:t>
      </w:r>
      <w:r>
        <w:rPr>
          <w:rStyle w:val="Style14"/>
          <w:rFonts w:eastAsia="標楷體"/>
        </w:rPr>
        <w:t>有定期統計分析，</w:t>
      </w:r>
      <w:r>
        <w:rPr>
          <w:rStyle w:val="Style14"/>
          <w:rFonts w:eastAsia="標楷體"/>
          <w:bCs/>
          <w:u w:val="single"/>
        </w:rPr>
        <w:t xml:space="preserve">    </w:t>
      </w:r>
      <w:r>
        <w:rPr>
          <w:rStyle w:val="Style14"/>
          <w:rFonts w:eastAsia="標楷體"/>
          <w:bCs/>
        </w:rPr>
        <w:t>次</w:t>
      </w:r>
      <w:r>
        <w:rPr>
          <w:rStyle w:val="Style14"/>
          <w:rFonts w:eastAsia="標楷體"/>
          <w:bCs/>
        </w:rPr>
        <w:t>/</w:t>
      </w:r>
      <w:r>
        <w:rPr>
          <w:rStyle w:val="Style14"/>
          <w:rFonts w:eastAsia="標楷體"/>
          <w:bCs/>
          <w:u w:val="single"/>
        </w:rPr>
        <w:t xml:space="preserve">    </w:t>
      </w:r>
      <w:r>
        <w:rPr>
          <w:rStyle w:val="Style14"/>
          <w:rFonts w:eastAsia="標楷體"/>
          <w:bCs/>
        </w:rPr>
        <w:t>年</w:t>
      </w:r>
      <w:r>
        <w:rPr>
          <w:rStyle w:val="Style14"/>
          <w:rFonts w:eastAsia="標楷體"/>
        </w:rPr>
        <w:t>(</w:t>
      </w:r>
      <w:r>
        <w:rPr>
          <w:rStyle w:val="Style14"/>
          <w:rFonts w:eastAsia="標楷體"/>
        </w:rPr>
        <w:t>請續答</w:t>
      </w:r>
      <w:r>
        <w:rPr>
          <w:rStyle w:val="Style14"/>
          <w:rFonts w:eastAsia="標楷體"/>
        </w:rPr>
        <w:t>1.1~1.2)</w:t>
      </w:r>
    </w:p>
    <w:p>
      <w:pPr>
        <w:pStyle w:val="BodyText"/>
        <w:spacing w:lineRule="exact" w:line="400"/>
        <w:ind w:firstLine="360"/>
        <w:rPr/>
      </w:pPr>
      <w:r>
        <w:rPr>
          <w:rStyle w:val="Style14"/>
          <w:rFonts w:eastAsia="標楷體"/>
        </w:rPr>
        <w:t>○</w:t>
      </w:r>
      <w:r>
        <w:rPr>
          <w:rStyle w:val="Style14"/>
          <w:rFonts w:eastAsia="標楷體"/>
        </w:rPr>
        <w:t>有統計分析，最近的調查時間：民國</w:t>
      </w:r>
      <w:r>
        <w:rPr>
          <w:rStyle w:val="Style14"/>
          <w:rFonts w:eastAsia="標楷體"/>
          <w:u w:val="single"/>
        </w:rPr>
        <w:t>　　　　</w:t>
      </w:r>
      <w:r>
        <w:rPr>
          <w:rStyle w:val="Style14"/>
          <w:rFonts w:eastAsia="標楷體"/>
        </w:rPr>
        <w:t>年</w:t>
      </w:r>
      <w:r>
        <w:rPr>
          <w:rStyle w:val="Style14"/>
          <w:rFonts w:eastAsia="標楷體"/>
          <w:u w:val="single"/>
        </w:rPr>
        <w:t>　　　　</w:t>
      </w:r>
      <w:r>
        <w:rPr>
          <w:rStyle w:val="Style14"/>
          <w:rFonts w:eastAsia="標楷體"/>
        </w:rPr>
        <w:t>月</w:t>
      </w:r>
      <w:r>
        <w:rPr>
          <w:rStyle w:val="Style14"/>
          <w:rFonts w:eastAsia="標楷體"/>
        </w:rPr>
        <w:t>(</w:t>
      </w:r>
      <w:r>
        <w:rPr>
          <w:rStyle w:val="Style14"/>
          <w:rFonts w:eastAsia="標楷體"/>
        </w:rPr>
        <w:t>請續答</w:t>
      </w:r>
      <w:r>
        <w:rPr>
          <w:rStyle w:val="Style14"/>
          <w:rFonts w:eastAsia="標楷體"/>
        </w:rPr>
        <w:t>1.1~1.2)</w:t>
      </w:r>
    </w:p>
    <w:p>
      <w:pPr>
        <w:pStyle w:val="BodyText"/>
        <w:spacing w:lineRule="exact" w:line="400"/>
        <w:ind w:firstLine="360"/>
        <w:rPr>
          <w:rFonts w:eastAsia="標楷體"/>
        </w:rPr>
      </w:pPr>
      <w:r>
        <w:rPr>
          <w:rFonts w:eastAsia="標楷體"/>
        </w:rPr>
        <w:t>○</w:t>
      </w:r>
      <w:r>
        <w:rPr>
          <w:rFonts w:eastAsia="標楷體"/>
        </w:rPr>
        <w:t>無統計分析</w:t>
      </w:r>
    </w:p>
    <w:p>
      <w:pPr>
        <w:pStyle w:val="BodyText"/>
        <w:tabs>
          <w:tab w:val="clear" w:pos="480"/>
        </w:tabs>
        <w:spacing w:lineRule="exact" w:line="400"/>
        <w:ind w:left="720" w:hanging="360"/>
        <w:rPr>
          <w:rFonts w:eastAsia="標楷體"/>
        </w:rPr>
      </w:pPr>
      <w:r>
        <w:rPr>
          <w:rFonts w:eastAsia="標楷體"/>
        </w:rPr>
        <w:t>1.1</w:t>
      </w:r>
      <w:r>
        <w:rPr>
          <w:rFonts w:eastAsia="標楷體"/>
        </w:rPr>
        <w:t>門診病人平均等候時間（以最近</w:t>
      </w:r>
      <w:r>
        <w:rPr>
          <w:rFonts w:eastAsia="標楷體"/>
        </w:rPr>
        <w:t>1</w:t>
      </w:r>
      <w:r>
        <w:rPr>
          <w:rFonts w:eastAsia="標楷體"/>
        </w:rPr>
        <w:t>年之調查資料填寫）</w:t>
      </w:r>
    </w:p>
    <w:tbl>
      <w:tblPr>
        <w:tblW w:w="9000" w:type="dxa"/>
        <w:jc w:val="left"/>
        <w:tblInd w:w="463" w:type="dxa"/>
        <w:tblLayout w:type="fixed"/>
        <w:tblCellMar>
          <w:top w:w="0" w:type="dxa"/>
          <w:left w:w="108" w:type="dxa"/>
          <w:bottom w:w="0" w:type="dxa"/>
          <w:right w:w="108" w:type="dxa"/>
        </w:tblCellMar>
      </w:tblPr>
      <w:tblGrid>
        <w:gridCol w:w="4680"/>
        <w:gridCol w:w="2880"/>
        <w:gridCol w:w="1440"/>
      </w:tblGrid>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1.1.1</w:t>
            </w:r>
            <w:r>
              <w:rPr>
                <w:rFonts w:eastAsia="標楷體"/>
              </w:rPr>
              <w:t>初診病人門診等候時間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1.1.2</w:t>
            </w:r>
            <w:r>
              <w:rPr>
                <w:rFonts w:eastAsia="標楷體"/>
              </w:rPr>
              <w:t>複診病人門診等候時間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1.1.</w:t>
            </w:r>
            <w:r>
              <w:rPr/>
              <w:t>3</w:t>
            </w:r>
            <w:r>
              <w:rPr>
                <w:rStyle w:val="Style14"/>
                <w:rFonts w:eastAsia="標楷體"/>
              </w:rPr>
              <w:t>放射線檢查等候時間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1.1.4</w:t>
            </w:r>
            <w:r>
              <w:rPr>
                <w:rFonts w:eastAsia="標楷體"/>
              </w:rPr>
              <w:t xml:space="preserve">現場掛號等候時間 </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1.1.</w:t>
            </w:r>
            <w:r>
              <w:rPr/>
              <w:t>5</w:t>
            </w:r>
            <w:r>
              <w:rPr>
                <w:rStyle w:val="Style14"/>
                <w:rFonts w:eastAsia="標楷體"/>
              </w:rPr>
              <w:t>批價繳費等候時間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pPr>
            <w:r>
              <w:rPr>
                <w:rStyle w:val="Style14"/>
                <w:rFonts w:eastAsia="標楷體"/>
              </w:rPr>
              <w:t>1.1.</w:t>
            </w:r>
            <w:r>
              <w:rPr/>
              <w:t>6</w:t>
            </w:r>
            <w:r>
              <w:rPr>
                <w:rStyle w:val="Style14"/>
                <w:rFonts w:eastAsia="標楷體"/>
              </w:rPr>
              <w:t xml:space="preserve">領藥等候時間 </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bl>
    <w:p>
      <w:pPr>
        <w:pStyle w:val="BodyText"/>
        <w:tabs>
          <w:tab w:val="clear" w:pos="480"/>
        </w:tabs>
        <w:spacing w:lineRule="exact" w:line="400"/>
        <w:ind w:left="720" w:hanging="360"/>
        <w:rPr>
          <w:rFonts w:eastAsia="標楷體"/>
        </w:rPr>
      </w:pPr>
      <w:r>
        <w:rPr>
          <w:rFonts w:eastAsia="標楷體"/>
        </w:rPr>
      </w:r>
    </w:p>
    <w:p>
      <w:pPr>
        <w:pStyle w:val="BodyText"/>
        <w:tabs>
          <w:tab w:val="clear" w:pos="480"/>
        </w:tabs>
        <w:spacing w:lineRule="exact" w:line="400"/>
        <w:ind w:left="720" w:hanging="360"/>
        <w:rPr/>
      </w:pPr>
      <w:r>
        <w:rPr>
          <w:rStyle w:val="Style14"/>
          <w:rFonts w:eastAsia="標楷體"/>
        </w:rPr>
        <w:t>1.2</w:t>
      </w:r>
      <w:r>
        <w:rPr>
          <w:rStyle w:val="Style14"/>
          <w:rFonts w:eastAsia="標楷體"/>
        </w:rPr>
        <w:t>病人安排各項門診檢查平均等候時間</w:t>
      </w:r>
      <w:r>
        <w:rPr>
          <w:rStyle w:val="Style14"/>
          <w:rFonts w:eastAsia="標楷體"/>
        </w:rPr>
        <w:t>(</w:t>
      </w:r>
      <w:r>
        <w:rPr>
          <w:rStyle w:val="Style14"/>
          <w:rFonts w:eastAsia="標楷體"/>
        </w:rPr>
        <w:t>日數</w:t>
      </w:r>
      <w:r>
        <w:rPr>
          <w:rStyle w:val="Style14"/>
          <w:rFonts w:eastAsia="標楷體"/>
        </w:rPr>
        <w:t>)</w:t>
      </w:r>
      <w:r>
        <w:rPr>
          <w:rStyle w:val="Style14"/>
          <w:rFonts w:eastAsia="標楷體"/>
        </w:rPr>
        <w:t>統計</w:t>
      </w:r>
    </w:p>
    <w:tbl>
      <w:tblPr>
        <w:tblW w:w="4800" w:type="pct"/>
        <w:jc w:val="right"/>
        <w:tblInd w:w="0" w:type="dxa"/>
        <w:tblLayout w:type="fixed"/>
        <w:tblCellMar>
          <w:top w:w="0" w:type="dxa"/>
          <w:left w:w="28" w:type="dxa"/>
          <w:bottom w:w="0" w:type="dxa"/>
          <w:right w:w="28" w:type="dxa"/>
        </w:tblCellMar>
      </w:tblPr>
      <w:tblGrid>
        <w:gridCol w:w="2941"/>
        <w:gridCol w:w="1577"/>
        <w:gridCol w:w="1578"/>
        <w:gridCol w:w="1578"/>
        <w:gridCol w:w="1578"/>
      </w:tblGrid>
      <w:tr>
        <w:trPr>
          <w:tblHeader w:val="true"/>
          <w:trHeight w:val="397" w:hRule="atLeast"/>
        </w:trPr>
        <w:tc>
          <w:tcPr>
            <w:tcW w:w="294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t>年度別</w:t>
            </w:r>
            <w:r>
              <w:rPr>
                <w:rFonts w:eastAsia="標楷體"/>
              </w:rPr>
              <w:t>-</w:t>
            </w:r>
            <w:r>
              <w:rPr>
                <w:rFonts w:eastAsia="標楷體"/>
              </w:rPr>
              <w:t>平均等候日</w:t>
            </w:r>
          </w:p>
          <w:p>
            <w:pPr>
              <w:pStyle w:val="BodyText"/>
              <w:autoSpaceDE w:val="false"/>
              <w:snapToGrid w:val="false"/>
              <w:rPr>
                <w:rFonts w:eastAsia="標楷體"/>
              </w:rPr>
            </w:pPr>
            <w:r>
              <w:rPr>
                <w:rFonts w:eastAsia="標楷體"/>
              </w:rPr>
              <w:t>檢查項目</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r>
      <w:tr>
        <w:trPr>
          <w:trHeight w:val="397"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心理衡鑑</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r>
        <w:trPr>
          <w:trHeight w:val="397"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心理治療</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r>
        <w:trPr>
          <w:trHeight w:val="397"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職能評估</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r>
        <w:trPr>
          <w:trHeight w:val="397"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社會功能評估</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bl>
    <w:p>
      <w:pPr>
        <w:pStyle w:val="BodyText"/>
        <w:tabs>
          <w:tab w:val="clear" w:pos="480"/>
          <w:tab w:val="left" w:pos="720" w:leader="none"/>
        </w:tabs>
        <w:spacing w:lineRule="exact" w:line="500"/>
        <w:rPr>
          <w:rFonts w:eastAsia="標楷體"/>
          <w:b/>
          <w:bCs/>
          <w:sz w:val="28"/>
          <w:szCs w:val="28"/>
        </w:rPr>
      </w:pPr>
      <w:r>
        <w:rPr>
          <w:rFonts w:eastAsia="標楷體"/>
          <w:b/>
          <w:bCs/>
          <w:sz w:val="28"/>
          <w:szCs w:val="28"/>
        </w:rPr>
      </w:r>
      <w:r>
        <w:br w:type="page"/>
      </w:r>
    </w:p>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院內、外緊急災難之應變</w:t>
      </w:r>
    </w:p>
    <w:p>
      <w:pPr>
        <w:pStyle w:val="BodyText"/>
        <w:numPr>
          <w:ilvl w:val="0"/>
          <w:numId w:val="11"/>
        </w:numPr>
        <w:tabs>
          <w:tab w:val="clear" w:pos="480"/>
          <w:tab w:val="left" w:pos="554" w:leader="none"/>
        </w:tabs>
        <w:spacing w:lineRule="exact" w:line="500"/>
        <w:ind w:left="554" w:hanging="360"/>
        <w:rPr/>
      </w:pPr>
      <w:r>
        <w:rPr>
          <w:rStyle w:val="Style14"/>
          <w:rFonts w:eastAsia="標楷體"/>
        </w:rPr>
        <w:t>貴院院內急救小組在近</w:t>
      </w:r>
      <w:r>
        <w:rPr>
          <w:rStyle w:val="Style14"/>
          <w:rFonts w:eastAsia="標楷體"/>
        </w:rPr>
        <w:t>4</w:t>
      </w:r>
      <w:r>
        <w:rPr>
          <w:rStyle w:val="Style14"/>
          <w:rFonts w:eastAsia="標楷體"/>
        </w:rPr>
        <w:t>年（</w:t>
      </w:r>
      <w:r>
        <w:rPr>
          <w:rStyle w:val="Style14"/>
          <w:rFonts w:eastAsia="標楷體"/>
          <w:bCs/>
          <w:kern w:val="0"/>
        </w:rPr>
        <w:t>102</w:t>
      </w:r>
      <w:r>
        <w:rPr>
          <w:rStyle w:val="Style14"/>
          <w:rFonts w:eastAsia="標楷體"/>
          <w:bCs/>
          <w:kern w:val="0"/>
        </w:rPr>
        <w:t>年</w:t>
      </w:r>
      <w:r>
        <w:rPr>
          <w:rStyle w:val="Style14"/>
          <w:rFonts w:eastAsia="標楷體"/>
          <w:bCs/>
          <w:kern w:val="0"/>
        </w:rPr>
        <w:t>~105</w:t>
      </w:r>
      <w:r>
        <w:rPr>
          <w:rStyle w:val="Style14"/>
          <w:rFonts w:eastAsia="標楷體"/>
          <w:bCs/>
          <w:kern w:val="0"/>
        </w:rPr>
        <w:t>年</w:t>
      </w:r>
      <w:r>
        <w:rPr>
          <w:rStyle w:val="Style14"/>
          <w:rFonts w:eastAsia="標楷體"/>
        </w:rPr>
        <w:t>）中已處理</w:t>
      </w:r>
      <w:r>
        <w:rPr>
          <w:rStyle w:val="Style14"/>
          <w:rFonts w:eastAsia="標楷體"/>
          <w:u w:val="single"/>
        </w:rPr>
        <w:t xml:space="preserve">         </w:t>
      </w:r>
      <w:r>
        <w:rPr>
          <w:rStyle w:val="Style14"/>
          <w:rFonts w:eastAsia="標楷體"/>
        </w:rPr>
        <w:t>個個案。</w:t>
      </w:r>
    </w:p>
    <w:p>
      <w:pPr>
        <w:pStyle w:val="BodyText"/>
        <w:numPr>
          <w:ilvl w:val="0"/>
          <w:numId w:val="11"/>
        </w:numPr>
        <w:tabs>
          <w:tab w:val="clear" w:pos="480"/>
          <w:tab w:val="left" w:pos="554" w:leader="none"/>
        </w:tabs>
        <w:spacing w:lineRule="exact" w:line="400"/>
        <w:ind w:left="554" w:hanging="360"/>
        <w:rPr/>
      </w:pPr>
      <w:r>
        <w:rPr>
          <w:rStyle w:val="Style14"/>
          <w:rFonts w:eastAsia="標楷體"/>
        </w:rPr>
        <w:t>近</w:t>
      </w:r>
      <w:r>
        <w:rPr>
          <w:rStyle w:val="Style14"/>
          <w:rFonts w:eastAsia="標楷體"/>
        </w:rPr>
        <w:t>4</w:t>
      </w:r>
      <w:r>
        <w:rPr>
          <w:rStyle w:val="Style14"/>
          <w:rFonts w:eastAsia="標楷體"/>
        </w:rPr>
        <w:t>年（</w:t>
      </w:r>
      <w:r>
        <w:rPr>
          <w:rStyle w:val="Style14"/>
          <w:rFonts w:eastAsia="標楷體"/>
          <w:bCs/>
          <w:kern w:val="0"/>
        </w:rPr>
        <w:t>102</w:t>
      </w:r>
      <w:r>
        <w:rPr>
          <w:rStyle w:val="Style14"/>
          <w:rFonts w:eastAsia="標楷體"/>
          <w:bCs/>
          <w:kern w:val="0"/>
        </w:rPr>
        <w:t>年</w:t>
      </w:r>
      <w:r>
        <w:rPr>
          <w:rStyle w:val="Style14"/>
          <w:rFonts w:eastAsia="標楷體"/>
          <w:bCs/>
          <w:kern w:val="0"/>
        </w:rPr>
        <w:t>~105</w:t>
      </w:r>
      <w:r>
        <w:rPr>
          <w:rStyle w:val="Style14"/>
          <w:rFonts w:eastAsia="標楷體"/>
          <w:bCs/>
          <w:kern w:val="0"/>
        </w:rPr>
        <w:t>年</w:t>
      </w:r>
      <w:r>
        <w:rPr>
          <w:rStyle w:val="Style14"/>
          <w:rFonts w:eastAsia="標楷體"/>
        </w:rPr>
        <w:t>）各單位舉辦之災難演習</w:t>
      </w:r>
      <w:r>
        <w:rPr>
          <w:rStyle w:val="Style14"/>
          <w:rFonts w:eastAsia="標楷體"/>
          <w:u w:val="single"/>
        </w:rPr>
        <w:t xml:space="preserve">         </w:t>
      </w:r>
      <w:r>
        <w:rPr>
          <w:rStyle w:val="Style14"/>
          <w:rFonts w:eastAsia="標楷體"/>
        </w:rPr>
        <w:t>次。</w:t>
      </w:r>
    </w:p>
    <w:p>
      <w:pPr>
        <w:pStyle w:val="BodyText"/>
        <w:numPr>
          <w:ilvl w:val="0"/>
          <w:numId w:val="11"/>
        </w:numPr>
        <w:tabs>
          <w:tab w:val="clear" w:pos="480"/>
          <w:tab w:val="left" w:pos="554" w:leader="none"/>
        </w:tabs>
        <w:spacing w:lineRule="exact" w:line="400"/>
        <w:ind w:left="554" w:hanging="360"/>
        <w:rPr/>
      </w:pPr>
      <w:r>
        <w:rPr>
          <w:rStyle w:val="Style14"/>
          <w:rFonts w:eastAsia="標楷體"/>
        </w:rPr>
        <w:t>貴院對因應緊急災難之發生（含突發性疾病發生）是否有衛材、食品之儲備及具有完備之通訊器材</w:t>
      </w:r>
      <w:r>
        <w:rPr>
          <w:rStyle w:val="Style14"/>
          <w:rFonts w:eastAsia="標楷體"/>
        </w:rPr>
        <w:t xml:space="preserve">? </w:t>
      </w:r>
    </w:p>
    <w:p>
      <w:pPr>
        <w:pStyle w:val="BodyText"/>
        <w:tabs>
          <w:tab w:val="clear" w:pos="480"/>
        </w:tabs>
        <w:spacing w:lineRule="exact" w:line="400"/>
        <w:ind w:left="720" w:hanging="360"/>
        <w:rPr/>
      </w:pPr>
      <w:r>
        <w:rPr>
          <w:rStyle w:val="Style14"/>
          <w:rFonts w:eastAsia="SimSun"/>
        </w:rPr>
        <w:t>3</w:t>
      </w:r>
      <w:r>
        <w:rPr>
          <w:rStyle w:val="Style14"/>
          <w:rFonts w:eastAsia="標楷體"/>
        </w:rPr>
        <w:t>.1</w:t>
      </w:r>
      <w:r>
        <w:rPr>
          <w:rStyle w:val="Style14"/>
          <w:rFonts w:eastAsia="標楷體"/>
        </w:rPr>
        <w:t>儲存必要醫療藥品及衛材：○是，儲存</w:t>
      </w:r>
      <w:r>
        <w:rPr>
          <w:rStyle w:val="Style14"/>
          <w:rFonts w:eastAsia="標楷體"/>
          <w:u w:val="single"/>
        </w:rPr>
        <w:t xml:space="preserve">     </w:t>
      </w:r>
      <w:r>
        <w:rPr>
          <w:rStyle w:val="Style14"/>
          <w:rFonts w:eastAsia="標楷體"/>
        </w:rPr>
        <w:t>天之必要醫療藥品及衛材  ○否</w:t>
      </w:r>
    </w:p>
    <w:p>
      <w:pPr>
        <w:pStyle w:val="BodyText"/>
        <w:tabs>
          <w:tab w:val="clear" w:pos="480"/>
        </w:tabs>
        <w:spacing w:lineRule="exact" w:line="400"/>
        <w:ind w:left="720" w:hanging="360"/>
        <w:rPr/>
      </w:pPr>
      <w:r>
        <w:rPr>
          <w:rStyle w:val="Style14"/>
          <w:rFonts w:eastAsia="SimSun"/>
          <w:lang w:eastAsia="zh-CN"/>
        </w:rPr>
        <w:t>3</w:t>
      </w:r>
      <w:r>
        <w:rPr>
          <w:rStyle w:val="Style14"/>
          <w:rFonts w:eastAsia="標楷體"/>
        </w:rPr>
        <w:t>.2</w:t>
      </w:r>
      <w:r>
        <w:rPr>
          <w:rStyle w:val="Style14"/>
          <w:rFonts w:eastAsia="標楷體"/>
        </w:rPr>
        <w:t>儲存食品及其他資源：</w:t>
      </w:r>
    </w:p>
    <w:p>
      <w:pPr>
        <w:pStyle w:val="BodyText"/>
        <w:spacing w:lineRule="exact" w:line="400"/>
        <w:ind w:firstLine="720"/>
        <w:rPr/>
      </w:pPr>
      <w:r>
        <w:rPr>
          <w:rStyle w:val="Style14"/>
          <w:rFonts w:eastAsia="標楷體"/>
        </w:rPr>
        <w:t>○</w:t>
      </w:r>
      <w:r>
        <w:rPr>
          <w:rStyle w:val="Style14"/>
          <w:rFonts w:eastAsia="標楷體"/>
        </w:rPr>
        <w:t>是，儲存</w:t>
      </w:r>
      <w:r>
        <w:rPr>
          <w:rStyle w:val="Style14"/>
          <w:rFonts w:eastAsia="標楷體"/>
          <w:u w:val="single"/>
        </w:rPr>
        <w:t xml:space="preserve">     </w:t>
      </w:r>
      <w:r>
        <w:rPr>
          <w:rStyle w:val="Style14"/>
          <w:rFonts w:eastAsia="標楷體"/>
        </w:rPr>
        <w:t>天之食品及其他資源，其他資源為：</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11"/>
        </w:numPr>
        <w:tabs>
          <w:tab w:val="clear" w:pos="480"/>
          <w:tab w:val="left" w:pos="554" w:leader="none"/>
        </w:tabs>
        <w:spacing w:lineRule="exact" w:line="400"/>
        <w:ind w:left="554" w:hanging="360"/>
        <w:rPr/>
      </w:pPr>
      <w:r>
        <w:rPr>
          <w:rStyle w:val="Style14"/>
          <w:rFonts w:eastAsia="標楷體"/>
        </w:rPr>
        <w:t>近</w:t>
      </w:r>
      <w:r>
        <w:rPr>
          <w:rStyle w:val="Style14"/>
          <w:rFonts w:eastAsia="標楷體"/>
        </w:rPr>
        <w:t>4</w:t>
      </w:r>
      <w:r>
        <w:rPr>
          <w:rStyle w:val="Style14"/>
          <w:rFonts w:eastAsia="標楷體"/>
        </w:rPr>
        <w:t>年（</w:t>
      </w:r>
      <w:r>
        <w:rPr>
          <w:rStyle w:val="Style14"/>
          <w:rFonts w:eastAsia="標楷體"/>
          <w:bCs/>
          <w:kern w:val="0"/>
        </w:rPr>
        <w:t>102</w:t>
      </w:r>
      <w:r>
        <w:rPr>
          <w:rStyle w:val="Style14"/>
          <w:rFonts w:eastAsia="標楷體"/>
          <w:bCs/>
          <w:kern w:val="0"/>
        </w:rPr>
        <w:t>年</w:t>
      </w:r>
      <w:r>
        <w:rPr>
          <w:rStyle w:val="Style14"/>
          <w:rFonts w:eastAsia="標楷體"/>
          <w:bCs/>
          <w:kern w:val="0"/>
        </w:rPr>
        <w:t>~105</w:t>
      </w:r>
      <w:r>
        <w:rPr>
          <w:rStyle w:val="Style14"/>
          <w:rFonts w:eastAsia="標楷體"/>
          <w:bCs/>
          <w:kern w:val="0"/>
        </w:rPr>
        <w:t>年</w:t>
      </w:r>
      <w:r>
        <w:rPr>
          <w:rStyle w:val="Style14"/>
          <w:rFonts w:eastAsia="標楷體"/>
        </w:rPr>
        <w:t>）醫院有無暴力事件發生？</w:t>
      </w:r>
    </w:p>
    <w:p>
      <w:pPr>
        <w:pStyle w:val="BodyText"/>
        <w:spacing w:lineRule="exact" w:line="400"/>
        <w:ind w:firstLine="720"/>
        <w:rPr/>
      </w:pPr>
      <w:r>
        <w:rPr>
          <w:rStyle w:val="Style14"/>
          <w:rFonts w:eastAsia="標楷體"/>
        </w:rPr>
        <w:t>○</w:t>
      </w:r>
      <w:r>
        <w:rPr>
          <w:rStyle w:val="Style14"/>
          <w:rFonts w:eastAsia="標楷體"/>
        </w:rPr>
        <w:t>有，外來暴力：</w:t>
      </w:r>
      <w:r>
        <w:rPr>
          <w:rStyle w:val="Style14"/>
          <w:rFonts w:eastAsia="標楷體"/>
          <w:u w:val="single"/>
        </w:rPr>
        <w:t xml:space="preserve">       </w:t>
      </w:r>
      <w:r>
        <w:rPr>
          <w:rStyle w:val="Style14"/>
          <w:rFonts w:eastAsia="標楷體"/>
        </w:rPr>
        <w:t>次，院內病人暴力：</w:t>
      </w:r>
      <w:r>
        <w:rPr>
          <w:rStyle w:val="Style14"/>
          <w:rFonts w:eastAsia="標楷體"/>
          <w:u w:val="single"/>
        </w:rPr>
        <w:t xml:space="preserve">      次</w:t>
      </w:r>
      <w:r>
        <w:rPr>
          <w:rStyle w:val="Style14"/>
          <w:rFonts w:eastAsia="標楷體"/>
        </w:rPr>
        <w:t xml:space="preserve">         ○無</w:t>
      </w:r>
    </w:p>
    <w:p>
      <w:pPr>
        <w:pStyle w:val="BodyText"/>
        <w:tabs>
          <w:tab w:val="clear" w:pos="480"/>
        </w:tabs>
        <w:spacing w:lineRule="exact" w:line="400"/>
        <w:ind w:left="720" w:hanging="360"/>
        <w:rPr/>
      </w:pPr>
      <w:r>
        <w:rPr>
          <w:rStyle w:val="Style14"/>
          <w:rFonts w:eastAsia="標楷體"/>
        </w:rPr>
        <w:t>4.1</w:t>
      </w:r>
      <w:r>
        <w:rPr>
          <w:rStyle w:val="Style14"/>
          <w:rFonts w:eastAsia="標楷體"/>
        </w:rPr>
        <w:t>醫院有無暴力事件應變之機制？ ○有，</w:t>
      </w:r>
      <w:r>
        <w:rPr>
          <w:rStyle w:val="Style14"/>
          <w:rFonts w:eastAsia="標楷體"/>
          <w:u w:val="single"/>
        </w:rPr>
        <w:t xml:space="preserve">      </w:t>
      </w:r>
      <w:r>
        <w:rPr>
          <w:rStyle w:val="Style14"/>
          <w:rFonts w:eastAsia="標楷體"/>
        </w:rPr>
        <w:t xml:space="preserve">   ○無</w:t>
      </w:r>
    </w:p>
    <w:p>
      <w:pPr>
        <w:pStyle w:val="BodyText"/>
        <w:tabs>
          <w:tab w:val="clear" w:pos="480"/>
        </w:tabs>
        <w:spacing w:lineRule="exact" w:line="400"/>
        <w:ind w:left="720" w:hanging="360"/>
        <w:rPr>
          <w:rFonts w:eastAsia="標楷體"/>
        </w:rPr>
      </w:pPr>
      <w:r>
        <w:rPr>
          <w:rFonts w:eastAsia="標楷體"/>
        </w:rPr>
        <w:t>4.2</w:t>
      </w:r>
      <w:r>
        <w:rPr>
          <w:rFonts w:eastAsia="標楷體"/>
        </w:rPr>
        <w:t>醫院有無與附近警察單位完成良好支援機制之證明</w:t>
      </w:r>
      <w:r>
        <w:rPr>
          <w:rFonts w:eastAsia="標楷體"/>
        </w:rPr>
        <w:t xml:space="preserve">? </w:t>
      </w:r>
    </w:p>
    <w:p>
      <w:pPr>
        <w:pStyle w:val="BodyText"/>
        <w:spacing w:lineRule="exact" w:line="400"/>
        <w:ind w:firstLine="720"/>
        <w:rPr/>
      </w:pPr>
      <w:r>
        <w:rPr>
          <w:rStyle w:val="Style14"/>
          <w:rFonts w:eastAsia="標楷體"/>
        </w:rPr>
        <w:t>○</w:t>
      </w:r>
      <w:r>
        <w:rPr>
          <w:rStyle w:val="Style14"/>
          <w:rFonts w:eastAsia="標楷體"/>
        </w:rPr>
        <w:t>有，</w:t>
      </w:r>
      <w:r>
        <w:rPr>
          <w:rStyle w:val="Style14"/>
          <w:rFonts w:eastAsia="標楷體"/>
          <w:u w:val="single"/>
        </w:rPr>
        <w:t xml:space="preserve">            </w:t>
      </w:r>
      <w:r>
        <w:rPr>
          <w:rStyle w:val="Style14"/>
          <w:rFonts w:eastAsia="標楷體"/>
        </w:rPr>
        <w:t xml:space="preserve"> ○無</w:t>
      </w:r>
    </w:p>
    <w:p>
      <w:pPr>
        <w:pStyle w:val="BodyText"/>
        <w:numPr>
          <w:ilvl w:val="0"/>
          <w:numId w:val="11"/>
        </w:numPr>
        <w:tabs>
          <w:tab w:val="clear" w:pos="480"/>
          <w:tab w:val="left" w:pos="554" w:leader="none"/>
        </w:tabs>
        <w:spacing w:lineRule="exact" w:line="400"/>
        <w:ind w:left="554" w:hanging="360"/>
        <w:rPr/>
      </w:pPr>
      <w:r>
        <w:rPr>
          <w:rStyle w:val="Style14"/>
          <w:rFonts w:eastAsia="標楷體"/>
        </w:rPr>
        <w:t>近</w:t>
      </w:r>
      <w:r>
        <w:rPr>
          <w:rStyle w:val="Style14"/>
          <w:rFonts w:eastAsia="標楷體"/>
        </w:rPr>
        <w:t>4</w:t>
      </w:r>
      <w:r>
        <w:rPr>
          <w:rStyle w:val="Style14"/>
          <w:rFonts w:eastAsia="標楷體"/>
        </w:rPr>
        <w:t>年（</w:t>
      </w:r>
      <w:r>
        <w:rPr>
          <w:rStyle w:val="Style14"/>
          <w:rFonts w:eastAsia="標楷體"/>
          <w:bCs/>
          <w:kern w:val="0"/>
        </w:rPr>
        <w:t>102</w:t>
      </w:r>
      <w:r>
        <w:rPr>
          <w:rStyle w:val="Style14"/>
          <w:rFonts w:eastAsia="標楷體"/>
          <w:bCs/>
          <w:kern w:val="0"/>
        </w:rPr>
        <w:t>年</w:t>
      </w:r>
      <w:r>
        <w:rPr>
          <w:rStyle w:val="Style14"/>
          <w:rFonts w:eastAsia="標楷體"/>
          <w:bCs/>
          <w:kern w:val="0"/>
        </w:rPr>
        <w:t>~105</w:t>
      </w:r>
      <w:r>
        <w:rPr>
          <w:rStyle w:val="Style14"/>
          <w:rFonts w:eastAsia="標楷體"/>
          <w:bCs/>
          <w:kern w:val="0"/>
        </w:rPr>
        <w:t>年</w:t>
      </w:r>
      <w:r>
        <w:rPr>
          <w:rStyle w:val="Style14"/>
          <w:rFonts w:eastAsia="標楷體"/>
        </w:rPr>
        <w:t>）有關醫院暴力事件應變之演習，共</w:t>
      </w:r>
      <w:r>
        <w:rPr>
          <w:rStyle w:val="Style14"/>
          <w:rFonts w:eastAsia="標楷體"/>
          <w:u w:val="single"/>
        </w:rPr>
        <w:t xml:space="preserve">         </w:t>
      </w:r>
      <w:r>
        <w:rPr>
          <w:rStyle w:val="Style14"/>
          <w:rFonts w:eastAsia="標楷體"/>
        </w:rPr>
        <w:t>次</w:t>
      </w:r>
      <w:r>
        <w:rPr>
          <w:rStyle w:val="Style14"/>
          <w:rFonts w:eastAsia="標楷體"/>
          <w:sz w:val="26"/>
        </w:rPr>
        <w:t xml:space="preserve"> </w:t>
      </w:r>
    </w:p>
    <w:p>
      <w:pPr>
        <w:pStyle w:val="BodyText"/>
        <w:tabs>
          <w:tab w:val="clear" w:pos="480"/>
          <w:tab w:val="left" w:pos="720" w:leader="none"/>
        </w:tabs>
        <w:spacing w:lineRule="atLeast" w:line="500"/>
        <w:ind w:left="480" w:hanging="0"/>
        <w:rPr>
          <w:rFonts w:eastAsia="標楷體"/>
          <w:b/>
          <w:bCs/>
          <w:sz w:val="28"/>
          <w:szCs w:val="28"/>
        </w:rPr>
      </w:pPr>
      <w:r>
        <w:rPr>
          <w:rFonts w:eastAsia="標楷體"/>
          <w:b/>
          <w:bCs/>
          <w:sz w:val="28"/>
          <w:szCs w:val="28"/>
        </w:rPr>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營造身心障礙者之親善就醫環境</w:t>
      </w:r>
    </w:p>
    <w:p>
      <w:pPr>
        <w:pStyle w:val="BodyText"/>
        <w:numPr>
          <w:ilvl w:val="0"/>
          <w:numId w:val="12"/>
        </w:numPr>
        <w:tabs>
          <w:tab w:val="clear" w:pos="480"/>
          <w:tab w:val="left" w:pos="554" w:leader="none"/>
        </w:tabs>
        <w:spacing w:lineRule="exact" w:line="400"/>
        <w:ind w:left="554" w:hanging="360"/>
        <w:rPr>
          <w:rFonts w:eastAsia="標楷體"/>
        </w:rPr>
      </w:pPr>
      <w:r>
        <w:rPr>
          <w:rFonts w:eastAsia="標楷體"/>
        </w:rPr>
        <w:t>針對輪椅使用者提供合適（可搭乘）之交通接駁服務：</w:t>
      </w:r>
    </w:p>
    <w:p>
      <w:pPr>
        <w:pStyle w:val="BodyText"/>
        <w:tabs>
          <w:tab w:val="clear" w:pos="480"/>
          <w:tab w:val="left" w:pos="360" w:leader="none"/>
          <w:tab w:val="left" w:pos="462" w:leader="none"/>
        </w:tabs>
        <w:spacing w:lineRule="exact" w:line="400"/>
        <w:ind w:firstLine="720"/>
        <w:rPr/>
      </w:pPr>
      <w:r>
        <w:rPr>
          <w:rStyle w:val="Style14"/>
          <w:rFonts w:eastAsia="標楷體"/>
        </w:rPr>
        <w:t>○</w:t>
      </w:r>
      <w:r>
        <w:rPr>
          <w:rStyle w:val="Style14"/>
          <w:rFonts w:eastAsia="標楷體"/>
        </w:rPr>
        <w:t>是，請說明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12"/>
        </w:numPr>
        <w:tabs>
          <w:tab w:val="clear" w:pos="480"/>
          <w:tab w:val="left" w:pos="554" w:leader="none"/>
        </w:tabs>
        <w:spacing w:lineRule="exact" w:line="400"/>
        <w:ind w:left="554" w:hanging="360"/>
        <w:rPr>
          <w:rFonts w:eastAsia="標楷體"/>
        </w:rPr>
      </w:pPr>
      <w:r>
        <w:rPr>
          <w:rFonts w:eastAsia="標楷體"/>
        </w:rPr>
        <w:t>針對視障者提供點字服務：</w:t>
      </w:r>
    </w:p>
    <w:p>
      <w:pPr>
        <w:pStyle w:val="BodyText"/>
        <w:tabs>
          <w:tab w:val="clear" w:pos="480"/>
          <w:tab w:val="left" w:pos="360" w:leader="none"/>
          <w:tab w:val="left" w:pos="462" w:leader="none"/>
        </w:tabs>
        <w:spacing w:lineRule="exact" w:line="400"/>
        <w:ind w:left="1680" w:hanging="960"/>
        <w:rPr>
          <w:rFonts w:eastAsia="標楷體"/>
        </w:rPr>
      </w:pPr>
      <w:r>
        <w:rPr>
          <w:rFonts w:eastAsia="標楷體"/>
        </w:rPr>
        <w:t>○</w:t>
      </w:r>
      <w:r>
        <w:rPr>
          <w:rFonts w:eastAsia="標楷體"/>
        </w:rPr>
        <w:t xml:space="preserve">是，包含：□就醫指引　□就醫（檢查）流程說明　□檢測或檢查表 </w:t>
      </w:r>
    </w:p>
    <w:p>
      <w:pPr>
        <w:pStyle w:val="BodyText"/>
        <w:tabs>
          <w:tab w:val="clear" w:pos="480"/>
          <w:tab w:val="left" w:pos="360" w:leader="none"/>
          <w:tab w:val="left" w:pos="462" w:leader="none"/>
        </w:tabs>
        <w:spacing w:lineRule="exact" w:line="400"/>
        <w:ind w:left="2160" w:hanging="0"/>
        <w:rPr/>
      </w:pPr>
      <w:r>
        <w:rPr>
          <w:rStyle w:val="Style14"/>
          <w:rFonts w:eastAsia="標楷體"/>
        </w:rPr>
        <w:t>□</w:t>
      </w:r>
      <w:r>
        <w:rPr>
          <w:rStyle w:val="Style14"/>
          <w:rFonts w:eastAsia="標楷體"/>
        </w:rPr>
        <w:t>點字圖形藥袋貼紙　□其他，請說明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12"/>
        </w:numPr>
        <w:tabs>
          <w:tab w:val="clear" w:pos="480"/>
          <w:tab w:val="left" w:pos="554" w:leader="none"/>
        </w:tabs>
        <w:spacing w:lineRule="exact" w:line="400"/>
        <w:ind w:left="554" w:hanging="360"/>
        <w:rPr>
          <w:rFonts w:eastAsia="標楷體"/>
        </w:rPr>
      </w:pPr>
      <w:r>
        <w:rPr>
          <w:rFonts w:eastAsia="標楷體"/>
        </w:rPr>
        <w:t>針對聽、語障者提供合適之溝通服務：</w:t>
      </w:r>
    </w:p>
    <w:p>
      <w:pPr>
        <w:pStyle w:val="BodyText"/>
        <w:tabs>
          <w:tab w:val="clear" w:pos="480"/>
          <w:tab w:val="left" w:pos="360" w:leader="none"/>
          <w:tab w:val="left" w:pos="462" w:leader="none"/>
        </w:tabs>
        <w:spacing w:lineRule="exact" w:line="400"/>
        <w:ind w:left="1680" w:hanging="960"/>
        <w:rPr/>
      </w:pPr>
      <w:r>
        <w:rPr>
          <w:rStyle w:val="Style14"/>
          <w:rFonts w:eastAsia="標楷體"/>
        </w:rPr>
        <w:t>○</w:t>
      </w:r>
      <w:r>
        <w:rPr>
          <w:rStyle w:val="Style14"/>
          <w:rFonts w:eastAsia="標楷體"/>
        </w:rPr>
        <w:t>是，包含：□手語翻譯　□寫字板　□其他，請說明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tabs>
          <w:tab w:val="clear" w:pos="480"/>
          <w:tab w:val="left" w:pos="360" w:leader="none"/>
          <w:tab w:val="left" w:pos="462" w:leader="none"/>
        </w:tabs>
        <w:spacing w:lineRule="exact" w:line="400"/>
        <w:ind w:left="194" w:hanging="0"/>
        <w:rPr>
          <w:rFonts w:eastAsia="標楷體"/>
          <w:sz w:val="26"/>
        </w:rPr>
      </w:pPr>
      <w:r>
        <w:rPr>
          <w:rFonts w:eastAsia="標楷體"/>
          <w:sz w:val="26"/>
        </w:rPr>
      </w:r>
    </w:p>
    <w:sectPr>
      <w:headerReference w:type="default" r:id="rId2"/>
      <w:footerReference w:type="default" r:id="rId3"/>
      <w:type w:val="nextPage"/>
      <w:pgSz w:w="11906" w:h="16838"/>
      <w:pgMar w:left="1134" w:right="1134" w:gutter="0" w:header="539" w:top="1134" w:footer="505" w:bottom="1134"/>
      <w:pgNumType w:start="1"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細明體">
    <w:charset w:val="88"/>
    <w:family w:val="modern"/>
    <w:pitch w:val="fixed"/>
  </w:font>
  <w:font w:name="標楷體">
    <w:charset w:val="88"/>
    <w:family w:val="script"/>
    <w:pitch w:val="fixed"/>
  </w:font>
  <w:font w:name="Arial Unicode MS">
    <w:charset w:val="88"/>
    <w:family w:val="swiss"/>
    <w:pitch w:val="variable"/>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1</w:t>
    </w:r>
    <w:r>
      <w:rPr>
        <w:rStyle w:val="Style14"/>
        <w:rFonts w:ascii="標楷體" w:hAnsi="標楷體" w:eastAsia="標楷體"/>
        <w:kern w:val="0"/>
        <w:sz w:val="24"/>
        <w:szCs w:val="24"/>
      </w:rPr>
      <w:t>篇</w:t>
    </w:r>
    <w:r>
      <w:rPr>
        <w:rStyle w:val="Style14"/>
        <w:rFonts w:eastAsia="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1</w:t>
    </w:r>
    <w:r>
      <w:rPr>
        <w:rStyle w:val="PageNumber"/>
        <w:sz w:val="24"/>
        <w:szCs w:val="24"/>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sz w:val="24"/>
        <w:szCs w:val="24"/>
      </w:rPr>
      <w:t xml:space="preserve"> </w:t>
    </w:r>
    <w:r>
      <w:rPr>
        <w:rStyle w:val="Style14"/>
        <w:rFonts w:eastAsia="標楷體"/>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960"/>
        </w:tabs>
        <w:ind w:left="960" w:hanging="480"/>
      </w:p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3">
    <w:lvl w:ilvl="0">
      <w:start w:val="1"/>
      <w:numFmt w:val="taiwaneseCountingThousand"/>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5">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6">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8">
    <w:lvl w:ilvl="0">
      <w:start w:val="1"/>
      <w:numFmt w:val="decimal"/>
      <w:lvlText w:val="%1."/>
      <w:lvlJc w:val="left"/>
      <w:pPr>
        <w:tabs>
          <w:tab w:val="num" w:pos="360"/>
        </w:tabs>
        <w:ind w:left="360" w:hanging="360"/>
      </w:pPr>
      <w:rPr>
        <w:sz w:val="24"/>
        <w:szCs w:val="24"/>
        <w:rFonts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9">
    <w:lvl w:ilvl="0">
      <w:start w:val="1"/>
      <w:numFmt w:val="decimal"/>
      <w:lvlText w:val="%1."/>
      <w:lvlJc w:val="left"/>
      <w:pPr>
        <w:tabs>
          <w:tab w:val="num" w:pos="360"/>
        </w:tabs>
        <w:ind w:left="360" w:hanging="360"/>
      </w:pPr>
      <w:rPr>
        <w:sz w:val="24"/>
        <w:szCs w:val="24"/>
        <w:rFonts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360"/>
        </w:tabs>
        <w:ind w:left="360" w:hanging="360"/>
      </w:pPr>
      <w:rPr>
        <w:sz w:val="24"/>
        <w:szCs w:val="24"/>
        <w:rFonts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554"/>
        </w:tabs>
        <w:ind w:left="554" w:hanging="360"/>
      </w:pPr>
      <w:rPr>
        <w:sz w:val="24"/>
        <w:b w:val="false"/>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decimal"/>
      <w:lvlText w:val="%1."/>
      <w:lvlJc w:val="left"/>
      <w:pPr>
        <w:tabs>
          <w:tab w:val="num" w:pos="554"/>
        </w:tabs>
        <w:ind w:left="554" w:hanging="360"/>
      </w:pPr>
      <w:rPr>
        <w:sz w:val="24"/>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Style17">
    <w:name w:val="純文字 字元"/>
    <w:qFormat/>
    <w:rPr>
      <w:rFonts w:ascii="細明體" w:hAnsi="細明體" w:eastAsia="細明體"/>
      <w:kern w:val="2"/>
      <w:sz w:val="24"/>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b w:val="false"/>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5LVL1">
    <w:name w:val="WW_CharLFO45LVL1"/>
    <w:qFormat/>
    <w:rPr>
      <w:color w:val="auto"/>
      <w:sz w:val="24"/>
      <w:szCs w:val="24"/>
    </w:rPr>
  </w:style>
  <w:style w:type="character" w:styleId="WWCharLFO48LVL1">
    <w:name w:val="WW_CharLFO48LVL1"/>
    <w:qFormat/>
    <w:rPr>
      <w:rFonts w:cs="Times New Roman"/>
      <w:sz w:val="24"/>
      <w:szCs w:val="24"/>
    </w:rPr>
  </w:style>
  <w:style w:type="character" w:styleId="WWCharLFO49LVL1">
    <w:name w:val="WW_CharLFO49LVL1"/>
    <w:qFormat/>
    <w:rPr>
      <w:rFonts w:cs="Times New Roman"/>
      <w:sz w:val="24"/>
      <w:szCs w:val="24"/>
    </w:rPr>
  </w:style>
  <w:style w:type="character" w:styleId="WWCharLFO50LVL1">
    <w:name w:val="WW_CharLFO50LVL1"/>
    <w:qFormat/>
    <w:rPr>
      <w:rFonts w:cs="Times New Roman"/>
      <w:sz w:val="24"/>
      <w:szCs w:val="24"/>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8">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19">
    <w:name w:val="本文縮排"/>
    <w:basedOn w:val="BodyText"/>
    <w:qFormat/>
    <w:pPr>
      <w:suppressAutoHyphens w:val="true"/>
      <w:ind w:firstLine="480"/>
      <w:jc w:val="both"/>
    </w:pPr>
    <w:rPr>
      <w:rFonts w:eastAsia="標楷體"/>
    </w:rPr>
  </w:style>
  <w:style w:type="paragraph" w:styleId="Style20">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1">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2">
    <w:name w:val="純文字"/>
    <w:basedOn w:val="BodyText"/>
    <w:qFormat/>
    <w:pPr>
      <w:suppressAutoHyphens w:val="true"/>
    </w:pPr>
    <w:rPr>
      <w:rFonts w:ascii="細明體" w:hAnsi="細明體" w:eastAsia="細明體"/>
      <w:szCs w:val="20"/>
    </w:rPr>
  </w:style>
  <w:style w:type="paragraph" w:styleId="Style23">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4">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5">
    <w:name w:val="註解方塊文字"/>
    <w:basedOn w:val="BodyText"/>
    <w:qFormat/>
    <w:pPr>
      <w:suppressAutoHyphens w:val="true"/>
    </w:pPr>
    <w:rPr>
      <w:rFonts w:ascii="Arial" w:hAnsi="Arial"/>
      <w:sz w:val="18"/>
      <w:szCs w:val="18"/>
    </w:rPr>
  </w:style>
  <w:style w:type="paragraph" w:styleId="Style26">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9</Pages>
  <Words>979</Words>
  <Characters>5585</Characters>
  <CharactersWithSpaces>6551</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2017-03-30T06:03:00Z</dcterms:created>
  <dc:creator>SASAGO SHIGERU</dc:creator>
  <dc:description/>
  <dc:language>zh-TW</dc:language>
  <cp:lastModifiedBy>yumei</cp:lastModifiedBy>
  <cp:lastPrinted>2015-12-19T10:52:00Z</cp:lastPrinted>
  <dcterms:modified xsi:type="dcterms:W3CDTF">2017-03-30T06:03:00Z</dcterms:modified>
  <cp:revision>2</cp:revision>
  <dc:subject/>
  <dc:title>研討會的介紹說明</dc:title>
</cp:coreProperties>
</file>