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media/image2.png" ContentType="image/png"/>
  <Override PartName="/word/styles.xml" ContentType="application/vnd.openxmlformats-officedocument.wordprocessingml.styles+xml"/>
  <Override PartName="/word/footer5.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jc w:val="center"/>
        <w:rPr/>
      </w:pPr>
      <w:r>
        <w:rPr>
          <w:rStyle w:val="Style10"/>
          <w:rFonts w:ascii="Times New Roman" w:hAnsi="Times New Roman" w:eastAsia="標楷體"/>
        </w:rPr>
        <w:drawing>
          <wp:inline distT="0" distB="0" distL="0" distR="0">
            <wp:extent cx="6644640" cy="9395460"/>
            <wp:effectExtent l="0" t="0" r="0" b="0"/>
            <wp:docPr id="1" name="圖片 2" descr="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公告"/>
                    <pic:cNvPicPr>
                      <a:picLocks noChangeAspect="1" noChangeArrowheads="1"/>
                    </pic:cNvPicPr>
                  </pic:nvPicPr>
                  <pic:blipFill>
                    <a:blip r:embed="rId2"/>
                    <a:stretch>
                      <a:fillRect/>
                    </a:stretch>
                  </pic:blipFill>
                  <pic:spPr bwMode="auto">
                    <a:xfrm>
                      <a:off x="0" y="0"/>
                      <a:ext cx="6644640" cy="9395460"/>
                    </a:xfrm>
                    <a:prstGeom prst="rect">
                      <a:avLst/>
                    </a:prstGeom>
                  </pic:spPr>
                </pic:pic>
              </a:graphicData>
            </a:graphic>
          </wp:inline>
        </w:drawing>
      </w:r>
      <w:r>
        <w:br w:type="page"/>
      </w:r>
    </w:p>
    <w:p>
      <w:pPr>
        <w:pStyle w:val="BodyText"/>
        <w:jc w:val="center"/>
        <w:rPr/>
      </w:pPr>
      <w:r>
        <w:rPr>
          <w:rStyle w:val="Style10"/>
          <w:rFonts w:ascii="Times New Roman" w:hAnsi="Times New Roman" w:eastAsia="標楷體"/>
        </w:rPr>
        <w:t xml:space="preserve"> </w:t>
      </w:r>
    </w:p>
    <w:p>
      <w:pPr>
        <w:pStyle w:val="BodyText"/>
        <w:jc w:val="center"/>
        <w:rPr/>
      </w:pPr>
      <w:r>
        <w:rPr>
          <w:rStyle w:val="Style10"/>
          <w:rFonts w:ascii="Times New Roman" w:hAnsi="Times New Roman" w:eastAsia="標楷體"/>
          <w:b/>
          <w:sz w:val="56"/>
          <w:szCs w:val="56"/>
        </w:rPr>
        <w:t>衛生福利部</w:t>
      </w:r>
    </w:p>
    <w:p>
      <w:pPr>
        <w:pStyle w:val="BodyText"/>
        <w:tabs>
          <w:tab w:val="clear" w:pos="480"/>
        </w:tabs>
        <w:snapToGrid w:val="false"/>
        <w:spacing w:lineRule="atLeast" w:line="240" w:before="0" w:after="120"/>
        <w:ind w:left="-360" w:right="-360" w:hanging="0"/>
        <w:jc w:val="center"/>
        <w:rPr/>
      </w:pPr>
      <w:r>
        <w:rPr>
          <w:rStyle w:val="Style10"/>
          <w:rFonts w:ascii="Times New Roman" w:hAnsi="Times New Roman" w:eastAsia="標楷體"/>
          <w:b/>
          <w:sz w:val="56"/>
          <w:szCs w:val="56"/>
        </w:rPr>
        <w:t>精神復健機構評鑑基準</w:t>
      </w:r>
    </w:p>
    <w:p>
      <w:pPr>
        <w:pStyle w:val="BodyText"/>
        <w:tabs>
          <w:tab w:val="clear" w:pos="480"/>
        </w:tabs>
        <w:snapToGrid w:val="false"/>
        <w:spacing w:lineRule="atLeast" w:line="240" w:before="0" w:after="120"/>
        <w:ind w:left="-360" w:right="-360" w:hanging="0"/>
        <w:jc w:val="center"/>
        <w:rPr/>
      </w:pPr>
      <w:r>
        <w:rPr>
          <w:rStyle w:val="Style10"/>
          <w:rFonts w:eastAsia="標楷體" w:ascii="Times New Roman" w:hAnsi="Times New Roman"/>
          <w:b/>
          <w:sz w:val="56"/>
          <w:szCs w:val="56"/>
        </w:rPr>
        <w:t>(</w:t>
      </w:r>
      <w:r>
        <w:rPr>
          <w:rStyle w:val="Style10"/>
          <w:rFonts w:ascii="Times New Roman" w:hAnsi="Times New Roman" w:eastAsia="標楷體"/>
          <w:b/>
          <w:sz w:val="56"/>
          <w:szCs w:val="56"/>
        </w:rPr>
        <w:t>含日間型機構及住宿型機構</w:t>
      </w:r>
      <w:r>
        <w:rPr>
          <w:rStyle w:val="Style10"/>
          <w:rFonts w:eastAsia="標楷體" w:ascii="Times New Roman" w:hAnsi="Times New Roman"/>
          <w:b/>
          <w:sz w:val="56"/>
          <w:szCs w:val="56"/>
        </w:rPr>
        <w:t xml:space="preserve">) </w:t>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spacing w:lineRule="exact" w:line="1000"/>
        <w:jc w:val="center"/>
        <w:rPr/>
      </w:pPr>
      <w:r>
        <w:rPr>
          <w:rStyle w:val="Style10"/>
          <w:rFonts w:ascii="Times New Roman" w:hAnsi="Times New Roman" w:eastAsia="標楷體"/>
          <w:b/>
          <w:sz w:val="36"/>
        </w:rPr>
        <w:drawing>
          <wp:inline distT="0" distB="0" distL="0" distR="0">
            <wp:extent cx="2347595" cy="2320925"/>
            <wp:effectExtent l="0" t="0" r="0" b="0"/>
            <wp:docPr id="2" name="圖片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圖片 7" descr=""/>
                    <pic:cNvPicPr>
                      <a:picLocks noChangeAspect="1" noChangeArrowheads="1"/>
                    </pic:cNvPicPr>
                  </pic:nvPicPr>
                  <pic:blipFill>
                    <a:blip r:embed="rId3"/>
                    <a:stretch>
                      <a:fillRect/>
                    </a:stretch>
                  </pic:blipFill>
                  <pic:spPr bwMode="auto">
                    <a:xfrm>
                      <a:off x="0" y="0"/>
                      <a:ext cx="2347595" cy="2320925"/>
                    </a:xfrm>
                    <a:prstGeom prst="rect">
                      <a:avLst/>
                    </a:prstGeom>
                  </pic:spPr>
                </pic:pic>
              </a:graphicData>
            </a:graphic>
          </wp:inline>
        </w:drawing>
      </w:r>
    </w:p>
    <w:p>
      <w:pPr>
        <w:pStyle w:val="BodyText"/>
        <w:spacing w:lineRule="exact" w:line="1000"/>
        <w:jc w:val="center"/>
        <w:rPr>
          <w:rFonts w:ascii="Times New Roman" w:hAnsi="Times New Roman" w:eastAsia="標楷體"/>
          <w:b/>
          <w:sz w:val="36"/>
        </w:rPr>
      </w:pPr>
      <w:r>
        <w:rPr>
          <w:rFonts w:eastAsia="標楷體" w:ascii="Times New Roman" w:hAnsi="Times New Roman"/>
          <w:b/>
          <w:sz w:val="36"/>
        </w:rPr>
      </w:r>
    </w:p>
    <w:p>
      <w:pPr>
        <w:pStyle w:val="BodyText"/>
        <w:tabs>
          <w:tab w:val="clear" w:pos="480"/>
          <w:tab w:val="center" w:pos="4962" w:leader="none"/>
          <w:tab w:val="left" w:pos="7020" w:leader="none"/>
        </w:tabs>
        <w:spacing w:lineRule="exact" w:line="1000"/>
        <w:rPr>
          <w:rFonts w:ascii="Times New Roman" w:hAnsi="Times New Roman" w:eastAsia="標楷體"/>
          <w:b/>
          <w:sz w:val="36"/>
        </w:rPr>
      </w:pPr>
      <w:r>
        <w:rPr>
          <w:rFonts w:eastAsia="標楷體" w:ascii="Times New Roman" w:hAnsi="Times New Roman"/>
          <w:b/>
          <w:sz w:val="36"/>
        </w:rPr>
        <w:tab/>
        <w:tab/>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b/>
          <w:bCs/>
          <w:sz w:val="40"/>
          <w:szCs w:val="40"/>
        </w:rPr>
      </w:pPr>
      <w:r>
        <w:rPr>
          <w:rFonts w:eastAsia="標楷體" w:ascii="Times New Roman" w:hAnsi="Times New Roman"/>
          <w:b/>
          <w:bCs/>
          <w:sz w:val="40"/>
          <w:szCs w:val="40"/>
        </w:rPr>
      </w:r>
    </w:p>
    <w:p>
      <w:pPr>
        <w:pStyle w:val="BodyText"/>
        <w:jc w:val="both"/>
        <w:rPr>
          <w:rFonts w:ascii="Times New Roman" w:hAnsi="Times New Roman" w:eastAsia="標楷體"/>
          <w:sz w:val="40"/>
          <w:szCs w:val="40"/>
        </w:rPr>
      </w:pPr>
      <w:r>
        <w:rPr>
          <w:rFonts w:eastAsia="標楷體" w:ascii="Times New Roman" w:hAnsi="Times New Roman"/>
          <w:sz w:val="40"/>
          <w:szCs w:val="40"/>
        </w:rPr>
      </w:r>
    </w:p>
    <w:p>
      <w:pPr>
        <w:pStyle w:val="BodyText"/>
        <w:ind w:firstLine="1200"/>
        <w:jc w:val="center"/>
        <w:rPr>
          <w:rFonts w:ascii="Times New Roman" w:hAnsi="Times New Roman" w:eastAsia="標楷體"/>
          <w:sz w:val="32"/>
        </w:rPr>
      </w:pPr>
      <w:r>
        <w:rPr>
          <w:rFonts w:eastAsia="標楷體" w:ascii="Times New Roman" w:hAnsi="Times New Roman"/>
          <w:sz w:val="32"/>
        </w:rPr>
      </w:r>
    </w:p>
    <w:p>
      <w:pPr>
        <w:pStyle w:val="Heading1"/>
        <w:tabs>
          <w:tab w:val="clear" w:pos="480"/>
          <w:tab w:val="left" w:pos="0" w:leader="none"/>
        </w:tabs>
        <w:spacing w:lineRule="auto" w:line="240" w:before="9" w:after="9"/>
        <w:ind w:left="0" w:hanging="0"/>
        <w:jc w:val="center"/>
        <w:rPr/>
      </w:pPr>
      <w:r>
        <w:rPr>
          <w:rStyle w:val="Style10"/>
          <w:rFonts w:ascii="Times New Roman" w:hAnsi="Times New Roman" w:eastAsia="標楷體"/>
          <w:b w:val="false"/>
          <w:sz w:val="40"/>
          <w:szCs w:val="32"/>
        </w:rPr>
        <w:t xml:space="preserve">中 華 民 國 </w:t>
      </w:r>
      <w:r>
        <w:rPr>
          <w:rStyle w:val="Style10"/>
          <w:rFonts w:eastAsia="標楷體" w:ascii="Times New Roman" w:hAnsi="Times New Roman"/>
          <w:b w:val="false"/>
          <w:sz w:val="40"/>
          <w:szCs w:val="40"/>
        </w:rPr>
        <w:t>106</w:t>
      </w:r>
      <w:r>
        <w:rPr>
          <w:rStyle w:val="Style10"/>
          <w:rFonts w:ascii="Times New Roman" w:hAnsi="Times New Roman" w:eastAsia="標楷體"/>
          <w:b w:val="false"/>
          <w:sz w:val="40"/>
          <w:szCs w:val="40"/>
        </w:rPr>
        <w:t>年</w:t>
      </w:r>
      <w:r>
        <w:rPr>
          <w:rStyle w:val="Style10"/>
          <w:rFonts w:eastAsia="標楷體" w:ascii="Times New Roman" w:hAnsi="Times New Roman"/>
          <w:b w:val="false"/>
          <w:sz w:val="40"/>
          <w:szCs w:val="40"/>
          <w:lang w:eastAsia="zh-TW"/>
        </w:rPr>
        <w:t>2</w:t>
      </w:r>
      <w:r>
        <w:rPr>
          <w:rStyle w:val="Style10"/>
          <w:rFonts w:ascii="Times New Roman" w:hAnsi="Times New Roman" w:eastAsia="標楷體"/>
          <w:b w:val="false"/>
          <w:sz w:val="40"/>
          <w:szCs w:val="40"/>
        </w:rPr>
        <w:t>月</w:t>
      </w:r>
      <w:r>
        <w:rPr>
          <w:rStyle w:val="Style10"/>
          <w:rFonts w:eastAsia="標楷體" w:ascii="Times New Roman" w:hAnsi="Times New Roman"/>
          <w:b w:val="false"/>
          <w:sz w:val="40"/>
          <w:szCs w:val="40"/>
          <w:lang w:eastAsia="zh-TW"/>
        </w:rPr>
        <w:t>17</w:t>
      </w:r>
      <w:r>
        <w:rPr>
          <w:rStyle w:val="Style10"/>
          <w:rFonts w:ascii="Times New Roman" w:hAnsi="Times New Roman" w:eastAsia="標楷體"/>
          <w:b w:val="false"/>
          <w:sz w:val="40"/>
          <w:szCs w:val="40"/>
        </w:rPr>
        <w:t>日</w:t>
      </w:r>
      <w:r>
        <w:br w:type="page"/>
      </w:r>
    </w:p>
    <w:p>
      <w:pPr>
        <w:pStyle w:val="Heading1"/>
        <w:tabs>
          <w:tab w:val="clear" w:pos="480"/>
          <w:tab w:val="left" w:pos="0" w:leader="none"/>
        </w:tabs>
        <w:spacing w:lineRule="auto" w:line="240" w:before="9" w:after="9"/>
        <w:ind w:left="0" w:hanging="0"/>
        <w:jc w:val="center"/>
        <w:outlineLvl w:val="9"/>
        <w:rPr/>
      </w:pPr>
      <w:bookmarkStart w:id="0" w:name="_Toc333924922"/>
      <w:bookmarkStart w:id="1" w:name="凡例"/>
      <w:r>
        <w:rPr>
          <w:rStyle w:val="Style10"/>
          <w:rFonts w:ascii="Times New Roman" w:hAnsi="Times New Roman" w:eastAsia="標楷體"/>
          <w:bCs w:val="false"/>
          <w:sz w:val="28"/>
          <w:szCs w:val="28"/>
        </w:rPr>
        <w:t>凡 例</w:t>
      </w:r>
      <w:bookmarkEnd w:id="0"/>
      <w:bookmarkEnd w:id="1"/>
    </w:p>
    <w:p>
      <w:pPr>
        <w:pStyle w:val="BodyText"/>
        <w:numPr>
          <w:ilvl w:val="0"/>
          <w:numId w:val="4"/>
        </w:numPr>
        <w:tabs>
          <w:tab w:val="clear" w:pos="480"/>
          <w:tab w:val="left" w:pos="720" w:leader="none"/>
        </w:tabs>
        <w:spacing w:before="240" w:after="0"/>
        <w:ind w:left="720" w:hanging="720"/>
        <w:rPr/>
      </w:pPr>
      <w:r>
        <w:rPr>
          <w:rStyle w:val="Style10"/>
          <w:rFonts w:ascii="Times New Roman" w:hAnsi="Times New Roman" w:eastAsia="標楷體"/>
          <w:sz w:val="28"/>
          <w:szCs w:val="28"/>
        </w:rPr>
        <w:t>本基準內容共</w:t>
      </w:r>
      <w:r>
        <w:rPr>
          <w:rStyle w:val="Style10"/>
          <w:rFonts w:eastAsia="標楷體" w:ascii="Times New Roman" w:hAnsi="Times New Roman"/>
          <w:sz w:val="28"/>
          <w:szCs w:val="28"/>
        </w:rPr>
        <w:t>3</w:t>
      </w:r>
      <w:r>
        <w:rPr>
          <w:rStyle w:val="Style10"/>
          <w:rFonts w:ascii="Times New Roman" w:hAnsi="Times New Roman" w:eastAsia="標楷體"/>
          <w:sz w:val="28"/>
          <w:szCs w:val="28"/>
        </w:rPr>
        <w:t>章，日間型精神復健機構評鑑基準共計</w:t>
      </w:r>
      <w:r>
        <w:rPr>
          <w:rStyle w:val="Style10"/>
          <w:rFonts w:eastAsia="標楷體" w:ascii="Times New Roman" w:hAnsi="Times New Roman"/>
          <w:sz w:val="28"/>
          <w:szCs w:val="28"/>
        </w:rPr>
        <w:t>33</w:t>
      </w:r>
      <w:r>
        <w:rPr>
          <w:rStyle w:val="Style10"/>
          <w:rFonts w:ascii="Times New Roman" w:hAnsi="Times New Roman" w:eastAsia="標楷體"/>
          <w:sz w:val="28"/>
          <w:szCs w:val="28"/>
        </w:rPr>
        <w:t>條、住宿型精神復健機構評鑑基準共計</w:t>
      </w:r>
      <w:r>
        <w:rPr>
          <w:rStyle w:val="Style10"/>
          <w:rFonts w:eastAsia="標楷體" w:ascii="Times New Roman" w:hAnsi="Times New Roman"/>
          <w:sz w:val="28"/>
          <w:szCs w:val="28"/>
        </w:rPr>
        <w:t>37</w:t>
      </w:r>
      <w:r>
        <w:rPr>
          <w:rStyle w:val="Style10"/>
          <w:rFonts w:ascii="Times New Roman" w:hAnsi="Times New Roman" w:eastAsia="標楷體"/>
          <w:sz w:val="28"/>
          <w:szCs w:val="28"/>
        </w:rPr>
        <w:t>條。</w:t>
      </w:r>
    </w:p>
    <w:p>
      <w:pPr>
        <w:pStyle w:val="BodyText"/>
        <w:numPr>
          <w:ilvl w:val="0"/>
          <w:numId w:val="4"/>
        </w:numPr>
        <w:tabs>
          <w:tab w:val="clear" w:pos="480"/>
          <w:tab w:val="left" w:pos="720" w:leader="none"/>
        </w:tabs>
        <w:spacing w:before="240" w:after="0"/>
        <w:ind w:left="720" w:hanging="720"/>
        <w:rPr/>
      </w:pPr>
      <w:r>
        <w:rPr>
          <w:rStyle w:val="Style10"/>
          <w:rFonts w:ascii="Times New Roman" w:hAnsi="Times New Roman" w:eastAsia="標楷體"/>
          <w:sz w:val="28"/>
          <w:szCs w:val="28"/>
        </w:rPr>
        <w:t>本基準之條文，有下列</w:t>
      </w:r>
      <w:r>
        <w:rPr>
          <w:rStyle w:val="Style10"/>
          <w:rFonts w:eastAsia="標楷體" w:ascii="Times New Roman" w:hAnsi="Times New Roman"/>
          <w:sz w:val="28"/>
          <w:szCs w:val="28"/>
        </w:rPr>
        <w:t>3</w:t>
      </w:r>
      <w:r>
        <w:rPr>
          <w:rStyle w:val="Style10"/>
          <w:rFonts w:ascii="Times New Roman" w:hAnsi="Times New Roman" w:eastAsia="標楷體"/>
          <w:sz w:val="28"/>
          <w:szCs w:val="28"/>
        </w:rPr>
        <w:t>種分類方式：</w:t>
      </w:r>
    </w:p>
    <w:p>
      <w:pPr>
        <w:pStyle w:val="BodyText"/>
        <w:numPr>
          <w:ilvl w:val="1"/>
          <w:numId w:val="5"/>
        </w:numPr>
        <w:tabs>
          <w:tab w:val="clear" w:pos="480"/>
          <w:tab w:val="left" w:pos="2673" w:leader="none"/>
        </w:tabs>
        <w:snapToGrid w:val="false"/>
        <w:ind w:left="2673" w:hanging="480"/>
        <w:rPr/>
      </w:pPr>
      <w:r>
        <w:rPr>
          <w:rStyle w:val="Style10"/>
          <w:rFonts w:ascii="Times New Roman" w:hAnsi="Times New Roman" w:eastAsia="標楷體"/>
          <w:sz w:val="28"/>
          <w:szCs w:val="28"/>
        </w:rPr>
        <w:t>依</w:t>
      </w:r>
      <w:r>
        <w:rPr>
          <w:rStyle w:val="Style10"/>
          <w:rFonts w:ascii="Times New Roman" w:hAnsi="Times New Roman" w:eastAsia="標楷體"/>
          <w:kern w:val="0"/>
          <w:sz w:val="28"/>
          <w:szCs w:val="28"/>
        </w:rPr>
        <w:t>機構若因業務關係、新設立【不包含因故歇業，由另一位負責人，於原址重新申請開業者（俗稱變更負責人）者】、第一次申請評鑑或上次評鑑無建議改善事項時，評鑑項目得免評</w:t>
      </w:r>
      <w:r>
        <w:rPr>
          <w:rStyle w:val="Style10"/>
          <w:rFonts w:ascii="Times New Roman" w:hAnsi="Times New Roman" w:eastAsia="標楷體"/>
          <w:sz w:val="28"/>
          <w:szCs w:val="28"/>
        </w:rPr>
        <w:t>，於項次前以「可」字註記。</w:t>
      </w:r>
    </w:p>
    <w:p>
      <w:pPr>
        <w:pStyle w:val="BodyText"/>
        <w:numPr>
          <w:ilvl w:val="1"/>
          <w:numId w:val="5"/>
        </w:numPr>
        <w:tabs>
          <w:tab w:val="clear" w:pos="480"/>
          <w:tab w:val="left" w:pos="2673" w:leader="none"/>
        </w:tabs>
        <w:snapToGrid w:val="false"/>
        <w:spacing w:before="240" w:after="0"/>
        <w:ind w:left="2673" w:hanging="480"/>
        <w:rPr/>
      </w:pPr>
      <w:r>
        <w:rPr>
          <w:rStyle w:val="Style10"/>
          <w:rFonts w:ascii="Times New Roman" w:hAnsi="Times New Roman" w:eastAsia="標楷體"/>
          <w:sz w:val="28"/>
          <w:szCs w:val="28"/>
        </w:rPr>
        <w:t>「重點條文」：</w:t>
      </w:r>
      <w:r>
        <w:rPr>
          <w:rStyle w:val="Style10"/>
          <w:rFonts w:ascii="Times New Roman" w:hAnsi="Times New Roman" w:eastAsia="標楷體"/>
          <w:bCs/>
          <w:sz w:val="28"/>
          <w:szCs w:val="28"/>
        </w:rPr>
        <w:t>為確保機構照護人力、</w:t>
      </w:r>
      <w:r>
        <w:rPr>
          <w:rStyle w:val="Style10"/>
          <w:rFonts w:ascii="Times New Roman" w:hAnsi="Times New Roman" w:eastAsia="標楷體"/>
          <w:sz w:val="28"/>
          <w:szCs w:val="28"/>
        </w:rPr>
        <w:t>住民出入機構之自由度及安全性，於條號前以「重」字註記，共計有住宿型機構評鑑基準</w:t>
      </w:r>
      <w:r>
        <w:rPr>
          <w:rStyle w:val="Style10"/>
          <w:rFonts w:eastAsia="標楷體" w:ascii="Times New Roman" w:hAnsi="Times New Roman"/>
          <w:sz w:val="28"/>
          <w:szCs w:val="28"/>
        </w:rPr>
        <w:t>2</w:t>
      </w:r>
      <w:r>
        <w:rPr>
          <w:rStyle w:val="Style10"/>
          <w:rFonts w:ascii="Times New Roman" w:hAnsi="Times New Roman" w:eastAsia="標楷體"/>
          <w:sz w:val="28"/>
          <w:szCs w:val="28"/>
        </w:rPr>
        <w:t>條（</w:t>
      </w:r>
      <w:r>
        <w:rPr>
          <w:rStyle w:val="Style10"/>
          <w:rFonts w:eastAsia="標楷體" w:ascii="Times New Roman" w:hAnsi="Times New Roman"/>
          <w:sz w:val="28"/>
          <w:szCs w:val="28"/>
        </w:rPr>
        <w:t>1.4</w:t>
      </w:r>
      <w:r>
        <w:rPr>
          <w:rStyle w:val="Style10"/>
          <w:rFonts w:ascii="Times New Roman" w:hAnsi="Times New Roman" w:eastAsia="標楷體"/>
          <w:sz w:val="28"/>
          <w:szCs w:val="28"/>
        </w:rPr>
        <w:t>及</w:t>
      </w:r>
      <w:r>
        <w:rPr>
          <w:rStyle w:val="Style10"/>
          <w:rFonts w:eastAsia="標楷體" w:ascii="Times New Roman" w:hAnsi="Times New Roman"/>
          <w:sz w:val="28"/>
          <w:szCs w:val="28"/>
        </w:rPr>
        <w:t>3.11</w:t>
      </w:r>
      <w:r>
        <w:rPr>
          <w:rStyle w:val="Style10"/>
          <w:rFonts w:ascii="Times New Roman" w:hAnsi="Times New Roman" w:eastAsia="標楷體"/>
          <w:sz w:val="28"/>
          <w:szCs w:val="28"/>
        </w:rPr>
        <w:t>），評鑑合格者，此類條文</w:t>
      </w:r>
      <w:r>
        <w:rPr>
          <w:rStyle w:val="Style10"/>
          <w:rFonts w:eastAsia="標楷體" w:ascii="Times New Roman" w:hAnsi="Times New Roman"/>
          <w:sz w:val="28"/>
          <w:szCs w:val="28"/>
        </w:rPr>
        <w:t>C</w:t>
      </w:r>
      <w:r>
        <w:rPr>
          <w:rStyle w:val="Style10"/>
          <w:rFonts w:ascii="Times New Roman" w:hAnsi="Times New Roman" w:eastAsia="標楷體"/>
          <w:sz w:val="28"/>
          <w:szCs w:val="28"/>
        </w:rPr>
        <w:t>以上達成率需為</w:t>
      </w:r>
      <w:r>
        <w:rPr>
          <w:rStyle w:val="Style10"/>
          <w:rFonts w:eastAsia="標楷體" w:ascii="Times New Roman" w:hAnsi="Times New Roman"/>
          <w:sz w:val="28"/>
          <w:szCs w:val="28"/>
        </w:rPr>
        <w:t>100%</w:t>
      </w:r>
      <w:r>
        <w:rPr>
          <w:rStyle w:val="Style10"/>
          <w:rFonts w:ascii="Times New Roman" w:hAnsi="Times New Roman" w:eastAsia="標楷體"/>
          <w:sz w:val="28"/>
          <w:szCs w:val="28"/>
        </w:rPr>
        <w:t>。</w:t>
      </w:r>
    </w:p>
    <w:p>
      <w:pPr>
        <w:pStyle w:val="BodyText"/>
        <w:numPr>
          <w:ilvl w:val="1"/>
          <w:numId w:val="5"/>
        </w:numPr>
        <w:tabs>
          <w:tab w:val="clear" w:pos="480"/>
          <w:tab w:val="left" w:pos="2673" w:leader="none"/>
        </w:tabs>
        <w:snapToGrid w:val="false"/>
        <w:spacing w:before="240" w:after="0"/>
        <w:ind w:left="2673" w:hanging="480"/>
        <w:rPr/>
      </w:pPr>
      <w:r>
        <w:rPr>
          <w:rStyle w:val="Style10"/>
          <w:rFonts w:ascii="Times New Roman" w:hAnsi="Times New Roman" w:eastAsia="標楷體"/>
          <w:sz w:val="28"/>
          <w:szCs w:val="28"/>
        </w:rPr>
        <w:t>共二類評量方式：區分為以「</w:t>
      </w:r>
      <w:r>
        <w:rPr>
          <w:rStyle w:val="Style10"/>
          <w:rFonts w:eastAsia="標楷體" w:ascii="Times New Roman" w:hAnsi="Times New Roman"/>
          <w:sz w:val="28"/>
          <w:szCs w:val="28"/>
        </w:rPr>
        <w:t>A</w:t>
      </w:r>
      <w:r>
        <w:rPr>
          <w:rStyle w:val="Style10"/>
          <w:rFonts w:ascii="Times New Roman" w:hAnsi="Times New Roman" w:eastAsia="標楷體"/>
          <w:sz w:val="28"/>
          <w:szCs w:val="28"/>
        </w:rPr>
        <w:t>、</w:t>
      </w:r>
      <w:r>
        <w:rPr>
          <w:rStyle w:val="Style10"/>
          <w:rFonts w:eastAsia="標楷體" w:ascii="Times New Roman" w:hAnsi="Times New Roman"/>
          <w:sz w:val="28"/>
          <w:szCs w:val="28"/>
        </w:rPr>
        <w:t>B</w:t>
      </w:r>
      <w:r>
        <w:rPr>
          <w:rStyle w:val="Style10"/>
          <w:rFonts w:ascii="Times New Roman" w:hAnsi="Times New Roman" w:eastAsia="標楷體"/>
          <w:sz w:val="28"/>
          <w:szCs w:val="28"/>
        </w:rPr>
        <w:t>、</w:t>
      </w:r>
      <w:r>
        <w:rPr>
          <w:rStyle w:val="Style10"/>
          <w:rFonts w:eastAsia="標楷體" w:ascii="Times New Roman" w:hAnsi="Times New Roman"/>
          <w:sz w:val="28"/>
          <w:szCs w:val="28"/>
        </w:rPr>
        <w:t>C</w:t>
      </w:r>
      <w:r>
        <w:rPr>
          <w:rStyle w:val="Style10"/>
          <w:rFonts w:ascii="Times New Roman" w:hAnsi="Times New Roman" w:eastAsia="標楷體"/>
          <w:sz w:val="28"/>
          <w:szCs w:val="28"/>
        </w:rPr>
        <w:t>、</w:t>
      </w:r>
      <w:r>
        <w:rPr>
          <w:rStyle w:val="Style10"/>
          <w:rFonts w:eastAsia="標楷體" w:ascii="Times New Roman" w:hAnsi="Times New Roman"/>
          <w:sz w:val="28"/>
          <w:szCs w:val="28"/>
        </w:rPr>
        <w:t>D</w:t>
      </w:r>
      <w:r>
        <w:rPr>
          <w:rStyle w:val="Style10"/>
          <w:rFonts w:ascii="Times New Roman" w:hAnsi="Times New Roman" w:eastAsia="標楷體"/>
          <w:sz w:val="28"/>
          <w:szCs w:val="28"/>
        </w:rPr>
        <w:t>、</w:t>
      </w:r>
      <w:r>
        <w:rPr>
          <w:rStyle w:val="Style10"/>
          <w:rFonts w:eastAsia="標楷體" w:ascii="Times New Roman" w:hAnsi="Times New Roman"/>
          <w:sz w:val="28"/>
          <w:szCs w:val="28"/>
        </w:rPr>
        <w:t>E</w:t>
      </w:r>
      <w:r>
        <w:rPr>
          <w:rStyle w:val="Style10"/>
          <w:rFonts w:ascii="Times New Roman" w:hAnsi="Times New Roman" w:eastAsia="標楷體"/>
          <w:sz w:val="28"/>
          <w:szCs w:val="28"/>
        </w:rPr>
        <w:t>」五級等級評量及以「</w:t>
      </w:r>
      <w:r>
        <w:rPr>
          <w:rStyle w:val="Style10"/>
          <w:rFonts w:eastAsia="標楷體" w:ascii="Times New Roman" w:hAnsi="Times New Roman"/>
          <w:sz w:val="28"/>
          <w:szCs w:val="28"/>
        </w:rPr>
        <w:t>A</w:t>
      </w:r>
      <w:r>
        <w:rPr>
          <w:rStyle w:val="Style10"/>
          <w:rFonts w:ascii="Times New Roman" w:hAnsi="Times New Roman" w:eastAsia="標楷體"/>
          <w:sz w:val="28"/>
          <w:szCs w:val="28"/>
        </w:rPr>
        <w:t>、</w:t>
      </w:r>
      <w:r>
        <w:rPr>
          <w:rStyle w:val="Style10"/>
          <w:rFonts w:eastAsia="標楷體" w:ascii="Times New Roman" w:hAnsi="Times New Roman"/>
          <w:sz w:val="28"/>
          <w:szCs w:val="28"/>
        </w:rPr>
        <w:t>C</w:t>
      </w:r>
      <w:r>
        <w:rPr>
          <w:rStyle w:val="Style10"/>
          <w:rFonts w:ascii="Times New Roman" w:hAnsi="Times New Roman" w:eastAsia="標楷體"/>
          <w:sz w:val="28"/>
          <w:szCs w:val="28"/>
        </w:rPr>
        <w:t>、</w:t>
      </w:r>
      <w:r>
        <w:rPr>
          <w:rStyle w:val="Style10"/>
          <w:rFonts w:eastAsia="標楷體" w:ascii="Times New Roman" w:hAnsi="Times New Roman"/>
          <w:sz w:val="28"/>
          <w:szCs w:val="28"/>
        </w:rPr>
        <w:t>E</w:t>
      </w:r>
      <w:r>
        <w:rPr>
          <w:rStyle w:val="Style10"/>
          <w:rFonts w:ascii="Times New Roman" w:hAnsi="Times New Roman" w:eastAsia="標楷體"/>
          <w:sz w:val="28"/>
          <w:szCs w:val="28"/>
        </w:rPr>
        <w:t>」三級等級評量</w:t>
      </w:r>
      <w:r>
        <w:rPr>
          <w:rStyle w:val="Style10"/>
          <w:rFonts w:ascii="Times New Roman" w:hAnsi="Times New Roman" w:eastAsia="標楷體"/>
          <w:bCs/>
          <w:sz w:val="28"/>
          <w:szCs w:val="28"/>
        </w:rPr>
        <w:t>。</w:t>
      </w:r>
      <w:r>
        <w:br w:type="page"/>
      </w:r>
    </w:p>
    <w:p>
      <w:pPr>
        <w:pStyle w:val="BodyText"/>
        <w:tabs>
          <w:tab w:val="clear" w:pos="480"/>
        </w:tabs>
        <w:snapToGrid w:val="false"/>
        <w:spacing w:lineRule="auto" w:line="360" w:before="240" w:after="0"/>
        <w:ind w:left="993" w:hanging="0"/>
        <w:jc w:val="center"/>
        <w:rPr/>
      </w:pPr>
      <w:r>
        <w:rPr>
          <w:rStyle w:val="Style10"/>
          <w:rFonts w:ascii="Times New Roman" w:hAnsi="Times New Roman" w:eastAsia="標楷體"/>
          <w:sz w:val="32"/>
          <w:szCs w:val="32"/>
        </w:rPr>
        <w:t>附表</w:t>
      </w:r>
      <w:r>
        <w:rPr>
          <w:rStyle w:val="Style10"/>
          <w:rFonts w:eastAsia="標楷體" w:ascii="Times New Roman" w:hAnsi="Times New Roman"/>
          <w:sz w:val="32"/>
          <w:szCs w:val="32"/>
        </w:rPr>
        <w:t>1</w:t>
      </w:r>
      <w:r>
        <w:rPr>
          <w:rStyle w:val="Style10"/>
          <w:rFonts w:ascii="Times New Roman" w:hAnsi="Times New Roman" w:eastAsia="標楷體"/>
          <w:sz w:val="32"/>
          <w:szCs w:val="32"/>
        </w:rPr>
        <w:t>、精神復健機構評鑑基準分類統計表</w:t>
      </w:r>
    </w:p>
    <w:tbl>
      <w:tblPr>
        <w:tblW w:w="10053" w:type="dxa"/>
        <w:jc w:val="center"/>
        <w:tblInd w:w="0" w:type="dxa"/>
        <w:tblLayout w:type="fixed"/>
        <w:tblCellMar>
          <w:top w:w="0" w:type="dxa"/>
          <w:left w:w="28" w:type="dxa"/>
          <w:bottom w:w="0" w:type="dxa"/>
          <w:right w:w="28" w:type="dxa"/>
        </w:tblCellMar>
      </w:tblPr>
      <w:tblGrid>
        <w:gridCol w:w="3052"/>
        <w:gridCol w:w="1138"/>
        <w:gridCol w:w="1699"/>
        <w:gridCol w:w="706"/>
        <w:gridCol w:w="1136"/>
        <w:gridCol w:w="1560"/>
        <w:gridCol w:w="762"/>
      </w:tblGrid>
      <w:tr>
        <w:trPr>
          <w:trHeight w:val="241" w:hRule="atLeast"/>
        </w:trPr>
        <w:tc>
          <w:tcPr>
            <w:tcW w:w="305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kern w:val="0"/>
                <w:sz w:val="28"/>
                <w:szCs w:val="28"/>
              </w:rPr>
              <w:t>評鑑項目</w:t>
            </w:r>
          </w:p>
        </w:tc>
        <w:tc>
          <w:tcPr>
            <w:tcW w:w="7001" w:type="dxa"/>
            <w:gridSpan w:val="6"/>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kern w:val="0"/>
                <w:sz w:val="28"/>
                <w:szCs w:val="28"/>
              </w:rPr>
              <w:t>條文數</w:t>
            </w:r>
          </w:p>
        </w:tc>
      </w:tr>
      <w:tr>
        <w:trPr>
          <w:trHeight w:val="259" w:hRule="atLeast"/>
        </w:trPr>
        <w:tc>
          <w:tcPr>
            <w:tcW w:w="305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3" w:type="dxa"/>
            <w:gridSpan w:val="3"/>
            <w:tcBorders>
              <w:top w:val="single" w:sz="18" w:space="0" w:color="000000"/>
              <w:left w:val="single" w:sz="18"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kern w:val="0"/>
                <w:sz w:val="28"/>
                <w:szCs w:val="28"/>
              </w:rPr>
              <w:t>日間型機構</w:t>
            </w:r>
          </w:p>
        </w:tc>
        <w:tc>
          <w:tcPr>
            <w:tcW w:w="3458" w:type="dxa"/>
            <w:gridSpan w:val="3"/>
            <w:tcBorders>
              <w:top w:val="single" w:sz="18" w:space="0" w:color="000000"/>
              <w:left w:val="single" w:sz="18"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kern w:val="0"/>
                <w:sz w:val="28"/>
                <w:szCs w:val="28"/>
              </w:rPr>
              <w:t>住宿型機構</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rFonts w:ascii="Times New Roman" w:hAnsi="Times New Roman" w:eastAsia="標楷體"/>
                <w:kern w:val="0"/>
                <w:sz w:val="28"/>
                <w:szCs w:val="28"/>
              </w:rPr>
            </w:pPr>
            <w:r>
              <w:rPr>
                <w:rFonts w:eastAsia="標楷體" w:ascii="Times New Roman" w:hAnsi="Times New Roman"/>
                <w:kern w:val="0"/>
                <w:sz w:val="28"/>
                <w:szCs w:val="28"/>
              </w:rPr>
            </w:r>
          </w:p>
        </w:tc>
        <w:tc>
          <w:tcPr>
            <w:tcW w:w="1138" w:type="dxa"/>
            <w:tcBorders>
              <w:top w:val="single" w:sz="4" w:space="0" w:color="000000"/>
              <w:left w:val="single" w:sz="18"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bCs/>
                <w:sz w:val="28"/>
                <w:szCs w:val="28"/>
              </w:rPr>
              <w:t>可免評條文數</w:t>
            </w:r>
          </w:p>
        </w:tc>
        <w:tc>
          <w:tcPr>
            <w:tcW w:w="1699"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bCs/>
                <w:sz w:val="28"/>
                <w:szCs w:val="28"/>
              </w:rPr>
              <w:t>重點條文之條數</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spacing w:lineRule="atLeast" w:line="0" w:before="240" w:after="0"/>
              <w:jc w:val="center"/>
              <w:rPr/>
            </w:pPr>
            <w:r>
              <w:rPr>
                <w:rStyle w:val="Style10"/>
                <w:rFonts w:ascii="Times New Roman" w:hAnsi="Times New Roman" w:eastAsia="標楷體"/>
                <w:bCs/>
                <w:sz w:val="28"/>
                <w:szCs w:val="28"/>
              </w:rPr>
              <w:t>總條文數</w:t>
            </w:r>
          </w:p>
        </w:tc>
        <w:tc>
          <w:tcPr>
            <w:tcW w:w="1136" w:type="dxa"/>
            <w:tcBorders>
              <w:top w:val="single" w:sz="4" w:space="0" w:color="000000"/>
              <w:left w:val="single" w:sz="18"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bCs/>
                <w:sz w:val="28"/>
                <w:szCs w:val="28"/>
              </w:rPr>
              <w:t>可免評條文數</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bCs/>
                <w:sz w:val="28"/>
                <w:szCs w:val="28"/>
              </w:rPr>
              <w:t>重點條文之條數</w:t>
            </w:r>
          </w:p>
        </w:tc>
        <w:tc>
          <w:tcPr>
            <w:tcW w:w="762" w:type="dxa"/>
            <w:tcBorders>
              <w:top w:val="single" w:sz="4" w:space="0" w:color="000000"/>
              <w:left w:val="single" w:sz="4" w:space="0" w:color="000000"/>
              <w:bottom w:val="single" w:sz="4" w:space="0" w:color="000000"/>
              <w:right w:val="single" w:sz="18" w:space="0" w:color="000000"/>
            </w:tcBorders>
            <w:vAlign w:val="center"/>
          </w:tcPr>
          <w:p>
            <w:pPr>
              <w:pStyle w:val="BodyText"/>
              <w:spacing w:lineRule="atLeast" w:line="0" w:before="240" w:after="0"/>
              <w:jc w:val="center"/>
              <w:rPr/>
            </w:pPr>
            <w:r>
              <w:rPr>
                <w:rStyle w:val="Style10"/>
                <w:rFonts w:ascii="Times New Roman" w:hAnsi="Times New Roman" w:eastAsia="標楷體"/>
                <w:bCs/>
                <w:sz w:val="28"/>
                <w:szCs w:val="28"/>
              </w:rPr>
              <w:t>總條文數</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pPr>
            <w:r>
              <w:rPr>
                <w:rStyle w:val="Style10"/>
                <w:rFonts w:ascii="Times New Roman" w:hAnsi="Times New Roman" w:eastAsia="標楷體"/>
                <w:kern w:val="0"/>
                <w:sz w:val="28"/>
                <w:szCs w:val="28"/>
              </w:rPr>
              <w:t>第</w:t>
            </w:r>
            <w:r>
              <w:rPr>
                <w:rStyle w:val="Style10"/>
                <w:rFonts w:eastAsia="標楷體" w:ascii="Times New Roman" w:hAnsi="Times New Roman"/>
                <w:kern w:val="0"/>
                <w:sz w:val="28"/>
                <w:szCs w:val="28"/>
              </w:rPr>
              <w:t>1</w:t>
            </w:r>
            <w:r>
              <w:rPr>
                <w:rStyle w:val="Style10"/>
                <w:rFonts w:ascii="Times New Roman" w:hAnsi="Times New Roman" w:eastAsia="標楷體"/>
                <w:kern w:val="0"/>
                <w:sz w:val="28"/>
                <w:szCs w:val="28"/>
              </w:rPr>
              <w:t>章、經營管理</w:t>
            </w:r>
          </w:p>
        </w:tc>
        <w:tc>
          <w:tcPr>
            <w:tcW w:w="1138"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2</w:t>
            </w:r>
          </w:p>
        </w:tc>
        <w:tc>
          <w:tcPr>
            <w:tcW w:w="16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eastAsia="標楷體"/>
                <w:sz w:val="28"/>
                <w:szCs w:val="28"/>
              </w:rPr>
              <w:t>－</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10</w:t>
            </w:r>
          </w:p>
        </w:tc>
        <w:tc>
          <w:tcPr>
            <w:tcW w:w="1136"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2</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w:t>
            </w:r>
          </w:p>
        </w:tc>
        <w:tc>
          <w:tcPr>
            <w:tcW w:w="762"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12</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pPr>
            <w:r>
              <w:rPr>
                <w:rStyle w:val="Style10"/>
                <w:rFonts w:ascii="Times New Roman" w:hAnsi="Times New Roman" w:eastAsia="標楷體"/>
                <w:kern w:val="0"/>
                <w:sz w:val="28"/>
                <w:szCs w:val="28"/>
              </w:rPr>
              <w:t>第</w:t>
            </w:r>
            <w:r>
              <w:rPr>
                <w:rStyle w:val="Style10"/>
                <w:rFonts w:eastAsia="標楷體" w:ascii="Times New Roman" w:hAnsi="Times New Roman"/>
                <w:kern w:val="0"/>
                <w:sz w:val="28"/>
                <w:szCs w:val="28"/>
              </w:rPr>
              <w:t>2</w:t>
            </w:r>
            <w:r>
              <w:rPr>
                <w:rStyle w:val="Style10"/>
                <w:rFonts w:ascii="Times New Roman" w:hAnsi="Times New Roman" w:eastAsia="標楷體"/>
                <w:kern w:val="0"/>
                <w:sz w:val="28"/>
                <w:szCs w:val="28"/>
              </w:rPr>
              <w:t>章、復健服務</w:t>
            </w:r>
          </w:p>
        </w:tc>
        <w:tc>
          <w:tcPr>
            <w:tcW w:w="1138"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eastAsia="標楷體"/>
                <w:sz w:val="28"/>
                <w:szCs w:val="28"/>
              </w:rPr>
              <w:t>－</w:t>
            </w:r>
          </w:p>
        </w:tc>
        <w:tc>
          <w:tcPr>
            <w:tcW w:w="16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eastAsia="標楷體"/>
                <w:sz w:val="28"/>
                <w:szCs w:val="28"/>
              </w:rPr>
              <w:t>－</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12</w:t>
            </w:r>
          </w:p>
        </w:tc>
        <w:tc>
          <w:tcPr>
            <w:tcW w:w="1136"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eastAsia="標楷體"/>
                <w:sz w:val="28"/>
                <w:szCs w:val="28"/>
              </w:rPr>
              <w:t>－</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eastAsia="標楷體"/>
                <w:sz w:val="28"/>
                <w:szCs w:val="28"/>
              </w:rPr>
              <w:t>－</w:t>
            </w:r>
          </w:p>
        </w:tc>
        <w:tc>
          <w:tcPr>
            <w:tcW w:w="762"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12</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pPr>
            <w:r>
              <w:rPr>
                <w:rStyle w:val="Style10"/>
                <w:rFonts w:ascii="Times New Roman" w:hAnsi="Times New Roman" w:eastAsia="標楷體"/>
                <w:kern w:val="0"/>
                <w:sz w:val="28"/>
                <w:szCs w:val="28"/>
              </w:rPr>
              <w:t>第</w:t>
            </w:r>
            <w:r>
              <w:rPr>
                <w:rStyle w:val="Style10"/>
                <w:rFonts w:eastAsia="標楷體" w:ascii="Times New Roman" w:hAnsi="Times New Roman"/>
                <w:kern w:val="0"/>
                <w:sz w:val="28"/>
                <w:szCs w:val="28"/>
              </w:rPr>
              <w:t>3</w:t>
            </w:r>
            <w:r>
              <w:rPr>
                <w:rStyle w:val="Style10"/>
                <w:rFonts w:ascii="Times New Roman" w:hAnsi="Times New Roman" w:eastAsia="標楷體"/>
                <w:kern w:val="0"/>
                <w:sz w:val="28"/>
                <w:szCs w:val="28"/>
              </w:rPr>
              <w:t>章、服務品質</w:t>
            </w:r>
          </w:p>
        </w:tc>
        <w:tc>
          <w:tcPr>
            <w:tcW w:w="1138"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eastAsia="標楷體"/>
                <w:sz w:val="28"/>
                <w:szCs w:val="28"/>
              </w:rPr>
              <w:t>－</w:t>
            </w:r>
          </w:p>
        </w:tc>
        <w:tc>
          <w:tcPr>
            <w:tcW w:w="1699"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eastAsia="標楷體"/>
                <w:sz w:val="28"/>
                <w:szCs w:val="28"/>
              </w:rPr>
              <w:t>－</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11</w:t>
            </w:r>
          </w:p>
        </w:tc>
        <w:tc>
          <w:tcPr>
            <w:tcW w:w="1136"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eastAsia="標楷體" w:ascii="Times New Roman" w:hAnsi="Times New Roman"/>
                <w:sz w:val="28"/>
                <w:szCs w:val="28"/>
              </w:rPr>
              <w:t>1</w:t>
            </w:r>
          </w:p>
        </w:tc>
        <w:tc>
          <w:tcPr>
            <w:tcW w:w="1560"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eastAsia="標楷體" w:ascii="Times New Roman" w:hAnsi="Times New Roman"/>
                <w:sz w:val="28"/>
                <w:szCs w:val="28"/>
              </w:rPr>
              <w:t>1</w:t>
            </w:r>
          </w:p>
        </w:tc>
        <w:tc>
          <w:tcPr>
            <w:tcW w:w="762"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13</w:t>
            </w:r>
          </w:p>
        </w:tc>
      </w:tr>
      <w:tr>
        <w:trPr>
          <w:trHeight w:val="40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jc w:val="center"/>
              <w:rPr/>
            </w:pPr>
            <w:r>
              <w:rPr>
                <w:rStyle w:val="Style10"/>
                <w:rFonts w:ascii="Times New Roman" w:hAnsi="Times New Roman" w:eastAsia="標楷體"/>
                <w:kern w:val="0"/>
                <w:sz w:val="28"/>
                <w:szCs w:val="28"/>
              </w:rPr>
              <w:t>合計</w:t>
            </w:r>
          </w:p>
        </w:tc>
        <w:tc>
          <w:tcPr>
            <w:tcW w:w="1138" w:type="dxa"/>
            <w:tcBorders>
              <w:top w:val="single" w:sz="4" w:space="0" w:color="000000"/>
              <w:left w:val="single" w:sz="18"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2</w:t>
            </w:r>
          </w:p>
        </w:tc>
        <w:tc>
          <w:tcPr>
            <w:tcW w:w="1699" w:type="dxa"/>
            <w:tcBorders>
              <w:top w:val="single" w:sz="4" w:space="0" w:color="000000"/>
              <w:left w:val="single" w:sz="4"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pPr>
            <w:r>
              <w:rPr>
                <w:rStyle w:val="Style10"/>
                <w:rFonts w:ascii="Times New Roman" w:hAnsi="Times New Roman" w:eastAsia="標楷體"/>
                <w:sz w:val="28"/>
                <w:szCs w:val="28"/>
              </w:rPr>
              <w:t>－</w:t>
            </w:r>
          </w:p>
        </w:tc>
        <w:tc>
          <w:tcPr>
            <w:tcW w:w="706" w:type="dxa"/>
            <w:tcBorders>
              <w:top w:val="single" w:sz="4" w:space="0" w:color="000000"/>
              <w:left w:val="single" w:sz="4" w:space="0" w:color="000000"/>
              <w:bottom w:val="single" w:sz="18"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33</w:t>
            </w:r>
          </w:p>
        </w:tc>
        <w:tc>
          <w:tcPr>
            <w:tcW w:w="1136" w:type="dxa"/>
            <w:tcBorders>
              <w:top w:val="single" w:sz="4" w:space="0" w:color="000000"/>
              <w:left w:val="single" w:sz="18"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3</w:t>
            </w:r>
          </w:p>
        </w:tc>
        <w:tc>
          <w:tcPr>
            <w:tcW w:w="1560" w:type="dxa"/>
            <w:tcBorders>
              <w:top w:val="single" w:sz="4" w:space="0" w:color="000000"/>
              <w:left w:val="single" w:sz="4"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2</w:t>
            </w:r>
          </w:p>
        </w:tc>
        <w:tc>
          <w:tcPr>
            <w:tcW w:w="762" w:type="dxa"/>
            <w:tcBorders>
              <w:top w:val="single" w:sz="4" w:space="0" w:color="000000"/>
              <w:left w:val="single" w:sz="4" w:space="0" w:color="000000"/>
              <w:bottom w:val="single" w:sz="18"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37</w:t>
            </w:r>
          </w:p>
        </w:tc>
      </w:tr>
    </w:tbl>
    <w:p>
      <w:pPr>
        <w:pStyle w:val="BodyText"/>
        <w:tabs>
          <w:tab w:val="clear" w:pos="480"/>
        </w:tabs>
        <w:spacing w:lineRule="auto" w:line="480" w:before="240" w:after="0"/>
        <w:ind w:left="720" w:hanging="0"/>
        <w:jc w:val="center"/>
        <w:rPr/>
      </w:pPr>
      <w:r>
        <w:rPr>
          <w:rStyle w:val="Style10"/>
          <w:rFonts w:ascii="Times New Roman" w:hAnsi="Times New Roman" w:eastAsia="標楷體"/>
          <w:sz w:val="32"/>
          <w:szCs w:val="32"/>
        </w:rPr>
        <w:t>附表</w:t>
      </w:r>
      <w:r>
        <w:rPr>
          <w:rStyle w:val="Style10"/>
          <w:rFonts w:eastAsia="標楷體" w:ascii="Times New Roman" w:hAnsi="Times New Roman"/>
          <w:sz w:val="32"/>
          <w:szCs w:val="32"/>
        </w:rPr>
        <w:t>2</w:t>
      </w:r>
      <w:r>
        <w:rPr>
          <w:rStyle w:val="Style10"/>
          <w:rFonts w:ascii="Times New Roman" w:hAnsi="Times New Roman" w:eastAsia="標楷體"/>
          <w:sz w:val="32"/>
          <w:szCs w:val="32"/>
        </w:rPr>
        <w:t>、精神復健機構評鑑基準評量方式分類統計表</w:t>
      </w:r>
    </w:p>
    <w:tbl>
      <w:tblPr>
        <w:tblW w:w="10053" w:type="dxa"/>
        <w:jc w:val="center"/>
        <w:tblInd w:w="0" w:type="dxa"/>
        <w:tblLayout w:type="fixed"/>
        <w:tblCellMar>
          <w:top w:w="0" w:type="dxa"/>
          <w:left w:w="28" w:type="dxa"/>
          <w:bottom w:w="0" w:type="dxa"/>
          <w:right w:w="28" w:type="dxa"/>
        </w:tblCellMar>
      </w:tblPr>
      <w:tblGrid>
        <w:gridCol w:w="3052"/>
        <w:gridCol w:w="1560"/>
        <w:gridCol w:w="1277"/>
        <w:gridCol w:w="706"/>
        <w:gridCol w:w="1562"/>
        <w:gridCol w:w="1275"/>
        <w:gridCol w:w="621"/>
      </w:tblGrid>
      <w:tr>
        <w:trPr>
          <w:trHeight w:val="241" w:hRule="atLeast"/>
        </w:trPr>
        <w:tc>
          <w:tcPr>
            <w:tcW w:w="3052" w:type="dxa"/>
            <w:vMerge w:val="restart"/>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kern w:val="0"/>
                <w:sz w:val="28"/>
                <w:szCs w:val="28"/>
              </w:rPr>
              <w:t>評鑑項目</w:t>
            </w:r>
          </w:p>
        </w:tc>
        <w:tc>
          <w:tcPr>
            <w:tcW w:w="7001" w:type="dxa"/>
            <w:gridSpan w:val="6"/>
            <w:tcBorders>
              <w:top w:val="single" w:sz="4" w:space="0" w:color="000000"/>
              <w:left w:val="single" w:sz="4" w:space="0" w:color="000000"/>
              <w:bottom w:val="single" w:sz="4" w:space="0" w:color="000000"/>
              <w:right w:val="single" w:sz="4"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kern w:val="0"/>
                <w:sz w:val="28"/>
                <w:szCs w:val="28"/>
              </w:rPr>
              <w:t>條文數</w:t>
            </w:r>
          </w:p>
        </w:tc>
      </w:tr>
      <w:tr>
        <w:trPr>
          <w:trHeight w:val="259" w:hRule="atLeast"/>
        </w:trPr>
        <w:tc>
          <w:tcPr>
            <w:tcW w:w="3052" w:type="dxa"/>
            <w:vMerge w:val="continue"/>
            <w:tcBorders>
              <w:top w:val="single" w:sz="4" w:space="0" w:color="000000"/>
              <w:left w:val="single" w:sz="4" w:space="0" w:color="000000"/>
              <w:bottom w:val="single" w:sz="4" w:space="0" w:color="000000"/>
              <w:right w:val="single" w:sz="4" w:space="0" w:color="000000"/>
            </w:tcBorders>
            <w:vAlign w:val="center"/>
          </w:tcPr>
          <w:p>
            <w:pPr>
              <w:pStyle w:val="Normal"/>
              <w:rPr/>
            </w:pPr>
            <w:r>
              <w:rPr/>
            </w:r>
          </w:p>
        </w:tc>
        <w:tc>
          <w:tcPr>
            <w:tcW w:w="3543" w:type="dxa"/>
            <w:gridSpan w:val="3"/>
            <w:tcBorders>
              <w:top w:val="single" w:sz="18" w:space="0" w:color="000000"/>
              <w:left w:val="single" w:sz="18"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kern w:val="0"/>
                <w:sz w:val="28"/>
                <w:szCs w:val="28"/>
              </w:rPr>
              <w:t>日間型機構</w:t>
            </w:r>
          </w:p>
        </w:tc>
        <w:tc>
          <w:tcPr>
            <w:tcW w:w="3458" w:type="dxa"/>
            <w:gridSpan w:val="3"/>
            <w:tcBorders>
              <w:top w:val="single" w:sz="18" w:space="0" w:color="000000"/>
              <w:left w:val="single" w:sz="18"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kern w:val="0"/>
                <w:sz w:val="28"/>
                <w:szCs w:val="28"/>
              </w:rPr>
              <w:t>住宿型機構</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lineRule="auto" w:line="360" w:before="240" w:after="0"/>
              <w:ind w:left="560" w:hanging="560"/>
              <w:jc w:val="center"/>
              <w:rPr/>
            </w:pPr>
            <w:r>
              <w:rPr>
                <w:rStyle w:val="Style10"/>
                <w:rFonts w:ascii="Times New Roman" w:hAnsi="Times New Roman" w:eastAsia="標楷體"/>
                <w:sz w:val="28"/>
                <w:szCs w:val="28"/>
              </w:rPr>
              <w:t>評量方式</w:t>
            </w:r>
          </w:p>
        </w:tc>
        <w:tc>
          <w:tcPr>
            <w:tcW w:w="1560" w:type="dxa"/>
            <w:tcBorders>
              <w:top w:val="single" w:sz="4" w:space="0" w:color="000000"/>
              <w:left w:val="single" w:sz="18"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sz w:val="28"/>
                <w:szCs w:val="28"/>
              </w:rPr>
              <w:t>「</w:t>
            </w:r>
            <w:r>
              <w:rPr>
                <w:rStyle w:val="Style10"/>
                <w:rFonts w:eastAsia="標楷體" w:ascii="Times New Roman" w:hAnsi="Times New Roman"/>
                <w:sz w:val="28"/>
                <w:szCs w:val="28"/>
              </w:rPr>
              <w:t>A</w:t>
            </w:r>
            <w:r>
              <w:rPr>
                <w:rStyle w:val="Style10"/>
                <w:rFonts w:ascii="Times New Roman" w:hAnsi="Times New Roman" w:eastAsia="標楷體"/>
                <w:sz w:val="28"/>
                <w:szCs w:val="28"/>
              </w:rPr>
              <w:t>、</w:t>
            </w:r>
            <w:r>
              <w:rPr>
                <w:rStyle w:val="Style10"/>
                <w:rFonts w:eastAsia="標楷體" w:ascii="Times New Roman" w:hAnsi="Times New Roman"/>
                <w:sz w:val="28"/>
                <w:szCs w:val="28"/>
              </w:rPr>
              <w:t>B</w:t>
            </w:r>
            <w:r>
              <w:rPr>
                <w:rStyle w:val="Style10"/>
                <w:rFonts w:ascii="Times New Roman" w:hAnsi="Times New Roman" w:eastAsia="標楷體"/>
                <w:sz w:val="28"/>
                <w:szCs w:val="28"/>
              </w:rPr>
              <w:t>、</w:t>
            </w:r>
            <w:r>
              <w:rPr>
                <w:rStyle w:val="Style10"/>
                <w:rFonts w:eastAsia="標楷體" w:ascii="Times New Roman" w:hAnsi="Times New Roman"/>
                <w:sz w:val="28"/>
                <w:szCs w:val="28"/>
              </w:rPr>
              <w:t>C</w:t>
            </w:r>
            <w:r>
              <w:rPr>
                <w:rStyle w:val="Style10"/>
                <w:rFonts w:ascii="Times New Roman" w:hAnsi="Times New Roman" w:eastAsia="標楷體"/>
                <w:sz w:val="28"/>
                <w:szCs w:val="28"/>
              </w:rPr>
              <w:t>、</w:t>
            </w:r>
            <w:r>
              <w:rPr>
                <w:rStyle w:val="Style10"/>
                <w:rFonts w:eastAsia="標楷體" w:ascii="Times New Roman" w:hAnsi="Times New Roman"/>
                <w:sz w:val="28"/>
                <w:szCs w:val="28"/>
              </w:rPr>
              <w:t>D</w:t>
            </w:r>
            <w:r>
              <w:rPr>
                <w:rStyle w:val="Style10"/>
                <w:rFonts w:ascii="Times New Roman" w:hAnsi="Times New Roman" w:eastAsia="標楷體"/>
                <w:sz w:val="28"/>
                <w:szCs w:val="28"/>
              </w:rPr>
              <w:t>、</w:t>
            </w:r>
            <w:r>
              <w:rPr>
                <w:rStyle w:val="Style10"/>
                <w:rFonts w:eastAsia="標楷體" w:ascii="Times New Roman" w:hAnsi="Times New Roman"/>
                <w:sz w:val="28"/>
                <w:szCs w:val="28"/>
              </w:rPr>
              <w:t>E</w:t>
            </w:r>
            <w:r>
              <w:rPr>
                <w:rStyle w:val="Style10"/>
                <w:rFonts w:ascii="Times New Roman" w:hAnsi="Times New Roman" w:eastAsia="標楷體"/>
                <w:sz w:val="28"/>
                <w:szCs w:val="28"/>
              </w:rPr>
              <w:t>」五級</w:t>
            </w:r>
          </w:p>
        </w:tc>
        <w:tc>
          <w:tcPr>
            <w:tcW w:w="1277"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sz w:val="28"/>
                <w:szCs w:val="28"/>
              </w:rPr>
              <w:t>「</w:t>
            </w:r>
            <w:r>
              <w:rPr>
                <w:rStyle w:val="Style10"/>
                <w:rFonts w:eastAsia="標楷體" w:ascii="Times New Roman" w:hAnsi="Times New Roman"/>
                <w:sz w:val="28"/>
                <w:szCs w:val="28"/>
              </w:rPr>
              <w:t>A</w:t>
            </w:r>
            <w:r>
              <w:rPr>
                <w:rStyle w:val="Style10"/>
                <w:rFonts w:ascii="Times New Roman" w:hAnsi="Times New Roman" w:eastAsia="標楷體"/>
                <w:sz w:val="28"/>
                <w:szCs w:val="28"/>
              </w:rPr>
              <w:t>、</w:t>
            </w:r>
            <w:r>
              <w:rPr>
                <w:rStyle w:val="Style10"/>
                <w:rFonts w:eastAsia="標楷體" w:ascii="Times New Roman" w:hAnsi="Times New Roman"/>
                <w:sz w:val="28"/>
                <w:szCs w:val="28"/>
              </w:rPr>
              <w:t>C</w:t>
            </w:r>
            <w:r>
              <w:rPr>
                <w:rStyle w:val="Style10"/>
                <w:rFonts w:ascii="Times New Roman" w:hAnsi="Times New Roman" w:eastAsia="標楷體"/>
                <w:sz w:val="28"/>
                <w:szCs w:val="28"/>
              </w:rPr>
              <w:t>、</w:t>
            </w:r>
            <w:r>
              <w:rPr>
                <w:rStyle w:val="Style10"/>
                <w:rFonts w:eastAsia="標楷體" w:ascii="Times New Roman" w:hAnsi="Times New Roman"/>
                <w:sz w:val="28"/>
                <w:szCs w:val="28"/>
              </w:rPr>
              <w:t>E</w:t>
            </w:r>
            <w:r>
              <w:rPr>
                <w:rStyle w:val="Style10"/>
                <w:rFonts w:ascii="Times New Roman" w:hAnsi="Times New Roman" w:eastAsia="標楷體"/>
                <w:sz w:val="28"/>
                <w:szCs w:val="28"/>
              </w:rPr>
              <w:t>」三級</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spacing w:lineRule="atLeast" w:line="0" w:before="240" w:after="0"/>
              <w:jc w:val="center"/>
              <w:rPr/>
            </w:pPr>
            <w:r>
              <w:rPr>
                <w:rStyle w:val="Style10"/>
                <w:rFonts w:ascii="Times New Roman" w:hAnsi="Times New Roman" w:eastAsia="標楷體"/>
                <w:bCs/>
                <w:sz w:val="28"/>
                <w:szCs w:val="28"/>
              </w:rPr>
              <w:t>總條文數</w:t>
            </w:r>
          </w:p>
        </w:tc>
        <w:tc>
          <w:tcPr>
            <w:tcW w:w="1562" w:type="dxa"/>
            <w:tcBorders>
              <w:top w:val="single" w:sz="4" w:space="0" w:color="000000"/>
              <w:left w:val="single" w:sz="18"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sz w:val="28"/>
                <w:szCs w:val="28"/>
              </w:rPr>
              <w:t>「</w:t>
            </w:r>
            <w:r>
              <w:rPr>
                <w:rStyle w:val="Style10"/>
                <w:rFonts w:eastAsia="標楷體" w:ascii="Times New Roman" w:hAnsi="Times New Roman"/>
                <w:sz w:val="28"/>
                <w:szCs w:val="28"/>
              </w:rPr>
              <w:t>A</w:t>
            </w:r>
            <w:r>
              <w:rPr>
                <w:rStyle w:val="Style10"/>
                <w:rFonts w:ascii="Times New Roman" w:hAnsi="Times New Roman" w:eastAsia="標楷體"/>
                <w:sz w:val="28"/>
                <w:szCs w:val="28"/>
              </w:rPr>
              <w:t>、</w:t>
            </w:r>
            <w:r>
              <w:rPr>
                <w:rStyle w:val="Style10"/>
                <w:rFonts w:eastAsia="標楷體" w:ascii="Times New Roman" w:hAnsi="Times New Roman"/>
                <w:sz w:val="28"/>
                <w:szCs w:val="28"/>
              </w:rPr>
              <w:t>B</w:t>
            </w:r>
            <w:r>
              <w:rPr>
                <w:rStyle w:val="Style10"/>
                <w:rFonts w:ascii="Times New Roman" w:hAnsi="Times New Roman" w:eastAsia="標楷體"/>
                <w:sz w:val="28"/>
                <w:szCs w:val="28"/>
              </w:rPr>
              <w:t>、</w:t>
            </w:r>
            <w:r>
              <w:rPr>
                <w:rStyle w:val="Style10"/>
                <w:rFonts w:eastAsia="標楷體" w:ascii="Times New Roman" w:hAnsi="Times New Roman"/>
                <w:sz w:val="28"/>
                <w:szCs w:val="28"/>
              </w:rPr>
              <w:t>C</w:t>
            </w:r>
            <w:r>
              <w:rPr>
                <w:rStyle w:val="Style10"/>
                <w:rFonts w:ascii="Times New Roman" w:hAnsi="Times New Roman" w:eastAsia="標楷體"/>
                <w:sz w:val="28"/>
                <w:szCs w:val="28"/>
              </w:rPr>
              <w:t>、</w:t>
            </w:r>
            <w:r>
              <w:rPr>
                <w:rStyle w:val="Style10"/>
                <w:rFonts w:eastAsia="標楷體" w:ascii="Times New Roman" w:hAnsi="Times New Roman"/>
                <w:sz w:val="28"/>
                <w:szCs w:val="28"/>
              </w:rPr>
              <w:t>D</w:t>
            </w:r>
            <w:r>
              <w:rPr>
                <w:rStyle w:val="Style10"/>
                <w:rFonts w:ascii="Times New Roman" w:hAnsi="Times New Roman" w:eastAsia="標楷體"/>
                <w:sz w:val="28"/>
                <w:szCs w:val="28"/>
              </w:rPr>
              <w:t>、</w:t>
            </w:r>
            <w:r>
              <w:rPr>
                <w:rStyle w:val="Style10"/>
                <w:rFonts w:eastAsia="標楷體" w:ascii="Times New Roman" w:hAnsi="Times New Roman"/>
                <w:sz w:val="28"/>
                <w:szCs w:val="28"/>
              </w:rPr>
              <w:t>E</w:t>
            </w:r>
            <w:r>
              <w:rPr>
                <w:rStyle w:val="Style10"/>
                <w:rFonts w:ascii="Times New Roman" w:hAnsi="Times New Roman" w:eastAsia="標楷體"/>
                <w:sz w:val="28"/>
                <w:szCs w:val="28"/>
              </w:rPr>
              <w:t>」五級</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BodyText"/>
              <w:spacing w:lineRule="atLeast" w:line="0" w:before="240" w:after="0"/>
              <w:jc w:val="center"/>
              <w:rPr/>
            </w:pPr>
            <w:r>
              <w:rPr>
                <w:rStyle w:val="Style10"/>
                <w:rFonts w:ascii="Times New Roman" w:hAnsi="Times New Roman" w:eastAsia="標楷體"/>
                <w:sz w:val="28"/>
                <w:szCs w:val="28"/>
              </w:rPr>
              <w:t>「</w:t>
            </w:r>
            <w:r>
              <w:rPr>
                <w:rStyle w:val="Style10"/>
                <w:rFonts w:eastAsia="標楷體" w:ascii="Times New Roman" w:hAnsi="Times New Roman"/>
                <w:sz w:val="28"/>
                <w:szCs w:val="28"/>
              </w:rPr>
              <w:t>A</w:t>
            </w:r>
            <w:r>
              <w:rPr>
                <w:rStyle w:val="Style10"/>
                <w:rFonts w:ascii="Times New Roman" w:hAnsi="Times New Roman" w:eastAsia="標楷體"/>
                <w:sz w:val="28"/>
                <w:szCs w:val="28"/>
              </w:rPr>
              <w:t>、</w:t>
            </w:r>
            <w:r>
              <w:rPr>
                <w:rStyle w:val="Style10"/>
                <w:rFonts w:eastAsia="標楷體" w:ascii="Times New Roman" w:hAnsi="Times New Roman"/>
                <w:sz w:val="28"/>
                <w:szCs w:val="28"/>
              </w:rPr>
              <w:t>C</w:t>
            </w:r>
            <w:r>
              <w:rPr>
                <w:rStyle w:val="Style10"/>
                <w:rFonts w:ascii="Times New Roman" w:hAnsi="Times New Roman" w:eastAsia="標楷體"/>
                <w:sz w:val="28"/>
                <w:szCs w:val="28"/>
              </w:rPr>
              <w:t>、</w:t>
            </w:r>
            <w:r>
              <w:rPr>
                <w:rStyle w:val="Style10"/>
                <w:rFonts w:eastAsia="標楷體" w:ascii="Times New Roman" w:hAnsi="Times New Roman"/>
                <w:sz w:val="28"/>
                <w:szCs w:val="28"/>
              </w:rPr>
              <w:t>E</w:t>
            </w:r>
            <w:r>
              <w:rPr>
                <w:rStyle w:val="Style10"/>
                <w:rFonts w:ascii="Times New Roman" w:hAnsi="Times New Roman" w:eastAsia="標楷體"/>
                <w:sz w:val="28"/>
                <w:szCs w:val="28"/>
              </w:rPr>
              <w:t>」三級</w:t>
            </w:r>
          </w:p>
        </w:tc>
        <w:tc>
          <w:tcPr>
            <w:tcW w:w="621" w:type="dxa"/>
            <w:tcBorders>
              <w:top w:val="single" w:sz="4" w:space="0" w:color="000000"/>
              <w:left w:val="single" w:sz="4" w:space="0" w:color="000000"/>
              <w:bottom w:val="single" w:sz="4" w:space="0" w:color="000000"/>
              <w:right w:val="single" w:sz="18" w:space="0" w:color="000000"/>
            </w:tcBorders>
            <w:vAlign w:val="center"/>
          </w:tcPr>
          <w:p>
            <w:pPr>
              <w:pStyle w:val="BodyText"/>
              <w:spacing w:lineRule="atLeast" w:line="0" w:before="240" w:after="0"/>
              <w:jc w:val="center"/>
              <w:rPr/>
            </w:pPr>
            <w:r>
              <w:rPr>
                <w:rStyle w:val="Style10"/>
                <w:rFonts w:ascii="Times New Roman" w:hAnsi="Times New Roman" w:eastAsia="標楷體"/>
                <w:bCs/>
                <w:sz w:val="28"/>
                <w:szCs w:val="28"/>
              </w:rPr>
              <w:t>總條文數</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pPr>
            <w:r>
              <w:rPr>
                <w:rStyle w:val="Style10"/>
                <w:rFonts w:ascii="Times New Roman" w:hAnsi="Times New Roman" w:eastAsia="標楷體"/>
                <w:kern w:val="0"/>
                <w:sz w:val="28"/>
                <w:szCs w:val="28"/>
              </w:rPr>
              <w:t>第</w:t>
            </w:r>
            <w:r>
              <w:rPr>
                <w:rStyle w:val="Style10"/>
                <w:rFonts w:eastAsia="標楷體" w:ascii="Times New Roman" w:hAnsi="Times New Roman"/>
                <w:kern w:val="0"/>
                <w:sz w:val="28"/>
                <w:szCs w:val="28"/>
              </w:rPr>
              <w:t>1</w:t>
            </w:r>
            <w:r>
              <w:rPr>
                <w:rStyle w:val="Style10"/>
                <w:rFonts w:ascii="Times New Roman" w:hAnsi="Times New Roman" w:eastAsia="標楷體"/>
                <w:kern w:val="0"/>
                <w:sz w:val="28"/>
                <w:szCs w:val="28"/>
              </w:rPr>
              <w:t>章、經營管理</w:t>
            </w:r>
          </w:p>
        </w:tc>
        <w:tc>
          <w:tcPr>
            <w:tcW w:w="1560"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8</w:t>
            </w:r>
          </w:p>
        </w:tc>
        <w:tc>
          <w:tcPr>
            <w:tcW w:w="12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2</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10</w:t>
            </w:r>
          </w:p>
        </w:tc>
        <w:tc>
          <w:tcPr>
            <w:tcW w:w="1562"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10</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2</w:t>
            </w:r>
          </w:p>
        </w:tc>
        <w:tc>
          <w:tcPr>
            <w:tcW w:w="621"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12</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pPr>
            <w:r>
              <w:rPr>
                <w:rStyle w:val="Style10"/>
                <w:rFonts w:ascii="Times New Roman" w:hAnsi="Times New Roman" w:eastAsia="標楷體"/>
                <w:kern w:val="0"/>
                <w:sz w:val="28"/>
                <w:szCs w:val="28"/>
              </w:rPr>
              <w:t>第</w:t>
            </w:r>
            <w:r>
              <w:rPr>
                <w:rStyle w:val="Style10"/>
                <w:rFonts w:eastAsia="標楷體" w:ascii="Times New Roman" w:hAnsi="Times New Roman"/>
                <w:kern w:val="0"/>
                <w:sz w:val="28"/>
                <w:szCs w:val="28"/>
              </w:rPr>
              <w:t>2</w:t>
            </w:r>
            <w:r>
              <w:rPr>
                <w:rStyle w:val="Style10"/>
                <w:rFonts w:ascii="Times New Roman" w:hAnsi="Times New Roman" w:eastAsia="標楷體"/>
                <w:kern w:val="0"/>
                <w:sz w:val="28"/>
                <w:szCs w:val="28"/>
              </w:rPr>
              <w:t>章、復健服務</w:t>
            </w:r>
          </w:p>
        </w:tc>
        <w:tc>
          <w:tcPr>
            <w:tcW w:w="1560"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12</w:t>
            </w:r>
          </w:p>
        </w:tc>
        <w:tc>
          <w:tcPr>
            <w:tcW w:w="12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0</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12</w:t>
            </w:r>
          </w:p>
        </w:tc>
        <w:tc>
          <w:tcPr>
            <w:tcW w:w="1562"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12</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0</w:t>
            </w:r>
          </w:p>
        </w:tc>
        <w:tc>
          <w:tcPr>
            <w:tcW w:w="621"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12</w:t>
            </w:r>
          </w:p>
        </w:tc>
      </w:tr>
      <w:tr>
        <w:trPr>
          <w:trHeight w:val="25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rPr/>
            </w:pPr>
            <w:r>
              <w:rPr>
                <w:rStyle w:val="Style10"/>
                <w:rFonts w:ascii="Times New Roman" w:hAnsi="Times New Roman" w:eastAsia="標楷體"/>
                <w:kern w:val="0"/>
                <w:sz w:val="28"/>
                <w:szCs w:val="28"/>
              </w:rPr>
              <w:t>第</w:t>
            </w:r>
            <w:r>
              <w:rPr>
                <w:rStyle w:val="Style10"/>
                <w:rFonts w:eastAsia="標楷體" w:ascii="Times New Roman" w:hAnsi="Times New Roman"/>
                <w:kern w:val="0"/>
                <w:sz w:val="28"/>
                <w:szCs w:val="28"/>
              </w:rPr>
              <w:t>3</w:t>
            </w:r>
            <w:r>
              <w:rPr>
                <w:rStyle w:val="Style10"/>
                <w:rFonts w:ascii="Times New Roman" w:hAnsi="Times New Roman" w:eastAsia="標楷體"/>
                <w:kern w:val="0"/>
                <w:sz w:val="28"/>
                <w:szCs w:val="28"/>
              </w:rPr>
              <w:t>章、服務品質</w:t>
            </w:r>
          </w:p>
        </w:tc>
        <w:tc>
          <w:tcPr>
            <w:tcW w:w="1560"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5</w:t>
            </w:r>
          </w:p>
        </w:tc>
        <w:tc>
          <w:tcPr>
            <w:tcW w:w="1277"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6</w:t>
            </w:r>
          </w:p>
        </w:tc>
        <w:tc>
          <w:tcPr>
            <w:tcW w:w="706"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11</w:t>
            </w:r>
          </w:p>
        </w:tc>
        <w:tc>
          <w:tcPr>
            <w:tcW w:w="1562" w:type="dxa"/>
            <w:tcBorders>
              <w:top w:val="single" w:sz="4" w:space="0" w:color="000000"/>
              <w:left w:val="single" w:sz="18"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6</w:t>
            </w:r>
          </w:p>
        </w:tc>
        <w:tc>
          <w:tcPr>
            <w:tcW w:w="1275" w:type="dxa"/>
            <w:tcBorders>
              <w:top w:val="single" w:sz="4" w:space="0" w:color="000000"/>
              <w:left w:val="single" w:sz="4" w:space="0" w:color="000000"/>
              <w:bottom w:val="single" w:sz="4"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7</w:t>
            </w:r>
          </w:p>
        </w:tc>
        <w:tc>
          <w:tcPr>
            <w:tcW w:w="621" w:type="dxa"/>
            <w:tcBorders>
              <w:top w:val="single" w:sz="4" w:space="0" w:color="000000"/>
              <w:left w:val="single" w:sz="4" w:space="0" w:color="000000"/>
              <w:bottom w:val="single" w:sz="4"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13</w:t>
            </w:r>
          </w:p>
        </w:tc>
      </w:tr>
      <w:tr>
        <w:trPr>
          <w:trHeight w:val="409" w:hRule="atLeast"/>
        </w:trPr>
        <w:tc>
          <w:tcPr>
            <w:tcW w:w="3052" w:type="dxa"/>
            <w:tcBorders>
              <w:top w:val="single" w:sz="4" w:space="0" w:color="000000"/>
              <w:left w:val="single" w:sz="4" w:space="0" w:color="000000"/>
              <w:bottom w:val="single" w:sz="4" w:space="0" w:color="000000"/>
              <w:right w:val="single" w:sz="18" w:space="0" w:color="000000"/>
            </w:tcBorders>
            <w:vAlign w:val="center"/>
          </w:tcPr>
          <w:p>
            <w:pPr>
              <w:pStyle w:val="BodyText"/>
              <w:tabs>
                <w:tab w:val="clear" w:pos="480"/>
              </w:tabs>
              <w:autoSpaceDE w:val="false"/>
              <w:snapToGrid w:val="false"/>
              <w:spacing w:before="240" w:after="0"/>
              <w:ind w:left="560" w:hanging="560"/>
              <w:jc w:val="center"/>
              <w:rPr/>
            </w:pPr>
            <w:r>
              <w:rPr>
                <w:rStyle w:val="Style10"/>
                <w:rFonts w:ascii="Times New Roman" w:hAnsi="Times New Roman" w:eastAsia="標楷體"/>
                <w:kern w:val="0"/>
                <w:sz w:val="28"/>
                <w:szCs w:val="28"/>
              </w:rPr>
              <w:t>合計</w:t>
            </w:r>
          </w:p>
        </w:tc>
        <w:tc>
          <w:tcPr>
            <w:tcW w:w="1560" w:type="dxa"/>
            <w:tcBorders>
              <w:top w:val="single" w:sz="4" w:space="0" w:color="000000"/>
              <w:left w:val="single" w:sz="18"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25</w:t>
            </w:r>
          </w:p>
        </w:tc>
        <w:tc>
          <w:tcPr>
            <w:tcW w:w="1277" w:type="dxa"/>
            <w:tcBorders>
              <w:top w:val="single" w:sz="4" w:space="0" w:color="000000"/>
              <w:left w:val="single" w:sz="4"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8</w:t>
            </w:r>
          </w:p>
        </w:tc>
        <w:tc>
          <w:tcPr>
            <w:tcW w:w="706" w:type="dxa"/>
            <w:tcBorders>
              <w:top w:val="single" w:sz="4" w:space="0" w:color="000000"/>
              <w:left w:val="single" w:sz="4" w:space="0" w:color="000000"/>
              <w:bottom w:val="single" w:sz="18"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33</w:t>
            </w:r>
          </w:p>
        </w:tc>
        <w:tc>
          <w:tcPr>
            <w:tcW w:w="1562" w:type="dxa"/>
            <w:tcBorders>
              <w:top w:val="single" w:sz="4" w:space="0" w:color="000000"/>
              <w:left w:val="single" w:sz="18"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28</w:t>
            </w:r>
          </w:p>
        </w:tc>
        <w:tc>
          <w:tcPr>
            <w:tcW w:w="1275" w:type="dxa"/>
            <w:tcBorders>
              <w:top w:val="single" w:sz="4" w:space="0" w:color="000000"/>
              <w:left w:val="single" w:sz="4" w:space="0" w:color="000000"/>
              <w:bottom w:val="single" w:sz="18" w:space="0" w:color="000000"/>
              <w:right w:val="single" w:sz="4"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9</w:t>
            </w:r>
          </w:p>
        </w:tc>
        <w:tc>
          <w:tcPr>
            <w:tcW w:w="621" w:type="dxa"/>
            <w:tcBorders>
              <w:top w:val="single" w:sz="4" w:space="0" w:color="000000"/>
              <w:left w:val="single" w:sz="4" w:space="0" w:color="000000"/>
              <w:bottom w:val="single" w:sz="18" w:space="0" w:color="000000"/>
              <w:right w:val="single" w:sz="18" w:space="0" w:color="000000"/>
            </w:tcBorders>
            <w:vAlign w:val="center"/>
          </w:tcPr>
          <w:p>
            <w:pPr>
              <w:pStyle w:val="BodyText"/>
              <w:autoSpaceDE w:val="false"/>
              <w:snapToGrid w:val="false"/>
              <w:spacing w:lineRule="auto" w:line="360" w:before="240" w:after="0"/>
              <w:jc w:val="center"/>
              <w:rPr>
                <w:rFonts w:ascii="Times New Roman" w:hAnsi="Times New Roman" w:eastAsia="標楷體"/>
                <w:kern w:val="0"/>
                <w:sz w:val="28"/>
                <w:szCs w:val="28"/>
              </w:rPr>
            </w:pPr>
            <w:r>
              <w:rPr>
                <w:rFonts w:eastAsia="標楷體" w:ascii="Times New Roman" w:hAnsi="Times New Roman"/>
                <w:kern w:val="0"/>
                <w:sz w:val="28"/>
                <w:szCs w:val="28"/>
              </w:rPr>
              <w:t>37</w:t>
            </w:r>
          </w:p>
        </w:tc>
      </w:tr>
    </w:tbl>
    <w:p>
      <w:pPr>
        <w:sectPr>
          <w:footerReference w:type="default" r:id="rId4"/>
          <w:type w:val="nextPage"/>
          <w:pgSz w:w="11907" w:h="16840"/>
          <w:pgMar w:left="720" w:right="720" w:gutter="0" w:header="0" w:top="851" w:footer="851" w:bottom="720"/>
          <w:pgNumType w:start="1" w:fmt="upperRoman"/>
          <w:formProt w:val="false"/>
          <w:textDirection w:val="lrTb"/>
          <w:docGrid w:type="default" w:linePitch="600" w:charSpace="40960"/>
        </w:sectPr>
      </w:pPr>
      <w:r>
        <w:br w:type="page"/>
      </w:r>
    </w:p>
    <w:p>
      <w:pPr>
        <w:pStyle w:val="BodyText"/>
        <w:spacing w:before="0" w:after="240"/>
        <w:jc w:val="center"/>
        <w:rPr/>
      </w:pPr>
      <w:r>
        <w:rPr>
          <w:rStyle w:val="Style10"/>
          <w:rFonts w:ascii="Times New Roman" w:hAnsi="Times New Roman" w:eastAsia="標楷體"/>
          <w:b/>
          <w:sz w:val="32"/>
          <w:szCs w:val="32"/>
        </w:rPr>
        <w:t>精神復健機構評鑑基準－日間型機構</w:t>
      </w:r>
      <w:r>
        <mc:AlternateContent>
          <mc:Choice Requires="wps">
            <w:drawing>
              <wp:anchor behindDoc="0" distT="0" distB="0" distL="0" distR="0" simplePos="0" locked="0" layoutInCell="1" allowOverlap="1" relativeHeight="4">
                <wp:simplePos x="0" y="0"/>
                <wp:positionH relativeFrom="column">
                  <wp:posOffset>13454380</wp:posOffset>
                </wp:positionH>
                <wp:positionV relativeFrom="paragraph">
                  <wp:posOffset>-22225</wp:posOffset>
                </wp:positionV>
                <wp:extent cx="650240" cy="325120"/>
                <wp:effectExtent l="0" t="0" r="0" b="0"/>
                <wp:wrapNone/>
                <wp:docPr id="3" name="文字方塊 2"/>
                <a:graphic xmlns:a="http://schemas.openxmlformats.org/drawingml/2006/main">
                  <a:graphicData uri="http://schemas.microsoft.com/office/word/2010/wordprocessingShape">
                    <wps:wsp>
                      <wps:cNvSpPr txBox="1"/>
                      <wps:spPr>
                        <a:xfrm>
                          <a:off x="0" y="0"/>
                          <a:ext cx="650240" cy="325120"/>
                        </a:xfrm>
                        <a:prstGeom prst="rect"/>
                        <a:solidFill>
                          <a:srgbClr val="FFFFFF"/>
                        </a:solidFill>
                        <a:ln w="9525">
                          <a:solidFill>
                            <a:srgbClr val="000000"/>
                          </a:solidFill>
                        </a:ln>
                      </wps:spPr>
                      <wps:txbx>
                        <w:txbxContent>
                          <w:p>
                            <w:pPr>
                              <w:pStyle w:val="BodyText"/>
                              <w:rPr>
                                <w:rFonts w:ascii="標楷體" w:hAnsi="標楷體" w:eastAsia="標楷體"/>
                              </w:rPr>
                            </w:pPr>
                            <w:r>
                              <w:rPr>
                                <w:rFonts w:ascii="標楷體" w:hAnsi="標楷體" w:eastAsia="標楷體"/>
                              </w:rPr>
                              <w:t>附冊一</w:t>
                            </w:r>
                          </w:p>
                        </w:txbxContent>
                      </wps:txbx>
                      <wps:bodyPr anchor="t" lIns="91440" tIns="45720" rIns="91440" bIns="45720">
                        <a:noAutofit/>
                      </wps:bodyPr>
                    </wps:wsp>
                  </a:graphicData>
                </a:graphic>
              </wp:anchor>
            </w:drawing>
          </mc:Choice>
          <mc:Fallback>
            <w:pict>
              <v:rect strokecolor="#000000" strokeweight="0pt" style="position:absolute;rotation:-0;width:51.2pt;height:25.6pt;mso-wrap-distance-left:0pt;mso-wrap-distance-right:0pt;mso-wrap-distance-top:0pt;mso-wrap-distance-bottom:0pt;margin-top:-1.75pt;mso-position-vertical-relative:text;margin-left:1059.4pt;mso-position-horizontal-relative:text">
                <v:textbox>
                  <w:txbxContent>
                    <w:p>
                      <w:pPr>
                        <w:pStyle w:val="BodyText"/>
                        <w:rPr>
                          <w:rFonts w:ascii="標楷體" w:hAnsi="標楷體" w:eastAsia="標楷體"/>
                        </w:rPr>
                      </w:pPr>
                      <w:r>
                        <w:rPr>
                          <w:rFonts w:ascii="標楷體" w:hAnsi="標楷體" w:eastAsia="標楷體"/>
                        </w:rPr>
                        <w:t>附冊一</w:t>
                      </w:r>
                    </w:p>
                  </w:txbxContent>
                </v:textbox>
                <w10:wrap type="none"/>
              </v:rect>
            </w:pict>
          </mc:Fallback>
        </mc:AlternateContent>
      </w:r>
    </w:p>
    <w:tbl>
      <w:tblPr>
        <w:tblW w:w="4950" w:type="pct"/>
        <w:jc w:val="left"/>
        <w:tblInd w:w="-5" w:type="dxa"/>
        <w:tblLayout w:type="fixed"/>
        <w:tblCellMar>
          <w:top w:w="0" w:type="dxa"/>
          <w:left w:w="108" w:type="dxa"/>
          <w:bottom w:w="0" w:type="dxa"/>
          <w:right w:w="108" w:type="dxa"/>
        </w:tblCellMar>
      </w:tblPr>
      <w:tblGrid>
        <w:gridCol w:w="1075"/>
        <w:gridCol w:w="1664"/>
        <w:gridCol w:w="970"/>
        <w:gridCol w:w="6653"/>
      </w:tblGrid>
      <w:tr>
        <w:trPr>
          <w:tblHeader w:val="true"/>
        </w:trPr>
        <w:tc>
          <w:tcPr>
            <w:tcW w:w="1075"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rPr/>
            </w:pPr>
            <w:r>
              <w:rPr>
                <w:rStyle w:val="Style10"/>
                <w:rFonts w:ascii="Times New Roman" w:hAnsi="Times New Roman" w:eastAsia="標楷體"/>
                <w:sz w:val="28"/>
                <w:szCs w:val="28"/>
              </w:rPr>
              <w:t>項次</w:t>
            </w:r>
          </w:p>
        </w:tc>
        <w:tc>
          <w:tcPr>
            <w:tcW w:w="1664"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rPr/>
            </w:pPr>
            <w:r>
              <w:rPr>
                <w:rStyle w:val="Style10"/>
                <w:rFonts w:ascii="Times New Roman" w:hAnsi="Times New Roman" w:eastAsia="標楷體"/>
                <w:sz w:val="28"/>
                <w:szCs w:val="28"/>
              </w:rPr>
              <w:t>基準</w:t>
            </w:r>
          </w:p>
        </w:tc>
        <w:tc>
          <w:tcPr>
            <w:tcW w:w="97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pPr>
            <w:r>
              <w:rPr>
                <w:rStyle w:val="Style10"/>
                <w:rFonts w:ascii="Times New Roman" w:hAnsi="Times New Roman" w:eastAsia="標楷體"/>
                <w:sz w:val="28"/>
                <w:szCs w:val="28"/>
              </w:rPr>
              <w:t>配分</w:t>
            </w:r>
          </w:p>
        </w:tc>
        <w:tc>
          <w:tcPr>
            <w:tcW w:w="6653"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pPr>
            <w:r>
              <w:rPr>
                <w:rStyle w:val="Style10"/>
                <w:rFonts w:ascii="Times New Roman" w:hAnsi="Times New Roman" w:eastAsia="標楷體"/>
                <w:sz w:val="28"/>
                <w:szCs w:val="28"/>
              </w:rPr>
              <w:t>評分說明</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8"/>
              </w:rPr>
              <w:t>第</w:t>
            </w:r>
            <w:r>
              <w:rPr>
                <w:rStyle w:val="Style10"/>
                <w:rFonts w:eastAsia="標楷體" w:ascii="Times New Roman" w:hAnsi="Times New Roman"/>
                <w:sz w:val="28"/>
                <w:szCs w:val="28"/>
              </w:rPr>
              <w:t>1</w:t>
            </w:r>
            <w:r>
              <w:rPr>
                <w:rStyle w:val="Style10"/>
                <w:rFonts w:ascii="Times New Roman" w:hAnsi="Times New Roman" w:eastAsia="標楷體"/>
                <w:sz w:val="28"/>
                <w:szCs w:val="28"/>
              </w:rPr>
              <w:t>章</w:t>
            </w:r>
          </w:p>
        </w:tc>
        <w:tc>
          <w:tcPr>
            <w:tcW w:w="1664"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rPr/>
            </w:pPr>
            <w:r>
              <w:rPr>
                <w:rStyle w:val="Style10"/>
                <w:rFonts w:ascii="Times New Roman" w:hAnsi="Times New Roman" w:eastAsia="標楷體"/>
                <w:sz w:val="28"/>
                <w:szCs w:val="28"/>
              </w:rPr>
              <w:t>經營管理</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560" w:hanging="560"/>
              <w:jc w:val="center"/>
              <w:rPr>
                <w:rFonts w:ascii="Times New Roman" w:hAnsi="Times New Roman" w:eastAsia="標楷體"/>
                <w:sz w:val="28"/>
                <w:szCs w:val="28"/>
              </w:rPr>
            </w:pPr>
            <w:r>
              <w:rPr>
                <w:rFonts w:eastAsia="標楷體" w:ascii="Times New Roman" w:hAnsi="Times New Roman"/>
                <w:sz w:val="28"/>
                <w:szCs w:val="28"/>
              </w:rPr>
              <w:t>34</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240"/>
              <w:ind w:left="560" w:hanging="560"/>
              <w:rPr/>
            </w:pPr>
            <w:r>
              <w:rPr>
                <w:rStyle w:val="Style10"/>
                <w:rFonts w:ascii="Times New Roman" w:hAnsi="Times New Roman" w:eastAsia="標楷體"/>
                <w:sz w:val="28"/>
                <w:szCs w:val="24"/>
              </w:rPr>
              <w:t>【重點說明】</w:t>
            </w:r>
          </w:p>
          <w:p>
            <w:pPr>
              <w:pStyle w:val="BodyText"/>
              <w:tabs>
                <w:tab w:val="clear" w:pos="480"/>
              </w:tabs>
              <w:snapToGrid w:val="false"/>
              <w:spacing w:lineRule="atLeast" w:line="240"/>
              <w:ind w:left="34" w:firstLine="496"/>
              <w:rPr/>
            </w:pPr>
            <w:r>
              <w:rPr>
                <w:rStyle w:val="Style10"/>
                <w:rFonts w:ascii="Times New Roman" w:hAnsi="Times New Roman" w:eastAsia="標楷體"/>
                <w:sz w:val="28"/>
                <w:szCs w:val="24"/>
              </w:rPr>
              <w:t>本章主要在評量機構負責人經營管理的妥適性，為影響服務品質最基本之要素，包括人力資源、財務及行政管理、復健理念、復健績效與整體發展方向之規劃等。</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1.1</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機構負責人之經營管理</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5</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機構負責人應對其社區復健及經營理念、短中長程計畫及執行成效提出說明，確實履行在社區復健之角色及任務，以達永續經營。</w:t>
            </w:r>
          </w:p>
          <w:p>
            <w:pPr>
              <w:pStyle w:val="BodyText"/>
              <w:tabs>
                <w:tab w:val="clear" w:pos="480"/>
              </w:tabs>
              <w:snapToGrid w:val="false"/>
              <w:spacing w:lineRule="atLeast" w:line="240"/>
              <w:ind w:left="456" w:hanging="45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w:t>
            </w:r>
          </w:p>
          <w:p>
            <w:pPr>
              <w:pStyle w:val="BodyText"/>
              <w:numPr>
                <w:ilvl w:val="0"/>
                <w:numId w:val="6"/>
              </w:numPr>
              <w:tabs>
                <w:tab w:val="clear" w:pos="480"/>
                <w:tab w:val="left" w:pos="819" w:leader="none"/>
              </w:tabs>
              <w:snapToGrid w:val="false"/>
              <w:spacing w:lineRule="atLeast" w:line="240"/>
              <w:ind w:left="819" w:hanging="643"/>
              <w:jc w:val="both"/>
              <w:rPr/>
            </w:pPr>
            <w:r>
              <w:rPr>
                <w:rStyle w:val="Style10"/>
                <w:rFonts w:ascii="Times New Roman" w:hAnsi="Times New Roman" w:eastAsia="標楷體"/>
                <w:bCs/>
                <w:sz w:val="28"/>
                <w:szCs w:val="24"/>
              </w:rPr>
              <w:t>符合</w:t>
            </w:r>
            <w:r>
              <w:rPr>
                <w:rStyle w:val="Style10"/>
                <w:rFonts w:eastAsia="標楷體" w:ascii="Times New Roman" w:hAnsi="Times New Roman"/>
                <w:bCs/>
                <w:sz w:val="28"/>
                <w:szCs w:val="24"/>
              </w:rPr>
              <w:t>B</w:t>
            </w:r>
            <w:r>
              <w:rPr>
                <w:rStyle w:val="Style10"/>
                <w:rFonts w:ascii="Times New Roman" w:hAnsi="Times New Roman" w:eastAsia="標楷體"/>
                <w:bCs/>
                <w:sz w:val="28"/>
                <w:szCs w:val="24"/>
              </w:rPr>
              <w:t>，</w:t>
            </w:r>
            <w:r>
              <w:rPr>
                <w:rStyle w:val="Style10"/>
                <w:rFonts w:ascii="Times New Roman" w:hAnsi="Times New Roman" w:eastAsia="標楷體"/>
                <w:bCs/>
                <w:kern w:val="0"/>
                <w:sz w:val="28"/>
                <w:szCs w:val="24"/>
              </w:rPr>
              <w:t>且</w:t>
            </w:r>
            <w:r>
              <w:rPr>
                <w:rStyle w:val="Style10"/>
                <w:rFonts w:ascii="Times New Roman" w:hAnsi="Times New Roman" w:eastAsia="標楷體"/>
                <w:bCs/>
                <w:sz w:val="28"/>
                <w:szCs w:val="24"/>
              </w:rPr>
              <w:t>過去擬訂之中長程計畫</w:t>
            </w:r>
            <w:r>
              <w:rPr>
                <w:rStyle w:val="Style10"/>
                <w:rFonts w:ascii="Times New Roman" w:hAnsi="Times New Roman" w:eastAsia="標楷體"/>
                <w:sz w:val="28"/>
                <w:szCs w:val="24"/>
              </w:rPr>
              <w:t>至</w:t>
            </w:r>
            <w:r>
              <w:rPr>
                <w:rStyle w:val="Style10"/>
                <w:rFonts w:ascii="Times New Roman" w:hAnsi="Times New Roman" w:eastAsia="標楷體"/>
                <w:bCs/>
                <w:sz w:val="28"/>
                <w:szCs w:val="24"/>
              </w:rPr>
              <w:t>目前已有具體成效；或「進行中」之中長程計畫「具體可行」。</w:t>
            </w:r>
          </w:p>
          <w:p>
            <w:pPr>
              <w:pStyle w:val="BodyText"/>
              <w:numPr>
                <w:ilvl w:val="0"/>
                <w:numId w:val="6"/>
              </w:numPr>
              <w:tabs>
                <w:tab w:val="clear" w:pos="480"/>
                <w:tab w:val="left" w:pos="819" w:leader="none"/>
              </w:tabs>
              <w:snapToGrid w:val="false"/>
              <w:spacing w:lineRule="atLeast" w:line="240"/>
              <w:ind w:left="819" w:hanging="643"/>
              <w:jc w:val="both"/>
              <w:rPr/>
            </w:pPr>
            <w:r>
              <w:rPr>
                <w:rStyle w:val="Style10"/>
                <w:rFonts w:ascii="Times New Roman" w:hAnsi="Times New Roman" w:eastAsia="標楷體"/>
                <w:bCs/>
                <w:sz w:val="28"/>
                <w:szCs w:val="24"/>
              </w:rPr>
              <w:t>具備財務規劃及管理能力，能提供員工優質福利與服務對象復健服務品質。</w:t>
            </w:r>
          </w:p>
          <w:p>
            <w:pPr>
              <w:pStyle w:val="BodyText"/>
              <w:snapToGrid w:val="false"/>
              <w:spacing w:lineRule="atLeast" w:line="240"/>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w:t>
            </w:r>
          </w:p>
          <w:p>
            <w:pPr>
              <w:pStyle w:val="BodyText"/>
              <w:numPr>
                <w:ilvl w:val="0"/>
                <w:numId w:val="7"/>
              </w:numPr>
              <w:tabs>
                <w:tab w:val="clear" w:pos="480"/>
                <w:tab w:val="left" w:pos="819" w:leader="none"/>
              </w:tabs>
              <w:snapToGrid w:val="false"/>
              <w:spacing w:lineRule="atLeast" w:line="240"/>
              <w:ind w:left="819" w:hanging="643"/>
              <w:jc w:val="both"/>
              <w:rPr/>
            </w:pPr>
            <w:r>
              <w:rPr>
                <w:rStyle w:val="Style10"/>
                <w:rFonts w:ascii="Times New Roman" w:hAnsi="Times New Roman" w:eastAsia="標楷體"/>
                <w:bCs/>
                <w:sz w:val="28"/>
                <w:szCs w:val="24"/>
              </w:rPr>
              <w:t>符合</w:t>
            </w:r>
            <w:r>
              <w:rPr>
                <w:rStyle w:val="Style10"/>
                <w:rFonts w:eastAsia="標楷體" w:ascii="Times New Roman" w:hAnsi="Times New Roman"/>
                <w:bCs/>
                <w:sz w:val="28"/>
                <w:szCs w:val="24"/>
              </w:rPr>
              <w:t>C</w:t>
            </w:r>
            <w:r>
              <w:rPr>
                <w:rStyle w:val="Style10"/>
                <w:rFonts w:ascii="Times New Roman" w:hAnsi="Times New Roman" w:eastAsia="標楷體"/>
                <w:bCs/>
                <w:sz w:val="28"/>
                <w:szCs w:val="24"/>
              </w:rPr>
              <w:t>，且短中長程計畫能進行追蹤及檢討。</w:t>
            </w:r>
          </w:p>
          <w:p>
            <w:pPr>
              <w:pStyle w:val="BodyText"/>
              <w:numPr>
                <w:ilvl w:val="0"/>
                <w:numId w:val="7"/>
              </w:numPr>
              <w:tabs>
                <w:tab w:val="clear" w:pos="480"/>
                <w:tab w:val="left" w:pos="819" w:leader="none"/>
              </w:tabs>
              <w:snapToGrid w:val="false"/>
              <w:spacing w:lineRule="atLeast" w:line="240"/>
              <w:ind w:left="819" w:hanging="643"/>
              <w:jc w:val="both"/>
              <w:rPr/>
            </w:pPr>
            <w:r>
              <w:rPr>
                <w:rStyle w:val="Style10"/>
                <w:rFonts w:ascii="Times New Roman" w:hAnsi="Times New Roman" w:eastAsia="標楷體"/>
                <w:bCs/>
                <w:sz w:val="28"/>
                <w:szCs w:val="24"/>
              </w:rPr>
              <w:t>負責人留任至少</w:t>
            </w:r>
            <w:r>
              <w:rPr>
                <w:rStyle w:val="Style10"/>
                <w:rFonts w:eastAsia="標楷體" w:ascii="Times New Roman" w:hAnsi="Times New Roman"/>
                <w:bCs/>
                <w:sz w:val="28"/>
                <w:szCs w:val="24"/>
              </w:rPr>
              <w:t>3</w:t>
            </w:r>
            <w:r>
              <w:rPr>
                <w:rStyle w:val="Style10"/>
                <w:rFonts w:ascii="Times New Roman" w:hAnsi="Times New Roman" w:eastAsia="標楷體"/>
                <w:bCs/>
                <w:sz w:val="28"/>
                <w:szCs w:val="24"/>
              </w:rPr>
              <w:t>年。</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1"/>
                <w:numId w:val="8"/>
              </w:numPr>
              <w:tabs>
                <w:tab w:val="clear" w:pos="480"/>
                <w:tab w:val="left" w:pos="1659" w:leader="none"/>
              </w:tabs>
              <w:snapToGrid w:val="false"/>
              <w:spacing w:lineRule="atLeast" w:line="240"/>
              <w:ind w:left="1659" w:hanging="764"/>
              <w:jc w:val="both"/>
              <w:rPr/>
            </w:pPr>
            <w:r>
              <w:rPr>
                <w:rStyle w:val="Style10"/>
                <w:rFonts w:ascii="Times New Roman" w:hAnsi="Times New Roman" w:eastAsia="標楷體"/>
                <w:bCs/>
                <w:sz w:val="28"/>
                <w:szCs w:val="24"/>
              </w:rPr>
              <w:t>具正確社區復健理念，且熟知精神復健機構業務，並積極帶領員工落實執行。</w:t>
            </w:r>
          </w:p>
          <w:p>
            <w:pPr>
              <w:pStyle w:val="BodyText"/>
              <w:numPr>
                <w:ilvl w:val="1"/>
                <w:numId w:val="8"/>
              </w:numPr>
              <w:tabs>
                <w:tab w:val="clear" w:pos="480"/>
                <w:tab w:val="left" w:pos="1659" w:leader="none"/>
              </w:tabs>
              <w:snapToGrid w:val="false"/>
              <w:spacing w:lineRule="atLeast" w:line="240"/>
              <w:ind w:left="1659" w:hanging="764"/>
              <w:jc w:val="both"/>
              <w:rPr/>
            </w:pPr>
            <w:r>
              <w:rPr>
                <w:rStyle w:val="Style10"/>
                <w:rFonts w:ascii="Times New Roman" w:hAnsi="Times New Roman" w:eastAsia="標楷體"/>
                <w:bCs/>
                <w:sz w:val="28"/>
                <w:szCs w:val="24"/>
              </w:rPr>
              <w:t>短中長程計畫有提出具體之行動策略。</w:t>
            </w:r>
          </w:p>
          <w:p>
            <w:pPr>
              <w:pStyle w:val="BodyText"/>
              <w:numPr>
                <w:ilvl w:val="1"/>
                <w:numId w:val="8"/>
              </w:numPr>
              <w:tabs>
                <w:tab w:val="clear" w:pos="480"/>
                <w:tab w:val="left" w:pos="1659" w:leader="none"/>
              </w:tabs>
              <w:snapToGrid w:val="false"/>
              <w:spacing w:lineRule="atLeast" w:line="240"/>
              <w:ind w:left="1659" w:hanging="764"/>
              <w:jc w:val="both"/>
              <w:rPr/>
            </w:pPr>
            <w:r>
              <w:rPr>
                <w:rStyle w:val="Style10"/>
                <w:rFonts w:ascii="Times New Roman" w:hAnsi="Times New Roman" w:eastAsia="標楷體"/>
                <w:bCs/>
                <w:sz w:val="28"/>
                <w:szCs w:val="24"/>
              </w:rPr>
              <w:t>負責人留任至少</w:t>
            </w:r>
            <w:r>
              <w:rPr>
                <w:rStyle w:val="Style10"/>
                <w:rFonts w:eastAsia="標楷體" w:ascii="Times New Roman" w:hAnsi="Times New Roman"/>
                <w:bCs/>
                <w:sz w:val="28"/>
                <w:szCs w:val="24"/>
              </w:rPr>
              <w:t>1</w:t>
            </w:r>
            <w:r>
              <w:rPr>
                <w:rStyle w:val="Style10"/>
                <w:rFonts w:ascii="Times New Roman" w:hAnsi="Times New Roman" w:eastAsia="標楷體"/>
                <w:bCs/>
                <w:sz w:val="28"/>
                <w:szCs w:val="24"/>
              </w:rPr>
              <w:t>年。</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C-1</w:t>
            </w:r>
            <w:r>
              <w:rPr>
                <w:rStyle w:val="Style10"/>
                <w:rFonts w:ascii="Times New Roman" w:hAnsi="Times New Roman" w:eastAsia="標楷體"/>
                <w:sz w:val="28"/>
                <w:szCs w:val="24"/>
              </w:rPr>
              <w:t>及</w:t>
            </w:r>
            <w:r>
              <w:rPr>
                <w:rStyle w:val="Style10"/>
                <w:rFonts w:eastAsia="標楷體" w:ascii="Times New Roman" w:hAnsi="Times New Roman"/>
                <w:sz w:val="28"/>
                <w:szCs w:val="24"/>
              </w:rPr>
              <w:t>C-2</w:t>
            </w:r>
            <w:r>
              <w:rPr>
                <w:rStyle w:val="Style10"/>
                <w:rFonts w:ascii="Times New Roman" w:hAnsi="Times New Roman" w:eastAsia="標楷體"/>
                <w:sz w:val="28"/>
                <w:szCs w:val="24"/>
              </w:rPr>
              <w:t>之要求或負責人留任少於</w:t>
            </w:r>
            <w:r>
              <w:rPr>
                <w:rStyle w:val="Style10"/>
                <w:rFonts w:eastAsia="標楷體" w:ascii="Times New Roman" w:hAnsi="Times New Roman"/>
                <w:sz w:val="28"/>
                <w:szCs w:val="24"/>
              </w:rPr>
              <w:t>1</w:t>
            </w:r>
            <w:r>
              <w:rPr>
                <w:rStyle w:val="Style10"/>
                <w:rFonts w:ascii="Times New Roman" w:hAnsi="Times New Roman" w:eastAsia="標楷體"/>
                <w:sz w:val="28"/>
                <w:szCs w:val="24"/>
              </w:rPr>
              <w:t>年。</w:t>
            </w:r>
          </w:p>
          <w:p>
            <w:pPr>
              <w:pStyle w:val="BodyText"/>
              <w:tabs>
                <w:tab w:val="clear" w:pos="480"/>
              </w:tabs>
              <w:snapToGrid w:val="false"/>
              <w:spacing w:lineRule="atLeast" w:line="240"/>
              <w:ind w:left="398" w:hanging="398"/>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504" w:hanging="504"/>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napToGrid w:val="false"/>
              <w:spacing w:lineRule="atLeast" w:line="240"/>
              <w:ind w:left="210" w:hanging="210"/>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計畫期程：</w:t>
            </w:r>
          </w:p>
          <w:p>
            <w:pPr>
              <w:pStyle w:val="BodyText"/>
              <w:tabs>
                <w:tab w:val="clear" w:pos="480"/>
              </w:tabs>
              <w:snapToGrid w:val="false"/>
              <w:spacing w:lineRule="atLeast" w:line="240"/>
              <w:ind w:left="240" w:hanging="0"/>
              <w:jc w:val="both"/>
              <w:rPr/>
            </w:pPr>
            <w:r>
              <w:rPr>
                <w:rStyle w:val="Style10"/>
                <w:rFonts w:ascii="Times New Roman" w:hAnsi="Times New Roman" w:eastAsia="標楷體"/>
                <w:sz w:val="28"/>
                <w:szCs w:val="24"/>
              </w:rPr>
              <w:t>短程：</w:t>
            </w:r>
            <w:r>
              <w:rPr>
                <w:rStyle w:val="Style10"/>
                <w:rFonts w:eastAsia="標楷體" w:ascii="Times New Roman" w:hAnsi="Times New Roman"/>
                <w:sz w:val="28"/>
                <w:szCs w:val="24"/>
              </w:rPr>
              <w:t>1</w:t>
            </w:r>
            <w:r>
              <w:rPr>
                <w:rStyle w:val="Style10"/>
                <w:rFonts w:ascii="Times New Roman" w:hAnsi="Times New Roman" w:eastAsia="標楷體"/>
                <w:sz w:val="28"/>
                <w:szCs w:val="24"/>
              </w:rPr>
              <w:t>年內。</w:t>
            </w:r>
          </w:p>
          <w:p>
            <w:pPr>
              <w:pStyle w:val="BodyText"/>
              <w:tabs>
                <w:tab w:val="clear" w:pos="480"/>
              </w:tabs>
              <w:snapToGrid w:val="false"/>
              <w:spacing w:lineRule="atLeast" w:line="240"/>
              <w:ind w:left="240" w:hanging="0"/>
              <w:jc w:val="both"/>
              <w:rPr/>
            </w:pPr>
            <w:r>
              <w:rPr>
                <w:rStyle w:val="Style10"/>
                <w:rFonts w:ascii="Times New Roman" w:hAnsi="Times New Roman" w:eastAsia="標楷體"/>
                <w:sz w:val="28"/>
                <w:szCs w:val="24"/>
              </w:rPr>
              <w:t>中程：</w:t>
            </w:r>
            <w:r>
              <w:rPr>
                <w:rStyle w:val="Style10"/>
                <w:rFonts w:eastAsia="標楷體" w:ascii="Times New Roman" w:hAnsi="Times New Roman"/>
                <w:sz w:val="28"/>
                <w:szCs w:val="24"/>
              </w:rPr>
              <w:t>1~4</w:t>
            </w:r>
            <w:r>
              <w:rPr>
                <w:rStyle w:val="Style10"/>
                <w:rFonts w:ascii="Times New Roman" w:hAnsi="Times New Roman" w:eastAsia="標楷體"/>
                <w:sz w:val="28"/>
                <w:szCs w:val="24"/>
              </w:rPr>
              <w:t>年。</w:t>
            </w:r>
          </w:p>
          <w:p>
            <w:pPr>
              <w:pStyle w:val="BodyText"/>
              <w:tabs>
                <w:tab w:val="clear" w:pos="480"/>
              </w:tabs>
              <w:snapToGrid w:val="false"/>
              <w:spacing w:lineRule="atLeast" w:line="240"/>
              <w:ind w:left="240" w:hanging="0"/>
              <w:jc w:val="both"/>
              <w:rPr/>
            </w:pPr>
            <w:r>
              <w:rPr>
                <w:rStyle w:val="Style10"/>
                <w:rFonts w:ascii="Times New Roman" w:hAnsi="Times New Roman" w:eastAsia="標楷體"/>
                <w:sz w:val="28"/>
                <w:szCs w:val="24"/>
              </w:rPr>
              <w:t>長程：</w:t>
            </w:r>
            <w:r>
              <w:rPr>
                <w:rStyle w:val="Style10"/>
                <w:rFonts w:eastAsia="標楷體" w:ascii="Times New Roman" w:hAnsi="Times New Roman"/>
                <w:sz w:val="28"/>
                <w:szCs w:val="24"/>
              </w:rPr>
              <w:t>4</w:t>
            </w:r>
            <w:r>
              <w:rPr>
                <w:rStyle w:val="Style10"/>
                <w:rFonts w:ascii="Times New Roman" w:hAnsi="Times New Roman" w:eastAsia="標楷體"/>
                <w:sz w:val="28"/>
                <w:szCs w:val="24"/>
              </w:rPr>
              <w:t>年以上。</w:t>
            </w:r>
          </w:p>
          <w:p>
            <w:pPr>
              <w:pStyle w:val="BodyText"/>
              <w:tabs>
                <w:tab w:val="clear" w:pos="480"/>
              </w:tabs>
              <w:snapToGrid w:val="false"/>
              <w:spacing w:lineRule="atLeast" w:line="240"/>
              <w:ind w:left="174" w:hanging="174"/>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機構負責人評鑑時應在場並做簡報，否則本項視為不合格。如不克在場，須獲得委員共識同意。</w:t>
            </w:r>
          </w:p>
          <w:p>
            <w:pPr>
              <w:pStyle w:val="BodyText"/>
              <w:tabs>
                <w:tab w:val="clear" w:pos="480"/>
              </w:tabs>
              <w:spacing w:lineRule="atLeast" w:line="240"/>
              <w:ind w:left="174" w:hanging="174"/>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新設立機構</w:t>
            </w:r>
            <w:r>
              <w:rPr>
                <w:rStyle w:val="Style10"/>
                <w:rFonts w:eastAsia="標楷體" w:ascii="Times New Roman" w:hAnsi="Times New Roman"/>
                <w:sz w:val="28"/>
                <w:szCs w:val="24"/>
              </w:rPr>
              <w:t>(</w:t>
            </w:r>
            <w:r>
              <w:rPr>
                <w:rStyle w:val="Style10"/>
                <w:rFonts w:ascii="Times New Roman" w:hAnsi="Times New Roman" w:eastAsia="標楷體"/>
                <w:sz w:val="28"/>
                <w:szCs w:val="24"/>
              </w:rPr>
              <w:t>不包括機構因故歇業，由另一位負責人，於原址重新申請開業者，即俗稱變更負責人</w:t>
            </w:r>
            <w:r>
              <w:rPr>
                <w:rStyle w:val="Style10"/>
                <w:rFonts w:eastAsia="標楷體" w:ascii="Times New Roman" w:hAnsi="Times New Roman"/>
                <w:sz w:val="28"/>
                <w:szCs w:val="24"/>
              </w:rPr>
              <w:t>)</w:t>
            </w:r>
            <w:r>
              <w:rPr>
                <w:rStyle w:val="Style10"/>
                <w:rFonts w:ascii="Times New Roman" w:hAnsi="Times New Roman" w:eastAsia="標楷體"/>
                <w:sz w:val="28"/>
                <w:szCs w:val="24"/>
              </w:rPr>
              <w:t>，不受</w:t>
            </w:r>
            <w:r>
              <w:rPr>
                <w:rStyle w:val="Style10"/>
                <w:rFonts w:eastAsia="標楷體" w:ascii="Times New Roman" w:hAnsi="Times New Roman"/>
                <w:sz w:val="28"/>
                <w:szCs w:val="24"/>
              </w:rPr>
              <w:t>C-3</w:t>
            </w:r>
            <w:r>
              <w:rPr>
                <w:rStyle w:val="Style10"/>
                <w:rFonts w:ascii="Times New Roman" w:hAnsi="Times New Roman" w:eastAsia="標楷體"/>
                <w:sz w:val="28"/>
                <w:szCs w:val="24"/>
              </w:rPr>
              <w:t>限制。</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可</w:t>
            </w:r>
            <w:r>
              <w:rPr>
                <w:rStyle w:val="Style10"/>
                <w:rFonts w:eastAsia="標楷體" w:ascii="Times New Roman" w:hAnsi="Times New Roman"/>
                <w:sz w:val="28"/>
                <w:szCs w:val="28"/>
              </w:rPr>
              <w:t>1.2</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專任工作人員人力穩定性</w:t>
            </w:r>
          </w:p>
          <w:p>
            <w:pPr>
              <w:pStyle w:val="BodyText"/>
              <w:spacing w:lineRule="atLeast" w:line="0"/>
              <w:rPr>
                <w:rFonts w:ascii="Times New Roman" w:hAnsi="Times New Roman" w:eastAsia="標楷體"/>
                <w:sz w:val="28"/>
                <w:szCs w:val="24"/>
              </w:rPr>
            </w:pPr>
            <w:r>
              <w:rPr>
                <w:rFonts w:eastAsia="標楷體" w:ascii="Times New Roman" w:hAnsi="Times New Roman"/>
                <w:sz w:val="28"/>
                <w:szCs w:val="24"/>
              </w:rPr>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kern w:val="0"/>
                <w:sz w:val="28"/>
                <w:szCs w:val="24"/>
              </w:rPr>
              <w:t>目的：</w:t>
            </w:r>
          </w:p>
          <w:p>
            <w:pPr>
              <w:pStyle w:val="BodyText"/>
              <w:snapToGrid w:val="false"/>
              <w:spacing w:lineRule="atLeast" w:line="240"/>
              <w:jc w:val="both"/>
              <w:rPr/>
            </w:pPr>
            <w:r>
              <w:rPr>
                <w:rStyle w:val="Style10"/>
                <w:rFonts w:ascii="Times New Roman" w:hAnsi="Times New Roman" w:eastAsia="標楷體"/>
                <w:kern w:val="0"/>
                <w:sz w:val="28"/>
                <w:szCs w:val="24"/>
              </w:rPr>
              <w:t>機構應提高專任工作人員穩定性，以確保機構服務品質。</w:t>
            </w:r>
          </w:p>
          <w:p>
            <w:pPr>
              <w:pStyle w:val="BodyText"/>
              <w:tabs>
                <w:tab w:val="clear" w:pos="480"/>
              </w:tabs>
              <w:snapToGrid w:val="false"/>
              <w:spacing w:lineRule="atLeast" w:line="240"/>
              <w:ind w:left="476" w:hanging="476"/>
              <w:jc w:val="both"/>
              <w:rPr/>
            </w:pPr>
            <w:r>
              <w:rPr>
                <w:rStyle w:val="Style10"/>
                <w:rFonts w:eastAsia="標楷體" w:ascii="Times New Roman" w:hAnsi="Times New Roman"/>
                <w:kern w:val="0"/>
                <w:sz w:val="28"/>
                <w:szCs w:val="24"/>
              </w:rPr>
              <w:t>A</w:t>
            </w:r>
            <w:r>
              <w:rPr>
                <w:rStyle w:val="Style10"/>
                <w:rFonts w:ascii="Times New Roman" w:hAnsi="Times New Roman" w:eastAsia="標楷體"/>
                <w:kern w:val="0"/>
                <w:sz w:val="28"/>
                <w:szCs w:val="24"/>
              </w:rPr>
              <w:t>：符合</w:t>
            </w:r>
            <w:r>
              <w:rPr>
                <w:rStyle w:val="Style10"/>
                <w:rFonts w:eastAsia="標楷體" w:ascii="Times New Roman" w:hAnsi="Times New Roman"/>
                <w:kern w:val="0"/>
                <w:sz w:val="28"/>
                <w:szCs w:val="24"/>
              </w:rPr>
              <w:t>C</w:t>
            </w:r>
            <w:r>
              <w:rPr>
                <w:rStyle w:val="Style10"/>
                <w:rFonts w:ascii="Times New Roman" w:hAnsi="Times New Roman" w:eastAsia="標楷體"/>
                <w:kern w:val="0"/>
                <w:sz w:val="28"/>
                <w:szCs w:val="24"/>
              </w:rPr>
              <w:t>，且有具體留任措施。</w:t>
            </w:r>
          </w:p>
          <w:p>
            <w:pPr>
              <w:pStyle w:val="BodyText"/>
              <w:tabs>
                <w:tab w:val="clear" w:pos="480"/>
              </w:tabs>
              <w:snapToGrid w:val="false"/>
              <w:spacing w:lineRule="atLeast" w:line="240"/>
              <w:ind w:left="476" w:hanging="476"/>
              <w:jc w:val="both"/>
              <w:rPr/>
            </w:pPr>
            <w:r>
              <w:rPr>
                <w:rStyle w:val="Style10"/>
                <w:rFonts w:eastAsia="標楷體" w:ascii="Times New Roman" w:hAnsi="Times New Roman"/>
                <w:kern w:val="0"/>
                <w:sz w:val="28"/>
                <w:szCs w:val="24"/>
              </w:rPr>
              <w:t>C</w:t>
            </w:r>
            <w:r>
              <w:rPr>
                <w:rStyle w:val="Style10"/>
                <w:rFonts w:ascii="Times New Roman" w:hAnsi="Times New Roman" w:eastAsia="標楷體"/>
                <w:kern w:val="0"/>
                <w:sz w:val="28"/>
                <w:szCs w:val="24"/>
              </w:rPr>
              <w:t>：機構所有專任工作人員於過去</w:t>
            </w:r>
            <w:r>
              <w:rPr>
                <w:rStyle w:val="Style10"/>
                <w:rFonts w:eastAsia="標楷體" w:ascii="Times New Roman" w:hAnsi="Times New Roman"/>
                <w:kern w:val="0"/>
                <w:sz w:val="28"/>
                <w:szCs w:val="24"/>
              </w:rPr>
              <w:t>4</w:t>
            </w:r>
            <w:r>
              <w:rPr>
                <w:rStyle w:val="Style10"/>
                <w:rFonts w:ascii="Times New Roman" w:hAnsi="Times New Roman" w:eastAsia="標楷體"/>
                <w:kern w:val="0"/>
                <w:sz w:val="28"/>
                <w:szCs w:val="24"/>
              </w:rPr>
              <w:t>年，留任</w:t>
            </w:r>
            <w:r>
              <w:rPr>
                <w:rStyle w:val="Style10"/>
                <w:rFonts w:eastAsia="標楷體" w:ascii="Times New Roman" w:hAnsi="Times New Roman"/>
                <w:kern w:val="0"/>
                <w:sz w:val="28"/>
                <w:szCs w:val="24"/>
              </w:rPr>
              <w:t>1</w:t>
            </w:r>
            <w:r>
              <w:rPr>
                <w:rStyle w:val="Style10"/>
                <w:rFonts w:ascii="Times New Roman" w:hAnsi="Times New Roman" w:eastAsia="標楷體"/>
                <w:kern w:val="0"/>
                <w:sz w:val="28"/>
                <w:szCs w:val="24"/>
              </w:rPr>
              <w:t>年以上者超過</w:t>
            </w:r>
            <w:r>
              <w:rPr>
                <w:rStyle w:val="Style10"/>
                <w:rFonts w:eastAsia="標楷體" w:ascii="Times New Roman" w:hAnsi="Times New Roman"/>
                <w:kern w:val="0"/>
                <w:sz w:val="28"/>
                <w:szCs w:val="24"/>
              </w:rPr>
              <w:t>60%</w:t>
            </w:r>
            <w:r>
              <w:rPr>
                <w:rStyle w:val="Style10"/>
                <w:rFonts w:ascii="Times New Roman" w:hAnsi="Times New Roman" w:eastAsia="標楷體"/>
                <w:kern w:val="0"/>
                <w:sz w:val="28"/>
                <w:szCs w:val="24"/>
              </w:rPr>
              <w:t>以上。</w:t>
            </w:r>
          </w:p>
          <w:p>
            <w:pPr>
              <w:pStyle w:val="BodyText"/>
              <w:tabs>
                <w:tab w:val="clear" w:pos="480"/>
              </w:tabs>
              <w:snapToGrid w:val="false"/>
              <w:spacing w:lineRule="atLeast" w:line="240"/>
              <w:ind w:left="504" w:hanging="504"/>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r>
              <w:rPr>
                <w:rStyle w:val="Style10"/>
                <w:rFonts w:ascii="Times New Roman" w:hAnsi="Times New Roman" w:eastAsia="標楷體"/>
                <w:kern w:val="0"/>
                <w:sz w:val="28"/>
                <w:szCs w:val="24"/>
              </w:rPr>
              <w:t xml:space="preserve"> </w:t>
            </w:r>
          </w:p>
          <w:p>
            <w:pPr>
              <w:pStyle w:val="BodyText"/>
              <w:snapToGrid w:val="false"/>
              <w:spacing w:lineRule="atLeast" w:line="240"/>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tabs>
                <w:tab w:val="clear" w:pos="480"/>
              </w:tabs>
              <w:snapToGrid w:val="false"/>
              <w:spacing w:lineRule="atLeast" w:line="240"/>
              <w:ind w:left="180" w:hanging="180"/>
              <w:rPr/>
            </w:pPr>
            <w:r>
              <w:rPr>
                <w:rStyle w:val="Style10"/>
                <w:rFonts w:eastAsia="標楷體" w:ascii="Times New Roman" w:hAnsi="Times New Roman"/>
                <w:kern w:val="0"/>
                <w:sz w:val="28"/>
                <w:szCs w:val="24"/>
              </w:rPr>
              <w:t>1.</w:t>
            </w:r>
            <w:r>
              <w:rPr>
                <w:rStyle w:val="Style10"/>
                <w:rFonts w:ascii="Times New Roman" w:hAnsi="Times New Roman" w:eastAsia="標楷體"/>
                <w:kern w:val="0"/>
                <w:sz w:val="28"/>
                <w:szCs w:val="24"/>
              </w:rPr>
              <w:t>設立未滿</w:t>
            </w:r>
            <w:r>
              <w:rPr>
                <w:rStyle w:val="Style10"/>
                <w:rFonts w:eastAsia="標楷體" w:ascii="Times New Roman" w:hAnsi="Times New Roman"/>
                <w:kern w:val="0"/>
                <w:sz w:val="28"/>
                <w:szCs w:val="24"/>
              </w:rPr>
              <w:t>1</w:t>
            </w:r>
            <w:r>
              <w:rPr>
                <w:rStyle w:val="Style10"/>
                <w:rFonts w:ascii="Times New Roman" w:hAnsi="Times New Roman" w:eastAsia="標楷體"/>
                <w:kern w:val="0"/>
                <w:sz w:val="28"/>
                <w:szCs w:val="24"/>
              </w:rPr>
              <w:t>年之機構，本項不計分。</w:t>
            </w:r>
          </w:p>
          <w:p>
            <w:pPr>
              <w:pStyle w:val="BodyText"/>
              <w:tabs>
                <w:tab w:val="clear" w:pos="480"/>
              </w:tabs>
              <w:snapToGrid w:val="false"/>
              <w:spacing w:lineRule="atLeast" w:line="240"/>
              <w:ind w:left="180" w:hanging="180"/>
              <w:rPr/>
            </w:pPr>
            <w:r>
              <w:rPr>
                <w:rStyle w:val="Style10"/>
                <w:rFonts w:eastAsia="標楷體" w:ascii="Times New Roman" w:hAnsi="Times New Roman"/>
                <w:kern w:val="0"/>
                <w:sz w:val="28"/>
                <w:szCs w:val="24"/>
              </w:rPr>
              <w:t>2.</w:t>
            </w:r>
            <w:r>
              <w:rPr>
                <w:rStyle w:val="Style10"/>
                <w:rFonts w:ascii="Times New Roman" w:hAnsi="Times New Roman" w:eastAsia="標楷體"/>
                <w:kern w:val="0"/>
                <w:sz w:val="28"/>
                <w:szCs w:val="24"/>
              </w:rPr>
              <w:t>留任比例計算方式：</w:t>
            </w:r>
          </w:p>
          <w:p>
            <w:pPr>
              <w:pStyle w:val="BodyText"/>
              <w:tabs>
                <w:tab w:val="clear" w:pos="480"/>
              </w:tabs>
              <w:snapToGrid w:val="false"/>
              <w:spacing w:lineRule="atLeast" w:line="240"/>
              <w:ind w:left="288" w:hanging="288"/>
              <w:rPr/>
            </w:pPr>
            <w:r>
              <w:rPr>
                <w:rStyle w:val="Style10"/>
                <w:rFonts w:eastAsia="標楷體" w:ascii="Times New Roman" w:hAnsi="Times New Roman"/>
                <w:kern w:val="0"/>
                <w:sz w:val="28"/>
                <w:szCs w:val="24"/>
              </w:rPr>
              <w:t>(1)</w:t>
            </w:r>
            <w:r>
              <w:rPr>
                <w:rStyle w:val="Style10"/>
                <w:rFonts w:ascii="Times New Roman" w:hAnsi="Times New Roman" w:eastAsia="標楷體"/>
                <w:kern w:val="0"/>
                <w:sz w:val="28"/>
                <w:szCs w:val="24"/>
              </w:rPr>
              <w:t>分母：</w:t>
            </w:r>
            <w:r>
              <w:rPr>
                <w:rStyle w:val="Style10"/>
                <w:rFonts w:eastAsia="標楷體" w:ascii="Times New Roman" w:hAnsi="Times New Roman"/>
                <w:kern w:val="0"/>
                <w:sz w:val="28"/>
                <w:szCs w:val="24"/>
              </w:rPr>
              <w:t>4</w:t>
            </w:r>
            <w:r>
              <w:rPr>
                <w:rStyle w:val="Style10"/>
                <w:rFonts w:ascii="Times New Roman" w:hAnsi="Times New Roman" w:eastAsia="標楷體"/>
                <w:kern w:val="0"/>
                <w:sz w:val="28"/>
                <w:szCs w:val="24"/>
              </w:rPr>
              <w:t>年內登記於該機構之專任工作人員人數（分母排除未滿</w:t>
            </w:r>
            <w:r>
              <w:rPr>
                <w:rStyle w:val="Style10"/>
                <w:rFonts w:eastAsia="標楷體" w:ascii="Times New Roman" w:hAnsi="Times New Roman"/>
                <w:kern w:val="0"/>
                <w:sz w:val="28"/>
                <w:szCs w:val="24"/>
              </w:rPr>
              <w:t>3</w:t>
            </w:r>
            <w:r>
              <w:rPr>
                <w:rStyle w:val="Style10"/>
                <w:rFonts w:ascii="Times New Roman" w:hAnsi="Times New Roman" w:eastAsia="標楷體"/>
                <w:kern w:val="0"/>
                <w:sz w:val="28"/>
                <w:szCs w:val="24"/>
              </w:rPr>
              <w:t>個月之專任工作人員）。</w:t>
            </w:r>
          </w:p>
          <w:p>
            <w:pPr>
              <w:pStyle w:val="BodyText"/>
              <w:tabs>
                <w:tab w:val="clear" w:pos="480"/>
              </w:tabs>
              <w:snapToGrid w:val="false"/>
              <w:spacing w:lineRule="atLeast" w:line="240"/>
              <w:ind w:left="288" w:hanging="288"/>
              <w:rPr/>
            </w:pPr>
            <w:r>
              <w:rPr>
                <w:rStyle w:val="Style10"/>
                <w:rFonts w:eastAsia="標楷體" w:ascii="Times New Roman" w:hAnsi="Times New Roman"/>
                <w:kern w:val="0"/>
                <w:sz w:val="28"/>
                <w:szCs w:val="24"/>
              </w:rPr>
              <w:t>(2)</w:t>
            </w:r>
            <w:r>
              <w:rPr>
                <w:rStyle w:val="Style10"/>
                <w:rFonts w:ascii="Times New Roman" w:hAnsi="Times New Roman" w:eastAsia="標楷體"/>
                <w:kern w:val="0"/>
                <w:sz w:val="28"/>
                <w:szCs w:val="24"/>
              </w:rPr>
              <w:t>分子：</w:t>
            </w:r>
            <w:r>
              <w:rPr>
                <w:rStyle w:val="Style10"/>
                <w:rFonts w:eastAsia="標楷體" w:ascii="Times New Roman" w:hAnsi="Times New Roman"/>
                <w:kern w:val="0"/>
                <w:sz w:val="28"/>
                <w:szCs w:val="24"/>
              </w:rPr>
              <w:t>4</w:t>
            </w:r>
            <w:r>
              <w:rPr>
                <w:rStyle w:val="Style10"/>
                <w:rFonts w:ascii="Times New Roman" w:hAnsi="Times New Roman" w:eastAsia="標楷體"/>
                <w:kern w:val="0"/>
                <w:sz w:val="28"/>
                <w:szCs w:val="24"/>
              </w:rPr>
              <w:t>年內於該機構任職超過</w:t>
            </w:r>
            <w:r>
              <w:rPr>
                <w:rStyle w:val="Style10"/>
                <w:rFonts w:eastAsia="標楷體" w:ascii="Times New Roman" w:hAnsi="Times New Roman"/>
                <w:kern w:val="0"/>
                <w:sz w:val="28"/>
                <w:szCs w:val="24"/>
              </w:rPr>
              <w:t>1</w:t>
            </w:r>
            <w:r>
              <w:rPr>
                <w:rStyle w:val="Style10"/>
                <w:rFonts w:ascii="Times New Roman" w:hAnsi="Times New Roman" w:eastAsia="標楷體"/>
                <w:kern w:val="0"/>
                <w:sz w:val="28"/>
                <w:szCs w:val="24"/>
              </w:rPr>
              <w:t>年以上之專任工作人員人數。</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1.3</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督導制度</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448" w:hanging="448"/>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機構應有督導制度並確實執行，以使工作人員，具備正確之社區復健概念。</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，且針對工作人員可提供多元督導方式，並定期檢討、修正。</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，且督導內容含檢討所有學員之復健計畫執行狀況。</w:t>
            </w:r>
          </w:p>
          <w:p>
            <w:pPr>
              <w:pStyle w:val="BodyText"/>
              <w:tabs>
                <w:tab w:val="clear" w:pos="480"/>
              </w:tabs>
              <w:snapToGrid w:val="false"/>
              <w:spacing w:lineRule="atLeast" w:line="240"/>
              <w:ind w:left="420" w:hanging="42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9"/>
              </w:numPr>
              <w:tabs>
                <w:tab w:val="clear" w:pos="480"/>
                <w:tab w:val="left" w:pos="1659" w:leader="none"/>
              </w:tabs>
              <w:snapToGrid w:val="false"/>
              <w:spacing w:lineRule="atLeast" w:line="240"/>
              <w:ind w:left="1659" w:hanging="764"/>
              <w:jc w:val="both"/>
              <w:rPr/>
            </w:pPr>
            <w:r>
              <w:rPr>
                <w:rStyle w:val="Style10"/>
                <w:rFonts w:ascii="Times New Roman" w:hAnsi="Times New Roman" w:eastAsia="標楷體"/>
                <w:bCs/>
                <w:sz w:val="28"/>
                <w:szCs w:val="24"/>
              </w:rPr>
              <w:t>工作人員應每月至少參加督導</w:t>
            </w:r>
            <w:r>
              <w:rPr>
                <w:rStyle w:val="Style10"/>
                <w:rFonts w:eastAsia="標楷體" w:ascii="Times New Roman" w:hAnsi="Times New Roman"/>
                <w:bCs/>
                <w:sz w:val="28"/>
                <w:szCs w:val="24"/>
              </w:rPr>
              <w:t>1</w:t>
            </w:r>
            <w:r>
              <w:rPr>
                <w:rStyle w:val="Style10"/>
                <w:rFonts w:ascii="Times New Roman" w:hAnsi="Times New Roman" w:eastAsia="標楷體"/>
                <w:bCs/>
                <w:sz w:val="28"/>
                <w:szCs w:val="24"/>
              </w:rPr>
              <w:t>次。</w:t>
            </w:r>
          </w:p>
          <w:p>
            <w:pPr>
              <w:pStyle w:val="BodyText"/>
              <w:numPr>
                <w:ilvl w:val="0"/>
                <w:numId w:val="9"/>
              </w:numPr>
              <w:tabs>
                <w:tab w:val="clear" w:pos="480"/>
                <w:tab w:val="left" w:pos="1659" w:leader="none"/>
              </w:tabs>
              <w:snapToGrid w:val="false"/>
              <w:spacing w:lineRule="atLeast" w:line="240"/>
              <w:ind w:left="1659" w:hanging="764"/>
              <w:jc w:val="both"/>
              <w:rPr/>
            </w:pPr>
            <w:r>
              <w:rPr>
                <w:rStyle w:val="Style10"/>
                <w:rFonts w:ascii="Times New Roman" w:hAnsi="Times New Roman" w:eastAsia="標楷體"/>
                <w:bCs/>
                <w:sz w:val="28"/>
                <w:szCs w:val="24"/>
              </w:rPr>
              <w:t>工作人員之精神醫療或精神復健工作年資於</w:t>
            </w:r>
            <w:r>
              <w:rPr>
                <w:rStyle w:val="Style10"/>
                <w:rFonts w:eastAsia="標楷體" w:ascii="Times New Roman" w:hAnsi="Times New Roman"/>
                <w:bCs/>
                <w:sz w:val="28"/>
                <w:szCs w:val="24"/>
              </w:rPr>
              <w:t>2</w:t>
            </w:r>
            <w:r>
              <w:rPr>
                <w:rStyle w:val="Style10"/>
                <w:rFonts w:ascii="Times New Roman" w:hAnsi="Times New Roman" w:eastAsia="標楷體"/>
                <w:bCs/>
                <w:sz w:val="28"/>
                <w:szCs w:val="24"/>
              </w:rPr>
              <w:t>年之內者，每月至少督導</w:t>
            </w:r>
            <w:r>
              <w:rPr>
                <w:rStyle w:val="Style10"/>
                <w:rFonts w:eastAsia="標楷體" w:ascii="Times New Roman" w:hAnsi="Times New Roman"/>
                <w:bCs/>
                <w:sz w:val="28"/>
                <w:szCs w:val="24"/>
              </w:rPr>
              <w:t>2</w:t>
            </w:r>
            <w:r>
              <w:rPr>
                <w:rStyle w:val="Style10"/>
                <w:rFonts w:ascii="Times New Roman" w:hAnsi="Times New Roman" w:eastAsia="標楷體"/>
                <w:bCs/>
                <w:sz w:val="28"/>
                <w:szCs w:val="24"/>
              </w:rPr>
              <w:t>次</w:t>
            </w:r>
            <w:r>
              <w:rPr>
                <w:rStyle w:val="Style10"/>
                <w:rFonts w:eastAsia="標楷體" w:ascii="Times New Roman" w:hAnsi="Times New Roman"/>
                <w:bCs/>
                <w:sz w:val="28"/>
                <w:szCs w:val="24"/>
              </w:rPr>
              <w:t>(</w:t>
            </w:r>
            <w:r>
              <w:rPr>
                <w:rStyle w:val="Style10"/>
                <w:rFonts w:ascii="Times New Roman" w:hAnsi="Times New Roman" w:eastAsia="標楷體"/>
                <w:bCs/>
                <w:sz w:val="28"/>
                <w:szCs w:val="24"/>
              </w:rPr>
              <w:t>其中</w:t>
            </w:r>
            <w:r>
              <w:rPr>
                <w:rStyle w:val="Style10"/>
                <w:rFonts w:eastAsia="標楷體" w:ascii="Times New Roman" w:hAnsi="Times New Roman"/>
                <w:bCs/>
                <w:sz w:val="28"/>
                <w:szCs w:val="24"/>
              </w:rPr>
              <w:t>1</w:t>
            </w:r>
            <w:r>
              <w:rPr>
                <w:rStyle w:val="Style10"/>
                <w:rFonts w:ascii="Times New Roman" w:hAnsi="Times New Roman" w:eastAsia="標楷體"/>
                <w:bCs/>
                <w:sz w:val="28"/>
                <w:szCs w:val="24"/>
              </w:rPr>
              <w:t>次應為個別督導</w:t>
            </w:r>
            <w:r>
              <w:rPr>
                <w:rStyle w:val="Style10"/>
                <w:rFonts w:eastAsia="標楷體" w:ascii="Times New Roman" w:hAnsi="Times New Roman"/>
                <w:bCs/>
                <w:sz w:val="28"/>
                <w:szCs w:val="24"/>
              </w:rPr>
              <w:t>)</w:t>
            </w:r>
            <w:r>
              <w:rPr>
                <w:rStyle w:val="Style10"/>
                <w:rFonts w:ascii="Times New Roman" w:hAnsi="Times New Roman" w:eastAsia="標楷體"/>
                <w:bCs/>
                <w:sz w:val="28"/>
                <w:szCs w:val="24"/>
              </w:rPr>
              <w:t>。</w:t>
            </w:r>
          </w:p>
          <w:p>
            <w:pPr>
              <w:pStyle w:val="BodyText"/>
              <w:tabs>
                <w:tab w:val="clear" w:pos="480"/>
              </w:tabs>
              <w:snapToGrid w:val="false"/>
              <w:spacing w:lineRule="atLeast" w:line="240"/>
              <w:ind w:left="360" w:hanging="360"/>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504" w:hanging="504"/>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jc w:val="both"/>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tabs>
                <w:tab w:val="clear" w:pos="480"/>
              </w:tabs>
              <w:snapToGrid w:val="false"/>
              <w:spacing w:lineRule="atLeast" w:line="240" w:before="72" w:after="0"/>
              <w:ind w:left="224" w:hanging="224"/>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督導人員至少應曾服務於中央衛生主管機關評鑑合格之精神醫療機構、精神復健機構，從事精神醫療相關工作滿</w:t>
            </w:r>
            <w:r>
              <w:rPr>
                <w:rStyle w:val="Style10"/>
                <w:rFonts w:eastAsia="標楷體" w:ascii="Times New Roman" w:hAnsi="Times New Roman"/>
                <w:sz w:val="28"/>
                <w:szCs w:val="24"/>
              </w:rPr>
              <w:t>4</w:t>
            </w:r>
            <w:r>
              <w:rPr>
                <w:rStyle w:val="Style10"/>
                <w:rFonts w:ascii="Times New Roman" w:hAnsi="Times New Roman" w:eastAsia="標楷體"/>
                <w:sz w:val="28"/>
                <w:szCs w:val="24"/>
              </w:rPr>
              <w:t>年以上之專業人員，並具備正確之社區復健概念。</w:t>
            </w:r>
          </w:p>
          <w:p>
            <w:pPr>
              <w:pStyle w:val="BodyText"/>
              <w:tabs>
                <w:tab w:val="clear" w:pos="480"/>
              </w:tabs>
              <w:snapToGrid w:val="false"/>
              <w:spacing w:lineRule="atLeast" w:line="240"/>
              <w:ind w:left="224" w:hanging="224"/>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督導內容包含社區復健理念、品質管理、個案討論、方案規劃、紀錄品質查核及個別學員復健計畫執行狀況等。</w:t>
            </w:r>
          </w:p>
          <w:p>
            <w:pPr>
              <w:pStyle w:val="BodyText"/>
              <w:tabs>
                <w:tab w:val="clear" w:pos="480"/>
              </w:tabs>
              <w:snapToGrid w:val="false"/>
              <w:spacing w:lineRule="atLeast" w:line="240"/>
              <w:ind w:left="192" w:hanging="192"/>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工作人員係指專任於機構者，含負責人、專業人員及專任管理人員。</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eastAsia="標楷體" w:ascii="Times New Roman" w:hAnsi="Times New Roman"/>
                <w:sz w:val="28"/>
                <w:szCs w:val="24"/>
              </w:rPr>
              <w:t>1.4</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工作人員定期接受健康檢查情形</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5</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機構工作人員應定期接受健康檢查，</w:t>
            </w:r>
            <w:r>
              <w:rPr>
                <w:rStyle w:val="Style10"/>
                <w:rFonts w:ascii="Times New Roman" w:hAnsi="Times New Roman" w:eastAsia="標楷體"/>
                <w:kern w:val="0"/>
                <w:sz w:val="28"/>
                <w:szCs w:val="24"/>
              </w:rPr>
              <w:t>以維護學員與工作人員之安全。</w:t>
            </w:r>
          </w:p>
          <w:p>
            <w:pPr>
              <w:pStyle w:val="BodyText"/>
              <w:tabs>
                <w:tab w:val="clear" w:pos="480"/>
              </w:tabs>
              <w:snapToGrid w:val="false"/>
              <w:spacing w:lineRule="atLeast" w:line="240"/>
              <w:ind w:left="504" w:hanging="504"/>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，且執行成效良好。</w:t>
            </w:r>
          </w:p>
          <w:p>
            <w:pPr>
              <w:pStyle w:val="BodyText"/>
              <w:tabs>
                <w:tab w:val="clear" w:pos="480"/>
              </w:tabs>
              <w:snapToGrid w:val="false"/>
              <w:spacing w:lineRule="atLeast" w:line="240"/>
              <w:ind w:left="504" w:hanging="504"/>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，新進人員應於到職前完成健檢。</w:t>
            </w:r>
          </w:p>
          <w:p>
            <w:pPr>
              <w:pStyle w:val="BodyText"/>
              <w:snapToGrid w:val="false"/>
              <w:spacing w:lineRule="atLeast" w:line="24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10"/>
              </w:numPr>
              <w:tabs>
                <w:tab w:val="clear" w:pos="480"/>
                <w:tab w:val="left" w:pos="939" w:leader="none"/>
              </w:tabs>
              <w:snapToGrid w:val="false"/>
              <w:spacing w:lineRule="atLeast" w:line="240"/>
              <w:ind w:left="939" w:hanging="764"/>
              <w:jc w:val="both"/>
              <w:rPr/>
            </w:pPr>
            <w:r>
              <w:rPr>
                <w:rStyle w:val="Style10"/>
                <w:rFonts w:ascii="Times New Roman" w:hAnsi="Times New Roman" w:eastAsia="標楷體"/>
                <w:sz w:val="28"/>
                <w:szCs w:val="24"/>
              </w:rPr>
              <w:t>機構有工作人員最近一年內健康檢查結果，其中肺結核檢查報告值（胸部</w:t>
            </w:r>
            <w:r>
              <w:rPr>
                <w:rStyle w:val="Style10"/>
                <w:rFonts w:eastAsia="標楷體" w:ascii="Times New Roman" w:hAnsi="Times New Roman"/>
                <w:sz w:val="28"/>
                <w:szCs w:val="24"/>
              </w:rPr>
              <w:t>X</w:t>
            </w:r>
            <w:r>
              <w:rPr>
                <w:rStyle w:val="Style10"/>
                <w:rFonts w:ascii="Times New Roman" w:hAnsi="Times New Roman" w:eastAsia="標楷體"/>
                <w:sz w:val="28"/>
                <w:szCs w:val="24"/>
              </w:rPr>
              <w:t>光）必須為正常。</w:t>
            </w:r>
          </w:p>
          <w:p>
            <w:pPr>
              <w:pStyle w:val="BodyText"/>
              <w:numPr>
                <w:ilvl w:val="0"/>
                <w:numId w:val="10"/>
              </w:numPr>
              <w:tabs>
                <w:tab w:val="clear" w:pos="480"/>
                <w:tab w:val="left" w:pos="939" w:leader="none"/>
              </w:tabs>
              <w:snapToGrid w:val="false"/>
              <w:spacing w:lineRule="atLeast" w:line="240"/>
              <w:ind w:left="939" w:hanging="764"/>
              <w:jc w:val="both"/>
              <w:rPr/>
            </w:pPr>
            <w:r>
              <w:rPr>
                <w:rStyle w:val="Style10"/>
                <w:rFonts w:ascii="Times New Roman" w:hAnsi="Times New Roman" w:eastAsia="標楷體"/>
                <w:sz w:val="28"/>
                <w:szCs w:val="24"/>
              </w:rPr>
              <w:t>其他檢查項目如有異常者，應有追蹤輔導紀錄。</w:t>
            </w:r>
          </w:p>
          <w:p>
            <w:pPr>
              <w:pStyle w:val="BodyText"/>
              <w:numPr>
                <w:ilvl w:val="0"/>
                <w:numId w:val="10"/>
              </w:numPr>
              <w:tabs>
                <w:tab w:val="clear" w:pos="480"/>
                <w:tab w:val="left" w:pos="939" w:leader="none"/>
              </w:tabs>
              <w:snapToGrid w:val="false"/>
              <w:spacing w:lineRule="atLeast" w:line="240"/>
              <w:ind w:left="939" w:hanging="764"/>
              <w:jc w:val="both"/>
              <w:rPr/>
            </w:pPr>
            <w:r>
              <w:rPr>
                <w:rStyle w:val="Style10"/>
                <w:rFonts w:ascii="Times New Roman" w:hAnsi="Times New Roman" w:eastAsia="標楷體"/>
                <w:sz w:val="28"/>
                <w:szCs w:val="24"/>
              </w:rPr>
              <w:t>參與例行備餐或執行與食品製作有關之工作訓練其工作人員健康檢查，另需包含</w:t>
            </w:r>
            <w:r>
              <w:rPr>
                <w:rStyle w:val="Style10"/>
                <w:rFonts w:eastAsia="標楷體" w:ascii="Times New Roman" w:hAnsi="Times New Roman"/>
                <w:sz w:val="28"/>
                <w:szCs w:val="24"/>
              </w:rPr>
              <w:t>A</w:t>
            </w:r>
            <w:r>
              <w:rPr>
                <w:rStyle w:val="Style10"/>
                <w:rFonts w:ascii="Times New Roman" w:hAnsi="Times New Roman" w:eastAsia="標楷體"/>
                <w:sz w:val="28"/>
                <w:szCs w:val="24"/>
              </w:rPr>
              <w:t>型肝炎、傷寒、桿菌痢疾及阿米巴痢疾。</w:t>
            </w:r>
          </w:p>
          <w:p>
            <w:pPr>
              <w:pStyle w:val="BodyText"/>
              <w:tabs>
                <w:tab w:val="clear" w:pos="480"/>
              </w:tabs>
              <w:snapToGrid w:val="false"/>
              <w:spacing w:lineRule="atLeast" w:line="240"/>
              <w:ind w:left="451" w:hanging="451"/>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51" w:hanging="451"/>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snapToGrid w:val="false"/>
              <w:spacing w:lineRule="atLeast" w:line="240"/>
              <w:rPr/>
            </w:pPr>
            <w:r>
              <w:rPr>
                <w:rStyle w:val="Style10"/>
                <w:rFonts w:ascii="Times New Roman" w:hAnsi="Times New Roman" w:eastAsia="標楷體"/>
                <w:sz w:val="28"/>
                <w:szCs w:val="24"/>
              </w:rPr>
              <w:t>工作人員包括自行聘用及外包之人力。</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1.5</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社區便利性</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機構應提高學員於社區中的便利性，以符合學員的相關需求。</w:t>
            </w:r>
          </w:p>
          <w:p>
            <w:pPr>
              <w:pStyle w:val="BodyText"/>
              <w:tabs>
                <w:tab w:val="clear" w:pos="480"/>
              </w:tabs>
              <w:snapToGrid w:val="false"/>
              <w:spacing w:lineRule="atLeast" w:line="240"/>
              <w:ind w:left="504" w:hanging="504"/>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，且能定期檢討及改善具體作為。</w:t>
            </w:r>
          </w:p>
          <w:p>
            <w:pPr>
              <w:pStyle w:val="BodyText"/>
              <w:tabs>
                <w:tab w:val="clear" w:pos="480"/>
              </w:tabs>
              <w:snapToGrid w:val="false"/>
              <w:spacing w:lineRule="atLeast" w:line="240"/>
              <w:ind w:left="504" w:hanging="504"/>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tabs>
                <w:tab w:val="clear" w:pos="480"/>
              </w:tabs>
              <w:snapToGrid w:val="false"/>
              <w:spacing w:lineRule="atLeast" w:line="240"/>
              <w:ind w:left="453" w:hanging="280"/>
              <w:jc w:val="both"/>
              <w:rPr/>
            </w:pPr>
            <w:r>
              <w:rPr>
                <w:rStyle w:val="Style10"/>
                <w:rFonts w:eastAsia="標楷體" w:ascii="Times New Roman" w:hAnsi="Times New Roman"/>
                <w:sz w:val="28"/>
                <w:szCs w:val="24"/>
              </w:rPr>
              <w:t>1.</w:t>
              <w:tab/>
            </w:r>
            <w:r>
              <w:rPr>
                <w:rStyle w:val="Style10"/>
                <w:rFonts w:ascii="Times New Roman" w:hAnsi="Times New Roman" w:eastAsia="標楷體"/>
                <w:sz w:val="28"/>
                <w:szCs w:val="24"/>
              </w:rPr>
              <w:t>以學員步行</w:t>
            </w:r>
            <w:r>
              <w:rPr>
                <w:rStyle w:val="Style10"/>
                <w:rFonts w:eastAsia="標楷體" w:ascii="Times New Roman" w:hAnsi="Times New Roman"/>
                <w:sz w:val="28"/>
                <w:szCs w:val="24"/>
              </w:rPr>
              <w:t>15</w:t>
            </w:r>
            <w:r>
              <w:rPr>
                <w:rStyle w:val="Style10"/>
                <w:rFonts w:ascii="Times New Roman" w:hAnsi="Times New Roman" w:eastAsia="標楷體"/>
                <w:sz w:val="28"/>
                <w:szCs w:val="24"/>
              </w:rPr>
              <w:t>分鐘內可抵達市場、商店、車站或其他社區資源。</w:t>
            </w:r>
          </w:p>
          <w:p>
            <w:pPr>
              <w:pStyle w:val="BodyText"/>
              <w:tabs>
                <w:tab w:val="clear" w:pos="480"/>
              </w:tabs>
              <w:snapToGrid w:val="false"/>
              <w:spacing w:lineRule="atLeast" w:line="240"/>
              <w:ind w:left="453" w:hanging="280"/>
              <w:jc w:val="both"/>
              <w:rPr/>
            </w:pPr>
            <w:r>
              <w:rPr>
                <w:rStyle w:val="Style10"/>
                <w:rFonts w:eastAsia="標楷體" w:ascii="Times New Roman" w:hAnsi="Times New Roman"/>
                <w:sz w:val="28"/>
                <w:szCs w:val="24"/>
              </w:rPr>
              <w:t>2.</w:t>
              <w:tab/>
            </w:r>
            <w:r>
              <w:rPr>
                <w:rStyle w:val="Style10"/>
                <w:rFonts w:ascii="Times New Roman" w:hAnsi="Times New Roman" w:eastAsia="標楷體"/>
                <w:sz w:val="28"/>
                <w:szCs w:val="24"/>
              </w:rPr>
              <w:t>機構設置地點沒有方便學員使用大眾運輸工具及社區資源，但有提供符合學員便利交通需求之具體作為。</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1.6</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復健資源開發及運用</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5</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復健資源係指協助引進與開發有助於學員工作復健與社區生活適應有關之資源，增進學員的復健品質。</w:t>
            </w:r>
          </w:p>
          <w:p>
            <w:pPr>
              <w:pStyle w:val="BodyText"/>
              <w:tabs>
                <w:tab w:val="clear" w:pos="480"/>
              </w:tabs>
              <w:snapToGrid w:val="false"/>
              <w:spacing w:lineRule="atLeast" w:line="240" w:before="0" w:after="72"/>
              <w:ind w:left="476" w:hanging="476"/>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，且每年均有新的資源開發並能轉介運用。</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，且能運用多元的社會資源融入學員之復健活動。</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tabs>
                <w:tab w:val="clear" w:pos="480"/>
              </w:tabs>
              <w:snapToGrid w:val="false"/>
              <w:spacing w:lineRule="atLeast" w:line="240" w:before="0" w:after="72"/>
              <w:ind w:left="432" w:hanging="192"/>
              <w:rPr/>
            </w:pPr>
            <w:r>
              <w:rPr>
                <w:rStyle w:val="Style10"/>
                <w:rFonts w:eastAsia="標楷體" w:ascii="Times New Roman" w:hAnsi="Times New Roman"/>
                <w:sz w:val="28"/>
                <w:szCs w:val="24"/>
              </w:rPr>
              <w:t>1.</w:t>
            </w:r>
            <w:r>
              <w:rPr>
                <w:rStyle w:val="Style10"/>
                <w:rFonts w:ascii="Times New Roman" w:hAnsi="Times New Roman" w:eastAsia="標楷體"/>
                <w:sz w:val="28"/>
                <w:szCs w:val="24"/>
              </w:rPr>
              <w:t>復健資源清冊內容完整詳實，利於學員與工作人員參考使用。</w:t>
            </w:r>
          </w:p>
          <w:p>
            <w:pPr>
              <w:pStyle w:val="BodyText"/>
              <w:tabs>
                <w:tab w:val="clear" w:pos="480"/>
              </w:tabs>
              <w:snapToGrid w:val="false"/>
              <w:spacing w:lineRule="atLeast" w:line="240" w:before="0" w:after="72"/>
              <w:ind w:left="492" w:hanging="252"/>
              <w:rPr/>
            </w:pPr>
            <w:r>
              <w:rPr>
                <w:rStyle w:val="Style10"/>
                <w:rFonts w:eastAsia="標楷體" w:ascii="Times New Roman" w:hAnsi="Times New Roman"/>
                <w:sz w:val="28"/>
                <w:szCs w:val="24"/>
              </w:rPr>
              <w:t>2.</w:t>
            </w:r>
            <w:r>
              <w:rPr>
                <w:rStyle w:val="Style10"/>
                <w:rFonts w:ascii="Times New Roman" w:hAnsi="Times New Roman" w:eastAsia="標楷體"/>
                <w:sz w:val="28"/>
                <w:szCs w:val="24"/>
              </w:rPr>
              <w:t>運用相關資源，並有具體實例及紀錄。</w:t>
            </w:r>
          </w:p>
          <w:p>
            <w:pPr>
              <w:pStyle w:val="BodyText"/>
              <w:tabs>
                <w:tab w:val="clear" w:pos="480"/>
              </w:tabs>
              <w:snapToGrid w:val="false"/>
              <w:spacing w:lineRule="atLeast" w:line="240" w:before="0" w:after="72"/>
              <w:ind w:left="432" w:hanging="192"/>
              <w:rPr/>
            </w:pPr>
            <w:r>
              <w:rPr>
                <w:rStyle w:val="Style10"/>
                <w:rFonts w:eastAsia="標楷體" w:ascii="Times New Roman" w:hAnsi="Times New Roman"/>
                <w:sz w:val="28"/>
                <w:szCs w:val="24"/>
              </w:rPr>
              <w:t>3.</w:t>
            </w:r>
            <w:r>
              <w:rPr>
                <w:rStyle w:val="Style10"/>
                <w:rFonts w:ascii="Times New Roman" w:hAnsi="Times New Roman" w:eastAsia="標楷體"/>
                <w:sz w:val="28"/>
                <w:szCs w:val="24"/>
              </w:rPr>
              <w:t>定期資源盤點與檢討。</w:t>
            </w:r>
          </w:p>
          <w:p>
            <w:pPr>
              <w:pStyle w:val="BodyText"/>
              <w:tabs>
                <w:tab w:val="clear" w:pos="480"/>
              </w:tabs>
              <w:snapToGrid w:val="false"/>
              <w:spacing w:lineRule="atLeast" w:line="240" w:before="0" w:after="72"/>
              <w:ind w:left="560" w:hanging="56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pacing w:lineRule="atLeast" w:line="24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pacing w:lineRule="atLeast" w:line="24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pacing w:lineRule="atLeast" w:line="240"/>
              <w:jc w:val="both"/>
              <w:rPr/>
            </w:pPr>
            <w:r>
              <w:rPr>
                <w:rStyle w:val="Style10"/>
                <w:rFonts w:ascii="Times New Roman" w:hAnsi="Times New Roman" w:eastAsia="標楷體"/>
                <w:sz w:val="28"/>
                <w:szCs w:val="24"/>
              </w:rPr>
              <w:t>復健資源</w:t>
            </w:r>
            <w:r>
              <w:rPr>
                <w:rStyle w:val="Style10"/>
                <w:rFonts w:ascii="Times New Roman" w:hAnsi="Times New Roman" w:eastAsia="標楷體"/>
                <w:bCs/>
                <w:sz w:val="28"/>
                <w:szCs w:val="24"/>
              </w:rPr>
              <w:t>清冊內容包括資源名稱、可運用之資源內容、聯絡人、地址、電話及運用情形。</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1.7</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復健治療空間及設施</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26" w:firstLine="31"/>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機構應依學員人數、復健治療方案或活動設計，配置適當且符合學員需求之復健治療空間及設施。</w:t>
            </w:r>
          </w:p>
          <w:p>
            <w:pPr>
              <w:pStyle w:val="BodyText"/>
              <w:tabs>
                <w:tab w:val="clear" w:pos="480"/>
              </w:tabs>
              <w:snapToGrid w:val="false"/>
              <w:spacing w:lineRule="atLeast" w:line="240" w:before="0" w:after="72"/>
              <w:ind w:left="476" w:hanging="476"/>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，且結合運用社區設施設備。</w:t>
            </w:r>
          </w:p>
          <w:p>
            <w:pPr>
              <w:pStyle w:val="BodyText"/>
              <w:tabs>
                <w:tab w:val="clear" w:pos="480"/>
              </w:tabs>
              <w:snapToGrid w:val="false"/>
              <w:spacing w:lineRule="atLeast" w:line="240" w:before="0" w:after="72"/>
              <w:ind w:left="476" w:hanging="476"/>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，且空間寬敞並充分使用空間及設備。</w:t>
            </w:r>
          </w:p>
          <w:p>
            <w:pPr>
              <w:pStyle w:val="BodyText"/>
              <w:tabs>
                <w:tab w:val="clear" w:pos="480"/>
              </w:tabs>
              <w:snapToGrid w:val="false"/>
              <w:spacing w:lineRule="atLeast" w:line="240" w:before="0" w:after="72"/>
              <w:ind w:left="476" w:hanging="476"/>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11"/>
              </w:numPr>
              <w:tabs>
                <w:tab w:val="clear" w:pos="480"/>
                <w:tab w:val="left" w:pos="939" w:leader="none"/>
              </w:tabs>
              <w:snapToGrid w:val="false"/>
              <w:spacing w:lineRule="atLeast" w:line="240"/>
              <w:ind w:left="939" w:hanging="736"/>
              <w:jc w:val="both"/>
              <w:rPr/>
            </w:pPr>
            <w:r>
              <w:rPr>
                <w:rStyle w:val="Style10"/>
                <w:rFonts w:ascii="Times New Roman" w:hAnsi="Times New Roman" w:eastAsia="標楷體"/>
                <w:bCs/>
                <w:sz w:val="28"/>
                <w:szCs w:val="24"/>
              </w:rPr>
              <w:t>配合學員復健規劃，提供適當的訓練空間及設備。</w:t>
            </w:r>
          </w:p>
          <w:p>
            <w:pPr>
              <w:pStyle w:val="BodyText"/>
              <w:numPr>
                <w:ilvl w:val="0"/>
                <w:numId w:val="11"/>
              </w:numPr>
              <w:tabs>
                <w:tab w:val="clear" w:pos="480"/>
                <w:tab w:val="left" w:pos="939" w:leader="none"/>
              </w:tabs>
              <w:spacing w:lineRule="atLeast" w:line="240"/>
              <w:ind w:left="939" w:hanging="736"/>
              <w:jc w:val="both"/>
              <w:rPr/>
            </w:pPr>
            <w:r>
              <w:rPr>
                <w:rStyle w:val="Style10"/>
                <w:rFonts w:ascii="Times New Roman" w:hAnsi="Times New Roman" w:eastAsia="標楷體"/>
                <w:bCs/>
                <w:sz w:val="28"/>
                <w:szCs w:val="24"/>
              </w:rPr>
              <w:t>學員與工作人員可共同使用空間與設備無區分、區隔。</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Style32"/>
              <w:numPr>
                <w:ilvl w:val="0"/>
                <w:numId w:val="12"/>
              </w:numPr>
              <w:tabs>
                <w:tab w:val="left" w:pos="736" w:leader="none"/>
              </w:tabs>
              <w:spacing w:lineRule="atLeast" w:line="240"/>
              <w:ind w:left="736" w:hanging="736"/>
              <w:jc w:val="both"/>
              <w:rPr/>
            </w:pPr>
            <w:r>
              <w:rPr>
                <w:rStyle w:val="Style10"/>
                <w:rFonts w:ascii="Times New Roman" w:hAnsi="Times New Roman" w:eastAsia="標楷體"/>
                <w:sz w:val="28"/>
                <w:szCs w:val="24"/>
                <w:lang w:val="en-US" w:eastAsia="zh-TW"/>
              </w:rPr>
              <w:t>復健治療空間如：職能治療活動室、會談室、康樂室、烹飪室、產業加工場、園藝區（室）、運動場地、復健農（牧）場地等。</w:t>
            </w:r>
          </w:p>
          <w:p>
            <w:pPr>
              <w:pStyle w:val="Style32"/>
              <w:numPr>
                <w:ilvl w:val="0"/>
                <w:numId w:val="12"/>
              </w:numPr>
              <w:tabs>
                <w:tab w:val="left" w:pos="736" w:leader="none"/>
              </w:tabs>
              <w:spacing w:lineRule="atLeast" w:line="240"/>
              <w:ind w:left="736" w:hanging="736"/>
              <w:jc w:val="both"/>
              <w:rPr/>
            </w:pPr>
            <w:r>
              <w:rPr>
                <w:rStyle w:val="Style10"/>
                <w:rFonts w:ascii="Times New Roman" w:hAnsi="Times New Roman" w:eastAsia="標楷體"/>
                <w:sz w:val="28"/>
                <w:szCs w:val="24"/>
                <w:lang w:val="en-US" w:eastAsia="zh-TW"/>
              </w:rPr>
              <w:t>復健治療設備如：文書、美工、編織、縫紉、皮雕、陶藝、藤工、烹飪、木工、印刷、園藝、農牧、產業加工、電腦或打卡鐘等。</w:t>
            </w:r>
          </w:p>
          <w:p>
            <w:pPr>
              <w:pStyle w:val="Style32"/>
              <w:numPr>
                <w:ilvl w:val="0"/>
                <w:numId w:val="12"/>
              </w:numPr>
              <w:tabs>
                <w:tab w:val="left" w:pos="736" w:leader="none"/>
              </w:tabs>
              <w:spacing w:lineRule="atLeast" w:line="240"/>
              <w:ind w:left="736" w:hanging="736"/>
              <w:jc w:val="both"/>
              <w:rPr/>
            </w:pPr>
            <w:r>
              <w:rPr>
                <w:rStyle w:val="Style10"/>
                <w:rFonts w:ascii="Times New Roman" w:hAnsi="Times New Roman" w:eastAsia="標楷體"/>
                <w:sz w:val="28"/>
                <w:szCs w:val="24"/>
                <w:lang w:val="en-US" w:eastAsia="zh-TW"/>
              </w:rPr>
              <w:t>烹飪訓練設備如：電冰箱、炊具、廚具、餐具等。</w:t>
            </w:r>
          </w:p>
          <w:p>
            <w:pPr>
              <w:pStyle w:val="Style32"/>
              <w:numPr>
                <w:ilvl w:val="0"/>
                <w:numId w:val="12"/>
              </w:numPr>
              <w:tabs>
                <w:tab w:val="left" w:pos="736" w:leader="none"/>
              </w:tabs>
              <w:spacing w:lineRule="atLeast" w:line="240"/>
              <w:ind w:left="736" w:hanging="736"/>
              <w:jc w:val="both"/>
              <w:rPr/>
            </w:pPr>
            <w:r>
              <w:rPr>
                <w:rStyle w:val="Style10"/>
                <w:rFonts w:ascii="Times New Roman" w:hAnsi="Times New Roman" w:eastAsia="標楷體"/>
                <w:sz w:val="28"/>
                <w:szCs w:val="24"/>
                <w:lang w:val="en-US" w:eastAsia="zh-TW"/>
              </w:rPr>
              <w:t>復健治療空間計算應扣除辦公室及工作人員宿舍等空間。</w:t>
            </w:r>
          </w:p>
          <w:p>
            <w:pPr>
              <w:pStyle w:val="Style32"/>
              <w:numPr>
                <w:ilvl w:val="0"/>
                <w:numId w:val="12"/>
              </w:numPr>
              <w:tabs>
                <w:tab w:val="left" w:pos="736" w:leader="none"/>
              </w:tabs>
              <w:spacing w:lineRule="atLeast" w:line="240"/>
              <w:ind w:left="736" w:hanging="736"/>
              <w:jc w:val="both"/>
              <w:rPr/>
            </w:pPr>
            <w:r>
              <w:rPr>
                <w:rStyle w:val="Style10"/>
                <w:rFonts w:ascii="Times New Roman" w:hAnsi="Times New Roman" w:eastAsia="標楷體"/>
                <w:sz w:val="28"/>
                <w:szCs w:val="24"/>
                <w:lang w:val="en-US" w:eastAsia="zh-TW"/>
              </w:rPr>
              <w:t>未登記立案之空間所放置的復健治療設施，不納入計算。</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1.8</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健身及康樂設施</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26" w:firstLine="31"/>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機構應依學員人數，配置適當且符合學員需求之健身及康樂設施，以提供學員使用。</w:t>
            </w:r>
          </w:p>
          <w:p>
            <w:pPr>
              <w:pStyle w:val="BodyText"/>
              <w:tabs>
                <w:tab w:val="clear" w:pos="480"/>
              </w:tabs>
              <w:snapToGrid w:val="false"/>
              <w:spacing w:lineRule="atLeast" w:line="240" w:before="72" w:after="0"/>
              <w:ind w:left="448" w:hanging="44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，且結合與運用社區的設施設備。</w:t>
            </w:r>
          </w:p>
          <w:p>
            <w:pPr>
              <w:pStyle w:val="BodyText"/>
              <w:tabs>
                <w:tab w:val="clear" w:pos="480"/>
              </w:tabs>
              <w:snapToGrid w:val="false"/>
              <w:spacing w:lineRule="atLeast" w:line="240" w:before="72" w:after="0"/>
              <w:ind w:left="448" w:hanging="448"/>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，且設備數量充足、功能良好，並能充分使用。</w:t>
            </w:r>
          </w:p>
          <w:p>
            <w:pPr>
              <w:pStyle w:val="BodyText"/>
              <w:tabs>
                <w:tab w:val="clear" w:pos="480"/>
              </w:tabs>
              <w:snapToGrid w:val="false"/>
              <w:spacing w:lineRule="atLeast" w:line="240" w:before="72" w:after="0"/>
              <w:ind w:left="448" w:hanging="448"/>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13"/>
              </w:numPr>
              <w:tabs>
                <w:tab w:val="clear" w:pos="480"/>
                <w:tab w:val="left" w:pos="939" w:leader="none"/>
              </w:tabs>
              <w:snapToGrid w:val="false"/>
              <w:spacing w:lineRule="atLeast" w:line="240" w:before="72" w:after="0"/>
              <w:ind w:left="939" w:hanging="737"/>
              <w:rPr/>
            </w:pPr>
            <w:r>
              <w:rPr>
                <w:rStyle w:val="Style10"/>
                <w:rFonts w:ascii="Times New Roman" w:hAnsi="Times New Roman" w:eastAsia="標楷體"/>
                <w:bCs/>
                <w:sz w:val="28"/>
                <w:szCs w:val="24"/>
              </w:rPr>
              <w:t>設施設備適當且符合學員需求並有常態性活動安排。</w:t>
            </w:r>
          </w:p>
          <w:p>
            <w:pPr>
              <w:pStyle w:val="BodyText"/>
              <w:numPr>
                <w:ilvl w:val="0"/>
                <w:numId w:val="13"/>
              </w:numPr>
              <w:tabs>
                <w:tab w:val="clear" w:pos="480"/>
                <w:tab w:val="left" w:pos="939" w:leader="none"/>
              </w:tabs>
              <w:snapToGrid w:val="false"/>
              <w:spacing w:lineRule="atLeast" w:line="240" w:before="72" w:after="0"/>
              <w:ind w:left="939" w:hanging="737"/>
              <w:rPr/>
            </w:pPr>
            <w:r>
              <w:rPr>
                <w:rStyle w:val="Style10"/>
                <w:rFonts w:ascii="Times New Roman" w:hAnsi="Times New Roman" w:eastAsia="標楷體"/>
                <w:bCs/>
                <w:sz w:val="28"/>
                <w:szCs w:val="24"/>
              </w:rPr>
              <w:t>應有適當維護及安全措施。</w:t>
            </w:r>
          </w:p>
          <w:p>
            <w:pPr>
              <w:pStyle w:val="BodyText"/>
              <w:tabs>
                <w:tab w:val="clear" w:pos="480"/>
              </w:tabs>
              <w:snapToGrid w:val="false"/>
              <w:spacing w:lineRule="atLeast" w:line="240"/>
              <w:ind w:left="398" w:hanging="398"/>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398" w:hanging="398"/>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tabs>
                <w:tab w:val="clear" w:pos="480"/>
              </w:tabs>
              <w:snapToGrid w:val="false"/>
              <w:spacing w:lineRule="atLeast" w:line="240" w:before="72" w:after="0"/>
              <w:ind w:left="224" w:hanging="224"/>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健身設備如：跑步機、腳踏車、划船器、運動墊或各類球類設備等（另戶外空間活動如：籃球場、社區運動相關設施需有資料佐證）。</w:t>
            </w:r>
          </w:p>
          <w:p>
            <w:pPr>
              <w:pStyle w:val="BodyText"/>
              <w:tabs>
                <w:tab w:val="clear" w:pos="480"/>
              </w:tabs>
              <w:snapToGrid w:val="false"/>
              <w:spacing w:lineRule="atLeast" w:line="240" w:before="72" w:after="0"/>
              <w:ind w:left="210" w:hanging="210"/>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康樂設備如：音響、電視、</w:t>
            </w:r>
            <w:r>
              <w:rPr>
                <w:rStyle w:val="Style10"/>
                <w:rFonts w:eastAsia="標楷體" w:ascii="Times New Roman" w:hAnsi="Times New Roman"/>
                <w:sz w:val="28"/>
                <w:szCs w:val="24"/>
              </w:rPr>
              <w:t>DVD</w:t>
            </w:r>
            <w:r>
              <w:rPr>
                <w:rStyle w:val="Style10"/>
                <w:rFonts w:ascii="Times New Roman" w:hAnsi="Times New Roman" w:eastAsia="標楷體"/>
                <w:sz w:val="28"/>
                <w:szCs w:val="24"/>
              </w:rPr>
              <w:t>、伴唱機、各式棋類</w:t>
            </w:r>
            <w:r>
              <w:rPr>
                <w:rStyle w:val="Style10"/>
                <w:rFonts w:eastAsia="標楷體" w:ascii="Times New Roman" w:hAnsi="Times New Roman"/>
                <w:sz w:val="28"/>
                <w:szCs w:val="24"/>
              </w:rPr>
              <w:t>/</w:t>
            </w:r>
            <w:r>
              <w:rPr>
                <w:rStyle w:val="Style10"/>
                <w:rFonts w:ascii="Times New Roman" w:hAnsi="Times New Roman" w:eastAsia="標楷體"/>
                <w:sz w:val="28"/>
                <w:szCs w:val="24"/>
              </w:rPr>
              <w:t>牌類、報紙或書刊等。</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可</w:t>
            </w:r>
            <w:r>
              <w:rPr>
                <w:rStyle w:val="Style10"/>
                <w:rFonts w:eastAsia="標楷體" w:ascii="Times New Roman" w:hAnsi="Times New Roman"/>
                <w:sz w:val="28"/>
                <w:szCs w:val="24"/>
              </w:rPr>
              <w:t>1.9</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前次評鑑建議事項辦理情形確實且具成效</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pPr>
            <w:r>
              <w:rPr>
                <w:rStyle w:val="Style10"/>
                <w:rFonts w:ascii="Times New Roman" w:hAnsi="Times New Roman" w:eastAsia="標楷體"/>
                <w:sz w:val="28"/>
                <w:szCs w:val="24"/>
              </w:rPr>
              <w:t>目的：</w:t>
            </w:r>
          </w:p>
          <w:p>
            <w:pPr>
              <w:pStyle w:val="BodyText"/>
              <w:snapToGrid w:val="false"/>
              <w:spacing w:lineRule="atLeast" w:line="240" w:before="72" w:after="0"/>
              <w:jc w:val="both"/>
              <w:rPr/>
            </w:pPr>
            <w:r>
              <w:rPr>
                <w:rStyle w:val="Style10"/>
                <w:rFonts w:ascii="Times New Roman" w:hAnsi="Times New Roman" w:eastAsia="標楷體"/>
                <w:sz w:val="28"/>
                <w:szCs w:val="24"/>
              </w:rPr>
              <w:t>機構應對前次評鑑改善事項進行檢討，提出改善措施並落實執行，提升機構服務品質與經營管理成效。</w:t>
            </w:r>
          </w:p>
          <w:p>
            <w:pPr>
              <w:pStyle w:val="BodyText"/>
              <w:tabs>
                <w:tab w:val="clear" w:pos="480"/>
              </w:tabs>
              <w:snapToGrid w:val="false"/>
              <w:spacing w:lineRule="atLeast" w:line="240" w:before="72" w:after="0"/>
              <w:ind w:left="448" w:hanging="44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，且前次評鑑所有建議事項皆完全改善。</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，且改善措施確有成效。</w:t>
            </w:r>
          </w:p>
          <w:p>
            <w:pPr>
              <w:pStyle w:val="BodyText"/>
              <w:tabs>
                <w:tab w:val="clear" w:pos="480"/>
              </w:tabs>
              <w:snapToGrid w:val="false"/>
              <w:spacing w:lineRule="atLeast" w:line="240"/>
              <w:ind w:left="476" w:hanging="476"/>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：前次評鑑建議事項有具體改善措施，並有相關佐證資料；無法改善事項有確實說明，經查證屬實，且不影響學員之照顧安全。</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0" w:after="72"/>
              <w:ind w:left="456" w:hanging="456"/>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numPr>
                <w:ilvl w:val="0"/>
                <w:numId w:val="14"/>
              </w:numPr>
              <w:tabs>
                <w:tab w:val="clear" w:pos="480"/>
                <w:tab w:val="left" w:pos="1217" w:leader="none"/>
              </w:tabs>
              <w:snapToGrid w:val="false"/>
              <w:spacing w:lineRule="atLeast" w:line="240" w:before="0" w:after="72"/>
              <w:ind w:left="1217" w:hanging="737"/>
              <w:jc w:val="both"/>
              <w:rPr/>
            </w:pPr>
            <w:r>
              <w:rPr>
                <w:rStyle w:val="Style10"/>
                <w:rFonts w:ascii="Times New Roman" w:hAnsi="Times New Roman" w:eastAsia="標楷體"/>
                <w:bCs/>
                <w:sz w:val="28"/>
                <w:szCs w:val="24"/>
              </w:rPr>
              <w:t>機構因故歇業，由另一位負責人，於原址重新申請開業者（即俗稱變更負責人），需提報前次評鑑建議事項辦理情形。</w:t>
            </w:r>
          </w:p>
          <w:p>
            <w:pPr>
              <w:pStyle w:val="BodyText"/>
              <w:numPr>
                <w:ilvl w:val="0"/>
                <w:numId w:val="14"/>
              </w:numPr>
              <w:tabs>
                <w:tab w:val="clear" w:pos="480"/>
                <w:tab w:val="left" w:pos="1217" w:leader="none"/>
              </w:tabs>
              <w:snapToGrid w:val="false"/>
              <w:spacing w:lineRule="atLeast" w:line="240" w:before="0" w:after="72"/>
              <w:ind w:left="1217" w:hanging="737"/>
              <w:jc w:val="both"/>
              <w:rPr/>
            </w:pPr>
            <w:r>
              <w:rPr>
                <w:rStyle w:val="Style10"/>
                <w:rFonts w:ascii="Times New Roman" w:hAnsi="Times New Roman" w:eastAsia="標楷體"/>
                <w:sz w:val="28"/>
                <w:szCs w:val="24"/>
              </w:rPr>
              <w:t>本條文所指「前次評鑑之建議改善事項」係包含機構評鑑結果意見表中之「改善意見」、「建議意見」及「綜合意見」，機構應有相關改善作為（如檢討、擬定措施等），並依規劃時程進行改善。</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1.10</w:t>
            </w:r>
          </w:p>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評鑑資料填寫及實地評鑑簡報品質良好</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pPr>
            <w:r>
              <w:rPr>
                <w:rStyle w:val="Style10"/>
                <w:rFonts w:ascii="Times New Roman" w:hAnsi="Times New Roman" w:eastAsia="標楷體"/>
                <w:sz w:val="28"/>
                <w:szCs w:val="24"/>
              </w:rPr>
              <w:t>目的：</w:t>
            </w:r>
          </w:p>
          <w:p>
            <w:pPr>
              <w:pStyle w:val="BodyText"/>
              <w:snapToGrid w:val="false"/>
              <w:spacing w:lineRule="atLeast" w:line="240" w:before="72" w:after="0"/>
              <w:jc w:val="both"/>
              <w:rPr/>
            </w:pPr>
            <w:r>
              <w:rPr>
                <w:rStyle w:val="Style10"/>
                <w:rFonts w:ascii="Times New Roman" w:hAnsi="Times New Roman" w:eastAsia="標楷體"/>
                <w:sz w:val="28"/>
                <w:szCs w:val="24"/>
              </w:rPr>
              <w:t>機構應及時提供正確資料與精簡扼要之簡報內容，協助評鑑委員了解機構實際經營管理狀況及特色。</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，且實地評鑑簡報內容確實、精簡扼要，呈現機構特色及經營管理與業務狀況。</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，且評鑑資料依規定填寫完整無缺漏，詳實反應機構實際經營管理與業務狀況，並與簡報資料有一致性。</w:t>
            </w:r>
          </w:p>
          <w:p>
            <w:pPr>
              <w:pStyle w:val="BodyText"/>
              <w:spacing w:lineRule="atLeast" w:line="24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15"/>
              </w:numPr>
              <w:tabs>
                <w:tab w:val="left" w:pos="1081" w:leader="none"/>
              </w:tabs>
              <w:spacing w:lineRule="atLeast" w:line="240"/>
              <w:ind w:left="1081" w:hanging="764"/>
              <w:jc w:val="both"/>
              <w:rPr/>
            </w:pPr>
            <w:r>
              <w:rPr>
                <w:rStyle w:val="Style10"/>
                <w:rFonts w:ascii="Times New Roman" w:hAnsi="Times New Roman" w:eastAsia="標楷體"/>
                <w:sz w:val="28"/>
                <w:szCs w:val="24"/>
                <w:lang w:val="en-US" w:eastAsia="zh-TW"/>
              </w:rPr>
              <w:t>評鑑資料之填寫正確詳實且呈現機構實際經營管理與業務狀況。</w:t>
            </w:r>
          </w:p>
          <w:p>
            <w:pPr>
              <w:pStyle w:val="Style32"/>
              <w:numPr>
                <w:ilvl w:val="0"/>
                <w:numId w:val="15"/>
              </w:numPr>
              <w:tabs>
                <w:tab w:val="left" w:pos="1081" w:leader="none"/>
              </w:tabs>
              <w:spacing w:lineRule="atLeast" w:line="240"/>
              <w:ind w:left="1081" w:hanging="764"/>
              <w:jc w:val="both"/>
              <w:rPr/>
            </w:pPr>
            <w:r>
              <w:rPr>
                <w:rStyle w:val="Style10"/>
                <w:rFonts w:ascii="Times New Roman" w:hAnsi="Times New Roman" w:eastAsia="標楷體"/>
                <w:sz w:val="28"/>
                <w:szCs w:val="24"/>
                <w:lang w:val="en-US" w:eastAsia="zh-TW"/>
              </w:rPr>
              <w:t>實地評鑑時，應呈現前次評鑑當年度至此次評鑑前</w:t>
            </w:r>
            <w:r>
              <w:rPr>
                <w:rStyle w:val="Style10"/>
                <w:rFonts w:eastAsia="標楷體" w:ascii="Times New Roman" w:hAnsi="Times New Roman"/>
                <w:sz w:val="28"/>
                <w:szCs w:val="24"/>
                <w:lang w:val="en-US" w:eastAsia="zh-TW"/>
              </w:rPr>
              <w:t>1</w:t>
            </w:r>
            <w:r>
              <w:rPr>
                <w:rStyle w:val="Style10"/>
                <w:rFonts w:ascii="Times New Roman" w:hAnsi="Times New Roman" w:eastAsia="標楷體"/>
                <w:sz w:val="28"/>
                <w:szCs w:val="24"/>
                <w:lang w:val="en-US" w:eastAsia="zh-TW"/>
              </w:rPr>
              <w:t>個月之相關資料。更換負責人，仍應呈現上述資料。</w:t>
            </w:r>
          </w:p>
          <w:p>
            <w:pPr>
              <w:pStyle w:val="Style32"/>
              <w:numPr>
                <w:ilvl w:val="0"/>
                <w:numId w:val="15"/>
              </w:numPr>
              <w:tabs>
                <w:tab w:val="left" w:pos="1081" w:leader="none"/>
              </w:tabs>
              <w:spacing w:lineRule="atLeast" w:line="240"/>
              <w:ind w:left="1081" w:hanging="764"/>
              <w:jc w:val="both"/>
              <w:rPr/>
            </w:pPr>
            <w:r>
              <w:rPr>
                <w:rStyle w:val="Style10"/>
                <w:rFonts w:ascii="Times New Roman" w:hAnsi="Times New Roman" w:eastAsia="標楷體"/>
                <w:sz w:val="28"/>
                <w:szCs w:val="24"/>
                <w:lang w:val="en-US" w:eastAsia="zh-TW"/>
              </w:rPr>
              <w:t>評鑑簡報內容精簡扼要，掌握時間與重點。</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第</w:t>
            </w:r>
            <w:r>
              <w:rPr>
                <w:rStyle w:val="Style10"/>
                <w:rFonts w:eastAsia="標楷體" w:ascii="Times New Roman" w:hAnsi="Times New Roman"/>
                <w:sz w:val="28"/>
                <w:szCs w:val="24"/>
              </w:rPr>
              <w:t>2</w:t>
            </w:r>
            <w:r>
              <w:rPr>
                <w:rStyle w:val="Style10"/>
                <w:rFonts w:ascii="Times New Roman" w:hAnsi="Times New Roman" w:eastAsia="標楷體"/>
                <w:sz w:val="28"/>
                <w:szCs w:val="24"/>
              </w:rPr>
              <w:t>章</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復健服務</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jc w:val="center"/>
              <w:rPr>
                <w:rFonts w:ascii="Times New Roman" w:hAnsi="Times New Roman" w:eastAsia="標楷體"/>
                <w:sz w:val="28"/>
                <w:szCs w:val="24"/>
              </w:rPr>
            </w:pPr>
            <w:r>
              <w:rPr>
                <w:rFonts w:eastAsia="標楷體" w:ascii="Times New Roman" w:hAnsi="Times New Roman"/>
                <w:sz w:val="28"/>
                <w:szCs w:val="24"/>
              </w:rPr>
              <w:t>37</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240"/>
              <w:ind w:left="560" w:hanging="560"/>
              <w:jc w:val="both"/>
              <w:rPr/>
            </w:pPr>
            <w:r>
              <w:rPr>
                <w:rStyle w:val="Style10"/>
                <w:rFonts w:ascii="Times New Roman" w:hAnsi="Times New Roman" w:eastAsia="標楷體"/>
                <w:sz w:val="28"/>
                <w:szCs w:val="24"/>
              </w:rPr>
              <w:t>【重點說明】</w:t>
            </w:r>
          </w:p>
          <w:p>
            <w:pPr>
              <w:pStyle w:val="BodyText"/>
              <w:tabs>
                <w:tab w:val="clear" w:pos="480"/>
              </w:tabs>
              <w:spacing w:lineRule="atLeast" w:line="240"/>
              <w:ind w:left="53" w:firstLine="546"/>
              <w:jc w:val="both"/>
              <w:rPr/>
            </w:pPr>
            <w:r>
              <w:rPr>
                <w:rStyle w:val="Style10"/>
                <w:rFonts w:ascii="Times New Roman" w:hAnsi="Times New Roman" w:eastAsia="標楷體"/>
                <w:kern w:val="0"/>
                <w:sz w:val="28"/>
                <w:szCs w:val="24"/>
              </w:rPr>
              <w:t>機構主要任務是協助學員逐步適應社會生活，透過專業團隊的全人評估，並依據其功能與表現，與學員共同決定具體可行之復健目標與計畫，運用「有目的的活動」做為復元媒介，以維持、發展或重建學員各功能，並能結合運用社區資源，結合社區組織或團體，讓學員走進社區，進行真實的社區生活復健。</w:t>
            </w:r>
          </w:p>
          <w:p>
            <w:pPr>
              <w:pStyle w:val="BodyText"/>
              <w:spacing w:lineRule="atLeast" w:line="240"/>
              <w:ind w:firstLine="546"/>
              <w:jc w:val="both"/>
              <w:rPr/>
            </w:pPr>
            <w:r>
              <w:rPr>
                <w:rStyle w:val="Style10"/>
                <w:rFonts w:ascii="Times New Roman" w:hAnsi="Times New Roman" w:eastAsia="標楷體"/>
                <w:kern w:val="0"/>
                <w:sz w:val="28"/>
                <w:szCs w:val="24"/>
              </w:rPr>
              <w:t>復健活動的過程與成效係能實地讓學員在日常生活中參與、練習與操作，以達成獨立生活、人際社交、情感支持、休閒、工作健康管理等身心靈各層面功能的發展，促進獨立自主的復元過程。</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2.1</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復健評估</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透過整合性復健評估了解學員的功能與表現，以擬定符合學員復健需求的目標與計畫。</w:t>
            </w:r>
          </w:p>
          <w:p>
            <w:pPr>
              <w:pStyle w:val="BodyText"/>
              <w:tabs>
                <w:tab w:val="clear" w:pos="480"/>
              </w:tabs>
              <w:spacing w:lineRule="atLeast" w:line="240"/>
              <w:ind w:left="459" w:hanging="459"/>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，且有學員的自評及與工作人員共同訂定或修正復健計畫。</w:t>
            </w:r>
          </w:p>
          <w:p>
            <w:pPr>
              <w:pStyle w:val="BodyText"/>
              <w:tabs>
                <w:tab w:val="clear" w:pos="480"/>
              </w:tabs>
              <w:spacing w:lineRule="atLeast" w:line="240"/>
              <w:ind w:left="459" w:hanging="459"/>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，且評估詳實完整。</w:t>
            </w:r>
          </w:p>
          <w:p>
            <w:pPr>
              <w:pStyle w:val="BodyText"/>
              <w:tabs>
                <w:tab w:val="clear" w:pos="480"/>
              </w:tabs>
              <w:spacing w:lineRule="atLeast" w:line="240"/>
              <w:ind w:left="398" w:hanging="398"/>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tabs>
                <w:tab w:val="clear" w:pos="480"/>
              </w:tabs>
              <w:spacing w:lineRule="atLeast" w:line="240"/>
              <w:ind w:left="459" w:hanging="180"/>
              <w:rPr/>
            </w:pPr>
            <w:r>
              <w:rPr>
                <w:rStyle w:val="Style10"/>
                <w:rFonts w:eastAsia="標楷體" w:ascii="Times New Roman" w:hAnsi="Times New Roman"/>
                <w:sz w:val="28"/>
                <w:szCs w:val="24"/>
              </w:rPr>
              <w:t>1.</w:t>
            </w:r>
            <w:r>
              <w:rPr>
                <w:rStyle w:val="Style10"/>
                <w:rFonts w:ascii="Times New Roman" w:hAnsi="Times New Roman" w:eastAsia="標楷體"/>
                <w:sz w:val="28"/>
                <w:szCs w:val="24"/>
              </w:rPr>
              <w:t>提供適切之整合性復健評估。</w:t>
            </w:r>
          </w:p>
          <w:p>
            <w:pPr>
              <w:pStyle w:val="BodyText"/>
              <w:tabs>
                <w:tab w:val="clear" w:pos="480"/>
              </w:tabs>
              <w:spacing w:lineRule="atLeast" w:line="240"/>
              <w:ind w:left="459" w:hanging="180"/>
              <w:rPr/>
            </w:pPr>
            <w:r>
              <w:rPr>
                <w:rStyle w:val="Style10"/>
                <w:rFonts w:eastAsia="標楷體" w:ascii="Times New Roman" w:hAnsi="Times New Roman"/>
                <w:sz w:val="28"/>
                <w:szCs w:val="24"/>
              </w:rPr>
              <w:t>2.</w:t>
            </w:r>
            <w:r>
              <w:rPr>
                <w:rStyle w:val="Style10"/>
                <w:rFonts w:ascii="Times New Roman" w:hAnsi="Times New Roman" w:eastAsia="標楷體"/>
                <w:sz w:val="28"/>
                <w:szCs w:val="24"/>
              </w:rPr>
              <w:t>專任管理人員應參與評估過程，且有簽名。</w:t>
            </w:r>
          </w:p>
          <w:p>
            <w:pPr>
              <w:pStyle w:val="BodyText"/>
              <w:tabs>
                <w:tab w:val="clear" w:pos="480"/>
              </w:tabs>
              <w:spacing w:lineRule="atLeast" w:line="240"/>
              <w:ind w:left="459" w:hanging="180"/>
              <w:rPr/>
            </w:pPr>
            <w:r>
              <w:rPr>
                <w:rStyle w:val="Style10"/>
                <w:rFonts w:eastAsia="標楷體" w:ascii="Times New Roman" w:hAnsi="Times New Roman"/>
                <w:sz w:val="28"/>
                <w:szCs w:val="24"/>
              </w:rPr>
              <w:t>3.</w:t>
            </w:r>
            <w:r>
              <w:rPr>
                <w:rStyle w:val="Style10"/>
                <w:rFonts w:ascii="Times New Roman" w:hAnsi="Times New Roman" w:eastAsia="標楷體"/>
                <w:sz w:val="28"/>
                <w:szCs w:val="24"/>
              </w:rPr>
              <w:t>有完整收案評估，後續之評估則依學員復健目標達成狀況選擇評估工具及執行頻率。</w:t>
            </w:r>
          </w:p>
          <w:p>
            <w:pPr>
              <w:pStyle w:val="BodyText"/>
              <w:tabs>
                <w:tab w:val="clear" w:pos="480"/>
              </w:tabs>
              <w:snapToGrid w:val="false"/>
              <w:spacing w:lineRule="atLeast" w:line="240"/>
              <w:ind w:left="210" w:hanging="21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hd w:fill="FFFFFF" w:val="clear"/>
              <w:tabs>
                <w:tab w:val="clear" w:pos="480"/>
              </w:tabs>
              <w:spacing w:lineRule="atLeast" w:line="240"/>
              <w:ind w:left="180" w:hanging="18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pacing w:lineRule="atLeast" w:line="240" w:before="0" w:after="108"/>
              <w:jc w:val="both"/>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numPr>
                <w:ilvl w:val="0"/>
                <w:numId w:val="16"/>
              </w:numPr>
              <w:tabs>
                <w:tab w:val="clear" w:pos="480"/>
                <w:tab w:val="left" w:pos="799" w:leader="none"/>
              </w:tabs>
              <w:spacing w:lineRule="atLeast" w:line="240"/>
              <w:ind w:left="799" w:hanging="795"/>
              <w:jc w:val="both"/>
              <w:rPr/>
            </w:pPr>
            <w:r>
              <w:rPr>
                <w:rStyle w:val="Style10"/>
                <w:rFonts w:ascii="Times New Roman" w:hAnsi="Times New Roman" w:eastAsia="標楷體"/>
                <w:sz w:val="28"/>
                <w:szCs w:val="24"/>
              </w:rPr>
              <w:t>評估由專業人員主責，專任管理人員提供復健觀察結果並引導學員自我觀察與回饋，作為復健服務計畫修訂的參考，同時促進學員的參與。</w:t>
            </w:r>
          </w:p>
          <w:p>
            <w:pPr>
              <w:pStyle w:val="BodyText"/>
              <w:numPr>
                <w:ilvl w:val="0"/>
                <w:numId w:val="16"/>
              </w:numPr>
              <w:tabs>
                <w:tab w:val="clear" w:pos="480"/>
                <w:tab w:val="left" w:pos="799" w:leader="none"/>
              </w:tabs>
              <w:spacing w:lineRule="atLeast" w:line="240"/>
              <w:ind w:left="799" w:hanging="795"/>
              <w:jc w:val="both"/>
              <w:rPr/>
            </w:pPr>
            <w:r>
              <w:rPr>
                <w:rStyle w:val="Style10"/>
                <w:rFonts w:ascii="Times New Roman" w:hAnsi="Times New Roman" w:eastAsia="標楷體"/>
                <w:sz w:val="28"/>
                <w:szCs w:val="24"/>
              </w:rPr>
              <w:t>復健評估包含：獨立生活功能、社會功能、職業功能、身心健康狀況及家庭與社會支持系統之評估等。</w:t>
            </w:r>
          </w:p>
          <w:p>
            <w:pPr>
              <w:pStyle w:val="BodyText"/>
              <w:numPr>
                <w:ilvl w:val="0"/>
                <w:numId w:val="16"/>
              </w:numPr>
              <w:tabs>
                <w:tab w:val="clear" w:pos="480"/>
                <w:tab w:val="left" w:pos="799" w:leader="none"/>
              </w:tabs>
              <w:spacing w:lineRule="atLeast" w:line="240"/>
              <w:ind w:left="799" w:hanging="795"/>
              <w:jc w:val="both"/>
              <w:rPr/>
            </w:pPr>
            <w:r>
              <w:rPr>
                <w:rStyle w:val="Style10"/>
                <w:rFonts w:ascii="Times New Roman" w:hAnsi="Times New Roman" w:eastAsia="標楷體"/>
                <w:sz w:val="28"/>
                <w:szCs w:val="24"/>
              </w:rPr>
              <w:t>專業人員應依學員需求選用合適之評估方法、工具及頻率。</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2.2</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訂定復健目標及計畫</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擬定符合學員復健需求之目標與計畫，並有效結合運用社區資源，以強化社區適應能力。</w:t>
            </w:r>
          </w:p>
          <w:p>
            <w:pPr>
              <w:pStyle w:val="BodyText"/>
              <w:tabs>
                <w:tab w:val="clear" w:pos="480"/>
              </w:tabs>
              <w:snapToGrid w:val="false"/>
              <w:spacing w:lineRule="atLeast" w:line="240" w:before="72" w:after="0"/>
              <w:ind w:left="448" w:hanging="44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，且復健計畫有運用社區資源，成效良好。</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，且有引導學員積極參與的機制。</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17"/>
              </w:numPr>
              <w:tabs>
                <w:tab w:val="clear" w:pos="480"/>
                <w:tab w:val="left" w:pos="1112" w:leader="none"/>
              </w:tabs>
              <w:snapToGrid w:val="false"/>
              <w:spacing w:lineRule="atLeast" w:line="240"/>
              <w:ind w:left="1112" w:hanging="766"/>
              <w:jc w:val="both"/>
              <w:rPr/>
            </w:pPr>
            <w:r>
              <w:rPr>
                <w:rStyle w:val="Style10"/>
                <w:rFonts w:ascii="Times New Roman" w:hAnsi="Times New Roman" w:eastAsia="標楷體"/>
                <w:sz w:val="28"/>
                <w:szCs w:val="24"/>
              </w:rPr>
              <w:t>應依據「復健評估」結果訂定符合學員復健需求計畫內容具體可行。</w:t>
            </w:r>
          </w:p>
          <w:p>
            <w:pPr>
              <w:pStyle w:val="BodyText"/>
              <w:numPr>
                <w:ilvl w:val="0"/>
                <w:numId w:val="17"/>
              </w:numPr>
              <w:tabs>
                <w:tab w:val="clear" w:pos="480"/>
                <w:tab w:val="left" w:pos="1112" w:leader="none"/>
              </w:tabs>
              <w:snapToGrid w:val="false"/>
              <w:spacing w:lineRule="atLeast" w:line="240"/>
              <w:ind w:left="1112" w:hanging="766"/>
              <w:jc w:val="both"/>
              <w:rPr/>
            </w:pPr>
            <w:r>
              <w:rPr>
                <w:rStyle w:val="Style10"/>
                <w:rFonts w:ascii="Times New Roman" w:hAnsi="Times New Roman" w:eastAsia="標楷體"/>
                <w:bCs/>
                <w:sz w:val="28"/>
                <w:szCs w:val="24"/>
              </w:rPr>
              <w:t>由專業人員、專任管理人員及</w:t>
            </w:r>
            <w:r>
              <w:rPr>
                <w:rStyle w:val="Style10"/>
                <w:rFonts w:ascii="Times New Roman" w:hAnsi="Times New Roman" w:eastAsia="標楷體"/>
                <w:sz w:val="28"/>
                <w:szCs w:val="24"/>
              </w:rPr>
              <w:t>學員</w:t>
            </w:r>
            <w:r>
              <w:rPr>
                <w:rStyle w:val="Style10"/>
                <w:rFonts w:ascii="Times New Roman" w:hAnsi="Times New Roman" w:eastAsia="標楷體"/>
                <w:bCs/>
                <w:sz w:val="28"/>
                <w:szCs w:val="24"/>
              </w:rPr>
              <w:t>共同擬訂，並有簽名紀錄。</w:t>
            </w:r>
          </w:p>
          <w:p>
            <w:pPr>
              <w:pStyle w:val="BodyText"/>
              <w:numPr>
                <w:ilvl w:val="0"/>
                <w:numId w:val="17"/>
              </w:numPr>
              <w:tabs>
                <w:tab w:val="clear" w:pos="480"/>
                <w:tab w:val="left" w:pos="653" w:leader="none"/>
              </w:tabs>
              <w:snapToGrid w:val="false"/>
              <w:spacing w:lineRule="atLeast" w:line="240"/>
              <w:ind w:left="653" w:hanging="480"/>
              <w:jc w:val="both"/>
              <w:rPr/>
            </w:pPr>
            <w:r>
              <w:rPr>
                <w:rStyle w:val="Style10"/>
                <w:rFonts w:ascii="Times New Roman" w:hAnsi="Times New Roman" w:eastAsia="標楷體"/>
                <w:sz w:val="28"/>
                <w:szCs w:val="24"/>
              </w:rPr>
              <w:t>至少</w:t>
            </w:r>
            <w:r>
              <w:rPr>
                <w:rStyle w:val="Style10"/>
                <w:rFonts w:ascii="Times New Roman" w:hAnsi="Times New Roman" w:eastAsia="標楷體"/>
                <w:bCs/>
                <w:sz w:val="28"/>
                <w:szCs w:val="24"/>
              </w:rPr>
              <w:t>每</w:t>
            </w:r>
            <w:r>
              <w:rPr>
                <w:rStyle w:val="Style10"/>
                <w:rFonts w:eastAsia="標楷體" w:ascii="Times New Roman" w:hAnsi="Times New Roman"/>
                <w:bCs/>
                <w:sz w:val="28"/>
                <w:szCs w:val="24"/>
              </w:rPr>
              <w:t>3</w:t>
            </w:r>
            <w:r>
              <w:rPr>
                <w:rStyle w:val="Style10"/>
                <w:rFonts w:ascii="Times New Roman" w:hAnsi="Times New Roman" w:eastAsia="標楷體"/>
                <w:bCs/>
                <w:sz w:val="28"/>
                <w:szCs w:val="24"/>
              </w:rPr>
              <w:t>個月修正</w:t>
            </w:r>
            <w:r>
              <w:rPr>
                <w:rStyle w:val="Style10"/>
                <w:rFonts w:eastAsia="標楷體" w:ascii="Times New Roman" w:hAnsi="Times New Roman"/>
                <w:bCs/>
                <w:sz w:val="28"/>
                <w:szCs w:val="24"/>
              </w:rPr>
              <w:t>1</w:t>
            </w:r>
            <w:r>
              <w:rPr>
                <w:rStyle w:val="Style10"/>
                <w:rFonts w:ascii="Times New Roman" w:hAnsi="Times New Roman" w:eastAsia="標楷體"/>
                <w:bCs/>
                <w:sz w:val="28"/>
                <w:szCs w:val="24"/>
              </w:rPr>
              <w:t>次。</w:t>
            </w:r>
          </w:p>
          <w:p>
            <w:pPr>
              <w:pStyle w:val="BodyText"/>
              <w:numPr>
                <w:ilvl w:val="0"/>
                <w:numId w:val="17"/>
              </w:numPr>
              <w:tabs>
                <w:tab w:val="clear" w:pos="480"/>
                <w:tab w:val="left" w:pos="653" w:leader="none"/>
              </w:tabs>
              <w:snapToGrid w:val="false"/>
              <w:spacing w:lineRule="atLeast" w:line="240"/>
              <w:ind w:left="653" w:hanging="480"/>
              <w:jc w:val="both"/>
              <w:rPr/>
            </w:pPr>
            <w:r>
              <w:rPr>
                <w:rStyle w:val="Style10"/>
                <w:rFonts w:ascii="Times New Roman" w:hAnsi="Times New Roman" w:eastAsia="標楷體"/>
                <w:sz w:val="28"/>
                <w:szCs w:val="24"/>
              </w:rPr>
              <w:t>學員均有其主責復健訓練之工作人員。</w:t>
            </w:r>
          </w:p>
          <w:p>
            <w:pPr>
              <w:pStyle w:val="BodyText"/>
              <w:tabs>
                <w:tab w:val="clear" w:pos="480"/>
              </w:tabs>
              <w:snapToGrid w:val="false"/>
              <w:spacing w:lineRule="atLeast" w:line="240"/>
              <w:ind w:left="332" w:hanging="361"/>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256" w:hanging="283"/>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before="0" w:after="108"/>
              <w:ind w:left="226" w:hanging="226"/>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pacing w:lineRule="atLeast" w:line="240"/>
              <w:jc w:val="both"/>
              <w:rPr/>
            </w:pPr>
            <w:r>
              <w:rPr>
                <w:rStyle w:val="Style10"/>
                <w:rFonts w:ascii="Times New Roman" w:hAnsi="Times New Roman" w:eastAsia="標楷體"/>
                <w:sz w:val="28"/>
                <w:szCs w:val="24"/>
              </w:rPr>
              <w:t>學員的「復健評估」應與復健目標、計畫密切連貫，如：評估結果發現學員個人衛生差，則應有相關訓練計畫。</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eastAsia="標楷體" w:ascii="Times New Roman" w:hAnsi="Times New Roman"/>
                <w:sz w:val="28"/>
                <w:szCs w:val="24"/>
              </w:rPr>
              <w:t>2.3</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提供社區生活化之多元復健服務</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運用社區生活化之多元復健服務，讓學員實地體驗學習，以逐步達成各項復健目標。</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，且結合運用社區資源。</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：依據個別化之復健目標及計畫，提供社區生活所需之多元復健服務。</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：未完全符合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398" w:hanging="398"/>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2.4</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活動妥善規劃並定期修正</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機構能依學員需求提供個別或團體復健活動並定期修正，以達成正向之復元結果。</w:t>
            </w:r>
          </w:p>
          <w:p>
            <w:pPr>
              <w:pStyle w:val="BodyText"/>
              <w:tabs>
                <w:tab w:val="clear" w:pos="480"/>
              </w:tabs>
              <w:snapToGrid w:val="false"/>
              <w:spacing w:lineRule="atLeast" w:line="240" w:before="72" w:after="72"/>
              <w:ind w:left="448" w:hanging="44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before="72" w:after="72"/>
              <w:ind w:left="476" w:hanging="476"/>
              <w:rPr/>
            </w:pPr>
            <w:r>
              <w:rPr>
                <w:rStyle w:val="Style10"/>
                <w:rFonts w:eastAsia="標楷體" w:ascii="Times New Roman" w:hAnsi="Times New Roman"/>
                <w:sz w:val="28"/>
                <w:szCs w:val="24"/>
              </w:rPr>
              <w:t>B</w:t>
            </w:r>
            <w:r>
              <w:rPr>
                <w:rStyle w:val="Style10"/>
                <w:rFonts w:ascii="Times New Roman" w:hAnsi="Times New Roman" w:eastAsia="標楷體"/>
                <w:sz w:val="28"/>
                <w:szCs w:val="24"/>
              </w:rPr>
              <w:t>：</w:t>
            </w:r>
          </w:p>
          <w:p>
            <w:pPr>
              <w:pStyle w:val="Style32"/>
              <w:numPr>
                <w:ilvl w:val="0"/>
                <w:numId w:val="18"/>
              </w:numPr>
              <w:tabs>
                <w:tab w:val="left" w:pos="960" w:leader="none"/>
              </w:tabs>
              <w:snapToGrid w:val="false"/>
              <w:spacing w:lineRule="atLeast" w:line="240" w:before="72" w:after="72"/>
              <w:ind w:left="960" w:hanging="785"/>
              <w:rPr/>
            </w:pPr>
            <w:r>
              <w:rPr>
                <w:rStyle w:val="Style10"/>
                <w:rFonts w:ascii="Times New Roman" w:hAnsi="Times New Roman" w:eastAsia="標楷體"/>
                <w:sz w:val="28"/>
                <w:szCs w:val="24"/>
                <w:lang w:val="en-US" w:eastAsia="zh-TW"/>
              </w:rPr>
              <w:t>符合</w:t>
            </w:r>
            <w:r>
              <w:rPr>
                <w:rStyle w:val="Style10"/>
                <w:rFonts w:eastAsia="標楷體" w:ascii="Times New Roman" w:hAnsi="Times New Roman"/>
                <w:sz w:val="28"/>
                <w:szCs w:val="24"/>
                <w:lang w:val="en-US" w:eastAsia="zh-TW"/>
              </w:rPr>
              <w:t>C</w:t>
            </w:r>
            <w:r>
              <w:rPr>
                <w:rStyle w:val="Style10"/>
                <w:rFonts w:ascii="Times New Roman" w:hAnsi="Times New Roman" w:eastAsia="標楷體"/>
                <w:sz w:val="28"/>
                <w:szCs w:val="24"/>
                <w:lang w:val="en-US" w:eastAsia="zh-TW"/>
              </w:rPr>
              <w:t>，且定結合運用社區資源提供各項活動。</w:t>
            </w:r>
          </w:p>
          <w:p>
            <w:pPr>
              <w:pStyle w:val="Style32"/>
              <w:numPr>
                <w:ilvl w:val="0"/>
                <w:numId w:val="18"/>
              </w:numPr>
              <w:tabs>
                <w:tab w:val="left" w:pos="960" w:leader="none"/>
              </w:tabs>
              <w:snapToGrid w:val="false"/>
              <w:spacing w:lineRule="atLeast" w:line="240" w:before="72" w:after="72"/>
              <w:ind w:left="960" w:hanging="785"/>
              <w:rPr/>
            </w:pPr>
            <w:r>
              <w:rPr>
                <w:rStyle w:val="Style10"/>
                <w:rFonts w:ascii="Times New Roman" w:hAnsi="Times New Roman" w:eastAsia="標楷體"/>
                <w:sz w:val="28"/>
                <w:szCs w:val="24"/>
                <w:lang w:val="en-US" w:eastAsia="zh-TW"/>
              </w:rPr>
              <w:t>依學員復健目標達成狀況，適度修正計畫，並調整復健活動內容。</w:t>
            </w:r>
          </w:p>
          <w:p>
            <w:pPr>
              <w:pStyle w:val="BodyText"/>
              <w:tabs>
                <w:tab w:val="clear" w:pos="480"/>
              </w:tabs>
              <w:snapToGrid w:val="false"/>
              <w:spacing w:lineRule="atLeast" w:line="240" w:before="72" w:after="72"/>
              <w:ind w:left="462" w:hanging="462"/>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w:t>
            </w:r>
            <w:r>
              <w:rPr>
                <w:rStyle w:val="Style10"/>
                <w:rFonts w:eastAsia="標楷體" w:ascii="Times New Roman" w:hAnsi="Times New Roman"/>
                <w:sz w:val="28"/>
                <w:szCs w:val="24"/>
              </w:rPr>
              <w:t>2.1</w:t>
            </w:r>
            <w:r>
              <w:rPr>
                <w:rStyle w:val="Style10"/>
                <w:rFonts w:ascii="Times New Roman" w:hAnsi="Times New Roman" w:eastAsia="標楷體"/>
                <w:sz w:val="28"/>
                <w:szCs w:val="24"/>
              </w:rPr>
              <w:t>「復健評估」結果：</w:t>
            </w:r>
          </w:p>
          <w:p>
            <w:pPr>
              <w:pStyle w:val="Style32"/>
              <w:numPr>
                <w:ilvl w:val="0"/>
                <w:numId w:val="19"/>
              </w:numPr>
              <w:tabs>
                <w:tab w:val="left" w:pos="960" w:leader="none"/>
              </w:tabs>
              <w:snapToGrid w:val="false"/>
              <w:spacing w:lineRule="atLeast" w:line="240" w:before="72" w:after="72"/>
              <w:ind w:left="960" w:hanging="785"/>
              <w:rPr/>
            </w:pPr>
            <w:r>
              <w:rPr>
                <w:rStyle w:val="Style10"/>
                <w:rFonts w:ascii="Times New Roman" w:hAnsi="Times New Roman" w:eastAsia="標楷體"/>
                <w:sz w:val="28"/>
                <w:szCs w:val="24"/>
                <w:lang w:val="en-US" w:eastAsia="zh-TW"/>
              </w:rPr>
              <w:t>活動安排符合不同功能學員之需求。</w:t>
            </w:r>
          </w:p>
          <w:p>
            <w:pPr>
              <w:pStyle w:val="Style32"/>
              <w:numPr>
                <w:ilvl w:val="0"/>
                <w:numId w:val="19"/>
              </w:numPr>
              <w:tabs>
                <w:tab w:val="left" w:pos="960" w:leader="none"/>
              </w:tabs>
              <w:snapToGrid w:val="false"/>
              <w:spacing w:lineRule="atLeast" w:line="240" w:before="72" w:after="72"/>
              <w:ind w:left="960" w:hanging="785"/>
              <w:rPr/>
            </w:pPr>
            <w:r>
              <w:rPr>
                <w:rStyle w:val="Style10"/>
                <w:rFonts w:ascii="Times New Roman" w:hAnsi="Times New Roman" w:eastAsia="標楷體"/>
                <w:sz w:val="28"/>
                <w:szCs w:val="24"/>
                <w:lang w:val="en-US" w:eastAsia="zh-TW"/>
              </w:rPr>
              <w:t>有各項團體活動計畫書。</w:t>
            </w:r>
          </w:p>
          <w:p>
            <w:pPr>
              <w:pStyle w:val="BodyText"/>
              <w:tabs>
                <w:tab w:val="clear" w:pos="480"/>
              </w:tabs>
              <w:snapToGrid w:val="false"/>
              <w:spacing w:lineRule="atLeast" w:line="240" w:before="72" w:after="72"/>
              <w:ind w:left="560" w:hanging="56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72" w:after="72"/>
              <w:ind w:left="370" w:hanging="37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2.5</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提供健康促進活動</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應定期提供健康促進活動以促進學員身體健康，並預防代謝症候群及心血管疾病。</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，且引導鼓勵學員自主規劃安排健康促進活動及執行健康自主管理。</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w:t>
            </w:r>
          </w:p>
          <w:p>
            <w:pPr>
              <w:pStyle w:val="Style32"/>
              <w:numPr>
                <w:ilvl w:val="0"/>
                <w:numId w:val="20"/>
              </w:numPr>
              <w:tabs>
                <w:tab w:val="left" w:pos="939" w:leader="none"/>
              </w:tabs>
              <w:snapToGrid w:val="false"/>
              <w:spacing w:lineRule="atLeast" w:line="240"/>
              <w:ind w:left="939" w:hanging="764"/>
              <w:jc w:val="both"/>
              <w:rPr/>
            </w:pPr>
            <w:r>
              <w:rPr>
                <w:rStyle w:val="Style10"/>
                <w:rFonts w:ascii="Times New Roman" w:hAnsi="Times New Roman" w:eastAsia="標楷體"/>
                <w:sz w:val="28"/>
                <w:szCs w:val="24"/>
                <w:lang w:val="en-US" w:eastAsia="zh-TW"/>
              </w:rPr>
              <w:t>活動設計符合學員體能及健康狀況。</w:t>
            </w:r>
          </w:p>
          <w:p>
            <w:pPr>
              <w:pStyle w:val="Style32"/>
              <w:numPr>
                <w:ilvl w:val="0"/>
                <w:numId w:val="20"/>
              </w:numPr>
              <w:tabs>
                <w:tab w:val="left" w:pos="939" w:leader="none"/>
              </w:tabs>
              <w:snapToGrid w:val="false"/>
              <w:spacing w:lineRule="atLeast" w:line="240"/>
              <w:ind w:left="939" w:hanging="764"/>
              <w:jc w:val="both"/>
              <w:rPr/>
            </w:pPr>
            <w:r>
              <w:rPr>
                <w:rStyle w:val="Style10"/>
                <w:rFonts w:ascii="Times New Roman" w:hAnsi="Times New Roman" w:eastAsia="標楷體"/>
                <w:sz w:val="28"/>
                <w:szCs w:val="24"/>
                <w:lang w:val="en-US" w:eastAsia="zh-TW"/>
              </w:rPr>
              <w:t>結合運用社區資源，規劃多樣且多元健康促進活動供學員選擇參加。</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w:t>
            </w:r>
            <w:r>
              <w:rPr>
                <w:rStyle w:val="Style10"/>
                <w:rFonts w:eastAsia="標楷體" w:ascii="Times New Roman" w:hAnsi="Times New Roman"/>
                <w:sz w:val="28"/>
                <w:szCs w:val="24"/>
              </w:rPr>
              <w:t>2.1</w:t>
            </w:r>
            <w:r>
              <w:rPr>
                <w:rStyle w:val="Style10"/>
                <w:rFonts w:ascii="Times New Roman" w:hAnsi="Times New Roman" w:eastAsia="標楷體"/>
                <w:sz w:val="28"/>
                <w:szCs w:val="24"/>
              </w:rPr>
              <w:t>「復健評估」結果：</w:t>
            </w:r>
          </w:p>
          <w:p>
            <w:pPr>
              <w:pStyle w:val="Style32"/>
              <w:numPr>
                <w:ilvl w:val="0"/>
                <w:numId w:val="21"/>
              </w:numPr>
              <w:tabs>
                <w:tab w:val="left" w:pos="939" w:leader="none"/>
              </w:tabs>
              <w:snapToGrid w:val="false"/>
              <w:spacing w:lineRule="atLeast" w:line="240"/>
              <w:ind w:left="939" w:hanging="764"/>
              <w:jc w:val="both"/>
              <w:rPr/>
            </w:pPr>
            <w:r>
              <w:rPr>
                <w:rStyle w:val="Style10"/>
                <w:rFonts w:ascii="Times New Roman" w:hAnsi="Times New Roman" w:eastAsia="標楷體"/>
                <w:sz w:val="28"/>
                <w:szCs w:val="24"/>
                <w:lang w:val="en-US" w:eastAsia="zh-TW"/>
              </w:rPr>
              <w:t>充分運用機構內健身器材及社區運動設施，安排常態性體能活動。</w:t>
            </w:r>
          </w:p>
          <w:p>
            <w:pPr>
              <w:pStyle w:val="Style32"/>
              <w:numPr>
                <w:ilvl w:val="0"/>
                <w:numId w:val="21"/>
              </w:numPr>
              <w:tabs>
                <w:tab w:val="left" w:pos="939" w:leader="none"/>
              </w:tabs>
              <w:snapToGrid w:val="false"/>
              <w:spacing w:lineRule="atLeast" w:line="240"/>
              <w:ind w:left="939" w:hanging="764"/>
              <w:jc w:val="both"/>
              <w:rPr/>
            </w:pPr>
            <w:r>
              <w:rPr>
                <w:rStyle w:val="Style10"/>
                <w:rFonts w:ascii="Times New Roman" w:hAnsi="Times New Roman" w:eastAsia="標楷體"/>
                <w:sz w:val="28"/>
                <w:szCs w:val="24"/>
                <w:lang w:val="en-US" w:eastAsia="zh-TW"/>
              </w:rPr>
              <w:t>有鼓勵全員參與之具體作為。</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ind w:right="-72" w:hanging="0"/>
              <w:rPr>
                <w:rFonts w:ascii="Times New Roman" w:hAnsi="Times New Roman" w:eastAsia="標楷體"/>
                <w:sz w:val="28"/>
                <w:szCs w:val="28"/>
              </w:rPr>
            </w:pPr>
            <w:r>
              <w:rPr>
                <w:rFonts w:eastAsia="標楷體" w:ascii="Times New Roman" w:hAnsi="Times New Roman"/>
                <w:sz w:val="28"/>
                <w:szCs w:val="28"/>
              </w:rPr>
              <w:t>2.6</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提供工作復健訓練及轉銜服務</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0"/>
              <w:jc w:val="center"/>
              <w:rPr>
                <w:rFonts w:ascii="Times New Roman" w:hAnsi="Times New Roman" w:eastAsia="標楷體"/>
                <w:sz w:val="28"/>
                <w:szCs w:val="24"/>
              </w:rPr>
            </w:pPr>
            <w:r>
              <w:rPr>
                <w:rFonts w:eastAsia="標楷體" w:ascii="Times New Roman" w:hAnsi="Times New Roman"/>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機構提供與生活相關之工作復健訓練及轉銜服務，以逐步培養良好之工作態度、習慣與能力。</w:t>
            </w:r>
          </w:p>
          <w:p>
            <w:pPr>
              <w:pStyle w:val="BodyText"/>
              <w:numPr>
                <w:ilvl w:val="0"/>
                <w:numId w:val="22"/>
              </w:numPr>
              <w:tabs>
                <w:tab w:val="clear" w:pos="480"/>
                <w:tab w:val="left" w:pos="480" w:leader="none"/>
              </w:tabs>
              <w:snapToGrid w:val="false"/>
              <w:spacing w:lineRule="atLeast" w:line="240"/>
              <w:ind w:left="480" w:hanging="785"/>
              <w:rPr/>
            </w:pPr>
            <w:r>
              <w:rPr>
                <w:rStyle w:val="Style10"/>
                <w:rFonts w:ascii="Times New Roman" w:hAnsi="Times New Roman" w:eastAsia="標楷體"/>
                <w:sz w:val="28"/>
                <w:szCs w:val="24"/>
              </w:rPr>
              <w:t>工作復健訓練如：清潔維護、烹飪及備餐、清潔餐具、接待與總機、採購、信件收發、求職技巧、產業訓練、電腦文書處理、環保分類、園藝、居家電器修理等。</w:t>
            </w:r>
          </w:p>
          <w:p>
            <w:pPr>
              <w:pStyle w:val="BodyText"/>
              <w:numPr>
                <w:ilvl w:val="0"/>
                <w:numId w:val="22"/>
              </w:numPr>
              <w:tabs>
                <w:tab w:val="clear" w:pos="480"/>
                <w:tab w:val="left" w:pos="480" w:leader="none"/>
              </w:tabs>
              <w:snapToGrid w:val="false"/>
              <w:spacing w:lineRule="atLeast" w:line="240"/>
              <w:ind w:left="480" w:hanging="785"/>
              <w:rPr/>
            </w:pPr>
            <w:r>
              <w:rPr>
                <w:rStyle w:val="Style10"/>
                <w:rFonts w:ascii="Times New Roman" w:hAnsi="Times New Roman" w:eastAsia="標楷體"/>
                <w:sz w:val="28"/>
                <w:szCs w:val="24"/>
              </w:rPr>
              <w:t>轉銜服務如：轉介職業輔導評量、職業訓練、就業服務、追蹤輔導、職務再設計、創業輔導及其他轉銜服務等。</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ind w:left="448" w:hanging="448"/>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，且結合運用社區資源，提供多樣選擇之多元工作訓練內容及轉銜服務。</w:t>
            </w:r>
          </w:p>
          <w:p>
            <w:pPr>
              <w:pStyle w:val="BodyText"/>
              <w:tabs>
                <w:tab w:val="clear" w:pos="480"/>
              </w:tabs>
              <w:snapToGrid w:val="false"/>
              <w:spacing w:lineRule="atLeast" w:line="240"/>
              <w:ind w:left="448" w:hanging="448"/>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w:t>
            </w:r>
            <w:r>
              <w:rPr>
                <w:rStyle w:val="Style10"/>
                <w:rFonts w:eastAsia="標楷體" w:ascii="Times New Roman" w:hAnsi="Times New Roman"/>
                <w:sz w:val="28"/>
                <w:szCs w:val="24"/>
              </w:rPr>
              <w:t>2.1</w:t>
            </w:r>
            <w:r>
              <w:rPr>
                <w:rStyle w:val="Style10"/>
                <w:rFonts w:ascii="Times New Roman" w:hAnsi="Times New Roman" w:eastAsia="標楷體"/>
                <w:sz w:val="28"/>
                <w:szCs w:val="24"/>
              </w:rPr>
              <w:t>「職業功能」評估結果及個人需求，提供適切、階段性之工作復健訓練及轉銜服務，並有紀錄。</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2.7</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pPr>
            <w:r>
              <w:rPr>
                <w:rStyle w:val="Style10"/>
                <w:rFonts w:ascii="Times New Roman" w:hAnsi="Times New Roman" w:eastAsia="標楷體"/>
                <w:sz w:val="28"/>
                <w:szCs w:val="24"/>
              </w:rPr>
              <w:t>定期生活諮詢及心理輔導</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sz w:val="28"/>
                <w:szCs w:val="24"/>
              </w:rPr>
            </w:pPr>
            <w:r>
              <w:rPr>
                <w:rFonts w:eastAsia="標楷體" w:ascii="Times New Roman" w:hAnsi="Times New Roman"/>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專業人員應定期與學員討論復健目標達成情形，以促進學員復健動機及社區適應能力。</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ind w:left="420" w:hanging="420"/>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，且能與復健計畫結合，並能對會談內容追蹤與檢討。</w:t>
            </w:r>
          </w:p>
          <w:p>
            <w:pPr>
              <w:pStyle w:val="BodyText"/>
              <w:tabs>
                <w:tab w:val="clear" w:pos="480"/>
              </w:tabs>
              <w:snapToGrid w:val="false"/>
              <w:spacing w:lineRule="atLeast" w:line="240"/>
              <w:ind w:left="448" w:hanging="448"/>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23"/>
              </w:numPr>
              <w:tabs>
                <w:tab w:val="clear" w:pos="480"/>
                <w:tab w:val="left" w:pos="1112" w:leader="none"/>
              </w:tabs>
              <w:snapToGrid w:val="false"/>
              <w:spacing w:lineRule="atLeast" w:line="240"/>
              <w:ind w:left="1112" w:hanging="764"/>
              <w:rPr/>
            </w:pPr>
            <w:r>
              <w:rPr>
                <w:rStyle w:val="Style10"/>
                <w:rFonts w:ascii="Times New Roman" w:hAnsi="Times New Roman" w:eastAsia="標楷體"/>
                <w:sz w:val="28"/>
                <w:szCs w:val="24"/>
              </w:rPr>
              <w:t>主責專業人員應考量學員個別復健需求，每月至少</w:t>
            </w:r>
            <w:r>
              <w:rPr>
                <w:rStyle w:val="Style10"/>
                <w:rFonts w:eastAsia="標楷體" w:ascii="Times New Roman" w:hAnsi="Times New Roman"/>
                <w:sz w:val="28"/>
                <w:szCs w:val="24"/>
              </w:rPr>
              <w:t>1</w:t>
            </w:r>
            <w:r>
              <w:rPr>
                <w:rStyle w:val="Style10"/>
                <w:rFonts w:ascii="Times New Roman" w:hAnsi="Times New Roman" w:eastAsia="標楷體"/>
                <w:sz w:val="28"/>
                <w:szCs w:val="24"/>
              </w:rPr>
              <w:t>次，與學員會談，並有紀錄。</w:t>
            </w:r>
          </w:p>
          <w:p>
            <w:pPr>
              <w:pStyle w:val="BodyText"/>
              <w:numPr>
                <w:ilvl w:val="0"/>
                <w:numId w:val="23"/>
              </w:numPr>
              <w:tabs>
                <w:tab w:val="clear" w:pos="480"/>
                <w:tab w:val="left" w:pos="1112" w:leader="none"/>
              </w:tabs>
              <w:snapToGrid w:val="false"/>
              <w:spacing w:lineRule="atLeast" w:line="240"/>
              <w:ind w:left="1112" w:hanging="764"/>
              <w:rPr/>
            </w:pPr>
            <w:r>
              <w:rPr>
                <w:rStyle w:val="Style10"/>
                <w:rFonts w:ascii="Times New Roman" w:hAnsi="Times New Roman" w:eastAsia="標楷體"/>
                <w:kern w:val="0"/>
                <w:sz w:val="28"/>
                <w:szCs w:val="24"/>
              </w:rPr>
              <w:t>會談紀錄應包含具體目的、輔導內容與後續處理計畫。</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180" w:hanging="18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pacing w:lineRule="atLeast" w:line="240"/>
              <w:jc w:val="both"/>
              <w:rPr/>
            </w:pPr>
            <w:r>
              <w:rPr>
                <w:rStyle w:val="Style10"/>
                <w:rFonts w:eastAsia="標楷體" w:ascii="Times New Roman" w:hAnsi="Times New Roman"/>
                <w:sz w:val="28"/>
                <w:szCs w:val="24"/>
              </w:rPr>
              <w:t>49</w:t>
            </w:r>
            <w:r>
              <w:rPr>
                <w:rStyle w:val="Style10"/>
                <w:rFonts w:ascii="Times New Roman" w:hAnsi="Times New Roman" w:eastAsia="標楷體"/>
                <w:sz w:val="28"/>
                <w:szCs w:val="24"/>
              </w:rPr>
              <w:t>床以下機構，若專任管理人員有抵任兼任專業人員時數者，可執行專業性業務且相關紀錄可認列。</w:t>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2.8</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pPr>
            <w:r>
              <w:rPr>
                <w:rStyle w:val="Style10"/>
                <w:rFonts w:ascii="Times New Roman" w:hAnsi="Times New Roman" w:eastAsia="標楷體"/>
                <w:sz w:val="28"/>
                <w:szCs w:val="24"/>
              </w:rPr>
              <w:t>輔導規則就醫及藥物自我管理</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87" w:leader="none"/>
              </w:tabs>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輔導學員規則就醫及藥物自我管理，以減少疾病復發，並提升學員健康自主管理能力。</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，且有定期評估規則就醫及藥物自主管理訓練成果。</w:t>
            </w:r>
          </w:p>
          <w:p>
            <w:pPr>
              <w:pStyle w:val="BodyText"/>
              <w:tabs>
                <w:tab w:val="clear" w:pos="480"/>
              </w:tabs>
              <w:snapToGrid w:val="false"/>
              <w:spacing w:lineRule="atLeast" w:line="240"/>
              <w:ind w:left="448" w:hanging="448"/>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：應有輔導規則就醫及藥物自我管理訓練計畫，並落實執行。</w:t>
            </w:r>
          </w:p>
          <w:p>
            <w:pPr>
              <w:pStyle w:val="BodyText"/>
              <w:tabs>
                <w:tab w:val="clear" w:pos="480"/>
              </w:tabs>
              <w:snapToGrid w:val="false"/>
              <w:spacing w:lineRule="atLeast" w:line="240"/>
              <w:ind w:left="210" w:hanging="210"/>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180" w:hanging="180"/>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180" w:hanging="180"/>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pacing w:lineRule="atLeast" w:line="240"/>
              <w:jc w:val="both"/>
              <w:rPr/>
            </w:pPr>
            <w:r>
              <w:rPr>
                <w:rStyle w:val="Style10"/>
                <w:rFonts w:ascii="Times New Roman" w:hAnsi="Times New Roman" w:eastAsia="標楷體"/>
                <w:sz w:val="28"/>
                <w:szCs w:val="24"/>
              </w:rPr>
              <w:t>「輔導規則就醫及藥物自我管理訓練計畫」包含：規則就醫、認識藥物名稱、形狀、作用、排藥訓練及自我保管、按時服用等。</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2.9</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pPr>
            <w:r>
              <w:rPr>
                <w:rStyle w:val="Style10"/>
                <w:rFonts w:ascii="Times New Roman" w:hAnsi="Times New Roman" w:eastAsia="標楷體"/>
                <w:sz w:val="28"/>
                <w:szCs w:val="24"/>
              </w:rPr>
              <w:t>召開社區復健及適應討論會</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由專業人員召開適應討論會，運用團體動力及同儕支持，讓學員能共同面對及因應社區生活適應問題。</w:t>
            </w:r>
          </w:p>
          <w:p>
            <w:pPr>
              <w:pStyle w:val="BodyText"/>
              <w:tabs>
                <w:tab w:val="clear" w:pos="480"/>
              </w:tabs>
              <w:snapToGrid w:val="false"/>
              <w:spacing w:lineRule="atLeast" w:line="240"/>
              <w:ind w:left="420" w:hanging="420"/>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，且能定期檢討，成效良好。</w:t>
            </w:r>
          </w:p>
          <w:p>
            <w:pPr>
              <w:pStyle w:val="BodyText"/>
              <w:tabs>
                <w:tab w:val="clear" w:pos="480"/>
              </w:tabs>
              <w:snapToGrid w:val="false"/>
              <w:spacing w:lineRule="atLeast" w:line="240"/>
              <w:ind w:left="448" w:hanging="448"/>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，且每</w:t>
            </w:r>
            <w:r>
              <w:rPr>
                <w:rStyle w:val="Style10"/>
                <w:rFonts w:eastAsia="標楷體" w:ascii="Times New Roman" w:hAnsi="Times New Roman"/>
                <w:sz w:val="28"/>
                <w:szCs w:val="24"/>
              </w:rPr>
              <w:t>2</w:t>
            </w:r>
            <w:r>
              <w:rPr>
                <w:rStyle w:val="Style10"/>
                <w:rFonts w:ascii="Times New Roman" w:hAnsi="Times New Roman" w:eastAsia="標楷體"/>
                <w:sz w:val="28"/>
                <w:szCs w:val="24"/>
              </w:rPr>
              <w:t>週</w:t>
            </w:r>
            <w:r>
              <w:rPr>
                <w:rStyle w:val="Style10"/>
                <w:rFonts w:eastAsia="標楷體" w:ascii="Times New Roman" w:hAnsi="Times New Roman"/>
                <w:sz w:val="28"/>
                <w:szCs w:val="24"/>
              </w:rPr>
              <w:t>1</w:t>
            </w:r>
            <w:r>
              <w:rPr>
                <w:rStyle w:val="Style10"/>
                <w:rFonts w:ascii="Times New Roman" w:hAnsi="Times New Roman" w:eastAsia="標楷體"/>
                <w:sz w:val="28"/>
                <w:szCs w:val="24"/>
              </w:rPr>
              <w:t>次或團體不超過</w:t>
            </w:r>
            <w:r>
              <w:rPr>
                <w:rStyle w:val="Style10"/>
                <w:rFonts w:eastAsia="標楷體" w:ascii="Times New Roman" w:hAnsi="Times New Roman"/>
                <w:sz w:val="28"/>
                <w:szCs w:val="24"/>
              </w:rPr>
              <w:t>15</w:t>
            </w:r>
            <w:r>
              <w:rPr>
                <w:rStyle w:val="Style10"/>
                <w:rFonts w:ascii="Times New Roman" w:hAnsi="Times New Roman" w:eastAsia="標楷體"/>
                <w:sz w:val="28"/>
                <w:szCs w:val="24"/>
              </w:rPr>
              <w:t>人。</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24"/>
              </w:numPr>
              <w:tabs>
                <w:tab w:val="clear" w:pos="480"/>
                <w:tab w:val="left" w:pos="480" w:leader="none"/>
              </w:tabs>
              <w:snapToGrid w:val="false"/>
              <w:spacing w:lineRule="atLeast" w:line="240"/>
              <w:ind w:left="480" w:hanging="785"/>
              <w:rPr/>
            </w:pPr>
            <w:r>
              <w:rPr>
                <w:rStyle w:val="Style10"/>
                <w:rFonts w:ascii="Times New Roman" w:hAnsi="Times New Roman" w:eastAsia="標楷體"/>
                <w:sz w:val="28"/>
                <w:szCs w:val="24"/>
              </w:rPr>
              <w:t>學員每人至少每月參加</w:t>
            </w:r>
            <w:r>
              <w:rPr>
                <w:rStyle w:val="Style10"/>
                <w:rFonts w:eastAsia="標楷體" w:ascii="Times New Roman" w:hAnsi="Times New Roman"/>
                <w:sz w:val="28"/>
                <w:szCs w:val="24"/>
              </w:rPr>
              <w:t>1</w:t>
            </w:r>
            <w:r>
              <w:rPr>
                <w:rStyle w:val="Style10"/>
                <w:rFonts w:ascii="Times New Roman" w:hAnsi="Times New Roman" w:eastAsia="標楷體"/>
                <w:sz w:val="28"/>
                <w:szCs w:val="24"/>
              </w:rPr>
              <w:t>次，每次</w:t>
            </w:r>
            <w:r>
              <w:rPr>
                <w:rStyle w:val="Style10"/>
                <w:rFonts w:ascii="Times New Roman" w:hAnsi="Times New Roman" w:eastAsia="標楷體"/>
                <w:bCs/>
                <w:sz w:val="28"/>
                <w:szCs w:val="24"/>
              </w:rPr>
              <w:t>至少需達</w:t>
            </w:r>
            <w:r>
              <w:rPr>
                <w:rStyle w:val="Style10"/>
                <w:rFonts w:eastAsia="標楷體" w:ascii="Times New Roman" w:hAnsi="Times New Roman"/>
                <w:bCs/>
                <w:sz w:val="28"/>
                <w:szCs w:val="24"/>
              </w:rPr>
              <w:t>45</w:t>
            </w:r>
            <w:r>
              <w:rPr>
                <w:rStyle w:val="Style10"/>
                <w:rFonts w:ascii="Times New Roman" w:hAnsi="Times New Roman" w:eastAsia="標楷體"/>
                <w:bCs/>
                <w:sz w:val="28"/>
                <w:szCs w:val="24"/>
              </w:rPr>
              <w:t>分鐘</w:t>
            </w:r>
            <w:r>
              <w:rPr>
                <w:rStyle w:val="Style10"/>
                <w:rFonts w:ascii="Times New Roman" w:hAnsi="Times New Roman" w:eastAsia="標楷體"/>
                <w:sz w:val="28"/>
                <w:szCs w:val="24"/>
              </w:rPr>
              <w:t>。</w:t>
            </w:r>
          </w:p>
          <w:p>
            <w:pPr>
              <w:pStyle w:val="BodyText"/>
              <w:numPr>
                <w:ilvl w:val="0"/>
                <w:numId w:val="24"/>
              </w:numPr>
              <w:tabs>
                <w:tab w:val="clear" w:pos="480"/>
                <w:tab w:val="left" w:pos="480" w:leader="none"/>
              </w:tabs>
              <w:snapToGrid w:val="false"/>
              <w:spacing w:lineRule="atLeast" w:line="240"/>
              <w:ind w:left="480" w:hanging="785"/>
              <w:rPr/>
            </w:pPr>
            <w:r>
              <w:rPr>
                <w:rStyle w:val="Style10"/>
                <w:rFonts w:ascii="Times New Roman" w:hAnsi="Times New Roman" w:eastAsia="標楷體"/>
                <w:sz w:val="28"/>
                <w:szCs w:val="24"/>
              </w:rPr>
              <w:t>團體人數不超過</w:t>
            </w:r>
            <w:r>
              <w:rPr>
                <w:rStyle w:val="Style10"/>
                <w:rFonts w:eastAsia="標楷體" w:ascii="Times New Roman" w:hAnsi="Times New Roman"/>
                <w:sz w:val="28"/>
                <w:szCs w:val="24"/>
              </w:rPr>
              <w:t>30</w:t>
            </w:r>
            <w:r>
              <w:rPr>
                <w:rStyle w:val="Style10"/>
                <w:rFonts w:ascii="Times New Roman" w:hAnsi="Times New Roman" w:eastAsia="標楷體"/>
                <w:sz w:val="28"/>
                <w:szCs w:val="24"/>
              </w:rPr>
              <w:t>人，若學員超過</w:t>
            </w:r>
            <w:r>
              <w:rPr>
                <w:rStyle w:val="Style10"/>
                <w:rFonts w:eastAsia="標楷體" w:ascii="Times New Roman" w:hAnsi="Times New Roman"/>
                <w:sz w:val="28"/>
                <w:szCs w:val="24"/>
              </w:rPr>
              <w:t>30</w:t>
            </w:r>
            <w:r>
              <w:rPr>
                <w:rStyle w:val="Style10"/>
                <w:rFonts w:ascii="Times New Roman" w:hAnsi="Times New Roman" w:eastAsia="標楷體"/>
                <w:sz w:val="28"/>
                <w:szCs w:val="24"/>
              </w:rPr>
              <w:t>人，則分團體進行。</w:t>
            </w:r>
          </w:p>
          <w:p>
            <w:pPr>
              <w:pStyle w:val="BodyText"/>
              <w:numPr>
                <w:ilvl w:val="0"/>
                <w:numId w:val="24"/>
              </w:numPr>
              <w:tabs>
                <w:tab w:val="clear" w:pos="480"/>
                <w:tab w:val="left" w:pos="480" w:leader="none"/>
              </w:tabs>
              <w:snapToGrid w:val="false"/>
              <w:spacing w:lineRule="atLeast" w:line="240"/>
              <w:ind w:left="480" w:hanging="785"/>
              <w:rPr/>
            </w:pPr>
            <w:r>
              <w:rPr>
                <w:rStyle w:val="Style10"/>
                <w:rFonts w:ascii="Times New Roman" w:hAnsi="Times New Roman" w:eastAsia="標楷體"/>
                <w:sz w:val="28"/>
                <w:szCs w:val="24"/>
              </w:rPr>
              <w:t>紀錄完整。</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rPr/>
            </w:pPr>
            <w:r>
              <w:rPr>
                <w:rStyle w:val="Style10"/>
                <w:rFonts w:ascii="Times New Roman" w:hAnsi="Times New Roman" w:eastAsia="標楷體"/>
                <w:sz w:val="28"/>
                <w:szCs w:val="24"/>
              </w:rPr>
              <w:t>生活適應議題如：感情婚姻、人際關係、謀職、工作適應、壓力處理、情緒管理、社區資源運用、興趣培養、健康維護及疾病復元等。</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2.10</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pPr>
            <w:r>
              <w:rPr>
                <w:rStyle w:val="Style10"/>
                <w:rFonts w:ascii="Times New Roman" w:hAnsi="Times New Roman" w:eastAsia="標楷體"/>
                <w:sz w:val="28"/>
                <w:szCs w:val="24"/>
              </w:rPr>
              <w:t>召開學員自治會議</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透過自治會議培養學員對自身權益與周遭環境事務的關心，並參與公共事務的決定，提升自我決策能力。</w:t>
            </w:r>
          </w:p>
          <w:p>
            <w:pPr>
              <w:pStyle w:val="BodyText"/>
              <w:tabs>
                <w:tab w:val="clear" w:pos="480"/>
              </w:tabs>
              <w:snapToGrid w:val="false"/>
              <w:spacing w:lineRule="atLeast" w:line="240"/>
              <w:ind w:left="420" w:hanging="420"/>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，且改善措施之成效良好。</w:t>
            </w:r>
          </w:p>
          <w:p>
            <w:pPr>
              <w:pStyle w:val="BodyText"/>
              <w:tabs>
                <w:tab w:val="clear" w:pos="480"/>
              </w:tabs>
              <w:snapToGrid w:val="false"/>
              <w:spacing w:lineRule="atLeast" w:line="240"/>
              <w:ind w:left="448" w:hanging="448"/>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，且每</w:t>
            </w:r>
            <w:r>
              <w:rPr>
                <w:rStyle w:val="Style10"/>
                <w:rFonts w:eastAsia="標楷體" w:ascii="Times New Roman" w:hAnsi="Times New Roman"/>
                <w:sz w:val="28"/>
                <w:szCs w:val="24"/>
              </w:rPr>
              <w:t>2</w:t>
            </w:r>
            <w:r>
              <w:rPr>
                <w:rStyle w:val="Style10"/>
                <w:rFonts w:ascii="Times New Roman" w:hAnsi="Times New Roman" w:eastAsia="標楷體"/>
                <w:sz w:val="28"/>
                <w:szCs w:val="24"/>
              </w:rPr>
              <w:t>週</w:t>
            </w:r>
            <w:r>
              <w:rPr>
                <w:rStyle w:val="Style10"/>
                <w:rFonts w:eastAsia="標楷體" w:ascii="Times New Roman" w:hAnsi="Times New Roman"/>
                <w:sz w:val="28"/>
                <w:szCs w:val="24"/>
              </w:rPr>
              <w:t>1</w:t>
            </w:r>
            <w:r>
              <w:rPr>
                <w:rStyle w:val="Style10"/>
                <w:rFonts w:ascii="Times New Roman" w:hAnsi="Times New Roman" w:eastAsia="標楷體"/>
                <w:sz w:val="28"/>
                <w:szCs w:val="24"/>
              </w:rPr>
              <w:t>次，能定期追蹤並提出改善措施。</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25"/>
              </w:numPr>
              <w:tabs>
                <w:tab w:val="clear" w:pos="480"/>
                <w:tab w:val="left" w:pos="1256" w:leader="none"/>
              </w:tabs>
              <w:snapToGrid w:val="false"/>
              <w:spacing w:lineRule="atLeast" w:line="240"/>
              <w:ind w:left="1256" w:hanging="764"/>
              <w:rPr/>
            </w:pPr>
            <w:r>
              <w:rPr>
                <w:rStyle w:val="Style10"/>
                <w:rFonts w:ascii="Times New Roman" w:hAnsi="Times New Roman" w:eastAsia="標楷體"/>
                <w:sz w:val="28"/>
                <w:szCs w:val="24"/>
              </w:rPr>
              <w:t>由學員擔任主席及記錄。</w:t>
            </w:r>
          </w:p>
          <w:p>
            <w:pPr>
              <w:pStyle w:val="BodyText"/>
              <w:numPr>
                <w:ilvl w:val="0"/>
                <w:numId w:val="25"/>
              </w:numPr>
              <w:tabs>
                <w:tab w:val="clear" w:pos="480"/>
                <w:tab w:val="left" w:pos="1256" w:leader="none"/>
              </w:tabs>
              <w:snapToGrid w:val="false"/>
              <w:spacing w:lineRule="atLeast" w:line="240"/>
              <w:ind w:left="1256" w:hanging="764"/>
              <w:rPr/>
            </w:pPr>
            <w:r>
              <w:rPr>
                <w:rStyle w:val="Style10"/>
                <w:rFonts w:ascii="Times New Roman" w:hAnsi="Times New Roman" w:eastAsia="標楷體"/>
                <w:sz w:val="28"/>
                <w:szCs w:val="24"/>
              </w:rPr>
              <w:t>每人每月至少參加</w:t>
            </w:r>
            <w:r>
              <w:rPr>
                <w:rStyle w:val="Style10"/>
                <w:rFonts w:eastAsia="標楷體" w:ascii="Times New Roman" w:hAnsi="Times New Roman"/>
                <w:sz w:val="28"/>
                <w:szCs w:val="24"/>
              </w:rPr>
              <w:t>1</w:t>
            </w:r>
            <w:r>
              <w:rPr>
                <w:rStyle w:val="Style10"/>
                <w:rFonts w:ascii="Times New Roman" w:hAnsi="Times New Roman" w:eastAsia="標楷體"/>
                <w:sz w:val="28"/>
                <w:szCs w:val="24"/>
              </w:rPr>
              <w:t>次，每次至少</w:t>
            </w:r>
            <w:r>
              <w:rPr>
                <w:rStyle w:val="Style10"/>
                <w:rFonts w:eastAsia="標楷體" w:ascii="Times New Roman" w:hAnsi="Times New Roman"/>
                <w:sz w:val="28"/>
                <w:szCs w:val="24"/>
              </w:rPr>
              <w:t>45</w:t>
            </w:r>
            <w:r>
              <w:rPr>
                <w:rStyle w:val="Style10"/>
                <w:rFonts w:ascii="Times New Roman" w:hAnsi="Times New Roman" w:eastAsia="標楷體"/>
                <w:sz w:val="28"/>
                <w:szCs w:val="24"/>
              </w:rPr>
              <w:t>分鐘以上。</w:t>
            </w:r>
          </w:p>
          <w:p>
            <w:pPr>
              <w:pStyle w:val="BodyText"/>
              <w:numPr>
                <w:ilvl w:val="0"/>
                <w:numId w:val="25"/>
              </w:numPr>
              <w:tabs>
                <w:tab w:val="clear" w:pos="480"/>
                <w:tab w:val="left" w:pos="1256" w:leader="none"/>
              </w:tabs>
              <w:snapToGrid w:val="false"/>
              <w:spacing w:lineRule="atLeast" w:line="240"/>
              <w:ind w:left="1256" w:hanging="764"/>
              <w:rPr/>
            </w:pPr>
            <w:r>
              <w:rPr>
                <w:rStyle w:val="Style10"/>
                <w:rFonts w:ascii="Times New Roman" w:hAnsi="Times New Roman" w:eastAsia="標楷體"/>
                <w:sz w:val="28"/>
                <w:szCs w:val="24"/>
              </w:rPr>
              <w:t>團體人數不超過</w:t>
            </w:r>
            <w:r>
              <w:rPr>
                <w:rStyle w:val="Style10"/>
                <w:rFonts w:eastAsia="標楷體" w:ascii="Times New Roman" w:hAnsi="Times New Roman"/>
                <w:sz w:val="28"/>
                <w:szCs w:val="24"/>
              </w:rPr>
              <w:t>50</w:t>
            </w:r>
            <w:r>
              <w:rPr>
                <w:rStyle w:val="Style10"/>
                <w:rFonts w:ascii="Times New Roman" w:hAnsi="Times New Roman" w:eastAsia="標楷體"/>
                <w:sz w:val="28"/>
                <w:szCs w:val="24"/>
              </w:rPr>
              <w:t>人，若超過</w:t>
            </w:r>
            <w:r>
              <w:rPr>
                <w:rStyle w:val="Style10"/>
                <w:rFonts w:eastAsia="標楷體" w:ascii="Times New Roman" w:hAnsi="Times New Roman"/>
                <w:sz w:val="28"/>
                <w:szCs w:val="24"/>
              </w:rPr>
              <w:t>50</w:t>
            </w:r>
            <w:r>
              <w:rPr>
                <w:rStyle w:val="Style10"/>
                <w:rFonts w:ascii="Times New Roman" w:hAnsi="Times New Roman" w:eastAsia="標楷體"/>
                <w:sz w:val="28"/>
                <w:szCs w:val="24"/>
              </w:rPr>
              <w:t>人，則分團體進行</w:t>
            </w:r>
            <w:r>
              <w:rPr>
                <w:rStyle w:val="Style10"/>
                <w:rFonts w:ascii="Times New Roman" w:hAnsi="Times New Roman" w:eastAsia="標楷體"/>
                <w:bCs/>
                <w:sz w:val="28"/>
                <w:szCs w:val="24"/>
              </w:rPr>
              <w:t>。</w:t>
            </w:r>
          </w:p>
          <w:p>
            <w:pPr>
              <w:pStyle w:val="BodyText"/>
              <w:numPr>
                <w:ilvl w:val="0"/>
                <w:numId w:val="25"/>
              </w:numPr>
              <w:tabs>
                <w:tab w:val="clear" w:pos="480"/>
                <w:tab w:val="left" w:pos="1256" w:leader="none"/>
              </w:tabs>
              <w:snapToGrid w:val="false"/>
              <w:spacing w:lineRule="atLeast" w:line="240"/>
              <w:ind w:left="1256" w:hanging="764"/>
              <w:rPr/>
            </w:pPr>
            <w:r>
              <w:rPr>
                <w:rStyle w:val="Style10"/>
                <w:rFonts w:ascii="Times New Roman" w:hAnsi="Times New Roman" w:eastAsia="標楷體"/>
                <w:sz w:val="28"/>
                <w:szCs w:val="24"/>
              </w:rPr>
              <w:t>工作人員列席並有指導學員學習會議運作。</w:t>
            </w:r>
          </w:p>
          <w:p>
            <w:pPr>
              <w:pStyle w:val="BodyText"/>
              <w:numPr>
                <w:ilvl w:val="0"/>
                <w:numId w:val="25"/>
              </w:numPr>
              <w:tabs>
                <w:tab w:val="clear" w:pos="480"/>
                <w:tab w:val="left" w:pos="1256" w:leader="none"/>
              </w:tabs>
              <w:snapToGrid w:val="false"/>
              <w:spacing w:lineRule="atLeast" w:line="240"/>
              <w:ind w:left="1256" w:hanging="764"/>
              <w:rPr/>
            </w:pPr>
            <w:r>
              <w:rPr>
                <w:rStyle w:val="Style10"/>
                <w:rFonts w:ascii="Times New Roman" w:hAnsi="Times New Roman" w:eastAsia="標楷體"/>
                <w:bCs/>
                <w:sz w:val="28"/>
                <w:szCs w:val="24"/>
              </w:rPr>
              <w:t>紀錄有公告周知或傳閱。</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rPr/>
            </w:pPr>
            <w:r>
              <w:rPr>
                <w:rStyle w:val="Style10"/>
                <w:rFonts w:ascii="Times New Roman" w:hAnsi="Times New Roman" w:eastAsia="標楷體"/>
                <w:sz w:val="28"/>
                <w:szCs w:val="24"/>
              </w:rPr>
              <w:t>自治會議討論內容如：伙食、設施、設備、社區參與、復健活動安排、生活公約、學員權益、機構管理措施等。</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2.11</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pPr>
            <w:r>
              <w:rPr>
                <w:rStyle w:val="Style10"/>
                <w:rFonts w:ascii="Times New Roman" w:hAnsi="Times New Roman" w:eastAsia="標楷體"/>
                <w:sz w:val="28"/>
                <w:szCs w:val="28"/>
              </w:rPr>
              <w:t>提供學員家庭支持服務</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機構應提供多元管道，鼓勵並促進家屬在學員復元歷程中扮演正向角色，以提升學員復元力。</w:t>
            </w:r>
          </w:p>
          <w:p>
            <w:pPr>
              <w:pStyle w:val="BodyText"/>
              <w:tabs>
                <w:tab w:val="clear" w:pos="480"/>
              </w:tabs>
              <w:snapToGrid w:val="false"/>
              <w:spacing w:lineRule="atLeast" w:line="240" w:before="72" w:after="0"/>
              <w:ind w:left="448" w:hanging="44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ind w:left="448" w:hanging="448"/>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w:t>
            </w:r>
          </w:p>
          <w:p>
            <w:pPr>
              <w:pStyle w:val="BodyText"/>
              <w:numPr>
                <w:ilvl w:val="0"/>
                <w:numId w:val="26"/>
              </w:numPr>
              <w:tabs>
                <w:tab w:val="clear" w:pos="480"/>
                <w:tab w:val="left" w:pos="480" w:leader="none"/>
              </w:tabs>
              <w:snapToGrid w:val="false"/>
              <w:spacing w:lineRule="atLeast" w:line="240"/>
              <w:ind w:left="480" w:hanging="785"/>
              <w:rPr/>
            </w:pPr>
            <w:r>
              <w:rPr>
                <w:rStyle w:val="Style10"/>
                <w:rFonts w:ascii="Times New Roman" w:hAnsi="Times New Roman" w:eastAsia="標楷體"/>
                <w:sz w:val="28"/>
                <w:szCs w:val="24"/>
              </w:rPr>
              <w:t>有多元管道鼓勵家屬參與學員復健的具體作為。</w:t>
            </w:r>
          </w:p>
          <w:p>
            <w:pPr>
              <w:pStyle w:val="BodyText"/>
              <w:numPr>
                <w:ilvl w:val="0"/>
                <w:numId w:val="26"/>
              </w:numPr>
              <w:tabs>
                <w:tab w:val="clear" w:pos="480"/>
                <w:tab w:val="left" w:pos="480" w:leader="none"/>
              </w:tabs>
              <w:snapToGrid w:val="false"/>
              <w:spacing w:lineRule="atLeast" w:line="240"/>
              <w:ind w:left="480" w:hanging="785"/>
              <w:rPr/>
            </w:pPr>
            <w:r>
              <w:rPr>
                <w:rStyle w:val="Style10"/>
                <w:rFonts w:ascii="Times New Roman" w:hAnsi="Times New Roman" w:eastAsia="標楷體"/>
                <w:sz w:val="28"/>
                <w:szCs w:val="24"/>
              </w:rPr>
              <w:t>每半年舉辦</w:t>
            </w:r>
            <w:r>
              <w:rPr>
                <w:rStyle w:val="Style10"/>
                <w:rFonts w:eastAsia="標楷體" w:ascii="Times New Roman" w:hAnsi="Times New Roman"/>
                <w:sz w:val="28"/>
                <w:szCs w:val="24"/>
              </w:rPr>
              <w:t>1</w:t>
            </w:r>
            <w:r>
              <w:rPr>
                <w:rStyle w:val="Style10"/>
                <w:rFonts w:ascii="Times New Roman" w:hAnsi="Times New Roman" w:eastAsia="標楷體"/>
                <w:sz w:val="28"/>
                <w:szCs w:val="24"/>
              </w:rPr>
              <w:t>次家屬聯誼活動，全年度累計共有</w:t>
            </w:r>
            <w:r>
              <w:rPr>
                <w:rStyle w:val="Style10"/>
                <w:rFonts w:eastAsia="標楷體" w:ascii="Times New Roman" w:hAnsi="Times New Roman"/>
                <w:sz w:val="28"/>
                <w:szCs w:val="24"/>
              </w:rPr>
              <w:t>80%</w:t>
            </w:r>
            <w:r>
              <w:rPr>
                <w:rStyle w:val="Style10"/>
                <w:rFonts w:ascii="Times New Roman" w:hAnsi="Times New Roman" w:eastAsia="標楷體"/>
                <w:sz w:val="28"/>
                <w:szCs w:val="24"/>
              </w:rPr>
              <w:t>以上學員之家屬參加。</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C</w:t>
            </w:r>
            <w:r>
              <w:rPr>
                <w:rStyle w:val="Style10"/>
                <w:rFonts w:ascii="Times New Roman" w:hAnsi="Times New Roman" w:eastAsia="標楷體"/>
                <w:sz w:val="28"/>
                <w:szCs w:val="24"/>
              </w:rPr>
              <w:t>：根據</w:t>
            </w:r>
            <w:r>
              <w:rPr>
                <w:rStyle w:val="Style10"/>
                <w:rFonts w:eastAsia="標楷體" w:ascii="Times New Roman" w:hAnsi="Times New Roman"/>
                <w:sz w:val="28"/>
                <w:szCs w:val="24"/>
              </w:rPr>
              <w:t>2.1</w:t>
            </w:r>
            <w:r>
              <w:rPr>
                <w:rStyle w:val="Style10"/>
                <w:rFonts w:ascii="Times New Roman" w:hAnsi="Times New Roman" w:eastAsia="標楷體"/>
                <w:sz w:val="28"/>
                <w:szCs w:val="24"/>
              </w:rPr>
              <w:t>「家庭及社會支持系統」評估結果，</w:t>
            </w:r>
          </w:p>
          <w:p>
            <w:pPr>
              <w:pStyle w:val="BodyText"/>
              <w:numPr>
                <w:ilvl w:val="0"/>
                <w:numId w:val="27"/>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定期與家屬聯絡及討論學員復健情形，並備有紀錄。</w:t>
            </w:r>
          </w:p>
          <w:p>
            <w:pPr>
              <w:pStyle w:val="BodyText"/>
              <w:numPr>
                <w:ilvl w:val="0"/>
                <w:numId w:val="27"/>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至少每年舉辦</w:t>
            </w:r>
            <w:r>
              <w:rPr>
                <w:rStyle w:val="Style10"/>
                <w:rFonts w:eastAsia="標楷體" w:ascii="Times New Roman" w:hAnsi="Times New Roman"/>
                <w:sz w:val="28"/>
                <w:szCs w:val="24"/>
              </w:rPr>
              <w:t>1</w:t>
            </w:r>
            <w:r>
              <w:rPr>
                <w:rStyle w:val="Style10"/>
                <w:rFonts w:ascii="Times New Roman" w:hAnsi="Times New Roman" w:eastAsia="標楷體"/>
                <w:sz w:val="28"/>
                <w:szCs w:val="24"/>
              </w:rPr>
              <w:t>次家屬座談會或聯誼活動，全年度累計共有</w:t>
            </w:r>
            <w:r>
              <w:rPr>
                <w:rStyle w:val="Style10"/>
                <w:rFonts w:eastAsia="標楷體" w:ascii="Times New Roman" w:hAnsi="Times New Roman"/>
                <w:sz w:val="28"/>
                <w:szCs w:val="24"/>
              </w:rPr>
              <w:t>50%</w:t>
            </w:r>
            <w:r>
              <w:rPr>
                <w:rStyle w:val="Style10"/>
                <w:rFonts w:ascii="Times New Roman" w:hAnsi="Times New Roman" w:eastAsia="標楷體"/>
                <w:sz w:val="28"/>
                <w:szCs w:val="24"/>
              </w:rPr>
              <w:t>以上學員之家屬參加，並備有紀錄。</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263" w:hanging="263"/>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pacing w:lineRule="atLeast" w:line="240"/>
              <w:ind w:left="263" w:hanging="263"/>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計算有家屬之學員執行情形。</w:t>
            </w:r>
          </w:p>
          <w:p>
            <w:pPr>
              <w:pStyle w:val="BodyText"/>
              <w:tabs>
                <w:tab w:val="clear" w:pos="480"/>
              </w:tabs>
              <w:spacing w:lineRule="atLeast" w:line="240"/>
              <w:ind w:left="263" w:hanging="263"/>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參加人數比例為全年度累計，且同一學員之家屬不重複計算。</w:t>
            </w:r>
          </w:p>
          <w:p>
            <w:pPr>
              <w:pStyle w:val="BodyText"/>
              <w:tabs>
                <w:tab w:val="clear" w:pos="480"/>
              </w:tabs>
              <w:spacing w:lineRule="atLeast" w:line="240"/>
              <w:ind w:left="238" w:hanging="238"/>
              <w:rPr/>
            </w:pPr>
            <w:r>
              <w:rPr>
                <w:rStyle w:val="Style10"/>
                <w:rFonts w:eastAsia="標楷體" w:ascii="Times New Roman" w:hAnsi="Times New Roman"/>
                <w:sz w:val="28"/>
                <w:szCs w:val="24"/>
              </w:rPr>
              <w:t>3.</w:t>
            </w:r>
            <w:r>
              <w:rPr>
                <w:rStyle w:val="Style10"/>
                <w:rFonts w:ascii="Times New Roman" w:hAnsi="Times New Roman" w:eastAsia="標楷體"/>
                <w:sz w:val="28"/>
                <w:szCs w:val="24"/>
              </w:rPr>
              <w:t>針對無家屬個案或家屬確實在國外，無法前來者，可於分母扣除。</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2.12</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before="72" w:after="108"/>
              <w:ind w:left="-72" w:right="-72" w:hanging="0"/>
              <w:rPr/>
            </w:pPr>
            <w:r>
              <w:rPr>
                <w:rStyle w:val="Style10"/>
                <w:rFonts w:ascii="Times New Roman" w:hAnsi="Times New Roman" w:eastAsia="標楷體"/>
                <w:sz w:val="28"/>
                <w:szCs w:val="28"/>
              </w:rPr>
              <w:t>社區融合</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sz w:val="28"/>
                <w:szCs w:val="24"/>
              </w:rPr>
            </w:pPr>
            <w:r>
              <w:rPr>
                <w:rFonts w:eastAsia="標楷體" w:ascii="Times New Roman" w:hAnsi="Times New Roman"/>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經由機構有意識的規劃，讓學員學習與鄰里或大社區互動，以提升學員自我價值，及社區的接納度。</w:t>
            </w:r>
          </w:p>
          <w:p>
            <w:pPr>
              <w:pStyle w:val="BodyText"/>
              <w:tabs>
                <w:tab w:val="clear" w:pos="480"/>
              </w:tabs>
              <w:snapToGrid w:val="false"/>
              <w:spacing w:lineRule="atLeast" w:line="240" w:before="0" w:after="72"/>
              <w:ind w:left="476" w:hanging="47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，且有具體成效。</w:t>
            </w:r>
          </w:p>
          <w:p>
            <w:pPr>
              <w:pStyle w:val="BodyText"/>
              <w:tabs>
                <w:tab w:val="clear" w:pos="480"/>
              </w:tabs>
              <w:snapToGrid w:val="false"/>
              <w:spacing w:lineRule="atLeast" w:line="240" w:before="0" w:after="72"/>
              <w:ind w:left="476" w:hanging="476"/>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，且能結合社區資源與辦理多元化融合活動。</w:t>
            </w:r>
          </w:p>
          <w:p>
            <w:pPr>
              <w:pStyle w:val="BodyText"/>
              <w:tabs>
                <w:tab w:val="clear" w:pos="480"/>
              </w:tabs>
              <w:snapToGrid w:val="false"/>
              <w:spacing w:lineRule="atLeast" w:line="240" w:before="0" w:after="72"/>
              <w:ind w:left="462" w:hanging="462"/>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：依據「復健評估」結果，</w:t>
            </w:r>
          </w:p>
          <w:p>
            <w:pPr>
              <w:pStyle w:val="BodyText"/>
              <w:numPr>
                <w:ilvl w:val="0"/>
                <w:numId w:val="28"/>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sz w:val="28"/>
              </w:rPr>
              <w:t>機構應訂有年度計畫，至少每年參與</w:t>
            </w:r>
            <w:r>
              <w:rPr>
                <w:rStyle w:val="Style16"/>
                <w:rFonts w:eastAsia="標楷體" w:ascii="Times New Roman" w:hAnsi="Times New Roman"/>
                <w:sz w:val="28"/>
              </w:rPr>
              <w:t>1</w:t>
            </w:r>
            <w:r>
              <w:rPr>
                <w:rStyle w:val="Style16"/>
                <w:rFonts w:ascii="Times New Roman" w:hAnsi="Times New Roman" w:eastAsia="標楷體"/>
                <w:sz w:val="28"/>
              </w:rPr>
              <w:t>次社區交流活動。</w:t>
            </w:r>
          </w:p>
          <w:p>
            <w:pPr>
              <w:pStyle w:val="BodyText"/>
              <w:numPr>
                <w:ilvl w:val="0"/>
                <w:numId w:val="28"/>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sz w:val="28"/>
              </w:rPr>
              <w:t>持續性參與社區服務。</w:t>
            </w:r>
          </w:p>
          <w:p>
            <w:pPr>
              <w:pStyle w:val="BodyText"/>
              <w:numPr>
                <w:ilvl w:val="0"/>
                <w:numId w:val="28"/>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sz w:val="28"/>
              </w:rPr>
              <w:t>學員參與社區融合規劃與執行。</w:t>
            </w:r>
          </w:p>
          <w:p>
            <w:pPr>
              <w:pStyle w:val="BodyText"/>
              <w:tabs>
                <w:tab w:val="clear" w:pos="480"/>
              </w:tabs>
              <w:snapToGrid w:val="false"/>
              <w:spacing w:lineRule="atLeast" w:line="240" w:before="72" w:after="72"/>
              <w:ind w:left="462" w:hanging="462"/>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72" w:after="72"/>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72" w:after="72"/>
              <w:ind w:left="462" w:hanging="462"/>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before="72" w:after="72"/>
              <w:jc w:val="both"/>
              <w:rPr/>
            </w:pPr>
            <w:r>
              <w:rPr>
                <w:rStyle w:val="Style10"/>
                <w:rFonts w:ascii="Times New Roman" w:hAnsi="Times New Roman" w:eastAsia="標楷體"/>
                <w:sz w:val="28"/>
                <w:szCs w:val="24"/>
              </w:rPr>
              <w:t>社區融合指除各類學員之社區復健活動之運用與結合社區資源外，並包括持續性辦理社區交流活動與社區服務。</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8"/>
              </w:rPr>
              <w:t>第</w:t>
            </w:r>
            <w:r>
              <w:rPr>
                <w:rStyle w:val="Style10"/>
                <w:rFonts w:eastAsia="標楷體" w:ascii="Times New Roman" w:hAnsi="Times New Roman"/>
                <w:sz w:val="28"/>
                <w:szCs w:val="28"/>
              </w:rPr>
              <w:t>3</w:t>
            </w:r>
            <w:r>
              <w:rPr>
                <w:rStyle w:val="Style10"/>
                <w:rFonts w:ascii="Times New Roman" w:hAnsi="Times New Roman" w:eastAsia="標楷體"/>
                <w:sz w:val="28"/>
                <w:szCs w:val="28"/>
              </w:rPr>
              <w:t>章</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rPr/>
            </w:pPr>
            <w:r>
              <w:rPr>
                <w:rStyle w:val="Style10"/>
                <w:rFonts w:ascii="Times New Roman" w:hAnsi="Times New Roman" w:eastAsia="標楷體"/>
                <w:sz w:val="28"/>
                <w:szCs w:val="24"/>
              </w:rPr>
              <w:t>服務品質</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before="72" w:after="108"/>
              <w:jc w:val="center"/>
              <w:rPr>
                <w:rFonts w:ascii="Times New Roman" w:hAnsi="Times New Roman" w:eastAsia="標楷體"/>
                <w:sz w:val="28"/>
                <w:szCs w:val="24"/>
              </w:rPr>
            </w:pPr>
            <w:r>
              <w:rPr>
                <w:rFonts w:eastAsia="標楷體" w:ascii="Times New Roman" w:hAnsi="Times New Roman"/>
                <w:sz w:val="28"/>
                <w:szCs w:val="24"/>
              </w:rPr>
              <w:t>29</w:t>
            </w:r>
          </w:p>
        </w:tc>
        <w:tc>
          <w:tcPr>
            <w:tcW w:w="6653"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240"/>
              <w:ind w:left="560" w:hanging="560"/>
              <w:jc w:val="both"/>
              <w:rPr/>
            </w:pPr>
            <w:r>
              <w:rPr>
                <w:rStyle w:val="Style10"/>
                <w:rFonts w:ascii="Times New Roman" w:hAnsi="Times New Roman" w:eastAsia="標楷體"/>
                <w:sz w:val="28"/>
                <w:szCs w:val="24"/>
              </w:rPr>
              <w:t>【重點說明】</w:t>
            </w:r>
          </w:p>
          <w:p>
            <w:pPr>
              <w:pStyle w:val="Style32"/>
              <w:numPr>
                <w:ilvl w:val="0"/>
                <w:numId w:val="29"/>
              </w:numPr>
              <w:tabs>
                <w:tab w:val="left" w:pos="677" w:leader="none"/>
              </w:tabs>
              <w:spacing w:lineRule="atLeast" w:line="240"/>
              <w:ind w:left="677" w:hanging="677"/>
              <w:jc w:val="both"/>
              <w:rPr/>
            </w:pPr>
            <w:r>
              <w:rPr>
                <w:rStyle w:val="Style10"/>
                <w:rFonts w:ascii="Times New Roman" w:hAnsi="Times New Roman" w:eastAsia="標楷體"/>
                <w:sz w:val="28"/>
                <w:szCs w:val="24"/>
                <w:lang w:val="en-US" w:eastAsia="zh-TW"/>
              </w:rPr>
              <w:t>復健服務品質的精進應深植於每日復健的常規中。為檢核機構的功能與復健績效，從工作人員執行業務依據的工作手冊、執行過程紀錄、復健成果的分析統計與檢討、學員權益的維護（相關法令的宣導、意見表達與申訴管道、出入自由、財務保管、健康維護等），均依</w:t>
            </w:r>
            <w:r>
              <w:rPr>
                <w:rStyle w:val="Style10"/>
                <w:rFonts w:eastAsia="標楷體" w:ascii="Times New Roman" w:hAnsi="Times New Roman"/>
                <w:sz w:val="28"/>
                <w:szCs w:val="24"/>
                <w:lang w:val="en-US" w:eastAsia="zh-TW"/>
              </w:rPr>
              <w:t>PDCA</w:t>
            </w:r>
            <w:r>
              <w:rPr>
                <w:rStyle w:val="Style10"/>
                <w:rFonts w:ascii="Times New Roman" w:hAnsi="Times New Roman" w:eastAsia="標楷體"/>
                <w:sz w:val="28"/>
                <w:szCs w:val="24"/>
                <w:lang w:val="en-US" w:eastAsia="zh-TW"/>
              </w:rPr>
              <w:t>的原則檢討。</w:t>
            </w:r>
          </w:p>
          <w:p>
            <w:pPr>
              <w:pStyle w:val="Style32"/>
              <w:numPr>
                <w:ilvl w:val="0"/>
                <w:numId w:val="29"/>
              </w:numPr>
              <w:tabs>
                <w:tab w:val="left" w:pos="677" w:leader="none"/>
              </w:tabs>
              <w:spacing w:lineRule="atLeast" w:line="240"/>
              <w:ind w:left="677" w:hanging="677"/>
              <w:jc w:val="both"/>
              <w:rPr/>
            </w:pPr>
            <w:r>
              <w:rPr>
                <w:rStyle w:val="Style10"/>
                <w:rFonts w:ascii="Times New Roman" w:hAnsi="Times New Roman" w:eastAsia="標楷體"/>
                <w:sz w:val="28"/>
                <w:szCs w:val="24"/>
                <w:lang w:val="en-US" w:eastAsia="zh-TW"/>
              </w:rPr>
              <w:t>日間型機構之管理方式應秉持復元理念與優勢觀點，在合作下鼓勵學員主動參與有意義之角色與活動，逐步擺脫疾病限制，讓生活更自主、更豐富且更有力量。</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3.1</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訂有工作手冊，並落實執行</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機構應訂有工作手冊，說明業務內容與工作流程，供員工據以執行，以確保服務品質。</w:t>
            </w:r>
          </w:p>
          <w:p>
            <w:pPr>
              <w:pStyle w:val="BodyText"/>
              <w:tabs>
                <w:tab w:val="clear" w:pos="480"/>
              </w:tabs>
              <w:snapToGrid w:val="false"/>
              <w:spacing w:lineRule="atLeast" w:line="240"/>
              <w:ind w:left="476" w:hanging="47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，且工作手冊詳盡完整並定期檢討及修正。</w:t>
            </w:r>
          </w:p>
          <w:p>
            <w:pPr>
              <w:pStyle w:val="BodyText"/>
              <w:tabs>
                <w:tab w:val="clear" w:pos="480"/>
              </w:tabs>
              <w:snapToGrid w:val="false"/>
              <w:spacing w:lineRule="atLeast" w:line="240"/>
              <w:ind w:left="476" w:hanging="476"/>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：訂有適切的工作手冊，並落實執行。</w:t>
            </w:r>
          </w:p>
          <w:p>
            <w:pPr>
              <w:pStyle w:val="BodyText"/>
              <w:tabs>
                <w:tab w:val="clear" w:pos="480"/>
              </w:tabs>
              <w:snapToGrid w:val="false"/>
              <w:spacing w:lineRule="atLeast" w:line="240" w:before="0" w:after="72"/>
              <w:ind w:left="370" w:hanging="370"/>
              <w:jc w:val="both"/>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p>
          <w:p>
            <w:pPr>
              <w:pStyle w:val="BodyText"/>
              <w:tabs>
                <w:tab w:val="clear" w:pos="480"/>
              </w:tabs>
              <w:snapToGrid w:val="false"/>
              <w:spacing w:lineRule="atLeast" w:line="240" w:before="0" w:after="72"/>
              <w:ind w:left="370" w:hanging="370"/>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before="0" w:after="72"/>
              <w:jc w:val="both"/>
              <w:rPr/>
            </w:pPr>
            <w:r>
              <w:rPr>
                <w:rStyle w:val="Style10"/>
                <w:rFonts w:ascii="Times New Roman" w:hAnsi="Times New Roman" w:eastAsia="標楷體"/>
                <w:sz w:val="28"/>
                <w:szCs w:val="24"/>
              </w:rPr>
              <w:t>手冊內容應明列機構理念、願景、任務、組織架構、各單位及人員業務職掌、收案及結案標準、學員權益維護、復健服務內容、重要工作流程、緊急事件通報聯繫窗口及權益維護辦法等資料。</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3.2</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訂定適當收案標準，並落實執行</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機構應依社區復健理念及所持經營理念，訂定並落實收案標準，並落實執行。</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，且訂有收案評估及檢討改善機制。</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：訂定適當收案標準且落實執行。</w:t>
            </w:r>
          </w:p>
          <w:p>
            <w:pPr>
              <w:pStyle w:val="BodyText"/>
              <w:tabs>
                <w:tab w:val="clear" w:pos="480"/>
              </w:tabs>
              <w:snapToGrid w:val="false"/>
              <w:spacing w:lineRule="atLeast" w:line="240" w:before="72" w:after="0"/>
              <w:ind w:left="224" w:hanging="224"/>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p>
        </w:tc>
      </w:tr>
      <w:tr>
        <w:trPr>
          <w:trHeight w:val="436" w:hRule="atLeast"/>
        </w:trPr>
        <w:tc>
          <w:tcPr>
            <w:tcW w:w="1075"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3.3</w:t>
            </w:r>
          </w:p>
        </w:tc>
        <w:tc>
          <w:tcPr>
            <w:tcW w:w="1664"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訂定適當結案標準，並落實執行</w:t>
            </w:r>
          </w:p>
        </w:tc>
        <w:tc>
          <w:tcPr>
            <w:tcW w:w="970"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3</w:t>
            </w:r>
          </w:p>
        </w:tc>
        <w:tc>
          <w:tcPr>
            <w:tcW w:w="6653" w:type="dxa"/>
            <w:vMerge w:val="restart"/>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機構應依社區復健理念，訂定並落實結案標準，以能正向發展復元力或合宜延續長期照顧。</w:t>
            </w:r>
          </w:p>
          <w:p>
            <w:pPr>
              <w:pStyle w:val="BodyText"/>
              <w:tabs>
                <w:tab w:val="clear" w:pos="480"/>
              </w:tabs>
              <w:snapToGrid w:val="false"/>
              <w:spacing w:lineRule="atLeast" w:line="240"/>
              <w:ind w:left="476" w:hanging="476"/>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w:t>
            </w:r>
            <w:r>
              <w:rPr>
                <w:rStyle w:val="Style10"/>
                <w:rFonts w:eastAsia="標楷體" w:ascii="Times New Roman" w:hAnsi="Times New Roman"/>
                <w:sz w:val="28"/>
                <w:szCs w:val="24"/>
              </w:rPr>
              <w:t>4</w:t>
            </w:r>
            <w:r>
              <w:rPr>
                <w:rStyle w:val="Style10"/>
                <w:rFonts w:ascii="Times New Roman" w:hAnsi="Times New Roman" w:eastAsia="標楷體"/>
                <w:sz w:val="28"/>
                <w:szCs w:val="24"/>
              </w:rPr>
              <w:t>年內有</w:t>
            </w:r>
            <w:r>
              <w:rPr>
                <w:rStyle w:val="Style10"/>
                <w:rFonts w:eastAsia="標楷體" w:ascii="Times New Roman" w:hAnsi="Times New Roman"/>
                <w:sz w:val="28"/>
                <w:szCs w:val="24"/>
              </w:rPr>
              <w:t>20%</w:t>
            </w:r>
            <w:r>
              <w:rPr>
                <w:rStyle w:val="Style10"/>
                <w:rFonts w:ascii="Times New Roman" w:hAnsi="Times New Roman" w:eastAsia="標楷體"/>
                <w:sz w:val="28"/>
                <w:szCs w:val="24"/>
              </w:rPr>
              <w:t>以上學員功能進步，並結案回歸社區生活。</w:t>
            </w:r>
          </w:p>
          <w:p>
            <w:pPr>
              <w:pStyle w:val="BodyText"/>
              <w:tabs>
                <w:tab w:val="clear" w:pos="480"/>
              </w:tabs>
              <w:snapToGrid w:val="false"/>
              <w:spacing w:lineRule="atLeast" w:line="240"/>
              <w:ind w:left="476" w:hanging="476"/>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w:t>
            </w:r>
            <w:r>
              <w:rPr>
                <w:rStyle w:val="Style10"/>
                <w:rFonts w:eastAsia="標楷體" w:ascii="Times New Roman" w:hAnsi="Times New Roman"/>
                <w:sz w:val="28"/>
                <w:szCs w:val="24"/>
              </w:rPr>
              <w:t>4</w:t>
            </w:r>
            <w:r>
              <w:rPr>
                <w:rStyle w:val="Style10"/>
                <w:rFonts w:ascii="Times New Roman" w:hAnsi="Times New Roman" w:eastAsia="標楷體"/>
                <w:sz w:val="28"/>
                <w:szCs w:val="24"/>
              </w:rPr>
              <w:t>年內有</w:t>
            </w:r>
            <w:r>
              <w:rPr>
                <w:rStyle w:val="Style10"/>
                <w:rFonts w:eastAsia="標楷體" w:ascii="Times New Roman" w:hAnsi="Times New Roman"/>
                <w:sz w:val="28"/>
                <w:szCs w:val="24"/>
              </w:rPr>
              <w:t>10%</w:t>
            </w:r>
            <w:r>
              <w:rPr>
                <w:rStyle w:val="Style10"/>
                <w:rFonts w:ascii="Times New Roman" w:hAnsi="Times New Roman" w:eastAsia="標楷體"/>
                <w:sz w:val="28"/>
                <w:szCs w:val="24"/>
              </w:rPr>
              <w:t>以上學員功能進步，結案回歸社區生活，並有實際經復健後，成功就學、就業之案例。</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r>
              <w:rPr>
                <w:rStyle w:val="Style10"/>
                <w:rFonts w:ascii="Times New Roman" w:hAnsi="Times New Roman" w:eastAsia="標楷體"/>
                <w:bCs/>
                <w:sz w:val="28"/>
                <w:szCs w:val="24"/>
              </w:rPr>
              <w:t>訂有結案標準並確實執行。</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napToGrid w:val="false"/>
              <w:spacing w:lineRule="atLeast" w:line="240"/>
              <w:ind w:left="224" w:hanging="224"/>
              <w:rPr/>
            </w:pPr>
            <w:r>
              <w:rPr>
                <w:rStyle w:val="Style10"/>
                <w:rFonts w:eastAsia="標楷體" w:ascii="Times New Roman" w:hAnsi="Times New Roman"/>
                <w:sz w:val="28"/>
                <w:szCs w:val="24"/>
              </w:rPr>
              <w:t>1.</w:t>
            </w:r>
            <w:r>
              <w:rPr>
                <w:rStyle w:val="Style10"/>
                <w:rFonts w:ascii="Times New Roman" w:hAnsi="Times New Roman" w:eastAsia="標楷體"/>
                <w:sz w:val="28"/>
                <w:szCs w:val="24"/>
              </w:rPr>
              <w:t>回歸社區生活定義：生活功能已可自我照顧、分擔家務、就學、就業可返家或獨立生活者。</w:t>
            </w:r>
          </w:p>
          <w:p>
            <w:pPr>
              <w:pStyle w:val="BodyText"/>
              <w:tabs>
                <w:tab w:val="clear" w:pos="480"/>
              </w:tabs>
              <w:snapToGrid w:val="false"/>
              <w:spacing w:lineRule="atLeast" w:line="240"/>
              <w:ind w:left="210" w:hanging="210"/>
              <w:rPr/>
            </w:pPr>
            <w:r>
              <w:rPr>
                <w:rStyle w:val="Style10"/>
                <w:rFonts w:eastAsia="標楷體" w:ascii="Times New Roman" w:hAnsi="Times New Roman"/>
                <w:sz w:val="28"/>
                <w:szCs w:val="24"/>
              </w:rPr>
              <w:t>2.</w:t>
            </w:r>
            <w:r>
              <w:rPr>
                <w:rStyle w:val="Style10"/>
                <w:rFonts w:ascii="Times New Roman" w:hAnsi="Times New Roman" w:eastAsia="標楷體"/>
                <w:sz w:val="28"/>
                <w:szCs w:val="24"/>
              </w:rPr>
              <w:t>結案比例</w:t>
            </w:r>
            <w:r>
              <w:rPr>
                <w:rStyle w:val="Style10"/>
                <w:rFonts w:ascii="Times New Roman" w:hAnsi="Times New Roman" w:eastAsia="標楷體"/>
                <w:kern w:val="0"/>
                <w:sz w:val="28"/>
                <w:szCs w:val="24"/>
              </w:rPr>
              <w:t>計算方式：</w:t>
            </w:r>
          </w:p>
          <w:p>
            <w:pPr>
              <w:pStyle w:val="BodyText"/>
              <w:tabs>
                <w:tab w:val="clear" w:pos="480"/>
              </w:tabs>
              <w:snapToGrid w:val="false"/>
              <w:spacing w:lineRule="atLeast" w:line="240"/>
              <w:ind w:left="459" w:hanging="286"/>
              <w:rPr/>
            </w:pPr>
            <w:r>
              <w:rPr>
                <w:rStyle w:val="Style10"/>
                <w:rFonts w:eastAsia="標楷體" w:ascii="Times New Roman" w:hAnsi="Times New Roman"/>
                <w:sz w:val="28"/>
                <w:szCs w:val="24"/>
              </w:rPr>
              <w:t>(1)</w:t>
            </w:r>
            <w:r>
              <w:rPr>
                <w:rStyle w:val="Style10"/>
                <w:rFonts w:ascii="Times New Roman" w:hAnsi="Times New Roman" w:eastAsia="標楷體"/>
                <w:sz w:val="28"/>
                <w:szCs w:val="24"/>
              </w:rPr>
              <w:t>分子：</w:t>
            </w:r>
            <w:r>
              <w:rPr>
                <w:rStyle w:val="Style10"/>
                <w:rFonts w:eastAsia="標楷體" w:ascii="Times New Roman" w:hAnsi="Times New Roman"/>
                <w:sz w:val="28"/>
                <w:szCs w:val="24"/>
              </w:rPr>
              <w:t>4</w:t>
            </w:r>
            <w:r>
              <w:rPr>
                <w:rStyle w:val="Style10"/>
                <w:rFonts w:ascii="Times New Roman" w:hAnsi="Times New Roman" w:eastAsia="標楷體"/>
                <w:sz w:val="28"/>
                <w:szCs w:val="24"/>
              </w:rPr>
              <w:t>年內功能進步，並結案回歸社區生活之學員人次。</w:t>
            </w:r>
          </w:p>
          <w:p>
            <w:pPr>
              <w:pStyle w:val="BodyText"/>
              <w:tabs>
                <w:tab w:val="clear" w:pos="480"/>
              </w:tabs>
              <w:snapToGrid w:val="false"/>
              <w:spacing w:lineRule="atLeast" w:line="240" w:before="0" w:after="72"/>
              <w:ind w:left="459" w:hanging="286"/>
              <w:rPr/>
            </w:pPr>
            <w:r>
              <w:rPr>
                <w:rStyle w:val="Style10"/>
                <w:rFonts w:eastAsia="標楷體" w:ascii="Times New Roman" w:hAnsi="Times New Roman"/>
                <w:sz w:val="28"/>
                <w:szCs w:val="24"/>
              </w:rPr>
              <w:t>(2)</w:t>
            </w:r>
            <w:r>
              <w:rPr>
                <w:rStyle w:val="Style10"/>
                <w:rFonts w:ascii="Times New Roman" w:hAnsi="Times New Roman" w:eastAsia="標楷體"/>
                <w:sz w:val="28"/>
                <w:szCs w:val="24"/>
              </w:rPr>
              <w:t>分母：</w:t>
            </w:r>
            <w:r>
              <w:rPr>
                <w:rStyle w:val="Style10"/>
                <w:rFonts w:eastAsia="標楷體" w:ascii="Times New Roman" w:hAnsi="Times New Roman"/>
                <w:sz w:val="28"/>
                <w:szCs w:val="24"/>
              </w:rPr>
              <w:t>4</w:t>
            </w:r>
            <w:r>
              <w:rPr>
                <w:rStyle w:val="Style10"/>
                <w:rFonts w:ascii="Times New Roman" w:hAnsi="Times New Roman" w:eastAsia="標楷體"/>
                <w:sz w:val="28"/>
                <w:szCs w:val="24"/>
              </w:rPr>
              <w:t>年服務總人次。</w:t>
            </w:r>
          </w:p>
        </w:tc>
      </w:tr>
      <w:tr>
        <w:trPr>
          <w:trHeight w:val="538" w:hRule="atLeast"/>
        </w:trPr>
        <w:tc>
          <w:tcPr>
            <w:tcW w:w="1075"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64"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653"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3.4</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紀錄完整，並妥善管理</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240" w:hanging="240"/>
              <w:jc w:val="center"/>
              <w:rPr>
                <w:rFonts w:ascii="Times New Roman" w:hAnsi="Times New Roman" w:eastAsia="標楷體"/>
                <w:sz w:val="28"/>
                <w:szCs w:val="24"/>
              </w:rPr>
            </w:pPr>
            <w:r>
              <w:rPr>
                <w:rFonts w:eastAsia="標楷體" w:ascii="Times New Roman" w:hAnsi="Times New Roman"/>
                <w:sz w:val="28"/>
                <w:szCs w:val="24"/>
              </w:rPr>
              <w:t>4</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紀錄應完整並妥善管理，以能建構學員復元足跡。</w:t>
            </w:r>
          </w:p>
          <w:p>
            <w:pPr>
              <w:pStyle w:val="BodyText"/>
              <w:tabs>
                <w:tab w:val="clear" w:pos="480"/>
              </w:tabs>
              <w:snapToGrid w:val="false"/>
              <w:spacing w:lineRule="atLeast" w:line="240"/>
              <w:ind w:left="476" w:hanging="47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，且定期有量與質的審查。</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，且紀錄完整詳實。</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tabs>
                <w:tab w:val="clear" w:pos="480"/>
              </w:tabs>
              <w:snapToGrid w:val="false"/>
              <w:spacing w:lineRule="atLeast" w:line="240"/>
              <w:ind w:left="453" w:hanging="280"/>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紀錄應統整各專業之資料以呈現學員之復健情形。</w:t>
            </w:r>
          </w:p>
          <w:p>
            <w:pPr>
              <w:pStyle w:val="BodyText"/>
              <w:tabs>
                <w:tab w:val="clear" w:pos="480"/>
              </w:tabs>
              <w:snapToGrid w:val="false"/>
              <w:spacing w:lineRule="atLeast" w:line="240"/>
              <w:ind w:left="453" w:hanging="280"/>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訂有個案紀錄管理辦法，且落實執行。</w:t>
            </w:r>
          </w:p>
          <w:p>
            <w:pPr>
              <w:pStyle w:val="BodyText"/>
              <w:tabs>
                <w:tab w:val="clear" w:pos="480"/>
              </w:tabs>
              <w:snapToGrid w:val="false"/>
              <w:spacing w:lineRule="atLeast" w:line="240"/>
              <w:ind w:left="453" w:hanging="280"/>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具保密性措施。</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0" w:after="72"/>
              <w:ind w:left="448" w:hanging="448"/>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numPr>
                <w:ilvl w:val="0"/>
                <w:numId w:val="30"/>
              </w:numPr>
              <w:tabs>
                <w:tab w:val="clear" w:pos="480"/>
                <w:tab w:val="left" w:pos="797" w:leader="none"/>
              </w:tabs>
              <w:snapToGrid w:val="false"/>
              <w:spacing w:lineRule="atLeast" w:line="240" w:before="0" w:after="72"/>
              <w:ind w:left="797" w:hanging="797"/>
              <w:jc w:val="both"/>
              <w:rPr/>
            </w:pPr>
            <w:r>
              <w:rPr>
                <w:rStyle w:val="Style10"/>
                <w:rFonts w:ascii="Times New Roman" w:hAnsi="Times New Roman" w:eastAsia="標楷體"/>
                <w:sz w:val="28"/>
                <w:szCs w:val="24"/>
              </w:rPr>
              <w:t>紀錄應涵蓋評估結果、復健計畫、學員參與復健活動種類、內容、表現與進步情形。</w:t>
            </w:r>
          </w:p>
          <w:p>
            <w:pPr>
              <w:pStyle w:val="BodyText"/>
              <w:numPr>
                <w:ilvl w:val="0"/>
                <w:numId w:val="30"/>
              </w:numPr>
              <w:tabs>
                <w:tab w:val="clear" w:pos="480"/>
                <w:tab w:val="left" w:pos="797" w:leader="none"/>
              </w:tabs>
              <w:snapToGrid w:val="false"/>
              <w:spacing w:lineRule="atLeast" w:line="240" w:before="0" w:after="72"/>
              <w:ind w:left="797" w:hanging="797"/>
              <w:jc w:val="both"/>
              <w:rPr/>
            </w:pPr>
            <w:r>
              <w:rPr>
                <w:rStyle w:val="Style10"/>
                <w:rFonts w:ascii="Times New Roman" w:hAnsi="Times New Roman" w:eastAsia="標楷體"/>
                <w:sz w:val="28"/>
                <w:szCs w:val="24"/>
              </w:rPr>
              <w:t>個案紀錄管理辦法應包含精神復健機構設置及管理辦法第</w:t>
            </w:r>
            <w:r>
              <w:rPr>
                <w:rStyle w:val="Style10"/>
                <w:rFonts w:eastAsia="標楷體" w:ascii="Times New Roman" w:hAnsi="Times New Roman"/>
                <w:sz w:val="28"/>
                <w:szCs w:val="24"/>
              </w:rPr>
              <w:t>11</w:t>
            </w:r>
            <w:r>
              <w:rPr>
                <w:rStyle w:val="Style10"/>
                <w:rFonts w:ascii="Times New Roman" w:hAnsi="Times New Roman" w:eastAsia="標楷體"/>
                <w:sz w:val="28"/>
                <w:szCs w:val="24"/>
              </w:rPr>
              <w:t>條：機構內相關人員執行業務時，應製作紀錄。前項紀錄應指定適當場所及人員保管，並至少保存</w:t>
            </w:r>
            <w:r>
              <w:rPr>
                <w:rStyle w:val="Style10"/>
                <w:rFonts w:eastAsia="標楷體" w:ascii="Times New Roman" w:hAnsi="Times New Roman"/>
                <w:sz w:val="28"/>
                <w:szCs w:val="24"/>
              </w:rPr>
              <w:t>7</w:t>
            </w:r>
            <w:r>
              <w:rPr>
                <w:rStyle w:val="Style10"/>
                <w:rFonts w:ascii="Times New Roman" w:hAnsi="Times New Roman" w:eastAsia="標楷體"/>
                <w:sz w:val="28"/>
                <w:szCs w:val="24"/>
              </w:rPr>
              <w:t>年。但未成年者之紀錄，至少應保存至其成年後</w:t>
            </w:r>
            <w:r>
              <w:rPr>
                <w:rStyle w:val="Style10"/>
                <w:rFonts w:eastAsia="標楷體" w:ascii="Times New Roman" w:hAnsi="Times New Roman"/>
                <w:sz w:val="28"/>
                <w:szCs w:val="24"/>
              </w:rPr>
              <w:t>7</w:t>
            </w:r>
            <w:r>
              <w:rPr>
                <w:rStyle w:val="Style10"/>
                <w:rFonts w:ascii="Times New Roman" w:hAnsi="Times New Roman" w:eastAsia="標楷體"/>
                <w:sz w:val="28"/>
                <w:szCs w:val="24"/>
              </w:rPr>
              <w:t>年。對於逾保存期限紀錄，其銷燬方式應確保內容無洩漏之虞。機構因故未能繼續開業，其紀錄應交由承接者依規定保存，無承接者至少應繼續保存</w:t>
            </w:r>
            <w:r>
              <w:rPr>
                <w:rStyle w:val="Style10"/>
                <w:rFonts w:eastAsia="標楷體" w:ascii="Times New Roman" w:hAnsi="Times New Roman"/>
                <w:sz w:val="28"/>
                <w:szCs w:val="24"/>
              </w:rPr>
              <w:t>6</w:t>
            </w:r>
            <w:r>
              <w:rPr>
                <w:rStyle w:val="Style10"/>
                <w:rFonts w:ascii="Times New Roman" w:hAnsi="Times New Roman" w:eastAsia="標楷體"/>
                <w:sz w:val="28"/>
                <w:szCs w:val="24"/>
              </w:rPr>
              <w:t>個月以上，始得銷燬。</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3.5</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適切的復健基金管理</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機構應針對具有產值之工作訓練制訂合宜管理機制，以保障學員權益。</w:t>
            </w:r>
          </w:p>
          <w:p>
            <w:pPr>
              <w:pStyle w:val="BodyText"/>
              <w:tabs>
                <w:tab w:val="clear" w:pos="480"/>
              </w:tabs>
              <w:snapToGrid w:val="false"/>
              <w:spacing w:lineRule="atLeast" w:line="240" w:before="72" w:after="0"/>
              <w:ind w:left="448" w:hanging="44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，且至少</w:t>
            </w:r>
            <w:r>
              <w:rPr>
                <w:rStyle w:val="Style10"/>
                <w:rFonts w:eastAsia="標楷體" w:ascii="Times New Roman" w:hAnsi="Times New Roman"/>
                <w:sz w:val="28"/>
                <w:szCs w:val="24"/>
              </w:rPr>
              <w:t>3</w:t>
            </w:r>
            <w:r>
              <w:rPr>
                <w:rStyle w:val="Style10"/>
                <w:rFonts w:ascii="Times New Roman" w:hAnsi="Times New Roman" w:eastAsia="標楷體"/>
                <w:sz w:val="28"/>
                <w:szCs w:val="24"/>
              </w:rPr>
              <w:t>個月召開</w:t>
            </w:r>
            <w:r>
              <w:rPr>
                <w:rStyle w:val="Style10"/>
                <w:rFonts w:eastAsia="標楷體" w:ascii="Times New Roman" w:hAnsi="Times New Roman"/>
                <w:sz w:val="28"/>
                <w:szCs w:val="24"/>
              </w:rPr>
              <w:t>1</w:t>
            </w:r>
            <w:r>
              <w:rPr>
                <w:rStyle w:val="Style10"/>
                <w:rFonts w:ascii="Times New Roman" w:hAnsi="Times New Roman" w:eastAsia="標楷體"/>
                <w:sz w:val="28"/>
                <w:szCs w:val="24"/>
              </w:rPr>
              <w:t>次會議，可針對會議決議追蹤處理及檢討。</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31"/>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訂有復健基金管理要點，且成立管理委員會或小組，有學員代表參加。</w:t>
            </w:r>
          </w:p>
          <w:p>
            <w:pPr>
              <w:pStyle w:val="BodyText"/>
              <w:numPr>
                <w:ilvl w:val="0"/>
                <w:numId w:val="31"/>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復健基金應全數運用於學員所需，其中</w:t>
            </w:r>
            <w:r>
              <w:rPr>
                <w:rStyle w:val="Style10"/>
                <w:rFonts w:eastAsia="標楷體" w:ascii="Times New Roman" w:hAnsi="Times New Roman"/>
                <w:sz w:val="28"/>
                <w:szCs w:val="24"/>
              </w:rPr>
              <w:t>90%</w:t>
            </w:r>
            <w:r>
              <w:rPr>
                <w:rStyle w:val="Style10"/>
                <w:rFonts w:ascii="Times New Roman" w:hAnsi="Times New Roman" w:eastAsia="標楷體"/>
                <w:sz w:val="28"/>
                <w:szCs w:val="24"/>
              </w:rPr>
              <w:t>應列為工作獎勵，並按月發放。</w:t>
            </w:r>
          </w:p>
          <w:p>
            <w:pPr>
              <w:pStyle w:val="BodyText"/>
              <w:numPr>
                <w:ilvl w:val="0"/>
                <w:numId w:val="31"/>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應有獨立的收支明細表並每月公告。</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napToGrid w:val="false"/>
              <w:spacing w:lineRule="atLeast" w:line="240"/>
              <w:ind w:left="210" w:hanging="210"/>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復健治療扣除成本後之收入，如部分作為學員福利基金、活動團體、生產相關設備購置使用，可視為運用於學員。</w:t>
            </w:r>
          </w:p>
          <w:p>
            <w:pPr>
              <w:pStyle w:val="BodyText"/>
              <w:tabs>
                <w:tab w:val="clear" w:pos="480"/>
                <w:tab w:val="right" w:pos="5312" w:leader="none"/>
              </w:tabs>
              <w:snapToGrid w:val="false"/>
              <w:spacing w:lineRule="atLeast" w:line="240" w:before="0" w:after="72"/>
              <w:ind w:left="370" w:hanging="370"/>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收支明細表係指收支總帳之月報表。</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3.6</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5" w:hanging="0"/>
              <w:rPr/>
            </w:pPr>
            <w:r>
              <w:rPr>
                <w:rStyle w:val="Style10"/>
                <w:rFonts w:ascii="Times New Roman" w:hAnsi="Times New Roman" w:eastAsia="標楷體"/>
                <w:sz w:val="28"/>
                <w:szCs w:val="24"/>
              </w:rPr>
              <w:t>落實學員權益維護措施</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ind w:hanging="30"/>
              <w:jc w:val="both"/>
              <w:rPr/>
            </w:pPr>
            <w:r>
              <w:rPr>
                <w:rStyle w:val="Style10"/>
                <w:rFonts w:ascii="Times New Roman" w:hAnsi="Times New Roman" w:eastAsia="標楷體"/>
                <w:sz w:val="28"/>
                <w:szCs w:val="24"/>
              </w:rPr>
              <w:t>機構應落實學員權益維護措施，確保以人為中心之社區復健。</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落實精神衛生法有關權益之相關規定。</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訂有性騷擾防治辦法且確實教育學員周知。</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機構應依學員學習需求，提出維護教育權益的具體方法、策略，並納入個別化服務計畫執行且有紀錄。</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如需錄音或錄影需獲得學員同意，並有同意書。</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學員相關權益或公約規範有以學員易懂之文字描述且張貼於明顯處，內容以書面告知學員並有簽名。</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設施及設備應維護學員隱私。</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學員如擔任機構內之服務工作，如：備餐、外賓接待、清潔、文書工作等，應給予適當工作酬勞，並備有清冊。</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訂有申訴處理流程（註明主管機關申訴電話）。</w:t>
            </w:r>
          </w:p>
          <w:p>
            <w:pPr>
              <w:pStyle w:val="Style32"/>
              <w:numPr>
                <w:ilvl w:val="0"/>
                <w:numId w:val="32"/>
              </w:numPr>
              <w:tabs>
                <w:tab w:val="left" w:pos="660" w:leader="none"/>
              </w:tabs>
              <w:snapToGrid w:val="false"/>
              <w:spacing w:lineRule="atLeast" w:line="240"/>
              <w:ind w:left="660" w:hanging="656"/>
              <w:rPr/>
            </w:pPr>
            <w:r>
              <w:rPr>
                <w:rStyle w:val="Style10"/>
                <w:rFonts w:ascii="Times New Roman" w:hAnsi="Times New Roman" w:eastAsia="標楷體"/>
                <w:sz w:val="28"/>
                <w:szCs w:val="24"/>
                <w:lang w:val="en-US" w:eastAsia="zh-TW"/>
              </w:rPr>
              <w:t>收費標準及項目均經主管機關核定。</w:t>
            </w:r>
          </w:p>
          <w:p>
            <w:pPr>
              <w:pStyle w:val="BodyText"/>
              <w:tabs>
                <w:tab w:val="clear" w:pos="480"/>
              </w:tabs>
              <w:snapToGrid w:val="false"/>
              <w:spacing w:lineRule="atLeast" w:line="240" w:before="240" w:after="0"/>
              <w:ind w:left="397" w:hanging="42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，且能適度修正，並有成效良好之案例或措施。</w:t>
            </w:r>
          </w:p>
          <w:p>
            <w:pPr>
              <w:pStyle w:val="BodyText"/>
              <w:tabs>
                <w:tab w:val="clear" w:pos="480"/>
              </w:tabs>
              <w:snapToGrid w:val="false"/>
              <w:spacing w:lineRule="atLeast" w:line="240"/>
              <w:ind w:left="397" w:hanging="397"/>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：確實執行上述</w:t>
            </w:r>
            <w:r>
              <w:rPr>
                <w:rStyle w:val="Style10"/>
                <w:rFonts w:eastAsia="標楷體" w:ascii="Times New Roman" w:hAnsi="Times New Roman"/>
                <w:sz w:val="28"/>
                <w:szCs w:val="24"/>
              </w:rPr>
              <w:t>9</w:t>
            </w:r>
            <w:r>
              <w:rPr>
                <w:rStyle w:val="Style10"/>
                <w:rFonts w:ascii="Times New Roman" w:hAnsi="Times New Roman" w:eastAsia="標楷體"/>
                <w:sz w:val="28"/>
                <w:szCs w:val="24"/>
              </w:rPr>
              <w:t>項權益維護措施。</w:t>
            </w:r>
          </w:p>
          <w:p>
            <w:pPr>
              <w:pStyle w:val="BodyText"/>
              <w:tabs>
                <w:tab w:val="clear" w:pos="480"/>
              </w:tabs>
              <w:snapToGrid w:val="false"/>
              <w:spacing w:lineRule="atLeast" w:line="240" w:before="72" w:after="0"/>
              <w:ind w:left="462" w:hanging="462"/>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3.7</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落實學員健康維護措施</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3</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機構應訂定並落實健康維護措施，確保以健康為中心之社區復健。</w:t>
            </w:r>
          </w:p>
          <w:p>
            <w:pPr>
              <w:pStyle w:val="BodyText"/>
              <w:tabs>
                <w:tab w:val="clear" w:pos="480"/>
              </w:tabs>
              <w:snapToGrid w:val="false"/>
              <w:spacing w:lineRule="atLeast" w:line="240" w:before="72" w:after="0"/>
              <w:ind w:left="448" w:hanging="44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，且健康維護措施執行成效良好。</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收案時，應有基本健康檢查資料，且每年至少</w:t>
            </w:r>
            <w:r>
              <w:rPr>
                <w:rStyle w:val="Style10"/>
                <w:rFonts w:eastAsia="標楷體" w:ascii="Times New Roman" w:hAnsi="Times New Roman"/>
                <w:sz w:val="28"/>
                <w:szCs w:val="24"/>
              </w:rPr>
              <w:t>1</w:t>
            </w:r>
            <w:r>
              <w:rPr>
                <w:rStyle w:val="Style10"/>
                <w:rFonts w:ascii="Times New Roman" w:hAnsi="Times New Roman" w:eastAsia="標楷體"/>
                <w:sz w:val="28"/>
                <w:szCs w:val="24"/>
              </w:rPr>
              <w:t>次胸部</w:t>
            </w:r>
            <w:r>
              <w:rPr>
                <w:rStyle w:val="Style10"/>
                <w:rFonts w:eastAsia="標楷體" w:ascii="Times New Roman" w:hAnsi="Times New Roman"/>
                <w:sz w:val="28"/>
                <w:szCs w:val="24"/>
              </w:rPr>
              <w:t>X</w:t>
            </w:r>
            <w:r>
              <w:rPr>
                <w:rStyle w:val="Style10"/>
                <w:rFonts w:ascii="Times New Roman" w:hAnsi="Times New Roman" w:eastAsia="標楷體"/>
                <w:sz w:val="28"/>
                <w:szCs w:val="24"/>
              </w:rPr>
              <w:t>光檢查，並依全民健康保險成人健康檢查相關規範定期進行健康檢查。</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針對健康檢查異常結果進行追蹤處理。</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能配合政府健康政策施打疫苗。</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能配合政府照顧身心障礙者口腔衛生政策，有鼓勵學員每半年接受口腔健康檢查之措施。</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提供維持手部衛生所需設施。</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依疾病管制署規定人口密集機構傳染病監視通報。</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杯子、碗筷等個人物品應有防止共用或汙染之措施。</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機構應提供健康維護措施等相關宣導資料（含海報、衛教單張、簡報）。</w:t>
            </w:r>
          </w:p>
          <w:p>
            <w:pPr>
              <w:pStyle w:val="BodyText"/>
              <w:numPr>
                <w:ilvl w:val="0"/>
                <w:numId w:val="33"/>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參與例行性餐飲及食品製作之學員健康檢查另需包含</w:t>
            </w:r>
            <w:r>
              <w:rPr>
                <w:rStyle w:val="Style10"/>
                <w:rFonts w:eastAsia="標楷體" w:ascii="Times New Roman" w:hAnsi="Times New Roman"/>
                <w:sz w:val="28"/>
                <w:szCs w:val="24"/>
              </w:rPr>
              <w:t>A</w:t>
            </w:r>
            <w:r>
              <w:rPr>
                <w:rStyle w:val="Style10"/>
                <w:rFonts w:ascii="Times New Roman" w:hAnsi="Times New Roman" w:eastAsia="標楷體"/>
                <w:sz w:val="28"/>
                <w:szCs w:val="24"/>
              </w:rPr>
              <w:t>型肝炎、傷寒、桿菌痢疾及阿米巴痢疾。</w:t>
            </w:r>
          </w:p>
          <w:p>
            <w:pPr>
              <w:pStyle w:val="BodyText"/>
              <w:tabs>
                <w:tab w:val="clear" w:pos="480"/>
                <w:tab w:val="right" w:pos="5312" w:leader="none"/>
              </w:tabs>
              <w:snapToGrid w:val="false"/>
              <w:spacing w:lineRule="atLeast" w:line="240" w:before="0" w:after="72"/>
              <w:ind w:left="1" w:hanging="0"/>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3.8</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訂定處理緊急醫療及異常事件流程，並落實執行</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機構應訂定並落實處理緊急醫療及異常事件流程，確保以安全為中心之社區復健。</w:t>
            </w:r>
          </w:p>
          <w:p>
            <w:pPr>
              <w:pStyle w:val="BodyText"/>
              <w:tabs>
                <w:tab w:val="clear" w:pos="480"/>
              </w:tabs>
              <w:snapToGrid w:val="false"/>
              <w:spacing w:lineRule="atLeast" w:line="240"/>
              <w:ind w:left="420" w:hanging="420"/>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，且採取適當的預防及改善措施。</w:t>
            </w:r>
          </w:p>
          <w:p>
            <w:pPr>
              <w:pStyle w:val="BodyText"/>
              <w:tabs>
                <w:tab w:val="clear" w:pos="480"/>
              </w:tabs>
              <w:snapToGrid w:val="false"/>
              <w:spacing w:lineRule="atLeast" w:line="240"/>
              <w:ind w:left="420" w:hanging="420"/>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，且有定期檢討及統計分析。</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34"/>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依據各類緊急醫療及異常事件之不同特性，訂定適切之處理作業流程，並落實執行。</w:t>
            </w:r>
          </w:p>
          <w:p>
            <w:pPr>
              <w:pStyle w:val="BodyText"/>
              <w:numPr>
                <w:ilvl w:val="0"/>
                <w:numId w:val="34"/>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有工作人員急救訓練紀錄。</w:t>
            </w:r>
          </w:p>
          <w:p>
            <w:pPr>
              <w:pStyle w:val="BodyText"/>
              <w:numPr>
                <w:ilvl w:val="0"/>
                <w:numId w:val="34"/>
              </w:numPr>
              <w:tabs>
                <w:tab w:val="clear" w:pos="480"/>
                <w:tab w:val="left" w:pos="480" w:leader="none"/>
              </w:tabs>
              <w:snapToGrid w:val="false"/>
              <w:spacing w:lineRule="atLeast" w:line="240"/>
              <w:ind w:left="480" w:hanging="785"/>
              <w:jc w:val="both"/>
              <w:rPr/>
            </w:pPr>
            <w:r>
              <w:rPr>
                <w:rStyle w:val="Style10"/>
                <w:rFonts w:ascii="Times New Roman" w:hAnsi="Times New Roman" w:eastAsia="標楷體"/>
                <w:sz w:val="28"/>
                <w:szCs w:val="24"/>
              </w:rPr>
              <w:t xml:space="preserve">應協助疑似感染傳染病者儘速就醫，且應配帶口罩、手套 </w:t>
            </w:r>
            <w:r>
              <w:rPr>
                <w:rStyle w:val="Style10"/>
                <w:rFonts w:eastAsia="標楷體" w:ascii="Times New Roman" w:hAnsi="Times New Roman"/>
                <w:sz w:val="28"/>
                <w:szCs w:val="24"/>
              </w:rPr>
              <w:t>(</w:t>
            </w:r>
            <w:r>
              <w:rPr>
                <w:rStyle w:val="Style10"/>
                <w:rFonts w:ascii="Times New Roman" w:hAnsi="Times New Roman" w:eastAsia="標楷體"/>
                <w:sz w:val="28"/>
                <w:szCs w:val="24"/>
              </w:rPr>
              <w:t>視需要</w:t>
            </w:r>
            <w:r>
              <w:rPr>
                <w:rStyle w:val="Style10"/>
                <w:rFonts w:eastAsia="標楷體" w:ascii="Times New Roman" w:hAnsi="Times New Roman"/>
                <w:sz w:val="28"/>
                <w:szCs w:val="24"/>
              </w:rPr>
              <w:t>)</w:t>
            </w:r>
            <w:r>
              <w:rPr>
                <w:rStyle w:val="Style10"/>
                <w:rFonts w:ascii="Times New Roman" w:hAnsi="Times New Roman" w:eastAsia="標楷體"/>
                <w:sz w:val="28"/>
                <w:szCs w:val="24"/>
              </w:rPr>
              <w:t>，做好個人防護，並有紀錄。</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398" w:hanging="398"/>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before="72" w:after="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before="72" w:after="0"/>
              <w:rPr/>
            </w:pPr>
            <w:r>
              <w:rPr>
                <w:rStyle w:val="Style10"/>
                <w:rFonts w:ascii="Times New Roman" w:hAnsi="Times New Roman" w:eastAsia="標楷體"/>
                <w:sz w:val="28"/>
                <w:szCs w:val="24"/>
              </w:rPr>
              <w:t>緊急醫療與異常事件包含：失聯、攻擊事件、不當性行為、跌倒、意外傷害、群聚感染、自殺</w:t>
            </w:r>
            <w:r>
              <w:rPr>
                <w:rStyle w:val="Style10"/>
                <w:rFonts w:eastAsia="標楷體" w:ascii="Times New Roman" w:hAnsi="Times New Roman"/>
                <w:sz w:val="28"/>
                <w:szCs w:val="24"/>
              </w:rPr>
              <w:t>/</w:t>
            </w:r>
            <w:r>
              <w:rPr>
                <w:rStyle w:val="Style10"/>
                <w:rFonts w:ascii="Times New Roman" w:hAnsi="Times New Roman" w:eastAsia="標楷體"/>
                <w:sz w:val="28"/>
                <w:szCs w:val="24"/>
              </w:rPr>
              <w:t>自傷、酗酒、藥物濫用、賭博、偷竊等。</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3.9</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建立機構緊急應變管理機制並落實執行</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建構安全環境、訂定緊急應變機制並定期進行災害演練是降低機構因天然或人為意外造成危害的基本措施，應落實執行。</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，且依據演練檢討結果，修正緊急災害應變計畫及作業程序內容，以符合實際需要。</w:t>
            </w:r>
          </w:p>
          <w:p>
            <w:pPr>
              <w:pStyle w:val="BodyText"/>
              <w:snapToGrid w:val="false"/>
              <w:spacing w:lineRule="atLeast" w:line="240" w:before="72" w:after="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35"/>
              </w:numPr>
              <w:tabs>
                <w:tab w:val="left" w:pos="1223" w:leader="none"/>
              </w:tabs>
              <w:snapToGrid w:val="false"/>
              <w:spacing w:lineRule="atLeast" w:line="240" w:before="72" w:after="0"/>
              <w:ind w:left="1223" w:hanging="764"/>
              <w:jc w:val="both"/>
              <w:rPr/>
            </w:pPr>
            <w:r>
              <w:rPr>
                <w:rStyle w:val="Style10"/>
                <w:rFonts w:ascii="Times New Roman" w:hAnsi="Times New Roman" w:eastAsia="標楷體"/>
                <w:sz w:val="28"/>
                <w:szCs w:val="24"/>
                <w:lang w:val="en-US" w:eastAsia="zh-TW"/>
              </w:rPr>
              <w:t>依據緊急災害應變措施及檢查辦法，對於火災、風災、水災、地震等緊急災害，訂有符合機構特性與危機管理的緊急災害應變措施計畫及作業程序。</w:t>
            </w:r>
          </w:p>
          <w:p>
            <w:pPr>
              <w:pStyle w:val="Style32"/>
              <w:numPr>
                <w:ilvl w:val="0"/>
                <w:numId w:val="35"/>
              </w:numPr>
              <w:tabs>
                <w:tab w:val="left" w:pos="1223" w:leader="none"/>
              </w:tabs>
              <w:snapToGrid w:val="false"/>
              <w:spacing w:lineRule="atLeast" w:line="240" w:before="72" w:after="0"/>
              <w:ind w:left="1223" w:hanging="764"/>
              <w:jc w:val="both"/>
              <w:rPr/>
            </w:pPr>
            <w:r>
              <w:rPr>
                <w:rStyle w:val="Style10"/>
                <w:rFonts w:ascii="Times New Roman" w:hAnsi="Times New Roman" w:eastAsia="標楷體"/>
                <w:sz w:val="28"/>
                <w:szCs w:val="24"/>
                <w:lang w:val="en-US" w:eastAsia="zh-TW"/>
              </w:rPr>
              <w:t>有定期消防、天然災害演習及逃生訓練（備有紀錄）。</w:t>
            </w:r>
          </w:p>
          <w:p>
            <w:pPr>
              <w:pStyle w:val="BodyText"/>
              <w:tabs>
                <w:tab w:val="clear" w:pos="480"/>
              </w:tabs>
              <w:snapToGrid w:val="false"/>
              <w:spacing w:lineRule="atLeast" w:line="240" w:before="72" w:after="0"/>
              <w:ind w:left="462" w:hanging="462"/>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3.10</w:t>
            </w:r>
          </w:p>
        </w:tc>
        <w:tc>
          <w:tcPr>
            <w:tcW w:w="1664"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27" w:hanging="27"/>
              <w:rPr/>
            </w:pPr>
            <w:r>
              <w:rPr>
                <w:rStyle w:val="Style10"/>
                <w:rFonts w:ascii="Times New Roman" w:hAnsi="Times New Roman" w:eastAsia="標楷體"/>
                <w:sz w:val="28"/>
                <w:szCs w:val="24"/>
              </w:rPr>
              <w:t>召開品質管理相關會議</w:t>
            </w:r>
          </w:p>
        </w:tc>
        <w:tc>
          <w:tcPr>
            <w:tcW w:w="97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機構應召開品質管理相關會議，以維護服務品質。</w:t>
            </w:r>
          </w:p>
          <w:p>
            <w:pPr>
              <w:pStyle w:val="BodyText"/>
              <w:tabs>
                <w:tab w:val="clear" w:pos="480"/>
              </w:tabs>
              <w:snapToGrid w:val="false"/>
              <w:spacing w:lineRule="atLeast" w:line="240"/>
              <w:ind w:left="244" w:hanging="244"/>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ind w:left="244" w:hanging="244"/>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，且有追蹤及檢討改善措施。</w:t>
            </w:r>
          </w:p>
          <w:p>
            <w:pPr>
              <w:pStyle w:val="BodyText"/>
              <w:tabs>
                <w:tab w:val="clear" w:pos="480"/>
              </w:tabs>
              <w:snapToGrid w:val="false"/>
              <w:spacing w:lineRule="atLeast" w:line="240"/>
              <w:ind w:left="476" w:hanging="476"/>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36"/>
              </w:numPr>
              <w:tabs>
                <w:tab w:val="left" w:pos="1223" w:leader="none"/>
              </w:tabs>
              <w:snapToGrid w:val="false"/>
              <w:spacing w:lineRule="atLeast" w:line="240" w:before="72" w:after="0"/>
              <w:ind w:left="1223" w:hanging="764"/>
              <w:jc w:val="both"/>
              <w:rPr/>
            </w:pPr>
            <w:r>
              <w:rPr>
                <w:rStyle w:val="Style10"/>
                <w:rFonts w:ascii="Times New Roman" w:hAnsi="Times New Roman" w:eastAsia="標楷體"/>
                <w:sz w:val="28"/>
                <w:szCs w:val="24"/>
                <w:lang w:val="en-US" w:eastAsia="zh-TW"/>
              </w:rPr>
              <w:t>每月定期召開</w:t>
            </w:r>
            <w:r>
              <w:rPr>
                <w:rStyle w:val="Style10"/>
                <w:rFonts w:eastAsia="標楷體" w:ascii="Times New Roman" w:hAnsi="Times New Roman"/>
                <w:sz w:val="28"/>
                <w:szCs w:val="24"/>
                <w:lang w:val="en-US" w:eastAsia="zh-TW"/>
              </w:rPr>
              <w:t>1</w:t>
            </w:r>
            <w:r>
              <w:rPr>
                <w:rStyle w:val="Style10"/>
                <w:rFonts w:ascii="Times New Roman" w:hAnsi="Times New Roman" w:eastAsia="標楷體"/>
                <w:sz w:val="28"/>
                <w:szCs w:val="24"/>
                <w:lang w:val="en-US" w:eastAsia="zh-TW"/>
              </w:rPr>
              <w:t xml:space="preserve">次，且紀錄內容完整。 </w:t>
            </w:r>
          </w:p>
          <w:p>
            <w:pPr>
              <w:pStyle w:val="Style32"/>
              <w:numPr>
                <w:ilvl w:val="0"/>
                <w:numId w:val="36"/>
              </w:numPr>
              <w:tabs>
                <w:tab w:val="left" w:pos="1223" w:leader="none"/>
              </w:tabs>
              <w:snapToGrid w:val="false"/>
              <w:spacing w:lineRule="atLeast" w:line="240" w:before="72" w:after="0"/>
              <w:ind w:left="1223" w:hanging="764"/>
              <w:jc w:val="both"/>
              <w:rPr/>
            </w:pPr>
            <w:r>
              <w:rPr>
                <w:rStyle w:val="Style10"/>
                <w:rFonts w:ascii="Times New Roman" w:hAnsi="Times New Roman" w:eastAsia="標楷體"/>
                <w:sz w:val="28"/>
                <w:szCs w:val="24"/>
                <w:lang w:val="en-US" w:eastAsia="zh-TW"/>
              </w:rPr>
              <w:t>專業人員（含兼任人員）有參與品質管理相關會議。</w:t>
            </w:r>
          </w:p>
          <w:p>
            <w:pPr>
              <w:pStyle w:val="BodyText"/>
              <w:tabs>
                <w:tab w:val="clear" w:pos="480"/>
              </w:tabs>
              <w:spacing w:lineRule="atLeast" w:line="240"/>
              <w:ind w:left="459" w:hanging="459"/>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240"/>
              <w:ind w:left="244" w:hanging="244"/>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pacing w:lineRule="atLeast" w:line="240"/>
              <w:jc w:val="both"/>
              <w:rPr/>
            </w:pPr>
            <w:r>
              <w:rPr>
                <w:rStyle w:val="Style10"/>
                <w:rFonts w:ascii="Times New Roman" w:hAnsi="Times New Roman" w:eastAsia="標楷體"/>
                <w:sz w:val="28"/>
                <w:szCs w:val="24"/>
              </w:rPr>
              <w:t>品質管理相關會議內容包含：緊急醫療及異常事件、緊急應變管理機制、群聚感染、健康維護、申訴案件、工作流程、服務理念、復健服務成效、人員</w:t>
            </w:r>
            <w:r>
              <w:rPr>
                <w:rStyle w:val="Style10"/>
                <w:rFonts w:ascii="Times New Roman" w:hAnsi="Times New Roman" w:eastAsia="標楷體"/>
                <w:kern w:val="0"/>
                <w:sz w:val="28"/>
                <w:szCs w:val="24"/>
              </w:rPr>
              <w:t>訓練及管理</w:t>
            </w:r>
            <w:r>
              <w:rPr>
                <w:rStyle w:val="Style10"/>
                <w:rFonts w:ascii="Times New Roman" w:hAnsi="Times New Roman" w:eastAsia="標楷體"/>
                <w:sz w:val="28"/>
                <w:szCs w:val="24"/>
              </w:rPr>
              <w:t>等品質改善相關措施，且備有紀錄並能定期追蹤改善。</w:t>
            </w:r>
          </w:p>
        </w:tc>
      </w:tr>
      <w:tr>
        <w:trPr/>
        <w:tc>
          <w:tcPr>
            <w:tcW w:w="1075"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3.11</w:t>
            </w:r>
          </w:p>
        </w:tc>
        <w:tc>
          <w:tcPr>
            <w:tcW w:w="1664"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執行學員及家屬滿意度調查</w:t>
            </w:r>
          </w:p>
        </w:tc>
        <w:tc>
          <w:tcPr>
            <w:tcW w:w="97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sz w:val="28"/>
                <w:szCs w:val="24"/>
              </w:rPr>
              <w:t>2</w:t>
            </w:r>
          </w:p>
        </w:tc>
        <w:tc>
          <w:tcPr>
            <w:tcW w:w="6653" w:type="dxa"/>
            <w:tcBorders>
              <w:top w:val="single" w:sz="4" w:space="0" w:color="000000"/>
              <w:left w:val="single" w:sz="4" w:space="0" w:color="000000"/>
              <w:bottom w:val="single" w:sz="4" w:space="0" w:color="000000"/>
              <w:right w:val="single" w:sz="4" w:space="0" w:color="000000"/>
            </w:tcBorders>
          </w:tcPr>
          <w:p>
            <w:pPr>
              <w:pStyle w:val="BodyText"/>
              <w:spacing w:lineRule="atLeast" w:line="240"/>
              <w:jc w:val="both"/>
              <w:rPr/>
            </w:pPr>
            <w:r>
              <w:rPr>
                <w:rStyle w:val="Style10"/>
                <w:rFonts w:ascii="Times New Roman" w:hAnsi="Times New Roman" w:eastAsia="標楷體"/>
                <w:sz w:val="28"/>
                <w:szCs w:val="24"/>
              </w:rPr>
              <w:t>目的：</w:t>
            </w:r>
          </w:p>
          <w:p>
            <w:pPr>
              <w:pStyle w:val="BodyText"/>
              <w:spacing w:lineRule="atLeast" w:line="240"/>
              <w:jc w:val="both"/>
              <w:rPr/>
            </w:pPr>
            <w:r>
              <w:rPr>
                <w:rStyle w:val="Style10"/>
                <w:rFonts w:ascii="Times New Roman" w:hAnsi="Times New Roman" w:eastAsia="標楷體"/>
                <w:sz w:val="28"/>
                <w:szCs w:val="24"/>
              </w:rPr>
              <w:t>透過定期收集、檢討及改善學員與家屬對於機構服務、復健活動、設施設備等之意見，以有效提升服務品質。</w:t>
            </w:r>
          </w:p>
          <w:p>
            <w:pPr>
              <w:pStyle w:val="BodyText"/>
              <w:tabs>
                <w:tab w:val="clear" w:pos="480"/>
              </w:tabs>
              <w:snapToGrid w:val="false"/>
              <w:spacing w:lineRule="atLeast" w:line="240" w:before="72" w:after="0"/>
              <w:ind w:left="448" w:hanging="44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，且有具體成效。</w:t>
            </w:r>
          </w:p>
          <w:p>
            <w:pPr>
              <w:pStyle w:val="BodyText"/>
              <w:tabs>
                <w:tab w:val="clear" w:pos="480"/>
              </w:tabs>
              <w:snapToGrid w:val="false"/>
              <w:spacing w:lineRule="atLeast" w:line="240"/>
              <w:ind w:left="420" w:hanging="420"/>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，且有後續處理措施及紀錄。</w:t>
            </w:r>
          </w:p>
          <w:p>
            <w:pPr>
              <w:pStyle w:val="BodyText"/>
              <w:tabs>
                <w:tab w:val="clear" w:pos="480"/>
              </w:tabs>
              <w:snapToGrid w:val="false"/>
              <w:spacing w:lineRule="atLeast" w:line="240"/>
              <w:ind w:left="476" w:hanging="476"/>
              <w:rPr/>
            </w:pPr>
            <w:r>
              <w:rPr>
                <w:rStyle w:val="Style10"/>
                <w:rFonts w:eastAsia="標楷體" w:ascii="Times New Roman" w:hAnsi="Times New Roman"/>
                <w:sz w:val="28"/>
                <w:szCs w:val="24"/>
              </w:rPr>
              <w:t>C</w:t>
            </w:r>
            <w:r>
              <w:rPr>
                <w:rStyle w:val="Style10"/>
                <w:rFonts w:ascii="Times New Roman" w:hAnsi="Times New Roman" w:eastAsia="標楷體"/>
                <w:sz w:val="28"/>
                <w:szCs w:val="24"/>
              </w:rPr>
              <w:t>：每年至少進行</w:t>
            </w:r>
            <w:r>
              <w:rPr>
                <w:rStyle w:val="Style10"/>
                <w:rFonts w:eastAsia="標楷體" w:ascii="Times New Roman" w:hAnsi="Times New Roman"/>
                <w:sz w:val="28"/>
                <w:szCs w:val="24"/>
              </w:rPr>
              <w:t>1</w:t>
            </w:r>
            <w:r>
              <w:rPr>
                <w:rStyle w:val="Style10"/>
                <w:rFonts w:ascii="Times New Roman" w:hAnsi="Times New Roman" w:eastAsia="標楷體"/>
                <w:sz w:val="28"/>
                <w:szCs w:val="24"/>
              </w:rPr>
              <w:t>次學員及家屬滿意度調查，且有統計分析並將結果周知學員。</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bl>
    <w:p>
      <w:pPr>
        <w:sectPr>
          <w:footerReference w:type="default" r:id="rId5"/>
          <w:footerReference w:type="first" r:id="rId6"/>
          <w:type w:val="nextPage"/>
          <w:pgSz w:w="11907" w:h="16840"/>
          <w:pgMar w:left="720" w:right="720" w:gutter="0" w:header="0" w:top="851" w:footer="851" w:bottom="720"/>
          <w:pgNumType w:start="1" w:fmt="decimal"/>
          <w:formProt w:val="false"/>
          <w:textDirection w:val="lrTb"/>
          <w:docGrid w:type="default" w:linePitch="600" w:charSpace="40960"/>
        </w:sectPr>
      </w:pPr>
      <w:r>
        <w:br w:type="page"/>
      </w:r>
    </w:p>
    <w:p>
      <w:pPr>
        <w:pStyle w:val="BodyText"/>
        <w:spacing w:before="0" w:after="240"/>
        <w:jc w:val="center"/>
        <w:rPr/>
      </w:pPr>
      <w:r>
        <w:rPr>
          <w:rStyle w:val="Style10"/>
          <w:rFonts w:ascii="Times New Roman" w:hAnsi="Times New Roman" w:eastAsia="標楷體"/>
          <w:b/>
          <w:sz w:val="32"/>
          <w:szCs w:val="32"/>
        </w:rPr>
        <w:t>精神復健機構評鑑基準－住宿型機構</w:t>
      </w:r>
    </w:p>
    <w:tbl>
      <w:tblPr>
        <w:tblW w:w="5000" w:type="pct"/>
        <w:jc w:val="left"/>
        <w:tblInd w:w="-39" w:type="dxa"/>
        <w:tblLayout w:type="fixed"/>
        <w:tblCellMar>
          <w:top w:w="0" w:type="dxa"/>
          <w:left w:w="108" w:type="dxa"/>
          <w:bottom w:w="0" w:type="dxa"/>
          <w:right w:w="108" w:type="dxa"/>
        </w:tblCellMar>
      </w:tblPr>
      <w:tblGrid>
        <w:gridCol w:w="1118"/>
        <w:gridCol w:w="1672"/>
        <w:gridCol w:w="977"/>
        <w:gridCol w:w="6700"/>
      </w:tblGrid>
      <w:tr>
        <w:trPr>
          <w:tblHeader w:val="true"/>
        </w:trPr>
        <w:tc>
          <w:tcPr>
            <w:tcW w:w="1118"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pPr>
            <w:r>
              <w:rPr>
                <w:rStyle w:val="Style10"/>
                <w:rFonts w:ascii="Times New Roman" w:hAnsi="Times New Roman" w:eastAsia="標楷體"/>
                <w:sz w:val="28"/>
                <w:szCs w:val="28"/>
              </w:rPr>
              <w:t>項次</w:t>
            </w:r>
          </w:p>
        </w:tc>
        <w:tc>
          <w:tcPr>
            <w:tcW w:w="1672"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pPr>
            <w:r>
              <w:rPr>
                <w:rStyle w:val="Style10"/>
                <w:rFonts w:ascii="Times New Roman" w:hAnsi="Times New Roman" w:eastAsia="標楷體"/>
                <w:sz w:val="28"/>
                <w:szCs w:val="28"/>
              </w:rPr>
              <w:t>基準</w:t>
            </w:r>
          </w:p>
        </w:tc>
        <w:tc>
          <w:tcPr>
            <w:tcW w:w="977"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pPr>
            <w:r>
              <w:rPr>
                <w:rStyle w:val="Style10"/>
                <w:rFonts w:ascii="Times New Roman" w:hAnsi="Times New Roman" w:eastAsia="標楷體"/>
                <w:sz w:val="28"/>
                <w:szCs w:val="28"/>
              </w:rPr>
              <w:t>配分</w:t>
            </w:r>
          </w:p>
        </w:tc>
        <w:tc>
          <w:tcPr>
            <w:tcW w:w="6700" w:type="dxa"/>
            <w:tcBorders>
              <w:top w:val="single" w:sz="4" w:space="0" w:color="000000"/>
              <w:left w:val="single" w:sz="4" w:space="0" w:color="000000"/>
              <w:bottom w:val="single" w:sz="4" w:space="0" w:color="000000"/>
              <w:right w:val="single" w:sz="4" w:space="0" w:color="000000"/>
            </w:tcBorders>
            <w:vAlign w:val="center"/>
          </w:tcPr>
          <w:p>
            <w:pPr>
              <w:pStyle w:val="BodyText"/>
              <w:snapToGrid w:val="false"/>
              <w:spacing w:lineRule="atLeast" w:line="240" w:before="72" w:after="72"/>
              <w:jc w:val="center"/>
              <w:rPr/>
            </w:pPr>
            <w:r>
              <w:rPr>
                <w:rStyle w:val="Style10"/>
                <w:rFonts w:ascii="Times New Roman" w:hAnsi="Times New Roman" w:eastAsia="標楷體"/>
                <w:sz w:val="28"/>
                <w:szCs w:val="28"/>
              </w:rPr>
              <w:t>評分說明</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第</w:t>
            </w:r>
            <w:r>
              <w:rPr>
                <w:rStyle w:val="Style10"/>
                <w:rFonts w:eastAsia="標楷體" w:ascii="Times New Roman" w:hAnsi="Times New Roman"/>
                <w:sz w:val="28"/>
                <w:szCs w:val="24"/>
              </w:rPr>
              <w:t>1</w:t>
            </w:r>
            <w:r>
              <w:rPr>
                <w:rStyle w:val="Style10"/>
                <w:rFonts w:ascii="Times New Roman" w:hAnsi="Times New Roman" w:eastAsia="標楷體"/>
                <w:sz w:val="28"/>
                <w:szCs w:val="24"/>
              </w:rPr>
              <w:t>章</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經營管理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33</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560" w:hanging="560"/>
              <w:jc w:val="both"/>
              <w:rPr/>
            </w:pPr>
            <w:r>
              <w:rPr>
                <w:rStyle w:val="Style10"/>
                <w:rFonts w:ascii="Times New Roman" w:hAnsi="Times New Roman" w:eastAsia="標楷體"/>
                <w:sz w:val="28"/>
                <w:szCs w:val="24"/>
              </w:rPr>
              <w:t>【重點說明】</w:t>
            </w:r>
          </w:p>
          <w:p>
            <w:pPr>
              <w:pStyle w:val="BodyText"/>
              <w:spacing w:lineRule="atLeast" w:line="0"/>
              <w:ind w:firstLine="297"/>
              <w:jc w:val="both"/>
              <w:rPr/>
            </w:pPr>
            <w:r>
              <w:rPr>
                <w:rStyle w:val="Style10"/>
                <w:rFonts w:ascii="Times New Roman" w:hAnsi="Times New Roman" w:eastAsia="標楷體"/>
                <w:sz w:val="28"/>
                <w:szCs w:val="24"/>
              </w:rPr>
              <w:t xml:space="preserve">  </w:t>
            </w:r>
            <w:r>
              <w:rPr>
                <w:rStyle w:val="Style10"/>
                <w:rFonts w:ascii="Times New Roman" w:hAnsi="Times New Roman" w:eastAsia="標楷體"/>
                <w:sz w:val="28"/>
                <w:szCs w:val="24"/>
              </w:rPr>
              <w:t>本章主要在評量機構負責人經營管理的妥適性，為影響服務品質最基本之要素，包括人力資源、財務及行政管理、復健理念、復健績效與整體發展方向之規劃等。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1.1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bCs/>
                <w:sz w:val="28"/>
                <w:szCs w:val="24"/>
              </w:rPr>
              <w:t>機構負責人之經營管理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5</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機構負責人應對其社區復健及經營理念、短中長程計畫及執行成效提出說明，確實履行在社區復健之角色及任務，以達永續經營。</w:t>
            </w:r>
          </w:p>
          <w:p>
            <w:pPr>
              <w:pStyle w:val="BodyText"/>
              <w:tabs>
                <w:tab w:val="clear" w:pos="480"/>
              </w:tabs>
              <w:snapToGrid w:val="false"/>
              <w:spacing w:lineRule="atLeast" w:line="240"/>
              <w:ind w:left="408" w:hanging="40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w:t>
            </w:r>
          </w:p>
          <w:p>
            <w:pPr>
              <w:pStyle w:val="Style32"/>
              <w:numPr>
                <w:ilvl w:val="0"/>
                <w:numId w:val="37"/>
              </w:numPr>
              <w:tabs>
                <w:tab w:val="left" w:pos="819" w:leader="none"/>
              </w:tabs>
              <w:snapToGrid w:val="false"/>
              <w:spacing w:lineRule="atLeast" w:line="240"/>
              <w:ind w:left="819" w:hanging="644"/>
              <w:jc w:val="both"/>
              <w:rPr/>
            </w:pPr>
            <w:r>
              <w:rPr>
                <w:rStyle w:val="Style10"/>
                <w:rFonts w:ascii="Times New Roman" w:hAnsi="Times New Roman" w:eastAsia="標楷體"/>
                <w:sz w:val="28"/>
                <w:szCs w:val="24"/>
                <w:lang w:val="en-US" w:eastAsia="zh-TW"/>
              </w:rPr>
              <w:t>符合</w:t>
            </w:r>
            <w:r>
              <w:rPr>
                <w:rStyle w:val="Style10"/>
                <w:rFonts w:eastAsia="標楷體" w:ascii="Times New Roman" w:hAnsi="Times New Roman"/>
                <w:sz w:val="28"/>
                <w:szCs w:val="24"/>
                <w:lang w:val="en-US" w:eastAsia="zh-TW"/>
              </w:rPr>
              <w:t>B</w:t>
            </w:r>
            <w:r>
              <w:rPr>
                <w:rStyle w:val="Style10"/>
                <w:rFonts w:ascii="Times New Roman" w:hAnsi="Times New Roman" w:eastAsia="標楷體"/>
                <w:sz w:val="28"/>
                <w:szCs w:val="24"/>
                <w:lang w:val="en-US" w:eastAsia="zh-TW"/>
              </w:rPr>
              <w:t>，</w:t>
            </w:r>
            <w:r>
              <w:rPr>
                <w:rStyle w:val="Style10"/>
                <w:rFonts w:ascii="Times New Roman" w:hAnsi="Times New Roman" w:eastAsia="標楷體"/>
                <w:kern w:val="0"/>
                <w:sz w:val="28"/>
                <w:szCs w:val="24"/>
                <w:lang w:val="en-US" w:eastAsia="zh-TW"/>
              </w:rPr>
              <w:t>且</w:t>
            </w:r>
            <w:r>
              <w:rPr>
                <w:rStyle w:val="Style10"/>
                <w:rFonts w:ascii="Times New Roman" w:hAnsi="Times New Roman" w:eastAsia="標楷體"/>
                <w:sz w:val="28"/>
                <w:szCs w:val="24"/>
                <w:lang w:val="en-US" w:eastAsia="zh-TW"/>
              </w:rPr>
              <w:t>過去擬訂之中長程計畫至目前已有具體成效；或「進行中」之中長程計畫「具體可行」。</w:t>
            </w:r>
          </w:p>
          <w:p>
            <w:pPr>
              <w:pStyle w:val="Style32"/>
              <w:numPr>
                <w:ilvl w:val="0"/>
                <w:numId w:val="37"/>
              </w:numPr>
              <w:tabs>
                <w:tab w:val="left" w:pos="819" w:leader="none"/>
              </w:tabs>
              <w:snapToGrid w:val="false"/>
              <w:spacing w:lineRule="atLeast" w:line="240"/>
              <w:ind w:left="819" w:hanging="644"/>
              <w:jc w:val="both"/>
              <w:rPr/>
            </w:pPr>
            <w:r>
              <w:rPr>
                <w:rStyle w:val="Style10"/>
                <w:rFonts w:ascii="Times New Roman" w:hAnsi="Times New Roman" w:eastAsia="標楷體"/>
                <w:sz w:val="28"/>
                <w:szCs w:val="24"/>
                <w:lang w:val="en-US" w:eastAsia="zh-TW"/>
              </w:rPr>
              <w:t>具備財務規劃及管理能力，能提供員工優質福利與服務對象復健服務品質。</w:t>
            </w:r>
          </w:p>
          <w:p>
            <w:pPr>
              <w:pStyle w:val="BodyText"/>
              <w:snapToGrid w:val="false"/>
              <w:spacing w:lineRule="atLeast" w:line="240"/>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w:t>
            </w:r>
          </w:p>
          <w:p>
            <w:pPr>
              <w:pStyle w:val="Style32"/>
              <w:numPr>
                <w:ilvl w:val="0"/>
                <w:numId w:val="38"/>
              </w:numPr>
              <w:tabs>
                <w:tab w:val="left" w:pos="819" w:leader="none"/>
              </w:tabs>
              <w:snapToGrid w:val="false"/>
              <w:spacing w:lineRule="atLeast" w:line="240"/>
              <w:ind w:left="819" w:hanging="644"/>
              <w:jc w:val="both"/>
              <w:rPr/>
            </w:pPr>
            <w:r>
              <w:rPr>
                <w:rStyle w:val="Style10"/>
                <w:rFonts w:ascii="Times New Roman" w:hAnsi="Times New Roman" w:eastAsia="標楷體"/>
                <w:kern w:val="0"/>
                <w:sz w:val="28"/>
                <w:szCs w:val="24"/>
                <w:lang w:val="en-US" w:eastAsia="zh-TW"/>
              </w:rPr>
              <w:t>符合</w:t>
            </w:r>
            <w:r>
              <w:rPr>
                <w:rStyle w:val="Style10"/>
                <w:rFonts w:eastAsia="標楷體" w:ascii="Times New Roman" w:hAnsi="Times New Roman"/>
                <w:sz w:val="28"/>
                <w:szCs w:val="24"/>
                <w:lang w:val="en-US" w:eastAsia="zh-TW"/>
              </w:rPr>
              <w:t>C</w:t>
            </w:r>
            <w:r>
              <w:rPr>
                <w:rStyle w:val="Style10"/>
                <w:rFonts w:ascii="Times New Roman" w:hAnsi="Times New Roman" w:eastAsia="標楷體"/>
                <w:sz w:val="28"/>
                <w:szCs w:val="24"/>
                <w:lang w:val="en-US" w:eastAsia="zh-TW"/>
              </w:rPr>
              <w:t>，且短中長程計畫能進行追蹤及檢討。</w:t>
            </w:r>
          </w:p>
          <w:p>
            <w:pPr>
              <w:pStyle w:val="Style32"/>
              <w:numPr>
                <w:ilvl w:val="0"/>
                <w:numId w:val="38"/>
              </w:numPr>
              <w:tabs>
                <w:tab w:val="left" w:pos="819" w:leader="none"/>
              </w:tabs>
              <w:snapToGrid w:val="false"/>
              <w:spacing w:lineRule="atLeast" w:line="240"/>
              <w:ind w:left="819" w:hanging="644"/>
              <w:jc w:val="both"/>
              <w:rPr/>
            </w:pPr>
            <w:r>
              <w:rPr>
                <w:rStyle w:val="Style10"/>
                <w:rFonts w:ascii="Times New Roman" w:hAnsi="Times New Roman" w:eastAsia="標楷體"/>
                <w:sz w:val="28"/>
                <w:szCs w:val="24"/>
                <w:lang w:val="en-US" w:eastAsia="zh-TW"/>
              </w:rPr>
              <w:t>負責人留任至少</w:t>
            </w:r>
            <w:r>
              <w:rPr>
                <w:rStyle w:val="Style10"/>
                <w:rFonts w:eastAsia="標楷體" w:ascii="Times New Roman" w:hAnsi="Times New Roman"/>
                <w:sz w:val="28"/>
                <w:szCs w:val="24"/>
                <w:lang w:val="en-US" w:eastAsia="zh-TW"/>
              </w:rPr>
              <w:t>3</w:t>
            </w:r>
            <w:r>
              <w:rPr>
                <w:rStyle w:val="Style10"/>
                <w:rFonts w:ascii="Times New Roman" w:hAnsi="Times New Roman" w:eastAsia="標楷體"/>
                <w:sz w:val="28"/>
                <w:szCs w:val="24"/>
                <w:lang w:val="en-US" w:eastAsia="zh-TW"/>
              </w:rPr>
              <w:t>年。</w:t>
            </w:r>
          </w:p>
          <w:p>
            <w:pPr>
              <w:pStyle w:val="BodyText"/>
              <w:snapToGrid w:val="false"/>
              <w:spacing w:lineRule="atLeast" w:line="24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39"/>
              </w:numPr>
              <w:tabs>
                <w:tab w:val="left" w:pos="819" w:leader="none"/>
              </w:tabs>
              <w:snapToGrid w:val="false"/>
              <w:spacing w:lineRule="atLeast" w:line="240"/>
              <w:ind w:left="819" w:hanging="644"/>
              <w:jc w:val="both"/>
              <w:rPr/>
            </w:pPr>
            <w:r>
              <w:rPr>
                <w:rStyle w:val="Style10"/>
                <w:rFonts w:ascii="Times New Roman" w:hAnsi="Times New Roman" w:eastAsia="標楷體"/>
                <w:kern w:val="0"/>
                <w:sz w:val="28"/>
                <w:szCs w:val="24"/>
                <w:lang w:val="en-US" w:eastAsia="zh-TW"/>
              </w:rPr>
              <w:t>具正確社區復健理念，且熟知精神復健機構業務，並積極帶領員工落實執行。</w:t>
            </w:r>
          </w:p>
          <w:p>
            <w:pPr>
              <w:pStyle w:val="Style32"/>
              <w:numPr>
                <w:ilvl w:val="0"/>
                <w:numId w:val="39"/>
              </w:numPr>
              <w:tabs>
                <w:tab w:val="left" w:pos="819" w:leader="none"/>
              </w:tabs>
              <w:snapToGrid w:val="false"/>
              <w:spacing w:lineRule="atLeast" w:line="240"/>
              <w:ind w:left="819" w:hanging="644"/>
              <w:jc w:val="both"/>
              <w:rPr/>
            </w:pPr>
            <w:r>
              <w:rPr>
                <w:rStyle w:val="Style10"/>
                <w:rFonts w:ascii="Times New Roman" w:hAnsi="Times New Roman" w:eastAsia="標楷體"/>
                <w:kern w:val="0"/>
                <w:sz w:val="28"/>
                <w:szCs w:val="24"/>
                <w:lang w:val="en-US" w:eastAsia="zh-TW"/>
              </w:rPr>
              <w:t>短中長程計畫有提出具體之行動策略。</w:t>
            </w:r>
          </w:p>
          <w:p>
            <w:pPr>
              <w:pStyle w:val="Style32"/>
              <w:numPr>
                <w:ilvl w:val="0"/>
                <w:numId w:val="39"/>
              </w:numPr>
              <w:tabs>
                <w:tab w:val="left" w:pos="819" w:leader="none"/>
              </w:tabs>
              <w:snapToGrid w:val="false"/>
              <w:spacing w:lineRule="atLeast" w:line="240"/>
              <w:ind w:left="819" w:hanging="644"/>
              <w:jc w:val="both"/>
              <w:rPr/>
            </w:pPr>
            <w:r>
              <w:rPr>
                <w:rStyle w:val="Style10"/>
                <w:rFonts w:ascii="Times New Roman" w:hAnsi="Times New Roman" w:eastAsia="標楷體"/>
                <w:kern w:val="0"/>
                <w:sz w:val="28"/>
                <w:szCs w:val="24"/>
                <w:lang w:val="en-US" w:eastAsia="zh-TW"/>
              </w:rPr>
              <w:t>負責人留任至少</w:t>
            </w:r>
            <w:r>
              <w:rPr>
                <w:rStyle w:val="Style10"/>
                <w:rFonts w:eastAsia="標楷體" w:ascii="Times New Roman" w:hAnsi="Times New Roman"/>
                <w:kern w:val="0"/>
                <w:sz w:val="28"/>
                <w:szCs w:val="24"/>
                <w:lang w:val="en-US" w:eastAsia="zh-TW"/>
              </w:rPr>
              <w:t>1</w:t>
            </w:r>
            <w:r>
              <w:rPr>
                <w:rStyle w:val="Style10"/>
                <w:rFonts w:ascii="Times New Roman" w:hAnsi="Times New Roman" w:eastAsia="標楷體"/>
                <w:kern w:val="0"/>
                <w:sz w:val="28"/>
                <w:szCs w:val="24"/>
                <w:lang w:val="en-US" w:eastAsia="zh-TW"/>
              </w:rPr>
              <w:t>年。</w:t>
            </w:r>
          </w:p>
          <w:p>
            <w:pPr>
              <w:pStyle w:val="BodyText"/>
              <w:snapToGrid w:val="false"/>
              <w:spacing w:lineRule="atLeast" w:line="240"/>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C-1</w:t>
            </w:r>
            <w:r>
              <w:rPr>
                <w:rStyle w:val="Style10"/>
                <w:rFonts w:ascii="Times New Roman" w:hAnsi="Times New Roman" w:eastAsia="標楷體"/>
                <w:sz w:val="28"/>
                <w:szCs w:val="24"/>
              </w:rPr>
              <w:t>及</w:t>
            </w:r>
            <w:r>
              <w:rPr>
                <w:rStyle w:val="Style10"/>
                <w:rFonts w:eastAsia="標楷體" w:ascii="Times New Roman" w:hAnsi="Times New Roman"/>
                <w:sz w:val="28"/>
                <w:szCs w:val="24"/>
              </w:rPr>
              <w:t>C-2</w:t>
            </w:r>
            <w:r>
              <w:rPr>
                <w:rStyle w:val="Style10"/>
                <w:rFonts w:ascii="Times New Roman" w:hAnsi="Times New Roman" w:eastAsia="標楷體"/>
                <w:sz w:val="28"/>
                <w:szCs w:val="24"/>
              </w:rPr>
              <w:t>之要求或負責人留任少於</w:t>
            </w:r>
            <w:r>
              <w:rPr>
                <w:rStyle w:val="Style10"/>
                <w:rFonts w:eastAsia="標楷體" w:ascii="Times New Roman" w:hAnsi="Times New Roman"/>
                <w:sz w:val="28"/>
                <w:szCs w:val="24"/>
              </w:rPr>
              <w:t>1</w:t>
            </w:r>
            <w:r>
              <w:rPr>
                <w:rStyle w:val="Style10"/>
                <w:rFonts w:ascii="Times New Roman" w:hAnsi="Times New Roman" w:eastAsia="標楷體"/>
                <w:sz w:val="28"/>
                <w:szCs w:val="24"/>
              </w:rPr>
              <w:t>年。</w:t>
            </w:r>
          </w:p>
          <w:p>
            <w:pPr>
              <w:pStyle w:val="BodyText"/>
              <w:snapToGrid w:val="false"/>
              <w:spacing w:lineRule="atLeast" w:line="240"/>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before="0" w:after="72"/>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r>
              <w:rPr>
                <w:rStyle w:val="Style10"/>
                <w:rFonts w:eastAsia="標楷體" w:ascii="Times New Roman" w:hAnsi="Times New Roman"/>
                <w:bCs/>
                <w:sz w:val="28"/>
                <w:szCs w:val="24"/>
              </w:rPr>
              <w:t xml:space="preserve"> </w:t>
            </w:r>
          </w:p>
          <w:p>
            <w:pPr>
              <w:pStyle w:val="BodyText"/>
              <w:tabs>
                <w:tab w:val="clear" w:pos="480"/>
              </w:tabs>
              <w:snapToGrid w:val="false"/>
              <w:spacing w:lineRule="atLeast" w:line="240"/>
              <w:ind w:left="210" w:hanging="210"/>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計畫期程：</w:t>
            </w:r>
          </w:p>
          <w:p>
            <w:pPr>
              <w:pStyle w:val="BodyText"/>
              <w:tabs>
                <w:tab w:val="clear" w:pos="480"/>
              </w:tabs>
              <w:snapToGrid w:val="false"/>
              <w:spacing w:lineRule="atLeast" w:line="240"/>
              <w:ind w:left="240" w:hanging="0"/>
              <w:jc w:val="both"/>
              <w:rPr/>
            </w:pPr>
            <w:r>
              <w:rPr>
                <w:rStyle w:val="Style10"/>
                <w:rFonts w:ascii="Times New Roman" w:hAnsi="Times New Roman" w:eastAsia="標楷體"/>
                <w:sz w:val="28"/>
                <w:szCs w:val="24"/>
              </w:rPr>
              <w:t>短程：</w:t>
            </w:r>
            <w:r>
              <w:rPr>
                <w:rStyle w:val="Style10"/>
                <w:rFonts w:eastAsia="標楷體" w:ascii="Times New Roman" w:hAnsi="Times New Roman"/>
                <w:sz w:val="28"/>
                <w:szCs w:val="24"/>
              </w:rPr>
              <w:t>1</w:t>
            </w:r>
            <w:r>
              <w:rPr>
                <w:rStyle w:val="Style10"/>
                <w:rFonts w:ascii="Times New Roman" w:hAnsi="Times New Roman" w:eastAsia="標楷體"/>
                <w:sz w:val="28"/>
                <w:szCs w:val="24"/>
              </w:rPr>
              <w:t>年內。</w:t>
            </w:r>
          </w:p>
          <w:p>
            <w:pPr>
              <w:pStyle w:val="BodyText"/>
              <w:tabs>
                <w:tab w:val="clear" w:pos="480"/>
              </w:tabs>
              <w:snapToGrid w:val="false"/>
              <w:spacing w:lineRule="atLeast" w:line="240"/>
              <w:ind w:left="240" w:hanging="0"/>
              <w:jc w:val="both"/>
              <w:rPr/>
            </w:pPr>
            <w:r>
              <w:rPr>
                <w:rStyle w:val="Style10"/>
                <w:rFonts w:ascii="Times New Roman" w:hAnsi="Times New Roman" w:eastAsia="標楷體"/>
                <w:sz w:val="28"/>
                <w:szCs w:val="24"/>
              </w:rPr>
              <w:t>中程：</w:t>
            </w:r>
            <w:r>
              <w:rPr>
                <w:rStyle w:val="Style10"/>
                <w:rFonts w:eastAsia="標楷體" w:ascii="Times New Roman" w:hAnsi="Times New Roman"/>
                <w:sz w:val="28"/>
                <w:szCs w:val="24"/>
              </w:rPr>
              <w:t>1~4</w:t>
            </w:r>
            <w:r>
              <w:rPr>
                <w:rStyle w:val="Style10"/>
                <w:rFonts w:ascii="Times New Roman" w:hAnsi="Times New Roman" w:eastAsia="標楷體"/>
                <w:sz w:val="28"/>
                <w:szCs w:val="24"/>
              </w:rPr>
              <w:t>年。</w:t>
            </w:r>
          </w:p>
          <w:p>
            <w:pPr>
              <w:pStyle w:val="BodyText"/>
              <w:tabs>
                <w:tab w:val="clear" w:pos="480"/>
              </w:tabs>
              <w:snapToGrid w:val="false"/>
              <w:spacing w:lineRule="atLeast" w:line="240"/>
              <w:ind w:left="240" w:hanging="0"/>
              <w:jc w:val="both"/>
              <w:rPr/>
            </w:pPr>
            <w:r>
              <w:rPr>
                <w:rStyle w:val="Style10"/>
                <w:rFonts w:ascii="Times New Roman" w:hAnsi="Times New Roman" w:eastAsia="標楷體"/>
                <w:sz w:val="28"/>
                <w:szCs w:val="24"/>
              </w:rPr>
              <w:t>長程：</w:t>
            </w:r>
            <w:r>
              <w:rPr>
                <w:rStyle w:val="Style10"/>
                <w:rFonts w:eastAsia="標楷體" w:ascii="Times New Roman" w:hAnsi="Times New Roman"/>
                <w:sz w:val="28"/>
                <w:szCs w:val="24"/>
              </w:rPr>
              <w:t>4</w:t>
            </w:r>
            <w:r>
              <w:rPr>
                <w:rStyle w:val="Style10"/>
                <w:rFonts w:ascii="Times New Roman" w:hAnsi="Times New Roman" w:eastAsia="標楷體"/>
                <w:sz w:val="28"/>
                <w:szCs w:val="24"/>
              </w:rPr>
              <w:t>年以上。</w:t>
            </w:r>
          </w:p>
          <w:p>
            <w:pPr>
              <w:pStyle w:val="BodyText"/>
              <w:tabs>
                <w:tab w:val="clear" w:pos="480"/>
              </w:tabs>
              <w:snapToGrid w:val="false"/>
              <w:spacing w:lineRule="atLeast" w:line="240"/>
              <w:ind w:left="174" w:hanging="174"/>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機構負責人評鑑時應在場並做簡報，否則本項視為不合格。如不克在場，須獲得委員共識同意。</w:t>
            </w:r>
          </w:p>
          <w:p>
            <w:pPr>
              <w:pStyle w:val="BodyText"/>
              <w:tabs>
                <w:tab w:val="clear" w:pos="480"/>
              </w:tabs>
              <w:snapToGrid w:val="false"/>
              <w:spacing w:lineRule="atLeast" w:line="240"/>
              <w:ind w:left="296" w:hanging="294"/>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新設立機構</w:t>
            </w:r>
            <w:r>
              <w:rPr>
                <w:rStyle w:val="Style10"/>
                <w:rFonts w:eastAsia="標楷體" w:ascii="Times New Roman" w:hAnsi="Times New Roman"/>
                <w:sz w:val="28"/>
                <w:szCs w:val="24"/>
              </w:rPr>
              <w:t>(</w:t>
            </w:r>
            <w:r>
              <w:rPr>
                <w:rStyle w:val="Style10"/>
                <w:rFonts w:ascii="Times New Roman" w:hAnsi="Times New Roman" w:eastAsia="標楷體"/>
                <w:sz w:val="28"/>
                <w:szCs w:val="24"/>
              </w:rPr>
              <w:t>不包括機構因故歇業，由另一位負責人，於原址重新申請開業者，即俗稱變更負責人</w:t>
            </w:r>
            <w:r>
              <w:rPr>
                <w:rStyle w:val="Style10"/>
                <w:rFonts w:eastAsia="標楷體" w:ascii="Times New Roman" w:hAnsi="Times New Roman"/>
                <w:sz w:val="28"/>
                <w:szCs w:val="24"/>
              </w:rPr>
              <w:t>)</w:t>
            </w:r>
            <w:r>
              <w:rPr>
                <w:rStyle w:val="Style10"/>
                <w:rFonts w:ascii="Times New Roman" w:hAnsi="Times New Roman" w:eastAsia="標楷體"/>
                <w:sz w:val="28"/>
                <w:szCs w:val="24"/>
              </w:rPr>
              <w:t>，不受</w:t>
            </w:r>
            <w:r>
              <w:rPr>
                <w:rStyle w:val="Style10"/>
                <w:rFonts w:eastAsia="標楷體" w:ascii="Times New Roman" w:hAnsi="Times New Roman"/>
                <w:sz w:val="28"/>
                <w:szCs w:val="24"/>
              </w:rPr>
              <w:t>C-3</w:t>
            </w:r>
            <w:r>
              <w:rPr>
                <w:rStyle w:val="Style10"/>
                <w:rFonts w:ascii="Times New Roman" w:hAnsi="Times New Roman" w:eastAsia="標楷體"/>
                <w:sz w:val="28"/>
                <w:szCs w:val="24"/>
              </w:rPr>
              <w:t>限制。</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可</w:t>
            </w:r>
            <w:r>
              <w:rPr>
                <w:rStyle w:val="Style10"/>
                <w:rFonts w:eastAsia="標楷體" w:ascii="Times New Roman" w:hAnsi="Times New Roman"/>
                <w:sz w:val="28"/>
                <w:szCs w:val="28"/>
              </w:rPr>
              <w:t>1.2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專任工作人員人力穩定性</w:t>
            </w:r>
          </w:p>
          <w:p>
            <w:pPr>
              <w:pStyle w:val="BodyText"/>
              <w:spacing w:lineRule="atLeast" w:line="0"/>
              <w:rPr>
                <w:rFonts w:ascii="Times New Roman" w:hAnsi="Times New Roman" w:eastAsia="標楷體"/>
                <w:sz w:val="28"/>
                <w:szCs w:val="24"/>
              </w:rPr>
            </w:pPr>
            <w:r>
              <w:rPr>
                <w:rFonts w:eastAsia="標楷體" w:ascii="Times New Roman" w:hAnsi="Times New Roman"/>
                <w:sz w:val="28"/>
                <w:szCs w:val="24"/>
              </w:rPr>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kern w:val="0"/>
                <w:sz w:val="28"/>
                <w:szCs w:val="24"/>
              </w:rPr>
              <w:t>目的：</w:t>
            </w:r>
          </w:p>
          <w:p>
            <w:pPr>
              <w:pStyle w:val="BodyText"/>
              <w:snapToGrid w:val="false"/>
              <w:spacing w:lineRule="atLeast" w:line="240"/>
              <w:jc w:val="both"/>
              <w:rPr/>
            </w:pPr>
            <w:r>
              <w:rPr>
                <w:rStyle w:val="Style10"/>
                <w:rFonts w:ascii="Times New Roman" w:hAnsi="Times New Roman" w:eastAsia="標楷體"/>
                <w:kern w:val="0"/>
                <w:sz w:val="28"/>
                <w:szCs w:val="24"/>
              </w:rPr>
              <w:t>機構應提高專任工作人員穩定性，以確保機構服務品質。</w:t>
            </w:r>
          </w:p>
          <w:p>
            <w:pPr>
              <w:pStyle w:val="BodyText"/>
              <w:tabs>
                <w:tab w:val="clear" w:pos="480"/>
              </w:tabs>
              <w:snapToGrid w:val="false"/>
              <w:spacing w:lineRule="atLeast" w:line="240"/>
              <w:ind w:left="476" w:hanging="476"/>
              <w:jc w:val="both"/>
              <w:rPr/>
            </w:pPr>
            <w:r>
              <w:rPr>
                <w:rStyle w:val="Style10"/>
                <w:rFonts w:eastAsia="標楷體" w:ascii="Times New Roman" w:hAnsi="Times New Roman"/>
                <w:sz w:val="28"/>
                <w:szCs w:val="24"/>
              </w:rPr>
              <w:t>A</w:t>
            </w:r>
            <w:r>
              <w:rPr>
                <w:rStyle w:val="Style10"/>
                <w:rFonts w:ascii="Times New Roman" w:hAnsi="Times New Roman" w:eastAsia="標楷體"/>
                <w:kern w:val="0"/>
                <w:sz w:val="28"/>
                <w:szCs w:val="24"/>
              </w:rPr>
              <w:t>：符合</w:t>
            </w:r>
            <w:r>
              <w:rPr>
                <w:rStyle w:val="Style10"/>
                <w:rFonts w:eastAsia="標楷體" w:ascii="Times New Roman" w:hAnsi="Times New Roman"/>
                <w:kern w:val="0"/>
                <w:sz w:val="28"/>
                <w:szCs w:val="24"/>
              </w:rPr>
              <w:t>C</w:t>
            </w:r>
            <w:r>
              <w:rPr>
                <w:rStyle w:val="Style10"/>
                <w:rFonts w:ascii="Times New Roman" w:hAnsi="Times New Roman" w:eastAsia="標楷體"/>
                <w:kern w:val="0"/>
                <w:sz w:val="28"/>
                <w:szCs w:val="24"/>
              </w:rPr>
              <w:t>，且有具體留任措施。</w:t>
            </w:r>
          </w:p>
          <w:p>
            <w:pPr>
              <w:pStyle w:val="BodyText"/>
              <w:tabs>
                <w:tab w:val="clear" w:pos="480"/>
              </w:tabs>
              <w:snapToGrid w:val="false"/>
              <w:spacing w:lineRule="atLeast" w:line="240"/>
              <w:ind w:left="476" w:hanging="476"/>
              <w:jc w:val="both"/>
              <w:rPr/>
            </w:pPr>
            <w:r>
              <w:rPr>
                <w:rStyle w:val="Style10"/>
                <w:rFonts w:eastAsia="標楷體" w:ascii="Times New Roman" w:hAnsi="Times New Roman"/>
                <w:kern w:val="0"/>
                <w:sz w:val="28"/>
                <w:szCs w:val="24"/>
              </w:rPr>
              <w:t>C</w:t>
            </w:r>
            <w:r>
              <w:rPr>
                <w:rStyle w:val="Style10"/>
                <w:rFonts w:ascii="Times New Roman" w:hAnsi="Times New Roman" w:eastAsia="標楷體"/>
                <w:kern w:val="0"/>
                <w:sz w:val="28"/>
                <w:szCs w:val="24"/>
              </w:rPr>
              <w:t>：機構所有專任工作人員於過去</w:t>
            </w:r>
            <w:r>
              <w:rPr>
                <w:rStyle w:val="Style10"/>
                <w:rFonts w:eastAsia="標楷體" w:ascii="Times New Roman" w:hAnsi="Times New Roman"/>
                <w:kern w:val="0"/>
                <w:sz w:val="28"/>
                <w:szCs w:val="24"/>
              </w:rPr>
              <w:t>4</w:t>
            </w:r>
            <w:r>
              <w:rPr>
                <w:rStyle w:val="Style10"/>
                <w:rFonts w:ascii="Times New Roman" w:hAnsi="Times New Roman" w:eastAsia="標楷體"/>
                <w:kern w:val="0"/>
                <w:sz w:val="28"/>
                <w:szCs w:val="24"/>
              </w:rPr>
              <w:t>年，留任</w:t>
            </w:r>
            <w:r>
              <w:rPr>
                <w:rStyle w:val="Style10"/>
                <w:rFonts w:eastAsia="標楷體" w:ascii="Times New Roman" w:hAnsi="Times New Roman"/>
                <w:kern w:val="0"/>
                <w:sz w:val="28"/>
                <w:szCs w:val="24"/>
              </w:rPr>
              <w:t>1</w:t>
            </w:r>
            <w:r>
              <w:rPr>
                <w:rStyle w:val="Style10"/>
                <w:rFonts w:ascii="Times New Roman" w:hAnsi="Times New Roman" w:eastAsia="標楷體"/>
                <w:kern w:val="0"/>
                <w:sz w:val="28"/>
                <w:szCs w:val="24"/>
              </w:rPr>
              <w:t>年以上者超過</w:t>
            </w:r>
            <w:r>
              <w:rPr>
                <w:rStyle w:val="Style10"/>
                <w:rFonts w:eastAsia="標楷體" w:ascii="Times New Roman" w:hAnsi="Times New Roman"/>
                <w:kern w:val="0"/>
                <w:sz w:val="28"/>
                <w:szCs w:val="24"/>
              </w:rPr>
              <w:t>60%</w:t>
            </w:r>
            <w:r>
              <w:rPr>
                <w:rStyle w:val="Style10"/>
                <w:rFonts w:ascii="Times New Roman" w:hAnsi="Times New Roman" w:eastAsia="標楷體"/>
                <w:kern w:val="0"/>
                <w:sz w:val="28"/>
                <w:szCs w:val="24"/>
              </w:rPr>
              <w:t>以上。</w:t>
            </w:r>
          </w:p>
          <w:p>
            <w:pPr>
              <w:pStyle w:val="BodyText"/>
              <w:tabs>
                <w:tab w:val="clear" w:pos="480"/>
              </w:tabs>
              <w:snapToGrid w:val="false"/>
              <w:spacing w:lineRule="atLeast" w:line="240"/>
              <w:ind w:left="476" w:hanging="476"/>
              <w:jc w:val="both"/>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p>
            <w:pPr>
              <w:pStyle w:val="BodyText"/>
              <w:snapToGrid w:val="false"/>
              <w:spacing w:lineRule="atLeast" w:line="24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napToGrid w:val="false"/>
              <w:spacing w:lineRule="atLeast" w:line="240"/>
              <w:ind w:left="180" w:hanging="180"/>
              <w:rPr/>
            </w:pPr>
            <w:r>
              <w:rPr>
                <w:rStyle w:val="Style10"/>
                <w:rFonts w:eastAsia="標楷體" w:ascii="Times New Roman" w:hAnsi="Times New Roman"/>
                <w:sz w:val="28"/>
                <w:szCs w:val="24"/>
              </w:rPr>
              <w:t>1.</w:t>
            </w:r>
            <w:r>
              <w:rPr>
                <w:rStyle w:val="Style10"/>
                <w:rFonts w:ascii="Times New Roman" w:hAnsi="Times New Roman" w:eastAsia="標楷體"/>
                <w:sz w:val="28"/>
                <w:szCs w:val="24"/>
              </w:rPr>
              <w:t>設立未滿</w:t>
            </w:r>
            <w:r>
              <w:rPr>
                <w:rStyle w:val="Style10"/>
                <w:rFonts w:eastAsia="標楷體" w:ascii="Times New Roman" w:hAnsi="Times New Roman"/>
                <w:sz w:val="28"/>
                <w:szCs w:val="24"/>
              </w:rPr>
              <w:t>1</w:t>
            </w:r>
            <w:r>
              <w:rPr>
                <w:rStyle w:val="Style10"/>
                <w:rFonts w:ascii="Times New Roman" w:hAnsi="Times New Roman" w:eastAsia="標楷體"/>
                <w:sz w:val="28"/>
                <w:szCs w:val="24"/>
              </w:rPr>
              <w:t>年之機構，本項不計分。</w:t>
            </w:r>
          </w:p>
          <w:p>
            <w:pPr>
              <w:pStyle w:val="BodyText"/>
              <w:tabs>
                <w:tab w:val="clear" w:pos="480"/>
              </w:tabs>
              <w:snapToGrid w:val="false"/>
              <w:spacing w:lineRule="atLeast" w:line="240"/>
              <w:ind w:left="180" w:hanging="180"/>
              <w:rPr/>
            </w:pPr>
            <w:r>
              <w:rPr>
                <w:rStyle w:val="Style10"/>
                <w:rFonts w:eastAsia="標楷體" w:ascii="Times New Roman" w:hAnsi="Times New Roman"/>
                <w:sz w:val="28"/>
                <w:szCs w:val="24"/>
              </w:rPr>
              <w:t>2.</w:t>
            </w:r>
            <w:r>
              <w:rPr>
                <w:rStyle w:val="Style10"/>
                <w:rFonts w:ascii="Times New Roman" w:hAnsi="Times New Roman" w:eastAsia="標楷體"/>
                <w:sz w:val="28"/>
                <w:szCs w:val="24"/>
              </w:rPr>
              <w:t>留任比例計算方式：</w:t>
            </w:r>
          </w:p>
          <w:p>
            <w:pPr>
              <w:pStyle w:val="BodyText"/>
              <w:tabs>
                <w:tab w:val="clear" w:pos="480"/>
              </w:tabs>
              <w:snapToGrid w:val="false"/>
              <w:spacing w:lineRule="atLeast" w:line="240"/>
              <w:ind w:left="459" w:hanging="288"/>
              <w:rPr/>
            </w:pPr>
            <w:r>
              <w:rPr>
                <w:rStyle w:val="Style10"/>
                <w:rFonts w:eastAsia="標楷體" w:ascii="Times New Roman" w:hAnsi="Times New Roman"/>
                <w:sz w:val="28"/>
                <w:szCs w:val="24"/>
              </w:rPr>
              <w:t>(1)</w:t>
            </w:r>
            <w:r>
              <w:rPr>
                <w:rStyle w:val="Style10"/>
                <w:rFonts w:ascii="Times New Roman" w:hAnsi="Times New Roman" w:eastAsia="標楷體"/>
                <w:sz w:val="28"/>
                <w:szCs w:val="24"/>
              </w:rPr>
              <w:t>分母：</w:t>
            </w:r>
            <w:r>
              <w:rPr>
                <w:rStyle w:val="Style10"/>
                <w:rFonts w:eastAsia="標楷體" w:ascii="Times New Roman" w:hAnsi="Times New Roman"/>
                <w:sz w:val="28"/>
                <w:szCs w:val="24"/>
              </w:rPr>
              <w:t>4</w:t>
            </w:r>
            <w:r>
              <w:rPr>
                <w:rStyle w:val="Style10"/>
                <w:rFonts w:ascii="Times New Roman" w:hAnsi="Times New Roman" w:eastAsia="標楷體"/>
                <w:sz w:val="28"/>
                <w:szCs w:val="24"/>
              </w:rPr>
              <w:t>年內登記於該機構之專任工作人員人數（分母排除未滿</w:t>
            </w:r>
            <w:r>
              <w:rPr>
                <w:rStyle w:val="Style10"/>
                <w:rFonts w:eastAsia="標楷體" w:ascii="Times New Roman" w:hAnsi="Times New Roman"/>
                <w:sz w:val="28"/>
                <w:szCs w:val="24"/>
              </w:rPr>
              <w:t>3</w:t>
            </w:r>
            <w:r>
              <w:rPr>
                <w:rStyle w:val="Style10"/>
                <w:rFonts w:ascii="Times New Roman" w:hAnsi="Times New Roman" w:eastAsia="標楷體"/>
                <w:sz w:val="28"/>
                <w:szCs w:val="24"/>
              </w:rPr>
              <w:t>個月之專任工作人員）。</w:t>
            </w:r>
          </w:p>
          <w:p>
            <w:pPr>
              <w:pStyle w:val="BodyText"/>
              <w:tabs>
                <w:tab w:val="clear" w:pos="480"/>
              </w:tabs>
              <w:snapToGrid w:val="false"/>
              <w:spacing w:lineRule="atLeast" w:line="240"/>
              <w:ind w:left="325" w:hanging="325"/>
              <w:rPr/>
            </w:pPr>
            <w:r>
              <w:rPr>
                <w:rStyle w:val="Style10"/>
                <w:rFonts w:eastAsia="標楷體" w:ascii="Times New Roman" w:hAnsi="Times New Roman"/>
                <w:sz w:val="28"/>
                <w:szCs w:val="24"/>
              </w:rPr>
              <w:t>(2)</w:t>
            </w:r>
            <w:r>
              <w:rPr>
                <w:rStyle w:val="Style10"/>
                <w:rFonts w:ascii="Times New Roman" w:hAnsi="Times New Roman" w:eastAsia="標楷體"/>
                <w:sz w:val="28"/>
                <w:szCs w:val="24"/>
              </w:rPr>
              <w:t>分子：</w:t>
            </w:r>
            <w:r>
              <w:rPr>
                <w:rStyle w:val="Style10"/>
                <w:rFonts w:eastAsia="標楷體" w:ascii="Times New Roman" w:hAnsi="Times New Roman"/>
                <w:sz w:val="28"/>
                <w:szCs w:val="24"/>
              </w:rPr>
              <w:t>4</w:t>
            </w:r>
            <w:r>
              <w:rPr>
                <w:rStyle w:val="Style10"/>
                <w:rFonts w:ascii="Times New Roman" w:hAnsi="Times New Roman" w:eastAsia="標楷體"/>
                <w:sz w:val="28"/>
                <w:szCs w:val="24"/>
              </w:rPr>
              <w:t>年內於該機構任職超過</w:t>
            </w:r>
            <w:r>
              <w:rPr>
                <w:rStyle w:val="Style10"/>
                <w:rFonts w:eastAsia="標楷體" w:ascii="Times New Roman" w:hAnsi="Times New Roman"/>
                <w:sz w:val="28"/>
                <w:szCs w:val="24"/>
              </w:rPr>
              <w:t>1</w:t>
            </w:r>
            <w:r>
              <w:rPr>
                <w:rStyle w:val="Style10"/>
                <w:rFonts w:ascii="Times New Roman" w:hAnsi="Times New Roman" w:eastAsia="標楷體"/>
                <w:sz w:val="28"/>
                <w:szCs w:val="24"/>
              </w:rPr>
              <w:t>年以上之專任工作人員人數。</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1.3</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督導制度</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408" w:hanging="408"/>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機構應有督導制度並確實執行，以使工作人員，具備正確之社區復健概念。</w:t>
            </w:r>
          </w:p>
          <w:p>
            <w:pPr>
              <w:pStyle w:val="BodyText"/>
              <w:tabs>
                <w:tab w:val="clear" w:pos="480"/>
              </w:tabs>
              <w:snapToGrid w:val="false"/>
              <w:spacing w:lineRule="atLeast" w:line="240"/>
              <w:ind w:left="408" w:hanging="40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w:t>
            </w:r>
            <w:r>
              <w:rPr>
                <w:rStyle w:val="Style10"/>
                <w:rFonts w:ascii="Times New Roman" w:hAnsi="Times New Roman" w:eastAsia="標楷體"/>
                <w:kern w:val="0"/>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，且針對工作人員可提供多元督導方式，並定期檢討、修正。</w:t>
            </w:r>
          </w:p>
          <w:p>
            <w:pPr>
              <w:pStyle w:val="BodyText"/>
              <w:tabs>
                <w:tab w:val="clear" w:pos="480"/>
              </w:tabs>
              <w:snapToGrid w:val="false"/>
              <w:spacing w:lineRule="atLeast" w:line="240"/>
              <w:ind w:left="408" w:hanging="408"/>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，且督導內容含檢討所有住民之復健計畫執行狀況。</w:t>
            </w:r>
          </w:p>
          <w:p>
            <w:pPr>
              <w:pStyle w:val="BodyText"/>
              <w:snapToGrid w:val="false"/>
              <w:spacing w:lineRule="atLeast" w:line="24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40"/>
              </w:numPr>
              <w:tabs>
                <w:tab w:val="left" w:pos="960" w:leader="none"/>
              </w:tabs>
              <w:snapToGrid w:val="false"/>
              <w:spacing w:lineRule="atLeast" w:line="240"/>
              <w:ind w:left="960" w:hanging="785"/>
              <w:jc w:val="both"/>
              <w:rPr/>
            </w:pPr>
            <w:r>
              <w:rPr>
                <w:rStyle w:val="Style10"/>
                <w:rFonts w:ascii="Times New Roman" w:hAnsi="Times New Roman" w:eastAsia="標楷體"/>
                <w:sz w:val="28"/>
                <w:szCs w:val="24"/>
                <w:lang w:val="en-US" w:eastAsia="zh-TW"/>
              </w:rPr>
              <w:t>工作人員應每月至少參加督導</w:t>
            </w:r>
            <w:r>
              <w:rPr>
                <w:rStyle w:val="Style10"/>
                <w:rFonts w:eastAsia="標楷體" w:ascii="Times New Roman" w:hAnsi="Times New Roman"/>
                <w:sz w:val="28"/>
                <w:szCs w:val="24"/>
                <w:lang w:val="en-US" w:eastAsia="zh-TW"/>
              </w:rPr>
              <w:t>1</w:t>
            </w:r>
            <w:r>
              <w:rPr>
                <w:rStyle w:val="Style10"/>
                <w:rFonts w:ascii="Times New Roman" w:hAnsi="Times New Roman" w:eastAsia="標楷體"/>
                <w:sz w:val="28"/>
                <w:szCs w:val="24"/>
                <w:lang w:val="en-US" w:eastAsia="zh-TW"/>
              </w:rPr>
              <w:t>次。</w:t>
            </w:r>
          </w:p>
          <w:p>
            <w:pPr>
              <w:pStyle w:val="Style32"/>
              <w:numPr>
                <w:ilvl w:val="0"/>
                <w:numId w:val="40"/>
              </w:numPr>
              <w:tabs>
                <w:tab w:val="left" w:pos="960" w:leader="none"/>
              </w:tabs>
              <w:snapToGrid w:val="false"/>
              <w:spacing w:lineRule="atLeast" w:line="240"/>
              <w:ind w:left="960" w:hanging="785"/>
              <w:jc w:val="both"/>
              <w:rPr/>
            </w:pPr>
            <w:r>
              <w:rPr>
                <w:rStyle w:val="Style10"/>
                <w:rFonts w:ascii="Times New Roman" w:hAnsi="Times New Roman" w:eastAsia="標楷體"/>
                <w:sz w:val="28"/>
                <w:szCs w:val="24"/>
                <w:lang w:val="en-US" w:eastAsia="zh-TW"/>
              </w:rPr>
              <w:t>工作人員之精神醫療或精神復健工作年資於</w:t>
            </w:r>
            <w:r>
              <w:rPr>
                <w:rStyle w:val="Style10"/>
                <w:rFonts w:eastAsia="標楷體" w:ascii="Times New Roman" w:hAnsi="Times New Roman"/>
                <w:sz w:val="28"/>
                <w:szCs w:val="24"/>
                <w:lang w:val="en-US" w:eastAsia="zh-TW"/>
              </w:rPr>
              <w:t>2</w:t>
            </w:r>
            <w:r>
              <w:rPr>
                <w:rStyle w:val="Style10"/>
                <w:rFonts w:ascii="Times New Roman" w:hAnsi="Times New Roman" w:eastAsia="標楷體"/>
                <w:sz w:val="28"/>
                <w:szCs w:val="24"/>
                <w:lang w:val="en-US" w:eastAsia="zh-TW"/>
              </w:rPr>
              <w:t>年之內者，每月至少督導</w:t>
            </w:r>
            <w:r>
              <w:rPr>
                <w:rStyle w:val="Style10"/>
                <w:rFonts w:eastAsia="標楷體" w:ascii="Times New Roman" w:hAnsi="Times New Roman"/>
                <w:sz w:val="28"/>
                <w:szCs w:val="24"/>
                <w:lang w:val="en-US" w:eastAsia="zh-TW"/>
              </w:rPr>
              <w:t>2</w:t>
            </w:r>
            <w:r>
              <w:rPr>
                <w:rStyle w:val="Style10"/>
                <w:rFonts w:ascii="Times New Roman" w:hAnsi="Times New Roman" w:eastAsia="標楷體"/>
                <w:sz w:val="28"/>
                <w:szCs w:val="24"/>
                <w:lang w:val="en-US" w:eastAsia="zh-TW"/>
              </w:rPr>
              <w:t>次</w:t>
            </w:r>
            <w:r>
              <w:rPr>
                <w:rStyle w:val="Style10"/>
                <w:rFonts w:eastAsia="標楷體" w:ascii="Times New Roman" w:hAnsi="Times New Roman"/>
                <w:sz w:val="28"/>
                <w:szCs w:val="24"/>
                <w:lang w:val="en-US" w:eastAsia="zh-TW"/>
              </w:rPr>
              <w:t>(</w:t>
            </w:r>
            <w:r>
              <w:rPr>
                <w:rStyle w:val="Style10"/>
                <w:rFonts w:ascii="Times New Roman" w:hAnsi="Times New Roman" w:eastAsia="標楷體"/>
                <w:sz w:val="28"/>
                <w:szCs w:val="24"/>
                <w:lang w:val="en-US" w:eastAsia="zh-TW"/>
              </w:rPr>
              <w:t>其中</w:t>
            </w:r>
            <w:r>
              <w:rPr>
                <w:rStyle w:val="Style10"/>
                <w:rFonts w:eastAsia="標楷體" w:ascii="Times New Roman" w:hAnsi="Times New Roman"/>
                <w:sz w:val="28"/>
                <w:szCs w:val="24"/>
                <w:lang w:val="en-US" w:eastAsia="zh-TW"/>
              </w:rPr>
              <w:t>1</w:t>
            </w:r>
            <w:r>
              <w:rPr>
                <w:rStyle w:val="Style10"/>
                <w:rFonts w:ascii="Times New Roman" w:hAnsi="Times New Roman" w:eastAsia="標楷體"/>
                <w:sz w:val="28"/>
                <w:szCs w:val="24"/>
                <w:lang w:val="en-US" w:eastAsia="zh-TW"/>
              </w:rPr>
              <w:t>次應為個別督導</w:t>
            </w:r>
            <w:r>
              <w:rPr>
                <w:rStyle w:val="Style10"/>
                <w:rFonts w:eastAsia="標楷體" w:ascii="Times New Roman" w:hAnsi="Times New Roman"/>
                <w:sz w:val="28"/>
                <w:szCs w:val="24"/>
                <w:lang w:val="en-US" w:eastAsia="zh-TW"/>
              </w:rPr>
              <w:t>)</w:t>
            </w:r>
            <w:r>
              <w:rPr>
                <w:rStyle w:val="Style10"/>
                <w:rFonts w:ascii="Times New Roman" w:hAnsi="Times New Roman" w:eastAsia="標楷體"/>
                <w:sz w:val="28"/>
                <w:szCs w:val="24"/>
                <w:lang w:val="en-US" w:eastAsia="zh-TW"/>
              </w:rPr>
              <w:t>。</w:t>
            </w:r>
          </w:p>
          <w:p>
            <w:pPr>
              <w:pStyle w:val="BodyText"/>
              <w:tabs>
                <w:tab w:val="clear" w:pos="480"/>
              </w:tabs>
              <w:snapToGrid w:val="false"/>
              <w:spacing w:lineRule="atLeast" w:line="240"/>
              <w:ind w:left="360" w:hanging="360"/>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pacing w:lineRule="atLeast" w:line="0"/>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jc w:val="both"/>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numPr>
                <w:ilvl w:val="0"/>
                <w:numId w:val="41"/>
              </w:numPr>
              <w:tabs>
                <w:tab w:val="clear" w:pos="480"/>
                <w:tab w:val="left" w:pos="797" w:leader="none"/>
              </w:tabs>
              <w:snapToGrid w:val="false"/>
              <w:spacing w:lineRule="atLeast" w:line="240"/>
              <w:ind w:left="797" w:hanging="797"/>
              <w:jc w:val="both"/>
              <w:rPr/>
            </w:pPr>
            <w:r>
              <w:rPr>
                <w:rStyle w:val="Style10"/>
                <w:rFonts w:ascii="Times New Roman" w:hAnsi="Times New Roman" w:eastAsia="標楷體"/>
                <w:sz w:val="28"/>
                <w:szCs w:val="24"/>
              </w:rPr>
              <w:t>督導人員至少應曾服務於中央衛生主管機關評鑑合格之精神醫療機構、精神復健機構，從事精神醫療相關工作滿</w:t>
            </w:r>
            <w:r>
              <w:rPr>
                <w:rStyle w:val="Style10"/>
                <w:rFonts w:eastAsia="標楷體" w:ascii="Times New Roman" w:hAnsi="Times New Roman"/>
                <w:sz w:val="28"/>
                <w:szCs w:val="24"/>
              </w:rPr>
              <w:t>4</w:t>
            </w:r>
            <w:r>
              <w:rPr>
                <w:rStyle w:val="Style10"/>
                <w:rFonts w:ascii="Times New Roman" w:hAnsi="Times New Roman" w:eastAsia="標楷體"/>
                <w:sz w:val="28"/>
                <w:szCs w:val="24"/>
              </w:rPr>
              <w:t>年以上之專業人員，並具備正確之社區復健概念。</w:t>
            </w:r>
          </w:p>
          <w:p>
            <w:pPr>
              <w:pStyle w:val="BodyText"/>
              <w:numPr>
                <w:ilvl w:val="0"/>
                <w:numId w:val="41"/>
              </w:numPr>
              <w:tabs>
                <w:tab w:val="clear" w:pos="480"/>
                <w:tab w:val="left" w:pos="797" w:leader="none"/>
              </w:tabs>
              <w:snapToGrid w:val="false"/>
              <w:spacing w:lineRule="atLeast" w:line="240"/>
              <w:ind w:left="797" w:hanging="797"/>
              <w:jc w:val="both"/>
              <w:rPr/>
            </w:pPr>
            <w:r>
              <w:rPr>
                <w:rStyle w:val="Style10"/>
                <w:rFonts w:ascii="Times New Roman" w:hAnsi="Times New Roman" w:eastAsia="標楷體"/>
                <w:sz w:val="28"/>
                <w:szCs w:val="24"/>
              </w:rPr>
              <w:t>督導內容包含社區復健理念、品質管理、個案討論、方案規劃、紀錄品質查核及個別住民復健計畫執行狀況等。</w:t>
            </w:r>
          </w:p>
          <w:p>
            <w:pPr>
              <w:pStyle w:val="BodyText"/>
              <w:numPr>
                <w:ilvl w:val="0"/>
                <w:numId w:val="41"/>
              </w:numPr>
              <w:tabs>
                <w:tab w:val="clear" w:pos="480"/>
                <w:tab w:val="left" w:pos="797" w:leader="none"/>
              </w:tabs>
              <w:snapToGrid w:val="false"/>
              <w:spacing w:lineRule="atLeast" w:line="240"/>
              <w:ind w:left="797" w:hanging="797"/>
              <w:jc w:val="both"/>
              <w:rPr/>
            </w:pPr>
            <w:r>
              <w:rPr>
                <w:rStyle w:val="Style10"/>
                <w:rFonts w:ascii="Times New Roman" w:hAnsi="Times New Roman" w:eastAsia="標楷體"/>
                <w:sz w:val="28"/>
                <w:szCs w:val="24"/>
              </w:rPr>
              <w:t>工作人員係指專任於機構者，含負責人、專業人員及專任管理人員。</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重</w:t>
            </w:r>
            <w:r>
              <w:rPr>
                <w:rStyle w:val="Style10"/>
                <w:rFonts w:eastAsia="標楷體" w:ascii="Times New Roman" w:hAnsi="Times New Roman"/>
                <w:sz w:val="28"/>
                <w:szCs w:val="28"/>
              </w:rPr>
              <w:t>1.4</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適切的日、夜間人力配置</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機構應有適切的日、夜間人力配置，以符合住民相關需求。</w:t>
            </w:r>
          </w:p>
          <w:p>
            <w:pPr>
              <w:pStyle w:val="BodyText"/>
              <w:tabs>
                <w:tab w:val="clear" w:pos="480"/>
              </w:tabs>
              <w:snapToGrid w:val="false"/>
              <w:spacing w:lineRule="atLeast" w:line="240" w:before="108" w:after="0"/>
              <w:ind w:left="459" w:hanging="425"/>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，且針對人力配置有檢討改進措施。</w:t>
            </w:r>
          </w:p>
          <w:p>
            <w:pPr>
              <w:pStyle w:val="BodyText"/>
              <w:tabs>
                <w:tab w:val="clear" w:pos="480"/>
              </w:tabs>
              <w:snapToGrid w:val="false"/>
              <w:spacing w:lineRule="atLeast" w:line="240"/>
              <w:ind w:left="459" w:hanging="425"/>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，且依住民功能需求、服務量及復健方案，調整人力配置。</w:t>
            </w:r>
          </w:p>
          <w:p>
            <w:pPr>
              <w:pStyle w:val="BodyText"/>
              <w:tabs>
                <w:tab w:val="clear" w:pos="480"/>
              </w:tabs>
              <w:snapToGrid w:val="false"/>
              <w:spacing w:lineRule="atLeast" w:line="240"/>
              <w:ind w:left="480" w:hanging="4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42"/>
              </w:numPr>
              <w:tabs>
                <w:tab w:val="left" w:pos="939" w:leader="none"/>
              </w:tabs>
              <w:snapToGrid w:val="false"/>
              <w:spacing w:lineRule="atLeast" w:line="240"/>
              <w:ind w:left="939" w:hanging="735"/>
              <w:jc w:val="both"/>
              <w:rPr/>
            </w:pPr>
            <w:r>
              <w:rPr>
                <w:rStyle w:val="Style10"/>
                <w:rFonts w:ascii="Times New Roman" w:hAnsi="Times New Roman" w:eastAsia="標楷體"/>
                <w:sz w:val="28"/>
                <w:szCs w:val="24"/>
                <w:lang w:val="en-US" w:eastAsia="zh-TW"/>
              </w:rPr>
              <w:t>機構</w:t>
            </w:r>
            <w:r>
              <w:rPr>
                <w:rStyle w:val="Style10"/>
                <w:rFonts w:eastAsia="標楷體" w:ascii="Times New Roman" w:hAnsi="Times New Roman"/>
                <w:sz w:val="28"/>
                <w:szCs w:val="24"/>
                <w:lang w:val="en-US" w:eastAsia="zh-TW"/>
              </w:rPr>
              <w:t>24</w:t>
            </w:r>
            <w:r>
              <w:rPr>
                <w:rStyle w:val="Style10"/>
                <w:rFonts w:ascii="Times New Roman" w:hAnsi="Times New Roman" w:eastAsia="標楷體"/>
                <w:sz w:val="28"/>
                <w:szCs w:val="24"/>
                <w:lang w:val="en-US" w:eastAsia="zh-TW"/>
              </w:rPr>
              <w:t>小時均應有該機構負責人、專任管理人員或專業人員於機構內提供服務。</w:t>
            </w:r>
          </w:p>
          <w:p>
            <w:pPr>
              <w:pStyle w:val="Style32"/>
              <w:numPr>
                <w:ilvl w:val="0"/>
                <w:numId w:val="42"/>
              </w:numPr>
              <w:tabs>
                <w:tab w:val="left" w:pos="939" w:leader="none"/>
              </w:tabs>
              <w:snapToGrid w:val="false"/>
              <w:spacing w:lineRule="atLeast" w:line="240"/>
              <w:ind w:left="939" w:hanging="735"/>
              <w:jc w:val="both"/>
              <w:rPr/>
            </w:pPr>
            <w:r>
              <w:rPr>
                <w:rStyle w:val="Style10"/>
                <w:rFonts w:ascii="Times New Roman" w:hAnsi="Times New Roman" w:eastAsia="標楷體"/>
                <w:sz w:val="28"/>
                <w:szCs w:val="24"/>
                <w:lang w:val="en-US" w:eastAsia="zh-TW"/>
              </w:rPr>
              <w:t>有適切的日、夜間人力配置，且有排班表及值班紀錄佐證。</w:t>
            </w:r>
          </w:p>
          <w:p>
            <w:pPr>
              <w:pStyle w:val="Style32"/>
              <w:numPr>
                <w:ilvl w:val="0"/>
                <w:numId w:val="42"/>
              </w:numPr>
              <w:tabs>
                <w:tab w:val="left" w:pos="939" w:leader="none"/>
              </w:tabs>
              <w:snapToGrid w:val="false"/>
              <w:spacing w:lineRule="atLeast" w:line="240"/>
              <w:ind w:left="939" w:hanging="735"/>
              <w:jc w:val="both"/>
              <w:rPr/>
            </w:pPr>
            <w:r>
              <w:rPr>
                <w:rStyle w:val="Style10"/>
                <w:rFonts w:ascii="Times New Roman" w:hAnsi="Times New Roman" w:eastAsia="標楷體"/>
                <w:sz w:val="28"/>
                <w:szCs w:val="24"/>
                <w:lang w:val="en-US" w:eastAsia="zh-TW"/>
              </w:rPr>
              <w:t>排班時數合理及排班人員符合要求。</w:t>
            </w:r>
          </w:p>
          <w:p>
            <w:pPr>
              <w:pStyle w:val="BodyText"/>
              <w:tabs>
                <w:tab w:val="clear" w:pos="480"/>
              </w:tabs>
              <w:snapToGrid w:val="false"/>
              <w:spacing w:lineRule="atLeast" w:line="240"/>
              <w:ind w:left="360" w:hanging="360"/>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360" w:hanging="360"/>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jc w:val="both"/>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spacing w:lineRule="atLeast" w:line="0"/>
              <w:jc w:val="both"/>
              <w:rPr/>
            </w:pPr>
            <w:r>
              <w:rPr>
                <w:rStyle w:val="Style10"/>
                <w:rFonts w:ascii="Times New Roman" w:hAnsi="Times New Roman" w:eastAsia="標楷體"/>
                <w:sz w:val="28"/>
                <w:szCs w:val="24"/>
              </w:rPr>
              <w:t>工作人員排班紀錄得參考勞動檢查相關紀錄。</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eastAsia="標楷體" w:ascii="Times New Roman" w:hAnsi="Times New Roman"/>
                <w:sz w:val="28"/>
                <w:szCs w:val="24"/>
              </w:rPr>
              <w:t>1.5</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工作人員定期接受健康檢查情形</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 w:val="28"/>
                <w:szCs w:val="24"/>
              </w:rPr>
              <w:t>目的：</w:t>
            </w:r>
          </w:p>
          <w:p>
            <w:pPr>
              <w:pStyle w:val="BodyText"/>
              <w:snapToGrid w:val="false"/>
              <w:jc w:val="both"/>
              <w:rPr/>
            </w:pPr>
            <w:r>
              <w:rPr>
                <w:rStyle w:val="Style10"/>
                <w:rFonts w:ascii="Times New Roman" w:hAnsi="Times New Roman" w:eastAsia="標楷體"/>
                <w:sz w:val="28"/>
                <w:szCs w:val="24"/>
              </w:rPr>
              <w:t>機構工作人員應定期接受健康檢查，</w:t>
            </w:r>
            <w:r>
              <w:rPr>
                <w:rStyle w:val="Style10"/>
                <w:rFonts w:ascii="Times New Roman" w:hAnsi="Times New Roman" w:eastAsia="標楷體"/>
                <w:kern w:val="0"/>
                <w:sz w:val="28"/>
                <w:szCs w:val="24"/>
              </w:rPr>
              <w:t>以維護住民與工作人員之安全。</w:t>
            </w:r>
          </w:p>
          <w:p>
            <w:pPr>
              <w:pStyle w:val="BodyText"/>
              <w:tabs>
                <w:tab w:val="clear" w:pos="480"/>
              </w:tabs>
              <w:snapToGrid w:val="false"/>
              <w:ind w:left="504" w:hanging="504"/>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，且執行成效良好。</w:t>
            </w:r>
          </w:p>
          <w:p>
            <w:pPr>
              <w:pStyle w:val="BodyText"/>
              <w:tabs>
                <w:tab w:val="clear" w:pos="480"/>
              </w:tabs>
              <w:snapToGrid w:val="false"/>
              <w:ind w:left="504" w:hanging="504"/>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，新進人員應於到職前完成健檢。</w:t>
            </w:r>
          </w:p>
          <w:p>
            <w:pPr>
              <w:pStyle w:val="BodyText"/>
              <w:snapToGrid w:val="false"/>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43"/>
              </w:numPr>
              <w:tabs>
                <w:tab w:val="clear" w:pos="480"/>
                <w:tab w:val="left" w:pos="939" w:leader="none"/>
              </w:tabs>
              <w:snapToGrid w:val="false"/>
              <w:ind w:left="939" w:hanging="764"/>
              <w:jc w:val="both"/>
              <w:rPr/>
            </w:pPr>
            <w:r>
              <w:rPr>
                <w:rStyle w:val="Style10"/>
                <w:rFonts w:ascii="Times New Roman" w:hAnsi="Times New Roman" w:eastAsia="標楷體"/>
                <w:sz w:val="28"/>
                <w:szCs w:val="24"/>
              </w:rPr>
              <w:t>機構有工作人員最近一年內健康檢查結果，其中肺結核檢查報告值（胸部</w:t>
            </w:r>
            <w:r>
              <w:rPr>
                <w:rStyle w:val="Style10"/>
                <w:rFonts w:eastAsia="標楷體" w:ascii="Times New Roman" w:hAnsi="Times New Roman"/>
                <w:sz w:val="28"/>
                <w:szCs w:val="24"/>
              </w:rPr>
              <w:t>X</w:t>
            </w:r>
            <w:r>
              <w:rPr>
                <w:rStyle w:val="Style10"/>
                <w:rFonts w:ascii="Times New Roman" w:hAnsi="Times New Roman" w:eastAsia="標楷體"/>
                <w:sz w:val="28"/>
                <w:szCs w:val="24"/>
              </w:rPr>
              <w:t>光）必須為正常。</w:t>
            </w:r>
          </w:p>
          <w:p>
            <w:pPr>
              <w:pStyle w:val="BodyText"/>
              <w:numPr>
                <w:ilvl w:val="0"/>
                <w:numId w:val="43"/>
              </w:numPr>
              <w:tabs>
                <w:tab w:val="clear" w:pos="480"/>
                <w:tab w:val="left" w:pos="939" w:leader="none"/>
              </w:tabs>
              <w:snapToGrid w:val="false"/>
              <w:ind w:left="939" w:hanging="764"/>
              <w:jc w:val="both"/>
              <w:rPr/>
            </w:pPr>
            <w:r>
              <w:rPr>
                <w:rStyle w:val="Style10"/>
                <w:rFonts w:ascii="Times New Roman" w:hAnsi="Times New Roman" w:eastAsia="標楷體"/>
                <w:sz w:val="28"/>
                <w:szCs w:val="24"/>
              </w:rPr>
              <w:t>其他檢查項目如有異常者，應有追蹤輔導紀錄。</w:t>
            </w:r>
          </w:p>
          <w:p>
            <w:pPr>
              <w:pStyle w:val="BodyText"/>
              <w:numPr>
                <w:ilvl w:val="0"/>
                <w:numId w:val="43"/>
              </w:numPr>
              <w:tabs>
                <w:tab w:val="clear" w:pos="480"/>
                <w:tab w:val="left" w:pos="939" w:leader="none"/>
              </w:tabs>
              <w:snapToGrid w:val="false"/>
              <w:ind w:left="939" w:hanging="764"/>
              <w:jc w:val="both"/>
              <w:rPr/>
            </w:pPr>
            <w:r>
              <w:rPr>
                <w:rStyle w:val="Style10"/>
                <w:rFonts w:ascii="Times New Roman" w:hAnsi="Times New Roman" w:eastAsia="標楷體"/>
                <w:sz w:val="28"/>
                <w:szCs w:val="24"/>
              </w:rPr>
              <w:t>參與例行備餐或執行與食品製作有關之工作訓練其工作人員健康檢查，另需包含</w:t>
            </w:r>
            <w:r>
              <w:rPr>
                <w:rStyle w:val="Style10"/>
                <w:rFonts w:eastAsia="標楷體" w:ascii="Times New Roman" w:hAnsi="Times New Roman"/>
                <w:sz w:val="28"/>
                <w:szCs w:val="24"/>
              </w:rPr>
              <w:t>A</w:t>
            </w:r>
            <w:r>
              <w:rPr>
                <w:rStyle w:val="Style10"/>
                <w:rFonts w:ascii="Times New Roman" w:hAnsi="Times New Roman" w:eastAsia="標楷體"/>
                <w:sz w:val="28"/>
                <w:szCs w:val="24"/>
              </w:rPr>
              <w:t>型肝炎、傷寒、桿菌痢疾及阿米巴痢疾。</w:t>
            </w:r>
          </w:p>
          <w:p>
            <w:pPr>
              <w:pStyle w:val="BodyText"/>
              <w:tabs>
                <w:tab w:val="clear" w:pos="480"/>
              </w:tabs>
              <w:snapToGrid w:val="false"/>
              <w:ind w:left="451" w:hanging="451"/>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ind w:left="451" w:hanging="451"/>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snapToGrid w:val="false"/>
              <w:spacing w:lineRule="atLeast" w:line="240"/>
              <w:rPr/>
            </w:pPr>
            <w:r>
              <w:rPr>
                <w:rStyle w:val="Style10"/>
                <w:rFonts w:ascii="Times New Roman" w:hAnsi="Times New Roman" w:eastAsia="標楷體"/>
                <w:sz w:val="28"/>
                <w:szCs w:val="24"/>
              </w:rPr>
              <w:t>工作人員包括自行聘用及外包之人力。</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1.6</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社區便利性</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jc w:val="both"/>
              <w:rPr/>
            </w:pPr>
            <w:r>
              <w:rPr>
                <w:rStyle w:val="Style10"/>
                <w:rFonts w:ascii="Times New Roman" w:hAnsi="Times New Roman" w:eastAsia="標楷體"/>
                <w:sz w:val="28"/>
                <w:szCs w:val="24"/>
              </w:rPr>
              <w:t>目的：</w:t>
            </w:r>
          </w:p>
          <w:p>
            <w:pPr>
              <w:pStyle w:val="BodyText"/>
              <w:snapToGrid w:val="false"/>
              <w:jc w:val="both"/>
              <w:rPr/>
            </w:pPr>
            <w:r>
              <w:rPr>
                <w:rStyle w:val="Style10"/>
                <w:rFonts w:ascii="Times New Roman" w:hAnsi="Times New Roman" w:eastAsia="標楷體"/>
                <w:sz w:val="28"/>
                <w:szCs w:val="24"/>
              </w:rPr>
              <w:t>機構應提高住民於社區中的便利性，以符合住民的相關需求。</w:t>
            </w:r>
          </w:p>
          <w:p>
            <w:pPr>
              <w:pStyle w:val="BodyText"/>
              <w:tabs>
                <w:tab w:val="clear" w:pos="480"/>
              </w:tabs>
              <w:snapToGrid w:val="false"/>
              <w:ind w:left="504" w:hanging="504"/>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，且能定期檢討及改善具體作為。</w:t>
            </w:r>
          </w:p>
          <w:p>
            <w:pPr>
              <w:pStyle w:val="BodyText"/>
              <w:tabs>
                <w:tab w:val="clear" w:pos="480"/>
              </w:tabs>
              <w:snapToGrid w:val="false"/>
              <w:ind w:left="504" w:hanging="504"/>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tabs>
                <w:tab w:val="clear" w:pos="480"/>
              </w:tabs>
              <w:snapToGrid w:val="false"/>
              <w:ind w:left="453" w:hanging="280"/>
              <w:jc w:val="both"/>
              <w:rPr/>
            </w:pPr>
            <w:r>
              <w:rPr>
                <w:rStyle w:val="Style10"/>
                <w:rFonts w:eastAsia="標楷體" w:ascii="Times New Roman" w:hAnsi="Times New Roman"/>
                <w:sz w:val="28"/>
                <w:szCs w:val="24"/>
              </w:rPr>
              <w:t>1.</w:t>
              <w:tab/>
            </w:r>
            <w:r>
              <w:rPr>
                <w:rStyle w:val="Style10"/>
                <w:rFonts w:ascii="Times New Roman" w:hAnsi="Times New Roman" w:eastAsia="標楷體"/>
                <w:sz w:val="28"/>
                <w:szCs w:val="24"/>
              </w:rPr>
              <w:t>以住民步行</w:t>
            </w:r>
            <w:r>
              <w:rPr>
                <w:rStyle w:val="Style10"/>
                <w:rFonts w:eastAsia="標楷體" w:ascii="Times New Roman" w:hAnsi="Times New Roman"/>
                <w:sz w:val="28"/>
                <w:szCs w:val="24"/>
              </w:rPr>
              <w:t>15</w:t>
            </w:r>
            <w:r>
              <w:rPr>
                <w:rStyle w:val="Style10"/>
                <w:rFonts w:ascii="Times New Roman" w:hAnsi="Times New Roman" w:eastAsia="標楷體"/>
                <w:sz w:val="28"/>
                <w:szCs w:val="24"/>
              </w:rPr>
              <w:t>分鐘內可抵達市場、商店、車站或其他社區資源。</w:t>
            </w:r>
          </w:p>
          <w:p>
            <w:pPr>
              <w:pStyle w:val="BodyText"/>
              <w:tabs>
                <w:tab w:val="clear" w:pos="480"/>
              </w:tabs>
              <w:snapToGrid w:val="false"/>
              <w:ind w:left="453" w:hanging="280"/>
              <w:jc w:val="both"/>
              <w:rPr/>
            </w:pPr>
            <w:r>
              <w:rPr>
                <w:rStyle w:val="Style10"/>
                <w:rFonts w:eastAsia="標楷體" w:ascii="Times New Roman" w:hAnsi="Times New Roman"/>
                <w:sz w:val="28"/>
                <w:szCs w:val="24"/>
              </w:rPr>
              <w:t>2.</w:t>
              <w:tab/>
            </w:r>
            <w:r>
              <w:rPr>
                <w:rStyle w:val="Style10"/>
                <w:rFonts w:ascii="Times New Roman" w:hAnsi="Times New Roman" w:eastAsia="標楷體"/>
                <w:sz w:val="28"/>
                <w:szCs w:val="24"/>
              </w:rPr>
              <w:t>機構設置地點沒有方便學員使用大眾運輸工具及社區資源，但有提供符合學員便利交通需求之具體作為。</w:t>
            </w:r>
          </w:p>
          <w:p>
            <w:pPr>
              <w:pStyle w:val="BodyText"/>
              <w:tabs>
                <w:tab w:val="clear" w:pos="480"/>
              </w:tabs>
              <w:snapToGrid w:val="false"/>
              <w:ind w:left="462" w:hanging="462"/>
              <w:jc w:val="both"/>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1.7</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復健資源開發及運用</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pPr>
            <w:r>
              <w:rPr>
                <w:rStyle w:val="Style10"/>
                <w:rFonts w:ascii="Times New Roman" w:hAnsi="Times New Roman" w:eastAsia="標楷體"/>
                <w:sz w:val="28"/>
                <w:szCs w:val="24"/>
              </w:rPr>
              <w:t>目的：</w:t>
            </w:r>
          </w:p>
          <w:p>
            <w:pPr>
              <w:pStyle w:val="BodyText"/>
              <w:snapToGrid w:val="false"/>
              <w:jc w:val="both"/>
              <w:rPr/>
            </w:pPr>
            <w:r>
              <w:rPr>
                <w:rStyle w:val="Style10"/>
                <w:rFonts w:ascii="Times New Roman" w:hAnsi="Times New Roman" w:eastAsia="標楷體"/>
                <w:sz w:val="28"/>
                <w:szCs w:val="24"/>
              </w:rPr>
              <w:t>復健資源係指引進、開發與結合有助於協助住民獨立生活訓練與社區生活適應有關之資源，增進住民的生活品質。</w:t>
            </w:r>
          </w:p>
          <w:p>
            <w:pPr>
              <w:pStyle w:val="BodyText"/>
              <w:tabs>
                <w:tab w:val="clear" w:pos="480"/>
              </w:tabs>
              <w:snapToGrid w:val="false"/>
              <w:spacing w:lineRule="atLeast" w:line="240" w:before="0" w:after="72"/>
              <w:ind w:left="476" w:hanging="476"/>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，且每年均有新的資源開發並能轉介運用。</w:t>
            </w:r>
          </w:p>
          <w:p>
            <w:pPr>
              <w:pStyle w:val="BodyText"/>
              <w:tabs>
                <w:tab w:val="clear" w:pos="480"/>
              </w:tabs>
              <w:snapToGrid w:val="false"/>
              <w:spacing w:lineRule="atLeast" w:line="240" w:before="0" w:after="72"/>
              <w:ind w:left="560" w:hanging="560"/>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，且能運用多元的社會資源融入住民之復健活動。</w:t>
            </w:r>
          </w:p>
          <w:p>
            <w:pPr>
              <w:pStyle w:val="BodyText"/>
              <w:tabs>
                <w:tab w:val="clear" w:pos="480"/>
              </w:tabs>
              <w:snapToGrid w:val="false"/>
              <w:spacing w:lineRule="atLeast" w:line="240" w:before="0" w:after="72"/>
              <w:ind w:left="560" w:hanging="560"/>
              <w:rPr/>
            </w:pPr>
            <w:r>
              <w:rPr>
                <w:rStyle w:val="Style10"/>
                <w:rFonts w:eastAsia="標楷體" w:ascii="Times New Roman" w:hAnsi="Times New Roman"/>
                <w:sz w:val="28"/>
                <w:szCs w:val="24"/>
              </w:rPr>
              <w:t>C</w:t>
            </w:r>
            <w:r>
              <w:rPr>
                <w:rStyle w:val="Style10"/>
                <w:rFonts w:ascii="Times New Roman" w:hAnsi="Times New Roman" w:eastAsia="標楷體"/>
                <w:sz w:val="28"/>
                <w:szCs w:val="24"/>
              </w:rPr>
              <w:t xml:space="preserve">： </w:t>
            </w:r>
          </w:p>
          <w:p>
            <w:pPr>
              <w:pStyle w:val="BodyText"/>
              <w:numPr>
                <w:ilvl w:val="0"/>
                <w:numId w:val="44"/>
              </w:numPr>
              <w:tabs>
                <w:tab w:val="clear" w:pos="480"/>
                <w:tab w:val="left" w:pos="939" w:leader="none"/>
              </w:tabs>
              <w:snapToGrid w:val="false"/>
              <w:spacing w:lineRule="atLeast" w:line="240" w:before="0" w:after="72"/>
              <w:ind w:left="939" w:hanging="764"/>
              <w:rPr/>
            </w:pPr>
            <w:r>
              <w:rPr>
                <w:rStyle w:val="Style10"/>
                <w:rFonts w:ascii="Times New Roman" w:hAnsi="Times New Roman" w:eastAsia="標楷體"/>
                <w:sz w:val="28"/>
                <w:szCs w:val="24"/>
              </w:rPr>
              <w:t>復健資源清冊內容完整詳實，利於住民與工作人員參考使用。</w:t>
            </w:r>
          </w:p>
          <w:p>
            <w:pPr>
              <w:pStyle w:val="BodyText"/>
              <w:numPr>
                <w:ilvl w:val="0"/>
                <w:numId w:val="44"/>
              </w:numPr>
              <w:tabs>
                <w:tab w:val="clear" w:pos="480"/>
                <w:tab w:val="left" w:pos="939" w:leader="none"/>
              </w:tabs>
              <w:snapToGrid w:val="false"/>
              <w:spacing w:lineRule="atLeast" w:line="240" w:before="0" w:after="72"/>
              <w:ind w:left="939" w:hanging="764"/>
              <w:rPr/>
            </w:pPr>
            <w:r>
              <w:rPr>
                <w:rStyle w:val="Style10"/>
                <w:rFonts w:ascii="Times New Roman" w:hAnsi="Times New Roman" w:eastAsia="標楷體"/>
                <w:sz w:val="28"/>
                <w:szCs w:val="24"/>
              </w:rPr>
              <w:t>運用相關資源，並有具體實例及紀錄。</w:t>
            </w:r>
          </w:p>
          <w:p>
            <w:pPr>
              <w:pStyle w:val="BodyText"/>
              <w:numPr>
                <w:ilvl w:val="0"/>
                <w:numId w:val="44"/>
              </w:numPr>
              <w:tabs>
                <w:tab w:val="clear" w:pos="480"/>
                <w:tab w:val="left" w:pos="939" w:leader="none"/>
              </w:tabs>
              <w:snapToGrid w:val="false"/>
              <w:spacing w:lineRule="atLeast" w:line="240" w:before="0" w:after="72"/>
              <w:ind w:left="939" w:hanging="764"/>
              <w:rPr/>
            </w:pPr>
            <w:r>
              <w:rPr>
                <w:rStyle w:val="Style10"/>
                <w:rFonts w:ascii="Times New Roman" w:hAnsi="Times New Roman" w:eastAsia="標楷體"/>
                <w:sz w:val="28"/>
                <w:szCs w:val="24"/>
              </w:rPr>
              <w:t>定期資源盤點與檢討。</w:t>
            </w:r>
          </w:p>
          <w:p>
            <w:pPr>
              <w:pStyle w:val="BodyText"/>
              <w:tabs>
                <w:tab w:val="clear" w:pos="480"/>
              </w:tabs>
              <w:snapToGrid w:val="false"/>
              <w:spacing w:lineRule="atLeast" w:line="240" w:before="0" w:after="72"/>
              <w:ind w:left="560" w:hanging="56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1.8</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日常活動空間</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機構應依住民人數、復健治療方案或活動設計，配置適當且符合住民需求之日常活動空間（含餐廳、客廳休閒、復健活動空間等）。</w:t>
            </w:r>
          </w:p>
          <w:p>
            <w:pPr>
              <w:pStyle w:val="BodyText"/>
              <w:tabs>
                <w:tab w:val="clear" w:pos="480"/>
              </w:tabs>
              <w:snapToGrid w:val="false"/>
              <w:spacing w:lineRule="atLeast" w:line="240"/>
              <w:ind w:left="396" w:hanging="396"/>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，且住民共同參與空間綠化及美化。</w:t>
            </w:r>
          </w:p>
          <w:p>
            <w:pPr>
              <w:pStyle w:val="BodyText"/>
              <w:tabs>
                <w:tab w:val="clear" w:pos="480"/>
              </w:tabs>
              <w:snapToGrid w:val="false"/>
              <w:spacing w:lineRule="atLeast" w:line="240"/>
              <w:ind w:left="396" w:hanging="396"/>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，且溫馨舒適。</w:t>
            </w:r>
          </w:p>
          <w:p>
            <w:pPr>
              <w:pStyle w:val="BodyText"/>
              <w:tabs>
                <w:tab w:val="clear" w:pos="480"/>
              </w:tabs>
              <w:snapToGrid w:val="false"/>
              <w:spacing w:lineRule="atLeast" w:line="240"/>
              <w:ind w:left="480" w:hanging="48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45"/>
              </w:numPr>
              <w:tabs>
                <w:tab w:val="left" w:pos="896" w:leader="none"/>
              </w:tabs>
              <w:snapToGrid w:val="false"/>
              <w:spacing w:lineRule="atLeast" w:line="240"/>
              <w:ind w:left="896" w:hanging="644"/>
              <w:jc w:val="both"/>
              <w:rPr/>
            </w:pPr>
            <w:r>
              <w:rPr>
                <w:rStyle w:val="Style10"/>
                <w:rFonts w:ascii="Times New Roman" w:hAnsi="Times New Roman" w:eastAsia="標楷體"/>
                <w:sz w:val="28"/>
                <w:szCs w:val="24"/>
                <w:lang w:val="en-US" w:eastAsia="zh-TW"/>
              </w:rPr>
              <w:t>有適當的日常生活空間且安全衛生無異味。</w:t>
            </w:r>
          </w:p>
          <w:p>
            <w:pPr>
              <w:pStyle w:val="Style32"/>
              <w:numPr>
                <w:ilvl w:val="0"/>
                <w:numId w:val="45"/>
              </w:numPr>
              <w:tabs>
                <w:tab w:val="left" w:pos="896" w:leader="none"/>
              </w:tabs>
              <w:snapToGrid w:val="false"/>
              <w:spacing w:lineRule="atLeast" w:line="240"/>
              <w:ind w:left="896" w:hanging="644"/>
              <w:jc w:val="both"/>
              <w:rPr/>
            </w:pPr>
            <w:r>
              <w:rPr>
                <w:rStyle w:val="Style10"/>
                <w:rFonts w:ascii="Times New Roman" w:hAnsi="Times New Roman" w:eastAsia="標楷體"/>
                <w:sz w:val="28"/>
                <w:szCs w:val="24"/>
                <w:lang w:val="en-US" w:eastAsia="zh-TW"/>
              </w:rPr>
              <w:t>符合住民需要且家庭化。</w:t>
            </w:r>
          </w:p>
          <w:p>
            <w:pPr>
              <w:pStyle w:val="Style32"/>
              <w:numPr>
                <w:ilvl w:val="0"/>
                <w:numId w:val="45"/>
              </w:numPr>
              <w:tabs>
                <w:tab w:val="left" w:pos="896" w:leader="none"/>
              </w:tabs>
              <w:snapToGrid w:val="false"/>
              <w:spacing w:lineRule="atLeast" w:line="240"/>
              <w:ind w:left="896" w:hanging="644"/>
              <w:jc w:val="both"/>
              <w:rPr/>
            </w:pPr>
            <w:r>
              <w:rPr>
                <w:rStyle w:val="Style10"/>
                <w:rFonts w:ascii="Times New Roman" w:hAnsi="Times New Roman" w:eastAsia="標楷體"/>
                <w:sz w:val="28"/>
                <w:szCs w:val="24"/>
                <w:lang w:val="en-US" w:eastAsia="zh-TW"/>
              </w:rPr>
              <w:t>住民與工作人員可共同使用空間與設備無區分、區隔。</w:t>
            </w:r>
          </w:p>
          <w:p>
            <w:pPr>
              <w:pStyle w:val="BodyText"/>
              <w:tabs>
                <w:tab w:val="clear" w:pos="480"/>
              </w:tabs>
              <w:snapToGrid w:val="false"/>
              <w:spacing w:lineRule="atLeast" w:line="240"/>
              <w:ind w:left="480" w:hanging="48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0" w:after="108"/>
              <w:ind w:left="384" w:hanging="384"/>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before="108" w:after="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numPr>
                <w:ilvl w:val="0"/>
                <w:numId w:val="46"/>
              </w:numPr>
              <w:tabs>
                <w:tab w:val="clear" w:pos="480"/>
                <w:tab w:val="left" w:pos="797" w:leader="none"/>
              </w:tabs>
              <w:snapToGrid w:val="false"/>
              <w:spacing w:lineRule="atLeast" w:line="240" w:before="108" w:after="0"/>
              <w:ind w:left="797" w:hanging="797"/>
              <w:jc w:val="both"/>
              <w:rPr/>
            </w:pPr>
            <w:r>
              <w:rPr>
                <w:rStyle w:val="Style10"/>
                <w:rFonts w:ascii="Times New Roman" w:hAnsi="Times New Roman" w:eastAsia="標楷體"/>
                <w:sz w:val="28"/>
                <w:szCs w:val="24"/>
              </w:rPr>
              <w:t>於機構內從事代工，不得佔用日常活動空間，並檢視有無影響住民之生活品質。</w:t>
            </w:r>
          </w:p>
          <w:p>
            <w:pPr>
              <w:pStyle w:val="BodyText"/>
              <w:numPr>
                <w:ilvl w:val="0"/>
                <w:numId w:val="46"/>
              </w:numPr>
              <w:tabs>
                <w:tab w:val="clear" w:pos="480"/>
                <w:tab w:val="left" w:pos="797" w:leader="none"/>
              </w:tabs>
              <w:snapToGrid w:val="false"/>
              <w:spacing w:lineRule="atLeast" w:line="240" w:before="108" w:after="0"/>
              <w:ind w:left="797" w:hanging="797"/>
              <w:jc w:val="both"/>
              <w:rPr/>
            </w:pPr>
            <w:r>
              <w:rPr>
                <w:rStyle w:val="Style10"/>
                <w:rFonts w:ascii="Times New Roman" w:hAnsi="Times New Roman" w:eastAsia="標楷體"/>
                <w:sz w:val="28"/>
                <w:szCs w:val="24"/>
              </w:rPr>
              <w:t>未登記立案之空間所放置的復健治療設施，不納入計算。</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1.9</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健身及康樂設施</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1</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26" w:firstLine="31"/>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機構應依住民人數，配置適當且符合住民需求之健身及康樂設施，以提供住民使用。</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，且結合與運用社區的設施設備。</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，且設備數量充足、功能良好，並能充分使用。</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47"/>
              </w:numPr>
              <w:tabs>
                <w:tab w:val="clear" w:pos="480"/>
                <w:tab w:val="left" w:pos="939" w:leader="none"/>
              </w:tabs>
              <w:snapToGrid w:val="false"/>
              <w:spacing w:lineRule="atLeast" w:line="240" w:before="72" w:after="0"/>
              <w:ind w:left="939" w:hanging="764"/>
              <w:rPr/>
            </w:pPr>
            <w:r>
              <w:rPr>
                <w:rStyle w:val="Style10"/>
                <w:rFonts w:ascii="Times New Roman" w:hAnsi="Times New Roman" w:eastAsia="標楷體"/>
                <w:bCs/>
                <w:sz w:val="28"/>
                <w:szCs w:val="24"/>
              </w:rPr>
              <w:t>設施設備適當且符合住民需求並有常態性活動安排。</w:t>
            </w:r>
          </w:p>
          <w:p>
            <w:pPr>
              <w:pStyle w:val="BodyText"/>
              <w:numPr>
                <w:ilvl w:val="0"/>
                <w:numId w:val="47"/>
              </w:numPr>
              <w:tabs>
                <w:tab w:val="clear" w:pos="480"/>
                <w:tab w:val="left" w:pos="939" w:leader="none"/>
              </w:tabs>
              <w:snapToGrid w:val="false"/>
              <w:spacing w:lineRule="atLeast" w:line="240" w:before="72" w:after="0"/>
              <w:ind w:left="939" w:hanging="764"/>
              <w:rPr/>
            </w:pPr>
            <w:r>
              <w:rPr>
                <w:rStyle w:val="Style10"/>
                <w:rFonts w:ascii="Times New Roman" w:hAnsi="Times New Roman" w:eastAsia="標楷體"/>
                <w:bCs/>
                <w:sz w:val="28"/>
                <w:szCs w:val="24"/>
              </w:rPr>
              <w:t>應有適當維護及安全措施。</w:t>
            </w:r>
          </w:p>
          <w:p>
            <w:pPr>
              <w:pStyle w:val="BodyText"/>
              <w:tabs>
                <w:tab w:val="clear" w:pos="480"/>
              </w:tabs>
              <w:snapToGrid w:val="false"/>
              <w:spacing w:lineRule="atLeast" w:line="240"/>
              <w:ind w:left="398" w:hanging="398"/>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398" w:hanging="398"/>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tabs>
                <w:tab w:val="clear" w:pos="480"/>
              </w:tabs>
              <w:snapToGrid w:val="false"/>
              <w:spacing w:lineRule="atLeast" w:line="240" w:before="108" w:after="0"/>
              <w:ind w:left="192" w:hanging="192"/>
              <w:rPr/>
            </w:pPr>
            <w:r>
              <w:rPr>
                <w:rStyle w:val="Style10"/>
                <w:rFonts w:eastAsia="標楷體" w:ascii="Times New Roman" w:hAnsi="Times New Roman"/>
                <w:sz w:val="28"/>
                <w:szCs w:val="24"/>
              </w:rPr>
              <w:t>1.</w:t>
            </w:r>
            <w:r>
              <w:rPr>
                <w:rStyle w:val="Style10"/>
                <w:rFonts w:ascii="Times New Roman" w:hAnsi="Times New Roman" w:eastAsia="標楷體"/>
                <w:sz w:val="28"/>
                <w:szCs w:val="24"/>
              </w:rPr>
              <w:t>健身設備如：跑步機、腳踏車、划船器、運動墊或各類球類設備等（另戶外空間活動如：籃球場、社區運動相關設施需有資料佐證）。</w:t>
            </w:r>
          </w:p>
          <w:p>
            <w:pPr>
              <w:pStyle w:val="BodyText"/>
              <w:tabs>
                <w:tab w:val="clear" w:pos="480"/>
              </w:tabs>
              <w:snapToGrid w:val="false"/>
              <w:spacing w:lineRule="atLeast" w:line="240"/>
              <w:ind w:left="192" w:hanging="192"/>
              <w:rPr/>
            </w:pPr>
            <w:r>
              <w:rPr>
                <w:rStyle w:val="Style10"/>
                <w:rFonts w:eastAsia="標楷體" w:ascii="Times New Roman" w:hAnsi="Times New Roman"/>
                <w:sz w:val="28"/>
                <w:szCs w:val="24"/>
              </w:rPr>
              <w:t>2.</w:t>
            </w:r>
            <w:r>
              <w:rPr>
                <w:rStyle w:val="Style10"/>
                <w:rFonts w:ascii="Times New Roman" w:hAnsi="Times New Roman" w:eastAsia="標楷體"/>
                <w:sz w:val="28"/>
                <w:szCs w:val="24"/>
              </w:rPr>
              <w:t>康樂設備如：音響、電視、</w:t>
            </w:r>
            <w:r>
              <w:rPr>
                <w:rStyle w:val="Style10"/>
                <w:rFonts w:eastAsia="標楷體" w:ascii="Times New Roman" w:hAnsi="Times New Roman"/>
                <w:sz w:val="28"/>
                <w:szCs w:val="24"/>
              </w:rPr>
              <w:t>DVD</w:t>
            </w:r>
            <w:r>
              <w:rPr>
                <w:rStyle w:val="Style10"/>
                <w:rFonts w:ascii="Times New Roman" w:hAnsi="Times New Roman" w:eastAsia="標楷體"/>
                <w:sz w:val="28"/>
                <w:szCs w:val="24"/>
              </w:rPr>
              <w:t>、伴唱機、各式棋類</w:t>
            </w:r>
            <w:r>
              <w:rPr>
                <w:rStyle w:val="Style10"/>
                <w:rFonts w:eastAsia="標楷體" w:ascii="Times New Roman" w:hAnsi="Times New Roman"/>
                <w:sz w:val="28"/>
                <w:szCs w:val="24"/>
              </w:rPr>
              <w:t>/</w:t>
            </w:r>
            <w:r>
              <w:rPr>
                <w:rStyle w:val="Style10"/>
                <w:rFonts w:ascii="Times New Roman" w:hAnsi="Times New Roman" w:eastAsia="標楷體"/>
                <w:sz w:val="28"/>
                <w:szCs w:val="24"/>
              </w:rPr>
              <w:t>牌類、報紙或書刊等。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1.10</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廚房空間及設施</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ind w:left="-26" w:firstLine="31"/>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機構應依住民人數，配置適當且符合住民需求之廚房空間及設施，以提供住民使用。</w:t>
            </w:r>
          </w:p>
          <w:p>
            <w:pPr>
              <w:pStyle w:val="BodyText"/>
              <w:tabs>
                <w:tab w:val="clear" w:pos="480"/>
              </w:tabs>
              <w:snapToGrid w:val="false"/>
              <w:spacing w:lineRule="atLeast" w:line="240" w:before="108" w:after="0"/>
              <w:ind w:left="408" w:hanging="40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 xml:space="preserve">，且設備完善、品質良好，住民可自主管理。 </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，且設備種類、數量充足，住民有充分使用。</w:t>
            </w:r>
          </w:p>
          <w:p>
            <w:pPr>
              <w:pStyle w:val="BodyText"/>
              <w:tabs>
                <w:tab w:val="clear" w:pos="480"/>
              </w:tabs>
              <w:snapToGrid w:val="false"/>
              <w:spacing w:lineRule="atLeast" w:line="240"/>
              <w:ind w:left="480" w:hanging="48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tabs>
                <w:tab w:val="clear" w:pos="480"/>
              </w:tabs>
              <w:snapToGrid w:val="false"/>
              <w:spacing w:lineRule="atLeast" w:line="240"/>
              <w:ind w:left="432" w:hanging="192"/>
              <w:rPr/>
            </w:pPr>
            <w:r>
              <w:rPr>
                <w:rStyle w:val="Style10"/>
                <w:rFonts w:eastAsia="標楷體" w:ascii="Times New Roman" w:hAnsi="Times New Roman"/>
                <w:sz w:val="28"/>
                <w:szCs w:val="24"/>
              </w:rPr>
              <w:t>1.</w:t>
            </w:r>
            <w:r>
              <w:rPr>
                <w:rStyle w:val="Style10"/>
                <w:rFonts w:ascii="Times New Roman" w:hAnsi="Times New Roman" w:eastAsia="標楷體"/>
                <w:sz w:val="28"/>
                <w:szCs w:val="24"/>
              </w:rPr>
              <w:t>空間適當，且有生活訓練所需、安全、方便使用之家庭式廚房設備（如：電冰箱、炊具、廚具、抽油煙機、餐具等）。</w:t>
            </w:r>
          </w:p>
          <w:p>
            <w:pPr>
              <w:pStyle w:val="BodyText"/>
              <w:tabs>
                <w:tab w:val="clear" w:pos="480"/>
              </w:tabs>
              <w:snapToGrid w:val="false"/>
              <w:spacing w:lineRule="atLeast" w:line="240"/>
              <w:ind w:left="432" w:hanging="192"/>
              <w:rPr/>
            </w:pPr>
            <w:r>
              <w:rPr>
                <w:rStyle w:val="Style10"/>
                <w:rFonts w:eastAsia="標楷體" w:ascii="Times New Roman" w:hAnsi="Times New Roman"/>
                <w:sz w:val="28"/>
                <w:szCs w:val="24"/>
              </w:rPr>
              <w:t>2.</w:t>
            </w:r>
            <w:r>
              <w:rPr>
                <w:rStyle w:val="Style10"/>
                <w:rFonts w:ascii="Times New Roman" w:hAnsi="Times New Roman" w:eastAsia="標楷體"/>
                <w:sz w:val="28"/>
                <w:szCs w:val="24"/>
              </w:rPr>
              <w:t xml:space="preserve">定期清潔與維護。 </w:t>
            </w:r>
          </w:p>
          <w:p>
            <w:pPr>
              <w:pStyle w:val="BodyText"/>
              <w:tabs>
                <w:tab w:val="clear" w:pos="480"/>
              </w:tabs>
              <w:snapToGrid w:val="false"/>
              <w:spacing w:lineRule="atLeast" w:line="240"/>
              <w:ind w:left="396" w:hanging="396"/>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80" w:hanging="48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rPr/>
            </w:pPr>
            <w:r>
              <w:rPr>
                <w:rStyle w:val="Style10"/>
                <w:rFonts w:ascii="Times New Roman" w:hAnsi="Times New Roman" w:eastAsia="標楷體"/>
                <w:sz w:val="28"/>
                <w:szCs w:val="24"/>
              </w:rPr>
              <w:t>可</w:t>
            </w:r>
            <w:r>
              <w:rPr>
                <w:rStyle w:val="Style10"/>
                <w:rFonts w:eastAsia="標楷體" w:ascii="Times New Roman" w:hAnsi="Times New Roman"/>
                <w:sz w:val="28"/>
                <w:szCs w:val="24"/>
              </w:rPr>
              <w:t>1.11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前次評鑑建議事項辦理情形確實且具成效</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pPr>
            <w:r>
              <w:rPr>
                <w:rStyle w:val="Style10"/>
                <w:rFonts w:ascii="Times New Roman" w:hAnsi="Times New Roman" w:eastAsia="標楷體"/>
                <w:sz w:val="28"/>
                <w:szCs w:val="24"/>
              </w:rPr>
              <w:t>目的：</w:t>
            </w:r>
          </w:p>
          <w:p>
            <w:pPr>
              <w:pStyle w:val="BodyText"/>
              <w:snapToGrid w:val="false"/>
              <w:spacing w:lineRule="atLeast" w:line="240" w:before="72" w:after="0"/>
              <w:jc w:val="both"/>
              <w:rPr/>
            </w:pPr>
            <w:r>
              <w:rPr>
                <w:rStyle w:val="Style10"/>
                <w:rFonts w:ascii="Times New Roman" w:hAnsi="Times New Roman" w:eastAsia="標楷體"/>
                <w:sz w:val="28"/>
                <w:szCs w:val="24"/>
              </w:rPr>
              <w:t>機構應對前次評鑑改善事項進行檢討，提出改善措施並落實執行，提升機構服務品質與經營管理成效。</w:t>
            </w:r>
          </w:p>
          <w:p>
            <w:pPr>
              <w:pStyle w:val="BodyText"/>
              <w:tabs>
                <w:tab w:val="clear" w:pos="480"/>
              </w:tabs>
              <w:snapToGrid w:val="false"/>
              <w:spacing w:lineRule="atLeast" w:line="240" w:before="72" w:after="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，且前次評鑑所有建議事項皆完全改善。</w:t>
            </w:r>
          </w:p>
          <w:p>
            <w:pPr>
              <w:pStyle w:val="BodyText"/>
              <w:tabs>
                <w:tab w:val="clear" w:pos="480"/>
              </w:tabs>
              <w:snapToGrid w:val="false"/>
              <w:spacing w:lineRule="atLeast" w:line="240" w:before="72" w:after="0"/>
              <w:ind w:left="448" w:hanging="448"/>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，且改善措施確有成效。</w:t>
            </w:r>
          </w:p>
          <w:p>
            <w:pPr>
              <w:pStyle w:val="BodyText"/>
              <w:tabs>
                <w:tab w:val="clear" w:pos="480"/>
              </w:tabs>
              <w:snapToGrid w:val="false"/>
              <w:spacing w:lineRule="atLeast" w:line="240"/>
              <w:ind w:left="476" w:hanging="476"/>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：前次評鑑建議事項有具體改善措施，並有相關佐證資料；無法改善事項有確實說明，經查證屬實，且不影響住民之照顧安全。</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0" w:after="72"/>
              <w:ind w:left="456" w:hanging="456"/>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numPr>
                <w:ilvl w:val="0"/>
                <w:numId w:val="48"/>
              </w:numPr>
              <w:tabs>
                <w:tab w:val="clear" w:pos="480"/>
                <w:tab w:val="left" w:pos="736" w:leader="none"/>
              </w:tabs>
              <w:snapToGrid w:val="false"/>
              <w:spacing w:lineRule="atLeast" w:line="240" w:before="0" w:after="72"/>
              <w:ind w:left="736" w:hanging="736"/>
              <w:jc w:val="both"/>
              <w:rPr/>
            </w:pPr>
            <w:r>
              <w:rPr>
                <w:rStyle w:val="Style10"/>
                <w:rFonts w:ascii="Times New Roman" w:hAnsi="Times New Roman" w:eastAsia="標楷體"/>
                <w:bCs/>
                <w:sz w:val="28"/>
                <w:szCs w:val="24"/>
              </w:rPr>
              <w:t>機構因故歇業，由另一位負責人，於原址重新申請開業者（即俗稱變更負責人），需提報前次評鑑建議事項辦理情形。</w:t>
            </w:r>
          </w:p>
          <w:p>
            <w:pPr>
              <w:pStyle w:val="BodyText"/>
              <w:numPr>
                <w:ilvl w:val="0"/>
                <w:numId w:val="48"/>
              </w:numPr>
              <w:tabs>
                <w:tab w:val="clear" w:pos="480"/>
                <w:tab w:val="left" w:pos="736" w:leader="none"/>
              </w:tabs>
              <w:snapToGrid w:val="false"/>
              <w:spacing w:lineRule="atLeast" w:line="240" w:before="0" w:after="72"/>
              <w:ind w:left="736" w:hanging="736"/>
              <w:jc w:val="both"/>
              <w:rPr/>
            </w:pPr>
            <w:r>
              <w:rPr>
                <w:rStyle w:val="Style10"/>
                <w:rFonts w:ascii="Times New Roman" w:hAnsi="Times New Roman" w:eastAsia="標楷體"/>
                <w:sz w:val="28"/>
                <w:szCs w:val="24"/>
              </w:rPr>
              <w:t>本條文所指「前次評鑑之建議改善事項」係包含機構評鑑結果意見表中之「改善意見」、「建議意見」及「綜合意見」，機構應有相關改善作為</w:t>
            </w:r>
            <w:r>
              <w:rPr>
                <w:rStyle w:val="Style10"/>
                <w:rFonts w:eastAsia="標楷體" w:ascii="Times New Roman" w:hAnsi="Times New Roman"/>
                <w:sz w:val="28"/>
                <w:szCs w:val="24"/>
              </w:rPr>
              <w:t>(</w:t>
            </w:r>
            <w:r>
              <w:rPr>
                <w:rStyle w:val="Style10"/>
                <w:rFonts w:ascii="Times New Roman" w:hAnsi="Times New Roman" w:eastAsia="標楷體"/>
                <w:sz w:val="28"/>
                <w:szCs w:val="24"/>
              </w:rPr>
              <w:t>如檢討、擬定措施等</w:t>
            </w:r>
            <w:r>
              <w:rPr>
                <w:rStyle w:val="Style10"/>
                <w:rFonts w:eastAsia="標楷體" w:ascii="Times New Roman" w:hAnsi="Times New Roman"/>
                <w:sz w:val="28"/>
                <w:szCs w:val="24"/>
              </w:rPr>
              <w:t>)</w:t>
            </w:r>
            <w:r>
              <w:rPr>
                <w:rStyle w:val="Style10"/>
                <w:rFonts w:ascii="Times New Roman" w:hAnsi="Times New Roman" w:eastAsia="標楷體"/>
                <w:sz w:val="28"/>
                <w:szCs w:val="24"/>
              </w:rPr>
              <w:t>，並依規劃時程進行改善。</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rPr>
                <w:rFonts w:ascii="Times New Roman" w:hAnsi="Times New Roman" w:eastAsia="標楷體"/>
                <w:sz w:val="28"/>
                <w:szCs w:val="24"/>
              </w:rPr>
            </w:pPr>
            <w:r>
              <w:rPr>
                <w:rFonts w:eastAsia="標楷體" w:ascii="Times New Roman" w:hAnsi="Times New Roman"/>
                <w:sz w:val="28"/>
                <w:szCs w:val="24"/>
              </w:rPr>
              <w:t>1.12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評鑑資料填寫及實地評鑑簡報品質良好</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0"/>
              <w:jc w:val="both"/>
              <w:rPr/>
            </w:pPr>
            <w:r>
              <w:rPr>
                <w:rStyle w:val="Style10"/>
                <w:rFonts w:ascii="Times New Roman" w:hAnsi="Times New Roman" w:eastAsia="標楷體"/>
                <w:sz w:val="28"/>
                <w:szCs w:val="24"/>
              </w:rPr>
              <w:t>目的：</w:t>
            </w:r>
          </w:p>
          <w:p>
            <w:pPr>
              <w:pStyle w:val="BodyText"/>
              <w:snapToGrid w:val="false"/>
              <w:spacing w:lineRule="atLeast" w:line="240" w:before="72" w:after="0"/>
              <w:jc w:val="both"/>
              <w:rPr/>
            </w:pPr>
            <w:r>
              <w:rPr>
                <w:rStyle w:val="Style10"/>
                <w:rFonts w:ascii="Times New Roman" w:hAnsi="Times New Roman" w:eastAsia="標楷體"/>
                <w:sz w:val="28"/>
                <w:szCs w:val="24"/>
              </w:rPr>
              <w:t>機構應及時提供正確資料與精簡扼要之簡報內容，協助評鑑委員了解機構實際經營管理狀況及特色。</w:t>
            </w:r>
          </w:p>
          <w:p>
            <w:pPr>
              <w:pStyle w:val="BodyText"/>
              <w:tabs>
                <w:tab w:val="clear" w:pos="480"/>
              </w:tabs>
              <w:ind w:left="467" w:hanging="49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，且實地評鑑簡報內容確實、精簡扼要，呈現機構特色及經營管理與業務狀況。</w:t>
            </w:r>
          </w:p>
          <w:p>
            <w:pPr>
              <w:pStyle w:val="BodyText"/>
              <w:tabs>
                <w:tab w:val="clear" w:pos="480"/>
              </w:tabs>
              <w:ind w:left="467" w:hanging="496"/>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，且評鑑資料依規定填寫完整無缺漏，詳實反應機構實際經營管理與業務狀況，並與簡報資料有一致性。</w:t>
            </w:r>
          </w:p>
          <w:p>
            <w:pPr>
              <w:pStyle w:val="BodyText"/>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49"/>
              </w:numPr>
              <w:tabs>
                <w:tab w:val="left" w:pos="939" w:leader="none"/>
              </w:tabs>
              <w:ind w:left="939" w:hanging="735"/>
              <w:jc w:val="both"/>
              <w:rPr/>
            </w:pPr>
            <w:r>
              <w:rPr>
                <w:rStyle w:val="Style10"/>
                <w:rFonts w:ascii="Times New Roman" w:hAnsi="Times New Roman" w:eastAsia="標楷體"/>
                <w:sz w:val="28"/>
                <w:szCs w:val="24"/>
                <w:lang w:val="en-US" w:eastAsia="zh-TW"/>
              </w:rPr>
              <w:t>評鑑資料之填寫正確詳實且呈現機構實際經營管理與業務狀況。</w:t>
            </w:r>
          </w:p>
          <w:p>
            <w:pPr>
              <w:pStyle w:val="Style32"/>
              <w:numPr>
                <w:ilvl w:val="0"/>
                <w:numId w:val="49"/>
              </w:numPr>
              <w:tabs>
                <w:tab w:val="left" w:pos="939" w:leader="none"/>
              </w:tabs>
              <w:ind w:left="939" w:hanging="735"/>
              <w:jc w:val="both"/>
              <w:rPr/>
            </w:pPr>
            <w:r>
              <w:rPr>
                <w:rStyle w:val="Style10"/>
                <w:rFonts w:ascii="Times New Roman" w:hAnsi="Times New Roman" w:eastAsia="標楷體"/>
                <w:sz w:val="28"/>
                <w:szCs w:val="24"/>
                <w:lang w:val="en-US" w:eastAsia="zh-TW"/>
              </w:rPr>
              <w:t>實地評鑑時，應呈現前次評鑑當年度至此次評鑑前</w:t>
            </w:r>
            <w:r>
              <w:rPr>
                <w:rStyle w:val="Style10"/>
                <w:rFonts w:eastAsia="標楷體" w:ascii="Times New Roman" w:hAnsi="Times New Roman"/>
                <w:sz w:val="28"/>
                <w:szCs w:val="24"/>
                <w:lang w:val="en-US" w:eastAsia="zh-TW"/>
              </w:rPr>
              <w:t>1</w:t>
            </w:r>
            <w:r>
              <w:rPr>
                <w:rStyle w:val="Style10"/>
                <w:rFonts w:ascii="Times New Roman" w:hAnsi="Times New Roman" w:eastAsia="標楷體"/>
                <w:sz w:val="28"/>
                <w:szCs w:val="24"/>
                <w:lang w:val="en-US" w:eastAsia="zh-TW"/>
              </w:rPr>
              <w:t>個月之相關資料。更換負責人，仍應呈現上述資料。</w:t>
            </w:r>
          </w:p>
          <w:p>
            <w:pPr>
              <w:pStyle w:val="Style32"/>
              <w:numPr>
                <w:ilvl w:val="0"/>
                <w:numId w:val="49"/>
              </w:numPr>
              <w:tabs>
                <w:tab w:val="left" w:pos="939" w:leader="none"/>
              </w:tabs>
              <w:ind w:left="939" w:hanging="735"/>
              <w:jc w:val="both"/>
              <w:rPr/>
            </w:pPr>
            <w:r>
              <w:rPr>
                <w:rStyle w:val="Style10"/>
                <w:rFonts w:ascii="Times New Roman" w:hAnsi="Times New Roman" w:eastAsia="標楷體"/>
                <w:sz w:val="28"/>
                <w:szCs w:val="24"/>
                <w:lang w:val="en-US" w:eastAsia="zh-TW"/>
              </w:rPr>
              <w:t>評鑑簡報內容精簡扼要，掌握時間與重點。</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8"/>
              </w:rPr>
              <w:t>第</w:t>
            </w:r>
            <w:r>
              <w:rPr>
                <w:rStyle w:val="Style10"/>
                <w:rFonts w:eastAsia="標楷體" w:ascii="Times New Roman" w:hAnsi="Times New Roman"/>
                <w:sz w:val="28"/>
                <w:szCs w:val="28"/>
              </w:rPr>
              <w:t>2</w:t>
            </w:r>
            <w:r>
              <w:rPr>
                <w:rStyle w:val="Style10"/>
                <w:rFonts w:ascii="Times New Roman" w:hAnsi="Times New Roman" w:eastAsia="標楷體"/>
                <w:sz w:val="28"/>
                <w:szCs w:val="28"/>
              </w:rPr>
              <w:t>章</w:t>
            </w:r>
          </w:p>
        </w:tc>
        <w:tc>
          <w:tcPr>
            <w:tcW w:w="1672"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8"/>
              </w:rPr>
              <w:t>復健服務</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240" w:before="72" w:after="72"/>
              <w:ind w:left="-72" w:right="-72" w:hanging="0"/>
              <w:jc w:val="center"/>
              <w:rPr>
                <w:rFonts w:ascii="Times New Roman" w:hAnsi="Times New Roman" w:eastAsia="標楷體"/>
                <w:sz w:val="28"/>
                <w:szCs w:val="28"/>
              </w:rPr>
            </w:pPr>
            <w:r>
              <w:rPr>
                <w:rFonts w:eastAsia="標楷體" w:ascii="Times New Roman" w:hAnsi="Times New Roman"/>
                <w:sz w:val="28"/>
                <w:szCs w:val="28"/>
              </w:rPr>
              <w:t>37</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560" w:hanging="560"/>
              <w:jc w:val="both"/>
              <w:rPr/>
            </w:pPr>
            <w:r>
              <w:rPr>
                <w:rStyle w:val="Style10"/>
                <w:rFonts w:ascii="Times New Roman" w:hAnsi="Times New Roman" w:eastAsia="標楷體"/>
                <w:sz w:val="28"/>
                <w:szCs w:val="24"/>
              </w:rPr>
              <w:t>【重點說明】</w:t>
            </w:r>
          </w:p>
          <w:p>
            <w:pPr>
              <w:pStyle w:val="BodyText"/>
              <w:spacing w:lineRule="atLeast" w:line="0"/>
              <w:ind w:firstLine="630"/>
              <w:jc w:val="both"/>
              <w:rPr/>
            </w:pPr>
            <w:r>
              <w:rPr>
                <w:rStyle w:val="Style10"/>
                <w:rFonts w:ascii="Times New Roman" w:hAnsi="Times New Roman" w:eastAsia="標楷體"/>
                <w:kern w:val="0"/>
                <w:sz w:val="28"/>
                <w:szCs w:val="24"/>
              </w:rPr>
              <w:t>機構主要任務在提供一個「最少限制的」環境，並基於優勢觀點或增權理念，重建住民的社會角色及能運用社區資源、結合社區組織或團體，讓住民走進社區，進行真實的社區生活復健。</w:t>
            </w:r>
          </w:p>
          <w:p>
            <w:pPr>
              <w:pStyle w:val="BodyText"/>
              <w:spacing w:lineRule="atLeast" w:line="0"/>
              <w:ind w:firstLine="630"/>
              <w:jc w:val="both"/>
              <w:rPr/>
            </w:pPr>
            <w:r>
              <w:rPr>
                <w:rStyle w:val="Style10"/>
                <w:rFonts w:ascii="Times New Roman" w:hAnsi="Times New Roman" w:eastAsia="標楷體"/>
                <w:kern w:val="0"/>
                <w:sz w:val="28"/>
                <w:szCs w:val="24"/>
              </w:rPr>
              <w:t>復健活動的過程與成效係能實地讓住民在日常生活中參與、練習與操作，以達成獨立生活、人際社交、工作、休閒、情感支持、健康管理等身心靈各層面功能的發展，促進獨立自主的復元過程。</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復健評估</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透過整合性復健評估了解住民的功能與表現，以擬定符合住民復健需求的目標與計畫。</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，且能夠將住民的自我觀察與回饋納入，訂定或修正復健計畫。</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，且評估詳實完整。</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50"/>
              </w:numPr>
              <w:tabs>
                <w:tab w:val="clear" w:pos="480"/>
                <w:tab w:val="left" w:pos="480" w:leader="none"/>
              </w:tabs>
              <w:spacing w:lineRule="atLeast" w:line="0"/>
              <w:ind w:left="480" w:hanging="785"/>
              <w:jc w:val="both"/>
              <w:rPr/>
            </w:pPr>
            <w:r>
              <w:rPr>
                <w:rStyle w:val="Style10"/>
                <w:rFonts w:ascii="Times New Roman" w:hAnsi="Times New Roman" w:eastAsia="標楷體"/>
                <w:sz w:val="28"/>
                <w:szCs w:val="24"/>
              </w:rPr>
              <w:t>提供適切之整合性復健評估。</w:t>
            </w:r>
          </w:p>
          <w:p>
            <w:pPr>
              <w:pStyle w:val="BodyText"/>
              <w:numPr>
                <w:ilvl w:val="0"/>
                <w:numId w:val="50"/>
              </w:numPr>
              <w:tabs>
                <w:tab w:val="clear" w:pos="480"/>
                <w:tab w:val="left" w:pos="480" w:leader="none"/>
              </w:tabs>
              <w:spacing w:lineRule="atLeast" w:line="0"/>
              <w:ind w:left="480" w:hanging="785"/>
              <w:jc w:val="both"/>
              <w:rPr/>
            </w:pPr>
            <w:r>
              <w:rPr>
                <w:rStyle w:val="Style10"/>
                <w:rFonts w:ascii="Times New Roman" w:hAnsi="Times New Roman" w:eastAsia="標楷體"/>
                <w:sz w:val="28"/>
                <w:szCs w:val="24"/>
              </w:rPr>
              <w:t>專任管理人員應參與評估過程，且有簽名。</w:t>
            </w:r>
          </w:p>
          <w:p>
            <w:pPr>
              <w:pStyle w:val="BodyText"/>
              <w:numPr>
                <w:ilvl w:val="0"/>
                <w:numId w:val="50"/>
              </w:numPr>
              <w:tabs>
                <w:tab w:val="clear" w:pos="480"/>
                <w:tab w:val="left" w:pos="480" w:leader="none"/>
              </w:tabs>
              <w:spacing w:lineRule="atLeast" w:line="0"/>
              <w:ind w:left="480" w:hanging="785"/>
              <w:jc w:val="both"/>
              <w:rPr/>
            </w:pPr>
            <w:r>
              <w:rPr>
                <w:rStyle w:val="Style10"/>
                <w:rFonts w:ascii="Times New Roman" w:hAnsi="Times New Roman" w:eastAsia="標楷體"/>
                <w:sz w:val="28"/>
                <w:szCs w:val="24"/>
              </w:rPr>
              <w:t>有完整收案評估，後續之評估則依住民復健目標達成狀況選擇評估項目及執行頻率，惟獨立生活功能至少每</w:t>
            </w:r>
            <w:r>
              <w:rPr>
                <w:rStyle w:val="Style10"/>
                <w:rFonts w:eastAsia="標楷體" w:ascii="Times New Roman" w:hAnsi="Times New Roman"/>
                <w:sz w:val="28"/>
                <w:szCs w:val="24"/>
              </w:rPr>
              <w:t>3</w:t>
            </w:r>
            <w:r>
              <w:rPr>
                <w:rStyle w:val="Style10"/>
                <w:rFonts w:ascii="Times New Roman" w:hAnsi="Times New Roman" w:eastAsia="標楷體"/>
                <w:sz w:val="28"/>
                <w:szCs w:val="24"/>
              </w:rPr>
              <w:t>個月評估</w:t>
            </w:r>
            <w:r>
              <w:rPr>
                <w:rStyle w:val="Style10"/>
                <w:rFonts w:eastAsia="標楷體" w:ascii="Times New Roman" w:hAnsi="Times New Roman"/>
                <w:sz w:val="28"/>
                <w:szCs w:val="24"/>
              </w:rPr>
              <w:t>1</w:t>
            </w:r>
            <w:r>
              <w:rPr>
                <w:rStyle w:val="Style10"/>
                <w:rFonts w:ascii="Times New Roman" w:hAnsi="Times New Roman" w:eastAsia="標楷體"/>
                <w:sz w:val="28"/>
                <w:szCs w:val="24"/>
              </w:rPr>
              <w:t>次；家庭與社會支持系統至少每年評估</w:t>
            </w:r>
            <w:r>
              <w:rPr>
                <w:rStyle w:val="Style10"/>
                <w:rFonts w:eastAsia="標楷體" w:ascii="Times New Roman" w:hAnsi="Times New Roman"/>
                <w:sz w:val="28"/>
                <w:szCs w:val="24"/>
              </w:rPr>
              <w:t>1</w:t>
            </w:r>
            <w:r>
              <w:rPr>
                <w:rStyle w:val="Style10"/>
                <w:rFonts w:ascii="Times New Roman" w:hAnsi="Times New Roman" w:eastAsia="標楷體"/>
                <w:sz w:val="28"/>
                <w:szCs w:val="24"/>
              </w:rPr>
              <w:t>次。</w:t>
            </w:r>
          </w:p>
          <w:p>
            <w:pPr>
              <w:pStyle w:val="BodyText"/>
              <w:tabs>
                <w:tab w:val="clear" w:pos="480"/>
              </w:tabs>
              <w:snapToGrid w:val="false"/>
              <w:spacing w:lineRule="atLeast" w:line="240"/>
              <w:ind w:left="210" w:hanging="21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180" w:hanging="180"/>
              <w:jc w:val="both"/>
              <w:rPr/>
            </w:pPr>
            <w:r>
              <w:rPr>
                <w:rStyle w:val="Style10"/>
                <w:rFonts w:eastAsia="標楷體" w:ascii="Times New Roman" w:hAnsi="Times New Roman"/>
                <w:kern w:val="0"/>
                <w:sz w:val="28"/>
                <w:szCs w:val="24"/>
              </w:rPr>
              <w:t>[</w:t>
            </w:r>
            <w:r>
              <w:rPr>
                <w:rStyle w:val="Style10"/>
                <w:rFonts w:ascii="Times New Roman" w:hAnsi="Times New Roman" w:eastAsia="標楷體"/>
                <w:kern w:val="0"/>
                <w:sz w:val="28"/>
                <w:szCs w:val="24"/>
              </w:rPr>
              <w:t>註</w:t>
            </w:r>
            <w:r>
              <w:rPr>
                <w:rStyle w:val="Style10"/>
                <w:rFonts w:eastAsia="標楷體" w:ascii="Times New Roman" w:hAnsi="Times New Roman"/>
                <w:kern w:val="0"/>
                <w:sz w:val="28"/>
                <w:szCs w:val="24"/>
              </w:rPr>
              <w:t>]</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評估由專業人員主責，專任管理人員提供復健觀察結果，並引導住民自我觀察與回饋，作為復健服務計畫修訂的參考，同時促進住民的參與。</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復健評估包含：獨立生活功能、社會功能、職業功能、身心健康狀況及家庭與社會支持系統之評估等。</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獨立生活功能評估應包含：</w:t>
            </w:r>
          </w:p>
          <w:p>
            <w:pPr>
              <w:pStyle w:val="BodyText"/>
              <w:tabs>
                <w:tab w:val="clear" w:pos="480"/>
              </w:tabs>
              <w:spacing w:lineRule="atLeast" w:line="0"/>
              <w:ind w:left="396" w:hanging="321"/>
              <w:rPr/>
            </w:pPr>
            <w:r>
              <w:rPr>
                <w:rStyle w:val="Style10"/>
                <w:rFonts w:eastAsia="標楷體" w:ascii="Times New Roman" w:hAnsi="Times New Roman"/>
                <w:sz w:val="28"/>
                <w:szCs w:val="24"/>
              </w:rPr>
              <w:t>(1)</w:t>
            </w:r>
            <w:r>
              <w:rPr>
                <w:rStyle w:val="Style10"/>
                <w:rFonts w:ascii="Times New Roman" w:hAnsi="Times New Roman" w:eastAsia="標楷體"/>
                <w:sz w:val="28"/>
                <w:szCs w:val="24"/>
              </w:rPr>
              <w:t>個人衛生（含口腔）及禮儀。</w:t>
            </w:r>
          </w:p>
          <w:p>
            <w:pPr>
              <w:pStyle w:val="BodyText"/>
              <w:tabs>
                <w:tab w:val="clear" w:pos="480"/>
              </w:tabs>
              <w:spacing w:lineRule="atLeast" w:line="0"/>
              <w:ind w:left="396" w:hanging="321"/>
              <w:rPr/>
            </w:pPr>
            <w:r>
              <w:rPr>
                <w:rStyle w:val="Style10"/>
                <w:rFonts w:eastAsia="標楷體" w:ascii="Times New Roman" w:hAnsi="Times New Roman"/>
                <w:sz w:val="28"/>
                <w:szCs w:val="24"/>
              </w:rPr>
              <w:t>(2)</w:t>
            </w:r>
            <w:r>
              <w:rPr>
                <w:rStyle w:val="Style10"/>
                <w:rFonts w:ascii="Times New Roman" w:hAnsi="Times New Roman" w:eastAsia="標楷體"/>
                <w:sz w:val="28"/>
                <w:szCs w:val="24"/>
              </w:rPr>
              <w:t>居家環境整潔。</w:t>
            </w:r>
          </w:p>
          <w:p>
            <w:pPr>
              <w:pStyle w:val="BodyText"/>
              <w:tabs>
                <w:tab w:val="clear" w:pos="480"/>
              </w:tabs>
              <w:spacing w:lineRule="atLeast" w:line="0"/>
              <w:ind w:left="396" w:hanging="321"/>
              <w:rPr/>
            </w:pPr>
            <w:r>
              <w:rPr>
                <w:rStyle w:val="Style10"/>
                <w:rFonts w:eastAsia="標楷體" w:ascii="Times New Roman" w:hAnsi="Times New Roman"/>
                <w:sz w:val="28"/>
                <w:szCs w:val="24"/>
              </w:rPr>
              <w:t>(3)</w:t>
            </w:r>
            <w:r>
              <w:rPr>
                <w:rStyle w:val="Style10"/>
                <w:rFonts w:ascii="Times New Roman" w:hAnsi="Times New Roman" w:eastAsia="標楷體"/>
                <w:sz w:val="28"/>
                <w:szCs w:val="24"/>
              </w:rPr>
              <w:t>正常的飲食與作息。</w:t>
            </w:r>
          </w:p>
          <w:p>
            <w:pPr>
              <w:pStyle w:val="BodyText"/>
              <w:tabs>
                <w:tab w:val="clear" w:pos="480"/>
              </w:tabs>
              <w:spacing w:lineRule="atLeast" w:line="0"/>
              <w:ind w:left="396" w:hanging="321"/>
              <w:rPr/>
            </w:pPr>
            <w:r>
              <w:rPr>
                <w:rStyle w:val="Style10"/>
                <w:rFonts w:eastAsia="標楷體" w:ascii="Times New Roman" w:hAnsi="Times New Roman"/>
                <w:sz w:val="28"/>
                <w:szCs w:val="24"/>
              </w:rPr>
              <w:t>(4)</w:t>
            </w:r>
            <w:r>
              <w:rPr>
                <w:rStyle w:val="Style10"/>
                <w:rFonts w:ascii="Times New Roman" w:hAnsi="Times New Roman" w:eastAsia="標楷體"/>
                <w:sz w:val="28"/>
                <w:szCs w:val="24"/>
              </w:rPr>
              <w:t>人際溝通。</w:t>
            </w:r>
          </w:p>
          <w:p>
            <w:pPr>
              <w:pStyle w:val="BodyText"/>
              <w:tabs>
                <w:tab w:val="clear" w:pos="480"/>
              </w:tabs>
              <w:spacing w:lineRule="atLeast" w:line="0"/>
              <w:ind w:left="396" w:hanging="321"/>
              <w:rPr/>
            </w:pPr>
            <w:r>
              <w:rPr>
                <w:rStyle w:val="Style10"/>
                <w:rFonts w:eastAsia="標楷體" w:ascii="Times New Roman" w:hAnsi="Times New Roman"/>
                <w:sz w:val="28"/>
                <w:szCs w:val="24"/>
              </w:rPr>
              <w:t>(5)</w:t>
            </w:r>
            <w:r>
              <w:rPr>
                <w:rStyle w:val="Style10"/>
                <w:rFonts w:ascii="Times New Roman" w:hAnsi="Times New Roman" w:eastAsia="標楷體"/>
                <w:sz w:val="28"/>
                <w:szCs w:val="24"/>
              </w:rPr>
              <w:t>休閒生活安排。</w:t>
            </w:r>
          </w:p>
          <w:p>
            <w:pPr>
              <w:pStyle w:val="BodyText"/>
              <w:tabs>
                <w:tab w:val="clear" w:pos="480"/>
              </w:tabs>
              <w:spacing w:lineRule="atLeast" w:line="0"/>
              <w:ind w:left="396" w:hanging="321"/>
              <w:rPr/>
            </w:pPr>
            <w:r>
              <w:rPr>
                <w:rStyle w:val="Style10"/>
                <w:rFonts w:eastAsia="標楷體" w:ascii="Times New Roman" w:hAnsi="Times New Roman"/>
                <w:sz w:val="28"/>
                <w:szCs w:val="24"/>
              </w:rPr>
              <w:t>(6)</w:t>
            </w:r>
            <w:r>
              <w:rPr>
                <w:rStyle w:val="Style10"/>
                <w:rFonts w:ascii="Times New Roman" w:hAnsi="Times New Roman" w:eastAsia="標楷體"/>
                <w:sz w:val="28"/>
                <w:szCs w:val="24"/>
              </w:rPr>
              <w:t>財務自主管理。</w:t>
            </w:r>
          </w:p>
          <w:p>
            <w:pPr>
              <w:pStyle w:val="BodyText"/>
              <w:tabs>
                <w:tab w:val="clear" w:pos="480"/>
              </w:tabs>
              <w:spacing w:lineRule="atLeast" w:line="0"/>
              <w:ind w:left="396" w:hanging="321"/>
              <w:rPr/>
            </w:pPr>
            <w:r>
              <w:rPr>
                <w:rStyle w:val="Style10"/>
                <w:rFonts w:eastAsia="標楷體" w:ascii="Times New Roman" w:hAnsi="Times New Roman"/>
                <w:sz w:val="28"/>
                <w:szCs w:val="24"/>
              </w:rPr>
              <w:t>(7)</w:t>
            </w:r>
            <w:r>
              <w:rPr>
                <w:rStyle w:val="Style10"/>
                <w:rFonts w:ascii="Times New Roman" w:hAnsi="Times New Roman" w:eastAsia="標楷體"/>
                <w:sz w:val="28"/>
                <w:szCs w:val="24"/>
              </w:rPr>
              <w:t>生活所需烹煮訓練。</w:t>
            </w:r>
          </w:p>
          <w:p>
            <w:pPr>
              <w:pStyle w:val="BodyText"/>
              <w:tabs>
                <w:tab w:val="clear" w:pos="480"/>
              </w:tabs>
              <w:spacing w:lineRule="atLeast" w:line="0"/>
              <w:ind w:left="396" w:hanging="321"/>
              <w:rPr/>
            </w:pPr>
            <w:r>
              <w:rPr>
                <w:rStyle w:val="Style10"/>
                <w:rFonts w:eastAsia="標楷體" w:ascii="Times New Roman" w:hAnsi="Times New Roman"/>
                <w:sz w:val="28"/>
                <w:szCs w:val="24"/>
              </w:rPr>
              <w:t>(8)</w:t>
            </w:r>
            <w:r>
              <w:rPr>
                <w:rStyle w:val="Style10"/>
                <w:rFonts w:ascii="Times New Roman" w:hAnsi="Times New Roman" w:eastAsia="標楷體"/>
                <w:sz w:val="28"/>
                <w:szCs w:val="24"/>
              </w:rPr>
              <w:t>衣物清洗及整理。</w:t>
            </w:r>
          </w:p>
          <w:p>
            <w:pPr>
              <w:pStyle w:val="BodyText"/>
              <w:tabs>
                <w:tab w:val="clear" w:pos="480"/>
              </w:tabs>
              <w:spacing w:lineRule="atLeast" w:line="0"/>
              <w:ind w:left="396" w:hanging="321"/>
              <w:rPr/>
            </w:pPr>
            <w:r>
              <w:rPr>
                <w:rStyle w:val="Style10"/>
                <w:rFonts w:eastAsia="標楷體" w:ascii="Times New Roman" w:hAnsi="Times New Roman"/>
                <w:sz w:val="28"/>
                <w:szCs w:val="24"/>
              </w:rPr>
              <w:t>(9)</w:t>
            </w:r>
            <w:r>
              <w:rPr>
                <w:rStyle w:val="Style10"/>
                <w:rFonts w:ascii="Times New Roman" w:hAnsi="Times New Roman" w:eastAsia="標楷體"/>
                <w:sz w:val="28"/>
                <w:szCs w:val="24"/>
              </w:rPr>
              <w:t>社區相關設施及資源之使用與運用。</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訂定復健目標及計畫</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擬定符合住民復健需求之目標及計畫並能有效結合運用社區資源，以強化獨立生活能力。</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，且復健計畫有運用社區資源，成效良好。</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，且有引導住民積極參與的機制。</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51"/>
              </w:numPr>
              <w:tabs>
                <w:tab w:val="clear" w:pos="480"/>
                <w:tab w:val="left" w:pos="1114" w:leader="none"/>
              </w:tabs>
              <w:spacing w:lineRule="atLeast" w:line="0"/>
              <w:ind w:left="1114" w:hanging="764"/>
              <w:jc w:val="both"/>
              <w:rPr/>
            </w:pPr>
            <w:r>
              <w:rPr>
                <w:rStyle w:val="Style10"/>
                <w:rFonts w:ascii="Times New Roman" w:hAnsi="Times New Roman" w:eastAsia="標楷體"/>
                <w:sz w:val="28"/>
                <w:szCs w:val="24"/>
              </w:rPr>
              <w:t>應依據「復健評估」結果訂定，符合住民復健需求，計畫內容具體可行。</w:t>
            </w:r>
          </w:p>
          <w:p>
            <w:pPr>
              <w:pStyle w:val="BodyText"/>
              <w:numPr>
                <w:ilvl w:val="0"/>
                <w:numId w:val="51"/>
              </w:numPr>
              <w:tabs>
                <w:tab w:val="clear" w:pos="480"/>
                <w:tab w:val="left" w:pos="1114" w:leader="none"/>
              </w:tabs>
              <w:spacing w:lineRule="atLeast" w:line="0"/>
              <w:ind w:left="1114" w:hanging="764"/>
              <w:jc w:val="both"/>
              <w:rPr/>
            </w:pPr>
            <w:r>
              <w:rPr>
                <w:rStyle w:val="Style10"/>
                <w:rFonts w:ascii="Times New Roman" w:hAnsi="Times New Roman" w:eastAsia="標楷體"/>
                <w:sz w:val="28"/>
                <w:szCs w:val="24"/>
              </w:rPr>
              <w:t>由專業人員、專任管理人員及住民共同擬訂，並有簽名紀錄。</w:t>
            </w:r>
          </w:p>
          <w:p>
            <w:pPr>
              <w:pStyle w:val="BodyText"/>
              <w:numPr>
                <w:ilvl w:val="0"/>
                <w:numId w:val="51"/>
              </w:numPr>
              <w:tabs>
                <w:tab w:val="clear" w:pos="480"/>
                <w:tab w:val="left" w:pos="1114" w:leader="none"/>
              </w:tabs>
              <w:spacing w:lineRule="atLeast" w:line="0"/>
              <w:ind w:left="1114" w:hanging="764"/>
              <w:jc w:val="both"/>
              <w:rPr/>
            </w:pPr>
            <w:r>
              <w:rPr>
                <w:rStyle w:val="Style10"/>
                <w:rFonts w:ascii="Times New Roman" w:hAnsi="Times New Roman" w:eastAsia="標楷體"/>
                <w:sz w:val="28"/>
                <w:szCs w:val="24"/>
              </w:rPr>
              <w:t>至少每</w:t>
            </w:r>
            <w:r>
              <w:rPr>
                <w:rStyle w:val="Style10"/>
                <w:rFonts w:eastAsia="標楷體" w:ascii="Times New Roman" w:hAnsi="Times New Roman"/>
                <w:sz w:val="28"/>
                <w:szCs w:val="24"/>
              </w:rPr>
              <w:t>3</w:t>
            </w:r>
            <w:r>
              <w:rPr>
                <w:rStyle w:val="Style10"/>
                <w:rFonts w:ascii="Times New Roman" w:hAnsi="Times New Roman" w:eastAsia="標楷體"/>
                <w:sz w:val="28"/>
                <w:szCs w:val="24"/>
              </w:rPr>
              <w:t>個月修正</w:t>
            </w:r>
            <w:r>
              <w:rPr>
                <w:rStyle w:val="Style10"/>
                <w:rFonts w:eastAsia="標楷體" w:ascii="Times New Roman" w:hAnsi="Times New Roman"/>
                <w:sz w:val="28"/>
                <w:szCs w:val="24"/>
              </w:rPr>
              <w:t>1</w:t>
            </w:r>
            <w:r>
              <w:rPr>
                <w:rStyle w:val="Style10"/>
                <w:rFonts w:ascii="Times New Roman" w:hAnsi="Times New Roman" w:eastAsia="標楷體"/>
                <w:sz w:val="28"/>
                <w:szCs w:val="24"/>
              </w:rPr>
              <w:t>次</w:t>
            </w:r>
          </w:p>
          <w:p>
            <w:pPr>
              <w:pStyle w:val="BodyText"/>
              <w:numPr>
                <w:ilvl w:val="0"/>
                <w:numId w:val="51"/>
              </w:numPr>
              <w:tabs>
                <w:tab w:val="clear" w:pos="480"/>
                <w:tab w:val="left" w:pos="1114" w:leader="none"/>
              </w:tabs>
              <w:spacing w:lineRule="atLeast" w:line="0"/>
              <w:ind w:left="1114" w:hanging="764"/>
              <w:jc w:val="both"/>
              <w:rPr/>
            </w:pPr>
            <w:r>
              <w:rPr>
                <w:rStyle w:val="Style10"/>
                <w:rFonts w:ascii="Times New Roman" w:hAnsi="Times New Roman" w:eastAsia="標楷體"/>
                <w:sz w:val="28"/>
                <w:szCs w:val="24"/>
              </w:rPr>
              <w:t>住民均有其主責復健訓練之專業人員與專任管</w:t>
            </w:r>
            <w:r>
              <w:rPr>
                <w:rStyle w:val="Style10"/>
                <w:rFonts w:ascii="Times New Roman" w:hAnsi="Times New Roman" w:eastAsia="標楷體"/>
                <w:bCs/>
                <w:sz w:val="28"/>
                <w:szCs w:val="24"/>
              </w:rPr>
              <w:t>理</w:t>
            </w:r>
            <w:r>
              <w:rPr>
                <w:rStyle w:val="Style10"/>
                <w:rFonts w:ascii="Times New Roman" w:hAnsi="Times New Roman" w:eastAsia="標楷體"/>
                <w:sz w:val="28"/>
                <w:szCs w:val="24"/>
              </w:rPr>
              <w:t>員。</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before="0" w:after="108"/>
              <w:ind w:left="226" w:hanging="226"/>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pacing w:lineRule="atLeast" w:line="0"/>
              <w:jc w:val="both"/>
              <w:rPr/>
            </w:pPr>
            <w:r>
              <w:rPr>
                <w:rStyle w:val="Style10"/>
                <w:rFonts w:ascii="Times New Roman" w:hAnsi="Times New Roman" w:eastAsia="標楷體"/>
                <w:sz w:val="28"/>
                <w:szCs w:val="28"/>
              </w:rPr>
              <w:t>住民的「復健評估」應與復健目標、計畫密切連貫，如：評估結果發現學員個人衛生差，則應有相關訓練計畫。</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2.3</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提供個別化的獨立生活功能訓練</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6</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獨立生活功能訓練應盡量貼近住民在社區真正獨立生活時的需要與操作方式，並實地體驗學習，以逐步達成各項訓練目標。</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，且結合運用社區資源。</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：依據個別化之復健目標及計畫，提供獨立生活訓練。</w:t>
            </w:r>
          </w:p>
          <w:p>
            <w:pPr>
              <w:pStyle w:val="BodyText"/>
              <w:snapToGrid w:val="false"/>
              <w:spacing w:lineRule="atLeast" w:line="240"/>
              <w:rPr/>
            </w:pPr>
            <w:r>
              <w:rPr>
                <w:rStyle w:val="Style10"/>
                <w:rFonts w:eastAsia="標楷體" w:ascii="Times New Roman" w:hAnsi="Times New Roman"/>
                <w:sz w:val="28"/>
                <w:szCs w:val="24"/>
              </w:rPr>
              <w:t>D</w:t>
            </w:r>
            <w:r>
              <w:rPr>
                <w:rStyle w:val="Style10"/>
                <w:rFonts w:ascii="Times New Roman" w:hAnsi="Times New Roman" w:eastAsia="標楷體"/>
                <w:sz w:val="28"/>
                <w:szCs w:val="24"/>
              </w:rPr>
              <w:t>：未完全符合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rPr/>
            </w:pPr>
            <w:r>
              <w:rPr>
                <w:rStyle w:val="Style10"/>
                <w:rFonts w:eastAsia="標楷體" w:ascii="Times New Roman" w:hAnsi="Times New Roman"/>
                <w:sz w:val="28"/>
                <w:szCs w:val="24"/>
              </w:rPr>
              <w:t>E</w:t>
            </w:r>
            <w:r>
              <w:rPr>
                <w:rStyle w:val="Style10"/>
                <w:rFonts w:ascii="Times New Roman" w:hAnsi="Times New Roman" w:eastAsia="標楷體"/>
                <w:sz w:val="28"/>
                <w:szCs w:val="24"/>
              </w:rPr>
              <w:t>：不符合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2.4</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活動妥善規劃並定期修正</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機構能依住民需求提供個別或團體復健活動並落實及定期修正，以達成正向之復元結果。</w:t>
            </w:r>
          </w:p>
          <w:p>
            <w:pPr>
              <w:pStyle w:val="BodyText"/>
              <w:tabs>
                <w:tab w:val="clear" w:pos="480"/>
              </w:tabs>
              <w:snapToGrid w:val="false"/>
              <w:spacing w:lineRule="atLeast" w:line="240" w:before="108" w:after="0"/>
              <w:ind w:left="384" w:hanging="384"/>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B</w:t>
            </w:r>
            <w:r>
              <w:rPr>
                <w:rStyle w:val="Style10"/>
                <w:rFonts w:ascii="Times New Roman" w:hAnsi="Times New Roman" w:eastAsia="標楷體"/>
                <w:sz w:val="28"/>
                <w:szCs w:val="24"/>
              </w:rPr>
              <w:t>：</w:t>
            </w:r>
          </w:p>
          <w:p>
            <w:pPr>
              <w:pStyle w:val="BodyText"/>
              <w:tabs>
                <w:tab w:val="clear" w:pos="480"/>
              </w:tabs>
              <w:snapToGrid w:val="false"/>
              <w:spacing w:lineRule="atLeast" w:line="240"/>
              <w:ind w:left="459" w:hanging="254"/>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，且結合運用社區資源提供各項活動。</w:t>
            </w:r>
          </w:p>
          <w:p>
            <w:pPr>
              <w:pStyle w:val="BodyText"/>
              <w:tabs>
                <w:tab w:val="clear" w:pos="480"/>
              </w:tabs>
              <w:snapToGrid w:val="false"/>
              <w:spacing w:lineRule="atLeast" w:line="240"/>
              <w:ind w:left="459" w:hanging="254"/>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依住民復健目標達成狀況，適度修正計畫，並調整復健活動內容。</w:t>
            </w:r>
          </w:p>
          <w:p>
            <w:pPr>
              <w:pStyle w:val="BodyText"/>
              <w:tabs>
                <w:tab w:val="clear" w:pos="480"/>
              </w:tabs>
              <w:snapToGrid w:val="false"/>
              <w:spacing w:lineRule="atLeast" w:line="240"/>
              <w:ind w:left="396" w:hanging="396"/>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w:t>
            </w:r>
            <w:r>
              <w:rPr>
                <w:rStyle w:val="Style10"/>
                <w:rFonts w:eastAsia="標楷體" w:ascii="Times New Roman" w:hAnsi="Times New Roman"/>
                <w:sz w:val="28"/>
                <w:szCs w:val="24"/>
              </w:rPr>
              <w:t>2.1</w:t>
            </w:r>
            <w:r>
              <w:rPr>
                <w:rStyle w:val="Style10"/>
                <w:rFonts w:ascii="Times New Roman" w:hAnsi="Times New Roman" w:eastAsia="標楷體"/>
                <w:sz w:val="28"/>
                <w:szCs w:val="24"/>
              </w:rPr>
              <w:t>「復健評估」結果：</w:t>
            </w:r>
          </w:p>
          <w:p>
            <w:pPr>
              <w:pStyle w:val="BodyText"/>
              <w:tabs>
                <w:tab w:val="clear" w:pos="480"/>
              </w:tabs>
              <w:snapToGrid w:val="false"/>
              <w:spacing w:lineRule="atLeast" w:line="240"/>
              <w:ind w:left="459" w:hanging="254"/>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活動安排符合不同功能住民之需求。</w:t>
            </w:r>
          </w:p>
          <w:p>
            <w:pPr>
              <w:pStyle w:val="BodyText"/>
              <w:tabs>
                <w:tab w:val="clear" w:pos="480"/>
              </w:tabs>
              <w:snapToGrid w:val="false"/>
              <w:spacing w:lineRule="atLeast" w:line="240"/>
              <w:ind w:left="459" w:hanging="254"/>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有各項團體活動計畫書。</w:t>
            </w:r>
          </w:p>
          <w:p>
            <w:pPr>
              <w:pStyle w:val="BodyText"/>
              <w:tabs>
                <w:tab w:val="clear" w:pos="480"/>
              </w:tabs>
              <w:snapToGrid w:val="false"/>
              <w:spacing w:lineRule="atLeast" w:line="240" w:before="72" w:after="72"/>
              <w:ind w:left="560" w:hanging="56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0" w:after="108"/>
              <w:ind w:left="317" w:hanging="317"/>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rHeight w:val="436" w:hRule="atLeast"/>
        </w:trPr>
        <w:tc>
          <w:tcPr>
            <w:tcW w:w="1118"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2.5</w:t>
            </w:r>
          </w:p>
        </w:tc>
        <w:tc>
          <w:tcPr>
            <w:tcW w:w="1672"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提供健康促進活動</w:t>
            </w:r>
          </w:p>
        </w:tc>
        <w:tc>
          <w:tcPr>
            <w:tcW w:w="977"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應定期提供健康促進活動以促進住民身體健康，並預防代謝症候群及心血管疾病。</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，且住民可自主規劃安排健康促進活動及執行健康自主管理。</w:t>
            </w:r>
          </w:p>
          <w:p>
            <w:pPr>
              <w:pStyle w:val="BodyText"/>
              <w:tabs>
                <w:tab w:val="clear" w:pos="480"/>
              </w:tabs>
              <w:spacing w:lineRule="atLeast" w:line="0"/>
              <w:ind w:left="240" w:hanging="240"/>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w:t>
            </w:r>
          </w:p>
          <w:p>
            <w:pPr>
              <w:pStyle w:val="BodyText"/>
              <w:numPr>
                <w:ilvl w:val="0"/>
                <w:numId w:val="52"/>
              </w:numPr>
              <w:tabs>
                <w:tab w:val="clear" w:pos="480"/>
                <w:tab w:val="left" w:pos="655" w:leader="none"/>
              </w:tabs>
              <w:spacing w:lineRule="atLeast" w:line="0"/>
              <w:ind w:left="655" w:hanging="480"/>
              <w:jc w:val="both"/>
              <w:rPr/>
            </w:pPr>
            <w:r>
              <w:rPr>
                <w:rStyle w:val="Style10"/>
                <w:rFonts w:ascii="Times New Roman" w:hAnsi="Times New Roman" w:eastAsia="標楷體"/>
                <w:sz w:val="28"/>
                <w:szCs w:val="24"/>
              </w:rPr>
              <w:t>安排之活動符合個別住民之體能及健康狀況。</w:t>
            </w:r>
          </w:p>
          <w:p>
            <w:pPr>
              <w:pStyle w:val="BodyText"/>
              <w:numPr>
                <w:ilvl w:val="0"/>
                <w:numId w:val="52"/>
              </w:numPr>
              <w:tabs>
                <w:tab w:val="clear" w:pos="480"/>
                <w:tab w:val="left" w:pos="655" w:leader="none"/>
              </w:tabs>
              <w:spacing w:lineRule="atLeast" w:line="0"/>
              <w:ind w:left="655" w:hanging="480"/>
              <w:jc w:val="both"/>
              <w:rPr/>
            </w:pPr>
            <w:r>
              <w:rPr>
                <w:rStyle w:val="Style10"/>
                <w:rFonts w:ascii="Times New Roman" w:hAnsi="Times New Roman" w:eastAsia="標楷體"/>
                <w:sz w:val="28"/>
                <w:szCs w:val="24"/>
              </w:rPr>
              <w:t>結合運用社區資源，規劃多元健康促進活動供住民選擇參加。</w:t>
            </w:r>
          </w:p>
          <w:p>
            <w:pPr>
              <w:pStyle w:val="BodyText"/>
              <w:tabs>
                <w:tab w:val="clear" w:pos="480"/>
              </w:tabs>
              <w:spacing w:lineRule="atLeast" w:line="0"/>
              <w:ind w:left="240" w:hanging="24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w:t>
            </w:r>
            <w:r>
              <w:rPr>
                <w:rStyle w:val="Style10"/>
                <w:rFonts w:eastAsia="標楷體" w:ascii="Times New Roman" w:hAnsi="Times New Roman"/>
                <w:sz w:val="28"/>
                <w:szCs w:val="24"/>
              </w:rPr>
              <w:t>2.1</w:t>
            </w:r>
            <w:r>
              <w:rPr>
                <w:rStyle w:val="Style10"/>
                <w:rFonts w:ascii="Times New Roman" w:hAnsi="Times New Roman" w:eastAsia="標楷體"/>
                <w:sz w:val="28"/>
                <w:szCs w:val="24"/>
              </w:rPr>
              <w:t>「復健評估」結果，</w:t>
            </w:r>
          </w:p>
          <w:p>
            <w:pPr>
              <w:pStyle w:val="BodyText"/>
              <w:numPr>
                <w:ilvl w:val="0"/>
                <w:numId w:val="53"/>
              </w:numPr>
              <w:tabs>
                <w:tab w:val="clear" w:pos="480"/>
                <w:tab w:val="left" w:pos="1114" w:leader="none"/>
              </w:tabs>
              <w:spacing w:lineRule="atLeast" w:line="0"/>
              <w:ind w:left="1114" w:hanging="764"/>
              <w:jc w:val="both"/>
              <w:rPr/>
            </w:pPr>
            <w:r>
              <w:rPr>
                <w:rStyle w:val="Style10"/>
                <w:rFonts w:ascii="Times New Roman" w:hAnsi="Times New Roman" w:eastAsia="標楷體"/>
                <w:sz w:val="28"/>
                <w:szCs w:val="24"/>
              </w:rPr>
              <w:t>充分運用機構內健身器材及社區運動設施，安排常態性體能活動。</w:t>
            </w:r>
          </w:p>
          <w:p>
            <w:pPr>
              <w:pStyle w:val="BodyText"/>
              <w:numPr>
                <w:ilvl w:val="0"/>
                <w:numId w:val="53"/>
              </w:numPr>
              <w:tabs>
                <w:tab w:val="clear" w:pos="480"/>
                <w:tab w:val="left" w:pos="1114" w:leader="none"/>
              </w:tabs>
              <w:spacing w:lineRule="atLeast" w:line="0"/>
              <w:ind w:left="1114" w:hanging="764"/>
              <w:jc w:val="both"/>
              <w:rPr/>
            </w:pPr>
            <w:r>
              <w:rPr>
                <w:rStyle w:val="Style10"/>
                <w:rFonts w:ascii="Times New Roman" w:hAnsi="Times New Roman" w:eastAsia="標楷體"/>
                <w:sz w:val="28"/>
                <w:szCs w:val="24"/>
              </w:rPr>
              <w:t>有鼓勵全員參與之具體作為。</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rHeight w:val="538" w:hRule="atLeast"/>
        </w:trPr>
        <w:tc>
          <w:tcPr>
            <w:tcW w:w="111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70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rHeight w:val="538" w:hRule="atLeast"/>
        </w:trPr>
        <w:tc>
          <w:tcPr>
            <w:tcW w:w="111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70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2.6</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ind w:hanging="16"/>
              <w:rPr/>
            </w:pPr>
            <w:r>
              <w:rPr>
                <w:rStyle w:val="Style10"/>
                <w:rFonts w:ascii="Times New Roman" w:hAnsi="Times New Roman" w:eastAsia="標楷體"/>
                <w:sz w:val="28"/>
                <w:szCs w:val="24"/>
              </w:rPr>
              <w:t>職前準備、工作轉介或就業輔導</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機構應提供職前準備服務或轉介就業服務相關單位，或自行開發就業資源，以促進其工作能力與態度之養成。</w:t>
            </w:r>
          </w:p>
          <w:p>
            <w:pPr>
              <w:pStyle w:val="BodyText"/>
              <w:tabs>
                <w:tab w:val="clear" w:pos="480"/>
              </w:tabs>
              <w:spacing w:lineRule="atLeast" w:line="0"/>
              <w:ind w:left="451" w:hanging="451"/>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，且有</w:t>
            </w:r>
            <w:r>
              <w:rPr>
                <w:rStyle w:val="Style10"/>
                <w:rFonts w:eastAsia="標楷體" w:ascii="Times New Roman" w:hAnsi="Times New Roman"/>
                <w:sz w:val="28"/>
                <w:szCs w:val="24"/>
              </w:rPr>
              <w:t>60</w:t>
            </w:r>
            <w:r>
              <w:rPr>
                <w:rStyle w:val="Style10"/>
                <w:rFonts w:ascii="Times New Roman" w:hAnsi="Times New Roman" w:eastAsia="標楷體"/>
                <w:sz w:val="28"/>
                <w:szCs w:val="24"/>
              </w:rPr>
              <w:t>％以上的住民可以參與機構外工作復健或社區就業。</w:t>
            </w:r>
          </w:p>
          <w:p>
            <w:pPr>
              <w:pStyle w:val="BodyText"/>
              <w:tabs>
                <w:tab w:val="clear" w:pos="480"/>
              </w:tabs>
              <w:spacing w:lineRule="atLeast" w:line="0"/>
              <w:ind w:left="451" w:hanging="451"/>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，且結合運用社區資源，提供多元職前準備或轉介服務、就業輔導。</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w:t>
            </w:r>
            <w:r>
              <w:rPr>
                <w:rStyle w:val="Style10"/>
                <w:rFonts w:eastAsia="標楷體" w:ascii="Times New Roman" w:hAnsi="Times New Roman"/>
                <w:sz w:val="28"/>
                <w:szCs w:val="24"/>
              </w:rPr>
              <w:t>2.1</w:t>
            </w:r>
            <w:r>
              <w:rPr>
                <w:rStyle w:val="Style10"/>
                <w:rFonts w:ascii="Times New Roman" w:hAnsi="Times New Roman" w:eastAsia="標楷體"/>
                <w:sz w:val="28"/>
                <w:szCs w:val="24"/>
              </w:rPr>
              <w:t>「職業功能」評估結果，擬訂具體計畫，並有服務過程紀錄。</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2.7</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定期生活諮詢及心理輔導</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專業人員應定期與住民討論復健目標達成情形，以促進住民復健動機及社區生活適應能力。</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，且能與復健計畫結合，並能對會談內容追蹤與檢討。</w:t>
            </w:r>
          </w:p>
          <w:p>
            <w:pPr>
              <w:pStyle w:val="BodyText"/>
              <w:tabs>
                <w:tab w:val="clear" w:pos="480"/>
              </w:tabs>
              <w:spacing w:lineRule="atLeast" w:line="0"/>
              <w:ind w:left="406" w:hanging="406"/>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54"/>
              </w:numPr>
              <w:tabs>
                <w:tab w:val="clear" w:pos="480"/>
                <w:tab w:val="left" w:pos="480" w:leader="none"/>
              </w:tabs>
              <w:spacing w:lineRule="atLeast" w:line="0"/>
              <w:ind w:left="480" w:hanging="785"/>
              <w:jc w:val="both"/>
              <w:rPr/>
            </w:pPr>
            <w:r>
              <w:rPr>
                <w:rStyle w:val="Style10"/>
                <w:rFonts w:ascii="Times New Roman" w:hAnsi="Times New Roman" w:eastAsia="標楷體"/>
                <w:sz w:val="28"/>
                <w:szCs w:val="24"/>
              </w:rPr>
              <w:t>主責專業人員應考量住民個別復健需求，每月至少</w:t>
            </w:r>
            <w:r>
              <w:rPr>
                <w:rStyle w:val="Style10"/>
                <w:rFonts w:eastAsia="標楷體" w:ascii="Times New Roman" w:hAnsi="Times New Roman"/>
                <w:sz w:val="28"/>
                <w:szCs w:val="24"/>
              </w:rPr>
              <w:t>1</w:t>
            </w:r>
            <w:r>
              <w:rPr>
                <w:rStyle w:val="Style10"/>
                <w:rFonts w:ascii="Times New Roman" w:hAnsi="Times New Roman" w:eastAsia="標楷體"/>
                <w:sz w:val="28"/>
                <w:szCs w:val="24"/>
              </w:rPr>
              <w:t>次，與住民會談並有紀錄。</w:t>
            </w:r>
          </w:p>
          <w:p>
            <w:pPr>
              <w:pStyle w:val="BodyText"/>
              <w:numPr>
                <w:ilvl w:val="0"/>
                <w:numId w:val="54"/>
              </w:numPr>
              <w:tabs>
                <w:tab w:val="clear" w:pos="480"/>
                <w:tab w:val="left" w:pos="480" w:leader="none"/>
              </w:tabs>
              <w:spacing w:lineRule="atLeast" w:line="0"/>
              <w:ind w:left="480" w:hanging="785"/>
              <w:jc w:val="both"/>
              <w:rPr/>
            </w:pPr>
            <w:r>
              <w:rPr>
                <w:rStyle w:val="Style10"/>
                <w:rFonts w:ascii="Times New Roman" w:hAnsi="Times New Roman" w:eastAsia="標楷體"/>
                <w:kern w:val="0"/>
                <w:sz w:val="28"/>
                <w:szCs w:val="24"/>
              </w:rPr>
              <w:t>會談</w:t>
            </w:r>
            <w:r>
              <w:rPr>
                <w:rStyle w:val="Style10"/>
                <w:rFonts w:ascii="Times New Roman" w:hAnsi="Times New Roman" w:eastAsia="標楷體"/>
                <w:sz w:val="28"/>
                <w:szCs w:val="24"/>
              </w:rPr>
              <w:t>紀錄應包含</w:t>
            </w:r>
            <w:r>
              <w:rPr>
                <w:rStyle w:val="Style10"/>
                <w:rFonts w:ascii="Times New Roman" w:hAnsi="Times New Roman" w:eastAsia="標楷體"/>
                <w:kern w:val="0"/>
                <w:sz w:val="28"/>
                <w:szCs w:val="24"/>
              </w:rPr>
              <w:t>具體目的、輔導內容與後續處理計畫。</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pacing w:lineRule="atLeast" w:line="0"/>
              <w:jc w:val="both"/>
              <w:rPr/>
            </w:pPr>
            <w:r>
              <w:rPr>
                <w:rStyle w:val="Style10"/>
                <w:rFonts w:eastAsia="標楷體" w:ascii="Times New Roman" w:hAnsi="Times New Roman"/>
                <w:sz w:val="28"/>
                <w:szCs w:val="24"/>
              </w:rPr>
              <w:t>49</w:t>
            </w:r>
            <w:r>
              <w:rPr>
                <w:rStyle w:val="Style10"/>
                <w:rFonts w:ascii="Times New Roman" w:hAnsi="Times New Roman" w:eastAsia="標楷體"/>
                <w:sz w:val="28"/>
                <w:szCs w:val="24"/>
              </w:rPr>
              <w:t>床以下機構，若專任管理人員有抵任兼任專業人員時數者，可執行專業性業務且相關紀錄可認列。</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2.8</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輔導規則就醫及藥物自我管理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 w:val="left" w:pos="387" w:leader="none"/>
              </w:tabs>
              <w:spacing w:lineRule="atLeast" w:line="0"/>
              <w:jc w:val="both"/>
              <w:rPr/>
            </w:pPr>
            <w:r>
              <w:rPr>
                <w:rStyle w:val="Style10"/>
                <w:rFonts w:ascii="Times New Roman" w:hAnsi="Times New Roman" w:eastAsia="標楷體"/>
                <w:sz w:val="28"/>
                <w:szCs w:val="24"/>
              </w:rPr>
              <w:t>目的：</w:t>
            </w:r>
          </w:p>
          <w:p>
            <w:pPr>
              <w:pStyle w:val="BodyText"/>
              <w:tabs>
                <w:tab w:val="clear" w:pos="480"/>
                <w:tab w:val="left" w:pos="387" w:leader="none"/>
              </w:tabs>
              <w:spacing w:lineRule="atLeast" w:line="0"/>
              <w:jc w:val="both"/>
              <w:rPr/>
            </w:pPr>
            <w:r>
              <w:rPr>
                <w:rStyle w:val="Style10"/>
                <w:rFonts w:ascii="Times New Roman" w:hAnsi="Times New Roman" w:eastAsia="標楷體"/>
                <w:sz w:val="28"/>
                <w:szCs w:val="24"/>
              </w:rPr>
              <w:t>輔導住民規則就醫及藥物自我管理，以減少疾病復發，並提升住民健康自主管理能力。</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w:t>
            </w:r>
            <w:r>
              <w:rPr>
                <w:rStyle w:val="Style10"/>
                <w:rFonts w:eastAsia="標楷體" w:ascii="Times New Roman" w:hAnsi="Times New Roman"/>
                <w:sz w:val="28"/>
                <w:szCs w:val="24"/>
              </w:rPr>
              <w:t>100%</w:t>
            </w:r>
            <w:r>
              <w:rPr>
                <w:rStyle w:val="Style10"/>
                <w:rFonts w:ascii="Times New Roman" w:hAnsi="Times New Roman" w:eastAsia="標楷體"/>
                <w:sz w:val="28"/>
                <w:szCs w:val="24"/>
              </w:rPr>
              <w:t>的住民可自行保管全部藥物。</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w:t>
            </w:r>
          </w:p>
          <w:p>
            <w:pPr>
              <w:pStyle w:val="BodyText"/>
              <w:numPr>
                <w:ilvl w:val="0"/>
                <w:numId w:val="55"/>
              </w:numPr>
              <w:tabs>
                <w:tab w:val="clear" w:pos="480"/>
                <w:tab w:val="left" w:pos="1398" w:leader="none"/>
              </w:tabs>
              <w:spacing w:lineRule="atLeast" w:line="0"/>
              <w:ind w:left="1398" w:hanging="764"/>
              <w:jc w:val="both"/>
              <w:rPr/>
            </w:pPr>
            <w:r>
              <w:rPr>
                <w:rStyle w:val="Style10"/>
                <w:rFonts w:ascii="Times New Roman" w:hAnsi="Times New Roman" w:eastAsia="標楷體"/>
                <w:sz w:val="28"/>
                <w:szCs w:val="24"/>
              </w:rPr>
              <w:t>定期評估規則就醫及藥物自主管理訓練成果。</w:t>
            </w:r>
          </w:p>
          <w:p>
            <w:pPr>
              <w:pStyle w:val="BodyText"/>
              <w:numPr>
                <w:ilvl w:val="0"/>
                <w:numId w:val="55"/>
              </w:numPr>
              <w:tabs>
                <w:tab w:val="clear" w:pos="480"/>
                <w:tab w:val="left" w:pos="1398" w:leader="none"/>
              </w:tabs>
              <w:spacing w:lineRule="atLeast" w:line="0"/>
              <w:ind w:left="1398" w:hanging="764"/>
              <w:jc w:val="both"/>
              <w:rPr/>
            </w:pPr>
            <w:r>
              <w:rPr>
                <w:rStyle w:val="Style10"/>
                <w:rFonts w:eastAsia="標楷體" w:ascii="Times New Roman" w:hAnsi="Times New Roman"/>
                <w:sz w:val="28"/>
                <w:szCs w:val="24"/>
              </w:rPr>
              <w:t>80%</w:t>
            </w:r>
            <w:r>
              <w:rPr>
                <w:rStyle w:val="Style10"/>
                <w:rFonts w:ascii="Times New Roman" w:hAnsi="Times New Roman" w:eastAsia="標楷體"/>
                <w:sz w:val="28"/>
                <w:szCs w:val="24"/>
              </w:rPr>
              <w:t>以上的住民可自行保管全部藥物。</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56"/>
              </w:numPr>
              <w:tabs>
                <w:tab w:val="clear" w:pos="480"/>
                <w:tab w:val="left" w:pos="1398" w:leader="none"/>
              </w:tabs>
              <w:spacing w:lineRule="atLeast" w:line="0"/>
              <w:ind w:left="1398" w:hanging="764"/>
              <w:jc w:val="both"/>
              <w:rPr/>
            </w:pPr>
            <w:r>
              <w:rPr>
                <w:rStyle w:val="Style10"/>
                <w:rFonts w:ascii="Times New Roman" w:hAnsi="Times New Roman" w:eastAsia="標楷體"/>
                <w:sz w:val="28"/>
                <w:szCs w:val="24"/>
              </w:rPr>
              <w:t>代管藥物存放適當。</w:t>
            </w:r>
          </w:p>
          <w:p>
            <w:pPr>
              <w:pStyle w:val="BodyText"/>
              <w:numPr>
                <w:ilvl w:val="0"/>
                <w:numId w:val="56"/>
              </w:numPr>
              <w:tabs>
                <w:tab w:val="clear" w:pos="480"/>
                <w:tab w:val="left" w:pos="1398" w:leader="none"/>
              </w:tabs>
              <w:spacing w:lineRule="atLeast" w:line="0"/>
              <w:ind w:left="1398" w:hanging="764"/>
              <w:jc w:val="both"/>
              <w:rPr/>
            </w:pPr>
            <w:r>
              <w:rPr>
                <w:rStyle w:val="Style10"/>
                <w:rFonts w:eastAsia="標楷體" w:ascii="Times New Roman" w:hAnsi="Times New Roman"/>
                <w:sz w:val="28"/>
                <w:szCs w:val="24"/>
              </w:rPr>
              <w:t>50%</w:t>
            </w:r>
            <w:r>
              <w:rPr>
                <w:rStyle w:val="Style10"/>
                <w:rFonts w:ascii="Times New Roman" w:hAnsi="Times New Roman" w:eastAsia="標楷體"/>
                <w:sz w:val="28"/>
                <w:szCs w:val="24"/>
              </w:rPr>
              <w:t>以上的住民可自行保管全部藥物。</w:t>
            </w:r>
          </w:p>
          <w:p>
            <w:pPr>
              <w:pStyle w:val="BodyText"/>
              <w:tabs>
                <w:tab w:val="clear" w:pos="480"/>
              </w:tabs>
              <w:snapToGrid w:val="false"/>
              <w:spacing w:lineRule="atLeast" w:line="240"/>
              <w:ind w:left="210" w:hanging="210"/>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180" w:hanging="18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pacing w:lineRule="atLeast" w:line="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pacing w:lineRule="atLeast" w:line="0"/>
              <w:ind w:left="297" w:hanging="297"/>
              <w:rPr/>
            </w:pPr>
            <w:r>
              <w:rPr>
                <w:rStyle w:val="Style10"/>
                <w:rFonts w:eastAsia="標楷體" w:ascii="Times New Roman" w:hAnsi="Times New Roman"/>
                <w:sz w:val="28"/>
                <w:szCs w:val="24"/>
              </w:rPr>
              <w:t>1.</w:t>
            </w:r>
            <w:r>
              <w:rPr>
                <w:rStyle w:val="Style10"/>
                <w:rFonts w:ascii="Times New Roman" w:hAnsi="Times New Roman" w:eastAsia="標楷體"/>
                <w:sz w:val="28"/>
                <w:szCs w:val="24"/>
              </w:rPr>
              <w:t>長效針劑不列入計算。</w:t>
            </w:r>
          </w:p>
          <w:p>
            <w:pPr>
              <w:pStyle w:val="BodyText"/>
              <w:tabs>
                <w:tab w:val="clear" w:pos="480"/>
              </w:tabs>
              <w:spacing w:lineRule="atLeast" w:line="0"/>
              <w:ind w:left="297" w:hanging="297"/>
              <w:rPr/>
            </w:pPr>
            <w:r>
              <w:rPr>
                <w:rStyle w:val="Style10"/>
                <w:rFonts w:eastAsia="標楷體" w:ascii="Times New Roman" w:hAnsi="Times New Roman"/>
                <w:sz w:val="28"/>
                <w:szCs w:val="24"/>
              </w:rPr>
              <w:t>2.</w:t>
            </w:r>
            <w:r>
              <w:rPr>
                <w:rStyle w:val="Style10"/>
                <w:rFonts w:ascii="Times New Roman" w:hAnsi="Times New Roman" w:eastAsia="標楷體"/>
                <w:sz w:val="28"/>
                <w:szCs w:val="24"/>
              </w:rPr>
              <w:t>「輔導規則就醫及藥物自我管理訓練計畫」包含：規則就醫、認識藥物名稱、形狀、作用、排藥訓練及自我保管、按時服用等。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2.9</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召開社區復健及適應討論會</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由專業人員召開適應討論會，運用團體動力及同儕支持，讓住民能共同面對及因應社區生活適應問題。</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，且能定期檢討，成效良好。</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，且每</w:t>
            </w:r>
            <w:r>
              <w:rPr>
                <w:rStyle w:val="Style10"/>
                <w:rFonts w:eastAsia="標楷體" w:ascii="Times New Roman" w:hAnsi="Times New Roman"/>
                <w:sz w:val="28"/>
                <w:szCs w:val="24"/>
              </w:rPr>
              <w:t>2</w:t>
            </w:r>
            <w:r>
              <w:rPr>
                <w:rStyle w:val="Style10"/>
                <w:rFonts w:ascii="Times New Roman" w:hAnsi="Times New Roman" w:eastAsia="標楷體"/>
                <w:sz w:val="28"/>
                <w:szCs w:val="24"/>
              </w:rPr>
              <w:t>週</w:t>
            </w:r>
            <w:r>
              <w:rPr>
                <w:rStyle w:val="Style10"/>
                <w:rFonts w:eastAsia="標楷體" w:ascii="Times New Roman" w:hAnsi="Times New Roman"/>
                <w:sz w:val="28"/>
                <w:szCs w:val="24"/>
              </w:rPr>
              <w:t>1</w:t>
            </w:r>
            <w:r>
              <w:rPr>
                <w:rStyle w:val="Style10"/>
                <w:rFonts w:ascii="Times New Roman" w:hAnsi="Times New Roman" w:eastAsia="標楷體"/>
                <w:sz w:val="28"/>
                <w:szCs w:val="24"/>
              </w:rPr>
              <w:t>次或團體不超過</w:t>
            </w:r>
            <w:r>
              <w:rPr>
                <w:rStyle w:val="Style10"/>
                <w:rFonts w:eastAsia="標楷體" w:ascii="Times New Roman" w:hAnsi="Times New Roman"/>
                <w:sz w:val="28"/>
                <w:szCs w:val="24"/>
              </w:rPr>
              <w:t>15</w:t>
            </w:r>
            <w:r>
              <w:rPr>
                <w:rStyle w:val="Style10"/>
                <w:rFonts w:ascii="Times New Roman" w:hAnsi="Times New Roman" w:eastAsia="標楷體"/>
                <w:sz w:val="28"/>
                <w:szCs w:val="24"/>
              </w:rPr>
              <w:t>人。</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57"/>
              </w:numPr>
              <w:tabs>
                <w:tab w:val="clear" w:pos="480"/>
                <w:tab w:val="left" w:pos="480" w:leader="none"/>
              </w:tabs>
              <w:spacing w:lineRule="atLeast" w:line="0"/>
              <w:ind w:left="480" w:hanging="785"/>
              <w:jc w:val="both"/>
              <w:rPr/>
            </w:pPr>
            <w:r>
              <w:rPr>
                <w:rStyle w:val="Style10"/>
                <w:rFonts w:ascii="Times New Roman" w:hAnsi="Times New Roman" w:eastAsia="標楷體"/>
                <w:sz w:val="28"/>
                <w:szCs w:val="24"/>
              </w:rPr>
              <w:t>住民每人至少每月參加</w:t>
            </w:r>
            <w:r>
              <w:rPr>
                <w:rStyle w:val="Style10"/>
                <w:rFonts w:eastAsia="標楷體" w:ascii="Times New Roman" w:hAnsi="Times New Roman"/>
                <w:sz w:val="28"/>
                <w:szCs w:val="24"/>
              </w:rPr>
              <w:t>1</w:t>
            </w:r>
            <w:r>
              <w:rPr>
                <w:rStyle w:val="Style10"/>
                <w:rFonts w:ascii="Times New Roman" w:hAnsi="Times New Roman" w:eastAsia="標楷體"/>
                <w:sz w:val="28"/>
                <w:szCs w:val="24"/>
              </w:rPr>
              <w:t>次，每次</w:t>
            </w:r>
            <w:r>
              <w:rPr>
                <w:rStyle w:val="Style10"/>
                <w:rFonts w:ascii="Times New Roman" w:hAnsi="Times New Roman" w:eastAsia="標楷體"/>
                <w:bCs/>
                <w:sz w:val="28"/>
                <w:szCs w:val="24"/>
              </w:rPr>
              <w:t>至少需達</w:t>
            </w:r>
            <w:r>
              <w:rPr>
                <w:rStyle w:val="Style10"/>
                <w:rFonts w:eastAsia="標楷體" w:ascii="Times New Roman" w:hAnsi="Times New Roman"/>
                <w:bCs/>
                <w:sz w:val="28"/>
                <w:szCs w:val="24"/>
              </w:rPr>
              <w:t>45</w:t>
            </w:r>
            <w:r>
              <w:rPr>
                <w:rStyle w:val="Style10"/>
                <w:rFonts w:ascii="Times New Roman" w:hAnsi="Times New Roman" w:eastAsia="標楷體"/>
                <w:bCs/>
                <w:sz w:val="28"/>
                <w:szCs w:val="24"/>
              </w:rPr>
              <w:t>分鐘</w:t>
            </w:r>
            <w:r>
              <w:rPr>
                <w:rStyle w:val="Style10"/>
                <w:rFonts w:ascii="Times New Roman" w:hAnsi="Times New Roman" w:eastAsia="標楷體"/>
                <w:sz w:val="28"/>
                <w:szCs w:val="24"/>
              </w:rPr>
              <w:t>。</w:t>
            </w:r>
          </w:p>
          <w:p>
            <w:pPr>
              <w:pStyle w:val="BodyText"/>
              <w:numPr>
                <w:ilvl w:val="0"/>
                <w:numId w:val="57"/>
              </w:numPr>
              <w:tabs>
                <w:tab w:val="clear" w:pos="480"/>
                <w:tab w:val="left" w:pos="480" w:leader="none"/>
              </w:tabs>
              <w:spacing w:lineRule="atLeast" w:line="0"/>
              <w:ind w:left="480" w:hanging="785"/>
              <w:jc w:val="both"/>
              <w:rPr/>
            </w:pPr>
            <w:r>
              <w:rPr>
                <w:rStyle w:val="Style10"/>
                <w:rFonts w:ascii="Times New Roman" w:hAnsi="Times New Roman" w:eastAsia="標楷體"/>
                <w:sz w:val="28"/>
                <w:szCs w:val="24"/>
              </w:rPr>
              <w:t>團體時間安排應方便全體住民參與。</w:t>
            </w:r>
          </w:p>
          <w:p>
            <w:pPr>
              <w:pStyle w:val="BodyText"/>
              <w:numPr>
                <w:ilvl w:val="0"/>
                <w:numId w:val="57"/>
              </w:numPr>
              <w:tabs>
                <w:tab w:val="clear" w:pos="480"/>
                <w:tab w:val="left" w:pos="480" w:leader="none"/>
              </w:tabs>
              <w:spacing w:lineRule="atLeast" w:line="0"/>
              <w:ind w:left="480" w:hanging="785"/>
              <w:jc w:val="both"/>
              <w:rPr/>
            </w:pPr>
            <w:r>
              <w:rPr>
                <w:rStyle w:val="Style10"/>
                <w:rFonts w:ascii="Times New Roman" w:hAnsi="Times New Roman" w:eastAsia="標楷體"/>
                <w:sz w:val="28"/>
                <w:szCs w:val="24"/>
              </w:rPr>
              <w:t>團體人數不超過</w:t>
            </w:r>
            <w:r>
              <w:rPr>
                <w:rStyle w:val="Style10"/>
                <w:rFonts w:eastAsia="標楷體" w:ascii="Times New Roman" w:hAnsi="Times New Roman"/>
                <w:sz w:val="28"/>
                <w:szCs w:val="24"/>
              </w:rPr>
              <w:t>30</w:t>
            </w:r>
            <w:r>
              <w:rPr>
                <w:rStyle w:val="Style10"/>
                <w:rFonts w:ascii="Times New Roman" w:hAnsi="Times New Roman" w:eastAsia="標楷體"/>
                <w:sz w:val="28"/>
                <w:szCs w:val="24"/>
              </w:rPr>
              <w:t>人，若住民超過</w:t>
            </w:r>
            <w:r>
              <w:rPr>
                <w:rStyle w:val="Style10"/>
                <w:rFonts w:eastAsia="標楷體" w:ascii="Times New Roman" w:hAnsi="Times New Roman"/>
                <w:sz w:val="28"/>
                <w:szCs w:val="24"/>
              </w:rPr>
              <w:t>30</w:t>
            </w:r>
            <w:r>
              <w:rPr>
                <w:rStyle w:val="Style10"/>
                <w:rFonts w:ascii="Times New Roman" w:hAnsi="Times New Roman" w:eastAsia="標楷體"/>
                <w:sz w:val="28"/>
                <w:szCs w:val="24"/>
              </w:rPr>
              <w:t>人，則分團體進行。</w:t>
            </w:r>
          </w:p>
          <w:p>
            <w:pPr>
              <w:pStyle w:val="BodyText"/>
              <w:numPr>
                <w:ilvl w:val="0"/>
                <w:numId w:val="57"/>
              </w:numPr>
              <w:tabs>
                <w:tab w:val="clear" w:pos="480"/>
                <w:tab w:val="left" w:pos="480" w:leader="none"/>
              </w:tabs>
              <w:spacing w:lineRule="atLeast" w:line="0"/>
              <w:ind w:left="480" w:hanging="785"/>
              <w:jc w:val="both"/>
              <w:rPr/>
            </w:pPr>
            <w:r>
              <w:rPr>
                <w:rStyle w:val="Style10"/>
                <w:rFonts w:ascii="Times New Roman" w:hAnsi="Times New Roman" w:eastAsia="標楷體"/>
                <w:sz w:val="28"/>
                <w:szCs w:val="24"/>
              </w:rPr>
              <w:t>紀錄完整。</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pacing w:lineRule="atLeast" w:line="0"/>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pacing w:lineRule="atLeast" w:line="0"/>
              <w:jc w:val="both"/>
              <w:rPr/>
            </w:pPr>
            <w:r>
              <w:rPr>
                <w:rStyle w:val="Style10"/>
                <w:rFonts w:ascii="Times New Roman" w:hAnsi="Times New Roman" w:eastAsia="標楷體"/>
                <w:sz w:val="28"/>
                <w:szCs w:val="24"/>
              </w:rPr>
              <w:t>生活適應議題如：感情婚姻、人際關係、謀職、工作適應、壓力處理、情緒管理、社區資源運用、興趣培養、健康維護及疾病復元等。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before="72" w:after="72"/>
              <w:ind w:right="-72" w:hanging="0"/>
              <w:rPr>
                <w:rFonts w:ascii="Times New Roman" w:hAnsi="Times New Roman" w:eastAsia="標楷體"/>
                <w:sz w:val="28"/>
                <w:szCs w:val="28"/>
              </w:rPr>
            </w:pPr>
            <w:r>
              <w:rPr>
                <w:rFonts w:eastAsia="標楷體" w:ascii="Times New Roman" w:hAnsi="Times New Roman"/>
                <w:sz w:val="28"/>
                <w:szCs w:val="28"/>
              </w:rPr>
              <w:t>2.10</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召開住民自治會議</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透過自治會議培養住民對自身權益與周遭環境事務的關心，並參與公共事務的決定，提升自我決策能力。</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，且住民提出的合理建議</w:t>
            </w:r>
            <w:r>
              <w:rPr>
                <w:rStyle w:val="Style10"/>
                <w:rFonts w:eastAsia="標楷體" w:ascii="Times New Roman" w:hAnsi="Times New Roman"/>
                <w:sz w:val="28"/>
                <w:szCs w:val="24"/>
              </w:rPr>
              <w:t>90﹪</w:t>
            </w:r>
            <w:r>
              <w:rPr>
                <w:rStyle w:val="Style10"/>
                <w:rFonts w:ascii="Times New Roman" w:hAnsi="Times New Roman" w:eastAsia="標楷體"/>
                <w:sz w:val="28"/>
                <w:szCs w:val="24"/>
              </w:rPr>
              <w:t>以上能得到改善。</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，且每</w:t>
            </w:r>
            <w:r>
              <w:rPr>
                <w:rStyle w:val="Style10"/>
                <w:rFonts w:eastAsia="標楷體" w:ascii="Times New Roman" w:hAnsi="Times New Roman"/>
                <w:sz w:val="28"/>
                <w:szCs w:val="24"/>
              </w:rPr>
              <w:t>2</w:t>
            </w:r>
            <w:r>
              <w:rPr>
                <w:rStyle w:val="Style10"/>
                <w:rFonts w:ascii="Times New Roman" w:hAnsi="Times New Roman" w:eastAsia="標楷體"/>
                <w:sz w:val="28"/>
                <w:szCs w:val="24"/>
              </w:rPr>
              <w:t>週</w:t>
            </w:r>
            <w:r>
              <w:rPr>
                <w:rStyle w:val="Style10"/>
                <w:rFonts w:eastAsia="標楷體" w:ascii="Times New Roman" w:hAnsi="Times New Roman"/>
                <w:sz w:val="28"/>
                <w:szCs w:val="24"/>
              </w:rPr>
              <w:t>1</w:t>
            </w:r>
            <w:r>
              <w:rPr>
                <w:rStyle w:val="Style10"/>
                <w:rFonts w:ascii="Times New Roman" w:hAnsi="Times New Roman" w:eastAsia="標楷體"/>
                <w:sz w:val="28"/>
                <w:szCs w:val="24"/>
              </w:rPr>
              <w:t>次，能追蹤會議決議並提出改善措施。</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58"/>
              </w:numPr>
              <w:tabs>
                <w:tab w:val="clear" w:pos="480"/>
                <w:tab w:val="left" w:pos="819" w:leader="none"/>
              </w:tabs>
              <w:spacing w:lineRule="atLeast" w:line="0"/>
              <w:ind w:left="819" w:hanging="644"/>
              <w:jc w:val="both"/>
              <w:rPr/>
            </w:pPr>
            <w:r>
              <w:rPr>
                <w:rStyle w:val="Style10"/>
                <w:rFonts w:ascii="Times New Roman" w:hAnsi="Times New Roman" w:eastAsia="標楷體"/>
                <w:sz w:val="28"/>
                <w:szCs w:val="24"/>
              </w:rPr>
              <w:t>由住民擔任主席及記錄。</w:t>
            </w:r>
          </w:p>
          <w:p>
            <w:pPr>
              <w:pStyle w:val="BodyText"/>
              <w:numPr>
                <w:ilvl w:val="0"/>
                <w:numId w:val="58"/>
              </w:numPr>
              <w:tabs>
                <w:tab w:val="clear" w:pos="480"/>
                <w:tab w:val="left" w:pos="819" w:leader="none"/>
              </w:tabs>
              <w:spacing w:lineRule="atLeast" w:line="0"/>
              <w:ind w:left="819" w:hanging="644"/>
              <w:jc w:val="both"/>
              <w:rPr/>
            </w:pPr>
            <w:r>
              <w:rPr>
                <w:rStyle w:val="Style10"/>
                <w:rFonts w:ascii="Times New Roman" w:hAnsi="Times New Roman" w:eastAsia="標楷體"/>
                <w:sz w:val="28"/>
                <w:szCs w:val="24"/>
              </w:rPr>
              <w:t>每人每月至少參加</w:t>
            </w:r>
            <w:r>
              <w:rPr>
                <w:rStyle w:val="Style10"/>
                <w:rFonts w:eastAsia="標楷體" w:ascii="Times New Roman" w:hAnsi="Times New Roman"/>
                <w:sz w:val="28"/>
                <w:szCs w:val="24"/>
              </w:rPr>
              <w:t>1</w:t>
            </w:r>
            <w:r>
              <w:rPr>
                <w:rStyle w:val="Style10"/>
                <w:rFonts w:ascii="Times New Roman" w:hAnsi="Times New Roman" w:eastAsia="標楷體"/>
                <w:sz w:val="28"/>
                <w:szCs w:val="24"/>
              </w:rPr>
              <w:t>次，每次</w:t>
            </w:r>
            <w:r>
              <w:rPr>
                <w:rStyle w:val="Style10"/>
                <w:rFonts w:ascii="Times New Roman" w:hAnsi="Times New Roman" w:eastAsia="標楷體"/>
                <w:bCs/>
                <w:sz w:val="28"/>
                <w:szCs w:val="24"/>
              </w:rPr>
              <w:t>至少</w:t>
            </w:r>
            <w:r>
              <w:rPr>
                <w:rStyle w:val="Style10"/>
                <w:rFonts w:eastAsia="標楷體" w:ascii="Times New Roman" w:hAnsi="Times New Roman"/>
                <w:bCs/>
                <w:sz w:val="28"/>
                <w:szCs w:val="24"/>
              </w:rPr>
              <w:t>45</w:t>
            </w:r>
            <w:r>
              <w:rPr>
                <w:rStyle w:val="Style10"/>
                <w:rFonts w:ascii="Times New Roman" w:hAnsi="Times New Roman" w:eastAsia="標楷體"/>
                <w:bCs/>
                <w:sz w:val="28"/>
                <w:szCs w:val="24"/>
              </w:rPr>
              <w:t>分鐘以上</w:t>
            </w:r>
            <w:r>
              <w:rPr>
                <w:rStyle w:val="Style10"/>
                <w:rFonts w:ascii="Times New Roman" w:hAnsi="Times New Roman" w:eastAsia="標楷體"/>
                <w:sz w:val="28"/>
                <w:szCs w:val="24"/>
              </w:rPr>
              <w:t>。</w:t>
            </w:r>
          </w:p>
          <w:p>
            <w:pPr>
              <w:pStyle w:val="BodyText"/>
              <w:numPr>
                <w:ilvl w:val="0"/>
                <w:numId w:val="58"/>
              </w:numPr>
              <w:tabs>
                <w:tab w:val="clear" w:pos="480"/>
                <w:tab w:val="left" w:pos="819" w:leader="none"/>
              </w:tabs>
              <w:spacing w:lineRule="atLeast" w:line="0"/>
              <w:ind w:left="819" w:hanging="644"/>
              <w:jc w:val="both"/>
              <w:rPr/>
            </w:pPr>
            <w:r>
              <w:rPr>
                <w:rStyle w:val="Style10"/>
                <w:rFonts w:ascii="Times New Roman" w:hAnsi="Times New Roman" w:eastAsia="標楷體"/>
                <w:bCs/>
                <w:sz w:val="28"/>
                <w:szCs w:val="24"/>
              </w:rPr>
              <w:t>團體人數不超過</w:t>
            </w:r>
            <w:r>
              <w:rPr>
                <w:rStyle w:val="Style10"/>
                <w:rFonts w:eastAsia="標楷體" w:ascii="Times New Roman" w:hAnsi="Times New Roman"/>
                <w:bCs/>
                <w:sz w:val="28"/>
                <w:szCs w:val="24"/>
              </w:rPr>
              <w:t>50</w:t>
            </w:r>
            <w:r>
              <w:rPr>
                <w:rStyle w:val="Style10"/>
                <w:rFonts w:ascii="Times New Roman" w:hAnsi="Times New Roman" w:eastAsia="標楷體"/>
                <w:bCs/>
                <w:sz w:val="28"/>
                <w:szCs w:val="24"/>
              </w:rPr>
              <w:t>人，若超過</w:t>
            </w:r>
            <w:r>
              <w:rPr>
                <w:rStyle w:val="Style10"/>
                <w:rFonts w:eastAsia="標楷體" w:ascii="Times New Roman" w:hAnsi="Times New Roman"/>
                <w:bCs/>
                <w:sz w:val="28"/>
                <w:szCs w:val="24"/>
              </w:rPr>
              <w:t>50</w:t>
            </w:r>
            <w:r>
              <w:rPr>
                <w:rStyle w:val="Style10"/>
                <w:rFonts w:ascii="Times New Roman" w:hAnsi="Times New Roman" w:eastAsia="標楷體"/>
                <w:bCs/>
                <w:sz w:val="28"/>
                <w:szCs w:val="24"/>
              </w:rPr>
              <w:t>人，則分團體進行。</w:t>
            </w:r>
          </w:p>
          <w:p>
            <w:pPr>
              <w:pStyle w:val="BodyText"/>
              <w:numPr>
                <w:ilvl w:val="0"/>
                <w:numId w:val="58"/>
              </w:numPr>
              <w:tabs>
                <w:tab w:val="clear" w:pos="480"/>
                <w:tab w:val="left" w:pos="819" w:leader="none"/>
              </w:tabs>
              <w:spacing w:lineRule="atLeast" w:line="0"/>
              <w:ind w:left="819" w:hanging="644"/>
              <w:jc w:val="both"/>
              <w:rPr/>
            </w:pPr>
            <w:r>
              <w:rPr>
                <w:rStyle w:val="Style10"/>
                <w:rFonts w:ascii="Times New Roman" w:hAnsi="Times New Roman" w:eastAsia="標楷體"/>
                <w:sz w:val="28"/>
                <w:szCs w:val="24"/>
              </w:rPr>
              <w:t>工作人員列席並有指導住民學習會議運作。</w:t>
            </w:r>
          </w:p>
          <w:p>
            <w:pPr>
              <w:pStyle w:val="BodyText"/>
              <w:numPr>
                <w:ilvl w:val="0"/>
                <w:numId w:val="58"/>
              </w:numPr>
              <w:tabs>
                <w:tab w:val="clear" w:pos="480"/>
                <w:tab w:val="left" w:pos="819" w:leader="none"/>
              </w:tabs>
              <w:spacing w:lineRule="atLeast" w:line="0"/>
              <w:ind w:left="819" w:hanging="644"/>
              <w:jc w:val="both"/>
              <w:rPr/>
            </w:pPr>
            <w:r>
              <w:rPr>
                <w:rStyle w:val="Style10"/>
                <w:rFonts w:ascii="Times New Roman" w:hAnsi="Times New Roman" w:eastAsia="標楷體"/>
                <w:bCs/>
                <w:sz w:val="28"/>
                <w:szCs w:val="24"/>
              </w:rPr>
              <w:t>紀錄有公告周知或傳閱。</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rPr/>
            </w:pPr>
            <w:r>
              <w:rPr>
                <w:rStyle w:val="Style10"/>
                <w:rFonts w:ascii="Times New Roman" w:hAnsi="Times New Roman" w:eastAsia="標楷體"/>
                <w:sz w:val="28"/>
                <w:szCs w:val="24"/>
              </w:rPr>
              <w:t>自治會議討論內容如：伙食、設施、設備、社區參與、復健活動安排、生活公約、住民權益、機構管理措施等。</w:t>
            </w:r>
          </w:p>
        </w:tc>
      </w:tr>
      <w:tr>
        <w:trPr>
          <w:trHeight w:val="436" w:hRule="atLeast"/>
        </w:trPr>
        <w:tc>
          <w:tcPr>
            <w:tcW w:w="1118"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2.11</w:t>
            </w:r>
          </w:p>
        </w:tc>
        <w:tc>
          <w:tcPr>
            <w:tcW w:w="1672"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提供住民家庭支持服務</w:t>
            </w:r>
          </w:p>
        </w:tc>
        <w:tc>
          <w:tcPr>
            <w:tcW w:w="977"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機構應提供多元管道，鼓勵並促進家屬在住民復元歷程中扮演的角色，強化住民的支持系統。</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w:t>
            </w:r>
          </w:p>
          <w:p>
            <w:pPr>
              <w:pStyle w:val="Style32"/>
              <w:numPr>
                <w:ilvl w:val="0"/>
                <w:numId w:val="59"/>
              </w:numPr>
              <w:tabs>
                <w:tab w:val="left" w:pos="819" w:leader="none"/>
              </w:tabs>
              <w:spacing w:lineRule="atLeast" w:line="0"/>
              <w:ind w:left="819" w:hanging="615"/>
              <w:jc w:val="both"/>
              <w:rPr/>
            </w:pPr>
            <w:r>
              <w:rPr>
                <w:rStyle w:val="Style10"/>
                <w:rFonts w:ascii="Times New Roman" w:hAnsi="Times New Roman" w:eastAsia="標楷體"/>
                <w:sz w:val="28"/>
                <w:szCs w:val="24"/>
                <w:lang w:val="en-US" w:eastAsia="zh-TW"/>
              </w:rPr>
              <w:t>有多元管道鼓勵家屬參與住民復健的具體作為。</w:t>
            </w:r>
          </w:p>
          <w:p>
            <w:pPr>
              <w:pStyle w:val="Style32"/>
              <w:numPr>
                <w:ilvl w:val="0"/>
                <w:numId w:val="59"/>
              </w:numPr>
              <w:tabs>
                <w:tab w:val="left" w:pos="819" w:leader="none"/>
              </w:tabs>
              <w:spacing w:lineRule="atLeast" w:line="0"/>
              <w:ind w:left="819" w:hanging="615"/>
              <w:jc w:val="both"/>
              <w:rPr/>
            </w:pPr>
            <w:r>
              <w:rPr>
                <w:rStyle w:val="Style10"/>
                <w:rFonts w:ascii="Times New Roman" w:hAnsi="Times New Roman" w:eastAsia="標楷體"/>
                <w:sz w:val="28"/>
                <w:szCs w:val="24"/>
                <w:lang w:val="en-US" w:eastAsia="zh-TW"/>
              </w:rPr>
              <w:t>全年度累計共有</w:t>
            </w:r>
            <w:r>
              <w:rPr>
                <w:rStyle w:val="Style10"/>
                <w:rFonts w:eastAsia="標楷體" w:ascii="Times New Roman" w:hAnsi="Times New Roman"/>
                <w:sz w:val="28"/>
                <w:szCs w:val="24"/>
                <w:lang w:val="en-US" w:eastAsia="zh-TW"/>
              </w:rPr>
              <w:t>80%</w:t>
            </w:r>
            <w:r>
              <w:rPr>
                <w:rStyle w:val="Style10"/>
                <w:rFonts w:ascii="Times New Roman" w:hAnsi="Times New Roman" w:eastAsia="標楷體"/>
                <w:sz w:val="28"/>
                <w:szCs w:val="24"/>
                <w:lang w:val="en-US" w:eastAsia="zh-TW"/>
              </w:rPr>
              <w:t>以上住民之家屬參加活動。</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：根據</w:t>
            </w:r>
            <w:r>
              <w:rPr>
                <w:rStyle w:val="Style10"/>
                <w:rFonts w:eastAsia="標楷體" w:ascii="Times New Roman" w:hAnsi="Times New Roman"/>
                <w:sz w:val="28"/>
                <w:szCs w:val="24"/>
              </w:rPr>
              <w:t>2.1</w:t>
            </w:r>
            <w:r>
              <w:rPr>
                <w:rStyle w:val="Style10"/>
                <w:rFonts w:ascii="Times New Roman" w:hAnsi="Times New Roman" w:eastAsia="標楷體"/>
                <w:sz w:val="28"/>
                <w:szCs w:val="24"/>
              </w:rPr>
              <w:t>「家庭及社會支持系統」評估結果，</w:t>
            </w:r>
          </w:p>
          <w:p>
            <w:pPr>
              <w:pStyle w:val="BodyText"/>
              <w:tabs>
                <w:tab w:val="clear" w:pos="480"/>
              </w:tabs>
              <w:ind w:left="453" w:hanging="280"/>
              <w:rPr/>
            </w:pPr>
            <w:r>
              <w:rPr>
                <w:rStyle w:val="Style10"/>
                <w:rFonts w:eastAsia="標楷體" w:ascii="Times New Roman" w:hAnsi="Times New Roman"/>
                <w:sz w:val="28"/>
                <w:szCs w:val="24"/>
              </w:rPr>
              <w:t>1.</w:t>
            </w:r>
            <w:r>
              <w:rPr>
                <w:rStyle w:val="Style10"/>
                <w:rFonts w:ascii="Times New Roman" w:hAnsi="Times New Roman" w:eastAsia="標楷體"/>
                <w:sz w:val="28"/>
                <w:szCs w:val="24"/>
              </w:rPr>
              <w:t>定期與家屬聯絡及討論住民復健情形，並備有紀錄。</w:t>
            </w:r>
          </w:p>
          <w:p>
            <w:pPr>
              <w:pStyle w:val="BodyText"/>
              <w:tabs>
                <w:tab w:val="clear" w:pos="480"/>
              </w:tabs>
              <w:ind w:left="453" w:hanging="280"/>
              <w:rPr/>
            </w:pPr>
            <w:r>
              <w:rPr>
                <w:rStyle w:val="Style10"/>
                <w:rFonts w:eastAsia="標楷體" w:ascii="Times New Roman" w:hAnsi="Times New Roman"/>
                <w:sz w:val="28"/>
                <w:szCs w:val="24"/>
              </w:rPr>
              <w:t>2.</w:t>
            </w:r>
            <w:r>
              <w:rPr>
                <w:rStyle w:val="Style10"/>
                <w:rFonts w:ascii="Times New Roman" w:hAnsi="Times New Roman" w:eastAsia="標楷體"/>
                <w:sz w:val="28"/>
                <w:szCs w:val="24"/>
              </w:rPr>
              <w:t>至少每半年舉辦</w:t>
            </w:r>
            <w:r>
              <w:rPr>
                <w:rStyle w:val="Style10"/>
                <w:rFonts w:eastAsia="標楷體" w:ascii="Times New Roman" w:hAnsi="Times New Roman"/>
                <w:sz w:val="28"/>
                <w:szCs w:val="24"/>
              </w:rPr>
              <w:t>1</w:t>
            </w:r>
            <w:r>
              <w:rPr>
                <w:rStyle w:val="Style10"/>
                <w:rFonts w:ascii="Times New Roman" w:hAnsi="Times New Roman" w:eastAsia="標楷體"/>
                <w:sz w:val="28"/>
                <w:szCs w:val="24"/>
              </w:rPr>
              <w:t>次家屬座談會或聯誼活動，全年度累計共有</w:t>
            </w:r>
            <w:r>
              <w:rPr>
                <w:rStyle w:val="Style10"/>
                <w:rFonts w:eastAsia="標楷體" w:ascii="Times New Roman" w:hAnsi="Times New Roman"/>
                <w:sz w:val="28"/>
                <w:szCs w:val="24"/>
              </w:rPr>
              <w:t>50%</w:t>
            </w:r>
            <w:r>
              <w:rPr>
                <w:rStyle w:val="Style10"/>
                <w:rFonts w:ascii="Times New Roman" w:hAnsi="Times New Roman" w:eastAsia="標楷體"/>
                <w:sz w:val="28"/>
                <w:szCs w:val="24"/>
              </w:rPr>
              <w:t>以上住民之家屬參加，並備有紀錄。</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pacing w:lineRule="atLeast" w:line="0"/>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pacing w:lineRule="atLeast" w:line="0"/>
              <w:ind w:left="263" w:hanging="263"/>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計算有家屬之住民執行情形。</w:t>
            </w:r>
          </w:p>
          <w:p>
            <w:pPr>
              <w:pStyle w:val="BodyText"/>
              <w:tabs>
                <w:tab w:val="clear" w:pos="480"/>
              </w:tabs>
              <w:spacing w:lineRule="atLeast" w:line="0"/>
              <w:ind w:left="263" w:hanging="263"/>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參加人數比例為全年度累計，且同一住民之家屬不重複計算。</w:t>
            </w:r>
          </w:p>
          <w:p>
            <w:pPr>
              <w:pStyle w:val="BodyText"/>
              <w:tabs>
                <w:tab w:val="clear" w:pos="480"/>
              </w:tabs>
              <w:spacing w:lineRule="atLeast" w:line="0"/>
              <w:ind w:left="260" w:hanging="260"/>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針對無家屬個案或家屬確實在國外，無法前來者，可於分母扣除。</w:t>
            </w:r>
          </w:p>
        </w:tc>
      </w:tr>
      <w:tr>
        <w:trPr>
          <w:trHeight w:val="538" w:hRule="atLeast"/>
        </w:trPr>
        <w:tc>
          <w:tcPr>
            <w:tcW w:w="111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70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2.12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社區融合</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4</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經由機構有意識的規劃，讓住民學習與鄰里或大社區互動，以提升住民自我價值，及社區的接納度。</w:t>
            </w:r>
          </w:p>
          <w:p>
            <w:pPr>
              <w:pStyle w:val="BodyText"/>
              <w:tabs>
                <w:tab w:val="clear" w:pos="480"/>
              </w:tabs>
              <w:snapToGrid w:val="false"/>
              <w:spacing w:lineRule="atLeast" w:line="240" w:before="0" w:after="72"/>
              <w:ind w:left="408" w:hanging="40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，有具體成效。</w:t>
            </w:r>
          </w:p>
          <w:p>
            <w:pPr>
              <w:pStyle w:val="BodyText"/>
              <w:tabs>
                <w:tab w:val="clear" w:pos="480"/>
              </w:tabs>
              <w:snapToGrid w:val="false"/>
              <w:spacing w:lineRule="atLeast" w:line="240" w:before="0" w:after="72"/>
              <w:ind w:left="462" w:hanging="462"/>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，且能結合社區資源與辦理多元化融合活動。</w:t>
            </w:r>
          </w:p>
          <w:p>
            <w:pPr>
              <w:pStyle w:val="BodyText"/>
              <w:tabs>
                <w:tab w:val="clear" w:pos="480"/>
              </w:tabs>
              <w:snapToGrid w:val="false"/>
              <w:spacing w:lineRule="atLeast" w:line="240" w:before="0" w:after="72"/>
              <w:ind w:left="462" w:hanging="462"/>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：依據「復健評估」結果，</w:t>
            </w:r>
          </w:p>
          <w:p>
            <w:pPr>
              <w:pStyle w:val="BodyText"/>
              <w:numPr>
                <w:ilvl w:val="0"/>
                <w:numId w:val="60"/>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sz w:val="28"/>
              </w:rPr>
              <w:t>機構應訂有年度計畫，至少每年參與</w:t>
            </w:r>
            <w:r>
              <w:rPr>
                <w:rStyle w:val="Style16"/>
                <w:rFonts w:eastAsia="標楷體" w:ascii="Times New Roman" w:hAnsi="Times New Roman"/>
                <w:sz w:val="28"/>
              </w:rPr>
              <w:t>1</w:t>
            </w:r>
            <w:r>
              <w:rPr>
                <w:rStyle w:val="Style16"/>
                <w:rFonts w:ascii="Times New Roman" w:hAnsi="Times New Roman" w:eastAsia="標楷體"/>
                <w:sz w:val="28"/>
              </w:rPr>
              <w:t>次社區交流活動。</w:t>
            </w:r>
          </w:p>
          <w:p>
            <w:pPr>
              <w:pStyle w:val="BodyText"/>
              <w:numPr>
                <w:ilvl w:val="0"/>
                <w:numId w:val="60"/>
              </w:numPr>
              <w:tabs>
                <w:tab w:val="clear" w:pos="480"/>
                <w:tab w:val="left" w:pos="480" w:leader="none"/>
              </w:tabs>
              <w:snapToGrid w:val="false"/>
              <w:spacing w:lineRule="atLeast" w:line="240"/>
              <w:ind w:left="480" w:hanging="785"/>
              <w:jc w:val="both"/>
              <w:rPr/>
            </w:pPr>
            <w:r>
              <w:rPr>
                <w:rStyle w:val="Style16"/>
                <w:rFonts w:ascii="Times New Roman" w:hAnsi="Times New Roman" w:eastAsia="標楷體"/>
                <w:sz w:val="28"/>
              </w:rPr>
              <w:t>持續性參與社區服務。</w:t>
            </w:r>
          </w:p>
          <w:p>
            <w:pPr>
              <w:pStyle w:val="BodyText"/>
              <w:numPr>
                <w:ilvl w:val="0"/>
                <w:numId w:val="60"/>
              </w:numPr>
              <w:tabs>
                <w:tab w:val="clear" w:pos="480"/>
                <w:tab w:val="left" w:pos="480" w:leader="none"/>
              </w:tabs>
              <w:snapToGrid w:val="false"/>
              <w:spacing w:lineRule="atLeast" w:line="240" w:before="0" w:after="72"/>
              <w:ind w:left="480" w:hanging="785"/>
              <w:jc w:val="both"/>
              <w:rPr/>
            </w:pPr>
            <w:r>
              <w:rPr>
                <w:rStyle w:val="Style16"/>
                <w:rFonts w:ascii="Times New Roman" w:hAnsi="Times New Roman" w:eastAsia="標楷體"/>
                <w:sz w:val="28"/>
              </w:rPr>
              <w:t>住民可參與社區融合規劃與執行。</w:t>
            </w:r>
          </w:p>
          <w:p>
            <w:pPr>
              <w:pStyle w:val="BodyText"/>
              <w:tabs>
                <w:tab w:val="clear" w:pos="480"/>
              </w:tabs>
              <w:snapToGrid w:val="false"/>
              <w:spacing w:lineRule="atLeast" w:line="240" w:before="72" w:after="72"/>
              <w:ind w:left="462" w:hanging="462"/>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72" w:after="72"/>
              <w:ind w:left="462" w:hanging="462"/>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8"/>
              </w:rPr>
              <w:t>第</w:t>
            </w:r>
            <w:r>
              <w:rPr>
                <w:rStyle w:val="Style10"/>
                <w:rFonts w:eastAsia="標楷體" w:ascii="Times New Roman" w:hAnsi="Times New Roman"/>
                <w:sz w:val="28"/>
                <w:szCs w:val="28"/>
              </w:rPr>
              <w:t>3</w:t>
            </w:r>
            <w:r>
              <w:rPr>
                <w:rStyle w:val="Style10"/>
                <w:rFonts w:ascii="Times New Roman" w:hAnsi="Times New Roman" w:eastAsia="標楷體"/>
                <w:sz w:val="28"/>
                <w:szCs w:val="28"/>
              </w:rPr>
              <w:t>章</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服務品質</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30</w:t>
            </w:r>
          </w:p>
        </w:tc>
        <w:tc>
          <w:tcPr>
            <w:tcW w:w="6700"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560" w:hanging="560"/>
              <w:jc w:val="both"/>
              <w:rPr/>
            </w:pPr>
            <w:r>
              <w:rPr>
                <w:rStyle w:val="Style10"/>
                <w:rFonts w:ascii="Times New Roman" w:hAnsi="Times New Roman" w:eastAsia="標楷體"/>
                <w:sz w:val="28"/>
                <w:szCs w:val="24"/>
              </w:rPr>
              <w:t>【重點說明】</w:t>
            </w:r>
          </w:p>
          <w:p>
            <w:pPr>
              <w:pStyle w:val="BodyText"/>
              <w:numPr>
                <w:ilvl w:val="0"/>
                <w:numId w:val="61"/>
              </w:numPr>
              <w:tabs>
                <w:tab w:val="clear" w:pos="480"/>
                <w:tab w:val="left" w:pos="797" w:leader="none"/>
              </w:tabs>
              <w:ind w:left="797" w:hanging="763"/>
              <w:jc w:val="both"/>
              <w:rPr/>
            </w:pPr>
            <w:r>
              <w:rPr>
                <w:rStyle w:val="Style10"/>
                <w:rFonts w:ascii="Times New Roman" w:hAnsi="Times New Roman" w:eastAsia="標楷體"/>
                <w:sz w:val="28"/>
                <w:szCs w:val="24"/>
              </w:rPr>
              <w:t>復健服務品質的精進應深植於每日常規中。為檢核機構的功能與復健績效，從工作人員執行業務依據的工作手冊、執行過程紀錄、復健成果的分析統計與檢討、住民權益的維護，均依</w:t>
            </w:r>
            <w:r>
              <w:rPr>
                <w:rStyle w:val="Style10"/>
                <w:rFonts w:eastAsia="標楷體" w:ascii="Times New Roman" w:hAnsi="Times New Roman"/>
                <w:sz w:val="28"/>
                <w:szCs w:val="24"/>
              </w:rPr>
              <w:t>PDCA</w:t>
            </w:r>
            <w:r>
              <w:rPr>
                <w:rStyle w:val="Style10"/>
                <w:rFonts w:ascii="Times New Roman" w:hAnsi="Times New Roman" w:eastAsia="標楷體"/>
                <w:sz w:val="28"/>
                <w:szCs w:val="24"/>
              </w:rPr>
              <w:t>的原則檢討</w:t>
            </w:r>
          </w:p>
          <w:p>
            <w:pPr>
              <w:pStyle w:val="BodyText"/>
              <w:numPr>
                <w:ilvl w:val="0"/>
                <w:numId w:val="61"/>
              </w:numPr>
              <w:tabs>
                <w:tab w:val="clear" w:pos="480"/>
                <w:tab w:val="left" w:pos="797" w:leader="none"/>
              </w:tabs>
              <w:ind w:left="797" w:hanging="763"/>
              <w:jc w:val="both"/>
              <w:rPr/>
            </w:pPr>
            <w:r>
              <w:rPr>
                <w:rStyle w:val="Style10"/>
                <w:rFonts w:ascii="Times New Roman" w:hAnsi="Times New Roman" w:eastAsia="標楷體"/>
                <w:sz w:val="28"/>
                <w:szCs w:val="24"/>
              </w:rPr>
              <w:t>住宿型機構的住民不是住院病人，管理方式有別於醫院，重點在秉持復元理念與優勢觀點，於最少限制的環境中，與住民一起協作，逐步擺脫疾病限制，重建社會角色，找回主體性，過著滿意、有希望、有貢獻的生活。</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訂有工作手冊，並落實執行</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1</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機構應訂有工作手冊，說明業務內容與工作流程，供員工據以執行，以確保服務品質。</w:t>
            </w:r>
          </w:p>
          <w:p>
            <w:pPr>
              <w:pStyle w:val="BodyText"/>
              <w:tabs>
                <w:tab w:val="clear" w:pos="480"/>
              </w:tabs>
              <w:snapToGrid w:val="false"/>
              <w:spacing w:lineRule="atLeast" w:line="240"/>
              <w:ind w:left="408" w:hanging="40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，且工作手冊詳盡完整並定期檢討及修正。</w:t>
            </w:r>
          </w:p>
          <w:p>
            <w:pPr>
              <w:pStyle w:val="BodyText"/>
              <w:tabs>
                <w:tab w:val="clear" w:pos="480"/>
              </w:tabs>
              <w:snapToGrid w:val="false"/>
              <w:spacing w:lineRule="atLeast" w:line="240"/>
              <w:ind w:left="408" w:hanging="408"/>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：訂有適切的工作手冊，並落實執行。</w:t>
            </w:r>
          </w:p>
          <w:p>
            <w:pPr>
              <w:pStyle w:val="BodyText"/>
              <w:tabs>
                <w:tab w:val="clear" w:pos="480"/>
              </w:tabs>
              <w:snapToGrid w:val="false"/>
              <w:spacing w:lineRule="atLeast" w:line="240" w:before="0" w:after="108"/>
              <w:ind w:left="317" w:hanging="317"/>
              <w:jc w:val="both"/>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p>
            <w:pPr>
              <w:pStyle w:val="BodyText"/>
              <w:tabs>
                <w:tab w:val="clear" w:pos="480"/>
              </w:tabs>
              <w:snapToGrid w:val="false"/>
              <w:spacing w:lineRule="atLeast" w:line="240" w:before="0" w:after="108"/>
              <w:ind w:left="317" w:hanging="317"/>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before="0" w:after="108"/>
              <w:jc w:val="both"/>
              <w:rPr/>
            </w:pPr>
            <w:r>
              <w:rPr>
                <w:rStyle w:val="Style10"/>
                <w:rFonts w:ascii="Times New Roman" w:hAnsi="Times New Roman" w:eastAsia="標楷體"/>
                <w:sz w:val="28"/>
                <w:szCs w:val="24"/>
              </w:rPr>
              <w:t>手冊內容應明列機構理念、願景、任務、組織架構、各單位及人員業務職掌、收案及結案標準、住民權益維護、復健服務內容、重要工作流程、緊急事件通報聯繫窗口及權益維護辦法等資料。</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訂定適當收案標準，並落實執行</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機構應依社區復健理念及所持經營理念，訂定收案標準，並落實執行。</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，且訂有收案評估及檢討改善機制。</w:t>
            </w:r>
          </w:p>
          <w:p>
            <w:pPr>
              <w:pStyle w:val="BodyText"/>
              <w:tabs>
                <w:tab w:val="clear" w:pos="480"/>
              </w:tabs>
              <w:spacing w:lineRule="atLeast" w:line="0"/>
              <w:ind w:left="462" w:hanging="462"/>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：訂定適當收案標準且落實執行。</w:t>
            </w:r>
          </w:p>
          <w:p>
            <w:pPr>
              <w:pStyle w:val="BodyText"/>
              <w:tabs>
                <w:tab w:val="clear" w:pos="480"/>
              </w:tabs>
              <w:snapToGrid w:val="false"/>
              <w:spacing w:lineRule="atLeast" w:line="240" w:before="108" w:after="0"/>
              <w:ind w:left="192" w:hanging="192"/>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rHeight w:val="436" w:hRule="atLeast"/>
        </w:trPr>
        <w:tc>
          <w:tcPr>
            <w:tcW w:w="1118"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3.3</w:t>
            </w:r>
          </w:p>
        </w:tc>
        <w:tc>
          <w:tcPr>
            <w:tcW w:w="1672" w:type="dxa"/>
            <w:vMerge w:val="restart"/>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訂定適當結案標準，並落實執行</w:t>
            </w:r>
          </w:p>
        </w:tc>
        <w:tc>
          <w:tcPr>
            <w:tcW w:w="977" w:type="dxa"/>
            <w:vMerge w:val="restart"/>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3</w:t>
            </w:r>
          </w:p>
        </w:tc>
        <w:tc>
          <w:tcPr>
            <w:tcW w:w="6700" w:type="dxa"/>
            <w:vMerge w:val="restart"/>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機構應依社區復健理念，訂定適當結案標準，並落實執行。</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w:t>
            </w:r>
            <w:r>
              <w:rPr>
                <w:rStyle w:val="Style10"/>
                <w:rFonts w:eastAsia="標楷體" w:ascii="Times New Roman" w:hAnsi="Times New Roman"/>
                <w:sz w:val="28"/>
                <w:szCs w:val="24"/>
              </w:rPr>
              <w:t>4</w:t>
            </w:r>
            <w:r>
              <w:rPr>
                <w:rStyle w:val="Style10"/>
                <w:rFonts w:ascii="Times New Roman" w:hAnsi="Times New Roman" w:eastAsia="標楷體"/>
                <w:sz w:val="28"/>
                <w:szCs w:val="24"/>
              </w:rPr>
              <w:t>年內有</w:t>
            </w:r>
            <w:r>
              <w:rPr>
                <w:rStyle w:val="Style10"/>
                <w:rFonts w:eastAsia="標楷體" w:ascii="Times New Roman" w:hAnsi="Times New Roman"/>
                <w:sz w:val="28"/>
                <w:szCs w:val="24"/>
              </w:rPr>
              <w:t>20%</w:t>
            </w:r>
            <w:r>
              <w:rPr>
                <w:rStyle w:val="Style10"/>
                <w:rFonts w:ascii="Times New Roman" w:hAnsi="Times New Roman" w:eastAsia="標楷體"/>
                <w:sz w:val="28"/>
                <w:szCs w:val="24"/>
              </w:rPr>
              <w:t>以上住民功能進步，並結案回歸社區生活。</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w:t>
            </w:r>
            <w:r>
              <w:rPr>
                <w:rStyle w:val="Style10"/>
                <w:rFonts w:eastAsia="標楷體" w:ascii="Times New Roman" w:hAnsi="Times New Roman"/>
                <w:sz w:val="28"/>
                <w:szCs w:val="24"/>
              </w:rPr>
              <w:t>4</w:t>
            </w:r>
            <w:r>
              <w:rPr>
                <w:rStyle w:val="Style10"/>
                <w:rFonts w:ascii="Times New Roman" w:hAnsi="Times New Roman" w:eastAsia="標楷體"/>
                <w:sz w:val="28"/>
                <w:szCs w:val="24"/>
              </w:rPr>
              <w:t>年內有</w:t>
            </w:r>
            <w:r>
              <w:rPr>
                <w:rStyle w:val="Style10"/>
                <w:rFonts w:eastAsia="標楷體" w:ascii="Times New Roman" w:hAnsi="Times New Roman"/>
                <w:sz w:val="28"/>
                <w:szCs w:val="24"/>
              </w:rPr>
              <w:t>10%</w:t>
            </w:r>
            <w:r>
              <w:rPr>
                <w:rStyle w:val="Style10"/>
                <w:rFonts w:ascii="Times New Roman" w:hAnsi="Times New Roman" w:eastAsia="標楷體"/>
                <w:sz w:val="28"/>
                <w:szCs w:val="24"/>
              </w:rPr>
              <w:t>以上住民經復健後功能進步，回歸社區生活且為家屬接受，有就學、就業成功案例。</w:t>
            </w:r>
          </w:p>
          <w:p>
            <w:pPr>
              <w:pStyle w:val="BodyText"/>
              <w:tabs>
                <w:tab w:val="clear" w:pos="480"/>
              </w:tabs>
              <w:snapToGrid w:val="false"/>
              <w:spacing w:lineRule="atLeast" w:line="240"/>
              <w:ind w:left="480" w:hanging="48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r>
              <w:rPr>
                <w:rStyle w:val="Style10"/>
                <w:rFonts w:ascii="Times New Roman" w:hAnsi="Times New Roman" w:eastAsia="標楷體"/>
                <w:bCs/>
                <w:sz w:val="28"/>
                <w:szCs w:val="24"/>
              </w:rPr>
              <w:t>依據</w:t>
            </w:r>
            <w:r>
              <w:rPr>
                <w:rStyle w:val="Style10"/>
                <w:rFonts w:ascii="Times New Roman" w:hAnsi="Times New Roman" w:eastAsia="標楷體"/>
                <w:sz w:val="28"/>
                <w:szCs w:val="24"/>
              </w:rPr>
              <w:t>結案</w:t>
            </w:r>
            <w:r>
              <w:rPr>
                <w:rStyle w:val="Style10"/>
                <w:rFonts w:ascii="Times New Roman" w:hAnsi="Times New Roman" w:eastAsia="標楷體"/>
                <w:bCs/>
                <w:sz w:val="28"/>
                <w:szCs w:val="24"/>
              </w:rPr>
              <w:t>標準確實執行，並備有結案記錄。</w:t>
            </w:r>
          </w:p>
          <w:p>
            <w:pPr>
              <w:pStyle w:val="BodyText"/>
              <w:tabs>
                <w:tab w:val="clear" w:pos="480"/>
              </w:tabs>
              <w:snapToGrid w:val="false"/>
              <w:spacing w:lineRule="atLeast" w:line="240"/>
              <w:ind w:left="432" w:hanging="43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80" w:hanging="480"/>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80" w:hanging="48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napToGrid w:val="false"/>
              <w:spacing w:lineRule="atLeast" w:line="240"/>
              <w:ind w:left="180" w:hanging="180"/>
              <w:rPr/>
            </w:pPr>
            <w:r>
              <w:rPr>
                <w:rStyle w:val="Style10"/>
                <w:rFonts w:eastAsia="標楷體" w:ascii="Times New Roman" w:hAnsi="Times New Roman"/>
                <w:sz w:val="28"/>
                <w:szCs w:val="24"/>
              </w:rPr>
              <w:t>1.</w:t>
            </w:r>
            <w:r>
              <w:rPr>
                <w:rStyle w:val="Style10"/>
                <w:rFonts w:ascii="Times New Roman" w:hAnsi="Times New Roman" w:eastAsia="標楷體"/>
                <w:sz w:val="28"/>
                <w:szCs w:val="24"/>
              </w:rPr>
              <w:t>回歸社區生活定義：生活功能已可自我照顧、分擔家務、就學、就業可返家或獨立生活者。</w:t>
            </w:r>
          </w:p>
          <w:p>
            <w:pPr>
              <w:pStyle w:val="BodyText"/>
              <w:tabs>
                <w:tab w:val="clear" w:pos="480"/>
              </w:tabs>
              <w:snapToGrid w:val="false"/>
              <w:spacing w:lineRule="atLeast" w:line="240"/>
              <w:ind w:left="180" w:hanging="180"/>
              <w:rPr/>
            </w:pPr>
            <w:r>
              <w:rPr>
                <w:rStyle w:val="Style10"/>
                <w:rFonts w:eastAsia="標楷體" w:ascii="Times New Roman" w:hAnsi="Times New Roman"/>
                <w:sz w:val="28"/>
                <w:szCs w:val="24"/>
              </w:rPr>
              <w:t>2.</w:t>
            </w:r>
            <w:r>
              <w:rPr>
                <w:rStyle w:val="Style10"/>
                <w:rFonts w:ascii="Times New Roman" w:hAnsi="Times New Roman" w:eastAsia="標楷體"/>
                <w:sz w:val="28"/>
                <w:szCs w:val="24"/>
              </w:rPr>
              <w:t>結案比例</w:t>
            </w:r>
            <w:r>
              <w:rPr>
                <w:rStyle w:val="Style10"/>
                <w:rFonts w:ascii="Times New Roman" w:hAnsi="Times New Roman" w:eastAsia="標楷體"/>
                <w:kern w:val="0"/>
                <w:sz w:val="28"/>
                <w:szCs w:val="24"/>
              </w:rPr>
              <w:t>計算方式：</w:t>
            </w:r>
          </w:p>
          <w:p>
            <w:pPr>
              <w:pStyle w:val="BodyText"/>
              <w:tabs>
                <w:tab w:val="clear" w:pos="480"/>
              </w:tabs>
              <w:snapToGrid w:val="false"/>
              <w:spacing w:lineRule="atLeast" w:line="240"/>
              <w:ind w:left="601" w:hanging="284"/>
              <w:rPr/>
            </w:pPr>
            <w:r>
              <w:rPr>
                <w:rStyle w:val="Style10"/>
                <w:rFonts w:eastAsia="標楷體" w:ascii="Times New Roman" w:hAnsi="Times New Roman"/>
                <w:sz w:val="28"/>
                <w:szCs w:val="24"/>
              </w:rPr>
              <w:t>(1)</w:t>
            </w:r>
            <w:r>
              <w:rPr>
                <w:rStyle w:val="Style10"/>
                <w:rFonts w:ascii="Times New Roman" w:hAnsi="Times New Roman" w:eastAsia="標楷體"/>
                <w:sz w:val="28"/>
                <w:szCs w:val="24"/>
              </w:rPr>
              <w:t>分子：</w:t>
            </w:r>
            <w:r>
              <w:rPr>
                <w:rStyle w:val="Style10"/>
                <w:rFonts w:eastAsia="標楷體" w:ascii="Times New Roman" w:hAnsi="Times New Roman"/>
                <w:sz w:val="28"/>
                <w:szCs w:val="24"/>
              </w:rPr>
              <w:t>4</w:t>
            </w:r>
            <w:r>
              <w:rPr>
                <w:rStyle w:val="Style10"/>
                <w:rFonts w:ascii="Times New Roman" w:hAnsi="Times New Roman" w:eastAsia="標楷體"/>
                <w:sz w:val="28"/>
                <w:szCs w:val="24"/>
              </w:rPr>
              <w:t>年內功能進步，並結案回歸社區生活之住民人次。</w:t>
            </w:r>
          </w:p>
          <w:p>
            <w:pPr>
              <w:pStyle w:val="BodyText"/>
              <w:tabs>
                <w:tab w:val="clear" w:pos="480"/>
              </w:tabs>
              <w:snapToGrid w:val="false"/>
              <w:spacing w:lineRule="atLeast" w:line="240" w:before="0" w:after="108"/>
              <w:ind w:left="601" w:hanging="284"/>
              <w:rPr/>
            </w:pPr>
            <w:r>
              <w:rPr>
                <w:rStyle w:val="Style10"/>
                <w:rFonts w:eastAsia="標楷體" w:ascii="Times New Roman" w:hAnsi="Times New Roman"/>
                <w:sz w:val="28"/>
                <w:szCs w:val="24"/>
              </w:rPr>
              <w:t>(2)</w:t>
            </w:r>
            <w:r>
              <w:rPr>
                <w:rStyle w:val="Style10"/>
                <w:rFonts w:ascii="Times New Roman" w:hAnsi="Times New Roman" w:eastAsia="標楷體"/>
                <w:sz w:val="28"/>
                <w:szCs w:val="24"/>
              </w:rPr>
              <w:t>分母：</w:t>
            </w:r>
            <w:r>
              <w:rPr>
                <w:rStyle w:val="Style10"/>
                <w:rFonts w:eastAsia="標楷體" w:ascii="Times New Roman" w:hAnsi="Times New Roman"/>
                <w:sz w:val="28"/>
                <w:szCs w:val="24"/>
              </w:rPr>
              <w:t>4</w:t>
            </w:r>
            <w:r>
              <w:rPr>
                <w:rStyle w:val="Style10"/>
                <w:rFonts w:ascii="Times New Roman" w:hAnsi="Times New Roman" w:eastAsia="標楷體"/>
                <w:sz w:val="28"/>
                <w:szCs w:val="24"/>
              </w:rPr>
              <w:t>年服務總人次。</w:t>
            </w:r>
          </w:p>
        </w:tc>
      </w:tr>
      <w:tr>
        <w:trPr>
          <w:trHeight w:val="538" w:hRule="atLeast"/>
        </w:trPr>
        <w:tc>
          <w:tcPr>
            <w:tcW w:w="1118"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1672"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977"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c>
          <w:tcPr>
            <w:tcW w:w="6700" w:type="dxa"/>
            <w:vMerge w:val="continue"/>
            <w:tcBorders>
              <w:top w:val="single" w:sz="4" w:space="0" w:color="000000"/>
              <w:left w:val="single" w:sz="4" w:space="0" w:color="000000"/>
              <w:bottom w:val="single" w:sz="4" w:space="0" w:color="000000"/>
              <w:right w:val="single" w:sz="4" w:space="0" w:color="000000"/>
            </w:tcBorders>
          </w:tcPr>
          <w:p>
            <w:pPr>
              <w:pStyle w:val="Normal"/>
              <w:rPr/>
            </w:pPr>
            <w:r>
              <w:rPr/>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3.4</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紀錄完整，並妥善管理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240" w:hanging="240"/>
              <w:jc w:val="center"/>
              <w:rPr>
                <w:rFonts w:ascii="Times New Roman" w:hAnsi="Times New Roman" w:eastAsia="標楷體"/>
                <w:sz w:val="28"/>
                <w:szCs w:val="24"/>
              </w:rPr>
            </w:pPr>
            <w:r>
              <w:rPr>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紀錄應完整並妥善管理，以了解住民復健情形。</w:t>
            </w:r>
          </w:p>
          <w:p>
            <w:pPr>
              <w:pStyle w:val="BodyText"/>
              <w:tabs>
                <w:tab w:val="clear" w:pos="480"/>
              </w:tabs>
              <w:snapToGrid w:val="false"/>
              <w:spacing w:lineRule="atLeast" w:line="240"/>
              <w:ind w:left="408" w:hanging="408"/>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，且定期有量與質的審查。</w:t>
            </w:r>
          </w:p>
          <w:p>
            <w:pPr>
              <w:pStyle w:val="BodyText"/>
              <w:tabs>
                <w:tab w:val="clear" w:pos="480"/>
              </w:tabs>
              <w:snapToGrid w:val="false"/>
              <w:spacing w:lineRule="atLeast" w:line="240"/>
              <w:ind w:left="480" w:hanging="480"/>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，且紀錄完整詳實。</w:t>
            </w:r>
          </w:p>
          <w:p>
            <w:pPr>
              <w:pStyle w:val="BodyText"/>
              <w:tabs>
                <w:tab w:val="clear" w:pos="480"/>
              </w:tabs>
              <w:snapToGrid w:val="false"/>
              <w:spacing w:lineRule="atLeast" w:line="240"/>
              <w:ind w:left="480" w:hanging="4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tabs>
                <w:tab w:val="clear" w:pos="480"/>
              </w:tabs>
              <w:snapToGrid w:val="false"/>
              <w:spacing w:lineRule="atLeast" w:line="240"/>
              <w:ind w:left="459" w:hanging="284"/>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紀錄應統整各專業之資料以呈現住民之復健情形。</w:t>
            </w:r>
          </w:p>
          <w:p>
            <w:pPr>
              <w:pStyle w:val="BodyText"/>
              <w:tabs>
                <w:tab w:val="clear" w:pos="480"/>
              </w:tabs>
              <w:snapToGrid w:val="false"/>
              <w:spacing w:lineRule="atLeast" w:line="240"/>
              <w:ind w:left="459" w:hanging="284"/>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訂有個案紀錄管理辦法，且落實執行。</w:t>
            </w:r>
          </w:p>
          <w:p>
            <w:pPr>
              <w:pStyle w:val="BodyText"/>
              <w:tabs>
                <w:tab w:val="clear" w:pos="480"/>
              </w:tabs>
              <w:snapToGrid w:val="false"/>
              <w:spacing w:lineRule="atLeast" w:line="240"/>
              <w:ind w:left="459" w:hanging="284"/>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具保密性措施。</w:t>
            </w:r>
          </w:p>
          <w:p>
            <w:pPr>
              <w:pStyle w:val="BodyText"/>
              <w:tabs>
                <w:tab w:val="clear" w:pos="480"/>
              </w:tabs>
              <w:snapToGrid w:val="false"/>
              <w:spacing w:lineRule="atLeast" w:line="240"/>
              <w:ind w:left="396" w:hanging="396"/>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396" w:hanging="396"/>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before="0" w:after="108"/>
              <w:ind w:left="384" w:hanging="384"/>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napToGrid w:val="false"/>
              <w:spacing w:lineRule="atLeast" w:line="240" w:before="0" w:after="108"/>
              <w:ind w:left="297" w:hanging="297"/>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紀錄應涵蓋評估結果、復健計畫、住民參與復健活動種類、內容、表現與進步情形。</w:t>
            </w:r>
          </w:p>
          <w:p>
            <w:pPr>
              <w:pStyle w:val="BodyText"/>
              <w:tabs>
                <w:tab w:val="clear" w:pos="480"/>
              </w:tabs>
              <w:snapToGrid w:val="false"/>
              <w:spacing w:lineRule="atLeast" w:line="240" w:before="0" w:after="108"/>
              <w:ind w:left="297" w:hanging="297"/>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個案紀錄管理辦法應包含精神復健機構設置及管理辦法第</w:t>
            </w:r>
            <w:r>
              <w:rPr>
                <w:rStyle w:val="Style10"/>
                <w:rFonts w:eastAsia="標楷體" w:ascii="Times New Roman" w:hAnsi="Times New Roman"/>
                <w:sz w:val="28"/>
                <w:szCs w:val="24"/>
              </w:rPr>
              <w:t>11</w:t>
            </w:r>
            <w:r>
              <w:rPr>
                <w:rStyle w:val="Style10"/>
                <w:rFonts w:ascii="Times New Roman" w:hAnsi="Times New Roman" w:eastAsia="標楷體"/>
                <w:sz w:val="28"/>
                <w:szCs w:val="24"/>
              </w:rPr>
              <w:t>條：機構內相關人員執行業務時，應製作紀錄。前項紀錄應指定適當場所及人員保管，並至少保存</w:t>
            </w:r>
            <w:r>
              <w:rPr>
                <w:rStyle w:val="Style10"/>
                <w:rFonts w:eastAsia="標楷體" w:ascii="Times New Roman" w:hAnsi="Times New Roman"/>
                <w:sz w:val="28"/>
                <w:szCs w:val="24"/>
              </w:rPr>
              <w:t>7</w:t>
            </w:r>
            <w:r>
              <w:rPr>
                <w:rStyle w:val="Style10"/>
                <w:rFonts w:ascii="Times New Roman" w:hAnsi="Times New Roman" w:eastAsia="標楷體"/>
                <w:sz w:val="28"/>
                <w:szCs w:val="24"/>
              </w:rPr>
              <w:t>年。但未成年者之紀錄，至少應保存至其成年後</w:t>
            </w:r>
            <w:r>
              <w:rPr>
                <w:rStyle w:val="Style10"/>
                <w:rFonts w:eastAsia="標楷體" w:ascii="Times New Roman" w:hAnsi="Times New Roman"/>
                <w:sz w:val="28"/>
                <w:szCs w:val="24"/>
              </w:rPr>
              <w:t>7</w:t>
            </w:r>
            <w:r>
              <w:rPr>
                <w:rStyle w:val="Style10"/>
                <w:rFonts w:ascii="Times New Roman" w:hAnsi="Times New Roman" w:eastAsia="標楷體"/>
                <w:sz w:val="28"/>
                <w:szCs w:val="24"/>
              </w:rPr>
              <w:t>年。對於逾保存期限紀錄，其銷燬方式應確保內容無洩漏之虞。機構因故未能繼續開業，其紀錄應交由承接者依規定保存，無承接者至少應繼續保存</w:t>
            </w:r>
            <w:r>
              <w:rPr>
                <w:rStyle w:val="Style10"/>
                <w:rFonts w:eastAsia="標楷體" w:ascii="Times New Roman" w:hAnsi="Times New Roman"/>
                <w:sz w:val="28"/>
                <w:szCs w:val="24"/>
              </w:rPr>
              <w:t>6</w:t>
            </w:r>
            <w:r>
              <w:rPr>
                <w:rStyle w:val="Style10"/>
                <w:rFonts w:ascii="Times New Roman" w:hAnsi="Times New Roman" w:eastAsia="標楷體"/>
                <w:sz w:val="28"/>
                <w:szCs w:val="24"/>
              </w:rPr>
              <w:t>個月以上，始得銷燬。</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Cs w:val="24"/>
              </w:rPr>
              <w:t>可</w:t>
            </w:r>
            <w:r>
              <w:rPr>
                <w:rStyle w:val="Style10"/>
                <w:rFonts w:eastAsia="標楷體" w:ascii="Times New Roman" w:hAnsi="Times New Roman"/>
                <w:sz w:val="28"/>
                <w:szCs w:val="28"/>
              </w:rPr>
              <w:t>3.5</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適切的復健基金管理</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機構應針對具有產值之工作訓練制訂合宜管理機制，以保障住民權益。</w:t>
            </w:r>
          </w:p>
          <w:p>
            <w:pPr>
              <w:pStyle w:val="BodyText"/>
              <w:tabs>
                <w:tab w:val="clear" w:pos="480"/>
              </w:tabs>
              <w:snapToGrid w:val="false"/>
              <w:spacing w:lineRule="atLeast" w:line="240" w:before="108" w:after="0"/>
              <w:ind w:left="384" w:hanging="384"/>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，且至少</w:t>
            </w:r>
            <w:r>
              <w:rPr>
                <w:rStyle w:val="Style10"/>
                <w:rFonts w:eastAsia="標楷體" w:ascii="Times New Roman" w:hAnsi="Times New Roman"/>
                <w:sz w:val="28"/>
                <w:szCs w:val="24"/>
              </w:rPr>
              <w:t>3</w:t>
            </w:r>
            <w:r>
              <w:rPr>
                <w:rStyle w:val="Style10"/>
                <w:rFonts w:ascii="Times New Roman" w:hAnsi="Times New Roman" w:eastAsia="標楷體"/>
                <w:sz w:val="28"/>
                <w:szCs w:val="24"/>
              </w:rPr>
              <w:t>個月召開</w:t>
            </w:r>
            <w:r>
              <w:rPr>
                <w:rStyle w:val="Style10"/>
                <w:rFonts w:eastAsia="標楷體" w:ascii="Times New Roman" w:hAnsi="Times New Roman"/>
                <w:sz w:val="28"/>
                <w:szCs w:val="24"/>
              </w:rPr>
              <w:t>1</w:t>
            </w:r>
            <w:r>
              <w:rPr>
                <w:rStyle w:val="Style10"/>
                <w:rFonts w:ascii="Times New Roman" w:hAnsi="Times New Roman" w:eastAsia="標楷體"/>
                <w:sz w:val="28"/>
                <w:szCs w:val="24"/>
              </w:rPr>
              <w:t>次會議，可針對會議決議追蹤處理及檢討。</w:t>
            </w:r>
          </w:p>
          <w:p>
            <w:pPr>
              <w:pStyle w:val="BodyText"/>
              <w:tabs>
                <w:tab w:val="clear" w:pos="480"/>
              </w:tabs>
              <w:snapToGrid w:val="false"/>
              <w:spacing w:lineRule="atLeast" w:line="240"/>
              <w:ind w:left="480" w:hanging="4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tabs>
                <w:tab w:val="clear" w:pos="480"/>
              </w:tabs>
              <w:snapToGrid w:val="false"/>
              <w:spacing w:lineRule="atLeast" w:line="240"/>
              <w:ind w:left="459" w:hanging="255"/>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訂有復健基金管理要點，且成立管理委員會或小組，有住民代表參加。</w:t>
            </w:r>
          </w:p>
          <w:p>
            <w:pPr>
              <w:pStyle w:val="BodyText"/>
              <w:tabs>
                <w:tab w:val="clear" w:pos="480"/>
              </w:tabs>
              <w:snapToGrid w:val="false"/>
              <w:spacing w:lineRule="atLeast" w:line="240"/>
              <w:ind w:left="459" w:hanging="255"/>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復健基金應全數運用於住民所需，其中</w:t>
            </w:r>
            <w:r>
              <w:rPr>
                <w:rStyle w:val="Style10"/>
                <w:rFonts w:eastAsia="標楷體" w:ascii="Times New Roman" w:hAnsi="Times New Roman"/>
                <w:sz w:val="28"/>
                <w:szCs w:val="24"/>
              </w:rPr>
              <w:t>90%</w:t>
            </w:r>
            <w:r>
              <w:rPr>
                <w:rStyle w:val="Style10"/>
                <w:rFonts w:ascii="Times New Roman" w:hAnsi="Times New Roman" w:eastAsia="標楷體"/>
                <w:sz w:val="28"/>
                <w:szCs w:val="24"/>
              </w:rPr>
              <w:t>應列為工作獎勵，並按月發放。</w:t>
            </w:r>
          </w:p>
          <w:p>
            <w:pPr>
              <w:pStyle w:val="BodyText"/>
              <w:tabs>
                <w:tab w:val="clear" w:pos="480"/>
              </w:tabs>
              <w:snapToGrid w:val="false"/>
              <w:spacing w:lineRule="atLeast" w:line="240"/>
              <w:ind w:left="459" w:hanging="255"/>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應有獨立的收支明細表並每月公告。</w:t>
            </w:r>
          </w:p>
          <w:p>
            <w:pPr>
              <w:pStyle w:val="BodyText"/>
              <w:tabs>
                <w:tab w:val="clear" w:pos="480"/>
              </w:tabs>
              <w:snapToGrid w:val="false"/>
              <w:spacing w:lineRule="atLeast" w:line="240"/>
              <w:ind w:left="560" w:hanging="560"/>
              <w:jc w:val="both"/>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p>
            <w:pPr>
              <w:pStyle w:val="BodyText"/>
              <w:tabs>
                <w:tab w:val="clear" w:pos="480"/>
              </w:tabs>
              <w:snapToGrid w:val="false"/>
              <w:spacing w:lineRule="atLeast" w:line="240"/>
              <w:ind w:left="480" w:hanging="480"/>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tabs>
                <w:tab w:val="clear" w:pos="480"/>
              </w:tabs>
              <w:snapToGrid w:val="false"/>
              <w:spacing w:lineRule="atLeast" w:line="240"/>
              <w:ind w:left="180" w:hanging="180"/>
              <w:jc w:val="both"/>
              <w:rPr/>
            </w:pPr>
            <w:r>
              <w:rPr>
                <w:rStyle w:val="Style10"/>
                <w:rFonts w:eastAsia="標楷體" w:ascii="Times New Roman" w:hAnsi="Times New Roman"/>
                <w:sz w:val="28"/>
                <w:szCs w:val="24"/>
              </w:rPr>
              <w:t>1.</w:t>
            </w:r>
            <w:r>
              <w:rPr>
                <w:rStyle w:val="Style10"/>
                <w:rFonts w:ascii="Times New Roman" w:hAnsi="Times New Roman" w:eastAsia="標楷體"/>
                <w:sz w:val="28"/>
                <w:szCs w:val="24"/>
              </w:rPr>
              <w:t>復健治療所衍生之收入，如部分作為住民福利基金、活動團體、生產相關設備購置使用，可視為運用於住民。</w:t>
            </w:r>
          </w:p>
          <w:p>
            <w:pPr>
              <w:pStyle w:val="BodyText"/>
              <w:tabs>
                <w:tab w:val="clear" w:pos="480"/>
              </w:tabs>
              <w:snapToGrid w:val="false"/>
              <w:spacing w:lineRule="atLeast" w:line="240"/>
              <w:ind w:left="180" w:hanging="180"/>
              <w:jc w:val="both"/>
              <w:rPr/>
            </w:pPr>
            <w:r>
              <w:rPr>
                <w:rStyle w:val="Style10"/>
                <w:rFonts w:eastAsia="標楷體" w:ascii="Times New Roman" w:hAnsi="Times New Roman"/>
                <w:sz w:val="28"/>
                <w:szCs w:val="24"/>
              </w:rPr>
              <w:t>2.</w:t>
            </w:r>
            <w:r>
              <w:rPr>
                <w:rStyle w:val="Style10"/>
                <w:rFonts w:ascii="Times New Roman" w:hAnsi="Times New Roman" w:eastAsia="標楷體"/>
                <w:sz w:val="28"/>
                <w:szCs w:val="24"/>
              </w:rPr>
              <w:t>收支明細表係指收支總帳之月報表</w:t>
            </w:r>
          </w:p>
          <w:p>
            <w:pPr>
              <w:pStyle w:val="BodyText"/>
              <w:tabs>
                <w:tab w:val="clear" w:pos="480"/>
              </w:tabs>
              <w:snapToGrid w:val="false"/>
              <w:spacing w:lineRule="atLeast" w:line="240"/>
              <w:ind w:left="180" w:hanging="180"/>
              <w:jc w:val="both"/>
              <w:rPr/>
            </w:pPr>
            <w:r>
              <w:rPr>
                <w:rStyle w:val="Style10"/>
                <w:rFonts w:eastAsia="標楷體" w:ascii="Times New Roman" w:hAnsi="Times New Roman"/>
                <w:sz w:val="28"/>
                <w:szCs w:val="24"/>
              </w:rPr>
              <w:t>3.</w:t>
            </w:r>
            <w:r>
              <w:rPr>
                <w:rStyle w:val="Style10"/>
                <w:rFonts w:ascii="Times New Roman" w:hAnsi="Times New Roman" w:eastAsia="標楷體"/>
                <w:sz w:val="28"/>
                <w:szCs w:val="24"/>
              </w:rPr>
              <w:t>透過機構復健訓練所得</w:t>
            </w:r>
            <w:r>
              <w:rPr>
                <w:rStyle w:val="Style10"/>
                <w:rFonts w:eastAsia="標楷體" w:ascii="Times New Roman" w:hAnsi="Times New Roman"/>
                <w:sz w:val="28"/>
                <w:szCs w:val="24"/>
              </w:rPr>
              <w:t>(</w:t>
            </w:r>
            <w:r>
              <w:rPr>
                <w:rStyle w:val="Style10"/>
                <w:rFonts w:ascii="Times New Roman" w:hAnsi="Times New Roman" w:eastAsia="標楷體"/>
                <w:sz w:val="28"/>
                <w:szCs w:val="24"/>
              </w:rPr>
              <w:t>含義賣</w:t>
            </w:r>
            <w:r>
              <w:rPr>
                <w:rStyle w:val="Style10"/>
                <w:rFonts w:eastAsia="標楷體" w:ascii="Times New Roman" w:hAnsi="Times New Roman"/>
                <w:sz w:val="28"/>
                <w:szCs w:val="24"/>
              </w:rPr>
              <w:t>)</w:t>
            </w:r>
            <w:r>
              <w:rPr>
                <w:rStyle w:val="Style10"/>
                <w:rFonts w:ascii="Times New Roman" w:hAnsi="Times New Roman" w:eastAsia="標楷體"/>
                <w:sz w:val="28"/>
                <w:szCs w:val="24"/>
              </w:rPr>
              <w:t>應列入復健基金管理，本項不得免評。</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3.6</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落實住民權益維護措施</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jc w:val="both"/>
              <w:rPr/>
            </w:pPr>
            <w:r>
              <w:rPr>
                <w:rStyle w:val="Style10"/>
                <w:rFonts w:ascii="Times New Roman" w:hAnsi="Times New Roman" w:eastAsia="標楷體"/>
                <w:sz w:val="28"/>
                <w:szCs w:val="24"/>
              </w:rPr>
              <w:t>目的：</w:t>
            </w:r>
          </w:p>
          <w:p>
            <w:pPr>
              <w:pStyle w:val="BodyText"/>
              <w:snapToGrid w:val="false"/>
              <w:spacing w:lineRule="atLeast" w:line="240"/>
              <w:ind w:hanging="30"/>
              <w:jc w:val="both"/>
              <w:rPr/>
            </w:pPr>
            <w:r>
              <w:rPr>
                <w:rStyle w:val="Style10"/>
                <w:rFonts w:ascii="Times New Roman" w:hAnsi="Times New Roman" w:eastAsia="標楷體"/>
                <w:sz w:val="28"/>
                <w:szCs w:val="24"/>
              </w:rPr>
              <w:t>機構應落實住民權益維護措施，確保以人為中心之社區復健。</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落實精神衛生法有關權益之相關規定。</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訂有性騷擾防治辦法且確實教育住民周知。</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機構應依住民學習需求，提出維護教育權益的具體方法、策略，並納入個別化服務計畫執行且有紀錄。</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如需錄音或錄影需獲得住民同意，並有同意書。</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住民相關權益或公約規範有以住民易懂之文字描述且張貼於明顯處，內容以書面告知住民並有簽名。</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不得以不當的行為約定或處罰，剝奪住民基本的生活權益</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除維護生命安全，不得以任何理由約束住民。</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設施及設備應維護住民隱私。</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住民如擔任機構內之服務工作，如：備餐、外賓接待、清潔、文書工作等，應給予適當工作酬勞，並備有清冊。</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有讓住民選擇備餐的方式</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有產值之工作訓練所得應全額發給住民，不得以其他理由或形式代為保管</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訂有申訴處理流程（註明主管機關申訴電話）。</w:t>
            </w:r>
          </w:p>
          <w:p>
            <w:pPr>
              <w:pStyle w:val="Style32"/>
              <w:numPr>
                <w:ilvl w:val="0"/>
                <w:numId w:val="62"/>
              </w:numPr>
              <w:tabs>
                <w:tab w:val="left" w:pos="819" w:leader="none"/>
              </w:tabs>
              <w:snapToGrid w:val="false"/>
              <w:spacing w:lineRule="atLeast" w:line="240"/>
              <w:ind w:left="819" w:hanging="785"/>
              <w:jc w:val="both"/>
              <w:rPr/>
            </w:pPr>
            <w:r>
              <w:rPr>
                <w:rStyle w:val="Style10"/>
                <w:rFonts w:ascii="Times New Roman" w:hAnsi="Times New Roman" w:eastAsia="標楷體"/>
                <w:sz w:val="28"/>
                <w:szCs w:val="24"/>
                <w:lang w:val="en-US" w:eastAsia="zh-TW"/>
              </w:rPr>
              <w:t>收費標準及項目均經主管機關核定並公告。</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，且能適度修正，並有成效良好之案例或措施。</w:t>
            </w:r>
          </w:p>
          <w:p>
            <w:pPr>
              <w:pStyle w:val="BodyText"/>
              <w:tabs>
                <w:tab w:val="clear" w:pos="480"/>
              </w:tabs>
              <w:snapToGrid w:val="false"/>
              <w:spacing w:lineRule="atLeast" w:line="240"/>
              <w:ind w:left="462" w:hanging="462"/>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：確實執行上述</w:t>
            </w:r>
            <w:r>
              <w:rPr>
                <w:rStyle w:val="Style10"/>
                <w:rFonts w:eastAsia="標楷體" w:ascii="Times New Roman" w:hAnsi="Times New Roman"/>
                <w:sz w:val="28"/>
                <w:szCs w:val="24"/>
              </w:rPr>
              <w:t>13</w:t>
            </w:r>
            <w:r>
              <w:rPr>
                <w:rStyle w:val="Style10"/>
                <w:rFonts w:ascii="Times New Roman" w:hAnsi="Times New Roman" w:eastAsia="標楷體"/>
                <w:sz w:val="28"/>
                <w:szCs w:val="24"/>
              </w:rPr>
              <w:t>項權益維護措施。</w:t>
            </w:r>
          </w:p>
          <w:p>
            <w:pPr>
              <w:pStyle w:val="BodyText"/>
              <w:tabs>
                <w:tab w:val="clear" w:pos="480"/>
              </w:tabs>
              <w:snapToGrid w:val="false"/>
              <w:spacing w:lineRule="atLeast" w:line="240" w:before="108" w:after="0"/>
              <w:ind w:left="396" w:hanging="396"/>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3.7</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維護住民財物自主管理權益</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pPr>
            <w:r>
              <w:rPr>
                <w:rStyle w:val="Style10"/>
                <w:rFonts w:ascii="Times New Roman" w:hAnsi="Times New Roman" w:eastAsia="標楷體"/>
                <w:sz w:val="28"/>
                <w:szCs w:val="24"/>
              </w:rPr>
              <w:t>目的：</w:t>
            </w:r>
          </w:p>
          <w:p>
            <w:pPr>
              <w:pStyle w:val="BodyText"/>
              <w:snapToGrid w:val="false"/>
              <w:spacing w:lineRule="atLeast" w:line="240"/>
              <w:rPr/>
            </w:pPr>
            <w:r>
              <w:rPr>
                <w:rStyle w:val="Style10"/>
                <w:rFonts w:ascii="Times New Roman" w:hAnsi="Times New Roman" w:eastAsia="標楷體"/>
                <w:sz w:val="28"/>
                <w:szCs w:val="24"/>
              </w:rPr>
              <w:t>機構應依</w:t>
            </w:r>
            <w:r>
              <w:rPr>
                <w:rStyle w:val="Style10"/>
                <w:rFonts w:eastAsia="標楷體" w:ascii="Times New Roman" w:hAnsi="Times New Roman"/>
                <w:sz w:val="28"/>
                <w:szCs w:val="24"/>
              </w:rPr>
              <w:t>2.1</w:t>
            </w:r>
            <w:r>
              <w:rPr>
                <w:rStyle w:val="Style10"/>
                <w:rFonts w:ascii="Times New Roman" w:hAnsi="Times New Roman" w:eastAsia="標楷體"/>
                <w:sz w:val="28"/>
                <w:szCs w:val="24"/>
              </w:rPr>
              <w:t>「復健評估」結果，提供住民需要的金錢管理訓練，並以自主管理為目標。</w:t>
            </w:r>
          </w:p>
          <w:p>
            <w:pPr>
              <w:pStyle w:val="BodyText"/>
              <w:tabs>
                <w:tab w:val="clear" w:pos="480"/>
              </w:tabs>
              <w:snapToGrid w:val="false"/>
              <w:spacing w:lineRule="atLeast" w:line="240"/>
              <w:ind w:left="360" w:hanging="360"/>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，住民</w:t>
            </w:r>
            <w:r>
              <w:rPr>
                <w:rStyle w:val="Style10"/>
                <w:rFonts w:eastAsia="標楷體" w:ascii="Times New Roman" w:hAnsi="Times New Roman"/>
                <w:sz w:val="28"/>
                <w:szCs w:val="24"/>
              </w:rPr>
              <w:t>100%</w:t>
            </w:r>
            <w:r>
              <w:rPr>
                <w:rStyle w:val="Style10"/>
                <w:rFonts w:ascii="Times New Roman" w:hAnsi="Times New Roman" w:eastAsia="標楷體"/>
                <w:sz w:val="28"/>
                <w:szCs w:val="24"/>
              </w:rPr>
              <w:t>可自行保管全部財物。</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，且住民有</w:t>
            </w:r>
            <w:r>
              <w:rPr>
                <w:rStyle w:val="Style10"/>
                <w:rFonts w:eastAsia="標楷體" w:ascii="Times New Roman" w:hAnsi="Times New Roman"/>
                <w:sz w:val="28"/>
                <w:szCs w:val="24"/>
              </w:rPr>
              <w:t>80%</w:t>
            </w:r>
            <w:r>
              <w:rPr>
                <w:rStyle w:val="Style10"/>
                <w:rFonts w:ascii="Times New Roman" w:hAnsi="Times New Roman" w:eastAsia="標楷體"/>
                <w:sz w:val="28"/>
                <w:szCs w:val="24"/>
              </w:rPr>
              <w:t>以上可自行保管全部財物。</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C</w:t>
            </w:r>
            <w:r>
              <w:rPr>
                <w:rStyle w:val="Style10"/>
                <w:rFonts w:ascii="Times New Roman" w:hAnsi="Times New Roman" w:eastAsia="標楷體"/>
                <w:sz w:val="28"/>
                <w:szCs w:val="24"/>
              </w:rPr>
              <w:t>：住民有</w:t>
            </w:r>
            <w:r>
              <w:rPr>
                <w:rStyle w:val="Style10"/>
                <w:rFonts w:eastAsia="標楷體" w:ascii="Times New Roman" w:hAnsi="Times New Roman"/>
                <w:sz w:val="28"/>
                <w:szCs w:val="24"/>
              </w:rPr>
              <w:t>60%</w:t>
            </w:r>
            <w:r>
              <w:rPr>
                <w:rStyle w:val="Style10"/>
                <w:rFonts w:ascii="Times New Roman" w:hAnsi="Times New Roman" w:eastAsia="標楷體"/>
                <w:sz w:val="28"/>
                <w:szCs w:val="24"/>
              </w:rPr>
              <w:t>以上可自行保管全部財物，尚未有自主管理者，應有金錢管理訓練。</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D</w:t>
            </w:r>
            <w:r>
              <w:rPr>
                <w:rStyle w:val="Style10"/>
                <w:rFonts w:ascii="Times New Roman" w:hAnsi="Times New Roman" w:eastAsia="標楷體"/>
                <w:sz w:val="28"/>
                <w:szCs w:val="24"/>
              </w:rPr>
              <w:t>：未達</w:t>
            </w:r>
            <w:r>
              <w:rPr>
                <w:rStyle w:val="Style10"/>
                <w:rFonts w:eastAsia="標楷體" w:ascii="Times New Roman" w:hAnsi="Times New Roman"/>
                <w:sz w:val="28"/>
                <w:szCs w:val="24"/>
              </w:rPr>
              <w:t>60%</w:t>
            </w:r>
            <w:r>
              <w:rPr>
                <w:rStyle w:val="Style10"/>
                <w:rFonts w:ascii="Times New Roman" w:hAnsi="Times New Roman" w:eastAsia="標楷體"/>
                <w:sz w:val="28"/>
                <w:szCs w:val="24"/>
              </w:rPr>
              <w:t>之住民可自行保管全部財物。</w:t>
            </w:r>
          </w:p>
          <w:p>
            <w:pPr>
              <w:pStyle w:val="BodyText"/>
              <w:tabs>
                <w:tab w:val="clear" w:pos="480"/>
              </w:tabs>
              <w:snapToGrid w:val="false"/>
              <w:spacing w:lineRule="atLeast" w:line="240" w:before="0" w:after="108"/>
              <w:ind w:left="317" w:hanging="317"/>
              <w:rPr/>
            </w:pPr>
            <w:r>
              <w:rPr>
                <w:rStyle w:val="Style10"/>
                <w:rFonts w:eastAsia="標楷體" w:ascii="Times New Roman" w:hAnsi="Times New Roman"/>
                <w:sz w:val="28"/>
                <w:szCs w:val="24"/>
              </w:rPr>
              <w:t>E</w:t>
            </w:r>
            <w:r>
              <w:rPr>
                <w:rStyle w:val="Style10"/>
                <w:rFonts w:ascii="Times New Roman" w:hAnsi="Times New Roman" w:eastAsia="標楷體"/>
                <w:sz w:val="28"/>
                <w:szCs w:val="24"/>
              </w:rPr>
              <w:t>：未達</w:t>
            </w:r>
            <w:r>
              <w:rPr>
                <w:rStyle w:val="Style10"/>
                <w:rFonts w:eastAsia="標楷體" w:ascii="Times New Roman" w:hAnsi="Times New Roman"/>
                <w:sz w:val="28"/>
                <w:szCs w:val="24"/>
              </w:rPr>
              <w:t>40%</w:t>
            </w:r>
            <w:r>
              <w:rPr>
                <w:rStyle w:val="Style10"/>
                <w:rFonts w:ascii="Times New Roman" w:hAnsi="Times New Roman" w:eastAsia="標楷體"/>
                <w:sz w:val="28"/>
                <w:szCs w:val="24"/>
              </w:rPr>
              <w:t>之住民可自行保管全部財物。</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3.8</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落實住民健康維護措施</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napToGrid w:val="false"/>
              <w:spacing w:lineRule="atLeast" w:line="240"/>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機構應訂有健康維護措施，並落實執行，以確保住民健康。</w:t>
            </w:r>
          </w:p>
          <w:p>
            <w:pPr>
              <w:pStyle w:val="BodyText"/>
              <w:tabs>
                <w:tab w:val="clear" w:pos="480"/>
              </w:tabs>
              <w:snapToGrid w:val="false"/>
              <w:spacing w:lineRule="atLeast" w:line="240" w:before="72" w:after="0"/>
              <w:ind w:left="448" w:hanging="44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，且健康維護措施執行成效良好。</w:t>
            </w:r>
          </w:p>
          <w:p>
            <w:pPr>
              <w:pStyle w:val="BodyText"/>
              <w:tabs>
                <w:tab w:val="clear" w:pos="480"/>
              </w:tabs>
              <w:snapToGrid w:val="false"/>
              <w:spacing w:lineRule="atLeast" w:line="240"/>
              <w:ind w:left="560" w:hanging="56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收案時，應有基本健康檢查資料，且每年至少</w:t>
            </w:r>
            <w:r>
              <w:rPr>
                <w:rStyle w:val="Style10"/>
                <w:rFonts w:eastAsia="標楷體" w:ascii="Times New Roman" w:hAnsi="Times New Roman"/>
                <w:sz w:val="28"/>
                <w:szCs w:val="24"/>
                <w:lang w:val="en-US" w:eastAsia="zh-TW"/>
              </w:rPr>
              <w:t>1</w:t>
            </w:r>
            <w:r>
              <w:rPr>
                <w:rStyle w:val="Style10"/>
                <w:rFonts w:ascii="Times New Roman" w:hAnsi="Times New Roman" w:eastAsia="標楷體"/>
                <w:sz w:val="28"/>
                <w:szCs w:val="24"/>
                <w:lang w:val="en-US" w:eastAsia="zh-TW"/>
              </w:rPr>
              <w:t>次胸部</w:t>
            </w:r>
            <w:r>
              <w:rPr>
                <w:rStyle w:val="Style10"/>
                <w:rFonts w:eastAsia="標楷體" w:ascii="Times New Roman" w:hAnsi="Times New Roman"/>
                <w:sz w:val="28"/>
                <w:szCs w:val="24"/>
                <w:lang w:val="en-US" w:eastAsia="zh-TW"/>
              </w:rPr>
              <w:t>X</w:t>
            </w:r>
            <w:r>
              <w:rPr>
                <w:rStyle w:val="Style10"/>
                <w:rFonts w:ascii="Times New Roman" w:hAnsi="Times New Roman" w:eastAsia="標楷體"/>
                <w:sz w:val="28"/>
                <w:szCs w:val="24"/>
                <w:lang w:val="en-US" w:eastAsia="zh-TW"/>
              </w:rPr>
              <w:t>光檢查，並依全民健康保險成人健康檢查相關規範定期進行健康檢查。</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針對健康檢查異常結果進行追蹤處理。</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能配合政府健康政策施打疫苗。</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 xml:space="preserve">能配合政府照顧身心障礙者口腔衛生政策，有鼓勵住民每半年接受口腔健康檢查之措施。 </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提供維持手部衛生所需設施。</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依疾病管制局規定人口密集機構傳染病監視通報。</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杯子、碗筷等個人物品應有防止共用或汙染之措施。</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機構應提供健康維護措施等相關宣導資料（含海報、衛教單張、簡報）。</w:t>
            </w:r>
          </w:p>
          <w:p>
            <w:pPr>
              <w:pStyle w:val="Style32"/>
              <w:numPr>
                <w:ilvl w:val="0"/>
                <w:numId w:val="63"/>
              </w:numPr>
              <w:tabs>
                <w:tab w:val="left" w:pos="1059" w:leader="none"/>
              </w:tabs>
              <w:snapToGrid w:val="false"/>
              <w:spacing w:lineRule="atLeast" w:line="240"/>
              <w:ind w:left="1059" w:hanging="644"/>
              <w:rPr/>
            </w:pPr>
            <w:r>
              <w:rPr>
                <w:rStyle w:val="Style10"/>
                <w:rFonts w:ascii="Times New Roman" w:hAnsi="Times New Roman" w:eastAsia="標楷體"/>
                <w:sz w:val="28"/>
                <w:szCs w:val="24"/>
                <w:lang w:val="en-US" w:eastAsia="zh-TW"/>
              </w:rPr>
              <w:t>參與例行性餐飲及食品製作之住民健康檢查另需包含</w:t>
            </w:r>
            <w:r>
              <w:rPr>
                <w:rStyle w:val="Style10"/>
                <w:rFonts w:eastAsia="標楷體" w:ascii="Times New Roman" w:hAnsi="Times New Roman"/>
                <w:sz w:val="28"/>
                <w:szCs w:val="24"/>
                <w:lang w:val="en-US" w:eastAsia="zh-TW"/>
              </w:rPr>
              <w:t>A</w:t>
            </w:r>
            <w:r>
              <w:rPr>
                <w:rStyle w:val="Style10"/>
                <w:rFonts w:ascii="Times New Roman" w:hAnsi="Times New Roman" w:eastAsia="標楷體"/>
                <w:sz w:val="28"/>
                <w:szCs w:val="24"/>
                <w:lang w:val="en-US" w:eastAsia="zh-TW"/>
              </w:rPr>
              <w:t>型肝炎、傷寒、桿菌痢疾及阿米巴痢疾。</w:t>
            </w:r>
          </w:p>
          <w:p>
            <w:pPr>
              <w:pStyle w:val="BodyText"/>
              <w:tabs>
                <w:tab w:val="clear" w:pos="480"/>
                <w:tab w:val="right" w:pos="5312" w:leader="none"/>
              </w:tabs>
              <w:snapToGrid w:val="false"/>
              <w:spacing w:lineRule="atLeast" w:line="240" w:before="0" w:after="72"/>
              <w:ind w:left="370" w:hanging="370"/>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3.9</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訂定處理緊急醫療及異常事件流程，並落實執行</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napToGrid w:val="false"/>
              <w:spacing w:lineRule="atLeast" w:line="240"/>
              <w:jc w:val="both"/>
              <w:rPr/>
            </w:pPr>
            <w:r>
              <w:rPr>
                <w:rStyle w:val="Style10"/>
                <w:rFonts w:ascii="Times New Roman" w:hAnsi="Times New Roman" w:eastAsia="標楷體"/>
                <w:sz w:val="28"/>
                <w:szCs w:val="24"/>
              </w:rPr>
              <w:t>機構應訂定並落實處理緊急醫療及異常事件流程，確保以安全為中心之社區復健。</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，且採取適當的預防及改善措施。</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，且有定期檢討及統計分析。</w:t>
            </w:r>
          </w:p>
          <w:p>
            <w:pPr>
              <w:pStyle w:val="BodyText"/>
              <w:tabs>
                <w:tab w:val="clear" w:pos="480"/>
              </w:tabs>
              <w:spacing w:lineRule="atLeast" w:line="0"/>
              <w:ind w:left="180" w:hanging="1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BodyText"/>
              <w:numPr>
                <w:ilvl w:val="0"/>
                <w:numId w:val="64"/>
              </w:numPr>
              <w:tabs>
                <w:tab w:val="clear" w:pos="480"/>
                <w:tab w:val="left" w:pos="480" w:leader="none"/>
              </w:tabs>
              <w:spacing w:lineRule="atLeast" w:line="0"/>
              <w:ind w:left="480" w:hanging="785"/>
              <w:jc w:val="both"/>
              <w:rPr/>
            </w:pPr>
            <w:r>
              <w:rPr>
                <w:rStyle w:val="Style10"/>
                <w:rFonts w:ascii="Times New Roman" w:hAnsi="Times New Roman" w:eastAsia="標楷體"/>
                <w:bCs/>
                <w:sz w:val="28"/>
                <w:szCs w:val="24"/>
              </w:rPr>
              <w:t>依據各類緊急醫療及異常事件之不同特性，訂定適切之處理作業流程，並落實執行。</w:t>
            </w:r>
          </w:p>
          <w:p>
            <w:pPr>
              <w:pStyle w:val="BodyText"/>
              <w:numPr>
                <w:ilvl w:val="0"/>
                <w:numId w:val="64"/>
              </w:numPr>
              <w:tabs>
                <w:tab w:val="clear" w:pos="480"/>
                <w:tab w:val="left" w:pos="480" w:leader="none"/>
              </w:tabs>
              <w:spacing w:lineRule="atLeast" w:line="0"/>
              <w:ind w:left="480" w:hanging="785"/>
              <w:jc w:val="both"/>
              <w:rPr/>
            </w:pPr>
            <w:r>
              <w:rPr>
                <w:rStyle w:val="Style10"/>
                <w:rFonts w:ascii="Times New Roman" w:hAnsi="Times New Roman" w:eastAsia="標楷體"/>
                <w:bCs/>
                <w:sz w:val="28"/>
                <w:szCs w:val="24"/>
              </w:rPr>
              <w:t>有工作人員急救訓練紀錄。</w:t>
            </w:r>
          </w:p>
          <w:p>
            <w:pPr>
              <w:pStyle w:val="BodyText"/>
              <w:numPr>
                <w:ilvl w:val="0"/>
                <w:numId w:val="64"/>
              </w:numPr>
              <w:tabs>
                <w:tab w:val="clear" w:pos="480"/>
                <w:tab w:val="left" w:pos="480" w:leader="none"/>
              </w:tabs>
              <w:spacing w:lineRule="atLeast" w:line="0"/>
              <w:ind w:left="480" w:hanging="785"/>
              <w:jc w:val="both"/>
              <w:rPr/>
            </w:pPr>
            <w:r>
              <w:rPr>
                <w:rStyle w:val="Style10"/>
                <w:rFonts w:ascii="Times New Roman" w:hAnsi="Times New Roman" w:eastAsia="標楷體"/>
                <w:bCs/>
                <w:sz w:val="28"/>
                <w:szCs w:val="24"/>
              </w:rPr>
              <w:t xml:space="preserve">應協助疑似感染傳染病者盡速就醫，且應配帶口罩、手套 </w:t>
            </w:r>
            <w:r>
              <w:rPr>
                <w:rStyle w:val="Style10"/>
                <w:rFonts w:eastAsia="標楷體" w:ascii="Times New Roman" w:hAnsi="Times New Roman"/>
                <w:bCs/>
                <w:sz w:val="28"/>
                <w:szCs w:val="24"/>
              </w:rPr>
              <w:t>(</w:t>
            </w:r>
            <w:r>
              <w:rPr>
                <w:rStyle w:val="Style10"/>
                <w:rFonts w:ascii="Times New Roman" w:hAnsi="Times New Roman" w:eastAsia="標楷體"/>
                <w:bCs/>
                <w:sz w:val="28"/>
                <w:szCs w:val="24"/>
              </w:rPr>
              <w:t>視需要</w:t>
            </w:r>
            <w:r>
              <w:rPr>
                <w:rStyle w:val="Style10"/>
                <w:rFonts w:eastAsia="標楷體" w:ascii="Times New Roman" w:hAnsi="Times New Roman"/>
                <w:bCs/>
                <w:sz w:val="28"/>
                <w:szCs w:val="24"/>
              </w:rPr>
              <w:t>)</w:t>
            </w:r>
            <w:r>
              <w:rPr>
                <w:rStyle w:val="Style10"/>
                <w:rFonts w:ascii="Times New Roman" w:hAnsi="Times New Roman" w:eastAsia="標楷體"/>
                <w:bCs/>
                <w:sz w:val="28"/>
                <w:szCs w:val="24"/>
              </w:rPr>
              <w:t>，做好個人防護，並有紀錄。</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396" w:hanging="396"/>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before="72" w:after="0"/>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before="72" w:after="0"/>
              <w:rPr/>
            </w:pPr>
            <w:r>
              <w:rPr>
                <w:rStyle w:val="Style10"/>
                <w:rFonts w:ascii="Times New Roman" w:hAnsi="Times New Roman" w:eastAsia="標楷體"/>
                <w:sz w:val="28"/>
                <w:szCs w:val="24"/>
              </w:rPr>
              <w:t>緊急醫療與異常事件包含：失聯、攻擊事件、不當性行為、跌倒、意外傷害、群聚感染、自殺自傷、酗酒、藥物濫用、賭博、偷竊等。</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8"/>
              </w:rPr>
            </w:pPr>
            <w:r>
              <w:rPr>
                <w:rFonts w:eastAsia="標楷體" w:ascii="Times New Roman" w:hAnsi="Times New Roman"/>
                <w:sz w:val="28"/>
                <w:szCs w:val="28"/>
              </w:rPr>
              <w:t>3.10</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建立機構緊急應變管理機制並落實執行</w:t>
            </w:r>
          </w:p>
        </w:tc>
        <w:tc>
          <w:tcPr>
            <w:tcW w:w="977" w:type="dxa"/>
            <w:tcBorders>
              <w:top w:val="single" w:sz="4" w:space="0" w:color="000000"/>
              <w:left w:val="single" w:sz="4" w:space="0" w:color="000000"/>
              <w:bottom w:val="single" w:sz="4" w:space="0" w:color="000000"/>
              <w:right w:val="single" w:sz="4" w:space="0" w:color="000000"/>
            </w:tcBorders>
          </w:tcPr>
          <w:p>
            <w:pPr>
              <w:pStyle w:val="BodyText"/>
              <w:tabs>
                <w:tab w:val="clear" w:pos="480"/>
              </w:tabs>
              <w:spacing w:lineRule="atLeast" w:line="0"/>
              <w:ind w:left="180" w:hanging="18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建構安全環境、訂定緊急應變機制並定期進行災害演練是降低機構因天然或人為意外造成危害的基本措施，且應落實執行。</w:t>
            </w:r>
          </w:p>
          <w:p>
            <w:pPr>
              <w:pStyle w:val="BodyText"/>
              <w:tabs>
                <w:tab w:val="clear" w:pos="480"/>
              </w:tabs>
              <w:snapToGrid w:val="false"/>
              <w:spacing w:lineRule="atLeast" w:line="240" w:before="72" w:after="0"/>
              <w:ind w:left="464" w:hanging="46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，且依據演練檢討結果，修正緊急災害應變計畫及作業程序內容，以符合實際需要。</w:t>
            </w:r>
          </w:p>
          <w:p>
            <w:pPr>
              <w:pStyle w:val="BodyText"/>
              <w:snapToGrid w:val="false"/>
              <w:spacing w:lineRule="atLeast" w:line="240" w:before="72" w:after="0"/>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65"/>
              </w:numPr>
              <w:tabs>
                <w:tab w:val="left" w:pos="939" w:leader="none"/>
              </w:tabs>
              <w:snapToGrid w:val="false"/>
              <w:spacing w:lineRule="atLeast" w:line="240" w:before="72" w:after="0"/>
              <w:ind w:left="939" w:hanging="764"/>
              <w:jc w:val="both"/>
              <w:rPr/>
            </w:pPr>
            <w:r>
              <w:rPr>
                <w:rStyle w:val="Style10"/>
                <w:rFonts w:ascii="Times New Roman" w:hAnsi="Times New Roman" w:eastAsia="標楷體"/>
                <w:sz w:val="28"/>
                <w:szCs w:val="24"/>
                <w:lang w:val="en-US" w:eastAsia="zh-TW"/>
              </w:rPr>
              <w:t>依據緊急災害應變措施及檢查辦法，對於火災、風災、水災、地震等緊急災害，訂有符合機構特性與危機管理的緊急災害應變措施計畫及作業程序。</w:t>
            </w:r>
          </w:p>
          <w:p>
            <w:pPr>
              <w:pStyle w:val="Style32"/>
              <w:numPr>
                <w:ilvl w:val="0"/>
                <w:numId w:val="65"/>
              </w:numPr>
              <w:tabs>
                <w:tab w:val="left" w:pos="939" w:leader="none"/>
              </w:tabs>
              <w:snapToGrid w:val="false"/>
              <w:spacing w:lineRule="atLeast" w:line="240" w:before="72" w:after="0"/>
              <w:ind w:left="939" w:hanging="764"/>
              <w:jc w:val="both"/>
              <w:rPr/>
            </w:pPr>
            <w:r>
              <w:rPr>
                <w:rStyle w:val="Style10"/>
                <w:rFonts w:ascii="Times New Roman" w:hAnsi="Times New Roman" w:eastAsia="標楷體"/>
                <w:sz w:val="28"/>
                <w:szCs w:val="24"/>
                <w:lang w:val="en-US" w:eastAsia="zh-TW"/>
              </w:rPr>
              <w:t>有定期消防、天然災害演習及逃生訓練（備有紀錄）。</w:t>
            </w:r>
          </w:p>
          <w:p>
            <w:pPr>
              <w:pStyle w:val="Style32"/>
              <w:numPr>
                <w:ilvl w:val="0"/>
                <w:numId w:val="65"/>
              </w:numPr>
              <w:tabs>
                <w:tab w:val="left" w:pos="939" w:leader="none"/>
              </w:tabs>
              <w:snapToGrid w:val="false"/>
              <w:spacing w:lineRule="atLeast" w:line="240" w:before="72" w:after="0"/>
              <w:ind w:left="939" w:hanging="764"/>
              <w:jc w:val="both"/>
              <w:rPr/>
            </w:pPr>
            <w:r>
              <w:rPr>
                <w:rStyle w:val="Style10"/>
                <w:rFonts w:ascii="Times New Roman" w:hAnsi="Times New Roman" w:eastAsia="標楷體"/>
                <w:sz w:val="28"/>
                <w:szCs w:val="24"/>
                <w:lang w:val="en-US" w:eastAsia="zh-TW"/>
              </w:rPr>
              <w:t>應依機構夜間人力配置數辦理夜間演練，並備有紀錄。</w:t>
            </w:r>
          </w:p>
          <w:p>
            <w:pPr>
              <w:pStyle w:val="BodyText"/>
              <w:tabs>
                <w:tab w:val="clear" w:pos="480"/>
              </w:tabs>
              <w:snapToGrid w:val="false"/>
              <w:spacing w:lineRule="atLeast" w:line="240" w:before="108" w:after="0"/>
              <w:ind w:left="462" w:hanging="462"/>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ascii="Times New Roman" w:hAnsi="Times New Roman" w:eastAsia="標楷體"/>
                <w:sz w:val="28"/>
                <w:szCs w:val="24"/>
              </w:rPr>
              <w:t>重</w:t>
            </w:r>
            <w:r>
              <w:rPr>
                <w:rStyle w:val="Style10"/>
                <w:rFonts w:eastAsia="標楷體" w:ascii="Times New Roman" w:hAnsi="Times New Roman"/>
                <w:sz w:val="28"/>
                <w:szCs w:val="28"/>
              </w:rPr>
              <w:t>3.11</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維護住民出入自由</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pPr>
            <w:r>
              <w:rPr>
                <w:rStyle w:val="Style10"/>
                <w:rFonts w:eastAsia="標楷體" w:ascii="Times New Roman" w:hAnsi="Times New Roman"/>
                <w:sz w:val="28"/>
                <w:szCs w:val="24"/>
              </w:rPr>
              <w:t>3</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機構應採開放式管理並有適當管理機制，以維護住民安全權益。</w:t>
            </w:r>
          </w:p>
          <w:p>
            <w:pPr>
              <w:pStyle w:val="BodyText"/>
              <w:tabs>
                <w:tab w:val="clear" w:pos="480"/>
              </w:tabs>
              <w:snapToGrid w:val="false"/>
              <w:spacing w:lineRule="atLeast" w:line="240" w:before="108" w:after="0"/>
              <w:ind w:left="408" w:hanging="408"/>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，且有評估與訓練住民持有鑰匙之機制。</w:t>
            </w:r>
          </w:p>
          <w:p>
            <w:pPr>
              <w:pStyle w:val="BodyText"/>
              <w:tabs>
                <w:tab w:val="clear" w:pos="480"/>
              </w:tabs>
              <w:snapToGrid w:val="false"/>
              <w:spacing w:lineRule="atLeast" w:line="240"/>
              <w:ind w:left="396" w:hanging="396"/>
              <w:rPr/>
            </w:pPr>
            <w:r>
              <w:rPr>
                <w:rStyle w:val="Style10"/>
                <w:rFonts w:eastAsia="標楷體" w:ascii="Times New Roman" w:hAnsi="Times New Roman"/>
                <w:sz w:val="28"/>
                <w:szCs w:val="24"/>
              </w:rPr>
              <w:t>C</w:t>
            </w:r>
            <w:r>
              <w:rPr>
                <w:rStyle w:val="Style10"/>
                <w:rFonts w:ascii="Times New Roman" w:hAnsi="Times New Roman" w:eastAsia="標楷體"/>
                <w:sz w:val="28"/>
                <w:szCs w:val="24"/>
              </w:rPr>
              <w:t>：機構應採開放式管理，不應以任何設施設備</w:t>
            </w:r>
            <w:r>
              <w:rPr>
                <w:rStyle w:val="Style10"/>
                <w:rFonts w:ascii="Times New Roman" w:hAnsi="Times New Roman" w:eastAsia="標楷體"/>
                <w:bCs/>
                <w:sz w:val="28"/>
                <w:szCs w:val="24"/>
              </w:rPr>
              <w:t>，</w:t>
            </w:r>
            <w:r>
              <w:rPr>
                <w:rStyle w:val="Style10"/>
                <w:rFonts w:ascii="Times New Roman" w:hAnsi="Times New Roman" w:eastAsia="標楷體"/>
                <w:sz w:val="28"/>
                <w:szCs w:val="24"/>
              </w:rPr>
              <w:t>限制住民出入自由，</w:t>
            </w:r>
            <w:r>
              <w:rPr>
                <w:rStyle w:val="Style10"/>
                <w:rFonts w:ascii="Times New Roman" w:hAnsi="Times New Roman" w:eastAsia="標楷體"/>
                <w:bCs/>
                <w:sz w:val="28"/>
                <w:szCs w:val="24"/>
              </w:rPr>
              <w:t>但可有適當的管理機制，如：外出報備或登記機制</w:t>
            </w:r>
            <w:r>
              <w:rPr>
                <w:rStyle w:val="Style10"/>
                <w:rFonts w:ascii="Times New Roman" w:hAnsi="Times New Roman" w:eastAsia="標楷體"/>
                <w:sz w:val="28"/>
                <w:szCs w:val="24"/>
              </w:rPr>
              <w:t>。</w:t>
            </w:r>
          </w:p>
          <w:p>
            <w:pPr>
              <w:pStyle w:val="BodyText"/>
              <w:tabs>
                <w:tab w:val="clear" w:pos="480"/>
              </w:tabs>
              <w:snapToGrid w:val="false"/>
              <w:spacing w:lineRule="atLeast" w:line="240" w:before="0" w:after="108"/>
              <w:ind w:left="317" w:hanging="317"/>
              <w:rPr/>
            </w:pPr>
            <w:r>
              <w:rPr>
                <w:rStyle w:val="Style10"/>
                <w:rFonts w:eastAsia="標楷體" w:ascii="Times New Roman" w:hAnsi="Times New Roman"/>
                <w:sz w:val="28"/>
                <w:szCs w:val="28"/>
              </w:rPr>
              <w:t>E</w:t>
            </w:r>
            <w:r>
              <w:rPr>
                <w:rStyle w:val="Style10"/>
                <w:rFonts w:ascii="Times New Roman" w:hAnsi="Times New Roman" w:eastAsia="標楷體"/>
                <w:sz w:val="28"/>
                <w:szCs w:val="28"/>
              </w:rPr>
              <w:t>：不完全符合</w:t>
            </w:r>
            <w:r>
              <w:rPr>
                <w:rStyle w:val="Style10"/>
                <w:rFonts w:eastAsia="標楷體" w:ascii="Times New Roman" w:hAnsi="Times New Roman"/>
                <w:sz w:val="28"/>
                <w:szCs w:val="28"/>
              </w:rPr>
              <w:t>C</w:t>
            </w:r>
            <w:r>
              <w:rPr>
                <w:rStyle w:val="Style10"/>
                <w:rFonts w:ascii="Times New Roman" w:hAnsi="Times New Roman" w:eastAsia="標楷體"/>
                <w:sz w:val="28"/>
                <w:szCs w:val="28"/>
              </w:rPr>
              <w:t>之要求</w:t>
            </w:r>
            <w:r>
              <w:rPr>
                <w:rStyle w:val="Style10"/>
                <w:rFonts w:ascii="Times New Roman" w:hAnsi="Times New Roman" w:eastAsia="標楷體"/>
                <w:sz w:val="28"/>
                <w:szCs w:val="24"/>
              </w:rPr>
              <w:t>。</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pPr>
            <w:r>
              <w:rPr>
                <w:rStyle w:val="Style10"/>
                <w:rFonts w:eastAsia="標楷體" w:ascii="Times New Roman" w:hAnsi="Times New Roman"/>
                <w:sz w:val="28"/>
                <w:szCs w:val="24"/>
              </w:rPr>
              <w:t>3.12</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召開品質管理相關會議</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機構應召開品質管理相關會議，以維護服務品質。</w:t>
            </w:r>
          </w:p>
          <w:p>
            <w:pPr>
              <w:pStyle w:val="BodyText"/>
              <w:tabs>
                <w:tab w:val="clear" w:pos="480"/>
              </w:tabs>
              <w:snapToGrid w:val="false"/>
              <w:spacing w:lineRule="atLeast" w:line="240" w:before="108" w:after="0"/>
              <w:ind w:left="192" w:hanging="192"/>
              <w:jc w:val="both"/>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，且成效良好。</w:t>
            </w:r>
          </w:p>
          <w:p>
            <w:pPr>
              <w:pStyle w:val="BodyText"/>
              <w:tabs>
                <w:tab w:val="clear" w:pos="480"/>
              </w:tabs>
              <w:snapToGrid w:val="false"/>
              <w:spacing w:lineRule="atLeast" w:line="240"/>
              <w:ind w:left="193" w:hanging="193"/>
              <w:jc w:val="both"/>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，且有追蹤及檢討改善措施。</w:t>
            </w:r>
          </w:p>
          <w:p>
            <w:pPr>
              <w:pStyle w:val="BodyText"/>
              <w:tabs>
                <w:tab w:val="clear" w:pos="480"/>
              </w:tabs>
              <w:snapToGrid w:val="false"/>
              <w:spacing w:lineRule="atLeast" w:line="240"/>
              <w:ind w:left="480" w:hanging="480"/>
              <w:jc w:val="both"/>
              <w:rPr/>
            </w:pPr>
            <w:r>
              <w:rPr>
                <w:rStyle w:val="Style10"/>
                <w:rFonts w:eastAsia="標楷體" w:ascii="Times New Roman" w:hAnsi="Times New Roman"/>
                <w:sz w:val="28"/>
                <w:szCs w:val="24"/>
              </w:rPr>
              <w:t>C</w:t>
            </w:r>
            <w:r>
              <w:rPr>
                <w:rStyle w:val="Style10"/>
                <w:rFonts w:ascii="Times New Roman" w:hAnsi="Times New Roman" w:eastAsia="標楷體"/>
                <w:sz w:val="28"/>
                <w:szCs w:val="24"/>
              </w:rPr>
              <w:t>：</w:t>
            </w:r>
          </w:p>
          <w:p>
            <w:pPr>
              <w:pStyle w:val="Style32"/>
              <w:numPr>
                <w:ilvl w:val="0"/>
                <w:numId w:val="66"/>
              </w:numPr>
              <w:tabs>
                <w:tab w:val="left" w:pos="720" w:leader="none"/>
              </w:tabs>
              <w:snapToGrid w:val="false"/>
              <w:spacing w:lineRule="atLeast" w:line="240"/>
              <w:ind w:left="720" w:hanging="545"/>
              <w:jc w:val="both"/>
              <w:rPr/>
            </w:pPr>
            <w:r>
              <w:rPr>
                <w:rStyle w:val="Style10"/>
                <w:rFonts w:ascii="Times New Roman" w:hAnsi="Times New Roman" w:eastAsia="標楷體"/>
                <w:sz w:val="28"/>
                <w:szCs w:val="24"/>
                <w:lang w:val="en-US" w:eastAsia="zh-TW"/>
              </w:rPr>
              <w:t>每月定期召開</w:t>
            </w:r>
            <w:r>
              <w:rPr>
                <w:rStyle w:val="Style10"/>
                <w:rFonts w:eastAsia="標楷體" w:ascii="Times New Roman" w:hAnsi="Times New Roman"/>
                <w:sz w:val="28"/>
                <w:szCs w:val="24"/>
                <w:lang w:val="en-US" w:eastAsia="zh-TW"/>
              </w:rPr>
              <w:t>1</w:t>
            </w:r>
            <w:r>
              <w:rPr>
                <w:rStyle w:val="Style10"/>
                <w:rFonts w:ascii="Times New Roman" w:hAnsi="Times New Roman" w:eastAsia="標楷體"/>
                <w:sz w:val="28"/>
                <w:szCs w:val="24"/>
                <w:lang w:val="en-US" w:eastAsia="zh-TW"/>
              </w:rPr>
              <w:t>次，且紀錄內容完整。</w:t>
            </w:r>
          </w:p>
          <w:p>
            <w:pPr>
              <w:pStyle w:val="Style32"/>
              <w:numPr>
                <w:ilvl w:val="0"/>
                <w:numId w:val="66"/>
              </w:numPr>
              <w:tabs>
                <w:tab w:val="left" w:pos="720" w:leader="none"/>
              </w:tabs>
              <w:snapToGrid w:val="false"/>
              <w:spacing w:lineRule="atLeast" w:line="240"/>
              <w:ind w:left="720" w:hanging="545"/>
              <w:jc w:val="both"/>
              <w:rPr/>
            </w:pPr>
            <w:r>
              <w:rPr>
                <w:rStyle w:val="Style10"/>
                <w:rFonts w:ascii="Times New Roman" w:hAnsi="Times New Roman" w:eastAsia="標楷體"/>
                <w:sz w:val="28"/>
                <w:szCs w:val="24"/>
                <w:lang w:val="en-US" w:eastAsia="zh-TW"/>
              </w:rPr>
              <w:t>專業人員（含兼任人員）有參與品質管理相關會議。</w:t>
            </w:r>
          </w:p>
          <w:p>
            <w:pPr>
              <w:pStyle w:val="BodyText"/>
              <w:tabs>
                <w:tab w:val="clear" w:pos="480"/>
              </w:tabs>
              <w:spacing w:lineRule="atLeast" w:line="0"/>
              <w:ind w:left="459" w:hanging="459"/>
              <w:jc w:val="both"/>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pacing w:lineRule="atLeast" w:line="0"/>
              <w:ind w:left="459" w:hanging="459"/>
              <w:jc w:val="both"/>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snapToGrid w:val="false"/>
              <w:spacing w:lineRule="atLeast" w:line="240"/>
              <w:jc w:val="both"/>
              <w:rPr/>
            </w:pPr>
            <w:r>
              <w:rPr>
                <w:rStyle w:val="Style10"/>
                <w:rFonts w:eastAsia="標楷體" w:ascii="Times New Roman" w:hAnsi="Times New Roman"/>
                <w:sz w:val="28"/>
                <w:szCs w:val="24"/>
              </w:rPr>
              <w:t>[</w:t>
            </w:r>
            <w:r>
              <w:rPr>
                <w:rStyle w:val="Style10"/>
                <w:rFonts w:ascii="Times New Roman" w:hAnsi="Times New Roman" w:eastAsia="標楷體"/>
                <w:sz w:val="28"/>
                <w:szCs w:val="24"/>
              </w:rPr>
              <w:t>註</w:t>
            </w:r>
            <w:r>
              <w:rPr>
                <w:rStyle w:val="Style10"/>
                <w:rFonts w:eastAsia="標楷體" w:ascii="Times New Roman" w:hAnsi="Times New Roman"/>
                <w:sz w:val="28"/>
                <w:szCs w:val="24"/>
              </w:rPr>
              <w:t>]</w:t>
            </w:r>
          </w:p>
          <w:p>
            <w:pPr>
              <w:pStyle w:val="BodyText"/>
              <w:snapToGrid w:val="false"/>
              <w:spacing w:lineRule="atLeast" w:line="240"/>
              <w:jc w:val="both"/>
              <w:rPr/>
            </w:pPr>
            <w:r>
              <w:rPr>
                <w:rStyle w:val="Style10"/>
                <w:rFonts w:ascii="Times New Roman" w:hAnsi="Times New Roman" w:eastAsia="標楷體"/>
                <w:sz w:val="28"/>
                <w:szCs w:val="24"/>
              </w:rPr>
              <w:t>品質管理相關會議內容包含：緊急醫療及異常事件、緊急應變管理機制、群聚感染、健康維護、申訴案件、工作流程、服務理念、復健服務成效、人員</w:t>
            </w:r>
            <w:r>
              <w:rPr>
                <w:rStyle w:val="Style10"/>
                <w:rFonts w:ascii="Times New Roman" w:hAnsi="Times New Roman" w:eastAsia="標楷體"/>
                <w:kern w:val="0"/>
                <w:sz w:val="28"/>
                <w:szCs w:val="24"/>
              </w:rPr>
              <w:t>訓練及管理</w:t>
            </w:r>
            <w:r>
              <w:rPr>
                <w:rStyle w:val="Style10"/>
                <w:rFonts w:ascii="Times New Roman" w:hAnsi="Times New Roman" w:eastAsia="標楷體"/>
                <w:sz w:val="28"/>
                <w:szCs w:val="24"/>
              </w:rPr>
              <w:t>等品質改善相關措施，且備有紀錄並能定期追蹤改善。</w:t>
            </w:r>
          </w:p>
        </w:tc>
      </w:tr>
      <w:tr>
        <w:trPr/>
        <w:tc>
          <w:tcPr>
            <w:tcW w:w="1118" w:type="dxa"/>
            <w:tcBorders>
              <w:top w:val="single" w:sz="4" w:space="0" w:color="000000"/>
              <w:left w:val="single" w:sz="4" w:space="0" w:color="000000"/>
              <w:bottom w:val="single" w:sz="4" w:space="0" w:color="000000"/>
              <w:right w:val="single" w:sz="4" w:space="0" w:color="000000"/>
            </w:tcBorders>
          </w:tcPr>
          <w:p>
            <w:pPr>
              <w:pStyle w:val="BodyText"/>
              <w:tabs>
                <w:tab w:val="clear" w:pos="480"/>
              </w:tabs>
              <w:snapToGrid w:val="false"/>
              <w:spacing w:lineRule="atLeast" w:line="240" w:before="72" w:after="72"/>
              <w:ind w:left="-72" w:right="-72" w:hanging="0"/>
              <w:rPr>
                <w:rFonts w:ascii="Times New Roman" w:hAnsi="Times New Roman" w:eastAsia="標楷體"/>
                <w:sz w:val="28"/>
                <w:szCs w:val="24"/>
              </w:rPr>
            </w:pPr>
            <w:r>
              <w:rPr>
                <w:rFonts w:eastAsia="標楷體" w:ascii="Times New Roman" w:hAnsi="Times New Roman"/>
                <w:sz w:val="28"/>
                <w:szCs w:val="24"/>
              </w:rPr>
              <w:t>3.13</w:t>
            </w:r>
          </w:p>
        </w:tc>
        <w:tc>
          <w:tcPr>
            <w:tcW w:w="1672" w:type="dxa"/>
            <w:tcBorders>
              <w:top w:val="single" w:sz="4" w:space="0" w:color="000000"/>
              <w:left w:val="single" w:sz="4" w:space="0" w:color="000000"/>
              <w:bottom w:val="single" w:sz="4" w:space="0" w:color="000000"/>
              <w:right w:val="single" w:sz="4" w:space="0" w:color="000000"/>
            </w:tcBorders>
          </w:tcPr>
          <w:p>
            <w:pPr>
              <w:pStyle w:val="BodyText"/>
              <w:spacing w:lineRule="atLeast" w:line="0"/>
              <w:rPr/>
            </w:pPr>
            <w:r>
              <w:rPr>
                <w:rStyle w:val="Style10"/>
                <w:rFonts w:ascii="Times New Roman" w:hAnsi="Times New Roman" w:eastAsia="標楷體"/>
                <w:sz w:val="28"/>
                <w:szCs w:val="24"/>
              </w:rPr>
              <w:t>執行住民及家屬滿意度調查</w:t>
            </w:r>
          </w:p>
        </w:tc>
        <w:tc>
          <w:tcPr>
            <w:tcW w:w="977"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center"/>
              <w:rPr>
                <w:rFonts w:ascii="Times New Roman" w:hAnsi="Times New Roman" w:eastAsia="標楷體"/>
                <w:sz w:val="28"/>
                <w:szCs w:val="24"/>
              </w:rPr>
            </w:pPr>
            <w:r>
              <w:rPr>
                <w:rFonts w:eastAsia="標楷體" w:ascii="Times New Roman" w:hAnsi="Times New Roman"/>
                <w:sz w:val="28"/>
                <w:szCs w:val="24"/>
              </w:rPr>
              <w:t>2</w:t>
            </w:r>
          </w:p>
        </w:tc>
        <w:tc>
          <w:tcPr>
            <w:tcW w:w="6700" w:type="dxa"/>
            <w:tcBorders>
              <w:top w:val="single" w:sz="4" w:space="0" w:color="000000"/>
              <w:left w:val="single" w:sz="4" w:space="0" w:color="000000"/>
              <w:bottom w:val="single" w:sz="4" w:space="0" w:color="000000"/>
              <w:right w:val="single" w:sz="4" w:space="0" w:color="000000"/>
            </w:tcBorders>
          </w:tcPr>
          <w:p>
            <w:pPr>
              <w:pStyle w:val="BodyText"/>
              <w:spacing w:lineRule="atLeast" w:line="0"/>
              <w:jc w:val="both"/>
              <w:rPr/>
            </w:pPr>
            <w:r>
              <w:rPr>
                <w:rStyle w:val="Style10"/>
                <w:rFonts w:ascii="Times New Roman" w:hAnsi="Times New Roman" w:eastAsia="標楷體"/>
                <w:sz w:val="28"/>
                <w:szCs w:val="24"/>
              </w:rPr>
              <w:t>目的：</w:t>
            </w:r>
          </w:p>
          <w:p>
            <w:pPr>
              <w:pStyle w:val="BodyText"/>
              <w:spacing w:lineRule="atLeast" w:line="0"/>
              <w:jc w:val="both"/>
              <w:rPr/>
            </w:pPr>
            <w:r>
              <w:rPr>
                <w:rStyle w:val="Style10"/>
                <w:rFonts w:ascii="Times New Roman" w:hAnsi="Times New Roman" w:eastAsia="標楷體"/>
                <w:sz w:val="28"/>
                <w:szCs w:val="24"/>
              </w:rPr>
              <w:t>執行滿意度調查的目的，係透過定期收集住民與家屬對於機構服務、復健活動、設施設備等之意見，據以提升服務品質。</w:t>
            </w:r>
          </w:p>
          <w:p>
            <w:pPr>
              <w:pStyle w:val="BodyText"/>
              <w:tabs>
                <w:tab w:val="clear" w:pos="480"/>
              </w:tabs>
              <w:snapToGrid w:val="false"/>
              <w:spacing w:lineRule="atLeast" w:line="240" w:before="108" w:after="0"/>
              <w:ind w:left="384" w:hanging="384"/>
              <w:rPr/>
            </w:pPr>
            <w:r>
              <w:rPr>
                <w:rStyle w:val="Style10"/>
                <w:rFonts w:eastAsia="標楷體" w:ascii="Times New Roman" w:hAnsi="Times New Roman"/>
                <w:sz w:val="28"/>
                <w:szCs w:val="24"/>
              </w:rPr>
              <w:t>A</w:t>
            </w:r>
            <w:r>
              <w:rPr>
                <w:rStyle w:val="Style10"/>
                <w:rFonts w:ascii="Times New Roman" w:hAnsi="Times New Roman" w:eastAsia="標楷體"/>
                <w:sz w:val="28"/>
                <w:szCs w:val="24"/>
              </w:rPr>
              <w:t>：符合</w:t>
            </w:r>
            <w:r>
              <w:rPr>
                <w:rStyle w:val="Style10"/>
                <w:rFonts w:eastAsia="標楷體" w:ascii="Times New Roman" w:hAnsi="Times New Roman"/>
                <w:sz w:val="28"/>
                <w:szCs w:val="24"/>
              </w:rPr>
              <w:t>B</w:t>
            </w:r>
            <w:r>
              <w:rPr>
                <w:rStyle w:val="Style10"/>
                <w:rFonts w:ascii="Times New Roman" w:hAnsi="Times New Roman" w:eastAsia="標楷體"/>
                <w:sz w:val="28"/>
                <w:szCs w:val="24"/>
              </w:rPr>
              <w:t>，且有具體成效。</w:t>
            </w:r>
          </w:p>
          <w:p>
            <w:pPr>
              <w:pStyle w:val="BodyText"/>
              <w:tabs>
                <w:tab w:val="clear" w:pos="480"/>
              </w:tabs>
              <w:snapToGrid w:val="false"/>
              <w:spacing w:lineRule="atLeast" w:line="240"/>
              <w:ind w:left="360" w:hanging="360"/>
              <w:rPr/>
            </w:pPr>
            <w:r>
              <w:rPr>
                <w:rStyle w:val="Style10"/>
                <w:rFonts w:eastAsia="標楷體" w:ascii="Times New Roman" w:hAnsi="Times New Roman"/>
                <w:sz w:val="28"/>
                <w:szCs w:val="24"/>
              </w:rPr>
              <w:t>B</w:t>
            </w:r>
            <w:r>
              <w:rPr>
                <w:rStyle w:val="Style10"/>
                <w:rFonts w:ascii="Times New Roman" w:hAnsi="Times New Roman" w:eastAsia="標楷體"/>
                <w:sz w:val="28"/>
                <w:szCs w:val="24"/>
              </w:rPr>
              <w:t>：符合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，且有後續處理措施及紀錄。</w:t>
            </w:r>
          </w:p>
          <w:p>
            <w:pPr>
              <w:pStyle w:val="BodyText"/>
              <w:tabs>
                <w:tab w:val="clear" w:pos="480"/>
              </w:tabs>
              <w:snapToGrid w:val="false"/>
              <w:spacing w:lineRule="atLeast" w:line="240"/>
              <w:ind w:left="408" w:hanging="408"/>
              <w:rPr/>
            </w:pPr>
            <w:r>
              <w:rPr>
                <w:rStyle w:val="Style10"/>
                <w:rFonts w:eastAsia="標楷體" w:ascii="Times New Roman" w:hAnsi="Times New Roman"/>
                <w:sz w:val="28"/>
                <w:szCs w:val="24"/>
              </w:rPr>
              <w:t>C</w:t>
            </w:r>
            <w:r>
              <w:rPr>
                <w:rStyle w:val="Style10"/>
                <w:rFonts w:ascii="Times New Roman" w:hAnsi="Times New Roman" w:eastAsia="標楷體"/>
                <w:sz w:val="28"/>
                <w:szCs w:val="24"/>
              </w:rPr>
              <w:t>：每年至少進行</w:t>
            </w:r>
            <w:r>
              <w:rPr>
                <w:rStyle w:val="Style10"/>
                <w:rFonts w:eastAsia="標楷體" w:ascii="Times New Roman" w:hAnsi="Times New Roman"/>
                <w:sz w:val="28"/>
                <w:szCs w:val="24"/>
              </w:rPr>
              <w:t>1</w:t>
            </w:r>
            <w:r>
              <w:rPr>
                <w:rStyle w:val="Style10"/>
                <w:rFonts w:ascii="Times New Roman" w:hAnsi="Times New Roman" w:eastAsia="標楷體"/>
                <w:sz w:val="28"/>
                <w:szCs w:val="24"/>
              </w:rPr>
              <w:t>次住民及家屬滿意度調查，且有統計分析並將結果周知住民。</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D</w:t>
            </w:r>
            <w:r>
              <w:rPr>
                <w:rStyle w:val="Style10"/>
                <w:rFonts w:ascii="Times New Roman" w:hAnsi="Times New Roman" w:eastAsia="標楷體"/>
                <w:sz w:val="28"/>
                <w:szCs w:val="24"/>
              </w:rPr>
              <w:t>：部分符合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p>
            <w:pPr>
              <w:pStyle w:val="BodyText"/>
              <w:tabs>
                <w:tab w:val="clear" w:pos="480"/>
              </w:tabs>
              <w:snapToGrid w:val="false"/>
              <w:spacing w:lineRule="atLeast" w:line="240"/>
              <w:ind w:left="462" w:hanging="462"/>
              <w:rPr/>
            </w:pPr>
            <w:r>
              <w:rPr>
                <w:rStyle w:val="Style10"/>
                <w:rFonts w:eastAsia="標楷體" w:ascii="Times New Roman" w:hAnsi="Times New Roman"/>
                <w:sz w:val="28"/>
                <w:szCs w:val="24"/>
              </w:rPr>
              <w:t>E</w:t>
            </w:r>
            <w:r>
              <w:rPr>
                <w:rStyle w:val="Style10"/>
                <w:rFonts w:ascii="Times New Roman" w:hAnsi="Times New Roman" w:eastAsia="標楷體"/>
                <w:sz w:val="28"/>
                <w:szCs w:val="24"/>
              </w:rPr>
              <w:t>：完全不符合</w:t>
            </w:r>
            <w:r>
              <w:rPr>
                <w:rStyle w:val="Style10"/>
                <w:rFonts w:eastAsia="標楷體" w:ascii="Times New Roman" w:hAnsi="Times New Roman"/>
                <w:sz w:val="28"/>
                <w:szCs w:val="24"/>
              </w:rPr>
              <w:t>C</w:t>
            </w:r>
            <w:r>
              <w:rPr>
                <w:rStyle w:val="Style10"/>
                <w:rFonts w:ascii="Times New Roman" w:hAnsi="Times New Roman" w:eastAsia="標楷體"/>
                <w:sz w:val="28"/>
                <w:szCs w:val="24"/>
              </w:rPr>
              <w:t>之要求。</w:t>
            </w:r>
          </w:p>
        </w:tc>
      </w:tr>
    </w:tbl>
    <w:p>
      <w:pPr>
        <w:pStyle w:val="BodyText"/>
        <w:jc w:val="center"/>
        <w:rPr>
          <w:rFonts w:ascii="Times New Roman" w:hAnsi="Times New Roman" w:eastAsia="標楷體"/>
          <w:szCs w:val="24"/>
          <w:shd w:fill="FFFFFF" w:val="clear"/>
        </w:rPr>
      </w:pPr>
      <w:r>
        <w:rPr>
          <w:rFonts w:eastAsia="標楷體" w:ascii="Times New Roman" w:hAnsi="Times New Roman"/>
          <w:szCs w:val="24"/>
          <w:shd w:fill="FFFFFF" w:val="clear"/>
        </w:rPr>
      </w:r>
    </w:p>
    <w:sectPr>
      <w:footerReference w:type="default" r:id="rId7"/>
      <w:footerReference w:type="first" r:id="rId8"/>
      <w:type w:val="nextPage"/>
      <w:pgSz w:w="11907" w:h="16840"/>
      <w:pgMar w:left="720" w:right="720" w:gutter="0" w:header="0" w:top="720" w:footer="720" w:bottom="1003"/>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Arial">
    <w:charset w:val="88"/>
    <w:family w:val="swiss"/>
    <w:pitch w:val="variable"/>
  </w:font>
  <w:font w:name="Tahoma">
    <w:charset w:val="88"/>
    <w:family w:val="swiss"/>
    <w:pitch w:val="variable"/>
  </w:font>
  <w:font w:name="Cambria">
    <w:charset w:val="88"/>
    <w:family w:val="roman"/>
    <w:pitch w:val="variable"/>
  </w:font>
  <w:font w:name="細明體">
    <w:charset w:val="88"/>
    <w:family w:val="modern"/>
    <w:pitch w:val="fixed"/>
  </w:font>
  <w:font w:name="Times New Roman">
    <w:charset w:val="88"/>
    <w:family w:val="roman"/>
    <w:pitch w:val="variable"/>
  </w:font>
  <w:font w:name="標楷體">
    <w:charset w:val="88"/>
    <w:family w:val="script"/>
    <w:pitch w:val="fixed"/>
  </w:font>
  <w:font w:name="新細明體">
    <w:charset w:val="88"/>
    <w:family w:val="roman"/>
    <w:pitch w:val="variable"/>
  </w:font>
  <w:font w:name="Liberation Sans">
    <w:altName w:val="Arial"/>
    <w:charset w:val="88"/>
    <w:family w:val="swiss"/>
    <w:pitch w:val="variable"/>
  </w:font>
  <w:font w:name="華康中圓體">
    <w:charset w:val="88"/>
    <w:family w:val="modern"/>
    <w:pitch w:val="fixed"/>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lang w:val="zh-TW" w:eastAsia="zh-TW"/>
      </w:rPr>
      <w:fldChar w:fldCharType="begin"/>
    </w:r>
    <w:r>
      <w:rPr>
        <w:rStyle w:val="Style10"/>
        <w:lang w:val="zh-TW" w:eastAsia="zh-TW"/>
      </w:rPr>
      <w:instrText xml:space="preserve"> PAGE </w:instrText>
    </w:r>
    <w:r>
      <w:rPr>
        <w:rStyle w:val="Style10"/>
        <w:lang w:val="zh-TW" w:eastAsia="zh-TW"/>
      </w:rPr>
      <w:fldChar w:fldCharType="separate"/>
    </w:r>
    <w:r>
      <w:rPr>
        <w:rStyle w:val="Style10"/>
        <w:lang w:val="zh-TW" w:eastAsia="zh-TW"/>
      </w:rPr>
      <w:t>I</w:t>
    </w:r>
    <w:r>
      <w:rPr>
        <w:rStyle w:val="Style10"/>
        <w:lang w:val="zh-TW" w:eastAsia="zh-TW"/>
      </w:rPr>
      <w:fldChar w:fldCharType="end"/>
    </w:r>
  </w:p>
  <w:p>
    <w:pPr>
      <w:pStyle w:val="Footer"/>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eastAsia="標楷體"/>
        <w:b/>
        <w:lang w:eastAsia="zh-TW"/>
      </w:rPr>
      <w:t>第</w:t>
    </w:r>
    <w:r>
      <w:rPr>
        <w:rStyle w:val="Style10"/>
        <w:rFonts w:ascii="Times New Roman" w:hAnsi="Times New Roman" w:eastAsia="標楷體"/>
        <w:b/>
        <w:lang w:val="zh-TW" w:eastAsia="zh-TW"/>
      </w:rPr>
      <w:fldChar w:fldCharType="begin"/>
    </w:r>
    <w:r>
      <w:rPr>
        <w:rStyle w:val="Style10"/>
        <w:b/>
        <w:rFonts w:ascii="Times New Roman" w:hAnsi="Times New Roman" w:eastAsia="標楷體"/>
        <w:lang w:val="zh-TW" w:eastAsia="zh-TW"/>
      </w:rPr>
      <w:instrText xml:space="preserve"> PAGE \* ARABIC </w:instrText>
    </w:r>
    <w:r>
      <w:rPr>
        <w:rStyle w:val="Style10"/>
        <w:b/>
        <w:rFonts w:ascii="Times New Roman" w:hAnsi="Times New Roman" w:eastAsia="標楷體"/>
        <w:lang w:val="zh-TW" w:eastAsia="zh-TW"/>
      </w:rPr>
      <w:fldChar w:fldCharType="separate"/>
    </w:r>
    <w:r>
      <w:rPr>
        <w:rStyle w:val="Style10"/>
        <w:b/>
        <w:rFonts w:ascii="Times New Roman" w:hAnsi="Times New Roman" w:eastAsia="標楷體"/>
        <w:lang w:val="zh-TW" w:eastAsia="zh-TW"/>
      </w:rPr>
      <w:t>15</w:t>
    </w:r>
    <w:r>
      <w:rPr>
        <w:rStyle w:val="Style10"/>
        <w:b/>
        <w:rFonts w:ascii="Times New Roman" w:hAnsi="Times New Roman" w:eastAsia="標楷體"/>
        <w:lang w:val="zh-TW" w:eastAsia="zh-TW"/>
      </w:rPr>
      <w:fldChar w:fldCharType="end"/>
    </w:r>
    <w:r>
      <w:rPr>
        <w:rStyle w:val="Style10"/>
        <w:rFonts w:ascii="Times New Roman" w:hAnsi="Times New Roman" w:eastAsia="標楷體"/>
        <w:lang w:val="zh-TW" w:eastAsia="zh-TW"/>
      </w:rPr>
      <w:t xml:space="preserve"> 頁，共 </w:t>
    </w:r>
    <w:r>
      <w:rPr>
        <w:rStyle w:val="Style10"/>
        <w:rFonts w:eastAsia="標楷體" w:ascii="Times New Roman" w:hAnsi="Times New Roman"/>
        <w:b/>
        <w:lang w:eastAsia="zh-TW"/>
      </w:rPr>
      <w:t>33</w:t>
    </w:r>
    <w:r>
      <w:rPr>
        <w:rStyle w:val="Style10"/>
        <w:rFonts w:ascii="Times New Roman" w:hAnsi="Times New Roman" w:eastAsia="標楷體"/>
        <w:b/>
        <w:lang w:eastAsia="zh-TW"/>
      </w:rPr>
      <w:t>頁</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0"/>
        <w:rFonts w:ascii="Times New Roman" w:hAnsi="Times New Roman" w:eastAsia="標楷體"/>
        <w:b/>
        <w:lang w:eastAsia="zh-TW"/>
      </w:rPr>
      <w:t>第</w:t>
    </w:r>
    <w:r>
      <w:rPr>
        <w:rStyle w:val="Style10"/>
        <w:rFonts w:ascii="Times New Roman" w:hAnsi="Times New Roman" w:eastAsia="標楷體"/>
        <w:b/>
        <w:lang w:val="zh-TW" w:eastAsia="zh-TW"/>
      </w:rPr>
      <w:fldChar w:fldCharType="begin"/>
    </w:r>
    <w:r>
      <w:rPr>
        <w:rStyle w:val="Style10"/>
        <w:b/>
        <w:rFonts w:ascii="Times New Roman" w:hAnsi="Times New Roman" w:eastAsia="標楷體"/>
        <w:lang w:val="zh-TW" w:eastAsia="zh-TW"/>
      </w:rPr>
      <w:instrText xml:space="preserve"> PAGE \* ARABIC </w:instrText>
    </w:r>
    <w:r>
      <w:rPr>
        <w:rStyle w:val="Style10"/>
        <w:b/>
        <w:rFonts w:ascii="Times New Roman" w:hAnsi="Times New Roman" w:eastAsia="標楷體"/>
        <w:lang w:val="zh-TW" w:eastAsia="zh-TW"/>
      </w:rPr>
      <w:fldChar w:fldCharType="separate"/>
    </w:r>
    <w:r>
      <w:rPr>
        <w:rStyle w:val="Style10"/>
        <w:b/>
        <w:rFonts w:ascii="Times New Roman" w:hAnsi="Times New Roman" w:eastAsia="標楷體"/>
        <w:lang w:val="zh-TW" w:eastAsia="zh-TW"/>
      </w:rPr>
      <w:t>31</w:t>
    </w:r>
    <w:r>
      <w:rPr>
        <w:rStyle w:val="Style10"/>
        <w:b/>
        <w:rFonts w:ascii="Times New Roman" w:hAnsi="Times New Roman" w:eastAsia="標楷體"/>
        <w:lang w:val="zh-TW" w:eastAsia="zh-TW"/>
      </w:rPr>
      <w:fldChar w:fldCharType="end"/>
    </w:r>
    <w:r>
      <w:rPr>
        <w:rStyle w:val="Style10"/>
        <w:rFonts w:ascii="Times New Roman" w:hAnsi="Times New Roman" w:eastAsia="標楷體"/>
        <w:lang w:val="zh-TW" w:eastAsia="zh-TW"/>
      </w:rPr>
      <w:t xml:space="preserve"> 頁，共 </w:t>
    </w:r>
    <w:r>
      <w:rPr>
        <w:rStyle w:val="Style10"/>
        <w:rFonts w:eastAsia="標楷體" w:ascii="Times New Roman" w:hAnsi="Times New Roman"/>
        <w:b/>
        <w:lang w:eastAsia="zh-TW"/>
      </w:rPr>
      <w:t>33</w:t>
    </w:r>
    <w:r>
      <w:rPr>
        <w:rStyle w:val="Style10"/>
        <w:rFonts w:ascii="Times New Roman" w:hAnsi="Times New Roman" w:eastAsia="標楷體"/>
        <w:b/>
        <w:lang w:eastAsia="zh-TW"/>
      </w:rPr>
      <w:t>頁</w: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1"/>
      <w:lvlJc w:val="left"/>
      <w:pPr>
        <w:tabs>
          <w:tab w:val="num" w:pos="0"/>
        </w:tabs>
        <w:ind w:left="0" w:hanging="0"/>
      </w:pPr>
    </w:lvl>
    <w:lvl w:ilvl="1">
      <w:start w:val="1"/>
      <w:pStyle w:val="Heading2"/>
      <w:numFmt w:val="none"/>
      <w:suff w:val="nothing"/>
      <w:lvlText w:val="%2"/>
      <w:lvlJc w:val="left"/>
      <w:pPr>
        <w:tabs>
          <w:tab w:val="num" w:pos="0"/>
        </w:tabs>
        <w:ind w:left="0" w:hanging="0"/>
      </w:pPr>
    </w:lvl>
    <w:lvl w:ilvl="2">
      <w:start w:val="1"/>
      <w:pStyle w:val="Heading3"/>
      <w:numFmt w:val="none"/>
      <w:suff w:val="nothing"/>
      <w:lvlText w:val="%3"/>
      <w:lvlJc w:val="left"/>
      <w:pPr>
        <w:tabs>
          <w:tab w:val="num" w:pos="0"/>
        </w:tabs>
        <w:ind w:left="0" w:hanging="0"/>
      </w:pPr>
    </w:lvl>
    <w:lvl w:ilvl="3">
      <w:start w:val="1"/>
      <w:pStyle w:val="Heading4"/>
      <w:numFmt w:val="none"/>
      <w:suff w:val="nothing"/>
      <w:lvlText w:val="%4"/>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2"/>
      <w:numFmt w:val="ideographLegalTraditional"/>
      <w:lvlText w:val="%1、"/>
      <w:lvlJc w:val="left"/>
      <w:pPr>
        <w:tabs>
          <w:tab w:val="num" w:pos="720"/>
        </w:tabs>
        <w:ind w:left="720" w:hanging="720"/>
      </w:pPr>
      <w:rPr>
        <w:rFonts w:cs="Times New Roman"/>
      </w:rPr>
    </w:lvl>
    <w:lvl w:ilvl="1">
      <w:start w:val="1"/>
      <w:numFmt w:val="decimal"/>
      <w:lvlText w:val="%2."/>
      <w:lvlJc w:val="left"/>
      <w:pPr>
        <w:tabs>
          <w:tab w:val="num" w:pos="840"/>
        </w:tabs>
        <w:ind w:left="840" w:hanging="360"/>
      </w:pPr>
      <w:rPr>
        <w:rFonts w:cs="Times New Roman"/>
      </w:rPr>
    </w:lvl>
    <w:lvl w:ilvl="2">
      <w:start w:val="1"/>
      <w:numFmt w:val="taiwaneseCountingThousand"/>
      <w:lvlText w:val="%3、"/>
      <w:lvlJc w:val="left"/>
      <w:pPr>
        <w:tabs>
          <w:tab w:val="num" w:pos="1680"/>
        </w:tabs>
        <w:ind w:left="1680" w:hanging="720"/>
      </w:pPr>
      <w:rPr>
        <w:rFonts w:cs="Times New Roman"/>
      </w:rPr>
    </w:lvl>
    <w:lvl w:ilvl="3">
      <w:start w:val="1"/>
      <w:numFmt w:val="decimal"/>
      <w:lvlText w:val="%4."/>
      <w:lvlJc w:val="left"/>
      <w:pPr>
        <w:tabs>
          <w:tab w:val="num" w:pos="360"/>
        </w:tabs>
        <w:ind w:left="360" w:hanging="36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0"/>
      </w:pPr>
      <w:rPr>
        <w:rFonts w:cs="Times New Roman"/>
      </w:rPr>
    </w:lvl>
  </w:abstractNum>
  <w:abstractNum w:abstractNumId="3">
    <w:lvl w:ilvl="0">
      <w:start w:val="1"/>
      <w:numFmt w:val="taiwaneseCountingThousand"/>
      <w:lvlText w:val="%1、"/>
      <w:lvlJc w:val="left"/>
      <w:pPr>
        <w:tabs>
          <w:tab w:val="num" w:pos="425"/>
        </w:tabs>
        <w:ind w:left="425" w:hanging="425"/>
      </w:pPr>
      <w:rPr>
        <w:rFonts w:cs="Times New Roman"/>
      </w:rPr>
    </w:lvl>
    <w:lvl w:ilvl="1">
      <w:start w:val="1"/>
      <w:numFmt w:val="taiwaneseCountingThousand"/>
      <w:lvlText w:val="(%2)"/>
      <w:lvlJc w:val="left"/>
      <w:pPr>
        <w:tabs>
          <w:tab w:val="num" w:pos="992"/>
        </w:tabs>
        <w:ind w:left="992" w:hanging="567"/>
      </w:pPr>
      <w:rPr>
        <w:rFonts w:cs="Times New Roman"/>
      </w:rPr>
    </w:lvl>
    <w:lvl w:ilvl="2">
      <w:start w:val="1"/>
      <w:numFmt w:val="decimalFullWidth"/>
      <w:lvlText w:val="%3."/>
      <w:lvlJc w:val="left"/>
      <w:pPr>
        <w:tabs>
          <w:tab w:val="num" w:pos="1418"/>
        </w:tabs>
        <w:ind w:left="1418" w:hanging="567"/>
      </w:pPr>
      <w:rPr>
        <w:rFonts w:cs="Times New Roman"/>
      </w:rPr>
    </w:lvl>
    <w:lvl w:ilvl="3">
      <w:start w:val="1"/>
      <w:numFmt w:val="decimalFullWidth"/>
      <w:lvlText w:val="(%4)"/>
      <w:lvlJc w:val="left"/>
      <w:pPr>
        <w:tabs>
          <w:tab w:val="num" w:pos="1984"/>
        </w:tabs>
        <w:ind w:left="1984" w:hanging="708"/>
      </w:pPr>
      <w:rPr>
        <w:rFonts w:cs="Times New Roman"/>
      </w:rPr>
    </w:lvl>
    <w:lvl w:ilvl="4">
      <w:start w:val="1"/>
      <w:numFmt w:val="decimal"/>
      <w:lvlText w:val="%5."/>
      <w:lvlJc w:val="left"/>
      <w:pPr>
        <w:tabs>
          <w:tab w:val="num" w:pos="2551"/>
        </w:tabs>
        <w:ind w:left="2551" w:hanging="850"/>
      </w:pPr>
      <w:rPr>
        <w:rFonts w:cs="Times New Roman"/>
      </w:rPr>
    </w:lvl>
    <w:lvl w:ilvl="5">
      <w:start w:val="1"/>
      <w:numFmt w:val="decimal"/>
      <w:lvlText w:val="(%6)"/>
      <w:lvlJc w:val="left"/>
      <w:pPr>
        <w:tabs>
          <w:tab w:val="num" w:pos="3260"/>
        </w:tabs>
        <w:ind w:left="3260" w:hanging="1134"/>
      </w:pPr>
      <w:rPr>
        <w:rFonts w:cs="Times New Roman"/>
      </w:rPr>
    </w:lvl>
    <w:lvl w:ilvl="6">
      <w:start w:val="1"/>
      <w:numFmt w:val="upperLetter"/>
      <w:lvlText w:val="%7."/>
      <w:lvlJc w:val="left"/>
      <w:pPr>
        <w:tabs>
          <w:tab w:val="num" w:pos="3827"/>
        </w:tabs>
        <w:ind w:left="3827" w:hanging="1276"/>
      </w:pPr>
      <w:rPr>
        <w:rFonts w:cs="Times New Roman"/>
      </w:rPr>
    </w:lvl>
    <w:lvl w:ilvl="7">
      <w:start w:val="1"/>
      <w:numFmt w:val="lowerLetter"/>
      <w:lvlText w:val="%8"/>
      <w:lvlJc w:val="left"/>
      <w:pPr>
        <w:tabs>
          <w:tab w:val="num" w:pos="4394"/>
        </w:tabs>
        <w:ind w:left="4394" w:hanging="1418"/>
      </w:pPr>
      <w:rPr>
        <w:rFonts w:cs="Times New Roman"/>
      </w:rPr>
    </w:lvl>
    <w:lvl w:ilvl="8">
      <w:start w:val="1"/>
      <w:numFmt w:val="decimal"/>
      <w:lvlText w:val="%1.%2.%3.%4.%5.%6.%7.%8.%9"/>
      <w:lvlJc w:val="left"/>
      <w:pPr>
        <w:tabs>
          <w:tab w:val="num" w:pos="5102"/>
        </w:tabs>
        <w:ind w:left="5102" w:hanging="1700"/>
      </w:pPr>
      <w:rPr>
        <w:rFonts w:cs="Times New Roman"/>
      </w:rPr>
    </w:lvl>
  </w:abstractNum>
  <w:abstractNum w:abstractNumId="4">
    <w:lvl w:ilvl="0">
      <w:start w:val="1"/>
      <w:numFmt w:val="taiwaneseCountingThousand"/>
      <w:lvlText w:val="%1、"/>
      <w:lvlJc w:val="left"/>
      <w:pPr>
        <w:tabs>
          <w:tab w:val="num" w:pos="720"/>
        </w:tabs>
        <w:ind w:left="720" w:hanging="720"/>
      </w:pPr>
      <w:rPr>
        <w:sz w:val="28"/>
        <w:b w:val="false"/>
        <w:szCs w:val="28"/>
      </w:rPr>
    </w:lvl>
    <w:lvl w:ilvl="1">
      <w:start w:val="1"/>
      <w:numFmt w:val="taiwaneseCountingThousand"/>
      <w:lvlText w:val="（%2）"/>
      <w:lvlJc w:val="left"/>
      <w:pPr>
        <w:tabs>
          <w:tab w:val="num" w:pos="1308"/>
        </w:tabs>
        <w:ind w:left="1308" w:hanging="828"/>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
    <w:lvl w:ilvl="0">
      <w:start w:val="1"/>
      <w:numFmt w:val="taiwaneseCountingThousand"/>
      <w:lvlText w:val="(%1)"/>
      <w:lvlJc w:val="left"/>
      <w:pPr>
        <w:tabs>
          <w:tab w:val="num" w:pos="1200"/>
        </w:tabs>
        <w:ind w:left="1200" w:hanging="480"/>
      </w:pPr>
    </w:lvl>
    <w:lvl w:ilvl="1">
      <w:start w:val="1"/>
      <w:numFmt w:val="taiwaneseCountingThousand"/>
      <w:lvlText w:val="(%2)"/>
      <w:lvlJc w:val="left"/>
      <w:pPr>
        <w:tabs>
          <w:tab w:val="num" w:pos="1680"/>
        </w:tabs>
        <w:ind w:left="1680" w:hanging="480"/>
      </w:pPr>
    </w:lvl>
    <w:lvl w:ilvl="2">
      <w:start w:val="1"/>
      <w:numFmt w:val="lowerRoman"/>
      <w:lvlText w:val="%3."/>
      <w:lvlJc w:val="right"/>
      <w:pPr>
        <w:tabs>
          <w:tab w:val="num" w:pos="2160"/>
        </w:tabs>
        <w:ind w:left="2160" w:hanging="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0"/>
      </w:pPr>
    </w:lvl>
  </w:abstractNum>
  <w:abstractNum w:abstractNumId="6">
    <w:lvl w:ilvl="0">
      <w:start w:val="1"/>
      <w:numFmt w:val="decimal"/>
      <w:lvlText w:val="%1."/>
      <w:lvlJc w:val="left"/>
      <w:pPr>
        <w:tabs>
          <w:tab w:val="num" w:pos="360"/>
        </w:tabs>
        <w:ind w:left="360" w:hanging="360"/>
      </w:pPr>
      <w:rPr>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7">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840"/>
        </w:tabs>
        <w:ind w:left="840" w:hanging="36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8">
    <w:lvl w:ilvl="0">
      <w:start w:val="1"/>
      <w:numFmt w:val="decimal"/>
      <w:lvlText w:val="%1."/>
      <w:lvlJc w:val="left"/>
      <w:pPr>
        <w:tabs>
          <w:tab w:val="num" w:pos="720"/>
        </w:tabs>
        <w:ind w:left="720" w:hanging="480"/>
      </w:pPr>
    </w:lvl>
    <w:lvl w:ilvl="1">
      <w:start w:val="1"/>
      <w:numFmt w:val="decimal"/>
      <w:lvlText w:val="%2."/>
      <w:lvlJc w:val="left"/>
      <w:pPr>
        <w:tabs>
          <w:tab w:val="num" w:pos="1200"/>
        </w:tabs>
        <w:ind w:left="1200" w:hanging="480"/>
      </w:pPr>
    </w:lvl>
    <w:lvl w:ilvl="2">
      <w:start w:val="1"/>
      <w:numFmt w:val="lowerRoman"/>
      <w:lvlText w:val="%3."/>
      <w:lvlJc w:val="right"/>
      <w:pPr>
        <w:tabs>
          <w:tab w:val="num" w:pos="1680"/>
        </w:tabs>
        <w:ind w:left="1680" w:hanging="0"/>
      </w:p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0"/>
      </w:pPr>
    </w:lvl>
  </w:abstractNum>
  <w:abstractNum w:abstractNumId="9">
    <w:lvl w:ilvl="0">
      <w:start w:val="1"/>
      <w:numFmt w:val="decimal"/>
      <w:lvlText w:val="%1."/>
      <w:lvlJc w:val="left"/>
      <w:pPr>
        <w:tabs>
          <w:tab w:val="num" w:pos="1200"/>
        </w:tabs>
        <w:ind w:left="120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1">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2">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3">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4">
    <w:lvl w:ilvl="0">
      <w:start w:val="1"/>
      <w:numFmt w:val="decimal"/>
      <w:lvlText w:val="%1."/>
      <w:lvlJc w:val="left"/>
      <w:pPr>
        <w:tabs>
          <w:tab w:val="num" w:pos="960"/>
        </w:tabs>
        <w:ind w:left="960" w:hanging="480"/>
      </w:pPr>
      <w:rPr>
        <w:rFonts w:ascii="Times New Roman" w:hAnsi="Times New Roman" w:cs="Times New Roman"/>
      </w:rPr>
    </w:lvl>
    <w:lvl w:ilvl="1">
      <w:start w:val="1"/>
      <w:numFmt w:val="ideographTraditional"/>
      <w:lvlText w:val="%2、"/>
      <w:lvlJc w:val="left"/>
      <w:pPr>
        <w:tabs>
          <w:tab w:val="num" w:pos="1440"/>
        </w:tabs>
        <w:ind w:left="1440" w:hanging="480"/>
      </w:pPr>
    </w:lvl>
    <w:lvl w:ilvl="2">
      <w:start w:val="1"/>
      <w:numFmt w:val="lowerRoman"/>
      <w:lvlText w:val="%3."/>
      <w:lvlJc w:val="right"/>
      <w:pPr>
        <w:tabs>
          <w:tab w:val="num" w:pos="1920"/>
        </w:tabs>
        <w:ind w:left="1920" w:hanging="0"/>
      </w:pPr>
    </w:lvl>
    <w:lvl w:ilvl="3">
      <w:start w:val="1"/>
      <w:numFmt w:val="decimal"/>
      <w:lvlText w:val="%4."/>
      <w:lvlJc w:val="left"/>
      <w:pPr>
        <w:tabs>
          <w:tab w:val="num" w:pos="2400"/>
        </w:tabs>
        <w:ind w:left="2400" w:hanging="480"/>
      </w:pPr>
    </w:lvl>
    <w:lvl w:ilvl="4">
      <w:start w:val="1"/>
      <w:numFmt w:val="ideographTraditional"/>
      <w:lvlText w:val="%5、"/>
      <w:lvlJc w:val="left"/>
      <w:pPr>
        <w:tabs>
          <w:tab w:val="num" w:pos="2880"/>
        </w:tabs>
        <w:ind w:left="2880" w:hanging="480"/>
      </w:pPr>
    </w:lvl>
    <w:lvl w:ilvl="5">
      <w:start w:val="1"/>
      <w:numFmt w:val="lowerRoman"/>
      <w:lvlText w:val="%6."/>
      <w:lvlJc w:val="right"/>
      <w:pPr>
        <w:tabs>
          <w:tab w:val="num" w:pos="3360"/>
        </w:tabs>
        <w:ind w:left="3360" w:hanging="0"/>
      </w:pPr>
    </w:lvl>
    <w:lvl w:ilvl="6">
      <w:start w:val="1"/>
      <w:numFmt w:val="decimal"/>
      <w:lvlText w:val="%7."/>
      <w:lvlJc w:val="left"/>
      <w:pPr>
        <w:tabs>
          <w:tab w:val="num" w:pos="3840"/>
        </w:tabs>
        <w:ind w:left="3840" w:hanging="480"/>
      </w:pPr>
    </w:lvl>
    <w:lvl w:ilvl="7">
      <w:start w:val="1"/>
      <w:numFmt w:val="ideographTraditional"/>
      <w:lvlText w:val="%8、"/>
      <w:lvlJc w:val="left"/>
      <w:pPr>
        <w:tabs>
          <w:tab w:val="num" w:pos="4320"/>
        </w:tabs>
        <w:ind w:left="4320" w:hanging="480"/>
      </w:pPr>
    </w:lvl>
    <w:lvl w:ilvl="8">
      <w:start w:val="1"/>
      <w:numFmt w:val="lowerRoman"/>
      <w:lvlText w:val="%9."/>
      <w:lvlJc w:val="right"/>
      <w:pPr>
        <w:tabs>
          <w:tab w:val="num" w:pos="4800"/>
        </w:tabs>
        <w:ind w:left="4800" w:hanging="0"/>
      </w:pPr>
    </w:lvl>
  </w:abstractNum>
  <w:abstractNum w:abstractNumId="15">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6">
    <w:lvl w:ilvl="0">
      <w:start w:val="1"/>
      <w:numFmt w:val="decimal"/>
      <w:lvlText w:val="%1."/>
      <w:lvlJc w:val="left"/>
      <w:pPr>
        <w:tabs>
          <w:tab w:val="num" w:pos="482"/>
        </w:tabs>
        <w:ind w:left="482" w:hanging="480"/>
      </w:pPr>
    </w:lvl>
    <w:lvl w:ilvl="1">
      <w:start w:val="1"/>
      <w:numFmt w:val="ideographTraditional"/>
      <w:lvlText w:val="%2、"/>
      <w:lvlJc w:val="left"/>
      <w:pPr>
        <w:tabs>
          <w:tab w:val="num" w:pos="962"/>
        </w:tabs>
        <w:ind w:left="962" w:hanging="480"/>
      </w:pPr>
    </w:lvl>
    <w:lvl w:ilvl="2">
      <w:start w:val="1"/>
      <w:numFmt w:val="lowerRoman"/>
      <w:lvlText w:val="%3."/>
      <w:lvlJc w:val="right"/>
      <w:pPr>
        <w:tabs>
          <w:tab w:val="num" w:pos="1442"/>
        </w:tabs>
        <w:ind w:left="1442" w:hanging="0"/>
      </w:pPr>
    </w:lvl>
    <w:lvl w:ilvl="3">
      <w:start w:val="1"/>
      <w:numFmt w:val="decimal"/>
      <w:lvlText w:val="%4."/>
      <w:lvlJc w:val="left"/>
      <w:pPr>
        <w:tabs>
          <w:tab w:val="num" w:pos="1922"/>
        </w:tabs>
        <w:ind w:left="1922" w:hanging="480"/>
      </w:pPr>
    </w:lvl>
    <w:lvl w:ilvl="4">
      <w:start w:val="1"/>
      <w:numFmt w:val="ideographTraditional"/>
      <w:lvlText w:val="%5、"/>
      <w:lvlJc w:val="left"/>
      <w:pPr>
        <w:tabs>
          <w:tab w:val="num" w:pos="2402"/>
        </w:tabs>
        <w:ind w:left="2402" w:hanging="480"/>
      </w:pPr>
    </w:lvl>
    <w:lvl w:ilvl="5">
      <w:start w:val="1"/>
      <w:numFmt w:val="lowerRoman"/>
      <w:lvlText w:val="%6."/>
      <w:lvlJc w:val="right"/>
      <w:pPr>
        <w:tabs>
          <w:tab w:val="num" w:pos="2882"/>
        </w:tabs>
        <w:ind w:left="2882" w:hanging="0"/>
      </w:pPr>
    </w:lvl>
    <w:lvl w:ilvl="6">
      <w:start w:val="1"/>
      <w:numFmt w:val="decimal"/>
      <w:lvlText w:val="%7."/>
      <w:lvlJc w:val="left"/>
      <w:pPr>
        <w:tabs>
          <w:tab w:val="num" w:pos="3362"/>
        </w:tabs>
        <w:ind w:left="3362" w:hanging="480"/>
      </w:pPr>
    </w:lvl>
    <w:lvl w:ilvl="7">
      <w:start w:val="1"/>
      <w:numFmt w:val="ideographTraditional"/>
      <w:lvlText w:val="%8、"/>
      <w:lvlJc w:val="left"/>
      <w:pPr>
        <w:tabs>
          <w:tab w:val="num" w:pos="3842"/>
        </w:tabs>
        <w:ind w:left="3842" w:hanging="480"/>
      </w:pPr>
    </w:lvl>
    <w:lvl w:ilvl="8">
      <w:start w:val="1"/>
      <w:numFmt w:val="lowerRoman"/>
      <w:lvlText w:val="%9."/>
      <w:lvlJc w:val="right"/>
      <w:pPr>
        <w:tabs>
          <w:tab w:val="num" w:pos="4322"/>
        </w:tabs>
        <w:ind w:left="4322" w:hanging="0"/>
      </w:pPr>
    </w:lvl>
  </w:abstractNum>
  <w:abstractNum w:abstractNumId="17">
    <w:lvl w:ilvl="0">
      <w:start w:val="1"/>
      <w:numFmt w:val="decimal"/>
      <w:lvlText w:val="%1."/>
      <w:lvlJc w:val="left"/>
      <w:pPr>
        <w:tabs>
          <w:tab w:val="num" w:pos="653"/>
        </w:tabs>
        <w:ind w:left="653" w:hanging="480"/>
      </w:pPr>
    </w:lvl>
    <w:lvl w:ilvl="1">
      <w:start w:val="1"/>
      <w:numFmt w:val="ideographTraditional"/>
      <w:lvlText w:val="%2、"/>
      <w:lvlJc w:val="left"/>
      <w:pPr>
        <w:tabs>
          <w:tab w:val="num" w:pos="1133"/>
        </w:tabs>
        <w:ind w:left="1133" w:hanging="480"/>
      </w:pPr>
    </w:lvl>
    <w:lvl w:ilvl="2">
      <w:start w:val="1"/>
      <w:numFmt w:val="lowerRoman"/>
      <w:lvlText w:val="%3."/>
      <w:lvlJc w:val="right"/>
      <w:pPr>
        <w:tabs>
          <w:tab w:val="num" w:pos="1613"/>
        </w:tabs>
        <w:ind w:left="1613" w:hanging="0"/>
      </w:pPr>
    </w:lvl>
    <w:lvl w:ilvl="3">
      <w:start w:val="1"/>
      <w:numFmt w:val="decimal"/>
      <w:lvlText w:val="%4."/>
      <w:lvlJc w:val="left"/>
      <w:pPr>
        <w:tabs>
          <w:tab w:val="num" w:pos="2093"/>
        </w:tabs>
        <w:ind w:left="2093" w:hanging="480"/>
      </w:pPr>
    </w:lvl>
    <w:lvl w:ilvl="4">
      <w:start w:val="1"/>
      <w:numFmt w:val="ideographTraditional"/>
      <w:lvlText w:val="%5、"/>
      <w:lvlJc w:val="left"/>
      <w:pPr>
        <w:tabs>
          <w:tab w:val="num" w:pos="2573"/>
        </w:tabs>
        <w:ind w:left="2573" w:hanging="480"/>
      </w:pPr>
    </w:lvl>
    <w:lvl w:ilvl="5">
      <w:start w:val="1"/>
      <w:numFmt w:val="lowerRoman"/>
      <w:lvlText w:val="%6."/>
      <w:lvlJc w:val="right"/>
      <w:pPr>
        <w:tabs>
          <w:tab w:val="num" w:pos="3053"/>
        </w:tabs>
        <w:ind w:left="3053" w:hanging="0"/>
      </w:pPr>
    </w:lvl>
    <w:lvl w:ilvl="6">
      <w:start w:val="1"/>
      <w:numFmt w:val="decimal"/>
      <w:lvlText w:val="%7."/>
      <w:lvlJc w:val="left"/>
      <w:pPr>
        <w:tabs>
          <w:tab w:val="num" w:pos="3533"/>
        </w:tabs>
        <w:ind w:left="3533" w:hanging="480"/>
      </w:pPr>
    </w:lvl>
    <w:lvl w:ilvl="7">
      <w:start w:val="1"/>
      <w:numFmt w:val="ideographTraditional"/>
      <w:lvlText w:val="%8、"/>
      <w:lvlJc w:val="left"/>
      <w:pPr>
        <w:tabs>
          <w:tab w:val="num" w:pos="4013"/>
        </w:tabs>
        <w:ind w:left="4013" w:hanging="480"/>
      </w:pPr>
    </w:lvl>
    <w:lvl w:ilvl="8">
      <w:start w:val="1"/>
      <w:numFmt w:val="lowerRoman"/>
      <w:lvlText w:val="%9."/>
      <w:lvlJc w:val="right"/>
      <w:pPr>
        <w:tabs>
          <w:tab w:val="num" w:pos="4493"/>
        </w:tabs>
        <w:ind w:left="4493" w:hanging="0"/>
      </w:pPr>
    </w:lvl>
  </w:abstractNum>
  <w:abstractNum w:abstractNumId="18">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19">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0">
    <w:lvl w:ilvl="0">
      <w:start w:val="1"/>
      <w:numFmt w:val="decimal"/>
      <w:lvlText w:val="%1."/>
      <w:lvlJc w:val="left"/>
      <w:pPr>
        <w:tabs>
          <w:tab w:val="num" w:pos="480"/>
        </w:tabs>
        <w:ind w:left="480" w:hanging="480"/>
      </w:pPr>
      <w:rPr>
        <w:sz w:val="28"/>
        <w:b w:val="false"/>
        <w:szCs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1">
    <w:lvl w:ilvl="0">
      <w:start w:val="1"/>
      <w:numFmt w:val="decimal"/>
      <w:lvlText w:val="%1."/>
      <w:lvlJc w:val="left"/>
      <w:pPr>
        <w:tabs>
          <w:tab w:val="num" w:pos="480"/>
        </w:tabs>
        <w:ind w:left="480" w:hanging="480"/>
      </w:pPr>
      <w:rPr>
        <w:sz w:val="28"/>
        <w:b w:val="false"/>
        <w:szCs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2">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3">
    <w:lvl w:ilvl="0">
      <w:start w:val="1"/>
      <w:numFmt w:val="decimal"/>
      <w:lvlText w:val="%1."/>
      <w:lvlJc w:val="left"/>
      <w:pPr>
        <w:tabs>
          <w:tab w:val="num" w:pos="653"/>
        </w:tabs>
        <w:ind w:left="653" w:hanging="480"/>
      </w:pPr>
    </w:lvl>
    <w:lvl w:ilvl="1">
      <w:start w:val="1"/>
      <w:numFmt w:val="ideographTraditional"/>
      <w:lvlText w:val="%2、"/>
      <w:lvlJc w:val="left"/>
      <w:pPr>
        <w:tabs>
          <w:tab w:val="num" w:pos="1133"/>
        </w:tabs>
        <w:ind w:left="1133" w:hanging="480"/>
      </w:pPr>
    </w:lvl>
    <w:lvl w:ilvl="2">
      <w:start w:val="1"/>
      <w:numFmt w:val="lowerRoman"/>
      <w:lvlText w:val="%3."/>
      <w:lvlJc w:val="right"/>
      <w:pPr>
        <w:tabs>
          <w:tab w:val="num" w:pos="1613"/>
        </w:tabs>
        <w:ind w:left="1613" w:hanging="0"/>
      </w:pPr>
    </w:lvl>
    <w:lvl w:ilvl="3">
      <w:start w:val="1"/>
      <w:numFmt w:val="decimal"/>
      <w:lvlText w:val="%4."/>
      <w:lvlJc w:val="left"/>
      <w:pPr>
        <w:tabs>
          <w:tab w:val="num" w:pos="2093"/>
        </w:tabs>
        <w:ind w:left="2093" w:hanging="480"/>
      </w:pPr>
    </w:lvl>
    <w:lvl w:ilvl="4">
      <w:start w:val="1"/>
      <w:numFmt w:val="ideographTraditional"/>
      <w:lvlText w:val="%5、"/>
      <w:lvlJc w:val="left"/>
      <w:pPr>
        <w:tabs>
          <w:tab w:val="num" w:pos="2573"/>
        </w:tabs>
        <w:ind w:left="2573" w:hanging="480"/>
      </w:pPr>
    </w:lvl>
    <w:lvl w:ilvl="5">
      <w:start w:val="1"/>
      <w:numFmt w:val="lowerRoman"/>
      <w:lvlText w:val="%6."/>
      <w:lvlJc w:val="right"/>
      <w:pPr>
        <w:tabs>
          <w:tab w:val="num" w:pos="3053"/>
        </w:tabs>
        <w:ind w:left="3053" w:hanging="0"/>
      </w:pPr>
    </w:lvl>
    <w:lvl w:ilvl="6">
      <w:start w:val="1"/>
      <w:numFmt w:val="decimal"/>
      <w:lvlText w:val="%7."/>
      <w:lvlJc w:val="left"/>
      <w:pPr>
        <w:tabs>
          <w:tab w:val="num" w:pos="3533"/>
        </w:tabs>
        <w:ind w:left="3533" w:hanging="480"/>
      </w:pPr>
    </w:lvl>
    <w:lvl w:ilvl="7">
      <w:start w:val="1"/>
      <w:numFmt w:val="ideographTraditional"/>
      <w:lvlText w:val="%8、"/>
      <w:lvlJc w:val="left"/>
      <w:pPr>
        <w:tabs>
          <w:tab w:val="num" w:pos="4013"/>
        </w:tabs>
        <w:ind w:left="4013" w:hanging="480"/>
      </w:pPr>
    </w:lvl>
    <w:lvl w:ilvl="8">
      <w:start w:val="1"/>
      <w:numFmt w:val="lowerRoman"/>
      <w:lvlText w:val="%9."/>
      <w:lvlJc w:val="right"/>
      <w:pPr>
        <w:tabs>
          <w:tab w:val="num" w:pos="4493"/>
        </w:tabs>
        <w:ind w:left="4493" w:hanging="0"/>
      </w:pPr>
    </w:lvl>
  </w:abstractNum>
  <w:abstractNum w:abstractNumId="2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5">
    <w:lvl w:ilvl="0">
      <w:start w:val="1"/>
      <w:numFmt w:val="decimal"/>
      <w:lvlText w:val="%1."/>
      <w:lvlJc w:val="left"/>
      <w:pPr>
        <w:tabs>
          <w:tab w:val="num" w:pos="797"/>
        </w:tabs>
        <w:ind w:left="797" w:hanging="480"/>
      </w:pPr>
    </w:lvl>
    <w:lvl w:ilvl="1">
      <w:start w:val="1"/>
      <w:numFmt w:val="ideographTraditional"/>
      <w:lvlText w:val="%2、"/>
      <w:lvlJc w:val="left"/>
      <w:pPr>
        <w:tabs>
          <w:tab w:val="num" w:pos="1277"/>
        </w:tabs>
        <w:ind w:left="1277" w:hanging="480"/>
      </w:pPr>
    </w:lvl>
    <w:lvl w:ilvl="2">
      <w:start w:val="1"/>
      <w:numFmt w:val="lowerRoman"/>
      <w:lvlText w:val="%3."/>
      <w:lvlJc w:val="right"/>
      <w:pPr>
        <w:tabs>
          <w:tab w:val="num" w:pos="1757"/>
        </w:tabs>
        <w:ind w:left="1757" w:hanging="0"/>
      </w:pPr>
    </w:lvl>
    <w:lvl w:ilvl="3">
      <w:start w:val="1"/>
      <w:numFmt w:val="decimal"/>
      <w:lvlText w:val="%4."/>
      <w:lvlJc w:val="left"/>
      <w:pPr>
        <w:tabs>
          <w:tab w:val="num" w:pos="2237"/>
        </w:tabs>
        <w:ind w:left="2237" w:hanging="480"/>
      </w:pPr>
    </w:lvl>
    <w:lvl w:ilvl="4">
      <w:start w:val="1"/>
      <w:numFmt w:val="ideographTraditional"/>
      <w:lvlText w:val="%5、"/>
      <w:lvlJc w:val="left"/>
      <w:pPr>
        <w:tabs>
          <w:tab w:val="num" w:pos="2717"/>
        </w:tabs>
        <w:ind w:left="2717" w:hanging="480"/>
      </w:pPr>
    </w:lvl>
    <w:lvl w:ilvl="5">
      <w:start w:val="1"/>
      <w:numFmt w:val="lowerRoman"/>
      <w:lvlText w:val="%6."/>
      <w:lvlJc w:val="right"/>
      <w:pPr>
        <w:tabs>
          <w:tab w:val="num" w:pos="3197"/>
        </w:tabs>
        <w:ind w:left="3197" w:hanging="0"/>
      </w:pPr>
    </w:lvl>
    <w:lvl w:ilvl="6">
      <w:start w:val="1"/>
      <w:numFmt w:val="decimal"/>
      <w:lvlText w:val="%7."/>
      <w:lvlJc w:val="left"/>
      <w:pPr>
        <w:tabs>
          <w:tab w:val="num" w:pos="3677"/>
        </w:tabs>
        <w:ind w:left="3677" w:hanging="480"/>
      </w:pPr>
    </w:lvl>
    <w:lvl w:ilvl="7">
      <w:start w:val="1"/>
      <w:numFmt w:val="ideographTraditional"/>
      <w:lvlText w:val="%8、"/>
      <w:lvlJc w:val="left"/>
      <w:pPr>
        <w:tabs>
          <w:tab w:val="num" w:pos="4157"/>
        </w:tabs>
        <w:ind w:left="4157" w:hanging="480"/>
      </w:pPr>
    </w:lvl>
    <w:lvl w:ilvl="8">
      <w:start w:val="1"/>
      <w:numFmt w:val="lowerRoman"/>
      <w:lvlText w:val="%9."/>
      <w:lvlJc w:val="right"/>
      <w:pPr>
        <w:tabs>
          <w:tab w:val="num" w:pos="4637"/>
        </w:tabs>
        <w:ind w:left="4637" w:hanging="0"/>
      </w:pPr>
    </w:lvl>
  </w:abstractNum>
  <w:abstractNum w:abstractNumId="26">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7">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8">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29">
    <w:lvl w:ilvl="0">
      <w:start w:val="1"/>
      <w:numFmt w:val="decimal"/>
      <w:lvlText w:val="%1."/>
      <w:lvlJc w:val="left"/>
      <w:pPr>
        <w:tabs>
          <w:tab w:val="num" w:pos="360"/>
        </w:tabs>
        <w:ind w:left="360" w:hanging="360"/>
      </w:pPr>
      <w:rPr>
        <w:sz w:val="28"/>
        <w:u w:val="none"/>
        <w:b w:val="false"/>
        <w:szCs w:val="24"/>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1">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2">
    <w:lvl w:ilvl="0">
      <w:start w:val="1"/>
      <w:numFmt w:val="decimal"/>
      <w:lvlText w:val="%1."/>
      <w:lvlJc w:val="left"/>
      <w:pPr>
        <w:tabs>
          <w:tab w:val="num" w:pos="330"/>
        </w:tabs>
        <w:ind w:left="330" w:hanging="360"/>
      </w:pPr>
      <w:rPr>
        <w:b w:val="false"/>
      </w:rPr>
    </w:lvl>
    <w:lvl w:ilvl="1">
      <w:start w:val="1"/>
      <w:numFmt w:val="ideographTraditional"/>
      <w:lvlText w:val="%2、"/>
      <w:lvlJc w:val="left"/>
      <w:pPr>
        <w:tabs>
          <w:tab w:val="num" w:pos="930"/>
        </w:tabs>
        <w:ind w:left="930" w:hanging="480"/>
      </w:pPr>
    </w:lvl>
    <w:lvl w:ilvl="2">
      <w:start w:val="1"/>
      <w:numFmt w:val="lowerRoman"/>
      <w:lvlText w:val="%3."/>
      <w:lvlJc w:val="right"/>
      <w:pPr>
        <w:tabs>
          <w:tab w:val="num" w:pos="1410"/>
        </w:tabs>
        <w:ind w:left="1410" w:hanging="0"/>
      </w:pPr>
    </w:lvl>
    <w:lvl w:ilvl="3">
      <w:start w:val="1"/>
      <w:numFmt w:val="decimal"/>
      <w:lvlText w:val="%4."/>
      <w:lvlJc w:val="left"/>
      <w:pPr>
        <w:tabs>
          <w:tab w:val="num" w:pos="1890"/>
        </w:tabs>
        <w:ind w:left="1890" w:hanging="480"/>
      </w:pPr>
    </w:lvl>
    <w:lvl w:ilvl="4">
      <w:start w:val="1"/>
      <w:numFmt w:val="ideographTraditional"/>
      <w:lvlText w:val="%5、"/>
      <w:lvlJc w:val="left"/>
      <w:pPr>
        <w:tabs>
          <w:tab w:val="num" w:pos="2370"/>
        </w:tabs>
        <w:ind w:left="2370" w:hanging="480"/>
      </w:pPr>
    </w:lvl>
    <w:lvl w:ilvl="5">
      <w:start w:val="1"/>
      <w:numFmt w:val="lowerRoman"/>
      <w:lvlText w:val="%6."/>
      <w:lvlJc w:val="right"/>
      <w:pPr>
        <w:tabs>
          <w:tab w:val="num" w:pos="2850"/>
        </w:tabs>
        <w:ind w:left="2850" w:hanging="0"/>
      </w:pPr>
    </w:lvl>
    <w:lvl w:ilvl="6">
      <w:start w:val="1"/>
      <w:numFmt w:val="decimal"/>
      <w:lvlText w:val="%7."/>
      <w:lvlJc w:val="left"/>
      <w:pPr>
        <w:tabs>
          <w:tab w:val="num" w:pos="3330"/>
        </w:tabs>
        <w:ind w:left="3330" w:hanging="480"/>
      </w:pPr>
    </w:lvl>
    <w:lvl w:ilvl="7">
      <w:start w:val="1"/>
      <w:numFmt w:val="ideographTraditional"/>
      <w:lvlText w:val="%8、"/>
      <w:lvlJc w:val="left"/>
      <w:pPr>
        <w:tabs>
          <w:tab w:val="num" w:pos="3810"/>
        </w:tabs>
        <w:ind w:left="3810" w:hanging="480"/>
      </w:pPr>
    </w:lvl>
    <w:lvl w:ilvl="8">
      <w:start w:val="1"/>
      <w:numFmt w:val="lowerRoman"/>
      <w:lvlText w:val="%9."/>
      <w:lvlJc w:val="right"/>
      <w:pPr>
        <w:tabs>
          <w:tab w:val="num" w:pos="4290"/>
        </w:tabs>
        <w:ind w:left="4290" w:hanging="0"/>
      </w:pPr>
    </w:lvl>
  </w:abstractNum>
  <w:abstractNum w:abstractNumId="33">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5">
    <w:lvl w:ilvl="0">
      <w:start w:val="1"/>
      <w:numFmt w:val="decimal"/>
      <w:lvlText w:val="%1."/>
      <w:lvlJc w:val="left"/>
      <w:pPr>
        <w:tabs>
          <w:tab w:val="num" w:pos="764"/>
        </w:tabs>
        <w:ind w:left="764" w:hanging="480"/>
      </w:pPr>
      <w:rPr>
        <w:b w:val="false"/>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0"/>
      </w:pPr>
    </w:lvl>
  </w:abstractNum>
  <w:abstractNum w:abstractNumId="36">
    <w:lvl w:ilvl="0">
      <w:start w:val="1"/>
      <w:numFmt w:val="decimal"/>
      <w:lvlText w:val="%1."/>
      <w:lvlJc w:val="left"/>
      <w:pPr>
        <w:tabs>
          <w:tab w:val="num" w:pos="764"/>
        </w:tabs>
        <w:ind w:left="764" w:hanging="480"/>
      </w:pPr>
      <w:rPr>
        <w:b w:val="false"/>
      </w:rPr>
    </w:lvl>
    <w:lvl w:ilvl="1">
      <w:start w:val="1"/>
      <w:numFmt w:val="ideographTraditional"/>
      <w:lvlText w:val="%2、"/>
      <w:lvlJc w:val="left"/>
      <w:pPr>
        <w:tabs>
          <w:tab w:val="num" w:pos="1244"/>
        </w:tabs>
        <w:ind w:left="1244" w:hanging="480"/>
      </w:pPr>
    </w:lvl>
    <w:lvl w:ilvl="2">
      <w:start w:val="1"/>
      <w:numFmt w:val="lowerRoman"/>
      <w:lvlText w:val="%3."/>
      <w:lvlJc w:val="right"/>
      <w:pPr>
        <w:tabs>
          <w:tab w:val="num" w:pos="1724"/>
        </w:tabs>
        <w:ind w:left="1724" w:hanging="0"/>
      </w:pPr>
    </w:lvl>
    <w:lvl w:ilvl="3">
      <w:start w:val="1"/>
      <w:numFmt w:val="decimal"/>
      <w:lvlText w:val="%4."/>
      <w:lvlJc w:val="left"/>
      <w:pPr>
        <w:tabs>
          <w:tab w:val="num" w:pos="2204"/>
        </w:tabs>
        <w:ind w:left="2204" w:hanging="480"/>
      </w:pPr>
    </w:lvl>
    <w:lvl w:ilvl="4">
      <w:start w:val="1"/>
      <w:numFmt w:val="ideographTraditional"/>
      <w:lvlText w:val="%5、"/>
      <w:lvlJc w:val="left"/>
      <w:pPr>
        <w:tabs>
          <w:tab w:val="num" w:pos="2684"/>
        </w:tabs>
        <w:ind w:left="2684" w:hanging="480"/>
      </w:pPr>
    </w:lvl>
    <w:lvl w:ilvl="5">
      <w:start w:val="1"/>
      <w:numFmt w:val="lowerRoman"/>
      <w:lvlText w:val="%6."/>
      <w:lvlJc w:val="right"/>
      <w:pPr>
        <w:tabs>
          <w:tab w:val="num" w:pos="3164"/>
        </w:tabs>
        <w:ind w:left="3164" w:hanging="0"/>
      </w:pPr>
    </w:lvl>
    <w:lvl w:ilvl="6">
      <w:start w:val="1"/>
      <w:numFmt w:val="decimal"/>
      <w:lvlText w:val="%7."/>
      <w:lvlJc w:val="left"/>
      <w:pPr>
        <w:tabs>
          <w:tab w:val="num" w:pos="3644"/>
        </w:tabs>
        <w:ind w:left="3644" w:hanging="480"/>
      </w:pPr>
    </w:lvl>
    <w:lvl w:ilvl="7">
      <w:start w:val="1"/>
      <w:numFmt w:val="ideographTraditional"/>
      <w:lvlText w:val="%8、"/>
      <w:lvlJc w:val="left"/>
      <w:pPr>
        <w:tabs>
          <w:tab w:val="num" w:pos="4124"/>
        </w:tabs>
        <w:ind w:left="4124" w:hanging="480"/>
      </w:pPr>
    </w:lvl>
    <w:lvl w:ilvl="8">
      <w:start w:val="1"/>
      <w:numFmt w:val="lowerRoman"/>
      <w:lvlText w:val="%9."/>
      <w:lvlJc w:val="right"/>
      <w:pPr>
        <w:tabs>
          <w:tab w:val="num" w:pos="4604"/>
        </w:tabs>
        <w:ind w:left="4604" w:hanging="0"/>
      </w:pPr>
    </w:lvl>
  </w:abstractNum>
  <w:abstractNum w:abstractNumId="37">
    <w:lvl w:ilvl="0">
      <w:start w:val="1"/>
      <w:numFmt w:val="decimal"/>
      <w:lvlText w:val="%1."/>
      <w:lvlJc w:val="left"/>
      <w:pPr>
        <w:tabs>
          <w:tab w:val="num" w:pos="360"/>
        </w:tabs>
        <w:ind w:left="360" w:hanging="36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8">
    <w:lvl w:ilvl="0">
      <w:start w:val="1"/>
      <w:numFmt w:val="decimal"/>
      <w:lvlText w:val="%1."/>
      <w:lvlJc w:val="left"/>
      <w:pPr>
        <w:tabs>
          <w:tab w:val="num" w:pos="360"/>
        </w:tabs>
        <w:ind w:left="360" w:hanging="36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39">
    <w:lvl w:ilvl="0">
      <w:start w:val="1"/>
      <w:numFmt w:val="decimal"/>
      <w:lvlText w:val="%1."/>
      <w:lvlJc w:val="left"/>
      <w:pPr>
        <w:tabs>
          <w:tab w:val="num" w:pos="360"/>
        </w:tabs>
        <w:ind w:left="360" w:hanging="36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0">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1">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2">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3">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5">
    <w:lvl w:ilvl="0">
      <w:start w:val="1"/>
      <w:numFmt w:val="decimal"/>
      <w:lvlText w:val="%1."/>
      <w:lvlJc w:val="left"/>
      <w:pPr>
        <w:tabs>
          <w:tab w:val="num" w:pos="437"/>
        </w:tabs>
        <w:ind w:left="437" w:hanging="360"/>
      </w:pPr>
      <w:rPr>
        <w:dstrike w:val="false"/>
        <w:strike w:val="false"/>
        <w:b w:val="false"/>
      </w:rPr>
    </w:lvl>
    <w:lvl w:ilvl="1">
      <w:start w:val="1"/>
      <w:numFmt w:val="ideographTraditional"/>
      <w:lvlText w:val="%2、"/>
      <w:lvlJc w:val="left"/>
      <w:pPr>
        <w:tabs>
          <w:tab w:val="num" w:pos="1037"/>
        </w:tabs>
        <w:ind w:left="1037" w:hanging="480"/>
      </w:pPr>
    </w:lvl>
    <w:lvl w:ilvl="2">
      <w:start w:val="1"/>
      <w:numFmt w:val="lowerRoman"/>
      <w:lvlText w:val="%3."/>
      <w:lvlJc w:val="right"/>
      <w:pPr>
        <w:tabs>
          <w:tab w:val="num" w:pos="1517"/>
        </w:tabs>
        <w:ind w:left="1517" w:hanging="0"/>
      </w:pPr>
    </w:lvl>
    <w:lvl w:ilvl="3">
      <w:start w:val="1"/>
      <w:numFmt w:val="decimal"/>
      <w:lvlText w:val="%4."/>
      <w:lvlJc w:val="left"/>
      <w:pPr>
        <w:tabs>
          <w:tab w:val="num" w:pos="1997"/>
        </w:tabs>
        <w:ind w:left="1997" w:hanging="480"/>
      </w:pPr>
    </w:lvl>
    <w:lvl w:ilvl="4">
      <w:start w:val="1"/>
      <w:numFmt w:val="ideographTraditional"/>
      <w:lvlText w:val="%5、"/>
      <w:lvlJc w:val="left"/>
      <w:pPr>
        <w:tabs>
          <w:tab w:val="num" w:pos="2477"/>
        </w:tabs>
        <w:ind w:left="2477" w:hanging="480"/>
      </w:pPr>
    </w:lvl>
    <w:lvl w:ilvl="5">
      <w:start w:val="1"/>
      <w:numFmt w:val="lowerRoman"/>
      <w:lvlText w:val="%6."/>
      <w:lvlJc w:val="right"/>
      <w:pPr>
        <w:tabs>
          <w:tab w:val="num" w:pos="2957"/>
        </w:tabs>
        <w:ind w:left="2957" w:hanging="0"/>
      </w:pPr>
    </w:lvl>
    <w:lvl w:ilvl="6">
      <w:start w:val="1"/>
      <w:numFmt w:val="decimal"/>
      <w:lvlText w:val="%7."/>
      <w:lvlJc w:val="left"/>
      <w:pPr>
        <w:tabs>
          <w:tab w:val="num" w:pos="3437"/>
        </w:tabs>
        <w:ind w:left="3437" w:hanging="480"/>
      </w:pPr>
    </w:lvl>
    <w:lvl w:ilvl="7">
      <w:start w:val="1"/>
      <w:numFmt w:val="ideographTraditional"/>
      <w:lvlText w:val="%8、"/>
      <w:lvlJc w:val="left"/>
      <w:pPr>
        <w:tabs>
          <w:tab w:val="num" w:pos="3917"/>
        </w:tabs>
        <w:ind w:left="3917" w:hanging="480"/>
      </w:pPr>
    </w:lvl>
    <w:lvl w:ilvl="8">
      <w:start w:val="1"/>
      <w:numFmt w:val="lowerRoman"/>
      <w:lvlText w:val="%9."/>
      <w:lvlJc w:val="right"/>
      <w:pPr>
        <w:tabs>
          <w:tab w:val="num" w:pos="4397"/>
        </w:tabs>
        <w:ind w:left="4397" w:hanging="0"/>
      </w:pPr>
    </w:lvl>
  </w:abstractNum>
  <w:abstractNum w:abstractNumId="46">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7">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8">
    <w:lvl w:ilvl="0">
      <w:start w:val="1"/>
      <w:numFmt w:val="decimal"/>
      <w:lvlText w:val="%1."/>
      <w:lvlJc w:val="left"/>
      <w:pPr>
        <w:tabs>
          <w:tab w:val="num" w:pos="480"/>
        </w:tabs>
        <w:ind w:left="480" w:hanging="480"/>
      </w:pPr>
      <w:rPr>
        <w:b w:val="false"/>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49">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1">
    <w:lvl w:ilvl="0">
      <w:start w:val="1"/>
      <w:numFmt w:val="decimal"/>
      <w:lvlText w:val="%1."/>
      <w:lvlJc w:val="left"/>
      <w:pPr>
        <w:tabs>
          <w:tab w:val="num" w:pos="655"/>
        </w:tabs>
        <w:ind w:left="655" w:hanging="480"/>
      </w:pPr>
    </w:lvl>
    <w:lvl w:ilvl="1">
      <w:start w:val="1"/>
      <w:numFmt w:val="ideographTraditional"/>
      <w:lvlText w:val="%2、"/>
      <w:lvlJc w:val="left"/>
      <w:pPr>
        <w:tabs>
          <w:tab w:val="num" w:pos="1135"/>
        </w:tabs>
        <w:ind w:left="1135" w:hanging="480"/>
      </w:pPr>
    </w:lvl>
    <w:lvl w:ilvl="2">
      <w:start w:val="1"/>
      <w:numFmt w:val="lowerRoman"/>
      <w:lvlText w:val="%3."/>
      <w:lvlJc w:val="right"/>
      <w:pPr>
        <w:tabs>
          <w:tab w:val="num" w:pos="1615"/>
        </w:tabs>
        <w:ind w:left="1615" w:hanging="0"/>
      </w:pPr>
    </w:lvl>
    <w:lvl w:ilvl="3">
      <w:start w:val="1"/>
      <w:numFmt w:val="decimal"/>
      <w:lvlText w:val="%4."/>
      <w:lvlJc w:val="left"/>
      <w:pPr>
        <w:tabs>
          <w:tab w:val="num" w:pos="2095"/>
        </w:tabs>
        <w:ind w:left="2095" w:hanging="480"/>
      </w:pPr>
    </w:lvl>
    <w:lvl w:ilvl="4">
      <w:start w:val="1"/>
      <w:numFmt w:val="ideographTraditional"/>
      <w:lvlText w:val="%5、"/>
      <w:lvlJc w:val="left"/>
      <w:pPr>
        <w:tabs>
          <w:tab w:val="num" w:pos="2575"/>
        </w:tabs>
        <w:ind w:left="2575" w:hanging="480"/>
      </w:pPr>
    </w:lvl>
    <w:lvl w:ilvl="5">
      <w:start w:val="1"/>
      <w:numFmt w:val="lowerRoman"/>
      <w:lvlText w:val="%6."/>
      <w:lvlJc w:val="right"/>
      <w:pPr>
        <w:tabs>
          <w:tab w:val="num" w:pos="3055"/>
        </w:tabs>
        <w:ind w:left="3055" w:hanging="0"/>
      </w:pPr>
    </w:lvl>
    <w:lvl w:ilvl="6">
      <w:start w:val="1"/>
      <w:numFmt w:val="decimal"/>
      <w:lvlText w:val="%7."/>
      <w:lvlJc w:val="left"/>
      <w:pPr>
        <w:tabs>
          <w:tab w:val="num" w:pos="3535"/>
        </w:tabs>
        <w:ind w:left="3535" w:hanging="480"/>
      </w:pPr>
    </w:lvl>
    <w:lvl w:ilvl="7">
      <w:start w:val="1"/>
      <w:numFmt w:val="ideographTraditional"/>
      <w:lvlText w:val="%8、"/>
      <w:lvlJc w:val="left"/>
      <w:pPr>
        <w:tabs>
          <w:tab w:val="num" w:pos="4015"/>
        </w:tabs>
        <w:ind w:left="4015" w:hanging="480"/>
      </w:pPr>
    </w:lvl>
    <w:lvl w:ilvl="8">
      <w:start w:val="1"/>
      <w:numFmt w:val="lowerRoman"/>
      <w:lvlText w:val="%9."/>
      <w:lvlJc w:val="right"/>
      <w:pPr>
        <w:tabs>
          <w:tab w:val="num" w:pos="4495"/>
        </w:tabs>
        <w:ind w:left="4495" w:hanging="0"/>
      </w:pPr>
    </w:lvl>
  </w:abstractNum>
  <w:abstractNum w:abstractNumId="52">
    <w:lvl w:ilvl="0">
      <w:start w:val="1"/>
      <w:numFmt w:val="decimal"/>
      <w:lvlText w:val="%1."/>
      <w:lvlJc w:val="left"/>
      <w:pPr>
        <w:tabs>
          <w:tab w:val="num" w:pos="655"/>
        </w:tabs>
        <w:ind w:left="655" w:hanging="480"/>
      </w:pPr>
    </w:lvl>
    <w:lvl w:ilvl="1">
      <w:start w:val="1"/>
      <w:numFmt w:val="ideographTraditional"/>
      <w:lvlText w:val="%2、"/>
      <w:lvlJc w:val="left"/>
      <w:pPr>
        <w:tabs>
          <w:tab w:val="num" w:pos="1135"/>
        </w:tabs>
        <w:ind w:left="1135" w:hanging="480"/>
      </w:pPr>
    </w:lvl>
    <w:lvl w:ilvl="2">
      <w:start w:val="1"/>
      <w:numFmt w:val="lowerRoman"/>
      <w:lvlText w:val="%3."/>
      <w:lvlJc w:val="right"/>
      <w:pPr>
        <w:tabs>
          <w:tab w:val="num" w:pos="1615"/>
        </w:tabs>
        <w:ind w:left="1615" w:hanging="0"/>
      </w:pPr>
    </w:lvl>
    <w:lvl w:ilvl="3">
      <w:start w:val="1"/>
      <w:numFmt w:val="decimal"/>
      <w:lvlText w:val="%4."/>
      <w:lvlJc w:val="left"/>
      <w:pPr>
        <w:tabs>
          <w:tab w:val="num" w:pos="2095"/>
        </w:tabs>
        <w:ind w:left="2095" w:hanging="480"/>
      </w:pPr>
    </w:lvl>
    <w:lvl w:ilvl="4">
      <w:start w:val="1"/>
      <w:numFmt w:val="ideographTraditional"/>
      <w:lvlText w:val="%5、"/>
      <w:lvlJc w:val="left"/>
      <w:pPr>
        <w:tabs>
          <w:tab w:val="num" w:pos="2575"/>
        </w:tabs>
        <w:ind w:left="2575" w:hanging="480"/>
      </w:pPr>
    </w:lvl>
    <w:lvl w:ilvl="5">
      <w:start w:val="1"/>
      <w:numFmt w:val="lowerRoman"/>
      <w:lvlText w:val="%6."/>
      <w:lvlJc w:val="right"/>
      <w:pPr>
        <w:tabs>
          <w:tab w:val="num" w:pos="3055"/>
        </w:tabs>
        <w:ind w:left="3055" w:hanging="0"/>
      </w:pPr>
    </w:lvl>
    <w:lvl w:ilvl="6">
      <w:start w:val="1"/>
      <w:numFmt w:val="decimal"/>
      <w:lvlText w:val="%7."/>
      <w:lvlJc w:val="left"/>
      <w:pPr>
        <w:tabs>
          <w:tab w:val="num" w:pos="3535"/>
        </w:tabs>
        <w:ind w:left="3535" w:hanging="480"/>
      </w:pPr>
    </w:lvl>
    <w:lvl w:ilvl="7">
      <w:start w:val="1"/>
      <w:numFmt w:val="ideographTraditional"/>
      <w:lvlText w:val="%8、"/>
      <w:lvlJc w:val="left"/>
      <w:pPr>
        <w:tabs>
          <w:tab w:val="num" w:pos="4015"/>
        </w:tabs>
        <w:ind w:left="4015" w:hanging="480"/>
      </w:pPr>
    </w:lvl>
    <w:lvl w:ilvl="8">
      <w:start w:val="1"/>
      <w:numFmt w:val="lowerRoman"/>
      <w:lvlText w:val="%9."/>
      <w:lvlJc w:val="right"/>
      <w:pPr>
        <w:tabs>
          <w:tab w:val="num" w:pos="4495"/>
        </w:tabs>
        <w:ind w:left="4495" w:hanging="0"/>
      </w:pPr>
    </w:lvl>
  </w:abstractNum>
  <w:abstractNum w:abstractNumId="53">
    <w:lvl w:ilvl="0">
      <w:start w:val="1"/>
      <w:numFmt w:val="decimal"/>
      <w:lvlText w:val="%1."/>
      <w:lvlJc w:val="left"/>
      <w:pPr>
        <w:tabs>
          <w:tab w:val="num" w:pos="655"/>
        </w:tabs>
        <w:ind w:left="655" w:hanging="480"/>
      </w:pPr>
    </w:lvl>
    <w:lvl w:ilvl="1">
      <w:start w:val="1"/>
      <w:numFmt w:val="ideographTraditional"/>
      <w:lvlText w:val="%2、"/>
      <w:lvlJc w:val="left"/>
      <w:pPr>
        <w:tabs>
          <w:tab w:val="num" w:pos="1135"/>
        </w:tabs>
        <w:ind w:left="1135" w:hanging="480"/>
      </w:pPr>
    </w:lvl>
    <w:lvl w:ilvl="2">
      <w:start w:val="1"/>
      <w:numFmt w:val="lowerRoman"/>
      <w:lvlText w:val="%3."/>
      <w:lvlJc w:val="right"/>
      <w:pPr>
        <w:tabs>
          <w:tab w:val="num" w:pos="1615"/>
        </w:tabs>
        <w:ind w:left="1615" w:hanging="0"/>
      </w:pPr>
    </w:lvl>
    <w:lvl w:ilvl="3">
      <w:start w:val="1"/>
      <w:numFmt w:val="decimal"/>
      <w:lvlText w:val="%4."/>
      <w:lvlJc w:val="left"/>
      <w:pPr>
        <w:tabs>
          <w:tab w:val="num" w:pos="2095"/>
        </w:tabs>
        <w:ind w:left="2095" w:hanging="480"/>
      </w:pPr>
    </w:lvl>
    <w:lvl w:ilvl="4">
      <w:start w:val="1"/>
      <w:numFmt w:val="ideographTraditional"/>
      <w:lvlText w:val="%5、"/>
      <w:lvlJc w:val="left"/>
      <w:pPr>
        <w:tabs>
          <w:tab w:val="num" w:pos="2575"/>
        </w:tabs>
        <w:ind w:left="2575" w:hanging="480"/>
      </w:pPr>
    </w:lvl>
    <w:lvl w:ilvl="5">
      <w:start w:val="1"/>
      <w:numFmt w:val="lowerRoman"/>
      <w:lvlText w:val="%6."/>
      <w:lvlJc w:val="right"/>
      <w:pPr>
        <w:tabs>
          <w:tab w:val="num" w:pos="3055"/>
        </w:tabs>
        <w:ind w:left="3055" w:hanging="0"/>
      </w:pPr>
    </w:lvl>
    <w:lvl w:ilvl="6">
      <w:start w:val="1"/>
      <w:numFmt w:val="decimal"/>
      <w:lvlText w:val="%7."/>
      <w:lvlJc w:val="left"/>
      <w:pPr>
        <w:tabs>
          <w:tab w:val="num" w:pos="3535"/>
        </w:tabs>
        <w:ind w:left="3535" w:hanging="480"/>
      </w:pPr>
    </w:lvl>
    <w:lvl w:ilvl="7">
      <w:start w:val="1"/>
      <w:numFmt w:val="ideographTraditional"/>
      <w:lvlText w:val="%8、"/>
      <w:lvlJc w:val="left"/>
      <w:pPr>
        <w:tabs>
          <w:tab w:val="num" w:pos="4015"/>
        </w:tabs>
        <w:ind w:left="4015" w:hanging="480"/>
      </w:pPr>
    </w:lvl>
    <w:lvl w:ilvl="8">
      <w:start w:val="1"/>
      <w:numFmt w:val="lowerRoman"/>
      <w:lvlText w:val="%9."/>
      <w:lvlJc w:val="right"/>
      <w:pPr>
        <w:tabs>
          <w:tab w:val="num" w:pos="4495"/>
        </w:tabs>
        <w:ind w:left="4495" w:hanging="0"/>
      </w:pPr>
    </w:lvl>
  </w:abstractNum>
  <w:abstractNum w:abstractNumId="5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5">
    <w:lvl w:ilvl="0">
      <w:start w:val="1"/>
      <w:numFmt w:val="decimal"/>
      <w:lvlText w:val="%1."/>
      <w:lvlJc w:val="left"/>
      <w:pPr>
        <w:tabs>
          <w:tab w:val="num" w:pos="797"/>
        </w:tabs>
        <w:ind w:left="797" w:hanging="480"/>
      </w:pPr>
    </w:lvl>
    <w:lvl w:ilvl="1">
      <w:start w:val="1"/>
      <w:numFmt w:val="ideographTraditional"/>
      <w:lvlText w:val="%2、"/>
      <w:lvlJc w:val="left"/>
      <w:pPr>
        <w:tabs>
          <w:tab w:val="num" w:pos="1277"/>
        </w:tabs>
        <w:ind w:left="1277" w:hanging="480"/>
      </w:pPr>
    </w:lvl>
    <w:lvl w:ilvl="2">
      <w:start w:val="1"/>
      <w:numFmt w:val="lowerRoman"/>
      <w:lvlText w:val="%3."/>
      <w:lvlJc w:val="right"/>
      <w:pPr>
        <w:tabs>
          <w:tab w:val="num" w:pos="1757"/>
        </w:tabs>
        <w:ind w:left="1757" w:hanging="0"/>
      </w:pPr>
    </w:lvl>
    <w:lvl w:ilvl="3">
      <w:start w:val="1"/>
      <w:numFmt w:val="decimal"/>
      <w:lvlText w:val="%4."/>
      <w:lvlJc w:val="left"/>
      <w:pPr>
        <w:tabs>
          <w:tab w:val="num" w:pos="2237"/>
        </w:tabs>
        <w:ind w:left="2237" w:hanging="480"/>
      </w:pPr>
    </w:lvl>
    <w:lvl w:ilvl="4">
      <w:start w:val="1"/>
      <w:numFmt w:val="ideographTraditional"/>
      <w:lvlText w:val="%5、"/>
      <w:lvlJc w:val="left"/>
      <w:pPr>
        <w:tabs>
          <w:tab w:val="num" w:pos="2717"/>
        </w:tabs>
        <w:ind w:left="2717" w:hanging="480"/>
      </w:pPr>
    </w:lvl>
    <w:lvl w:ilvl="5">
      <w:start w:val="1"/>
      <w:numFmt w:val="lowerRoman"/>
      <w:lvlText w:val="%6."/>
      <w:lvlJc w:val="right"/>
      <w:pPr>
        <w:tabs>
          <w:tab w:val="num" w:pos="3197"/>
        </w:tabs>
        <w:ind w:left="3197" w:hanging="0"/>
      </w:pPr>
    </w:lvl>
    <w:lvl w:ilvl="6">
      <w:start w:val="1"/>
      <w:numFmt w:val="decimal"/>
      <w:lvlText w:val="%7."/>
      <w:lvlJc w:val="left"/>
      <w:pPr>
        <w:tabs>
          <w:tab w:val="num" w:pos="3677"/>
        </w:tabs>
        <w:ind w:left="3677" w:hanging="480"/>
      </w:pPr>
    </w:lvl>
    <w:lvl w:ilvl="7">
      <w:start w:val="1"/>
      <w:numFmt w:val="ideographTraditional"/>
      <w:lvlText w:val="%8、"/>
      <w:lvlJc w:val="left"/>
      <w:pPr>
        <w:tabs>
          <w:tab w:val="num" w:pos="4157"/>
        </w:tabs>
        <w:ind w:left="4157" w:hanging="480"/>
      </w:pPr>
    </w:lvl>
    <w:lvl w:ilvl="8">
      <w:start w:val="1"/>
      <w:numFmt w:val="lowerRoman"/>
      <w:lvlText w:val="%9."/>
      <w:lvlJc w:val="right"/>
      <w:pPr>
        <w:tabs>
          <w:tab w:val="num" w:pos="4637"/>
        </w:tabs>
        <w:ind w:left="4637" w:hanging="0"/>
      </w:pPr>
    </w:lvl>
  </w:abstractNum>
  <w:abstractNum w:abstractNumId="56">
    <w:lvl w:ilvl="0">
      <w:start w:val="1"/>
      <w:numFmt w:val="decimal"/>
      <w:lvlText w:val="%1."/>
      <w:lvlJc w:val="left"/>
      <w:pPr>
        <w:tabs>
          <w:tab w:val="num" w:pos="797"/>
        </w:tabs>
        <w:ind w:left="797" w:hanging="480"/>
      </w:pPr>
    </w:lvl>
    <w:lvl w:ilvl="1">
      <w:start w:val="1"/>
      <w:numFmt w:val="ideographTraditional"/>
      <w:lvlText w:val="%2、"/>
      <w:lvlJc w:val="left"/>
      <w:pPr>
        <w:tabs>
          <w:tab w:val="num" w:pos="1277"/>
        </w:tabs>
        <w:ind w:left="1277" w:hanging="480"/>
      </w:pPr>
    </w:lvl>
    <w:lvl w:ilvl="2">
      <w:start w:val="1"/>
      <w:numFmt w:val="lowerRoman"/>
      <w:lvlText w:val="%3."/>
      <w:lvlJc w:val="right"/>
      <w:pPr>
        <w:tabs>
          <w:tab w:val="num" w:pos="1757"/>
        </w:tabs>
        <w:ind w:left="1757" w:hanging="0"/>
      </w:pPr>
    </w:lvl>
    <w:lvl w:ilvl="3">
      <w:start w:val="1"/>
      <w:numFmt w:val="decimal"/>
      <w:lvlText w:val="%4."/>
      <w:lvlJc w:val="left"/>
      <w:pPr>
        <w:tabs>
          <w:tab w:val="num" w:pos="2237"/>
        </w:tabs>
        <w:ind w:left="2237" w:hanging="480"/>
      </w:pPr>
    </w:lvl>
    <w:lvl w:ilvl="4">
      <w:start w:val="1"/>
      <w:numFmt w:val="ideographTraditional"/>
      <w:lvlText w:val="%5、"/>
      <w:lvlJc w:val="left"/>
      <w:pPr>
        <w:tabs>
          <w:tab w:val="num" w:pos="2717"/>
        </w:tabs>
        <w:ind w:left="2717" w:hanging="480"/>
      </w:pPr>
    </w:lvl>
    <w:lvl w:ilvl="5">
      <w:start w:val="1"/>
      <w:numFmt w:val="lowerRoman"/>
      <w:lvlText w:val="%6."/>
      <w:lvlJc w:val="right"/>
      <w:pPr>
        <w:tabs>
          <w:tab w:val="num" w:pos="3197"/>
        </w:tabs>
        <w:ind w:left="3197" w:hanging="0"/>
      </w:pPr>
    </w:lvl>
    <w:lvl w:ilvl="6">
      <w:start w:val="1"/>
      <w:numFmt w:val="decimal"/>
      <w:lvlText w:val="%7."/>
      <w:lvlJc w:val="left"/>
      <w:pPr>
        <w:tabs>
          <w:tab w:val="num" w:pos="3677"/>
        </w:tabs>
        <w:ind w:left="3677" w:hanging="480"/>
      </w:pPr>
    </w:lvl>
    <w:lvl w:ilvl="7">
      <w:start w:val="1"/>
      <w:numFmt w:val="ideographTraditional"/>
      <w:lvlText w:val="%8、"/>
      <w:lvlJc w:val="left"/>
      <w:pPr>
        <w:tabs>
          <w:tab w:val="num" w:pos="4157"/>
        </w:tabs>
        <w:ind w:left="4157" w:hanging="480"/>
      </w:pPr>
    </w:lvl>
    <w:lvl w:ilvl="8">
      <w:start w:val="1"/>
      <w:numFmt w:val="lowerRoman"/>
      <w:lvlText w:val="%9."/>
      <w:lvlJc w:val="right"/>
      <w:pPr>
        <w:tabs>
          <w:tab w:val="num" w:pos="4637"/>
        </w:tabs>
        <w:ind w:left="4637" w:hanging="0"/>
      </w:pPr>
    </w:lvl>
  </w:abstractNum>
  <w:abstractNum w:abstractNumId="57">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8">
    <w:lvl w:ilvl="0">
      <w:start w:val="1"/>
      <w:numFmt w:val="decimal"/>
      <w:lvlText w:val="%1."/>
      <w:lvlJc w:val="left"/>
      <w:pPr>
        <w:tabs>
          <w:tab w:val="num" w:pos="360"/>
        </w:tabs>
        <w:ind w:left="360" w:hanging="360"/>
      </w:pPr>
      <w:rPr>
        <w:color w:val="auto"/>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59">
    <w:lvl w:ilvl="0">
      <w:start w:val="1"/>
      <w:numFmt w:val="decimal"/>
      <w:lvlText w:val="%1."/>
      <w:lvlJc w:val="left"/>
      <w:pPr>
        <w:tabs>
          <w:tab w:val="num" w:pos="360"/>
        </w:tabs>
        <w:ind w:left="360" w:hanging="36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0">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1">
    <w:lvl w:ilvl="0">
      <w:start w:val="1"/>
      <w:numFmt w:val="decimal"/>
      <w:lvlText w:val="%1."/>
      <w:lvlJc w:val="left"/>
      <w:pPr>
        <w:tabs>
          <w:tab w:val="num" w:pos="480"/>
        </w:tabs>
        <w:ind w:left="480" w:hanging="480"/>
      </w:pPr>
      <w:rPr>
        <w:rFonts w:ascii="Times New Roman" w:hAnsi="Times New Roman" w:cs="Times New Roman"/>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2">
    <w:lvl w:ilvl="0">
      <w:start w:val="1"/>
      <w:numFmt w:val="decimal"/>
      <w:lvlText w:val="%1."/>
      <w:lvlJc w:val="left"/>
      <w:pPr>
        <w:tabs>
          <w:tab w:val="num" w:pos="360"/>
        </w:tabs>
        <w:ind w:left="360" w:hanging="360"/>
      </w:pPr>
      <w:rPr>
        <w:sz w:val="28"/>
        <w:b w:val="false"/>
        <w:szCs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3">
    <w:lvl w:ilvl="0">
      <w:start w:val="1"/>
      <w:numFmt w:val="decimal"/>
      <w:lvlText w:val="%1."/>
      <w:lvlJc w:val="left"/>
      <w:pPr>
        <w:tabs>
          <w:tab w:val="num" w:pos="600"/>
        </w:tabs>
        <w:ind w:left="600" w:hanging="360"/>
      </w:pPr>
      <w:rPr>
        <w:sz w:val="28"/>
        <w:b w:val="false"/>
        <w:szCs w:val="28"/>
        <w:color w:val="000000"/>
      </w:rPr>
    </w:lvl>
    <w:lvl w:ilvl="1">
      <w:start w:val="1"/>
      <w:numFmt w:val="ideographTraditional"/>
      <w:lvlText w:val="%2、"/>
      <w:lvlJc w:val="left"/>
      <w:pPr>
        <w:tabs>
          <w:tab w:val="num" w:pos="1200"/>
        </w:tabs>
        <w:ind w:left="1200" w:hanging="480"/>
      </w:pPr>
    </w:lvl>
    <w:lvl w:ilvl="2">
      <w:start w:val="1"/>
      <w:numFmt w:val="lowerRoman"/>
      <w:lvlText w:val="%3."/>
      <w:lvlJc w:val="right"/>
      <w:pPr>
        <w:tabs>
          <w:tab w:val="num" w:pos="1680"/>
        </w:tabs>
        <w:ind w:left="1680" w:hanging="0"/>
      </w:pPr>
    </w:lvl>
    <w:lvl w:ilvl="3">
      <w:start w:val="1"/>
      <w:numFmt w:val="decimal"/>
      <w:lvlText w:val="%4."/>
      <w:lvlJc w:val="left"/>
      <w:pPr>
        <w:tabs>
          <w:tab w:val="num" w:pos="2160"/>
        </w:tabs>
        <w:ind w:left="2160" w:hanging="480"/>
      </w:pPr>
    </w:lvl>
    <w:lvl w:ilvl="4">
      <w:start w:val="1"/>
      <w:numFmt w:val="ideographTraditional"/>
      <w:lvlText w:val="%5、"/>
      <w:lvlJc w:val="left"/>
      <w:pPr>
        <w:tabs>
          <w:tab w:val="num" w:pos="2640"/>
        </w:tabs>
        <w:ind w:left="2640" w:hanging="480"/>
      </w:pPr>
    </w:lvl>
    <w:lvl w:ilvl="5">
      <w:start w:val="1"/>
      <w:numFmt w:val="lowerRoman"/>
      <w:lvlText w:val="%6."/>
      <w:lvlJc w:val="right"/>
      <w:pPr>
        <w:tabs>
          <w:tab w:val="num" w:pos="3120"/>
        </w:tabs>
        <w:ind w:left="3120" w:hanging="0"/>
      </w:pPr>
    </w:lvl>
    <w:lvl w:ilvl="6">
      <w:start w:val="1"/>
      <w:numFmt w:val="decimal"/>
      <w:lvlText w:val="%7."/>
      <w:lvlJc w:val="left"/>
      <w:pPr>
        <w:tabs>
          <w:tab w:val="num" w:pos="3600"/>
        </w:tabs>
        <w:ind w:left="3600" w:hanging="480"/>
      </w:pPr>
    </w:lvl>
    <w:lvl w:ilvl="7">
      <w:start w:val="1"/>
      <w:numFmt w:val="ideographTraditional"/>
      <w:lvlText w:val="%8、"/>
      <w:lvlJc w:val="left"/>
      <w:pPr>
        <w:tabs>
          <w:tab w:val="num" w:pos="4080"/>
        </w:tabs>
        <w:ind w:left="4080" w:hanging="480"/>
      </w:pPr>
    </w:lvl>
    <w:lvl w:ilvl="8">
      <w:start w:val="1"/>
      <w:numFmt w:val="lowerRoman"/>
      <w:lvlText w:val="%9."/>
      <w:lvlJc w:val="right"/>
      <w:pPr>
        <w:tabs>
          <w:tab w:val="num" w:pos="4560"/>
        </w:tabs>
        <w:ind w:left="4560" w:hanging="0"/>
      </w:pPr>
    </w:lvl>
  </w:abstractNum>
  <w:abstractNum w:abstractNumId="64">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5">
    <w:lvl w:ilvl="0">
      <w:start w:val="1"/>
      <w:numFmt w:val="decimal"/>
      <w:lvlText w:val="%1."/>
      <w:lvlJc w:val="left"/>
      <w:pPr>
        <w:tabs>
          <w:tab w:val="num" w:pos="480"/>
        </w:tabs>
        <w:ind w:left="480" w:hanging="480"/>
      </w:pPr>
      <w:rPr>
        <w:b w:val="false"/>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abstractNum w:abstractNumId="66">
    <w:lvl w:ilvl="0">
      <w:start w:val="1"/>
      <w:numFmt w:val="decimal"/>
      <w:lvlText w:val="%1."/>
      <w:lvlJc w:val="left"/>
      <w:pPr>
        <w:tabs>
          <w:tab w:val="num" w:pos="360"/>
        </w:tabs>
        <w:ind w:left="360" w:hanging="360"/>
      </w:pPr>
      <w:rPr>
        <w:dstrike w:val="false"/>
        <w:strike w:val="false"/>
        <w:sz w:val="28"/>
        <w:b w:val="false"/>
        <w:szCs w:val="28"/>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bering>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paragraph" w:styleId="Heading1">
    <w:name w:val="Heading 1"/>
    <w:basedOn w:val="BodyText"/>
    <w:next w:val="BodyText"/>
    <w:qFormat/>
    <w:pPr>
      <w:keepNext w:val="true"/>
      <w:numPr>
        <w:ilvl w:val="0"/>
        <w:numId w:val="1"/>
      </w:numPr>
      <w:suppressAutoHyphens w:val="true"/>
      <w:spacing w:lineRule="auto" w:line="720" w:before="180" w:after="180"/>
      <w:outlineLvl w:val="0"/>
    </w:pPr>
    <w:rPr>
      <w:rFonts w:ascii="Arial" w:hAnsi="Arial"/>
      <w:b/>
      <w:bCs/>
      <w:kern w:val="2"/>
      <w:sz w:val="52"/>
      <w:szCs w:val="52"/>
    </w:rPr>
  </w:style>
  <w:style w:type="paragraph" w:styleId="Heading2">
    <w:name w:val="Heading 2"/>
    <w:basedOn w:val="BodyText"/>
    <w:next w:val="BodyText"/>
    <w:qFormat/>
    <w:pPr>
      <w:widowControl/>
      <w:numPr>
        <w:ilvl w:val="1"/>
        <w:numId w:val="1"/>
      </w:numPr>
      <w:suppressAutoHyphens w:val="true"/>
      <w:outlineLvl w:val="1"/>
    </w:pPr>
    <w:rPr>
      <w:rFonts w:ascii="Tahoma" w:hAnsi="Tahoma"/>
      <w:b/>
      <w:kern w:val="0"/>
      <w:sz w:val="22"/>
      <w:szCs w:val="20"/>
    </w:rPr>
  </w:style>
  <w:style w:type="paragraph" w:styleId="Heading3">
    <w:name w:val="Heading 3"/>
    <w:basedOn w:val="BodyText"/>
    <w:next w:val="BodyText"/>
    <w:qFormat/>
    <w:pPr>
      <w:keepNext w:val="true"/>
      <w:numPr>
        <w:ilvl w:val="2"/>
        <w:numId w:val="1"/>
      </w:numPr>
      <w:suppressAutoHyphens w:val="true"/>
      <w:spacing w:lineRule="auto" w:line="720"/>
      <w:outlineLvl w:val="2"/>
    </w:pPr>
    <w:rPr>
      <w:rFonts w:ascii="Arial" w:hAnsi="Arial"/>
      <w:b/>
      <w:bCs/>
      <w:kern w:val="0"/>
      <w:sz w:val="36"/>
      <w:szCs w:val="36"/>
    </w:rPr>
  </w:style>
  <w:style w:type="paragraph" w:styleId="Heading4">
    <w:name w:val="Heading 4"/>
    <w:basedOn w:val="BodyText"/>
    <w:next w:val="BodyText"/>
    <w:qFormat/>
    <w:pPr>
      <w:keepNext w:val="true"/>
      <w:numPr>
        <w:ilvl w:val="3"/>
        <w:numId w:val="1"/>
      </w:numPr>
      <w:suppressAutoHyphens w:val="true"/>
      <w:spacing w:lineRule="auto" w:line="720"/>
      <w:outlineLvl w:val="3"/>
    </w:pPr>
    <w:rPr>
      <w:rFonts w:ascii="Cambria" w:hAnsi="Cambria"/>
      <w:kern w:val="0"/>
      <w:sz w:val="36"/>
      <w:szCs w:val="36"/>
    </w:rPr>
  </w:style>
  <w:style w:type="character" w:styleId="Style10">
    <w:name w:val="預設段落字型"/>
    <w:qFormat/>
    <w:rPr/>
  </w:style>
  <w:style w:type="character" w:styleId="1">
    <w:name w:val="標題 1 字元"/>
    <w:qFormat/>
    <w:rPr>
      <w:rFonts w:ascii="Arial" w:hAnsi="Arial" w:eastAsia="新細明體" w:cs="Times New Roman"/>
      <w:b/>
      <w:bCs/>
      <w:kern w:val="2"/>
      <w:sz w:val="52"/>
      <w:szCs w:val="52"/>
    </w:rPr>
  </w:style>
  <w:style w:type="character" w:styleId="2">
    <w:name w:val="標題 2 字元"/>
    <w:qFormat/>
    <w:rPr>
      <w:rFonts w:ascii="Tahoma" w:hAnsi="Tahoma" w:eastAsia="新細明體" w:cs="Times New Roman"/>
      <w:b/>
      <w:kern w:val="0"/>
      <w:sz w:val="22"/>
      <w:szCs w:val="20"/>
    </w:rPr>
  </w:style>
  <w:style w:type="character" w:styleId="3">
    <w:name w:val="標題 3 字元"/>
    <w:qFormat/>
    <w:rPr>
      <w:rFonts w:ascii="Arial" w:hAnsi="Arial" w:eastAsia="新細明體" w:cs="Times New Roman"/>
      <w:b/>
      <w:bCs/>
      <w:kern w:val="0"/>
      <w:sz w:val="36"/>
      <w:szCs w:val="36"/>
    </w:rPr>
  </w:style>
  <w:style w:type="character" w:styleId="4">
    <w:name w:val="標題 4 字元"/>
    <w:qFormat/>
    <w:rPr>
      <w:rFonts w:ascii="Cambria" w:hAnsi="Cambria" w:eastAsia="新細明體" w:cs="Times New Roman"/>
      <w:kern w:val="0"/>
      <w:sz w:val="36"/>
      <w:szCs w:val="36"/>
    </w:rPr>
  </w:style>
  <w:style w:type="character" w:styleId="Style11">
    <w:name w:val="頁首 字元"/>
    <w:qFormat/>
    <w:rPr>
      <w:rFonts w:ascii="Calibri" w:hAnsi="Calibri" w:eastAsia="新細明體" w:cs="Times New Roman"/>
      <w:kern w:val="0"/>
      <w:sz w:val="20"/>
      <w:szCs w:val="20"/>
    </w:rPr>
  </w:style>
  <w:style w:type="character" w:styleId="Style12">
    <w:name w:val="頁尾 字元"/>
    <w:qFormat/>
    <w:rPr>
      <w:rFonts w:ascii="Calibri" w:hAnsi="Calibri" w:eastAsia="新細明體" w:cs="Times New Roman"/>
      <w:kern w:val="0"/>
      <w:sz w:val="20"/>
      <w:szCs w:val="20"/>
    </w:rPr>
  </w:style>
  <w:style w:type="character" w:styleId="Style13">
    <w:name w:val="超連結"/>
    <w:qFormat/>
    <w:rPr>
      <w:rFonts w:cs="Times New Roman"/>
      <w:color w:val="0000FF"/>
      <w:u w:val="single"/>
    </w:rPr>
  </w:style>
  <w:style w:type="character" w:styleId="PageNumber">
    <w:name w:val="Page Number"/>
    <w:rPr>
      <w:rFonts w:cs="Times New Roman"/>
    </w:rPr>
  </w:style>
  <w:style w:type="character" w:styleId="Style14">
    <w:name w:val="純文字 字元"/>
    <w:qFormat/>
    <w:rPr>
      <w:rFonts w:ascii="細明體" w:hAnsi="細明體" w:eastAsia="細明體" w:cs="Times New Roman"/>
      <w:kern w:val="0"/>
      <w:sz w:val="20"/>
      <w:szCs w:val="20"/>
    </w:rPr>
  </w:style>
  <w:style w:type="character" w:styleId="Style15">
    <w:name w:val="強調粗體"/>
    <w:qFormat/>
    <w:rPr>
      <w:rFonts w:cs="Times New Roman"/>
      <w:b/>
      <w:bCs/>
    </w:rPr>
  </w:style>
  <w:style w:type="character" w:styleId="HTML">
    <w:name w:val="HTML 預設格式 字元"/>
    <w:qFormat/>
    <w:rPr>
      <w:rFonts w:ascii="細明體" w:hAnsi="細明體" w:eastAsia="細明體" w:cs="Times New Roman"/>
      <w:kern w:val="0"/>
      <w:sz w:val="20"/>
      <w:szCs w:val="24"/>
    </w:rPr>
  </w:style>
  <w:style w:type="character" w:styleId="21">
    <w:name w:val="字元 字元2"/>
    <w:qFormat/>
    <w:rPr>
      <w:rFonts w:ascii="細明體" w:hAnsi="細明體" w:eastAsia="細明體" w:cs="細明體"/>
      <w:sz w:val="24"/>
      <w:szCs w:val="24"/>
      <w:lang w:val="en-US" w:eastAsia="zh-TW" w:bidi="ar-SA"/>
    </w:rPr>
  </w:style>
  <w:style w:type="character" w:styleId="22">
    <w:name w:val="本文縮排 2 字元"/>
    <w:qFormat/>
    <w:rPr>
      <w:rFonts w:ascii="Times New Roman" w:hAnsi="Times New Roman" w:eastAsia="新細明體" w:cs="Times New Roman"/>
      <w:kern w:val="0"/>
      <w:sz w:val="20"/>
      <w:szCs w:val="24"/>
    </w:rPr>
  </w:style>
  <w:style w:type="character" w:styleId="11">
    <w:name w:val="字元 字元1"/>
    <w:qFormat/>
    <w:rPr>
      <w:rFonts w:ascii="細明體" w:hAnsi="細明體" w:eastAsia="細明體" w:cs="Times New Roman"/>
      <w:sz w:val="24"/>
      <w:lang w:val="en-US" w:eastAsia="zh-TW" w:bidi="ar-SA"/>
    </w:rPr>
  </w:style>
  <w:style w:type="character" w:styleId="Style16">
    <w:name w:val="本文縮排 字元"/>
    <w:qFormat/>
    <w:rPr>
      <w:rFonts w:ascii="Calibri" w:hAnsi="Calibri" w:eastAsia="新細明體" w:cs="Times New Roman"/>
      <w:kern w:val="0"/>
      <w:sz w:val="20"/>
      <w:szCs w:val="20"/>
    </w:rPr>
  </w:style>
  <w:style w:type="character" w:styleId="31">
    <w:name w:val="本文 3 字元"/>
    <w:qFormat/>
    <w:rPr>
      <w:rFonts w:ascii="Calibri" w:hAnsi="Calibri" w:eastAsia="新細明體" w:cs="Times New Roman"/>
      <w:kern w:val="0"/>
      <w:sz w:val="16"/>
      <w:szCs w:val="16"/>
    </w:rPr>
  </w:style>
  <w:style w:type="character" w:styleId="Style17">
    <w:name w:val="已查閱的超連結"/>
    <w:qFormat/>
    <w:rPr>
      <w:rFonts w:cs="Times New Roman"/>
      <w:color w:val="800080"/>
      <w:u w:val="single"/>
    </w:rPr>
  </w:style>
  <w:style w:type="character" w:styleId="Style18">
    <w:name w:val="本文 字元"/>
    <w:qFormat/>
    <w:rPr>
      <w:rFonts w:ascii="標楷體" w:hAnsi="標楷體" w:eastAsia="標楷體" w:cs="Times New Roman"/>
      <w:b/>
      <w:bCs/>
      <w:color w:val="FFFF00"/>
      <w:kern w:val="0"/>
      <w:sz w:val="20"/>
      <w:szCs w:val="20"/>
    </w:rPr>
  </w:style>
  <w:style w:type="character" w:styleId="32">
    <w:name w:val="本文縮排 3 字元"/>
    <w:qFormat/>
    <w:rPr>
      <w:rFonts w:ascii="細明體" w:hAnsi="細明體" w:eastAsia="細明體" w:cs="Times New Roman"/>
      <w:kern w:val="0"/>
      <w:sz w:val="20"/>
      <w:szCs w:val="24"/>
    </w:rPr>
  </w:style>
  <w:style w:type="character" w:styleId="Style19">
    <w:name w:val="註解方塊文字 字元"/>
    <w:qFormat/>
    <w:rPr>
      <w:rFonts w:ascii="Arial" w:hAnsi="Arial" w:eastAsia="新細明體" w:cs="Times New Roman"/>
      <w:sz w:val="18"/>
      <w:szCs w:val="18"/>
    </w:rPr>
  </w:style>
  <w:style w:type="character" w:styleId="12">
    <w:name w:val="註解方塊文字 字元1"/>
    <w:qFormat/>
    <w:rPr>
      <w:rFonts w:ascii="Cambria" w:hAnsi="Cambria" w:eastAsia="新細明體" w:cs="Times New Roman"/>
      <w:sz w:val="18"/>
      <w:szCs w:val="18"/>
    </w:rPr>
  </w:style>
  <w:style w:type="character" w:styleId="23">
    <w:name w:val="本文 2 字元"/>
    <w:qFormat/>
    <w:rPr>
      <w:rFonts w:ascii="Times New Roman" w:hAnsi="Times New Roman" w:eastAsia="新細明體" w:cs="Times New Roman"/>
      <w:kern w:val="0"/>
      <w:sz w:val="20"/>
      <w:szCs w:val="24"/>
    </w:rPr>
  </w:style>
  <w:style w:type="character" w:styleId="7">
    <w:name w:val="字元 字元7"/>
    <w:qFormat/>
    <w:rPr>
      <w:kern w:val="2"/>
    </w:rPr>
  </w:style>
  <w:style w:type="character" w:styleId="Style20">
    <w:name w:val="註釋標題 字元"/>
    <w:qFormat/>
    <w:rPr>
      <w:rFonts w:ascii="標楷體" w:hAnsi="標楷體" w:eastAsia="標楷體" w:cs="Times New Roman"/>
      <w:spacing w:val="-20"/>
      <w:kern w:val="0"/>
      <w:sz w:val="22"/>
      <w:szCs w:val="20"/>
    </w:rPr>
  </w:style>
  <w:style w:type="character" w:styleId="Style21">
    <w:name w:val="結語 字元"/>
    <w:qFormat/>
    <w:rPr>
      <w:rFonts w:ascii="標楷體" w:hAnsi="標楷體" w:eastAsia="標楷體" w:cs="Times New Roman"/>
      <w:spacing w:val="-20"/>
      <w:kern w:val="0"/>
      <w:sz w:val="22"/>
      <w:szCs w:val="20"/>
    </w:rPr>
  </w:style>
  <w:style w:type="character" w:styleId="6">
    <w:name w:val="字元 字元6"/>
    <w:qFormat/>
    <w:rPr>
      <w:rFonts w:eastAsia="標楷體"/>
      <w:sz w:val="16"/>
      <w:lang w:val="en-US" w:eastAsia="zh-TW"/>
    </w:rPr>
  </w:style>
  <w:style w:type="character" w:styleId="Style22">
    <w:name w:val="註解文字 字元"/>
    <w:qFormat/>
    <w:rPr>
      <w:rFonts w:ascii="Times New Roman" w:hAnsi="Times New Roman" w:eastAsia="新細明體" w:cs="Times New Roman"/>
      <w:kern w:val="0"/>
      <w:sz w:val="20"/>
      <w:szCs w:val="24"/>
    </w:rPr>
  </w:style>
  <w:style w:type="character" w:styleId="Style23">
    <w:name w:val="註解主旨 字元"/>
    <w:qFormat/>
    <w:rPr>
      <w:rFonts w:ascii="Times New Roman" w:hAnsi="Times New Roman" w:eastAsia="新細明體" w:cs="Times New Roman"/>
      <w:b/>
      <w:bCs/>
      <w:szCs w:val="24"/>
    </w:rPr>
  </w:style>
  <w:style w:type="character" w:styleId="13">
    <w:name w:val="註解主旨 字元1"/>
    <w:qFormat/>
    <w:rPr>
      <w:rFonts w:ascii="Times New Roman" w:hAnsi="Times New Roman" w:eastAsia="新細明體" w:cs="Times New Roman"/>
      <w:b/>
      <w:bCs/>
      <w:kern w:val="0"/>
      <w:sz w:val="20"/>
      <w:szCs w:val="24"/>
    </w:rPr>
  </w:style>
  <w:style w:type="character" w:styleId="Style24">
    <w:name w:val="一. 字元"/>
    <w:qFormat/>
    <w:rPr>
      <w:rFonts w:ascii="標楷體" w:hAnsi="標楷體" w:eastAsia="標楷體" w:cs="Times New Roman"/>
      <w:kern w:val="0"/>
      <w:sz w:val="22"/>
      <w:szCs w:val="20"/>
      <w:lang w:bidi="hi-IN"/>
    </w:rPr>
  </w:style>
  <w:style w:type="character" w:styleId="Style25">
    <w:name w:val="(一) 字元"/>
    <w:qFormat/>
    <w:rPr>
      <w:rFonts w:ascii="Times New Roman" w:hAnsi="Times New Roman" w:eastAsia="標楷體" w:cs="新細明體"/>
      <w:kern w:val="0"/>
      <w:sz w:val="22"/>
      <w:szCs w:val="20"/>
      <w:lang w:bidi="hi-IN"/>
    </w:rPr>
  </w:style>
  <w:style w:type="character" w:styleId="Style26">
    <w:name w:val="發文 字元"/>
    <w:qFormat/>
    <w:rPr>
      <w:rFonts w:ascii="Times New Roman" w:hAnsi="Times New Roman" w:eastAsia="標楷體" w:cs="Times New Roman"/>
      <w:kern w:val="0"/>
      <w:sz w:val="22"/>
      <w:szCs w:val="20"/>
    </w:rPr>
  </w:style>
  <w:style w:type="character" w:styleId="Style27">
    <w:name w:val="問候 字元"/>
    <w:qFormat/>
    <w:rPr>
      <w:rFonts w:ascii="新細明體" w:hAnsi="新細明體" w:eastAsia="新細明體" w:cs="Times New Roman"/>
      <w:kern w:val="0"/>
      <w:sz w:val="26"/>
      <w:szCs w:val="20"/>
    </w:rPr>
  </w:style>
  <w:style w:type="character" w:styleId="Style28">
    <w:name w:val="文件引導模式 字元"/>
    <w:qFormat/>
    <w:rPr>
      <w:rFonts w:ascii="Arial" w:hAnsi="Arial" w:eastAsia="新細明體" w:cs="Times New Roman"/>
      <w:shd w:fill="000080" w:val="clear"/>
    </w:rPr>
  </w:style>
  <w:style w:type="character" w:styleId="Style29">
    <w:name w:val="註解參照"/>
    <w:qFormat/>
    <w:rPr>
      <w:rFonts w:cs="Times New Roman"/>
      <w:sz w:val="18"/>
      <w:szCs w:val="18"/>
    </w:rPr>
  </w:style>
  <w:style w:type="character" w:styleId="BodyTextIndent3Char">
    <w:name w:val="Body Text Indent 3 Char"/>
    <w:qFormat/>
    <w:rPr>
      <w:rFonts w:ascii="標楷體" w:hAnsi="標楷體" w:eastAsia="標楷體"/>
      <w:sz w:val="24"/>
      <w:lang w:val="en-US" w:eastAsia="zh-TW"/>
    </w:rPr>
  </w:style>
  <w:style w:type="character" w:styleId="Style30">
    <w:name w:val="清單段落 字元"/>
    <w:qFormat/>
    <w:rPr>
      <w:kern w:val="2"/>
      <w:sz w:val="24"/>
      <w:szCs w:val="22"/>
    </w:rPr>
  </w:style>
  <w:style w:type="character" w:styleId="WWCharLFO1LVL1">
    <w:name w:val="WW_CharLFO1LVL1"/>
    <w:qFormat/>
    <w:rPr>
      <w:rFonts w:cs="Times New Roman"/>
    </w:rPr>
  </w:style>
  <w:style w:type="character" w:styleId="WWCharLFO1LVL2">
    <w:name w:val="WW_CharLFO1LVL2"/>
    <w:qFormat/>
    <w:rPr>
      <w:rFonts w:cs="Times New Roman"/>
    </w:rPr>
  </w:style>
  <w:style w:type="character" w:styleId="WWCharLFO1LVL3">
    <w:name w:val="WW_CharLFO1LVL3"/>
    <w:qFormat/>
    <w:rPr>
      <w:rFonts w:cs="Times New Roman"/>
    </w:rPr>
  </w:style>
  <w:style w:type="character" w:styleId="WWCharLFO1LVL4">
    <w:name w:val="WW_CharLFO1LVL4"/>
    <w:qFormat/>
    <w:rPr>
      <w:rFonts w:cs="Times New Roman"/>
    </w:rPr>
  </w:style>
  <w:style w:type="character" w:styleId="WWCharLFO1LVL5">
    <w:name w:val="WW_CharLFO1LVL5"/>
    <w:qFormat/>
    <w:rPr>
      <w:rFonts w:cs="Times New Roman"/>
    </w:rPr>
  </w:style>
  <w:style w:type="character" w:styleId="WWCharLFO1LVL6">
    <w:name w:val="WW_CharLFO1LVL6"/>
    <w:qFormat/>
    <w:rPr>
      <w:rFonts w:cs="Times New Roman"/>
    </w:rPr>
  </w:style>
  <w:style w:type="character" w:styleId="WWCharLFO1LVL7">
    <w:name w:val="WW_CharLFO1LVL7"/>
    <w:qFormat/>
    <w:rPr>
      <w:rFonts w:cs="Times New Roman"/>
    </w:rPr>
  </w:style>
  <w:style w:type="character" w:styleId="WWCharLFO1LVL8">
    <w:name w:val="WW_CharLFO1LVL8"/>
    <w:qFormat/>
    <w:rPr>
      <w:rFonts w:cs="Times New Roman"/>
    </w:rPr>
  </w:style>
  <w:style w:type="character" w:styleId="WWCharLFO1LVL9">
    <w:name w:val="WW_CharLFO1LVL9"/>
    <w:qFormat/>
    <w:rPr>
      <w:rFonts w:cs="Times New Roman"/>
    </w:rPr>
  </w:style>
  <w:style w:type="character" w:styleId="WWCharLFO2LVL1">
    <w:name w:val="WW_CharLFO2LVL1"/>
    <w:qFormat/>
    <w:rPr>
      <w:rFonts w:cs="Times New Roman"/>
    </w:rPr>
  </w:style>
  <w:style w:type="character" w:styleId="WWCharLFO2LVL2">
    <w:name w:val="WW_CharLFO2LVL2"/>
    <w:qFormat/>
    <w:rPr>
      <w:rFonts w:cs="Times New Roman"/>
    </w:rPr>
  </w:style>
  <w:style w:type="character" w:styleId="WWCharLFO2LVL3">
    <w:name w:val="WW_CharLFO2LVL3"/>
    <w:qFormat/>
    <w:rPr>
      <w:rFonts w:cs="Times New Roman"/>
    </w:rPr>
  </w:style>
  <w:style w:type="character" w:styleId="WWCharLFO2LVL4">
    <w:name w:val="WW_CharLFO2LVL4"/>
    <w:qFormat/>
    <w:rPr>
      <w:rFonts w:cs="Times New Roman"/>
    </w:rPr>
  </w:style>
  <w:style w:type="character" w:styleId="WWCharLFO2LVL5">
    <w:name w:val="WW_CharLFO2LVL5"/>
    <w:qFormat/>
    <w:rPr>
      <w:rFonts w:cs="Times New Roman"/>
    </w:rPr>
  </w:style>
  <w:style w:type="character" w:styleId="WWCharLFO2LVL6">
    <w:name w:val="WW_CharLFO2LVL6"/>
    <w:qFormat/>
    <w:rPr>
      <w:rFonts w:cs="Times New Roman"/>
    </w:rPr>
  </w:style>
  <w:style w:type="character" w:styleId="WWCharLFO2LVL7">
    <w:name w:val="WW_CharLFO2LVL7"/>
    <w:qFormat/>
    <w:rPr>
      <w:rFonts w:cs="Times New Roman"/>
    </w:rPr>
  </w:style>
  <w:style w:type="character" w:styleId="WWCharLFO2LVL8">
    <w:name w:val="WW_CharLFO2LVL8"/>
    <w:qFormat/>
    <w:rPr>
      <w:rFonts w:cs="Times New Roman"/>
    </w:rPr>
  </w:style>
  <w:style w:type="character" w:styleId="WWCharLFO2LVL9">
    <w:name w:val="WW_CharLFO2LVL9"/>
    <w:qFormat/>
    <w:rPr>
      <w:rFonts w:cs="Times New Roman"/>
    </w:rPr>
  </w:style>
  <w:style w:type="character" w:styleId="WWCharLFO4LVL1">
    <w:name w:val="WW_CharLFO4LVL1"/>
    <w:qFormat/>
    <w:rPr>
      <w:b w:val="false"/>
    </w:rPr>
  </w:style>
  <w:style w:type="character" w:styleId="WWCharLFO5LVL1">
    <w:name w:val="WW_CharLFO5LVL1"/>
    <w:qFormat/>
    <w:rPr>
      <w:b w:val="false"/>
    </w:rPr>
  </w:style>
  <w:style w:type="character" w:styleId="WWCharLFO6LVL1">
    <w:name w:val="WW_CharLFO6LVL1"/>
    <w:qFormat/>
    <w:rPr>
      <w:b w:val="false"/>
    </w:rPr>
  </w:style>
  <w:style w:type="character" w:styleId="WWCharLFO7LVL1">
    <w:name w:val="WW_CharLFO7LVL1"/>
    <w:qFormat/>
    <w:rPr>
      <w:rFonts w:ascii="Times New Roman" w:hAnsi="Times New Roman" w:cs="Times New Roman"/>
      <w:b/>
      <w:color w:val="auto"/>
      <w:sz w:val="24"/>
      <w:szCs w:val="24"/>
      <w:u w:val="none"/>
    </w:rPr>
  </w:style>
  <w:style w:type="character" w:styleId="WWCharLFO8LVL1">
    <w:name w:val="WW_CharLFO8LVL1"/>
    <w:qFormat/>
    <w:rPr>
      <w:b w:val="false"/>
      <w:color w:val="000000"/>
    </w:rPr>
  </w:style>
  <w:style w:type="character" w:styleId="WWCharLFO9LVL1">
    <w:name w:val="WW_CharLFO9LVL1"/>
    <w:qFormat/>
    <w:rPr>
      <w:rFonts w:ascii="Times New Roman" w:hAnsi="Times New Roman" w:cs="Times New Roman"/>
    </w:rPr>
  </w:style>
  <w:style w:type="character" w:styleId="WWCharLFO11LVL1">
    <w:name w:val="WW_CharLFO11LVL1"/>
    <w:qFormat/>
    <w:rPr>
      <w:b w:val="false"/>
    </w:rPr>
  </w:style>
  <w:style w:type="character" w:styleId="WWCharLFO12LVL1">
    <w:name w:val="WW_CharLFO12LVL1"/>
    <w:qFormat/>
    <w:rPr>
      <w:rFonts w:ascii="Times New Roman" w:hAnsi="Times New Roman" w:cs="Times New Roman"/>
      <w:b w:val="false"/>
    </w:rPr>
  </w:style>
  <w:style w:type="character" w:styleId="WWCharLFO14LVL1">
    <w:name w:val="WW_CharLFO14LVL1"/>
    <w:qFormat/>
    <w:rPr>
      <w:color w:val="auto"/>
    </w:rPr>
  </w:style>
  <w:style w:type="character" w:styleId="WWCharLFO15LVL1">
    <w:name w:val="WW_CharLFO15LVL1"/>
    <w:qFormat/>
    <w:rPr>
      <w:b w:val="false"/>
    </w:rPr>
  </w:style>
  <w:style w:type="character" w:styleId="WWCharLFO16LVL1">
    <w:name w:val="WW_CharLFO16LVL1"/>
    <w:qFormat/>
    <w:rPr>
      <w:b w:val="false"/>
      <w:color w:val="000000"/>
    </w:rPr>
  </w:style>
  <w:style w:type="character" w:styleId="WWCharLFO17LVL1">
    <w:name w:val="WW_CharLFO17LVL1"/>
    <w:qFormat/>
    <w:rPr>
      <w:rFonts w:ascii="Times New Roman" w:hAnsi="Times New Roman" w:cs="Times New Roman"/>
      <w:b w:val="false"/>
    </w:rPr>
  </w:style>
  <w:style w:type="character" w:styleId="WWCharLFO18LVL1">
    <w:name w:val="WW_CharLFO18LVL1"/>
    <w:qFormat/>
    <w:rPr>
      <w:color w:val="auto"/>
    </w:rPr>
  </w:style>
  <w:style w:type="character" w:styleId="WWCharLFO19LVL2">
    <w:name w:val="WW_CharLFO19LVL2"/>
    <w:qFormat/>
    <w:rPr>
      <w:b w:val="false"/>
      <w:color w:val="000000"/>
      <w:sz w:val="24"/>
      <w:szCs w:val="24"/>
    </w:rPr>
  </w:style>
  <w:style w:type="character" w:styleId="WWCharLFO21LVL2">
    <w:name w:val="WW_CharLFO21LVL2"/>
    <w:qFormat/>
    <w:rPr>
      <w:sz w:val="24"/>
      <w:szCs w:val="24"/>
    </w:rPr>
  </w:style>
  <w:style w:type="character" w:styleId="WWCharLFO22LVL1">
    <w:name w:val="WW_CharLFO22LVL1"/>
    <w:qFormat/>
    <w:rPr>
      <w:b w:val="false"/>
    </w:rPr>
  </w:style>
  <w:style w:type="character" w:styleId="WWCharLFO23LVL1">
    <w:name w:val="WW_CharLFO23LVL1"/>
    <w:qFormat/>
    <w:rPr>
      <w:b w:val="false"/>
    </w:rPr>
  </w:style>
  <w:style w:type="character" w:styleId="WWCharLFO24LVL1">
    <w:name w:val="WW_CharLFO24LVL1"/>
    <w:qFormat/>
    <w:rPr>
      <w:b w:val="false"/>
      <w:sz w:val="28"/>
      <w:szCs w:val="28"/>
    </w:rPr>
  </w:style>
  <w:style w:type="character" w:styleId="WWCharLFO25LVL1">
    <w:name w:val="WW_CharLFO25LVL1"/>
    <w:qFormat/>
    <w:rPr>
      <w:b w:val="false"/>
      <w:sz w:val="28"/>
      <w:szCs w:val="24"/>
      <w:u w:val="none"/>
    </w:rPr>
  </w:style>
  <w:style w:type="character" w:styleId="WWCharLFO26LVL1">
    <w:name w:val="WW_CharLFO26LVL1"/>
    <w:qFormat/>
    <w:rPr>
      <w:b w:val="false"/>
    </w:rPr>
  </w:style>
  <w:style w:type="character" w:styleId="WWCharLFO27LVL1">
    <w:name w:val="WW_CharLFO27LVL1"/>
    <w:qFormat/>
    <w:rPr>
      <w:b w:val="false"/>
    </w:rPr>
  </w:style>
  <w:style w:type="character" w:styleId="WWCharLFO28LVL1">
    <w:name w:val="WW_CharLFO28LVL1"/>
    <w:qFormat/>
    <w:rPr>
      <w:b w:val="false"/>
      <w:sz w:val="24"/>
      <w:szCs w:val="24"/>
      <w:u w:val="none"/>
    </w:rPr>
  </w:style>
  <w:style w:type="character" w:styleId="WWCharLFO29LVL1">
    <w:name w:val="WW_CharLFO29LVL1"/>
    <w:qFormat/>
    <w:rPr>
      <w:b w:val="false"/>
    </w:rPr>
  </w:style>
  <w:style w:type="character" w:styleId="WWCharLFO30LVL1">
    <w:name w:val="WW_CharLFO30LVL1"/>
    <w:qFormat/>
    <w:rPr>
      <w:b w:val="false"/>
    </w:rPr>
  </w:style>
  <w:style w:type="character" w:styleId="WWCharLFO31LVL1">
    <w:name w:val="WW_CharLFO31LVL1"/>
    <w:qFormat/>
    <w:rPr>
      <w:b w:val="false"/>
    </w:rPr>
  </w:style>
  <w:style w:type="character" w:styleId="WWCharLFO32LVL1">
    <w:name w:val="WW_CharLFO32LVL1"/>
    <w:qFormat/>
    <w:rPr>
      <w:b w:val="false"/>
    </w:rPr>
  </w:style>
  <w:style w:type="character" w:styleId="WWCharLFO34LVL1">
    <w:name w:val="WW_CharLFO34LVL1"/>
    <w:qFormat/>
    <w:rPr>
      <w:b w:val="false"/>
      <w:strike w:val="false"/>
      <w:dstrike w:val="false"/>
    </w:rPr>
  </w:style>
  <w:style w:type="character" w:styleId="WWCharLFO35LVL1">
    <w:name w:val="WW_CharLFO35LVL1"/>
    <w:qFormat/>
    <w:rPr>
      <w:b w:val="false"/>
    </w:rPr>
  </w:style>
  <w:style w:type="character" w:styleId="WWCharLFO36LVL1">
    <w:name w:val="WW_CharLFO36LVL1"/>
    <w:qFormat/>
    <w:rPr>
      <w:b w:val="false"/>
    </w:rPr>
  </w:style>
  <w:style w:type="character" w:styleId="WWCharLFO37LVL1">
    <w:name w:val="WW_CharLFO37LVL1"/>
    <w:qFormat/>
    <w:rPr>
      <w:b w:val="false"/>
    </w:rPr>
  </w:style>
  <w:style w:type="character" w:styleId="WWCharLFO38LVL1">
    <w:name w:val="WW_CharLFO38LVL1"/>
    <w:qFormat/>
    <w:rPr>
      <w:b w:val="false"/>
      <w:sz w:val="24"/>
      <w:szCs w:val="24"/>
    </w:rPr>
  </w:style>
  <w:style w:type="character" w:styleId="WWCharLFO39LVL1">
    <w:name w:val="WW_CharLFO39LVL1"/>
    <w:qFormat/>
    <w:rPr>
      <w:b w:val="false"/>
      <w:color w:val="000000"/>
      <w:sz w:val="28"/>
      <w:szCs w:val="28"/>
    </w:rPr>
  </w:style>
  <w:style w:type="character" w:styleId="WWCharLFO40LVL1">
    <w:name w:val="WW_CharLFO40LVL1"/>
    <w:qFormat/>
    <w:rPr>
      <w:b w:val="false"/>
    </w:rPr>
  </w:style>
  <w:style w:type="character" w:styleId="WWCharLFO41LVL1">
    <w:name w:val="WW_CharLFO41LVL1"/>
    <w:qFormat/>
    <w:rPr>
      <w:b w:val="false"/>
      <w:strike w:val="false"/>
      <w:dstrike w:val="false"/>
      <w:sz w:val="28"/>
      <w:szCs w:val="28"/>
    </w:rPr>
  </w:style>
  <w:style w:type="character" w:styleId="WWCharLFO42LVL1">
    <w:name w:val="WW_CharLFO42LVL1"/>
    <w:qFormat/>
    <w:rPr>
      <w:color w:val="auto"/>
    </w:rPr>
  </w:style>
  <w:style w:type="character" w:styleId="WWCharLFO48LVL1">
    <w:name w:val="WW_CharLFO48LVL1"/>
    <w:qFormat/>
    <w:rPr>
      <w:b w:val="false"/>
    </w:rPr>
  </w:style>
  <w:style w:type="character" w:styleId="WWCharLFO49LVL1">
    <w:name w:val="WW_CharLFO49LVL1"/>
    <w:qFormat/>
    <w:rPr>
      <w:b w:val="false"/>
    </w:rPr>
  </w:style>
  <w:style w:type="character" w:styleId="WWCharLFO50LVL1">
    <w:name w:val="WW_CharLFO50LVL1"/>
    <w:qFormat/>
    <w:rPr>
      <w:b w:val="false"/>
      <w:sz w:val="28"/>
      <w:szCs w:val="28"/>
    </w:rPr>
  </w:style>
  <w:style w:type="character" w:styleId="WWCharLFO60LVL1">
    <w:name w:val="WW_CharLFO60LVL1"/>
    <w:qFormat/>
    <w:rPr>
      <w:b w:val="false"/>
      <w:color w:val="000000"/>
    </w:rPr>
  </w:style>
  <w:style w:type="character" w:styleId="WWCharLFO61LVL1">
    <w:name w:val="WW_CharLFO61LVL1"/>
    <w:qFormat/>
    <w:rPr>
      <w:b w:val="false"/>
    </w:rPr>
  </w:style>
  <w:style w:type="character" w:styleId="WWCharLFO65LVL1">
    <w:name w:val="WW_CharLFO65LVL1"/>
    <w:qFormat/>
    <w:rPr>
      <w:b w:val="false"/>
    </w:rPr>
  </w:style>
  <w:style w:type="character" w:styleId="WWCharLFO66LVL1">
    <w:name w:val="WW_CharLFO66LVL1"/>
    <w:qFormat/>
    <w:rPr>
      <w:b w:val="false"/>
    </w:rPr>
  </w:style>
  <w:style w:type="character" w:styleId="WWCharLFO67LVL1">
    <w:name w:val="WW_CharLFO67LVL1"/>
    <w:qFormat/>
    <w:rPr>
      <w:b w:val="false"/>
    </w:rPr>
  </w:style>
  <w:style w:type="character" w:styleId="WWCharLFO81LVL1">
    <w:name w:val="WW_CharLFO81LVL1"/>
    <w:qFormat/>
    <w:rPr>
      <w:rFonts w:ascii="Times New Roman" w:hAnsi="Times New Roman" w:cs="Times New Roman"/>
    </w:rPr>
  </w:style>
  <w:style w:type="character" w:styleId="WWCharLFO82LVL1">
    <w:name w:val="WW_CharLFO82LVL1"/>
    <w:qFormat/>
    <w:rPr>
      <w:b w:val="false"/>
      <w:sz w:val="28"/>
      <w:szCs w:val="28"/>
    </w:rPr>
  </w:style>
  <w:style w:type="character" w:styleId="WWCharLFO83LVL1">
    <w:name w:val="WW_CharLFO83LVL1"/>
    <w:qFormat/>
    <w:rPr>
      <w:b w:val="false"/>
      <w:color w:val="000000"/>
      <w:sz w:val="28"/>
      <w:szCs w:val="28"/>
    </w:rPr>
  </w:style>
  <w:style w:type="character" w:styleId="WWCharLFO85LVL1">
    <w:name w:val="WW_CharLFO85LVL1"/>
    <w:qFormat/>
    <w:rPr>
      <w:b w:val="false"/>
      <w:sz w:val="28"/>
      <w:szCs w:val="28"/>
    </w:rPr>
  </w:style>
  <w:style w:type="paragraph" w:styleId="Style31">
    <w:name w:val="標題"/>
    <w:basedOn w:val="Normal"/>
    <w:next w:val="BodyText"/>
    <w:qFormat/>
    <w:pPr>
      <w:keepNext w:val="true"/>
      <w:spacing w:before="240" w:after="120"/>
    </w:pPr>
    <w:rPr>
      <w:rFonts w:ascii="Liberation Sans" w:hAnsi="Liberation Sans" w:eastAsia="思源黑體" w:cs="Tahoma"/>
      <w:sz w:val="28"/>
      <w:szCs w:val="2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32">
    <w:name w:val="清單段落"/>
    <w:basedOn w:val="BodyText"/>
    <w:qFormat/>
    <w:pPr>
      <w:tabs>
        <w:tab w:val="clear" w:pos="480"/>
      </w:tabs>
      <w:suppressAutoHyphens w:val="true"/>
      <w:ind w:left="480" w:hanging="0"/>
    </w:pPr>
    <w:rPr/>
  </w:style>
  <w:style w:type="paragraph" w:styleId="Style33">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kern w:val="0"/>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kern w:val="0"/>
      <w:sz w:val="20"/>
      <w:szCs w:val="20"/>
    </w:rPr>
  </w:style>
  <w:style w:type="paragraph" w:styleId="Style34">
    <w:name w:val="一、"/>
    <w:basedOn w:val="BodyText"/>
    <w:qFormat/>
    <w:pPr>
      <w:suppressAutoHyphens w:val="true"/>
      <w:autoSpaceDE w:val="false"/>
      <w:spacing w:lineRule="exact" w:line="400"/>
      <w:ind w:firstLine="720"/>
    </w:pPr>
    <w:rPr>
      <w:rFonts w:ascii="標楷體" w:hAnsi="標楷體" w:eastAsia="標楷體"/>
      <w:kern w:val="0"/>
      <w:sz w:val="28"/>
      <w:szCs w:val="28"/>
    </w:rPr>
  </w:style>
  <w:style w:type="paragraph" w:styleId="Style35">
    <w:name w:val="壹"/>
    <w:basedOn w:val="BodyText"/>
    <w:qFormat/>
    <w:pPr>
      <w:suppressAutoHyphens w:val="true"/>
      <w:autoSpaceDE w:val="false"/>
      <w:spacing w:lineRule="exact" w:line="460"/>
      <w:ind w:firstLine="180"/>
    </w:pPr>
    <w:rPr>
      <w:rFonts w:ascii="標楷體" w:hAnsi="標楷體" w:eastAsia="標楷體"/>
      <w:kern w:val="0"/>
      <w:sz w:val="28"/>
      <w:szCs w:val="28"/>
    </w:rPr>
  </w:style>
  <w:style w:type="paragraph" w:styleId="Web">
    <w:name w:val="內文 (Web)"/>
    <w:basedOn w:val="BodyText"/>
    <w:qFormat/>
    <w:pPr>
      <w:widowControl/>
      <w:suppressAutoHyphens w:val="true"/>
      <w:spacing w:before="100" w:after="100"/>
    </w:pPr>
    <w:rPr>
      <w:rFonts w:ascii="新細明體" w:hAnsi="新細明體" w:cs="新細明體"/>
      <w:kern w:val="0"/>
      <w:szCs w:val="24"/>
    </w:rPr>
  </w:style>
  <w:style w:type="paragraph" w:styleId="14">
    <w:name w:val="1"/>
    <w:basedOn w:val="BodyText"/>
    <w:qFormat/>
    <w:pPr>
      <w:tabs>
        <w:tab w:val="clear" w:pos="480"/>
      </w:tabs>
      <w:suppressAutoHyphens w:val="true"/>
      <w:autoSpaceDE w:val="false"/>
      <w:ind w:left="242" w:hanging="240"/>
      <w:textAlignment w:val="baseline"/>
    </w:pPr>
    <w:rPr>
      <w:rFonts w:ascii="標楷體" w:hAnsi="標楷體" w:eastAsia="標楷體"/>
      <w:szCs w:val="24"/>
    </w:rPr>
  </w:style>
  <w:style w:type="paragraph" w:styleId="Style36">
    <w:name w:val="純文字"/>
    <w:basedOn w:val="BodyText"/>
    <w:qFormat/>
    <w:pPr>
      <w:suppressAutoHyphens w:val="true"/>
      <w:overflowPunct w:val="false"/>
      <w:snapToGrid w:val="false"/>
    </w:pPr>
    <w:rPr>
      <w:rFonts w:ascii="細明體" w:hAnsi="細明體" w:eastAsia="細明體"/>
      <w:kern w:val="0"/>
      <w:sz w:val="20"/>
      <w:szCs w:val="20"/>
    </w:rPr>
  </w:style>
  <w:style w:type="paragraph" w:styleId="24">
    <w:name w:val="樣式2"/>
    <w:basedOn w:val="BodyText"/>
    <w:qFormat/>
    <w:pPr>
      <w:widowControl/>
      <w:tabs>
        <w:tab w:val="clear" w:pos="480"/>
        <w:tab w:val="left" w:pos="2177" w:leader="none"/>
      </w:tabs>
      <w:suppressAutoHyphens w:val="true"/>
      <w:textAlignment w:val="baseline"/>
    </w:pPr>
    <w:rPr>
      <w:rFonts w:ascii="Times New Roman" w:hAnsi="Times New Roman" w:eastAsia="標楷體"/>
      <w:b/>
      <w:color w:val="000000"/>
      <w:sz w:val="28"/>
      <w:szCs w:val="28"/>
    </w:rPr>
  </w:style>
  <w:style w:type="paragraph" w:styleId="HTML1">
    <w:name w:val="HTML 預設格式"/>
    <w:basedOn w:val="BodyText"/>
    <w:qFormat/>
    <w:pPr>
      <w:widowControl/>
      <w:tabs>
        <w:tab w:val="clear" w:pos="480"/>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suppressAutoHyphens w:val="true"/>
    </w:pPr>
    <w:rPr>
      <w:rFonts w:ascii="細明體" w:hAnsi="細明體" w:eastAsia="細明體"/>
      <w:kern w:val="0"/>
      <w:sz w:val="20"/>
      <w:szCs w:val="24"/>
    </w:rPr>
  </w:style>
  <w:style w:type="paragraph" w:styleId="15">
    <w:name w:val="樣式1"/>
    <w:basedOn w:val="25"/>
    <w:qFormat/>
    <w:pPr>
      <w:suppressAutoHyphens w:val="true"/>
      <w:spacing w:lineRule="auto" w:line="240" w:before="0" w:after="0"/>
      <w:ind w:left="0" w:hanging="0"/>
      <w:jc w:val="center"/>
      <w:textAlignment w:val="auto"/>
    </w:pPr>
    <w:rPr>
      <w:rFonts w:ascii="標楷體" w:hAnsi="標楷體" w:eastAsia="標楷體"/>
      <w:spacing w:val="68"/>
      <w:szCs w:val="20"/>
    </w:rPr>
  </w:style>
  <w:style w:type="paragraph" w:styleId="25">
    <w:name w:val="本文縮排 2"/>
    <w:basedOn w:val="BodyText"/>
    <w:qFormat/>
    <w:pPr>
      <w:tabs>
        <w:tab w:val="clear" w:pos="480"/>
      </w:tabs>
      <w:suppressAutoHyphens w:val="true"/>
      <w:spacing w:lineRule="auto" w:line="480" w:before="0" w:after="120"/>
      <w:ind w:left="480" w:hanging="0"/>
      <w:textAlignment w:val="baseline"/>
    </w:pPr>
    <w:rPr>
      <w:rFonts w:ascii="Times New Roman" w:hAnsi="Times New Roman"/>
      <w:kern w:val="0"/>
      <w:sz w:val="20"/>
      <w:szCs w:val="24"/>
    </w:rPr>
  </w:style>
  <w:style w:type="paragraph" w:styleId="Style37">
    <w:name w:val="一"/>
    <w:basedOn w:val="BodyText"/>
    <w:qFormat/>
    <w:pPr>
      <w:tabs>
        <w:tab w:val="clear" w:pos="480"/>
      </w:tabs>
      <w:suppressAutoHyphens w:val="true"/>
      <w:spacing w:lineRule="exact" w:line="460"/>
      <w:ind w:left="1800" w:hanging="540"/>
      <w:jc w:val="both"/>
    </w:pPr>
    <w:rPr>
      <w:rFonts w:ascii="標楷體" w:hAnsi="標楷體" w:eastAsia="標楷體"/>
      <w:sz w:val="28"/>
      <w:szCs w:val="28"/>
    </w:rPr>
  </w:style>
  <w:style w:type="paragraph" w:styleId="33">
    <w:name w:val="3"/>
    <w:basedOn w:val="BodyText"/>
    <w:qFormat/>
    <w:pPr>
      <w:suppressAutoHyphens w:val="true"/>
      <w:autoSpaceDE w:val="false"/>
      <w:spacing w:lineRule="exact" w:line="300"/>
      <w:ind w:firstLine="720"/>
      <w:textAlignment w:val="baseline"/>
    </w:pPr>
    <w:rPr>
      <w:rFonts w:ascii="Times New Roman" w:hAnsi="Times New Roman" w:eastAsia="標楷體"/>
      <w:szCs w:val="24"/>
    </w:rPr>
  </w:style>
  <w:style w:type="paragraph" w:styleId="Style38">
    <w:name w:val="本文縮排"/>
    <w:basedOn w:val="BodyText"/>
    <w:qFormat/>
    <w:pPr>
      <w:tabs>
        <w:tab w:val="clear" w:pos="480"/>
      </w:tabs>
      <w:suppressAutoHyphens w:val="true"/>
      <w:spacing w:before="0" w:after="120"/>
      <w:ind w:left="480" w:hanging="0"/>
    </w:pPr>
    <w:rPr>
      <w:kern w:val="0"/>
      <w:sz w:val="20"/>
      <w:szCs w:val="20"/>
    </w:rPr>
  </w:style>
  <w:style w:type="paragraph" w:styleId="34">
    <w:name w:val="本文 3"/>
    <w:basedOn w:val="BodyText"/>
    <w:qFormat/>
    <w:pPr>
      <w:suppressAutoHyphens w:val="true"/>
      <w:spacing w:before="0" w:after="120"/>
    </w:pPr>
    <w:rPr>
      <w:kern w:val="0"/>
      <w:sz w:val="16"/>
      <w:szCs w:val="16"/>
    </w:rPr>
  </w:style>
  <w:style w:type="paragraph" w:styleId="16">
    <w:name w:val="目錄 1"/>
    <w:basedOn w:val="BodyText"/>
    <w:next w:val="BodyText"/>
    <w:autoRedefine/>
    <w:qFormat/>
    <w:pPr>
      <w:tabs>
        <w:tab w:val="clear" w:pos="480"/>
        <w:tab w:val="left" w:pos="30" w:leader="none"/>
        <w:tab w:val="right" w:pos="9072" w:leader="dot"/>
      </w:tabs>
      <w:suppressAutoHyphens w:val="true"/>
      <w:spacing w:lineRule="exact" w:line="600"/>
      <w:ind w:left="65" w:right="-2" w:hanging="0"/>
    </w:pPr>
    <w:rPr>
      <w:rFonts w:ascii="Times New Roman" w:hAnsi="Times New Roman" w:eastAsia="標楷體"/>
      <w:color w:val="000000"/>
      <w:sz w:val="32"/>
      <w:szCs w:val="32"/>
    </w:rPr>
  </w:style>
  <w:style w:type="paragraph" w:styleId="Style39">
    <w:name w:val="１"/>
    <w:basedOn w:val="BodyText"/>
    <w:qFormat/>
    <w:pPr>
      <w:numPr>
        <w:ilvl w:val="0"/>
        <w:numId w:val="2"/>
      </w:numPr>
      <w:suppressAutoHyphens w:val="true"/>
      <w:spacing w:before="100" w:after="100"/>
      <w:jc w:val="both"/>
    </w:pPr>
    <w:rPr>
      <w:rFonts w:ascii="華康中圓體" w:hAnsi="華康中圓體" w:eastAsia="華康中圓體"/>
      <w:b/>
      <w:bCs/>
      <w:sz w:val="28"/>
      <w:szCs w:val="24"/>
    </w:rPr>
  </w:style>
  <w:style w:type="paragraph" w:styleId="26">
    <w:name w:val="目錄 2"/>
    <w:basedOn w:val="BodyText"/>
    <w:next w:val="BodyText"/>
    <w:autoRedefine/>
    <w:qFormat/>
    <w:pPr>
      <w:tabs>
        <w:tab w:val="clear" w:pos="480"/>
        <w:tab w:val="right" w:pos="9639" w:leader="dot"/>
      </w:tabs>
      <w:suppressAutoHyphens w:val="true"/>
      <w:spacing w:lineRule="exact" w:line="600"/>
      <w:ind w:left="480" w:hanging="480"/>
    </w:pPr>
    <w:rPr>
      <w:rFonts w:ascii="Times New Roman" w:hAnsi="Times New Roman"/>
      <w:szCs w:val="24"/>
    </w:rPr>
  </w:style>
  <w:style w:type="paragraph" w:styleId="Style40">
    <w:name w:val="本文"/>
    <w:basedOn w:val="BodyText"/>
    <w:qFormat/>
    <w:pPr>
      <w:widowControl/>
      <w:suppressAutoHyphens w:val="true"/>
      <w:jc w:val="center"/>
    </w:pPr>
    <w:rPr>
      <w:rFonts w:ascii="標楷體" w:hAnsi="標楷體" w:eastAsia="標楷體"/>
      <w:b/>
      <w:bCs/>
      <w:color w:val="FFFF00"/>
      <w:kern w:val="0"/>
      <w:sz w:val="20"/>
      <w:szCs w:val="20"/>
    </w:rPr>
  </w:style>
  <w:style w:type="paragraph" w:styleId="35">
    <w:name w:val="本文縮排 3"/>
    <w:basedOn w:val="BodyText"/>
    <w:qFormat/>
    <w:pPr>
      <w:widowControl/>
      <w:tabs>
        <w:tab w:val="clear" w:pos="480"/>
      </w:tabs>
      <w:suppressAutoHyphens w:val="true"/>
      <w:ind w:left="1162" w:hanging="982"/>
    </w:pPr>
    <w:rPr>
      <w:rFonts w:ascii="細明體" w:hAnsi="細明體" w:eastAsia="細明體"/>
      <w:kern w:val="0"/>
      <w:sz w:val="20"/>
      <w:szCs w:val="24"/>
    </w:rPr>
  </w:style>
  <w:style w:type="paragraph" w:styleId="Style41">
    <w:name w:val="註解方塊文字"/>
    <w:basedOn w:val="BodyText"/>
    <w:qFormat/>
    <w:pPr>
      <w:suppressAutoHyphens w:val="true"/>
    </w:pPr>
    <w:rPr>
      <w:rFonts w:ascii="Arial" w:hAnsi="Arial"/>
      <w:kern w:val="0"/>
      <w:sz w:val="18"/>
      <w:szCs w:val="18"/>
    </w:rPr>
  </w:style>
  <w:style w:type="paragraph" w:styleId="Style42">
    <w:name w:val="位置"/>
    <w:basedOn w:val="BodyText"/>
    <w:qFormat/>
    <w:pPr>
      <w:widowControl/>
      <w:suppressAutoHyphens w:val="true"/>
      <w:jc w:val="right"/>
    </w:pPr>
    <w:rPr>
      <w:rFonts w:ascii="Tahoma" w:hAnsi="Tahoma" w:cs="Tahoma"/>
      <w:kern w:val="0"/>
      <w:sz w:val="20"/>
      <w:szCs w:val="20"/>
      <w:lang w:val="zh-TW"/>
    </w:rPr>
  </w:style>
  <w:style w:type="paragraph" w:styleId="27">
    <w:name w:val="2"/>
    <w:basedOn w:val="BodyText"/>
    <w:qFormat/>
    <w:pPr>
      <w:tabs>
        <w:tab w:val="clear" w:pos="480"/>
      </w:tabs>
      <w:suppressAutoHyphens w:val="true"/>
      <w:autoSpaceDE w:val="false"/>
      <w:ind w:left="240" w:hanging="240"/>
      <w:jc w:val="both"/>
      <w:textAlignment w:val="baseline"/>
    </w:pPr>
    <w:rPr>
      <w:rFonts w:ascii="標楷體" w:hAnsi="標楷體" w:eastAsia="標楷體"/>
      <w:kern w:val="0"/>
      <w:szCs w:val="24"/>
    </w:rPr>
  </w:style>
  <w:style w:type="paragraph" w:styleId="111">
    <w:name w:val="11"/>
    <w:basedOn w:val="BodyText"/>
    <w:qFormat/>
    <w:pPr>
      <w:tabs>
        <w:tab w:val="clear" w:pos="480"/>
      </w:tabs>
      <w:suppressAutoHyphens w:val="true"/>
      <w:autoSpaceDE w:val="false"/>
      <w:ind w:left="441" w:hanging="220"/>
      <w:textAlignment w:val="baseline"/>
    </w:pPr>
    <w:rPr>
      <w:rFonts w:ascii="Times New Roman" w:hAnsi="Times New Roman" w:eastAsia="標楷體"/>
      <w:kern w:val="0"/>
      <w:szCs w:val="24"/>
    </w:rPr>
  </w:style>
  <w:style w:type="paragraph" w:styleId="17">
    <w:name w:val="1.."/>
    <w:basedOn w:val="BodyText"/>
    <w:qFormat/>
    <w:pPr>
      <w:tabs>
        <w:tab w:val="clear" w:pos="480"/>
      </w:tabs>
      <w:suppressAutoHyphens w:val="true"/>
      <w:autoSpaceDE w:val="false"/>
      <w:ind w:left="242" w:hanging="240"/>
      <w:textAlignment w:val="baseline"/>
    </w:pPr>
    <w:rPr>
      <w:rFonts w:ascii="Times New Roman" w:hAnsi="Times New Roman" w:eastAsia="標楷體"/>
      <w:szCs w:val="24"/>
    </w:rPr>
  </w:style>
  <w:style w:type="paragraph" w:styleId="18">
    <w:name w:val="1...."/>
    <w:basedOn w:val="BodyText"/>
    <w:qFormat/>
    <w:pPr>
      <w:suppressAutoHyphens w:val="true"/>
      <w:ind w:firstLine="2"/>
      <w:textAlignment w:val="baseline"/>
    </w:pPr>
    <w:rPr>
      <w:rFonts w:ascii="Times New Roman" w:hAnsi="Times New Roman" w:eastAsia="標楷體"/>
      <w:szCs w:val="24"/>
    </w:rPr>
  </w:style>
  <w:style w:type="paragraph" w:styleId="19">
    <w:name w:val="1....."/>
    <w:basedOn w:val="BodyText"/>
    <w:qFormat/>
    <w:pPr>
      <w:tabs>
        <w:tab w:val="clear" w:pos="480"/>
      </w:tabs>
      <w:suppressAutoHyphens w:val="true"/>
      <w:autoSpaceDE w:val="false"/>
      <w:ind w:left="242" w:right="-206" w:hanging="240"/>
      <w:textAlignment w:val="baseline"/>
    </w:pPr>
    <w:rPr>
      <w:rFonts w:ascii="Times New Roman" w:hAnsi="Times New Roman" w:eastAsia="標楷體"/>
      <w:szCs w:val="24"/>
    </w:rPr>
  </w:style>
  <w:style w:type="paragraph" w:styleId="28">
    <w:name w:val="本文 2"/>
    <w:basedOn w:val="BodyText"/>
    <w:qFormat/>
    <w:pPr>
      <w:suppressAutoHyphens w:val="true"/>
      <w:spacing w:lineRule="auto" w:line="480" w:before="0" w:after="120"/>
    </w:pPr>
    <w:rPr>
      <w:rFonts w:ascii="Times New Roman" w:hAnsi="Times New Roman"/>
      <w:kern w:val="0"/>
      <w:sz w:val="20"/>
      <w:szCs w:val="24"/>
    </w:rPr>
  </w:style>
  <w:style w:type="paragraph" w:styleId="Style43">
    <w:name w:val="註釋標題"/>
    <w:basedOn w:val="BodyText"/>
    <w:next w:val="BodyText"/>
    <w:qFormat/>
    <w:pPr>
      <w:suppressAutoHyphens w:val="true"/>
      <w:jc w:val="center"/>
    </w:pPr>
    <w:rPr>
      <w:rFonts w:ascii="標楷體" w:hAnsi="標楷體" w:eastAsia="標楷體"/>
      <w:spacing w:val="-20"/>
      <w:kern w:val="0"/>
      <w:sz w:val="22"/>
      <w:szCs w:val="20"/>
      <w:shd w:fill="FFFFFF" w:val="clear"/>
    </w:rPr>
  </w:style>
  <w:style w:type="paragraph" w:styleId="Style44">
    <w:name w:val="結語"/>
    <w:basedOn w:val="BodyText"/>
    <w:qFormat/>
    <w:pPr>
      <w:tabs>
        <w:tab w:val="clear" w:pos="480"/>
      </w:tabs>
      <w:suppressAutoHyphens w:val="true"/>
      <w:ind w:left="100" w:hanging="0"/>
    </w:pPr>
    <w:rPr>
      <w:rFonts w:ascii="標楷體" w:hAnsi="標楷體" w:eastAsia="標楷體"/>
      <w:spacing w:val="-20"/>
      <w:kern w:val="0"/>
      <w:sz w:val="22"/>
      <w:szCs w:val="20"/>
      <w:shd w:fill="FFFFFF" w:val="clear"/>
    </w:rPr>
  </w:style>
  <w:style w:type="paragraph" w:styleId="110">
    <w:name w:val="清單段落1"/>
    <w:basedOn w:val="BodyText"/>
    <w:qFormat/>
    <w:pPr>
      <w:tabs>
        <w:tab w:val="clear" w:pos="480"/>
      </w:tabs>
      <w:suppressAutoHyphens w:val="true"/>
      <w:ind w:left="480" w:hanging="0"/>
    </w:pPr>
    <w:rPr/>
  </w:style>
  <w:style w:type="paragraph" w:styleId="Style45">
    <w:name w:val="註解文字"/>
    <w:basedOn w:val="BodyText"/>
    <w:qFormat/>
    <w:pPr>
      <w:suppressAutoHyphens w:val="true"/>
    </w:pPr>
    <w:rPr>
      <w:rFonts w:ascii="Times New Roman" w:hAnsi="Times New Roman"/>
      <w:kern w:val="0"/>
      <w:sz w:val="20"/>
      <w:szCs w:val="24"/>
    </w:rPr>
  </w:style>
  <w:style w:type="paragraph" w:styleId="Style46">
    <w:name w:val="註解主旨"/>
    <w:basedOn w:val="Style45"/>
    <w:next w:val="Style45"/>
    <w:qFormat/>
    <w:pPr>
      <w:suppressAutoHyphens w:val="true"/>
    </w:pPr>
    <w:rPr>
      <w:b/>
      <w:bCs/>
    </w:rPr>
  </w:style>
  <w:style w:type="paragraph" w:styleId="36">
    <w:name w:val="目錄 3"/>
    <w:basedOn w:val="BodyText"/>
    <w:next w:val="BodyText"/>
    <w:autoRedefine/>
    <w:qFormat/>
    <w:pPr>
      <w:tabs>
        <w:tab w:val="clear" w:pos="480"/>
        <w:tab w:val="right" w:pos="9060" w:leader="dot"/>
      </w:tabs>
      <w:suppressAutoHyphens w:val="true"/>
      <w:spacing w:lineRule="exact" w:line="600"/>
      <w:ind w:left="960" w:hanging="960"/>
    </w:pPr>
    <w:rPr>
      <w:rFonts w:ascii="Times New Roman" w:hAnsi="Times New Roman"/>
      <w:szCs w:val="24"/>
    </w:rPr>
  </w:style>
  <w:style w:type="paragraph" w:styleId="41">
    <w:name w:val="目錄 4"/>
    <w:basedOn w:val="BodyText"/>
    <w:next w:val="BodyText"/>
    <w:autoRedefine/>
    <w:qFormat/>
    <w:pPr>
      <w:tabs>
        <w:tab w:val="clear" w:pos="480"/>
      </w:tabs>
      <w:suppressAutoHyphens w:val="true"/>
      <w:ind w:left="1440" w:hanging="0"/>
    </w:pPr>
    <w:rPr>
      <w:rFonts w:ascii="Times New Roman" w:hAnsi="Times New Roman"/>
      <w:szCs w:val="24"/>
    </w:rPr>
  </w:style>
  <w:style w:type="paragraph" w:styleId="112">
    <w:name w:val="內文1"/>
    <w:basedOn w:val="BodyText"/>
    <w:qFormat/>
    <w:pPr>
      <w:widowControl/>
      <w:tabs>
        <w:tab w:val="clear" w:pos="480"/>
      </w:tabs>
      <w:suppressAutoHyphens w:val="true"/>
      <w:spacing w:lineRule="atLeast" w:line="360" w:before="360" w:after="0"/>
      <w:ind w:left="851" w:firstLine="590"/>
      <w:jc w:val="both"/>
      <w:textAlignment w:val="baseline"/>
    </w:pPr>
    <w:rPr>
      <w:rFonts w:ascii="Times New Roman" w:hAnsi="Times New Roman"/>
      <w:spacing w:val="20"/>
      <w:kern w:val="0"/>
      <w:sz w:val="26"/>
      <w:szCs w:val="20"/>
    </w:rPr>
  </w:style>
  <w:style w:type="paragraph" w:styleId="29">
    <w:name w:val="內文2"/>
    <w:qFormat/>
    <w:pPr>
      <w:keepNext w:val="false"/>
      <w:keepLines w:val="false"/>
      <w:pageBreakBefore w:val="false"/>
      <w:widowControl w:val="false"/>
      <w:pBdr/>
      <w:shd w:fill="auto" w:val="clear"/>
      <w:suppressAutoHyphens w:val="true"/>
      <w:kinsoku w:val="true"/>
      <w:overflowPunct w:val="true"/>
      <w:autoSpaceDE w:val="true"/>
      <w:bidi w:val="0"/>
      <w:snapToGrid w:val="true"/>
      <w:spacing w:lineRule="atLeast" w:line="360"/>
      <w:jc w:val="left"/>
      <w:textAlignment w:val="baseline"/>
    </w:pPr>
    <w:rPr>
      <w:rFonts w:ascii="細明體" w:hAnsi="細明體" w:eastAsia="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0"/>
      <w:position w:val="0"/>
      <w:sz w:val="24"/>
      <w:sz w:val="24"/>
      <w:szCs w:val="20"/>
      <w:u w:val="none"/>
      <w:shd w:fill="auto" w:val="clear"/>
      <w:vertAlign w:val="baseline"/>
      <w:em w:val="none"/>
      <w:lang w:val="en-US" w:eastAsia="zh-TW" w:bidi="ar-SA"/>
    </w:rPr>
  </w:style>
  <w:style w:type="paragraph" w:styleId="Style47">
    <w:name w:val="區塊文字"/>
    <w:basedOn w:val="BodyText"/>
    <w:qFormat/>
    <w:pPr>
      <w:tabs>
        <w:tab w:val="clear" w:pos="480"/>
      </w:tabs>
      <w:suppressAutoHyphens w:val="true"/>
      <w:spacing w:lineRule="exact" w:line="560"/>
      <w:ind w:left="319" w:right="-110" w:hanging="0"/>
      <w:jc w:val="both"/>
    </w:pPr>
    <w:rPr>
      <w:rFonts w:ascii="標楷體" w:hAnsi="標楷體" w:eastAsia="標楷體"/>
      <w:color w:val="FF0000"/>
      <w:sz w:val="32"/>
      <w:szCs w:val="32"/>
    </w:rPr>
  </w:style>
  <w:style w:type="paragraph" w:styleId="Style48">
    <w:name w:val="一."/>
    <w:basedOn w:val="BodyText"/>
    <w:qFormat/>
    <w:pPr>
      <w:tabs>
        <w:tab w:val="clear" w:pos="480"/>
      </w:tabs>
      <w:suppressAutoHyphens w:val="true"/>
      <w:snapToGrid w:val="false"/>
      <w:spacing w:lineRule="atLeast" w:line="400"/>
      <w:ind w:left="454" w:hanging="454"/>
      <w:jc w:val="both"/>
    </w:pPr>
    <w:rPr>
      <w:rFonts w:ascii="標楷體" w:hAnsi="標楷體" w:eastAsia="標楷體"/>
      <w:kern w:val="0"/>
      <w:sz w:val="22"/>
      <w:szCs w:val="20"/>
      <w:lang w:bidi="hi-IN"/>
    </w:rPr>
  </w:style>
  <w:style w:type="paragraph" w:styleId="Style49">
    <w:name w:val="(一)"/>
    <w:basedOn w:val="BodyText"/>
    <w:qFormat/>
    <w:pPr>
      <w:tabs>
        <w:tab w:val="clear" w:pos="480"/>
      </w:tabs>
      <w:suppressAutoHyphens w:val="true"/>
      <w:snapToGrid w:val="false"/>
      <w:spacing w:lineRule="atLeast" w:line="400"/>
      <w:ind w:left="908" w:hanging="454"/>
      <w:jc w:val="both"/>
    </w:pPr>
    <w:rPr>
      <w:rFonts w:ascii="Times New Roman" w:hAnsi="Times New Roman" w:eastAsia="標楷體" w:cs="新細明體"/>
      <w:kern w:val="0"/>
      <w:sz w:val="22"/>
      <w:szCs w:val="20"/>
      <w:lang w:bidi="hi-IN"/>
    </w:rPr>
  </w:style>
  <w:style w:type="paragraph" w:styleId="Style50">
    <w:name w:val="發文"/>
    <w:basedOn w:val="BodyText"/>
    <w:qFormat/>
    <w:pPr>
      <w:tabs>
        <w:tab w:val="clear" w:pos="480"/>
      </w:tabs>
      <w:suppressAutoHyphens w:val="true"/>
      <w:snapToGrid w:val="false"/>
      <w:ind w:left="1134" w:hanging="0"/>
      <w:jc w:val="both"/>
    </w:pPr>
    <w:rPr>
      <w:rFonts w:ascii="Times New Roman" w:hAnsi="Times New Roman" w:eastAsia="標楷體"/>
      <w:kern w:val="0"/>
      <w:sz w:val="22"/>
      <w:szCs w:val="20"/>
    </w:rPr>
  </w:style>
  <w:style w:type="paragraph" w:styleId="Style51">
    <w:name w:val="問候"/>
    <w:basedOn w:val="BodyText"/>
    <w:next w:val="BodyText"/>
    <w:qFormat/>
    <w:pPr>
      <w:suppressAutoHyphens w:val="true"/>
    </w:pPr>
    <w:rPr>
      <w:rFonts w:ascii="新細明體" w:hAnsi="新細明體"/>
      <w:kern w:val="0"/>
      <w:sz w:val="26"/>
      <w:szCs w:val="20"/>
    </w:rPr>
  </w:style>
  <w:style w:type="paragraph" w:styleId="Style52">
    <w:name w:val="文件引導模式"/>
    <w:basedOn w:val="BodyText"/>
    <w:qFormat/>
    <w:pPr>
      <w:shd w:fill="000080" w:val="clear"/>
      <w:suppressAutoHyphens w:val="true"/>
    </w:pPr>
    <w:rPr>
      <w:rFonts w:ascii="Arial" w:hAnsi="Arial"/>
      <w:kern w:val="0"/>
      <w:sz w:val="20"/>
      <w:szCs w:val="20"/>
    </w:rPr>
  </w:style>
  <w:style w:type="paragraph" w:styleId="Style53">
    <w:name w:val="修訂"/>
    <w:qFormat/>
    <w:pPr>
      <w:keepNext w:val="false"/>
      <w:keepLines w:val="false"/>
      <w:pageBreakBefore w:val="false"/>
      <w:widowControl/>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shadow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Default">
    <w:name w:val="Default"/>
    <w:qFormat/>
    <w:pPr>
      <w:keepNext w:val="false"/>
      <w:keepLines w:val="false"/>
      <w:pageBreakBefore w:val="false"/>
      <w:widowControl w:val="false"/>
      <w:pBdr/>
      <w:shd w:fill="auto" w:val="clear"/>
      <w:suppressAutoHyphens w:val="true"/>
      <w:kinsoku w:val="true"/>
      <w:overflowPunct w:val="true"/>
      <w:autoSpaceDE w:val="false"/>
      <w:bidi w:val="0"/>
      <w:snapToGrid w:val="true"/>
      <w:spacing w:lineRule="auto" w:line="240"/>
      <w:jc w:val="left"/>
    </w:pPr>
    <w:rPr>
      <w:rFonts w:ascii="Times New Roman" w:hAnsi="Times New Roman" w:eastAsia="新細明體" w:cs="Times New Roman"/>
      <w:b w:val="false"/>
      <w:bCs w:val="false"/>
      <w:i w:val="false"/>
      <w:iCs w:val="false"/>
      <w:caps w:val="false"/>
      <w:smallCaps w:val="false"/>
      <w:strike w:val="false"/>
      <w:dstrike w:val="false"/>
      <w:outline w:val="false"/>
      <w:shadow w:val="false"/>
      <w:emboss w:val="false"/>
      <w:imprint w:val="false"/>
      <w:color w:val="000000"/>
      <w:spacing w:val="0"/>
      <w:w w:val="100"/>
      <w:kern w:val="0"/>
      <w:position w:val="0"/>
      <w:sz w:val="24"/>
      <w:sz w:val="24"/>
      <w:szCs w:val="24"/>
      <w:u w:val="none"/>
      <w:shd w:fill="auto" w:val="clear"/>
      <w:vertAlign w:val="baseline"/>
      <w:em w:val="none"/>
      <w:lang w:val="en-US" w:eastAsia="zh-TW" w:bidi="ar-SA"/>
    </w:rPr>
  </w:style>
  <w:style w:type="paragraph" w:styleId="S2">
    <w:name w:val="s2"/>
    <w:basedOn w:val="BodyText"/>
    <w:qFormat/>
    <w:pPr>
      <w:widowControl/>
      <w:numPr>
        <w:ilvl w:val="0"/>
        <w:numId w:val="3"/>
      </w:numPr>
      <w:tabs>
        <w:tab w:val="clear" w:pos="480"/>
        <w:tab w:val="left" w:pos="360" w:leader="none"/>
      </w:tabs>
      <w:suppressAutoHyphens w:val="true"/>
      <w:spacing w:lineRule="exact" w:line="320"/>
      <w:ind w:left="992" w:hanging="567"/>
    </w:pPr>
    <w:rPr>
      <w:rFonts w:ascii="標楷體" w:hAnsi="標楷體" w:eastAsia="標楷體"/>
      <w:kern w:val="0"/>
      <w:sz w:val="28"/>
      <w:szCs w:val="24"/>
    </w:rPr>
  </w:style>
  <w:style w:type="paragraph" w:styleId="S1">
    <w:name w:val="s1"/>
    <w:basedOn w:val="BodyText"/>
    <w:qFormat/>
    <w:pPr>
      <w:numPr>
        <w:ilvl w:val="0"/>
        <w:numId w:val="3"/>
      </w:numPr>
      <w:tabs>
        <w:tab w:val="clear" w:pos="480"/>
      </w:tabs>
      <w:suppressAutoHyphens w:val="true"/>
      <w:spacing w:lineRule="exact" w:line="360"/>
      <w:ind w:left="425" w:hanging="425"/>
    </w:pPr>
    <w:rPr>
      <w:rFonts w:ascii="Times New Roman" w:hAnsi="Times New Roman" w:eastAsia="標楷體"/>
      <w:sz w:val="28"/>
      <w:szCs w:val="24"/>
    </w:rPr>
  </w:style>
  <w:style w:type="paragraph" w:styleId="S5">
    <w:name w:val="s5"/>
    <w:basedOn w:val="BodyText"/>
    <w:qFormat/>
    <w:pPr>
      <w:numPr>
        <w:ilvl w:val="0"/>
        <w:numId w:val="3"/>
      </w:numPr>
      <w:tabs>
        <w:tab w:val="clear" w:pos="480"/>
      </w:tabs>
      <w:suppressAutoHyphens w:val="true"/>
      <w:spacing w:lineRule="exact" w:line="320"/>
      <w:ind w:left="2551" w:hanging="850"/>
    </w:pPr>
    <w:rPr>
      <w:rFonts w:ascii="Times New Roman" w:hAnsi="Times New Roman" w:eastAsia="標楷體"/>
      <w:kern w:val="0"/>
      <w:szCs w:val="24"/>
    </w:rPr>
  </w:style>
  <w:style w:type="paragraph" w:styleId="S6">
    <w:name w:val="s6"/>
    <w:basedOn w:val="BodyText"/>
    <w:qFormat/>
    <w:pPr>
      <w:numPr>
        <w:ilvl w:val="0"/>
        <w:numId w:val="3"/>
      </w:numPr>
      <w:tabs>
        <w:tab w:val="clear" w:pos="480"/>
      </w:tabs>
      <w:suppressAutoHyphens w:val="true"/>
      <w:spacing w:lineRule="exact" w:line="320"/>
      <w:ind w:left="3260" w:hanging="1134"/>
    </w:pPr>
    <w:rPr>
      <w:rFonts w:ascii="Times New Roman" w:hAnsi="Times New Roman" w:eastAsia="標楷體"/>
      <w:szCs w:val="24"/>
    </w:rPr>
  </w:style>
  <w:style w:type="paragraph" w:styleId="S3">
    <w:name w:val="s3"/>
    <w:basedOn w:val="BodyText"/>
    <w:qFormat/>
    <w:pPr>
      <w:numPr>
        <w:ilvl w:val="0"/>
        <w:numId w:val="3"/>
      </w:numPr>
      <w:tabs>
        <w:tab w:val="clear" w:pos="480"/>
      </w:tabs>
      <w:suppressAutoHyphens w:val="true"/>
      <w:ind w:left="1418" w:hanging="567"/>
    </w:pPr>
    <w:rPr>
      <w:rFonts w:ascii="Times New Roman" w:hAnsi="Times New Roman" w:eastAsia="標楷體"/>
      <w:szCs w:val="24"/>
    </w:rPr>
  </w:style>
  <w:style w:type="paragraph" w:styleId="S4">
    <w:name w:val="s4"/>
    <w:basedOn w:val="BodyText"/>
    <w:qFormat/>
    <w:pPr>
      <w:numPr>
        <w:ilvl w:val="0"/>
        <w:numId w:val="3"/>
      </w:numPr>
      <w:tabs>
        <w:tab w:val="clear" w:pos="480"/>
      </w:tabs>
      <w:suppressAutoHyphens w:val="true"/>
      <w:ind w:left="1984" w:hanging="708"/>
    </w:pPr>
    <w:rPr>
      <w:rFonts w:ascii="Times New Roman" w:hAnsi="Times New Roman" w:eastAsia="標楷體"/>
      <w:szCs w:val="24"/>
    </w:rPr>
  </w:style>
  <w:style w:type="paragraph" w:styleId="Style54">
    <w:name w:val="表格內容"/>
    <w:basedOn w:val="Normal"/>
    <w:qFormat/>
    <w:pPr>
      <w:widowControl w:val="false"/>
      <w:suppressLineNumbers/>
    </w:pPr>
    <w:rPr/>
  </w:style>
  <w:style w:type="paragraph" w:styleId="Style55">
    <w:name w:val="外框內容"/>
    <w:basedOn w:val="Normal"/>
    <w:qFormat/>
    <w:pPr/>
    <w:rPr/>
  </w:style>
  <w:style w:type="numbering" w:styleId="LFO1">
    <w:name w:val="LFO1"/>
    <w:qFormat/>
  </w:style>
  <w:style w:type="numbering" w:styleId="LFO2">
    <w:name w:val="LFO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oter" Target="footer3.xml"/><Relationship Id="rId7" Type="http://schemas.openxmlformats.org/officeDocument/2006/relationships/footer" Target="footer4.xml"/><Relationship Id="rId8" Type="http://schemas.openxmlformats.org/officeDocument/2006/relationships/footer" Target="footer5.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TotalTime>
  <Application>MODA_ODF_Application_Tools/3.8.2.1$Windows_X86_64 LibreOffice_project/f5c26b4b56ec181260ce3dbfc96a37e316bb7ca8</Application>
  <AppVersion>15.0000</AppVersion>
  <Pages>37</Pages>
  <Words>3118</Words>
  <Characters>17775</Characters>
  <CharactersWithSpaces>20852</CharactersWithSpaces>
  <Paragraphs>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2017-02-17T04:05:00Z</dcterms:created>
  <dc:creator>邱婉蓉</dc:creator>
  <dc:description/>
  <dc:language>zh-TW</dc:language>
  <cp:lastModifiedBy>yumei</cp:lastModifiedBy>
  <cp:lastPrinted>2015-07-15T10:48:00Z</cp:lastPrinted>
  <dcterms:modified xsi:type="dcterms:W3CDTF">2017-02-17T04:05:00Z</dcterms:modified>
  <cp:revision>2</cp:revision>
  <dc:subject/>
  <dc:title/>
</cp:coreProperties>
</file>