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spacing w:lineRule="exact" w:line="480"/>
        <w:jc w:val="center"/>
        <w:rPr/>
      </w:pPr>
      <w:r>
        <w:rPr/>
        <w:drawing>
          <wp:anchor behindDoc="1" distT="0" distB="0" distL="0" distR="0" simplePos="0" locked="0" layoutInCell="1" allowOverlap="1" relativeHeight="9">
            <wp:simplePos x="0" y="0"/>
            <wp:positionH relativeFrom="column">
              <wp:posOffset>38735</wp:posOffset>
            </wp:positionH>
            <wp:positionV relativeFrom="paragraph">
              <wp:posOffset>276225</wp:posOffset>
            </wp:positionV>
            <wp:extent cx="5761990" cy="8147685"/>
            <wp:effectExtent l="0" t="0" r="0" b="0"/>
            <wp:wrapNone/>
            <wp:docPr id="1" name="圖片 20" descr="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0" descr="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autoSpaceDE w:val="false"/>
        <w:snapToGrid w:val="false"/>
        <w:spacing w:lineRule="exact" w:line="48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autoSpaceDE w:val="false"/>
        <w:snapToGrid w:val="false"/>
        <w:spacing w:lineRule="exact" w:line="480"/>
        <w:jc w:val="right"/>
        <w:rPr/>
      </w:pPr>
      <w:r>
        <w:rPr>
          <w:rStyle w:val="Style14"/>
          <w:rFonts w:eastAsia="標楷體" w:ascii="Times New Roman" w:hAnsi="Times New Roman"/>
        </w:rPr>
        <w:t>105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eastAsia="標楷體" w:ascii="Times New Roman" w:hAnsi="Times New Roman"/>
        </w:rPr>
        <w:t>3</w:t>
      </w:r>
      <w:r>
        <w:rPr>
          <w:rStyle w:val="Style14"/>
          <w:rFonts w:ascii="Times New Roman" w:hAnsi="Times New Roman" w:eastAsia="標楷體"/>
        </w:rPr>
        <w:t>月</w:t>
      </w:r>
      <w:r>
        <w:rPr>
          <w:rStyle w:val="Style14"/>
          <w:rFonts w:eastAsia="標楷體" w:ascii="Times New Roman" w:hAnsi="Times New Roman"/>
        </w:rPr>
        <w:t>2</w:t>
      </w:r>
      <w:r>
        <w:rPr>
          <w:rStyle w:val="Style14"/>
          <w:rFonts w:ascii="Times New Roman" w:hAnsi="Times New Roman" w:eastAsia="標楷體"/>
        </w:rPr>
        <w:t>日衛部心字第</w:t>
      </w:r>
      <w:r>
        <w:rPr>
          <w:rStyle w:val="Style14"/>
          <w:rFonts w:eastAsia="標楷體" w:ascii="Times New Roman" w:hAnsi="Times New Roman"/>
        </w:rPr>
        <w:t>1051760421</w:t>
      </w:r>
      <w:r>
        <w:rPr>
          <w:rStyle w:val="Style14"/>
          <w:rFonts w:ascii="Times New Roman" w:hAnsi="Times New Roman" w:eastAsia="標楷體"/>
        </w:rPr>
        <w:t>號公告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壹、評鑑目的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一、建立安全、有效、以病人為中心、適時、效率、公正優質的精神復健服務體制。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二、評核精神復健機構服務品質，提供民眾選擇參考。</w:t>
      </w:r>
    </w:p>
    <w:p>
      <w:pPr>
        <w:pStyle w:val="BodyText"/>
        <w:tabs>
          <w:tab w:val="clear" w:pos="480"/>
        </w:tabs>
        <w:snapToGrid w:val="false"/>
        <w:spacing w:lineRule="auto" w:line="36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三、監督精神復健機構加強業務管理，確保精神病人之社區復健服務品質。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貳、辦理機關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425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參、辦理年度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425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肆、評鑑委員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425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伍、申請資格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一、於本作業程序申請期限截止前，包含機構因故歇業由另一位負責人於原址重新開業者（即俗稱變更負責人），經審查符合「精神復健機構設置及管理辦法」與「精神復健機構設置標準表」規定領有開業執照者，始得提出申請。</w:t>
      </w:r>
    </w:p>
    <w:p>
      <w:pPr>
        <w:pStyle w:val="BodyText"/>
        <w:tabs>
          <w:tab w:val="clear" w:pos="480"/>
        </w:tabs>
        <w:snapToGrid w:val="false"/>
        <w:spacing w:lineRule="auto" w:line="36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機構提出申請後，因故歇業由另一位負責人於原址重新開業者，得於原申請機構排定實地評鑑日期前，提出申請以變更後負責人接受評鑑，惟應經當地衛生局查證符合「精神復健機構設置及管理辦法」與「精神復健機構設置標準表」規定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陸、申請類別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一、日間型精神復健機構。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二、住宿型精神復健機構。</w:t>
      </w:r>
    </w:p>
    <w:p>
      <w:pPr>
        <w:pStyle w:val="BodyText"/>
        <w:autoSpaceDE w:val="false"/>
        <w:snapToGrid w:val="false"/>
        <w:spacing w:lineRule="exact" w:line="480" w:before="24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eastAsia="標楷體" w:ascii="Times New Roman" w:hAnsi="Times New Roman"/>
          <w:b/>
          <w:kern w:val="0"/>
          <w:sz w:val="28"/>
          <w:szCs w:val="28"/>
        </w:rPr>
      </w:r>
    </w:p>
    <w:p>
      <w:pPr>
        <w:pStyle w:val="BodyText"/>
        <w:autoSpaceDE w:val="false"/>
        <w:snapToGrid w:val="false"/>
        <w:spacing w:lineRule="exact" w:line="480" w:before="24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柒、評鑑內容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425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捌、申請表件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425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玖、申請程序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一、申請日期由協辦單位公告於其網站。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二、評鑑資料申報方式為網路申報，資料繳交之相關規定請詳參閱申請評鑑注意事項，逾期不受理。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三、請於前述期限內辦理下列事項：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062" w:hanging="496"/>
        <w:jc w:val="both"/>
        <w:rPr/>
      </w:pP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一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至衛生福利部精神復健機構評鑑管理系統填寫「申請書」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如附件一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，填寫完畢後下載「申請書」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（二）另檢送「機構開業登記事項查證回復單」（如附件二，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一、由協辦單位依本程序之規定初審各申請機構所送之資料，經初審不合申請資格者，由衛生福利部通知機構，不進行實地評鑑。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二、實地評鑑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一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二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932" w:leader="none"/>
        </w:tabs>
        <w:autoSpaceDE w:val="false"/>
        <w:snapToGrid w:val="false"/>
        <w:spacing w:lineRule="exact" w:line="480"/>
        <w:ind w:left="2932" w:hanging="76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932" w:leader="none"/>
        </w:tabs>
        <w:autoSpaceDE w:val="false"/>
        <w:snapToGrid w:val="false"/>
        <w:spacing w:lineRule="exact" w:line="480"/>
        <w:ind w:left="2932" w:hanging="76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2932" w:leader="none"/>
        </w:tabs>
        <w:autoSpaceDE w:val="false"/>
        <w:snapToGrid w:val="false"/>
        <w:spacing w:lineRule="exact" w:line="480"/>
        <w:ind w:left="2932" w:hanging="763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三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三、為符合評鑑作業需要，得由協辦單位安排評鑑委員觀摩實地評鑑作業。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一、評鑑結果由主辦機關召開評定會議確認成績後公告，並發給合格證明文件，由協辦單位發給實地評鑑個別建議事項。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二、經評鑑合格之機構，其評鑑資格有效期間為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年，期滿需重新申請評鑑。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三、經評鑑合格之機構，如發生變更負責人或遷移地址等異動，其評鑑資格之認定如下：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一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私立機構參加評鑑經評定公告為合格者，嗣後如因故歇業，由另一位負責人，於原址重新申請開業者（俗稱變更負責人），即屬新設立機構，應重新申請參加最近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次評鑑。但變更負責人之新設立機構，如實際上軟硬體設施及機構名稱並無異動，欲延續原評鑑合格效期者，應於變更負責人後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另提出「專案複評」之申請。已通過「專案複評」者，得延續原評鑑合格效期；未通過「專案複評」者，則以主辦機關通知機構未通過「專案複評」之當月月底，為其原評鑑合格效期截止日。惟如機構變更負責人時，其評鑑合格效期已於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年之機構，應重新申請評鑑，以利接續評鑑合格效期。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1062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二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機構如遷移地址（含公立、法人附設及私立機構）應重新申請評鑑。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四、經評定公告為合格之機構，在有效期間內，如發生重大違規事件，得予註銷評鑑合格類別。所稱發生重大違規事件之處理與認定，由衛生福利部組成審查小組辦理。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五、機構對評鑑結果有疑義者，得於公告後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779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六、評鑑結果未達合格基準者，於評鑑結果公告後</w:t>
      </w:r>
      <w:r>
        <w:rPr>
          <w:rFonts w:eastAsia="標楷體" w:ascii="Times New Roman" w:hAnsi="Times New Roman"/>
          <w:kern w:val="0"/>
          <w:sz w:val="28"/>
          <w:szCs w:val="28"/>
        </w:rPr>
        <w:t>2</w:t>
      </w:r>
      <w:r>
        <w:rPr>
          <w:rFonts w:ascii="Times New Roman" w:hAnsi="Times New Roman" w:eastAsia="標楷體"/>
          <w:kern w:val="0"/>
          <w:sz w:val="28"/>
          <w:szCs w:val="28"/>
        </w:rPr>
        <w:t>個月內僅進行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次複評，若複評仍未達合格基準者，則列為「評鑑不合格」，由主辦機關公告並函知機構，且以主辦機關函知「評鑑不合格」之當月月底，為原評鑑合格效期截止日。</w:t>
      </w:r>
    </w:p>
    <w:p>
      <w:pPr>
        <w:sectPr>
          <w:footerReference w:type="default" r:id="rId3"/>
          <w:type w:val="nextPage"/>
          <w:pgSz w:w="11907" w:h="16840"/>
          <w:pgMar w:left="1418" w:right="1418" w:gutter="0" w:header="0" w:top="680" w:footer="567" w:bottom="1134"/>
          <w:pgNumType w:start="1" w:fmt="decimal"/>
          <w:formProt w:val="false"/>
          <w:textDirection w:val="lrTb"/>
          <w:docGrid w:type="snapToChars" w:linePitch="600" w:charSpace="40960"/>
        </w:sect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七、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5755640</wp:posOffset>
                </wp:positionH>
                <wp:positionV relativeFrom="paragraph">
                  <wp:posOffset>-297815</wp:posOffset>
                </wp:positionV>
                <wp:extent cx="655320" cy="476250"/>
                <wp:effectExtent l="0" t="0" r="0" b="0"/>
                <wp:wrapNone/>
                <wp:docPr id="3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76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附件一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37.5pt;mso-wrap-distance-left:0pt;mso-wrap-distance-right:0pt;mso-wrap-distance-top:0pt;mso-wrap-distance-bottom:0pt;margin-top:-23.45pt;mso-position-vertical-relative:text;margin-left:453.2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4278630</wp:posOffset>
                </wp:positionH>
                <wp:positionV relativeFrom="paragraph">
                  <wp:posOffset>123825</wp:posOffset>
                </wp:positionV>
                <wp:extent cx="2162175" cy="393065"/>
                <wp:effectExtent l="0" t="0" r="0" b="0"/>
                <wp:wrapNone/>
                <wp:docPr id="4" name="文字方塊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930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color w:val="000000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eastAsia="標楷體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30.95pt;mso-wrap-distance-left:0pt;mso-wrap-distance-right:0pt;mso-wrap-distance-top:0pt;mso-wrap-distance-bottom:0pt;margin-top:9.75pt;mso-position-vertical-relative:text;margin-left:336.9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eastAsia="標楷體"/>
                          <w:color w:val="000000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eastAsia="標楷體"/>
                          <w:color w:val="000000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76" w:type="dxa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49"/>
        <w:gridCol w:w="449"/>
        <w:gridCol w:w="1753"/>
        <w:gridCol w:w="497"/>
        <w:gridCol w:w="115"/>
        <w:gridCol w:w="349"/>
        <w:gridCol w:w="3116"/>
        <w:gridCol w:w="48"/>
      </w:tblGrid>
      <w:tr>
        <w:trPr>
          <w:trHeight w:val="4720" w:hRule="atLeast"/>
        </w:trPr>
        <w:tc>
          <w:tcPr>
            <w:tcW w:w="9576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本機構申請參加貴部辦理之○○年度精神復健機構評鑑，並願意主動提供評鑑所需資料及配合各項評鑑作業；有關本機構開業登記事項查證回復單，另案送請○○縣（市）政府衛生局查證，敬請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2250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464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3116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3249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49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1753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12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3465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社區復健中心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34" w:hRule="atLeast"/>
        </w:trPr>
        <w:tc>
          <w:tcPr>
            <w:tcW w:w="3249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3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2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3465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康復之家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49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3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2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3465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評鑑不合格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</w:p>
        </w:tc>
        <w:tc>
          <w:tcPr>
            <w:tcW w:w="5830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3163" w:type="dxa"/>
            <w:gridSpan w:val="5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116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49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79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9528" w:type="dxa"/>
            <w:gridSpan w:val="7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中華民國○○年○○月○○日</w:t>
            </w:r>
          </w:p>
        </w:tc>
        <w:tc>
          <w:tcPr>
            <w:tcW w:w="48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widowControl/>
        <w:rPr>
          <w:rFonts w:ascii="Times New Roman" w:hAnsi="Times New Roman" w:eastAsia="標楷體"/>
          <w:sz w:val="28"/>
          <w:szCs w:val="28"/>
        </w:rPr>
      </w:pPr>
      <w:r>
        <w:br w:type="page"/>
      </w:r>
      <w:r>
        <w:rPr>
          <w:rFonts w:eastAsia="標楷體" w:ascii="Times New Roman" w:hAnsi="Times New Roman"/>
          <w:sz w:val="28"/>
          <w:szCs w:val="28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年度精神復健機構開業登記事項查證回復單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7">
                      <wp:simplePos x="0" y="0"/>
                      <wp:positionH relativeFrom="column">
                        <wp:posOffset>3776345</wp:posOffset>
                      </wp:positionH>
                      <wp:positionV relativeFrom="paragraph">
                        <wp:posOffset>-397510</wp:posOffset>
                      </wp:positionV>
                      <wp:extent cx="1828800" cy="342900"/>
                      <wp:effectExtent l="0" t="0" r="0" b="0"/>
                      <wp:wrapNone/>
                      <wp:docPr id="5" name="Text Box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342900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spacing w:lineRule="atLeast" w:line="0"/>
                                    <w:rPr/>
                                  </w:pP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</w:rPr>
                                    <w:t>編號：</w:t>
                                  </w: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144pt;height:27pt;mso-wrap-distance-left:0pt;mso-wrap-distance-right:0pt;mso-wrap-distance-top:0pt;mso-wrap-distance-bottom:0pt;margin-top:-31.3pt;mso-position-vertical-relative:text;margin-left:297.35pt;mso-position-horizontal-relative:text">
                      <v:textbo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8">
                      <wp:simplePos x="0" y="0"/>
                      <wp:positionH relativeFrom="column">
                        <wp:posOffset>5640705</wp:posOffset>
                      </wp:positionH>
                      <wp:positionV relativeFrom="paragraph">
                        <wp:posOffset>-613410</wp:posOffset>
                      </wp:positionV>
                      <wp:extent cx="655320" cy="476250"/>
                      <wp:effectExtent l="0" t="0" r="0" b="0"/>
                      <wp:wrapNone/>
                      <wp:docPr id="6" name="文字方塊 2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4762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附件二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1.6pt;height:37.5pt;mso-wrap-distance-left:0pt;mso-wrap-distance-right:0pt;mso-wrap-distance-top:0pt;mso-wrap-distance-bottom:0pt;margin-top:-48.3pt;mso-position-vertical-relative:text;margin-left:444.1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附件二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日間型機構 ○住宿型機構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請就本機構之開業情形、負責人、專任管理人員、專業人員及核可服務量等資料予以查證，並請將結果通知財團法人醫院評鑑暨醫療品質策進會。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負責人：             （請蓋關防及負責人章）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: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93"/>
        <w:gridCol w:w="1213"/>
        <w:gridCol w:w="2394"/>
        <w:gridCol w:w="1734"/>
        <w:gridCol w:w="1872"/>
        <w:gridCol w:w="1899"/>
      </w:tblGrid>
      <w:tr>
        <w:trPr>
          <w:tblHeader w:val="true"/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本機構填報資料（機構填寫）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公立機關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於評鑑申請截止日前領有開業執照？○是○否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於評鑑申請截止日前領有開業執照？○是 ○否 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2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2" w:hanging="22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18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1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10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1134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1134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專業人員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1134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1134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94"/>
        <w:gridCol w:w="3411"/>
      </w:tblGrid>
      <w:tr>
        <w:trPr>
          <w:trHeight w:val="20" w:hRule="atLeast"/>
        </w:trPr>
        <w:tc>
          <w:tcPr>
            <w:tcW w:w="10205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請說明：       ）</w:t>
            </w:r>
          </w:p>
          <w:p>
            <w:pPr>
              <w:pStyle w:val="BodyText"/>
              <w:numPr>
                <w:ilvl w:val="1"/>
                <w:numId w:val="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b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b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b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b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年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89" w:firstLine="2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b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b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b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b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 xml:space="preserve">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b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b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b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該機構於本局所登記之資料，業已輸入「醫事機構管理系統」及「醫事人員管理系統」中：</w:t>
            </w:r>
          </w:p>
          <w:p>
            <w:pPr>
              <w:pStyle w:val="BodyText"/>
              <w:numPr>
                <w:ilvl w:val="0"/>
                <w:numId w:val="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10205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　　　　　　　        　                      縣（市）衛生局</w:t>
            </w:r>
          </w:p>
        </w:tc>
      </w:tr>
      <w:tr>
        <w:trPr>
          <w:trHeight w:val="20" w:hRule="atLeast"/>
        </w:trPr>
        <w:tc>
          <w:tcPr>
            <w:tcW w:w="6794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411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7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41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560" w:hanging="56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註：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請確認該機構於貴局所登記之資料，業已輸入「醫事機構管理系統」及「醫事人員管理系統」中，以免影響該機構之評鑑成績。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本回復單煩請貴局於</w:t>
      </w:r>
      <w:r>
        <w:rPr>
          <w:rStyle w:val="Style14"/>
          <w:rFonts w:ascii="標楷體" w:hAnsi="標楷體" w:eastAsia="標楷體"/>
          <w:sz w:val="28"/>
          <w:szCs w:val="28"/>
        </w:rPr>
        <w:t>○○○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標楷體" w:hAnsi="標楷體" w:eastAsia="標楷體"/>
          <w:sz w:val="28"/>
          <w:szCs w:val="28"/>
        </w:rPr>
        <w:t>○○</w:t>
      </w:r>
      <w:r>
        <w:rPr>
          <w:rStyle w:val="Style14"/>
          <w:rFonts w:ascii="Times New Roman" w:hAnsi="Times New Roman" w:eastAsia="標楷體"/>
          <w:sz w:val="28"/>
          <w:szCs w:val="28"/>
        </w:rPr>
        <w:t>月</w:t>
      </w:r>
      <w:r>
        <w:rPr>
          <w:rStyle w:val="Style14"/>
          <w:rFonts w:ascii="標楷體" w:hAnsi="標楷體" w:eastAsia="標楷體"/>
          <w:sz w:val="28"/>
          <w:szCs w:val="28"/>
        </w:rPr>
        <w:t>○○</w:t>
      </w:r>
      <w:r>
        <w:rPr>
          <w:rStyle w:val="Style14"/>
          <w:rFonts w:ascii="Times New Roman" w:hAnsi="Times New Roman" w:eastAsia="標楷體"/>
          <w:sz w:val="28"/>
          <w:szCs w:val="28"/>
        </w:rPr>
        <w:t>日前逕寄財團法人醫院評鑑暨醫療品質策進會（</w:t>
      </w:r>
      <w:r>
        <w:rPr>
          <w:rStyle w:val="Style14"/>
          <w:rFonts w:eastAsia="標楷體" w:ascii="Times New Roman" w:hAnsi="Times New Roman"/>
          <w:sz w:val="28"/>
          <w:szCs w:val="28"/>
        </w:rPr>
        <w:t xml:space="preserve">220 </w:t>
      </w:r>
      <w:r>
        <w:rPr>
          <w:rStyle w:val="Style14"/>
          <w:rFonts w:ascii="Times New Roman" w:hAnsi="Times New Roman" w:eastAsia="標楷體"/>
          <w:sz w:val="28"/>
          <w:szCs w:val="28"/>
        </w:rPr>
        <w:t>新北市板橋區三民路二段</w:t>
      </w:r>
      <w:r>
        <w:rPr>
          <w:rStyle w:val="Style14"/>
          <w:rFonts w:eastAsia="標楷體" w:ascii="Times New Roman" w:hAnsi="Times New Roman"/>
          <w:sz w:val="28"/>
          <w:szCs w:val="28"/>
        </w:rPr>
        <w:t xml:space="preserve">31 </w:t>
      </w:r>
      <w:r>
        <w:rPr>
          <w:rStyle w:val="Style14"/>
          <w:rFonts w:ascii="Times New Roman" w:hAnsi="Times New Roman" w:eastAsia="標楷體"/>
          <w:sz w:val="28"/>
          <w:szCs w:val="28"/>
        </w:rPr>
        <w:t>號</w:t>
      </w:r>
      <w:r>
        <w:rPr>
          <w:rStyle w:val="Style14"/>
          <w:rFonts w:eastAsia="標楷體" w:ascii="Times New Roman" w:hAnsi="Times New Roman"/>
          <w:sz w:val="28"/>
          <w:szCs w:val="28"/>
        </w:rPr>
        <w:t xml:space="preserve">5 </w:t>
      </w:r>
      <w:r>
        <w:rPr>
          <w:rStyle w:val="Style14"/>
          <w:rFonts w:ascii="Times New Roman" w:hAnsi="Times New Roman" w:eastAsia="標楷體"/>
          <w:sz w:val="28"/>
          <w:szCs w:val="28"/>
        </w:rPr>
        <w:t>樓）彙辦，以符合機構申請評鑑時效。</w:t>
      </w:r>
    </w:p>
    <w:p>
      <w:pPr>
        <w:pStyle w:val="BodyText"/>
        <w:jc w:val="center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  <w:r>
        <w:br w:type="page"/>
      </w:r>
    </w:p>
    <w:p>
      <w:pPr>
        <w:pStyle w:val="BodyText"/>
        <w:jc w:val="center"/>
        <w:rPr>
          <w:rFonts w:ascii="Times New Roman" w:hAnsi="Times New Roman" w:eastAsia="標楷體"/>
          <w:b/>
          <w:sz w:val="28"/>
          <w:szCs w:val="28"/>
        </w:rPr>
      </w:pPr>
      <w:r>
        <w:rPr>
          <w:rFonts w:ascii="Times New Roman" w:hAnsi="Times New Roman" w:eastAsia="標楷體"/>
          <w:b/>
          <w:sz w:val="28"/>
          <w:szCs w:val="28"/>
        </w:rPr>
        <w:t>精神復健機構實地評鑑進行方式及時間分配表</w:t>
      </w:r>
    </w:p>
    <w:tbl>
      <w:tblPr>
        <w:tblW w:w="94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936"/>
        <w:gridCol w:w="1832"/>
        <w:gridCol w:w="2667"/>
      </w:tblGrid>
      <w:tr>
        <w:trPr>
          <w:trHeight w:val="70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進 行 程 序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5384800</wp:posOffset>
                      </wp:positionH>
                      <wp:positionV relativeFrom="paragraph">
                        <wp:posOffset>-728345</wp:posOffset>
                      </wp:positionV>
                      <wp:extent cx="655320" cy="476250"/>
                      <wp:effectExtent l="0" t="0" r="0" b="0"/>
                      <wp:wrapNone/>
                      <wp:docPr id="7" name="文字方塊 2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4762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附件三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1.6pt;height:37.5pt;mso-wrap-distance-left:0pt;mso-wrap-distance-right:0pt;mso-wrap-distance-top:0pt;mso-wrap-distance-bottom:0pt;margin-top:-57.35pt;mso-position-vertical-relative:text;margin-left:424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時間分配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一、負責人致詞及介紹陪評人員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二、召集委員致詞並介紹評鑑委員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三、機構簡報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簡報資料請置於會場</w:t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四、實地查證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60-90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、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五、機構代表面談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六、陪同人員報告及交換意見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七、委員整理資料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八、綜合討論</w:t>
            </w:r>
          </w:p>
          <w:p>
            <w:pPr>
              <w:pStyle w:val="BodyText"/>
              <w:numPr>
                <w:ilvl w:val="0"/>
                <w:numId w:val="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委員講評</w:t>
            </w:r>
          </w:p>
          <w:p>
            <w:pPr>
              <w:pStyle w:val="BodyText"/>
              <w:numPr>
                <w:ilvl w:val="0"/>
                <w:numId w:val="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受評機構提出說明或意見交換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800" w:hRule="atLeast"/>
          <w:cantSplit w:val="true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合計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180-210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-566" w:firstLine="98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說明：停留於機構時間以</w:t>
      </w:r>
      <w:r>
        <w:rPr>
          <w:rFonts w:eastAsia="標楷體" w:ascii="Times New Roman" w:hAnsi="Times New Roman"/>
          <w:sz w:val="28"/>
          <w:szCs w:val="28"/>
        </w:rPr>
        <w:t>3-3.5</w:t>
      </w:r>
      <w:r>
        <w:rPr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BodyText"/>
        <w:snapToGrid w:val="false"/>
        <w:ind w:firstLine="420"/>
        <w:rPr>
          <w:rFonts w:ascii="Times New Roman" w:hAnsi="Times New Roman" w:eastAsia="標楷體"/>
          <w:b/>
          <w:sz w:val="28"/>
          <w:szCs w:val="28"/>
        </w:rPr>
      </w:pPr>
      <w:r>
        <w:rPr>
          <w:rFonts w:ascii="Times New Roman" w:hAnsi="Times New Roman" w:eastAsia="標楷體"/>
          <w:b/>
          <w:sz w:val="28"/>
          <w:szCs w:val="28"/>
        </w:rPr>
        <w:t>備註：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331" w:leader="none"/>
        </w:tabs>
        <w:snapToGrid w:val="false"/>
        <w:ind w:left="1331" w:hanging="76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實地評鑑期間，為利評鑑委員進行訪談，請 貴機構配合勿安排住民</w:t>
      </w:r>
      <w:r>
        <w:rPr>
          <w:rFonts w:eastAsia="標楷體" w:ascii="Times New Roman" w:hAnsi="Times New Roman"/>
          <w:sz w:val="28"/>
          <w:szCs w:val="28"/>
        </w:rPr>
        <w:t>/</w:t>
      </w:r>
      <w:r>
        <w:rPr>
          <w:rFonts w:ascii="Times New Roman" w:hAnsi="Times New Roman" w:eastAsia="標楷體"/>
          <w:sz w:val="28"/>
          <w:szCs w:val="28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 w:val="28"/>
          <w:szCs w:val="28"/>
        </w:rPr>
        <w:t>/</w:t>
      </w:r>
      <w:r>
        <w:rPr>
          <w:rFonts w:ascii="Times New Roman" w:hAnsi="Times New Roman" w:eastAsia="標楷體"/>
          <w:sz w:val="28"/>
          <w:szCs w:val="28"/>
        </w:rPr>
        <w:t>學員。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331" w:leader="none"/>
        </w:tabs>
        <w:snapToGrid w:val="false"/>
        <w:ind w:left="1331" w:hanging="76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評鑑委員查證時，請機構指派業務相關同仁陪同並備詢，惟以不影響作業正常運作為原則。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331" w:leader="none"/>
        </w:tabs>
        <w:snapToGrid w:val="false"/>
        <w:ind w:left="1331" w:hanging="76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機構面談人員由委員現場決定，列席人數以</w:t>
      </w: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至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人為原則，列席對象以負責人、機構經營者為主。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331" w:leader="none"/>
        </w:tabs>
        <w:snapToGrid w:val="false"/>
        <w:ind w:left="1331" w:hanging="76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陪同人員報告時段，受評機構同仁請迴避</w:t>
      </w:r>
      <w:r>
        <w:rPr>
          <w:rFonts w:eastAsia="標楷體" w:ascii="Times New Roman" w:hAnsi="Times New Roman"/>
          <w:sz w:val="28"/>
          <w:szCs w:val="28"/>
        </w:rPr>
        <w:t>(</w:t>
      </w:r>
      <w:r>
        <w:rPr>
          <w:rFonts w:ascii="Times New Roman" w:hAnsi="Times New Roman" w:eastAsia="標楷體"/>
          <w:sz w:val="28"/>
          <w:szCs w:val="28"/>
        </w:rPr>
        <w:t>實地評鑑陪同人員係指：衛生局代表、社會局代表、健保署代表、病人權益促進團體代表</w:t>
      </w:r>
      <w:r>
        <w:rPr>
          <w:rFonts w:eastAsia="標楷體" w:ascii="Times New Roman" w:hAnsi="Times New Roman"/>
          <w:sz w:val="28"/>
          <w:szCs w:val="28"/>
        </w:rPr>
        <w:t>)</w:t>
      </w:r>
      <w:r>
        <w:rPr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1331" w:leader="none"/>
        </w:tabs>
        <w:snapToGrid w:val="false"/>
        <w:ind w:left="1331" w:hanging="76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委員整理資料時段，陪同人員及受評機構同仁請迴避。</w:t>
      </w:r>
      <w:r>
        <w:br w:type="page"/>
      </w:r>
    </w:p>
    <w:p>
      <w:pPr>
        <w:pStyle w:val="BodyText"/>
        <w:widowControl/>
        <w:tabs>
          <w:tab w:val="clear" w:pos="480"/>
        </w:tabs>
        <w:ind w:left="851" w:hanging="0"/>
        <w:jc w:val="center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精神復健機構評鑑成績核算方式與合格基準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一、精神復健機構評鑑基準分以「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D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」等級評量（分別為該項基準配分之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100%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80%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60%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40%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20%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以下）及以「符合／不符合」評量二類。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5683885</wp:posOffset>
                </wp:positionH>
                <wp:positionV relativeFrom="paragraph">
                  <wp:posOffset>-743585</wp:posOffset>
                </wp:positionV>
                <wp:extent cx="655320" cy="476250"/>
                <wp:effectExtent l="0" t="0" r="0" b="0"/>
                <wp:wrapNone/>
                <wp:docPr id="8" name="文字方塊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76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jc w:val="righ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附件四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37.5pt;mso-wrap-distance-left:0pt;mso-wrap-distance-right:0pt;mso-wrap-distance-top:0pt;mso-wrap-distance-bottom:0pt;margin-top:-58.55pt;mso-position-vertical-relative:text;margin-left:447.55pt;mso-position-horizontal-relative:text">
                <v:textbox>
                  <w:txbxContent>
                    <w:p>
                      <w:pPr>
                        <w:pStyle w:val="BodyText"/>
                        <w:jc w:val="righ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附件四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</w:tabs>
        <w:autoSpaceDE w:val="false"/>
        <w:snapToGrid w:val="false"/>
        <w:ind w:left="496" w:hanging="496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二、精神復健機構評鑑基準共分</w:t>
      </w:r>
      <w:r>
        <w:rPr>
          <w:rFonts w:eastAsia="標楷體" w:ascii="Times New Roman" w:hAnsi="Times New Roman"/>
          <w:kern w:val="0"/>
          <w:sz w:val="28"/>
          <w:szCs w:val="28"/>
        </w:rPr>
        <w:t>6</w:t>
      </w:r>
      <w:r>
        <w:rPr>
          <w:rFonts w:ascii="Times New Roman" w:hAnsi="Times New Roman" w:eastAsia="標楷體"/>
          <w:kern w:val="0"/>
          <w:sz w:val="28"/>
          <w:szCs w:val="28"/>
        </w:rPr>
        <w:t>大章，各章配分如下表：</w:t>
      </w:r>
    </w:p>
    <w:tbl>
      <w:tblPr>
        <w:tblW w:w="9639" w:type="dxa"/>
        <w:jc w:val="left"/>
        <w:tblInd w:w="2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69"/>
        <w:gridCol w:w="1986"/>
        <w:gridCol w:w="1984"/>
      </w:tblGrid>
      <w:tr>
        <w:trPr>
          <w:trHeight w:val="241" w:hRule="atLeast"/>
        </w:trPr>
        <w:tc>
          <w:tcPr>
            <w:tcW w:w="5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59" w:hRule="atLeast"/>
        </w:trPr>
        <w:tc>
          <w:tcPr>
            <w:tcW w:w="5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tabs>
                <w:tab w:val="clear" w:pos="480"/>
              </w:tabs>
              <w:snapToGrid w:val="false"/>
              <w:spacing w:lineRule="atLeast" w:line="0" w:before="90" w:after="90"/>
              <w:ind w:left="-24" w:right="-24" w:hanging="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tabs>
                <w:tab w:val="clear" w:pos="480"/>
              </w:tabs>
              <w:snapToGrid w:val="false"/>
              <w:spacing w:lineRule="atLeast" w:line="0" w:before="90" w:after="90"/>
              <w:ind w:left="-24" w:right="-24" w:hanging="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章、人力資源管理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章、空間與設施設備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24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章、復健業務之提供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4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章、具有復健服務品質之管理措施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章、結合社區資源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</w:tr>
      <w:tr>
        <w:trPr>
          <w:trHeight w:val="25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6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章、上次評鑑建議事項改善情形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5</w:t>
            </w:r>
          </w:p>
        </w:tc>
      </w:tr>
      <w:tr>
        <w:trPr>
          <w:trHeight w:val="409" w:hRule="atLeast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108</w:t>
            </w:r>
          </w:p>
        </w:tc>
      </w:tr>
    </w:tbl>
    <w:p>
      <w:pPr>
        <w:pStyle w:val="BodyText"/>
        <w:tabs>
          <w:tab w:val="clear" w:pos="480"/>
        </w:tabs>
        <w:autoSpaceDE w:val="false"/>
        <w:ind w:left="560" w:hanging="560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三、精神復健機構評鑑合格基準：</w:t>
      </w:r>
    </w:p>
    <w:p>
      <w:pPr>
        <w:pStyle w:val="BodyText"/>
        <w:tabs>
          <w:tab w:val="clear" w:pos="480"/>
        </w:tabs>
        <w:autoSpaceDE w:val="false"/>
        <w:spacing w:lineRule="exact" w:line="360" w:before="0" w:after="180"/>
        <w:ind w:left="1208" w:hanging="560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加總各細項得分後，達總分之</w:t>
      </w:r>
      <w:r>
        <w:rPr>
          <w:rFonts w:eastAsia="標楷體" w:ascii="Times New Roman" w:hAnsi="Times New Roman"/>
          <w:kern w:val="0"/>
          <w:sz w:val="28"/>
          <w:szCs w:val="28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</w:rPr>
        <w:t>以上為合格。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88" w:hanging="588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四、機構若因業務關係、新設立、第一次申請評鑑或上次評鑑無建議改善事項時，下列評鑑項目得免評，其總分則依扣除之可免評項目後，加總各受評項目配分計。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82"/>
        <w:gridCol w:w="1804"/>
        <w:gridCol w:w="1719"/>
      </w:tblGrid>
      <w:tr>
        <w:trPr>
          <w:trHeight w:val="283" w:hRule="atLeast"/>
        </w:trPr>
        <w:tc>
          <w:tcPr>
            <w:tcW w:w="6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66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65" w:hRule="atLeast"/>
        </w:trPr>
        <w:tc>
          <w:tcPr>
            <w:tcW w:w="6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專任工作人員人力穩定性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</w:tr>
      <w:tr>
        <w:trPr>
          <w:trHeight w:val="341" w:hRule="atLeast"/>
        </w:trPr>
        <w:tc>
          <w:tcPr>
            <w:tcW w:w="6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4.6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適切的復健基金管理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</w:tr>
      <w:tr>
        <w:trPr>
          <w:trHeight w:val="754" w:hRule="atLeast"/>
        </w:trPr>
        <w:tc>
          <w:tcPr>
            <w:tcW w:w="6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0" w:before="90" w:after="9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6.1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上次評鑑建議事項辦理情形確實且具成效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 w:before="90" w:after="9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</w:tr>
    </w:tbl>
    <w:p>
      <w:pPr>
        <w:pStyle w:val="BodyText"/>
        <w:snapToGrid w:val="false"/>
        <w:spacing w:lineRule="auto" w:line="360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4"/>
      <w:footerReference w:type="first" r:id="rId5"/>
      <w:type w:val="nextPage"/>
      <w:pgSz w:w="11907" w:h="16840"/>
      <w:pgMar w:left="851" w:right="851" w:gutter="0" w:header="0" w:top="1134" w:footer="1134" w:bottom="1417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5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15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15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15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656"/>
        </w:tabs>
        <w:ind w:left="1656" w:hanging="480"/>
      </w:pPr>
    </w:lvl>
    <w:lvl w:ilvl="1">
      <w:start w:val="1"/>
      <w:numFmt w:val="ideographTraditional"/>
      <w:lvlText w:val="%2、"/>
      <w:lvlJc w:val="left"/>
      <w:pPr>
        <w:tabs>
          <w:tab w:val="num" w:pos="2136"/>
        </w:tabs>
        <w:ind w:left="2136" w:hanging="480"/>
      </w:p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480"/>
      </w:pPr>
    </w:lvl>
    <w:lvl w:ilvl="4">
      <w:start w:val="1"/>
      <w:numFmt w:val="ideographTraditional"/>
      <w:lvlText w:val="%5、"/>
      <w:lvlJc w:val="left"/>
      <w:pPr>
        <w:tabs>
          <w:tab w:val="num" w:pos="3576"/>
        </w:tabs>
        <w:ind w:left="3576" w:hanging="480"/>
      </w:pPr>
    </w:lvl>
    <w:lvl w:ilvl="5">
      <w:start w:val="1"/>
      <w:numFmt w:val="lowerRoman"/>
      <w:lvlText w:val="%6."/>
      <w:lvlJc w:val="right"/>
      <w:pPr>
        <w:tabs>
          <w:tab w:val="num" w:pos="4056"/>
        </w:tabs>
        <w:ind w:left="4056" w:hanging="0"/>
      </w:p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480"/>
      </w:pPr>
    </w:lvl>
    <w:lvl w:ilvl="7">
      <w:start w:val="1"/>
      <w:numFmt w:val="ideographTraditional"/>
      <w:lvlText w:val="%8、"/>
      <w:lvlJc w:val="left"/>
      <w:pPr>
        <w:tabs>
          <w:tab w:val="num" w:pos="5016"/>
        </w:tabs>
        <w:ind w:left="5016" w:hanging="480"/>
      </w:pPr>
    </w:lvl>
    <w:lvl w:ilvl="8">
      <w:start w:val="1"/>
      <w:numFmt w:val="lowerRoman"/>
      <w:lvlText w:val="%9."/>
      <w:lvlJc w:val="right"/>
      <w:pPr>
        <w:tabs>
          <w:tab w:val="num" w:pos="5496"/>
        </w:tabs>
        <w:ind w:left="5496" w:hanging="0"/>
      </w:pPr>
    </w:lvl>
  </w:abstractNum>
  <w:abstractNum w:abstractNumId="2">
    <w:lvl w:ilvl="0">
      <w:start w:val="1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63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1963"/>
        </w:tabs>
        <w:ind w:left="1963" w:hanging="0"/>
      </w:pPr>
    </w:lvl>
    <w:lvl w:ilvl="3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3403"/>
        </w:tabs>
        <w:ind w:left="3403" w:hanging="0"/>
      </w:pPr>
    </w:lvl>
    <w:lvl w:ilvl="6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4843"/>
        </w:tabs>
        <w:ind w:left="4843" w:hanging="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6LVL1">
    <w:name w:val="WW_CharLFO6LVL1"/>
    <w:qFormat/>
    <w:rPr>
      <w:b w:val="false"/>
      <w:sz w:val="28"/>
      <w:szCs w:val="28"/>
      <w:lang w:val="en-US"/>
    </w:rPr>
  </w:style>
  <w:style w:type="character" w:styleId="WWCharLFO7LVL1">
    <w:name w:val="WW_CharLFO7LVL1"/>
    <w:qFormat/>
    <w:rPr>
      <w:rFonts w:ascii="Times New Roman" w:hAnsi="Times New Roman" w:cs="Times New Roman"/>
    </w:rPr>
  </w:style>
  <w:style w:type="character" w:styleId="WWCharLFO8LVL1">
    <w:name w:val="WW_CharLFO8LVL1"/>
    <w:qFormat/>
    <w:rPr>
      <w:rFonts w:ascii="Times New Roman" w:hAnsi="Times New Roman" w:cs="Times New Roman"/>
    </w:rPr>
  </w:style>
  <w:style w:type="character" w:styleId="WWCharLFO8LVL2">
    <w:name w:val="WW_CharLFO8LVL2"/>
    <w:qFormat/>
    <w:rPr>
      <w:color w:val="auto"/>
    </w:rPr>
  </w:style>
  <w:style w:type="character" w:styleId="WWCharLFO10LVL1">
    <w:name w:val="WW_CharLFO10LVL1"/>
    <w:qFormat/>
    <w:rPr>
      <w:rFonts w:ascii="Times New Roman" w:hAnsi="Times New Roman" w:cs="Times New Roman"/>
    </w:rPr>
  </w:style>
  <w:style w:type="character" w:styleId="WWCharLFO11LVL3">
    <w:name w:val="WW_CharLFO11LVL3"/>
    <w:qFormat/>
    <w:rPr>
      <w:lang w:val="en-US"/>
    </w:rPr>
  </w:style>
  <w:style w:type="character" w:styleId="WWCharLFO12LVL1">
    <w:name w:val="WW_CharLFO12LVL1"/>
    <w:qFormat/>
    <w:rPr>
      <w:u w:val="single"/>
      <w:lang w:val="en-US"/>
    </w:rPr>
  </w:style>
  <w:style w:type="character" w:styleId="WWCharLFO13LVL1">
    <w:name w:val="WW_CharLFO13LVL1"/>
    <w:qFormat/>
    <w:rPr>
      <w:rFonts w:ascii="Times New Roman" w:hAnsi="Times New Roman" w:cs="Times New Roman"/>
    </w:rPr>
  </w:style>
  <w:style w:type="character" w:styleId="WWCharLFO14LVL1">
    <w:name w:val="WW_CharLFO14LVL1"/>
    <w:qFormat/>
    <w:rPr>
      <w:rFonts w:ascii="Times New Roman" w:hAnsi="Times New Roman" w:cs="Times New Roman"/>
    </w:rPr>
  </w:style>
  <w:style w:type="character" w:styleId="WWCharLFO16LVL1">
    <w:name w:val="WW_CharLFO16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8LVL2">
    <w:name w:val="WW_CharLFO18LVL2"/>
    <w:qFormat/>
    <w:rPr>
      <w:b w:val="false"/>
      <w:sz w:val="28"/>
      <w:szCs w:val="28"/>
      <w:lang w:val="en-US"/>
    </w:rPr>
  </w:style>
  <w:style w:type="character" w:styleId="WWCharLFO19LVL1">
    <w:name w:val="WW_CharLFO19LVL1"/>
    <w:qFormat/>
    <w:rPr>
      <w:color w:val="auto"/>
    </w:rPr>
  </w:style>
  <w:style w:type="character" w:styleId="WWCharLFO19LVL3">
    <w:name w:val="WW_CharLFO19LVL3"/>
    <w:qFormat/>
    <w:rPr>
      <w:color w:val="auto"/>
    </w:rPr>
  </w:style>
  <w:style w:type="character" w:styleId="WWCharLFO20LVL1">
    <w:name w:val="WW_CharLFO20LVL1"/>
    <w:qFormat/>
    <w:rPr>
      <w:b w:val="false"/>
      <w:sz w:val="28"/>
      <w:szCs w:val="28"/>
      <w:lang w:val="en-US"/>
    </w:rPr>
  </w:style>
  <w:style w:type="character" w:styleId="WWCharLFO20LVL2">
    <w:name w:val="WW_CharLFO20LVL2"/>
    <w:qFormat/>
    <w:rPr>
      <w:b w:val="false"/>
      <w:sz w:val="28"/>
      <w:szCs w:val="28"/>
      <w:lang w:val="en-US"/>
    </w:rPr>
  </w:style>
  <w:style w:type="character" w:styleId="WWCharLFO21LVL1">
    <w:name w:val="WW_CharLFO21LVL1"/>
    <w:qFormat/>
    <w:rPr>
      <w:sz w:val="26"/>
      <w:szCs w:val="26"/>
    </w:rPr>
  </w:style>
  <w:style w:type="character" w:styleId="WWCharLFO23LVL1">
    <w:name w:val="WW_CharLFO23LVL1"/>
    <w:qFormat/>
    <w:rPr>
      <w:b w:val="false"/>
      <w:sz w:val="26"/>
      <w:szCs w:val="26"/>
    </w:rPr>
  </w:style>
  <w:style w:type="character" w:styleId="WWCharLFO26LVL1">
    <w:name w:val="WW_CharLFO26LVL1"/>
    <w:qFormat/>
    <w:rPr>
      <w:b w:val="false"/>
      <w:sz w:val="28"/>
      <w:szCs w:val="28"/>
      <w:lang w:val="en-US"/>
    </w:rPr>
  </w:style>
  <w:style w:type="character" w:styleId="WWCharLFO28LVL1">
    <w:name w:val="WW_CharLFO28LVL1"/>
    <w:qFormat/>
    <w:rPr>
      <w:rFonts w:ascii="Wingdings" w:hAnsi="Wingdings"/>
    </w:rPr>
  </w:style>
  <w:style w:type="character" w:styleId="WWCharLFO28LVL2">
    <w:name w:val="WW_CharLFO28LVL2"/>
    <w:qFormat/>
    <w:rPr>
      <w:rFonts w:ascii="Wingdings" w:hAnsi="Wingdings"/>
    </w:rPr>
  </w:style>
  <w:style w:type="character" w:styleId="WWCharLFO28LVL3">
    <w:name w:val="WW_CharLFO28LVL3"/>
    <w:qFormat/>
    <w:rPr>
      <w:rFonts w:ascii="Wingdings" w:hAnsi="Wingdings"/>
    </w:rPr>
  </w:style>
  <w:style w:type="character" w:styleId="WWCharLFO28LVL4">
    <w:name w:val="WW_CharLFO28LVL4"/>
    <w:qFormat/>
    <w:rPr>
      <w:rFonts w:ascii="Wingdings" w:hAnsi="Wingdings"/>
    </w:rPr>
  </w:style>
  <w:style w:type="character" w:styleId="WWCharLFO28LVL5">
    <w:name w:val="WW_CharLFO28LVL5"/>
    <w:qFormat/>
    <w:rPr>
      <w:rFonts w:ascii="Wingdings" w:hAnsi="Wingdings"/>
    </w:rPr>
  </w:style>
  <w:style w:type="character" w:styleId="WWCharLFO28LVL6">
    <w:name w:val="WW_CharLFO28LVL6"/>
    <w:qFormat/>
    <w:rPr>
      <w:rFonts w:ascii="Wingdings" w:hAnsi="Wingdings"/>
    </w:rPr>
  </w:style>
  <w:style w:type="character" w:styleId="WWCharLFO28LVL7">
    <w:name w:val="WW_CharLFO28LVL7"/>
    <w:qFormat/>
    <w:rPr>
      <w:rFonts w:ascii="Wingdings" w:hAnsi="Wingdings"/>
    </w:rPr>
  </w:style>
  <w:style w:type="character" w:styleId="WWCharLFO28LVL8">
    <w:name w:val="WW_CharLFO28LVL8"/>
    <w:qFormat/>
    <w:rPr>
      <w:rFonts w:ascii="Wingdings" w:hAnsi="Wingdings"/>
    </w:rPr>
  </w:style>
  <w:style w:type="character" w:styleId="WWCharLFO28LVL9">
    <w:name w:val="WW_CharLFO28LVL9"/>
    <w:qFormat/>
    <w:rPr>
      <w:rFonts w:ascii="Wingdings" w:hAnsi="Wingdings"/>
    </w:rPr>
  </w:style>
  <w:style w:type="character" w:styleId="WWCharLFO30LVL1">
    <w:name w:val="WW_CharLFO30LVL1"/>
    <w:qFormat/>
    <w:rPr>
      <w:lang w:val="en-US"/>
    </w:rPr>
  </w:style>
  <w:style w:type="character" w:styleId="WWCharLFO32LVL1">
    <w:name w:val="WW_CharLFO32LVL1"/>
    <w:qFormat/>
    <w:rPr>
      <w:sz w:val="28"/>
    </w:rPr>
  </w:style>
  <w:style w:type="character" w:styleId="WWCharLFO34LVL1">
    <w:name w:val="WW_CharLFO34LVL1"/>
    <w:qFormat/>
    <w:rPr>
      <w:rFonts w:ascii="Times New Roman" w:hAnsi="Times New Roman" w:cs="Times New Roman"/>
    </w:rPr>
  </w:style>
  <w:style w:type="character" w:styleId="WWCharLFO36LVL1">
    <w:name w:val="WW_CharLFO36LVL1"/>
    <w:qFormat/>
    <w:rPr>
      <w:rFonts w:ascii="標楷體" w:hAnsi="標楷體" w:eastAsia="標楷體" w:cs="Times New Roman"/>
    </w:rPr>
  </w:style>
  <w:style w:type="character" w:styleId="WWCharLFO42LVL1">
    <w:name w:val="WW_CharLFO42LVL1"/>
    <w:qFormat/>
    <w:rPr>
      <w:color w:val="auto"/>
    </w:rPr>
  </w:style>
  <w:style w:type="character" w:styleId="WWCharLFO49LVL1">
    <w:name w:val="WW_CharLFO49LVL1"/>
    <w:qFormat/>
    <w:rPr>
      <w:color w:val="auto"/>
    </w:rPr>
  </w:style>
  <w:style w:type="character" w:styleId="WWCharLFO50LVL1">
    <w:name w:val="WW_CharLFO50LVL1"/>
    <w:qFormat/>
    <w:rPr>
      <w:color w:val="auto"/>
    </w:rPr>
  </w:style>
  <w:style w:type="character" w:styleId="WWCharLFO50LVL2">
    <w:name w:val="WW_CharLFO50LVL2"/>
    <w:qFormat/>
    <w:rPr>
      <w:color w:val="auto"/>
    </w:rPr>
  </w:style>
  <w:style w:type="character" w:styleId="WWCharLFO51LVL1">
    <w:name w:val="WW_CharLFO51LVL1"/>
    <w:qFormat/>
    <w:rPr>
      <w:color w:val="auto"/>
      <w:lang w:val="en-US"/>
    </w:rPr>
  </w:style>
  <w:style w:type="character" w:styleId="WWCharLFO52LVL2">
    <w:name w:val="WW_CharLFO52LVL2"/>
    <w:qFormat/>
    <w:rPr>
      <w:color w:val="auto"/>
    </w:rPr>
  </w:style>
  <w:style w:type="character" w:styleId="WWCharLFO53LVL1">
    <w:name w:val="WW_CharLFO53LVL1"/>
    <w:qFormat/>
    <w:rPr>
      <w:color w:val="auto"/>
      <w:lang w:val="en-US"/>
    </w:rPr>
  </w:style>
  <w:style w:type="character" w:styleId="WWCharLFO54LVL1">
    <w:name w:val="WW_CharLFO54LVL1"/>
    <w:qFormat/>
    <w:rPr>
      <w:color w:val="auto"/>
    </w:rPr>
  </w:style>
  <w:style w:type="character" w:styleId="WWCharLFO56LVL1">
    <w:name w:val="WW_CharLFO56LVL1"/>
    <w:qFormat/>
    <w:rPr>
      <w:color w:val="auto"/>
    </w:rPr>
  </w:style>
  <w:style w:type="character" w:styleId="WWCharLFO57LVL1">
    <w:name w:val="WW_CharLFO57LVL1"/>
    <w:qFormat/>
    <w:rPr>
      <w:b w:val="false"/>
    </w:rPr>
  </w:style>
  <w:style w:type="character" w:styleId="WWCharLFO59LVL1">
    <w:name w:val="WW_CharLFO59LVL1"/>
    <w:qFormat/>
    <w:rPr>
      <w:color w:val="auto"/>
    </w:rPr>
  </w:style>
  <w:style w:type="character" w:styleId="WWCharLFO60LVL1">
    <w:name w:val="WW_CharLFO60LVL1"/>
    <w:qFormat/>
    <w:rPr>
      <w:color w:val="auto"/>
    </w:rPr>
  </w:style>
  <w:style w:type="character" w:styleId="WWCharLFO63LVL1">
    <w:name w:val="WW_CharLFO63LVL1"/>
    <w:qFormat/>
    <w:rPr>
      <w:b w:val="false"/>
      <w:color w:val="auto"/>
    </w:rPr>
  </w:style>
  <w:style w:type="character" w:styleId="WWCharLFO64LVL1">
    <w:name w:val="WW_CharLFO64LVL1"/>
    <w:qFormat/>
    <w:rPr>
      <w:b w:val="false"/>
      <w:color w:val="auto"/>
    </w:rPr>
  </w:style>
  <w:style w:type="character" w:styleId="WWCharLFO68LVL1">
    <w:name w:val="WW_CharLFO68LVL1"/>
    <w:qFormat/>
    <w:rPr>
      <w:rFonts w:ascii="標楷體" w:hAnsi="標楷體" w:eastAsia="標楷體"/>
    </w:rPr>
  </w:style>
  <w:style w:type="character" w:styleId="WWCharLFO68LVL2">
    <w:name w:val="WW_CharLFO68LVL2"/>
    <w:qFormat/>
    <w:rPr>
      <w:rFonts w:ascii="Wingdings" w:hAnsi="Wingdings"/>
    </w:rPr>
  </w:style>
  <w:style w:type="character" w:styleId="WWCharLFO68LVL3">
    <w:name w:val="WW_CharLFO68LVL3"/>
    <w:qFormat/>
    <w:rPr>
      <w:rFonts w:ascii="Wingdings" w:hAnsi="Wingdings"/>
    </w:rPr>
  </w:style>
  <w:style w:type="character" w:styleId="WWCharLFO68LVL4">
    <w:name w:val="WW_CharLFO68LVL4"/>
    <w:qFormat/>
    <w:rPr>
      <w:rFonts w:ascii="Wingdings" w:hAnsi="Wingdings"/>
    </w:rPr>
  </w:style>
  <w:style w:type="character" w:styleId="WWCharLFO68LVL5">
    <w:name w:val="WW_CharLFO68LVL5"/>
    <w:qFormat/>
    <w:rPr>
      <w:rFonts w:ascii="Wingdings" w:hAnsi="Wingdings"/>
    </w:rPr>
  </w:style>
  <w:style w:type="character" w:styleId="WWCharLFO68LVL6">
    <w:name w:val="WW_CharLFO68LVL6"/>
    <w:qFormat/>
    <w:rPr>
      <w:rFonts w:ascii="Wingdings" w:hAnsi="Wingdings"/>
    </w:rPr>
  </w:style>
  <w:style w:type="character" w:styleId="WWCharLFO68LVL7">
    <w:name w:val="WW_CharLFO68LVL7"/>
    <w:qFormat/>
    <w:rPr>
      <w:rFonts w:ascii="Wingdings" w:hAnsi="Wingdings"/>
    </w:rPr>
  </w:style>
  <w:style w:type="character" w:styleId="WWCharLFO68LVL8">
    <w:name w:val="WW_CharLFO68LVL8"/>
    <w:qFormat/>
    <w:rPr>
      <w:rFonts w:ascii="Wingdings" w:hAnsi="Wingdings"/>
    </w:rPr>
  </w:style>
  <w:style w:type="character" w:styleId="WWCharLFO68LVL9">
    <w:name w:val="WW_CharLFO68LVL9"/>
    <w:qFormat/>
    <w:rPr>
      <w:rFonts w:ascii="Wingdings" w:hAnsi="Wingdings"/>
    </w:rPr>
  </w:style>
  <w:style w:type="character" w:styleId="WWCharLFO69LVL1">
    <w:name w:val="WW_CharLFO69LVL1"/>
    <w:qFormat/>
    <w:rPr>
      <w:rFonts w:ascii="標楷體" w:hAnsi="標楷體" w:eastAsia="標楷體"/>
    </w:rPr>
  </w:style>
  <w:style w:type="character" w:styleId="WWCharLFO69LVL2">
    <w:name w:val="WW_CharLFO69LVL2"/>
    <w:qFormat/>
    <w:rPr>
      <w:rFonts w:ascii="Wingdings" w:hAnsi="Wingdings"/>
    </w:rPr>
  </w:style>
  <w:style w:type="character" w:styleId="WWCharLFO69LVL3">
    <w:name w:val="WW_CharLFO69LVL3"/>
    <w:qFormat/>
    <w:rPr>
      <w:rFonts w:ascii="Wingdings" w:hAnsi="Wingdings"/>
    </w:rPr>
  </w:style>
  <w:style w:type="character" w:styleId="WWCharLFO69LVL4">
    <w:name w:val="WW_CharLFO69LVL4"/>
    <w:qFormat/>
    <w:rPr>
      <w:rFonts w:ascii="Wingdings" w:hAnsi="Wingdings"/>
    </w:rPr>
  </w:style>
  <w:style w:type="character" w:styleId="WWCharLFO69LVL5">
    <w:name w:val="WW_CharLFO69LVL5"/>
    <w:qFormat/>
    <w:rPr>
      <w:rFonts w:ascii="Wingdings" w:hAnsi="Wingdings"/>
    </w:rPr>
  </w:style>
  <w:style w:type="character" w:styleId="WWCharLFO69LVL6">
    <w:name w:val="WW_CharLFO69LVL6"/>
    <w:qFormat/>
    <w:rPr>
      <w:rFonts w:ascii="Wingdings" w:hAnsi="Wingdings"/>
    </w:rPr>
  </w:style>
  <w:style w:type="character" w:styleId="WWCharLFO69LVL7">
    <w:name w:val="WW_CharLFO69LVL7"/>
    <w:qFormat/>
    <w:rPr>
      <w:rFonts w:ascii="Wingdings" w:hAnsi="Wingdings"/>
    </w:rPr>
  </w:style>
  <w:style w:type="character" w:styleId="WWCharLFO69LVL8">
    <w:name w:val="WW_CharLFO69LVL8"/>
    <w:qFormat/>
    <w:rPr>
      <w:rFonts w:ascii="Wingdings" w:hAnsi="Wingdings"/>
    </w:rPr>
  </w:style>
  <w:style w:type="character" w:styleId="WWCharLFO69LVL9">
    <w:name w:val="WW_CharLFO69LVL9"/>
    <w:qFormat/>
    <w:rPr>
      <w:rFonts w:ascii="Wingdings" w:hAnsi="Wingdings"/>
    </w:rPr>
  </w:style>
  <w:style w:type="character" w:styleId="WWCharLFO70LVL1">
    <w:name w:val="WW_CharLFO70LVL1"/>
    <w:qFormat/>
    <w:rPr>
      <w:rFonts w:ascii="標楷體" w:hAnsi="標楷體" w:eastAsia="標楷體"/>
    </w:rPr>
  </w:style>
  <w:style w:type="character" w:styleId="WWCharLFO70LVL2">
    <w:name w:val="WW_CharLFO70LVL2"/>
    <w:qFormat/>
    <w:rPr>
      <w:rFonts w:ascii="Wingdings" w:hAnsi="Wingdings"/>
    </w:rPr>
  </w:style>
  <w:style w:type="character" w:styleId="WWCharLFO70LVL3">
    <w:name w:val="WW_CharLFO70LVL3"/>
    <w:qFormat/>
    <w:rPr>
      <w:rFonts w:ascii="Wingdings" w:hAnsi="Wingdings"/>
    </w:rPr>
  </w:style>
  <w:style w:type="character" w:styleId="WWCharLFO70LVL4">
    <w:name w:val="WW_CharLFO70LVL4"/>
    <w:qFormat/>
    <w:rPr>
      <w:rFonts w:ascii="Wingdings" w:hAnsi="Wingdings"/>
    </w:rPr>
  </w:style>
  <w:style w:type="character" w:styleId="WWCharLFO70LVL5">
    <w:name w:val="WW_CharLFO70LVL5"/>
    <w:qFormat/>
    <w:rPr>
      <w:rFonts w:ascii="Wingdings" w:hAnsi="Wingdings"/>
    </w:rPr>
  </w:style>
  <w:style w:type="character" w:styleId="WWCharLFO70LVL6">
    <w:name w:val="WW_CharLFO70LVL6"/>
    <w:qFormat/>
    <w:rPr>
      <w:rFonts w:ascii="Wingdings" w:hAnsi="Wingdings"/>
    </w:rPr>
  </w:style>
  <w:style w:type="character" w:styleId="WWCharLFO70LVL7">
    <w:name w:val="WW_CharLFO70LVL7"/>
    <w:qFormat/>
    <w:rPr>
      <w:rFonts w:ascii="Wingdings" w:hAnsi="Wingdings"/>
    </w:rPr>
  </w:style>
  <w:style w:type="character" w:styleId="WWCharLFO70LVL8">
    <w:name w:val="WW_CharLFO70LVL8"/>
    <w:qFormat/>
    <w:rPr>
      <w:rFonts w:ascii="Wingdings" w:hAnsi="Wingdings"/>
    </w:rPr>
  </w:style>
  <w:style w:type="character" w:styleId="WWCharLFO70LVL9">
    <w:name w:val="WW_CharLFO70LVL9"/>
    <w:qFormat/>
    <w:rPr>
      <w:rFonts w:ascii="Wingdings" w:hAnsi="Wingdings"/>
    </w:rPr>
  </w:style>
  <w:style w:type="character" w:styleId="WWCharLFO71LVL1">
    <w:name w:val="WW_CharLFO71LVL1"/>
    <w:qFormat/>
    <w:rPr>
      <w:rFonts w:ascii="標楷體" w:hAnsi="標楷體" w:eastAsia="標楷體"/>
    </w:rPr>
  </w:style>
  <w:style w:type="character" w:styleId="WWCharLFO71LVL2">
    <w:name w:val="WW_CharLFO71LVL2"/>
    <w:qFormat/>
    <w:rPr>
      <w:rFonts w:ascii="Wingdings" w:hAnsi="Wingdings"/>
    </w:rPr>
  </w:style>
  <w:style w:type="character" w:styleId="WWCharLFO71LVL3">
    <w:name w:val="WW_CharLFO71LVL3"/>
    <w:qFormat/>
    <w:rPr>
      <w:rFonts w:ascii="Wingdings" w:hAnsi="Wingdings"/>
    </w:rPr>
  </w:style>
  <w:style w:type="character" w:styleId="WWCharLFO71LVL4">
    <w:name w:val="WW_CharLFO71LVL4"/>
    <w:qFormat/>
    <w:rPr>
      <w:rFonts w:ascii="Wingdings" w:hAnsi="Wingdings"/>
    </w:rPr>
  </w:style>
  <w:style w:type="character" w:styleId="WWCharLFO71LVL5">
    <w:name w:val="WW_CharLFO71LVL5"/>
    <w:qFormat/>
    <w:rPr>
      <w:rFonts w:ascii="Wingdings" w:hAnsi="Wingdings"/>
    </w:rPr>
  </w:style>
  <w:style w:type="character" w:styleId="WWCharLFO71LVL6">
    <w:name w:val="WW_CharLFO71LVL6"/>
    <w:qFormat/>
    <w:rPr>
      <w:rFonts w:ascii="Wingdings" w:hAnsi="Wingdings"/>
    </w:rPr>
  </w:style>
  <w:style w:type="character" w:styleId="WWCharLFO71LVL7">
    <w:name w:val="WW_CharLFO71LVL7"/>
    <w:qFormat/>
    <w:rPr>
      <w:rFonts w:ascii="Wingdings" w:hAnsi="Wingdings"/>
    </w:rPr>
  </w:style>
  <w:style w:type="character" w:styleId="WWCharLFO71LVL8">
    <w:name w:val="WW_CharLFO71LVL8"/>
    <w:qFormat/>
    <w:rPr>
      <w:rFonts w:ascii="Wingdings" w:hAnsi="Wingdings"/>
    </w:rPr>
  </w:style>
  <w:style w:type="character" w:styleId="WWCharLFO71LVL9">
    <w:name w:val="WW_CharLFO71LVL9"/>
    <w:qFormat/>
    <w:rPr>
      <w:rFonts w:ascii="Wingdings" w:hAnsi="Wingdings"/>
    </w:rPr>
  </w:style>
  <w:style w:type="character" w:styleId="WWCharLFO72LVL1">
    <w:name w:val="WW_CharLFO72LVL1"/>
    <w:qFormat/>
    <w:rPr>
      <w:rFonts w:ascii="標楷體" w:hAnsi="標楷體" w:eastAsia="標楷體"/>
    </w:rPr>
  </w:style>
  <w:style w:type="character" w:styleId="WWCharLFO72LVL2">
    <w:name w:val="WW_CharLFO72LVL2"/>
    <w:qFormat/>
    <w:rPr>
      <w:rFonts w:ascii="Wingdings" w:hAnsi="Wingdings"/>
    </w:rPr>
  </w:style>
  <w:style w:type="character" w:styleId="WWCharLFO72LVL3">
    <w:name w:val="WW_CharLFO72LVL3"/>
    <w:qFormat/>
    <w:rPr>
      <w:rFonts w:ascii="Wingdings" w:hAnsi="Wingdings"/>
    </w:rPr>
  </w:style>
  <w:style w:type="character" w:styleId="WWCharLFO72LVL4">
    <w:name w:val="WW_CharLFO72LVL4"/>
    <w:qFormat/>
    <w:rPr>
      <w:rFonts w:ascii="Wingdings" w:hAnsi="Wingdings"/>
    </w:rPr>
  </w:style>
  <w:style w:type="character" w:styleId="WWCharLFO72LVL5">
    <w:name w:val="WW_CharLFO72LVL5"/>
    <w:qFormat/>
    <w:rPr>
      <w:rFonts w:ascii="Wingdings" w:hAnsi="Wingdings"/>
    </w:rPr>
  </w:style>
  <w:style w:type="character" w:styleId="WWCharLFO72LVL6">
    <w:name w:val="WW_CharLFO72LVL6"/>
    <w:qFormat/>
    <w:rPr>
      <w:rFonts w:ascii="Wingdings" w:hAnsi="Wingdings"/>
    </w:rPr>
  </w:style>
  <w:style w:type="character" w:styleId="WWCharLFO72LVL7">
    <w:name w:val="WW_CharLFO72LVL7"/>
    <w:qFormat/>
    <w:rPr>
      <w:rFonts w:ascii="Wingdings" w:hAnsi="Wingdings"/>
    </w:rPr>
  </w:style>
  <w:style w:type="character" w:styleId="WWCharLFO72LVL8">
    <w:name w:val="WW_CharLFO72LVL8"/>
    <w:qFormat/>
    <w:rPr>
      <w:rFonts w:ascii="Wingdings" w:hAnsi="Wingdings"/>
    </w:rPr>
  </w:style>
  <w:style w:type="character" w:styleId="WWCharLFO72LVL9">
    <w:name w:val="WW_CharLFO72LVL9"/>
    <w:qFormat/>
    <w:rPr>
      <w:rFonts w:ascii="Wingdings" w:hAnsi="Wingdings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11</Pages>
  <Words>809</Words>
  <Characters>4614</Characters>
  <CharactersWithSpaces>5413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2016-03-02T09:17:00Z</dcterms:created>
  <dc:creator>陳國維</dc:creator>
  <dc:description/>
  <dc:language>zh-TW</dc:language>
  <cp:lastModifiedBy>yumei</cp:lastModifiedBy>
  <cp:lastPrinted>2016-02-23T07:28:00Z</cp:lastPrinted>
  <dcterms:modified xsi:type="dcterms:W3CDTF">2016-03-02T09:17:00Z</dcterms:modified>
  <cp:revision>2</cp:revision>
  <dc:subject/>
  <dc:title>精神復健機構及精神護理之家評鑑與不定時追蹤輔導訪查計畫</dc:title>
</cp:coreProperties>
</file>