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exact" w:line="440" w:before="180" w:after="0"/>
        <w:jc w:val="center"/>
        <w:rPr>
          <w:rFonts w:eastAsia="標楷體"/>
          <w:b/>
          <w:bCs/>
          <w:sz w:val="34"/>
          <w:szCs w:val="34"/>
        </w:rPr>
      </w:pPr>
      <w:bookmarkStart w:id="0" w:name="OLE_LINK3"/>
      <w:bookmarkStart w:id="1" w:name="OLE_LINK2"/>
      <w:bookmarkStart w:id="2" w:name="OLE_LINK1"/>
      <w:bookmarkEnd w:id="0"/>
      <w:bookmarkEnd w:id="1"/>
      <w:bookmarkEnd w:id="2"/>
      <w:r>
        <w:rPr>
          <w:rFonts w:eastAsia="標楷體"/>
          <w:b/>
          <w:bCs/>
          <w:sz w:val="34"/>
          <w:szCs w:val="34"/>
        </w:rPr>
        <w:t>105</w:t>
      </w:r>
      <w:r>
        <w:rPr>
          <w:rFonts w:eastAsia="標楷體"/>
          <w:b/>
          <w:bCs/>
          <w:sz w:val="34"/>
          <w:szCs w:val="34"/>
        </w:rPr>
        <w:t xml:space="preserve">年度精神科醫院評鑑及精神科教學醫院評鑑基本資料表 </w:t>
      </w:r>
    </w:p>
    <w:p>
      <w:pPr>
        <w:pStyle w:val="BodyText"/>
        <w:spacing w:lineRule="exact" w:line="440" w:before="180" w:after="0"/>
        <w:jc w:val="center"/>
        <w:rPr>
          <w:rFonts w:eastAsia="標楷體"/>
          <w:b/>
          <w:bCs/>
        </w:rPr>
      </w:pPr>
      <w:r>
        <w:rPr>
          <w:rFonts w:eastAsia="標楷體"/>
          <w:b/>
          <w:bCs/>
        </w:rPr>
      </w:r>
    </w:p>
    <w:tbl>
      <w:tblPr>
        <w:tblW w:w="9694" w:type="dxa"/>
        <w:jc w:val="left"/>
        <w:tblInd w:w="-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94"/>
      </w:tblGrid>
      <w:tr>
        <w:trPr/>
        <w:tc>
          <w:tcPr>
            <w:tcW w:w="9694" w:type="dxa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※</w:t>
            </w:r>
            <w:r>
              <w:rPr>
                <w:rFonts w:eastAsia="標楷體"/>
              </w:rPr>
              <w:t>填表注意事項：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spacing w:lineRule="atLeast" w:line="0"/>
              <w:ind w:left="960" w:hanging="480"/>
              <w:rPr>
                <w:rFonts w:eastAsia="標楷體"/>
              </w:rPr>
            </w:pPr>
            <w:r>
              <w:rPr>
                <w:rFonts w:eastAsia="標楷體"/>
              </w:rPr>
              <w:t>除規定於實地評鑑現場準備相關資料備查外，其餘資料恕無法於當日抽換。</w:t>
            </w:r>
          </w:p>
          <w:p>
            <w:pPr>
              <w:pStyle w:val="BodyText"/>
              <w:numPr>
                <w:ilvl w:val="0"/>
                <w:numId w:val="2"/>
              </w:numPr>
              <w:tabs>
                <w:tab w:val="clear" w:pos="480"/>
                <w:tab w:val="left" w:pos="960" w:leader="none"/>
              </w:tabs>
              <w:ind w:left="960" w:hanging="480"/>
              <w:rPr/>
            </w:pPr>
            <w:r>
              <w:rPr>
                <w:rStyle w:val="Style14"/>
                <w:rFonts w:eastAsia="標楷體"/>
                <w:b/>
                <w:bCs/>
              </w:rPr>
              <w:t>請依據「精神科醫院及精神科教學醫院評鑑申請說明」規定份數繳交紙本</w:t>
            </w:r>
            <w:r>
              <w:rPr>
                <w:rStyle w:val="Style14"/>
                <w:rFonts w:eastAsia="標楷體"/>
                <w:b/>
              </w:rPr>
              <w:t>。</w:t>
            </w:r>
          </w:p>
        </w:tc>
      </w:tr>
    </w:tbl>
    <w:p>
      <w:pPr>
        <w:pStyle w:val="Style21"/>
        <w:numPr>
          <w:ilvl w:val="0"/>
          <w:numId w:val="3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>
          <w:rFonts w:ascii="Times New Roman" w:hAnsi="Times New Roman" w:eastAsia="標楷體"/>
          <w:b/>
          <w:bCs/>
          <w:szCs w:val="24"/>
        </w:rPr>
      </w:pPr>
      <w:r>
        <w:rPr>
          <w:rFonts w:ascii="Times New Roman" w:hAnsi="Times New Roman" w:eastAsia="標楷體"/>
          <w:b/>
          <w:bCs/>
          <w:szCs w:val="24"/>
        </w:rPr>
        <w:t>醫院名稱</w:t>
      </w:r>
    </w:p>
    <w:p>
      <w:pPr>
        <w:pStyle w:val="Style21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醫院名稱：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  <w:tab/>
        <w:tab/>
        <w:t xml:space="preserve">   </w:t>
        <w:tab/>
      </w:r>
      <w:r>
        <w:rPr>
          <w:rStyle w:val="Style14"/>
          <w:rFonts w:ascii="Times New Roman" w:hAnsi="Times New Roman" w:eastAsia="標楷體"/>
        </w:rPr>
        <w:t>醫療機構統一代碼（</w:t>
      </w:r>
      <w:r>
        <w:rPr>
          <w:rStyle w:val="Style14"/>
          <w:rFonts w:eastAsia="標楷體" w:ascii="Times New Roman" w:hAnsi="Times New Roman"/>
        </w:rPr>
        <w:t>10</w:t>
      </w:r>
      <w:r>
        <w:rPr>
          <w:rStyle w:val="Style14"/>
          <w:rFonts w:ascii="Times New Roman" w:hAnsi="Times New Roman" w:eastAsia="標楷體"/>
        </w:rPr>
        <w:t>碼）：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</w:t>
      </w:r>
    </w:p>
    <w:p>
      <w:pPr>
        <w:pStyle w:val="Style21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英文全銜：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  <w:tab/>
        <w:tab/>
        <w:tab/>
        <w:t xml:space="preserve">    </w:t>
        <w:tab/>
        <w:tab/>
      </w:r>
      <w:r>
        <w:rPr>
          <w:rStyle w:val="Style14"/>
          <w:rFonts w:ascii="Times New Roman" w:hAnsi="Times New Roman" w:eastAsia="標楷體"/>
        </w:rPr>
        <w:t>網址：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       </w:t>
      </w:r>
    </w:p>
    <w:p>
      <w:pPr>
        <w:pStyle w:val="Style21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負責醫師姓名：</w:t>
      </w:r>
      <w:r>
        <w:rPr>
          <w:rStyle w:val="Style14"/>
          <w:rFonts w:ascii="Times New Roman" w:hAnsi="Times New Roman" w:eastAsia="標楷體"/>
          <w:u w:val="single"/>
        </w:rPr>
        <w:t xml:space="preserve">       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</w:t>
      </w:r>
      <w:r>
        <w:rPr>
          <w:rStyle w:val="Style14"/>
          <w:rFonts w:ascii="Times New Roman" w:hAnsi="Times New Roman" w:eastAsia="標楷體"/>
        </w:rPr>
        <w:t>；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</w:t>
      </w:r>
      <w:r>
        <w:rPr>
          <w:rStyle w:val="Style14"/>
          <w:rFonts w:ascii="Times New Roman" w:hAnsi="Times New Roman" w:eastAsia="標楷體"/>
        </w:rPr>
        <w:t>醫療區域</w:t>
      </w:r>
      <w:r>
        <w:rPr>
          <w:rStyle w:val="Style14"/>
          <w:rFonts w:ascii="Times New Roman" w:hAnsi="Times New Roman" w:eastAsia="標楷體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>次區域</w:t>
      </w:r>
    </w:p>
    <w:p>
      <w:pPr>
        <w:pStyle w:val="Style21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院長姓名：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</w:t>
      </w:r>
      <w:r>
        <w:rPr>
          <w:rStyle w:val="Style14"/>
          <w:rFonts w:eastAsia="標楷體" w:ascii="Times New Roman" w:hAnsi="Times New Roman"/>
          <w:u w:val="single"/>
        </w:rPr>
        <w:tab/>
      </w:r>
      <w:r>
        <w:rPr>
          <w:rStyle w:val="Style14"/>
          <w:rFonts w:eastAsia="標楷體"/>
        </w:rPr>
        <w:t>聯絡人姓名與職稱：</w:t>
      </w:r>
      <w:r>
        <w:rPr>
          <w:rStyle w:val="Style14"/>
          <w:rFonts w:eastAsia="標楷體"/>
          <w:u w:val="single"/>
        </w:rPr>
        <w:t xml:space="preserve">                       </w:t>
      </w:r>
      <w:r>
        <w:rPr>
          <w:rStyle w:val="Style14"/>
          <w:rFonts w:eastAsia="標楷體"/>
          <w:u w:val="single"/>
        </w:rPr>
        <w:tab/>
        <w:tab/>
      </w:r>
    </w:p>
    <w:p>
      <w:pPr>
        <w:pStyle w:val="Style21"/>
        <w:spacing w:lineRule="atLeast" w:line="500"/>
        <w:ind w:firstLine="360"/>
        <w:rPr/>
      </w:pPr>
      <w:r>
        <w:rPr>
          <w:rStyle w:val="Style14"/>
          <w:rFonts w:ascii="Times New Roman" w:hAnsi="Times New Roman" w:eastAsia="標楷體"/>
        </w:rPr>
        <w:t>郵遞區號：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</w:t>
      </w:r>
      <w:r>
        <mc:AlternateContent>
          <mc:Choice Requires="wps">
            <w:drawing>
              <wp:anchor behindDoc="0" distT="0" distB="0" distL="0" distR="0" simplePos="0" locked="0" layoutInCell="1" allowOverlap="1" relativeHeight="36">
                <wp:simplePos x="0" y="0"/>
                <wp:positionH relativeFrom="column">
                  <wp:posOffset>3086100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1" name="Text Box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鄉鎮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市區</w:t>
                            </w:r>
                          </w:p>
                        </w:txbxContent>
                      </wps:txbx>
                      <wps:bodyPr anchor="t" lIns="0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27pt;mso-wrap-distance-left:0pt;mso-wrap-distance-right:0pt;mso-wrap-distance-top:0pt;mso-wrap-distance-bottom:0pt;margin-top:18.75pt;mso-position-vertical-relative:text;margin-left:243pt;mso-position-horizontal-relative:text">
                <v:textbox inset="0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鄉鎮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市區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7">
                <wp:simplePos x="0" y="0"/>
                <wp:positionH relativeFrom="column">
                  <wp:posOffset>4229100</wp:posOffset>
                </wp:positionH>
                <wp:positionV relativeFrom="paragraph">
                  <wp:posOffset>257175</wp:posOffset>
                </wp:positionV>
                <wp:extent cx="114300" cy="342900"/>
                <wp:effectExtent l="0" t="0" r="0" b="0"/>
                <wp:wrapNone/>
                <wp:docPr id="2" name="Text Box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村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里</w:t>
                            </w:r>
                          </w:p>
                        </w:txbxContent>
                      </wps:txbx>
                      <wps:bodyPr anchor="t" lIns="0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9pt;height:27pt;mso-wrap-distance-left:0pt;mso-wrap-distance-right:0pt;mso-wrap-distance-top:0pt;mso-wrap-distance-bottom:0pt;margin-top:20.25pt;mso-position-vertical-relative:text;margin-left:333pt;mso-position-horizontal-relative:text">
                <v:textbox inset="0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村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里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0" distR="0" simplePos="0" locked="0" layoutInCell="1" allowOverlap="1" relativeHeight="38">
                <wp:simplePos x="0" y="0"/>
                <wp:positionH relativeFrom="column">
                  <wp:posOffset>5943600</wp:posOffset>
                </wp:positionH>
                <wp:positionV relativeFrom="paragraph">
                  <wp:posOffset>238125</wp:posOffset>
                </wp:positionV>
                <wp:extent cx="228600" cy="342900"/>
                <wp:effectExtent l="0" t="0" r="0" b="0"/>
                <wp:wrapNone/>
                <wp:docPr id="3" name="Text Box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" cy="3429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路</w:t>
                            </w:r>
                          </w:p>
                          <w:p>
                            <w:pPr>
                              <w:pStyle w:val="BodyText"/>
                              <w:spacing w:lineRule="atLeast" w:line="0"/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hAnsi="標楷體" w:eastAsia="標楷體"/>
                                <w:sz w:val="16"/>
                                <w:szCs w:val="16"/>
                              </w:rPr>
                              <w:t>街</w:t>
                            </w:r>
                          </w:p>
                        </w:txbxContent>
                      </wps:txbx>
                      <wps:bodyPr anchor="t" lIns="36195" tIns="71755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18pt;height:27pt;mso-wrap-distance-left:0pt;mso-wrap-distance-right:0pt;mso-wrap-distance-top:0pt;mso-wrap-distance-bottom:0pt;margin-top:18.75pt;mso-position-vertical-relative:text;margin-left:468pt;mso-position-horizontal-relative:text">
                <v:textbox inset="0.0395833333333333in,0.0784722222222222in,0in,0in">
                  <w:txbxContent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路</w:t>
                      </w:r>
                    </w:p>
                    <w:p>
                      <w:pPr>
                        <w:pStyle w:val="BodyText"/>
                        <w:spacing w:lineRule="atLeast" w:line="0"/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hAnsi="標楷體" w:eastAsia="標楷體"/>
                          <w:sz w:val="16"/>
                          <w:szCs w:val="16"/>
                        </w:rPr>
                        <w:t>街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21"/>
        <w:tabs>
          <w:tab w:val="clear" w:pos="480"/>
          <w:tab w:val="left" w:pos="720" w:leader="none"/>
        </w:tabs>
        <w:spacing w:lineRule="atLeast" w:line="500"/>
        <w:ind w:left="1620" w:hanging="1260"/>
        <w:rPr/>
      </w:pPr>
      <w:r>
        <w:rPr>
          <w:rStyle w:val="Style14"/>
          <w:rFonts w:ascii="Times New Roman" w:hAnsi="Times New Roman" w:eastAsia="標楷體"/>
        </w:rPr>
        <w:t>醫院地址：</w:t>
      </w: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ab/>
        <w:tab/>
      </w:r>
      <w:r>
        <w:rPr>
          <w:rStyle w:val="Style14"/>
          <w:rFonts w:ascii="Times New Roman" w:hAnsi="Times New Roman" w:eastAsia="標楷體"/>
        </w:rPr>
        <w:t>縣</w:t>
      </w:r>
      <w:r>
        <w:rPr>
          <w:rStyle w:val="Style14"/>
          <w:rFonts w:eastAsia="標楷體" w:ascii="Times New Roman" w:hAnsi="Times New Roman"/>
        </w:rPr>
        <w:t>(</w:t>
      </w:r>
      <w:r>
        <w:rPr>
          <w:rStyle w:val="Style14"/>
          <w:rFonts w:ascii="Times New Roman" w:hAnsi="Times New Roman" w:eastAsia="標楷體"/>
        </w:rPr>
        <w:t>市</w:t>
      </w:r>
      <w:r>
        <w:rPr>
          <w:rStyle w:val="Style14"/>
          <w:rFonts w:eastAsia="標楷體" w:ascii="Times New Roman" w:hAnsi="Times New Roman"/>
        </w:rPr>
        <w:t>)</w:t>
      </w:r>
      <w:r>
        <w:rPr>
          <w:rStyle w:val="Style14"/>
          <w:rFonts w:eastAsia="標楷體" w:ascii="Times New Roman" w:hAnsi="Times New Roman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>　　</w:t>
      </w:r>
      <w:r>
        <w:rPr>
          <w:rStyle w:val="Style14"/>
          <w:rFonts w:ascii="Times New Roman" w:hAnsi="Times New Roman" w:eastAsia="標楷體"/>
          <w:u w:val="single"/>
        </w:rPr>
        <w:t xml:space="preserve">           </w:t>
      </w:r>
      <w:r>
        <w:rPr>
          <w:rStyle w:val="Style14"/>
          <w:rFonts w:ascii="Times New Roman" w:hAnsi="Times New Roman" w:eastAsia="標楷體"/>
        </w:rPr>
        <w:t xml:space="preserve">　 </w:t>
      </w:r>
      <w:r>
        <w:rPr>
          <w:rStyle w:val="Style14"/>
          <w:rFonts w:ascii="Times New Roman" w:hAnsi="Times New Roman" w:eastAsia="標楷體"/>
          <w:u w:val="single"/>
        </w:rPr>
        <w:t xml:space="preserve">     </w:t>
      </w:r>
      <w:r>
        <w:rPr>
          <w:rStyle w:val="Style14"/>
          <w:rFonts w:ascii="Times New Roman" w:hAnsi="Times New Roman" w:eastAsia="標楷體"/>
        </w:rPr>
        <w:t>鄰</w:t>
      </w:r>
      <w:r>
        <w:rPr>
          <w:rStyle w:val="Style14"/>
          <w:rFonts w:ascii="Times New Roman" w:hAnsi="Times New Roman" w:eastAsia="標楷體"/>
          <w:u w:val="single"/>
        </w:rPr>
        <w:t xml:space="preserve">         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 </w:t>
      </w:r>
      <w:r>
        <w:rPr>
          <w:rStyle w:val="Style14"/>
          <w:rFonts w:eastAsia="標楷體" w:ascii="Times New Roman" w:hAnsi="Times New Roman"/>
        </w:rPr>
        <w:t xml:space="preserve"> </w:t>
      </w:r>
    </w:p>
    <w:p>
      <w:pPr>
        <w:pStyle w:val="Style21"/>
        <w:tabs>
          <w:tab w:val="clear" w:pos="480"/>
          <w:tab w:val="left" w:pos="720" w:leader="none"/>
        </w:tabs>
        <w:spacing w:lineRule="atLeast" w:line="500"/>
        <w:ind w:left="1620" w:hanging="60"/>
        <w:rPr/>
      </w:pPr>
      <w:r>
        <w:rPr>
          <w:rStyle w:val="Style14"/>
          <w:rFonts w:ascii="Times New Roman" w:hAnsi="Times New Roman" w:eastAsia="標楷體"/>
          <w:u w:val="single"/>
        </w:rPr>
        <w:t xml:space="preserve"> </w:t>
      </w:r>
      <w:r>
        <w:rPr>
          <w:rStyle w:val="Style14"/>
          <w:rFonts w:eastAsia="標楷體" w:ascii="Times New Roman" w:hAnsi="Times New Roman"/>
          <w:u w:val="single"/>
        </w:rPr>
        <w:tab/>
        <w:t xml:space="preserve">   </w:t>
      </w:r>
      <w:r>
        <w:rPr>
          <w:rStyle w:val="Style14"/>
          <w:rFonts w:ascii="Times New Roman" w:hAnsi="Times New Roman" w:eastAsia="標楷體"/>
        </w:rPr>
        <w:t>段</w:t>
      </w:r>
      <w:r>
        <w:rPr>
          <w:rStyle w:val="Style14"/>
          <w:rFonts w:ascii="Times New Roman" w:hAnsi="Times New Roman" w:eastAsia="標楷體"/>
          <w:u w:val="single"/>
        </w:rPr>
        <w:t>＿＿</w:t>
      </w:r>
      <w:r>
        <w:rPr>
          <w:rStyle w:val="Style14"/>
          <w:rFonts w:eastAsia="標楷體" w:ascii="Times New Roman" w:hAnsi="Times New Roman"/>
          <w:u w:val="single"/>
        </w:rPr>
        <w:tab/>
      </w:r>
      <w:r>
        <w:rPr>
          <w:rStyle w:val="Style14"/>
          <w:rFonts w:ascii="Times New Roman" w:hAnsi="Times New Roman" w:eastAsia="標楷體"/>
        </w:rPr>
        <w:t>巷</w:t>
      </w:r>
      <w:r>
        <w:rPr>
          <w:rStyle w:val="Style14"/>
          <w:rFonts w:ascii="Times New Roman" w:hAnsi="Times New Roman" w:eastAsia="標楷體"/>
          <w:u w:val="single"/>
        </w:rPr>
        <w:t xml:space="preserve">＿＿  </w:t>
      </w:r>
      <w:r>
        <w:rPr>
          <w:rStyle w:val="Style14"/>
          <w:rFonts w:ascii="Times New Roman" w:hAnsi="Times New Roman" w:eastAsia="標楷體"/>
          <w:szCs w:val="24"/>
        </w:rPr>
        <w:t>弄</w:t>
      </w:r>
      <w:r>
        <w:rPr>
          <w:rStyle w:val="Style14"/>
          <w:rFonts w:ascii="Times New Roman" w:hAnsi="Times New Roman" w:eastAsia="標楷體"/>
          <w:u w:val="single"/>
        </w:rPr>
        <w:t xml:space="preserve">     </w:t>
      </w:r>
      <w:r>
        <w:rPr>
          <w:rStyle w:val="Style14"/>
          <w:rFonts w:ascii="Times New Roman" w:hAnsi="Times New Roman" w:eastAsia="標楷體"/>
        </w:rPr>
        <w:t>號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樓</w:t>
      </w:r>
    </w:p>
    <w:p>
      <w:pPr>
        <w:pStyle w:val="BodyText"/>
        <w:spacing w:lineRule="atLeast" w:line="500"/>
        <w:ind w:firstLine="360"/>
        <w:rPr/>
      </w:pPr>
      <w:r>
        <w:rPr>
          <w:rStyle w:val="Style14"/>
          <w:rFonts w:eastAsia="標楷體"/>
        </w:rPr>
        <w:t>聯絡電話：</w:t>
      </w:r>
      <w:r>
        <w:rPr>
          <w:rStyle w:val="Style14"/>
          <w:rFonts w:eastAsia="標楷體"/>
          <w:u w:val="single"/>
        </w:rPr>
        <w:t xml:space="preserve">                                   </w:t>
      </w:r>
      <w:r>
        <w:rPr>
          <w:rStyle w:val="Style14"/>
          <w:rFonts w:eastAsia="標楷體"/>
        </w:rPr>
        <w:t>填表日期：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 xml:space="preserve">年 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月</w:t>
      </w:r>
      <w:r>
        <w:rPr>
          <w:rStyle w:val="Style14"/>
          <w:rFonts w:eastAsia="標楷體"/>
          <w:u w:val="single"/>
        </w:rPr>
        <w:t xml:space="preserve">     </w:t>
      </w:r>
      <w:r>
        <w:rPr>
          <w:rStyle w:val="Style14"/>
          <w:rFonts w:eastAsia="標楷體"/>
        </w:rPr>
        <w:t>日</w:t>
      </w:r>
    </w:p>
    <w:p>
      <w:pPr>
        <w:pStyle w:val="BodyText"/>
        <w:spacing w:lineRule="atLeast" w:line="500"/>
        <w:ind w:firstLine="360"/>
        <w:rPr/>
      </w:pPr>
      <w:r>
        <w:rPr>
          <w:rStyle w:val="Style14"/>
          <w:rFonts w:eastAsia="標楷體"/>
        </w:rPr>
        <w:t>E-mail</w:t>
      </w:r>
      <w:r>
        <w:rPr>
          <w:rStyle w:val="Style14"/>
          <w:rFonts w:eastAsia="標楷體"/>
        </w:rPr>
        <w:t>：</w:t>
      </w:r>
      <w:r>
        <w:rPr>
          <w:rStyle w:val="Style14"/>
          <w:rFonts w:eastAsia="標楷體"/>
          <w:u w:val="single"/>
        </w:rPr>
        <w:t xml:space="preserve">                              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 xml:space="preserve">醫院類別（請打 </w:t>
      </w:r>
      <w:r>
        <w:rPr>
          <w:rFonts w:eastAsia="標楷體"/>
        </w:rPr>
        <w:t xml:space="preserve">"√" </w:t>
      </w:r>
      <w:r>
        <w:rPr>
          <w:rFonts w:eastAsia="標楷體"/>
        </w:rPr>
        <w:t>）：</w:t>
      </w:r>
    </w:p>
    <w:p>
      <w:pPr>
        <w:pStyle w:val="Style21"/>
        <w:tabs>
          <w:tab w:val="clear" w:pos="480"/>
          <w:tab w:val="left" w:pos="1080" w:leader="none"/>
        </w:tabs>
        <w:spacing w:lineRule="exact" w:line="440"/>
        <w:ind w:left="360" w:hanging="0"/>
        <w:rPr/>
      </w:pPr>
      <w:r>
        <w:rPr>
          <w:rStyle w:val="Style14"/>
          <w:rFonts w:cs="Arial" w:eastAsia="標楷體"/>
        </w:rPr>
        <w:t>○</w:t>
      </w:r>
      <w:r>
        <w:rPr>
          <w:rStyle w:val="Style14"/>
          <w:rFonts w:ascii="Times New Roman" w:hAnsi="Times New Roman" w:eastAsia="標楷體"/>
        </w:rPr>
        <w:t>精神科醫院 ○綜合醫院 ○醫院 ○慢性醫院 ○其他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 xml:space="preserve">最近一次評鑑結果： </w:t>
      </w:r>
    </w:p>
    <w:p>
      <w:pPr>
        <w:pStyle w:val="Style21"/>
        <w:tabs>
          <w:tab w:val="clear" w:pos="480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2.1</w:t>
      </w:r>
      <w:r>
        <w:rPr>
          <w:rFonts w:ascii="Times New Roman" w:hAnsi="Times New Roman" w:eastAsia="標楷體"/>
        </w:rPr>
        <w:t>精神科醫院評鑑：</w:t>
      </w:r>
    </w:p>
    <w:p>
      <w:pPr>
        <w:pStyle w:val="Style21"/>
        <w:tabs>
          <w:tab w:val="clear" w:pos="480"/>
        </w:tabs>
        <w:spacing w:lineRule="exact" w:line="440"/>
        <w:ind w:left="964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新申請醫院　</w:t>
      </w:r>
    </w:p>
    <w:p>
      <w:pPr>
        <w:pStyle w:val="Style21"/>
        <w:tabs>
          <w:tab w:val="clear" w:pos="480"/>
        </w:tabs>
        <w:spacing w:lineRule="exact" w:line="440"/>
        <w:ind w:left="964" w:hanging="0"/>
        <w:rPr/>
      </w:pPr>
      <w:r>
        <w:rPr>
          <w:rStyle w:val="Style14"/>
          <w:rFonts w:ascii="Times New Roman" w:hAnsi="Times New Roman" w:eastAsia="標楷體"/>
        </w:rPr>
        <w:t>○</w:t>
      </w:r>
      <w:r>
        <w:rPr>
          <w:rStyle w:val="Style14"/>
          <w:rFonts w:ascii="Times New Roman" w:hAnsi="Times New Roman" w:eastAsia="標楷體"/>
        </w:rPr>
        <w:t>評鑑年度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年度；評鑑結果：</w:t>
      </w:r>
    </w:p>
    <w:p>
      <w:pPr>
        <w:pStyle w:val="Style21"/>
        <w:tabs>
          <w:tab w:val="clear" w:pos="480"/>
        </w:tabs>
        <w:spacing w:lineRule="exact" w:line="440"/>
        <w:ind w:left="3402" w:hanging="0"/>
        <w:rPr>
          <w:rFonts w:ascii="Times New Roman" w:hAnsi="Times New Roman" w:eastAsia="標楷體"/>
          <w:spacing w:val="-8"/>
        </w:rPr>
      </w:pPr>
      <w:r>
        <w:rPr>
          <w:rFonts w:ascii="Times New Roman" w:hAnsi="Times New Roman" w:eastAsia="標楷體"/>
          <w:spacing w:val="-8"/>
        </w:rPr>
        <w:t>○</w:t>
      </w:r>
      <w:r>
        <w:rPr>
          <w:rFonts w:ascii="Times New Roman" w:hAnsi="Times New Roman" w:eastAsia="標楷體"/>
          <w:spacing w:val="-8"/>
        </w:rPr>
        <w:t>新制精神科醫院評鑑優等○新制精神科醫院評鑑合格</w:t>
      </w:r>
    </w:p>
    <w:p>
      <w:pPr>
        <w:pStyle w:val="Style21"/>
        <w:tabs>
          <w:tab w:val="clear" w:pos="480"/>
          <w:tab w:val="left" w:pos="1080" w:leader="none"/>
        </w:tabs>
        <w:spacing w:lineRule="atLeast" w:line="0"/>
        <w:ind w:left="3402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精神科醫院評鑑優等  ○精神科醫院評鑑合格</w:t>
      </w:r>
    </w:p>
    <w:p>
      <w:pPr>
        <w:pStyle w:val="Style21"/>
        <w:tabs>
          <w:tab w:val="clear" w:pos="480"/>
        </w:tabs>
        <w:spacing w:lineRule="exact" w:line="440"/>
        <w:ind w:left="360" w:hanging="0"/>
        <w:rPr>
          <w:rFonts w:ascii="Times New Roman" w:hAnsi="Times New Roman" w:eastAsia="標楷體"/>
        </w:rPr>
      </w:pPr>
      <w:r>
        <w:rPr>
          <w:rFonts w:eastAsia="標楷體" w:ascii="Times New Roman" w:hAnsi="Times New Roman"/>
        </w:rPr>
        <w:t>2.2</w:t>
      </w:r>
      <w:r>
        <w:rPr>
          <w:rFonts w:ascii="Times New Roman" w:hAnsi="Times New Roman" w:eastAsia="標楷體"/>
        </w:rPr>
        <w:t>精神科教學醫院評鑑：</w:t>
      </w:r>
    </w:p>
    <w:p>
      <w:pPr>
        <w:pStyle w:val="Style21"/>
        <w:tabs>
          <w:tab w:val="clear" w:pos="480"/>
        </w:tabs>
        <w:spacing w:lineRule="exact" w:line="440"/>
        <w:ind w:left="964" w:hanging="0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非教學</w:t>
      </w:r>
    </w:p>
    <w:p>
      <w:pPr>
        <w:pStyle w:val="Style21"/>
        <w:tabs>
          <w:tab w:val="clear" w:pos="480"/>
        </w:tabs>
        <w:spacing w:lineRule="exact" w:line="440"/>
        <w:ind w:left="964" w:hanging="0"/>
        <w:rPr/>
      </w:pPr>
      <w:r>
        <w:rPr>
          <w:rStyle w:val="Style14"/>
          <w:rFonts w:ascii="Times New Roman" w:hAnsi="Times New Roman" w:eastAsia="標楷體"/>
        </w:rPr>
        <w:t>○</w:t>
      </w:r>
      <w:r>
        <w:rPr>
          <w:rStyle w:val="Style14"/>
          <w:rFonts w:ascii="Times New Roman" w:hAnsi="Times New Roman" w:eastAsia="標楷體"/>
        </w:rPr>
        <w:t>評鑑年度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年度；評鑑結果：</w:t>
      </w:r>
    </w:p>
    <w:p>
      <w:pPr>
        <w:pStyle w:val="Style21"/>
        <w:tabs>
          <w:tab w:val="clear" w:pos="480"/>
          <w:tab w:val="left" w:pos="1080" w:leader="none"/>
        </w:tabs>
        <w:spacing w:lineRule="atLeast" w:line="0"/>
        <w:ind w:left="3401" w:firstLine="1"/>
        <w:rPr>
          <w:rFonts w:ascii="Times New Roman" w:hAnsi="Times New Roman" w:eastAsia="標楷體"/>
        </w:rPr>
      </w:pPr>
      <w:r>
        <w:rPr>
          <w:rFonts w:ascii="Times New Roman" w:hAnsi="Times New Roman" w:eastAsia="標楷體"/>
        </w:rPr>
        <w:t>○</w:t>
      </w:r>
      <w:r>
        <w:rPr>
          <w:rFonts w:ascii="Times New Roman" w:hAnsi="Times New Roman" w:eastAsia="標楷體"/>
        </w:rPr>
        <w:t>新制精神科教學醫院評鑑優等</w:t>
      </w:r>
    </w:p>
    <w:p>
      <w:pPr>
        <w:pStyle w:val="Style21"/>
        <w:tabs>
          <w:tab w:val="clear" w:pos="480"/>
          <w:tab w:val="left" w:pos="1080" w:leader="none"/>
        </w:tabs>
        <w:spacing w:lineRule="atLeast" w:line="0"/>
        <w:ind w:left="3401" w:hanging="0"/>
        <w:rPr/>
      </w:pPr>
      <w:r>
        <w:rPr>
          <w:rStyle w:val="Style14"/>
          <w:rFonts w:ascii="Times New Roman" w:hAnsi="Times New Roman" w:eastAsia="標楷體"/>
          <w:spacing w:val="-12"/>
        </w:rPr>
        <w:t>○</w:t>
      </w:r>
      <w:r>
        <w:rPr>
          <w:rStyle w:val="Style14"/>
          <w:rFonts w:ascii="Times New Roman" w:hAnsi="Times New Roman" w:eastAsia="標楷體"/>
        </w:rPr>
        <w:t>新制精神科教學醫院評鑑合格</w:t>
      </w:r>
    </w:p>
    <w:p>
      <w:pPr>
        <w:pStyle w:val="Style21"/>
        <w:tabs>
          <w:tab w:val="clear" w:pos="480"/>
          <w:tab w:val="left" w:pos="1080" w:leader="none"/>
        </w:tabs>
        <w:spacing w:lineRule="atLeast" w:line="0"/>
        <w:ind w:left="3401" w:hanging="0"/>
        <w:rPr/>
      </w:pPr>
      <w:r>
        <w:rPr>
          <w:rStyle w:val="Style14"/>
          <w:rFonts w:ascii="Times New Roman" w:hAnsi="Times New Roman" w:eastAsia="標楷體"/>
          <w:spacing w:val="-12"/>
        </w:rPr>
        <w:t>○</w:t>
      </w:r>
      <w:r>
        <w:rPr>
          <w:rStyle w:val="Style14"/>
          <w:rFonts w:ascii="Times New Roman" w:hAnsi="Times New Roman" w:eastAsia="標楷體"/>
        </w:rPr>
        <w:t>精神科教學醫院評鑑合格</w:t>
      </w:r>
      <w:r>
        <w:rPr>
          <w:rStyle w:val="Style14"/>
          <w:rFonts w:ascii="標楷體" w:hAnsi="標楷體" w:eastAsia="標楷體"/>
        </w:rPr>
        <w:t>【</w:t>
      </w:r>
      <w:r>
        <w:rPr>
          <w:rStyle w:val="Style14"/>
          <w:rFonts w:ascii="Times New Roman" w:hAnsi="Times New Roman" w:eastAsia="標楷體"/>
          <w:spacing w:val="-12"/>
        </w:rPr>
        <w:t>醫師及醫事人員類</w:t>
      </w:r>
      <w:r>
        <w:rPr>
          <w:rStyle w:val="Style14"/>
          <w:rFonts w:ascii="標楷體" w:hAnsi="標楷體" w:eastAsia="標楷體"/>
          <w:spacing w:val="-4"/>
        </w:rPr>
        <w:t>】</w:t>
      </w:r>
    </w:p>
    <w:p>
      <w:pPr>
        <w:pStyle w:val="Style21"/>
        <w:tabs>
          <w:tab w:val="clear" w:pos="480"/>
        </w:tabs>
        <w:spacing w:lineRule="exact" w:line="440"/>
        <w:ind w:left="3401" w:hanging="0"/>
        <w:rPr/>
      </w:pPr>
      <w:r>
        <w:rPr>
          <w:rStyle w:val="Style14"/>
          <w:rFonts w:ascii="Times New Roman" w:hAnsi="Times New Roman" w:eastAsia="標楷體"/>
          <w:spacing w:val="-12"/>
        </w:rPr>
        <w:t>○</w:t>
      </w:r>
      <w:r>
        <w:rPr>
          <w:rStyle w:val="Style14"/>
          <w:rFonts w:ascii="Times New Roman" w:hAnsi="Times New Roman" w:eastAsia="標楷體"/>
        </w:rPr>
        <w:t>精神科教學醫院評鑑合格</w:t>
      </w:r>
      <w:r>
        <w:rPr>
          <w:rStyle w:val="Style14"/>
          <w:rFonts w:ascii="標楷體" w:hAnsi="標楷體" w:eastAsia="標楷體"/>
        </w:rPr>
        <w:t>【</w:t>
      </w:r>
      <w:r>
        <w:rPr>
          <w:rStyle w:val="Style14"/>
          <w:rFonts w:ascii="Times New Roman" w:hAnsi="Times New Roman" w:eastAsia="標楷體"/>
          <w:spacing w:val="-12"/>
        </w:rPr>
        <w:t>醫事人員類</w:t>
      </w:r>
      <w:r>
        <w:rPr>
          <w:rStyle w:val="Style14"/>
          <w:rFonts w:ascii="Times New Roman" w:hAnsi="Times New Roman" w:eastAsia="標楷體"/>
          <w:spacing w:val="-4"/>
        </w:rPr>
        <w:t>（非醫師）</w:t>
      </w:r>
      <w:r>
        <w:rPr>
          <w:rStyle w:val="Style14"/>
          <w:rFonts w:ascii="標楷體" w:hAnsi="標楷體" w:eastAsia="標楷體"/>
          <w:spacing w:val="-4"/>
        </w:rPr>
        <w:t>】</w:t>
      </w:r>
    </w:p>
    <w:p>
      <w:pPr>
        <w:pStyle w:val="BodyText"/>
        <w:tabs>
          <w:tab w:val="clear" w:pos="480"/>
        </w:tabs>
        <w:spacing w:lineRule="exact" w:line="400"/>
        <w:ind w:left="180" w:hanging="0"/>
        <w:rPr/>
      </w:pPr>
      <w:r>
        <w:rPr>
          <w:rStyle w:val="Style14"/>
          <w:rFonts w:eastAsia="標楷體"/>
        </w:rPr>
        <w:t>3.</w:t>
      </w:r>
      <w:r>
        <w:rPr>
          <w:rStyle w:val="Style14"/>
          <w:rFonts w:eastAsia="標楷體"/>
        </w:rPr>
        <w:t>貴院於衛生局登記開業之日期：</w:t>
      </w:r>
      <w:r>
        <w:rPr>
          <w:rStyle w:val="Style14"/>
          <w:rFonts w:eastAsia="標楷體"/>
          <w:u w:val="single"/>
        </w:rPr>
        <w:t xml:space="preserve">    </w:t>
      </w:r>
      <w:r>
        <w:rPr>
          <w:rStyle w:val="Style14"/>
          <w:rFonts w:eastAsia="標楷體"/>
        </w:rPr>
        <w:t>年</w:t>
      </w:r>
      <w:r>
        <w:rPr>
          <w:rStyle w:val="Style14"/>
          <w:rFonts w:eastAsia="標楷體"/>
          <w:u w:val="single"/>
        </w:rPr>
        <w:t xml:space="preserve">   </w:t>
      </w:r>
      <w:r>
        <w:rPr>
          <w:rStyle w:val="Style14"/>
          <w:rFonts w:eastAsia="標楷體"/>
        </w:rPr>
        <w:t>月</w:t>
      </w:r>
      <w:r>
        <w:rPr>
          <w:rStyle w:val="Style14"/>
          <w:rFonts w:eastAsia="標楷體"/>
          <w:u w:val="single"/>
        </w:rPr>
        <w:t xml:space="preserve">    </w:t>
      </w:r>
      <w:r>
        <w:rPr>
          <w:rStyle w:val="Style14"/>
          <w:rFonts w:eastAsia="標楷體"/>
        </w:rPr>
        <w:t>日；核准文號：</w:t>
      </w:r>
      <w:r>
        <w:rPr>
          <w:rStyle w:val="Style14"/>
          <w:rFonts w:eastAsia="標楷體"/>
          <w:u w:val="single"/>
        </w:rPr>
        <w:t xml:space="preserve">       </w:t>
      </w:r>
      <w:r>
        <w:rPr>
          <w:rStyle w:val="Style14"/>
          <w:rFonts w:eastAsia="標楷體"/>
        </w:rPr>
        <w:t>字</w:t>
      </w:r>
      <w:r>
        <w:rPr>
          <w:rStyle w:val="Style14"/>
          <w:rFonts w:eastAsia="標楷體"/>
          <w:u w:val="single"/>
        </w:rPr>
        <w:t xml:space="preserve">         </w:t>
      </w:r>
      <w:r>
        <w:rPr>
          <w:rStyle w:val="Style14"/>
          <w:rFonts w:eastAsia="標楷體"/>
        </w:rPr>
        <w:t>號</w:t>
      </w:r>
    </w:p>
    <w:p>
      <w:pPr>
        <w:pStyle w:val="Style21"/>
        <w:spacing w:lineRule="exact" w:line="440"/>
        <w:ind w:firstLine="362"/>
        <w:rPr/>
      </w:pPr>
      <w:r>
        <w:rPr>
          <w:rStyle w:val="Style14"/>
          <w:rFonts w:ascii="Times New Roman" w:hAnsi="Times New Roman" w:eastAsia="標楷體"/>
        </w:rPr>
        <w:t>最近一次申請開放使用床數登記之異動日期：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>年</w:t>
      </w:r>
      <w:r>
        <w:rPr>
          <w:rStyle w:val="Style14"/>
          <w:rFonts w:ascii="Times New Roman" w:hAnsi="Times New Roman" w:eastAsia="標楷體"/>
          <w:u w:val="single"/>
        </w:rPr>
        <w:t xml:space="preserve">    </w:t>
      </w:r>
      <w:r>
        <w:rPr>
          <w:rStyle w:val="Style14"/>
          <w:rFonts w:ascii="Times New Roman" w:hAnsi="Times New Roman" w:eastAsia="標楷體"/>
        </w:rPr>
        <w:t xml:space="preserve">月 </w:t>
      </w:r>
      <w:r>
        <w:rPr>
          <w:rStyle w:val="Style14"/>
          <w:rFonts w:ascii="Times New Roman" w:hAnsi="Times New Roman" w:eastAsia="標楷體"/>
          <w:u w:val="single"/>
        </w:rPr>
        <w:t xml:space="preserve">   </w:t>
      </w:r>
      <w:r>
        <w:rPr>
          <w:rStyle w:val="Style14"/>
          <w:rFonts w:ascii="Times New Roman" w:hAnsi="Times New Roman" w:eastAsia="標楷體"/>
        </w:rPr>
        <w:t>日；</w:t>
      </w:r>
    </w:p>
    <w:p>
      <w:pPr>
        <w:pStyle w:val="Style21"/>
        <w:tabs>
          <w:tab w:val="clear" w:pos="480"/>
        </w:tabs>
        <w:spacing w:lineRule="atLeast" w:line="500"/>
        <w:ind w:left="900" w:hanging="540"/>
        <w:rPr/>
      </w:pPr>
      <w:r>
        <w:rPr>
          <w:rStyle w:val="Style14"/>
          <w:rFonts w:ascii="Times New Roman" w:hAnsi="Times New Roman" w:eastAsia="標楷體"/>
        </w:rPr>
        <w:t>核准文號：</w:t>
      </w:r>
      <w:r>
        <w:rPr>
          <w:rStyle w:val="Style14"/>
          <w:rFonts w:ascii="Times New Roman" w:hAnsi="Times New Roman" w:eastAsia="標楷體"/>
          <w:u w:val="single"/>
        </w:rPr>
        <w:t xml:space="preserve">          </w:t>
      </w:r>
      <w:r>
        <w:rPr>
          <w:rStyle w:val="Style14"/>
          <w:rFonts w:ascii="Times New Roman" w:hAnsi="Times New Roman" w:eastAsia="標楷體"/>
        </w:rPr>
        <w:t>字</w:t>
      </w:r>
      <w:r>
        <w:rPr>
          <w:rStyle w:val="Style14"/>
          <w:rFonts w:ascii="Times New Roman" w:hAnsi="Times New Roman" w:eastAsia="標楷體"/>
          <w:u w:val="single"/>
        </w:rPr>
        <w:t xml:space="preserve">                   </w:t>
      </w:r>
      <w:r>
        <w:rPr>
          <w:rStyle w:val="Style14"/>
          <w:rFonts w:ascii="Times New Roman" w:hAnsi="Times New Roman" w:eastAsia="標楷體"/>
        </w:rPr>
        <w:t>號</w:t>
      </w:r>
    </w:p>
    <w:p>
      <w:pPr>
        <w:pStyle w:val="Style21"/>
        <w:numPr>
          <w:ilvl w:val="0"/>
          <w:numId w:val="3"/>
        </w:numPr>
        <w:tabs>
          <w:tab w:val="clear" w:pos="480"/>
          <w:tab w:val="left" w:pos="170" w:leader="none"/>
          <w:tab w:val="left" w:pos="370" w:leader="none"/>
        </w:tabs>
        <w:spacing w:lineRule="atLeast" w:line="500"/>
        <w:ind w:left="170" w:hanging="170"/>
        <w:rPr/>
      </w:pPr>
      <w:bookmarkStart w:id="3" w:name="OLE_LINK3"/>
      <w:bookmarkStart w:id="4" w:name="OLE_LINK2"/>
      <w:bookmarkStart w:id="5" w:name="OLE_LINK1"/>
      <w:bookmarkEnd w:id="3"/>
      <w:bookmarkEnd w:id="4"/>
      <w:bookmarkEnd w:id="5"/>
      <w:r>
        <w:rPr>
          <w:rStyle w:val="Style14"/>
          <w:rFonts w:ascii="Times New Roman" w:hAnsi="Times New Roman" w:eastAsia="標楷體"/>
          <w:b/>
          <w:bCs/>
          <w:szCs w:val="24"/>
        </w:rPr>
        <w:t>設備容量（以填表日之資料為準）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 xml:space="preserve">病床資料： </w:t>
      </w:r>
    </w:p>
    <w:tbl>
      <w:tblPr>
        <w:tblW w:w="4750" w:type="pct"/>
        <w:jc w:val="left"/>
        <w:tblInd w:w="-5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26"/>
        <w:gridCol w:w="1315"/>
        <w:gridCol w:w="3955"/>
        <w:gridCol w:w="2760"/>
      </w:tblGrid>
      <w:tr>
        <w:trPr>
          <w:trHeight w:val="232" w:hRule="atLeast"/>
        </w:trPr>
        <w:tc>
          <w:tcPr>
            <w:tcW w:w="6396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項目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開放數（床）</w:t>
            </w:r>
          </w:p>
        </w:tc>
      </w:tr>
      <w:tr>
        <w:trPr>
          <w:trHeight w:val="330" w:hRule="atLeast"/>
        </w:trPr>
        <w:tc>
          <w:tcPr>
            <w:tcW w:w="1126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一般病床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（</w:t>
            </w:r>
            <w:r>
              <w:rPr>
                <w:rStyle w:val="Style14"/>
                <w:rFonts w:eastAsia="標楷體"/>
                <w:kern w:val="0"/>
              </w:rPr>
              <w:t>1</w:t>
            </w:r>
            <w:r>
              <w:rPr>
                <w:rStyle w:val="Style14"/>
                <w:rFonts w:eastAsia="標楷體"/>
                <w:kern w:val="0"/>
              </w:rPr>
              <w:t>）</w:t>
            </w:r>
          </w:p>
        </w:tc>
        <w:tc>
          <w:tcPr>
            <w:tcW w:w="1315" w:type="dxa"/>
            <w:vMerge w:val="restart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急性病床</w:t>
            </w:r>
          </w:p>
        </w:tc>
        <w:tc>
          <w:tcPr>
            <w:tcW w:w="3955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急性一般病床</w:t>
            </w:r>
          </w:p>
        </w:tc>
        <w:tc>
          <w:tcPr>
            <w:tcW w:w="2760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精神急性一般病床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慢性病床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慢性一般病床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精神慢性一般病床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慢性結核病床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漢生病病床（慢性癩病病床）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79" w:hRule="atLeast"/>
        </w:trPr>
        <w:tc>
          <w:tcPr>
            <w:tcW w:w="1126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特殊病床</w:t>
            </w:r>
          </w:p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（</w:t>
            </w:r>
            <w:r>
              <w:rPr>
                <w:rStyle w:val="Style14"/>
                <w:rFonts w:eastAsia="標楷體"/>
                <w:kern w:val="0"/>
              </w:rPr>
              <w:t>2</w:t>
            </w:r>
            <w:r>
              <w:rPr>
                <w:rStyle w:val="Style14"/>
                <w:rFonts w:eastAsia="標楷體"/>
                <w:kern w:val="0"/>
              </w:rPr>
              <w:t>）</w:t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79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燒傷加護病床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燒傷病床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觀察床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急診觀察病床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其他觀察病床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隔離病床</w:t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普通隔離病床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正壓隔離病床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負壓隔離病床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嬰兒病床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嬰兒床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手術恢復床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血液透析床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腹膜透析病床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安寧病床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急性結核病床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精神科加護病床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產科病床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呼吸病床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亞急性呼吸照護病床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慢性呼吸照護病床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骨髓移植病床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1126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270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性侵害犯罪加害人強制治療病床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3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rPr/>
            </w:pPr>
            <w:r>
              <w:rPr>
                <w:rStyle w:val="Style14"/>
                <w:rFonts w:eastAsia="標楷體"/>
                <w:kern w:val="0"/>
              </w:rPr>
              <w:t>總病床數（</w:t>
            </w:r>
            <w:r>
              <w:rPr>
                <w:rStyle w:val="Style14"/>
                <w:rFonts w:eastAsia="標楷體"/>
                <w:kern w:val="0"/>
              </w:rPr>
              <w:t>1</w:t>
            </w:r>
            <w:r>
              <w:rPr>
                <w:rStyle w:val="Style14"/>
                <w:rFonts w:eastAsia="標楷體"/>
                <w:kern w:val="0"/>
              </w:rPr>
              <w:t>）</w:t>
            </w:r>
            <w:r>
              <w:rPr>
                <w:rStyle w:val="Style14"/>
                <w:rFonts w:eastAsia="標楷體"/>
                <w:kern w:val="0"/>
              </w:rPr>
              <w:t>+</w:t>
            </w:r>
            <w:r>
              <w:rPr>
                <w:rStyle w:val="Style14"/>
                <w:rFonts w:eastAsia="標楷體"/>
                <w:kern w:val="0"/>
              </w:rPr>
              <w:t>（</w:t>
            </w:r>
            <w:r>
              <w:rPr>
                <w:rStyle w:val="Style14"/>
                <w:rFonts w:eastAsia="標楷體"/>
                <w:kern w:val="0"/>
              </w:rPr>
              <w:t>2</w:t>
            </w:r>
            <w:r>
              <w:rPr>
                <w:rStyle w:val="Style14"/>
                <w:rFonts w:eastAsia="標楷體"/>
                <w:kern w:val="0"/>
              </w:rPr>
              <w:t>）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備註：</w:t>
      </w:r>
      <w:r>
        <w:rPr>
          <w:rStyle w:val="Style14"/>
          <w:rFonts w:eastAsia="標楷體"/>
          <w:b/>
          <w:kern w:val="0"/>
          <w:sz w:val="20"/>
          <w:szCs w:val="20"/>
        </w:rPr>
        <w:t>開放數</w:t>
      </w:r>
      <w:r>
        <w:rPr>
          <w:rStyle w:val="Style14"/>
          <w:rFonts w:eastAsia="標楷體"/>
          <w:b/>
          <w:kern w:val="0"/>
          <w:sz w:val="20"/>
          <w:szCs w:val="20"/>
        </w:rPr>
        <w:t>-</w:t>
      </w:r>
      <w:r>
        <w:rPr>
          <w:rStyle w:val="Style14"/>
          <w:rFonts w:eastAsia="標楷體"/>
          <w:b/>
          <w:sz w:val="20"/>
          <w:szCs w:val="20"/>
        </w:rPr>
        <w:t>以衛生局登記之開放床數計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357" w:hanging="0"/>
        <w:jc w:val="both"/>
        <w:rPr/>
      </w:pPr>
      <w:r>
        <w:rPr>
          <w:rStyle w:val="Style14"/>
          <w:rFonts w:eastAsia="標楷體"/>
        </w:rPr>
        <w:t>2.</w:t>
      </w:r>
      <w:r>
        <w:rPr>
          <w:rStyle w:val="Style14"/>
          <w:rFonts w:ascii="標楷體" w:hAnsi="標楷體" w:eastAsia="標楷體"/>
        </w:rPr>
        <w:t>其他醫療相關設備或機構</w:t>
      </w:r>
    </w:p>
    <w:tbl>
      <w:tblPr>
        <w:tblW w:w="4700" w:type="pct"/>
        <w:jc w:val="left"/>
        <w:tblInd w:w="49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519"/>
        <w:gridCol w:w="2540"/>
      </w:tblGrid>
      <w:tr>
        <w:trPr>
          <w:tblHeader w:val="true"/>
          <w:trHeight w:val="232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項目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開放數</w:t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診察室（間）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精神科日間照護單位（人數）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/>
            </w:pPr>
            <w:r>
              <w:rPr>
                <w:rStyle w:val="Style14"/>
                <w:rFonts w:eastAsia="標楷體"/>
              </w:rPr>
              <w:t>日間照護（人數）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  <w:tr>
        <w:trPr>
          <w:trHeight w:val="330" w:hRule="atLeast"/>
        </w:trPr>
        <w:tc>
          <w:tcPr>
            <w:tcW w:w="65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救護車（輛）</w:t>
            </w:r>
          </w:p>
        </w:tc>
        <w:tc>
          <w:tcPr>
            <w:tcW w:w="254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</w:tr>
    </w:tbl>
    <w:p>
      <w:pPr>
        <w:pStyle w:val="BodyText"/>
        <w:rPr/>
      </w:pPr>
      <w:r>
        <w:rPr/>
      </w:r>
    </w:p>
    <w:tbl>
      <w:tblPr>
        <w:tblW w:w="4700" w:type="pct"/>
        <w:jc w:val="left"/>
        <w:tblInd w:w="499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361"/>
        <w:gridCol w:w="2966"/>
        <w:gridCol w:w="2183"/>
        <w:gridCol w:w="2549"/>
      </w:tblGrid>
      <w:tr>
        <w:trPr>
          <w:trHeight w:val="330" w:hRule="atLeast"/>
        </w:trPr>
        <w:tc>
          <w:tcPr>
            <w:tcW w:w="4327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項目</w:t>
            </w:r>
          </w:p>
        </w:tc>
        <w:tc>
          <w:tcPr>
            <w:tcW w:w="218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eastAsia="標楷體"/>
                <w:kern w:val="0"/>
              </w:rPr>
              <w:t>開放數</w:t>
            </w:r>
            <w:r>
              <w:rPr>
                <w:rStyle w:val="Style14"/>
                <w:rFonts w:eastAsia="標楷體"/>
                <w:kern w:val="0"/>
              </w:rPr>
              <w:t>/</w:t>
            </w:r>
            <w:r>
              <w:rPr>
                <w:rStyle w:val="Style14"/>
                <w:rFonts w:eastAsia="標楷體"/>
                <w:kern w:val="0"/>
              </w:rPr>
              <w:t>核可數量</w:t>
            </w:r>
          </w:p>
        </w:tc>
        <w:tc>
          <w:tcPr>
            <w:tcW w:w="254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t>是否設在醫院建物內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restart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附設機構</w:t>
            </w:r>
          </w:p>
        </w:tc>
        <w:tc>
          <w:tcPr>
            <w:tcW w:w="2966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一般護理之家（床）</w:t>
            </w:r>
          </w:p>
        </w:tc>
        <w:tc>
          <w:tcPr>
            <w:tcW w:w="218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精神護理之家（床）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ascii="標楷體" w:hAnsi="標楷體" w:eastAsia="標楷體"/>
                <w:kern w:val="0"/>
              </w:rPr>
            </w:pPr>
            <w:r>
              <w:rPr>
                <w:rFonts w:ascii="標楷體" w:hAnsi="標楷體" w:eastAsia="標楷體"/>
                <w:kern w:val="0"/>
              </w:rPr>
              <w:t>□</w:t>
            </w:r>
            <w:r>
              <w:rPr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日間照護最大容量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產後護理（床）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居家護理最大收案量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日間型精神復健機構服務量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1361" w:type="dxa"/>
            <w:vMerge w:val="continue"/>
            <w:tcBorders>
              <w:top w:val="doub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住宿型精神復健機構床位數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  <w:tr>
        <w:trPr>
          <w:trHeight w:val="330" w:hRule="atLeast"/>
        </w:trPr>
        <w:tc>
          <w:tcPr>
            <w:tcW w:w="4327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rPr>
                <w:rFonts w:eastAsia="標楷體"/>
              </w:rPr>
            </w:pPr>
            <w:r>
              <w:rPr>
                <w:rFonts w:eastAsia="標楷體"/>
              </w:rPr>
              <w:t>養護床服務量</w:t>
            </w:r>
          </w:p>
        </w:tc>
        <w:tc>
          <w:tcPr>
            <w:tcW w:w="218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</w:r>
          </w:p>
        </w:tc>
        <w:tc>
          <w:tcPr>
            <w:tcW w:w="254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/>
              <w:spacing w:lineRule="atLeast" w:line="24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</w:rPr>
              <w:t>□</w:t>
            </w:r>
            <w:r>
              <w:rPr>
                <w:rStyle w:val="Style14"/>
                <w:rFonts w:ascii="標楷體" w:hAnsi="標楷體" w:eastAsia="標楷體"/>
                <w:kern w:val="0"/>
              </w:rPr>
              <w:t>是  □否</w:t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備註：開放數</w:t>
      </w:r>
      <w:r>
        <w:rPr>
          <w:rFonts w:eastAsia="標楷體"/>
          <w:b/>
          <w:sz w:val="20"/>
          <w:szCs w:val="20"/>
        </w:rPr>
        <w:t>-</w:t>
      </w:r>
      <w:r>
        <w:rPr>
          <w:rFonts w:eastAsia="標楷體"/>
          <w:b/>
          <w:sz w:val="20"/>
          <w:szCs w:val="20"/>
        </w:rPr>
        <w:t>係指於衛生局登記開放數</w:t>
      </w:r>
      <w:r>
        <w:br w:type="page"/>
      </w:r>
    </w:p>
    <w:p>
      <w:pPr>
        <w:pStyle w:val="Style21"/>
        <w:numPr>
          <w:ilvl w:val="0"/>
          <w:numId w:val="3"/>
        </w:numPr>
        <w:tabs>
          <w:tab w:val="clear" w:pos="480"/>
          <w:tab w:val="left" w:pos="170" w:leader="none"/>
          <w:tab w:val="left" w:pos="370" w:leader="none"/>
        </w:tabs>
        <w:spacing w:lineRule="atLeast" w:line="500" w:before="0" w:after="36"/>
        <w:ind w:left="170" w:hanging="170"/>
        <w:rPr/>
      </w:pPr>
      <w:r>
        <w:rPr>
          <w:rStyle w:val="Style14"/>
          <w:rFonts w:eastAsia="標楷體"/>
          <w:b/>
          <w:bCs/>
        </w:rPr>
        <w:t>醫院員工人數統計</w:t>
      </w:r>
      <w:r>
        <w:rPr>
          <w:rStyle w:val="Style14"/>
          <w:rFonts w:eastAsia="標楷體"/>
          <w:b/>
        </w:rPr>
        <w:t>（以填表日之資料為準）</w:t>
      </w:r>
    </w:p>
    <w:p>
      <w:pPr>
        <w:pStyle w:val="BodyText"/>
        <w:spacing w:lineRule="atLeast" w:line="500"/>
        <w:ind w:right="-720" w:firstLine="180"/>
        <w:rPr/>
      </w:pPr>
      <w:r>
        <w:rPr>
          <w:rStyle w:val="Style14"/>
          <w:rFonts w:eastAsia="標楷體"/>
        </w:rPr>
        <w:t>1.</w:t>
      </w:r>
      <w:r>
        <w:rPr>
          <w:rStyle w:val="Style14"/>
          <w:rFonts w:ascii="標楷體" w:hAnsi="標楷體" w:eastAsia="標楷體"/>
        </w:rPr>
        <w:t>醫師人數：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124"/>
        <w:gridCol w:w="3016"/>
        <w:gridCol w:w="3016"/>
      </w:tblGrid>
      <w:tr>
        <w:trPr>
          <w:trHeight w:val="70" w:hRule="atLeast"/>
          <w:cantSplit w:val="true"/>
        </w:trPr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分      類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專任人數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napToGrid w:val="false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兼任人數</w:t>
            </w:r>
          </w:p>
        </w:tc>
      </w:tr>
      <w:tr>
        <w:trPr>
          <w:trHeight w:val="70" w:hRule="atLeast"/>
          <w:cantSplit w:val="true"/>
        </w:trPr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主  治  醫  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70" w:hRule="atLeast"/>
          <w:cantSplit w:val="true"/>
        </w:trPr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住  院  醫  師</w:t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3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1.</w:t>
      </w:r>
      <w:r>
        <w:rPr>
          <w:rStyle w:val="Style14"/>
          <w:rFonts w:eastAsia="標楷體"/>
          <w:b/>
          <w:sz w:val="20"/>
          <w:szCs w:val="20"/>
        </w:rPr>
        <w:t>指領有中央主管機關核發之醫師証書者。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2.</w:t>
        <w:tab/>
      </w:r>
      <w:r>
        <w:rPr>
          <w:rStyle w:val="Style14"/>
          <w:rFonts w:eastAsia="標楷體"/>
          <w:b/>
          <w:sz w:val="20"/>
          <w:szCs w:val="20"/>
        </w:rPr>
        <w:t>兼任人員：依醫療機構設置標準第二十條規定事先報准之時數，每週達</w:t>
      </w:r>
      <w:r>
        <w:rPr>
          <w:rStyle w:val="Style14"/>
          <w:rFonts w:eastAsia="標楷體"/>
          <w:b/>
          <w:sz w:val="20"/>
          <w:szCs w:val="20"/>
        </w:rPr>
        <w:t>44</w:t>
      </w:r>
      <w:r>
        <w:rPr>
          <w:rStyle w:val="Style14"/>
          <w:rFonts w:eastAsia="標楷體"/>
          <w:b/>
          <w:sz w:val="20"/>
          <w:szCs w:val="20"/>
        </w:rPr>
        <w:t>小時者，得折算醫師人力一人。</w:t>
      </w:r>
    </w:p>
    <w:p>
      <w:pPr>
        <w:pStyle w:val="BodyText"/>
        <w:spacing w:lineRule="atLeast" w:line="500"/>
        <w:ind w:right="-720" w:firstLine="180"/>
        <w:rPr>
          <w:rFonts w:eastAsia="標楷體"/>
        </w:rPr>
      </w:pPr>
      <w:r>
        <w:rPr>
          <w:rFonts w:eastAsia="標楷體"/>
        </w:rPr>
        <w:t>2.</w:t>
      </w:r>
      <w:r>
        <w:rPr>
          <w:rFonts w:eastAsia="標楷體"/>
        </w:rPr>
        <w:t>專科醫師數：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72"/>
        <w:gridCol w:w="1073"/>
        <w:gridCol w:w="1074"/>
        <w:gridCol w:w="1074"/>
        <w:gridCol w:w="1074"/>
        <w:gridCol w:w="1610"/>
        <w:gridCol w:w="1379"/>
      </w:tblGrid>
      <w:tr>
        <w:trPr>
          <w:tblHeader w:val="true"/>
          <w:trHeight w:val="425" w:hRule="atLeast"/>
          <w:cantSplit w:val="true"/>
        </w:trPr>
        <w:tc>
          <w:tcPr>
            <w:tcW w:w="18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 科 分 類</w:t>
            </w:r>
          </w:p>
        </w:tc>
        <w:tc>
          <w:tcPr>
            <w:tcW w:w="214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主治醫師人數</w:t>
            </w:r>
          </w:p>
        </w:tc>
        <w:tc>
          <w:tcPr>
            <w:tcW w:w="214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專科醫師人數</w:t>
            </w:r>
            <w:r>
              <w:rPr>
                <w:rStyle w:val="Style14"/>
                <w:rFonts w:eastAsia="標楷體" w:ascii="Times New Roman" w:hAnsi="Times New Roman"/>
                <w:position w:val="6"/>
                <w:sz w:val="16"/>
                <w:szCs w:val="24"/>
                <w:lang w:val="en-US" w:eastAsia="zh-TW"/>
              </w:rPr>
              <w:t>1</w:t>
            </w:r>
          </w:p>
        </w:tc>
        <w:tc>
          <w:tcPr>
            <w:tcW w:w="16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醫院具訓練該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專科醫師資格</w:t>
            </w:r>
          </w:p>
        </w:tc>
        <w:tc>
          <w:tcPr>
            <w:tcW w:w="1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現有住院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醫師人數</w:t>
            </w:r>
          </w:p>
        </w:tc>
      </w:tr>
      <w:tr>
        <w:trPr>
          <w:tblHeader w:val="true"/>
          <w:trHeight w:val="243" w:hRule="atLeast"/>
          <w:cantSplit w:val="true"/>
        </w:trPr>
        <w:tc>
          <w:tcPr>
            <w:tcW w:w="18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專任</w:t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兼任</w:t>
            </w:r>
          </w:p>
        </w:tc>
        <w:tc>
          <w:tcPr>
            <w:tcW w:w="161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7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36" w:hRule="atLeast"/>
          <w:cantSplit w:val="true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lang w:val="en-US" w:eastAsia="zh-TW"/>
              </w:rPr>
              <w:t>是  ○否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  <w:tr>
        <w:trPr>
          <w:trHeight w:val="336" w:hRule="atLeast"/>
          <w:cantSplit w:val="true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0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1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○</w:t>
            </w:r>
            <w:r>
              <w:rPr>
                <w:rFonts w:ascii="Times New Roman" w:hAnsi="Times New Roman" w:eastAsia="標楷體"/>
                <w:lang w:val="en-US" w:eastAsia="zh-TW"/>
              </w:rPr>
              <w:t>是  ○否</w:t>
            </w:r>
          </w:p>
        </w:tc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bookmarkStart w:id="6" w:name="OLE_LINK5"/>
      <w:bookmarkEnd w:id="6"/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1.</w:t>
      </w:r>
      <w:r>
        <w:rPr>
          <w:rStyle w:val="Style14"/>
          <w:rFonts w:eastAsia="標楷體"/>
          <w:b/>
          <w:sz w:val="20"/>
          <w:szCs w:val="20"/>
        </w:rPr>
        <w:t>專科醫師人數：指領有中央衛生主管機關核發之專科醫師證書者。</w:t>
      </w:r>
      <w:r>
        <w:rPr>
          <w:rStyle w:val="Style14"/>
          <w:rFonts w:eastAsia="標楷體"/>
          <w:b/>
          <w:sz w:val="20"/>
          <w:szCs w:val="20"/>
          <w:u w:val="single"/>
        </w:rPr>
        <w:t>若一人領有二科以上專科醫師證書，則以其執業登記科別計算</w:t>
      </w:r>
      <w:r>
        <w:rPr>
          <w:rStyle w:val="Style14"/>
          <w:rFonts w:eastAsia="標楷體"/>
          <w:b/>
          <w:sz w:val="20"/>
          <w:szCs w:val="20"/>
        </w:rPr>
        <w:t>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住院醫師具專科醫師資格，則於「專科醫師人數」與「現有住院醫師人數」兩欄位均得列入計算，住院醫師中具專科醫師證書者，得以括號（）表示。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住院醫師資格之認定，以正在接受部定專科醫師訓練的醫師為主（不包含次專科訓練）。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主治醫師之認定係由醫院進行人事命令之頒布，或由醫院指派任命之，其中主治醫師需已具備專科醫師資格。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如表格篇幅不足，請自行增列。</w:t>
      </w:r>
    </w:p>
    <w:p>
      <w:pPr>
        <w:pStyle w:val="BodyText"/>
        <w:spacing w:lineRule="atLeast" w:line="500"/>
        <w:ind w:right="-720" w:firstLine="180"/>
        <w:rPr>
          <w:rFonts w:eastAsia="標楷體"/>
        </w:rPr>
      </w:pPr>
      <w:bookmarkStart w:id="7" w:name="OLE_LINK5"/>
      <w:bookmarkEnd w:id="7"/>
      <w:r>
        <w:rPr>
          <w:rFonts w:eastAsia="標楷體"/>
        </w:rPr>
        <w:t xml:space="preserve">3. </w:t>
      </w:r>
      <w:r>
        <w:rPr>
          <w:rFonts w:eastAsia="標楷體"/>
        </w:rPr>
        <w:t>其他醫事專門職業人員及行政人員數：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3298"/>
        <w:gridCol w:w="2970"/>
        <w:gridCol w:w="2865"/>
        <w:gridCol w:w="23"/>
      </w:tblGrid>
      <w:tr>
        <w:trPr>
          <w:tblHeader w:val="true"/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ascii="標楷體" w:hAnsi="標楷體" w:eastAsia="標楷體"/>
                <w:szCs w:val="24"/>
                <w:lang w:val="en-US" w:eastAsia="zh-TW"/>
              </w:rPr>
              <w:t>類          別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ascii="標楷體" w:hAnsi="標楷體" w:eastAsia="標楷體"/>
                <w:szCs w:val="24"/>
                <w:lang w:val="en-US" w:eastAsia="zh-TW"/>
              </w:rPr>
              <w:t>專任人數</w:t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napToGrid w:val="false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ascii="標楷體" w:hAnsi="標楷體" w:eastAsia="標楷體"/>
                <w:szCs w:val="24"/>
                <w:lang w:val="en-US" w:eastAsia="zh-TW"/>
              </w:rPr>
              <w:t>兼任人數</w:t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語言治療師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ascii="標楷體" w:hAnsi="標楷體" w:eastAsia="標楷體" w:cs="新細明體"/>
              </w:rPr>
            </w:pPr>
            <w:r>
              <w:rPr>
                <w:rFonts w:ascii="標楷體" w:hAnsi="標楷體" w:cs="新細明體" w:eastAsia="標楷體"/>
              </w:rPr>
              <w:t>聽力師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ascii="標楷體" w:hAnsi="標楷體" w:eastAsia="標楷體" w:cs="新細明體"/>
              </w:rPr>
            </w:pPr>
            <w:r>
              <w:rPr>
                <w:rFonts w:ascii="標楷體" w:hAnsi="標楷體" w:cs="新細明體" w:eastAsia="標楷體"/>
              </w:rPr>
              <w:t>牙體技術師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藥師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藥劑生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護理師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護士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助產士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助產師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醫事放射師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醫事放射士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醫事檢驗師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醫事檢驗生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鑲牙生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中藥員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齒模員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接骨員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物理治療師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物理治療生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職能治療師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職能治療生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呼吸治療師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諮商心理師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臨床心理師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</w:rPr>
              <w:t>營養師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精神醫療社會工作師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精神醫療社會工作人員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病歷管理人員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工程技術人員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資訊技術人員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其他技術人員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醫務行政人員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行政人員（請列述之）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1.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2.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3.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4.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5.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BodyText"/>
              <w:spacing w:lineRule="atLeast" w:line="0"/>
              <w:rPr>
                <w:rFonts w:eastAsia="標楷體"/>
              </w:rPr>
            </w:pPr>
            <w:r>
              <w:rPr>
                <w:rFonts w:eastAsia="標楷體"/>
              </w:rPr>
              <w:t>技工、工友、司機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3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ascii="標楷體" w:hAnsi="標楷體" w:eastAsia="標楷體"/>
                <w:szCs w:val="24"/>
                <w:lang w:val="en-US" w:eastAsia="zh-TW"/>
              </w:rPr>
              <w:t>合計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  <w:tc>
          <w:tcPr>
            <w:tcW w:w="28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eastAsia="標楷體" w:ascii="標楷體" w:hAnsi="標楷體"/>
                <w:szCs w:val="24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bookmarkStart w:id="8" w:name="OLE_LINK6"/>
      <w:bookmarkEnd w:id="8"/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1.</w:t>
      </w:r>
      <w:r>
        <w:rPr>
          <w:rStyle w:val="Style14"/>
          <w:rFonts w:eastAsia="標楷體"/>
          <w:b/>
          <w:sz w:val="20"/>
          <w:szCs w:val="20"/>
        </w:rPr>
        <w:t>指領有中央主管機關核發之語言治療師、聽力師、牙體技術師、藥師、藥劑生、護理師、護士、助產士、助產師、醫事放射師、醫事放射士、醫事檢驗師、醫事檢驗生、鑲牙生、中藥員、齒模員、接骨員、物理治療師、物理治療生、職能治療師、職能治療生、呼吸治療師、諮商心理師、臨床心理師、營養師証書者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如具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種以上資格，應以其執業登記者填報。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兼任人員：係指特約、調用、外包或臨時雇用，不屬長期性之人員。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bookmarkStart w:id="9" w:name="OLE_LINK6"/>
      <w:bookmarkEnd w:id="9"/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「行政人員」之證照可包含會計、財務、管理、工程、資訊等專業證照，或相關學協會頒予認證，如：疾病分類技術人員、病歷管理師、癌症登記技術人員、醫務管理師、健康保險技術員、健康保險管理師、醫品師等；欄位不足者，請自行新增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無證照者以括號（）表示。</w:t>
      </w:r>
      <w:r>
        <w:br w:type="page"/>
      </w:r>
    </w:p>
    <w:p>
      <w:pPr>
        <w:pStyle w:val="Style21"/>
        <w:numPr>
          <w:ilvl w:val="0"/>
          <w:numId w:val="3"/>
        </w:numPr>
        <w:tabs>
          <w:tab w:val="clear" w:pos="480"/>
          <w:tab w:val="left" w:pos="170" w:leader="none"/>
          <w:tab w:val="left" w:pos="370" w:leader="none"/>
        </w:tabs>
        <w:spacing w:lineRule="atLeast" w:line="500" w:before="0" w:after="36"/>
        <w:ind w:left="170" w:hanging="170"/>
        <w:rPr/>
      </w:pPr>
      <w:r>
        <w:rPr>
          <w:rStyle w:val="Style14"/>
          <w:rFonts w:ascii="Times New Roman" w:hAnsi="Times New Roman" w:eastAsia="標楷體"/>
          <w:b/>
          <w:szCs w:val="24"/>
        </w:rPr>
        <w:t>醫療業務統計</w:t>
      </w:r>
    </w:p>
    <w:p>
      <w:pPr>
        <w:pStyle w:val="BodyText"/>
        <w:spacing w:lineRule="atLeast" w:line="500"/>
        <w:ind w:right="-720" w:firstLine="180"/>
        <w:rPr>
          <w:rFonts w:eastAsia="標楷體"/>
        </w:rPr>
      </w:pPr>
      <w:r>
        <w:rPr>
          <w:rFonts w:eastAsia="標楷體"/>
        </w:rPr>
        <w:t>1.</w:t>
      </w:r>
      <w:r>
        <w:rPr>
          <w:rFonts w:eastAsia="標楷體"/>
        </w:rPr>
        <w:t>門、急診業務量統計</w:t>
      </w:r>
    </w:p>
    <w:tbl>
      <w:tblPr>
        <w:tblW w:w="9147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98"/>
        <w:gridCol w:w="1319"/>
        <w:gridCol w:w="2210"/>
        <w:gridCol w:w="2210"/>
        <w:gridCol w:w="2210"/>
      </w:tblGrid>
      <w:tr>
        <w:trPr>
          <w:tblHeader w:val="true"/>
          <w:trHeight w:val="748" w:hRule="atLeast"/>
          <w:cantSplit w:val="true"/>
        </w:trPr>
        <w:tc>
          <w:tcPr>
            <w:tcW w:w="2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ascii="Times New Roman" w:hAnsi="Times New Roman" w:eastAsia="標楷體"/>
                <w:sz w:val="20"/>
                <w:lang w:val="en-US" w:eastAsia="zh-TW"/>
              </w:rPr>
              <w:t xml:space="preserve">           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年度別</w:t>
            </w:r>
            <w:r>
              <w:rPr>
                <w:rStyle w:val="Style14"/>
                <w:rFonts w:eastAsia="標楷體" w:ascii="Times New Roman" w:hAnsi="Times New Roman"/>
                <w:lang w:val="en-US" w:eastAsia="zh-TW"/>
              </w:rPr>
              <w:t>-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 xml:space="preserve">項目     </w:t>
            </w:r>
            <w:r>
              <w:rPr>
                <w:rStyle w:val="Style14"/>
                <w:rFonts w:ascii="Times New Roman" w:hAnsi="Times New Roman" w:eastAsia="標楷體"/>
                <w:sz w:val="20"/>
                <w:lang w:val="en-US" w:eastAsia="zh-TW"/>
              </w:rPr>
              <w:t xml:space="preserve">  </w:t>
            </w:r>
          </w:p>
        </w:tc>
        <w:tc>
          <w:tcPr>
            <w:tcW w:w="221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18"/>
                <w:lang w:val="en-US" w:eastAsia="zh-TW"/>
              </w:rPr>
            </w:pP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全年門診人次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初  診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複  診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平均每日門診人次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初  診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複  診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全年急診人次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日  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小夜班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大夜班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平均每日急診人次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日  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小夜班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大夜班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119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合  計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0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0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rPr/>
      </w:pPr>
      <w:r>
        <w:rPr/>
        <w:t xml:space="preserve">  </w:t>
      </w:r>
      <w:r>
        <w:rPr>
          <w:rStyle w:val="Style14"/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全年門診人次：全年前往醫院經掛號後，實際就診各科別門診人次</w:t>
      </w:r>
      <w:r>
        <w:rPr>
          <w:rFonts w:eastAsia="標楷體"/>
          <w:b/>
          <w:sz w:val="20"/>
          <w:szCs w:val="20"/>
        </w:rPr>
        <w:t>(</w:t>
      </w:r>
      <w:r>
        <w:rPr>
          <w:rFonts w:eastAsia="標楷體"/>
          <w:b/>
          <w:sz w:val="20"/>
          <w:szCs w:val="20"/>
        </w:rPr>
        <w:t>含夜間門診及假日門診</w:t>
      </w:r>
      <w:r>
        <w:rPr>
          <w:rFonts w:eastAsia="標楷體"/>
          <w:b/>
          <w:sz w:val="20"/>
          <w:szCs w:val="20"/>
        </w:rPr>
        <w:t>)</w:t>
      </w:r>
      <w:r>
        <w:rPr>
          <w:rFonts w:eastAsia="標楷體"/>
          <w:b/>
          <w:sz w:val="20"/>
          <w:szCs w:val="20"/>
        </w:rPr>
        <w:t>之累計。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88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(1)</w:t>
      </w:r>
      <w:r>
        <w:rPr>
          <w:rFonts w:eastAsia="標楷體"/>
          <w:b/>
          <w:sz w:val="20"/>
          <w:szCs w:val="20"/>
        </w:rPr>
        <w:t>包括初診、複診在內，但不含急診人次與門診體格檢查之人次。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88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(2)</w:t>
      </w:r>
      <w:r>
        <w:rPr>
          <w:rFonts w:eastAsia="標楷體"/>
          <w:b/>
          <w:sz w:val="20"/>
          <w:szCs w:val="20"/>
        </w:rPr>
        <w:t>如同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人掛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科或就診某科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次，即以</w:t>
      </w:r>
      <w:r>
        <w:rPr>
          <w:rFonts w:eastAsia="標楷體"/>
          <w:b/>
          <w:sz w:val="20"/>
          <w:szCs w:val="20"/>
        </w:rPr>
        <w:t>2</w:t>
      </w:r>
      <w:r>
        <w:rPr>
          <w:rFonts w:eastAsia="標楷體"/>
          <w:b/>
          <w:sz w:val="20"/>
          <w:szCs w:val="20"/>
        </w:rPr>
        <w:t>人次累計。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平均每日門診人次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全年門診人次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全年實際門診日數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全年急診人次：全年急診掛號，且實際完成就診人次之累計。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88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(1)</w:t>
      </w:r>
      <w:r>
        <w:rPr>
          <w:rFonts w:eastAsia="標楷體"/>
          <w:b/>
          <w:sz w:val="20"/>
          <w:szCs w:val="20"/>
        </w:rPr>
        <w:t>夜間門診不列入急診。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88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(2)</w:t>
      </w:r>
      <w:r>
        <w:rPr>
          <w:rFonts w:eastAsia="標楷體"/>
          <w:b/>
          <w:sz w:val="20"/>
          <w:szCs w:val="20"/>
        </w:rPr>
        <w:t>夜間至急診處就診視為急診。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平均每日急診人次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急診人次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全年實際開急診總日數</w:t>
      </w:r>
    </w:p>
    <w:p>
      <w:pPr>
        <w:pStyle w:val="BodyText"/>
        <w:spacing w:lineRule="atLeast" w:line="500"/>
        <w:rPr/>
      </w:pPr>
      <w:r>
        <w:rPr/>
        <w:t xml:space="preserve">  </w:t>
      </w:r>
      <w:r>
        <w:rPr>
          <w:rStyle w:val="Style14"/>
          <w:rFonts w:eastAsia="標楷體"/>
        </w:rPr>
        <w:t>2.</w:t>
      </w:r>
      <w:r>
        <w:rPr>
          <w:rStyle w:val="Style14"/>
          <w:rFonts w:eastAsia="標楷體"/>
        </w:rPr>
        <w:t>住</w:t>
      </w:r>
      <w:r>
        <w:rPr>
          <w:rStyle w:val="Style14"/>
          <w:rFonts w:ascii="標楷體" w:hAnsi="標楷體" w:eastAsia="標楷體"/>
        </w:rPr>
        <w:t>院業務</w:t>
      </w:r>
    </w:p>
    <w:p>
      <w:pPr>
        <w:pStyle w:val="BodyText"/>
        <w:tabs>
          <w:tab w:val="clear" w:pos="480"/>
        </w:tabs>
        <w:spacing w:lineRule="exact" w:line="440"/>
        <w:ind w:left="480" w:hanging="0"/>
        <w:rPr/>
      </w:pPr>
      <w:r>
        <w:rPr>
          <w:rStyle w:val="Style14"/>
          <w:rFonts w:eastAsia="標楷體"/>
        </w:rPr>
        <w:t>2.1.</w:t>
      </w:r>
      <w:r>
        <w:rPr>
          <w:rStyle w:val="Style14"/>
          <w:rFonts w:ascii="標楷體" w:hAnsi="標楷體" w:eastAsia="標楷體"/>
        </w:rPr>
        <w:t>病床數（應以衛生局登記之開放床數計）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65"/>
        <w:gridCol w:w="2067"/>
        <w:gridCol w:w="23"/>
        <w:gridCol w:w="2139"/>
        <w:gridCol w:w="2141"/>
        <w:gridCol w:w="2121"/>
      </w:tblGrid>
      <w:tr>
        <w:trPr>
          <w:tblHeader w:val="true"/>
          <w:trHeight w:val="20" w:hRule="atLeast"/>
          <w:cantSplit w:val="true"/>
        </w:trPr>
        <w:tc>
          <w:tcPr>
            <w:tcW w:w="273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  <w:lang w:val="en-US" w:eastAsia="zh-TW"/>
              </w:rPr>
              <w:t>年度別</w:t>
            </w:r>
            <w:r>
              <w:rPr>
                <w:rStyle w:val="Style14"/>
                <w:rFonts w:eastAsia="標楷體"/>
                <w:lang w:val="en-US" w:eastAsia="zh-TW"/>
              </w:rPr>
              <w:t>-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424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szCs w:val="24"/>
                <w:lang w:val="en-US" w:eastAsia="zh-TW"/>
              </w:rPr>
              <w:t>病床數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73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6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18"/>
                <w:lang w:val="en-US" w:eastAsia="zh-TW"/>
              </w:rPr>
            </w:pP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</w:tr>
      <w:tr>
        <w:trPr>
          <w:trHeight w:val="435" w:hRule="atLeast"/>
          <w:cantSplit w:val="true"/>
        </w:trPr>
        <w:tc>
          <w:tcPr>
            <w:tcW w:w="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lang w:val="en-US" w:eastAsia="zh-TW"/>
              </w:rPr>
              <w:t>精神急性一般病床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3" w:hRule="atLeast"/>
          <w:cantSplit w:val="true"/>
        </w:trPr>
        <w:tc>
          <w:tcPr>
            <w:tcW w:w="6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6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精神加護病床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27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1035" w:leader="none"/>
        </w:tabs>
        <w:spacing w:lineRule="atLeast" w:line="0"/>
        <w:ind w:left="1035" w:hanging="555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  <w:t>2.2.</w:t>
      </w:r>
      <w:r>
        <w:rPr>
          <w:rFonts w:eastAsia="標楷體"/>
        </w:rPr>
        <w:t>全年住院人次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6"/>
        <w:gridCol w:w="2059"/>
        <w:gridCol w:w="2117"/>
        <w:gridCol w:w="23"/>
        <w:gridCol w:w="2121"/>
        <w:gridCol w:w="23"/>
        <w:gridCol w:w="2137"/>
      </w:tblGrid>
      <w:tr>
        <w:trPr>
          <w:tblHeader w:val="true"/>
          <w:trHeight w:val="20" w:hRule="atLeast"/>
          <w:cantSplit w:val="true"/>
        </w:trPr>
        <w:tc>
          <w:tcPr>
            <w:tcW w:w="2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  <w:lang w:val="en-US" w:eastAsia="zh-TW"/>
              </w:rPr>
              <w:t>年度別</w:t>
            </w:r>
            <w:r>
              <w:rPr>
                <w:rStyle w:val="Style14"/>
                <w:rFonts w:eastAsia="標楷體"/>
                <w:lang w:val="en-US" w:eastAsia="zh-TW"/>
              </w:rPr>
              <w:t>-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42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  <w:lang w:val="en-US" w:eastAsia="zh-TW"/>
              </w:rPr>
              <w:t>全年住院人次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73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18"/>
                <w:lang w:val="en-US" w:eastAsia="zh-TW"/>
              </w:rPr>
            </w:pP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</w:tr>
      <w:tr>
        <w:trPr>
          <w:trHeight w:val="20" w:hRule="atLeast"/>
          <w:cantSplit w:val="true"/>
        </w:trPr>
        <w:tc>
          <w:tcPr>
            <w:tcW w:w="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jc w:val="center"/>
              <w:rPr/>
            </w:pPr>
            <w:r>
              <w:rPr>
                <w:rStyle w:val="Style14"/>
                <w:rFonts w:eastAsia="標楷體"/>
              </w:rPr>
              <w:t>全日住院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kern w:val="0"/>
                <w:szCs w:val="28"/>
              </w:rPr>
            </w:pPr>
            <w:r>
              <w:rPr>
                <w:rFonts w:ascii="標楷體" w:hAnsi="標楷體" w:eastAsia="標楷體"/>
                <w:kern w:val="0"/>
                <w:szCs w:val="28"/>
              </w:rPr>
              <w:t>精神急性一般病床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kern w:val="0"/>
                <w:szCs w:val="28"/>
              </w:rPr>
            </w:pPr>
            <w:r>
              <w:rPr>
                <w:rFonts w:ascii="標楷體" w:hAnsi="標楷體" w:eastAsia="標楷體"/>
                <w:kern w:val="0"/>
                <w:szCs w:val="28"/>
              </w:rPr>
              <w:t>精神慢性一般病床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kern w:val="0"/>
                <w:szCs w:val="28"/>
              </w:rPr>
            </w:pPr>
            <w:r>
              <w:rPr>
                <w:rFonts w:ascii="標楷體" w:hAnsi="標楷體" w:eastAsia="標楷體"/>
                <w:kern w:val="0"/>
                <w:szCs w:val="28"/>
              </w:rPr>
              <w:t>精神加護病床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精神科日間照護單位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  <w:t>強制住院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spacing w:lineRule="atLeast" w:line="0"/>
              <w:jc w:val="center"/>
              <w:rPr>
                <w:rFonts w:eastAsia="標楷體"/>
                <w:szCs w:val="20"/>
              </w:rPr>
            </w:pPr>
            <w:r>
              <w:rPr>
                <w:rFonts w:eastAsia="標楷體"/>
                <w:szCs w:val="20"/>
              </w:rPr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459" w:leader="none"/>
        </w:tabs>
        <w:snapToGrid w:val="false"/>
        <w:spacing w:lineRule="atLeast" w:line="0"/>
        <w:ind w:left="473" w:hanging="4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全年住院人次：全年醫院每日辦理住院手續之入院人次之累計，不含住院健檢人次。</w:t>
      </w:r>
    </w:p>
    <w:p>
      <w:pPr>
        <w:pStyle w:val="BodyText"/>
        <w:tabs>
          <w:tab w:val="clear" w:pos="480"/>
          <w:tab w:val="left" w:pos="459" w:leader="none"/>
        </w:tabs>
        <w:snapToGrid w:val="false"/>
        <w:spacing w:lineRule="atLeast" w:line="0"/>
        <w:ind w:left="473" w:hanging="48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急診後辦理住院手續者列入住院人次，但急診後未辦理住院手續者列入急診人次。</w:t>
      </w:r>
    </w:p>
    <w:p>
      <w:pPr>
        <w:pStyle w:val="BodyText"/>
        <w:tabs>
          <w:tab w:val="clear" w:pos="480"/>
          <w:tab w:val="left" w:pos="459" w:leader="none"/>
        </w:tabs>
        <w:snapToGrid w:val="false"/>
        <w:spacing w:lineRule="atLeast" w:line="0"/>
        <w:ind w:left="567" w:hanging="142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病人住院期間若轉換科別，則僅列計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住院人次；但轉換病床別，則另計轉床後之住院人次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次，惟如再轉回原轉出病床別時，未再辦理住院手續，則不需重複列計。</w:t>
      </w:r>
    </w:p>
    <w:p>
      <w:pPr>
        <w:pStyle w:val="BodyText"/>
        <w:tabs>
          <w:tab w:val="clear" w:pos="480"/>
          <w:tab w:val="left" w:pos="459" w:leader="none"/>
        </w:tabs>
        <w:snapToGrid w:val="false"/>
        <w:spacing w:lineRule="atLeast" w:line="0"/>
        <w:ind w:left="567" w:hanging="142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慢性一般病床不足而借用急性一般病床時，仍以慢性一般病床列計住院人次，反之，急性一般病床不足而借用慢性一般病床時，則以急性一般病床列計住院人次。</w:t>
      </w:r>
    </w:p>
    <w:p>
      <w:pPr>
        <w:pStyle w:val="BodyText"/>
        <w:tabs>
          <w:tab w:val="clear" w:pos="480"/>
          <w:tab w:val="left" w:pos="459" w:leader="none"/>
        </w:tabs>
        <w:snapToGrid w:val="false"/>
        <w:spacing w:lineRule="atLeast" w:line="0"/>
        <w:ind w:left="567" w:hanging="142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5.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  <w:t>2.3</w:t>
      </w:r>
      <w:r>
        <w:rPr>
          <w:rFonts w:eastAsia="標楷體"/>
        </w:rPr>
        <w:t>全年住院人日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6"/>
        <w:gridCol w:w="2059"/>
        <w:gridCol w:w="2117"/>
        <w:gridCol w:w="23"/>
        <w:gridCol w:w="2121"/>
        <w:gridCol w:w="23"/>
        <w:gridCol w:w="2137"/>
      </w:tblGrid>
      <w:tr>
        <w:trPr>
          <w:tblHeader w:val="true"/>
          <w:trHeight w:val="20" w:hRule="atLeast"/>
          <w:cantSplit w:val="true"/>
        </w:trPr>
        <w:tc>
          <w:tcPr>
            <w:tcW w:w="27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  <w:lang w:val="en-US" w:eastAsia="zh-TW"/>
              </w:rPr>
              <w:t>年度別</w:t>
            </w:r>
            <w:r>
              <w:rPr>
                <w:rStyle w:val="Style14"/>
                <w:rFonts w:eastAsia="標楷體"/>
                <w:lang w:val="en-US" w:eastAsia="zh-TW"/>
              </w:rPr>
              <w:t>-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421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標楷體" w:hAnsi="標楷體" w:eastAsia="標楷體"/>
                <w:szCs w:val="24"/>
                <w:lang w:val="en-US" w:eastAsia="zh-TW"/>
              </w:rPr>
            </w:pPr>
            <w:r>
              <w:rPr>
                <w:rFonts w:ascii="標楷體" w:hAnsi="標楷體" w:eastAsia="標楷體"/>
                <w:szCs w:val="24"/>
                <w:lang w:val="en-US" w:eastAsia="zh-TW"/>
              </w:rPr>
              <w:t>全年住院人日</w:t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735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1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18"/>
                <w:lang w:val="en-US" w:eastAsia="zh-TW"/>
              </w:rPr>
            </w:pP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</w:tr>
      <w:tr>
        <w:trPr>
          <w:trHeight w:val="371" w:hRule="atLeast"/>
          <w:cantSplit w:val="true"/>
        </w:trPr>
        <w:tc>
          <w:tcPr>
            <w:tcW w:w="6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kern w:val="0"/>
                <w:szCs w:val="28"/>
              </w:rPr>
            </w:pPr>
            <w:r>
              <w:rPr>
                <w:rFonts w:ascii="標楷體" w:hAnsi="標楷體" w:eastAsia="標楷體"/>
                <w:kern w:val="0"/>
                <w:szCs w:val="28"/>
              </w:rPr>
              <w:t>精神急性一般病床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06" w:hRule="atLeast"/>
          <w:cantSplit w:val="true"/>
        </w:trPr>
        <w:tc>
          <w:tcPr>
            <w:tcW w:w="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kern w:val="0"/>
                <w:szCs w:val="28"/>
              </w:rPr>
            </w:pPr>
            <w:r>
              <w:rPr>
                <w:rFonts w:ascii="標楷體" w:hAnsi="標楷體" w:eastAsia="標楷體"/>
                <w:kern w:val="0"/>
                <w:szCs w:val="28"/>
              </w:rPr>
              <w:t>精神慢性一般病床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06" w:hRule="atLeast"/>
          <w:cantSplit w:val="true"/>
        </w:trPr>
        <w:tc>
          <w:tcPr>
            <w:tcW w:w="67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rPr>
                <w:rFonts w:ascii="標楷體" w:hAnsi="標楷體" w:eastAsia="標楷體"/>
                <w:kern w:val="0"/>
                <w:szCs w:val="28"/>
              </w:rPr>
            </w:pPr>
            <w:r>
              <w:rPr>
                <w:rFonts w:ascii="標楷體" w:hAnsi="標楷體" w:eastAsia="標楷體"/>
                <w:kern w:val="0"/>
                <w:szCs w:val="28"/>
              </w:rPr>
              <w:t>精神加護病床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25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25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強制住院</w:t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25" w:hRule="atLeast"/>
          <w:cantSplit w:val="true"/>
        </w:trPr>
        <w:tc>
          <w:tcPr>
            <w:tcW w:w="27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</w:tabs>
        <w:spacing w:lineRule="atLeast" w:line="0"/>
        <w:ind w:left="566" w:hanging="86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住院人日：全年每日住院人數之累計，住院病人以有辦理住院手續者始列計。計算方式為算進不算出，惟當日住出院者算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日住院人日。</w:t>
      </w:r>
    </w:p>
    <w:p>
      <w:pPr>
        <w:pStyle w:val="BodyText"/>
        <w:tabs>
          <w:tab w:val="clear" w:pos="480"/>
        </w:tabs>
        <w:spacing w:lineRule="atLeast" w:line="0"/>
        <w:ind w:left="566" w:hanging="86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病人在住院期間轉換科別或病床別時，如仍保留原佔床位時，須同時列計兩邊床位之住院人日，但若未保留原佔床位時，則僅計算新佔用病床之人日即可。</w:t>
      </w:r>
    </w:p>
    <w:p>
      <w:pPr>
        <w:pStyle w:val="BodyText"/>
        <w:tabs>
          <w:tab w:val="clear" w:pos="480"/>
        </w:tabs>
        <w:spacing w:lineRule="atLeast" w:line="0"/>
        <w:ind w:left="566" w:hanging="86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3.</w:t>
      </w:r>
      <w:r>
        <w:rPr>
          <w:rFonts w:eastAsia="標楷體"/>
          <w:b/>
          <w:sz w:val="20"/>
          <w:szCs w:val="20"/>
        </w:rPr>
        <w:t>慢性一般病床不足而借用急性一般病床時，仍以慢性一般病床列計住院人日，反之，急性一般病床不足而借用慢性一般病床時，仍以急性一般病床列計住院人日。</w:t>
      </w:r>
    </w:p>
    <w:p>
      <w:pPr>
        <w:pStyle w:val="BodyText"/>
        <w:tabs>
          <w:tab w:val="clear" w:pos="480"/>
        </w:tabs>
        <w:spacing w:lineRule="atLeast" w:line="0"/>
        <w:ind w:left="566" w:hanging="86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4.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  <w:t>2.4</w:t>
      </w:r>
      <w:r>
        <w:rPr>
          <w:rFonts w:eastAsia="標楷體"/>
        </w:rPr>
        <w:t>平均佔床率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70"/>
        <w:gridCol w:w="2056"/>
        <w:gridCol w:w="23"/>
        <w:gridCol w:w="2126"/>
        <w:gridCol w:w="2136"/>
        <w:gridCol w:w="2122"/>
        <w:gridCol w:w="23"/>
      </w:tblGrid>
      <w:tr>
        <w:trPr>
          <w:tblHeader w:val="true"/>
          <w:trHeight w:val="20" w:hRule="atLeast"/>
          <w:cantSplit w:val="true"/>
        </w:trPr>
        <w:tc>
          <w:tcPr>
            <w:tcW w:w="272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  <w:lang w:val="en-US" w:eastAsia="zh-TW"/>
              </w:rPr>
              <w:t>年度別</w:t>
            </w:r>
            <w:r>
              <w:rPr>
                <w:rStyle w:val="Style14"/>
                <w:rFonts w:eastAsia="標楷體"/>
                <w:lang w:val="en-US" w:eastAsia="zh-TW"/>
              </w:rPr>
              <w:t>-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lang w:val="en-US" w:eastAsia="zh-TW"/>
              </w:rPr>
              <w:t>%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）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40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平均佔床率</w:t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/>
            </w:pPr>
            <w:r>
              <w:rPr/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726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4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18"/>
                <w:lang w:val="en-US" w:eastAsia="zh-TW"/>
              </w:rPr>
            </w:pP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/>
            </w:pPr>
            <w:r>
              <w:rPr/>
            </w:r>
          </w:p>
        </w:tc>
      </w:tr>
      <w:tr>
        <w:trPr>
          <w:trHeight w:val="373" w:hRule="atLeast"/>
          <w:cantSplit w:val="true"/>
        </w:trPr>
        <w:tc>
          <w:tcPr>
            <w:tcW w:w="6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lang w:val="en-US" w:eastAsia="zh-TW"/>
              </w:rPr>
              <w:t>精神急性一般病床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393" w:hRule="atLeast"/>
          <w:cantSplit w:val="true"/>
        </w:trPr>
        <w:tc>
          <w:tcPr>
            <w:tcW w:w="6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393" w:hRule="atLeast"/>
          <w:cantSplit w:val="true"/>
        </w:trPr>
        <w:tc>
          <w:tcPr>
            <w:tcW w:w="6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rPr>
                <w:rFonts w:ascii="標楷體" w:hAnsi="標楷體" w:eastAsia="標楷體"/>
                <w:kern w:val="0"/>
                <w:szCs w:val="28"/>
                <w:lang w:val="en-US" w:eastAsia="zh-TW"/>
              </w:rPr>
            </w:pPr>
            <w:r>
              <w:rPr>
                <w:rFonts w:ascii="標楷體" w:hAnsi="標楷體" w:eastAsia="標楷體"/>
                <w:kern w:val="0"/>
                <w:szCs w:val="28"/>
                <w:lang w:val="en-US" w:eastAsia="zh-TW"/>
              </w:rPr>
              <w:t>精神加護病床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28" w:hRule="atLeast"/>
          <w:cantSplit w:val="true"/>
        </w:trPr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28" w:hRule="atLeast"/>
          <w:cantSplit w:val="true"/>
        </w:trPr>
        <w:tc>
          <w:tcPr>
            <w:tcW w:w="27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1.</w:t>
      </w:r>
      <w:r>
        <w:rPr>
          <w:rStyle w:val="Style14"/>
          <w:rFonts w:eastAsia="標楷體"/>
          <w:b/>
          <w:sz w:val="20"/>
          <w:szCs w:val="20"/>
        </w:rPr>
        <w:t>佔床率</w:t>
      </w:r>
      <w:r>
        <w:rPr>
          <w:rStyle w:val="Style14"/>
          <w:rFonts w:eastAsia="標楷體"/>
          <w:b/>
          <w:sz w:val="20"/>
          <w:szCs w:val="20"/>
        </w:rPr>
        <w:t>=(</w:t>
      </w:r>
      <w:r>
        <w:rPr>
          <w:rStyle w:val="Style14"/>
          <w:rFonts w:eastAsia="標楷體"/>
          <w:b/>
          <w:sz w:val="20"/>
        </w:rPr>
        <w:t>該類病床全年總住院人日數</w:t>
      </w:r>
      <w:r>
        <w:rPr>
          <w:rStyle w:val="Style14"/>
          <w:rFonts w:eastAsia="標楷體"/>
          <w:b/>
          <w:sz w:val="20"/>
        </w:rPr>
        <w:t>)÷(</w:t>
      </w:r>
      <w:r>
        <w:rPr>
          <w:rStyle w:val="Style14"/>
          <w:rFonts w:eastAsia="標楷體"/>
          <w:b/>
          <w:sz w:val="20"/>
        </w:rPr>
        <w:t>該類病床數</w:t>
      </w:r>
      <w:r>
        <w:rPr>
          <w:rStyle w:val="Style14"/>
          <w:rFonts w:eastAsia="標楷體"/>
          <w:b/>
          <w:sz w:val="20"/>
        </w:rPr>
        <w:t>×</w:t>
      </w:r>
      <w:r>
        <w:rPr>
          <w:rStyle w:val="Style14"/>
          <w:rFonts w:eastAsia="標楷體"/>
          <w:b/>
          <w:sz w:val="20"/>
        </w:rPr>
        <w:t>總日數</w:t>
      </w:r>
      <w:r>
        <w:rPr>
          <w:rStyle w:val="Style14"/>
          <w:rFonts w:eastAsia="標楷體"/>
          <w:b/>
          <w:sz w:val="20"/>
        </w:rPr>
        <w:t>)×100 (</w:t>
      </w:r>
      <w:r>
        <w:rPr>
          <w:rStyle w:val="Style14"/>
          <w:rFonts w:eastAsia="標楷體"/>
          <w:b/>
          <w:sz w:val="20"/>
        </w:rPr>
        <w:t>％</w:t>
      </w:r>
      <w:r>
        <w:rPr>
          <w:rStyle w:val="Style14"/>
          <w:rFonts w:eastAsia="標楷體"/>
          <w:b/>
          <w:sz w:val="20"/>
        </w:rPr>
        <w:t>)</w:t>
      </w:r>
    </w:p>
    <w:p>
      <w:pPr>
        <w:pStyle w:val="BodyText"/>
        <w:tabs>
          <w:tab w:val="clear" w:pos="480"/>
          <w:tab w:val="left" w:pos="61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2.</w:t>
      </w:r>
      <w:r>
        <w:rPr>
          <w:rFonts w:eastAsia="標楷體"/>
          <w:b/>
          <w:sz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</w:tabs>
        <w:spacing w:lineRule="exact" w:line="440"/>
        <w:ind w:left="480" w:hanging="0"/>
        <w:rPr>
          <w:rFonts w:eastAsia="標楷體"/>
        </w:rPr>
      </w:pPr>
      <w:r>
        <w:rPr>
          <w:rFonts w:eastAsia="標楷體"/>
        </w:rPr>
        <w:t>2.5</w:t>
      </w:r>
      <w:r>
        <w:rPr>
          <w:rFonts w:eastAsia="標楷體"/>
        </w:rPr>
        <w:t>平均住院日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68"/>
        <w:gridCol w:w="2049"/>
        <w:gridCol w:w="23"/>
        <w:gridCol w:w="2116"/>
        <w:gridCol w:w="22"/>
        <w:gridCol w:w="2116"/>
        <w:gridCol w:w="23"/>
        <w:gridCol w:w="2116"/>
        <w:gridCol w:w="23"/>
      </w:tblGrid>
      <w:tr>
        <w:trPr>
          <w:tblHeader w:val="true"/>
          <w:trHeight w:val="20" w:hRule="atLeast"/>
          <w:cantSplit w:val="true"/>
        </w:trPr>
        <w:tc>
          <w:tcPr>
            <w:tcW w:w="27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  <w:lang w:val="en-US" w:eastAsia="zh-TW"/>
              </w:rPr>
              <w:t>年度別</w:t>
            </w:r>
            <w:r>
              <w:rPr>
                <w:rStyle w:val="Style14"/>
                <w:rFonts w:eastAsia="標楷體"/>
                <w:lang w:val="en-US" w:eastAsia="zh-TW"/>
              </w:rPr>
              <w:t>-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6416" w:type="dxa"/>
            <w:gridSpan w:val="6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Cs w:val="24"/>
                <w:lang w:val="en-US" w:eastAsia="zh-TW"/>
              </w:rPr>
              <w:t>平均住院日</w:t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/>
            </w:pPr>
            <w:r>
              <w:rPr/>
            </w:r>
          </w:p>
        </w:tc>
      </w:tr>
      <w:tr>
        <w:trPr>
          <w:tblHeader w:val="true"/>
          <w:trHeight w:val="20" w:hRule="atLeast"/>
          <w:cantSplit w:val="true"/>
        </w:trPr>
        <w:tc>
          <w:tcPr>
            <w:tcW w:w="2717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18"/>
                <w:lang w:val="en-US" w:eastAsia="zh-TW"/>
              </w:rPr>
            </w:pP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3" w:type="dxa"/>
            <w:tcBorders/>
            <w:tcMar>
              <w:left w:w="0" w:type="dxa"/>
              <w:right w:w="0" w:type="dxa"/>
            </w:tcMar>
          </w:tcPr>
          <w:p>
            <w:pPr>
              <w:pStyle w:val="Style21"/>
              <w:spacing w:lineRule="atLeast" w:line="0"/>
              <w:jc w:val="center"/>
              <w:rPr/>
            </w:pPr>
            <w:r>
              <w:rPr/>
            </w:r>
          </w:p>
        </w:tc>
      </w:tr>
      <w:tr>
        <w:trPr>
          <w:trHeight w:val="385" w:hRule="atLeast"/>
          <w:cantSplit w:val="true"/>
        </w:trPr>
        <w:tc>
          <w:tcPr>
            <w:tcW w:w="6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全日住院</w:t>
            </w: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lang w:val="en-US" w:eastAsia="zh-TW"/>
              </w:rPr>
              <w:t>精神急性一般病床</w:t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標楷體" w:hAnsi="標楷體" w:eastAsia="標楷體"/>
                <w:kern w:val="0"/>
                <w:szCs w:val="28"/>
                <w:lang w:val="en-US" w:eastAsia="zh-TW"/>
              </w:rPr>
              <w:t>精神慢性一般病床</w:t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9" w:hRule="atLeast"/>
          <w:cantSplit w:val="true"/>
        </w:trPr>
        <w:tc>
          <w:tcPr>
            <w:tcW w:w="66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rPr>
                <w:rFonts w:ascii="標楷體" w:hAnsi="標楷體" w:eastAsia="標楷體"/>
                <w:kern w:val="0"/>
                <w:szCs w:val="28"/>
                <w:lang w:val="en-US" w:eastAsia="zh-TW"/>
              </w:rPr>
            </w:pPr>
            <w:r>
              <w:rPr>
                <w:rFonts w:ascii="標楷體" w:hAnsi="標楷體" w:eastAsia="標楷體"/>
                <w:kern w:val="0"/>
                <w:szCs w:val="28"/>
                <w:lang w:val="en-US" w:eastAsia="zh-TW"/>
              </w:rPr>
              <w:t>精神加護病床</w:t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2" w:hRule="atLeast"/>
          <w:cantSplit w:val="true"/>
        </w:trPr>
        <w:tc>
          <w:tcPr>
            <w:tcW w:w="2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ascii="Times New Roman" w:hAnsi="Times New Roman" w:eastAsia="標楷體"/>
                <w:lang w:val="en-US" w:eastAsia="zh-TW"/>
              </w:rPr>
              <w:t>精神科日間照護單位</w:t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  <w:tr>
        <w:trPr>
          <w:trHeight w:val="412" w:hRule="atLeast"/>
          <w:cantSplit w:val="true"/>
        </w:trPr>
        <w:tc>
          <w:tcPr>
            <w:tcW w:w="27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lang w:val="en-US" w:eastAsia="zh-TW"/>
              </w:rPr>
            </w:pPr>
            <w:r>
              <w:rPr>
                <w:rFonts w:eastAsia="標楷體" w:ascii="Times New Roman" w:hAnsi="Times New Roman"/>
                <w:lang w:val="en-US" w:eastAsia="zh-TW"/>
              </w:rPr>
            </w:r>
          </w:p>
        </w:tc>
        <w:tc>
          <w:tcPr>
            <w:tcW w:w="2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  <w:tc>
          <w:tcPr>
            <w:tcW w:w="2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22"/>
                <w:lang w:val="en-US" w:eastAsia="zh-TW"/>
              </w:rPr>
            </w:pPr>
            <w:r>
              <w:rPr>
                <w:rFonts w:eastAsia="標楷體" w:ascii="Times New Roman" w:hAnsi="Times New Roman"/>
                <w:sz w:val="22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備註：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567" w:hanging="142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1.</w:t>
      </w:r>
      <w:r>
        <w:rPr>
          <w:rFonts w:eastAsia="標楷體"/>
          <w:b/>
          <w:sz w:val="20"/>
          <w:szCs w:val="20"/>
        </w:rPr>
        <w:t>平均住院日</w:t>
      </w:r>
      <w:r>
        <w:rPr>
          <w:rFonts w:eastAsia="標楷體"/>
          <w:b/>
          <w:sz w:val="20"/>
          <w:szCs w:val="20"/>
        </w:rPr>
        <w:t>=</w:t>
      </w:r>
      <w:r>
        <w:rPr>
          <w:rFonts w:eastAsia="標楷體"/>
          <w:b/>
          <w:sz w:val="20"/>
          <w:szCs w:val="20"/>
        </w:rPr>
        <w:t>全年總住院人日數</w:t>
      </w:r>
      <w:r>
        <w:rPr>
          <w:rFonts w:eastAsia="標楷體"/>
          <w:b/>
          <w:sz w:val="20"/>
          <w:szCs w:val="20"/>
        </w:rPr>
        <w:t>÷</w:t>
      </w:r>
      <w:r>
        <w:rPr>
          <w:rFonts w:eastAsia="標楷體"/>
          <w:b/>
          <w:sz w:val="20"/>
          <w:szCs w:val="20"/>
        </w:rPr>
        <w:t>全年總住院人次數；其中精神慢性一般病床平均住院日計算方式，有關分母「全年總住院人次數」為若病人住院時間有跨年度之情形，則該病人住院人次每年皆須列計</w:t>
      </w:r>
      <w:r>
        <w:rPr>
          <w:rFonts w:eastAsia="標楷體"/>
          <w:b/>
          <w:sz w:val="20"/>
          <w:szCs w:val="20"/>
        </w:rPr>
        <w:t>1</w:t>
      </w:r>
      <w:r>
        <w:rPr>
          <w:rFonts w:eastAsia="標楷體"/>
          <w:b/>
          <w:sz w:val="20"/>
          <w:szCs w:val="20"/>
        </w:rPr>
        <w:t>次。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  <w:szCs w:val="20"/>
        </w:rPr>
      </w:pPr>
      <w:r>
        <w:rPr>
          <w:rFonts w:eastAsia="標楷體"/>
          <w:b/>
          <w:sz w:val="20"/>
          <w:szCs w:val="20"/>
        </w:rPr>
        <w:t>2.</w:t>
      </w:r>
      <w:r>
        <w:rPr>
          <w:rFonts w:eastAsia="標楷體"/>
          <w:b/>
          <w:sz w:val="20"/>
          <w:szCs w:val="20"/>
        </w:rPr>
        <w:t>若醫院另設有其他病床，如：急性一般病床、慢性一般病床、呼吸照護病床等，請自行增列。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 w:before="360" w:after="0"/>
        <w:rPr>
          <w:rFonts w:eastAsia="標楷體"/>
        </w:rPr>
      </w:pPr>
      <w:r>
        <w:rPr>
          <w:rFonts w:eastAsia="標楷體"/>
        </w:rPr>
        <w:t>3.</w:t>
      </w:r>
      <w:r>
        <w:rPr>
          <w:rFonts w:eastAsia="標楷體"/>
        </w:rPr>
        <w:t>其他業務統計</w:t>
      </w:r>
    </w:p>
    <w:tbl>
      <w:tblPr>
        <w:tblW w:w="4750" w:type="pct"/>
        <w:jc w:val="righ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941"/>
        <w:gridCol w:w="2072"/>
        <w:gridCol w:w="2071"/>
        <w:gridCol w:w="2072"/>
      </w:tblGrid>
      <w:tr>
        <w:trPr>
          <w:tblHeader w:val="true"/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1"/>
              <w:spacing w:lineRule="atLeast" w:line="0"/>
              <w:jc w:val="right"/>
              <w:rPr/>
            </w:pPr>
            <w:r>
              <w:rPr>
                <w:rStyle w:val="Style14"/>
                <w:rFonts w:eastAsia="標楷體"/>
                <w:lang w:val="en-US" w:eastAsia="zh-TW"/>
              </w:rPr>
              <w:t>年度別</w:t>
            </w:r>
            <w:r>
              <w:rPr>
                <w:rStyle w:val="Style14"/>
                <w:rFonts w:eastAsia="標楷體"/>
                <w:lang w:val="en-US" w:eastAsia="zh-TW"/>
              </w:rPr>
              <w:t>-</w:t>
            </w: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數量</w:t>
            </w:r>
          </w:p>
          <w:p>
            <w:pPr>
              <w:pStyle w:val="Style21"/>
              <w:spacing w:lineRule="atLeast" w:line="0"/>
              <w:rPr/>
            </w:pPr>
            <w:r>
              <w:rPr>
                <w:rStyle w:val="Style14"/>
                <w:rFonts w:ascii="Times New Roman" w:hAnsi="Times New Roman" w:eastAsia="標楷體"/>
                <w:lang w:val="en-US" w:eastAsia="zh-TW"/>
              </w:rPr>
              <w:t>項目</w:t>
            </w:r>
          </w:p>
        </w:tc>
        <w:tc>
          <w:tcPr>
            <w:tcW w:w="20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102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 w:val="18"/>
                <w:lang w:val="en-US" w:eastAsia="zh-TW"/>
              </w:rPr>
            </w:pP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103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b/>
                <w:bCs/>
                <w:lang w:val="en-US" w:eastAsia="zh-TW"/>
              </w:rPr>
            </w:pPr>
            <w:r>
              <w:rPr>
                <w:rFonts w:eastAsia="標楷體" w:ascii="Times New Roman" w:hAnsi="Times New Roman"/>
                <w:b/>
                <w:bCs/>
                <w:lang w:val="en-US" w:eastAsia="zh-TW"/>
              </w:rPr>
              <w:t>104</w:t>
            </w:r>
            <w:r>
              <w:rPr>
                <w:rFonts w:ascii="Times New Roman" w:hAnsi="Times New Roman" w:eastAsia="標楷體"/>
                <w:b/>
                <w:bCs/>
                <w:lang w:val="en-US" w:eastAsia="zh-TW"/>
              </w:rPr>
              <w:t>年</w:t>
            </w:r>
          </w:p>
          <w:p>
            <w:pPr>
              <w:pStyle w:val="Style21"/>
              <w:spacing w:lineRule="atLeast" w:line="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~12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sz w:val="18"/>
                <w:lang w:val="en-US" w:eastAsia="zh-TW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sz w:val="18"/>
                <w:lang w:val="en-US" w:eastAsia="zh-TW"/>
              </w:rPr>
              <w:t>日）</w:t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粗死亡人數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淨死亡人數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住院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48</w:t>
            </w: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小時內死亡人數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總出院病人數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粗死亡率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  <w:tr>
        <w:trPr>
          <w:trHeight w:val="20" w:hRule="atLeast"/>
          <w:cantSplit w:val="true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ascii="Times New Roman" w:hAnsi="Times New Roman" w:eastAsia="標楷體"/>
                <w:szCs w:val="24"/>
                <w:lang w:val="en-US" w:eastAsia="zh-TW"/>
              </w:rPr>
              <w:t>淨死亡率</w:t>
            </w:r>
            <w:r>
              <w:rPr>
                <w:rFonts w:eastAsia="標楷體" w:ascii="Times New Roman" w:hAnsi="Times New Roman"/>
                <w:szCs w:val="24"/>
                <w:lang w:val="en-US" w:eastAsia="zh-TW"/>
              </w:rPr>
              <w:t>(%)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1"/>
              <w:spacing w:lineRule="atLeast" w:line="0"/>
              <w:jc w:val="center"/>
              <w:rPr>
                <w:rFonts w:ascii="Times New Roman" w:hAnsi="Times New Roman" w:eastAsia="標楷體"/>
                <w:szCs w:val="24"/>
                <w:lang w:val="en-US" w:eastAsia="zh-TW"/>
              </w:rPr>
            </w:pPr>
            <w:r>
              <w:rPr>
                <w:rFonts w:eastAsia="標楷體" w:ascii="Times New Roman" w:hAnsi="Times New Roman"/>
                <w:szCs w:val="24"/>
                <w:lang w:val="en-US" w:eastAsia="zh-TW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  <w:szCs w:val="20"/>
        </w:rPr>
        <w:t>備註：</w:t>
      </w:r>
      <w:r>
        <w:rPr>
          <w:rStyle w:val="Style14"/>
          <w:rFonts w:eastAsia="標楷體"/>
          <w:b/>
          <w:sz w:val="20"/>
        </w:rPr>
        <w:t xml:space="preserve"> 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1.</w:t>
      </w:r>
      <w:r>
        <w:rPr>
          <w:rFonts w:eastAsia="標楷體"/>
          <w:b/>
          <w:sz w:val="20"/>
        </w:rPr>
        <w:t>粗死亡人數：全年住院後死亡人數，不含急診死亡及未離開產房即死亡之新生兒及死產人數。（粗死亡人數大於或等於淨死亡人數）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2.</w:t>
      </w:r>
      <w:r>
        <w:rPr>
          <w:rFonts w:eastAsia="標楷體"/>
          <w:b/>
          <w:sz w:val="20"/>
        </w:rPr>
        <w:t>淨死亡人數：全年住院後超過</w:t>
      </w:r>
      <w:r>
        <w:rPr>
          <w:rFonts w:eastAsia="標楷體"/>
          <w:b/>
          <w:sz w:val="20"/>
        </w:rPr>
        <w:t>48</w:t>
      </w:r>
      <w:r>
        <w:rPr>
          <w:rFonts w:eastAsia="標楷體"/>
          <w:b/>
          <w:sz w:val="20"/>
        </w:rPr>
        <w:t>小時才死亡人數。臨終病人自動出院者以醫院為其出具死亡診斷者始計。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>
          <w:rFonts w:eastAsia="標楷體"/>
          <w:b/>
          <w:sz w:val="20"/>
        </w:rPr>
      </w:pPr>
      <w:r>
        <w:rPr>
          <w:rFonts w:eastAsia="標楷體"/>
          <w:b/>
          <w:sz w:val="20"/>
        </w:rPr>
        <w:t>3.</w:t>
      </w:r>
      <w:r>
        <w:rPr>
          <w:rFonts w:eastAsia="標楷體"/>
          <w:b/>
          <w:sz w:val="20"/>
        </w:rPr>
        <w:t>粗死亡率</w:t>
      </w:r>
      <w:r>
        <w:rPr>
          <w:rFonts w:eastAsia="標楷體"/>
          <w:b/>
          <w:sz w:val="20"/>
        </w:rPr>
        <w:t>=</w:t>
      </w:r>
      <w:r>
        <w:rPr>
          <w:rFonts w:eastAsia="標楷體"/>
          <w:b/>
          <w:sz w:val="20"/>
        </w:rPr>
        <w:t>全年住院病人死亡數</w:t>
      </w:r>
      <w:r>
        <w:rPr>
          <w:rFonts w:eastAsia="標楷體"/>
          <w:b/>
          <w:sz w:val="20"/>
        </w:rPr>
        <w:t>÷</w:t>
      </w:r>
      <w:r>
        <w:rPr>
          <w:rFonts w:eastAsia="標楷體"/>
          <w:b/>
          <w:sz w:val="20"/>
        </w:rPr>
        <w:t>全年總出院病人數</w:t>
      </w:r>
      <w:r>
        <w:rPr>
          <w:rFonts w:eastAsia="標楷體"/>
          <w:b/>
          <w:sz w:val="20"/>
        </w:rPr>
        <w:t>×100 (</w:t>
      </w:r>
      <w:r>
        <w:rPr>
          <w:rFonts w:eastAsia="標楷體"/>
          <w:b/>
          <w:sz w:val="20"/>
        </w:rPr>
        <w:t>％</w:t>
      </w:r>
      <w:r>
        <w:rPr>
          <w:rFonts w:eastAsia="標楷體"/>
          <w:b/>
          <w:sz w:val="20"/>
        </w:rPr>
        <w:t>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0"/>
        <w:ind w:left="640" w:hanging="160"/>
        <w:jc w:val="both"/>
        <w:rPr/>
      </w:pPr>
      <w:r>
        <w:rPr>
          <w:rStyle w:val="Style14"/>
          <w:rFonts w:eastAsia="標楷體"/>
          <w:b/>
          <w:sz w:val="20"/>
        </w:rPr>
        <w:t>4.</w:t>
      </w:r>
      <w:r>
        <w:rPr>
          <w:rStyle w:val="Style14"/>
          <w:rFonts w:eastAsia="標楷體"/>
          <w:b/>
          <w:sz w:val="20"/>
        </w:rPr>
        <w:t>淨死亡率</w:t>
      </w:r>
      <w:r>
        <w:rPr>
          <w:rStyle w:val="Style14"/>
          <w:rFonts w:eastAsia="標楷體"/>
          <w:b/>
          <w:sz w:val="20"/>
        </w:rPr>
        <w:t>=</w:t>
      </w:r>
      <w:r>
        <w:rPr>
          <w:rStyle w:val="Style14"/>
          <w:rFonts w:eastAsia="標楷體"/>
          <w:b/>
          <w:sz w:val="20"/>
        </w:rPr>
        <w:t>全年住院超過</w:t>
      </w:r>
      <w:r>
        <w:rPr>
          <w:rStyle w:val="Style14"/>
          <w:rFonts w:eastAsia="標楷體"/>
          <w:b/>
          <w:sz w:val="20"/>
        </w:rPr>
        <w:t>48</w:t>
      </w:r>
      <w:r>
        <w:rPr>
          <w:rStyle w:val="Style14"/>
          <w:rFonts w:eastAsia="標楷體"/>
          <w:b/>
          <w:sz w:val="20"/>
        </w:rPr>
        <w:t>小時死亡人數</w:t>
      </w:r>
      <w:r>
        <w:rPr>
          <w:rStyle w:val="Style14"/>
          <w:rFonts w:eastAsia="標楷體"/>
          <w:b/>
          <w:sz w:val="20"/>
        </w:rPr>
        <w:t>÷(</w:t>
      </w:r>
      <w:r>
        <w:rPr>
          <w:rStyle w:val="Style14"/>
          <w:rFonts w:eastAsia="標楷體"/>
          <w:b/>
          <w:sz w:val="20"/>
        </w:rPr>
        <w:t>全年總出院病人數－住院</w:t>
      </w:r>
      <w:r>
        <w:rPr>
          <w:rStyle w:val="Style14"/>
          <w:rFonts w:eastAsia="標楷體"/>
          <w:b/>
          <w:sz w:val="20"/>
        </w:rPr>
        <w:t>48</w:t>
      </w:r>
      <w:r>
        <w:rPr>
          <w:rStyle w:val="Style14"/>
          <w:rFonts w:eastAsia="標楷體"/>
          <w:b/>
          <w:sz w:val="20"/>
        </w:rPr>
        <w:t>小時內死亡人數</w:t>
      </w:r>
      <w:r>
        <w:rPr>
          <w:rStyle w:val="Style14"/>
          <w:rFonts w:eastAsia="標楷體"/>
          <w:b/>
          <w:sz w:val="20"/>
        </w:rPr>
        <w:t>) ×100 (</w:t>
      </w:r>
      <w:r>
        <w:rPr>
          <w:rStyle w:val="Style14"/>
          <w:rFonts w:eastAsia="標楷體"/>
          <w:b/>
          <w:sz w:val="20"/>
        </w:rPr>
        <w:t>％</w:t>
      </w:r>
      <w:r>
        <w:rPr>
          <w:rStyle w:val="Style14"/>
          <w:rFonts w:eastAsia="標楷體"/>
          <w:b/>
          <w:sz w:val="20"/>
        </w:rPr>
        <w:t>)</w:t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  <w:t xml:space="preserve">4. </w:t>
      </w:r>
      <w:r>
        <w:rPr>
          <w:rFonts w:eastAsia="標楷體"/>
        </w:rPr>
        <w:t>住院病人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</w:t>
      </w:r>
      <w:r>
        <w:rPr>
          <w:rFonts w:eastAsia="標楷體"/>
        </w:rPr>
        <w:t>資料統計期間</w:t>
      </w:r>
      <w:r>
        <w:rPr>
          <w:rFonts w:eastAsia="標楷體"/>
        </w:rPr>
        <w:t>102.1.1~104.12.31)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  <w:t xml:space="preserve"> </w:t>
      </w:r>
      <w:r>
        <w:rPr>
          <w:rFonts w:eastAsia="標楷體"/>
        </w:rPr>
        <w:t>4.1</w:t>
      </w:r>
      <w:r>
        <w:rPr>
          <w:rFonts w:eastAsia="標楷體"/>
        </w:rPr>
        <w:t>住院病人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(102.1.1~102.12.31)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4"/>
        <w:gridCol w:w="1164"/>
        <w:gridCol w:w="1068"/>
        <w:gridCol w:w="584"/>
        <w:gridCol w:w="530"/>
        <w:gridCol w:w="530"/>
        <w:gridCol w:w="696"/>
        <w:gridCol w:w="739"/>
        <w:gridCol w:w="893"/>
        <w:gridCol w:w="957"/>
        <w:gridCol w:w="956"/>
        <w:gridCol w:w="957"/>
      </w:tblGrid>
      <w:tr>
        <w:trPr>
          <w:tblHeader w:val="true"/>
          <w:trHeight w:val="631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順位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平均年齡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男性人數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女性人數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總人數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累積百分比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Style w:val="Style14"/>
          <w:rFonts w:eastAsia="標楷體"/>
          <w:sz w:val="20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9">
                <wp:simplePos x="0" y="0"/>
                <wp:positionH relativeFrom="column">
                  <wp:posOffset>114300</wp:posOffset>
                </wp:positionH>
                <wp:positionV relativeFrom="paragraph">
                  <wp:posOffset>82550</wp:posOffset>
                </wp:positionV>
                <wp:extent cx="5829300" cy="825500"/>
                <wp:effectExtent l="0" t="0" r="0" b="0"/>
                <wp:wrapNone/>
                <wp:docPr id="4" name="Text Box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8255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Style w:val="Style14"/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以已辦理住院手續之病人統計。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ind w:firstLine="1080"/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65pt;mso-wrap-distance-left:0pt;mso-wrap-distance-right:0pt;mso-wrap-distance-top:0pt;mso-wrap-distance-bottom:0pt;margin-top:6.5pt;mso-position-vertical-relative:text;margin-left:9pt;mso-position-horizontal-relative:text">
                <v:textbox inset="0in,0in,0in,0in">
                  <w:txbxContent>
                    <w:p>
                      <w:pPr>
                        <w:pStyle w:val="BodyText"/>
                        <w:snapToGrid w:val="false"/>
                        <w:spacing w:lineRule="atLeas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Style w:val="Style14"/>
                          <w:rFonts w:eastAsia="標楷體" w:cs="標楷體"/>
                          <w:b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以已辦理住院手續之病人統計。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ind w:firstLine="1080"/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  <w:t>4.2</w:t>
      </w:r>
      <w:r>
        <w:rPr>
          <w:rFonts w:eastAsia="標楷體"/>
        </w:rPr>
        <w:t>住院病人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(103.1.1~103.12.31)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4"/>
        <w:gridCol w:w="1164"/>
        <w:gridCol w:w="1068"/>
        <w:gridCol w:w="584"/>
        <w:gridCol w:w="530"/>
        <w:gridCol w:w="530"/>
        <w:gridCol w:w="696"/>
        <w:gridCol w:w="739"/>
        <w:gridCol w:w="893"/>
        <w:gridCol w:w="957"/>
        <w:gridCol w:w="956"/>
        <w:gridCol w:w="957"/>
      </w:tblGrid>
      <w:tr>
        <w:trPr>
          <w:tblHeader w:val="true"/>
          <w:trHeight w:val="631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順位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平均年齡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男性人數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女性人數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總人數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累積百分比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Style w:val="Style14"/>
          <w:rFonts w:eastAsia="標楷體"/>
          <w:sz w:val="20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0">
                <wp:simplePos x="0" y="0"/>
                <wp:positionH relativeFrom="column">
                  <wp:posOffset>114300</wp:posOffset>
                </wp:positionH>
                <wp:positionV relativeFrom="paragraph">
                  <wp:posOffset>99695</wp:posOffset>
                </wp:positionV>
                <wp:extent cx="5829300" cy="800100"/>
                <wp:effectExtent l="0" t="0" r="0" b="0"/>
                <wp:wrapNone/>
                <wp:docPr id="5" name="Text Box 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800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Style w:val="Style14"/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以已辦理住院手續之病人統計。</w:t>
                            </w:r>
                          </w:p>
                          <w:p>
                            <w:pPr>
                              <w:pStyle w:val="BodyText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63pt;mso-wrap-distance-left:0pt;mso-wrap-distance-right:0pt;mso-wrap-distance-top:0pt;mso-wrap-distance-bottom:0pt;margin-top:7.85pt;mso-position-vertical-relative:text;margin-left:9pt;mso-position-horizontal-relative:text">
                <v:textbox inset="0in,0in,0in,0in">
                  <w:txbxContent>
                    <w:p>
                      <w:pPr>
                        <w:pStyle w:val="BodyText"/>
                        <w:snapToGrid w:val="false"/>
                        <w:spacing w:lineRule="atLeas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Style w:val="Style14"/>
                          <w:rFonts w:eastAsia="標楷體" w:cs="標楷體"/>
                          <w:b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以已辦理住院手續之病人統計。</w:t>
                      </w:r>
                    </w:p>
                    <w:p>
                      <w:pPr>
                        <w:pStyle w:val="BodyText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  <w:t xml:space="preserve"> </w:t>
      </w:r>
      <w:r>
        <w:rPr>
          <w:rFonts w:eastAsia="標楷體"/>
        </w:rPr>
        <w:t>4.3</w:t>
      </w:r>
      <w:r>
        <w:rPr>
          <w:rFonts w:eastAsia="標楷體"/>
        </w:rPr>
        <w:t>住院病人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(104.1.1~104.12.31)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564"/>
        <w:gridCol w:w="1164"/>
        <w:gridCol w:w="1068"/>
        <w:gridCol w:w="584"/>
        <w:gridCol w:w="530"/>
        <w:gridCol w:w="530"/>
        <w:gridCol w:w="696"/>
        <w:gridCol w:w="739"/>
        <w:gridCol w:w="893"/>
        <w:gridCol w:w="957"/>
        <w:gridCol w:w="956"/>
        <w:gridCol w:w="957"/>
      </w:tblGrid>
      <w:tr>
        <w:trPr>
          <w:tblHeader w:val="true"/>
          <w:trHeight w:val="631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順位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平均年齡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男性人數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女性人數</w:t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總人數</w:t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累積百分比</w:t>
            </w:r>
            <w:r>
              <w:rPr>
                <w:rFonts w:eastAsia="標楷體" w:ascii="標楷體" w:hAnsi="標楷體"/>
              </w:rPr>
              <w:t>%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該疾病全年總住院人日</w:t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  <w:sz w:val="22"/>
                <w:szCs w:val="22"/>
              </w:rPr>
            </w:pPr>
            <w:r>
              <w:rPr>
                <w:rFonts w:ascii="標楷體" w:hAnsi="標楷體" w:eastAsia="標楷體"/>
                <w:sz w:val="22"/>
                <w:szCs w:val="22"/>
              </w:rPr>
              <w:t>該疾病全年總住院人次</w:t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ascii="標楷體" w:hAnsi="標楷體" w:eastAsia="標楷體"/>
              </w:rPr>
            </w:pPr>
            <w:r>
              <w:rPr>
                <w:rFonts w:ascii="標楷體" w:hAnsi="標楷體" w:eastAsia="標楷體"/>
              </w:rPr>
              <w:t>該疾病平均住院日</w:t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2" w:hRule="atLeast"/>
        </w:trPr>
        <w:tc>
          <w:tcPr>
            <w:tcW w:w="2796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58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53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9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3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95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Style w:val="Style14"/>
          <w:rFonts w:eastAsia="標楷體"/>
          <w:sz w:val="20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1">
                <wp:simplePos x="0" y="0"/>
                <wp:positionH relativeFrom="column">
                  <wp:posOffset>0</wp:posOffset>
                </wp:positionH>
                <wp:positionV relativeFrom="paragraph">
                  <wp:posOffset>139700</wp:posOffset>
                </wp:positionV>
                <wp:extent cx="5829300" cy="760095"/>
                <wp:effectExtent l="0" t="0" r="0" b="0"/>
                <wp:wrapNone/>
                <wp:docPr id="6" name="Text Box 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76009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>
                              <w:rPr>
                                <w:rStyle w:val="Style14"/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 w:cs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cs="標楷體"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以已辦理住院手續之病人統計。</w:t>
                            </w:r>
                          </w:p>
                          <w:p>
                            <w:pPr>
                              <w:pStyle w:val="BodyText"/>
                              <w:rPr>
                                <w:szCs w:val="20"/>
                              </w:rPr>
                            </w:pPr>
                            <w:r>
                              <w:rPr>
                                <w:szCs w:val="20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59.85pt;mso-wrap-distance-left:0pt;mso-wrap-distance-right:0pt;mso-wrap-distance-top:0pt;mso-wrap-distance-bottom:0pt;margin-top:11pt;mso-position-vertical-relative:text;margin-left:0pt;mso-position-horizontal-relative:text">
                <v:textbox inset="0in,0in,0in,0in">
                  <w:txbxContent>
                    <w:p>
                      <w:pPr>
                        <w:pStyle w:val="BodyText"/>
                        <w:snapToGrid w:val="false"/>
                        <w:spacing w:lineRule="atLeast" w:line="280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1</w:t>
                      </w:r>
                      <w:r>
                        <w:rPr>
                          <w:rStyle w:val="Style14"/>
                          <w:rFonts w:eastAsia="標楷體" w:cs="標楷體"/>
                          <w:b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 w:cs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cs="標楷體"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以已辦理住院手續之病人統計。</w:t>
                      </w:r>
                    </w:p>
                    <w:p>
                      <w:pPr>
                        <w:pStyle w:val="BodyText"/>
                        <w:rPr>
                          <w:szCs w:val="20"/>
                        </w:rPr>
                      </w:pPr>
                      <w:r>
                        <w:rPr>
                          <w:szCs w:val="2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tabs>
          <w:tab w:val="clear" w:pos="480"/>
          <w:tab w:val="left" w:pos="360" w:leader="none"/>
        </w:tabs>
        <w:spacing w:lineRule="atLeast" w:line="500"/>
        <w:rPr>
          <w:rFonts w:eastAsia="標楷體"/>
          <w:b/>
          <w:bCs/>
        </w:rPr>
      </w:pPr>
      <w:r>
        <w:rPr>
          <w:rFonts w:eastAsia="標楷體"/>
          <w:b/>
          <w:bCs/>
        </w:rPr>
      </w:r>
    </w:p>
    <w:p>
      <w:pPr>
        <w:pStyle w:val="BodyText"/>
        <w:tabs>
          <w:tab w:val="clear" w:pos="480"/>
          <w:tab w:val="left" w:pos="360" w:leader="none"/>
        </w:tabs>
        <w:spacing w:lineRule="atLeast" w:line="500"/>
        <w:rPr>
          <w:rFonts w:eastAsia="標楷體"/>
          <w:b/>
          <w:bCs/>
        </w:rPr>
      </w:pPr>
      <w:r>
        <w:rPr>
          <w:rFonts w:eastAsia="標楷體"/>
          <w:b/>
          <w:bCs/>
        </w:rPr>
      </w:r>
      <w:r>
        <w:br w:type="page"/>
      </w:r>
    </w:p>
    <w:p>
      <w:pPr>
        <w:pStyle w:val="BodyText"/>
        <w:tabs>
          <w:tab w:val="clear" w:pos="480"/>
          <w:tab w:val="left" w:pos="360" w:leader="none"/>
        </w:tabs>
        <w:spacing w:lineRule="atLeast" w:line="500"/>
        <w:rPr/>
      </w:pPr>
      <w:r>
        <w:rPr>
          <w:rStyle w:val="Style14"/>
          <w:rFonts w:eastAsia="標楷體"/>
        </w:rPr>
        <w:t>5.</w:t>
      </w:r>
      <w:r>
        <w:rPr>
          <w:rStyle w:val="Style14"/>
          <w:rFonts w:eastAsia="標楷體"/>
        </w:rPr>
        <w:t>門診病人</w:t>
      </w:r>
      <w:r>
        <w:rPr>
          <w:rStyle w:val="Style14"/>
          <w:rFonts w:eastAsia="標楷體"/>
        </w:rPr>
        <w:t>10</w:t>
      </w:r>
      <w:r>
        <w:rPr>
          <w:rStyle w:val="Style14"/>
          <w:rFonts w:eastAsia="標楷體"/>
        </w:rPr>
        <w:t>大疾病別統計表</w:t>
      </w:r>
      <w:r>
        <w:rPr>
          <w:rStyle w:val="Style14"/>
          <w:rFonts w:eastAsia="標楷體"/>
        </w:rPr>
        <w:t>(102.1.1~</w:t>
      </w:r>
      <w:r>
        <w:rPr>
          <w:rStyle w:val="Style14"/>
          <w:rFonts w:eastAsia="標楷體"/>
          <w:bCs/>
        </w:rPr>
        <w:t>104</w:t>
      </w:r>
      <w:r>
        <w:rPr>
          <w:rStyle w:val="Style14"/>
          <w:rFonts w:eastAsia="標楷體"/>
        </w:rPr>
        <w:t>.12.31)</w: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firstLine="180"/>
        <w:rPr>
          <w:rFonts w:eastAsia="標楷體"/>
        </w:rPr>
      </w:pPr>
      <w:r>
        <w:rPr>
          <w:rFonts w:eastAsia="標楷體"/>
        </w:rPr>
        <w:t>5.1</w:t>
      </w:r>
      <w:r>
        <w:rPr>
          <w:rFonts w:eastAsia="標楷體"/>
        </w:rPr>
        <w:t>門診病人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(102.1.1~102.12.31)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6"/>
        <w:gridCol w:w="1124"/>
        <w:gridCol w:w="2068"/>
        <w:gridCol w:w="751"/>
        <w:gridCol w:w="677"/>
        <w:gridCol w:w="677"/>
        <w:gridCol w:w="898"/>
        <w:gridCol w:w="1021"/>
        <w:gridCol w:w="1736"/>
      </w:tblGrid>
      <w:tr>
        <w:trPr>
          <w:tblHeader w:val="true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男性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spacing w:lineRule="atLeast" w:line="0"/>
              <w:jc w:val="center"/>
              <w:rPr/>
            </w:pPr>
            <w:r>
              <w:rPr>
                <w:rStyle w:val="Style14"/>
                <w:rFonts w:eastAsia="標楷體"/>
              </w:rPr>
              <w:t>女性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Style w:val="Style14"/>
          <w:rFonts w:eastAsia="標楷體"/>
          <w:sz w:val="20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4">
                <wp:simplePos x="0" y="0"/>
                <wp:positionH relativeFrom="column">
                  <wp:posOffset>0</wp:posOffset>
                </wp:positionH>
                <wp:positionV relativeFrom="paragraph">
                  <wp:posOffset>108585</wp:posOffset>
                </wp:positionV>
                <wp:extent cx="5829300" cy="622300"/>
                <wp:effectExtent l="0" t="0" r="0" b="0"/>
                <wp:wrapNone/>
                <wp:docPr id="7" name="Text Box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6223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以門診病人未辦理住院手續者統計。</w:t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49pt;mso-wrap-distance-left:0pt;mso-wrap-distance-right:0pt;mso-wrap-distance-top:0pt;mso-wrap-distance-bottom:0pt;margin-top:8.55pt;mso-position-vertical-relative:text;margin-left:0pt;mso-position-horizontal-relative:text">
                <v:textbox inset="0in,0in,0in,0in">
                  <w:txbxContent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1.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以門診病人未辦理住院手續者統計。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  <w:t xml:space="preserve">  </w:t>
      </w:r>
      <w:r>
        <w:rPr>
          <w:rFonts w:eastAsia="標楷體"/>
        </w:rPr>
        <w:t>5.2</w:t>
      </w:r>
      <w:r>
        <w:rPr>
          <w:rFonts w:eastAsia="標楷體"/>
        </w:rPr>
        <w:t>門診病人</w:t>
      </w:r>
      <w:r>
        <w:rPr>
          <w:rFonts w:eastAsia="標楷體"/>
        </w:rPr>
        <w:t>10</w:t>
      </w:r>
      <w:r>
        <w:rPr>
          <w:rFonts w:eastAsia="標楷體"/>
        </w:rPr>
        <w:t xml:space="preserve">大疾病別統計表 </w:t>
      </w:r>
      <w:r>
        <w:rPr>
          <w:rFonts w:eastAsia="標楷體"/>
        </w:rPr>
        <w:t>(103.1.1~103.12.31)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6"/>
        <w:gridCol w:w="1124"/>
        <w:gridCol w:w="2068"/>
        <w:gridCol w:w="751"/>
        <w:gridCol w:w="677"/>
        <w:gridCol w:w="677"/>
        <w:gridCol w:w="898"/>
        <w:gridCol w:w="1021"/>
        <w:gridCol w:w="1736"/>
      </w:tblGrid>
      <w:tr>
        <w:trPr/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/>
            </w:pPr>
            <w:r>
              <w:rPr>
                <w:rStyle w:val="Style14"/>
                <w:rFonts w:eastAsia="標楷體"/>
              </w:rPr>
              <w:t>男性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/>
            </w:pPr>
            <w:r>
              <w:rPr>
                <w:rStyle w:val="Style14"/>
                <w:rFonts w:eastAsia="標楷體"/>
              </w:rPr>
              <w:t>女性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6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2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8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8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6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Style w:val="Style14"/>
          <w:rFonts w:eastAsia="標楷體"/>
          <w:sz w:val="20"/>
        </w:rPr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42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5829300" cy="800100"/>
                <wp:effectExtent l="0" t="0" r="0" b="0"/>
                <wp:wrapNone/>
                <wp:docPr id="8" name="Text Box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80010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以門診病人未辦理住院手續者統計。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rPr>
                                <w:rFonts w:cs="標楷體"/>
                              </w:rPr>
                            </w:pPr>
                            <w:r>
                              <w:rPr>
                                <w:rFonts w:cs="標楷體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63pt;mso-wrap-distance-left:0pt;mso-wrap-distance-right:0pt;mso-wrap-distance-top:0pt;mso-wrap-distance-bottom:0pt;margin-top:9.8pt;mso-position-vertical-relative:text;margin-left:0pt;mso-position-horizontal-relative:text">
                <v:textbox inset="0in,0in,0in,0in">
                  <w:txbxContent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1.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以門診病人未辦理住院手續者統計。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rPr>
                          <w:rFonts w:cs="標楷體"/>
                        </w:rPr>
                      </w:pPr>
                      <w:r>
                        <w:rPr>
                          <w:rFonts w:cs="標楷體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ind w:left="180" w:hanging="0"/>
        <w:rPr>
          <w:rFonts w:eastAsia="標楷體"/>
        </w:rPr>
      </w:pPr>
      <w:r>
        <w:rPr>
          <w:rFonts w:eastAsia="標楷體"/>
        </w:rPr>
      </w:r>
      <w:r>
        <w:br w:type="page"/>
      </w:r>
    </w:p>
    <w:p>
      <w:pPr>
        <w:pStyle w:val="BodyText"/>
        <w:tabs>
          <w:tab w:val="clear" w:pos="480"/>
          <w:tab w:val="left" w:pos="720" w:leader="none"/>
        </w:tabs>
        <w:spacing w:lineRule="atLeast" w:line="500"/>
        <w:rPr>
          <w:rFonts w:eastAsia="標楷體"/>
        </w:rPr>
      </w:pPr>
      <w:r>
        <w:rPr>
          <w:rFonts w:eastAsia="標楷體"/>
        </w:rPr>
        <w:t xml:space="preserve"> </w:t>
      </w:r>
      <w:r>
        <w:rPr>
          <w:rFonts w:eastAsia="標楷體"/>
        </w:rPr>
        <w:t>5.3</w:t>
      </w:r>
      <w:r>
        <w:rPr>
          <w:rFonts w:eastAsia="標楷體"/>
        </w:rPr>
        <w:t>門診病人</w:t>
      </w:r>
      <w:r>
        <w:rPr>
          <w:rFonts w:eastAsia="標楷體"/>
        </w:rPr>
        <w:t>10</w:t>
      </w:r>
      <w:r>
        <w:rPr>
          <w:rFonts w:eastAsia="標楷體"/>
        </w:rPr>
        <w:t>大疾病別統計表</w:t>
      </w:r>
      <w:r>
        <w:rPr>
          <w:rFonts w:eastAsia="標楷體"/>
        </w:rPr>
        <w:t>(104.1.1~104.12.31)</w:t>
      </w:r>
    </w:p>
    <w:tbl>
      <w:tblPr>
        <w:tblW w:w="9568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16"/>
        <w:gridCol w:w="1124"/>
        <w:gridCol w:w="2068"/>
        <w:gridCol w:w="751"/>
        <w:gridCol w:w="677"/>
        <w:gridCol w:w="677"/>
        <w:gridCol w:w="898"/>
        <w:gridCol w:w="1021"/>
        <w:gridCol w:w="1736"/>
      </w:tblGrid>
      <w:tr>
        <w:trPr/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順位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ICD-9-CM</w:t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疾病名稱</w:t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4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平均年齡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/>
            </w:pPr>
            <w:r>
              <w:rPr>
                <w:rStyle w:val="Style14"/>
                <w:rFonts w:eastAsia="標楷體"/>
              </w:rPr>
              <w:t>男性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napToGrid w:val="false"/>
              <w:jc w:val="center"/>
              <w:rPr/>
            </w:pPr>
            <w:r>
              <w:rPr>
                <w:rStyle w:val="Style14"/>
                <w:rFonts w:eastAsia="標楷體"/>
              </w:rPr>
              <w:t>女性</w:t>
            </w:r>
            <w:r>
              <w:rPr>
                <w:rStyle w:val="Style14"/>
                <w:rFonts w:ascii="標楷體" w:hAnsi="標楷體" w:eastAsia="標楷體"/>
              </w:rPr>
              <w:t>人數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總人數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百分比</w:t>
            </w:r>
            <w:r>
              <w:rPr>
                <w:rFonts w:eastAsia="標楷體"/>
              </w:rPr>
              <w:t>%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累積百分比</w:t>
            </w:r>
            <w:r>
              <w:rPr>
                <w:rFonts w:eastAsia="標楷體"/>
              </w:rPr>
              <w:t>%</w:t>
            </w:r>
          </w:p>
        </w:tc>
      </w:tr>
      <w:tr>
        <w:trPr>
          <w:trHeight w:val="533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7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2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4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3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8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4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2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5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6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4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7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32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8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4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9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20" w:hRule="atLeast"/>
        </w:trPr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10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前</w:t>
            </w:r>
            <w:r>
              <w:rPr>
                <w:rFonts w:eastAsia="標楷體"/>
              </w:rPr>
              <w:t>10</w:t>
            </w:r>
            <w:r>
              <w:rPr>
                <w:rFonts w:eastAsia="標楷體"/>
              </w:rPr>
              <w:t>大疾病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0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其他疾病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519" w:hRule="atLeast"/>
        </w:trPr>
        <w:tc>
          <w:tcPr>
            <w:tcW w:w="380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年度所有疾病</w:t>
            </w:r>
          </w:p>
        </w:tc>
        <w:tc>
          <w:tcPr>
            <w:tcW w:w="75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677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021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1736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>
            <w:pPr>
              <w:pStyle w:val="BodyText"/>
              <w:autoSpaceDE w:val="false"/>
              <w:spacing w:lineRule="atLeast" w:line="50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</w:tbl>
    <w:p>
      <w:pPr>
        <w:pStyle w:val="Style21"/>
        <w:tabs>
          <w:tab w:val="clear" w:pos="480"/>
        </w:tabs>
        <w:snapToGrid w:val="false"/>
        <w:ind w:left="480" w:hanging="480"/>
        <w:jc w:val="center"/>
        <w:rPr>
          <w:rStyle w:val="Style14"/>
          <w:rFonts w:eastAsia="標楷體"/>
          <w:lang w:val="en-US" w:eastAsia="zh-TW"/>
        </w:rPr>
      </w:pPr>
      <w:r>
        <w:rPr/>
      </w:r>
      <w:r>
        <w:br w:type="page"/>
      </w:r>
      <w:r>
        <mc:AlternateContent>
          <mc:Choice Requires="wps">
            <w:drawing>
              <wp:anchor behindDoc="0" distT="0" distB="0" distL="0" distR="0" simplePos="0" locked="0" layoutInCell="1" allowOverlap="1" relativeHeight="43">
                <wp:simplePos x="0" y="0"/>
                <wp:positionH relativeFrom="column">
                  <wp:posOffset>0</wp:posOffset>
                </wp:positionH>
                <wp:positionV relativeFrom="paragraph">
                  <wp:posOffset>184785</wp:posOffset>
                </wp:positionV>
                <wp:extent cx="5829300" cy="734060"/>
                <wp:effectExtent l="0" t="0" r="0" b="0"/>
                <wp:wrapNone/>
                <wp:docPr id="9" name="Text Box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7340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備註：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1.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百分比係指該疾病佔所有疾病的百分比。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2.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統計以主診斷為統計依據，排除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V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、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E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及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M code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3.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統計表之累積百分比累積至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80</w:t>
                            </w:r>
                            <w:r>
                              <w:rPr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％時，可不需再填寫。</w:t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480"/>
                                <w:tab w:val="left" w:pos="720" w:leader="none"/>
                              </w:tabs>
                              <w:spacing w:lineRule="atLeast" w:line="0"/>
                              <w:ind w:left="160" w:hanging="160"/>
                              <w:jc w:val="both"/>
                              <w:rPr/>
                            </w:pP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4.</w:t>
                            </w:r>
                            <w:r>
                              <w:rPr>
                                <w:rStyle w:val="Style14"/>
                                <w:rFonts w:eastAsia="標楷體"/>
                                <w:b/>
                                <w:sz w:val="20"/>
                                <w:szCs w:val="20"/>
                              </w:rPr>
                              <w:t>以門診病人未辦理住院手續者統計。</w:t>
                            </w:r>
                          </w:p>
                          <w:p>
                            <w:pPr>
                              <w:pStyle w:val="BodyText"/>
                              <w:snapToGrid w:val="false"/>
                              <w:spacing w:lineRule="atLeast" w:line="280"/>
                              <w:ind w:firstLine="480"/>
                              <w:rPr>
                                <w:rFonts w:cs="標楷體"/>
                              </w:rPr>
                            </w:pPr>
                            <w:r>
                              <w:rPr>
                                <w:rFonts w:cs="標楷體"/>
                              </w:rPr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rotation:-0;width:459pt;height:57.8pt;mso-wrap-distance-left:0pt;mso-wrap-distance-right:0pt;mso-wrap-distance-top:0pt;mso-wrap-distance-bottom:0pt;margin-top:14.55pt;mso-position-vertical-relative:text;margin-left:0pt;mso-position-horizontal-relative:text">
                <v:textbox inset="0in,0in,0in,0in">
                  <w:txbxContent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備註：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1.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百分比係指該疾病佔所有疾病的百分比。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2.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統計以主診斷為統計依據，排除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V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、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E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及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M code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>
                          <w:rFonts w:eastAsia="標楷體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3.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統計表之累積百分比累積至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80</w:t>
                      </w:r>
                      <w:r>
                        <w:rPr>
                          <w:rFonts w:eastAsia="標楷體"/>
                          <w:b/>
                          <w:sz w:val="20"/>
                          <w:szCs w:val="20"/>
                        </w:rPr>
                        <w:t>％時，可不需再填寫。</w:t>
                      </w:r>
                    </w:p>
                    <w:p>
                      <w:pPr>
                        <w:pStyle w:val="BodyText"/>
                        <w:tabs>
                          <w:tab w:val="clear" w:pos="480"/>
                          <w:tab w:val="left" w:pos="720" w:leader="none"/>
                        </w:tabs>
                        <w:spacing w:lineRule="atLeast" w:line="0"/>
                        <w:ind w:left="160" w:hanging="160"/>
                        <w:jc w:val="both"/>
                        <w:rPr/>
                      </w:pP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4.</w:t>
                      </w:r>
                      <w:r>
                        <w:rPr>
                          <w:rStyle w:val="Style14"/>
                          <w:rFonts w:eastAsia="標楷體"/>
                          <w:b/>
                          <w:sz w:val="20"/>
                          <w:szCs w:val="20"/>
                        </w:rPr>
                        <w:t>以門診病人未辦理住院手續者統計。</w:t>
                      </w:r>
                    </w:p>
                    <w:p>
                      <w:pPr>
                        <w:pStyle w:val="BodyText"/>
                        <w:snapToGrid w:val="false"/>
                        <w:spacing w:lineRule="atLeast" w:line="280"/>
                        <w:ind w:firstLine="480"/>
                        <w:rPr>
                          <w:rFonts w:cs="標楷體"/>
                        </w:rPr>
                      </w:pPr>
                      <w:r>
                        <w:rPr>
                          <w:rFonts w:cs="標楷體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Style21"/>
        <w:tabs>
          <w:tab w:val="clear" w:pos="480"/>
        </w:tabs>
        <w:snapToGrid w:val="false"/>
        <w:ind w:left="480" w:hanging="480"/>
        <w:jc w:val="center"/>
        <w:rPr/>
      </w:pPr>
      <w:r>
        <w:rPr>
          <w:rStyle w:val="Style14"/>
          <w:rFonts w:ascii="Times New Roman" w:hAnsi="Times New Roman" w:eastAsia="標楷體"/>
          <w:b/>
          <w:bCs/>
          <w:sz w:val="28"/>
        </w:rPr>
        <w:t>填表說明</w:t>
      </w:r>
    </w:p>
    <w:p>
      <w:pPr>
        <w:pStyle w:val="Style21"/>
        <w:tabs>
          <w:tab w:val="clear" w:pos="480"/>
        </w:tabs>
        <w:snapToGrid w:val="false"/>
        <w:ind w:left="400" w:hanging="400"/>
        <w:rPr>
          <w:rFonts w:ascii="Times New Roman" w:hAnsi="Times New Roman" w:eastAsia="標楷體"/>
          <w:sz w:val="20"/>
        </w:rPr>
      </w:pPr>
      <w:r>
        <w:rPr>
          <w:rFonts w:eastAsia="標楷體" w:ascii="Times New Roman" w:hAnsi="Times New Roman"/>
          <w:sz w:val="20"/>
        </w:rPr>
      </w:r>
    </w:p>
    <w:p>
      <w:pPr>
        <w:pStyle w:val="Style21"/>
        <w:tabs>
          <w:tab w:val="clear" w:pos="480"/>
        </w:tabs>
        <w:snapToGrid w:val="false"/>
        <w:ind w:left="400" w:hanging="400"/>
        <w:rPr/>
      </w:pPr>
      <w:r>
        <w:rPr>
          <w:rStyle w:val="Style14"/>
          <w:rFonts w:ascii="Times New Roman" w:hAnsi="Times New Roman" w:eastAsia="標楷體"/>
          <w:sz w:val="20"/>
        </w:rPr>
        <w:t>一、本年度醫院評鑑所需醫院詳細病床資料、診療科別、醫事人員及名冊等資料，將自衛生主管機關之「醫事機構管理系統」及「醫事人員管理系統」下轉錄核對。</w:t>
      </w:r>
    </w:p>
    <w:p>
      <w:pPr>
        <w:pStyle w:val="Style21"/>
        <w:snapToGrid w:val="false"/>
        <w:jc w:val="both"/>
        <w:rPr>
          <w:rFonts w:ascii="Times New Roman" w:hAnsi="Times New Roman" w:eastAsia="標楷體"/>
          <w:b/>
          <w:bCs/>
          <w:sz w:val="20"/>
        </w:rPr>
      </w:pPr>
      <w:r>
        <w:rPr>
          <w:rFonts w:eastAsia="標楷體" w:ascii="Times New Roman" w:hAnsi="Times New Roman"/>
          <w:b/>
          <w:bCs/>
          <w:sz w:val="20"/>
        </w:rPr>
      </w:r>
    </w:p>
    <w:p>
      <w:pPr>
        <w:pStyle w:val="Style21"/>
        <w:snapToGrid w:val="false"/>
        <w:rPr/>
      </w:pPr>
      <w:r>
        <w:rPr>
          <w:rStyle w:val="Style14"/>
          <w:rFonts w:ascii="Times New Roman" w:hAnsi="Times New Roman" w:eastAsia="標楷體"/>
          <w:sz w:val="20"/>
        </w:rPr>
        <w:t>二、醫療業務量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全年門診人次：全年前往醫院經掛號後，實際就診各科別門診人次</w:t>
      </w:r>
      <w:r>
        <w:rPr>
          <w:rStyle w:val="Style14"/>
          <w:rFonts w:eastAsia="標楷體" w:ascii="Times New Roman" w:hAnsi="Times New Roman"/>
          <w:sz w:val="20"/>
        </w:rPr>
        <w:t>(</w:t>
      </w:r>
      <w:r>
        <w:rPr>
          <w:rStyle w:val="Style14"/>
          <w:rFonts w:ascii="Times New Roman" w:hAnsi="Times New Roman" w:eastAsia="標楷體"/>
          <w:sz w:val="20"/>
        </w:rPr>
        <w:t>含夜間門診及假日門診</w:t>
      </w:r>
      <w:r>
        <w:rPr>
          <w:rStyle w:val="Style14"/>
          <w:rFonts w:eastAsia="標楷體" w:ascii="Times New Roman" w:hAnsi="Times New Roman"/>
          <w:sz w:val="20"/>
        </w:rPr>
        <w:t>)</w:t>
      </w:r>
      <w:r>
        <w:rPr>
          <w:rStyle w:val="Style14"/>
          <w:rFonts w:ascii="Times New Roman" w:hAnsi="Times New Roman" w:eastAsia="標楷體"/>
          <w:sz w:val="20"/>
        </w:rPr>
        <w:t>之累計。</w:t>
      </w:r>
    </w:p>
    <w:p>
      <w:pPr>
        <w:pStyle w:val="Style21"/>
        <w:snapToGrid w:val="false"/>
        <w:rPr/>
      </w:pPr>
      <w:r>
        <w:rPr>
          <w:rStyle w:val="Style14"/>
          <w:rFonts w:ascii="Times New Roman" w:hAnsi="Times New Roman" w:eastAsia="標楷體"/>
          <w:sz w:val="20"/>
        </w:rPr>
        <w:t xml:space="preserve">      </w:t>
      </w:r>
      <w:r>
        <w:rPr>
          <w:rStyle w:val="Style14"/>
          <w:rFonts w:eastAsia="標楷體" w:ascii="Times New Roman" w:hAnsi="Times New Roman"/>
          <w:sz w:val="20"/>
        </w:rPr>
        <w:t>(1)</w:t>
      </w:r>
      <w:r>
        <w:rPr>
          <w:rStyle w:val="Style14"/>
          <w:rFonts w:ascii="Times New Roman" w:hAnsi="Times New Roman" w:eastAsia="標楷體"/>
          <w:sz w:val="20"/>
        </w:rPr>
        <w:t>包括初診、複診在內，但不含急診人次與門診體格檢查之人次。</w:t>
      </w:r>
    </w:p>
    <w:p>
      <w:pPr>
        <w:pStyle w:val="Style21"/>
        <w:snapToGrid w:val="false"/>
        <w:rPr/>
      </w:pPr>
      <w:r>
        <w:rPr>
          <w:rStyle w:val="Style14"/>
          <w:rFonts w:ascii="Times New Roman" w:hAnsi="Times New Roman" w:eastAsia="標楷體"/>
          <w:sz w:val="20"/>
        </w:rPr>
        <w:t xml:space="preserve">      </w:t>
      </w:r>
      <w:r>
        <w:rPr>
          <w:rStyle w:val="Style14"/>
          <w:rFonts w:eastAsia="標楷體" w:ascii="Times New Roman" w:hAnsi="Times New Roman"/>
          <w:sz w:val="20"/>
        </w:rPr>
        <w:t>(2)</w:t>
      </w:r>
      <w:r>
        <w:rPr>
          <w:rStyle w:val="Style14"/>
          <w:rFonts w:ascii="Times New Roman" w:hAnsi="Times New Roman" w:eastAsia="標楷體"/>
          <w:sz w:val="20"/>
        </w:rPr>
        <w:t>如同</w:t>
      </w:r>
      <w:r>
        <w:rPr>
          <w:rStyle w:val="Style14"/>
          <w:rFonts w:eastAsia="標楷體" w:ascii="Times New Roman" w:hAnsi="Times New Roman"/>
          <w:sz w:val="20"/>
        </w:rPr>
        <w:t>1</w:t>
      </w:r>
      <w:r>
        <w:rPr>
          <w:rStyle w:val="Style14"/>
          <w:rFonts w:ascii="Times New Roman" w:hAnsi="Times New Roman" w:eastAsia="標楷體"/>
          <w:sz w:val="20"/>
        </w:rPr>
        <w:t>人掛</w:t>
      </w:r>
      <w:r>
        <w:rPr>
          <w:rStyle w:val="Style14"/>
          <w:rFonts w:eastAsia="標楷體" w:ascii="Times New Roman" w:hAnsi="Times New Roman"/>
          <w:sz w:val="20"/>
        </w:rPr>
        <w:t>2</w:t>
      </w:r>
      <w:r>
        <w:rPr>
          <w:rStyle w:val="Style14"/>
          <w:rFonts w:ascii="Times New Roman" w:hAnsi="Times New Roman" w:eastAsia="標楷體"/>
          <w:sz w:val="20"/>
        </w:rPr>
        <w:t>科或就診某科</w:t>
      </w:r>
      <w:r>
        <w:rPr>
          <w:rStyle w:val="Style14"/>
          <w:rFonts w:eastAsia="標楷體" w:ascii="Times New Roman" w:hAnsi="Times New Roman"/>
          <w:sz w:val="20"/>
        </w:rPr>
        <w:t>2</w:t>
      </w:r>
      <w:r>
        <w:rPr>
          <w:rStyle w:val="Style14"/>
          <w:rFonts w:ascii="Times New Roman" w:hAnsi="Times New Roman" w:eastAsia="標楷體"/>
          <w:sz w:val="20"/>
        </w:rPr>
        <w:t>次，即以</w:t>
      </w:r>
      <w:r>
        <w:rPr>
          <w:rStyle w:val="Style14"/>
          <w:rFonts w:eastAsia="標楷體" w:ascii="Times New Roman" w:hAnsi="Times New Roman"/>
          <w:sz w:val="20"/>
        </w:rPr>
        <w:t>2</w:t>
      </w:r>
      <w:r>
        <w:rPr>
          <w:rStyle w:val="Style14"/>
          <w:rFonts w:ascii="Times New Roman" w:hAnsi="Times New Roman" w:eastAsia="標楷體"/>
          <w:sz w:val="20"/>
        </w:rPr>
        <w:t>人次之累計。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門診健檢人次：包括就業、考試、執照、就學、人壽保險、婚前健檢及成人健檢等人次之累計。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全年急診人次：全年急診掛號，且實際完成就診人次之累計。</w:t>
      </w:r>
    </w:p>
    <w:p>
      <w:pPr>
        <w:pStyle w:val="Style21"/>
        <w:snapToGrid w:val="false"/>
        <w:rPr/>
      </w:pPr>
      <w:r>
        <w:rPr>
          <w:rStyle w:val="Style14"/>
          <w:rFonts w:ascii="Times New Roman" w:hAnsi="Times New Roman" w:eastAsia="標楷體"/>
          <w:sz w:val="20"/>
        </w:rPr>
        <w:t xml:space="preserve">      </w:t>
      </w:r>
      <w:r>
        <w:rPr>
          <w:rStyle w:val="Style14"/>
          <w:rFonts w:eastAsia="標楷體" w:ascii="Times New Roman" w:hAnsi="Times New Roman"/>
          <w:sz w:val="20"/>
        </w:rPr>
        <w:t>(1)</w:t>
      </w:r>
      <w:r>
        <w:rPr>
          <w:rStyle w:val="Style14"/>
          <w:rFonts w:ascii="Times New Roman" w:hAnsi="Times New Roman" w:eastAsia="標楷體"/>
          <w:sz w:val="20"/>
        </w:rPr>
        <w:t>夜間門診不列入急診。</w:t>
      </w:r>
    </w:p>
    <w:p>
      <w:pPr>
        <w:pStyle w:val="Style21"/>
        <w:snapToGrid w:val="false"/>
        <w:rPr/>
      </w:pPr>
      <w:r>
        <w:rPr>
          <w:rStyle w:val="Style14"/>
          <w:rFonts w:ascii="Times New Roman" w:hAnsi="Times New Roman" w:eastAsia="標楷體"/>
          <w:sz w:val="20"/>
        </w:rPr>
        <w:t xml:space="preserve">      </w:t>
      </w:r>
      <w:r>
        <w:rPr>
          <w:rStyle w:val="Style14"/>
          <w:rFonts w:eastAsia="標楷體" w:ascii="Times New Roman" w:hAnsi="Times New Roman"/>
          <w:sz w:val="20"/>
        </w:rPr>
        <w:t>(2)</w:t>
      </w:r>
      <w:r>
        <w:rPr>
          <w:rStyle w:val="Style14"/>
          <w:rFonts w:ascii="Times New Roman" w:hAnsi="Times New Roman" w:eastAsia="標楷體"/>
          <w:sz w:val="20"/>
        </w:rPr>
        <w:t>夜間至急診處就診視為急診。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全年住院人次：全年醫院每日辦理住院手續之入院人次之累計，不含住院健檢人次。急診後辦理住院手續者列入住院人次，但急診後未辦理住院手續者列入急診人次。病人住院期間若轉換科別，則僅列計一住院人次；但轉換病床，則另計轉床後之住院人次</w:t>
      </w:r>
      <w:r>
        <w:rPr>
          <w:rStyle w:val="Style14"/>
          <w:rFonts w:eastAsia="標楷體" w:ascii="Times New Roman" w:hAnsi="Times New Roman"/>
          <w:sz w:val="20"/>
        </w:rPr>
        <w:t>1</w:t>
      </w:r>
      <w:r>
        <w:rPr>
          <w:rStyle w:val="Style14"/>
          <w:rFonts w:ascii="Times New Roman" w:hAnsi="Times New Roman" w:eastAsia="標楷體"/>
          <w:sz w:val="20"/>
        </w:rPr>
        <w:t>次，惟如再轉回原轉出病床別時，如未再辦理住院手續，則不需重複列計。慢性一般病床不足而借用急性一般病床時，仍以慢性一般病床列計住院人次，反之，急性一般病床不足而借用慢性一般病床時，則以急性一般病床列計住院人次。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住院人日：全年每日住院人數之累計，住院病人以有辦理住院手續者始列計。計算方式為算進不算出，惟當日住出院者算</w:t>
      </w:r>
      <w:r>
        <w:rPr>
          <w:rStyle w:val="Style14"/>
          <w:rFonts w:eastAsia="標楷體" w:ascii="Times New Roman" w:hAnsi="Times New Roman"/>
          <w:sz w:val="20"/>
        </w:rPr>
        <w:t>1</w:t>
      </w:r>
      <w:r>
        <w:rPr>
          <w:rStyle w:val="Style14"/>
          <w:rFonts w:ascii="Times New Roman" w:hAnsi="Times New Roman" w:eastAsia="標楷體"/>
          <w:sz w:val="20"/>
        </w:rPr>
        <w:t>日住院人日。病人在住院期間轉換科別或病床別時，如仍保留原佔床位時，須同時列計兩邊床位之住院人日，但若未保留原佔床位時，則僅計算新佔用病床之人日即可。慢性一般病床不足而借用急性一般病床時，仍以慢性一般病床列計住院人日，反之，急性一般病床不足而借用慢性一般病床時，仍以急性一般病床列計住院人日。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/>
      </w:pPr>
      <w:r>
        <w:rPr>
          <w:rStyle w:val="Style14"/>
          <w:rFonts w:ascii="Times New Roman" w:hAnsi="Times New Roman" w:eastAsia="標楷體"/>
          <w:sz w:val="20"/>
        </w:rPr>
        <w:t>平均每日住院人數</w:t>
      </w:r>
      <w:r>
        <w:rPr>
          <w:rStyle w:val="Style14"/>
          <w:rFonts w:eastAsia="標楷體" w:ascii="Times New Roman" w:hAnsi="Times New Roman"/>
          <w:sz w:val="20"/>
        </w:rPr>
        <w:t>=</w:t>
      </w:r>
      <w:r>
        <w:rPr>
          <w:rStyle w:val="Style14"/>
          <w:rFonts w:ascii="Times New Roman" w:hAnsi="Times New Roman" w:eastAsia="標楷體"/>
          <w:sz w:val="20"/>
        </w:rPr>
        <w:t>全年總住院人日數</w:t>
      </w:r>
      <w:r>
        <w:rPr>
          <w:rStyle w:val="Style14"/>
          <w:rFonts w:eastAsia="標楷體" w:ascii="Times New Roman" w:hAnsi="Times New Roman"/>
          <w:sz w:val="20"/>
        </w:rPr>
        <w:t>÷</w:t>
      </w:r>
      <w:r>
        <w:rPr>
          <w:rStyle w:val="Style14"/>
          <w:rFonts w:ascii="Times New Roman" w:hAnsi="Times New Roman" w:eastAsia="標楷體"/>
          <w:sz w:val="20"/>
        </w:rPr>
        <w:t>全年內之總日數</w:t>
      </w:r>
    </w:p>
    <w:p>
      <w:pPr>
        <w:pStyle w:val="Style21"/>
        <w:numPr>
          <w:ilvl w:val="0"/>
          <w:numId w:val="4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病床佔床率</w:t>
      </w:r>
      <w:r>
        <w:rPr>
          <w:rFonts w:eastAsia="標楷體" w:ascii="Times New Roman" w:hAnsi="Times New Roman"/>
          <w:sz w:val="20"/>
        </w:rPr>
        <w:t>= (</w:t>
      </w:r>
      <w:r>
        <w:rPr>
          <w:rFonts w:ascii="Times New Roman" w:hAnsi="Times New Roman" w:eastAsia="標楷體"/>
          <w:sz w:val="20"/>
        </w:rPr>
        <w:t>該類病床全年總住院人日數</w:t>
      </w:r>
      <w:r>
        <w:rPr>
          <w:rFonts w:eastAsia="標楷體" w:ascii="Times New Roman" w:hAnsi="Times New Roman"/>
          <w:sz w:val="20"/>
        </w:rPr>
        <w:t>)÷(</w:t>
      </w:r>
      <w:r>
        <w:rPr>
          <w:rFonts w:ascii="Times New Roman" w:hAnsi="Times New Roman" w:eastAsia="標楷體"/>
          <w:sz w:val="20"/>
        </w:rPr>
        <w:t>該類病床數</w:t>
      </w:r>
      <w:r>
        <w:rPr>
          <w:rFonts w:eastAsia="標楷體" w:ascii="Times New Roman" w:hAnsi="Times New Roman"/>
          <w:sz w:val="20"/>
        </w:rPr>
        <w:t>×</w:t>
      </w:r>
      <w:r>
        <w:rPr>
          <w:rFonts w:ascii="Times New Roman" w:hAnsi="Times New Roman" w:eastAsia="標楷體"/>
          <w:sz w:val="20"/>
        </w:rPr>
        <w:t>總日數</w:t>
      </w:r>
      <w:r>
        <w:rPr>
          <w:rFonts w:eastAsia="標楷體" w:ascii="Times New Roman" w:hAnsi="Times New Roman"/>
          <w:sz w:val="20"/>
        </w:rPr>
        <w:t>)×100 (</w:t>
      </w:r>
      <w:r>
        <w:rPr>
          <w:rFonts w:ascii="Times New Roman" w:hAnsi="Times New Roman" w:eastAsia="標楷體"/>
          <w:sz w:val="20"/>
        </w:rPr>
        <w:t>％</w:t>
      </w:r>
      <w:r>
        <w:rPr>
          <w:rFonts w:eastAsia="標楷體" w:ascii="Times New Roman" w:hAnsi="Times New Roman"/>
          <w:sz w:val="20"/>
        </w:rPr>
        <w:t>)</w:t>
      </w:r>
    </w:p>
    <w:p>
      <w:pPr>
        <w:pStyle w:val="Style21"/>
        <w:tabs>
          <w:tab w:val="clear" w:pos="480"/>
        </w:tabs>
        <w:snapToGrid w:val="false"/>
        <w:ind w:left="405" w:hanging="0"/>
        <w:rPr/>
      </w:pPr>
      <w:r>
        <w:rPr>
          <w:rStyle w:val="Style14"/>
          <w:rFonts w:ascii="Times New Roman" w:hAnsi="Times New Roman" w:eastAsia="標楷體"/>
          <w:sz w:val="20"/>
        </w:rPr>
        <w:t xml:space="preserve">           </w:t>
      </w:r>
      <w:r>
        <w:rPr>
          <w:rStyle w:val="Style14"/>
          <w:rFonts w:ascii="Times New Roman" w:hAnsi="Times New Roman" w:eastAsia="標楷體"/>
          <w:sz w:val="20"/>
        </w:rPr>
        <w:t>平均住院日</w:t>
      </w:r>
      <w:r>
        <w:rPr>
          <w:rStyle w:val="Style14"/>
          <w:rFonts w:eastAsia="標楷體" w:ascii="Times New Roman" w:hAnsi="Times New Roman"/>
          <w:sz w:val="20"/>
        </w:rPr>
        <w:t>=</w:t>
      </w:r>
      <w:r>
        <w:rPr>
          <w:rStyle w:val="Style14"/>
          <w:rFonts w:ascii="Times New Roman" w:hAnsi="Times New Roman" w:eastAsia="標楷體"/>
          <w:sz w:val="20"/>
        </w:rPr>
        <w:t>全年總住院人日數</w:t>
      </w:r>
      <w:r>
        <w:rPr>
          <w:rStyle w:val="Style14"/>
          <w:rFonts w:eastAsia="標楷體" w:ascii="Times New Roman" w:hAnsi="Times New Roman"/>
          <w:sz w:val="20"/>
        </w:rPr>
        <w:t>÷</w:t>
      </w:r>
      <w:r>
        <w:rPr>
          <w:rStyle w:val="Style14"/>
          <w:rFonts w:ascii="Times New Roman" w:hAnsi="Times New Roman" w:eastAsia="標楷體"/>
          <w:sz w:val="20"/>
        </w:rPr>
        <w:t>全年總住院人次數</w:t>
      </w:r>
    </w:p>
    <w:p>
      <w:pPr>
        <w:pStyle w:val="BodyText"/>
        <w:autoSpaceDE w:val="false"/>
        <w:jc w:val="both"/>
        <w:rPr>
          <w:rFonts w:eastAsia="標楷體"/>
          <w:sz w:val="20"/>
          <w:szCs w:val="20"/>
        </w:rPr>
      </w:pPr>
      <w:r>
        <w:rPr>
          <w:rFonts w:eastAsia="標楷體"/>
          <w:sz w:val="20"/>
          <w:szCs w:val="20"/>
        </w:rPr>
      </w:r>
    </w:p>
    <w:p>
      <w:pPr>
        <w:pStyle w:val="BodyText"/>
        <w:autoSpaceDE w:val="false"/>
        <w:jc w:val="both"/>
        <w:rPr/>
      </w:pPr>
      <w:r>
        <w:rPr>
          <w:rStyle w:val="Style14"/>
          <w:rFonts w:eastAsia="標楷體"/>
          <w:sz w:val="20"/>
          <w:szCs w:val="20"/>
        </w:rPr>
        <w:t>三、疾病統計：</w:t>
      </w:r>
    </w:p>
    <w:p>
      <w:pPr>
        <w:pStyle w:val="Style21"/>
        <w:numPr>
          <w:ilvl w:val="0"/>
          <w:numId w:val="5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此說明適用於上列住院病人</w:t>
      </w:r>
      <w:r>
        <w:rPr>
          <w:rFonts w:eastAsia="標楷體" w:ascii="Times New Roman" w:hAnsi="Times New Roman"/>
          <w:sz w:val="20"/>
        </w:rPr>
        <w:t>10</w:t>
      </w:r>
      <w:r>
        <w:rPr>
          <w:rFonts w:ascii="Times New Roman" w:hAnsi="Times New Roman" w:eastAsia="標楷體"/>
          <w:sz w:val="20"/>
        </w:rPr>
        <w:t>大疾病別統計表及門診病人</w:t>
      </w:r>
      <w:r>
        <w:rPr>
          <w:rFonts w:eastAsia="標楷體" w:ascii="Times New Roman" w:hAnsi="Times New Roman"/>
          <w:sz w:val="20"/>
        </w:rPr>
        <w:t>10</w:t>
      </w:r>
      <w:r>
        <w:rPr>
          <w:rFonts w:ascii="Times New Roman" w:hAnsi="Times New Roman" w:eastAsia="標楷體"/>
          <w:sz w:val="20"/>
        </w:rPr>
        <w:t>大疾病別統計表。</w:t>
      </w:r>
    </w:p>
    <w:p>
      <w:pPr>
        <w:pStyle w:val="Style21"/>
        <w:numPr>
          <w:ilvl w:val="0"/>
          <w:numId w:val="5"/>
        </w:numPr>
        <w:tabs>
          <w:tab w:val="clear" w:pos="480"/>
          <w:tab w:val="left" w:pos="645" w:leader="none"/>
        </w:tabs>
        <w:snapToGrid w:val="false"/>
        <w:ind w:left="645" w:hanging="240"/>
        <w:rPr>
          <w:rFonts w:ascii="Times New Roman" w:hAnsi="Times New Roman" w:eastAsia="標楷體"/>
          <w:sz w:val="20"/>
        </w:rPr>
      </w:pPr>
      <w:r>
        <w:rPr>
          <w:rFonts w:ascii="Times New Roman" w:hAnsi="Times New Roman" w:eastAsia="標楷體"/>
          <w:sz w:val="20"/>
        </w:rPr>
        <w:t>為能呈現醫院診療服務之特性，疾病統計可以</w:t>
      </w:r>
      <w:r>
        <w:rPr>
          <w:rFonts w:eastAsia="標楷體" w:ascii="Times New Roman" w:hAnsi="Times New Roman"/>
          <w:sz w:val="20"/>
        </w:rPr>
        <w:t>ICD-9-CM</w:t>
      </w:r>
      <w:r>
        <w:rPr>
          <w:rFonts w:ascii="Times New Roman" w:hAnsi="Times New Roman" w:eastAsia="標楷體"/>
          <w:sz w:val="20"/>
        </w:rPr>
        <w:t>前三碼集合分類（如：</w:t>
      </w:r>
      <w:r>
        <w:rPr>
          <w:rFonts w:eastAsia="標楷體" w:ascii="Times New Roman" w:hAnsi="Times New Roman"/>
          <w:sz w:val="20"/>
        </w:rPr>
        <w:t>001-009</w:t>
      </w:r>
      <w:r>
        <w:rPr>
          <w:rFonts w:ascii="Times New Roman" w:hAnsi="Times New Roman" w:eastAsia="標楷體"/>
          <w:sz w:val="20"/>
        </w:rPr>
        <w:t>，</w:t>
      </w:r>
      <w:r>
        <w:rPr>
          <w:rFonts w:eastAsia="標楷體" w:ascii="Times New Roman" w:hAnsi="Times New Roman"/>
          <w:sz w:val="20"/>
        </w:rPr>
        <w:t>590-599</w:t>
      </w:r>
      <w:r>
        <w:rPr>
          <w:rFonts w:ascii="Times New Roman" w:hAnsi="Times New Roman" w:eastAsia="標楷體"/>
          <w:sz w:val="20"/>
        </w:rPr>
        <w:t>，</w:t>
      </w:r>
      <w:r>
        <w:rPr>
          <w:rFonts w:eastAsia="標楷體" w:ascii="Times New Roman" w:hAnsi="Times New Roman"/>
          <w:sz w:val="20"/>
        </w:rPr>
        <w:t>800-804</w:t>
      </w:r>
      <w:r>
        <w:rPr>
          <w:rFonts w:ascii="Times New Roman" w:hAnsi="Times New Roman" w:eastAsia="標楷體"/>
          <w:sz w:val="20"/>
        </w:rPr>
        <w:t>，</w:t>
      </w:r>
      <w:r>
        <w:rPr>
          <w:rFonts w:eastAsia="標楷體" w:ascii="Times New Roman" w:hAnsi="Times New Roman"/>
          <w:sz w:val="20"/>
        </w:rPr>
        <w:t>990-999</w:t>
      </w:r>
      <w:r>
        <w:rPr>
          <w:rFonts w:ascii="Times New Roman" w:hAnsi="Times New Roman" w:eastAsia="標楷體"/>
          <w:sz w:val="20"/>
        </w:rPr>
        <w:t>等，無集合分類者，依前三碼分類）為原則，前三碼之集合分類依原理可再組合者，如：心臟性疾病（</w:t>
      </w:r>
      <w:r>
        <w:rPr>
          <w:rFonts w:eastAsia="標楷體" w:ascii="Times New Roman" w:hAnsi="Times New Roman"/>
          <w:sz w:val="20"/>
        </w:rPr>
        <w:t>390-398</w:t>
      </w:r>
      <w:r>
        <w:rPr>
          <w:rFonts w:ascii="Times New Roman" w:hAnsi="Times New Roman" w:eastAsia="標楷體"/>
          <w:sz w:val="20"/>
        </w:rPr>
        <w:t>、</w:t>
      </w:r>
      <w:r>
        <w:rPr>
          <w:rFonts w:eastAsia="標楷體" w:ascii="Times New Roman" w:hAnsi="Times New Roman"/>
          <w:sz w:val="20"/>
        </w:rPr>
        <w:t>410-414</w:t>
      </w:r>
      <w:r>
        <w:rPr>
          <w:rFonts w:ascii="Times New Roman" w:hAnsi="Times New Roman" w:eastAsia="標楷體"/>
          <w:sz w:val="20"/>
        </w:rPr>
        <w:t>、</w:t>
      </w:r>
      <w:r>
        <w:rPr>
          <w:rFonts w:eastAsia="標楷體" w:ascii="Times New Roman" w:hAnsi="Times New Roman"/>
          <w:sz w:val="20"/>
        </w:rPr>
        <w:t>420-429</w:t>
      </w:r>
      <w:r>
        <w:rPr>
          <w:rFonts w:ascii="Times New Roman" w:hAnsi="Times New Roman" w:eastAsia="標楷體"/>
          <w:sz w:val="20"/>
        </w:rPr>
        <w:t>）、良性腫瘤及未明示性質之腫瘤（</w:t>
      </w:r>
      <w:r>
        <w:rPr>
          <w:rFonts w:eastAsia="標楷體" w:ascii="Times New Roman" w:hAnsi="Times New Roman"/>
          <w:sz w:val="20"/>
        </w:rPr>
        <w:t>210-229</w:t>
      </w:r>
      <w:r>
        <w:rPr>
          <w:rFonts w:ascii="Times New Roman" w:hAnsi="Times New Roman" w:eastAsia="標楷體"/>
          <w:sz w:val="20"/>
        </w:rPr>
        <w:t>、</w:t>
      </w:r>
      <w:r>
        <w:rPr>
          <w:rFonts w:eastAsia="標楷體" w:ascii="Times New Roman" w:hAnsi="Times New Roman"/>
          <w:sz w:val="20"/>
        </w:rPr>
        <w:t>235-239</w:t>
      </w:r>
      <w:r>
        <w:rPr>
          <w:rFonts w:ascii="Times New Roman" w:hAnsi="Times New Roman" w:eastAsia="標楷體"/>
          <w:sz w:val="20"/>
        </w:rPr>
        <w:t>）等，以主診斷為主，可予再組分類進行統計，需排除</w:t>
      </w:r>
      <w:r>
        <w:rPr>
          <w:rFonts w:eastAsia="標楷體" w:ascii="Times New Roman" w:hAnsi="Times New Roman"/>
          <w:sz w:val="20"/>
        </w:rPr>
        <w:t>V code</w:t>
      </w:r>
      <w:r>
        <w:rPr>
          <w:rFonts w:ascii="Times New Roman" w:hAnsi="Times New Roman" w:eastAsia="標楷體"/>
          <w:sz w:val="20"/>
        </w:rPr>
        <w:t>、</w:t>
      </w:r>
      <w:r>
        <w:rPr>
          <w:rFonts w:eastAsia="標楷體" w:ascii="Times New Roman" w:hAnsi="Times New Roman"/>
          <w:sz w:val="20"/>
        </w:rPr>
        <w:t>E code</w:t>
      </w:r>
      <w:r>
        <w:rPr>
          <w:rFonts w:ascii="Times New Roman" w:hAnsi="Times New Roman" w:eastAsia="標楷體"/>
          <w:sz w:val="20"/>
        </w:rPr>
        <w:t>及</w:t>
      </w:r>
      <w:r>
        <w:rPr>
          <w:rFonts w:eastAsia="標楷體" w:ascii="Times New Roman" w:hAnsi="Times New Roman"/>
          <w:sz w:val="20"/>
        </w:rPr>
        <w:t>M code</w:t>
      </w:r>
      <w:r>
        <w:rPr>
          <w:rFonts w:ascii="Times New Roman" w:hAnsi="Times New Roman" w:eastAsia="標楷體"/>
          <w:sz w:val="20"/>
        </w:rPr>
        <w:t>。</w:t>
      </w:r>
    </w:p>
    <w:p>
      <w:pPr>
        <w:pStyle w:val="Style21"/>
        <w:tabs>
          <w:tab w:val="clear" w:pos="480"/>
        </w:tabs>
        <w:snapToGrid w:val="false"/>
        <w:ind w:left="645" w:hanging="0"/>
        <w:rPr>
          <w:rFonts w:ascii="Times New Roman" w:hAnsi="Times New Roman" w:eastAsia="標楷體"/>
          <w:sz w:val="20"/>
        </w:rPr>
      </w:pPr>
      <w:r>
        <w:rPr>
          <w:rFonts w:eastAsia="標楷體" w:ascii="Times New Roman" w:hAnsi="Times New Roman"/>
          <w:sz w:val="20"/>
        </w:rPr>
      </w:r>
    </w:p>
    <w:p>
      <w:pPr>
        <w:pStyle w:val="BodyText"/>
        <w:autoSpaceDE w:val="false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539" w:top="1134" w:footer="232" w:bottom="1134"/>
      <w:pgNumType w:start="1" w:fmt="decimal"/>
      <w:formProt w:val="false"/>
      <w:textDirection w:val="lrTb"/>
      <w:docGrid w:type="lines" w:linePitch="600" w:charSpace="409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Times New Roman">
    <w:charset w:val="88"/>
    <w:family w:val="roman"/>
    <w:pitch w:val="variable"/>
  </w:font>
  <w:font w:name="細明體">
    <w:charset w:val="88"/>
    <w:family w:val="modern"/>
    <w:pitch w:val="fixed"/>
  </w:font>
  <w:font w:name="標楷體">
    <w:charset w:val="88"/>
    <w:family w:val="script"/>
    <w:pitch w:val="fixed"/>
  </w:font>
  <w:font w:name="Arial Unicode MS">
    <w:charset w:val="88"/>
    <w:family w:val="swiss"/>
    <w:pitch w:val="variable"/>
  </w:font>
  <w:font w:name="Arial">
    <w:charset w:val="88"/>
    <w:family w:val="swiss"/>
    <w:pitch w:val="variable"/>
  </w:font>
  <w:font w:name="Calibri">
    <w:charset w:val="88"/>
    <w:family w:val="swiss"/>
    <w:pitch w:val="variable"/>
  </w:font>
  <w:font w:name="標楷體">
    <w:charset w:val="88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>
        <w:rStyle w:val="Style14"/>
        <w:rFonts w:ascii="標楷體" w:hAnsi="標楷體" w:eastAsia="標楷體"/>
        <w:kern w:val="0"/>
        <w:sz w:val="24"/>
        <w:szCs w:val="24"/>
      </w:rPr>
      <w:t>資</w:t>
    </w:r>
    <w:r>
      <w:rPr>
        <w:rStyle w:val="Style14"/>
        <w:rFonts w:eastAsia="標楷體" w:ascii="標楷體" w:hAnsi="標楷體"/>
        <w:kern w:val="0"/>
        <w:sz w:val="24"/>
        <w:szCs w:val="24"/>
      </w:rPr>
      <w:t>-</w:t>
    </w:r>
    <w:r>
      <w:rPr>
        <w:rStyle w:val="Style14"/>
        <w:rFonts w:ascii="標楷體" w:hAnsi="標楷體" w:eastAsia="標楷體"/>
        <w:kern w:val="0"/>
        <w:sz w:val="24"/>
        <w:szCs w:val="24"/>
      </w:rPr>
      <w:t>基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34</w:t>
    </w:r>
    <w:r>
      <w:rPr>
        <w:rStyle w:val="PageNumber"/>
      </w:rPr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/>
    </w:pPr>
    <w:r>
      <mc:AlternateContent>
        <mc:Choice Requires="wps">
          <w:drawing>
            <wp:anchor behindDoc="1" distT="0" distB="0" distL="0" distR="0" simplePos="0" locked="0" layoutInCell="0" allowOverlap="1" relativeHeight="35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5237480" cy="3141980"/>
              <wp:effectExtent l="127000" t="1057275" r="95885" b="876935"/>
              <wp:wrapNone/>
              <wp:docPr id="10" name="PowerPlusWaterMarkObject3578310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900000">
                        <a:off x="0" y="0"/>
                        <a:ext cx="5237640" cy="3142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overflowPunct w:val="true"/>
                            <w:bidi w:val="0"/>
                            <w:spacing w:before="0" w:after="0" w:lineRule="auto" w:line="240"/>
                            <w:ind w:left="0" w:right="0" w:hanging="0"/>
                            <w:jc w:val="center"/>
                            <w:rPr/>
                          </w:pPr>
                          <w:r>
                            <w:rPr>
                              <w:u w:val="none"/>
                              <w:dstrike w:val="false"/>
                              <w:strike w:val="false"/>
                              <w:vertAlign w:val="baseline"/>
                              <w:position w:val="0"/>
                              <w:sz w:val="2"/>
                              <w:kern w:val="0"/>
                              <w:spacing w:val="0"/>
                              <w:sz w:val="2"/>
                              <w:szCs w:val="2"/>
                              <w:b w:val="false"/>
                              <w:bCs w:val="false"/>
                              <w:i w:val="false"/>
                              <w:iCs w:val="false"/>
                              <w:smallCaps w:val="false"/>
                              <w:caps w:val="false"/>
                              <w:rFonts w:ascii="標楷體" w:hAnsi="標楷體" w:eastAsia="標楷體"/>
                              <w:color w:val="C0C0C0"/>
                              <w:lang w:val="en-US" w:eastAsia="zh-TW"/>
                            </w:rPr>
                            <w:t>草案</w:t>
                          </w:r>
                        </w:p>
                      </w:txbxContent>
                    </wps:txbx>
                    <wps:bodyPr wrap="none" anchor="t" anchorCtr="1">
                      <a:prstTxWarp prst="textPlain">
                        <a:avLst>
                          <a:gd name="adj" fmla="val 231481"/>
                        </a:avLst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PowerPlusWaterMarkObject357831064" o:spid="shape_0" coordsize="21600,21600" path="l-2147483626,-2147483646el-2147483624,-2147483645e" fillcolor="silver" stroked="f" o:allowincell="f" style="position:absolute;margin-left:34.7pt;margin-top:240.5pt;width:412.35pt;height:250.95pt;mso-wrap-style:none;v-text-anchor:middle;rotation:315;mso-position-horizontal:center;mso-position-horizontal-relative:margin;mso-position-vertical:center;mso-position-vertical-relative:margin">
              <v:path textpathok="t"/>
              <v:textpath on="t" fitshape="t" string="草案" trim="t" style="font-family:&quot;Times New Roman&quot;;font-size:10pt"/>
              <v:fill o:detectmouseclick="t" type="solid" color2="#3f3f3f" opacity="0.5"/>
              <v:stroke color="#385d8a" weight="25560" joinstyle="round" endcap="flat"/>
              <w10:wrap type="none"/>
            </v:shape>
          </w:pict>
        </mc:Fallback>
      </mc:AlternateContent>
    </w:r>
    <w:r>
      <w:rPr>
        <w:rStyle w:val="Style14"/>
        <w:rFonts w:eastAsia="標楷體"/>
        <w:sz w:val="24"/>
        <w:szCs w:val="24"/>
      </w:rPr>
      <w:t xml:space="preserve">            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sz w:val="24"/>
      </w:rPr>
    </w:lvl>
    <w:lvl w:ilvl="2">
      <w:start w:val="5"/>
      <w:numFmt w:val="upperRoman"/>
      <w:lvlText w:val="%3."/>
      <w:lvlJc w:val="left"/>
      <w:pPr>
        <w:tabs>
          <w:tab w:val="num" w:pos="1680"/>
        </w:tabs>
        <w:ind w:left="1680" w:hanging="720"/>
      </w:pPr>
    </w:lvl>
    <w:lvl w:ilvl="3">
      <w:start w:val="1"/>
      <w:numFmt w:val="upperLetter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0"/>
      </w:pPr>
    </w:lvl>
  </w:abstractNum>
  <w:abstractNum w:abstractNumId="3">
    <w:lvl w:ilvl="0">
      <w:start w:val="1"/>
      <w:numFmt w:val="taiwaneseCountingThousand"/>
      <w:lvlText w:val="%1、"/>
      <w:lvlJc w:val="left"/>
      <w:pPr>
        <w:tabs>
          <w:tab w:val="num" w:pos="170"/>
        </w:tabs>
        <w:ind w:left="170" w:hanging="170"/>
      </w:pPr>
      <w:rPr>
        <w:b/>
        <w:rFonts w:ascii="Times New Roman" w:hAnsi="Times New Roman" w:eastAsia="標楷體" w:cs="Times New Roman"/>
      </w:rPr>
    </w:lvl>
    <w:lvl w:ilvl="1">
      <w:start w:val="1"/>
      <w:numFmt w:val="upperLetter"/>
      <w:lvlText w:val="%2."/>
      <w:lvlJc w:val="left"/>
      <w:pPr>
        <w:tabs>
          <w:tab w:val="num" w:pos="840"/>
        </w:tabs>
        <w:ind w:left="840" w:hanging="480"/>
      </w:pPr>
      <w:rPr>
        <w:b w:val="false"/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</w:lvl>
    <w:lvl w:ilvl="3">
      <w:start w:val="1"/>
      <w:numFmt w:val="upperLetter"/>
      <w:lvlText w:val="%4、"/>
      <w:lvlJc w:val="left"/>
      <w:pPr>
        <w:tabs>
          <w:tab w:val="num" w:pos="1845"/>
        </w:tabs>
        <w:ind w:left="1845" w:hanging="405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645"/>
        </w:tabs>
        <w:ind w:left="645" w:hanging="24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645"/>
        </w:tabs>
        <w:ind w:left="645" w:hanging="24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0"/>
      </w:pPr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PageNumber">
    <w:name w:val="Page Number"/>
    <w:basedOn w:val="Style14"/>
    <w:rPr/>
  </w:style>
  <w:style w:type="character" w:styleId="Style15">
    <w:name w:val="超連結"/>
    <w:qFormat/>
    <w:rPr>
      <w:color w:val="0000FF"/>
      <w:u w:val="single"/>
    </w:rPr>
  </w:style>
  <w:style w:type="character" w:styleId="WWCharLFO9LVL1">
    <w:name w:val="WW_CharLFO9LVL1"/>
    <w:qFormat/>
    <w:rPr>
      <w:u w:val="none"/>
    </w:rPr>
  </w:style>
  <w:style w:type="character" w:styleId="WWCharLFO9LVL2">
    <w:name w:val="WW_CharLFO9LVL2"/>
    <w:qFormat/>
    <w:rPr>
      <w:u w:val="none"/>
    </w:rPr>
  </w:style>
  <w:style w:type="character" w:styleId="Style16">
    <w:name w:val="純文字 字元"/>
    <w:qFormat/>
    <w:rPr>
      <w:rFonts w:ascii="細明體" w:hAnsi="細明體" w:eastAsia="細明體"/>
      <w:kern w:val="2"/>
      <w:sz w:val="24"/>
    </w:rPr>
  </w:style>
  <w:style w:type="character" w:styleId="WWCharLFO1LVL2">
    <w:name w:val="WW_CharLFO1LVL2"/>
    <w:qFormat/>
    <w:rPr>
      <w:sz w:val="24"/>
    </w:rPr>
  </w:style>
  <w:style w:type="character" w:styleId="WWCharLFO4LVL1">
    <w:name w:val="WW_CharLFO4LVL1"/>
    <w:qFormat/>
    <w:rPr>
      <w:rFonts w:cs="Times New Roman"/>
    </w:rPr>
  </w:style>
  <w:style w:type="character" w:styleId="WWCharLFO5LVL1">
    <w:name w:val="WW_CharLFO5LVL1"/>
    <w:qFormat/>
    <w:rPr>
      <w:rFonts w:ascii="Times New Roman" w:hAnsi="Times New Roman" w:eastAsia="標楷體" w:cs="Times New Roman"/>
      <w:b/>
    </w:rPr>
  </w:style>
  <w:style w:type="character" w:styleId="WWCharLFO5LVL2">
    <w:name w:val="WW_CharLFO5LVL2"/>
    <w:qFormat/>
    <w:rPr>
      <w:rFonts w:ascii="Times New Roman" w:hAnsi="Times New Roman" w:cs="Times New Roman"/>
      <w:b w:val="false"/>
    </w:rPr>
  </w:style>
  <w:style w:type="character" w:styleId="WWCharLFO6LVL1">
    <w:name w:val="WW_CharLFO6LVL1"/>
    <w:qFormat/>
    <w:rPr>
      <w:rFonts w:ascii="Times New Roman" w:hAnsi="Times New Roman" w:cs="Times New Roman"/>
    </w:rPr>
  </w:style>
  <w:style w:type="character" w:styleId="WWCharLFO7LVL2">
    <w:name w:val="WW_CharLFO7LVL2"/>
    <w:qFormat/>
    <w:rPr>
      <w:sz w:val="24"/>
      <w:szCs w:val="24"/>
    </w:rPr>
  </w:style>
  <w:style w:type="character" w:styleId="WWCharLFO8LVL2">
    <w:name w:val="WW_CharLFO8LVL2"/>
    <w:qFormat/>
    <w:rPr>
      <w:rFonts w:ascii="標楷體" w:hAnsi="標楷體" w:eastAsia="標楷體" w:cs="Times New Roman"/>
    </w:rPr>
  </w:style>
  <w:style w:type="character" w:styleId="WWCharLFO10LVL1">
    <w:name w:val="WW_CharLFO10LVL1"/>
    <w:qFormat/>
    <w:rPr>
      <w:u w:val="none"/>
    </w:rPr>
  </w:style>
  <w:style w:type="character" w:styleId="WWCharLFO11LVL1">
    <w:name w:val="WW_CharLFO11LVL1"/>
    <w:qFormat/>
    <w:rPr>
      <w:rFonts w:ascii="Times New Roman" w:hAnsi="Times New Roman" w:cs="Times New Roman"/>
      <w:b/>
    </w:rPr>
  </w:style>
  <w:style w:type="character" w:styleId="WWCharLFO11LVL2">
    <w:name w:val="WW_CharLFO11LVL2"/>
    <w:qFormat/>
    <w:rPr>
      <w:rFonts w:ascii="Times New Roman" w:hAnsi="Times New Roman" w:cs="Times New Roman"/>
      <w:b w:val="false"/>
    </w:rPr>
  </w:style>
  <w:style w:type="character" w:styleId="WWCharLFO12LVL1">
    <w:name w:val="WW_CharLFO12LVL1"/>
    <w:qFormat/>
    <w:rPr>
      <w:rFonts w:ascii="Times New Roman" w:hAnsi="Times New Roman" w:eastAsia="標楷體" w:cs="Times New Roman"/>
      <w:b/>
    </w:rPr>
  </w:style>
  <w:style w:type="character" w:styleId="WWCharLFO12LVL2">
    <w:name w:val="WW_CharLFO12LVL2"/>
    <w:qFormat/>
    <w:rPr>
      <w:rFonts w:ascii="Times New Roman" w:hAnsi="Times New Roman" w:cs="Times New Roman"/>
      <w:b w:val="false"/>
    </w:rPr>
  </w:style>
  <w:style w:type="character" w:styleId="WWCharLFO13LVL1">
    <w:name w:val="WW_CharLFO13LVL1"/>
    <w:qFormat/>
    <w:rPr>
      <w:rFonts w:ascii="Times New Roman" w:hAnsi="Times New Roman" w:eastAsia="標楷體" w:cs="Times New Roman"/>
      <w:b/>
    </w:rPr>
  </w:style>
  <w:style w:type="character" w:styleId="WWCharLFO13LVL2">
    <w:name w:val="WW_CharLFO13LVL2"/>
    <w:qFormat/>
    <w:rPr>
      <w:rFonts w:ascii="Times New Roman" w:hAnsi="Times New Roman" w:cs="Times New Roman"/>
      <w:b w:val="false"/>
    </w:rPr>
  </w:style>
  <w:style w:type="character" w:styleId="WWCharLFO16LVL1">
    <w:name w:val="WW_CharLFO16LVL1"/>
    <w:qFormat/>
    <w:rPr>
      <w:rFonts w:cs="Arial"/>
      <w:b/>
      <w:sz w:val="28"/>
    </w:rPr>
  </w:style>
  <w:style w:type="character" w:styleId="WWCharLFO17LVL1">
    <w:name w:val="WW_CharLFO17LVL1"/>
    <w:qFormat/>
    <w:rPr>
      <w:color w:val="auto"/>
    </w:rPr>
  </w:style>
  <w:style w:type="character" w:styleId="WWCharLFO18LVL1">
    <w:name w:val="WW_CharLFO18LVL1"/>
    <w:qFormat/>
    <w:rPr>
      <w:sz w:val="28"/>
      <w:szCs w:val="28"/>
    </w:rPr>
  </w:style>
  <w:style w:type="character" w:styleId="WWCharLFO18LVL2">
    <w:name w:val="WW_CharLFO18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20LVL1">
    <w:name w:val="WW_CharLFO20LVL1"/>
    <w:qFormat/>
    <w:rPr>
      <w:color w:val="auto"/>
    </w:rPr>
  </w:style>
  <w:style w:type="character" w:styleId="WWCharLFO21LVL1">
    <w:name w:val="WW_CharLFO21LVL1"/>
    <w:qFormat/>
    <w:rPr>
      <w:color w:val="auto"/>
    </w:rPr>
  </w:style>
  <w:style w:type="character" w:styleId="WWCharLFO22LVL1">
    <w:name w:val="WW_CharLFO22LVL1"/>
    <w:qFormat/>
    <w:rPr>
      <w:color w:val="auto"/>
      <w:sz w:val="24"/>
      <w:szCs w:val="24"/>
    </w:rPr>
  </w:style>
  <w:style w:type="character" w:styleId="WWCharLFO23LVL1">
    <w:name w:val="WW_CharLFO23LVL1"/>
    <w:qFormat/>
    <w:rPr>
      <w:color w:val="auto"/>
      <w:sz w:val="24"/>
      <w:szCs w:val="24"/>
    </w:rPr>
  </w:style>
  <w:style w:type="character" w:styleId="WWCharLFO24LVL1">
    <w:name w:val="WW_CharLFO24LVL1"/>
    <w:qFormat/>
    <w:rPr>
      <w:color w:val="auto"/>
      <w:sz w:val="24"/>
      <w:szCs w:val="24"/>
    </w:rPr>
  </w:style>
  <w:style w:type="character" w:styleId="WWCharLFO25LVL1">
    <w:name w:val="WW_CharLFO25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6LVL1">
    <w:name w:val="WW_CharLFO26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7LVL1">
    <w:name w:val="WW_CharLFO27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28LVL1">
    <w:name w:val="WW_CharLFO28LVL1"/>
    <w:qFormat/>
    <w:rPr>
      <w:b/>
      <w:sz w:val="28"/>
    </w:rPr>
  </w:style>
  <w:style w:type="character" w:styleId="WWCharLFO29LVL1">
    <w:name w:val="WW_CharLFO29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0LVL1">
    <w:name w:val="WW_CharLFO30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1LVL1">
    <w:name w:val="WW_CharLFO31LVL1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2">
    <w:name w:val="WW_CharLFO31LVL2"/>
    <w:qFormat/>
    <w:rPr>
      <w:rFonts w:ascii="Times New Roman" w:hAnsi="Times New Roman" w:cs="Times New Roman"/>
      <w:b w:val="false"/>
      <w:sz w:val="24"/>
      <w:szCs w:val="24"/>
    </w:rPr>
  </w:style>
  <w:style w:type="character" w:styleId="WWCharLFO31LVL3">
    <w:name w:val="WW_CharLFO31LVL3"/>
    <w:qFormat/>
    <w:rPr>
      <w:rFonts w:ascii="標楷體" w:hAnsi="標楷體" w:eastAsia="標楷體" w:cs="Times New Roman"/>
    </w:rPr>
  </w:style>
  <w:style w:type="character" w:styleId="WWCharLFO32LVL1">
    <w:name w:val="WW_CharLFO32LVL1"/>
    <w:qFormat/>
    <w:rPr>
      <w:rFonts w:ascii="Times New Roman" w:hAnsi="Times New Roman" w:cs="Times New Roman"/>
    </w:rPr>
  </w:style>
  <w:style w:type="character" w:styleId="WWCharLFO32LVL2">
    <w:name w:val="WW_CharLFO32LVL2"/>
    <w:qFormat/>
    <w:rPr>
      <w:rFonts w:ascii="標楷體" w:hAnsi="標楷體" w:eastAsia="標楷體" w:cs="Times New Roman"/>
      <w:lang w:val="en-US"/>
    </w:rPr>
  </w:style>
  <w:style w:type="character" w:styleId="WWCharLFO33LVL1">
    <w:name w:val="WW_CharLFO33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4LVL1">
    <w:name w:val="WW_CharLFO34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5LVL1">
    <w:name w:val="WW_CharLFO35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6LVL1">
    <w:name w:val="WW_CharLFO36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7LVL1">
    <w:name w:val="WW_CharLFO37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8LVL1">
    <w:name w:val="WW_CharLFO38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39LVL1">
    <w:name w:val="WW_CharLFO39LVL1"/>
    <w:qFormat/>
    <w:rPr>
      <w:rFonts w:ascii="Times New Roman" w:hAnsi="Times New Roman"/>
      <w:b w:val="false"/>
      <w:i w:val="false"/>
      <w:color w:val="auto"/>
      <w:sz w:val="24"/>
      <w:szCs w:val="24"/>
      <w:u w:val="none"/>
    </w:rPr>
  </w:style>
  <w:style w:type="character" w:styleId="WWCharLFO44LVL1">
    <w:name w:val="WW_CharLFO44LVL1"/>
    <w:qFormat/>
    <w:rPr>
      <w:rFonts w:ascii="Times New Roman" w:hAnsi="Times New Roman" w:cs="Times New Roman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Times New Roman" w:hAnsi="Times New Roman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n-US" w:eastAsia="zh-TW" w:bidi="ar-SA"/>
    </w:rPr>
  </w:style>
  <w:style w:type="paragraph" w:styleId="Style17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8">
    <w:name w:val="本文縮排"/>
    <w:basedOn w:val="BodyText"/>
    <w:qFormat/>
    <w:pPr>
      <w:suppressAutoHyphens w:val="true"/>
      <w:ind w:firstLine="480"/>
      <w:jc w:val="both"/>
    </w:pPr>
    <w:rPr>
      <w:rFonts w:eastAsia="標楷體"/>
    </w:rPr>
  </w:style>
  <w:style w:type="paragraph" w:styleId="Style19">
    <w:name w:val="區塊文字"/>
    <w:basedOn w:val="BodyText"/>
    <w:qFormat/>
    <w:pPr>
      <w:tabs>
        <w:tab w:val="clear" w:pos="480"/>
      </w:tabs>
      <w:suppressAutoHyphens w:val="true"/>
      <w:ind w:left="120" w:right="120" w:hanging="0"/>
      <w:jc w:val="both"/>
    </w:pPr>
    <w:rPr>
      <w:rFonts w:eastAsia="標楷體"/>
    </w:rPr>
  </w:style>
  <w:style w:type="paragraph" w:styleId="2">
    <w:name w:val="本文縮排 2"/>
    <w:basedOn w:val="BodyText"/>
    <w:qFormat/>
    <w:pPr>
      <w:tabs>
        <w:tab w:val="clear" w:pos="480"/>
      </w:tabs>
      <w:suppressAutoHyphens w:val="true"/>
      <w:ind w:left="480" w:firstLine="240"/>
      <w:jc w:val="both"/>
    </w:pPr>
    <w:rPr>
      <w:rFonts w:eastAsia="標楷體"/>
    </w:rPr>
  </w:style>
  <w:style w:type="paragraph" w:styleId="Style20">
    <w:name w:val="本文"/>
    <w:basedOn w:val="BodyText"/>
    <w:qFormat/>
    <w:pPr>
      <w:suppressAutoHyphens w:val="true"/>
      <w:jc w:val="both"/>
    </w:pPr>
    <w:rPr>
      <w:rFonts w:eastAsia="標楷體"/>
    </w:rPr>
  </w:style>
  <w:style w:type="paragraph" w:styleId="3">
    <w:name w:val="本文縮排 3"/>
    <w:basedOn w:val="BodyText"/>
    <w:qFormat/>
    <w:pPr>
      <w:tabs>
        <w:tab w:val="clear" w:pos="480"/>
      </w:tabs>
      <w:suppressAutoHyphens w:val="true"/>
      <w:ind w:left="600" w:hanging="240"/>
      <w:jc w:val="both"/>
    </w:pPr>
    <w:rPr>
      <w:rFonts w:eastAsia="標楷體"/>
    </w:rPr>
  </w:style>
  <w:style w:type="paragraph" w:styleId="21">
    <w:name w:val="本文 2"/>
    <w:basedOn w:val="BodyText"/>
    <w:qFormat/>
    <w:pPr>
      <w:suppressAutoHyphens w:val="true"/>
      <w:snapToGrid w:val="false"/>
      <w:jc w:val="both"/>
    </w:pPr>
    <w:rPr>
      <w:rFonts w:eastAsia="標楷體"/>
      <w:sz w:val="20"/>
    </w:rPr>
  </w:style>
  <w:style w:type="paragraph" w:styleId="31">
    <w:name w:val="本文 3"/>
    <w:basedOn w:val="BodyText"/>
    <w:qFormat/>
    <w:pPr>
      <w:suppressAutoHyphens w:val="true"/>
      <w:jc w:val="both"/>
    </w:pPr>
    <w:rPr>
      <w:rFonts w:eastAsia="標楷體"/>
      <w:sz w:val="22"/>
    </w:rPr>
  </w:style>
  <w:style w:type="paragraph" w:styleId="Style21">
    <w:name w:val="純文字"/>
    <w:basedOn w:val="BodyText"/>
    <w:qFormat/>
    <w:pPr>
      <w:suppressAutoHyphens w:val="true"/>
    </w:pPr>
    <w:rPr>
      <w:rFonts w:ascii="細明體" w:hAnsi="細明體" w:eastAsia="細明體"/>
      <w:szCs w:val="20"/>
    </w:rPr>
  </w:style>
  <w:style w:type="paragraph" w:styleId="Style22">
    <w:name w:val="標號"/>
    <w:basedOn w:val="BodyText"/>
    <w:next w:val="BodyText"/>
    <w:qFormat/>
    <w:pPr>
      <w:numPr>
        <w:ilvl w:val="0"/>
        <w:numId w:val="1"/>
      </w:numPr>
      <w:tabs>
        <w:tab w:val="clear" w:pos="480"/>
        <w:tab w:val="left" w:pos="360" w:leader="none"/>
      </w:tabs>
      <w:suppressAutoHyphens w:val="true"/>
      <w:spacing w:before="360" w:after="0"/>
      <w:ind w:left="360" w:hanging="360"/>
    </w:pPr>
    <w:rPr>
      <w:rFonts w:eastAsia="標楷體"/>
      <w:b/>
      <w:bCs/>
      <w:sz w:val="26"/>
    </w:rPr>
  </w:style>
  <w:style w:type="paragraph" w:styleId="Style23">
    <w:name w:val="註解文字"/>
    <w:basedOn w:val="BodyText"/>
    <w:qFormat/>
    <w:pPr>
      <w:suppressAutoHyphens w:val="true"/>
      <w:spacing w:lineRule="atLeast" w:line="360"/>
      <w:textAlignment w:val="baseline"/>
    </w:pPr>
    <w:rPr>
      <w:rFonts w:eastAsia="標楷體"/>
      <w:kern w:val="0"/>
      <w:sz w:val="28"/>
      <w:szCs w:val="20"/>
    </w:rPr>
  </w:style>
  <w:style w:type="paragraph" w:styleId="Web">
    <w:name w:val="內文 (Web)"/>
    <w:basedOn w:val="BodyText"/>
    <w:qFormat/>
    <w:pPr>
      <w:widowControl/>
      <w:suppressAutoHyphens w:val="true"/>
      <w:spacing w:before="100" w:after="100"/>
    </w:pPr>
    <w:rPr>
      <w:rFonts w:ascii="Arial Unicode MS" w:hAnsi="Arial Unicode MS" w:eastAsia="Arial Unicode MS" w:cs="Arial Unicode MS"/>
      <w:kern w:val="0"/>
    </w:rPr>
  </w:style>
  <w:style w:type="paragraph" w:styleId="Style24">
    <w:name w:val="註解方塊文字"/>
    <w:basedOn w:val="BodyText"/>
    <w:qFormat/>
    <w:pPr>
      <w:suppressAutoHyphens w:val="true"/>
    </w:pPr>
    <w:rPr>
      <w:rFonts w:ascii="Arial" w:hAnsi="Arial"/>
      <w:sz w:val="18"/>
      <w:szCs w:val="18"/>
    </w:rPr>
  </w:style>
  <w:style w:type="paragraph" w:styleId="Style25">
    <w:name w:val="清單段落"/>
    <w:basedOn w:val="BodyText"/>
    <w:qFormat/>
    <w:pPr>
      <w:tabs>
        <w:tab w:val="clear" w:pos="480"/>
      </w:tabs>
      <w:suppressAutoHyphens w:val="true"/>
      <w:ind w:left="480" w:hanging="0"/>
    </w:pPr>
    <w:rPr>
      <w:rFonts w:ascii="Calibri" w:hAnsi="Calibri"/>
      <w:szCs w:val="22"/>
    </w:rPr>
  </w:style>
  <w:style w:type="paragraph" w:styleId="Style26">
    <w:name w:val="表格內容"/>
    <w:basedOn w:val="Normal"/>
    <w:qFormat/>
    <w:pPr>
      <w:widowControl w:val="false"/>
      <w:suppressLineNumbers/>
    </w:pPr>
    <w:rPr/>
  </w:style>
  <w:style w:type="paragraph" w:styleId="Style27">
    <w:name w:val="外框內容"/>
    <w:basedOn w:val="Normal"/>
    <w:qFormat/>
    <w:pPr/>
    <w:rPr/>
  </w:style>
  <w:style w:type="numbering" w:styleId="1">
    <w:name w:val="樣式1"/>
    <w:qFormat/>
  </w:style>
  <w:style w:type="numbering" w:styleId="LFO1">
    <w:name w:val="LFO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15</Pages>
  <Words>1208</Words>
  <Characters>6890</Characters>
  <CharactersWithSpaces>8082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2016-04-18T10:19:00Z</dcterms:created>
  <dc:creator>SASAGO SHIGERU</dc:creator>
  <dc:description/>
  <dc:language>zh-TW</dc:language>
  <cp:lastModifiedBy>資訊處喻芝眉</cp:lastModifiedBy>
  <cp:lastPrinted>2014-04-09T08:57:00Z</cp:lastPrinted>
  <dcterms:modified xsi:type="dcterms:W3CDTF">2016-04-18T10:19:00Z</dcterms:modified>
  <cp:revision>2</cp:revision>
  <dc:subject/>
  <dc:title>研討會的介紹說明</dc:title>
</cp:coreProperties>
</file>