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13266C" w:rsidRDefault="0013266C">
      <w:pPr>
        <w:pStyle w:val="a3"/>
        <w:snapToGrid w:val="0"/>
        <w:spacing w:afterLines="0" w:after="0pt"/>
        <w:jc w:val="center"/>
        <w:rPr>
          <w:rFonts w:ascii="Times New Roman"/>
        </w:rPr>
      </w:pPr>
      <w:r>
        <w:rPr>
          <w:rFonts w:hAnsi="標楷體" w:hint="eastAsia"/>
        </w:rPr>
        <w:t>財團法人預算未獲立法院審議通過時之執行注意事項</w:t>
      </w:r>
    </w:p>
    <w:tbl>
      <w:tblPr>
        <w:tblW w:w="98.28%" w:type="pct"/>
        <w:tblInd w:w="3.10pt" w:type="dxa"/>
        <w:tblBorders>
          <w:top w:val="single" w:sz="12" w:space="0" w:color="auto"/>
          <w:start w:val="single" w:sz="12" w:space="0" w:color="auto"/>
          <w:bottom w:val="single" w:sz="12" w:space="0" w:color="auto"/>
          <w:end w:val="single" w:sz="12" w:space="0" w:color="auto"/>
          <w:insideH w:val="single" w:sz="4" w:space="0" w:color="auto"/>
          <w:insideV w:val="single" w:sz="4" w:space="0" w:color="auto"/>
        </w:tblBorders>
        <w:tblLook w:firstRow="1" w:lastRow="1" w:firstColumn="1" w:lastColumn="1" w:noHBand="0" w:noVBand="0"/>
      </w:tblPr>
      <w:tblGrid>
        <w:gridCol w:w="4414"/>
        <w:gridCol w:w="5029"/>
      </w:tblGrid>
      <w:tr w:rsidR="0013266C" w:rsidTr="00C91978">
        <w:tc>
          <w:tcPr>
            <w:tcW w:w="46.74%" w:type="pct"/>
            <w:tcBorders>
              <w:top w:val="single" w:sz="12" w:space="0" w:color="auto"/>
              <w:bottom w:val="single" w:sz="4" w:space="0" w:color="auto"/>
            </w:tcBorders>
          </w:tcPr>
          <w:p w:rsidR="0013266C" w:rsidRDefault="0013266C">
            <w:pPr>
              <w:pStyle w:val="2"/>
              <w:snapToGrid w:val="0"/>
              <w:spacing w:line="22pt" w:lineRule="atLeast"/>
              <w:ind w:start="28.40pt" w:hanging="31.60pt"/>
              <w:jc w:val="center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/>
                <w:sz w:val="32"/>
                <w:szCs w:val="32"/>
              </w:rPr>
              <w:t>內容</w:t>
            </w:r>
          </w:p>
        </w:tc>
        <w:tc>
          <w:tcPr>
            <w:tcW w:w="53.26%" w:type="pct"/>
            <w:tcBorders>
              <w:top w:val="single" w:sz="12" w:space="0" w:color="auto"/>
              <w:bottom w:val="single" w:sz="4" w:space="0" w:color="auto"/>
            </w:tcBorders>
          </w:tcPr>
          <w:p w:rsidR="0013266C" w:rsidRDefault="0013266C">
            <w:pPr>
              <w:snapToGrid w:val="0"/>
              <w:spacing w:line="22pt" w:lineRule="atLeast"/>
              <w:ind w:startChars="-21" w:start="-2.50pt"/>
              <w:jc w:val="center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/>
                <w:sz w:val="32"/>
                <w:szCs w:val="32"/>
              </w:rPr>
              <w:t>說明</w:t>
            </w:r>
          </w:p>
        </w:tc>
      </w:tr>
      <w:tr w:rsidR="0013266C" w:rsidTr="00C91978">
        <w:tc>
          <w:tcPr>
            <w:tcW w:w="46.74%" w:type="pct"/>
            <w:tcBorders>
              <w:top w:val="single" w:sz="4" w:space="0" w:color="auto"/>
            </w:tcBorders>
          </w:tcPr>
          <w:p w:rsidR="0013266C" w:rsidRDefault="0013266C">
            <w:pPr>
              <w:pStyle w:val="2"/>
              <w:snapToGrid w:val="0"/>
              <w:spacing w:line="12pt" w:lineRule="atLeast"/>
              <w:ind w:start="28.40pt" w:hanging="31.60p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一、財團法人預算送立法院審議者，其預算未獲立法院審議通過時，預算執行依本注意事項規定辦理。</w:t>
            </w:r>
          </w:p>
        </w:tc>
        <w:tc>
          <w:tcPr>
            <w:tcW w:w="53.26%" w:type="pct"/>
            <w:tcBorders>
              <w:top w:val="single" w:sz="4" w:space="0" w:color="auto"/>
            </w:tcBorders>
          </w:tcPr>
          <w:p w:rsidR="0013266C" w:rsidRDefault="0013266C">
            <w:pPr>
              <w:snapToGrid w:val="0"/>
              <w:spacing w:line="12pt" w:lineRule="atLeast"/>
              <w:ind w:startChars="-21" w:start="-2.50p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明定本注意事項適用對象，係預算送立法院審議之財團法人。</w:t>
            </w:r>
          </w:p>
        </w:tc>
      </w:tr>
      <w:tr w:rsidR="0013266C" w:rsidTr="00C91978">
        <w:tc>
          <w:tcPr>
            <w:tcW w:w="46.74%" w:type="pct"/>
          </w:tcPr>
          <w:p w:rsidR="0013266C" w:rsidRDefault="0013266C">
            <w:pPr>
              <w:pStyle w:val="2"/>
              <w:snapToGrid w:val="0"/>
              <w:spacing w:line="22pt" w:lineRule="atLeast"/>
              <w:ind w:start="28.40pt" w:hanging="31.60p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二、預算送立法院審議之財團法人，如於</w:t>
            </w:r>
            <w:r>
              <w:rPr>
                <w:rFonts w:eastAsia="標楷體" w:hAnsi="標楷體"/>
                <w:sz w:val="32"/>
                <w:szCs w:val="32"/>
              </w:rPr>
              <w:t>年度開始後，預算</w:t>
            </w:r>
            <w:r>
              <w:rPr>
                <w:rFonts w:eastAsia="標楷體" w:hAnsi="標楷體" w:hint="eastAsia"/>
                <w:sz w:val="32"/>
                <w:szCs w:val="32"/>
              </w:rPr>
              <w:t>仍</w:t>
            </w:r>
            <w:r>
              <w:rPr>
                <w:rFonts w:eastAsia="標楷體" w:hAnsi="標楷體"/>
                <w:sz w:val="32"/>
                <w:szCs w:val="32"/>
              </w:rPr>
              <w:t>未</w:t>
            </w:r>
            <w:r>
              <w:rPr>
                <w:rFonts w:eastAsia="標楷體" w:hAnsi="標楷體" w:hint="eastAsia"/>
                <w:sz w:val="32"/>
                <w:szCs w:val="32"/>
              </w:rPr>
              <w:t>獲</w:t>
            </w:r>
            <w:r>
              <w:rPr>
                <w:rFonts w:eastAsia="標楷體" w:hAnsi="標楷體"/>
                <w:sz w:val="32"/>
                <w:szCs w:val="32"/>
              </w:rPr>
              <w:t>立法院審議通過，</w:t>
            </w:r>
            <w:r>
              <w:rPr>
                <w:rFonts w:eastAsia="標楷體" w:hAnsi="標楷體" w:hint="eastAsia"/>
                <w:sz w:val="32"/>
                <w:szCs w:val="32"/>
              </w:rPr>
              <w:t>其</w:t>
            </w:r>
            <w:r>
              <w:rPr>
                <w:rFonts w:eastAsia="標楷體" w:hAnsi="標楷體"/>
                <w:sz w:val="32"/>
                <w:szCs w:val="32"/>
              </w:rPr>
              <w:t>預算</w:t>
            </w:r>
            <w:r>
              <w:rPr>
                <w:rFonts w:eastAsia="標楷體" w:hAnsi="標楷體" w:hint="eastAsia"/>
                <w:sz w:val="32"/>
                <w:szCs w:val="32"/>
              </w:rPr>
              <w:t>之</w:t>
            </w:r>
            <w:r>
              <w:rPr>
                <w:rFonts w:eastAsia="標楷體" w:hAnsi="標楷體"/>
                <w:sz w:val="32"/>
                <w:szCs w:val="32"/>
              </w:rPr>
              <w:t>執行</w:t>
            </w:r>
            <w:r>
              <w:rPr>
                <w:rFonts w:eastAsia="標楷體" w:hAnsi="標楷體" w:hint="eastAsia"/>
                <w:sz w:val="32"/>
                <w:szCs w:val="32"/>
              </w:rPr>
              <w:t>悉依第三點及第四點規定辦理。</w:t>
            </w:r>
          </w:p>
        </w:tc>
        <w:tc>
          <w:tcPr>
            <w:tcW w:w="53.26%" w:type="pct"/>
          </w:tcPr>
          <w:p w:rsidR="0013266C" w:rsidRDefault="0013266C">
            <w:pPr>
              <w:snapToGrid w:val="0"/>
              <w:spacing w:line="22pt" w:lineRule="atLeast"/>
              <w:ind w:startChars="-21" w:start="30.45pt" w:hangingChars="206" w:hanging="32.95p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明定本注意事項適用情形。</w:t>
            </w:r>
          </w:p>
        </w:tc>
      </w:tr>
      <w:tr w:rsidR="0013266C" w:rsidTr="00C91978">
        <w:tc>
          <w:tcPr>
            <w:tcW w:w="46.74%" w:type="pct"/>
          </w:tcPr>
          <w:p w:rsidR="0013266C" w:rsidRDefault="0013266C">
            <w:pPr>
              <w:pStyle w:val="2"/>
              <w:snapToGrid w:val="0"/>
              <w:spacing w:line="22pt" w:lineRule="atLeast"/>
              <w:ind w:start="31.20pt" w:hanging="34.40p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三、</w:t>
            </w:r>
            <w:r>
              <w:rPr>
                <w:rFonts w:eastAsia="標楷體" w:hAnsi="標楷體"/>
                <w:sz w:val="32"/>
                <w:szCs w:val="32"/>
              </w:rPr>
              <w:t>收入部分</w:t>
            </w:r>
            <w:r>
              <w:rPr>
                <w:rFonts w:eastAsia="標楷體" w:hAnsi="標楷體" w:hint="eastAsia"/>
                <w:sz w:val="32"/>
                <w:szCs w:val="32"/>
              </w:rPr>
              <w:t>，依下列規定為之</w:t>
            </w:r>
            <w:r>
              <w:rPr>
                <w:rFonts w:eastAsia="標楷體" w:hAnsi="標楷體"/>
                <w:sz w:val="32"/>
                <w:szCs w:val="32"/>
              </w:rPr>
              <w:t>：</w:t>
            </w:r>
          </w:p>
          <w:p w:rsidR="0013266C" w:rsidRDefault="0013266C">
            <w:pPr>
              <w:pStyle w:val="2"/>
              <w:snapToGrid w:val="0"/>
              <w:spacing w:line="22pt" w:lineRule="atLeast"/>
              <w:ind w:start="45.20pt" w:hanging="48.40p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（一）政府補（捐）助收入及委辦收入，按政府依立法院審議通過或依預算法第五十四條規定，實際撥付之數額，覈實收入。</w:t>
            </w:r>
          </w:p>
          <w:p w:rsidR="0013266C" w:rsidRDefault="0013266C">
            <w:pPr>
              <w:pStyle w:val="2"/>
              <w:snapToGrid w:val="0"/>
              <w:spacing w:line="22pt" w:lineRule="atLeast"/>
              <w:ind w:start="45.20pt" w:hanging="48.40p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（二）前目以外之收入，</w:t>
            </w:r>
            <w:r>
              <w:rPr>
                <w:rFonts w:eastAsia="標楷體" w:hAnsi="標楷體"/>
                <w:sz w:val="32"/>
                <w:szCs w:val="32"/>
              </w:rPr>
              <w:t>依實際發生數</w:t>
            </w:r>
            <w:r>
              <w:rPr>
                <w:rFonts w:eastAsia="標楷體" w:hAnsi="標楷體" w:hint="eastAsia"/>
                <w:sz w:val="32"/>
                <w:szCs w:val="32"/>
              </w:rPr>
              <w:t>覈實收入</w:t>
            </w:r>
            <w:r>
              <w:rPr>
                <w:rFonts w:eastAsia="標楷體" w:hAnsi="標楷體"/>
                <w:sz w:val="32"/>
                <w:szCs w:val="32"/>
              </w:rPr>
              <w:t>。</w:t>
            </w:r>
          </w:p>
        </w:tc>
        <w:tc>
          <w:tcPr>
            <w:tcW w:w="53.26%" w:type="pct"/>
          </w:tcPr>
          <w:p w:rsidR="0013266C" w:rsidRDefault="0013266C">
            <w:pPr>
              <w:snapToGrid w:val="0"/>
              <w:spacing w:line="22pt" w:lineRule="atLeast"/>
              <w:ind w:startChars="-21" w:start="30.45pt" w:hangingChars="206" w:hanging="32.95p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一、目前送立法院審議之</w:t>
            </w:r>
            <w:r>
              <w:rPr>
                <w:rFonts w:eastAsia="標楷體" w:hAnsi="標楷體"/>
                <w:sz w:val="32"/>
                <w:szCs w:val="32"/>
              </w:rPr>
              <w:t>財團法人</w:t>
            </w:r>
            <w:r>
              <w:rPr>
                <w:rFonts w:eastAsia="標楷體" w:hAnsi="標楷體" w:hint="eastAsia"/>
                <w:sz w:val="32"/>
                <w:szCs w:val="32"/>
              </w:rPr>
              <w:t>預算，</w:t>
            </w:r>
            <w:r>
              <w:rPr>
                <w:rFonts w:eastAsia="標楷體" w:hAnsi="標楷體"/>
                <w:sz w:val="32"/>
                <w:szCs w:val="32"/>
              </w:rPr>
              <w:t>其收入</w:t>
            </w:r>
            <w:r>
              <w:rPr>
                <w:rFonts w:eastAsia="標楷體" w:hAnsi="標楷體" w:hint="eastAsia"/>
                <w:sz w:val="32"/>
                <w:szCs w:val="32"/>
              </w:rPr>
              <w:t>按</w:t>
            </w:r>
            <w:r>
              <w:rPr>
                <w:rFonts w:eastAsia="標楷體" w:hAnsi="標楷體"/>
                <w:sz w:val="32"/>
                <w:szCs w:val="32"/>
              </w:rPr>
              <w:t>來源</w:t>
            </w:r>
            <w:r>
              <w:rPr>
                <w:rFonts w:eastAsia="標楷體" w:hAnsi="標楷體" w:hint="eastAsia"/>
                <w:sz w:val="32"/>
                <w:szCs w:val="32"/>
              </w:rPr>
              <w:t>，可</w:t>
            </w:r>
            <w:r>
              <w:rPr>
                <w:rFonts w:eastAsia="標楷體" w:hAnsi="標楷體"/>
                <w:sz w:val="32"/>
                <w:szCs w:val="32"/>
              </w:rPr>
              <w:t>區分</w:t>
            </w:r>
            <w:r>
              <w:rPr>
                <w:rFonts w:eastAsia="標楷體" w:hAnsi="標楷體" w:hint="eastAsia"/>
                <w:sz w:val="32"/>
                <w:szCs w:val="32"/>
              </w:rPr>
              <w:t>為</w:t>
            </w:r>
            <w:r>
              <w:rPr>
                <w:rFonts w:eastAsia="標楷體" w:hAnsi="標楷體"/>
                <w:sz w:val="32"/>
                <w:szCs w:val="32"/>
              </w:rPr>
              <w:t>政府</w:t>
            </w:r>
            <w:r>
              <w:rPr>
                <w:rFonts w:eastAsia="標楷體" w:hAnsi="標楷體" w:hint="eastAsia"/>
                <w:sz w:val="32"/>
                <w:szCs w:val="32"/>
              </w:rPr>
              <w:t>收入及</w:t>
            </w:r>
            <w:r>
              <w:rPr>
                <w:rFonts w:eastAsia="標楷體" w:hAnsi="標楷體"/>
                <w:sz w:val="32"/>
                <w:szCs w:val="32"/>
              </w:rPr>
              <w:t>民間</w:t>
            </w:r>
            <w:r>
              <w:rPr>
                <w:rFonts w:eastAsia="標楷體" w:hAnsi="標楷體" w:hint="eastAsia"/>
                <w:sz w:val="32"/>
                <w:szCs w:val="32"/>
              </w:rPr>
              <w:t>收入</w:t>
            </w:r>
            <w:r>
              <w:rPr>
                <w:rFonts w:eastAsia="標楷體" w:hAnsi="標楷體"/>
                <w:sz w:val="32"/>
                <w:szCs w:val="32"/>
              </w:rPr>
              <w:t>兩類</w:t>
            </w:r>
            <w:r>
              <w:rPr>
                <w:rFonts w:eastAsia="標楷體" w:hAnsi="標楷體" w:hint="eastAsia"/>
                <w:sz w:val="32"/>
                <w:szCs w:val="32"/>
              </w:rPr>
              <w:t>。</w:t>
            </w:r>
            <w:r>
              <w:rPr>
                <w:rFonts w:eastAsia="標楷體" w:hAnsi="標楷體"/>
                <w:sz w:val="32"/>
                <w:szCs w:val="32"/>
              </w:rPr>
              <w:t>政府收入主要包括</w:t>
            </w:r>
            <w:r>
              <w:rPr>
                <w:rFonts w:eastAsia="標楷體" w:hAnsi="標楷體" w:hint="eastAsia"/>
                <w:sz w:val="32"/>
                <w:szCs w:val="32"/>
              </w:rPr>
              <w:t>各級政府（含特種</w:t>
            </w:r>
            <w:r>
              <w:rPr>
                <w:rFonts w:eastAsia="標楷體" w:hAnsi="標楷體"/>
                <w:sz w:val="32"/>
                <w:szCs w:val="32"/>
              </w:rPr>
              <w:t>基金</w:t>
            </w:r>
            <w:r>
              <w:rPr>
                <w:rFonts w:eastAsia="標楷體" w:hAnsi="標楷體" w:hint="eastAsia"/>
                <w:sz w:val="32"/>
                <w:szCs w:val="32"/>
              </w:rPr>
              <w:t>）</w:t>
            </w:r>
            <w:r>
              <w:rPr>
                <w:rFonts w:eastAsia="標楷體" w:hAnsi="標楷體"/>
                <w:sz w:val="32"/>
                <w:szCs w:val="32"/>
              </w:rPr>
              <w:t>之</w:t>
            </w:r>
            <w:r>
              <w:rPr>
                <w:rFonts w:eastAsia="標楷體" w:hAnsi="標楷體" w:hint="eastAsia"/>
                <w:sz w:val="32"/>
                <w:szCs w:val="32"/>
              </w:rPr>
              <w:t>補（</w:t>
            </w:r>
            <w:r>
              <w:rPr>
                <w:rFonts w:eastAsia="標楷體" w:hAnsi="標楷體"/>
                <w:sz w:val="32"/>
                <w:szCs w:val="32"/>
              </w:rPr>
              <w:t>捐</w:t>
            </w:r>
            <w:r>
              <w:rPr>
                <w:rFonts w:eastAsia="標楷體" w:hAnsi="標楷體" w:hint="eastAsia"/>
                <w:sz w:val="32"/>
                <w:szCs w:val="32"/>
              </w:rPr>
              <w:t>）助</w:t>
            </w:r>
            <w:r>
              <w:rPr>
                <w:rFonts w:eastAsia="標楷體" w:hAnsi="標楷體"/>
                <w:sz w:val="32"/>
                <w:szCs w:val="32"/>
              </w:rPr>
              <w:t>收入</w:t>
            </w:r>
            <w:r>
              <w:rPr>
                <w:rFonts w:eastAsia="標楷體" w:hAnsi="標楷體" w:hint="eastAsia"/>
                <w:sz w:val="32"/>
                <w:szCs w:val="32"/>
              </w:rPr>
              <w:t>與</w:t>
            </w:r>
            <w:r>
              <w:rPr>
                <w:rFonts w:eastAsia="標楷體" w:hAnsi="標楷體"/>
                <w:sz w:val="32"/>
                <w:szCs w:val="32"/>
              </w:rPr>
              <w:t>委辦計畫收入；至民間收入，</w:t>
            </w:r>
            <w:r>
              <w:rPr>
                <w:rFonts w:eastAsia="標楷體" w:hAnsi="標楷體" w:hint="eastAsia"/>
                <w:sz w:val="32"/>
                <w:szCs w:val="32"/>
              </w:rPr>
              <w:t>因各</w:t>
            </w:r>
            <w:r>
              <w:rPr>
                <w:rFonts w:eastAsia="標楷體" w:hAnsi="標楷體"/>
                <w:sz w:val="32"/>
                <w:szCs w:val="32"/>
              </w:rPr>
              <w:t>財團法人成立之目的及業務性質有別，包括</w:t>
            </w:r>
            <w:r>
              <w:rPr>
                <w:rFonts w:eastAsia="標楷體" w:hAnsi="標楷體" w:hint="eastAsia"/>
                <w:sz w:val="32"/>
                <w:szCs w:val="32"/>
              </w:rPr>
              <w:t>技術</w:t>
            </w:r>
            <w:r>
              <w:rPr>
                <w:rFonts w:eastAsia="標楷體" w:hAnsi="標楷體"/>
                <w:sz w:val="32"/>
                <w:szCs w:val="32"/>
              </w:rPr>
              <w:t>服務收入、計畫衍生收入、</w:t>
            </w:r>
            <w:r>
              <w:rPr>
                <w:rFonts w:eastAsia="標楷體" w:hAnsi="標楷體" w:hint="eastAsia"/>
                <w:sz w:val="32"/>
                <w:szCs w:val="32"/>
              </w:rPr>
              <w:t>受</w:t>
            </w:r>
            <w:r>
              <w:rPr>
                <w:rFonts w:eastAsia="標楷體" w:hAnsi="標楷體"/>
                <w:sz w:val="32"/>
                <w:szCs w:val="32"/>
              </w:rPr>
              <w:t>贈收入、</w:t>
            </w:r>
            <w:r>
              <w:rPr>
                <w:rFonts w:eastAsia="標楷體" w:hAnsi="標楷體" w:hint="eastAsia"/>
                <w:sz w:val="32"/>
                <w:szCs w:val="32"/>
              </w:rPr>
              <w:t>財產或</w:t>
            </w:r>
            <w:r>
              <w:rPr>
                <w:rFonts w:eastAsia="標楷體" w:hAnsi="標楷體"/>
                <w:sz w:val="32"/>
                <w:szCs w:val="32"/>
              </w:rPr>
              <w:t>孳息收入等</w:t>
            </w:r>
            <w:r>
              <w:rPr>
                <w:rFonts w:eastAsia="標楷體" w:hAnsi="標楷體" w:hint="eastAsia"/>
                <w:sz w:val="32"/>
                <w:szCs w:val="32"/>
              </w:rPr>
              <w:t>。</w:t>
            </w:r>
          </w:p>
          <w:p w:rsidR="0013266C" w:rsidRDefault="0013266C">
            <w:pPr>
              <w:snapToGrid w:val="0"/>
              <w:spacing w:line="22pt" w:lineRule="atLeast"/>
              <w:ind w:startChars="-21" w:start="30.45pt" w:hangingChars="206" w:hanging="32.95p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二、為使財團法人預算未獲立法院審議通過時，其預算執行，有所依循，爰參酌附屬單位預算未完成審議，準用預算法第五十四條規定執行之補救措施，暨財團法人特性，並衡酌政府補（</w:t>
            </w:r>
            <w:r>
              <w:rPr>
                <w:rFonts w:eastAsia="標楷體" w:hAnsi="標楷體"/>
                <w:sz w:val="32"/>
                <w:szCs w:val="32"/>
              </w:rPr>
              <w:t>捐</w:t>
            </w:r>
            <w:r>
              <w:rPr>
                <w:rFonts w:eastAsia="標楷體" w:hAnsi="標楷體" w:hint="eastAsia"/>
                <w:sz w:val="32"/>
                <w:szCs w:val="32"/>
              </w:rPr>
              <w:t>）助與委辦經費及民間收入性質，分別予以規範。</w:t>
            </w:r>
          </w:p>
        </w:tc>
      </w:tr>
      <w:tr w:rsidR="0013266C" w:rsidTr="00C91978">
        <w:tc>
          <w:tcPr>
            <w:tcW w:w="46.74%" w:type="pct"/>
          </w:tcPr>
          <w:p w:rsidR="0013266C" w:rsidRDefault="0013266C">
            <w:pPr>
              <w:pStyle w:val="2"/>
              <w:snapToGrid w:val="0"/>
              <w:spacing w:line="22pt" w:lineRule="atLeast"/>
              <w:ind w:start="31.20pt" w:hanging="34.40p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四、</w:t>
            </w:r>
            <w:r>
              <w:rPr>
                <w:rFonts w:eastAsia="標楷體" w:hAnsi="標楷體"/>
                <w:sz w:val="32"/>
                <w:szCs w:val="32"/>
              </w:rPr>
              <w:t>支出部分</w:t>
            </w:r>
            <w:r>
              <w:rPr>
                <w:rFonts w:eastAsia="標楷體" w:hAnsi="標楷體" w:hint="eastAsia"/>
                <w:sz w:val="32"/>
                <w:szCs w:val="32"/>
              </w:rPr>
              <w:t>，依下列規定為之</w:t>
            </w:r>
            <w:r>
              <w:rPr>
                <w:rFonts w:eastAsia="標楷體" w:hAnsi="標楷體"/>
                <w:sz w:val="32"/>
                <w:szCs w:val="32"/>
              </w:rPr>
              <w:t>：</w:t>
            </w:r>
          </w:p>
          <w:p w:rsidR="0013266C" w:rsidRDefault="0013266C">
            <w:pPr>
              <w:pStyle w:val="2"/>
              <w:snapToGrid w:val="0"/>
              <w:spacing w:line="22pt" w:lineRule="atLeast"/>
              <w:ind w:start="45.20pt" w:hanging="48.40p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（一）以政府補（捐）助收入為財源指定辦理之工作</w:t>
            </w:r>
            <w:r>
              <w:rPr>
                <w:rFonts w:eastAsia="標楷體" w:hAnsi="標楷體" w:hint="eastAsia"/>
                <w:sz w:val="32"/>
                <w:szCs w:val="32"/>
              </w:rPr>
              <w:lastRenderedPageBreak/>
              <w:t>（業務）計畫，配合政府依立法院審議通過或依預算法第五十四條規定，實際撥付收入，暨業務實際需要，覈實支出。政府補（捐）助預算須經立法院同意後動支者，應俟該院同意後，始得動支。</w:t>
            </w:r>
          </w:p>
          <w:p w:rsidR="0013266C" w:rsidRDefault="0013266C">
            <w:pPr>
              <w:pStyle w:val="2"/>
              <w:snapToGrid w:val="0"/>
              <w:spacing w:line="22pt" w:lineRule="atLeast"/>
              <w:ind w:start="45.20pt" w:hanging="48.40p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（二）政府委託研究計畫及其他委託辦理事項，依契約或相關文件覈實動支。</w:t>
            </w:r>
          </w:p>
          <w:p w:rsidR="0013266C" w:rsidRDefault="0013266C">
            <w:pPr>
              <w:pStyle w:val="2"/>
              <w:snapToGrid w:val="0"/>
              <w:spacing w:line="22pt" w:lineRule="atLeast"/>
              <w:ind w:start="45.20pt" w:hanging="48.40p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（三）前兩目以外，以自籌財源辦理之工作（業務</w:t>
            </w:r>
            <w:r>
              <w:rPr>
                <w:rFonts w:eastAsia="標楷體" w:hAnsi="標楷體"/>
                <w:sz w:val="32"/>
                <w:szCs w:val="32"/>
              </w:rPr>
              <w:t>）</w:t>
            </w:r>
            <w:r>
              <w:rPr>
                <w:rFonts w:eastAsia="標楷體" w:hAnsi="標楷體" w:hint="eastAsia"/>
                <w:sz w:val="32"/>
                <w:szCs w:val="32"/>
              </w:rPr>
              <w:t>計畫，依業務需要，覈實動支。</w:t>
            </w:r>
          </w:p>
        </w:tc>
        <w:tc>
          <w:tcPr>
            <w:tcW w:w="53.26%" w:type="pct"/>
          </w:tcPr>
          <w:p w:rsidR="0013266C" w:rsidRDefault="0013266C">
            <w:pPr>
              <w:snapToGrid w:val="0"/>
              <w:spacing w:line="22pt" w:lineRule="atLeast"/>
              <w:ind w:startChars="-21" w:start="-2.40pt" w:hanging="0.10pt"/>
              <w:jc w:val="both"/>
              <w:rPr>
                <w:rFonts w:eastAsia="標楷體" w:hAnsi="標楷體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lastRenderedPageBreak/>
              <w:t>為使財團法人預算未獲立法院審議通過時，其預算執行，有所依循，爰參酌附屬單位預算未完成審議，準用預算法第五十四條規定執行之補</w:t>
            </w:r>
            <w:r>
              <w:rPr>
                <w:rFonts w:eastAsia="標楷體" w:hAnsi="標楷體" w:hint="eastAsia"/>
                <w:sz w:val="32"/>
                <w:szCs w:val="32"/>
              </w:rPr>
              <w:lastRenderedPageBreak/>
              <w:t>救措施，暨財團法人特性，</w:t>
            </w:r>
            <w:r>
              <w:rPr>
                <w:rFonts w:eastAsia="標楷體" w:hint="eastAsia"/>
                <w:sz w:val="32"/>
                <w:szCs w:val="32"/>
              </w:rPr>
              <w:t>分別對政府補（</w:t>
            </w:r>
            <w:r>
              <w:rPr>
                <w:rFonts w:eastAsia="標楷體"/>
                <w:sz w:val="32"/>
                <w:szCs w:val="32"/>
              </w:rPr>
              <w:t>捐</w:t>
            </w:r>
            <w:r>
              <w:rPr>
                <w:rFonts w:eastAsia="標楷體" w:hint="eastAsia"/>
                <w:sz w:val="32"/>
                <w:szCs w:val="32"/>
              </w:rPr>
              <w:t>）助、委辦經費及財團法人自籌財源辦理之工作（業務）計畫，予以適當規範。</w:t>
            </w:r>
          </w:p>
        </w:tc>
      </w:tr>
    </w:tbl>
    <w:p w:rsidR="0013266C" w:rsidRDefault="0013266C">
      <w:pPr>
        <w:jc w:val="both"/>
        <w:rPr>
          <w:sz w:val="28"/>
          <w:szCs w:val="28"/>
        </w:rPr>
      </w:pPr>
    </w:p>
    <w:sectPr w:rsidR="0013266C">
      <w:footerReference w:type="even" r:id="rId6"/>
      <w:footerReference w:type="default" r:id="rId7"/>
      <w:pgSz w:w="595.30pt" w:h="841.90pt" w:code="9"/>
      <w:pgMar w:top="56.70pt" w:right="56.70pt" w:bottom="56.70pt" w:left="56.70pt" w:header="42.55pt" w:footer="42.55pt" w:gutter="0pt"/>
      <w:pgNumType w:fmt="numberInDash"/>
      <w:cols w:space="21.25pt"/>
      <w:docGrid w:type="lines" w:linePitch="381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:rsidR="00785CD6" w:rsidRDefault="00785CD6">
      <w:r>
        <w:separator/>
      </w:r>
    </w:p>
  </w:endnote>
  <w:endnote w:type="continuationSeparator" w:id="0">
    <w:p w:rsidR="00785CD6" w:rsidRDefault="00785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characterSet="Big5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characterSet="Big5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characterSet="iso-8859-1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:rsidR="0013266C" w:rsidRDefault="0013266C">
    <w:pPr>
      <w:pStyle w:val="a7"/>
      <w:framePr w:wrap="around" w:vAnchor="text" w:hAnchor="margin" w:xAlign="center" w:y="0.05pt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3266C" w:rsidRDefault="0013266C">
    <w:pPr>
      <w:pStyle w:val="a7"/>
    </w:pP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:rsidR="0013266C" w:rsidRDefault="0013266C">
    <w:pPr>
      <w:pStyle w:val="a7"/>
      <w:framePr w:wrap="around" w:vAnchor="text" w:hAnchor="margin" w:xAlign="center" w:y="0.05pt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668A8">
      <w:rPr>
        <w:rStyle w:val="a8"/>
        <w:noProof/>
      </w:rPr>
      <w:t>- 2 -</w:t>
    </w:r>
    <w:r>
      <w:rPr>
        <w:rStyle w:val="a8"/>
      </w:rPr>
      <w:fldChar w:fldCharType="end"/>
    </w:r>
  </w:p>
  <w:p w:rsidR="0013266C" w:rsidRDefault="0013266C">
    <w:pPr>
      <w:pStyle w:val="a7"/>
    </w:pPr>
  </w:p>
</w:ftr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:rsidR="00785CD6" w:rsidRDefault="00785CD6">
      <w:r>
        <w:separator/>
      </w:r>
    </w:p>
  </w:footnote>
  <w:footnote w:type="continuationSeparator" w:id="0">
    <w:p w:rsidR="00785CD6" w:rsidRDefault="00785C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%"/>
  <w:bordersDoNotSurroundHeader/>
  <w:bordersDoNotSurroundFooter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pt"/>
  <w:drawingGridHorizontalSpacing w:val="7pt"/>
  <w:drawingGridVerticalSpacing w:val="19.05pt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72C"/>
    <w:rsid w:val="0013266C"/>
    <w:rsid w:val="005618E6"/>
    <w:rsid w:val="00785CD6"/>
    <w:rsid w:val="0079600A"/>
    <w:rsid w:val="008459F3"/>
    <w:rsid w:val="00B668A8"/>
    <w:rsid w:val="00C91978"/>
    <w:rsid w:val="00FD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5:chartTrackingRefBased/>
  <w15:docId w15:val="{1663ED3E-01F9-4EEA-9643-C848B2982604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semiHidden/>
  </w:style>
  <w:style w:type="paragraph" w:customStyle="1" w:styleId="a3">
    <w:name w:val="法規名稱"/>
    <w:basedOn w:val="a"/>
    <w:pPr>
      <w:spacing w:afterLines="50" w:after="2.50pt"/>
      <w:jc w:val="both"/>
    </w:pPr>
    <w:rPr>
      <w:rFonts w:ascii="標楷體" w:eastAsia="標楷體"/>
      <w:b/>
      <w:sz w:val="36"/>
      <w:szCs w:val="36"/>
    </w:rPr>
  </w:style>
  <w:style w:type="paragraph" w:customStyle="1" w:styleId="a4">
    <w:name w:val="修訂日期"/>
    <w:basedOn w:val="a"/>
    <w:pPr>
      <w:snapToGrid w:val="0"/>
      <w:ind w:end="198.45pt"/>
      <w:jc w:val="distribute"/>
    </w:pPr>
    <w:rPr>
      <w:rFonts w:ascii="Arial" w:eastAsia="標楷體" w:hAnsi="Arial"/>
    </w:rPr>
  </w:style>
  <w:style w:type="paragraph" w:customStyle="1" w:styleId="a5">
    <w:name w:val="主旨"/>
    <w:basedOn w:val="a6"/>
    <w:pPr>
      <w:snapToGrid w:val="0"/>
      <w:spacing w:after="0pt" w:line="32pt" w:lineRule="exact"/>
      <w:ind w:startChars="0" w:start="47.60pt" w:hanging="47.60pt"/>
    </w:pPr>
    <w:rPr>
      <w:rFonts w:ascii="Arial" w:eastAsia="標楷體" w:hAnsi="Arial"/>
      <w:sz w:val="32"/>
      <w:szCs w:val="20"/>
    </w:rPr>
  </w:style>
  <w:style w:type="paragraph" w:styleId="2">
    <w:name w:val="Body Text Indent 2"/>
    <w:basedOn w:val="a"/>
    <w:pPr>
      <w:ind w:start="36pt" w:hanging="12pt"/>
    </w:pPr>
    <w:rPr>
      <w:szCs w:val="20"/>
    </w:rPr>
  </w:style>
  <w:style w:type="paragraph" w:styleId="a6">
    <w:name w:val="Body Text Indent"/>
    <w:basedOn w:val="a"/>
    <w:pPr>
      <w:spacing w:after="6pt"/>
      <w:ind w:startChars="200" w:start="24pt"/>
    </w:pPr>
  </w:style>
  <w:style w:type="paragraph" w:styleId="a7">
    <w:name w:val="footer"/>
    <w:basedOn w:val="a"/>
    <w:pPr>
      <w:tabs>
        <w:tab w:val="center" w:pos="207.65pt"/>
        <w:tab w:val="end" w:pos="415.30pt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paragraph" w:styleId="a9">
    <w:name w:val="Balloon Text"/>
    <w:basedOn w:val="a"/>
    <w:semiHidden/>
    <w:rPr>
      <w:rFonts w:ascii="Arial" w:hAnsi="Arial"/>
      <w:sz w:val="18"/>
      <w:szCs w:val="18"/>
    </w:rPr>
  </w:style>
  <w:style w:type="paragraph" w:styleId="aa">
    <w:name w:val="header"/>
    <w:basedOn w:val="a"/>
    <w:link w:val="ab"/>
    <w:rsid w:val="0079600A"/>
    <w:pPr>
      <w:tabs>
        <w:tab w:val="center" w:pos="207.65pt"/>
        <w:tab w:val="end" w:pos="415.30pt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79600A"/>
    <w:rPr>
      <w:kern w:val="2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ntTable" Target="fontTable.xml"/><Relationship Id="rId3" Type="http://purl.oclc.org/ooxml/officeDocument/relationships/webSettings" Target="webSettings.xml"/><Relationship Id="rId7" Type="http://purl.oclc.org/ooxml/officeDocument/relationships/footer" Target="footer2.xml"/><Relationship Id="rId2" Type="http://purl.oclc.org/ooxml/officeDocument/relationships/settings" Target="settings.xml"/><Relationship Id="rId1" Type="http://purl.oclc.org/ooxml/officeDocument/relationships/styles" Target="styles.xml"/><Relationship Id="rId6" Type="http://purl.oclc.org/ooxml/officeDocument/relationships/footer" Target="footer1.xml"/><Relationship Id="rId5" Type="http://purl.oclc.org/ooxml/officeDocument/relationships/endnotes" Target="endnotes.xml"/><Relationship Id="rId4" Type="http://purl.oclc.org/ooxml/officeDocument/relationships/footnotes" Target="footnotes.xml"/><Relationship Id="rId9" Type="http://purl.oclc.org/ooxml/officeDocument/relationships/theme" Target="theme/theme1.xml"/></Relationships>
</file>

<file path=word/theme/theme1.xml><?xml version="1.0" encoding="utf-8"?>
<a:theme xmlns:a="http://purl.oclc.org/ooxml/drawingml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2</Pages>
  <Words>123</Words>
  <Characters>707</Characters>
  <Application>Microsoft Office Word</Application>
  <DocSecurity>0</DocSecurity>
  <Lines>5</Lines>
  <Paragraphs>1</Paragraphs>
  <ScaleCrop>false</ScaleCrop>
  <Company>行政院衛生署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行政院衛生署</cp:keywords>
  <dc:description> </dc:description>
  <cp:lastModifiedBy>會計處蔡旻均</cp:lastModifiedBy>
  <cp:revision>2</cp:revision>
  <cp:lastPrinted>2010-04-15T01:32:00Z</cp:lastPrinted>
  <dcterms:created xsi:type="dcterms:W3CDTF">2025-05-12T03:22:00Z</dcterms:created>
  <dcterms:modified xsi:type="dcterms:W3CDTF">2025-05-12T03:22:00Z</dcterms:modified>
  <cp:category>IZ0</cp:category>
</cp:coreProperties>
</file>