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media/image4.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2"/>
        <w:spacing w:before="120" w:after="0"/>
        <w:rPr/>
      </w:pPr>
      <w:r>
        <w:rPr/>
      </w:r>
    </w:p>
    <w:p>
      <w:pPr>
        <w:pStyle w:val="12"/>
        <w:rPr>
          <w:lang w:val="zh-TW" w:eastAsia="zh-TW"/>
        </w:rPr>
      </w:pPr>
      <w:r>
        <w:rPr>
          <w:lang w:val="zh-TW" w:eastAsia="zh-TW"/>
        </w:rPr>
        <w:drawing>
          <wp:anchor behindDoc="0" distT="0" distB="0" distL="114935" distR="114935" simplePos="0" locked="0" layoutInCell="0" allowOverlap="1" relativeHeight="60">
            <wp:simplePos x="0" y="0"/>
            <wp:positionH relativeFrom="column">
              <wp:posOffset>1137285</wp:posOffset>
            </wp:positionH>
            <wp:positionV relativeFrom="paragraph">
              <wp:posOffset>24765</wp:posOffset>
            </wp:positionV>
            <wp:extent cx="1558290" cy="1398270"/>
            <wp:effectExtent l="0" t="0" r="0" b="0"/>
            <wp:wrapNone/>
            <wp:docPr id="1" name="doh_logo"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h_logo" descr=""/>
                    <pic:cNvPicPr>
                      <a:picLocks noChangeAspect="1" noChangeArrowheads="1"/>
                    </pic:cNvPicPr>
                  </pic:nvPicPr>
                  <pic:blipFill>
                    <a:blip r:embed="rId2"/>
                    <a:srcRect l="1827" t="1824" r="1827" b="1824"/>
                    <a:stretch>
                      <a:fillRect/>
                    </a:stretch>
                  </pic:blipFill>
                  <pic:spPr bwMode="auto">
                    <a:xfrm>
                      <a:off x="0" y="0"/>
                      <a:ext cx="1558290" cy="139827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snapToGrid w:val="false"/>
        <w:spacing w:before="0" w:after="180"/>
        <w:jc w:val="center"/>
        <w:rPr>
          <w:rFonts w:ascii="標楷體" w:hAnsi="標楷體" w:eastAsia="標楷體" w:cs="標楷體"/>
          <w:sz w:val="60"/>
          <w:szCs w:val="60"/>
        </w:rPr>
      </w:pPr>
      <w:r>
        <w:rPr>
          <w:rFonts w:ascii="標楷體" w:hAnsi="標楷體" w:cs="標楷體" w:eastAsia="標楷體"/>
          <w:sz w:val="60"/>
          <w:szCs w:val="60"/>
        </w:rPr>
        <w:t>愷他命濫用之臨床評估</w:t>
      </w:r>
    </w:p>
    <w:p>
      <w:pPr>
        <w:pStyle w:val="Normal"/>
        <w:snapToGrid w:val="false"/>
        <w:spacing w:before="0" w:after="180"/>
        <w:jc w:val="center"/>
        <w:rPr>
          <w:rFonts w:ascii="標楷體" w:hAnsi="標楷體" w:eastAsia="標楷體" w:cs="標楷體"/>
          <w:sz w:val="60"/>
          <w:szCs w:val="60"/>
        </w:rPr>
      </w:pPr>
      <w:r>
        <w:rPr>
          <w:rFonts w:ascii="標楷體" w:hAnsi="標楷體" w:cs="標楷體" w:eastAsia="標楷體"/>
          <w:sz w:val="60"/>
          <w:szCs w:val="60"/>
        </w:rPr>
        <w:t>與處置建議</w:t>
      </w:r>
    </w:p>
    <w:p>
      <w:pPr>
        <w:pStyle w:val="12"/>
        <w:rPr>
          <w:rFonts w:ascii="標楷體" w:hAnsi="標楷體" w:eastAsia="標楷體" w:cs="標楷體"/>
          <w:sz w:val="60"/>
          <w:szCs w:val="60"/>
        </w:rPr>
      </w:pPr>
      <w:r>
        <w:rPr>
          <w:rFonts w:eastAsia="標楷體" w:cs="標楷體" w:ascii="標楷體" w:hAnsi="標楷體"/>
          <w:sz w:val="60"/>
          <w:szCs w:val="60"/>
        </w:rPr>
      </w:r>
    </w:p>
    <w:p>
      <w:pPr>
        <w:pStyle w:val="Normal"/>
        <w:jc w:val="center"/>
        <w:rPr>
          <w:rFonts w:ascii="標楷體" w:hAnsi="標楷體" w:eastAsia="標楷體" w:cs="標楷體"/>
        </w:rPr>
      </w:pPr>
      <w:r>
        <w:rPr>
          <w:rFonts w:eastAsia="標楷體" w:cs="標楷體" w:ascii="標楷體" w:hAnsi="標楷體"/>
        </w:rPr>
      </w:r>
    </w:p>
    <w:p>
      <w:pPr>
        <w:pStyle w:val="Normal"/>
        <w:jc w:val="center"/>
        <w:rPr>
          <w:rFonts w:ascii="標楷體" w:hAnsi="標楷體" w:eastAsia="標楷體" w:cs="標楷體"/>
        </w:rPr>
      </w:pPr>
      <w:r>
        <w:rPr>
          <w:rFonts w:eastAsia="標楷體" w:cs="標楷體" w:ascii="標楷體" w:hAnsi="標楷體"/>
        </w:rPr>
      </w:r>
    </w:p>
    <w:p>
      <w:pPr>
        <w:pStyle w:val="Normal"/>
        <w:jc w:val="center"/>
        <w:rPr>
          <w:rFonts w:ascii="標楷體" w:hAnsi="標楷體" w:eastAsia="標楷體" w:cs="標楷體"/>
        </w:rPr>
      </w:pPr>
      <w:r>
        <w:rPr>
          <w:rFonts w:eastAsia="標楷體" w:cs="標楷體" w:ascii="標楷體" w:hAnsi="標楷體"/>
        </w:rPr>
      </w:r>
    </w:p>
    <w:p>
      <w:pPr>
        <w:pStyle w:val="Normal"/>
        <w:jc w:val="center"/>
        <w:rPr>
          <w:rFonts w:ascii="標楷體" w:hAnsi="標楷體" w:eastAsia="標楷體" w:cs="標楷體"/>
          <w:sz w:val="40"/>
          <w:szCs w:val="40"/>
        </w:rPr>
      </w:pPr>
      <w:r>
        <w:rPr>
          <w:rFonts w:ascii="標楷體" w:hAnsi="標楷體" w:cs="標楷體" w:eastAsia="標楷體"/>
          <w:sz w:val="40"/>
          <w:szCs w:val="40"/>
        </w:rPr>
        <w:t>第一版</w:t>
      </w:r>
    </w:p>
    <w:p>
      <w:pPr>
        <w:pStyle w:val="Normal"/>
        <w:jc w:val="center"/>
        <w:rPr>
          <w:rFonts w:ascii="標楷體" w:hAnsi="標楷體" w:eastAsia="標楷體" w:cs="標楷體"/>
          <w:sz w:val="40"/>
          <w:szCs w:val="40"/>
        </w:rPr>
      </w:pPr>
      <w:r>
        <w:rPr>
          <w:rFonts w:ascii="標楷體" w:hAnsi="標楷體" w:cs="標楷體" w:eastAsia="標楷體"/>
          <w:sz w:val="40"/>
          <w:szCs w:val="40"/>
        </w:rPr>
        <w:t>中華民國</w:t>
      </w:r>
      <w:r>
        <w:rPr>
          <w:rFonts w:eastAsia="標楷體" w:cs="標楷體" w:ascii="標楷體" w:hAnsi="標楷體"/>
          <w:sz w:val="40"/>
          <w:szCs w:val="40"/>
        </w:rPr>
        <w:t>102</w:t>
      </w:r>
      <w:r>
        <w:rPr>
          <w:rFonts w:ascii="標楷體" w:hAnsi="標楷體" w:cs="標楷體" w:eastAsia="標楷體"/>
          <w:sz w:val="40"/>
          <w:szCs w:val="40"/>
        </w:rPr>
        <w:t xml:space="preserve">年 </w:t>
      </w:r>
      <w:r>
        <w:rPr>
          <w:rFonts w:eastAsia="標楷體" w:cs="標楷體" w:ascii="標楷體" w:hAnsi="標楷體"/>
          <w:sz w:val="40"/>
          <w:szCs w:val="40"/>
        </w:rPr>
        <w:t>4</w:t>
      </w:r>
      <w:r>
        <w:rPr>
          <w:rFonts w:ascii="標楷體" w:hAnsi="標楷體" w:cs="標楷體" w:eastAsia="標楷體"/>
          <w:sz w:val="40"/>
          <w:szCs w:val="40"/>
        </w:rPr>
        <w:t>月</w:t>
      </w:r>
    </w:p>
    <w:p>
      <w:pPr>
        <w:pStyle w:val="Normal"/>
        <w:jc w:val="center"/>
        <w:rPr/>
      </w:pPr>
      <w:r>
        <w:rPr>
          <w:rFonts w:ascii="標楷體" w:hAnsi="標楷體" w:cs="標楷體" w:eastAsia="標楷體"/>
          <w:sz w:val="40"/>
          <w:szCs w:val="40"/>
        </w:rPr>
        <w:t>衛生署編印</w:t>
      </w:r>
    </w:p>
    <w:p>
      <w:pPr>
        <w:pStyle w:val="Normal"/>
        <w:rPr/>
      </w:pPr>
      <w:r>
        <w:rPr/>
        <w:t>目   錄</w:t>
      </w:r>
    </w:p>
    <w:sdt>
      <w:sdtPr>
        <w:docPartObj>
          <w:docPartGallery w:val="Table of Contents"/>
          <w:docPartUnique w:val="true"/>
        </w:docPartObj>
      </w:sdtPr>
      <w:sdtContent>
        <w:p>
          <w:pPr>
            <w:pStyle w:val="12"/>
            <w:jc w:val="left"/>
            <w:rPr>
              <w:rFonts w:ascii="標楷體" w:hAnsi="標楷體" w:eastAsia="標楷體" w:cs="標楷體"/>
              <w:sz w:val="24"/>
              <w:szCs w:val="24"/>
              <w:lang w:val="zh-TW" w:eastAsia="zh-TW"/>
            </w:rPr>
          </w:pPr>
          <w:r>
            <w:fldChar w:fldCharType="begin"/>
          </w:r>
          <w:r>
            <w:rPr>
              <w:rStyle w:val="IndexLink"/>
              <w:kern w:val="0"/>
              <w:rFonts w:ascii="標楷體" w:hAnsi="標楷體" w:cs="標楷體" w:eastAsia="標楷體"/>
              <w:lang w:val="zh-TW" w:eastAsia="zh-TW"/>
            </w:rPr>
            <w:instrText> TOC \o "1-2" \h \z \u </w:instrText>
          </w:r>
          <w:r>
            <w:rPr>
              <w:rStyle w:val="IndexLink"/>
              <w:kern w:val="0"/>
              <w:rFonts w:ascii="標楷體" w:hAnsi="標楷體" w:cs="標楷體" w:eastAsia="標楷體"/>
              <w:lang w:val="zh-TW" w:eastAsia="zh-TW"/>
            </w:rPr>
            <w:fldChar w:fldCharType="separate"/>
          </w:r>
          <w:hyperlink w:anchor="__RefHeading___Toc358384663">
            <w:r>
              <w:rPr>
                <w:rStyle w:val="IndexLink"/>
                <w:rFonts w:ascii="標楷體" w:hAnsi="標楷體" w:cs="標楷體" w:eastAsia="標楷體"/>
                <w:kern w:val="0"/>
                <w:lang w:val="zh-TW" w:eastAsia="zh-TW"/>
              </w:rPr>
              <w:t>前</w:t>
            </w:r>
            <w:r>
              <w:rPr>
                <w:rStyle w:val="IndexLink"/>
                <w:rFonts w:ascii="標楷體" w:hAnsi="標楷體" w:cs="標楷體" w:eastAsia="標楷體"/>
                <w:kern w:val="0"/>
                <w:lang w:val="zh-TW" w:eastAsia="zh-TW"/>
              </w:rPr>
              <w:t xml:space="preserve">   </w:t>
            </w:r>
            <w:r>
              <w:rPr>
                <w:rStyle w:val="IndexLink"/>
                <w:rFonts w:ascii="標楷體" w:hAnsi="標楷體" w:cs="標楷體" w:eastAsia="標楷體"/>
                <w:kern w:val="0"/>
                <w:lang w:val="zh-TW" w:eastAsia="zh-TW"/>
              </w:rPr>
              <w:t>言</w:t>
            </w:r>
            <w:r>
              <w:rPr>
                <w:rStyle w:val="IndexLink"/>
                <w:lang w:val="zh-TW" w:eastAsia="zh-TW"/>
              </w:rPr>
              <w:tab/>
              <w:t>4</w:t>
            </w:r>
          </w:hyperlink>
        </w:p>
        <w:p>
          <w:pPr>
            <w:pStyle w:val="12"/>
            <w:jc w:val="left"/>
            <w:rPr>
              <w:rFonts w:ascii="標楷體" w:hAnsi="標楷體" w:eastAsia="標楷體" w:cs="標楷體"/>
              <w:sz w:val="24"/>
              <w:szCs w:val="24"/>
              <w:lang w:val="zh-TW" w:eastAsia="zh-TW"/>
            </w:rPr>
          </w:pPr>
          <w:hyperlink w:anchor="__RefHeading___Toc358384664">
            <w:r>
              <w:rPr>
                <w:rStyle w:val="IndexLink"/>
                <w:rFonts w:ascii="標楷體" w:hAnsi="標楷體" w:cs="標楷體" w:eastAsia="標楷體"/>
                <w:kern w:val="0"/>
                <w:lang w:val="zh-TW" w:eastAsia="zh-TW"/>
              </w:rPr>
              <w:t>第一節、愷他命之介紹</w:t>
            </w:r>
            <w:r>
              <w:rPr>
                <w:rStyle w:val="IndexLink"/>
                <w:lang w:val="zh-TW" w:eastAsia="zh-TW"/>
              </w:rPr>
              <w:tab/>
              <w:t>5</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65">
            <w:r>
              <w:rPr>
                <w:rStyle w:val="IndexLink"/>
                <w:rFonts w:ascii="標楷體" w:hAnsi="標楷體" w:cs="標楷體" w:eastAsia="標楷體"/>
                <w:b/>
                <w:bCs/>
                <w:spacing w:val="-2"/>
                <w:kern w:val="0"/>
                <w:lang w:val="zh-TW" w:eastAsia="zh-TW"/>
              </w:rPr>
              <w:t>一、化學性質</w:t>
            </w:r>
            <w:r>
              <w:rPr>
                <w:rStyle w:val="IndexLink"/>
                <w:rFonts w:eastAsia="標楷體" w:cs="標楷體" w:ascii="標楷體" w:hAnsi="標楷體"/>
                <w:lang w:val="zh-TW" w:eastAsia="zh-TW"/>
              </w:rPr>
              <w:tab/>
              <w:t>5</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66">
            <w:r>
              <w:rPr>
                <w:rStyle w:val="IndexLink"/>
                <w:rFonts w:ascii="標楷體" w:hAnsi="標楷體" w:cs="標楷體" w:eastAsia="標楷體"/>
                <w:b/>
                <w:bCs/>
                <w:spacing w:val="-2"/>
                <w:kern w:val="0"/>
                <w:lang w:val="zh-TW" w:eastAsia="zh-TW"/>
              </w:rPr>
              <w:t>二、藥理作用</w:t>
            </w:r>
            <w:r>
              <w:rPr>
                <w:rStyle w:val="IndexLink"/>
                <w:rFonts w:eastAsia="標楷體" w:cs="標楷體" w:ascii="標楷體" w:hAnsi="標楷體"/>
                <w:lang w:val="zh-TW" w:eastAsia="zh-TW"/>
              </w:rPr>
              <w:tab/>
              <w:t>5</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67">
            <w:r>
              <w:rPr>
                <w:rStyle w:val="IndexLink"/>
                <w:rFonts w:ascii="標楷體" w:hAnsi="標楷體" w:cs="標楷體" w:eastAsia="標楷體"/>
                <w:b/>
                <w:bCs/>
                <w:spacing w:val="-2"/>
                <w:kern w:val="0"/>
                <w:lang w:val="zh-TW" w:eastAsia="zh-TW"/>
              </w:rPr>
              <w:t>三、藥物動力學</w:t>
            </w:r>
            <w:r>
              <w:rPr>
                <w:rStyle w:val="IndexLink"/>
                <w:rFonts w:eastAsia="標楷體" w:cs="標楷體" w:ascii="標楷體" w:hAnsi="標楷體"/>
                <w:lang w:val="zh-TW" w:eastAsia="zh-TW"/>
              </w:rPr>
              <w:tab/>
              <w:t>8</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68">
            <w:r>
              <w:rPr>
                <w:rStyle w:val="IndexLink"/>
                <w:rFonts w:ascii="標楷體" w:hAnsi="標楷體" w:cs="標楷體" w:eastAsia="標楷體"/>
                <w:b/>
                <w:bCs/>
                <w:spacing w:val="-2"/>
                <w:kern w:val="0"/>
                <w:lang w:val="zh-TW" w:eastAsia="zh-TW"/>
              </w:rPr>
              <w:t>四、使用途徑</w:t>
            </w:r>
            <w:r>
              <w:rPr>
                <w:rStyle w:val="IndexLink"/>
                <w:rFonts w:eastAsia="標楷體" w:cs="標楷體" w:ascii="標楷體" w:hAnsi="標楷體"/>
                <w:lang w:val="zh-TW" w:eastAsia="zh-TW"/>
              </w:rPr>
              <w:tab/>
              <w:t>9</w:t>
            </w:r>
          </w:hyperlink>
        </w:p>
        <w:p>
          <w:pPr>
            <w:pStyle w:val="12"/>
            <w:jc w:val="left"/>
            <w:rPr>
              <w:rFonts w:ascii="標楷體" w:hAnsi="標楷體" w:eastAsia="標楷體" w:cs="標楷體"/>
              <w:sz w:val="24"/>
              <w:szCs w:val="24"/>
              <w:lang w:val="zh-TW" w:eastAsia="zh-TW"/>
            </w:rPr>
          </w:pPr>
          <w:hyperlink w:anchor="__RefHeading___Toc358384669">
            <w:r>
              <w:rPr>
                <w:rStyle w:val="IndexLink"/>
                <w:rFonts w:ascii="標楷體" w:hAnsi="標楷體" w:cs="標楷體" w:eastAsia="標楷體"/>
                <w:kern w:val="0"/>
                <w:lang w:val="zh-TW" w:eastAsia="zh-TW"/>
              </w:rPr>
              <w:t>第二節、愷他命的濫用與危害</w:t>
            </w:r>
            <w:r>
              <w:rPr>
                <w:rStyle w:val="IndexLink"/>
                <w:lang w:val="zh-TW" w:eastAsia="zh-TW"/>
              </w:rPr>
              <w:tab/>
              <w:t>11</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70">
            <w:r>
              <w:rPr>
                <w:rStyle w:val="IndexLink"/>
                <w:rFonts w:ascii="標楷體" w:hAnsi="標楷體" w:cs="標楷體" w:eastAsia="標楷體"/>
                <w:b/>
                <w:bCs/>
                <w:spacing w:val="-2"/>
                <w:kern w:val="0"/>
                <w:lang w:val="zh-TW" w:eastAsia="zh-TW"/>
              </w:rPr>
              <w:t>一、濫用概況</w:t>
            </w:r>
            <w:r>
              <w:rPr>
                <w:rStyle w:val="IndexLink"/>
                <w:rFonts w:eastAsia="標楷體" w:cs="標楷體" w:ascii="標楷體" w:hAnsi="標楷體"/>
                <w:lang w:val="zh-TW" w:eastAsia="zh-TW"/>
              </w:rPr>
              <w:tab/>
              <w:t>11</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71">
            <w:r>
              <w:rPr>
                <w:rStyle w:val="IndexLink"/>
                <w:rFonts w:ascii="標楷體" w:hAnsi="標楷體" w:cs="標楷體" w:eastAsia="標楷體"/>
                <w:b/>
                <w:bCs/>
                <w:spacing w:val="-2"/>
                <w:kern w:val="0"/>
                <w:lang w:val="zh-TW" w:eastAsia="zh-TW"/>
              </w:rPr>
              <w:t>二、急性中毒的危害</w:t>
            </w:r>
            <w:r>
              <w:rPr>
                <w:rStyle w:val="IndexLink"/>
                <w:rFonts w:eastAsia="標楷體" w:cs="標楷體" w:ascii="標楷體" w:hAnsi="標楷體"/>
                <w:lang w:val="zh-TW" w:eastAsia="zh-TW"/>
              </w:rPr>
              <w:tab/>
              <w:t>13</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72">
            <w:r>
              <w:rPr>
                <w:rStyle w:val="IndexLink"/>
                <w:rFonts w:ascii="標楷體" w:hAnsi="標楷體" w:cs="標楷體" w:eastAsia="標楷體"/>
                <w:b/>
                <w:bCs/>
                <w:spacing w:val="-2"/>
                <w:kern w:val="0"/>
                <w:lang w:val="zh-TW" w:eastAsia="zh-TW"/>
              </w:rPr>
              <w:t>三、愷他命引發之潰瘍性膀胱炎</w:t>
            </w:r>
            <w:r>
              <w:rPr>
                <w:rStyle w:val="IndexLink"/>
                <w:rFonts w:eastAsia="標楷體" w:cs="標楷體" w:ascii="標楷體" w:hAnsi="標楷體"/>
                <w:lang w:val="zh-TW" w:eastAsia="zh-TW"/>
              </w:rPr>
              <w:tab/>
              <w:t>14</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73">
            <w:r>
              <w:rPr>
                <w:rStyle w:val="IndexLink"/>
                <w:rFonts w:ascii="標楷體" w:hAnsi="標楷體" w:cs="標楷體" w:eastAsia="標楷體"/>
                <w:b/>
                <w:bCs/>
                <w:spacing w:val="-2"/>
                <w:kern w:val="0"/>
                <w:lang w:val="zh-TW" w:eastAsia="zh-TW"/>
              </w:rPr>
              <w:t>四、腎臟病變</w:t>
            </w:r>
            <w:r>
              <w:rPr>
                <w:rStyle w:val="IndexLink"/>
                <w:rFonts w:eastAsia="標楷體" w:cs="標楷體" w:ascii="標楷體" w:hAnsi="標楷體"/>
                <w:lang w:val="zh-TW" w:eastAsia="zh-TW"/>
              </w:rPr>
              <w:tab/>
              <w:t>16</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74">
            <w:r>
              <w:rPr>
                <w:rStyle w:val="IndexLink"/>
                <w:rFonts w:ascii="標楷體" w:hAnsi="標楷體" w:cs="標楷體" w:eastAsia="標楷體"/>
                <w:b/>
                <w:bCs/>
                <w:spacing w:val="-2"/>
                <w:kern w:val="0"/>
                <w:lang w:val="zh-TW" w:eastAsia="zh-TW"/>
              </w:rPr>
              <w:t>五、愷命他引發之腹痛</w:t>
            </w:r>
            <w:r>
              <w:rPr>
                <w:rStyle w:val="IndexLink"/>
                <w:rFonts w:eastAsia="標楷體" w:cs="標楷體" w:ascii="標楷體" w:hAnsi="標楷體"/>
                <w:lang w:val="zh-TW" w:eastAsia="zh-TW"/>
              </w:rPr>
              <w:tab/>
              <w:t>16</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75">
            <w:r>
              <w:rPr>
                <w:rStyle w:val="IndexLink"/>
                <w:rFonts w:ascii="標楷體" w:hAnsi="標楷體" w:cs="標楷體" w:eastAsia="標楷體"/>
                <w:b/>
                <w:bCs/>
                <w:spacing w:val="-2"/>
                <w:kern w:val="0"/>
                <w:lang w:val="zh-TW" w:eastAsia="zh-TW"/>
              </w:rPr>
              <w:t>六、精神及認知的影響</w:t>
            </w:r>
            <w:r>
              <w:rPr>
                <w:rStyle w:val="IndexLink"/>
                <w:rFonts w:eastAsia="標楷體" w:cs="標楷體" w:ascii="標楷體" w:hAnsi="標楷體"/>
                <w:lang w:val="zh-TW" w:eastAsia="zh-TW"/>
              </w:rPr>
              <w:tab/>
              <w:t>17</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76">
            <w:r>
              <w:rPr>
                <w:rStyle w:val="IndexLink"/>
                <w:rFonts w:ascii="標楷體" w:hAnsi="標楷體" w:cs="標楷體" w:eastAsia="標楷體"/>
                <w:b/>
                <w:bCs/>
                <w:spacing w:val="-2"/>
                <w:kern w:val="0"/>
                <w:lang w:val="zh-TW" w:eastAsia="zh-TW"/>
              </w:rPr>
              <w:t>七、依賴相關風險</w:t>
            </w:r>
            <w:r>
              <w:rPr>
                <w:rStyle w:val="IndexLink"/>
                <w:rFonts w:eastAsia="標楷體" w:cs="標楷體" w:ascii="標楷體" w:hAnsi="標楷體"/>
                <w:lang w:val="zh-TW" w:eastAsia="zh-TW"/>
              </w:rPr>
              <w:tab/>
              <w:t>18</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77">
            <w:r>
              <w:rPr>
                <w:rStyle w:val="IndexLink"/>
                <w:rFonts w:ascii="標楷體" w:hAnsi="標楷體" w:cs="標楷體" w:eastAsia="標楷體"/>
                <w:b/>
                <w:bCs/>
                <w:spacing w:val="-2"/>
                <w:kern w:val="0"/>
                <w:lang w:val="zh-TW" w:eastAsia="zh-TW"/>
              </w:rPr>
              <w:t>八、社會層面的危害</w:t>
            </w:r>
            <w:r>
              <w:rPr>
                <w:rStyle w:val="IndexLink"/>
                <w:rFonts w:eastAsia="標楷體" w:cs="標楷體" w:ascii="標楷體" w:hAnsi="標楷體"/>
                <w:lang w:val="zh-TW" w:eastAsia="zh-TW"/>
              </w:rPr>
              <w:tab/>
              <w:t>19</w:t>
            </w:r>
          </w:hyperlink>
        </w:p>
        <w:p>
          <w:pPr>
            <w:pStyle w:val="12"/>
            <w:jc w:val="left"/>
            <w:rPr>
              <w:rFonts w:ascii="標楷體" w:hAnsi="標楷體" w:eastAsia="標楷體" w:cs="標楷體"/>
              <w:sz w:val="24"/>
              <w:szCs w:val="24"/>
              <w:lang w:val="zh-TW" w:eastAsia="zh-TW"/>
            </w:rPr>
          </w:pPr>
          <w:hyperlink w:anchor="__RefHeading___Toc358384678">
            <w:r>
              <w:rPr>
                <w:rStyle w:val="IndexLink"/>
                <w:rFonts w:ascii="標楷體" w:hAnsi="標楷體" w:cs="標楷體" w:eastAsia="標楷體"/>
                <w:kern w:val="0"/>
                <w:lang w:val="zh-TW" w:eastAsia="zh-TW"/>
              </w:rPr>
              <w:t>第三節、愷他命濫用之評估與轉介</w:t>
            </w:r>
            <w:r>
              <w:rPr>
                <w:rStyle w:val="IndexLink"/>
                <w:lang w:val="zh-TW" w:eastAsia="zh-TW"/>
              </w:rPr>
              <w:tab/>
              <w:t>21</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79">
            <w:r>
              <w:rPr>
                <w:rStyle w:val="IndexLink"/>
                <w:rFonts w:ascii="標楷體" w:hAnsi="標楷體" w:cs="標楷體" w:eastAsia="標楷體"/>
                <w:b/>
                <w:bCs/>
                <w:spacing w:val="-2"/>
                <w:kern w:val="0"/>
                <w:lang w:val="zh-TW" w:eastAsia="zh-TW"/>
              </w:rPr>
              <w:t>一、病史</w:t>
            </w:r>
            <w:r>
              <w:rPr>
                <w:rStyle w:val="IndexLink"/>
                <w:rFonts w:eastAsia="標楷體" w:cs="標楷體" w:ascii="標楷體" w:hAnsi="標楷體"/>
                <w:lang w:val="zh-TW" w:eastAsia="zh-TW"/>
              </w:rPr>
              <w:tab/>
              <w:t>21</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80">
            <w:r>
              <w:rPr>
                <w:rStyle w:val="IndexLink"/>
                <w:rFonts w:ascii="標楷體" w:hAnsi="標楷體" w:cs="標楷體" w:eastAsia="標楷體"/>
                <w:b/>
                <w:bCs/>
                <w:spacing w:val="-2"/>
                <w:kern w:val="0"/>
                <w:lang w:val="zh-TW" w:eastAsia="zh-TW"/>
              </w:rPr>
              <w:t>二、其他的物質濫用</w:t>
            </w:r>
            <w:r>
              <w:rPr>
                <w:rStyle w:val="IndexLink"/>
                <w:rFonts w:eastAsia="標楷體" w:cs="標楷體" w:ascii="標楷體" w:hAnsi="標楷體"/>
                <w:lang w:val="zh-TW" w:eastAsia="zh-TW"/>
              </w:rPr>
              <w:tab/>
              <w:t>23</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81">
            <w:r>
              <w:rPr>
                <w:rStyle w:val="IndexLink"/>
                <w:rFonts w:ascii="標楷體" w:hAnsi="標楷體" w:cs="標楷體" w:eastAsia="標楷體"/>
                <w:b/>
                <w:bCs/>
                <w:spacing w:val="-2"/>
                <w:kern w:val="0"/>
                <w:lang w:val="zh-TW" w:eastAsia="zh-TW"/>
              </w:rPr>
              <w:t>三、藥物依賴程度</w:t>
            </w:r>
            <w:r>
              <w:rPr>
                <w:rStyle w:val="IndexLink"/>
                <w:rFonts w:eastAsia="標楷體" w:cs="標楷體" w:ascii="標楷體" w:hAnsi="標楷體"/>
                <w:lang w:val="zh-TW" w:eastAsia="zh-TW"/>
              </w:rPr>
              <w:tab/>
              <w:t>23</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82">
            <w:r>
              <w:rPr>
                <w:rStyle w:val="IndexLink"/>
                <w:rFonts w:ascii="標楷體" w:hAnsi="標楷體" w:cs="標楷體" w:eastAsia="標楷體"/>
                <w:b/>
                <w:bCs/>
                <w:spacing w:val="-2"/>
                <w:kern w:val="0"/>
                <w:lang w:val="zh-TW" w:eastAsia="zh-TW"/>
              </w:rPr>
              <w:t>四、精神科共病症評估</w:t>
            </w:r>
            <w:r>
              <w:rPr>
                <w:rStyle w:val="IndexLink"/>
                <w:rFonts w:eastAsia="標楷體" w:cs="標楷體" w:ascii="標楷體" w:hAnsi="標楷體"/>
                <w:lang w:val="zh-TW" w:eastAsia="zh-TW"/>
              </w:rPr>
              <w:tab/>
              <w:t>24</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83">
            <w:r>
              <w:rPr>
                <w:rStyle w:val="IndexLink"/>
                <w:rFonts w:ascii="標楷體" w:hAnsi="標楷體" w:cs="標楷體" w:eastAsia="標楷體"/>
                <w:b/>
                <w:bCs/>
                <w:spacing w:val="-2"/>
                <w:kern w:val="0"/>
                <w:lang w:val="zh-TW" w:eastAsia="zh-TW"/>
              </w:rPr>
              <w:t>五、神經心理評估</w:t>
            </w:r>
            <w:r>
              <w:rPr>
                <w:rStyle w:val="IndexLink"/>
                <w:rFonts w:eastAsia="標楷體" w:cs="標楷體" w:ascii="標楷體" w:hAnsi="標楷體"/>
                <w:lang w:val="zh-TW" w:eastAsia="zh-TW"/>
              </w:rPr>
              <w:tab/>
              <w:t>24</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84">
            <w:r>
              <w:rPr>
                <w:rStyle w:val="IndexLink"/>
                <w:rFonts w:ascii="標楷體" w:hAnsi="標楷體" w:cs="標楷體" w:eastAsia="標楷體"/>
                <w:b/>
                <w:bCs/>
                <w:spacing w:val="-2"/>
                <w:kern w:val="0"/>
                <w:lang w:val="zh-TW" w:eastAsia="zh-TW"/>
              </w:rPr>
              <w:t>六、生理狀態評估</w:t>
            </w:r>
            <w:r>
              <w:rPr>
                <w:rStyle w:val="IndexLink"/>
                <w:rFonts w:eastAsia="標楷體" w:cs="標楷體" w:ascii="標楷體" w:hAnsi="標楷體"/>
                <w:lang w:val="zh-TW" w:eastAsia="zh-TW"/>
              </w:rPr>
              <w:tab/>
              <w:t>25</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85">
            <w:r>
              <w:rPr>
                <w:rStyle w:val="IndexLink"/>
                <w:rFonts w:ascii="標楷體" w:hAnsi="標楷體" w:cs="標楷體" w:eastAsia="標楷體"/>
                <w:b/>
                <w:bCs/>
                <w:spacing w:val="-2"/>
                <w:kern w:val="0"/>
                <w:lang w:val="zh-TW" w:eastAsia="zh-TW"/>
              </w:rPr>
              <w:t>七、家庭功能評估</w:t>
            </w:r>
            <w:r>
              <w:rPr>
                <w:rStyle w:val="IndexLink"/>
                <w:rFonts w:eastAsia="標楷體" w:cs="標楷體" w:ascii="標楷體" w:hAnsi="標楷體"/>
                <w:lang w:val="zh-TW" w:eastAsia="zh-TW"/>
              </w:rPr>
              <w:tab/>
              <w:t>25</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86">
            <w:r>
              <w:rPr>
                <w:rStyle w:val="IndexLink"/>
                <w:rFonts w:ascii="標楷體" w:hAnsi="標楷體" w:cs="標楷體" w:eastAsia="標楷體"/>
                <w:b/>
                <w:bCs/>
                <w:spacing w:val="-2"/>
                <w:kern w:val="0"/>
                <w:lang w:val="zh-TW" w:eastAsia="zh-TW"/>
              </w:rPr>
              <w:t>八、社會功能評估</w:t>
            </w:r>
            <w:r>
              <w:rPr>
                <w:rStyle w:val="IndexLink"/>
                <w:rFonts w:eastAsia="標楷體" w:cs="標楷體" w:ascii="標楷體" w:hAnsi="標楷體"/>
                <w:lang w:val="zh-TW" w:eastAsia="zh-TW"/>
              </w:rPr>
              <w:tab/>
              <w:t>26</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87">
            <w:r>
              <w:rPr>
                <w:rStyle w:val="IndexLink"/>
                <w:rFonts w:ascii="標楷體" w:hAnsi="標楷體" w:cs="標楷體" w:eastAsia="標楷體"/>
                <w:b/>
                <w:bCs/>
                <w:spacing w:val="-2"/>
                <w:kern w:val="0"/>
                <w:lang w:val="zh-TW" w:eastAsia="zh-TW"/>
              </w:rPr>
              <w:t>九、跨科別之轉介</w:t>
            </w:r>
            <w:r>
              <w:rPr>
                <w:rStyle w:val="IndexLink"/>
                <w:rFonts w:eastAsia="標楷體" w:cs="標楷體" w:ascii="標楷體" w:hAnsi="標楷體"/>
                <w:lang w:val="zh-TW" w:eastAsia="zh-TW"/>
              </w:rPr>
              <w:tab/>
              <w:t>27</w:t>
            </w:r>
          </w:hyperlink>
        </w:p>
        <w:p>
          <w:pPr>
            <w:pStyle w:val="12"/>
            <w:jc w:val="left"/>
            <w:rPr>
              <w:rFonts w:ascii="標楷體" w:hAnsi="標楷體" w:eastAsia="標楷體" w:cs="標楷體"/>
              <w:sz w:val="24"/>
              <w:szCs w:val="24"/>
              <w:lang w:val="zh-TW" w:eastAsia="zh-TW"/>
            </w:rPr>
          </w:pPr>
          <w:hyperlink w:anchor="__RefHeading___Toc358384688">
            <w:r>
              <w:rPr>
                <w:rStyle w:val="IndexLink"/>
                <w:rFonts w:ascii="標楷體" w:hAnsi="標楷體" w:cs="標楷體" w:eastAsia="標楷體"/>
                <w:kern w:val="0"/>
                <w:lang w:val="zh-TW" w:eastAsia="zh-TW"/>
              </w:rPr>
              <w:t>第四節、急性中毒的處理</w:t>
            </w:r>
            <w:r>
              <w:rPr>
                <w:rStyle w:val="IndexLink"/>
                <w:lang w:val="zh-TW" w:eastAsia="zh-TW"/>
              </w:rPr>
              <w:tab/>
              <w:t>29</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89">
            <w:r>
              <w:rPr>
                <w:rStyle w:val="IndexLink"/>
                <w:rFonts w:ascii="標楷體" w:hAnsi="標楷體" w:cs="標楷體" w:eastAsia="標楷體"/>
                <w:b/>
                <w:bCs/>
                <w:spacing w:val="-2"/>
                <w:kern w:val="0"/>
                <w:lang w:val="zh-TW" w:eastAsia="zh-TW"/>
              </w:rPr>
              <w:t>一、急性中毒之危險性</w:t>
            </w:r>
            <w:r>
              <w:rPr>
                <w:rStyle w:val="IndexLink"/>
                <w:rFonts w:eastAsia="標楷體" w:cs="標楷體" w:ascii="標楷體" w:hAnsi="標楷體"/>
                <w:lang w:val="zh-TW" w:eastAsia="zh-TW"/>
              </w:rPr>
              <w:tab/>
              <w:t>29</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90">
            <w:r>
              <w:rPr>
                <w:rStyle w:val="IndexLink"/>
                <w:rFonts w:ascii="標楷體" w:hAnsi="標楷體" w:cs="標楷體" w:eastAsia="標楷體"/>
                <w:b/>
                <w:bCs/>
                <w:spacing w:val="-2"/>
                <w:kern w:val="0"/>
                <w:lang w:val="zh-TW" w:eastAsia="zh-TW"/>
              </w:rPr>
              <w:t>二、急診室求診者之特徵</w:t>
            </w:r>
            <w:r>
              <w:rPr>
                <w:rStyle w:val="IndexLink"/>
                <w:rFonts w:eastAsia="標楷體" w:cs="標楷體" w:ascii="標楷體" w:hAnsi="標楷體"/>
                <w:lang w:val="zh-TW" w:eastAsia="zh-TW"/>
              </w:rPr>
              <w:tab/>
              <w:t>29</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91">
            <w:r>
              <w:rPr>
                <w:rStyle w:val="IndexLink"/>
                <w:rFonts w:ascii="標楷體" w:hAnsi="標楷體" w:cs="標楷體" w:eastAsia="標楷體"/>
                <w:b/>
                <w:bCs/>
                <w:spacing w:val="-2"/>
                <w:kern w:val="0"/>
                <w:lang w:val="zh-TW" w:eastAsia="zh-TW"/>
              </w:rPr>
              <w:t>三、處理原則</w:t>
            </w:r>
            <w:r>
              <w:rPr>
                <w:rStyle w:val="IndexLink"/>
                <w:rFonts w:eastAsia="標楷體" w:cs="標楷體" w:ascii="標楷體" w:hAnsi="標楷體"/>
                <w:lang w:val="zh-TW" w:eastAsia="zh-TW"/>
              </w:rPr>
              <w:tab/>
              <w:t>30</w:t>
            </w:r>
          </w:hyperlink>
        </w:p>
        <w:p>
          <w:pPr>
            <w:pStyle w:val="12"/>
            <w:jc w:val="left"/>
            <w:rPr>
              <w:rFonts w:ascii="標楷體" w:hAnsi="標楷體" w:eastAsia="標楷體" w:cs="標楷體"/>
              <w:sz w:val="24"/>
              <w:szCs w:val="24"/>
              <w:lang w:val="zh-TW" w:eastAsia="zh-TW"/>
            </w:rPr>
          </w:pPr>
          <w:hyperlink w:anchor="__RefHeading___Toc358384692">
            <w:r>
              <w:rPr>
                <w:rStyle w:val="IndexLink"/>
                <w:rFonts w:ascii="標楷體" w:hAnsi="標楷體" w:cs="標楷體" w:eastAsia="標楷體"/>
                <w:kern w:val="0"/>
                <w:lang w:val="zh-TW" w:eastAsia="zh-TW"/>
              </w:rPr>
              <w:t>第五節、藥物治療</w:t>
            </w:r>
            <w:r>
              <w:rPr>
                <w:rStyle w:val="IndexLink"/>
                <w:lang w:val="zh-TW" w:eastAsia="zh-TW"/>
              </w:rPr>
              <w:tab/>
              <w:t>32</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93">
            <w:r>
              <w:rPr>
                <w:rStyle w:val="IndexLink"/>
                <w:rFonts w:ascii="標楷體" w:hAnsi="標楷體" w:cs="標楷體" w:eastAsia="標楷體"/>
                <w:b/>
                <w:bCs/>
                <w:spacing w:val="-2"/>
                <w:kern w:val="0"/>
                <w:lang w:val="zh-TW" w:eastAsia="zh-TW"/>
              </w:rPr>
              <w:t>一、急性中毒</w:t>
            </w:r>
            <w:r>
              <w:rPr>
                <w:rStyle w:val="IndexLink"/>
                <w:rFonts w:eastAsia="標楷體" w:cs="標楷體" w:ascii="標楷體" w:hAnsi="標楷體"/>
                <w:lang w:val="zh-TW" w:eastAsia="zh-TW"/>
              </w:rPr>
              <w:tab/>
              <w:t>32</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94">
            <w:r>
              <w:rPr>
                <w:rStyle w:val="IndexLink"/>
                <w:rFonts w:ascii="標楷體" w:hAnsi="標楷體" w:cs="標楷體" w:eastAsia="標楷體"/>
                <w:b/>
                <w:bCs/>
                <w:spacing w:val="-2"/>
                <w:kern w:val="0"/>
                <w:lang w:val="zh-TW" w:eastAsia="zh-TW"/>
              </w:rPr>
              <w:t>二、依賴與戒斷症狀</w:t>
            </w:r>
            <w:r>
              <w:rPr>
                <w:rStyle w:val="IndexLink"/>
                <w:rFonts w:eastAsia="標楷體" w:cs="標楷體" w:ascii="標楷體" w:hAnsi="標楷體"/>
                <w:lang w:val="zh-TW" w:eastAsia="zh-TW"/>
              </w:rPr>
              <w:tab/>
              <w:t>32</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95">
            <w:r>
              <w:rPr>
                <w:rStyle w:val="IndexLink"/>
                <w:rFonts w:ascii="標楷體" w:hAnsi="標楷體" w:cs="標楷體" w:eastAsia="標楷體"/>
                <w:b/>
                <w:bCs/>
                <w:spacing w:val="-2"/>
                <w:kern w:val="0"/>
                <w:lang w:val="zh-TW" w:eastAsia="zh-TW"/>
              </w:rPr>
              <w:t>三、共病之精神疾患</w:t>
            </w:r>
            <w:r>
              <w:rPr>
                <w:rStyle w:val="IndexLink"/>
                <w:rFonts w:eastAsia="標楷體" w:cs="標楷體" w:ascii="標楷體" w:hAnsi="標楷體"/>
                <w:lang w:val="zh-TW" w:eastAsia="zh-TW"/>
              </w:rPr>
              <w:tab/>
              <w:t>33</w:t>
            </w:r>
          </w:hyperlink>
        </w:p>
        <w:p>
          <w:pPr>
            <w:pStyle w:val="12"/>
            <w:jc w:val="left"/>
            <w:rPr>
              <w:rFonts w:ascii="標楷體" w:hAnsi="標楷體" w:eastAsia="標楷體" w:cs="標楷體"/>
              <w:sz w:val="24"/>
              <w:szCs w:val="24"/>
              <w:lang w:val="zh-TW" w:eastAsia="zh-TW"/>
            </w:rPr>
          </w:pPr>
          <w:hyperlink w:anchor="__RefHeading___Toc358384696">
            <w:r>
              <w:rPr>
                <w:rStyle w:val="IndexLink"/>
                <w:rFonts w:ascii="標楷體" w:hAnsi="標楷體" w:cs="標楷體" w:eastAsia="標楷體"/>
                <w:kern w:val="0"/>
                <w:lang w:val="zh-TW" w:eastAsia="zh-TW"/>
              </w:rPr>
              <w:t>第六節、心理社會治療</w:t>
            </w:r>
            <w:r>
              <w:rPr>
                <w:rStyle w:val="IndexLink"/>
                <w:lang w:val="zh-TW" w:eastAsia="zh-TW"/>
              </w:rPr>
              <w:tab/>
              <w:t>34</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97">
            <w:r>
              <w:rPr>
                <w:rStyle w:val="IndexLink"/>
                <w:rFonts w:ascii="標楷體" w:hAnsi="標楷體" w:cs="標楷體" w:eastAsia="標楷體"/>
                <w:b/>
                <w:bCs/>
                <w:spacing w:val="-2"/>
                <w:kern w:val="0"/>
                <w:lang w:val="zh-TW" w:eastAsia="zh-TW"/>
              </w:rPr>
              <w:t>一、物質濫用的認知模式</w:t>
            </w:r>
            <w:r>
              <w:rPr>
                <w:rStyle w:val="IndexLink"/>
                <w:rFonts w:eastAsia="標楷體" w:cs="標楷體" w:ascii="標楷體" w:hAnsi="標楷體"/>
                <w:lang w:val="zh-TW" w:eastAsia="zh-TW"/>
              </w:rPr>
              <w:tab/>
              <w:t>34</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98">
            <w:r>
              <w:rPr>
                <w:rStyle w:val="IndexLink"/>
                <w:rFonts w:ascii="標楷體" w:hAnsi="標楷體" w:cs="標楷體" w:eastAsia="標楷體"/>
                <w:b/>
                <w:bCs/>
                <w:spacing w:val="-2"/>
                <w:kern w:val="0"/>
                <w:lang w:val="zh-TW" w:eastAsia="zh-TW"/>
              </w:rPr>
              <w:t>二、動機增強治療與動機式晤談法</w:t>
            </w:r>
            <w:r>
              <w:rPr>
                <w:rStyle w:val="IndexLink"/>
                <w:rFonts w:eastAsia="標楷體" w:cs="標楷體" w:ascii="標楷體" w:hAnsi="標楷體"/>
                <w:lang w:val="zh-TW" w:eastAsia="zh-TW"/>
              </w:rPr>
              <w:tab/>
              <w:t>36</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699">
            <w:r>
              <w:rPr>
                <w:rStyle w:val="IndexLink"/>
                <w:rFonts w:ascii="標楷體" w:hAnsi="標楷體" w:cs="標楷體" w:eastAsia="標楷體"/>
                <w:b/>
                <w:bCs/>
                <w:spacing w:val="-2"/>
                <w:kern w:val="0"/>
                <w:lang w:val="zh-TW" w:eastAsia="zh-TW"/>
              </w:rPr>
              <w:t>三、復發預防模式</w:t>
            </w:r>
            <w:r>
              <w:rPr>
                <w:rStyle w:val="IndexLink"/>
                <w:rFonts w:eastAsia="標楷體" w:cs="標楷體" w:ascii="標楷體" w:hAnsi="標楷體"/>
                <w:lang w:val="zh-TW" w:eastAsia="zh-TW"/>
              </w:rPr>
              <w:tab/>
              <w:t>38</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700">
            <w:r>
              <w:rPr>
                <w:rStyle w:val="IndexLink"/>
                <w:rFonts w:ascii="標楷體" w:hAnsi="標楷體" w:cs="標楷體" w:eastAsia="標楷體"/>
                <w:b/>
                <w:bCs/>
                <w:spacing w:val="-2"/>
                <w:kern w:val="0"/>
                <w:lang w:val="zh-TW" w:eastAsia="zh-TW"/>
              </w:rPr>
              <w:t>四、</w:t>
            </w:r>
            <w:r>
              <w:rPr>
                <w:rStyle w:val="IndexLink"/>
                <w:rFonts w:ascii="標楷體" w:hAnsi="標楷體" w:cs="標楷體" w:eastAsia="標楷體"/>
                <w:b/>
                <w:bCs/>
                <w:spacing w:val="-2"/>
                <w:kern w:val="0"/>
                <w:lang w:val="zh-TW" w:eastAsia="zh-TW"/>
              </w:rPr>
              <w:t xml:space="preserve"> </w:t>
            </w:r>
            <w:r>
              <w:rPr>
                <w:rStyle w:val="IndexLink"/>
                <w:rFonts w:ascii="標楷體" w:hAnsi="標楷體" w:cs="標楷體" w:eastAsia="標楷體"/>
                <w:b/>
                <w:bCs/>
                <w:spacing w:val="-2"/>
                <w:kern w:val="0"/>
                <w:lang w:val="zh-TW" w:eastAsia="zh-TW"/>
              </w:rPr>
              <w:t>家庭治療</w:t>
            </w:r>
            <w:r>
              <w:rPr>
                <w:rStyle w:val="IndexLink"/>
                <w:rFonts w:eastAsia="標楷體" w:cs="標楷體" w:ascii="標楷體" w:hAnsi="標楷體"/>
                <w:lang w:val="zh-TW" w:eastAsia="zh-TW"/>
              </w:rPr>
              <w:tab/>
              <w:t>39</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701">
            <w:r>
              <w:rPr>
                <w:rStyle w:val="IndexLink"/>
                <w:rFonts w:ascii="標楷體" w:hAnsi="標楷體" w:cs="標楷體" w:eastAsia="標楷體"/>
                <w:b/>
                <w:bCs/>
                <w:spacing w:val="-10"/>
                <w:kern w:val="0"/>
                <w:lang w:val="zh-TW" w:eastAsia="zh-TW"/>
              </w:rPr>
              <w:t>五、短期介入與短期諮商</w:t>
            </w:r>
            <w:r>
              <w:rPr>
                <w:rStyle w:val="IndexLink"/>
                <w:rFonts w:eastAsia="標楷體" w:cs="標楷體" w:ascii="標楷體" w:hAnsi="標楷體"/>
                <w:lang w:val="zh-TW" w:eastAsia="zh-TW"/>
              </w:rPr>
              <w:tab/>
              <w:t>41</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702">
            <w:r>
              <w:rPr>
                <w:rStyle w:val="IndexLink"/>
                <w:rFonts w:ascii="標楷體" w:hAnsi="標楷體" w:cs="標楷體" w:eastAsia="標楷體"/>
                <w:b/>
                <w:bCs/>
                <w:spacing w:val="-2"/>
                <w:kern w:val="0"/>
                <w:lang w:val="zh-TW" w:eastAsia="zh-TW"/>
              </w:rPr>
              <w:t>六、長期之動力取向心理治療</w:t>
            </w:r>
            <w:r>
              <w:rPr>
                <w:rStyle w:val="IndexLink"/>
                <w:rFonts w:eastAsia="標楷體" w:cs="標楷體" w:ascii="標楷體" w:hAnsi="標楷體"/>
                <w:lang w:val="zh-TW" w:eastAsia="zh-TW"/>
              </w:rPr>
              <w:tab/>
              <w:t>43</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703">
            <w:r>
              <w:rPr>
                <w:rStyle w:val="IndexLink"/>
                <w:rFonts w:ascii="標楷體" w:hAnsi="標楷體" w:cs="標楷體" w:eastAsia="標楷體"/>
                <w:b/>
                <w:bCs/>
                <w:spacing w:val="-2"/>
                <w:kern w:val="0"/>
                <w:lang w:val="zh-TW" w:eastAsia="zh-TW"/>
              </w:rPr>
              <w:t>七、團體治療</w:t>
            </w:r>
            <w:r>
              <w:rPr>
                <w:rStyle w:val="IndexLink"/>
                <w:rFonts w:eastAsia="標楷體" w:cs="標楷體" w:ascii="標楷體" w:hAnsi="標楷體"/>
                <w:lang w:val="zh-TW" w:eastAsia="zh-TW"/>
              </w:rPr>
              <w:tab/>
              <w:t>45</w:t>
            </w:r>
          </w:hyperlink>
        </w:p>
        <w:p>
          <w:pPr>
            <w:pStyle w:val="2"/>
            <w:tabs>
              <w:tab w:val="clear" w:pos="480"/>
              <w:tab w:val="right" w:pos="6141" w:leader="dot"/>
            </w:tabs>
            <w:rPr>
              <w:rFonts w:ascii="標楷體" w:hAnsi="標楷體" w:eastAsia="標楷體" w:cs="標楷體"/>
              <w:caps w:val="false"/>
              <w:smallCaps w:val="false"/>
              <w:sz w:val="24"/>
              <w:szCs w:val="24"/>
              <w:lang w:val="zh-TW" w:eastAsia="zh-TW"/>
            </w:rPr>
          </w:pPr>
          <w:hyperlink w:anchor="__RefHeading___Toc358384704">
            <w:r>
              <w:rPr>
                <w:rStyle w:val="IndexLink"/>
                <w:rFonts w:ascii="標楷體" w:hAnsi="標楷體" w:cs="標楷體" w:eastAsia="標楷體"/>
                <w:b/>
                <w:bCs/>
                <w:spacing w:val="-2"/>
                <w:kern w:val="0"/>
                <w:lang w:val="zh-TW" w:eastAsia="zh-TW"/>
              </w:rPr>
              <w:t>八、從「減少傷害」的立場提供衛教</w:t>
            </w:r>
            <w:r>
              <w:rPr>
                <w:rStyle w:val="IndexLink"/>
                <w:rFonts w:eastAsia="標楷體" w:cs="標楷體" w:ascii="標楷體" w:hAnsi="標楷體"/>
                <w:lang w:val="zh-TW" w:eastAsia="zh-TW"/>
              </w:rPr>
              <w:tab/>
              <w:t>45</w:t>
            </w:r>
          </w:hyperlink>
        </w:p>
        <w:p>
          <w:pPr>
            <w:pStyle w:val="12"/>
            <w:jc w:val="left"/>
            <w:rPr>
              <w:rFonts w:ascii="標楷體" w:hAnsi="標楷體" w:eastAsia="標楷體" w:cs="標楷體"/>
              <w:sz w:val="24"/>
              <w:szCs w:val="24"/>
              <w:lang w:val="zh-TW" w:eastAsia="zh-TW"/>
            </w:rPr>
          </w:pPr>
          <w:hyperlink w:anchor="__RefHeading___Toc358384705">
            <w:r>
              <w:rPr>
                <w:rStyle w:val="IndexLink"/>
                <w:rFonts w:ascii="標楷體" w:hAnsi="標楷體" w:cs="標楷體" w:eastAsia="標楷體"/>
                <w:kern w:val="0"/>
                <w:lang w:val="zh-TW" w:eastAsia="zh-TW"/>
              </w:rPr>
              <w:t>參考文獻</w:t>
            </w:r>
            <w:r>
              <w:rPr>
                <w:rStyle w:val="IndexLink"/>
                <w:lang w:val="zh-TW" w:eastAsia="zh-TW"/>
              </w:rPr>
              <w:tab/>
              <w:t>48</w:t>
            </w:r>
          </w:hyperlink>
          <w:r>
            <w:rPr>
              <w:rStyle w:val="IndexLink"/>
              <w:lang w:val="zh-TW" w:eastAsia="zh-TW"/>
            </w:rPr>
            <w:fldChar w:fldCharType="end"/>
          </w:r>
        </w:p>
      </w:sdtContent>
    </w:sdt>
    <w:p>
      <w:pPr>
        <w:pStyle w:val="Normal"/>
        <w:rPr>
          <w:rFonts w:ascii="標楷體" w:hAnsi="標楷體" w:eastAsia="標楷體" w:cs="標楷體"/>
          <w:sz w:val="44"/>
          <w:szCs w:val="44"/>
          <w:lang w:val="zh-TW" w:eastAsia="zh-TW"/>
        </w:rPr>
      </w:pPr>
      <w:r>
        <w:rPr>
          <w:rFonts w:eastAsia="標楷體" w:cs="標楷體" w:ascii="標楷體" w:hAnsi="標楷體"/>
          <w:sz w:val="44"/>
          <w:szCs w:val="44"/>
          <w:lang w:val="zh-TW" w:eastAsia="zh-TW"/>
        </w:rPr>
      </w:r>
      <w:r>
        <w:br w:type="page"/>
      </w:r>
    </w:p>
    <w:p>
      <w:pPr>
        <w:pStyle w:val="1"/>
        <w:keepNext w:val="false"/>
        <w:spacing w:lineRule="auto" w:line="240" w:before="0" w:after="0"/>
        <w:jc w:val="center"/>
        <w:rPr>
          <w:rFonts w:ascii="標楷體" w:hAnsi="標楷體" w:cs="標楷體"/>
          <w:kern w:val="0"/>
          <w:sz w:val="36"/>
          <w:szCs w:val="36"/>
        </w:rPr>
      </w:pPr>
      <w:bookmarkStart w:id="0" w:name="__RefHeading___Toc358384663"/>
      <w:bookmarkEnd w:id="0"/>
      <w:r>
        <w:rPr>
          <w:rFonts w:ascii="標楷體" w:hAnsi="標楷體" w:cs="標楷體"/>
          <w:kern w:val="0"/>
          <w:sz w:val="36"/>
          <w:szCs w:val="36"/>
        </w:rPr>
        <w:t>前   言</w:t>
      </w:r>
    </w:p>
    <w:p>
      <w:pPr>
        <w:pStyle w:val="Normal"/>
        <w:snapToGrid w:val="false"/>
        <w:spacing w:lineRule="exact" w:line="480"/>
        <w:ind w:firstLine="512"/>
        <w:jc w:val="both"/>
        <w:rPr/>
      </w:pPr>
      <w:r>
        <w:rPr>
          <w:rFonts w:ascii="標楷體" w:hAnsi="標楷體" w:cs="標楷體" w:eastAsia="標楷體"/>
          <w:spacing w:val="-2"/>
          <w:kern w:val="0"/>
          <w:sz w:val="26"/>
          <w:szCs w:val="26"/>
        </w:rPr>
        <w:t>愷他命在我國目前被列為第三級管制藥品。但在非醫療用途上，愷他命被濫用的情形有日益增加的趨勢，對心理、生理及社會等各層面可能造成的危害，不容忽視。本手冊的內容分成六個主題，分別為</w:t>
      </w:r>
      <w:r>
        <w:rPr>
          <w:rFonts w:ascii="標楷體" w:hAnsi="標楷體" w:cs="標楷體" w:eastAsia="標楷體"/>
          <w:b/>
          <w:bCs/>
          <w:spacing w:val="-2"/>
          <w:kern w:val="0"/>
          <w:sz w:val="26"/>
          <w:szCs w:val="26"/>
        </w:rPr>
        <w:t>愷他命之介紹</w:t>
      </w:r>
      <w:r>
        <w:rPr>
          <w:rFonts w:ascii="標楷體" w:hAnsi="標楷體" w:cs="標楷體" w:eastAsia="標楷體"/>
          <w:b/>
          <w:spacing w:val="-2"/>
          <w:kern w:val="0"/>
          <w:sz w:val="26"/>
          <w:szCs w:val="26"/>
        </w:rPr>
        <w:t>、</w:t>
      </w:r>
      <w:r>
        <w:rPr>
          <w:rFonts w:ascii="標楷體" w:hAnsi="標楷體" w:cs="標楷體" w:eastAsia="標楷體"/>
          <w:b/>
          <w:bCs/>
          <w:spacing w:val="-2"/>
          <w:kern w:val="0"/>
          <w:sz w:val="26"/>
          <w:szCs w:val="26"/>
        </w:rPr>
        <w:t>濫用與危害</w:t>
      </w:r>
      <w:r>
        <w:rPr>
          <w:rFonts w:ascii="標楷體" w:hAnsi="標楷體" w:cs="標楷體" w:eastAsia="標楷體"/>
          <w:b/>
          <w:spacing w:val="-2"/>
          <w:kern w:val="0"/>
          <w:sz w:val="26"/>
          <w:szCs w:val="26"/>
        </w:rPr>
        <w:t>、</w:t>
      </w:r>
      <w:r>
        <w:rPr>
          <w:rFonts w:ascii="標楷體" w:hAnsi="標楷體" w:cs="標楷體" w:eastAsia="標楷體"/>
          <w:b/>
          <w:bCs/>
          <w:spacing w:val="-2"/>
          <w:kern w:val="0"/>
          <w:sz w:val="26"/>
          <w:szCs w:val="26"/>
        </w:rPr>
        <w:t>評估</w:t>
      </w:r>
      <w:r>
        <w:rPr>
          <w:rFonts w:ascii="標楷體" w:hAnsi="標楷體" w:cs="標楷體" w:eastAsia="標楷體"/>
          <w:b/>
          <w:spacing w:val="-2"/>
          <w:kern w:val="0"/>
          <w:sz w:val="26"/>
          <w:szCs w:val="26"/>
        </w:rPr>
        <w:t>、</w:t>
      </w:r>
      <w:r>
        <w:rPr>
          <w:rFonts w:ascii="標楷體" w:hAnsi="標楷體" w:cs="標楷體" w:eastAsia="標楷體"/>
          <w:b/>
          <w:bCs/>
          <w:spacing w:val="-2"/>
          <w:kern w:val="0"/>
          <w:sz w:val="26"/>
          <w:szCs w:val="26"/>
        </w:rPr>
        <w:t>急性中毒處理</w:t>
      </w:r>
      <w:r>
        <w:rPr>
          <w:rFonts w:ascii="標楷體" w:hAnsi="標楷體" w:cs="標楷體" w:eastAsia="標楷體"/>
          <w:b/>
          <w:spacing w:val="-2"/>
          <w:kern w:val="0"/>
          <w:sz w:val="26"/>
          <w:szCs w:val="26"/>
        </w:rPr>
        <w:t>、</w:t>
      </w:r>
      <w:r>
        <w:rPr>
          <w:rFonts w:ascii="標楷體" w:hAnsi="標楷體" w:cs="標楷體" w:eastAsia="標楷體"/>
          <w:b/>
          <w:bCs/>
          <w:spacing w:val="-2"/>
          <w:kern w:val="0"/>
          <w:sz w:val="26"/>
          <w:szCs w:val="26"/>
        </w:rPr>
        <w:t>藥物治療</w:t>
      </w:r>
      <w:r>
        <w:rPr>
          <w:rFonts w:ascii="標楷體" w:hAnsi="標楷體" w:cs="標楷體" w:eastAsia="標楷體"/>
          <w:b/>
          <w:spacing w:val="-2"/>
          <w:kern w:val="0"/>
          <w:sz w:val="26"/>
          <w:szCs w:val="26"/>
        </w:rPr>
        <w:t>與</w:t>
      </w:r>
      <w:r>
        <w:rPr>
          <w:rFonts w:ascii="標楷體" w:hAnsi="標楷體" w:cs="標楷體" w:eastAsia="標楷體"/>
          <w:b/>
          <w:bCs/>
          <w:spacing w:val="-2"/>
          <w:kern w:val="0"/>
          <w:sz w:val="26"/>
          <w:szCs w:val="26"/>
        </w:rPr>
        <w:t>社會心理治療</w:t>
      </w:r>
      <w:r>
        <w:rPr>
          <w:rFonts w:ascii="標楷體" w:hAnsi="標楷體" w:cs="標楷體" w:eastAsia="標楷體"/>
          <w:spacing w:val="-2"/>
          <w:kern w:val="0"/>
          <w:sz w:val="26"/>
          <w:szCs w:val="26"/>
        </w:rPr>
        <w:t>，目的在</w:t>
      </w:r>
      <w:r>
        <w:rPr>
          <w:rFonts w:ascii="標楷體" w:hAnsi="標楷體" w:cs="標楷體" w:eastAsia="標楷體"/>
          <w:sz w:val="26"/>
          <w:szCs w:val="26"/>
        </w:rPr>
        <w:t>針對愷他命濫用及成癮現象，提供臨床上評估與處置的建議，適合藥癮治療相關領域的工作人員參考。</w:t>
      </w:r>
    </w:p>
    <w:p>
      <w:pPr>
        <w:pStyle w:val="Normal"/>
        <w:snapToGrid w:val="false"/>
        <w:spacing w:lineRule="exact" w:line="480"/>
        <w:ind w:firstLine="585"/>
        <w:jc w:val="both"/>
        <w:rPr>
          <w:rFonts w:ascii="標楷體" w:hAnsi="標楷體" w:eastAsia="標楷體" w:cs="標楷體"/>
          <w:b/>
          <w:b/>
          <w:bCs/>
          <w:spacing w:val="-2"/>
          <w:kern w:val="0"/>
          <w:sz w:val="26"/>
          <w:szCs w:val="26"/>
        </w:rPr>
      </w:pPr>
      <w:r>
        <w:rPr>
          <w:rFonts w:ascii="標楷體" w:hAnsi="標楷體" w:cs="標楷體" w:eastAsia="標楷體"/>
          <w:sz w:val="26"/>
          <w:szCs w:val="26"/>
        </w:rPr>
        <w:t>本手冊是以實證醫學為基礎，匯集文獻回顧、專家建議與臨床經驗撰寫而成，然而愷他命屬於新興之濫用藥物，目前相關臨床證據仍十分缺乏，國外關於愷他命濫用的治療準則尚付之闕如；故本手冊旨在提供在一般性的治療建議，而非具有堅實證據的治療指引。臨床工作者宜時時更新相關知識，俾能於臨床工作上收最大之效益。</w:t>
      </w:r>
      <w:r>
        <w:br w:type="page"/>
      </w:r>
    </w:p>
    <w:p>
      <w:pPr>
        <w:pStyle w:val="1"/>
        <w:keepNext w:val="false"/>
        <w:spacing w:lineRule="auto" w:line="240" w:before="0" w:after="0"/>
        <w:jc w:val="center"/>
        <w:rPr/>
      </w:pPr>
      <w:bookmarkStart w:id="1" w:name="__RefHeading___Toc358384664"/>
      <w:bookmarkEnd w:id="1"/>
      <w:r>
        <w:rPr>
          <w:rFonts w:ascii="標楷體" w:hAnsi="標楷體" w:cs="標楷體"/>
          <w:kern w:val="0"/>
          <w:sz w:val="36"/>
          <w:szCs w:val="36"/>
        </w:rPr>
        <w:t>第一節、愷他命之介紹</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2" w:name="__RefHeading___Toc358384665"/>
      <w:bookmarkEnd w:id="2"/>
      <w:r>
        <w:rPr>
          <w:rFonts w:ascii="標楷體" w:hAnsi="標楷體" w:cs="標楷體" w:eastAsia="標楷體"/>
          <w:b/>
          <w:bCs/>
          <w:spacing w:val="-2"/>
          <w:kern w:val="0"/>
          <w:sz w:val="32"/>
          <w:szCs w:val="32"/>
        </w:rPr>
        <w:t>一、化學性質</w:t>
      </w:r>
    </w:p>
    <w:p>
      <w:pPr>
        <w:pStyle w:val="Normal"/>
        <w:autoSpaceDE w:val="false"/>
        <w:snapToGrid w:val="false"/>
        <w:spacing w:lineRule="exact" w:line="480"/>
        <w:ind w:firstLine="512"/>
        <w:jc w:val="both"/>
        <w:rPr/>
      </w:pPr>
      <w:r>
        <w:rPr>
          <w:rFonts w:ascii="標楷體" w:hAnsi="標楷體" w:cs="標楷體" w:eastAsia="標楷體"/>
          <w:spacing w:val="-2"/>
          <w:kern w:val="0"/>
          <w:sz w:val="26"/>
          <w:szCs w:val="26"/>
        </w:rPr>
        <w:t>愷他命或稱氯胺酮（</w:t>
      </w:r>
      <w:r>
        <w:rPr>
          <w:rFonts w:eastAsia="標楷體" w:cs="標楷體" w:ascii="標楷體" w:hAnsi="標楷體"/>
          <w:spacing w:val="-2"/>
          <w:kern w:val="0"/>
          <w:sz w:val="26"/>
          <w:szCs w:val="26"/>
        </w:rPr>
        <w:t>ketamine</w:t>
      </w:r>
      <w:r>
        <w:rPr>
          <w:rFonts w:ascii="標楷體" w:hAnsi="標楷體" w:cs="標楷體" w:eastAsia="標楷體"/>
          <w:spacing w:val="-2"/>
          <w:kern w:val="0"/>
          <w:sz w:val="26"/>
          <w:szCs w:val="26"/>
        </w:rPr>
        <w:t>），日常所見的愷他命的主要成份是鹽酸愷他命，為</w:t>
      </w:r>
      <w:r>
        <w:rPr>
          <w:rFonts w:eastAsia="標楷體" w:cs="標楷體" w:ascii="標楷體" w:hAnsi="標楷體"/>
          <w:spacing w:val="-2"/>
          <w:kern w:val="0"/>
          <w:sz w:val="26"/>
          <w:szCs w:val="26"/>
        </w:rPr>
        <w:t>C13H16ClNO</w:t>
      </w:r>
      <w:r>
        <w:rPr>
          <w:rFonts w:ascii="標楷體" w:hAnsi="標楷體" w:cs="標楷體" w:eastAsia="標楷體"/>
          <w:spacing w:val="-2"/>
          <w:kern w:val="0"/>
          <w:sz w:val="26"/>
          <w:szCs w:val="26"/>
        </w:rPr>
        <w:t>・</w:t>
      </w:r>
      <w:r>
        <w:rPr>
          <w:rFonts w:eastAsia="標楷體" w:cs="標楷體" w:ascii="標楷體" w:hAnsi="標楷體"/>
          <w:spacing w:val="-2"/>
          <w:kern w:val="0"/>
          <w:sz w:val="26"/>
          <w:szCs w:val="26"/>
        </w:rPr>
        <w:t>HCl</w:t>
      </w:r>
      <w:r>
        <w:rPr>
          <w:rFonts w:ascii="標楷體" w:hAnsi="標楷體" w:cs="標楷體" w:eastAsia="標楷體"/>
          <w:spacing w:val="-2"/>
          <w:kern w:val="0"/>
          <w:sz w:val="26"/>
          <w:szCs w:val="26"/>
        </w:rPr>
        <w:t>，分子量是</w:t>
      </w:r>
      <w:r>
        <w:rPr>
          <w:rFonts w:eastAsia="標楷體" w:cs="標楷體" w:ascii="標楷體" w:hAnsi="標楷體"/>
          <w:spacing w:val="-2"/>
          <w:kern w:val="0"/>
          <w:sz w:val="26"/>
          <w:szCs w:val="26"/>
        </w:rPr>
        <w:t xml:space="preserve">274.19. </w:t>
      </w:r>
      <w:r>
        <w:rPr>
          <w:rFonts w:ascii="標楷體" w:hAnsi="標楷體" w:cs="標楷體" w:eastAsia="標楷體"/>
          <w:spacing w:val="-2"/>
          <w:kern w:val="0"/>
          <w:sz w:val="26"/>
          <w:szCs w:val="26"/>
        </w:rPr>
        <w:t>熔點為</w:t>
      </w:r>
      <w:r>
        <w:rPr>
          <w:rFonts w:eastAsia="標楷體" w:cs="標楷體" w:ascii="標楷體" w:hAnsi="標楷體"/>
          <w:spacing w:val="-2"/>
          <w:kern w:val="0"/>
          <w:sz w:val="26"/>
          <w:szCs w:val="26"/>
        </w:rPr>
        <w:t>262-263</w:t>
      </w:r>
      <w:r>
        <w:rPr>
          <w:rFonts w:ascii="標楷體" w:hAnsi="標楷體" w:cs="標楷體" w:eastAsia="標楷體"/>
          <w:spacing w:val="-2"/>
          <w:kern w:val="0"/>
          <w:sz w:val="26"/>
          <w:szCs w:val="26"/>
        </w:rPr>
        <w:t>度。結構式類似</w:t>
      </w:r>
      <w:r>
        <w:rPr>
          <w:rFonts w:ascii="標楷體" w:hAnsi="標楷體" w:cs="標楷體" w:eastAsia="標楷體"/>
          <w:spacing w:val="-2"/>
          <w:kern w:val="0"/>
          <w:sz w:val="26"/>
          <w:szCs w:val="26"/>
        </w:rPr>
        <w:t xml:space="preserve"> </w:t>
      </w:r>
      <w:r>
        <w:rPr>
          <w:rFonts w:eastAsia="標楷體" w:cs="標楷體" w:ascii="標楷體" w:hAnsi="標楷體"/>
          <w:spacing w:val="-2"/>
          <w:kern w:val="0"/>
          <w:sz w:val="26"/>
          <w:szCs w:val="26"/>
        </w:rPr>
        <w:t>phencyclidine(PCP)</w:t>
      </w:r>
      <w:r>
        <w:rPr>
          <w:rFonts w:ascii="標楷體" w:hAnsi="標楷體" w:cs="標楷體" w:eastAsia="標楷體"/>
          <w:spacing w:val="-2"/>
          <w:kern w:val="0"/>
          <w:sz w:val="26"/>
          <w:szCs w:val="26"/>
        </w:rPr>
        <w:t>。基本型態為</w:t>
      </w:r>
      <w:r>
        <w:rPr>
          <w:rFonts w:eastAsia="標楷體" w:cs="標楷體" w:ascii="標楷體" w:hAnsi="標楷體"/>
          <w:spacing w:val="-2"/>
          <w:kern w:val="0"/>
          <w:sz w:val="26"/>
          <w:szCs w:val="26"/>
        </w:rPr>
        <w:t>C13H17Cl2NO  2-(2-chlorophenyl)-2-(methylamino)-cyclohexanone</w:t>
      </w:r>
      <w:r>
        <w:rPr>
          <w:rFonts w:ascii="標楷體" w:hAnsi="標楷體" w:cs="標楷體" w:eastAsia="標楷體"/>
          <w:spacing w:val="-2"/>
          <w:kern w:val="0"/>
          <w:sz w:val="26"/>
          <w:szCs w:val="26"/>
        </w:rPr>
        <w:t>，分子量是</w:t>
      </w:r>
      <w:r>
        <w:rPr>
          <w:rFonts w:eastAsia="標楷體" w:cs="標楷體" w:ascii="標楷體" w:hAnsi="標楷體"/>
          <w:spacing w:val="-2"/>
          <w:kern w:val="0"/>
          <w:sz w:val="26"/>
          <w:szCs w:val="26"/>
        </w:rPr>
        <w:t>237.73</w:t>
      </w:r>
      <w:r>
        <w:rPr>
          <w:rFonts w:ascii="標楷體" w:hAnsi="標楷體" w:cs="標楷體" w:eastAsia="標楷體"/>
          <w:spacing w:val="-2"/>
          <w:kern w:val="0"/>
          <w:sz w:val="26"/>
          <w:szCs w:val="26"/>
        </w:rPr>
        <w:t>。鹽酸愷他命在常溫常壓之下呈白色結晶固體，</w:t>
      </w:r>
      <w:r>
        <w:rPr>
          <w:rFonts w:eastAsia="標楷體" w:cs="標楷體" w:ascii="標楷體" w:hAnsi="標楷體"/>
          <w:spacing w:val="-2"/>
          <w:kern w:val="0"/>
          <w:sz w:val="26"/>
          <w:szCs w:val="26"/>
        </w:rPr>
        <w:t>pKa</w:t>
      </w:r>
      <w:r>
        <w:rPr>
          <w:rFonts w:ascii="標楷體" w:hAnsi="標楷體" w:cs="標楷體" w:eastAsia="標楷體"/>
          <w:spacing w:val="-2"/>
          <w:kern w:val="0"/>
          <w:sz w:val="26"/>
          <w:szCs w:val="26"/>
        </w:rPr>
        <w:t>為</w:t>
      </w:r>
      <w:r>
        <w:rPr>
          <w:rFonts w:eastAsia="標楷體" w:cs="標楷體" w:ascii="標楷體" w:hAnsi="標楷體"/>
          <w:spacing w:val="-2"/>
          <w:kern w:val="0"/>
          <w:sz w:val="26"/>
          <w:szCs w:val="26"/>
        </w:rPr>
        <w:t xml:space="preserve">7.5. </w:t>
      </w:r>
      <w:r>
        <w:rPr>
          <w:rFonts w:ascii="標楷體" w:hAnsi="標楷體" w:cs="標楷體" w:eastAsia="標楷體"/>
          <w:spacing w:val="-2"/>
          <w:kern w:val="0"/>
          <w:sz w:val="26"/>
          <w:szCs w:val="26"/>
        </w:rPr>
        <w:t>脂溶性是是</w:t>
      </w:r>
      <w:r>
        <w:rPr>
          <w:rFonts w:eastAsia="標楷體" w:cs="標楷體" w:ascii="標楷體" w:hAnsi="標楷體"/>
          <w:spacing w:val="-2"/>
          <w:kern w:val="0"/>
          <w:sz w:val="26"/>
          <w:szCs w:val="26"/>
        </w:rPr>
        <w:t>thiopentone</w:t>
      </w:r>
      <w:r>
        <w:rPr>
          <w:rFonts w:ascii="標楷體" w:hAnsi="標楷體" w:cs="標楷體" w:eastAsia="標楷體"/>
          <w:spacing w:val="-2"/>
          <w:kern w:val="0"/>
          <w:sz w:val="26"/>
          <w:szCs w:val="26"/>
        </w:rPr>
        <w:t>的十倍。熔點為</w:t>
      </w:r>
      <w:r>
        <w:rPr>
          <w:rFonts w:eastAsia="標楷體" w:cs="標楷體" w:ascii="標楷體" w:hAnsi="標楷體"/>
          <w:spacing w:val="-2"/>
          <w:kern w:val="0"/>
          <w:sz w:val="26"/>
          <w:szCs w:val="26"/>
        </w:rPr>
        <w:t>92-93</w:t>
      </w:r>
      <w:r>
        <w:rPr>
          <w:rFonts w:ascii="標楷體" w:hAnsi="標楷體" w:cs="標楷體" w:eastAsia="標楷體"/>
          <w:spacing w:val="-2"/>
          <w:kern w:val="0"/>
          <w:sz w:val="26"/>
          <w:szCs w:val="26"/>
        </w:rPr>
        <w:t>度、不燃性。</w:t>
      </w:r>
      <w:r>
        <w:rPr>
          <w:rFonts w:eastAsia="標楷體" w:cs="標楷體" w:ascii="標楷體" w:hAnsi="標楷體"/>
          <w:spacing w:val="-2"/>
          <w:kern w:val="0"/>
          <w:sz w:val="26"/>
          <w:szCs w:val="26"/>
        </w:rPr>
        <w:t>pH</w:t>
      </w:r>
      <w:r>
        <w:rPr>
          <w:rFonts w:ascii="標楷體" w:hAnsi="標楷體" w:cs="標楷體" w:eastAsia="標楷體"/>
          <w:spacing w:val="-2"/>
          <w:kern w:val="0"/>
          <w:sz w:val="26"/>
          <w:szCs w:val="26"/>
        </w:rPr>
        <w:t>值</w:t>
      </w:r>
      <w:r>
        <w:rPr>
          <w:rFonts w:eastAsia="標楷體" w:cs="標楷體" w:ascii="標楷體" w:hAnsi="標楷體"/>
          <w:spacing w:val="-2"/>
          <w:kern w:val="0"/>
          <w:sz w:val="26"/>
          <w:szCs w:val="26"/>
        </w:rPr>
        <w:t>3.5</w:t>
      </w:r>
      <w:r>
        <w:rPr>
          <w:rFonts w:ascii="標楷體" w:hAnsi="標楷體" w:cs="標楷體" w:eastAsia="標楷體"/>
          <w:spacing w:val="-2"/>
          <w:kern w:val="0"/>
          <w:sz w:val="26"/>
          <w:szCs w:val="26"/>
        </w:rPr>
        <w:t>～</w:t>
      </w:r>
      <w:r>
        <w:rPr>
          <w:rFonts w:eastAsia="標楷體" w:cs="標楷體" w:ascii="標楷體" w:hAnsi="標楷體"/>
          <w:spacing w:val="-2"/>
          <w:kern w:val="0"/>
          <w:sz w:val="26"/>
          <w:szCs w:val="26"/>
        </w:rPr>
        <w:t>5.5</w:t>
      </w:r>
      <w:r>
        <w:rPr>
          <w:rFonts w:ascii="標楷體" w:hAnsi="標楷體" w:cs="標楷體" w:eastAsia="標楷體"/>
          <w:spacing w:val="-2"/>
          <w:kern w:val="0"/>
          <w:sz w:val="26"/>
          <w:szCs w:val="26"/>
        </w:rPr>
        <w:t>，水溶液呈酸性。市場上可以取得的注射用藥物愷他命的主要成分是鹽酸愷他命之消旋混合物的溶液。</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3" w:name="__RefHeading___Toc358384666"/>
      <w:bookmarkEnd w:id="3"/>
      <w:r>
        <w:rPr>
          <w:rFonts w:ascii="標楷體" w:hAnsi="標楷體" w:cs="標楷體" w:eastAsia="標楷體"/>
          <w:b/>
          <w:bCs/>
          <w:spacing w:val="-2"/>
          <w:kern w:val="0"/>
          <w:sz w:val="32"/>
          <w:szCs w:val="32"/>
        </w:rPr>
        <w:t>二、藥理作用</w:t>
      </w:r>
    </w:p>
    <w:p>
      <w:pPr>
        <w:pStyle w:val="Normal"/>
        <w:autoSpaceDE w:val="false"/>
        <w:snapToGrid w:val="false"/>
        <w:spacing w:lineRule="exact" w:line="480" w:before="360" w:after="180"/>
        <w:ind w:left="240" w:hanging="0"/>
        <w:jc w:val="both"/>
        <w:rPr>
          <w:rFonts w:ascii="標楷體" w:hAnsi="標楷體" w:eastAsia="標楷體" w:cs="標楷體"/>
          <w:b/>
          <w:b/>
          <w:spacing w:val="-2"/>
          <w:kern w:val="0"/>
          <w:sz w:val="28"/>
          <w:szCs w:val="28"/>
          <w:u w:val="single"/>
        </w:rPr>
      </w:pPr>
      <w:r>
        <w:rPr>
          <w:rFonts w:ascii="標楷體" w:hAnsi="標楷體" w:cs="標楷體" w:eastAsia="標楷體"/>
          <w:b/>
          <w:spacing w:val="-2"/>
          <w:kern w:val="0"/>
          <w:sz w:val="28"/>
          <w:szCs w:val="28"/>
          <w:u w:val="single"/>
        </w:rPr>
        <w:t>對中樞神經系統的作用</w:t>
      </w:r>
    </w:p>
    <w:p>
      <w:pPr>
        <w:pStyle w:val="Normal"/>
        <w:kinsoku w:val="false"/>
        <w:autoSpaceDE w:val="false"/>
        <w:snapToGrid w:val="false"/>
        <w:spacing w:lineRule="exact" w:line="480"/>
        <w:ind w:left="480" w:firstLine="512"/>
        <w:jc w:val="both"/>
        <w:rPr>
          <w:rFonts w:ascii="標楷體" w:hAnsi="標楷體" w:eastAsia="標楷體" w:cs="標楷體"/>
          <w:spacing w:val="-2"/>
          <w:kern w:val="0"/>
          <w:sz w:val="26"/>
          <w:szCs w:val="26"/>
        </w:rPr>
      </w:pPr>
      <w:r>
        <w:rPr>
          <w:rFonts w:ascii="標楷體" w:hAnsi="標楷體" w:cs="標楷體" w:eastAsia="標楷體"/>
          <w:spacing w:val="-2"/>
          <w:kern w:val="0"/>
          <w:sz w:val="26"/>
          <w:szCs w:val="26"/>
        </w:rPr>
        <w:t>藥理作用主要是解離性麻醉作用。在物質濫用的分類上則屬於中樞神經抑制劑。愷他命結合到</w:t>
      </w:r>
      <w:r>
        <w:rPr>
          <w:rFonts w:eastAsia="標楷體" w:cs="標楷體" w:ascii="標楷體" w:hAnsi="標楷體"/>
          <w:spacing w:val="-2"/>
          <w:kern w:val="0"/>
          <w:sz w:val="26"/>
          <w:szCs w:val="26"/>
        </w:rPr>
        <w:t>N-methyl-D-aspartate (NMDA)</w:t>
      </w:r>
      <w:r>
        <w:rPr>
          <w:rFonts w:ascii="標楷體" w:hAnsi="標楷體" w:cs="標楷體" w:eastAsia="標楷體"/>
          <w:spacing w:val="-2"/>
          <w:kern w:val="0"/>
          <w:sz w:val="26"/>
          <w:szCs w:val="26"/>
        </w:rPr>
        <w:t>受器的</w:t>
      </w:r>
      <w:r>
        <w:rPr>
          <w:rFonts w:eastAsia="標楷體" w:cs="標楷體" w:ascii="標楷體" w:hAnsi="標楷體"/>
          <w:spacing w:val="-2"/>
          <w:kern w:val="0"/>
          <w:sz w:val="26"/>
          <w:szCs w:val="26"/>
        </w:rPr>
        <w:t>PCP</w:t>
      </w:r>
      <w:r>
        <w:rPr>
          <w:rFonts w:ascii="標楷體" w:hAnsi="標楷體" w:cs="標楷體" w:eastAsia="標楷體"/>
          <w:spacing w:val="-2"/>
          <w:kern w:val="0"/>
          <w:sz w:val="26"/>
          <w:szCs w:val="26"/>
        </w:rPr>
        <w:t>結合位置，可以在離子通道阻斷離子進入細胞膜。因此愷他命是</w:t>
      </w:r>
      <w:r>
        <w:rPr>
          <w:rFonts w:eastAsia="標楷體" w:cs="標楷體" w:ascii="標楷體" w:hAnsi="標楷體"/>
          <w:spacing w:val="-2"/>
          <w:kern w:val="0"/>
          <w:sz w:val="26"/>
          <w:szCs w:val="26"/>
        </w:rPr>
        <w:t>NMDA</w:t>
      </w:r>
      <w:r>
        <w:rPr>
          <w:rFonts w:ascii="標楷體" w:hAnsi="標楷體" w:cs="標楷體" w:eastAsia="標楷體"/>
          <w:spacing w:val="-2"/>
          <w:kern w:val="0"/>
          <w:sz w:val="26"/>
          <w:szCs w:val="26"/>
        </w:rPr>
        <w:t>受器的非競爭性拮抗劑。</w:t>
      </w:r>
      <w:r>
        <w:rPr>
          <w:rFonts w:eastAsia="標楷體" w:cs="標楷體" w:ascii="標楷體" w:hAnsi="標楷體"/>
          <w:spacing w:val="-2"/>
          <w:kern w:val="0"/>
          <w:sz w:val="26"/>
          <w:szCs w:val="26"/>
        </w:rPr>
        <w:t>NMDA</w:t>
      </w:r>
      <w:r>
        <w:rPr>
          <w:rFonts w:ascii="標楷體" w:hAnsi="標楷體" w:cs="標楷體" w:eastAsia="標楷體"/>
          <w:spacing w:val="-2"/>
          <w:kern w:val="0"/>
          <w:sz w:val="26"/>
          <w:szCs w:val="26"/>
        </w:rPr>
        <w:t>受器的作用劑則是興奮性的胺基酸麩氨酸</w:t>
      </w:r>
      <w:r>
        <w:rPr>
          <w:rFonts w:eastAsia="標楷體" w:cs="標楷體" w:ascii="標楷體" w:hAnsi="標楷體"/>
          <w:spacing w:val="-2"/>
          <w:kern w:val="0"/>
          <w:sz w:val="26"/>
          <w:szCs w:val="26"/>
        </w:rPr>
        <w:t>(glutamic acid)</w:t>
      </w:r>
      <w:r>
        <w:rPr>
          <w:rFonts w:ascii="標楷體" w:hAnsi="標楷體" w:cs="標楷體" w:eastAsia="標楷體"/>
          <w:spacing w:val="-2"/>
          <w:kern w:val="0"/>
          <w:sz w:val="26"/>
          <w:szCs w:val="26"/>
        </w:rPr>
        <w:t>、天門冬氨酸</w:t>
      </w:r>
      <w:r>
        <w:rPr>
          <w:rFonts w:eastAsia="標楷體" w:cs="標楷體" w:ascii="標楷體" w:hAnsi="標楷體"/>
          <w:spacing w:val="-2"/>
          <w:kern w:val="0"/>
          <w:sz w:val="26"/>
          <w:szCs w:val="26"/>
        </w:rPr>
        <w:t>(aspartic acid)</w:t>
      </w:r>
      <w:r>
        <w:rPr>
          <w:rFonts w:ascii="標楷體" w:hAnsi="標楷體" w:cs="標楷體" w:eastAsia="標楷體"/>
          <w:spacing w:val="-2"/>
          <w:kern w:val="0"/>
          <w:sz w:val="26"/>
          <w:szCs w:val="26"/>
        </w:rPr>
        <w:t>與甘胺酸（</w:t>
      </w:r>
      <w:r>
        <w:rPr>
          <w:rFonts w:eastAsia="標楷體" w:cs="標楷體" w:ascii="標楷體" w:hAnsi="標楷體"/>
          <w:spacing w:val="-2"/>
          <w:kern w:val="0"/>
          <w:sz w:val="26"/>
          <w:szCs w:val="26"/>
        </w:rPr>
        <w:t>glycine</w:t>
      </w:r>
      <w:r>
        <w:rPr>
          <w:rFonts w:ascii="標楷體" w:hAnsi="標楷體" w:cs="標楷體" w:eastAsia="標楷體"/>
          <w:spacing w:val="-2"/>
          <w:kern w:val="0"/>
          <w:sz w:val="26"/>
          <w:szCs w:val="26"/>
        </w:rPr>
        <w:t>）。</w:t>
      </w:r>
      <w:r>
        <w:rPr>
          <w:rFonts w:eastAsia="標楷體" w:cs="標楷體" w:ascii="標楷體" w:hAnsi="標楷體"/>
          <w:spacing w:val="-2"/>
          <w:kern w:val="0"/>
          <w:sz w:val="26"/>
          <w:szCs w:val="26"/>
        </w:rPr>
        <w:t>NMDA</w:t>
      </w:r>
      <w:r>
        <w:rPr>
          <w:rFonts w:ascii="標楷體" w:hAnsi="標楷體" w:cs="標楷體" w:eastAsia="標楷體"/>
          <w:spacing w:val="-2"/>
          <w:kern w:val="0"/>
          <w:sz w:val="26"/>
          <w:szCs w:val="26"/>
        </w:rPr>
        <w:t>受器與脊椎、視丘與腦皮質的感覺輸入有關。愷他命因此預期會阻斷或干擾中樞神經系統的感覺輸入，相關的情緒反應、記憶與學習也有關係。</w:t>
      </w:r>
    </w:p>
    <w:p>
      <w:pPr>
        <w:pStyle w:val="Normal"/>
        <w:autoSpaceDE w:val="false"/>
        <w:snapToGrid w:val="false"/>
        <w:spacing w:lineRule="exact" w:line="480"/>
        <w:ind w:left="480" w:firstLine="512"/>
        <w:jc w:val="both"/>
        <w:rPr>
          <w:rFonts w:ascii="標楷體" w:hAnsi="標楷體" w:eastAsia="標楷體" w:cs="標楷體"/>
          <w:spacing w:val="-4"/>
          <w:kern w:val="0"/>
          <w:sz w:val="26"/>
          <w:szCs w:val="26"/>
        </w:rPr>
      </w:pPr>
      <w:r>
        <w:rPr>
          <w:rFonts w:ascii="標楷體" w:hAnsi="標楷體" w:cs="標楷體" w:eastAsia="標楷體"/>
          <w:spacing w:val="-2"/>
          <w:kern w:val="0"/>
          <w:sz w:val="26"/>
          <w:szCs w:val="26"/>
        </w:rPr>
        <w:t>此外，透過競爭性與非競爭性的</w:t>
      </w:r>
      <w:r>
        <w:rPr>
          <w:rFonts w:eastAsia="標楷體" w:cs="標楷體" w:ascii="標楷體" w:hAnsi="標楷體"/>
          <w:spacing w:val="-2"/>
          <w:kern w:val="0"/>
          <w:sz w:val="26"/>
          <w:szCs w:val="26"/>
        </w:rPr>
        <w:t>NMDA</w:t>
      </w:r>
      <w:r>
        <w:rPr>
          <w:rFonts w:ascii="標楷體" w:hAnsi="標楷體" w:cs="標楷體" w:eastAsia="標楷體"/>
          <w:spacing w:val="-2"/>
          <w:kern w:val="0"/>
          <w:sz w:val="26"/>
          <w:szCs w:val="26"/>
        </w:rPr>
        <w:t>受體拮抗作用，</w:t>
      </w:r>
      <w:r>
        <w:rPr>
          <w:rFonts w:eastAsia="標楷體" w:cs="標楷體" w:ascii="標楷體" w:hAnsi="標楷體"/>
          <w:spacing w:val="-2"/>
          <w:kern w:val="0"/>
          <w:sz w:val="26"/>
          <w:szCs w:val="26"/>
        </w:rPr>
        <w:t>NMDA</w:t>
      </w:r>
      <w:r>
        <w:rPr>
          <w:rFonts w:ascii="標楷體" w:hAnsi="標楷體" w:cs="標楷體" w:eastAsia="標楷體"/>
          <w:spacing w:val="-2"/>
          <w:kern w:val="0"/>
          <w:sz w:val="26"/>
          <w:szCs w:val="26"/>
        </w:rPr>
        <w:t>受體拮抗劑可以避免老鼠嗎啡依賴，且避免產生生理依賴。且愷他命在依核（</w:t>
      </w:r>
      <w:r>
        <w:rPr>
          <w:rFonts w:eastAsia="標楷體" w:cs="標楷體" w:ascii="標楷體" w:hAnsi="標楷體"/>
          <w:spacing w:val="-2"/>
          <w:kern w:val="0"/>
          <w:sz w:val="26"/>
          <w:szCs w:val="26"/>
        </w:rPr>
        <w:t>nucleus accumbens</w:t>
      </w:r>
      <w:r>
        <w:rPr>
          <w:rFonts w:ascii="標楷體" w:hAnsi="標楷體" w:cs="標楷體" w:eastAsia="標楷體"/>
          <w:spacing w:val="-2"/>
          <w:kern w:val="0"/>
          <w:sz w:val="26"/>
          <w:szCs w:val="26"/>
        </w:rPr>
        <w:t>）的作用可以壓抑嗎啡戒斷症狀，而不會影響運動功能。有些愷他命的作用可能會影響</w:t>
      </w:r>
      <w:bookmarkStart w:id="4" w:name="OLE_LINK2"/>
      <w:bookmarkStart w:id="5" w:name="OLE_LINK1"/>
      <w:r>
        <w:rPr>
          <w:rFonts w:ascii="標楷體" w:hAnsi="標楷體" w:cs="Arial" w:eastAsia="標楷體"/>
          <w:sz w:val="26"/>
          <w:szCs w:val="26"/>
        </w:rPr>
        <w:t>兒茶酚胺激素</w:t>
      </w:r>
      <w:bookmarkEnd w:id="4"/>
      <w:bookmarkEnd w:id="5"/>
      <w:r>
        <w:rPr>
          <w:rFonts w:eastAsia="標楷體" w:cs="Arial" w:ascii="標楷體" w:hAnsi="標楷體"/>
          <w:sz w:val="26"/>
          <w:szCs w:val="26"/>
        </w:rPr>
        <w:t>(</w:t>
      </w:r>
      <w:r>
        <w:rPr>
          <w:rFonts w:eastAsia="標楷體" w:cs="標楷體" w:ascii="標楷體" w:hAnsi="標楷體"/>
          <w:sz w:val="26"/>
          <w:szCs w:val="26"/>
        </w:rPr>
        <w:t>c</w:t>
      </w:r>
      <w:r>
        <w:rPr>
          <w:rFonts w:eastAsia="標楷體" w:cs="標楷體" w:ascii="標楷體" w:hAnsi="標楷體"/>
          <w:sz w:val="26"/>
          <w:szCs w:val="26"/>
        </w:rPr>
        <w:t>atecholamine</w:t>
      </w:r>
      <w:r>
        <w:rPr>
          <w:rFonts w:eastAsia="標楷體" w:cs="Arial" w:ascii="標楷體" w:hAnsi="標楷體"/>
          <w:sz w:val="26"/>
          <w:szCs w:val="26"/>
        </w:rPr>
        <w:t>)</w:t>
      </w:r>
      <w:r>
        <w:rPr>
          <w:rFonts w:ascii="標楷體" w:hAnsi="標楷體" w:cs="Arial" w:eastAsia="標楷體"/>
          <w:sz w:val="26"/>
          <w:szCs w:val="26"/>
        </w:rPr>
        <w:t>系統，特別是促進多巴胺（</w:t>
      </w:r>
      <w:r>
        <w:rPr>
          <w:rFonts w:eastAsia="標楷體" w:cs="Arial" w:ascii="標楷體" w:hAnsi="標楷體"/>
          <w:sz w:val="26"/>
          <w:szCs w:val="26"/>
        </w:rPr>
        <w:t>dopamine</w:t>
      </w:r>
      <w:r>
        <w:rPr>
          <w:rFonts w:ascii="標楷體" w:hAnsi="標楷體" w:cs="Arial" w:eastAsia="標楷體"/>
          <w:sz w:val="26"/>
          <w:szCs w:val="26"/>
        </w:rPr>
        <w:t>）活性。</w:t>
      </w:r>
      <w:r>
        <w:rPr>
          <w:rFonts w:ascii="標楷體" w:hAnsi="標楷體" w:cs="標楷體" w:eastAsia="標楷體"/>
          <w:spacing w:val="-2"/>
          <w:kern w:val="0"/>
          <w:sz w:val="26"/>
          <w:szCs w:val="26"/>
        </w:rPr>
        <w:t>此作用可能導致愷他命的溢樂、成癮與精神症狀之產生。此外，愷他命透過</w:t>
      </w:r>
      <w:r>
        <w:rPr>
          <w:rFonts w:eastAsia="標楷體" w:cs="標楷體" w:ascii="標楷體" w:hAnsi="標楷體"/>
          <w:spacing w:val="-4"/>
          <w:kern w:val="0"/>
          <w:sz w:val="26"/>
          <w:szCs w:val="26"/>
        </w:rPr>
        <w:t>α- and β-adrenergic receptors</w:t>
      </w:r>
      <w:r>
        <w:rPr>
          <w:rFonts w:ascii="標楷體" w:hAnsi="標楷體" w:cs="標楷體" w:eastAsia="標楷體"/>
          <w:spacing w:val="-4"/>
          <w:kern w:val="0"/>
          <w:sz w:val="26"/>
          <w:szCs w:val="26"/>
        </w:rPr>
        <w:t>受體的作用劑作用，可以產生對中樞神經的</w:t>
      </w:r>
      <w:r>
        <w:rPr>
          <w:rFonts w:ascii="標楷體" w:hAnsi="標楷體" w:cs="標楷體" w:eastAsia="標楷體"/>
          <w:spacing w:val="-4"/>
          <w:kern w:val="0"/>
          <w:sz w:val="26"/>
          <w:szCs w:val="26"/>
        </w:rPr>
        <w:t xml:space="preserve"> </w:t>
      </w:r>
      <w:r>
        <w:rPr>
          <w:rFonts w:eastAsia="標楷體" w:cs="標楷體" w:ascii="標楷體" w:hAnsi="標楷體"/>
          <w:spacing w:val="-4"/>
          <w:kern w:val="0"/>
          <w:sz w:val="26"/>
          <w:szCs w:val="26"/>
        </w:rPr>
        <w:t>muscarinic</w:t>
      </w:r>
      <w:r>
        <w:rPr>
          <w:rFonts w:ascii="標楷體" w:hAnsi="標楷體" w:cs="標楷體" w:eastAsia="標楷體"/>
          <w:spacing w:val="-4"/>
          <w:kern w:val="0"/>
          <w:sz w:val="26"/>
          <w:szCs w:val="26"/>
        </w:rPr>
        <w:t>受器的拮抗作用與</w:t>
      </w:r>
      <w:r>
        <w:rPr>
          <w:rFonts w:eastAsia="標楷體" w:cs="標楷體" w:ascii="標楷體" w:hAnsi="標楷體"/>
          <w:spacing w:val="-4"/>
          <w:kern w:val="0"/>
          <w:sz w:val="26"/>
          <w:szCs w:val="26"/>
        </w:rPr>
        <w:t>σ-</w:t>
      </w:r>
      <w:r>
        <w:rPr>
          <w:rFonts w:ascii="標楷體" w:hAnsi="標楷體" w:cs="標楷體" w:eastAsia="標楷體"/>
          <w:spacing w:val="-4"/>
          <w:kern w:val="0"/>
          <w:sz w:val="26"/>
          <w:szCs w:val="26"/>
        </w:rPr>
        <w:t>受器的作用劑作用。</w:t>
      </w:r>
    </w:p>
    <w:p>
      <w:pPr>
        <w:pStyle w:val="Normal"/>
        <w:autoSpaceDE w:val="false"/>
        <w:snapToGrid w:val="false"/>
        <w:spacing w:lineRule="exact" w:line="480"/>
        <w:ind w:left="480" w:firstLine="512"/>
        <w:jc w:val="both"/>
        <w:rPr>
          <w:rFonts w:ascii="標楷體" w:hAnsi="標楷體" w:eastAsia="標楷體" w:cs="標楷體"/>
          <w:spacing w:val="-2"/>
          <w:kern w:val="0"/>
          <w:sz w:val="26"/>
          <w:szCs w:val="26"/>
        </w:rPr>
      </w:pPr>
      <w:r>
        <w:rPr>
          <w:rFonts w:ascii="標楷體" w:hAnsi="標楷體" w:cs="標楷體" w:eastAsia="標楷體"/>
          <w:spacing w:val="-2"/>
          <w:kern w:val="0"/>
          <w:sz w:val="26"/>
          <w:szCs w:val="26"/>
        </w:rPr>
        <w:t>愷他命的主要代謝物，去甲基愷他命（</w:t>
      </w:r>
      <w:r>
        <w:rPr>
          <w:rFonts w:eastAsia="標楷體" w:cs="標楷體" w:ascii="標楷體" w:hAnsi="標楷體"/>
          <w:spacing w:val="-4"/>
          <w:kern w:val="0"/>
          <w:sz w:val="26"/>
          <w:szCs w:val="26"/>
        </w:rPr>
        <w:t>norketamine</w:t>
      </w:r>
      <w:r>
        <w:rPr>
          <w:rFonts w:ascii="標楷體" w:hAnsi="標楷體" w:cs="標楷體" w:eastAsia="標楷體"/>
          <w:spacing w:val="-4"/>
          <w:kern w:val="0"/>
          <w:sz w:val="26"/>
          <w:szCs w:val="26"/>
        </w:rPr>
        <w:t>）仍有藥理活性。大約是愷他命的三分之一作用，所以仍有顯著的止痛作用。</w:t>
      </w:r>
      <w:r>
        <w:rPr>
          <w:rFonts w:ascii="標楷體" w:hAnsi="標楷體" w:cs="標楷體" w:eastAsia="標楷體"/>
          <w:spacing w:val="-5"/>
          <w:kern w:val="0"/>
          <w:sz w:val="26"/>
          <w:szCs w:val="26"/>
        </w:rPr>
        <w:t>市面上的愷他命是兩種鏡像異構物的消旋混合物。左旋異構物（Ｓ）的止痛效果強度是右旋異構物（Ｒ）的三到四倍。</w:t>
      </w:r>
      <w:r>
        <w:rPr>
          <w:rFonts w:ascii="標楷體" w:hAnsi="標楷體" w:cs="標楷體" w:eastAsia="標楷體"/>
          <w:spacing w:val="-4"/>
          <w:kern w:val="0"/>
          <w:sz w:val="26"/>
          <w:szCs w:val="26"/>
        </w:rPr>
        <w:t>愷他命造成精神症狀，主要來自左旋異構物的效果，然而在低於麻醉劑量下，右旋異構物可以產生放鬆效果。</w:t>
      </w:r>
    </w:p>
    <w:p>
      <w:pPr>
        <w:pStyle w:val="Normal"/>
        <w:autoSpaceDE w:val="false"/>
        <w:snapToGrid w:val="false"/>
        <w:spacing w:lineRule="exact" w:line="480"/>
        <w:ind w:left="480" w:firstLine="512"/>
        <w:jc w:val="both"/>
        <w:rPr/>
      </w:pPr>
      <w:r>
        <w:rPr>
          <w:rFonts w:ascii="標楷體" w:hAnsi="標楷體" w:cs="標楷體" w:eastAsia="標楷體"/>
          <w:spacing w:val="-2"/>
          <w:kern w:val="0"/>
          <w:sz w:val="26"/>
          <w:szCs w:val="26"/>
        </w:rPr>
        <w:t>從愷他命的麻醉作用醒來時，血中藥物濃度約為</w:t>
      </w:r>
      <w:r>
        <w:rPr>
          <w:rFonts w:eastAsia="標楷體" w:cs="標楷體" w:ascii="標楷體" w:hAnsi="標楷體"/>
          <w:spacing w:val="-2"/>
          <w:kern w:val="0"/>
          <w:sz w:val="26"/>
          <w:szCs w:val="26"/>
        </w:rPr>
        <w:t>0.64-1.12 µg/ml.</w:t>
      </w:r>
      <w:r>
        <w:rPr>
          <w:rFonts w:ascii="標楷體" w:hAnsi="標楷體" w:cs="標楷體" w:eastAsia="標楷體"/>
          <w:spacing w:val="-2"/>
          <w:kern w:val="0"/>
          <w:sz w:val="26"/>
          <w:szCs w:val="26"/>
        </w:rPr>
        <w:t>，精神作用約在</w:t>
      </w:r>
      <w:r>
        <w:rPr>
          <w:rFonts w:eastAsia="標楷體" w:cs="標楷體" w:ascii="標楷體" w:hAnsi="標楷體"/>
          <w:spacing w:val="-2"/>
          <w:kern w:val="0"/>
          <w:sz w:val="26"/>
          <w:szCs w:val="26"/>
        </w:rPr>
        <w:t>50-300ng/ml</w:t>
      </w:r>
      <w:r>
        <w:rPr>
          <w:rFonts w:ascii="標楷體" w:hAnsi="標楷體" w:cs="標楷體" w:eastAsia="標楷體"/>
          <w:spacing w:val="-2"/>
          <w:kern w:val="0"/>
          <w:sz w:val="26"/>
          <w:szCs w:val="26"/>
        </w:rPr>
        <w:t>，且局部腦內濃度可能高達</w:t>
      </w:r>
      <w:r>
        <w:rPr>
          <w:rFonts w:eastAsia="標楷體" w:cs="標楷體" w:ascii="標楷體" w:hAnsi="標楷體"/>
          <w:spacing w:val="-2"/>
          <w:kern w:val="0"/>
          <w:sz w:val="26"/>
          <w:szCs w:val="26"/>
        </w:rPr>
        <w:t>500ng/ml</w:t>
      </w:r>
      <w:r>
        <w:rPr>
          <w:rFonts w:ascii="標楷體" w:hAnsi="標楷體" w:cs="標楷體" w:eastAsia="標楷體"/>
          <w:spacing w:val="-2"/>
          <w:kern w:val="0"/>
          <w:sz w:val="26"/>
          <w:szCs w:val="26"/>
        </w:rPr>
        <w:t>以上。有些研究也顯示鴉片類受器也與愷他命作用有關，且與麻醉止痛作用有關。若肌肉注射，藥物濃度需達到</w:t>
      </w:r>
      <w:r>
        <w:rPr>
          <w:rFonts w:eastAsia="標楷體" w:cs="標楷體" w:ascii="標楷體" w:hAnsi="標楷體"/>
          <w:spacing w:val="-2"/>
          <w:kern w:val="0"/>
          <w:sz w:val="26"/>
          <w:szCs w:val="26"/>
        </w:rPr>
        <w:t>0.15µg/ml,</w:t>
      </w:r>
      <w:r>
        <w:rPr>
          <w:rFonts w:ascii="標楷體" w:hAnsi="標楷體" w:cs="標楷體" w:eastAsia="標楷體"/>
          <w:spacing w:val="-2"/>
          <w:kern w:val="0"/>
          <w:sz w:val="26"/>
          <w:szCs w:val="26"/>
        </w:rPr>
        <w:t>口服須達到</w:t>
      </w:r>
      <w:r>
        <w:rPr>
          <w:rFonts w:eastAsia="標楷體" w:cs="標楷體" w:ascii="標楷體" w:hAnsi="標楷體"/>
          <w:spacing w:val="-2"/>
          <w:kern w:val="0"/>
          <w:sz w:val="26"/>
          <w:szCs w:val="26"/>
        </w:rPr>
        <w:t>0.04µg/ml.</w:t>
      </w:r>
      <w:r>
        <w:rPr>
          <w:rFonts w:ascii="標楷體" w:hAnsi="標楷體" w:cs="標楷體" w:eastAsia="標楷體"/>
          <w:spacing w:val="-2"/>
          <w:kern w:val="0"/>
          <w:sz w:val="26"/>
          <w:szCs w:val="26"/>
        </w:rPr>
        <w:t>，可以有麻醉止痛的作用。</w:t>
      </w:r>
    </w:p>
    <w:p>
      <w:pPr>
        <w:pStyle w:val="Normal"/>
        <w:autoSpaceDE w:val="false"/>
        <w:snapToGrid w:val="false"/>
        <w:spacing w:lineRule="exact" w:line="480" w:before="360" w:after="180"/>
        <w:ind w:left="240" w:hanging="0"/>
        <w:jc w:val="both"/>
        <w:rPr>
          <w:rFonts w:ascii="標楷體" w:hAnsi="標楷體" w:eastAsia="標楷體" w:cs="標楷體"/>
          <w:b/>
          <w:b/>
          <w:spacing w:val="-2"/>
          <w:kern w:val="0"/>
          <w:sz w:val="28"/>
          <w:szCs w:val="28"/>
          <w:u w:val="single"/>
        </w:rPr>
      </w:pPr>
      <w:r>
        <w:rPr>
          <w:rFonts w:ascii="標楷體" w:hAnsi="標楷體" w:cs="標楷體" w:eastAsia="標楷體"/>
          <w:b/>
          <w:spacing w:val="-2"/>
          <w:kern w:val="0"/>
          <w:sz w:val="28"/>
          <w:szCs w:val="28"/>
          <w:u w:val="single"/>
        </w:rPr>
        <w:t>對心血管系統的作用</w:t>
      </w:r>
      <w:r>
        <w:rPr>
          <w:rFonts w:ascii="標楷體" w:hAnsi="標楷體" w:cs="標楷體" w:eastAsia="標楷體"/>
          <w:b/>
          <w:spacing w:val="-2"/>
          <w:kern w:val="0"/>
          <w:sz w:val="28"/>
          <w:szCs w:val="28"/>
          <w:u w:val="single"/>
        </w:rPr>
        <w:t xml:space="preserve"> </w:t>
      </w:r>
    </w:p>
    <w:p>
      <w:pPr>
        <w:pStyle w:val="Normal"/>
        <w:autoSpaceDE w:val="false"/>
        <w:snapToGrid w:val="false"/>
        <w:spacing w:lineRule="exact" w:line="480"/>
        <w:ind w:left="480" w:firstLine="512"/>
        <w:jc w:val="both"/>
        <w:rPr>
          <w:rFonts w:ascii="標楷體" w:hAnsi="標楷體" w:eastAsia="標楷體" w:cs="標楷體"/>
          <w:spacing w:val="-2"/>
          <w:kern w:val="0"/>
          <w:sz w:val="26"/>
          <w:szCs w:val="26"/>
        </w:rPr>
      </w:pPr>
      <w:r>
        <w:rPr>
          <w:rFonts w:ascii="標楷體" w:hAnsi="標楷體" w:cs="標楷體" w:eastAsia="標楷體"/>
          <w:spacing w:val="-2"/>
          <w:kern w:val="0"/>
          <w:sz w:val="26"/>
          <w:szCs w:val="26"/>
        </w:rPr>
        <w:t>愷他命與其他麻醉藥品最大的不同是，愷他命會刺激心血管系統，產生心律、心搏出量與血壓提高的變化。在娛樂性使用愷他命的個案，有可能因心搏過速而須急診處理。</w:t>
      </w:r>
      <w:r>
        <w:rPr>
          <w:rFonts w:ascii="標楷體" w:hAnsi="標楷體" w:cs="標楷體" w:eastAsia="標楷體"/>
          <w:spacing w:val="-2"/>
          <w:kern w:val="0"/>
          <w:sz w:val="26"/>
          <w:szCs w:val="26"/>
        </w:rPr>
        <w:t xml:space="preserve"> </w:t>
      </w:r>
    </w:p>
    <w:p>
      <w:pPr>
        <w:pStyle w:val="Normal"/>
        <w:autoSpaceDE w:val="false"/>
        <w:snapToGrid w:val="false"/>
        <w:spacing w:lineRule="exact" w:line="480" w:before="360" w:after="180"/>
        <w:ind w:left="240" w:hanging="0"/>
        <w:jc w:val="both"/>
        <w:rPr/>
      </w:pPr>
      <w:r>
        <w:rPr>
          <w:rFonts w:ascii="標楷體" w:hAnsi="標楷體" w:cs="標楷體" w:eastAsia="標楷體"/>
          <w:b/>
          <w:spacing w:val="-2"/>
          <w:kern w:val="0"/>
          <w:sz w:val="28"/>
          <w:szCs w:val="28"/>
          <w:u w:val="single"/>
        </w:rPr>
        <w:t>對於呼吸系統的影響</w:t>
      </w:r>
      <w:r>
        <w:rPr>
          <w:rFonts w:ascii="標楷體" w:hAnsi="標楷體" w:cs="標楷體" w:eastAsia="標楷體"/>
          <w:b/>
          <w:spacing w:val="-2"/>
          <w:kern w:val="0"/>
          <w:sz w:val="28"/>
          <w:szCs w:val="28"/>
          <w:u w:val="single"/>
        </w:rPr>
        <w:t xml:space="preserve"> </w:t>
      </w:r>
    </w:p>
    <w:p>
      <w:pPr>
        <w:pStyle w:val="Normal"/>
        <w:autoSpaceDE w:val="false"/>
        <w:snapToGrid w:val="false"/>
        <w:spacing w:lineRule="exact" w:line="480"/>
        <w:ind w:left="480" w:firstLine="504"/>
        <w:jc w:val="both"/>
        <w:rPr>
          <w:rFonts w:ascii="標楷體" w:hAnsi="標楷體" w:eastAsia="標楷體" w:cs="標楷體"/>
          <w:spacing w:val="-5"/>
          <w:kern w:val="0"/>
          <w:sz w:val="26"/>
          <w:szCs w:val="26"/>
        </w:rPr>
      </w:pPr>
      <w:r>
        <w:rPr>
          <w:rFonts w:ascii="標楷體" w:hAnsi="標楷體" w:cs="標楷體" w:eastAsia="標楷體"/>
          <w:spacing w:val="-4"/>
          <w:kern w:val="0"/>
          <w:sz w:val="26"/>
          <w:szCs w:val="26"/>
        </w:rPr>
        <w:t>愷他命有輕微的呼吸抑制作用。呼吸系統對於二氧化碳濃度的反應可能會降低</w:t>
      </w:r>
      <w:r>
        <w:rPr>
          <w:rFonts w:eastAsia="標楷體" w:cs="標楷體" w:ascii="標楷體" w:hAnsi="標楷體"/>
          <w:spacing w:val="-4"/>
          <w:kern w:val="0"/>
          <w:sz w:val="26"/>
          <w:szCs w:val="26"/>
        </w:rPr>
        <w:t xml:space="preserve">15 </w:t>
      </w:r>
      <w:r>
        <w:rPr>
          <w:rFonts w:ascii="標楷體" w:hAnsi="標楷體" w:cs="標楷體" w:eastAsia="標楷體"/>
          <w:spacing w:val="-4"/>
          <w:kern w:val="0"/>
          <w:sz w:val="26"/>
          <w:szCs w:val="26"/>
        </w:rPr>
        <w:t>到</w:t>
      </w:r>
      <w:r>
        <w:rPr>
          <w:rFonts w:ascii="標楷體" w:hAnsi="標楷體" w:cs="標楷體" w:eastAsia="標楷體"/>
          <w:spacing w:val="-4"/>
          <w:kern w:val="0"/>
          <w:sz w:val="26"/>
          <w:szCs w:val="26"/>
        </w:rPr>
        <w:t xml:space="preserve"> </w:t>
      </w:r>
      <w:r>
        <w:rPr>
          <w:rFonts w:eastAsia="標楷體" w:cs="標楷體" w:ascii="標楷體" w:hAnsi="標楷體"/>
          <w:spacing w:val="-4"/>
          <w:kern w:val="0"/>
          <w:sz w:val="26"/>
          <w:szCs w:val="26"/>
        </w:rPr>
        <w:t>22%</w:t>
      </w:r>
      <w:r>
        <w:rPr>
          <w:rFonts w:ascii="標楷體" w:hAnsi="標楷體" w:cs="標楷體" w:eastAsia="標楷體"/>
          <w:spacing w:val="-4"/>
          <w:kern w:val="0"/>
          <w:sz w:val="26"/>
          <w:szCs w:val="26"/>
        </w:rPr>
        <w:t>，類似鴉片類藥物的作用。臨床上，通常是高劑量才會影響呼吸作用；娛樂性使用愷他命比較不會導致呼吸抑制，但仍有可能。愷他命有氣管擴張作用，且不影響咽喉反射作用。</w:t>
      </w:r>
    </w:p>
    <w:p>
      <w:pPr>
        <w:pStyle w:val="Normal"/>
        <w:autoSpaceDE w:val="false"/>
        <w:snapToGrid w:val="false"/>
        <w:spacing w:lineRule="exact" w:line="480" w:before="360" w:after="180"/>
        <w:ind w:left="240" w:hanging="0"/>
        <w:jc w:val="both"/>
        <w:rPr/>
      </w:pPr>
      <w:r>
        <w:rPr>
          <w:rFonts w:ascii="標楷體" w:hAnsi="標楷體" w:cs="標楷體" w:eastAsia="標楷體"/>
          <w:b/>
          <w:spacing w:val="-2"/>
          <w:kern w:val="0"/>
          <w:sz w:val="28"/>
          <w:szCs w:val="28"/>
          <w:u w:val="single"/>
        </w:rPr>
        <w:t>愷他命的其他藥理作用</w:t>
      </w:r>
      <w:r>
        <w:rPr>
          <w:rFonts w:ascii="標楷體" w:hAnsi="標楷體" w:cs="標楷體" w:eastAsia="標楷體"/>
          <w:b/>
          <w:spacing w:val="-2"/>
          <w:kern w:val="0"/>
          <w:sz w:val="28"/>
          <w:szCs w:val="28"/>
          <w:u w:val="single"/>
        </w:rPr>
        <w:t xml:space="preserve"> </w:t>
      </w:r>
    </w:p>
    <w:p>
      <w:pPr>
        <w:pStyle w:val="Normal"/>
        <w:autoSpaceDE w:val="false"/>
        <w:snapToGrid w:val="false"/>
        <w:spacing w:lineRule="exact" w:line="480"/>
        <w:ind w:left="480" w:firstLine="500"/>
        <w:jc w:val="both"/>
        <w:rPr/>
      </w:pPr>
      <w:r>
        <w:rPr>
          <w:rFonts w:ascii="標楷體" w:hAnsi="標楷體" w:cs="標楷體" w:eastAsia="標楷體"/>
          <w:spacing w:val="-5"/>
          <w:kern w:val="0"/>
          <w:sz w:val="26"/>
          <w:szCs w:val="26"/>
        </w:rPr>
        <w:t>愷他命會提高肌肉張力。使用後</w:t>
      </w:r>
      <w:r>
        <w:rPr>
          <w:rFonts w:ascii="標楷體" w:hAnsi="標楷體" w:cs="標楷體" w:eastAsia="標楷體"/>
          <w:spacing w:val="-4"/>
          <w:kern w:val="0"/>
          <w:sz w:val="26"/>
          <w:szCs w:val="26"/>
        </w:rPr>
        <w:t>血糖、皮質素與泌乳激素會提高。也</w:t>
      </w:r>
      <w:r>
        <w:rPr>
          <w:rFonts w:ascii="標楷體" w:hAnsi="標楷體" w:cs="標楷體" w:eastAsia="標楷體"/>
          <w:spacing w:val="-5"/>
          <w:kern w:val="0"/>
          <w:sz w:val="26"/>
          <w:szCs w:val="26"/>
        </w:rPr>
        <w:t>可能導致眼壓降低。</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6" w:name="__RefHeading___Toc358384667"/>
      <w:r>
        <w:rPr>
          <w:rFonts w:ascii="標楷體" w:hAnsi="標楷體" w:cs="標楷體" w:eastAsia="標楷體"/>
          <w:b/>
          <w:bCs/>
          <w:spacing w:val="-2"/>
          <w:kern w:val="0"/>
          <w:sz w:val="32"/>
          <w:szCs w:val="32"/>
        </w:rPr>
        <w:t>三、藥物動力學</w:t>
      </w:r>
      <w:bookmarkEnd w:id="6"/>
      <w:r>
        <w:rPr>
          <w:rFonts w:ascii="標楷體" w:hAnsi="標楷體" w:cs="標楷體" w:eastAsia="標楷體"/>
          <w:b/>
          <w:bCs/>
          <w:spacing w:val="-2"/>
          <w:kern w:val="0"/>
          <w:sz w:val="32"/>
          <w:szCs w:val="32"/>
        </w:rPr>
        <w:t xml:space="preserve"> </w:t>
      </w:r>
    </w:p>
    <w:p>
      <w:pPr>
        <w:pStyle w:val="Normal"/>
        <w:autoSpaceDE w:val="false"/>
        <w:snapToGrid w:val="false"/>
        <w:spacing w:lineRule="exact" w:line="480" w:before="360" w:after="180"/>
        <w:ind w:left="240" w:hanging="0"/>
        <w:jc w:val="both"/>
        <w:rPr>
          <w:rFonts w:ascii="標楷體" w:hAnsi="標楷體" w:eastAsia="標楷體" w:cs="標楷體"/>
          <w:b/>
          <w:b/>
          <w:spacing w:val="-2"/>
          <w:kern w:val="0"/>
          <w:sz w:val="28"/>
          <w:szCs w:val="28"/>
          <w:u w:val="single"/>
        </w:rPr>
      </w:pPr>
      <w:r>
        <w:rPr>
          <w:rFonts w:ascii="標楷體" w:hAnsi="標楷體" w:cs="標楷體" w:eastAsia="標楷體"/>
          <w:b/>
          <w:spacing w:val="-2"/>
          <w:kern w:val="0"/>
          <w:sz w:val="28"/>
          <w:szCs w:val="28"/>
          <w:u w:val="single"/>
        </w:rPr>
        <w:t>開始發生作用</w:t>
      </w:r>
    </w:p>
    <w:p>
      <w:pPr>
        <w:pStyle w:val="Normal"/>
        <w:autoSpaceDE w:val="false"/>
        <w:snapToGrid w:val="false"/>
        <w:spacing w:lineRule="exact" w:line="480"/>
        <w:ind w:left="240" w:firstLine="250"/>
        <w:jc w:val="both"/>
        <w:rPr>
          <w:rFonts w:ascii="標楷體" w:hAnsi="標楷體" w:eastAsia="標楷體" w:cs="標楷體"/>
          <w:spacing w:val="-5"/>
          <w:kern w:val="0"/>
          <w:sz w:val="26"/>
          <w:szCs w:val="26"/>
        </w:rPr>
      </w:pPr>
      <w:r>
        <w:rPr>
          <w:rFonts w:ascii="標楷體" w:hAnsi="標楷體" w:cs="標楷體" w:eastAsia="標楷體"/>
          <w:spacing w:val="-5"/>
          <w:kern w:val="0"/>
          <w:sz w:val="26"/>
          <w:szCs w:val="26"/>
        </w:rPr>
        <w:t>靜脈注射：</w:t>
      </w:r>
      <w:r>
        <w:rPr>
          <w:rFonts w:eastAsia="標楷體" w:cs="標楷體" w:ascii="標楷體" w:hAnsi="標楷體"/>
          <w:spacing w:val="-5"/>
          <w:kern w:val="0"/>
          <w:sz w:val="26"/>
          <w:szCs w:val="26"/>
        </w:rPr>
        <w:t xml:space="preserve">&lt;30 </w:t>
      </w:r>
      <w:r>
        <w:rPr>
          <w:rFonts w:ascii="標楷體" w:hAnsi="標楷體" w:cs="標楷體" w:eastAsia="標楷體"/>
          <w:spacing w:val="-5"/>
          <w:kern w:val="0"/>
          <w:sz w:val="26"/>
          <w:szCs w:val="26"/>
        </w:rPr>
        <w:t>秒。</w:t>
      </w:r>
    </w:p>
    <w:p>
      <w:pPr>
        <w:pStyle w:val="Normal"/>
        <w:autoSpaceDE w:val="false"/>
        <w:snapToGrid w:val="false"/>
        <w:spacing w:lineRule="exact" w:line="480"/>
        <w:ind w:left="240" w:firstLine="250"/>
        <w:jc w:val="both"/>
        <w:rPr>
          <w:rFonts w:ascii="標楷體" w:hAnsi="標楷體" w:eastAsia="標楷體" w:cs="標楷體"/>
          <w:spacing w:val="-5"/>
          <w:kern w:val="0"/>
          <w:sz w:val="26"/>
          <w:szCs w:val="26"/>
        </w:rPr>
      </w:pPr>
      <w:r>
        <w:rPr>
          <w:rFonts w:ascii="標楷體" w:hAnsi="標楷體" w:cs="標楷體" w:eastAsia="標楷體"/>
          <w:spacing w:val="-5"/>
          <w:kern w:val="0"/>
          <w:sz w:val="26"/>
          <w:szCs w:val="26"/>
        </w:rPr>
        <w:t>肌肉注射或直腸給藥：</w:t>
      </w:r>
      <w:r>
        <w:rPr>
          <w:rFonts w:eastAsia="標楷體" w:cs="標楷體" w:ascii="標楷體" w:hAnsi="標楷體"/>
          <w:spacing w:val="-5"/>
          <w:kern w:val="0"/>
          <w:sz w:val="26"/>
          <w:szCs w:val="26"/>
        </w:rPr>
        <w:t>3-4</w:t>
      </w:r>
      <w:r>
        <w:rPr>
          <w:rFonts w:ascii="標楷體" w:hAnsi="標楷體" w:cs="標楷體" w:eastAsia="標楷體"/>
          <w:spacing w:val="-5"/>
          <w:kern w:val="0"/>
          <w:sz w:val="26"/>
          <w:szCs w:val="26"/>
        </w:rPr>
        <w:t>分鐘。</w:t>
      </w:r>
    </w:p>
    <w:p>
      <w:pPr>
        <w:pStyle w:val="Normal"/>
        <w:autoSpaceDE w:val="false"/>
        <w:snapToGrid w:val="false"/>
        <w:spacing w:lineRule="exact" w:line="480" w:before="360" w:after="180"/>
        <w:ind w:left="240" w:hanging="0"/>
        <w:jc w:val="both"/>
        <w:rPr>
          <w:rFonts w:ascii="標楷體" w:hAnsi="標楷體" w:eastAsia="標楷體" w:cs="標楷體"/>
          <w:b/>
          <w:b/>
          <w:spacing w:val="-2"/>
          <w:kern w:val="0"/>
          <w:sz w:val="28"/>
          <w:szCs w:val="28"/>
          <w:u w:val="single"/>
        </w:rPr>
      </w:pPr>
      <w:r>
        <w:rPr>
          <w:rFonts w:ascii="標楷體" w:hAnsi="標楷體" w:cs="標楷體" w:eastAsia="標楷體"/>
          <w:b/>
          <w:spacing w:val="-2"/>
          <w:kern w:val="0"/>
          <w:sz w:val="28"/>
          <w:szCs w:val="28"/>
          <w:u w:val="single"/>
        </w:rPr>
        <w:t>血中達最高量時間</w:t>
      </w:r>
    </w:p>
    <w:p>
      <w:pPr>
        <w:pStyle w:val="Normal"/>
        <w:autoSpaceDE w:val="false"/>
        <w:snapToGrid w:val="false"/>
        <w:spacing w:lineRule="exact" w:line="480"/>
        <w:ind w:left="240" w:firstLine="250"/>
        <w:jc w:val="both"/>
        <w:rPr>
          <w:rFonts w:ascii="標楷體" w:hAnsi="標楷體" w:eastAsia="標楷體" w:cs="標楷體"/>
          <w:spacing w:val="-5"/>
          <w:kern w:val="0"/>
          <w:sz w:val="26"/>
          <w:szCs w:val="26"/>
        </w:rPr>
      </w:pPr>
      <w:r>
        <w:rPr>
          <w:rFonts w:ascii="標楷體" w:hAnsi="標楷體" w:cs="標楷體" w:eastAsia="標楷體"/>
          <w:spacing w:val="-5"/>
          <w:kern w:val="0"/>
          <w:sz w:val="26"/>
          <w:szCs w:val="26"/>
        </w:rPr>
        <w:t xml:space="preserve">靜脈注射： </w:t>
      </w:r>
      <w:r>
        <w:rPr>
          <w:rFonts w:eastAsia="標楷體" w:cs="標楷體" w:ascii="標楷體" w:hAnsi="標楷體"/>
          <w:spacing w:val="-5"/>
          <w:kern w:val="0"/>
          <w:sz w:val="26"/>
          <w:szCs w:val="26"/>
        </w:rPr>
        <w:t>1</w:t>
      </w:r>
      <w:r>
        <w:rPr>
          <w:rFonts w:ascii="標楷體" w:hAnsi="標楷體" w:cs="標楷體" w:eastAsia="標楷體"/>
          <w:spacing w:val="-5"/>
          <w:kern w:val="0"/>
          <w:sz w:val="26"/>
          <w:szCs w:val="26"/>
        </w:rPr>
        <w:t>分鐘。</w:t>
      </w:r>
    </w:p>
    <w:p>
      <w:pPr>
        <w:pStyle w:val="Normal"/>
        <w:autoSpaceDE w:val="false"/>
        <w:snapToGrid w:val="false"/>
        <w:spacing w:lineRule="exact" w:line="480"/>
        <w:ind w:left="240" w:firstLine="250"/>
        <w:jc w:val="both"/>
        <w:rPr>
          <w:rFonts w:ascii="標楷體" w:hAnsi="標楷體" w:eastAsia="標楷體" w:cs="標楷體"/>
          <w:spacing w:val="-5"/>
          <w:kern w:val="0"/>
          <w:sz w:val="26"/>
          <w:szCs w:val="26"/>
        </w:rPr>
      </w:pPr>
      <w:r>
        <w:rPr>
          <w:rFonts w:ascii="標楷體" w:hAnsi="標楷體" w:cs="標楷體" w:eastAsia="標楷體"/>
          <w:spacing w:val="-5"/>
          <w:kern w:val="0"/>
          <w:sz w:val="26"/>
          <w:szCs w:val="26"/>
        </w:rPr>
        <w:t>肌肉注射或直腸給藥：</w:t>
      </w:r>
      <w:r>
        <w:rPr>
          <w:rFonts w:eastAsia="標楷體" w:cs="標楷體" w:ascii="標楷體" w:hAnsi="標楷體"/>
          <w:spacing w:val="-5"/>
          <w:kern w:val="0"/>
          <w:sz w:val="26"/>
          <w:szCs w:val="26"/>
        </w:rPr>
        <w:t>5-20</w:t>
      </w:r>
      <w:r>
        <w:rPr>
          <w:rFonts w:ascii="標楷體" w:hAnsi="標楷體" w:cs="標楷體" w:eastAsia="標楷體"/>
          <w:spacing w:val="-5"/>
          <w:kern w:val="0"/>
          <w:sz w:val="26"/>
          <w:szCs w:val="26"/>
        </w:rPr>
        <w:t>分鐘。</w:t>
      </w:r>
    </w:p>
    <w:p>
      <w:pPr>
        <w:pStyle w:val="Normal"/>
        <w:autoSpaceDE w:val="false"/>
        <w:snapToGrid w:val="false"/>
        <w:spacing w:lineRule="exact" w:line="480"/>
        <w:ind w:left="240" w:firstLine="250"/>
        <w:jc w:val="both"/>
        <w:rPr>
          <w:rFonts w:ascii="標楷體" w:hAnsi="標楷體" w:eastAsia="標楷體" w:cs="標楷體"/>
          <w:spacing w:val="-5"/>
          <w:kern w:val="0"/>
          <w:sz w:val="26"/>
          <w:szCs w:val="26"/>
        </w:rPr>
      </w:pPr>
      <w:r>
        <w:rPr>
          <w:rFonts w:ascii="標楷體" w:hAnsi="標楷體" w:cs="標楷體" w:eastAsia="標楷體"/>
          <w:spacing w:val="-5"/>
          <w:kern w:val="0"/>
          <w:sz w:val="26"/>
          <w:szCs w:val="26"/>
        </w:rPr>
        <w:t>口服：</w:t>
      </w:r>
      <w:r>
        <w:rPr>
          <w:rFonts w:eastAsia="標楷體" w:cs="標楷體" w:ascii="標楷體" w:hAnsi="標楷體"/>
          <w:spacing w:val="-5"/>
          <w:kern w:val="0"/>
          <w:sz w:val="26"/>
          <w:szCs w:val="26"/>
        </w:rPr>
        <w:t>30</w:t>
      </w:r>
      <w:r>
        <w:rPr>
          <w:rFonts w:ascii="標楷體" w:hAnsi="標楷體" w:cs="標楷體" w:eastAsia="標楷體"/>
          <w:spacing w:val="-5"/>
          <w:kern w:val="0"/>
          <w:sz w:val="26"/>
          <w:szCs w:val="26"/>
        </w:rPr>
        <w:t>分鐘。</w:t>
      </w:r>
    </w:p>
    <w:p>
      <w:pPr>
        <w:pStyle w:val="Normal"/>
        <w:autoSpaceDE w:val="false"/>
        <w:snapToGrid w:val="false"/>
        <w:spacing w:lineRule="exact" w:line="480" w:before="360" w:after="180"/>
        <w:ind w:left="240" w:hanging="0"/>
        <w:jc w:val="both"/>
        <w:rPr/>
      </w:pPr>
      <w:r>
        <w:rPr>
          <w:rFonts w:ascii="標楷體" w:hAnsi="標楷體" w:cs="標楷體" w:eastAsia="標楷體"/>
          <w:b/>
          <w:spacing w:val="-2"/>
          <w:kern w:val="0"/>
          <w:sz w:val="28"/>
          <w:szCs w:val="28"/>
          <w:u w:val="single"/>
        </w:rPr>
        <w:t>作用持續期間</w:t>
      </w:r>
    </w:p>
    <w:p>
      <w:pPr>
        <w:pStyle w:val="Normal"/>
        <w:autoSpaceDE w:val="false"/>
        <w:snapToGrid w:val="false"/>
        <w:spacing w:lineRule="exact" w:line="480"/>
        <w:ind w:left="240" w:firstLine="250"/>
        <w:jc w:val="both"/>
        <w:rPr>
          <w:rFonts w:ascii="標楷體" w:hAnsi="標楷體" w:eastAsia="標楷體" w:cs="標楷體"/>
          <w:spacing w:val="-5"/>
          <w:kern w:val="0"/>
          <w:sz w:val="26"/>
          <w:szCs w:val="26"/>
        </w:rPr>
      </w:pPr>
      <w:r>
        <w:rPr>
          <w:rFonts w:ascii="標楷體" w:hAnsi="標楷體" w:cs="標楷體" w:eastAsia="標楷體"/>
          <w:spacing w:val="-5"/>
          <w:kern w:val="0"/>
          <w:sz w:val="26"/>
          <w:szCs w:val="26"/>
        </w:rPr>
        <w:t>靜脈注射：</w:t>
      </w:r>
      <w:r>
        <w:rPr>
          <w:rFonts w:eastAsia="標楷體" w:cs="標楷體" w:ascii="標楷體" w:hAnsi="標楷體"/>
          <w:spacing w:val="-5"/>
          <w:kern w:val="0"/>
          <w:sz w:val="26"/>
          <w:szCs w:val="26"/>
        </w:rPr>
        <w:t>5-15</w:t>
      </w:r>
      <w:r>
        <w:rPr>
          <w:rFonts w:ascii="標楷體" w:hAnsi="標楷體" w:cs="標楷體" w:eastAsia="標楷體"/>
          <w:spacing w:val="-5"/>
          <w:kern w:val="0"/>
          <w:sz w:val="26"/>
          <w:szCs w:val="26"/>
        </w:rPr>
        <w:t>分鐘。</w:t>
      </w:r>
    </w:p>
    <w:p>
      <w:pPr>
        <w:pStyle w:val="Normal"/>
        <w:autoSpaceDE w:val="false"/>
        <w:snapToGrid w:val="false"/>
        <w:spacing w:lineRule="exact" w:line="480"/>
        <w:ind w:left="240" w:firstLine="250"/>
        <w:jc w:val="both"/>
        <w:rPr>
          <w:rFonts w:ascii="標楷體" w:hAnsi="標楷體" w:eastAsia="標楷體" w:cs="標楷體"/>
          <w:spacing w:val="-5"/>
          <w:kern w:val="0"/>
          <w:sz w:val="26"/>
          <w:szCs w:val="26"/>
        </w:rPr>
      </w:pPr>
      <w:r>
        <w:rPr>
          <w:rFonts w:ascii="標楷體" w:hAnsi="標楷體" w:cs="標楷體" w:eastAsia="標楷體"/>
          <w:spacing w:val="-5"/>
          <w:kern w:val="0"/>
          <w:sz w:val="26"/>
          <w:szCs w:val="26"/>
        </w:rPr>
        <w:t>肌肉注射或直腸給藥：</w:t>
      </w:r>
      <w:r>
        <w:rPr>
          <w:rFonts w:eastAsia="標楷體" w:cs="標楷體" w:ascii="標楷體" w:hAnsi="標楷體"/>
          <w:spacing w:val="-5"/>
          <w:kern w:val="0"/>
          <w:sz w:val="26"/>
          <w:szCs w:val="26"/>
        </w:rPr>
        <w:t>12-25</w:t>
      </w:r>
      <w:r>
        <w:rPr>
          <w:rFonts w:ascii="標楷體" w:hAnsi="標楷體" w:cs="標楷體" w:eastAsia="標楷體"/>
          <w:spacing w:val="-5"/>
          <w:kern w:val="0"/>
          <w:sz w:val="26"/>
          <w:szCs w:val="26"/>
        </w:rPr>
        <w:t>分鐘。</w:t>
      </w:r>
    </w:p>
    <w:p>
      <w:pPr>
        <w:pStyle w:val="Normal"/>
        <w:autoSpaceDE w:val="false"/>
        <w:snapToGrid w:val="false"/>
        <w:spacing w:lineRule="exact" w:line="480"/>
        <w:ind w:left="240" w:firstLine="250"/>
        <w:jc w:val="both"/>
        <w:rPr>
          <w:rFonts w:ascii="標楷體" w:hAnsi="標楷體" w:eastAsia="標楷體" w:cs="標楷體"/>
          <w:spacing w:val="-5"/>
          <w:kern w:val="0"/>
          <w:sz w:val="26"/>
          <w:szCs w:val="26"/>
        </w:rPr>
      </w:pPr>
      <w:r>
        <w:rPr>
          <w:rFonts w:ascii="標楷體" w:hAnsi="標楷體" w:cs="標楷體" w:eastAsia="標楷體"/>
          <w:spacing w:val="-5"/>
          <w:kern w:val="0"/>
          <w:sz w:val="26"/>
          <w:szCs w:val="26"/>
        </w:rPr>
        <w:t>脊髓腔注射：</w:t>
      </w:r>
      <w:r>
        <w:rPr>
          <w:rFonts w:eastAsia="標楷體" w:cs="標楷體" w:ascii="標楷體" w:hAnsi="標楷體"/>
          <w:spacing w:val="-5"/>
          <w:kern w:val="0"/>
          <w:sz w:val="26"/>
          <w:szCs w:val="26"/>
        </w:rPr>
        <w:t>4</w:t>
      </w:r>
      <w:r>
        <w:rPr>
          <w:rFonts w:ascii="標楷體" w:hAnsi="標楷體" w:cs="標楷體" w:eastAsia="標楷體"/>
          <w:spacing w:val="-5"/>
          <w:kern w:val="0"/>
          <w:sz w:val="26"/>
          <w:szCs w:val="26"/>
        </w:rPr>
        <w:t>小時。</w:t>
      </w:r>
    </w:p>
    <w:p>
      <w:pPr>
        <w:pStyle w:val="Normal"/>
        <w:autoSpaceDE w:val="false"/>
        <w:snapToGrid w:val="false"/>
        <w:spacing w:lineRule="exact" w:line="480" w:before="360" w:after="180"/>
        <w:ind w:left="240" w:hanging="0"/>
        <w:jc w:val="both"/>
        <w:rPr>
          <w:rFonts w:ascii="標楷體" w:hAnsi="標楷體" w:eastAsia="標楷體" w:cs="標楷體"/>
          <w:b/>
          <w:b/>
          <w:spacing w:val="-2"/>
          <w:kern w:val="0"/>
          <w:sz w:val="28"/>
          <w:szCs w:val="28"/>
          <w:u w:val="single"/>
        </w:rPr>
      </w:pPr>
      <w:r>
        <w:rPr>
          <w:rFonts w:ascii="標楷體" w:hAnsi="標楷體" w:cs="標楷體" w:eastAsia="標楷體"/>
          <w:b/>
          <w:spacing w:val="-2"/>
          <w:kern w:val="0"/>
          <w:sz w:val="28"/>
          <w:szCs w:val="28"/>
          <w:u w:val="single"/>
        </w:rPr>
        <w:t>代謝</w:t>
      </w:r>
    </w:p>
    <w:p>
      <w:pPr>
        <w:pStyle w:val="Normal"/>
        <w:tabs>
          <w:tab w:val="clear" w:pos="480"/>
          <w:tab w:val="left" w:pos="8280" w:leader="none"/>
        </w:tabs>
        <w:autoSpaceDE w:val="false"/>
        <w:snapToGrid w:val="false"/>
        <w:spacing w:lineRule="exact" w:line="480"/>
        <w:ind w:left="480" w:firstLine="504"/>
        <w:jc w:val="both"/>
        <w:rPr/>
      </w:pPr>
      <w:r>
        <w:rPr>
          <w:rFonts w:ascii="標楷體" w:hAnsi="標楷體" w:cs="標楷體" w:eastAsia="標楷體"/>
          <w:spacing w:val="-4"/>
          <w:kern w:val="0"/>
          <w:sz w:val="26"/>
          <w:szCs w:val="26"/>
        </w:rPr>
        <w:t>主要由肝臟代謝，藉由細胞色素</w:t>
      </w:r>
      <w:r>
        <w:rPr>
          <w:rFonts w:eastAsia="標楷體" w:cs="標楷體" w:ascii="標楷體" w:hAnsi="標楷體"/>
          <w:spacing w:val="-4"/>
          <w:kern w:val="0"/>
          <w:sz w:val="26"/>
          <w:szCs w:val="26"/>
        </w:rPr>
        <w:t>P450</w:t>
      </w:r>
      <w:r>
        <w:rPr>
          <w:rFonts w:ascii="標楷體" w:hAnsi="標楷體" w:cs="標楷體" w:eastAsia="標楷體"/>
          <w:spacing w:val="-4"/>
          <w:kern w:val="0"/>
          <w:sz w:val="26"/>
          <w:szCs w:val="26"/>
        </w:rPr>
        <w:t>系統產生去甲基化與</w:t>
      </w:r>
      <w:r>
        <w:rPr>
          <w:rFonts w:ascii="標楷體" w:hAnsi="標楷體" w:cs="標楷體" w:eastAsia="標楷體"/>
          <w:spacing w:val="-4"/>
          <w:kern w:val="0"/>
          <w:sz w:val="26"/>
          <w:szCs w:val="26"/>
        </w:rPr>
        <w:t>羥化反應</w:t>
      </w:r>
      <w:r>
        <w:rPr>
          <w:rFonts w:ascii="標楷體" w:hAnsi="標楷體" w:cs="標楷體" w:eastAsia="標楷體"/>
          <w:spacing w:val="-4"/>
          <w:kern w:val="0"/>
          <w:sz w:val="26"/>
          <w:szCs w:val="26"/>
        </w:rPr>
        <w:t>。經由腎臟排除。半衰期約</w:t>
      </w:r>
      <w:r>
        <w:rPr>
          <w:rFonts w:eastAsia="標楷體" w:cs="標楷體" w:ascii="標楷體" w:hAnsi="標楷體"/>
          <w:spacing w:val="-4"/>
          <w:kern w:val="0"/>
          <w:sz w:val="26"/>
          <w:szCs w:val="26"/>
        </w:rPr>
        <w:t>100-200</w:t>
      </w:r>
      <w:r>
        <w:rPr>
          <w:rFonts w:ascii="標楷體" w:hAnsi="標楷體" w:cs="標楷體" w:eastAsia="標楷體"/>
          <w:spacing w:val="-4"/>
          <w:kern w:val="0"/>
          <w:sz w:val="26"/>
          <w:szCs w:val="26"/>
        </w:rPr>
        <w:t>分鐘。</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7" w:name="__RefHeading___Toc358384668"/>
      <w:r>
        <w:rPr>
          <w:rFonts w:ascii="標楷體" w:hAnsi="標楷體" w:cs="標楷體" w:eastAsia="標楷體"/>
          <w:b/>
          <w:bCs/>
          <w:spacing w:val="-2"/>
          <w:kern w:val="0"/>
          <w:sz w:val="32"/>
          <w:szCs w:val="32"/>
        </w:rPr>
        <w:t>四、使用途徑</w:t>
      </w:r>
      <w:bookmarkEnd w:id="7"/>
      <w:r>
        <w:rPr>
          <w:rFonts w:ascii="標楷體" w:hAnsi="標楷體" w:cs="標楷體" w:eastAsia="標楷體"/>
          <w:b/>
          <w:bCs/>
          <w:spacing w:val="-2"/>
          <w:kern w:val="0"/>
          <w:sz w:val="32"/>
          <w:szCs w:val="32"/>
        </w:rPr>
        <w:t xml:space="preserve"> </w:t>
      </w:r>
    </w:p>
    <w:p>
      <w:pPr>
        <w:pStyle w:val="Normal"/>
        <w:tabs>
          <w:tab w:val="clear" w:pos="480"/>
          <w:tab w:val="left" w:pos="8280" w:leader="none"/>
        </w:tabs>
        <w:autoSpaceDE w:val="false"/>
        <w:snapToGrid w:val="false"/>
        <w:spacing w:lineRule="exact" w:line="480"/>
        <w:ind w:firstLine="504"/>
        <w:jc w:val="both"/>
        <w:rPr/>
      </w:pPr>
      <w:r>
        <w:rPr>
          <w:rFonts w:ascii="標楷體" w:hAnsi="標楷體" w:cs="標楷體" w:eastAsia="標楷體"/>
          <w:spacing w:val="-4"/>
          <w:kern w:val="0"/>
          <w:sz w:val="26"/>
          <w:szCs w:val="26"/>
        </w:rPr>
        <w:t>醫療用途上，通常是肌肉注射或靜脈注射，也有脊髓腔內注射、口服與直腸給藥。</w:t>
      </w:r>
      <w:r>
        <w:rPr>
          <w:rFonts w:ascii="標楷體" w:hAnsi="標楷體" w:cs="標楷體" w:eastAsia="標楷體"/>
          <w:spacing w:val="-5"/>
          <w:kern w:val="0"/>
          <w:sz w:val="26"/>
          <w:szCs w:val="26"/>
        </w:rPr>
        <w:t>娛樂用途上，通常是鼻腔吸入粉末、摻入香菸吸食或霧化溶液使用。有些慢性使用者，可能會肌肉注射或靜脈注射。有些派對使用者，會口服使用錠劑。</w:t>
      </w:r>
    </w:p>
    <w:p>
      <w:pPr>
        <w:pStyle w:val="Normal"/>
        <w:autoSpaceDE w:val="false"/>
        <w:snapToGrid w:val="false"/>
        <w:spacing w:lineRule="exact" w:line="480"/>
        <w:jc w:val="both"/>
        <w:rPr>
          <w:rFonts w:ascii="標楷體" w:hAnsi="標楷體" w:eastAsia="標楷體" w:cs="標楷體"/>
          <w:spacing w:val="-2"/>
          <w:kern w:val="0"/>
          <w:sz w:val="26"/>
          <w:szCs w:val="26"/>
        </w:rPr>
      </w:pPr>
      <w:r>
        <w:rPr>
          <w:rFonts w:eastAsia="標楷體" w:cs="標楷體" w:ascii="標楷體" w:hAnsi="標楷體"/>
          <w:spacing w:val="-2"/>
          <w:kern w:val="0"/>
          <w:sz w:val="26"/>
          <w:szCs w:val="26"/>
        </w:rPr>
      </w:r>
      <w:r>
        <w:br w:type="page"/>
      </w:r>
    </w:p>
    <w:p>
      <w:pPr>
        <w:pStyle w:val="1"/>
        <w:keepNext w:val="false"/>
        <w:spacing w:lineRule="auto" w:line="240" w:before="0" w:after="0"/>
        <w:jc w:val="center"/>
        <w:rPr/>
      </w:pPr>
      <w:bookmarkStart w:id="8" w:name="__RefHeading___Toc358384669"/>
      <w:bookmarkStart w:id="9" w:name="Pg6"/>
      <w:bookmarkEnd w:id="8"/>
      <w:bookmarkEnd w:id="9"/>
      <w:r>
        <w:rPr>
          <w:rFonts w:ascii="標楷體" w:hAnsi="標楷體" w:cs="標楷體"/>
          <w:kern w:val="0"/>
          <w:sz w:val="36"/>
          <w:szCs w:val="36"/>
        </w:rPr>
        <w:t>第二節、愷他命的濫用與危害</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10" w:name="__RefHeading___Toc358384670"/>
      <w:bookmarkEnd w:id="10"/>
      <w:r>
        <w:rPr>
          <w:rFonts w:ascii="標楷體" w:hAnsi="標楷體" w:cs="標楷體" w:eastAsia="標楷體"/>
          <w:b/>
          <w:bCs/>
          <w:spacing w:val="-2"/>
          <w:kern w:val="0"/>
          <w:sz w:val="32"/>
          <w:szCs w:val="32"/>
        </w:rPr>
        <w:t>一、濫用概況</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早在</w:t>
      </w:r>
      <w:r>
        <w:rPr>
          <w:rFonts w:eastAsia="標楷體" w:cs="標楷體" w:ascii="標楷體" w:hAnsi="標楷體"/>
          <w:sz w:val="26"/>
          <w:szCs w:val="26"/>
        </w:rPr>
        <w:t>1960</w:t>
      </w:r>
      <w:r>
        <w:rPr>
          <w:rFonts w:ascii="標楷體" w:hAnsi="標楷體" w:cs="標楷體" w:eastAsia="標楷體"/>
          <w:sz w:val="26"/>
          <w:szCs w:val="26"/>
        </w:rPr>
        <w:t>年即有文獻指出愷他命在非醫療上的濫用，但直到</w:t>
      </w:r>
      <w:r>
        <w:rPr>
          <w:rFonts w:eastAsia="標楷體" w:cs="標楷體" w:ascii="標楷體" w:hAnsi="標楷體"/>
          <w:sz w:val="26"/>
          <w:szCs w:val="26"/>
        </w:rPr>
        <w:t>1990</w:t>
      </w:r>
      <w:r>
        <w:rPr>
          <w:rFonts w:ascii="標楷體" w:hAnsi="標楷體" w:cs="標楷體" w:eastAsia="標楷體"/>
          <w:sz w:val="26"/>
          <w:szCs w:val="26"/>
        </w:rPr>
        <w:t>年左右，歐洲的派對上才較普遍的流行把愷他命摻雜在搖頭丸中使用。低劑量的愷他命會有「時間和空間的扭曲」、「幻覺」、及「輕微的解離」症狀。使用者提到最舒服的感覺是「和周遭環境融在一起」、「視幻覺」、「脫離身體的經驗」、及「在咯咯笑的狀態中」。較高的劑量會讓使用者進入更明確的解離經驗，稱為進入「</w:t>
      </w:r>
      <w:r>
        <w:rPr>
          <w:rFonts w:eastAsia="標楷體" w:cs="標楷體" w:ascii="標楷體" w:hAnsi="標楷體"/>
          <w:sz w:val="26"/>
          <w:szCs w:val="26"/>
        </w:rPr>
        <w:t>K</w:t>
      </w:r>
      <w:r>
        <w:rPr>
          <w:rFonts w:ascii="標楷體" w:hAnsi="標楷體" w:cs="標楷體" w:eastAsia="標楷體"/>
          <w:sz w:val="26"/>
          <w:szCs w:val="26"/>
        </w:rPr>
        <w:t>世界」或「</w:t>
      </w:r>
      <w:r>
        <w:rPr>
          <w:rFonts w:eastAsia="標楷體" w:cs="標楷體" w:ascii="標楷體" w:hAnsi="標楷體"/>
          <w:sz w:val="26"/>
          <w:szCs w:val="26"/>
        </w:rPr>
        <w:t>K</w:t>
      </w:r>
      <w:r>
        <w:rPr>
          <w:rFonts w:ascii="標楷體" w:hAnsi="標楷體" w:cs="標楷體" w:eastAsia="標楷體"/>
          <w:sz w:val="26"/>
          <w:szCs w:val="26"/>
        </w:rPr>
        <w:t>洞」，即一種感官與現實完全脫離的情境。</w:t>
      </w:r>
    </w:p>
    <w:p>
      <w:pPr>
        <w:pStyle w:val="Normal"/>
        <w:snapToGrid w:val="false"/>
        <w:spacing w:lineRule="exact" w:line="480"/>
        <w:ind w:firstLine="520"/>
        <w:jc w:val="both"/>
        <w:rPr>
          <w:rFonts w:ascii="標楷體" w:hAnsi="標楷體" w:eastAsia="標楷體" w:cs="新細明體;PMingLiU"/>
          <w:kern w:val="0"/>
          <w:sz w:val="26"/>
          <w:szCs w:val="26"/>
        </w:rPr>
      </w:pPr>
      <w:r>
        <w:rPr>
          <w:rFonts w:ascii="標楷體" w:hAnsi="標楷體" w:cs="標楷體" w:eastAsia="標楷體"/>
          <w:sz w:val="26"/>
          <w:szCs w:val="26"/>
        </w:rPr>
        <w:t>愷他命多是粉末狀為主，使用方式以抽煙</w:t>
      </w:r>
      <w:r>
        <w:rPr>
          <w:rFonts w:eastAsia="標楷體" w:cs="標楷體" w:ascii="標楷體" w:hAnsi="標楷體"/>
          <w:sz w:val="26"/>
          <w:szCs w:val="26"/>
        </w:rPr>
        <w:t>(</w:t>
      </w:r>
      <w:r>
        <w:rPr>
          <w:rFonts w:ascii="標楷體" w:hAnsi="標楷體" w:cs="標楷體" w:eastAsia="標楷體"/>
          <w:sz w:val="26"/>
          <w:szCs w:val="26"/>
        </w:rPr>
        <w:t>俗稱抽</w:t>
      </w:r>
      <w:r>
        <w:rPr>
          <w:rFonts w:eastAsia="標楷體" w:cs="標楷體" w:ascii="標楷體" w:hAnsi="標楷體"/>
          <w:sz w:val="26"/>
          <w:szCs w:val="26"/>
        </w:rPr>
        <w:t>K</w:t>
      </w:r>
      <w:r>
        <w:rPr>
          <w:rFonts w:ascii="標楷體" w:hAnsi="標楷體" w:cs="標楷體" w:eastAsia="標楷體"/>
          <w:sz w:val="26"/>
          <w:szCs w:val="26"/>
        </w:rPr>
        <w:t>煙</w:t>
      </w:r>
      <w:r>
        <w:rPr>
          <w:rFonts w:eastAsia="標楷體" w:cs="標楷體" w:ascii="標楷體" w:hAnsi="標楷體"/>
          <w:sz w:val="26"/>
          <w:szCs w:val="26"/>
        </w:rPr>
        <w:t>)</w:t>
      </w:r>
      <w:r>
        <w:rPr>
          <w:rFonts w:ascii="標楷體" w:hAnsi="標楷體" w:cs="標楷體" w:eastAsia="標楷體"/>
          <w:sz w:val="26"/>
          <w:szCs w:val="26"/>
        </w:rPr>
        <w:t>或鼻直接吸入為主</w:t>
      </w:r>
      <w:r>
        <w:rPr>
          <w:rFonts w:eastAsia="標楷體" w:cs="標楷體" w:ascii="標楷體" w:hAnsi="標楷體"/>
          <w:sz w:val="26"/>
          <w:szCs w:val="26"/>
        </w:rPr>
        <w:t>(</w:t>
      </w:r>
      <w:r>
        <w:rPr>
          <w:rFonts w:ascii="標楷體" w:hAnsi="標楷體" w:cs="標楷體" w:eastAsia="標楷體"/>
          <w:sz w:val="26"/>
          <w:szCs w:val="26"/>
        </w:rPr>
        <w:t>俗稱拉</w:t>
      </w:r>
      <w:r>
        <w:rPr>
          <w:rFonts w:eastAsia="標楷體" w:cs="標楷體" w:ascii="標楷體" w:hAnsi="標楷體"/>
          <w:sz w:val="26"/>
          <w:szCs w:val="26"/>
        </w:rPr>
        <w:t>K)</w:t>
      </w:r>
      <w:r>
        <w:rPr>
          <w:rFonts w:ascii="標楷體" w:hAnsi="標楷體" w:cs="標楷體" w:eastAsia="標楷體"/>
          <w:sz w:val="26"/>
          <w:szCs w:val="26"/>
        </w:rPr>
        <w:t>。也有少數會以液態方式直接注射至肌肉或血管中。</w:t>
      </w:r>
      <w:r>
        <w:rPr>
          <w:rFonts w:ascii="標楷體" w:hAnsi="標楷體" w:cs="新細明體;PMingLiU" w:eastAsia="標楷體"/>
          <w:kern w:val="0"/>
          <w:sz w:val="26"/>
          <w:szCs w:val="26"/>
        </w:rPr>
        <w:t>愷他命屬於「俱樂部藥物」的一員，大多數的使用者都是在特定場合，如「銳舞」、或夜店、舞廳、</w:t>
      </w:r>
      <w:r>
        <w:rPr>
          <w:rFonts w:eastAsia="標楷體" w:cs="新細明體;PMingLiU" w:ascii="標楷體" w:hAnsi="標楷體"/>
          <w:kern w:val="0"/>
          <w:sz w:val="26"/>
          <w:szCs w:val="26"/>
        </w:rPr>
        <w:t>KTV</w:t>
      </w:r>
      <w:r>
        <w:rPr>
          <w:rFonts w:ascii="標楷體" w:hAnsi="標楷體" w:cs="新細明體;PMingLiU" w:eastAsia="標楷體"/>
          <w:kern w:val="0"/>
          <w:sz w:val="26"/>
          <w:szCs w:val="26"/>
        </w:rPr>
        <w:t>等娛樂場所使用，因此大多數的使用者都是間歇性使用。與其他物質倂用的情形是非常常見的，歐美及香港的研究皆顯示，最常合併使用的物質類別是搖頭丸（</w:t>
      </w:r>
      <w:r>
        <w:rPr>
          <w:rFonts w:eastAsia="標楷體" w:cs="新細明體;PMingLiU" w:ascii="標楷體" w:hAnsi="標楷體"/>
          <w:kern w:val="0"/>
          <w:sz w:val="26"/>
          <w:szCs w:val="26"/>
        </w:rPr>
        <w:t>MDMA</w:t>
      </w:r>
      <w:r>
        <w:rPr>
          <w:rFonts w:ascii="標楷體" w:hAnsi="標楷體" w:cs="新細明體;PMingLiU" w:eastAsia="標楷體"/>
          <w:kern w:val="0"/>
          <w:sz w:val="26"/>
          <w:szCs w:val="26"/>
        </w:rPr>
        <w:t>），台灣的調查研究也顯示類似的情形，惟單獨使用愷他命的情形似乎有增加的趨勢。文獻上也顯示，習慣性的使用者，甚至發展成依賴狀態的愷他命濫用，僅為愷他命使用族群中的少數。惟這些愷他命依賴的探討，目前散見於個案報告中，沒有較明確的數字可以推估出來。</w:t>
      </w:r>
    </w:p>
    <w:p>
      <w:pPr>
        <w:pStyle w:val="Normal"/>
        <w:snapToGrid w:val="false"/>
        <w:spacing w:lineRule="exact" w:line="480"/>
        <w:ind w:firstLine="520"/>
        <w:jc w:val="both"/>
        <w:rPr/>
      </w:pPr>
      <w:r>
        <w:rPr>
          <w:rFonts w:ascii="標楷體" w:hAnsi="標楷體" w:cs="標楷體" w:eastAsia="標楷體"/>
          <w:sz w:val="26"/>
          <w:szCs w:val="26"/>
        </w:rPr>
        <w:t>聯合國在世界藥物報告中描述愷他命在東南亞、澳洲、北美洲、及歐洲散佈，並強調「愷他命在東南亞的增加主要與國際間未明確禁止此藥有關」。在英國，愷他命被列為</w:t>
      </w:r>
      <w:r>
        <w:rPr>
          <w:rFonts w:ascii="標楷體" w:hAnsi="標楷體" w:cs="標楷體" w:eastAsia="標楷體"/>
          <w:sz w:val="26"/>
          <w:szCs w:val="26"/>
        </w:rPr>
        <w:t xml:space="preserve"> </w:t>
      </w:r>
      <w:r>
        <w:rPr>
          <w:rFonts w:eastAsia="標楷體" w:cs="標楷體" w:ascii="標楷體" w:hAnsi="標楷體"/>
          <w:sz w:val="26"/>
          <w:szCs w:val="26"/>
        </w:rPr>
        <w:t>C</w:t>
      </w:r>
      <w:r>
        <w:rPr>
          <w:rFonts w:ascii="標楷體" w:hAnsi="標楷體" w:cs="標楷體" w:eastAsia="標楷體"/>
          <w:sz w:val="26"/>
          <w:szCs w:val="26"/>
        </w:rPr>
        <w:t>級的管制毒品，愷他命使用者從</w:t>
      </w:r>
      <w:r>
        <w:rPr>
          <w:rFonts w:eastAsia="標楷體" w:cs="標楷體" w:ascii="標楷體" w:hAnsi="標楷體"/>
          <w:sz w:val="26"/>
          <w:szCs w:val="26"/>
        </w:rPr>
        <w:t>2006/07</w:t>
      </w:r>
      <w:r>
        <w:rPr>
          <w:rFonts w:ascii="標楷體" w:hAnsi="標楷體" w:cs="標楷體" w:eastAsia="標楷體"/>
          <w:sz w:val="26"/>
          <w:szCs w:val="26"/>
        </w:rPr>
        <w:t>年</w:t>
      </w:r>
      <w:r>
        <w:rPr>
          <w:rFonts w:eastAsia="標楷體" w:cs="標楷體" w:ascii="標楷體" w:hAnsi="標楷體"/>
          <w:sz w:val="26"/>
          <w:szCs w:val="26"/>
        </w:rPr>
        <w:t>85,000</w:t>
      </w:r>
      <w:r>
        <w:rPr>
          <w:rFonts w:ascii="標楷體" w:hAnsi="標楷體" w:cs="標楷體" w:eastAsia="標楷體"/>
          <w:sz w:val="26"/>
          <w:szCs w:val="26"/>
        </w:rPr>
        <w:t>位增加至</w:t>
      </w:r>
      <w:r>
        <w:rPr>
          <w:rFonts w:eastAsia="標楷體" w:cs="標楷體" w:ascii="標楷體" w:hAnsi="標楷體"/>
          <w:sz w:val="26"/>
          <w:szCs w:val="26"/>
        </w:rPr>
        <w:t>2008/09</w:t>
      </w:r>
      <w:r>
        <w:rPr>
          <w:rFonts w:ascii="標楷體" w:hAnsi="標楷體" w:cs="標楷體" w:eastAsia="標楷體"/>
          <w:sz w:val="26"/>
          <w:szCs w:val="26"/>
        </w:rPr>
        <w:t>年的</w:t>
      </w:r>
      <w:r>
        <w:rPr>
          <w:rFonts w:eastAsia="標楷體" w:cs="標楷體" w:ascii="標楷體" w:hAnsi="標楷體"/>
          <w:sz w:val="26"/>
          <w:szCs w:val="26"/>
        </w:rPr>
        <w:t>113,000</w:t>
      </w:r>
      <w:r>
        <w:rPr>
          <w:rFonts w:ascii="標楷體" w:hAnsi="標楷體" w:cs="標楷體" w:eastAsia="標楷體"/>
          <w:sz w:val="26"/>
          <w:szCs w:val="26"/>
        </w:rPr>
        <w:t>位。</w:t>
      </w:r>
      <w:r>
        <w:rPr>
          <w:rFonts w:eastAsia="標楷體" w:cs="標楷體" w:ascii="標楷體" w:hAnsi="標楷體"/>
          <w:sz w:val="26"/>
          <w:szCs w:val="26"/>
        </w:rPr>
        <w:t>2006/07</w:t>
      </w:r>
      <w:r>
        <w:rPr>
          <w:rFonts w:ascii="標楷體" w:hAnsi="標楷體" w:cs="標楷體" w:eastAsia="標楷體"/>
          <w:sz w:val="26"/>
          <w:szCs w:val="26"/>
        </w:rPr>
        <w:t>年到</w:t>
      </w:r>
      <w:r>
        <w:rPr>
          <w:rFonts w:eastAsia="標楷體" w:cs="標楷體" w:ascii="標楷體" w:hAnsi="標楷體"/>
          <w:sz w:val="26"/>
          <w:szCs w:val="26"/>
        </w:rPr>
        <w:t>2008/09</w:t>
      </w:r>
      <w:r>
        <w:rPr>
          <w:rFonts w:ascii="標楷體" w:hAnsi="標楷體" w:cs="標楷體" w:eastAsia="標楷體"/>
          <w:sz w:val="26"/>
          <w:szCs w:val="26"/>
        </w:rPr>
        <w:t>年比較，愷他命的盛行率在</w:t>
      </w:r>
      <w:r>
        <w:rPr>
          <w:rFonts w:eastAsia="標楷體" w:cs="標楷體" w:ascii="標楷體" w:hAnsi="標楷體"/>
          <w:sz w:val="26"/>
          <w:szCs w:val="26"/>
        </w:rPr>
        <w:t>16-24</w:t>
      </w:r>
      <w:r>
        <w:rPr>
          <w:rFonts w:ascii="標楷體" w:hAnsi="標楷體" w:cs="標楷體" w:eastAsia="標楷體"/>
          <w:sz w:val="26"/>
          <w:szCs w:val="26"/>
        </w:rPr>
        <w:t>歲的族群中增加兩倍</w:t>
      </w:r>
      <w:r>
        <w:rPr>
          <w:rFonts w:eastAsia="標楷體" w:cs="標楷體" w:ascii="標楷體" w:hAnsi="標楷體"/>
          <w:sz w:val="26"/>
          <w:szCs w:val="26"/>
        </w:rPr>
        <w:t>(</w:t>
      </w:r>
      <w:r>
        <w:rPr>
          <w:rFonts w:ascii="標楷體" w:hAnsi="標楷體" w:cs="標楷體" w:eastAsia="標楷體"/>
          <w:sz w:val="26"/>
          <w:szCs w:val="26"/>
        </w:rPr>
        <w:t>從</w:t>
      </w:r>
      <w:r>
        <w:rPr>
          <w:rFonts w:eastAsia="標楷體" w:cs="標楷體" w:ascii="標楷體" w:hAnsi="標楷體"/>
          <w:sz w:val="26"/>
          <w:szCs w:val="26"/>
        </w:rPr>
        <w:t>0.9%</w:t>
      </w:r>
      <w:r>
        <w:rPr>
          <w:rFonts w:ascii="標楷體" w:hAnsi="標楷體" w:cs="標楷體" w:eastAsia="標楷體"/>
          <w:sz w:val="26"/>
          <w:szCs w:val="26"/>
        </w:rPr>
        <w:t>至</w:t>
      </w:r>
      <w:r>
        <w:rPr>
          <w:rFonts w:eastAsia="標楷體" w:cs="標楷體" w:ascii="標楷體" w:hAnsi="標楷體"/>
          <w:sz w:val="26"/>
          <w:szCs w:val="26"/>
        </w:rPr>
        <w:t>1.9%)</w:t>
      </w:r>
      <w:r>
        <w:rPr>
          <w:rFonts w:ascii="標楷體" w:hAnsi="標楷體" w:cs="標楷體" w:eastAsia="標楷體"/>
          <w:sz w:val="26"/>
          <w:szCs w:val="26"/>
        </w:rPr>
        <w:t>。</w:t>
      </w:r>
      <w:r>
        <w:rPr>
          <w:rFonts w:eastAsia="標楷體" w:cs="標楷體" w:ascii="標楷體" w:hAnsi="標楷體"/>
          <w:sz w:val="26"/>
          <w:szCs w:val="26"/>
        </w:rPr>
        <w:t>2009/10</w:t>
      </w:r>
      <w:r>
        <w:rPr>
          <w:rFonts w:ascii="標楷體" w:hAnsi="標楷體" w:cs="標楷體" w:eastAsia="標楷體"/>
          <w:sz w:val="26"/>
          <w:szCs w:val="26"/>
        </w:rPr>
        <w:t>年則持平為</w:t>
      </w:r>
      <w:r>
        <w:rPr>
          <w:rFonts w:eastAsia="標楷體" w:cs="標楷體" w:ascii="標楷體" w:hAnsi="標楷體"/>
          <w:sz w:val="26"/>
          <w:szCs w:val="26"/>
        </w:rPr>
        <w:t>1.7%</w:t>
      </w:r>
      <w:r>
        <w:rPr>
          <w:rFonts w:ascii="標楷體" w:hAnsi="標楷體" w:cs="標楷體" w:eastAsia="標楷體"/>
          <w:sz w:val="26"/>
          <w:szCs w:val="26"/>
        </w:rPr>
        <w:t>。以英國俱樂部次文化的族群做為研究對象時，</w:t>
      </w:r>
      <w:r>
        <w:rPr>
          <w:rFonts w:eastAsia="標楷體" w:cs="標楷體" w:ascii="標楷體" w:hAnsi="標楷體"/>
          <w:sz w:val="26"/>
          <w:szCs w:val="26"/>
        </w:rPr>
        <w:t>2001</w:t>
      </w:r>
      <w:r>
        <w:rPr>
          <w:rFonts w:ascii="標楷體" w:hAnsi="標楷體" w:cs="標楷體" w:eastAsia="標楷體"/>
          <w:sz w:val="26"/>
          <w:szCs w:val="26"/>
        </w:rPr>
        <w:t>年約有</w:t>
      </w:r>
      <w:r>
        <w:rPr>
          <w:rFonts w:eastAsia="標楷體" w:cs="標楷體" w:ascii="標楷體" w:hAnsi="標楷體"/>
          <w:sz w:val="26"/>
          <w:szCs w:val="26"/>
        </w:rPr>
        <w:t>25%</w:t>
      </w:r>
      <w:r>
        <w:rPr>
          <w:rFonts w:ascii="標楷體" w:hAnsi="標楷體" w:cs="標楷體" w:eastAsia="標楷體"/>
          <w:sz w:val="26"/>
          <w:szCs w:val="26"/>
        </w:rPr>
        <w:t>的人使用過愷他命，到</w:t>
      </w:r>
      <w:r>
        <w:rPr>
          <w:rFonts w:eastAsia="標楷體" w:cs="標楷體" w:ascii="標楷體" w:hAnsi="標楷體"/>
          <w:sz w:val="26"/>
          <w:szCs w:val="26"/>
        </w:rPr>
        <w:t>2009</w:t>
      </w:r>
      <w:r>
        <w:rPr>
          <w:rFonts w:ascii="標楷體" w:hAnsi="標楷體" w:cs="標楷體" w:eastAsia="標楷體"/>
          <w:sz w:val="26"/>
          <w:szCs w:val="26"/>
        </w:rPr>
        <w:t>年，使用過的比例增加至</w:t>
      </w:r>
      <w:r>
        <w:rPr>
          <w:rFonts w:eastAsia="標楷體" w:cs="標楷體" w:ascii="標楷體" w:hAnsi="標楷體"/>
          <w:sz w:val="26"/>
          <w:szCs w:val="26"/>
        </w:rPr>
        <w:t>68%</w:t>
      </w:r>
      <w:r>
        <w:rPr>
          <w:rFonts w:ascii="標楷體" w:hAnsi="標楷體" w:cs="標楷體" w:eastAsia="標楷體"/>
          <w:sz w:val="26"/>
          <w:szCs w:val="26"/>
        </w:rPr>
        <w:t>。</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在美國，愷他命被列為三級管制藥品，在</w:t>
      </w:r>
      <w:r>
        <w:rPr>
          <w:rFonts w:eastAsia="標楷體" w:cs="標楷體" w:ascii="標楷體" w:hAnsi="標楷體"/>
          <w:sz w:val="26"/>
          <w:szCs w:val="26"/>
        </w:rPr>
        <w:t>10-12</w:t>
      </w:r>
      <w:r>
        <w:rPr>
          <w:rFonts w:ascii="標楷體" w:hAnsi="標楷體" w:cs="標楷體" w:eastAsia="標楷體"/>
          <w:sz w:val="26"/>
          <w:szCs w:val="26"/>
        </w:rPr>
        <w:t>年級的青少年中，盛行率約為</w:t>
      </w:r>
      <w:r>
        <w:rPr>
          <w:rFonts w:eastAsia="標楷體" w:cs="標楷體" w:ascii="標楷體" w:hAnsi="標楷體"/>
          <w:sz w:val="26"/>
          <w:szCs w:val="26"/>
        </w:rPr>
        <w:t>1-2%</w:t>
      </w:r>
      <w:r>
        <w:rPr>
          <w:rFonts w:ascii="標楷體" w:hAnsi="標楷體" w:cs="標楷體" w:eastAsia="標楷體"/>
          <w:sz w:val="26"/>
          <w:szCs w:val="26"/>
        </w:rPr>
        <w:t>。在香港，自</w:t>
      </w:r>
      <w:r>
        <w:rPr>
          <w:rFonts w:eastAsia="標楷體" w:cs="標楷體" w:ascii="標楷體" w:hAnsi="標楷體"/>
          <w:sz w:val="26"/>
          <w:szCs w:val="26"/>
        </w:rPr>
        <w:t>2005</w:t>
      </w:r>
      <w:r>
        <w:rPr>
          <w:rFonts w:ascii="標楷體" w:hAnsi="標楷體" w:cs="標楷體" w:eastAsia="標楷體"/>
          <w:sz w:val="26"/>
          <w:szCs w:val="26"/>
        </w:rPr>
        <w:t>年開始，愷他命已成為</w:t>
      </w:r>
      <w:r>
        <w:rPr>
          <w:rFonts w:eastAsia="標楷體" w:cs="標楷體" w:ascii="標楷體" w:hAnsi="標楷體"/>
          <w:sz w:val="26"/>
          <w:szCs w:val="26"/>
        </w:rPr>
        <w:t>21</w:t>
      </w:r>
      <w:r>
        <w:rPr>
          <w:rFonts w:ascii="標楷體" w:hAnsi="標楷體" w:cs="標楷體" w:eastAsia="標楷體"/>
          <w:sz w:val="26"/>
          <w:szCs w:val="26"/>
        </w:rPr>
        <w:t>歲以下的族群最常使用的毒品。至</w:t>
      </w:r>
      <w:r>
        <w:rPr>
          <w:rFonts w:eastAsia="標楷體" w:cs="標楷體" w:ascii="標楷體" w:hAnsi="標楷體"/>
          <w:sz w:val="26"/>
          <w:szCs w:val="26"/>
        </w:rPr>
        <w:t>2008</w:t>
      </w:r>
      <w:r>
        <w:rPr>
          <w:rFonts w:ascii="標楷體" w:hAnsi="標楷體" w:cs="標楷體" w:eastAsia="標楷體"/>
          <w:sz w:val="26"/>
          <w:szCs w:val="26"/>
        </w:rPr>
        <w:t>年，</w:t>
      </w:r>
      <w:r>
        <w:rPr>
          <w:rFonts w:eastAsia="標楷體" w:cs="標楷體" w:ascii="標楷體" w:hAnsi="標楷體"/>
          <w:sz w:val="26"/>
          <w:szCs w:val="26"/>
        </w:rPr>
        <w:t>21</w:t>
      </w:r>
      <w:r>
        <w:rPr>
          <w:rFonts w:ascii="標楷體" w:hAnsi="標楷體" w:cs="標楷體" w:eastAsia="標楷體"/>
          <w:sz w:val="26"/>
          <w:szCs w:val="26"/>
        </w:rPr>
        <w:t>歲以下濫用毒品的族群中，有</w:t>
      </w:r>
      <w:r>
        <w:rPr>
          <w:rFonts w:eastAsia="標楷體" w:cs="標楷體" w:ascii="標楷體" w:hAnsi="標楷體"/>
          <w:sz w:val="26"/>
          <w:szCs w:val="26"/>
        </w:rPr>
        <w:t>85%</w:t>
      </w:r>
      <w:r>
        <w:rPr>
          <w:rFonts w:ascii="標楷體" w:hAnsi="標楷體" w:cs="標楷體" w:eastAsia="標楷體"/>
          <w:sz w:val="26"/>
          <w:szCs w:val="26"/>
        </w:rPr>
        <w:t>是愷他命使用者。</w:t>
      </w:r>
    </w:p>
    <w:p>
      <w:pPr>
        <w:pStyle w:val="Normal"/>
        <w:snapToGrid w:val="false"/>
        <w:spacing w:lineRule="exact" w:line="480"/>
        <w:ind w:firstLine="520"/>
        <w:jc w:val="both"/>
        <w:rPr/>
      </w:pPr>
      <w:r>
        <w:rPr>
          <w:rFonts w:ascii="標楷體" w:hAnsi="標楷體" w:cs="標楷體" w:eastAsia="標楷體"/>
          <w:sz w:val="26"/>
          <w:szCs w:val="26"/>
        </w:rPr>
        <w:t>就台灣的現行濫用情形，陳為堅教授</w:t>
      </w:r>
      <w:r>
        <w:rPr>
          <w:rFonts w:eastAsia="標楷體" w:cs="標楷體" w:ascii="標楷體" w:hAnsi="標楷體"/>
          <w:sz w:val="26"/>
          <w:szCs w:val="26"/>
        </w:rPr>
        <w:t>2004</w:t>
      </w:r>
      <w:r>
        <w:rPr>
          <w:rFonts w:ascii="標楷體" w:hAnsi="標楷體" w:cs="標楷體" w:eastAsia="標楷體"/>
          <w:sz w:val="26"/>
          <w:szCs w:val="26"/>
        </w:rPr>
        <w:t>年到</w:t>
      </w:r>
      <w:r>
        <w:rPr>
          <w:rFonts w:eastAsia="標楷體" w:cs="標楷體" w:ascii="標楷體" w:hAnsi="標楷體"/>
          <w:sz w:val="26"/>
          <w:szCs w:val="26"/>
        </w:rPr>
        <w:t>2006</w:t>
      </w:r>
      <w:r>
        <w:rPr>
          <w:rFonts w:ascii="標楷體" w:hAnsi="標楷體" w:cs="標楷體" w:eastAsia="標楷體"/>
          <w:sz w:val="26"/>
          <w:szCs w:val="26"/>
        </w:rPr>
        <w:t>年的全國在學青少年藥物調查中顯示，非法藥物的盛行率和發生率中，愷他命為最常被青少年使用的非法藥物之一（盛行率：</w:t>
      </w:r>
      <w:r>
        <w:rPr>
          <w:rFonts w:eastAsia="標楷體" w:cs="標楷體" w:ascii="標楷體" w:hAnsi="標楷體"/>
          <w:sz w:val="26"/>
          <w:szCs w:val="26"/>
        </w:rPr>
        <w:t>0.06%-0.08%, 2006</w:t>
      </w:r>
      <w:r>
        <w:rPr>
          <w:rFonts w:ascii="標楷體" w:hAnsi="標楷體" w:cs="標楷體" w:eastAsia="標楷體"/>
          <w:sz w:val="26"/>
          <w:szCs w:val="26"/>
        </w:rPr>
        <w:t>年），且其流行的趨勢已漸超越</w:t>
      </w:r>
      <w:r>
        <w:rPr>
          <w:rFonts w:ascii="標楷體" w:hAnsi="標楷體" w:cs="新細明體;PMingLiU" w:eastAsia="標楷體"/>
          <w:kern w:val="0"/>
          <w:sz w:val="26"/>
          <w:szCs w:val="26"/>
        </w:rPr>
        <w:t>搖頭丸（</w:t>
      </w:r>
      <w:r>
        <w:rPr>
          <w:rFonts w:eastAsia="標楷體" w:cs="新細明體;PMingLiU" w:ascii="標楷體" w:hAnsi="標楷體"/>
          <w:kern w:val="0"/>
          <w:sz w:val="26"/>
          <w:szCs w:val="26"/>
        </w:rPr>
        <w:t>MDMA</w:t>
      </w:r>
      <w:r>
        <w:rPr>
          <w:rFonts w:ascii="標楷體" w:hAnsi="標楷體" w:cs="新細明體;PMingLiU" w:eastAsia="標楷體"/>
          <w:kern w:val="0"/>
          <w:sz w:val="26"/>
          <w:szCs w:val="26"/>
        </w:rPr>
        <w:t>）</w:t>
      </w:r>
      <w:r>
        <w:rPr>
          <w:rFonts w:ascii="標楷體" w:hAnsi="標楷體" w:cs="標楷體" w:eastAsia="標楷體"/>
          <w:sz w:val="26"/>
          <w:szCs w:val="26"/>
        </w:rPr>
        <w:t>。「</w:t>
      </w:r>
      <w:r>
        <w:rPr>
          <w:rFonts w:eastAsia="標楷體" w:cs="標楷體" w:ascii="標楷體" w:hAnsi="標楷體"/>
          <w:sz w:val="26"/>
          <w:szCs w:val="26"/>
        </w:rPr>
        <w:t>2009</w:t>
      </w:r>
      <w:r>
        <w:rPr>
          <w:rFonts w:ascii="標楷體" w:hAnsi="標楷體" w:cs="標楷體" w:eastAsia="標楷體"/>
          <w:sz w:val="26"/>
          <w:szCs w:val="26"/>
        </w:rPr>
        <w:t>年國民健康訪問暨藥物濫用調查」也顯示愷他命為台灣第二常被使用的非法藥物（盛行率：</w:t>
      </w:r>
      <w:r>
        <w:rPr>
          <w:rFonts w:eastAsia="標楷體" w:cs="標楷體" w:ascii="標楷體" w:hAnsi="標楷體"/>
          <w:sz w:val="26"/>
          <w:szCs w:val="26"/>
        </w:rPr>
        <w:t>0.54%</w:t>
      </w:r>
      <w:r>
        <w:rPr>
          <w:rFonts w:ascii="標楷體" w:hAnsi="標楷體" w:cs="標楷體" w:eastAsia="標楷體"/>
          <w:sz w:val="26"/>
          <w:szCs w:val="26"/>
        </w:rPr>
        <w:t>）。</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11" w:name="__RefHeading___Toc358384671"/>
      <w:bookmarkEnd w:id="11"/>
      <w:r>
        <w:rPr>
          <w:rFonts w:ascii="標楷體" w:hAnsi="標楷體" w:cs="標楷體" w:eastAsia="標楷體"/>
          <w:b/>
          <w:bCs/>
          <w:spacing w:val="-2"/>
          <w:kern w:val="0"/>
          <w:sz w:val="32"/>
          <w:szCs w:val="32"/>
        </w:rPr>
        <w:t>二、急性中毒的危害</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使用愷他命會出現「解離症狀」，同時又有麻醉效果，因此使用者辨識周圍環境的危險及警覺性會降低。愷他命也因上述特性，在國外與液態快樂丸（</w:t>
      </w:r>
      <w:r>
        <w:rPr>
          <w:rFonts w:eastAsia="標楷體" w:cs="標楷體" w:ascii="標楷體" w:hAnsi="標楷體"/>
          <w:sz w:val="26"/>
          <w:szCs w:val="26"/>
        </w:rPr>
        <w:t>GHB</w:t>
      </w:r>
      <w:r>
        <w:rPr>
          <w:rFonts w:ascii="標楷體" w:hAnsi="標楷體" w:cs="標楷體" w:eastAsia="標楷體"/>
          <w:sz w:val="26"/>
          <w:szCs w:val="26"/>
        </w:rPr>
        <w:t>）及氟硝西泮（</w:t>
      </w:r>
      <w:r>
        <w:rPr>
          <w:rFonts w:eastAsia="標楷體" w:cs="標楷體" w:ascii="標楷體" w:hAnsi="標楷體"/>
          <w:sz w:val="26"/>
          <w:szCs w:val="26"/>
        </w:rPr>
        <w:t>FM2</w:t>
      </w:r>
      <w:r>
        <w:rPr>
          <w:rFonts w:ascii="標楷體" w:hAnsi="標楷體" w:cs="標楷體" w:eastAsia="標楷體"/>
          <w:sz w:val="26"/>
          <w:szCs w:val="26"/>
        </w:rPr>
        <w:t>）並稱三大強姦藥物。文獻也指出愷他命在急性中毒時期容易發生各種意外事故及死亡事故，因此愷他命急性中毒的個案均應有未使用藥物的人陪伴，以避免意外傷害的發生。</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英國的研究顯示入急診的</w:t>
      </w:r>
      <w:r>
        <w:rPr>
          <w:rFonts w:eastAsia="標楷體" w:cs="標楷體" w:ascii="標楷體" w:hAnsi="標楷體"/>
          <w:sz w:val="26"/>
          <w:szCs w:val="26"/>
        </w:rPr>
        <w:t>116</w:t>
      </w:r>
      <w:r>
        <w:rPr>
          <w:rFonts w:ascii="標楷體" w:hAnsi="標楷體" w:cs="標楷體" w:eastAsia="標楷體"/>
          <w:sz w:val="26"/>
          <w:szCs w:val="26"/>
        </w:rPr>
        <w:t>位愷他命使用者中，只有</w:t>
      </w:r>
      <w:r>
        <w:rPr>
          <w:rFonts w:eastAsia="標楷體" w:cs="標楷體" w:ascii="標楷體" w:hAnsi="標楷體"/>
          <w:sz w:val="26"/>
          <w:szCs w:val="26"/>
        </w:rPr>
        <w:t>11%</w:t>
      </w:r>
      <w:r>
        <w:rPr>
          <w:rFonts w:ascii="標楷體" w:hAnsi="標楷體" w:cs="標楷體" w:eastAsia="標楷體"/>
          <w:sz w:val="26"/>
          <w:szCs w:val="26"/>
        </w:rPr>
        <w:t>的個案單獨使用愷他命，其餘個案均同時使用其他物質，包含酒精</w:t>
      </w:r>
      <w:r>
        <w:rPr>
          <w:rFonts w:eastAsia="標楷體" w:cs="標楷體" w:ascii="標楷體" w:hAnsi="標楷體"/>
          <w:sz w:val="26"/>
          <w:szCs w:val="26"/>
        </w:rPr>
        <w:t>(39%)</w:t>
      </w:r>
      <w:r>
        <w:rPr>
          <w:rFonts w:ascii="標楷體" w:hAnsi="標楷體" w:cs="標楷體" w:eastAsia="標楷體"/>
          <w:sz w:val="26"/>
          <w:szCs w:val="26"/>
        </w:rPr>
        <w:t>、液態快樂丸</w:t>
      </w:r>
      <w:r>
        <w:rPr>
          <w:rFonts w:eastAsia="標楷體" w:cs="標楷體" w:ascii="標楷體" w:hAnsi="標楷體"/>
          <w:sz w:val="26"/>
          <w:szCs w:val="26"/>
        </w:rPr>
        <w:t>(47%)</w:t>
      </w:r>
      <w:r>
        <w:rPr>
          <w:rFonts w:ascii="標楷體" w:hAnsi="標楷體" w:cs="標楷體" w:eastAsia="標楷體"/>
          <w:sz w:val="26"/>
          <w:szCs w:val="26"/>
        </w:rPr>
        <w:t>、古柯鹼</w:t>
      </w:r>
      <w:r>
        <w:rPr>
          <w:rFonts w:eastAsia="標楷體" w:cs="標楷體" w:ascii="標楷體" w:hAnsi="標楷體"/>
          <w:sz w:val="26"/>
          <w:szCs w:val="26"/>
        </w:rPr>
        <w:t>(19%)</w:t>
      </w:r>
      <w:r>
        <w:rPr>
          <w:rFonts w:ascii="標楷體" w:hAnsi="標楷體" w:cs="標楷體" w:eastAsia="標楷體"/>
          <w:sz w:val="26"/>
          <w:szCs w:val="26"/>
        </w:rPr>
        <w:t>、及搖頭丸</w:t>
      </w:r>
      <w:r>
        <w:rPr>
          <w:rFonts w:eastAsia="標楷體" w:cs="標楷體" w:ascii="標楷體" w:hAnsi="標楷體"/>
          <w:sz w:val="26"/>
          <w:szCs w:val="26"/>
        </w:rPr>
        <w:t>(53%)</w:t>
      </w:r>
      <w:r>
        <w:rPr>
          <w:rFonts w:ascii="標楷體" w:hAnsi="標楷體" w:cs="標楷體" w:eastAsia="標楷體"/>
          <w:sz w:val="26"/>
          <w:szCs w:val="26"/>
        </w:rPr>
        <w:t>。因此多種物質混合所造成的急性中毒症狀也需同時注意。</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香港文獻指出因使用愷他命而入急診的常見症狀包含：失去意識</w:t>
      </w:r>
      <w:r>
        <w:rPr>
          <w:rFonts w:eastAsia="標楷體" w:cs="標楷體" w:ascii="標楷體" w:hAnsi="標楷體"/>
          <w:sz w:val="26"/>
          <w:szCs w:val="26"/>
        </w:rPr>
        <w:t>(45%)</w:t>
      </w:r>
      <w:r>
        <w:rPr>
          <w:rFonts w:ascii="標楷體" w:hAnsi="標楷體" w:cs="標楷體" w:eastAsia="標楷體"/>
          <w:sz w:val="26"/>
          <w:szCs w:val="26"/>
        </w:rPr>
        <w:t>、腹痛</w:t>
      </w:r>
      <w:r>
        <w:rPr>
          <w:rFonts w:eastAsia="標楷體" w:cs="標楷體" w:ascii="標楷體" w:hAnsi="標楷體"/>
          <w:sz w:val="26"/>
          <w:szCs w:val="26"/>
        </w:rPr>
        <w:t>(21%)</w:t>
      </w:r>
      <w:r>
        <w:rPr>
          <w:rFonts w:ascii="標楷體" w:hAnsi="標楷體" w:cs="標楷體" w:eastAsia="標楷體"/>
          <w:sz w:val="26"/>
          <w:szCs w:val="26"/>
        </w:rPr>
        <w:t>、下泌尿道症狀</w:t>
      </w:r>
      <w:r>
        <w:rPr>
          <w:rFonts w:eastAsia="標楷體" w:cs="標楷體" w:ascii="標楷體" w:hAnsi="標楷體"/>
          <w:sz w:val="26"/>
          <w:szCs w:val="26"/>
        </w:rPr>
        <w:t>(12%)</w:t>
      </w:r>
      <w:r>
        <w:rPr>
          <w:rFonts w:ascii="標楷體" w:hAnsi="標楷體" w:cs="標楷體" w:eastAsia="標楷體"/>
          <w:sz w:val="26"/>
          <w:szCs w:val="26"/>
        </w:rPr>
        <w:t>、及頭暈</w:t>
      </w:r>
      <w:r>
        <w:rPr>
          <w:rFonts w:eastAsia="標楷體" w:cs="標楷體" w:ascii="標楷體" w:hAnsi="標楷體"/>
          <w:sz w:val="26"/>
          <w:szCs w:val="26"/>
        </w:rPr>
        <w:t>(12%)</w:t>
      </w:r>
      <w:r>
        <w:rPr>
          <w:rFonts w:ascii="標楷體" w:hAnsi="標楷體" w:cs="標楷體" w:eastAsia="標楷體"/>
          <w:sz w:val="26"/>
          <w:szCs w:val="26"/>
        </w:rPr>
        <w:t>。發現愷他命急性中毒的最常見症狀為血壓升高</w:t>
      </w:r>
      <w:r>
        <w:rPr>
          <w:rFonts w:eastAsia="標楷體" w:cs="標楷體" w:ascii="標楷體" w:hAnsi="標楷體"/>
          <w:sz w:val="26"/>
          <w:szCs w:val="26"/>
        </w:rPr>
        <w:t>(40%)</w:t>
      </w:r>
      <w:r>
        <w:rPr>
          <w:rFonts w:ascii="標楷體" w:hAnsi="標楷體" w:cs="標楷體" w:eastAsia="標楷體"/>
          <w:sz w:val="26"/>
          <w:szCs w:val="26"/>
        </w:rPr>
        <w:t>、心搏增加</w:t>
      </w:r>
      <w:r>
        <w:rPr>
          <w:rFonts w:eastAsia="標楷體" w:cs="標楷體" w:ascii="標楷體" w:hAnsi="標楷體"/>
          <w:sz w:val="26"/>
          <w:szCs w:val="26"/>
        </w:rPr>
        <w:t>(39%)</w:t>
      </w:r>
      <w:r>
        <w:rPr>
          <w:rFonts w:ascii="標楷體" w:hAnsi="標楷體" w:cs="標楷體" w:eastAsia="標楷體"/>
          <w:sz w:val="26"/>
          <w:szCs w:val="26"/>
        </w:rPr>
        <w:t>、腹部壓痛</w:t>
      </w:r>
      <w:r>
        <w:rPr>
          <w:rFonts w:eastAsia="標楷體" w:cs="標楷體" w:ascii="標楷體" w:hAnsi="標楷體"/>
          <w:sz w:val="26"/>
          <w:szCs w:val="26"/>
        </w:rPr>
        <w:t>(18%)</w:t>
      </w:r>
      <w:r>
        <w:rPr>
          <w:rFonts w:ascii="標楷體" w:hAnsi="標楷體" w:cs="標楷體" w:eastAsia="標楷體"/>
          <w:sz w:val="26"/>
          <w:szCs w:val="26"/>
        </w:rPr>
        <w:t>、及在鼻孔處有白色粉末</w:t>
      </w:r>
      <w:r>
        <w:rPr>
          <w:rFonts w:eastAsia="標楷體" w:cs="標楷體" w:ascii="標楷體" w:hAnsi="標楷體"/>
          <w:sz w:val="26"/>
          <w:szCs w:val="26"/>
        </w:rPr>
        <w:t>(17%)</w:t>
      </w:r>
      <w:r>
        <w:rPr>
          <w:rFonts w:ascii="標楷體" w:hAnsi="標楷體" w:cs="標楷體" w:eastAsia="標楷體"/>
          <w:sz w:val="26"/>
          <w:szCs w:val="26"/>
        </w:rPr>
        <w:t>。</w:t>
      </w:r>
    </w:p>
    <w:p>
      <w:pPr>
        <w:pStyle w:val="Normal"/>
        <w:snapToGrid w:val="false"/>
        <w:spacing w:lineRule="exact" w:line="480"/>
        <w:ind w:firstLine="520"/>
        <w:jc w:val="both"/>
        <w:rPr/>
      </w:pPr>
      <w:r>
        <w:rPr>
          <w:rFonts w:ascii="標楷體" w:hAnsi="標楷體" w:cs="標楷體" w:eastAsia="標楷體"/>
          <w:sz w:val="26"/>
          <w:szCs w:val="26"/>
        </w:rPr>
        <w:t>愷他命會造成心搏增加，心臟輸出率增加、及血壓升高。因此使用愷他命對有心臟疾患、高血壓、中風、及腦壓較高的個案，風險更高。若同時併用其他中樞神經興奮劑時，對心血管系統的負荷更高。</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12" w:name="__RefHeading___Toc358384672"/>
      <w:bookmarkEnd w:id="12"/>
      <w:r>
        <w:rPr>
          <w:rFonts w:ascii="標楷體" w:hAnsi="標楷體" w:cs="標楷體" w:eastAsia="標楷體"/>
          <w:b/>
          <w:bCs/>
          <w:spacing w:val="-2"/>
          <w:kern w:val="0"/>
          <w:sz w:val="32"/>
          <w:szCs w:val="32"/>
        </w:rPr>
        <w:t>三、愷他命引發之潰瘍性膀胱炎</w:t>
      </w:r>
    </w:p>
    <w:p>
      <w:pPr>
        <w:pStyle w:val="Normal"/>
        <w:snapToGrid w:val="false"/>
        <w:spacing w:lineRule="exact" w:line="480"/>
        <w:ind w:firstLine="520"/>
        <w:jc w:val="both"/>
        <w:rPr>
          <w:rFonts w:ascii="標楷體" w:hAnsi="標楷體" w:eastAsia="標楷體" w:cs="Times"/>
          <w:sz w:val="26"/>
          <w:szCs w:val="26"/>
        </w:rPr>
      </w:pPr>
      <w:r>
        <w:rPr>
          <w:rFonts w:ascii="標楷體" w:hAnsi="標楷體" w:cs="標楷體" w:eastAsia="標楷體"/>
          <w:sz w:val="26"/>
          <w:szCs w:val="26"/>
        </w:rPr>
        <w:t>愷他命所引發的潰瘍性膀胱炎對使用者可能造成嚴重且長期的影響。其症狀包含頻尿、解尿困難及</w:t>
      </w:r>
      <w:r>
        <w:rPr>
          <w:rFonts w:ascii="標楷體" w:hAnsi="標楷體" w:cs="標楷體" w:eastAsia="標楷體"/>
          <w:sz w:val="26"/>
          <w:szCs w:val="26"/>
        </w:rPr>
        <w:t>疼痛、憋不住尿、下腹部或會陰疼痛</w:t>
      </w:r>
      <w:r>
        <w:rPr>
          <w:rFonts w:ascii="標楷體" w:hAnsi="標楷體" w:cs="標楷體" w:eastAsia="標楷體"/>
          <w:sz w:val="26"/>
          <w:szCs w:val="26"/>
        </w:rPr>
        <w:t>。電腦斷層檢查顯示此類個案的</w:t>
      </w:r>
      <w:r>
        <w:rPr>
          <w:rFonts w:ascii="標楷體" w:hAnsi="標楷體" w:cs="標楷體" w:eastAsia="標楷體"/>
          <w:sz w:val="26"/>
          <w:szCs w:val="26"/>
        </w:rPr>
        <w:t>膀胱壁增厚</w:t>
      </w:r>
      <w:r>
        <w:rPr>
          <w:rFonts w:ascii="標楷體" w:hAnsi="標楷體" w:cs="標楷體" w:eastAsia="標楷體"/>
          <w:sz w:val="26"/>
          <w:szCs w:val="26"/>
        </w:rPr>
        <w:t>及</w:t>
      </w:r>
      <w:r>
        <w:rPr>
          <w:rFonts w:ascii="標楷體" w:hAnsi="標楷體" w:cs="標楷體" w:eastAsia="標楷體"/>
          <w:sz w:val="26"/>
          <w:szCs w:val="26"/>
        </w:rPr>
        <w:t>膀胱容量縮小</w:t>
      </w:r>
      <w:r>
        <w:rPr>
          <w:rFonts w:ascii="標楷體" w:hAnsi="標楷體" w:cs="標楷體" w:eastAsia="標楷體"/>
          <w:sz w:val="26"/>
          <w:szCs w:val="26"/>
        </w:rPr>
        <w:t>。膀胱鏡顯示膀胱壁有多處潰瘍及嚴重的</w:t>
      </w:r>
      <w:r>
        <w:rPr>
          <w:rFonts w:ascii="標楷體" w:hAnsi="標楷體" w:cs="標楷體" w:eastAsia="標楷體"/>
          <w:sz w:val="26"/>
          <w:szCs w:val="26"/>
        </w:rPr>
        <w:t>發炎</w:t>
      </w:r>
      <w:r>
        <w:rPr>
          <w:rFonts w:ascii="標楷體" w:hAnsi="標楷體" w:cs="標楷體" w:eastAsia="標楷體"/>
          <w:sz w:val="26"/>
          <w:szCs w:val="26"/>
        </w:rPr>
        <w:t>反應。目前認為頻繁使用者及長期使用者較易</w:t>
      </w:r>
      <w:r>
        <w:rPr>
          <w:rFonts w:ascii="標楷體" w:hAnsi="標楷體" w:cs="標楷體" w:eastAsia="標楷體"/>
          <w:sz w:val="26"/>
          <w:szCs w:val="26"/>
        </w:rPr>
        <w:t>出現潰瘍性膀胱炎</w:t>
      </w:r>
      <w:r>
        <w:rPr>
          <w:rFonts w:eastAsia="標楷體" w:cs="標楷體" w:ascii="標楷體" w:hAnsi="標楷體"/>
          <w:sz w:val="26"/>
          <w:szCs w:val="26"/>
        </w:rPr>
        <w:t>(</w:t>
      </w:r>
      <w:r>
        <w:rPr>
          <w:rFonts w:ascii="標楷體" w:hAnsi="標楷體" w:cs="標楷體" w:eastAsia="標楷體"/>
          <w:sz w:val="26"/>
          <w:szCs w:val="26"/>
        </w:rPr>
        <w:t>圖示如下</w:t>
      </w:r>
      <w:r>
        <w:rPr>
          <w:rFonts w:eastAsia="標楷體" w:cs="標楷體" w:ascii="標楷體" w:hAnsi="標楷體"/>
          <w:sz w:val="26"/>
          <w:szCs w:val="26"/>
        </w:rPr>
        <w:t>)</w:t>
      </w:r>
      <w:r>
        <w:rPr>
          <w:rFonts w:ascii="標楷體" w:hAnsi="標楷體" w:cs="標楷體" w:eastAsia="標楷體"/>
          <w:sz w:val="26"/>
          <w:szCs w:val="26"/>
        </w:rPr>
        <w:t>。英國文獻指出約有三分之一的個案會出現泌尿道症狀。而在有泌尿道症狀後</w:t>
      </w:r>
      <w:r>
        <w:rPr>
          <w:rFonts w:ascii="標楷體" w:hAnsi="標楷體" w:cs="標楷體" w:eastAsia="標楷體"/>
          <w:sz w:val="26"/>
          <w:szCs w:val="26"/>
        </w:rPr>
        <w:t>才停</w:t>
      </w:r>
      <w:r>
        <w:rPr>
          <w:rFonts w:ascii="標楷體" w:hAnsi="標楷體" w:cs="標楷體" w:eastAsia="標楷體"/>
          <w:sz w:val="26"/>
          <w:szCs w:val="26"/>
        </w:rPr>
        <w:t>用愷</w:t>
      </w:r>
      <w:r>
        <w:rPr>
          <w:rFonts w:ascii="標楷體" w:hAnsi="標楷體" w:cs="標楷體" w:eastAsia="標楷體"/>
          <w:sz w:val="26"/>
          <w:szCs w:val="26"/>
        </w:rPr>
        <w:t>他命</w:t>
      </w:r>
      <w:r>
        <w:rPr>
          <w:rFonts w:ascii="標楷體" w:hAnsi="標楷體" w:cs="標楷體" w:eastAsia="標楷體"/>
          <w:sz w:val="26"/>
          <w:szCs w:val="26"/>
        </w:rPr>
        <w:t>時</w:t>
      </w:r>
      <w:r>
        <w:rPr>
          <w:rFonts w:ascii="標楷體" w:hAnsi="標楷體" w:cs="標楷體" w:eastAsia="標楷體"/>
          <w:sz w:val="26"/>
          <w:szCs w:val="26"/>
        </w:rPr>
        <w:t>，大約有三分之一的人膀胱炎症狀會好轉，三分之一症狀會持平，三分之</w:t>
      </w:r>
      <w:r>
        <w:rPr>
          <w:rFonts w:ascii="標楷體" w:hAnsi="標楷體" w:cs="Times" w:eastAsia="標楷體"/>
          <w:sz w:val="26"/>
          <w:szCs w:val="26"/>
        </w:rPr>
        <w:t>一則症狀繼續惡化。</w:t>
      </w:r>
    </w:p>
    <w:p>
      <w:pPr>
        <w:pStyle w:val="Normal"/>
        <w:snapToGrid w:val="false"/>
        <w:spacing w:lineRule="exact" w:line="480"/>
        <w:jc w:val="both"/>
        <w:rPr>
          <w:rFonts w:ascii="標楷體" w:hAnsi="標楷體" w:eastAsia="標楷體" w:cs="Times"/>
          <w:lang w:val="zh-TW" w:eastAsia="zh-TW"/>
        </w:rPr>
      </w:pPr>
      <w:r>
        <w:rPr>
          <w:rFonts w:ascii="標楷體" w:hAnsi="標楷體" w:cs="標楷體" w:eastAsia="標楷體"/>
        </w:rPr>
        <w:drawing>
          <wp:anchor behindDoc="1" distT="0" distB="0" distL="114935" distR="114935" simplePos="0" locked="0" layoutInCell="0" allowOverlap="1" relativeHeight="54">
            <wp:simplePos x="0" y="0"/>
            <wp:positionH relativeFrom="column">
              <wp:posOffset>0</wp:posOffset>
            </wp:positionH>
            <wp:positionV relativeFrom="page">
              <wp:posOffset>9615170</wp:posOffset>
            </wp:positionV>
            <wp:extent cx="1714500" cy="1287145"/>
            <wp:effectExtent l="0" t="0" r="0" b="0"/>
            <wp:wrapNone/>
            <wp:docPr id="2"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
                    <pic:cNvPicPr>
                      <a:picLocks noChangeAspect="1" noChangeArrowheads="1"/>
                    </pic:cNvPicPr>
                  </pic:nvPicPr>
                  <pic:blipFill>
                    <a:blip r:embed="rId3"/>
                    <a:srcRect l="-17" t="-24" r="-17" b="-24"/>
                    <a:stretch>
                      <a:fillRect/>
                    </a:stretch>
                  </pic:blipFill>
                  <pic:spPr bwMode="auto">
                    <a:xfrm>
                      <a:off x="0" y="0"/>
                      <a:ext cx="1714500" cy="1287145"/>
                    </a:xfrm>
                    <a:prstGeom prst="rect">
                      <a:avLst/>
                    </a:prstGeom>
                  </pic:spPr>
                </pic:pic>
              </a:graphicData>
            </a:graphic>
          </wp:anchor>
        </w:drawing>
        <w:drawing>
          <wp:anchor behindDoc="1" distT="0" distB="0" distL="114935" distR="114935" simplePos="0" locked="0" layoutInCell="0" allowOverlap="1" relativeHeight="56">
            <wp:simplePos x="0" y="0"/>
            <wp:positionH relativeFrom="column">
              <wp:posOffset>762000</wp:posOffset>
            </wp:positionH>
            <wp:positionV relativeFrom="page">
              <wp:posOffset>9615805</wp:posOffset>
            </wp:positionV>
            <wp:extent cx="1714500" cy="1287145"/>
            <wp:effectExtent l="0" t="0" r="0" b="0"/>
            <wp:wrapNone/>
            <wp:docPr id="3"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9" descr=""/>
                    <pic:cNvPicPr>
                      <a:picLocks noChangeAspect="1" noChangeArrowheads="1"/>
                    </pic:cNvPicPr>
                  </pic:nvPicPr>
                  <pic:blipFill>
                    <a:blip r:embed="rId3"/>
                    <a:srcRect l="-17" t="-24" r="-17" b="-24"/>
                    <a:stretch>
                      <a:fillRect/>
                    </a:stretch>
                  </pic:blipFill>
                  <pic:spPr bwMode="auto">
                    <a:xfrm>
                      <a:off x="0" y="0"/>
                      <a:ext cx="1714500" cy="1287145"/>
                    </a:xfrm>
                    <a:prstGeom prst="rect">
                      <a:avLst/>
                    </a:prstGeom>
                  </pic:spPr>
                </pic:pic>
              </a:graphicData>
            </a:graphic>
          </wp:anchor>
        </w:drawing>
      </w:r>
      <w:r>
        <w:rPr>
          <w:rFonts w:ascii="標楷體" w:hAnsi="標楷體" w:cs="標楷體" w:eastAsia="標楷體"/>
        </w:rPr>
        <w:t xml:space="preserve">          </w:t>
      </w:r>
    </w:p>
    <w:p>
      <w:pPr>
        <w:pStyle w:val="Normal"/>
        <w:snapToGrid w:val="false"/>
        <w:spacing w:lineRule="exact" w:line="480"/>
        <w:jc w:val="both"/>
        <w:rPr>
          <w:rFonts w:ascii="標楷體" w:hAnsi="標楷體" w:eastAsia="標楷體" w:cs="Times"/>
          <w:lang w:val="zh-TW" w:eastAsia="zh-TW"/>
        </w:rPr>
      </w:pPr>
      <w:r>
        <w:rPr>
          <w:rFonts w:eastAsia="標楷體" w:cs="Times" w:ascii="標楷體" w:hAnsi="標楷體"/>
          <w:lang w:val="zh-TW" w:eastAsia="zh-TW"/>
        </w:rPr>
        <w:drawing>
          <wp:anchor behindDoc="1" distT="0" distB="0" distL="114935" distR="114935" simplePos="0" locked="0" layoutInCell="0" allowOverlap="1" relativeHeight="57">
            <wp:simplePos x="0" y="0"/>
            <wp:positionH relativeFrom="column">
              <wp:posOffset>228600</wp:posOffset>
            </wp:positionH>
            <wp:positionV relativeFrom="paragraph">
              <wp:posOffset>84455</wp:posOffset>
            </wp:positionV>
            <wp:extent cx="1714500" cy="1287145"/>
            <wp:effectExtent l="0" t="0" r="0" b="0"/>
            <wp:wrapNone/>
            <wp:docPr id="4"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descr=""/>
                    <pic:cNvPicPr>
                      <a:picLocks noChangeAspect="1" noChangeArrowheads="1"/>
                    </pic:cNvPicPr>
                  </pic:nvPicPr>
                  <pic:blipFill>
                    <a:blip r:embed="rId3"/>
                    <a:srcRect l="-17" t="-24" r="-17" b="-24"/>
                    <a:stretch>
                      <a:fillRect/>
                    </a:stretch>
                  </pic:blipFill>
                  <pic:spPr bwMode="auto">
                    <a:xfrm>
                      <a:off x="0" y="0"/>
                      <a:ext cx="1714500" cy="1287145"/>
                    </a:xfrm>
                    <a:prstGeom prst="rect">
                      <a:avLst/>
                    </a:prstGeom>
                  </pic:spPr>
                </pic:pic>
              </a:graphicData>
            </a:graphic>
          </wp:anchor>
        </w:drawing>
        <w:drawing>
          <wp:anchor behindDoc="1" distT="0" distB="0" distL="114935" distR="114935" simplePos="0" locked="0" layoutInCell="0" allowOverlap="1" relativeHeight="58">
            <wp:simplePos x="0" y="0"/>
            <wp:positionH relativeFrom="column">
              <wp:posOffset>2057400</wp:posOffset>
            </wp:positionH>
            <wp:positionV relativeFrom="paragraph">
              <wp:posOffset>114300</wp:posOffset>
            </wp:positionV>
            <wp:extent cx="1783080" cy="1282700"/>
            <wp:effectExtent l="0" t="0" r="0" b="0"/>
            <wp:wrapNone/>
            <wp:docPr id="5"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
                    <pic:cNvPicPr>
                      <a:picLocks noChangeAspect="1" noChangeArrowheads="1"/>
                    </pic:cNvPicPr>
                  </pic:nvPicPr>
                  <pic:blipFill>
                    <a:blip r:embed="rId4"/>
                    <a:srcRect l="-11" t="-15" r="-11" b="-15"/>
                    <a:stretch>
                      <a:fillRect/>
                    </a:stretch>
                  </pic:blipFill>
                  <pic:spPr bwMode="auto">
                    <a:xfrm>
                      <a:off x="0" y="0"/>
                      <a:ext cx="1783080" cy="1282700"/>
                    </a:xfrm>
                    <a:prstGeom prst="rect">
                      <a:avLst/>
                    </a:prstGeom>
                  </pic:spPr>
                </pic:pic>
              </a:graphicData>
            </a:graphic>
          </wp:anchor>
        </w:drawing>
      </w:r>
    </w:p>
    <w:p>
      <w:pPr>
        <w:pStyle w:val="Normal"/>
        <w:snapToGrid w:val="false"/>
        <w:spacing w:lineRule="exact" w:line="480"/>
        <w:jc w:val="both"/>
        <w:rPr>
          <w:rFonts w:ascii="標楷體" w:hAnsi="標楷體" w:eastAsia="標楷體" w:cs="Times"/>
        </w:rPr>
      </w:pPr>
      <w:r>
        <w:rPr>
          <w:rFonts w:eastAsia="標楷體" w:cs="Times" w:ascii="標楷體" w:hAnsi="標楷體"/>
        </w:rPr>
      </w:r>
    </w:p>
    <w:p>
      <w:pPr>
        <w:pStyle w:val="Normal"/>
        <w:snapToGrid w:val="false"/>
        <w:spacing w:lineRule="exact" w:line="480"/>
        <w:jc w:val="both"/>
        <w:rPr>
          <w:rFonts w:ascii="標楷體" w:hAnsi="標楷體" w:eastAsia="標楷體" w:cs="Times"/>
        </w:rPr>
      </w:pPr>
      <w:r>
        <w:rPr>
          <w:rFonts w:eastAsia="標楷體" w:cs="Times" w:ascii="標楷體" w:hAnsi="標楷體"/>
        </w:rPr>
      </w:r>
    </w:p>
    <w:p>
      <w:pPr>
        <w:pStyle w:val="Normal"/>
        <w:snapToGrid w:val="false"/>
        <w:spacing w:lineRule="exact" w:line="480"/>
        <w:jc w:val="both"/>
        <w:rPr>
          <w:rFonts w:ascii="標楷體" w:hAnsi="標楷體" w:eastAsia="標楷體" w:cs="Times"/>
        </w:rPr>
      </w:pPr>
      <w:r>
        <w:rPr>
          <w:rFonts w:eastAsia="標楷體" w:cs="Times" w:ascii="標楷體" w:hAnsi="標楷體"/>
        </w:rPr>
      </w:r>
    </w:p>
    <w:p>
      <w:pPr>
        <w:pStyle w:val="Normal"/>
        <w:snapToGrid w:val="false"/>
        <w:spacing w:lineRule="exact" w:line="480"/>
        <w:jc w:val="both"/>
        <w:rPr>
          <w:rFonts w:ascii="標楷體" w:hAnsi="標楷體" w:eastAsia="標楷體" w:cs="Times"/>
        </w:rPr>
      </w:pPr>
      <w:r>
        <w:rPr>
          <w:rFonts w:eastAsia="標楷體" w:cs="Times" w:ascii="標楷體" w:hAnsi="標楷體"/>
        </w:rPr>
      </w:r>
    </w:p>
    <w:p>
      <w:pPr>
        <w:pStyle w:val="Normal"/>
        <w:numPr>
          <w:ilvl w:val="0"/>
          <w:numId w:val="2"/>
        </w:numPr>
        <w:snapToGrid w:val="false"/>
        <w:spacing w:before="0" w:after="180"/>
        <w:ind w:left="390" w:hanging="390"/>
        <w:jc w:val="both"/>
        <w:rPr/>
      </w:pPr>
      <w:r>
        <w:rPr>
          <w:rFonts w:ascii="標楷體" w:hAnsi="標楷體" w:cs="Times" w:eastAsia="標楷體"/>
          <w:sz w:val="26"/>
          <w:szCs w:val="26"/>
        </w:rPr>
        <w:t>膀胱鏡下所見，左圖為正常之膀胱壁，右圖</w:t>
      </w:r>
      <w:r>
        <w:drawing>
          <wp:anchor behindDoc="1" distT="0" distB="0" distL="114935" distR="114935" simplePos="0" locked="0" layoutInCell="0" allowOverlap="1" relativeHeight="55">
            <wp:simplePos x="0" y="0"/>
            <wp:positionH relativeFrom="column">
              <wp:posOffset>0</wp:posOffset>
            </wp:positionH>
            <wp:positionV relativeFrom="page">
              <wp:posOffset>10534015</wp:posOffset>
            </wp:positionV>
            <wp:extent cx="1783080" cy="1282700"/>
            <wp:effectExtent l="0" t="0" r="0" b="0"/>
            <wp:wrapNone/>
            <wp:docPr id="6"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
                    <pic:cNvPicPr>
                      <a:picLocks noChangeAspect="1" noChangeArrowheads="1"/>
                    </pic:cNvPicPr>
                  </pic:nvPicPr>
                  <pic:blipFill>
                    <a:blip r:embed="rId4"/>
                    <a:srcRect l="-11" t="-15" r="-11" b="-15"/>
                    <a:stretch>
                      <a:fillRect/>
                    </a:stretch>
                  </pic:blipFill>
                  <pic:spPr bwMode="auto">
                    <a:xfrm>
                      <a:off x="0" y="0"/>
                      <a:ext cx="1783080" cy="1282700"/>
                    </a:xfrm>
                    <a:prstGeom prst="rect">
                      <a:avLst/>
                    </a:prstGeom>
                  </pic:spPr>
                </pic:pic>
              </a:graphicData>
            </a:graphic>
          </wp:anchor>
        </w:drawing>
      </w:r>
      <w:r>
        <w:rPr>
          <w:rFonts w:ascii="標楷體" w:hAnsi="標楷體" w:cs="Times" w:eastAsia="標楷體"/>
          <w:sz w:val="26"/>
          <w:szCs w:val="26"/>
        </w:rPr>
        <w:t>為愷他命引發之潰瘍性膀胱炎</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愷他命引發之膀胱炎，可能與愷他命與其代謝物</w:t>
      </w:r>
      <w:r>
        <w:rPr>
          <w:rFonts w:eastAsia="標楷體" w:cs="標楷體" w:ascii="標楷體" w:hAnsi="標楷體"/>
          <w:sz w:val="26"/>
          <w:szCs w:val="26"/>
        </w:rPr>
        <w:t>norketamine</w:t>
      </w:r>
      <w:r>
        <w:rPr>
          <w:rFonts w:ascii="標楷體" w:hAnsi="標楷體" w:cs="標楷體" w:eastAsia="標楷體"/>
          <w:sz w:val="26"/>
          <w:szCs w:val="26"/>
        </w:rPr>
        <w:t>對膀胱上皮細胞造成毒性有關，可能引發黏膜的破壞與發炎。此推論於最近的動物實驗上初步被證實，但對於人類泌尿道系統影響的確切機轉，尚未有定論。</w:t>
      </w:r>
    </w:p>
    <w:p>
      <w:pPr>
        <w:pStyle w:val="Normal"/>
        <w:snapToGrid w:val="false"/>
        <w:spacing w:lineRule="exact" w:line="480"/>
        <w:ind w:firstLine="520"/>
        <w:jc w:val="both"/>
        <w:rPr/>
      </w:pPr>
      <w:r>
        <w:rPr>
          <w:rFonts w:ascii="標楷體" w:hAnsi="標楷體" w:cs="標楷體" w:eastAsia="標楷體"/>
          <w:sz w:val="26"/>
          <w:szCs w:val="26"/>
        </w:rPr>
        <w:t>除了對於膀胱有影響外，對於輸尿管與腎臟也會造成影響，所以相當比例的個案會伴隨發生腎盂積水、水腎或腎衰竭，其確切機轉未明。</w:t>
      </w:r>
    </w:p>
    <w:p>
      <w:pPr>
        <w:pStyle w:val="Normal"/>
        <w:snapToGrid w:val="false"/>
        <w:spacing w:lineRule="exact" w:line="480"/>
        <w:ind w:firstLine="520"/>
        <w:jc w:val="both"/>
        <w:rPr/>
      </w:pPr>
      <w:r>
        <w:rPr>
          <w:rFonts w:ascii="標楷體" w:hAnsi="標楷體" w:cs="標楷體" w:eastAsia="標楷體"/>
          <w:sz w:val="26"/>
          <w:szCs w:val="26"/>
        </w:rPr>
        <w:t>因愷他命引發之膀胱炎，於膀胱鏡檢視下可發現多處潰瘍與發炎，其表現具個別歧異性，但因整體來說比較接近間質性</w:t>
      </w:r>
      <w:r>
        <w:rPr>
          <w:rFonts w:ascii="標楷體" w:hAnsi="標楷體" w:cs="標楷體" w:eastAsia="標楷體"/>
          <w:spacing w:val="-6"/>
          <w:sz w:val="26"/>
          <w:szCs w:val="26"/>
        </w:rPr>
        <w:t>膀胱炎的表現，所以臨床上許多泌尿科醫師會依照處理間質性膀胱炎的原則來進行治療。治療方式有包括有抗生素、類固醇、抗膽鹼藥物、</w:t>
      </w:r>
      <w:r>
        <w:rPr>
          <w:rFonts w:eastAsia="標楷體" w:cs="AdvMINION-R;Times New Roman" w:ascii="標楷體" w:hAnsi="標楷體"/>
          <w:kern w:val="0"/>
          <w:sz w:val="26"/>
          <w:szCs w:val="26"/>
        </w:rPr>
        <w:t>Hyaluranic acid</w:t>
      </w:r>
      <w:r>
        <w:rPr>
          <w:rFonts w:ascii="標楷體" w:hAnsi="標楷體" w:cs="AdvMINION-R;Times New Roman" w:eastAsia="標楷體"/>
          <w:kern w:val="0"/>
          <w:sz w:val="26"/>
          <w:szCs w:val="26"/>
        </w:rPr>
        <w:t>、</w:t>
      </w:r>
      <w:r>
        <w:rPr>
          <w:rFonts w:eastAsia="標楷體" w:cs="AdvMINION-R;Times New Roman" w:ascii="標楷體" w:hAnsi="標楷體"/>
          <w:kern w:val="0"/>
          <w:sz w:val="26"/>
          <w:szCs w:val="26"/>
        </w:rPr>
        <w:t>Pentosan polysulphate</w:t>
      </w:r>
      <w:r>
        <w:rPr>
          <w:rFonts w:ascii="標楷體" w:hAnsi="標楷體" w:cs="標楷體" w:eastAsia="標楷體"/>
          <w:sz w:val="26"/>
          <w:szCs w:val="26"/>
        </w:rPr>
        <w:t>、膀胱擴張，以及甚至尿路分流手術等等。但一般來說藥物治療的療效並不顯著。</w:t>
      </w:r>
    </w:p>
    <w:p>
      <w:pPr>
        <w:pStyle w:val="Normal"/>
        <w:snapToGrid w:val="false"/>
        <w:spacing w:lineRule="exact" w:line="480"/>
        <w:ind w:firstLine="390"/>
        <w:jc w:val="both"/>
        <w:rPr/>
      </w:pPr>
      <w:r>
        <w:rPr>
          <w:rFonts w:ascii="標楷體" w:hAnsi="標楷體" w:cs="標楷體" w:eastAsia="標楷體"/>
          <w:sz w:val="26"/>
          <w:szCs w:val="26"/>
        </w:rPr>
        <w:t>除了泌尿道症狀的處理外，一般認為治療目標仍須放在讓個案完全戒除愷他命使用為主。</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13" w:name="__RefHeading___Toc358384673"/>
      <w:bookmarkEnd w:id="13"/>
      <w:r>
        <w:rPr>
          <w:rFonts w:ascii="標楷體" w:hAnsi="標楷體" w:cs="標楷體" w:eastAsia="標楷體"/>
          <w:b/>
          <w:bCs/>
          <w:spacing w:val="-2"/>
          <w:kern w:val="0"/>
          <w:sz w:val="32"/>
          <w:szCs w:val="32"/>
        </w:rPr>
        <w:t>四、腎臟病變</w:t>
      </w:r>
    </w:p>
    <w:p>
      <w:pPr>
        <w:pStyle w:val="Normal"/>
        <w:snapToGrid w:val="false"/>
        <w:spacing w:lineRule="exact" w:line="480"/>
        <w:ind w:firstLine="480"/>
        <w:jc w:val="both"/>
        <w:rPr>
          <w:rFonts w:ascii="標楷體" w:hAnsi="標楷體" w:eastAsia="標楷體" w:cs="Times"/>
          <w:kern w:val="0"/>
          <w:sz w:val="26"/>
          <w:szCs w:val="26"/>
        </w:rPr>
      </w:pPr>
      <w:r>
        <w:rPr>
          <w:rFonts w:ascii="標楷體" w:hAnsi="標楷體" w:cs="標楷體" w:eastAsia="標楷體"/>
          <w:sz w:val="26"/>
          <w:szCs w:val="26"/>
        </w:rPr>
        <w:t>另一個與高劑量及頻繁使用愷他命相關的身體傷害為水腎，此可能與</w:t>
      </w:r>
      <w:r>
        <w:rPr>
          <w:rFonts w:ascii="標楷體" w:hAnsi="標楷體" w:cs="Times" w:eastAsia="標楷體"/>
          <w:kern w:val="0"/>
          <w:sz w:val="26"/>
          <w:szCs w:val="26"/>
        </w:rPr>
        <w:t>膀胱容量變小</w:t>
      </w:r>
      <w:r>
        <w:rPr>
          <w:rFonts w:ascii="標楷體" w:hAnsi="標楷體" w:cs="Times" w:eastAsia="標楷體"/>
          <w:kern w:val="0"/>
          <w:sz w:val="26"/>
          <w:szCs w:val="26"/>
        </w:rPr>
        <w:t>造成</w:t>
      </w:r>
      <w:r>
        <w:rPr>
          <w:rFonts w:ascii="標楷體" w:hAnsi="標楷體" w:cs="Times" w:eastAsia="標楷體"/>
          <w:kern w:val="0"/>
          <w:sz w:val="26"/>
          <w:szCs w:val="26"/>
        </w:rPr>
        <w:t>腎臟產生尿液卻排不進膀胱</w:t>
      </w:r>
      <w:r>
        <w:rPr>
          <w:rFonts w:ascii="標楷體" w:hAnsi="標楷體" w:cs="Times" w:eastAsia="標楷體"/>
          <w:kern w:val="0"/>
          <w:sz w:val="26"/>
          <w:szCs w:val="26"/>
        </w:rPr>
        <w:t>有關。有文獻指出有愷命命引發之潰瘍性膀胱炎的個案中</w:t>
      </w:r>
      <w:r>
        <w:rPr>
          <w:rFonts w:ascii="標楷體" w:hAnsi="標楷體" w:cs="Times" w:eastAsia="標楷體"/>
          <w:kern w:val="0"/>
          <w:sz w:val="26"/>
          <w:szCs w:val="26"/>
        </w:rPr>
        <w:t>，有一半的個案會連帶引起腎盂擴大、積水（所謂的水腎），影響腎臟功能。有個案甚至發生腎臟衰竭。</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14" w:name="__RefHeading___Toc358384674"/>
      <w:bookmarkEnd w:id="14"/>
      <w:r>
        <w:rPr>
          <w:rFonts w:ascii="標楷體" w:hAnsi="標楷體" w:cs="標楷體" w:eastAsia="標楷體"/>
          <w:b/>
          <w:bCs/>
          <w:spacing w:val="-2"/>
          <w:kern w:val="0"/>
          <w:sz w:val="32"/>
          <w:szCs w:val="32"/>
        </w:rPr>
        <w:t>五、愷命他引發之腹痛</w:t>
      </w:r>
    </w:p>
    <w:p>
      <w:pPr>
        <w:pStyle w:val="Normal"/>
        <w:snapToGrid w:val="false"/>
        <w:spacing w:lineRule="exact" w:line="480"/>
        <w:ind w:firstLine="520"/>
        <w:jc w:val="both"/>
        <w:rPr/>
      </w:pPr>
      <w:r>
        <w:rPr>
          <w:rFonts w:ascii="標楷體" w:hAnsi="標楷體" w:cs="標楷體" w:eastAsia="標楷體"/>
          <w:sz w:val="26"/>
          <w:szCs w:val="26"/>
        </w:rPr>
        <w:t>有報告指出約三分之一的愷命他使用者會出現腹痛</w:t>
      </w:r>
      <w:r>
        <w:rPr>
          <w:rFonts w:eastAsia="標楷體" w:cs="標楷體" w:ascii="標楷體" w:hAnsi="標楷體"/>
          <w:sz w:val="26"/>
          <w:szCs w:val="26"/>
        </w:rPr>
        <w:t>(K-cramps)</w:t>
      </w:r>
      <w:r>
        <w:rPr>
          <w:rFonts w:ascii="標楷體" w:hAnsi="標楷體" w:cs="標楷體" w:eastAsia="標楷體"/>
          <w:sz w:val="26"/>
          <w:szCs w:val="26"/>
        </w:rPr>
        <w:t>情形，此可能與長期及大量使用愷他命相關。有研究顯示這類個案可能同時合併有不正常的肝臟功能，電腦斷層報告顯示此類個案有總膽管的擴大的現象，但造成腹部疼痛的原因仍不明。</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15" w:name="__RefHeading___Toc358384675"/>
      <w:bookmarkEnd w:id="15"/>
      <w:r>
        <w:rPr>
          <w:rFonts w:ascii="標楷體" w:hAnsi="標楷體" w:cs="標楷體" w:eastAsia="標楷體"/>
          <w:b/>
          <w:bCs/>
          <w:spacing w:val="-2"/>
          <w:kern w:val="0"/>
          <w:sz w:val="32"/>
          <w:szCs w:val="32"/>
        </w:rPr>
        <w:t>六、精神及認知的影響</w:t>
      </w:r>
    </w:p>
    <w:p>
      <w:pPr>
        <w:pStyle w:val="Normal"/>
        <w:snapToGrid w:val="false"/>
        <w:spacing w:lineRule="exact" w:line="460"/>
        <w:ind w:firstLine="520"/>
        <w:jc w:val="both"/>
        <w:rPr/>
      </w:pPr>
      <w:r>
        <w:rPr>
          <w:rFonts w:ascii="標楷體" w:hAnsi="標楷體" w:cs="標楷體" w:eastAsia="標楷體"/>
          <w:sz w:val="26"/>
          <w:szCs w:val="26"/>
        </w:rPr>
        <w:t>有臨床實驗指出，對抗憂鬱藥物改善有限的憂鬱症個案，若接受短期的愷他命注射，可快速且短期的改善憂鬱症狀，且復發率較高。在臨床老鼠實驗中，反覆給予愷他命可能造成精神分裂症般的腦部病變，包含海馬迴神經生成的影響，尤其是海馬迴處含小白蛋白</w:t>
      </w:r>
      <w:r>
        <w:rPr>
          <w:rFonts w:eastAsia="標楷體" w:cs="標楷體" w:ascii="標楷體" w:hAnsi="標楷體"/>
          <w:sz w:val="26"/>
          <w:szCs w:val="26"/>
        </w:rPr>
        <w:t>(parvalbumin)</w:t>
      </w:r>
      <w:r>
        <w:rPr>
          <w:rFonts w:ascii="標楷體" w:hAnsi="標楷體" w:cs="標楷體" w:eastAsia="標楷體"/>
          <w:sz w:val="26"/>
          <w:szCs w:val="26"/>
        </w:rPr>
        <w:t>之</w:t>
      </w:r>
      <w:r>
        <w:rPr>
          <w:rFonts w:eastAsia="標楷體" w:cs="標楷體" w:ascii="標楷體" w:hAnsi="標楷體"/>
          <w:sz w:val="26"/>
          <w:szCs w:val="26"/>
        </w:rPr>
        <w:t>GABA</w:t>
      </w:r>
      <w:r>
        <w:rPr>
          <w:rFonts w:ascii="標楷體" w:hAnsi="標楷體" w:cs="標楷體" w:eastAsia="標楷體"/>
          <w:sz w:val="26"/>
          <w:szCs w:val="26"/>
        </w:rPr>
        <w:t>中間神經元的減少、增加海馬回處多巴胺的連結以及減少前額葉</w:t>
      </w:r>
      <w:r>
        <w:rPr>
          <w:rFonts w:eastAsia="標楷體" w:cs="標楷體" w:ascii="標楷體" w:hAnsi="標楷體"/>
          <w:sz w:val="26"/>
          <w:szCs w:val="26"/>
        </w:rPr>
        <w:t>glutamate</w:t>
      </w:r>
      <w:r>
        <w:rPr>
          <w:rFonts w:ascii="標楷體" w:hAnsi="標楷體" w:cs="標楷體" w:eastAsia="標楷體"/>
          <w:sz w:val="26"/>
          <w:szCs w:val="26"/>
        </w:rPr>
        <w:t>的連結。研究指出每日使用愷他命的個案可能有類似精神分裂者潛伏期的症狀。</w:t>
      </w:r>
    </w:p>
    <w:p>
      <w:pPr>
        <w:pStyle w:val="Normal"/>
        <w:snapToGrid w:val="false"/>
        <w:spacing w:lineRule="exact" w:line="460"/>
        <w:ind w:firstLine="520"/>
        <w:jc w:val="both"/>
        <w:rPr/>
      </w:pPr>
      <w:r>
        <w:rPr>
          <w:rFonts w:ascii="標楷體" w:hAnsi="標楷體" w:cs="標楷體" w:eastAsia="標楷體"/>
          <w:sz w:val="26"/>
          <w:szCs w:val="26"/>
        </w:rPr>
        <w:t>愷他命主要作用在</w:t>
      </w:r>
      <w:r>
        <w:rPr>
          <w:rFonts w:eastAsia="標楷體" w:cs="標楷體" w:ascii="標楷體" w:hAnsi="標楷體"/>
          <w:sz w:val="26"/>
          <w:szCs w:val="26"/>
        </w:rPr>
        <w:t>NMDA</w:t>
      </w:r>
      <w:r>
        <w:rPr>
          <w:rFonts w:ascii="標楷體" w:hAnsi="標楷體" w:cs="標楷體" w:eastAsia="標楷體"/>
          <w:sz w:val="26"/>
          <w:szCs w:val="26"/>
        </w:rPr>
        <w:t>受器上，而</w:t>
      </w:r>
      <w:r>
        <w:rPr>
          <w:rFonts w:eastAsia="標楷體" w:cs="標楷體" w:ascii="標楷體" w:hAnsi="標楷體"/>
          <w:sz w:val="26"/>
          <w:szCs w:val="26"/>
        </w:rPr>
        <w:t>NMDA</w:t>
      </w:r>
      <w:r>
        <w:rPr>
          <w:rFonts w:ascii="標楷體" w:hAnsi="標楷體" w:cs="標楷體" w:eastAsia="標楷體"/>
          <w:sz w:val="26"/>
          <w:szCs w:val="26"/>
        </w:rPr>
        <w:t>受器與學習及記憶力有直接的關連，因此目前認定愷他命的使用對個案的認知功能會有直接的影響。單一劑量的愷他命會造成明顯與劑量相關的工作記憶及情節記憶的影響。頻繁的愷他命使用者均有明顯的短期及長期記憶缺損，然此研究多為橫斷性研究，因此無法做出因果的推測。目前有長達一年追蹤的研究顯示，頻繁愷他命的使用者會造成視覺認知及空間概念的受損，此與愷他命的使用變化有關。研究也發現個案前額葉的計畫執行功能也發現有下降，但此與愷他命的使用變化較無相關。目前認為記憶缺損在停用愷他命後是可逆的。</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16" w:name="__RefHeading___Toc358384676"/>
      <w:bookmarkEnd w:id="16"/>
      <w:r>
        <w:rPr>
          <w:rFonts w:ascii="標楷體" w:hAnsi="標楷體" w:cs="標楷體" w:eastAsia="標楷體"/>
          <w:b/>
          <w:bCs/>
          <w:spacing w:val="-2"/>
          <w:kern w:val="0"/>
          <w:sz w:val="32"/>
          <w:szCs w:val="32"/>
        </w:rPr>
        <w:t>七、依賴相關風險</w:t>
      </w:r>
    </w:p>
    <w:p>
      <w:pPr>
        <w:pStyle w:val="Normal"/>
        <w:snapToGrid w:val="false"/>
        <w:spacing w:lineRule="exact" w:line="480"/>
        <w:ind w:firstLine="520"/>
        <w:jc w:val="both"/>
        <w:rPr/>
      </w:pPr>
      <w:r>
        <w:rPr>
          <w:rFonts w:ascii="標楷體" w:hAnsi="標楷體" w:cs="標楷體" w:eastAsia="標楷體"/>
          <w:sz w:val="26"/>
          <w:szCs w:val="26"/>
        </w:rPr>
        <w:t>在老鼠的研究中發現，愷他命會使前額葉及紋狀體的多巴胺量增加。正子造影發現人類在使用愷他命後，紋狀體的多巴胺分泌會增。愷他命會同時與多種鴉片類受體作用，此可能與腦內的報償系統相關。</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愷他命易出現耐受性，使用者會不斷增加使用頻率及劑量。有研究指出四成的頻繁使用者會在停止使用愷他命時出現戒斷症狀，包含焦慮、煩躁、睡眠障礙、顫抖、冒汗、及心悸。然目前尚未有愷他命戒斷症狀的一致共識。近年來有多例愷他命依賴的個案報告，但仍未有大規模的研究，因此愷他命依賴的發生率仍屬未知。大部分較頻繁使用者均會持續使用直到將手頭上的愷他命用完，此強迫性的行為值得擔憂。因此愷他命依賴問題雖尚未有定論，但較頻繁的使用者會有難以克制使用愷他命的欲望，及多次戒除失敗的經驗。</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17" w:name="__RefHeading___Toc358384677"/>
      <w:bookmarkEnd w:id="17"/>
      <w:r>
        <w:rPr>
          <w:rFonts w:ascii="標楷體" w:hAnsi="標楷體" w:cs="標楷體" w:eastAsia="標楷體"/>
          <w:b/>
          <w:bCs/>
          <w:spacing w:val="-2"/>
          <w:kern w:val="0"/>
          <w:sz w:val="32"/>
          <w:szCs w:val="32"/>
        </w:rPr>
        <w:t>八、社會層面的危害</w:t>
      </w:r>
    </w:p>
    <w:p>
      <w:pPr>
        <w:pStyle w:val="Normal"/>
        <w:autoSpaceDE w:val="false"/>
        <w:snapToGrid w:val="false"/>
        <w:spacing w:lineRule="exact" w:line="480" w:before="360" w:after="180"/>
        <w:ind w:left="240" w:hanging="0"/>
        <w:jc w:val="both"/>
        <w:rPr>
          <w:rFonts w:ascii="標楷體" w:hAnsi="標楷體" w:eastAsia="標楷體" w:cs="標楷體"/>
          <w:b/>
          <w:b/>
          <w:spacing w:val="-2"/>
          <w:kern w:val="0"/>
          <w:sz w:val="28"/>
          <w:szCs w:val="28"/>
          <w:u w:val="single"/>
        </w:rPr>
      </w:pPr>
      <w:r>
        <w:rPr>
          <w:rFonts w:ascii="標楷體" w:hAnsi="標楷體" w:cs="標楷體" w:eastAsia="標楷體"/>
          <w:b/>
          <w:spacing w:val="-2"/>
          <w:kern w:val="0"/>
          <w:sz w:val="28"/>
          <w:szCs w:val="28"/>
          <w:u w:val="single"/>
        </w:rPr>
        <w:t>意外傷害的風險</w:t>
      </w:r>
    </w:p>
    <w:p>
      <w:pPr>
        <w:pStyle w:val="Normal"/>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愷他命為中樞神經解離物質，使用者在解離狀態時會忽略周遭環境的訊息，因而增加意外傷害的風險。此風險不只是針對使用者個人，使用者也容易因忽略刺激而危險行為導致周遭其他人的意外傷害。因此駕駛者在使用愷他命時，手眼協調能力及平衡感均會下降，因而增加車禍發生的風險。</w:t>
      </w:r>
    </w:p>
    <w:p>
      <w:pPr>
        <w:pStyle w:val="Normal"/>
        <w:autoSpaceDE w:val="false"/>
        <w:snapToGrid w:val="false"/>
        <w:spacing w:lineRule="exact" w:line="480" w:before="360" w:after="180"/>
        <w:ind w:left="240" w:hanging="0"/>
        <w:jc w:val="both"/>
        <w:rPr>
          <w:rFonts w:ascii="標楷體" w:hAnsi="標楷體" w:eastAsia="標楷體" w:cs="標楷體"/>
          <w:b/>
          <w:b/>
          <w:spacing w:val="-2"/>
          <w:kern w:val="0"/>
          <w:sz w:val="28"/>
          <w:szCs w:val="28"/>
          <w:u w:val="single"/>
        </w:rPr>
      </w:pPr>
      <w:r>
        <w:rPr>
          <w:rFonts w:ascii="標楷體" w:hAnsi="標楷體" w:cs="標楷體" w:eastAsia="標楷體"/>
          <w:b/>
          <w:spacing w:val="-2"/>
          <w:kern w:val="0"/>
          <w:sz w:val="28"/>
          <w:szCs w:val="28"/>
          <w:u w:val="single"/>
        </w:rPr>
        <w:t xml:space="preserve">高風險行為 </w:t>
      </w:r>
    </w:p>
    <w:p>
      <w:pPr>
        <w:pStyle w:val="Normal"/>
        <w:snapToGrid w:val="false"/>
        <w:spacing w:lineRule="exact" w:line="480"/>
        <w:ind w:left="480" w:firstLine="520"/>
        <w:jc w:val="both"/>
        <w:rPr/>
      </w:pPr>
      <w:r>
        <w:rPr>
          <w:rFonts w:ascii="標楷體" w:hAnsi="標楷體" w:cs="標楷體" w:eastAsia="標楷體"/>
          <w:sz w:val="26"/>
          <w:szCs w:val="26"/>
        </w:rPr>
        <w:t>美國發現男同性戀的族群使用愷他命與不安全性行為間有相關性。然愷他命與暴力行為未有直接的關連。</w:t>
      </w:r>
    </w:p>
    <w:p>
      <w:pPr>
        <w:pStyle w:val="Normal"/>
        <w:autoSpaceDE w:val="false"/>
        <w:snapToGrid w:val="false"/>
        <w:spacing w:lineRule="exact" w:line="480" w:before="360" w:after="180"/>
        <w:ind w:left="240" w:hanging="0"/>
        <w:jc w:val="both"/>
        <w:rPr>
          <w:rFonts w:ascii="標楷體" w:hAnsi="標楷體" w:eastAsia="標楷體" w:cs="標楷體"/>
          <w:b/>
          <w:b/>
          <w:spacing w:val="-2"/>
          <w:kern w:val="0"/>
          <w:sz w:val="28"/>
          <w:szCs w:val="28"/>
          <w:u w:val="single"/>
        </w:rPr>
      </w:pPr>
      <w:r>
        <w:rPr>
          <w:rFonts w:ascii="標楷體" w:hAnsi="標楷體" w:cs="標楷體" w:eastAsia="標楷體"/>
          <w:b/>
          <w:spacing w:val="-2"/>
          <w:kern w:val="0"/>
          <w:sz w:val="28"/>
          <w:szCs w:val="28"/>
          <w:u w:val="single"/>
        </w:rPr>
        <w:t>使用愷他命對社會的危害</w:t>
      </w:r>
    </w:p>
    <w:p>
      <w:pPr>
        <w:pStyle w:val="Normal"/>
        <w:snapToGrid w:val="false"/>
        <w:spacing w:lineRule="exact" w:line="480"/>
        <w:ind w:left="480" w:firstLine="390"/>
        <w:jc w:val="both"/>
        <w:rPr/>
      </w:pPr>
      <w:r>
        <w:rPr>
          <w:rFonts w:ascii="標楷體" w:hAnsi="標楷體" w:cs="標楷體" w:eastAsia="標楷體"/>
          <w:sz w:val="26"/>
          <w:szCs w:val="26"/>
        </w:rPr>
        <w:t>英國的研究顯示，愷他命的使用者中，有五分之一的人認為愷他命造成自己工作上的困難。因愷他命導致的犯罪行為性目前尚未有相關資料。愷他命對懷孕的影響也尚未有資料。老鼠實驗發現懷孕期間合併使用古柯鹼及愷他命時會減少出生老鼠的頭圍。愷他命的使用對醫療成本花費，主要來自其所導致的慢性生理疾病。其中以愷他命引發之潰瘍性膀胱炎的成本較高，因其包含繁複的檢查及治療</w:t>
      </w:r>
      <w:r>
        <w:rPr>
          <w:rFonts w:eastAsia="標楷體" w:cs="標楷體" w:ascii="標楷體" w:hAnsi="標楷體"/>
          <w:sz w:val="26"/>
          <w:szCs w:val="26"/>
        </w:rPr>
        <w:t>(</w:t>
      </w:r>
      <w:r>
        <w:rPr>
          <w:rFonts w:ascii="標楷體" w:hAnsi="標楷體" w:cs="標楷體" w:eastAsia="標楷體"/>
          <w:sz w:val="26"/>
          <w:szCs w:val="26"/>
        </w:rPr>
        <w:t>膀胱鏡檢查、多次的膀胱切片檢查、導尿、甚至膀胱重建手術</w:t>
      </w:r>
      <w:r>
        <w:rPr>
          <w:rFonts w:eastAsia="標楷體" w:cs="標楷體" w:ascii="標楷體" w:hAnsi="標楷體"/>
          <w:sz w:val="26"/>
          <w:szCs w:val="26"/>
        </w:rPr>
        <w:t>)</w:t>
      </w:r>
      <w:r>
        <w:rPr>
          <w:rFonts w:ascii="標楷體" w:hAnsi="標楷體" w:cs="標楷體" w:eastAsia="標楷體"/>
          <w:sz w:val="26"/>
          <w:szCs w:val="26"/>
        </w:rPr>
        <w:t xml:space="preserve">。這類個案可能需要終生的追蹤及照顧，此項醫療花費將是很大的負擔。愷他命依賴者的治療未來也可能是另一部分的醫療成本支出。 </w:t>
      </w:r>
    </w:p>
    <w:p>
      <w:pPr>
        <w:pStyle w:val="Normal"/>
        <w:snapToGrid w:val="false"/>
        <w:spacing w:lineRule="exact" w:line="480"/>
        <w:jc w:val="both"/>
        <w:rPr>
          <w:rFonts w:ascii="標楷體" w:hAnsi="標楷體" w:eastAsia="標楷體" w:cs="標楷體"/>
          <w:sz w:val="26"/>
          <w:szCs w:val="26"/>
        </w:rPr>
      </w:pPr>
      <w:r>
        <w:rPr>
          <w:rFonts w:eastAsia="標楷體" w:cs="標楷體" w:ascii="標楷體" w:hAnsi="標楷體"/>
          <w:sz w:val="26"/>
          <w:szCs w:val="26"/>
        </w:rPr>
      </w:r>
    </w:p>
    <w:p>
      <w:pPr>
        <w:pStyle w:val="Normal"/>
        <w:snapToGrid w:val="false"/>
        <w:spacing w:lineRule="exact" w:line="480"/>
        <w:jc w:val="both"/>
        <w:rPr>
          <w:rFonts w:ascii="標楷體" w:hAnsi="標楷體" w:eastAsia="標楷體" w:cs="標楷體"/>
        </w:rPr>
      </w:pPr>
      <w:r>
        <w:rPr>
          <w:rFonts w:eastAsia="標楷體" w:cs="標楷體" w:ascii="標楷體" w:hAnsi="標楷體"/>
        </w:rPr>
      </w:r>
      <w:r>
        <w:br w:type="page"/>
      </w:r>
    </w:p>
    <w:p>
      <w:pPr>
        <w:pStyle w:val="1"/>
        <w:keepNext w:val="false"/>
        <w:spacing w:lineRule="auto" w:line="240" w:before="0" w:after="0"/>
        <w:jc w:val="center"/>
        <w:rPr>
          <w:rFonts w:ascii="標楷體" w:hAnsi="標楷體" w:cs="標楷體"/>
          <w:kern w:val="0"/>
          <w:sz w:val="36"/>
          <w:szCs w:val="36"/>
        </w:rPr>
      </w:pPr>
      <w:bookmarkStart w:id="18" w:name="__RefHeading___Toc358384678"/>
      <w:bookmarkEnd w:id="18"/>
      <w:r>
        <w:rPr>
          <w:rFonts w:ascii="標楷體" w:hAnsi="標楷體" w:cs="標楷體"/>
          <w:kern w:val="0"/>
          <w:sz w:val="36"/>
          <w:szCs w:val="36"/>
        </w:rPr>
        <w:t>第三節、愷他命濫用之評估</w:t>
      </w:r>
      <w:bookmarkStart w:id="19" w:name="_GoBack"/>
      <w:bookmarkEnd w:id="19"/>
      <w:r>
        <w:rPr>
          <w:rFonts w:ascii="標楷體" w:hAnsi="標楷體" w:cs="標楷體"/>
          <w:kern w:val="0"/>
          <w:sz w:val="36"/>
          <w:szCs w:val="36"/>
        </w:rPr>
        <w:t>與轉介</w:t>
      </w:r>
    </w:p>
    <w:p>
      <w:pPr>
        <w:pStyle w:val="Normal"/>
        <w:numPr>
          <w:ilvl w:val="0"/>
          <w:numId w:val="0"/>
        </w:numPr>
        <w:autoSpaceDE w:val="false"/>
        <w:snapToGrid w:val="false"/>
        <w:spacing w:lineRule="exact" w:line="480" w:before="360" w:after="180"/>
        <w:jc w:val="both"/>
        <w:outlineLvl w:val="1"/>
        <w:rPr/>
      </w:pPr>
      <w:bookmarkStart w:id="20" w:name="__RefHeading___Toc358384679"/>
      <w:bookmarkEnd w:id="20"/>
      <w:r>
        <w:rPr>
          <w:rFonts w:ascii="標楷體" w:hAnsi="標楷體" w:cs="標楷體" w:eastAsia="標楷體"/>
          <w:b/>
          <w:bCs/>
          <w:spacing w:val="-2"/>
          <w:kern w:val="0"/>
          <w:sz w:val="32"/>
          <w:szCs w:val="32"/>
        </w:rPr>
        <w:t>一、病史</w:t>
      </w:r>
    </w:p>
    <w:p>
      <w:pPr>
        <w:pStyle w:val="ListParagraph"/>
        <w:snapToGrid w:val="false"/>
        <w:spacing w:lineRule="exact" w:line="480"/>
        <w:ind w:left="0" w:firstLine="520"/>
        <w:jc w:val="both"/>
        <w:rPr>
          <w:rFonts w:ascii="標楷體" w:hAnsi="標楷體" w:eastAsia="標楷體" w:cs="標楷體"/>
          <w:sz w:val="26"/>
          <w:szCs w:val="26"/>
        </w:rPr>
      </w:pPr>
      <w:r>
        <w:rPr>
          <w:rFonts w:ascii="標楷體" w:hAnsi="標楷體" w:cs="標楷體" w:eastAsia="標楷體"/>
          <w:sz w:val="26"/>
          <w:szCs w:val="26"/>
        </w:rPr>
        <w:t>當家人在場時，個案在病史上常有避重就輕的情形；或是個案在場，家人對個案有顧忌，不敢將個案實際情形實情說出。所以在會談評估個案時，個案與家屬分開會談常是有必要的。</w:t>
      </w:r>
    </w:p>
    <w:p>
      <w:pPr>
        <w:pStyle w:val="ListParagraph"/>
        <w:snapToGrid w:val="false"/>
        <w:spacing w:lineRule="exact" w:line="480"/>
        <w:ind w:left="240" w:hanging="0"/>
        <w:jc w:val="both"/>
        <w:rPr>
          <w:rFonts w:ascii="標楷體" w:hAnsi="標楷體" w:eastAsia="標楷體" w:cs="標楷體"/>
          <w:sz w:val="26"/>
          <w:szCs w:val="26"/>
        </w:rPr>
      </w:pPr>
      <w:r>
        <w:rPr>
          <w:rFonts w:eastAsia="標楷體" w:cs="標楷體" w:ascii="標楷體" w:hAnsi="標楷體"/>
          <w:sz w:val="26"/>
          <w:szCs w:val="26"/>
        </w:rPr>
        <w:t>1.</w:t>
      </w:r>
      <w:r>
        <w:rPr>
          <w:rFonts w:ascii="標楷體" w:hAnsi="標楷體" w:cs="標楷體" w:eastAsia="標楷體"/>
          <w:sz w:val="26"/>
          <w:szCs w:val="26"/>
        </w:rPr>
        <w:t>使用史：</w:t>
      </w:r>
    </w:p>
    <w:p>
      <w:pPr>
        <w:pStyle w:val="ListParagraph"/>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包括初次使用年齡、是否為持續使用、曾經中斷多久、復發過幾次、此次復發持續時間等。</w:t>
      </w:r>
    </w:p>
    <w:p>
      <w:pPr>
        <w:pStyle w:val="ListParagraph"/>
        <w:snapToGrid w:val="false"/>
        <w:spacing w:lineRule="exact" w:line="480"/>
        <w:ind w:left="240" w:hanging="0"/>
        <w:jc w:val="both"/>
        <w:rPr>
          <w:rFonts w:ascii="標楷體" w:hAnsi="標楷體" w:eastAsia="標楷體" w:cs="標楷體"/>
          <w:sz w:val="26"/>
          <w:szCs w:val="26"/>
        </w:rPr>
      </w:pPr>
      <w:r>
        <w:rPr>
          <w:rFonts w:eastAsia="標楷體" w:cs="標楷體" w:ascii="標楷體" w:hAnsi="標楷體"/>
          <w:sz w:val="26"/>
          <w:szCs w:val="26"/>
        </w:rPr>
        <w:t>2.</w:t>
      </w:r>
      <w:r>
        <w:rPr>
          <w:rFonts w:ascii="標楷體" w:hAnsi="標楷體" w:cs="標楷體" w:eastAsia="標楷體"/>
          <w:sz w:val="26"/>
          <w:szCs w:val="26"/>
        </w:rPr>
        <w:t>使用原因：</w:t>
      </w:r>
    </w:p>
    <w:p>
      <w:pPr>
        <w:pStyle w:val="Normal"/>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使用的原因有很多，有人是因為好奇、好玩而使用、也有人是因為心情不佳或是想逃避壓力而使用，故大致上可區分為嘗試性使用、娛樂場合使用、偶爾使用、經常性使用以及每日使用等類型，相對應的是使用者在成癮病程或成癮嚴重度上的逐步發展。須了解使用的原因，對於未來預防再度使用及治療上，能提供重要的方向。</w:t>
      </w:r>
    </w:p>
    <w:p>
      <w:pPr>
        <w:pStyle w:val="ListParagraph"/>
        <w:snapToGrid w:val="false"/>
        <w:spacing w:lineRule="exact" w:line="480"/>
        <w:ind w:left="240" w:hanging="0"/>
        <w:jc w:val="both"/>
        <w:rPr>
          <w:rFonts w:ascii="標楷體" w:hAnsi="標楷體" w:eastAsia="標楷體" w:cs="標楷體"/>
          <w:sz w:val="26"/>
          <w:szCs w:val="26"/>
        </w:rPr>
      </w:pPr>
      <w:r>
        <w:rPr>
          <w:rFonts w:eastAsia="標楷體" w:cs="標楷體" w:ascii="標楷體" w:hAnsi="標楷體"/>
          <w:sz w:val="26"/>
          <w:szCs w:val="26"/>
        </w:rPr>
        <w:t>3</w:t>
      </w:r>
      <w:r>
        <w:rPr>
          <w:rFonts w:eastAsia="標楷體" w:cs="標楷體" w:ascii="標楷體" w:hAnsi="標楷體"/>
          <w:sz w:val="26"/>
          <w:szCs w:val="26"/>
        </w:rPr>
        <w:t>.</w:t>
      </w:r>
      <w:r>
        <w:rPr>
          <w:rFonts w:ascii="標楷體" w:hAnsi="標楷體" w:cs="標楷體" w:eastAsia="標楷體"/>
          <w:sz w:val="26"/>
          <w:szCs w:val="26"/>
        </w:rPr>
        <w:t>藥物使用量：</w:t>
      </w:r>
    </w:p>
    <w:p>
      <w:pPr>
        <w:pStyle w:val="Normal"/>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每日使用重量或金額、或每次購買金額與購買頻率等。</w:t>
      </w:r>
    </w:p>
    <w:p>
      <w:pPr>
        <w:pStyle w:val="ListParagraph"/>
        <w:snapToGrid w:val="false"/>
        <w:spacing w:lineRule="exact" w:line="480"/>
        <w:ind w:left="240" w:hanging="0"/>
        <w:jc w:val="both"/>
        <w:rPr>
          <w:rFonts w:ascii="標楷體" w:hAnsi="標楷體" w:eastAsia="標楷體" w:cs="標楷體"/>
          <w:sz w:val="26"/>
          <w:szCs w:val="26"/>
        </w:rPr>
      </w:pPr>
      <w:r>
        <w:rPr>
          <w:rFonts w:eastAsia="標楷體" w:cs="標楷體" w:ascii="標楷體" w:hAnsi="標楷體"/>
          <w:sz w:val="26"/>
          <w:szCs w:val="26"/>
        </w:rPr>
        <w:t>4</w:t>
      </w:r>
      <w:r>
        <w:rPr>
          <w:rFonts w:eastAsia="標楷體" w:cs="標楷體" w:ascii="標楷體" w:hAnsi="標楷體"/>
          <w:sz w:val="26"/>
          <w:szCs w:val="26"/>
        </w:rPr>
        <w:t>.</w:t>
      </w:r>
      <w:r>
        <w:rPr>
          <w:rFonts w:ascii="標楷體" w:hAnsi="標楷體" w:cs="標楷體" w:eastAsia="標楷體"/>
          <w:sz w:val="26"/>
          <w:szCs w:val="26"/>
        </w:rPr>
        <w:t>藥物使用途徑：</w:t>
      </w:r>
    </w:p>
    <w:p>
      <w:pPr>
        <w:pStyle w:val="Normal"/>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目前最流行的使用途徑，是把愷他命粉末摻入香菸中，俗稱「抽</w:t>
      </w:r>
      <w:r>
        <w:rPr>
          <w:rFonts w:eastAsia="標楷體" w:cs="標楷體" w:ascii="標楷體" w:hAnsi="標楷體"/>
          <w:sz w:val="26"/>
          <w:szCs w:val="26"/>
        </w:rPr>
        <w:t>K</w:t>
      </w:r>
      <w:r>
        <w:rPr>
          <w:rFonts w:ascii="標楷體" w:hAnsi="標楷體" w:cs="標楷體" w:eastAsia="標楷體"/>
          <w:sz w:val="26"/>
          <w:szCs w:val="26"/>
        </w:rPr>
        <w:t>煙」。另外，經鼻腔吸入粉末也很常見，俗稱「拉</w:t>
      </w:r>
      <w:r>
        <w:rPr>
          <w:rFonts w:eastAsia="標楷體" w:cs="標楷體" w:ascii="標楷體" w:hAnsi="標楷體"/>
          <w:sz w:val="26"/>
          <w:szCs w:val="26"/>
        </w:rPr>
        <w:t>K</w:t>
      </w:r>
      <w:r>
        <w:rPr>
          <w:rFonts w:ascii="標楷體" w:hAnsi="標楷體" w:cs="標楷體" w:eastAsia="標楷體"/>
          <w:sz w:val="26"/>
          <w:szCs w:val="26"/>
        </w:rPr>
        <w:t>」或「索</w:t>
      </w:r>
      <w:r>
        <w:rPr>
          <w:rFonts w:eastAsia="標楷體" w:cs="標楷體" w:ascii="標楷體" w:hAnsi="標楷體"/>
          <w:sz w:val="26"/>
          <w:szCs w:val="26"/>
        </w:rPr>
        <w:t>K</w:t>
      </w:r>
      <w:r>
        <w:rPr>
          <w:rFonts w:ascii="標楷體" w:hAnsi="標楷體" w:cs="標楷體" w:eastAsia="標楷體"/>
          <w:sz w:val="26"/>
          <w:szCs w:val="26"/>
        </w:rPr>
        <w:t>」，方法為利用信用卡或類似物品將愷他命粉末刮成長條狀，再利用截短了的飲管或摺成管狀的鈔票從鼻孔吸食毒品，由鼻部微血管吸收。有些慢性使用者，可能會肌肉注射或靜脈注射；或有些派對使用者，會口服使用錠劑，但國內皆較為少見。</w:t>
      </w:r>
    </w:p>
    <w:p>
      <w:pPr>
        <w:pStyle w:val="ListParagraph"/>
        <w:snapToGrid w:val="false"/>
        <w:spacing w:lineRule="exact" w:line="480"/>
        <w:ind w:left="240" w:hanging="0"/>
        <w:jc w:val="both"/>
        <w:rPr>
          <w:rFonts w:ascii="標楷體" w:hAnsi="標楷體" w:eastAsia="標楷體" w:cs="標楷體"/>
          <w:sz w:val="26"/>
          <w:szCs w:val="26"/>
        </w:rPr>
      </w:pPr>
      <w:r>
        <w:rPr>
          <w:rFonts w:eastAsia="標楷體" w:cs="標楷體" w:ascii="標楷體" w:hAnsi="標楷體"/>
          <w:sz w:val="26"/>
          <w:szCs w:val="26"/>
        </w:rPr>
        <w:t>5</w:t>
      </w:r>
      <w:r>
        <w:rPr>
          <w:rFonts w:eastAsia="標楷體" w:cs="標楷體" w:ascii="標楷體" w:hAnsi="標楷體"/>
          <w:sz w:val="26"/>
          <w:szCs w:val="26"/>
        </w:rPr>
        <w:t>.</w:t>
      </w:r>
      <w:r>
        <w:rPr>
          <w:rFonts w:ascii="標楷體" w:hAnsi="標楷體" w:cs="標楷體" w:eastAsia="標楷體"/>
          <w:sz w:val="26"/>
          <w:szCs w:val="26"/>
        </w:rPr>
        <w:t>藥物使用頻率：</w:t>
      </w:r>
    </w:p>
    <w:p>
      <w:pPr>
        <w:pStyle w:val="Normal"/>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每日使用頻率、每週或每月使用日數，特殊使用時機與場合等。</w:t>
      </w:r>
    </w:p>
    <w:p>
      <w:pPr>
        <w:pStyle w:val="ListParagraph"/>
        <w:snapToGrid w:val="false"/>
        <w:spacing w:lineRule="exact" w:line="480"/>
        <w:ind w:left="240" w:hanging="0"/>
        <w:jc w:val="both"/>
        <w:rPr>
          <w:rFonts w:ascii="標楷體" w:hAnsi="標楷體" w:eastAsia="標楷體" w:cs="標楷體"/>
          <w:sz w:val="26"/>
          <w:szCs w:val="26"/>
        </w:rPr>
      </w:pPr>
      <w:r>
        <w:rPr>
          <w:rFonts w:eastAsia="標楷體" w:cs="標楷體" w:ascii="標楷體" w:hAnsi="標楷體"/>
          <w:sz w:val="26"/>
          <w:szCs w:val="26"/>
        </w:rPr>
        <w:t>6</w:t>
      </w:r>
      <w:r>
        <w:rPr>
          <w:rFonts w:eastAsia="標楷體" w:cs="標楷體" w:ascii="標楷體" w:hAnsi="標楷體"/>
          <w:sz w:val="26"/>
          <w:szCs w:val="26"/>
        </w:rPr>
        <w:t>.</w:t>
      </w:r>
      <w:r>
        <w:rPr>
          <w:rFonts w:ascii="標楷體" w:hAnsi="標楷體" w:cs="標楷體" w:eastAsia="標楷體"/>
          <w:sz w:val="26"/>
          <w:szCs w:val="26"/>
        </w:rPr>
        <w:t>物質使用影響：</w:t>
      </w:r>
    </w:p>
    <w:p>
      <w:pPr>
        <w:pStyle w:val="Normal"/>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物質所影響的範圍是很廣泛的，包含以下：身體影響、心理影響、經濟影響、家庭與人際關係影響、法律與社會影響等。</w:t>
      </w:r>
    </w:p>
    <w:p>
      <w:pPr>
        <w:pStyle w:val="ListParagraph"/>
        <w:snapToGrid w:val="false"/>
        <w:spacing w:lineRule="exact" w:line="480"/>
        <w:ind w:left="240" w:hanging="0"/>
        <w:jc w:val="both"/>
        <w:rPr>
          <w:rFonts w:ascii="標楷體" w:hAnsi="標楷體" w:eastAsia="標楷體" w:cs="標楷體"/>
          <w:sz w:val="26"/>
          <w:szCs w:val="26"/>
        </w:rPr>
      </w:pPr>
      <w:r>
        <w:rPr>
          <w:rFonts w:eastAsia="標楷體" w:cs="標楷體" w:ascii="標楷體" w:hAnsi="標楷體"/>
          <w:sz w:val="26"/>
          <w:szCs w:val="26"/>
        </w:rPr>
        <w:t>7</w:t>
      </w:r>
      <w:r>
        <w:rPr>
          <w:rFonts w:eastAsia="標楷體" w:cs="標楷體" w:ascii="標楷體" w:hAnsi="標楷體"/>
          <w:sz w:val="26"/>
          <w:szCs w:val="26"/>
        </w:rPr>
        <w:t>.</w:t>
      </w:r>
      <w:r>
        <w:rPr>
          <w:rFonts w:ascii="標楷體" w:hAnsi="標楷體" w:cs="標楷體" w:eastAsia="標楷體"/>
          <w:sz w:val="26"/>
          <w:szCs w:val="26"/>
        </w:rPr>
        <w:t>戒癮史：</w:t>
      </w:r>
    </w:p>
    <w:p>
      <w:pPr>
        <w:pStyle w:val="Normal"/>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評估戒斷症狀表現、戒斷嚴重度、戒斷病程，是否接受過戒癮相關治療或是自行戒癮過、以及過去接受治療種類等。</w:t>
      </w:r>
    </w:p>
    <w:p>
      <w:pPr>
        <w:pStyle w:val="ListParagraph"/>
        <w:snapToGrid w:val="false"/>
        <w:spacing w:lineRule="exact" w:line="480"/>
        <w:ind w:left="240" w:hanging="0"/>
        <w:jc w:val="both"/>
        <w:rPr>
          <w:rFonts w:ascii="標楷體" w:hAnsi="標楷體" w:eastAsia="標楷體" w:cs="標楷體"/>
          <w:sz w:val="26"/>
          <w:szCs w:val="26"/>
        </w:rPr>
      </w:pPr>
      <w:r>
        <w:rPr>
          <w:rFonts w:eastAsia="標楷體" w:cs="標楷體" w:ascii="標楷體" w:hAnsi="標楷體"/>
          <w:sz w:val="26"/>
          <w:szCs w:val="26"/>
        </w:rPr>
        <w:t>8</w:t>
      </w:r>
      <w:r>
        <w:rPr>
          <w:rFonts w:eastAsia="標楷體" w:cs="標楷體" w:ascii="標楷體" w:hAnsi="標楷體"/>
          <w:sz w:val="26"/>
          <w:szCs w:val="26"/>
        </w:rPr>
        <w:t>.</w:t>
      </w:r>
      <w:r>
        <w:rPr>
          <w:rFonts w:ascii="標楷體" w:hAnsi="標楷體" w:cs="標楷體" w:eastAsia="標楷體"/>
          <w:sz w:val="26"/>
          <w:szCs w:val="26"/>
        </w:rPr>
        <w:t>復發因子：</w:t>
      </w:r>
    </w:p>
    <w:p>
      <w:pPr>
        <w:pStyle w:val="Normal"/>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可能造成個案再度使用的原因，包含個案主觀認定的復發因子及評估者認為可能的原因。</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21" w:name="__RefHeading___Toc358384680"/>
      <w:bookmarkEnd w:id="21"/>
      <w:r>
        <w:rPr>
          <w:rFonts w:ascii="標楷體" w:hAnsi="標楷體" w:cs="標楷體" w:eastAsia="標楷體"/>
          <w:b/>
          <w:bCs/>
          <w:spacing w:val="-2"/>
          <w:kern w:val="0"/>
          <w:sz w:val="32"/>
          <w:szCs w:val="32"/>
        </w:rPr>
        <w:t>二、其他的物質濫用</w:t>
      </w:r>
    </w:p>
    <w:p>
      <w:pPr>
        <w:pStyle w:val="ListParagraph"/>
        <w:snapToGrid w:val="false"/>
        <w:spacing w:lineRule="exact" w:line="480"/>
        <w:ind w:left="0" w:firstLine="520"/>
        <w:jc w:val="both"/>
        <w:rPr>
          <w:rFonts w:ascii="標楷體" w:hAnsi="標楷體" w:eastAsia="標楷體" w:cs="標楷體"/>
          <w:sz w:val="26"/>
          <w:szCs w:val="26"/>
        </w:rPr>
      </w:pPr>
      <w:r>
        <w:rPr>
          <w:rFonts w:ascii="標楷體" w:hAnsi="標楷體" w:cs="標楷體" w:eastAsia="標楷體"/>
          <w:sz w:val="26"/>
          <w:szCs w:val="26"/>
        </w:rPr>
        <w:t>個案經常有多重藥物使用情形，因此需特別注意除了愷他命之外濫用藥物名稱，及是否合併其他物質濫用，尤其是部分個案的藥物濫用型態是在同一時段併用多種藥物或酒精，個案也可能同時有酒癮、鎮定劑成癮等問題。若有其他藥物濫用，評估細節如上述。在後續治療上，須評估個案是否可能併發多種藥物的戒斷反應。</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22" w:name="__RefHeading___Toc358384681"/>
      <w:bookmarkEnd w:id="22"/>
      <w:r>
        <w:rPr>
          <w:rFonts w:ascii="標楷體" w:hAnsi="標楷體" w:cs="標楷體" w:eastAsia="標楷體"/>
          <w:b/>
          <w:bCs/>
          <w:spacing w:val="-2"/>
          <w:kern w:val="0"/>
          <w:sz w:val="32"/>
          <w:szCs w:val="32"/>
        </w:rPr>
        <w:t>三、藥物依賴程度</w:t>
      </w:r>
    </w:p>
    <w:p>
      <w:pPr>
        <w:pStyle w:val="ListParagraph"/>
        <w:snapToGrid w:val="false"/>
        <w:spacing w:lineRule="exact" w:line="480"/>
        <w:ind w:left="0" w:firstLine="520"/>
        <w:jc w:val="both"/>
        <w:rPr>
          <w:rFonts w:ascii="標楷體" w:hAnsi="標楷體" w:eastAsia="標楷體" w:cs="標楷體"/>
          <w:sz w:val="26"/>
          <w:szCs w:val="26"/>
        </w:rPr>
      </w:pPr>
      <w:r>
        <w:rPr>
          <w:rFonts w:ascii="標楷體" w:hAnsi="標楷體" w:cs="標楷體" w:eastAsia="標楷體"/>
          <w:sz w:val="26"/>
          <w:szCs w:val="26"/>
        </w:rPr>
        <w:t>評估是否符合精神疾患診斷與統計手冊</w:t>
      </w:r>
      <w:r>
        <w:rPr>
          <w:rFonts w:eastAsia="標楷體" w:cs="標楷體" w:ascii="標楷體" w:hAnsi="標楷體"/>
          <w:sz w:val="26"/>
          <w:szCs w:val="26"/>
        </w:rPr>
        <w:t>-</w:t>
      </w:r>
      <w:r>
        <w:rPr>
          <w:rFonts w:ascii="標楷體" w:hAnsi="標楷體" w:cs="標楷體" w:eastAsia="標楷體"/>
          <w:sz w:val="26"/>
          <w:szCs w:val="26"/>
        </w:rPr>
        <w:t>第四版</w:t>
      </w:r>
      <w:r>
        <w:rPr>
          <w:rFonts w:eastAsia="標楷體" w:cs="標楷體" w:ascii="標楷體" w:hAnsi="標楷體"/>
          <w:sz w:val="26"/>
          <w:szCs w:val="26"/>
        </w:rPr>
        <w:t>(DSM-IV-TR)</w:t>
      </w:r>
      <w:r>
        <w:rPr>
          <w:rFonts w:ascii="標楷體" w:hAnsi="標楷體" w:cs="標楷體" w:eastAsia="標楷體"/>
          <w:sz w:val="26"/>
          <w:szCs w:val="26"/>
        </w:rPr>
        <w:t>物質使用疾患的診斷準則中的物質依賴或是物質濫用，並依據診斷準則評估戒斷程度與時間，決定目前個案符合下列何種病程：</w:t>
      </w:r>
    </w:p>
    <w:p>
      <w:pPr>
        <w:pStyle w:val="ListParagraph"/>
        <w:snapToGrid w:val="false"/>
        <w:spacing w:lineRule="exact" w:line="480"/>
        <w:ind w:left="0" w:firstLine="520"/>
        <w:jc w:val="both"/>
        <w:rPr/>
      </w:pPr>
      <w:r>
        <w:rPr>
          <w:rFonts w:ascii="標楷體" w:hAnsi="標楷體" w:cs="標楷體" w:eastAsia="標楷體"/>
          <w:sz w:val="26"/>
          <w:szCs w:val="26"/>
        </w:rPr>
        <w:t>早期部分緩解</w:t>
      </w:r>
      <w:r>
        <w:rPr>
          <w:rFonts w:eastAsia="標楷體" w:cs="標楷體" w:ascii="標楷體" w:hAnsi="標楷體"/>
          <w:sz w:val="26"/>
          <w:szCs w:val="26"/>
        </w:rPr>
        <w:t>(</w:t>
      </w:r>
      <w:r>
        <w:rPr>
          <w:rFonts w:eastAsia="標楷體" w:cs="標楷體" w:ascii="標楷體" w:hAnsi="標楷體"/>
          <w:sz w:val="26"/>
          <w:szCs w:val="26"/>
        </w:rPr>
        <w:t>i</w:t>
      </w:r>
      <w:r>
        <w:rPr>
          <w:rFonts w:eastAsia="標楷體" w:cs="標楷體" w:ascii="標楷體" w:hAnsi="標楷體"/>
          <w:sz w:val="26"/>
          <w:szCs w:val="26"/>
        </w:rPr>
        <w:t>n early partial remission)</w:t>
      </w:r>
    </w:p>
    <w:p>
      <w:pPr>
        <w:pStyle w:val="ListParagraph"/>
        <w:snapToGrid w:val="false"/>
        <w:spacing w:lineRule="exact" w:line="480"/>
        <w:ind w:left="0" w:firstLine="520"/>
        <w:jc w:val="both"/>
        <w:rPr/>
      </w:pPr>
      <w:r>
        <w:rPr>
          <w:rFonts w:ascii="標楷體" w:hAnsi="標楷體" w:cs="標楷體" w:eastAsia="標楷體"/>
          <w:sz w:val="26"/>
          <w:szCs w:val="26"/>
        </w:rPr>
        <w:t>早期完全緩戒</w:t>
      </w:r>
      <w:r>
        <w:rPr>
          <w:rFonts w:eastAsia="標楷體" w:cs="標楷體" w:ascii="標楷體" w:hAnsi="標楷體"/>
          <w:sz w:val="26"/>
          <w:szCs w:val="26"/>
        </w:rPr>
        <w:t>(</w:t>
      </w:r>
      <w:r>
        <w:rPr>
          <w:rFonts w:eastAsia="標楷體" w:cs="標楷體" w:ascii="標楷體" w:hAnsi="標楷體"/>
          <w:sz w:val="26"/>
          <w:szCs w:val="26"/>
        </w:rPr>
        <w:t>i</w:t>
      </w:r>
      <w:r>
        <w:rPr>
          <w:rFonts w:eastAsia="標楷體" w:cs="標楷體" w:ascii="標楷體" w:hAnsi="標楷體"/>
          <w:sz w:val="26"/>
          <w:szCs w:val="26"/>
        </w:rPr>
        <w:t>n early full remission)</w:t>
      </w:r>
    </w:p>
    <w:p>
      <w:pPr>
        <w:pStyle w:val="ListParagraph"/>
        <w:snapToGrid w:val="false"/>
        <w:spacing w:lineRule="exact" w:line="480"/>
        <w:ind w:left="0" w:firstLine="496"/>
        <w:jc w:val="both"/>
        <w:rPr/>
      </w:pPr>
      <w:r>
        <w:rPr>
          <w:rFonts w:ascii="標楷體" w:hAnsi="標楷體" w:cs="標楷體" w:eastAsia="標楷體"/>
          <w:spacing w:val="-6"/>
          <w:sz w:val="26"/>
          <w:szCs w:val="26"/>
        </w:rPr>
        <w:t>持續性部分緩解</w:t>
      </w:r>
      <w:r>
        <w:rPr>
          <w:rFonts w:eastAsia="標楷體" w:cs="標楷體" w:ascii="標楷體" w:hAnsi="標楷體"/>
          <w:spacing w:val="-6"/>
          <w:sz w:val="26"/>
          <w:szCs w:val="26"/>
        </w:rPr>
        <w:t>(</w:t>
      </w:r>
      <w:r>
        <w:rPr>
          <w:rFonts w:eastAsia="標楷體" w:cs="標楷體" w:ascii="標楷體" w:hAnsi="標楷體"/>
          <w:spacing w:val="-6"/>
          <w:sz w:val="26"/>
          <w:szCs w:val="26"/>
        </w:rPr>
        <w:t>i</w:t>
      </w:r>
      <w:r>
        <w:rPr>
          <w:rFonts w:eastAsia="標楷體" w:cs="標楷體" w:ascii="標楷體" w:hAnsi="標楷體"/>
          <w:spacing w:val="-6"/>
          <w:sz w:val="26"/>
          <w:szCs w:val="26"/>
        </w:rPr>
        <w:t>n sustained partial remission)</w:t>
      </w:r>
    </w:p>
    <w:p>
      <w:pPr>
        <w:pStyle w:val="ListParagraph"/>
        <w:snapToGrid w:val="false"/>
        <w:spacing w:lineRule="exact" w:line="480"/>
        <w:ind w:left="0" w:firstLine="520"/>
        <w:jc w:val="both"/>
        <w:rPr>
          <w:rFonts w:ascii="標楷體" w:hAnsi="標楷體" w:eastAsia="標楷體" w:cs="標楷體"/>
          <w:sz w:val="26"/>
          <w:szCs w:val="26"/>
        </w:rPr>
      </w:pPr>
      <w:r>
        <w:rPr>
          <w:rFonts w:ascii="標楷體" w:hAnsi="標楷體" w:cs="標楷體" w:eastAsia="標楷體"/>
          <w:sz w:val="26"/>
          <w:szCs w:val="26"/>
        </w:rPr>
        <w:t xml:space="preserve">持續性完全緩解 </w:t>
      </w:r>
      <w:r>
        <w:rPr>
          <w:rFonts w:eastAsia="標楷體" w:cs="標楷體" w:ascii="標楷體" w:hAnsi="標楷體"/>
          <w:sz w:val="26"/>
          <w:szCs w:val="26"/>
        </w:rPr>
        <w:t>(in sustained full remission)</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23" w:name="__RefHeading___Toc358384682"/>
      <w:bookmarkEnd w:id="23"/>
      <w:r>
        <w:rPr>
          <w:rFonts w:ascii="標楷體" w:hAnsi="標楷體" w:cs="標楷體" w:eastAsia="標楷體"/>
          <w:b/>
          <w:bCs/>
          <w:spacing w:val="-2"/>
          <w:kern w:val="0"/>
          <w:sz w:val="32"/>
          <w:szCs w:val="32"/>
        </w:rPr>
        <w:t>四、精神科共病症評估</w:t>
      </w:r>
    </w:p>
    <w:p>
      <w:pPr>
        <w:pStyle w:val="ListParagraph"/>
        <w:snapToGrid w:val="false"/>
        <w:spacing w:lineRule="exact" w:line="480"/>
        <w:ind w:left="0" w:firstLine="520"/>
        <w:jc w:val="both"/>
        <w:rPr>
          <w:rFonts w:ascii="標楷體" w:hAnsi="標楷體" w:eastAsia="標楷體" w:cs="標楷體"/>
          <w:sz w:val="26"/>
          <w:szCs w:val="26"/>
        </w:rPr>
      </w:pPr>
      <w:r>
        <w:rPr>
          <w:rFonts w:ascii="標楷體" w:hAnsi="標楷體" w:cs="標楷體" w:eastAsia="標楷體"/>
          <w:sz w:val="26"/>
          <w:szCs w:val="26"/>
        </w:rPr>
        <w:t>除了個案經常有多重藥物使用情形外，也常合併其他精神科疾病，可以經由診斷性會談評估個案是否有其他精神科共病，較常見的共病症為憂鬱疾患及焦慮疾患。</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24" w:name="__RefHeading___Toc358384683"/>
      <w:bookmarkEnd w:id="24"/>
      <w:r>
        <w:rPr>
          <w:rFonts w:ascii="標楷體" w:hAnsi="標楷體" w:cs="標楷體" w:eastAsia="標楷體"/>
          <w:b/>
          <w:bCs/>
          <w:spacing w:val="-2"/>
          <w:kern w:val="0"/>
          <w:sz w:val="32"/>
          <w:szCs w:val="32"/>
        </w:rPr>
        <w:t>五、神經心理評估</w:t>
      </w:r>
    </w:p>
    <w:p>
      <w:pPr>
        <w:pStyle w:val="ListParagraph"/>
        <w:kinsoku w:val="false"/>
        <w:snapToGrid w:val="false"/>
        <w:spacing w:lineRule="exact" w:line="480"/>
        <w:ind w:left="0" w:firstLine="520"/>
        <w:jc w:val="both"/>
        <w:rPr>
          <w:rFonts w:ascii="標楷體" w:hAnsi="標楷體" w:eastAsia="標楷體" w:cs="標楷體"/>
          <w:sz w:val="26"/>
          <w:szCs w:val="26"/>
        </w:rPr>
      </w:pPr>
      <w:r>
        <w:rPr>
          <w:rFonts w:ascii="標楷體" w:hAnsi="標楷體" w:cs="標楷體" w:eastAsia="標楷體"/>
          <w:sz w:val="26"/>
          <w:szCs w:val="26"/>
        </w:rPr>
        <w:t>長期或大量使用愷他命會對認知功能造成影響，但影響的範圍及程度尚待更多的研究確認。目前文獻顯示，長期愷他命可能會造成執行功能、長短期記憶功能、視覺認知及空間概念等認知功能領域的障礙或缺損。所以臨床評估上應就個案的認知功能做基礎評估，若懷疑有認知功能缺損，可以轉介給臨床心理師做更進一步的心理衡鑑，以鑑別其他可能的原因。另外也有研究指出，濫用愷他命者可能會出現</w:t>
      </w:r>
      <w:r>
        <w:rPr>
          <w:rFonts w:ascii="標楷體" w:hAnsi="標楷體" w:cs="標楷體" w:eastAsia="標楷體"/>
          <w:sz w:val="26"/>
          <w:szCs w:val="26"/>
        </w:rPr>
        <w:t>不正常的軟性神經學徵兆</w:t>
      </w:r>
      <w:r>
        <w:rPr>
          <w:rFonts w:ascii="標楷體" w:hAnsi="標楷體" w:cs="標楷體" w:eastAsia="標楷體"/>
          <w:sz w:val="26"/>
          <w:szCs w:val="26"/>
        </w:rPr>
        <w:t>（</w:t>
      </w:r>
      <w:r>
        <w:rPr>
          <w:rFonts w:eastAsia="標楷體" w:cs="標楷體" w:ascii="標楷體" w:hAnsi="標楷體"/>
          <w:sz w:val="26"/>
          <w:szCs w:val="26"/>
        </w:rPr>
        <w:t>soft neurological sign</w:t>
      </w:r>
      <w:r>
        <w:rPr>
          <w:rFonts w:ascii="標楷體" w:hAnsi="標楷體" w:cs="標楷體" w:eastAsia="標楷體"/>
          <w:sz w:val="26"/>
          <w:szCs w:val="26"/>
        </w:rPr>
        <w:t>）及動作不協調（</w:t>
      </w:r>
      <w:r>
        <w:rPr>
          <w:rFonts w:eastAsia="標楷體" w:cs="標楷體" w:ascii="標楷體" w:hAnsi="標楷體"/>
          <w:sz w:val="26"/>
          <w:szCs w:val="26"/>
        </w:rPr>
        <w:t>motor incoordination</w:t>
      </w:r>
      <w:r>
        <w:rPr>
          <w:rFonts w:ascii="標楷體" w:hAnsi="標楷體" w:cs="標楷體" w:eastAsia="標楷體"/>
          <w:sz w:val="26"/>
          <w:szCs w:val="26"/>
        </w:rPr>
        <w:t>）。</w:t>
      </w:r>
    </w:p>
    <w:p>
      <w:pPr>
        <w:pStyle w:val="Normal"/>
        <w:numPr>
          <w:ilvl w:val="0"/>
          <w:numId w:val="0"/>
        </w:numPr>
        <w:autoSpaceDE w:val="false"/>
        <w:snapToGrid w:val="false"/>
        <w:spacing w:lineRule="exact" w:line="480" w:before="360" w:after="180"/>
        <w:jc w:val="both"/>
        <w:outlineLvl w:val="1"/>
        <w:rPr/>
      </w:pPr>
      <w:bookmarkStart w:id="25" w:name="__RefHeading___Toc358384684"/>
      <w:bookmarkEnd w:id="25"/>
      <w:r>
        <w:rPr>
          <w:rFonts w:ascii="標楷體" w:hAnsi="標楷體" w:cs="標楷體" w:eastAsia="標楷體"/>
          <w:b/>
          <w:bCs/>
          <w:spacing w:val="-2"/>
          <w:kern w:val="0"/>
          <w:sz w:val="32"/>
          <w:szCs w:val="32"/>
        </w:rPr>
        <w:t>六、生理狀態評估</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愷他命使用與許多生理疾患相關，故應就個案的過去內外科病史與目前的身體不適之主訴做詳細的探詢，並實施理學檢查。泌尿道系統的問題尤其常見，愷他命可能會破壞膀胱粘膜，導致潰瘍性膀胱炎，常見的主訴包括尿頻，尿急，尿少與尿痛等，應立即將個案轉介給泌尿科醫師作進一步的診治。也可能引發腎臟病變，影響腎功能。腹痛的症狀可能與肝膽系統的病變有關。治療者可依評估結果建議或安排個案接受其他醫療專科的評估與治療。</w:t>
      </w:r>
    </w:p>
    <w:p>
      <w:pPr>
        <w:pStyle w:val="Normal"/>
        <w:numPr>
          <w:ilvl w:val="0"/>
          <w:numId w:val="0"/>
        </w:numPr>
        <w:autoSpaceDE w:val="false"/>
        <w:snapToGrid w:val="false"/>
        <w:spacing w:lineRule="exact" w:line="480" w:before="360" w:after="180"/>
        <w:jc w:val="both"/>
        <w:outlineLvl w:val="1"/>
        <w:rPr/>
      </w:pPr>
      <w:bookmarkStart w:id="26" w:name="__RefHeading___Toc358384685"/>
      <w:bookmarkEnd w:id="26"/>
      <w:r>
        <w:rPr>
          <w:rFonts w:ascii="標楷體" w:hAnsi="標楷體" w:cs="標楷體" w:eastAsia="標楷體"/>
          <w:b/>
          <w:bCs/>
          <w:spacing w:val="-2"/>
          <w:kern w:val="0"/>
          <w:sz w:val="32"/>
          <w:szCs w:val="32"/>
        </w:rPr>
        <w:t>七、家庭功能評估</w:t>
      </w:r>
    </w:p>
    <w:p>
      <w:pPr>
        <w:pStyle w:val="ListParagraph"/>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1.</w:t>
      </w:r>
      <w:r>
        <w:rPr>
          <w:rFonts w:ascii="標楷體" w:hAnsi="標楷體" w:cs="標楷體" w:eastAsia="標楷體"/>
          <w:sz w:val="26"/>
          <w:szCs w:val="26"/>
        </w:rPr>
        <w:t>關鍵人物：家庭中核心人物，能配合醫療並支持個案戒癮的成員。</w:t>
      </w:r>
    </w:p>
    <w:p>
      <w:pPr>
        <w:pStyle w:val="ListParagraph"/>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2.</w:t>
      </w:r>
      <w:r>
        <w:rPr>
          <w:rFonts w:ascii="標楷體" w:hAnsi="標楷體" w:cs="標楷體" w:eastAsia="標楷體"/>
          <w:sz w:val="26"/>
          <w:szCs w:val="26"/>
        </w:rPr>
        <w:t>家庭支持度：需要評估家庭互動關係、家庭成員配合個案治療的意願及能力。家屬參與對於個案戒癮非常重要，除了能提供個案的生活功能與症狀等相關資訊外，家屬的情感支持也是鼓勵個案走下去的動力。除此之外，家屬能夠配合醫師針對個案戒癮狀態給予正增強，減少可能引起復發使用的高危險情境，對於治療會有相當助益。</w:t>
      </w:r>
    </w:p>
    <w:p>
      <w:pPr>
        <w:pStyle w:val="ListParagraph"/>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3.</w:t>
      </w:r>
      <w:r>
        <w:rPr>
          <w:rFonts w:ascii="標楷體" w:hAnsi="標楷體" w:cs="標楷體" w:eastAsia="標楷體"/>
          <w:sz w:val="26"/>
          <w:szCs w:val="26"/>
        </w:rPr>
        <w:t>物質濫用對家庭的影響：長期物質濫用的個案有部分會合併家庭暴力，成為高風險家庭的機率極高，所以必須評估此家庭是否需要社會局的介入或是其他社會資源的協助。</w:t>
      </w:r>
    </w:p>
    <w:p>
      <w:pPr>
        <w:pStyle w:val="Normal"/>
        <w:numPr>
          <w:ilvl w:val="0"/>
          <w:numId w:val="0"/>
        </w:numPr>
        <w:autoSpaceDE w:val="false"/>
        <w:snapToGrid w:val="false"/>
        <w:spacing w:lineRule="exact" w:line="480" w:before="360" w:after="180"/>
        <w:jc w:val="both"/>
        <w:outlineLvl w:val="1"/>
        <w:rPr/>
      </w:pPr>
      <w:bookmarkStart w:id="27" w:name="__RefHeading___Toc358384686"/>
      <w:bookmarkEnd w:id="27"/>
      <w:r>
        <w:rPr>
          <w:rFonts w:ascii="標楷體" w:hAnsi="標楷體" w:cs="標楷體" w:eastAsia="標楷體"/>
          <w:b/>
          <w:bCs/>
          <w:spacing w:val="-2"/>
          <w:kern w:val="0"/>
          <w:sz w:val="32"/>
          <w:szCs w:val="32"/>
        </w:rPr>
        <w:t>八、社會功能評估</w:t>
      </w:r>
    </w:p>
    <w:p>
      <w:pPr>
        <w:pStyle w:val="ListParagraph"/>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1.</w:t>
      </w:r>
      <w:r>
        <w:rPr>
          <w:rFonts w:ascii="標楷體" w:hAnsi="標楷體" w:cs="標楷體" w:eastAsia="標楷體"/>
          <w:sz w:val="26"/>
          <w:szCs w:val="26"/>
        </w:rPr>
        <w:t>職業狀態：學生（學校及年級）、就業狀態（職業別）、或是無業狀態（失業時間、過去曾從事的工作、最長的一次工作時間及種類）。</w:t>
      </w:r>
    </w:p>
    <w:p>
      <w:pPr>
        <w:pStyle w:val="ListParagraph"/>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2.</w:t>
      </w:r>
      <w:r>
        <w:rPr>
          <w:rFonts w:ascii="標楷體" w:hAnsi="標楷體" w:cs="標楷體" w:eastAsia="標楷體"/>
          <w:sz w:val="26"/>
          <w:szCs w:val="26"/>
        </w:rPr>
        <w:t>壓力源：物質濫用的個案中，使用物質常是個案逃避壓力的方式，所以必須評估個案主要的壓力源，並教導個案壓力因應技巧。</w:t>
      </w:r>
    </w:p>
    <w:p>
      <w:pPr>
        <w:pStyle w:val="ListParagraph"/>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3.</w:t>
      </w:r>
      <w:r>
        <w:rPr>
          <w:rFonts w:ascii="標楷體" w:hAnsi="標楷體" w:cs="標楷體" w:eastAsia="標楷體"/>
          <w:sz w:val="26"/>
          <w:szCs w:val="26"/>
        </w:rPr>
        <w:t>適應能力：個案對於壓力適應的能力並評估其認知功能。</w:t>
      </w:r>
    </w:p>
    <w:p>
      <w:pPr>
        <w:pStyle w:val="ListParagraph"/>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4.</w:t>
      </w:r>
      <w:r>
        <w:rPr>
          <w:rFonts w:ascii="標楷體" w:hAnsi="標楷體" w:cs="標楷體" w:eastAsia="標楷體"/>
          <w:sz w:val="26"/>
          <w:szCs w:val="26"/>
        </w:rPr>
        <w:t>改變動機：評估個案本身是否有戒癮的動機，還是被家人要求來治療。增強其戒癮動機。</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28" w:name="__RefHeading___Toc358384687"/>
      <w:bookmarkEnd w:id="28"/>
      <w:r>
        <w:rPr>
          <w:rFonts w:ascii="標楷體" w:hAnsi="標楷體" w:cs="標楷體" w:eastAsia="標楷體"/>
          <w:b/>
          <w:bCs/>
          <w:spacing w:val="-2"/>
          <w:kern w:val="0"/>
          <w:sz w:val="32"/>
          <w:szCs w:val="32"/>
        </w:rPr>
        <w:t>九、跨科別之轉介</w:t>
      </w:r>
    </w:p>
    <w:p>
      <w:pPr>
        <w:pStyle w:val="ListParagraph"/>
        <w:snapToGrid w:val="false"/>
        <w:spacing w:lineRule="exact" w:line="480"/>
        <w:ind w:left="0" w:firstLine="520"/>
        <w:jc w:val="both"/>
        <w:rPr>
          <w:rFonts w:ascii="標楷體" w:hAnsi="標楷體" w:eastAsia="標楷體" w:cs="標楷體"/>
          <w:sz w:val="26"/>
          <w:szCs w:val="26"/>
        </w:rPr>
      </w:pPr>
      <w:r>
        <w:rPr>
          <w:rFonts w:ascii="標楷體" w:hAnsi="標楷體" w:cs="標楷體" w:eastAsia="標楷體"/>
          <w:sz w:val="26"/>
          <w:szCs w:val="26"/>
        </w:rPr>
        <w:t>愷他命濫用者常合併有生理與心理層面的問題，所以個案的評估與治療需要由不同領域的專業人員來進行。再者，許多愷他命濫用者，常否認其物質濫用問題而不願意尋求藥癮相關的治療，但反而較可能會因為生理疾患，特別是泌尿系統問題，而開始尋求醫療協助。而不論是從生理層面抑或從精神心理層面來著手，協助個案完全停止使用愷他命都是共同的最終治療目標。</w:t>
      </w:r>
    </w:p>
    <w:p>
      <w:pPr>
        <w:pStyle w:val="ListParagraph"/>
        <w:snapToGrid w:val="false"/>
        <w:spacing w:lineRule="exact" w:line="480"/>
        <w:ind w:left="0" w:firstLine="520"/>
        <w:jc w:val="both"/>
        <w:rPr>
          <w:rFonts w:ascii="標楷體" w:hAnsi="標楷體" w:eastAsia="標楷體" w:cs="標楷體"/>
          <w:sz w:val="26"/>
          <w:szCs w:val="26"/>
        </w:rPr>
      </w:pPr>
      <w:r>
        <w:rPr>
          <w:rFonts w:ascii="標楷體" w:hAnsi="標楷體" w:cs="標楷體" w:eastAsia="標楷體"/>
          <w:sz w:val="26"/>
          <w:szCs w:val="26"/>
        </w:rPr>
        <w:t>轉介流程的進行，包含以下部分：</w:t>
      </w:r>
    </w:p>
    <w:p>
      <w:pPr>
        <w:pStyle w:val="ListParagraph"/>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1.</w:t>
      </w:r>
      <w:r>
        <w:rPr>
          <w:rFonts w:ascii="標楷體" w:hAnsi="標楷體" w:cs="標楷體" w:eastAsia="標楷體"/>
          <w:sz w:val="26"/>
          <w:szCs w:val="26"/>
        </w:rPr>
        <w:t>完整的臨床評估：</w:t>
      </w:r>
    </w:p>
    <w:p>
      <w:pPr>
        <w:pStyle w:val="ListParagraph"/>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實務上，在個案的評估階段，治療者便需仔細考慮個案是否可能合併有生理疾患之共病症，並積極安排轉介，因為濫用愷他命所引發的生理疾患，如潰瘍性膀胱炎與腎水腫等問題，在缺乏積極的處置下，可能產生不可逆的嚴重後果。需要考慮轉介的科別，包括泌尿科、腎臟科、腸胃科與內科急診等等。</w:t>
      </w:r>
    </w:p>
    <w:p>
      <w:pPr>
        <w:pStyle w:val="ListParagraph"/>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2.</w:t>
      </w:r>
      <w:r>
        <w:rPr>
          <w:rFonts w:ascii="標楷體" w:hAnsi="標楷體" w:cs="標楷體" w:eastAsia="標楷體"/>
          <w:sz w:val="26"/>
          <w:szCs w:val="26"/>
        </w:rPr>
        <w:t>完整的轉診資訊：</w:t>
      </w:r>
    </w:p>
    <w:p>
      <w:pPr>
        <w:pStyle w:val="ListParagraph"/>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轉診單上應載明個案的主訴、病史與各種相關的臨床評估資訊，包括實驗室檢查等結果。轉診單位應該設有通暢的聯絡管道，以利被轉診單位必要時可以進一步聯繫溝通。</w:t>
      </w:r>
    </w:p>
    <w:p>
      <w:pPr>
        <w:pStyle w:val="ListParagraph"/>
        <w:snapToGrid w:val="false"/>
        <w:spacing w:lineRule="exact" w:line="480"/>
        <w:ind w:left="500" w:hanging="260"/>
        <w:jc w:val="both"/>
        <w:rPr/>
      </w:pPr>
      <w:r>
        <w:rPr>
          <w:rFonts w:eastAsia="標楷體" w:cs="標楷體" w:ascii="標楷體" w:hAnsi="標楷體"/>
          <w:sz w:val="26"/>
          <w:szCs w:val="26"/>
        </w:rPr>
        <w:t>3.</w:t>
      </w:r>
      <w:r>
        <w:rPr>
          <w:rFonts w:ascii="標楷體" w:hAnsi="標楷體" w:cs="標楷體" w:eastAsia="標楷體"/>
          <w:sz w:val="26"/>
          <w:szCs w:val="26"/>
        </w:rPr>
        <w:t>治療計畫的整合：</w:t>
      </w:r>
    </w:p>
    <w:p>
      <w:pPr>
        <w:pStyle w:val="ListParagraph"/>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治療者應整合來自受轉介之專科醫師所回覆的醫療訊息，納入治療計畫的擬定中。這些資訊一方面可以協助治療者掌握個案的生理狀態，一方面也是協助個案戒癮的重要材料，針對個案的生理併發症進行衛教，可以促進其停止濫用的動機。</w:t>
      </w:r>
    </w:p>
    <w:p>
      <w:pPr>
        <w:pStyle w:val="ListParagraph"/>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4.</w:t>
      </w:r>
      <w:r>
        <w:rPr>
          <w:rFonts w:ascii="標楷體" w:hAnsi="標楷體" w:cs="標楷體" w:eastAsia="標楷體"/>
          <w:sz w:val="26"/>
          <w:szCs w:val="26"/>
        </w:rPr>
        <w:t>接受轉介：</w:t>
      </w:r>
    </w:p>
    <w:p>
      <w:pPr>
        <w:pStyle w:val="ListParagraph"/>
        <w:snapToGrid w:val="false"/>
        <w:spacing w:lineRule="exact" w:line="480"/>
        <w:ind w:left="480" w:firstLine="520"/>
        <w:jc w:val="both"/>
        <w:rPr>
          <w:rFonts w:ascii="標楷體" w:hAnsi="標楷體" w:eastAsia="標楷體" w:cs="標楷體"/>
          <w:sz w:val="26"/>
          <w:szCs w:val="26"/>
        </w:rPr>
      </w:pPr>
      <w:r>
        <w:rPr>
          <w:rFonts w:ascii="標楷體" w:hAnsi="標楷體" w:cs="標楷體" w:eastAsia="標楷體"/>
          <w:sz w:val="26"/>
          <w:szCs w:val="26"/>
        </w:rPr>
        <w:t>鑑於多數愷他命濫用者第一次求診的對象往往是泌尿科或內科門診，而非精神科門診或藥癮治療單位，藥癮治療之醫師若能與其他領域之專科醫師建立通暢的轉介管道，不但可以提供個案更完整的醫療服務，也可以讓更多個案進入藥癮治療的軌道中。</w:t>
      </w:r>
      <w:r>
        <w:br w:type="page"/>
      </w:r>
    </w:p>
    <w:p>
      <w:pPr>
        <w:pStyle w:val="1"/>
        <w:keepNext w:val="false"/>
        <w:spacing w:lineRule="auto" w:line="240" w:before="0" w:after="0"/>
        <w:jc w:val="center"/>
        <w:rPr>
          <w:rFonts w:ascii="標楷體" w:hAnsi="標楷體" w:cs="標楷體"/>
          <w:kern w:val="0"/>
          <w:sz w:val="36"/>
          <w:szCs w:val="36"/>
        </w:rPr>
      </w:pPr>
      <w:bookmarkStart w:id="29" w:name="__RefHeading___Toc358384688"/>
      <w:bookmarkEnd w:id="29"/>
      <w:r>
        <w:rPr>
          <w:rFonts w:ascii="標楷體" w:hAnsi="標楷體" w:cs="標楷體"/>
          <w:kern w:val="0"/>
          <w:sz w:val="36"/>
          <w:szCs w:val="36"/>
        </w:rPr>
        <w:t>第四節、急性中毒的處理</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30" w:name="__RefHeading___Toc358384689"/>
      <w:bookmarkEnd w:id="30"/>
      <w:r>
        <w:rPr>
          <w:rFonts w:ascii="標楷體" w:hAnsi="標楷體" w:cs="標楷體" w:eastAsia="標楷體"/>
          <w:b/>
          <w:bCs/>
          <w:spacing w:val="-2"/>
          <w:kern w:val="0"/>
          <w:sz w:val="32"/>
          <w:szCs w:val="32"/>
        </w:rPr>
        <w:t>一、急性中毒之危險性</w:t>
      </w:r>
    </w:p>
    <w:p>
      <w:pPr>
        <w:pStyle w:val="Normal"/>
        <w:snapToGrid w:val="false"/>
        <w:spacing w:lineRule="exact" w:line="480"/>
        <w:ind w:firstLine="520"/>
        <w:jc w:val="both"/>
        <w:rPr/>
      </w:pPr>
      <w:r>
        <w:rPr>
          <w:rFonts w:ascii="標楷體" w:hAnsi="標楷體" w:cs="標楷體" w:eastAsia="標楷體"/>
          <w:sz w:val="26"/>
          <w:szCs w:val="26"/>
        </w:rPr>
        <w:t>在醫療用途上，愷他命的安全性頗高，過去文獻顯示，嬰孩在急診室被誤用高劑量的愷他命，即使在使用到一般劑量的五倍甚至是百倍的狀況，也沒有致死的情況，這或許跟使用愷他命麻醉時，較少呼吸抑制副作用的藥理特性有關。但是在娛樂性使用的情況下，因為濫用者通常處於安全性被疏忽的狀況，也可能有併用酒精或其他藥物，因愷他命中毒致死的案例，儘管甚低（根據英國</w:t>
      </w:r>
      <w:r>
        <w:rPr>
          <w:rFonts w:eastAsia="標楷體" w:cs="標楷體" w:ascii="標楷體" w:hAnsi="標楷體"/>
          <w:sz w:val="26"/>
          <w:szCs w:val="26"/>
        </w:rPr>
        <w:t>2009</w:t>
      </w:r>
      <w:r>
        <w:rPr>
          <w:rFonts w:ascii="標楷體" w:hAnsi="標楷體" w:cs="標楷體" w:eastAsia="標楷體"/>
          <w:sz w:val="26"/>
          <w:szCs w:val="26"/>
        </w:rPr>
        <w:t>年的報告約</w:t>
      </w:r>
      <w:r>
        <w:rPr>
          <w:rFonts w:eastAsia="標楷體" w:cs="標楷體" w:ascii="標楷體" w:hAnsi="標楷體"/>
          <w:sz w:val="26"/>
          <w:szCs w:val="26"/>
        </w:rPr>
        <w:t>0.3%</w:t>
      </w:r>
      <w:r>
        <w:rPr>
          <w:rFonts w:ascii="標楷體" w:hAnsi="標楷體" w:cs="標楷體" w:eastAsia="標楷體"/>
          <w:sz w:val="26"/>
          <w:szCs w:val="26"/>
        </w:rPr>
        <w:t>），但在最近幾年有增高的趨勢，所以其急性中毒的危險性仍應仔細看待。</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31" w:name="__RefHeading___Toc358384690"/>
      <w:bookmarkEnd w:id="31"/>
      <w:r>
        <w:rPr>
          <w:rFonts w:ascii="標楷體" w:hAnsi="標楷體" w:cs="標楷體" w:eastAsia="標楷體"/>
          <w:b/>
          <w:bCs/>
          <w:spacing w:val="-2"/>
          <w:kern w:val="0"/>
          <w:sz w:val="32"/>
          <w:szCs w:val="32"/>
        </w:rPr>
        <w:t>二、急診室求診者之特徵</w:t>
      </w:r>
    </w:p>
    <w:p>
      <w:pPr>
        <w:pStyle w:val="Normal"/>
        <w:autoSpaceDE w:val="false"/>
        <w:snapToGrid w:val="false"/>
        <w:spacing w:lineRule="exact" w:line="480"/>
        <w:ind w:firstLine="520"/>
        <w:jc w:val="both"/>
        <w:rPr>
          <w:rFonts w:ascii="標楷體" w:hAnsi="標楷體" w:eastAsia="標楷體" w:cs="DFHeiHK-W3;細明體"/>
          <w:kern w:val="0"/>
          <w:sz w:val="26"/>
          <w:szCs w:val="26"/>
        </w:rPr>
      </w:pPr>
      <w:r>
        <w:rPr>
          <w:rFonts w:ascii="標楷體" w:hAnsi="標楷體" w:cs="標楷體" w:eastAsia="標楷體"/>
          <w:sz w:val="26"/>
          <w:szCs w:val="26"/>
        </w:rPr>
        <w:t>根據過去</w:t>
      </w:r>
      <w:r>
        <w:rPr>
          <w:rFonts w:ascii="標楷體" w:hAnsi="標楷體" w:cs="標楷體" w:eastAsia="標楷體"/>
          <w:sz w:val="26"/>
          <w:szCs w:val="26"/>
          <w:lang w:val="it-IT"/>
        </w:rPr>
        <w:t>的調查研究顯示，因愷他命使用而前來急診室診者可能具有些特徵，但可能會因地區而異。香港的一項研究指出，</w:t>
      </w:r>
      <w:r>
        <w:rPr>
          <w:rFonts w:ascii="標楷體" w:hAnsi="標楷體" w:cs="DFHeiHK-W3;細明體" w:eastAsia="標楷體"/>
          <w:kern w:val="0"/>
          <w:sz w:val="26"/>
          <w:szCs w:val="26"/>
        </w:rPr>
        <w:t>大部分的求診者為單一使用</w:t>
      </w:r>
      <w:r>
        <w:rPr>
          <w:rFonts w:ascii="標楷體" w:hAnsi="標楷體" w:cs="標楷體" w:eastAsia="標楷體"/>
          <w:sz w:val="26"/>
          <w:szCs w:val="26"/>
        </w:rPr>
        <w:t>愷他命</w:t>
      </w:r>
      <w:r>
        <w:rPr>
          <w:rFonts w:ascii="標楷體" w:hAnsi="標楷體" w:cs="DFHeiHK-W3;細明體" w:eastAsia="標楷體"/>
          <w:kern w:val="0"/>
          <w:sz w:val="26"/>
          <w:szCs w:val="26"/>
        </w:rPr>
        <w:t>，超過一半的求診者的年齡是落在</w:t>
      </w:r>
      <w:r>
        <w:rPr>
          <w:rFonts w:eastAsia="標楷體" w:cs="DFHeiHK-W3;細明體" w:ascii="標楷體" w:hAnsi="標楷體"/>
          <w:kern w:val="0"/>
          <w:sz w:val="26"/>
          <w:szCs w:val="26"/>
        </w:rPr>
        <w:t>20</w:t>
      </w:r>
      <w:r>
        <w:rPr>
          <w:rFonts w:ascii="標楷體" w:hAnsi="標楷體" w:cs="DFHeiHK-W3;細明體" w:eastAsia="標楷體"/>
          <w:kern w:val="0"/>
          <w:sz w:val="26"/>
          <w:szCs w:val="26"/>
        </w:rPr>
        <w:t>到</w:t>
      </w:r>
      <w:r>
        <w:rPr>
          <w:rFonts w:eastAsia="標楷體" w:cs="DFHeiHK-W3;細明體" w:ascii="標楷體" w:hAnsi="標楷體"/>
          <w:kern w:val="0"/>
          <w:sz w:val="26"/>
          <w:szCs w:val="26"/>
        </w:rPr>
        <w:t>29</w:t>
      </w:r>
      <w:r>
        <w:rPr>
          <w:rFonts w:ascii="標楷體" w:hAnsi="標楷體" w:cs="DFHeiHK-W3;細明體" w:eastAsia="標楷體"/>
          <w:kern w:val="0"/>
          <w:sz w:val="26"/>
          <w:szCs w:val="26"/>
        </w:rPr>
        <w:t>歲之間，意識障礙、腹痛、下泌尿道症狀、血壓升高與心搏過速為常見表現。</w:t>
      </w:r>
      <w:r>
        <w:rPr>
          <w:rFonts w:eastAsia="標楷體" w:cs="DFHeiHK-W3;細明體" w:ascii="標楷體" w:hAnsi="標楷體"/>
          <w:kern w:val="0"/>
          <w:sz w:val="26"/>
          <w:szCs w:val="26"/>
        </w:rPr>
        <w:t>233</w:t>
      </w:r>
      <w:r>
        <w:rPr>
          <w:rFonts w:ascii="標楷體" w:hAnsi="標楷體" w:cs="DFHeiHK-W3;細明體" w:eastAsia="標楷體"/>
          <w:kern w:val="0"/>
          <w:sz w:val="26"/>
          <w:szCs w:val="26"/>
        </w:rPr>
        <w:t>人中僅</w:t>
      </w:r>
      <w:r>
        <w:rPr>
          <w:rFonts w:eastAsia="標楷體" w:cs="DFHeiHK-W3;細明體" w:ascii="標楷體" w:hAnsi="標楷體"/>
          <w:kern w:val="0"/>
          <w:sz w:val="26"/>
          <w:szCs w:val="26"/>
        </w:rPr>
        <w:t>4</w:t>
      </w:r>
      <w:r>
        <w:rPr>
          <w:rFonts w:ascii="標楷體" w:hAnsi="標楷體" w:cs="DFHeiHK-W3;細明體" w:eastAsia="標楷體"/>
          <w:kern w:val="0"/>
          <w:sz w:val="26"/>
          <w:szCs w:val="26"/>
        </w:rPr>
        <w:t>位嚴重個案需接受加護病房的處置，此</w:t>
      </w:r>
      <w:r>
        <w:rPr>
          <w:rFonts w:eastAsia="標楷體" w:cs="DFHeiHK-W3;細明體" w:ascii="標楷體" w:hAnsi="標楷體"/>
          <w:kern w:val="0"/>
          <w:sz w:val="26"/>
          <w:szCs w:val="26"/>
        </w:rPr>
        <w:t>4</w:t>
      </w:r>
      <w:r>
        <w:rPr>
          <w:rFonts w:ascii="標楷體" w:hAnsi="標楷體" w:cs="DFHeiHK-W3;細明體" w:eastAsia="標楷體"/>
          <w:kern w:val="0"/>
          <w:sz w:val="26"/>
          <w:szCs w:val="26"/>
        </w:rPr>
        <w:t>位皆有合併有其他物質濫用（搖頭丸、海洛因、古柯鹼等等）。在英國的一項調查則顯示，約九成的求診者有合併使用的其他物質，以搖頭丸及液態快樂丸最多。但沒有個案需接受加護病房的照護。</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32" w:name="__RefHeading___Toc358384691"/>
      <w:bookmarkEnd w:id="32"/>
      <w:r>
        <w:rPr>
          <w:rFonts w:ascii="標楷體" w:hAnsi="標楷體" w:cs="標楷體" w:eastAsia="標楷體"/>
          <w:b/>
          <w:bCs/>
          <w:spacing w:val="-2"/>
          <w:kern w:val="0"/>
          <w:sz w:val="32"/>
          <w:szCs w:val="32"/>
        </w:rPr>
        <w:t>三、處理原則</w:t>
      </w:r>
    </w:p>
    <w:p>
      <w:pPr>
        <w:pStyle w:val="Normal"/>
        <w:autoSpaceDE w:val="false"/>
        <w:snapToGrid w:val="false"/>
        <w:spacing w:lineRule="exact" w:line="480"/>
        <w:ind w:firstLine="520"/>
        <w:jc w:val="both"/>
        <w:rPr>
          <w:rFonts w:ascii="標楷體" w:hAnsi="標楷體" w:eastAsia="標楷體" w:cs="DFHeiHK-W3;細明體"/>
          <w:kern w:val="0"/>
          <w:sz w:val="26"/>
          <w:szCs w:val="26"/>
        </w:rPr>
      </w:pPr>
      <w:r>
        <w:rPr>
          <w:rFonts w:ascii="標楷體" w:hAnsi="標楷體" w:cs="DFHeiHK-W3;細明體" w:eastAsia="標楷體"/>
          <w:kern w:val="0"/>
          <w:sz w:val="26"/>
          <w:szCs w:val="26"/>
        </w:rPr>
        <w:t>目前對於愷他命的急性中毒處理並沒有標準的處理流程，但從目前已知的調查研究，可以知道，因愷他命中毒前來尋求緊急處理的個案中，可能具有一些特徵及特定的臨床表現。因為求診者可能會不知道、無法報告或者隱瞞自己所使用的非法物質，所以在臨床上必須考慮這些個案過量濫用其他物質（特別是其他街頭藥物）的可能，而且所併用的其他物質所帶來的危險性可能會比單獨使用愷他命來的高。</w:t>
      </w:r>
    </w:p>
    <w:p>
      <w:pPr>
        <w:pStyle w:val="Normal"/>
        <w:autoSpaceDE w:val="false"/>
        <w:snapToGrid w:val="false"/>
        <w:spacing w:lineRule="exact" w:line="480"/>
        <w:ind w:firstLine="520"/>
        <w:jc w:val="both"/>
        <w:rPr>
          <w:rFonts w:ascii="標楷體" w:hAnsi="標楷體" w:eastAsia="標楷體" w:cs="DFHeiHK-W3;細明體"/>
          <w:kern w:val="0"/>
          <w:sz w:val="26"/>
          <w:szCs w:val="26"/>
        </w:rPr>
      </w:pPr>
      <w:r>
        <w:rPr>
          <w:rFonts w:ascii="標楷體" w:hAnsi="標楷體" w:cs="DFHeiHK-W3;細明體" w:eastAsia="標楷體"/>
          <w:kern w:val="0"/>
          <w:sz w:val="26"/>
          <w:szCs w:val="26"/>
        </w:rPr>
        <w:t>個案於急性中毒時，可能會呈現心搏過速、血壓升高、認知與記憶障礙、知覺異常等狀況，也可能出現激躁行為與被害妄想等狀況。基本的處置包括監測心律、血壓等生命徵象、監測血氧等，進行完整的血液生化檢查，考慮其他疾病的影響，若個案出現幻覺等症狀，需注意防範可能出現自我傷害及逃跑的情形。</w:t>
      </w:r>
    </w:p>
    <w:p>
      <w:pPr>
        <w:pStyle w:val="Normal"/>
        <w:autoSpaceDE w:val="false"/>
        <w:snapToGrid w:val="false"/>
        <w:spacing w:lineRule="exact" w:line="480"/>
        <w:ind w:firstLine="520"/>
        <w:jc w:val="both"/>
        <w:rPr>
          <w:rFonts w:ascii="標楷體" w:hAnsi="標楷體" w:eastAsia="標楷體" w:cs="DFHeiHK-W3;細明體"/>
          <w:kern w:val="0"/>
          <w:sz w:val="26"/>
          <w:szCs w:val="26"/>
        </w:rPr>
      </w:pPr>
      <w:r>
        <w:rPr>
          <w:rFonts w:ascii="標楷體" w:hAnsi="標楷體" w:cs="DFHeiHK-W3;細明體" w:eastAsia="標楷體"/>
          <w:kern w:val="0"/>
          <w:sz w:val="26"/>
          <w:szCs w:val="26"/>
        </w:rPr>
        <w:t>治療上以支持性治療為原則。若個案出現焦慮或激動行為，可考慮給予鎮靜藥物（</w:t>
      </w:r>
      <w:r>
        <w:rPr>
          <w:rFonts w:eastAsia="標楷體" w:cs="DFHeiHK-W3;細明體" w:ascii="標楷體" w:hAnsi="標楷體"/>
          <w:kern w:val="0"/>
          <w:sz w:val="26"/>
          <w:szCs w:val="26"/>
        </w:rPr>
        <w:t>benzodiazepine</w:t>
      </w:r>
      <w:r>
        <w:rPr>
          <w:rFonts w:ascii="標楷體" w:hAnsi="標楷體" w:cs="DFHeiHK-W3;細明體" w:eastAsia="標楷體"/>
          <w:kern w:val="0"/>
          <w:sz w:val="26"/>
          <w:szCs w:val="26"/>
        </w:rPr>
        <w:t>）或高效價的抗精神病藥物（</w:t>
      </w:r>
      <w:r>
        <w:rPr>
          <w:rFonts w:eastAsia="標楷體" w:cs="DFHeiHK-W3;細明體" w:ascii="標楷體" w:hAnsi="標楷體"/>
          <w:kern w:val="0"/>
          <w:sz w:val="26"/>
          <w:szCs w:val="26"/>
        </w:rPr>
        <w:t>high-potency antipsychotic agent</w:t>
      </w:r>
      <w:r>
        <w:rPr>
          <w:rFonts w:ascii="標楷體" w:hAnsi="標楷體" w:cs="DFHeiHK-W3;細明體" w:eastAsia="標楷體"/>
          <w:kern w:val="0"/>
          <w:sz w:val="26"/>
          <w:szCs w:val="26"/>
        </w:rPr>
        <w:t>）。高劑量的愷他命可能會引起嘔吐，所以對於意識狀態不佳的個案，應防範吸入性嗆傷。</w:t>
      </w:r>
    </w:p>
    <w:p>
      <w:pPr>
        <w:pStyle w:val="Normal"/>
        <w:autoSpaceDE w:val="false"/>
        <w:snapToGrid w:val="false"/>
        <w:spacing w:lineRule="exact" w:line="480"/>
        <w:ind w:firstLine="520"/>
        <w:jc w:val="both"/>
        <w:rPr>
          <w:rFonts w:ascii="標楷體" w:hAnsi="標楷體" w:eastAsia="標楷體" w:cs="DFHeiHK-W3;細明體"/>
          <w:kern w:val="0"/>
          <w:sz w:val="26"/>
          <w:szCs w:val="26"/>
        </w:rPr>
      </w:pPr>
      <w:r>
        <w:rPr>
          <w:rFonts w:ascii="標楷體" w:hAnsi="標楷體" w:cs="DFHeiHK-W3;細明體" w:eastAsia="標楷體"/>
          <w:kern w:val="0"/>
          <w:sz w:val="26"/>
          <w:szCs w:val="26"/>
        </w:rPr>
        <w:t>在台灣地區，愷他命與搖頭丸（</w:t>
      </w:r>
      <w:r>
        <w:rPr>
          <w:rFonts w:eastAsia="標楷體" w:cs="DFHeiHK-W3;細明體" w:ascii="標楷體" w:hAnsi="標楷體"/>
          <w:kern w:val="0"/>
          <w:sz w:val="26"/>
          <w:szCs w:val="26"/>
        </w:rPr>
        <w:t>MDMA</w:t>
      </w:r>
      <w:r>
        <w:rPr>
          <w:rFonts w:ascii="標楷體" w:hAnsi="標楷體" w:cs="DFHeiHK-W3;細明體" w:eastAsia="標楷體"/>
          <w:kern w:val="0"/>
          <w:sz w:val="26"/>
          <w:szCs w:val="26"/>
        </w:rPr>
        <w:t>）併用的狀況十分普遍，所以應注意是否有脫水或電解質不平衡的情形，防範橫紋肌溶解的發生。另外，愷他命對中樞神經系統的藥理作用時間通常少於一個小時，若個案持續出現激動或精神病症狀，須考慮其他診斷。文獻指出，過去曾使用苯環利定</w:t>
      </w:r>
      <w:r>
        <w:rPr>
          <w:rFonts w:eastAsia="標楷體" w:cs="DFHeiHK-W3;細明體" w:ascii="標楷體" w:hAnsi="標楷體"/>
          <w:kern w:val="0"/>
          <w:sz w:val="26"/>
          <w:szCs w:val="26"/>
        </w:rPr>
        <w:t>(phencyclidine</w:t>
      </w:r>
      <w:r>
        <w:rPr>
          <w:rFonts w:ascii="標楷體" w:hAnsi="標楷體" w:cs="DFHeiHK-W3;細明體" w:eastAsia="標楷體"/>
          <w:kern w:val="0"/>
          <w:sz w:val="26"/>
          <w:szCs w:val="26"/>
        </w:rPr>
        <w:t>，俗稱天使塵，屬中樞迷幻劑</w:t>
      </w:r>
      <w:r>
        <w:rPr>
          <w:rFonts w:eastAsia="標楷體" w:cs="DFHeiHK-W3;細明體" w:ascii="標楷體" w:hAnsi="標楷體"/>
          <w:kern w:val="0"/>
          <w:sz w:val="26"/>
          <w:szCs w:val="26"/>
        </w:rPr>
        <w:t>)</w:t>
      </w:r>
      <w:r>
        <w:rPr>
          <w:rFonts w:ascii="標楷體" w:hAnsi="標楷體" w:cs="DFHeiHK-W3;細明體" w:eastAsia="標楷體"/>
          <w:kern w:val="0"/>
          <w:sz w:val="26"/>
          <w:szCs w:val="26"/>
        </w:rPr>
        <w:t>的個案，可能表現出持續的精神病症狀，此與藥物的腦皮質神經毒性（</w:t>
      </w:r>
      <w:r>
        <w:rPr>
          <w:rFonts w:eastAsia="標楷體" w:cs="DFHeiHK-W3;細明體" w:ascii="標楷體" w:hAnsi="標楷體"/>
          <w:kern w:val="0"/>
          <w:sz w:val="26"/>
          <w:szCs w:val="26"/>
        </w:rPr>
        <w:t>cortical neurotoxic effect</w:t>
      </w:r>
      <w:r>
        <w:rPr>
          <w:rFonts w:ascii="標楷體" w:hAnsi="標楷體" w:cs="DFHeiHK-W3;細明體" w:eastAsia="標楷體"/>
          <w:kern w:val="0"/>
          <w:sz w:val="26"/>
          <w:szCs w:val="26"/>
        </w:rPr>
        <w:t>）有關。</w:t>
      </w:r>
      <w:r>
        <w:br w:type="page"/>
      </w:r>
    </w:p>
    <w:p>
      <w:pPr>
        <w:pStyle w:val="1"/>
        <w:keepNext w:val="false"/>
        <w:spacing w:lineRule="auto" w:line="240" w:before="0" w:after="0"/>
        <w:jc w:val="center"/>
        <w:rPr>
          <w:rFonts w:ascii="標楷體" w:hAnsi="標楷體" w:cs="標楷體"/>
          <w:kern w:val="0"/>
          <w:sz w:val="36"/>
          <w:szCs w:val="36"/>
        </w:rPr>
      </w:pPr>
      <w:bookmarkStart w:id="33" w:name="__RefHeading___Toc358384692"/>
      <w:bookmarkEnd w:id="33"/>
      <w:r>
        <w:rPr>
          <w:rFonts w:ascii="標楷體" w:hAnsi="標楷體" w:cs="標楷體"/>
          <w:kern w:val="0"/>
          <w:sz w:val="36"/>
          <w:szCs w:val="36"/>
        </w:rPr>
        <w:t>第五節、藥物治療</w:t>
      </w:r>
    </w:p>
    <w:p>
      <w:pPr>
        <w:pStyle w:val="Normal"/>
        <w:autoSpaceDE w:val="false"/>
        <w:snapToGrid w:val="false"/>
        <w:spacing w:lineRule="exact" w:line="480"/>
        <w:ind w:firstLine="520"/>
        <w:jc w:val="both"/>
        <w:rPr>
          <w:rFonts w:ascii="標楷體" w:hAnsi="標楷體" w:eastAsia="標楷體" w:cs="DFHeiHK-W3;細明體"/>
          <w:kern w:val="0"/>
          <w:sz w:val="26"/>
          <w:szCs w:val="26"/>
        </w:rPr>
      </w:pPr>
      <w:r>
        <w:rPr>
          <w:rFonts w:ascii="標楷體" w:hAnsi="標楷體" w:cs="DFHeiHK-W3;細明體" w:eastAsia="標楷體"/>
          <w:kern w:val="0"/>
          <w:sz w:val="26"/>
          <w:szCs w:val="26"/>
        </w:rPr>
        <w:t>目前沒有明確證據顯示，特定的藥物對於愷他命濫用或依賴有所療效。臨床上，醫師仍可以考慮個案的個別狀況，依照特定的治療目的，短期使用藥物來協助個案。</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34" w:name="__RefHeading___Toc358384693"/>
      <w:bookmarkEnd w:id="34"/>
      <w:r>
        <w:rPr>
          <w:rFonts w:ascii="標楷體" w:hAnsi="標楷體" w:cs="標楷體" w:eastAsia="標楷體"/>
          <w:b/>
          <w:bCs/>
          <w:spacing w:val="-2"/>
          <w:kern w:val="0"/>
          <w:sz w:val="32"/>
          <w:szCs w:val="32"/>
        </w:rPr>
        <w:t>一、急性中毒</w:t>
      </w:r>
    </w:p>
    <w:p>
      <w:pPr>
        <w:pStyle w:val="Normal"/>
        <w:autoSpaceDE w:val="false"/>
        <w:snapToGrid w:val="false"/>
        <w:spacing w:lineRule="exact" w:line="480"/>
        <w:ind w:firstLine="520"/>
        <w:jc w:val="both"/>
        <w:rPr>
          <w:rFonts w:ascii="標楷體" w:hAnsi="標楷體" w:eastAsia="標楷體" w:cs="DFHeiHK-W3;細明體"/>
          <w:kern w:val="0"/>
          <w:sz w:val="26"/>
          <w:szCs w:val="26"/>
        </w:rPr>
      </w:pPr>
      <w:r>
        <w:rPr>
          <w:rFonts w:ascii="標楷體" w:hAnsi="標楷體" w:cs="DFHeiHK-W3;細明體" w:eastAsia="標楷體"/>
          <w:kern w:val="0"/>
          <w:sz w:val="26"/>
          <w:szCs w:val="26"/>
        </w:rPr>
        <w:t>個案於愷他命的急性中毒時期，可能會有焦躁情緒或激動行為，也可能會伴隨出現妄想狀態或類似幻覺的症狀，在這些狀況下，可以適時給予鎮靜藥物或者抗精神病藥物，可以幫忙個案恢復情緒穩定及控制激動行為。但必須注意這些藥物所可能造成的副作用，包括嗜睡、急性肌張力失調或其他錐體外症狀。</w:t>
      </w:r>
    </w:p>
    <w:p>
      <w:pPr>
        <w:pStyle w:val="Normal"/>
        <w:numPr>
          <w:ilvl w:val="0"/>
          <w:numId w:val="0"/>
        </w:numPr>
        <w:autoSpaceDE w:val="false"/>
        <w:snapToGrid w:val="false"/>
        <w:spacing w:lineRule="exact" w:line="480" w:before="360" w:after="180"/>
        <w:jc w:val="both"/>
        <w:outlineLvl w:val="1"/>
        <w:rPr/>
      </w:pPr>
      <w:bookmarkStart w:id="35" w:name="__RefHeading___Toc358384694"/>
      <w:bookmarkEnd w:id="35"/>
      <w:r>
        <w:rPr>
          <w:rFonts w:ascii="標楷體" w:hAnsi="標楷體" w:cs="標楷體" w:eastAsia="標楷體"/>
          <w:b/>
          <w:bCs/>
          <w:spacing w:val="-2"/>
          <w:kern w:val="0"/>
          <w:sz w:val="32"/>
          <w:szCs w:val="32"/>
        </w:rPr>
        <w:t>二、依賴與戒斷症狀</w:t>
      </w:r>
    </w:p>
    <w:p>
      <w:pPr>
        <w:pStyle w:val="Normal"/>
        <w:autoSpaceDE w:val="false"/>
        <w:snapToGrid w:val="false"/>
        <w:spacing w:lineRule="exact" w:line="480"/>
        <w:ind w:firstLine="520"/>
        <w:jc w:val="both"/>
        <w:rPr>
          <w:rFonts w:ascii="標楷體" w:hAnsi="標楷體" w:eastAsia="標楷體" w:cs="DFHeiHK-W3;細明體"/>
          <w:kern w:val="0"/>
          <w:sz w:val="26"/>
          <w:szCs w:val="26"/>
        </w:rPr>
      </w:pPr>
      <w:r>
        <w:rPr>
          <w:rFonts w:ascii="標楷體" w:hAnsi="標楷體" w:cs="DFHeiHK-W3;細明體" w:eastAsia="標楷體"/>
          <w:kern w:val="0"/>
          <w:sz w:val="26"/>
          <w:szCs w:val="26"/>
        </w:rPr>
        <w:t>相較於酒精與鴉片類等其他物質，愷他命的成癮性顯然較低。但文獻上及臨床經驗皆顯示，仍有少部分個案在頻繁且長期使用後，會發展出依賴的狀況。這類個案常有強迫性使用的行為，而在試圖停止使用時，可能會表現出以焦慮為主的戒斷症狀，包括緊張不安、顫抖、發汗與心悸等等。適時的給予抗焦慮藥物或者抗憂鬱藥物，可以協助個案緩解停止使用愷他命後所伴隨發生的不適。</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36" w:name="__RefHeading___Toc358384695"/>
      <w:bookmarkEnd w:id="36"/>
      <w:r>
        <w:rPr>
          <w:rFonts w:ascii="標楷體" w:hAnsi="標楷體" w:cs="標楷體" w:eastAsia="標楷體"/>
          <w:b/>
          <w:bCs/>
          <w:spacing w:val="-2"/>
          <w:kern w:val="0"/>
          <w:sz w:val="32"/>
          <w:szCs w:val="32"/>
        </w:rPr>
        <w:t>三、共病之精神疾患</w:t>
      </w:r>
    </w:p>
    <w:p>
      <w:pPr>
        <w:pStyle w:val="Normal"/>
        <w:autoSpaceDE w:val="false"/>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對於個案在藥物濫用之外，另有共病性精神疾病時，應給予該精神疾病相關之藥物治療。適應障礙、憂鬱性疾患與焦慮疾患都是</w:t>
      </w:r>
      <w:r>
        <w:rPr>
          <w:rFonts w:ascii="標楷體" w:hAnsi="標楷體" w:cs="DFHeiHK-W3;細明體" w:eastAsia="標楷體"/>
          <w:kern w:val="0"/>
          <w:sz w:val="26"/>
          <w:szCs w:val="26"/>
        </w:rPr>
        <w:t>愷他命</w:t>
      </w:r>
      <w:r>
        <w:rPr>
          <w:rFonts w:ascii="標楷體" w:hAnsi="標楷體" w:cs="標楷體" w:eastAsia="標楷體"/>
          <w:sz w:val="26"/>
          <w:szCs w:val="26"/>
        </w:rPr>
        <w:t>濫用者可能共病的精神疾患，臨床上醫師應該仔細評估這些共病疾患與</w:t>
      </w:r>
      <w:r>
        <w:rPr>
          <w:rFonts w:ascii="標楷體" w:hAnsi="標楷體" w:cs="DFHeiHK-W3;細明體" w:eastAsia="標楷體"/>
          <w:kern w:val="0"/>
          <w:sz w:val="26"/>
          <w:szCs w:val="26"/>
        </w:rPr>
        <w:t>愷他命</w:t>
      </w:r>
      <w:r>
        <w:rPr>
          <w:rFonts w:ascii="標楷體" w:hAnsi="標楷體" w:cs="標楷體" w:eastAsia="標楷體"/>
          <w:sz w:val="26"/>
          <w:szCs w:val="26"/>
        </w:rPr>
        <w:t>使用的相互關係，並就藥物治療的必要性與個案及家屬作討論。</w:t>
      </w:r>
    </w:p>
    <w:p>
      <w:pPr>
        <w:pStyle w:val="Normal"/>
        <w:autoSpaceDE w:val="false"/>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治療藥物的選擇方面，在排除個案身體狀況影響藥物代謝的情形下，對於藥癮個案應優先選擇半衰期較長、作用時間啟始較和緩的藥物，以減少個案發生醫源性藥物依賴的可能性。</w:t>
      </w:r>
      <w:r>
        <w:br w:type="page"/>
      </w:r>
    </w:p>
    <w:p>
      <w:pPr>
        <w:pStyle w:val="1"/>
        <w:keepNext w:val="false"/>
        <w:spacing w:lineRule="auto" w:line="240" w:before="0" w:after="0"/>
        <w:jc w:val="center"/>
        <w:rPr/>
      </w:pPr>
      <w:bookmarkStart w:id="37" w:name="__RefHeading___Toc358384696"/>
      <w:bookmarkEnd w:id="37"/>
      <w:r>
        <w:rPr>
          <w:rFonts w:ascii="標楷體" w:hAnsi="標楷體" w:cs="標楷體"/>
          <w:kern w:val="0"/>
          <w:sz w:val="36"/>
          <w:szCs w:val="36"/>
        </w:rPr>
        <w:t>第六節、心理社會治療</w:t>
      </w:r>
    </w:p>
    <w:p>
      <w:pPr>
        <w:pStyle w:val="Normal"/>
        <w:snapToGrid w:val="false"/>
        <w:spacing w:lineRule="exact" w:line="460"/>
        <w:ind w:firstLine="482"/>
        <w:jc w:val="both"/>
        <w:rPr>
          <w:rStyle w:val="Applestylespan"/>
          <w:rFonts w:ascii="標楷體" w:hAnsi="標楷體" w:eastAsia="標楷體" w:cs="標楷體"/>
          <w:sz w:val="26"/>
          <w:szCs w:val="26"/>
        </w:rPr>
      </w:pPr>
      <w:r>
        <w:rPr>
          <w:rStyle w:val="Applestylespan"/>
          <w:rFonts w:ascii="標楷體" w:hAnsi="標楷體" w:cs="標楷體" w:eastAsia="標楷體"/>
          <w:sz w:val="26"/>
          <w:szCs w:val="26"/>
        </w:rPr>
        <w:t>愷他命濫用或成癮的治療上，目前尚缺乏有效的藥物。愷他命是屬於俱樂部藥物</w:t>
      </w:r>
      <w:r>
        <w:rPr>
          <w:rStyle w:val="Applestylespan"/>
          <w:rFonts w:eastAsia="標楷體" w:cs="標楷體" w:ascii="標楷體" w:hAnsi="標楷體"/>
          <w:sz w:val="26"/>
          <w:szCs w:val="26"/>
        </w:rPr>
        <w:t>(club drug)</w:t>
      </w:r>
      <w:r>
        <w:rPr>
          <w:rStyle w:val="Applestylespan"/>
          <w:rFonts w:ascii="標楷體" w:hAnsi="標楷體" w:cs="標楷體" w:eastAsia="標楷體"/>
          <w:sz w:val="26"/>
          <w:szCs w:val="26"/>
        </w:rPr>
        <w:t>或派對藥物的一員，其興起與流行與銳舞次文化等社會環境因子息息相關，所以臨床治療仍仰賴心理社會取向的介入為主。目前針對愷他命濫用或成癮治療模式探討的文獻仍十分有限。當今的醫療觀點普遍把物質濫用視為一種腦部疾患，因此儘管各種物質濫用的特性相異，但在治療概念上仍有相當的普同性存在。在目前的物質成癮的治療上，認知行為治療佔有舉足輕重的角色，在此我們以認知行為治療的概念為主軸，討論在愷他命濫用或依賴中，心理社會層面治療的相關議題。</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38" w:name="__RefHeading___Toc358384697"/>
      <w:bookmarkEnd w:id="38"/>
      <w:r>
        <w:rPr>
          <w:rFonts w:ascii="標楷體" w:hAnsi="標楷體" w:cs="標楷體" w:eastAsia="標楷體"/>
          <w:b/>
          <w:bCs/>
          <w:spacing w:val="-2"/>
          <w:kern w:val="0"/>
          <w:sz w:val="32"/>
          <w:szCs w:val="32"/>
        </w:rPr>
        <w:t>一、物質濫用的認知模式</w:t>
      </w:r>
    </w:p>
    <w:p>
      <w:pPr>
        <w:pStyle w:val="Normal"/>
        <w:snapToGrid w:val="false"/>
        <w:spacing w:lineRule="exact" w:line="480"/>
        <w:jc w:val="both"/>
        <w:rPr>
          <w:rFonts w:ascii="標楷體" w:hAnsi="標楷體" w:eastAsia="標楷體" w:cs="標楷體"/>
          <w:sz w:val="26"/>
          <w:szCs w:val="26"/>
        </w:rPr>
      </w:pPr>
      <w:r>
        <w:rPr>
          <w:rFonts w:ascii="標楷體" w:hAnsi="標楷體" w:cs="標楷體" w:eastAsia="標楷體"/>
          <w:b/>
          <w:bCs/>
          <w:sz w:val="26"/>
          <w:szCs w:val="26"/>
        </w:rPr>
        <w:t xml:space="preserve">   </w:t>
      </w:r>
      <w:r>
        <w:rPr>
          <w:rFonts w:ascii="標楷體" w:hAnsi="標楷體" w:cs="標楷體" w:eastAsia="標楷體"/>
          <w:sz w:val="26"/>
          <w:szCs w:val="26"/>
        </w:rPr>
        <w:t>認知治療大師貝克</w:t>
      </w:r>
      <w:r>
        <w:rPr>
          <w:rFonts w:eastAsia="標楷體" w:cs="標楷體" w:ascii="標楷體" w:hAnsi="標楷體"/>
          <w:sz w:val="26"/>
          <w:szCs w:val="26"/>
        </w:rPr>
        <w:t>(Aaron T. Beck)</w:t>
      </w:r>
      <w:r>
        <w:rPr>
          <w:rFonts w:ascii="標楷體" w:hAnsi="標楷體" w:cs="標楷體" w:eastAsia="標楷體"/>
          <w:sz w:val="26"/>
          <w:szCs w:val="26"/>
        </w:rPr>
        <w:t>早在</w:t>
      </w:r>
      <w:r>
        <w:rPr>
          <w:rFonts w:eastAsia="標楷體" w:cs="標楷體" w:ascii="標楷體" w:hAnsi="標楷體"/>
          <w:sz w:val="26"/>
          <w:szCs w:val="26"/>
        </w:rPr>
        <w:t>1977</w:t>
      </w:r>
      <w:r>
        <w:rPr>
          <w:rFonts w:ascii="標楷體" w:hAnsi="標楷體" w:cs="標楷體" w:eastAsia="標楷體"/>
          <w:sz w:val="26"/>
          <w:szCs w:val="26"/>
        </w:rPr>
        <w:t>年已發表物質濫用的治療手冊，並在</w:t>
      </w:r>
      <w:r>
        <w:rPr>
          <w:rFonts w:eastAsia="標楷體" w:cs="標楷體" w:ascii="標楷體" w:hAnsi="標楷體"/>
          <w:sz w:val="26"/>
          <w:szCs w:val="26"/>
        </w:rPr>
        <w:t>1993</w:t>
      </w:r>
      <w:r>
        <w:rPr>
          <w:rFonts w:ascii="標楷體" w:hAnsi="標楷體" w:cs="標楷體" w:eastAsia="標楷體"/>
          <w:sz w:val="26"/>
          <w:szCs w:val="26"/>
        </w:rPr>
        <w:t>年建構起一個更完整的關於物質濫用的認知模式。貝克融合了他早期的認知治療技術與對於其他精神疾患的認知模式，強調信念（</w:t>
      </w:r>
      <w:r>
        <w:rPr>
          <w:rFonts w:eastAsia="標楷體" w:cs="標楷體" w:ascii="標楷體" w:hAnsi="標楷體"/>
          <w:sz w:val="26"/>
          <w:szCs w:val="26"/>
        </w:rPr>
        <w:t>belief</w:t>
      </w:r>
      <w:r>
        <w:rPr>
          <w:rFonts w:ascii="標楷體" w:hAnsi="標楷體" w:cs="標楷體" w:eastAsia="標楷體"/>
          <w:sz w:val="26"/>
          <w:szCs w:val="26"/>
        </w:rPr>
        <w:t>）在物質濫用的開始、維持與治療上的重要性。這個模式的核心概念，在於物質濫用的開始或復發，會在特定的情境中，透過一連串主動決策的過程（</w:t>
      </w:r>
      <w:r>
        <w:rPr>
          <w:rFonts w:eastAsia="標楷體" w:cs="標楷體" w:ascii="標楷體" w:hAnsi="標楷體"/>
          <w:sz w:val="26"/>
          <w:szCs w:val="26"/>
        </w:rPr>
        <w:t xml:space="preserve">active </w:t>
      </w:r>
      <w:r>
        <w:rPr>
          <w:rFonts w:eastAsia="標楷體" w:cs="標楷體" w:ascii="標楷體" w:hAnsi="標楷體"/>
          <w:sz w:val="26"/>
          <w:szCs w:val="26"/>
        </w:rPr>
        <w:t>decision</w:t>
      </w:r>
      <w:r>
        <w:rPr>
          <w:rFonts w:eastAsia="標楷體" w:cs="標楷體" w:ascii="標楷體" w:hAnsi="標楷體"/>
          <w:sz w:val="26"/>
          <w:szCs w:val="26"/>
        </w:rPr>
        <w:t>-making process</w:t>
      </w:r>
      <w:r>
        <w:rPr>
          <w:rFonts w:ascii="標楷體" w:hAnsi="標楷體" w:cs="標楷體" w:eastAsia="標楷體"/>
          <w:sz w:val="26"/>
          <w:szCs w:val="26"/>
        </w:rPr>
        <w:t>）而發生。這個模式最早是以中樞興奮劑為案例來說明，並可以推演到鴉片類或其他類別的物質濫用。貝克認為物質濫用牽涉到三種信念，分別為核心信念（</w:t>
      </w:r>
      <w:r>
        <w:rPr>
          <w:rFonts w:eastAsia="標楷體" w:cs="標楷體" w:ascii="標楷體" w:hAnsi="標楷體"/>
          <w:sz w:val="26"/>
          <w:szCs w:val="26"/>
        </w:rPr>
        <w:t>core belief</w:t>
      </w:r>
      <w:r>
        <w:rPr>
          <w:rFonts w:ascii="標楷體" w:hAnsi="標楷體" w:cs="標楷體" w:eastAsia="標楷體"/>
          <w:sz w:val="26"/>
          <w:szCs w:val="26"/>
        </w:rPr>
        <w:t>）、藥物相關信念</w:t>
      </w:r>
      <w:r>
        <w:rPr>
          <w:rFonts w:eastAsia="標楷體" w:cs="標楷體" w:ascii="標楷體" w:hAnsi="標楷體"/>
          <w:sz w:val="26"/>
          <w:szCs w:val="26"/>
        </w:rPr>
        <w:t>(drug-related belief)</w:t>
      </w:r>
      <w:r>
        <w:rPr>
          <w:rFonts w:ascii="標楷體" w:hAnsi="標楷體" w:cs="標楷體" w:eastAsia="標楷體"/>
          <w:sz w:val="26"/>
          <w:szCs w:val="26"/>
        </w:rPr>
        <w:t>與自動化思考</w:t>
      </w:r>
      <w:r>
        <w:rPr>
          <w:rFonts w:eastAsia="標楷體" w:cs="標楷體" w:ascii="標楷體" w:hAnsi="標楷體"/>
          <w:sz w:val="26"/>
          <w:szCs w:val="26"/>
        </w:rPr>
        <w:t>(automatic thoughts)</w:t>
      </w:r>
      <w:r>
        <w:rPr>
          <w:rFonts w:ascii="標楷體" w:hAnsi="標楷體" w:cs="標楷體" w:eastAsia="標楷體"/>
          <w:sz w:val="26"/>
          <w:szCs w:val="26"/>
        </w:rPr>
        <w:t>，說明如下：</w:t>
      </w:r>
    </w:p>
    <w:p>
      <w:pPr>
        <w:pStyle w:val="Normal"/>
        <w:snapToGrid w:val="false"/>
        <w:spacing w:lineRule="exact" w:line="480"/>
        <w:jc w:val="both"/>
        <w:rPr>
          <w:rFonts w:ascii="標楷體" w:hAnsi="標楷體" w:eastAsia="標楷體" w:cs="標楷體"/>
          <w:bCs/>
          <w:sz w:val="26"/>
          <w:szCs w:val="26"/>
        </w:rPr>
      </w:pPr>
      <w:r>
        <w:rPr>
          <w:rFonts w:eastAsia="標楷體" w:cs="標楷體" w:ascii="標楷體" w:hAnsi="標楷體"/>
          <w:bCs/>
          <w:sz w:val="26"/>
          <w:szCs w:val="26"/>
        </w:rPr>
        <w:tab/>
      </w:r>
      <w:r>
        <w:rPr>
          <w:rFonts w:ascii="標楷體" w:hAnsi="標楷體" w:cs="標楷體" w:eastAsia="標楷體"/>
          <w:bCs/>
          <w:sz w:val="26"/>
          <w:szCs w:val="26"/>
        </w:rPr>
        <w:t>核心信念：指個案對自己、對重要他人或者整個世界的基礎信念。核心信念會透過個案所經歷的各種新的經驗而形成，但同時這些信念也會影響個案對於自身經驗的詮釋。</w:t>
      </w:r>
    </w:p>
    <w:p>
      <w:pPr>
        <w:pStyle w:val="Normal"/>
        <w:snapToGrid w:val="false"/>
        <w:spacing w:lineRule="exact" w:line="480"/>
        <w:jc w:val="both"/>
        <w:rPr>
          <w:rFonts w:ascii="標楷體" w:hAnsi="標楷體" w:eastAsia="標楷體" w:cs="標楷體"/>
          <w:bCs/>
          <w:sz w:val="26"/>
          <w:szCs w:val="26"/>
        </w:rPr>
      </w:pPr>
      <w:r>
        <w:rPr>
          <w:rFonts w:ascii="標楷體" w:hAnsi="標楷體" w:cs="標楷體" w:eastAsia="標楷體"/>
          <w:bCs/>
          <w:sz w:val="26"/>
          <w:szCs w:val="26"/>
        </w:rPr>
        <w:t xml:space="preserve">    </w:t>
      </w:r>
      <w:r>
        <w:rPr>
          <w:rFonts w:ascii="標楷體" w:hAnsi="標楷體" w:cs="標楷體" w:eastAsia="標楷體"/>
          <w:bCs/>
          <w:sz w:val="26"/>
          <w:szCs w:val="26"/>
        </w:rPr>
        <w:t>藥物相關信念：指個案在使用藥物後，所形成對於物質使用的信念，這些信念可能是預期性的（預期使用後有好的結果，如「我用一下下，就會有很美妙的感受出現」），也有可能是為了要釋放或緩解當時的痛苦（認為使用後，事情就會由壞轉好，如「我快煩死了，再不用一點，真的會受不了」）。當然個案還可能出現各式各樣的信念，來促發或維持他們的成癮行為，例如個案可能會透過促發信念（</w:t>
      </w:r>
      <w:r>
        <w:rPr>
          <w:rFonts w:eastAsia="標楷體" w:cs="標楷體" w:ascii="標楷體" w:hAnsi="標楷體"/>
          <w:bCs/>
          <w:sz w:val="26"/>
          <w:szCs w:val="26"/>
        </w:rPr>
        <w:t>facilitating belief</w:t>
      </w:r>
      <w:r>
        <w:rPr>
          <w:rFonts w:ascii="標楷體" w:hAnsi="標楷體" w:cs="標楷體" w:eastAsia="標楷體"/>
          <w:bCs/>
          <w:sz w:val="26"/>
          <w:szCs w:val="26"/>
        </w:rPr>
        <w:t>，如「只用這麼一次又不會怎麼樣」等等），來逃避矛盾的情緒並允許自己再使用藥物。</w:t>
      </w:r>
    </w:p>
    <w:p>
      <w:pPr>
        <w:pStyle w:val="Normal"/>
        <w:snapToGrid w:val="false"/>
        <w:spacing w:lineRule="exact" w:line="480"/>
        <w:jc w:val="both"/>
        <w:rPr>
          <w:rFonts w:ascii="標楷體" w:hAnsi="標楷體" w:eastAsia="標楷體" w:cs="標楷體"/>
          <w:bCs/>
          <w:sz w:val="26"/>
          <w:szCs w:val="26"/>
        </w:rPr>
      </w:pPr>
      <w:r>
        <w:rPr>
          <w:rFonts w:ascii="標楷體" w:hAnsi="標楷體" w:cs="標楷體" w:eastAsia="標楷體"/>
          <w:bCs/>
          <w:sz w:val="26"/>
          <w:szCs w:val="26"/>
        </w:rPr>
        <w:t xml:space="preserve">    </w:t>
      </w:r>
      <w:r>
        <w:rPr>
          <w:rFonts w:ascii="標楷體" w:hAnsi="標楷體" w:cs="標楷體" w:eastAsia="標楷體"/>
          <w:bCs/>
          <w:sz w:val="26"/>
          <w:szCs w:val="26"/>
        </w:rPr>
        <w:t>自動化思考：是指一些短暫的、快速浮現在腦中的想法或畫面，個案會認為自動化思考是真實與合理的，內容是重複和最有力量的，就像是簡短版本的信念，會誘發個案產生渴求的反應與使用的衝動。</w:t>
      </w:r>
    </w:p>
    <w:p>
      <w:pPr>
        <w:pStyle w:val="Normal"/>
        <w:snapToGrid w:val="false"/>
        <w:spacing w:lineRule="exact" w:line="480"/>
        <w:jc w:val="both"/>
        <w:rPr>
          <w:rFonts w:ascii="標楷體" w:hAnsi="標楷體" w:eastAsia="標楷體" w:cs="標楷體"/>
          <w:bCs/>
          <w:sz w:val="26"/>
          <w:szCs w:val="26"/>
        </w:rPr>
      </w:pPr>
      <w:r>
        <w:rPr>
          <w:rFonts w:ascii="標楷體" w:hAnsi="標楷體" w:cs="標楷體" w:eastAsia="標楷體"/>
          <w:bCs/>
          <w:sz w:val="26"/>
          <w:szCs w:val="26"/>
        </w:rPr>
        <w:t xml:space="preserve">    </w:t>
      </w:r>
      <w:r>
        <w:rPr>
          <w:rFonts w:ascii="標楷體" w:hAnsi="標楷體" w:cs="標楷體" w:eastAsia="標楷體"/>
          <w:bCs/>
          <w:sz w:val="26"/>
          <w:szCs w:val="26"/>
        </w:rPr>
        <w:t>貝克認為藉由案例分析（</w:t>
      </w:r>
      <w:r>
        <w:rPr>
          <w:rFonts w:eastAsia="標楷體" w:cs="標楷體" w:ascii="標楷體" w:hAnsi="標楷體"/>
          <w:bCs/>
          <w:sz w:val="26"/>
          <w:szCs w:val="26"/>
        </w:rPr>
        <w:t>case formulation</w:t>
      </w:r>
      <w:r>
        <w:rPr>
          <w:rFonts w:ascii="標楷體" w:hAnsi="標楷體" w:cs="標楷體" w:eastAsia="標楷體"/>
          <w:bCs/>
          <w:sz w:val="26"/>
          <w:szCs w:val="26"/>
        </w:rPr>
        <w:t>）澄清個案的藥物相關信念，並協助個案瞭解自身的自動化信念，能夠使個案去知覺整個成癮行為背後的認知過程與決策過程，調整其認知基模（</w:t>
      </w:r>
      <w:r>
        <w:rPr>
          <w:rFonts w:eastAsia="標楷體" w:cs="標楷體" w:ascii="標楷體" w:hAnsi="標楷體"/>
          <w:bCs/>
          <w:sz w:val="26"/>
          <w:szCs w:val="26"/>
        </w:rPr>
        <w:t>schema</w:t>
      </w:r>
      <w:r>
        <w:rPr>
          <w:rFonts w:ascii="標楷體" w:hAnsi="標楷體" w:cs="標楷體" w:eastAsia="標楷體"/>
          <w:bCs/>
          <w:sz w:val="26"/>
          <w:szCs w:val="26"/>
        </w:rPr>
        <w:t>），重新獲得控制的力量。</w:t>
      </w:r>
    </w:p>
    <w:p>
      <w:pPr>
        <w:pStyle w:val="Normal"/>
        <w:numPr>
          <w:ilvl w:val="0"/>
          <w:numId w:val="0"/>
        </w:numPr>
        <w:autoSpaceDE w:val="false"/>
        <w:snapToGrid w:val="false"/>
        <w:spacing w:lineRule="exact" w:line="480" w:before="360" w:after="180"/>
        <w:jc w:val="both"/>
        <w:outlineLvl w:val="1"/>
        <w:rPr/>
      </w:pPr>
      <w:bookmarkStart w:id="39" w:name="__RefHeading___Toc358384698"/>
      <w:bookmarkEnd w:id="39"/>
      <w:r>
        <w:rPr>
          <w:rFonts w:ascii="標楷體" w:hAnsi="標楷體" w:cs="標楷體" w:eastAsia="標楷體"/>
          <w:b/>
          <w:bCs/>
          <w:spacing w:val="-2"/>
          <w:kern w:val="0"/>
          <w:sz w:val="32"/>
          <w:szCs w:val="32"/>
        </w:rPr>
        <w:t>二、動機增強治療與動機式晤談法</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動機式晤談法</w:t>
      </w:r>
      <w:r>
        <w:rPr>
          <w:rFonts w:ascii="標楷體" w:hAnsi="標楷體" w:cs="標楷體" w:eastAsia="標楷體"/>
          <w:bCs/>
          <w:sz w:val="26"/>
          <w:szCs w:val="26"/>
        </w:rPr>
        <w:t>（</w:t>
      </w:r>
      <w:r>
        <w:rPr>
          <w:rFonts w:eastAsia="標楷體" w:cs="標楷體" w:ascii="標楷體" w:hAnsi="標楷體"/>
          <w:bCs/>
          <w:sz w:val="26"/>
          <w:szCs w:val="26"/>
        </w:rPr>
        <w:t>motivational interview</w:t>
      </w:r>
      <w:r>
        <w:rPr>
          <w:rFonts w:ascii="標楷體" w:hAnsi="標楷體" w:cs="標楷體" w:eastAsia="標楷體"/>
          <w:bCs/>
          <w:sz w:val="26"/>
          <w:szCs w:val="26"/>
        </w:rPr>
        <w:t>）</w:t>
      </w:r>
      <w:r>
        <w:rPr>
          <w:rFonts w:ascii="標楷體" w:hAnsi="標楷體" w:cs="標楷體" w:eastAsia="標楷體"/>
          <w:sz w:val="26"/>
          <w:szCs w:val="26"/>
        </w:rPr>
        <w:t>與動機增強治療</w:t>
      </w:r>
      <w:r>
        <w:rPr>
          <w:rFonts w:ascii="標楷體" w:hAnsi="標楷體" w:cs="標楷體" w:eastAsia="標楷體"/>
          <w:bCs/>
          <w:sz w:val="26"/>
          <w:szCs w:val="26"/>
        </w:rPr>
        <w:t>（</w:t>
      </w:r>
      <w:r>
        <w:rPr>
          <w:rFonts w:eastAsia="標楷體" w:cs="標楷體" w:ascii="標楷體" w:hAnsi="標楷體"/>
          <w:bCs/>
          <w:sz w:val="26"/>
          <w:szCs w:val="26"/>
        </w:rPr>
        <w:t>motivation enhancing treatment</w:t>
      </w:r>
      <w:r>
        <w:rPr>
          <w:rFonts w:ascii="標楷體" w:hAnsi="標楷體" w:cs="標楷體" w:eastAsia="標楷體"/>
          <w:bCs/>
          <w:sz w:val="26"/>
          <w:szCs w:val="26"/>
        </w:rPr>
        <w:t>）</w:t>
      </w:r>
      <w:r>
        <w:rPr>
          <w:rFonts w:ascii="標楷體" w:hAnsi="標楷體" w:cs="標楷體" w:eastAsia="標楷體"/>
          <w:sz w:val="26"/>
          <w:szCs w:val="26"/>
        </w:rPr>
        <w:t>是類似的治療方式。此治療模式的源起，是臨床上觀察到接受十二步驟諮商的酒癮個案，由於一開始有些個案可能還沒做好戒酒準備，再加上這些阻抗（</w:t>
      </w:r>
      <w:r>
        <w:rPr>
          <w:rFonts w:eastAsia="標楷體" w:cs="標楷體" w:ascii="標楷體" w:hAnsi="標楷體"/>
          <w:sz w:val="26"/>
          <w:szCs w:val="26"/>
        </w:rPr>
        <w:t>resistance</w:t>
      </w:r>
      <w:r>
        <w:rPr>
          <w:rFonts w:ascii="標楷體" w:hAnsi="標楷體" w:cs="標楷體" w:eastAsia="標楷體"/>
          <w:sz w:val="26"/>
          <w:szCs w:val="26"/>
        </w:rPr>
        <w:t>）會在治療過程中被質疑，形成個案害怕接受治療的壓力而不想再接受治療。因此，動機式晤談法的目標，就是希望能化解成癮個案心中的矛盾現象。臨床上，</w:t>
      </w:r>
      <w:r>
        <w:rPr>
          <w:rStyle w:val="Applestylespan"/>
          <w:rFonts w:ascii="標楷體" w:hAnsi="標楷體" w:cs="標楷體" w:eastAsia="標楷體"/>
          <w:sz w:val="26"/>
          <w:szCs w:val="26"/>
        </w:rPr>
        <w:t>愷他命</w:t>
      </w:r>
      <w:r>
        <w:rPr>
          <w:rFonts w:ascii="標楷體" w:hAnsi="標楷體" w:cs="標楷體" w:eastAsia="標楷體"/>
          <w:sz w:val="26"/>
          <w:szCs w:val="26"/>
        </w:rPr>
        <w:t>濫用者普遍乏病識感，認為使用此種藥物既不違法，也無法察覺其危害，治療動機往往十分薄弱，許多個案都是在家人親友的要求下在十分被動的情況下前來醫療院所求診，返診追蹤的比例極低。因此在治療初期，增進個案的治療動機是首要之務，如此才能讓治療延續下去。</w:t>
      </w:r>
    </w:p>
    <w:p>
      <w:pPr>
        <w:pStyle w:val="Normal"/>
        <w:snapToGrid w:val="false"/>
        <w:spacing w:lineRule="exact" w:line="480"/>
        <w:ind w:firstLine="520"/>
        <w:jc w:val="both"/>
        <w:rPr/>
      </w:pPr>
      <w:r>
        <w:rPr>
          <w:rFonts w:ascii="標楷體" w:hAnsi="標楷體" w:cs="標楷體" w:eastAsia="標楷體"/>
          <w:sz w:val="26"/>
          <w:szCs w:val="26"/>
        </w:rPr>
        <w:t>在動機式晤談法中，每個個案的狀態，依照行為改變的歷程，可以區分為六個階段，包括沉思前期、沉思期、準備期、行動期、維持期、及復發期。</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作法上，則是針對個案的狀態，設法增強個案改變至下一階段的動機，並且能夠維持穩定而不再復發。治療上有五個主要原則，分別是</w:t>
      </w:r>
      <w:r>
        <w:rPr>
          <w:rFonts w:eastAsia="標楷體" w:cs="標楷體" w:ascii="標楷體" w:hAnsi="標楷體"/>
          <w:sz w:val="26"/>
          <w:szCs w:val="26"/>
        </w:rPr>
        <w:t>:1)</w:t>
      </w:r>
      <w:r>
        <w:rPr>
          <w:rFonts w:ascii="標楷體" w:hAnsi="標楷體" w:cs="標楷體" w:eastAsia="標楷體"/>
          <w:sz w:val="26"/>
          <w:szCs w:val="26"/>
        </w:rPr>
        <w:t>表達同理心，回映式傾聽。</w:t>
      </w:r>
      <w:r>
        <w:rPr>
          <w:rFonts w:eastAsia="標楷體" w:cs="標楷體" w:ascii="標楷體" w:hAnsi="標楷體"/>
          <w:sz w:val="26"/>
          <w:szCs w:val="26"/>
        </w:rPr>
        <w:t>2)</w:t>
      </w:r>
      <w:r>
        <w:rPr>
          <w:rFonts w:ascii="標楷體" w:hAnsi="標楷體" w:cs="標楷體" w:eastAsia="標楷體"/>
          <w:sz w:val="26"/>
          <w:szCs w:val="26"/>
        </w:rPr>
        <w:t>擴大矛盾，製造不一致。</w:t>
      </w:r>
      <w:r>
        <w:rPr>
          <w:rFonts w:eastAsia="標楷體" w:cs="標楷體" w:ascii="標楷體" w:hAnsi="標楷體"/>
          <w:sz w:val="26"/>
          <w:szCs w:val="26"/>
        </w:rPr>
        <w:t>3)</w:t>
      </w:r>
      <w:r>
        <w:rPr>
          <w:rFonts w:ascii="標楷體" w:hAnsi="標楷體" w:cs="標楷體" w:eastAsia="標楷體"/>
          <w:sz w:val="26"/>
          <w:szCs w:val="26"/>
        </w:rPr>
        <w:t>避免爭辯。</w:t>
      </w:r>
      <w:r>
        <w:rPr>
          <w:rFonts w:eastAsia="標楷體" w:cs="標楷體" w:ascii="標楷體" w:hAnsi="標楷體"/>
          <w:sz w:val="26"/>
          <w:szCs w:val="26"/>
        </w:rPr>
        <w:t>4)</w:t>
      </w:r>
      <w:r>
        <w:rPr>
          <w:rFonts w:ascii="標楷體" w:hAnsi="標楷體" w:cs="標楷體" w:eastAsia="標楷體"/>
          <w:sz w:val="26"/>
          <w:szCs w:val="26"/>
        </w:rPr>
        <w:t>與抗拒共同工作，化阻力為助力。</w:t>
      </w:r>
      <w:r>
        <w:rPr>
          <w:rFonts w:eastAsia="標楷體" w:cs="標楷體" w:ascii="標楷體" w:hAnsi="標楷體"/>
          <w:sz w:val="26"/>
          <w:szCs w:val="26"/>
        </w:rPr>
        <w:t>5)</w:t>
      </w:r>
      <w:r>
        <w:rPr>
          <w:rFonts w:ascii="標楷體" w:hAnsi="標楷體" w:cs="標楷體" w:eastAsia="標楷體"/>
          <w:sz w:val="26"/>
          <w:szCs w:val="26"/>
        </w:rPr>
        <w:t>支持自我有能感。由於個案在治療發生阻抗時，便傾向不願再改變，因此必須注意到個案阻抗的狀態；同時，治療者的風格也會影響到個案阻抗與改變的態度，因此應該避免用面質個案的方式來進行治療，也避免用可能引起爭執的方式來改變個案。即使是針對藥癮及合併共病性精神疾病的個案，動機式晤談法仍是具有良好效果的治療方式。</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實務上，大部分的</w:t>
      </w:r>
      <w:r>
        <w:rPr>
          <w:rStyle w:val="Applestylespan"/>
          <w:rFonts w:ascii="標楷體" w:hAnsi="標楷體" w:cs="標楷體" w:eastAsia="標楷體"/>
          <w:sz w:val="26"/>
          <w:szCs w:val="26"/>
        </w:rPr>
        <w:t>愷他命</w:t>
      </w:r>
      <w:r>
        <w:rPr>
          <w:rFonts w:ascii="標楷體" w:hAnsi="標楷體" w:cs="標楷體" w:eastAsia="標楷體"/>
          <w:sz w:val="26"/>
          <w:szCs w:val="26"/>
        </w:rPr>
        <w:t>成癮的治療都是在門診進行。治療者可以考慮以短期諮商（</w:t>
      </w:r>
      <w:r>
        <w:rPr>
          <w:rFonts w:eastAsia="標楷體" w:cs="標楷體" w:ascii="標楷體" w:hAnsi="標楷體"/>
          <w:sz w:val="26"/>
          <w:szCs w:val="26"/>
        </w:rPr>
        <w:t xml:space="preserve">brief </w:t>
      </w:r>
      <w:r>
        <w:rPr>
          <w:rFonts w:eastAsia="標楷體" w:cs="標楷體" w:ascii="標楷體" w:hAnsi="標楷體"/>
          <w:sz w:val="26"/>
          <w:szCs w:val="26"/>
        </w:rPr>
        <w:t>intervention</w:t>
      </w:r>
      <w:r>
        <w:rPr>
          <w:rFonts w:ascii="標楷體" w:hAnsi="標楷體" w:cs="標楷體" w:eastAsia="標楷體"/>
          <w:sz w:val="26"/>
          <w:szCs w:val="26"/>
        </w:rPr>
        <w:t>）的形式，在有限的時間條件下（每次</w:t>
      </w:r>
      <w:r>
        <w:rPr>
          <w:rFonts w:eastAsia="標楷體" w:cs="標楷體" w:ascii="標楷體" w:hAnsi="標楷體"/>
          <w:sz w:val="26"/>
          <w:szCs w:val="26"/>
        </w:rPr>
        <w:t>5</w:t>
      </w:r>
      <w:r>
        <w:rPr>
          <w:rFonts w:ascii="標楷體" w:hAnsi="標楷體" w:cs="標楷體" w:eastAsia="標楷體"/>
          <w:sz w:val="26"/>
          <w:szCs w:val="26"/>
        </w:rPr>
        <w:t>到</w:t>
      </w:r>
      <w:r>
        <w:rPr>
          <w:rFonts w:eastAsia="標楷體" w:cs="標楷體" w:ascii="標楷體" w:hAnsi="標楷體"/>
          <w:sz w:val="26"/>
          <w:szCs w:val="26"/>
        </w:rPr>
        <w:t>15</w:t>
      </w:r>
      <w:r>
        <w:rPr>
          <w:rFonts w:ascii="標楷體" w:hAnsi="標楷體" w:cs="標楷體" w:eastAsia="標楷體"/>
          <w:sz w:val="26"/>
          <w:szCs w:val="26"/>
        </w:rPr>
        <w:t>分鐘），給予尚在使用藥物的個案進行動機式的晤談，來促進個案參與治療的動機。</w:t>
      </w:r>
    </w:p>
    <w:p>
      <w:pPr>
        <w:pStyle w:val="Normal"/>
        <w:numPr>
          <w:ilvl w:val="0"/>
          <w:numId w:val="0"/>
        </w:numPr>
        <w:autoSpaceDE w:val="false"/>
        <w:snapToGrid w:val="false"/>
        <w:spacing w:lineRule="exact" w:line="480" w:before="360" w:after="180"/>
        <w:jc w:val="both"/>
        <w:outlineLvl w:val="1"/>
        <w:rPr>
          <w:rFonts w:ascii="標楷體" w:hAnsi="標楷體" w:eastAsia="標楷體" w:cs="標楷體"/>
          <w:b/>
          <w:b/>
          <w:bCs/>
          <w:spacing w:val="-2"/>
          <w:kern w:val="0"/>
          <w:sz w:val="32"/>
          <w:szCs w:val="32"/>
        </w:rPr>
      </w:pPr>
      <w:bookmarkStart w:id="40" w:name="__RefHeading___Toc358384699"/>
      <w:bookmarkEnd w:id="40"/>
      <w:r>
        <w:rPr>
          <w:rFonts w:ascii="標楷體" w:hAnsi="標楷體" w:cs="標楷體" w:eastAsia="標楷體"/>
          <w:b/>
          <w:bCs/>
          <w:spacing w:val="-2"/>
          <w:kern w:val="0"/>
          <w:sz w:val="32"/>
          <w:szCs w:val="32"/>
        </w:rPr>
        <w:t>三、復發預防模式</w:t>
      </w:r>
    </w:p>
    <w:p>
      <w:pPr>
        <w:pStyle w:val="Normal"/>
        <w:snapToGrid w:val="false"/>
        <w:spacing w:lineRule="exact" w:line="480"/>
        <w:ind w:firstLine="480"/>
        <w:jc w:val="both"/>
        <w:rPr>
          <w:rFonts w:ascii="標楷體" w:hAnsi="標楷體" w:eastAsia="標楷體" w:cs="標楷體"/>
          <w:sz w:val="26"/>
          <w:szCs w:val="26"/>
        </w:rPr>
      </w:pPr>
      <w:r>
        <w:rPr>
          <w:rFonts w:ascii="標楷體" w:hAnsi="標楷體" w:cs="標楷體" w:eastAsia="標楷體"/>
          <w:sz w:val="26"/>
          <w:szCs w:val="26"/>
        </w:rPr>
        <w:t>復發預防</w:t>
      </w:r>
      <w:r>
        <w:rPr>
          <w:rFonts w:eastAsia="標楷體" w:cs="標楷體" w:ascii="標楷體" w:hAnsi="標楷體"/>
          <w:sz w:val="26"/>
          <w:szCs w:val="26"/>
        </w:rPr>
        <w:t>(r</w:t>
      </w:r>
      <w:r>
        <w:rPr>
          <w:rFonts w:eastAsia="標楷體" w:cs="標楷體" w:ascii="標楷體" w:hAnsi="標楷體"/>
          <w:sz w:val="26"/>
          <w:szCs w:val="26"/>
        </w:rPr>
        <w:t xml:space="preserve">elapse </w:t>
      </w:r>
      <w:r>
        <w:rPr>
          <w:rFonts w:eastAsia="標楷體" w:cs="標楷體" w:ascii="標楷體" w:hAnsi="標楷體"/>
          <w:sz w:val="26"/>
          <w:szCs w:val="26"/>
        </w:rPr>
        <w:t>p</w:t>
      </w:r>
      <w:r>
        <w:rPr>
          <w:rFonts w:eastAsia="標楷體" w:cs="標楷體" w:ascii="標楷體" w:hAnsi="標楷體"/>
          <w:sz w:val="26"/>
          <w:szCs w:val="26"/>
        </w:rPr>
        <w:t>revention</w:t>
      </w:r>
      <w:r>
        <w:rPr>
          <w:rFonts w:ascii="標楷體" w:hAnsi="標楷體" w:cs="標楷體" w:eastAsia="標楷體"/>
          <w:sz w:val="26"/>
          <w:szCs w:val="26"/>
        </w:rPr>
        <w:t>）</w:t>
      </w:r>
      <w:r>
        <w:rPr>
          <w:rFonts w:ascii="標楷體" w:hAnsi="標楷體" w:cs="標楷體" w:eastAsia="標楷體"/>
          <w:sz w:val="26"/>
          <w:szCs w:val="26"/>
        </w:rPr>
        <w:t>的治療模式，是根植於社會學習理論所發展出來的藥癮治療模式，屬於認知行為治療的範疇。在許多整合性的藥癮治療模式中，復發預防模式被廣泛使用且被認同有相當的療效，臨床上常跟動機式晤談法合併運用。</w:t>
      </w:r>
    </w:p>
    <w:p>
      <w:pPr>
        <w:pStyle w:val="Normal"/>
        <w:snapToGrid w:val="false"/>
        <w:spacing w:lineRule="exact" w:line="480"/>
        <w:ind w:firstLine="480"/>
        <w:jc w:val="both"/>
        <w:rPr>
          <w:rFonts w:ascii="標楷體" w:hAnsi="標楷體" w:eastAsia="標楷體" w:cs="標楷體"/>
          <w:sz w:val="26"/>
          <w:szCs w:val="26"/>
        </w:rPr>
      </w:pPr>
      <w:r>
        <w:rPr>
          <w:rFonts w:ascii="標楷體" w:hAnsi="標楷體" w:cs="標楷體" w:eastAsia="標楷體"/>
          <w:sz w:val="26"/>
          <w:szCs w:val="26"/>
        </w:rPr>
        <w:t>復發預防模式原初的治療目標在於協助已經戒除藥物的個案，繼續保持在戒除的狀態，但這些技巧隨後也被廣泛運用在協助個案減少或停止使用藥物。其治療重點，是學得適應技巧來維持個案處於藥物戒除狀態，因此，從確認可能造成復發的高危險情境，到學習人際互動、自我管理等技巧，或是整個改變生活型態等，來對應這些高危險情境，並由實際克服高危險情境的經驗，增加個案對於戒癮的信心與自我有能感</w:t>
      </w:r>
      <w:r>
        <w:rPr>
          <w:rFonts w:eastAsia="標楷體" w:cs="標楷體" w:ascii="標楷體" w:hAnsi="標楷體"/>
          <w:sz w:val="26"/>
          <w:szCs w:val="26"/>
        </w:rPr>
        <w:t>(self-efficacy)</w:t>
      </w:r>
      <w:r>
        <w:rPr>
          <w:rFonts w:ascii="標楷體" w:hAnsi="標楷體" w:cs="標楷體" w:eastAsia="標楷體"/>
          <w:sz w:val="26"/>
          <w:szCs w:val="26"/>
        </w:rPr>
        <w:t>，以避免復發使用藥物。</w:t>
      </w:r>
    </w:p>
    <w:p>
      <w:pPr>
        <w:pStyle w:val="Style22"/>
        <w:snapToGrid w:val="false"/>
        <w:spacing w:lineRule="exact" w:line="480"/>
        <w:jc w:val="both"/>
        <w:rPr>
          <w:rFonts w:ascii="標楷體" w:hAnsi="標楷體" w:eastAsia="標楷體" w:cs="+mj-cs"/>
          <w:b/>
          <w:b/>
          <w:kern w:val="2"/>
          <w:sz w:val="26"/>
          <w:szCs w:val="26"/>
        </w:rPr>
      </w:pPr>
      <w:r>
        <w:rPr>
          <w:rFonts w:eastAsia="標楷體" w:cs="+mj-cs" w:ascii="標楷體" w:hAnsi="標楷體"/>
          <w:b/>
          <w:kern w:val="2"/>
          <w:sz w:val="26"/>
          <w:szCs w:val="26"/>
        </w:rPr>
      </w:r>
    </w:p>
    <w:p>
      <w:pPr>
        <w:pStyle w:val="Style22"/>
        <w:snapToGrid w:val="false"/>
        <w:spacing w:lineRule="exact" w:line="480"/>
        <w:jc w:val="both"/>
        <w:rPr>
          <w:rFonts w:ascii="標楷體" w:hAnsi="標楷體" w:eastAsia="標楷體" w:cs="+mj-cs"/>
          <w:b/>
          <w:b/>
          <w:kern w:val="2"/>
          <w:sz w:val="26"/>
          <w:szCs w:val="26"/>
        </w:rPr>
      </w:pPr>
      <w:r>
        <w:rPr>
          <w:rFonts w:ascii="標楷體" w:hAnsi="標楷體" w:cs="+mj-cs" w:eastAsia="標楷體"/>
          <w:b/>
          <w:kern w:val="2"/>
          <w:sz w:val="26"/>
          <w:szCs w:val="26"/>
        </w:rPr>
        <w:t>復發預防的認知行為模式</w:t>
      </w:r>
    </w:p>
    <w:p>
      <w:pPr>
        <w:pStyle w:val="Normal"/>
        <w:autoSpaceDE w:val="false"/>
        <w:snapToGrid w:val="false"/>
        <w:spacing w:lineRule="exact" w:line="480" w:before="360" w:after="180"/>
        <w:jc w:val="both"/>
        <w:rPr>
          <w:rFonts w:ascii="標楷體" w:hAnsi="標楷體" w:eastAsia="標楷體" w:cs="標楷體"/>
          <w:b/>
          <w:b/>
          <w:bCs/>
          <w:spacing w:val="-2"/>
          <w:kern w:val="0"/>
          <w:sz w:val="26"/>
          <w:szCs w:val="26"/>
          <w:lang w:val="zh-TW" w:eastAsia="zh-TW"/>
        </w:rPr>
      </w:pPr>
      <w:r>
        <w:rPr>
          <w:rFonts w:eastAsia="標楷體" w:cs="標楷體" w:ascii="標楷體" w:hAnsi="標楷體"/>
          <w:b/>
          <w:bCs/>
          <w:spacing w:val="-2"/>
          <w:kern w:val="0"/>
          <w:sz w:val="26"/>
          <w:szCs w:val="26"/>
          <w:lang w:val="zh-TW" w:eastAsia="zh-TW"/>
        </w:rPr>
        <w:drawing>
          <wp:anchor behindDoc="1" distT="0" distB="0" distL="114935" distR="114935" simplePos="0" locked="0" layoutInCell="0" allowOverlap="1" relativeHeight="59">
            <wp:simplePos x="0" y="0"/>
            <wp:positionH relativeFrom="column">
              <wp:posOffset>38100</wp:posOffset>
            </wp:positionH>
            <wp:positionV relativeFrom="paragraph">
              <wp:posOffset>74295</wp:posOffset>
            </wp:positionV>
            <wp:extent cx="4231005" cy="2493645"/>
            <wp:effectExtent l="0" t="0" r="0" b="0"/>
            <wp:wrapNone/>
            <wp:docPr id="7" name="影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影像1" descr=""/>
                    <pic:cNvPicPr>
                      <a:picLocks noChangeAspect="1" noChangeArrowheads="1"/>
                    </pic:cNvPicPr>
                  </pic:nvPicPr>
                  <pic:blipFill>
                    <a:blip r:embed="rId5"/>
                    <a:srcRect l="-9" t="-14" r="-9" b="-14"/>
                    <a:stretch>
                      <a:fillRect/>
                    </a:stretch>
                  </pic:blipFill>
                  <pic:spPr bwMode="auto">
                    <a:xfrm>
                      <a:off x="0" y="0"/>
                      <a:ext cx="4231005" cy="2493645"/>
                    </a:xfrm>
                    <a:prstGeom prst="rect">
                      <a:avLst/>
                    </a:prstGeom>
                  </pic:spPr>
                </pic:pic>
              </a:graphicData>
            </a:graphic>
          </wp:anchor>
        </w:drawing>
      </w:r>
    </w:p>
    <w:p>
      <w:pPr>
        <w:pStyle w:val="Normal"/>
        <w:autoSpaceDE w:val="false"/>
        <w:snapToGrid w:val="false"/>
        <w:spacing w:lineRule="exact" w:line="480" w:before="360" w:after="180"/>
        <w:jc w:val="both"/>
        <w:rPr>
          <w:rFonts w:ascii="標楷體" w:hAnsi="標楷體" w:eastAsia="標楷體" w:cs="標楷體"/>
          <w:b/>
          <w:b/>
          <w:bCs/>
          <w:spacing w:val="-2"/>
          <w:kern w:val="0"/>
          <w:sz w:val="26"/>
          <w:szCs w:val="26"/>
        </w:rPr>
      </w:pPr>
      <w:r>
        <w:rPr>
          <w:rFonts w:eastAsia="標楷體" w:cs="標楷體" w:ascii="標楷體" w:hAnsi="標楷體"/>
          <w:b/>
          <w:bCs/>
          <w:spacing w:val="-2"/>
          <w:kern w:val="0"/>
          <w:sz w:val="26"/>
          <w:szCs w:val="26"/>
        </w:rPr>
      </w:r>
    </w:p>
    <w:p>
      <w:pPr>
        <w:pStyle w:val="Normal"/>
        <w:autoSpaceDE w:val="false"/>
        <w:snapToGrid w:val="false"/>
        <w:spacing w:lineRule="exact" w:line="480" w:before="360" w:after="180"/>
        <w:jc w:val="both"/>
        <w:rPr>
          <w:rFonts w:ascii="標楷體" w:hAnsi="標楷體" w:eastAsia="標楷體" w:cs="標楷體"/>
          <w:b/>
          <w:b/>
          <w:bCs/>
          <w:spacing w:val="-2"/>
          <w:kern w:val="0"/>
          <w:sz w:val="26"/>
          <w:szCs w:val="26"/>
        </w:rPr>
      </w:pPr>
      <w:r>
        <w:rPr>
          <w:rFonts w:eastAsia="標楷體" w:cs="標楷體" w:ascii="標楷體" w:hAnsi="標楷體"/>
          <w:b/>
          <w:bCs/>
          <w:spacing w:val="-2"/>
          <w:kern w:val="0"/>
          <w:sz w:val="26"/>
          <w:szCs w:val="26"/>
        </w:rPr>
      </w:r>
    </w:p>
    <w:p>
      <w:pPr>
        <w:pStyle w:val="Normal"/>
        <w:autoSpaceDE w:val="false"/>
        <w:snapToGrid w:val="false"/>
        <w:spacing w:lineRule="exact" w:line="480" w:before="360" w:after="180"/>
        <w:jc w:val="both"/>
        <w:rPr>
          <w:rFonts w:ascii="標楷體" w:hAnsi="標楷體" w:eastAsia="標楷體" w:cs="標楷體"/>
          <w:b/>
          <w:b/>
          <w:bCs/>
          <w:spacing w:val="-2"/>
          <w:kern w:val="0"/>
          <w:sz w:val="26"/>
          <w:szCs w:val="26"/>
        </w:rPr>
      </w:pPr>
      <w:r>
        <w:rPr>
          <w:rFonts w:eastAsia="標楷體" w:cs="標楷體" w:ascii="標楷體" w:hAnsi="標楷體"/>
          <w:b/>
          <w:bCs/>
          <w:spacing w:val="-2"/>
          <w:kern w:val="0"/>
          <w:sz w:val="26"/>
          <w:szCs w:val="26"/>
        </w:rPr>
      </w:r>
    </w:p>
    <w:p>
      <w:pPr>
        <w:pStyle w:val="Normal"/>
        <w:autoSpaceDE w:val="false"/>
        <w:snapToGrid w:val="false"/>
        <w:spacing w:lineRule="exact" w:line="480" w:before="360" w:after="180"/>
        <w:jc w:val="both"/>
        <w:rPr>
          <w:rFonts w:ascii="標楷體" w:hAnsi="標楷體" w:eastAsia="標楷體" w:cs="標楷體"/>
          <w:b/>
          <w:b/>
          <w:bCs/>
          <w:spacing w:val="-2"/>
          <w:kern w:val="0"/>
          <w:sz w:val="26"/>
          <w:szCs w:val="26"/>
        </w:rPr>
      </w:pPr>
      <w:r>
        <w:rPr>
          <w:rFonts w:eastAsia="標楷體" w:cs="標楷體" w:ascii="標楷體" w:hAnsi="標楷體"/>
          <w:b/>
          <w:bCs/>
          <w:spacing w:val="-2"/>
          <w:kern w:val="0"/>
          <w:sz w:val="26"/>
          <w:szCs w:val="26"/>
        </w:rPr>
      </w:r>
    </w:p>
    <w:p>
      <w:pPr>
        <w:pStyle w:val="Normal"/>
        <w:numPr>
          <w:ilvl w:val="0"/>
          <w:numId w:val="0"/>
        </w:numPr>
        <w:autoSpaceDE w:val="false"/>
        <w:snapToGrid w:val="false"/>
        <w:spacing w:lineRule="exact" w:line="480" w:before="360" w:after="180"/>
        <w:jc w:val="both"/>
        <w:outlineLvl w:val="1"/>
        <w:rPr/>
      </w:pPr>
      <w:bookmarkStart w:id="41" w:name="__RefHeading___Toc358384700"/>
      <w:r>
        <w:rPr>
          <w:rFonts w:ascii="標楷體" w:hAnsi="標楷體" w:cs="標楷體" w:eastAsia="標楷體"/>
          <w:b/>
          <w:bCs/>
          <w:spacing w:val="-2"/>
          <w:kern w:val="0"/>
          <w:sz w:val="32"/>
          <w:szCs w:val="32"/>
        </w:rPr>
        <w:t>四、 家庭治療</w:t>
      </w:r>
      <w:bookmarkEnd w:id="41"/>
      <w:r>
        <w:rPr>
          <w:rFonts w:ascii="標楷體" w:hAnsi="標楷體" w:cs="標楷體" w:eastAsia="標楷體"/>
          <w:b/>
          <w:bCs/>
          <w:spacing w:val="-2"/>
          <w:kern w:val="0"/>
          <w:sz w:val="32"/>
          <w:szCs w:val="32"/>
        </w:rPr>
        <w:t xml:space="preserve"> </w:t>
      </w:r>
    </w:p>
    <w:p>
      <w:pPr>
        <w:pStyle w:val="Normal"/>
        <w:snapToGrid w:val="false"/>
        <w:spacing w:lineRule="exact" w:line="480"/>
        <w:ind w:firstLine="520"/>
        <w:jc w:val="both"/>
        <w:rPr>
          <w:rFonts w:ascii="標楷體" w:hAnsi="標楷體" w:eastAsia="標楷體" w:cs="標楷體"/>
          <w:bCs/>
          <w:sz w:val="26"/>
          <w:szCs w:val="26"/>
        </w:rPr>
      </w:pPr>
      <w:r>
        <w:rPr>
          <w:rFonts w:ascii="標楷體" w:hAnsi="標楷體" w:cs="標楷體" w:eastAsia="標楷體"/>
          <w:bCs/>
          <w:sz w:val="26"/>
          <w:szCs w:val="26"/>
        </w:rPr>
        <w:t>藥癮現象的形成，牽涉到許多因素交互作用後的結果，包括遺傳、行為、家庭、環境、社會、文化、種族、經濟等，在藥癮的成因上，生物因素與環境因素同樣重要，因此提供了家庭治療</w:t>
      </w:r>
      <w:r>
        <w:rPr>
          <w:rFonts w:ascii="標楷體" w:hAnsi="標楷體" w:cs="標楷體" w:eastAsia="標楷體"/>
          <w:sz w:val="26"/>
          <w:szCs w:val="26"/>
        </w:rPr>
        <w:t>（</w:t>
      </w:r>
      <w:r>
        <w:rPr>
          <w:rFonts w:eastAsia="標楷體" w:cs="標楷體" w:ascii="標楷體" w:hAnsi="標楷體"/>
          <w:sz w:val="26"/>
          <w:szCs w:val="26"/>
        </w:rPr>
        <w:t>f</w:t>
      </w:r>
      <w:r>
        <w:rPr>
          <w:rFonts w:eastAsia="標楷體" w:cs="標楷體" w:ascii="標楷體" w:hAnsi="標楷體"/>
          <w:sz w:val="26"/>
          <w:szCs w:val="26"/>
        </w:rPr>
        <w:t>amily therapy</w:t>
      </w:r>
      <w:r>
        <w:rPr>
          <w:rFonts w:ascii="標楷體" w:hAnsi="標楷體" w:cs="標楷體" w:eastAsia="標楷體"/>
          <w:sz w:val="26"/>
          <w:szCs w:val="26"/>
        </w:rPr>
        <w:t>）</w:t>
      </w:r>
      <w:r>
        <w:rPr>
          <w:rFonts w:ascii="標楷體" w:hAnsi="標楷體" w:cs="標楷體" w:eastAsia="標楷體"/>
          <w:bCs/>
          <w:sz w:val="26"/>
          <w:szCs w:val="26"/>
        </w:rPr>
        <w:t>運用於藥癮治療的立足點。臨床經驗也顯示，家庭支持度的高低，或者家庭功能的運作是否良好，對於個案是否能夠成功脫離成癮行為佔有重要角色。</w:t>
      </w:r>
    </w:p>
    <w:p>
      <w:pPr>
        <w:pStyle w:val="Normal"/>
        <w:snapToGrid w:val="false"/>
        <w:spacing w:lineRule="exact" w:line="480"/>
        <w:ind w:firstLine="520"/>
        <w:jc w:val="both"/>
        <w:rPr/>
      </w:pPr>
      <w:r>
        <w:rPr>
          <w:rFonts w:ascii="標楷體" w:hAnsi="標楷體" w:cs="標楷體" w:eastAsia="標楷體"/>
          <w:bCs/>
          <w:sz w:val="26"/>
          <w:szCs w:val="26"/>
        </w:rPr>
        <w:t>常見應用於藥癮之家庭治療的做法之一是系統理論，也就是將整個家庭視為一個封閉系統，將個案所出現的用藥行為，視為所有家庭成員彼此交互作用後所得到的結果，在治療上必須將整個家庭一同進行評估與處理，因為家庭中每一個人的改變都會影響彼此，也會有另一股力量驅使家庭回復原本狀態。因此促進包含戒癮的家庭行為改變，並且鞏固改變後的狀態，便是成癮行為的家庭治療工作重點。</w:t>
      </w:r>
    </w:p>
    <w:p>
      <w:pPr>
        <w:pStyle w:val="Normal"/>
        <w:snapToGrid w:val="false"/>
        <w:spacing w:lineRule="exact" w:line="480"/>
        <w:ind w:firstLine="520"/>
        <w:jc w:val="both"/>
        <w:rPr>
          <w:rFonts w:ascii="標楷體" w:hAnsi="標楷體" w:eastAsia="標楷體" w:cs="標楷體"/>
          <w:bCs/>
          <w:sz w:val="26"/>
          <w:szCs w:val="26"/>
        </w:rPr>
      </w:pPr>
      <w:r>
        <w:rPr>
          <w:rFonts w:ascii="標楷體" w:hAnsi="標楷體" w:cs="標楷體" w:eastAsia="標楷體"/>
          <w:bCs/>
          <w:sz w:val="26"/>
          <w:szCs w:val="26"/>
        </w:rPr>
        <w:t>愷他命的濫用者，因依賴藥物的「扭曲現實」、「去現實化」的心理效果，來隔絕現實社會的壓力，長期下來，常有人際退縮與情感麻木的狀況，許多個案與家人情感疏離、互動稀少，所以當家人想要積極協助個案治療時，面對個案薄弱的治療動機與消極態度，常感到深刻的無力與沮喪。透過家庭治療，可以改善家族成員的互動，並且激發家庭成員往共同目標邁進。另一方面，因為</w:t>
      </w:r>
      <w:r>
        <w:rPr>
          <w:rStyle w:val="Applestylespan"/>
          <w:rFonts w:ascii="標楷體" w:hAnsi="標楷體" w:cs="標楷體" w:eastAsia="標楷體"/>
          <w:sz w:val="26"/>
          <w:szCs w:val="26"/>
        </w:rPr>
        <w:t>愷他命</w:t>
      </w:r>
      <w:r>
        <w:rPr>
          <w:rFonts w:ascii="標楷體" w:hAnsi="標楷體" w:cs="標楷體" w:eastAsia="標楷體"/>
          <w:bCs/>
          <w:sz w:val="26"/>
          <w:szCs w:val="26"/>
        </w:rPr>
        <w:t>在我國並非第一、二級管制藥品，在取得上相對較容易，再加上同儕的影響與次文化的認同，個案很容易在治療過程中因為再度暴露到誘發因子而復發（如過去的藥癮朋友前來搭訕、藥頭主動推銷等等），家屬可以協助個案阻擋誘惑，提供一個受監控而且安全的環境，也是十分重要的。</w:t>
      </w:r>
    </w:p>
    <w:p>
      <w:pPr>
        <w:pStyle w:val="Normal"/>
        <w:numPr>
          <w:ilvl w:val="0"/>
          <w:numId w:val="0"/>
        </w:numPr>
        <w:snapToGrid w:val="false"/>
        <w:spacing w:before="360" w:after="180"/>
        <w:ind w:left="601" w:hanging="601"/>
        <w:jc w:val="both"/>
        <w:outlineLvl w:val="1"/>
        <w:rPr>
          <w:rFonts w:ascii="標楷體" w:hAnsi="標楷體" w:eastAsia="標楷體" w:cs="標楷體"/>
          <w:b/>
          <w:b/>
          <w:bCs/>
          <w:spacing w:val="-10"/>
          <w:kern w:val="0"/>
          <w:sz w:val="32"/>
          <w:szCs w:val="32"/>
        </w:rPr>
      </w:pPr>
      <w:bookmarkStart w:id="42" w:name="__RefHeading___Toc358384701"/>
      <w:bookmarkEnd w:id="42"/>
      <w:r>
        <w:rPr>
          <w:rFonts w:ascii="標楷體" w:hAnsi="標楷體" w:cs="標楷體" w:eastAsia="標楷體"/>
          <w:b/>
          <w:bCs/>
          <w:spacing w:val="-10"/>
          <w:kern w:val="0"/>
          <w:sz w:val="32"/>
          <w:szCs w:val="32"/>
        </w:rPr>
        <w:t>五、短期介入與短期諮商</w:t>
      </w:r>
    </w:p>
    <w:p>
      <w:pPr>
        <w:pStyle w:val="Normal"/>
        <w:snapToGrid w:val="false"/>
        <w:spacing w:lineRule="exact" w:line="480"/>
        <w:ind w:firstLine="520"/>
        <w:jc w:val="both"/>
        <w:rPr>
          <w:rFonts w:ascii="標楷體" w:hAnsi="標楷體" w:eastAsia="標楷體" w:cs="標楷體"/>
          <w:bCs/>
          <w:sz w:val="26"/>
          <w:szCs w:val="26"/>
        </w:rPr>
      </w:pPr>
      <w:r>
        <w:rPr>
          <w:rFonts w:ascii="標楷體" w:hAnsi="標楷體" w:cs="標楷體" w:eastAsia="標楷體"/>
          <w:bCs/>
          <w:sz w:val="26"/>
          <w:szCs w:val="26"/>
        </w:rPr>
        <w:t>在物質濫用的治療方式上，短期介入與短期諮商（</w:t>
      </w:r>
      <w:r>
        <w:rPr>
          <w:rFonts w:eastAsia="標楷體" w:cs="標楷體" w:ascii="標楷體" w:hAnsi="標楷體"/>
          <w:bCs/>
          <w:sz w:val="26"/>
          <w:szCs w:val="26"/>
        </w:rPr>
        <w:t xml:space="preserve">brief </w:t>
      </w:r>
      <w:r>
        <w:rPr>
          <w:rFonts w:eastAsia="標楷體" w:cs="標楷體" w:ascii="標楷體" w:hAnsi="標楷體"/>
          <w:bCs/>
          <w:sz w:val="26"/>
          <w:szCs w:val="26"/>
        </w:rPr>
        <w:t>intervention</w:t>
      </w:r>
      <w:r>
        <w:rPr>
          <w:rFonts w:eastAsia="標楷體" w:cs="標楷體" w:ascii="標楷體" w:hAnsi="標楷體"/>
          <w:bCs/>
          <w:sz w:val="26"/>
          <w:szCs w:val="26"/>
        </w:rPr>
        <w:t xml:space="preserve"> and brief therapy</w:t>
      </w:r>
      <w:r>
        <w:rPr>
          <w:rFonts w:ascii="標楷體" w:hAnsi="標楷體" w:cs="標楷體" w:eastAsia="標楷體"/>
          <w:bCs/>
          <w:sz w:val="26"/>
          <w:szCs w:val="26"/>
        </w:rPr>
        <w:t>）的治療方式越來越顯重要。這種治療模式具有花費較少的優點，且已被證實在數種物質濫用問題上有確實的療效。短期介入與短期諮商的適用對象廣泛，若把物質濫用的治療模式依成癮之嚴重度來區分，那麼在一般大眾的初步預防與嚴重成癮者的專一化治療之間的階段，短期介入與短期諮商都可以有其角色。此種治療模式也十分適用在愷他命成癮的個案，因為這個族群的個案通常處在還沒準備好要改變的階段，缺乏治療動機，返診比例低，治療者宜把握每次接觸個案的機會，就其當下的問題作立即性的處理，並視需要來開啟結構化的短期治療。以下分項介紹：</w:t>
      </w:r>
    </w:p>
    <w:p>
      <w:pPr>
        <w:pStyle w:val="Normal"/>
        <w:autoSpaceDE w:val="false"/>
        <w:snapToGrid w:val="false"/>
        <w:spacing w:lineRule="exact" w:line="480" w:before="360" w:after="180"/>
        <w:ind w:left="240" w:hanging="0"/>
        <w:jc w:val="both"/>
        <w:rPr>
          <w:rFonts w:ascii="標楷體" w:hAnsi="標楷體" w:eastAsia="標楷體" w:cs="標楷體"/>
          <w:b/>
          <w:b/>
          <w:spacing w:val="-2"/>
          <w:kern w:val="0"/>
          <w:sz w:val="28"/>
          <w:szCs w:val="28"/>
          <w:u w:val="single"/>
        </w:rPr>
      </w:pPr>
      <w:r>
        <w:rPr>
          <w:rFonts w:ascii="標楷體" w:hAnsi="標楷體" w:cs="標楷體" w:eastAsia="標楷體"/>
          <w:b/>
          <w:spacing w:val="-2"/>
          <w:kern w:val="0"/>
          <w:sz w:val="28"/>
          <w:szCs w:val="28"/>
          <w:u w:val="single"/>
        </w:rPr>
        <w:t xml:space="preserve">短期介入 </w:t>
      </w:r>
    </w:p>
    <w:p>
      <w:pPr>
        <w:pStyle w:val="Normal"/>
        <w:snapToGrid w:val="false"/>
        <w:spacing w:lineRule="exact" w:line="480"/>
        <w:ind w:left="480" w:firstLine="520"/>
        <w:jc w:val="both"/>
        <w:rPr>
          <w:rFonts w:ascii="標楷體" w:hAnsi="標楷體" w:eastAsia="標楷體" w:cs="標楷體"/>
          <w:bCs/>
          <w:sz w:val="26"/>
          <w:szCs w:val="26"/>
        </w:rPr>
      </w:pPr>
      <w:r>
        <w:rPr>
          <w:rFonts w:ascii="標楷體" w:hAnsi="標楷體" w:cs="標楷體" w:eastAsia="標楷體"/>
          <w:bCs/>
          <w:sz w:val="26"/>
          <w:szCs w:val="26"/>
        </w:rPr>
        <w:t>短期介入</w:t>
      </w:r>
      <w:r>
        <w:rPr>
          <w:rFonts w:eastAsia="標楷體" w:cs="標楷體" w:ascii="標楷體" w:hAnsi="標楷體"/>
          <w:bCs/>
          <w:sz w:val="26"/>
          <w:szCs w:val="26"/>
        </w:rPr>
        <w:t>(brief intervention)</w:t>
      </w:r>
      <w:r>
        <w:rPr>
          <w:rFonts w:ascii="標楷體" w:hAnsi="標楷體" w:cs="標楷體" w:eastAsia="標楷體"/>
          <w:bCs/>
          <w:sz w:val="26"/>
          <w:szCs w:val="26"/>
        </w:rPr>
        <w:t>花費的時間少（</w:t>
      </w:r>
      <w:r>
        <w:rPr>
          <w:rFonts w:eastAsia="標楷體" w:cs="標楷體" w:ascii="標楷體" w:hAnsi="標楷體"/>
          <w:bCs/>
          <w:sz w:val="26"/>
          <w:szCs w:val="26"/>
        </w:rPr>
        <w:t>1</w:t>
      </w:r>
      <w:r>
        <w:rPr>
          <w:rFonts w:ascii="標楷體" w:hAnsi="標楷體" w:cs="標楷體" w:eastAsia="標楷體"/>
          <w:bCs/>
          <w:sz w:val="26"/>
          <w:szCs w:val="26"/>
        </w:rPr>
        <w:t>到</w:t>
      </w:r>
      <w:r>
        <w:rPr>
          <w:rFonts w:eastAsia="標楷體" w:cs="標楷體" w:ascii="標楷體" w:hAnsi="標楷體"/>
          <w:bCs/>
          <w:sz w:val="26"/>
          <w:szCs w:val="26"/>
        </w:rPr>
        <w:t>4</w:t>
      </w:r>
      <w:r>
        <w:rPr>
          <w:rFonts w:ascii="標楷體" w:hAnsi="標楷體" w:cs="標楷體" w:eastAsia="標楷體"/>
          <w:bCs/>
          <w:sz w:val="26"/>
          <w:szCs w:val="26"/>
        </w:rPr>
        <w:t>次的會談，每次</w:t>
      </w:r>
      <w:r>
        <w:rPr>
          <w:rFonts w:eastAsia="標楷體" w:cs="標楷體" w:ascii="標楷體" w:hAnsi="標楷體"/>
          <w:bCs/>
          <w:sz w:val="26"/>
          <w:szCs w:val="26"/>
        </w:rPr>
        <w:t>5</w:t>
      </w:r>
      <w:r>
        <w:rPr>
          <w:rFonts w:ascii="標楷體" w:hAnsi="標楷體" w:cs="標楷體" w:eastAsia="標楷體"/>
          <w:bCs/>
          <w:sz w:val="26"/>
          <w:szCs w:val="26"/>
        </w:rPr>
        <w:t>到</w:t>
      </w:r>
      <w:r>
        <w:rPr>
          <w:rFonts w:eastAsia="標楷體" w:cs="標楷體" w:ascii="標楷體" w:hAnsi="標楷體"/>
          <w:bCs/>
          <w:sz w:val="26"/>
          <w:szCs w:val="26"/>
        </w:rPr>
        <w:t>15</w:t>
      </w:r>
      <w:r>
        <w:rPr>
          <w:rFonts w:ascii="標楷體" w:hAnsi="標楷體" w:cs="標楷體" w:eastAsia="標楷體"/>
          <w:bCs/>
          <w:sz w:val="26"/>
          <w:szCs w:val="26"/>
        </w:rPr>
        <w:t>分鐘），可以增進個案接受治療的動機，促發行為改變的發生。可以在任何治療環境下實施，包括一般的門診、急診到專門的戒癮機構等。而且相關的工作人員，包括醫師、護理師、社工、心理師、健康工作者、教師等等，都可以運用。短期介入的基本目標在於減少因物質使用所帶來的傷害，根據個案在改變歷程中所處的階段，聚焦在單一的、特定的短期或中期問題上。治療上包含六個元素，分別為</w:t>
      </w:r>
      <w:r>
        <w:rPr>
          <w:rFonts w:ascii="標楷體" w:hAnsi="標楷體" w:cs="標楷體" w:eastAsia="標楷體"/>
          <w:b/>
          <w:sz w:val="26"/>
          <w:szCs w:val="26"/>
        </w:rPr>
        <w:t>回饋</w:t>
      </w:r>
      <w:r>
        <w:rPr>
          <w:rFonts w:ascii="標楷體" w:hAnsi="標楷體" w:cs="標楷體" w:eastAsia="標楷體"/>
          <w:b/>
          <w:bCs/>
          <w:sz w:val="26"/>
          <w:szCs w:val="26"/>
        </w:rPr>
        <w:t>、</w:t>
      </w:r>
      <w:r>
        <w:rPr>
          <w:rFonts w:ascii="標楷體" w:hAnsi="標楷體" w:cs="標楷體" w:eastAsia="標楷體"/>
          <w:b/>
          <w:sz w:val="26"/>
          <w:szCs w:val="26"/>
        </w:rPr>
        <w:t>責任</w:t>
      </w:r>
      <w:r>
        <w:rPr>
          <w:rFonts w:ascii="標楷體" w:hAnsi="標楷體" w:cs="標楷體" w:eastAsia="標楷體"/>
          <w:b/>
          <w:bCs/>
          <w:sz w:val="26"/>
          <w:szCs w:val="26"/>
        </w:rPr>
        <w:t>、</w:t>
      </w:r>
      <w:r>
        <w:rPr>
          <w:rFonts w:ascii="標楷體" w:hAnsi="標楷體" w:cs="標楷體" w:eastAsia="標楷體"/>
          <w:b/>
          <w:sz w:val="26"/>
          <w:szCs w:val="26"/>
        </w:rPr>
        <w:t>建議</w:t>
      </w:r>
      <w:r>
        <w:rPr>
          <w:rFonts w:ascii="標楷體" w:hAnsi="標楷體" w:cs="標楷體" w:eastAsia="標楷體"/>
          <w:b/>
          <w:bCs/>
          <w:sz w:val="26"/>
          <w:szCs w:val="26"/>
        </w:rPr>
        <w:t>、</w:t>
      </w:r>
      <w:r>
        <w:rPr>
          <w:rFonts w:ascii="標楷體" w:hAnsi="標楷體" w:cs="標楷體" w:eastAsia="標楷體"/>
          <w:b/>
          <w:sz w:val="26"/>
          <w:szCs w:val="26"/>
        </w:rPr>
        <w:t>選擇</w:t>
      </w:r>
      <w:r>
        <w:rPr>
          <w:rFonts w:ascii="標楷體" w:hAnsi="標楷體" w:cs="標楷體" w:eastAsia="標楷體"/>
          <w:b/>
          <w:bCs/>
          <w:sz w:val="26"/>
          <w:szCs w:val="26"/>
        </w:rPr>
        <w:t>、</w:t>
      </w:r>
      <w:r>
        <w:rPr>
          <w:rFonts w:ascii="標楷體" w:hAnsi="標楷體" w:cs="標楷體" w:eastAsia="標楷體"/>
          <w:b/>
          <w:sz w:val="26"/>
          <w:szCs w:val="26"/>
        </w:rPr>
        <w:t>同理</w:t>
      </w:r>
      <w:r>
        <w:rPr>
          <w:rFonts w:ascii="標楷體" w:hAnsi="標楷體" w:cs="標楷體" w:eastAsia="標楷體"/>
          <w:bCs/>
          <w:sz w:val="26"/>
          <w:szCs w:val="26"/>
        </w:rPr>
        <w:t>與</w:t>
      </w:r>
      <w:r>
        <w:rPr>
          <w:rFonts w:ascii="標楷體" w:hAnsi="標楷體" w:cs="標楷體" w:eastAsia="標楷體"/>
          <w:b/>
          <w:sz w:val="26"/>
          <w:szCs w:val="26"/>
        </w:rPr>
        <w:t>自我有能感</w:t>
      </w:r>
      <w:r>
        <w:rPr>
          <w:rFonts w:ascii="標楷體" w:hAnsi="標楷體" w:cs="標楷體" w:eastAsia="標楷體"/>
          <w:bCs/>
          <w:sz w:val="26"/>
          <w:szCs w:val="26"/>
        </w:rPr>
        <w:t>，簡稱</w:t>
      </w:r>
      <w:r>
        <w:rPr>
          <w:rFonts w:eastAsia="標楷體" w:cs="標楷體" w:ascii="標楷體" w:hAnsi="標楷體"/>
          <w:b/>
          <w:sz w:val="26"/>
          <w:szCs w:val="26"/>
        </w:rPr>
        <w:t>FRAMES</w:t>
      </w:r>
      <w:r>
        <w:rPr>
          <w:rFonts w:ascii="標楷體" w:hAnsi="標楷體" w:cs="標楷體" w:eastAsia="標楷體"/>
          <w:sz w:val="26"/>
          <w:szCs w:val="26"/>
        </w:rPr>
        <w:t>：</w:t>
      </w:r>
      <w:r>
        <w:rPr>
          <w:rFonts w:eastAsia="標楷體" w:cs="標楷體" w:ascii="標楷體" w:hAnsi="標楷體"/>
          <w:b/>
          <w:sz w:val="32"/>
          <w:szCs w:val="32"/>
        </w:rPr>
        <w:t>F</w:t>
      </w:r>
      <w:r>
        <w:rPr>
          <w:rFonts w:eastAsia="標楷體" w:cs="標楷體" w:ascii="標楷體" w:hAnsi="標楷體"/>
          <w:bCs/>
          <w:sz w:val="26"/>
          <w:szCs w:val="26"/>
        </w:rPr>
        <w:t>eedback</w:t>
      </w:r>
      <w:r>
        <w:rPr>
          <w:rFonts w:ascii="標楷體" w:hAnsi="標楷體" w:cs="標楷體" w:eastAsia="標楷體"/>
          <w:bCs/>
          <w:sz w:val="26"/>
          <w:szCs w:val="26"/>
        </w:rPr>
        <w:t>（</w:t>
      </w:r>
      <w:r>
        <w:rPr>
          <w:rFonts w:ascii="標楷體" w:hAnsi="標楷體" w:cs="標楷體" w:eastAsia="標楷體"/>
          <w:b/>
          <w:sz w:val="26"/>
          <w:szCs w:val="26"/>
        </w:rPr>
        <w:t>回饋</w:t>
      </w:r>
      <w:r>
        <w:rPr>
          <w:rFonts w:ascii="標楷體" w:hAnsi="標楷體" w:cs="標楷體" w:eastAsia="標楷體"/>
          <w:bCs/>
          <w:sz w:val="26"/>
          <w:szCs w:val="26"/>
        </w:rPr>
        <w:t>）</w:t>
      </w:r>
      <w:r>
        <w:rPr>
          <w:rFonts w:eastAsia="標楷體" w:cs="標楷體" w:ascii="標楷體" w:hAnsi="標楷體"/>
          <w:bCs/>
          <w:sz w:val="26"/>
          <w:szCs w:val="26"/>
        </w:rPr>
        <w:t>-</w:t>
      </w:r>
      <w:r>
        <w:rPr>
          <w:rFonts w:ascii="標楷體" w:hAnsi="標楷體" w:cs="標楷體" w:eastAsia="標楷體"/>
          <w:bCs/>
          <w:sz w:val="26"/>
          <w:szCs w:val="26"/>
        </w:rPr>
        <w:t>把物質濫用造成的危險與損害，回饋給個案。</w:t>
      </w:r>
      <w:r>
        <w:rPr>
          <w:rFonts w:eastAsia="標楷體" w:cs="標楷體" w:ascii="標楷體" w:hAnsi="標楷體"/>
          <w:b/>
          <w:sz w:val="32"/>
          <w:szCs w:val="32"/>
        </w:rPr>
        <w:t>R</w:t>
      </w:r>
      <w:r>
        <w:rPr>
          <w:rFonts w:eastAsia="標楷體" w:cs="標楷體" w:ascii="標楷體" w:hAnsi="標楷體"/>
          <w:bCs/>
          <w:sz w:val="26"/>
          <w:szCs w:val="26"/>
        </w:rPr>
        <w:t>esponsibility (</w:t>
      </w:r>
      <w:r>
        <w:rPr>
          <w:rFonts w:ascii="標楷體" w:hAnsi="標楷體" w:cs="標楷體" w:eastAsia="標楷體"/>
          <w:b/>
          <w:sz w:val="26"/>
          <w:szCs w:val="26"/>
        </w:rPr>
        <w:t>責任</w:t>
      </w:r>
      <w:r>
        <w:rPr>
          <w:rFonts w:eastAsia="標楷體" w:cs="標楷體" w:ascii="標楷體" w:hAnsi="標楷體"/>
          <w:bCs/>
          <w:sz w:val="26"/>
          <w:szCs w:val="26"/>
        </w:rPr>
        <w:t>)-</w:t>
      </w:r>
      <w:r>
        <w:rPr>
          <w:rFonts w:ascii="標楷體" w:hAnsi="標楷體" w:cs="標楷體" w:eastAsia="標楷體"/>
          <w:bCs/>
          <w:sz w:val="26"/>
          <w:szCs w:val="26"/>
        </w:rPr>
        <w:t>把改變的責任放在個案身上。</w:t>
      </w:r>
      <w:r>
        <w:rPr>
          <w:rFonts w:eastAsia="標楷體" w:cs="標楷體" w:ascii="標楷體" w:hAnsi="標楷體"/>
          <w:b/>
          <w:sz w:val="32"/>
          <w:szCs w:val="32"/>
        </w:rPr>
        <w:t>A</w:t>
      </w:r>
      <w:r>
        <w:rPr>
          <w:rFonts w:eastAsia="標楷體" w:cs="標楷體" w:ascii="標楷體" w:hAnsi="標楷體"/>
          <w:bCs/>
          <w:sz w:val="26"/>
          <w:szCs w:val="26"/>
        </w:rPr>
        <w:t>dvice(</w:t>
      </w:r>
      <w:r>
        <w:rPr>
          <w:rFonts w:ascii="標楷體" w:hAnsi="標楷體" w:cs="標楷體" w:eastAsia="標楷體"/>
          <w:b/>
          <w:sz w:val="26"/>
          <w:szCs w:val="26"/>
        </w:rPr>
        <w:t>建議</w:t>
      </w:r>
      <w:r>
        <w:rPr>
          <w:rFonts w:eastAsia="標楷體" w:cs="標楷體" w:ascii="標楷體" w:hAnsi="標楷體"/>
          <w:bCs/>
          <w:sz w:val="26"/>
          <w:szCs w:val="26"/>
        </w:rPr>
        <w:t>)-</w:t>
      </w:r>
      <w:r>
        <w:rPr>
          <w:rFonts w:ascii="標楷體" w:hAnsi="標楷體" w:cs="標楷體" w:eastAsia="標楷體"/>
          <w:bCs/>
          <w:sz w:val="26"/>
          <w:szCs w:val="26"/>
        </w:rPr>
        <w:t>由治療者提供改變的建議。</w:t>
      </w:r>
      <w:r>
        <w:rPr>
          <w:rFonts w:eastAsia="標楷體" w:cs="標楷體" w:ascii="標楷體" w:hAnsi="標楷體"/>
          <w:b/>
          <w:sz w:val="32"/>
          <w:szCs w:val="32"/>
        </w:rPr>
        <w:t>M</w:t>
      </w:r>
      <w:r>
        <w:rPr>
          <w:rFonts w:eastAsia="標楷體" w:cs="標楷體" w:ascii="標楷體" w:hAnsi="標楷體"/>
          <w:bCs/>
          <w:sz w:val="26"/>
          <w:szCs w:val="26"/>
        </w:rPr>
        <w:t>enu of alternative (</w:t>
      </w:r>
      <w:r>
        <w:rPr>
          <w:rFonts w:ascii="標楷體" w:hAnsi="標楷體" w:cs="標楷體" w:eastAsia="標楷體"/>
          <w:b/>
          <w:sz w:val="26"/>
          <w:szCs w:val="26"/>
        </w:rPr>
        <w:t>選擇</w:t>
      </w:r>
      <w:r>
        <w:rPr>
          <w:rFonts w:eastAsia="標楷體" w:cs="標楷體" w:ascii="標楷體" w:hAnsi="標楷體"/>
          <w:bCs/>
          <w:sz w:val="26"/>
          <w:szCs w:val="26"/>
        </w:rPr>
        <w:t>)-</w:t>
      </w:r>
      <w:r>
        <w:rPr>
          <w:rFonts w:ascii="標楷體" w:hAnsi="標楷體" w:cs="標楷體" w:eastAsia="標楷體"/>
          <w:bCs/>
          <w:sz w:val="26"/>
          <w:szCs w:val="26"/>
        </w:rPr>
        <w:t>提供個案各種自助或治療的選擇。</w:t>
      </w:r>
      <w:r>
        <w:rPr>
          <w:rFonts w:eastAsia="標楷體" w:cs="標楷體" w:ascii="標楷體" w:hAnsi="標楷體"/>
          <w:b/>
          <w:sz w:val="32"/>
          <w:szCs w:val="32"/>
        </w:rPr>
        <w:t>E</w:t>
      </w:r>
      <w:r>
        <w:rPr>
          <w:rFonts w:eastAsia="標楷體" w:cs="標楷體" w:ascii="標楷體" w:hAnsi="標楷體"/>
          <w:bCs/>
          <w:sz w:val="26"/>
          <w:szCs w:val="26"/>
        </w:rPr>
        <w:t>mpathic style(</w:t>
      </w:r>
      <w:r>
        <w:rPr>
          <w:rFonts w:ascii="標楷體" w:hAnsi="標楷體" w:cs="標楷體" w:eastAsia="標楷體"/>
          <w:b/>
          <w:sz w:val="26"/>
          <w:szCs w:val="26"/>
        </w:rPr>
        <w:t>同理</w:t>
      </w:r>
      <w:r>
        <w:rPr>
          <w:rFonts w:eastAsia="標楷體" w:cs="標楷體" w:ascii="標楷體" w:hAnsi="標楷體"/>
          <w:bCs/>
          <w:sz w:val="26"/>
          <w:szCs w:val="26"/>
        </w:rPr>
        <w:t>)</w:t>
      </w:r>
      <w:r>
        <w:rPr>
          <w:rFonts w:eastAsia="標楷體" w:cs="標楷體" w:ascii="標楷體" w:hAnsi="標楷體"/>
          <w:bCs/>
          <w:sz w:val="26"/>
          <w:szCs w:val="26"/>
        </w:rPr>
        <w:t>–</w:t>
      </w:r>
      <w:r>
        <w:rPr>
          <w:rFonts w:ascii="標楷體" w:hAnsi="標楷體" w:cs="標楷體" w:eastAsia="標楷體"/>
          <w:bCs/>
          <w:sz w:val="26"/>
          <w:szCs w:val="26"/>
        </w:rPr>
        <w:t>同理的態度是治療的基調。</w:t>
      </w:r>
      <w:r>
        <w:rPr>
          <w:rFonts w:eastAsia="標楷體" w:cs="標楷體" w:ascii="標楷體" w:hAnsi="標楷體"/>
          <w:b/>
          <w:sz w:val="32"/>
          <w:szCs w:val="32"/>
        </w:rPr>
        <w:t>S</w:t>
      </w:r>
      <w:r>
        <w:rPr>
          <w:rFonts w:eastAsia="標楷體" w:cs="標楷體" w:ascii="標楷體" w:hAnsi="標楷體"/>
          <w:bCs/>
          <w:sz w:val="26"/>
          <w:szCs w:val="26"/>
        </w:rPr>
        <w:t>elf-efficacy (</w:t>
      </w:r>
      <w:r>
        <w:rPr>
          <w:rFonts w:ascii="標楷體" w:hAnsi="標楷體" w:cs="標楷體" w:eastAsia="標楷體"/>
          <w:b/>
          <w:sz w:val="26"/>
          <w:szCs w:val="26"/>
        </w:rPr>
        <w:t>自我有能感</w:t>
      </w:r>
      <w:r>
        <w:rPr>
          <w:rFonts w:eastAsia="標楷體" w:cs="標楷體" w:ascii="標楷體" w:hAnsi="標楷體"/>
          <w:bCs/>
          <w:sz w:val="26"/>
          <w:szCs w:val="26"/>
        </w:rPr>
        <w:t>)-</w:t>
      </w:r>
      <w:r>
        <w:rPr>
          <w:rFonts w:ascii="標楷體" w:hAnsi="標楷體" w:cs="標楷體" w:eastAsia="標楷體"/>
          <w:bCs/>
          <w:sz w:val="26"/>
          <w:szCs w:val="26"/>
        </w:rPr>
        <w:t>賦予個案改變的能力與權力，賦權與使能。</w:t>
      </w:r>
    </w:p>
    <w:p>
      <w:pPr>
        <w:pStyle w:val="Normal"/>
        <w:autoSpaceDE w:val="false"/>
        <w:snapToGrid w:val="false"/>
        <w:spacing w:lineRule="exact" w:line="480" w:before="360" w:after="180"/>
        <w:ind w:left="240" w:hanging="0"/>
        <w:jc w:val="both"/>
        <w:rPr>
          <w:rFonts w:ascii="標楷體" w:hAnsi="標楷體" w:eastAsia="標楷體" w:cs="標楷體"/>
          <w:b/>
          <w:b/>
          <w:spacing w:val="-2"/>
          <w:kern w:val="0"/>
          <w:sz w:val="28"/>
          <w:szCs w:val="28"/>
          <w:u w:val="single"/>
        </w:rPr>
      </w:pPr>
      <w:r>
        <w:rPr>
          <w:rFonts w:ascii="標楷體" w:hAnsi="標楷體" w:cs="標楷體" w:eastAsia="標楷體"/>
          <w:b/>
          <w:spacing w:val="-2"/>
          <w:kern w:val="0"/>
          <w:sz w:val="28"/>
          <w:szCs w:val="28"/>
          <w:u w:val="single"/>
        </w:rPr>
        <w:t xml:space="preserve">短期治療 </w:t>
      </w:r>
    </w:p>
    <w:p>
      <w:pPr>
        <w:pStyle w:val="Normal"/>
        <w:snapToGrid w:val="false"/>
        <w:spacing w:lineRule="exact" w:line="480"/>
        <w:ind w:left="480" w:firstLine="520"/>
        <w:jc w:val="both"/>
        <w:rPr>
          <w:rFonts w:ascii="標楷體" w:hAnsi="標楷體" w:eastAsia="標楷體" w:cs="標楷體"/>
          <w:bCs/>
          <w:sz w:val="26"/>
          <w:szCs w:val="26"/>
        </w:rPr>
      </w:pPr>
      <w:r>
        <w:rPr>
          <w:rFonts w:ascii="標楷體" w:hAnsi="標楷體" w:cs="標楷體" w:eastAsia="標楷體"/>
          <w:bCs/>
          <w:sz w:val="26"/>
          <w:szCs w:val="26"/>
        </w:rPr>
        <w:t>有別於長期的心理治療，短期治療</w:t>
      </w:r>
      <w:r>
        <w:rPr>
          <w:rFonts w:eastAsia="標楷體" w:cs="標楷體" w:ascii="標楷體" w:hAnsi="標楷體"/>
          <w:bCs/>
          <w:sz w:val="26"/>
          <w:szCs w:val="26"/>
        </w:rPr>
        <w:t>(brief therapy)</w:t>
      </w:r>
      <w:r>
        <w:rPr>
          <w:rFonts w:ascii="標楷體" w:hAnsi="標楷體" w:cs="標楷體" w:eastAsia="標楷體"/>
          <w:bCs/>
          <w:sz w:val="26"/>
          <w:szCs w:val="26"/>
        </w:rPr>
        <w:t>基本上是一種系統化的，以問題解決為取向的短期治療模式</w:t>
      </w:r>
      <w:r>
        <w:rPr>
          <w:rFonts w:eastAsia="標楷體" w:cs="標楷體" w:ascii="標楷體" w:hAnsi="標楷體"/>
          <w:bCs/>
          <w:sz w:val="26"/>
          <w:szCs w:val="26"/>
        </w:rPr>
        <w:t>(</w:t>
      </w:r>
      <w:r>
        <w:rPr>
          <w:rFonts w:ascii="標楷體" w:hAnsi="標楷體" w:cs="標楷體" w:eastAsia="標楷體"/>
          <w:bCs/>
          <w:sz w:val="26"/>
          <w:szCs w:val="26"/>
        </w:rPr>
        <w:t>通常</w:t>
      </w:r>
      <w:r>
        <w:rPr>
          <w:rFonts w:eastAsia="標楷體" w:cs="標楷體" w:ascii="標楷體" w:hAnsi="標楷體"/>
          <w:bCs/>
          <w:sz w:val="26"/>
          <w:szCs w:val="26"/>
        </w:rPr>
        <w:t>1</w:t>
      </w:r>
      <w:r>
        <w:rPr>
          <w:rFonts w:ascii="標楷體" w:hAnsi="標楷體" w:cs="標楷體" w:eastAsia="標楷體"/>
          <w:bCs/>
          <w:sz w:val="26"/>
          <w:szCs w:val="26"/>
        </w:rPr>
        <w:t>到</w:t>
      </w:r>
      <w:r>
        <w:rPr>
          <w:rFonts w:eastAsia="標楷體" w:cs="標楷體" w:ascii="標楷體" w:hAnsi="標楷體"/>
          <w:bCs/>
          <w:sz w:val="26"/>
          <w:szCs w:val="26"/>
        </w:rPr>
        <w:t>12</w:t>
      </w:r>
      <w:r>
        <w:rPr>
          <w:rFonts w:ascii="標楷體" w:hAnsi="標楷體" w:cs="標楷體" w:eastAsia="標楷體"/>
          <w:bCs/>
          <w:sz w:val="26"/>
          <w:szCs w:val="26"/>
        </w:rPr>
        <w:t>次會談</w:t>
      </w:r>
      <w:r>
        <w:rPr>
          <w:rFonts w:eastAsia="標楷體" w:cs="標楷體" w:ascii="標楷體" w:hAnsi="標楷體"/>
          <w:bCs/>
          <w:sz w:val="26"/>
          <w:szCs w:val="26"/>
        </w:rPr>
        <w:t>)</w:t>
      </w:r>
      <w:r>
        <w:rPr>
          <w:rFonts w:ascii="標楷體" w:hAnsi="標楷體" w:cs="標楷體" w:eastAsia="標楷體"/>
          <w:bCs/>
          <w:sz w:val="26"/>
          <w:szCs w:val="26"/>
        </w:rPr>
        <w:t>。它具有幾個基本特徵：聚焦在個案問題或解決方案上，針對個案的症狀作處理，而較不探討症狀背後的原因。治療的風格是高度主動性的、具同理心的，甚至時常是指導性的。在治療初期，治療者即與個案快速建立，致力於讓個案能有好的經驗，來促進其自我有能感，加強改變的信心。治療目標是關於特定行為的改變，具有明確定義，且治療結束的時間與方式，都在治療開始時便設定清楚。治療的效果被預期可以在短期內發生，且治療成果（</w:t>
      </w:r>
      <w:r>
        <w:rPr>
          <w:rFonts w:eastAsia="標楷體" w:cs="標楷體" w:ascii="標楷體" w:hAnsi="標楷體"/>
          <w:bCs/>
          <w:sz w:val="26"/>
          <w:szCs w:val="26"/>
        </w:rPr>
        <w:t>outcome</w:t>
      </w:r>
      <w:r>
        <w:rPr>
          <w:rFonts w:ascii="標楷體" w:hAnsi="標楷體" w:cs="標楷體" w:eastAsia="標楷體"/>
          <w:bCs/>
          <w:sz w:val="26"/>
          <w:szCs w:val="26"/>
        </w:rPr>
        <w:t>）是可以測量的。</w:t>
      </w:r>
    </w:p>
    <w:p>
      <w:pPr>
        <w:pStyle w:val="Normal"/>
        <w:numPr>
          <w:ilvl w:val="0"/>
          <w:numId w:val="0"/>
        </w:numPr>
        <w:autoSpaceDE w:val="false"/>
        <w:snapToGrid w:val="false"/>
        <w:spacing w:lineRule="exact" w:line="480" w:before="360" w:after="180"/>
        <w:ind w:left="633" w:hanging="633"/>
        <w:jc w:val="both"/>
        <w:outlineLvl w:val="1"/>
        <w:rPr>
          <w:rFonts w:ascii="標楷體" w:hAnsi="標楷體" w:eastAsia="標楷體" w:cs="標楷體"/>
          <w:b/>
          <w:b/>
          <w:bCs/>
          <w:spacing w:val="-2"/>
          <w:kern w:val="0"/>
          <w:sz w:val="32"/>
          <w:szCs w:val="32"/>
        </w:rPr>
      </w:pPr>
      <w:bookmarkStart w:id="43" w:name="__RefHeading___Toc358384702"/>
      <w:bookmarkEnd w:id="43"/>
      <w:r>
        <w:rPr>
          <w:rFonts w:ascii="標楷體" w:hAnsi="標楷體" w:cs="標楷體" w:eastAsia="標楷體"/>
          <w:b/>
          <w:bCs/>
          <w:spacing w:val="-2"/>
          <w:kern w:val="0"/>
          <w:sz w:val="32"/>
          <w:szCs w:val="32"/>
        </w:rPr>
        <w:t>六、長期之動力取向心理治療</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心理動力取向心理治療</w:t>
      </w:r>
      <w:r>
        <w:rPr>
          <w:rFonts w:ascii="標楷體" w:hAnsi="標楷體" w:cs="標楷體" w:eastAsia="標楷體"/>
          <w:sz w:val="26"/>
          <w:szCs w:val="26"/>
        </w:rPr>
        <w:t>（</w:t>
      </w:r>
      <w:r>
        <w:rPr>
          <w:rFonts w:eastAsia="標楷體" w:cs="標楷體" w:ascii="標楷體" w:hAnsi="標楷體"/>
          <w:spacing w:val="6"/>
          <w:sz w:val="26"/>
          <w:szCs w:val="26"/>
        </w:rPr>
        <w:t xml:space="preserve">psychodynamic </w:t>
      </w:r>
      <w:r>
        <w:rPr>
          <w:rFonts w:eastAsia="標楷體" w:cs="標楷體" w:ascii="標楷體" w:hAnsi="標楷體"/>
          <w:spacing w:val="6"/>
          <w:sz w:val="26"/>
          <w:szCs w:val="26"/>
        </w:rPr>
        <w:t>psycho</w:t>
      </w:r>
      <w:r>
        <w:rPr>
          <w:rFonts w:eastAsia="標楷體" w:cs="標楷體" w:ascii="標楷體" w:hAnsi="標楷體"/>
          <w:spacing w:val="6"/>
          <w:sz w:val="26"/>
          <w:szCs w:val="26"/>
        </w:rPr>
        <w:t>therapy</w:t>
      </w:r>
      <w:r>
        <w:rPr>
          <w:rFonts w:ascii="標楷體" w:hAnsi="標楷體" w:cs="標楷體" w:eastAsia="標楷體"/>
          <w:sz w:val="26"/>
          <w:szCs w:val="26"/>
        </w:rPr>
        <w:t>）</w:t>
      </w:r>
      <w:r>
        <w:rPr>
          <w:rFonts w:ascii="標楷體" w:hAnsi="標楷體" w:cs="標楷體" w:eastAsia="標楷體"/>
          <w:sz w:val="26"/>
          <w:szCs w:val="26"/>
        </w:rPr>
        <w:t>過去曾被應用在藥癮治療上。曾有數個報告顯示，動力取向心理治療可以應用在部分成癮個案身上，但是整體來說，心理動力治療在目前藥癮治療的應用十分有限，這可能與過去部分治療師對於一些原則的應用方式有關。常見的例子，像是在治療過程中，治療師必須保持中性態度，也就是避免介入或不當干涉，但是當個案在治療時期仍持續濫用藥物，甚至越來越嚴重時，治療師對此不置可否的現象，這對個案來說是個不太適當的經驗，也可能會增強個案運用否認方式來作為心理防衛，也是此種治療方式後來沒有成為藥癮心理治療主流的原因。另一方面，心理動力取向的心理治療講求內在狀態的改變，療程較為漫長，若非是，很容易在治療初期即中斷。</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如前所述，雖然在初期治療中，並不建議使用心理動力模式來從事治療，但是當個案處在戒癮狀態時，運用此種心理治療方式來處理個案原有的其他心理狀態，例如以支持性及敘述性的方式增加藥癮個案對自我的體察，對於維持個案的戒癮狀態也可能有相當的幫助，因此在整合性的治療模式中，治療者可以評估個案的個別狀況，來決定是否採用動力取向心理治療的方式協助個案。</w:t>
      </w:r>
    </w:p>
    <w:p>
      <w:pPr>
        <w:pStyle w:val="Normal"/>
        <w:numPr>
          <w:ilvl w:val="0"/>
          <w:numId w:val="0"/>
        </w:numPr>
        <w:autoSpaceDE w:val="false"/>
        <w:snapToGrid w:val="false"/>
        <w:spacing w:lineRule="exact" w:line="480" w:before="360" w:after="180"/>
        <w:ind w:left="633" w:hanging="633"/>
        <w:jc w:val="both"/>
        <w:outlineLvl w:val="1"/>
        <w:rPr/>
      </w:pPr>
      <w:bookmarkStart w:id="44" w:name="__RefHeading___Toc358384703"/>
      <w:bookmarkEnd w:id="44"/>
      <w:r>
        <w:rPr>
          <w:rFonts w:ascii="標楷體" w:hAnsi="標楷體" w:cs="標楷體" w:eastAsia="標楷體"/>
          <w:b/>
          <w:bCs/>
          <w:spacing w:val="-2"/>
          <w:kern w:val="0"/>
          <w:sz w:val="32"/>
          <w:szCs w:val="32"/>
        </w:rPr>
        <w:t>七、團體治療</w:t>
      </w:r>
    </w:p>
    <w:p>
      <w:pPr>
        <w:pStyle w:val="Normal"/>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團體治療</w:t>
      </w:r>
      <w:r>
        <w:rPr>
          <w:rFonts w:ascii="標楷體" w:hAnsi="標楷體" w:cs="標楷體" w:eastAsia="標楷體"/>
          <w:sz w:val="26"/>
          <w:szCs w:val="26"/>
        </w:rPr>
        <w:t>（</w:t>
      </w:r>
      <w:r>
        <w:rPr>
          <w:rFonts w:eastAsia="標楷體" w:cs="標楷體" w:ascii="標楷體" w:hAnsi="標楷體"/>
          <w:sz w:val="26"/>
          <w:szCs w:val="26"/>
        </w:rPr>
        <w:t>g</w:t>
      </w:r>
      <w:r>
        <w:rPr>
          <w:rFonts w:eastAsia="標楷體" w:cs="標楷體" w:ascii="標楷體" w:hAnsi="標楷體"/>
          <w:sz w:val="26"/>
          <w:szCs w:val="26"/>
        </w:rPr>
        <w:t>roup therapy</w:t>
      </w:r>
      <w:r>
        <w:rPr>
          <w:rFonts w:ascii="標楷體" w:hAnsi="標楷體" w:cs="標楷體" w:eastAsia="標楷體"/>
          <w:sz w:val="26"/>
          <w:szCs w:val="26"/>
        </w:rPr>
        <w:t>）</w:t>
      </w:r>
      <w:r>
        <w:rPr>
          <w:rFonts w:ascii="標楷體" w:hAnsi="標楷體" w:cs="標楷體" w:eastAsia="標楷體"/>
          <w:sz w:val="26"/>
          <w:szCs w:val="26"/>
        </w:rPr>
        <w:t>經常被應用在藥癮或酒癮的治療上，除了單獨應用外，也常被當作整合治療模式的一環。在成癮個案的團體治療上，可簡易區分為自助團體與心理治療團體兩大類，最大的差別點當然是在團體的領導人層面，自助團體是由藥癮同儕或是戒癮成功的個案來擔任，心理治療團體主要是由精神醫療相關人員來負責。目前並沒有單獨針對愷他命等俱樂部藥物成癮個案的進行的團體治療研究，大多是以前面所述認知心理治療模式中，整合運用個人與團體治療等方式來進行。</w:t>
      </w:r>
    </w:p>
    <w:p>
      <w:pPr>
        <w:pStyle w:val="Normal"/>
        <w:numPr>
          <w:ilvl w:val="0"/>
          <w:numId w:val="0"/>
        </w:numPr>
        <w:autoSpaceDE w:val="false"/>
        <w:snapToGrid w:val="false"/>
        <w:spacing w:lineRule="exact" w:line="480" w:before="360" w:after="180"/>
        <w:ind w:left="633" w:hanging="633"/>
        <w:jc w:val="both"/>
        <w:outlineLvl w:val="1"/>
        <w:rPr>
          <w:rFonts w:ascii="標楷體" w:hAnsi="標楷體" w:eastAsia="標楷體" w:cs="標楷體"/>
          <w:b/>
          <w:b/>
          <w:bCs/>
          <w:spacing w:val="-2"/>
          <w:kern w:val="0"/>
          <w:sz w:val="32"/>
          <w:szCs w:val="32"/>
        </w:rPr>
      </w:pPr>
      <w:bookmarkStart w:id="45" w:name="__RefHeading___Toc358384704"/>
      <w:bookmarkEnd w:id="45"/>
      <w:r>
        <w:rPr>
          <w:rFonts w:ascii="標楷體" w:hAnsi="標楷體" w:cs="標楷體" w:eastAsia="標楷體"/>
          <w:b/>
          <w:bCs/>
          <w:spacing w:val="-2"/>
          <w:kern w:val="0"/>
          <w:sz w:val="32"/>
          <w:szCs w:val="32"/>
        </w:rPr>
        <w:t>八、從「減少傷害」的立場提供衛教</w:t>
      </w:r>
    </w:p>
    <w:p>
      <w:pPr>
        <w:pStyle w:val="Normal"/>
        <w:autoSpaceDE w:val="false"/>
        <w:snapToGrid w:val="false"/>
        <w:spacing w:lineRule="exact" w:line="480"/>
        <w:ind w:firstLine="520"/>
        <w:jc w:val="both"/>
        <w:rPr>
          <w:rFonts w:ascii="標楷體" w:hAnsi="標楷體" w:eastAsia="標楷體" w:cs="標楷體"/>
          <w:sz w:val="26"/>
          <w:szCs w:val="26"/>
        </w:rPr>
      </w:pPr>
      <w:r>
        <w:rPr>
          <w:rFonts w:ascii="標楷體" w:hAnsi="標楷體" w:cs="標楷體" w:eastAsia="標楷體"/>
          <w:sz w:val="26"/>
          <w:szCs w:val="26"/>
        </w:rPr>
        <w:t>減少傷害</w:t>
      </w:r>
      <w:r>
        <w:rPr>
          <w:rFonts w:ascii="標楷體" w:hAnsi="標楷體" w:cs="標楷體" w:eastAsia="標楷體"/>
          <w:sz w:val="26"/>
          <w:szCs w:val="26"/>
        </w:rPr>
        <w:t>（</w:t>
      </w:r>
      <w:r>
        <w:rPr>
          <w:rFonts w:eastAsia="標楷體" w:cs="標楷體" w:ascii="標楷體" w:hAnsi="標楷體"/>
          <w:sz w:val="26"/>
          <w:szCs w:val="26"/>
        </w:rPr>
        <w:t>harm reduction</w:t>
      </w:r>
      <w:r>
        <w:rPr>
          <w:rFonts w:ascii="標楷體" w:hAnsi="標楷體" w:cs="標楷體" w:eastAsia="標楷體"/>
          <w:sz w:val="26"/>
          <w:szCs w:val="26"/>
        </w:rPr>
        <w:t>）</w:t>
      </w:r>
      <w:r>
        <w:rPr>
          <w:rFonts w:ascii="標楷體" w:hAnsi="標楷體" w:cs="標楷體" w:eastAsia="標楷體"/>
          <w:sz w:val="26"/>
          <w:szCs w:val="26"/>
        </w:rPr>
        <w:t>觀點之推動主要是源自於</w:t>
      </w:r>
      <w:r>
        <w:rPr>
          <w:rFonts w:eastAsia="標楷體" w:cs="標楷體" w:ascii="標楷體" w:hAnsi="標楷體"/>
          <w:sz w:val="26"/>
          <w:szCs w:val="26"/>
        </w:rPr>
        <w:t>1980</w:t>
      </w:r>
      <w:r>
        <w:rPr>
          <w:rFonts w:ascii="標楷體" w:hAnsi="標楷體" w:cs="標楷體" w:eastAsia="標楷體"/>
          <w:sz w:val="26"/>
          <w:szCs w:val="26"/>
        </w:rPr>
        <w:t>年代歐洲與澳洲各國為了因應愛滋病毒的擴散而推動；「減少傷害政策、方案或計畫之目的是減少因使用影響精神物質所帶來的個人、他們的家庭和社區的負面健康衝擊、社會犯罪成本與勞動流失、以及相關經濟損失結果」</w:t>
      </w:r>
      <w:r>
        <w:rPr>
          <w:rFonts w:eastAsia="標楷體" w:cs="標楷體" w:ascii="標楷體" w:hAnsi="標楷體"/>
          <w:sz w:val="26"/>
          <w:szCs w:val="26"/>
        </w:rPr>
        <w:t>(International Harm Reduction Association, 2008)</w:t>
      </w:r>
      <w:r>
        <w:rPr>
          <w:rFonts w:ascii="標楷體" w:hAnsi="標楷體" w:cs="標楷體" w:eastAsia="標楷體"/>
          <w:sz w:val="26"/>
          <w:szCs w:val="26"/>
        </w:rPr>
        <w:t>。</w:t>
      </w:r>
      <w:r>
        <w:rPr>
          <w:rFonts w:ascii="標楷體" w:hAnsi="標楷體" w:cs="標楷體" w:eastAsia="標楷體"/>
          <w:sz w:val="26"/>
          <w:szCs w:val="26"/>
        </w:rPr>
        <w:t>我國過去幾年戮力推行「減害政策」，包括「美沙冬替代治療」與「針具交換」等，在公共衛生層面展現顯著的效益。減害的觀念在近一、二十年於國際蔚為風潮，除了傳統的「海洛因成癮」及「</w:t>
      </w:r>
      <w:r>
        <w:rPr>
          <w:rFonts w:eastAsia="標楷體" w:cs="標楷體" w:ascii="標楷體" w:hAnsi="標楷體"/>
          <w:sz w:val="26"/>
          <w:szCs w:val="26"/>
        </w:rPr>
        <w:t>HIV</w:t>
      </w:r>
      <w:r>
        <w:rPr>
          <w:rFonts w:ascii="標楷體" w:hAnsi="標楷體" w:cs="標楷體" w:eastAsia="標楷體"/>
          <w:sz w:val="26"/>
          <w:szCs w:val="26"/>
        </w:rPr>
        <w:t>感染」的減害計畫外，這樣的概念也常被應用在其他類型的物質濫用上。青少年族群，因認同時下流行的次文化，或者在同儕壓力下開始接觸這些俱樂部藥物（或稱派對藥物），其中有很大的比例的使用者並非長期、頻繁且持續的使用，而是在特定的情境偶爾使用。因此治療者若能採取包容、不評斷的態度來面對</w:t>
      </w:r>
      <w:r>
        <w:rPr>
          <w:rStyle w:val="Applestylespan"/>
          <w:rFonts w:ascii="標楷體" w:hAnsi="標楷體" w:cs="標楷體" w:eastAsia="標楷體"/>
          <w:sz w:val="26"/>
          <w:szCs w:val="26"/>
        </w:rPr>
        <w:t>愷他命</w:t>
      </w:r>
      <w:r>
        <w:rPr>
          <w:rFonts w:ascii="標楷體" w:hAnsi="標楷體" w:cs="標楷體" w:eastAsia="標楷體"/>
          <w:sz w:val="26"/>
          <w:szCs w:val="26"/>
        </w:rPr>
        <w:t>使用者，才不會阻絕他們向醫療資源或教育機構求助的動機。從減害的思維出發，治療者與其耗盡精力來勸說個案不要再碰毒品，不如花費心思來教育個案如何避免因使用這些藥物所帶來的更嚴重的傷害。以下就是從減害觀點，可以給個案的幾點重要建議：</w:t>
      </w:r>
    </w:p>
    <w:p>
      <w:pPr>
        <w:pStyle w:val="Normal"/>
        <w:autoSpaceDE w:val="false"/>
        <w:snapToGrid w:val="false"/>
        <w:spacing w:lineRule="exact" w:line="480"/>
        <w:ind w:left="500" w:hanging="260"/>
        <w:jc w:val="both"/>
        <w:rPr>
          <w:rFonts w:ascii="標楷體" w:hAnsi="標楷體" w:eastAsia="標楷體" w:cs="標楷體"/>
          <w:sz w:val="26"/>
          <w:szCs w:val="26"/>
        </w:rPr>
      </w:pPr>
      <w:r>
        <w:rPr>
          <w:rFonts w:eastAsia="標楷體" w:cs="標楷體" w:ascii="標楷體" w:hAnsi="標楷體"/>
          <w:sz w:val="26"/>
          <w:szCs w:val="26"/>
        </w:rPr>
        <w:t>1.</w:t>
      </w:r>
      <w:r>
        <w:rPr>
          <w:rFonts w:ascii="標楷體" w:hAnsi="標楷體" w:cs="標楷體" w:eastAsia="標楷體"/>
          <w:sz w:val="26"/>
          <w:szCs w:val="26"/>
        </w:rPr>
        <w:t>在使用方式上，抽煙與鼻吸所帶來的危險會比注射少（國外不少愷他命濫用者是採靜脈注射途徑）。</w:t>
      </w:r>
    </w:p>
    <w:p>
      <w:pPr>
        <w:pStyle w:val="Normal"/>
        <w:autoSpaceDE w:val="false"/>
        <w:snapToGrid w:val="false"/>
        <w:spacing w:lineRule="exact" w:line="480"/>
        <w:ind w:left="500" w:hanging="260"/>
        <w:jc w:val="both"/>
        <w:rPr>
          <w:rFonts w:ascii="標楷體" w:hAnsi="標楷體" w:eastAsia="標楷體" w:cs="DFHeiHK-W3;細明體"/>
          <w:kern w:val="0"/>
          <w:sz w:val="26"/>
          <w:szCs w:val="26"/>
        </w:rPr>
      </w:pPr>
      <w:r>
        <w:rPr>
          <w:rFonts w:eastAsia="標楷體" w:cs="DFHeiHK-W3;細明體" w:ascii="標楷體" w:hAnsi="標楷體"/>
          <w:kern w:val="0"/>
          <w:sz w:val="26"/>
          <w:szCs w:val="26"/>
        </w:rPr>
        <w:t>2.</w:t>
      </w:r>
      <w:r>
        <w:rPr>
          <w:rFonts w:ascii="標楷體" w:hAnsi="標楷體" w:cs="DFHeiHK-W3;細明體" w:eastAsia="標楷體"/>
          <w:kern w:val="0"/>
          <w:sz w:val="26"/>
          <w:szCs w:val="26"/>
        </w:rPr>
        <w:t>記得隨時保持充足的水分補充，若有泌尿道方面的不適，趕快就醫。</w:t>
      </w:r>
    </w:p>
    <w:p>
      <w:pPr>
        <w:pStyle w:val="Normal"/>
        <w:autoSpaceDE w:val="false"/>
        <w:snapToGrid w:val="false"/>
        <w:spacing w:lineRule="exact" w:line="480"/>
        <w:ind w:left="500" w:hanging="260"/>
        <w:jc w:val="both"/>
        <w:rPr>
          <w:rFonts w:ascii="標楷體" w:hAnsi="標楷體" w:eastAsia="標楷體" w:cs="DFHeiHK-W3;細明體"/>
          <w:kern w:val="0"/>
          <w:sz w:val="26"/>
          <w:szCs w:val="26"/>
        </w:rPr>
      </w:pPr>
      <w:r>
        <w:rPr>
          <w:rFonts w:eastAsia="標楷體" w:cs="DFHeiHK-W3;細明體" w:ascii="標楷體" w:hAnsi="標楷體"/>
          <w:kern w:val="0"/>
          <w:sz w:val="26"/>
          <w:szCs w:val="26"/>
        </w:rPr>
        <w:t>3.</w:t>
      </w:r>
      <w:r>
        <w:rPr>
          <w:rFonts w:ascii="標楷體" w:hAnsi="標楷體" w:cs="DFHeiHK-W3;細明體" w:eastAsia="標楷體"/>
          <w:kern w:val="0"/>
          <w:sz w:val="26"/>
          <w:szCs w:val="26"/>
        </w:rPr>
        <w:t>藥物可能會降低警覺性或甚至使人喪失自我保護的能力，所以使用藥物後要避免一個人留在陌生環境；理想上應至少有一個沒有使用藥物且可信任的人陪伴。</w:t>
      </w:r>
    </w:p>
    <w:p>
      <w:pPr>
        <w:pStyle w:val="Normal"/>
        <w:autoSpaceDE w:val="false"/>
        <w:snapToGrid w:val="false"/>
        <w:spacing w:lineRule="exact" w:line="480"/>
        <w:ind w:left="500" w:hanging="260"/>
        <w:jc w:val="both"/>
        <w:rPr>
          <w:rFonts w:ascii="標楷體" w:hAnsi="標楷體" w:eastAsia="標楷體" w:cs="DFHeiHK-W3;細明體"/>
          <w:kern w:val="0"/>
          <w:sz w:val="26"/>
          <w:szCs w:val="26"/>
        </w:rPr>
      </w:pPr>
      <w:r>
        <w:rPr>
          <w:rFonts w:eastAsia="標楷體" w:cs="DFHeiHK-W3;細明體" w:ascii="標楷體" w:hAnsi="標楷體"/>
          <w:kern w:val="0"/>
          <w:sz w:val="26"/>
          <w:szCs w:val="26"/>
        </w:rPr>
        <w:t>4.</w:t>
      </w:r>
      <w:r>
        <w:rPr>
          <w:rFonts w:ascii="標楷體" w:hAnsi="標楷體" w:cs="DFHeiHK-W3;細明體" w:eastAsia="標楷體"/>
          <w:kern w:val="0"/>
          <w:sz w:val="26"/>
          <w:szCs w:val="26"/>
        </w:rPr>
        <w:t>使用時盡可能從最小的劑量開始嘗試，特別是藥物的來源不明時，服用後的效果可能無法預期。</w:t>
      </w:r>
    </w:p>
    <w:p>
      <w:pPr>
        <w:pStyle w:val="Normal"/>
        <w:autoSpaceDE w:val="false"/>
        <w:snapToGrid w:val="false"/>
        <w:spacing w:lineRule="exact" w:line="480"/>
        <w:ind w:left="500" w:hanging="260"/>
        <w:jc w:val="both"/>
        <w:rPr>
          <w:rFonts w:ascii="標楷體" w:hAnsi="標楷體" w:eastAsia="標楷體" w:cs="DFHeiHK-W3;細明體"/>
          <w:kern w:val="0"/>
          <w:sz w:val="26"/>
          <w:szCs w:val="26"/>
        </w:rPr>
      </w:pPr>
      <w:r>
        <w:rPr>
          <w:rFonts w:eastAsia="標楷體" w:cs="DFHeiHK-W3;細明體" w:ascii="標楷體" w:hAnsi="標楷體"/>
          <w:kern w:val="0"/>
          <w:sz w:val="26"/>
          <w:szCs w:val="26"/>
        </w:rPr>
        <w:t>5.</w:t>
      </w:r>
      <w:r>
        <w:rPr>
          <w:rFonts w:ascii="標楷體" w:hAnsi="標楷體" w:cs="DFHeiHK-W3;細明體" w:eastAsia="標楷體"/>
          <w:kern w:val="0"/>
          <w:sz w:val="26"/>
          <w:szCs w:val="26"/>
        </w:rPr>
        <w:t>避免同時使用多種藥物；也要避免與酒精同時使用。</w:t>
      </w:r>
    </w:p>
    <w:p>
      <w:pPr>
        <w:pStyle w:val="Normal"/>
        <w:autoSpaceDE w:val="false"/>
        <w:snapToGrid w:val="false"/>
        <w:spacing w:lineRule="exact" w:line="480"/>
        <w:ind w:left="500" w:hanging="260"/>
        <w:jc w:val="both"/>
        <w:rPr>
          <w:rFonts w:ascii="標楷體" w:hAnsi="標楷體" w:eastAsia="標楷體" w:cs="DFHeiHK-W3;細明體"/>
          <w:kern w:val="0"/>
          <w:sz w:val="26"/>
          <w:szCs w:val="26"/>
        </w:rPr>
      </w:pPr>
      <w:r>
        <w:rPr>
          <w:rFonts w:eastAsia="標楷體" w:cs="DFHeiHK-W3;細明體" w:ascii="標楷體" w:hAnsi="標楷體"/>
          <w:kern w:val="0"/>
          <w:sz w:val="26"/>
          <w:szCs w:val="26"/>
        </w:rPr>
        <w:t>6.</w:t>
      </w:r>
      <w:r>
        <w:rPr>
          <w:rFonts w:ascii="標楷體" w:hAnsi="標楷體" w:cs="DFHeiHK-W3;細明體" w:eastAsia="標楷體"/>
          <w:kern w:val="0"/>
          <w:sz w:val="26"/>
          <w:szCs w:val="26"/>
        </w:rPr>
        <w:t>若目前有服用治療性藥物，包括精神科藥物、神經科藥物、心臟相關藥物或者治療慢性疼痛的藥物，應避免同時嘗試使用娛樂性藥物。</w:t>
      </w:r>
    </w:p>
    <w:p>
      <w:pPr>
        <w:pStyle w:val="Normal"/>
        <w:autoSpaceDE w:val="false"/>
        <w:snapToGrid w:val="false"/>
        <w:spacing w:lineRule="exact" w:line="480"/>
        <w:ind w:left="500" w:hanging="260"/>
        <w:jc w:val="both"/>
        <w:rPr>
          <w:rFonts w:ascii="標楷體" w:hAnsi="標楷體" w:eastAsia="標楷體" w:cs="DFHeiHK-W3;細明體"/>
          <w:kern w:val="0"/>
          <w:sz w:val="26"/>
          <w:szCs w:val="26"/>
        </w:rPr>
      </w:pPr>
      <w:r>
        <w:rPr>
          <w:rFonts w:eastAsia="標楷體" w:cs="DFHeiHK-W3;細明體" w:ascii="標楷體" w:hAnsi="標楷體"/>
          <w:kern w:val="0"/>
          <w:sz w:val="26"/>
          <w:szCs w:val="26"/>
        </w:rPr>
        <w:t>7.</w:t>
      </w:r>
      <w:r>
        <w:rPr>
          <w:rFonts w:ascii="標楷體" w:hAnsi="標楷體" w:cs="DFHeiHK-W3;細明體" w:eastAsia="標楷體"/>
          <w:kern w:val="0"/>
          <w:sz w:val="26"/>
          <w:szCs w:val="26"/>
        </w:rPr>
        <w:t>事先安排好交通問題；使用藥物後不要駕駛。</w:t>
      </w:r>
    </w:p>
    <w:p>
      <w:pPr>
        <w:pStyle w:val="Normal"/>
        <w:autoSpaceDE w:val="false"/>
        <w:snapToGrid w:val="false"/>
        <w:spacing w:lineRule="exact" w:line="480"/>
        <w:ind w:left="500" w:hanging="260"/>
        <w:jc w:val="both"/>
        <w:rPr>
          <w:rFonts w:ascii="標楷體" w:hAnsi="標楷體" w:eastAsia="標楷體" w:cs="DFHeiHK-W3;細明體"/>
          <w:kern w:val="0"/>
          <w:sz w:val="26"/>
          <w:szCs w:val="26"/>
        </w:rPr>
      </w:pPr>
      <w:r>
        <w:rPr>
          <w:rFonts w:eastAsia="標楷體" w:cs="DFHeiHK-W3;細明體" w:ascii="標楷體" w:hAnsi="標楷體"/>
          <w:kern w:val="0"/>
          <w:sz w:val="26"/>
          <w:szCs w:val="26"/>
        </w:rPr>
        <w:t>8.</w:t>
      </w:r>
      <w:r>
        <w:rPr>
          <w:rFonts w:ascii="標楷體" w:hAnsi="標楷體" w:cs="DFHeiHK-W3;細明體" w:eastAsia="標楷體"/>
          <w:kern w:val="0"/>
          <w:sz w:val="26"/>
          <w:szCs w:val="26"/>
        </w:rPr>
        <w:t>注意安全性行為，如準備好保險套等等。</w:t>
      </w:r>
    </w:p>
    <w:p>
      <w:pPr>
        <w:pStyle w:val="Normal"/>
        <w:autoSpaceDE w:val="false"/>
        <w:snapToGrid w:val="false"/>
        <w:spacing w:lineRule="exact" w:line="480"/>
        <w:jc w:val="both"/>
        <w:rPr>
          <w:rFonts w:ascii="標楷體" w:hAnsi="標楷體" w:eastAsia="標楷體" w:cs="DFHeiHK-W3;細明體"/>
          <w:kern w:val="0"/>
          <w:sz w:val="26"/>
          <w:szCs w:val="26"/>
        </w:rPr>
      </w:pPr>
      <w:r>
        <w:rPr>
          <w:rFonts w:eastAsia="標楷體" w:cs="DFHeiHK-W3;細明體" w:ascii="標楷體" w:hAnsi="標楷體"/>
          <w:kern w:val="0"/>
          <w:sz w:val="26"/>
          <w:szCs w:val="26"/>
        </w:rPr>
      </w:r>
    </w:p>
    <w:p>
      <w:pPr>
        <w:pStyle w:val="Normal"/>
        <w:autoSpaceDE w:val="false"/>
        <w:snapToGrid w:val="false"/>
        <w:spacing w:lineRule="exact" w:line="480"/>
        <w:jc w:val="both"/>
        <w:rPr>
          <w:rFonts w:ascii="標楷體" w:hAnsi="標楷體" w:eastAsia="標楷體" w:cs="DFHeiHK-W3;細明體"/>
          <w:kern w:val="0"/>
        </w:rPr>
      </w:pPr>
      <w:r>
        <w:rPr>
          <w:rFonts w:eastAsia="標楷體" w:cs="DFHeiHK-W3;細明體" w:ascii="標楷體" w:hAnsi="標楷體"/>
          <w:kern w:val="0"/>
        </w:rPr>
      </w:r>
      <w:r>
        <w:br w:type="page"/>
      </w:r>
    </w:p>
    <w:p>
      <w:pPr>
        <w:pStyle w:val="1"/>
        <w:keepNext w:val="false"/>
        <w:spacing w:lineRule="auto" w:line="240" w:before="0" w:after="0"/>
        <w:jc w:val="center"/>
        <w:rPr>
          <w:rFonts w:ascii="標楷體" w:hAnsi="標楷體" w:cs="標楷體"/>
          <w:kern w:val="0"/>
          <w:sz w:val="36"/>
          <w:szCs w:val="36"/>
        </w:rPr>
      </w:pPr>
      <w:bookmarkStart w:id="46" w:name="__RefHeading___Toc358384705"/>
      <w:bookmarkEnd w:id="46"/>
      <w:r>
        <w:rPr>
          <w:rFonts w:ascii="標楷體" w:hAnsi="標楷體" w:cs="標楷體"/>
          <w:kern w:val="0"/>
          <w:sz w:val="36"/>
          <w:szCs w:val="36"/>
        </w:rPr>
        <w:t>參考文獻</w:t>
      </w:r>
    </w:p>
    <w:p>
      <w:pPr>
        <w:pStyle w:val="Normal"/>
        <w:autoSpaceDE w:val="false"/>
        <w:snapToGrid w:val="false"/>
        <w:jc w:val="both"/>
        <w:rPr>
          <w:rFonts w:ascii="標楷體" w:hAnsi="標楷體" w:eastAsia="標楷體" w:cs="DFHeiHK-W3;細明體"/>
          <w:kern w:val="0"/>
        </w:rPr>
      </w:pPr>
      <w:r>
        <w:fldChar w:fldCharType="begin"/>
      </w:r>
      <w:r>
        <w:rPr>
          <w:vertAlign w:val="superscript"/>
          <w:kern w:val="0"/>
          <w:rFonts w:eastAsia="標楷體" w:cs="DFHeiHK-W3;細明體" w:ascii="標楷體" w:hAnsi="標楷體"/>
          <w:lang w:val="zh-TW" w:eastAsia="zh-TW"/>
        </w:rPr>
        <w:instrText> ADDIN EN.CITE </w:instrText>
      </w:r>
      <w:r>
        <w:rPr>
          <w:rFonts w:eastAsia="標楷體" w:cs="DFHeiHK-W3;細明體" w:ascii="標楷體" w:hAnsi="標楷體"/>
          <w:kern w:val="0"/>
          <w:vertAlign w:val="superscript"/>
          <w:lang w:val="zh-TW" w:eastAsia="zh-TW"/>
        </w:rPr>
      </w:r>
      <w:r>
        <w:rPr>
          <w:vertAlign w:val="superscript"/>
          <w:kern w:val="0"/>
          <w:rFonts w:eastAsia="標楷體" w:cs="DFHeiHK-W3;細明體" w:ascii="標楷體" w:hAnsi="標楷體"/>
          <w:lang w:val="zh-TW" w:eastAsia="zh-TW"/>
        </w:rPr>
        <w:fldChar w:fldCharType="separate"/>
      </w:r>
      <w:r>
        <w:rPr>
          <w:rFonts w:eastAsia="標楷體" w:cs="DFHeiHK-W3;細明體" w:ascii="標楷體" w:hAnsi="標楷體"/>
          <w:kern w:val="0"/>
          <w:vertAlign w:val="superscript"/>
          <w:lang w:val="zh-TW" w:eastAsia="zh-TW"/>
        </w:rPr>
        <w:t>8-22</w:t>
      </w:r>
      <w:r>
        <w:rPr>
          <w:rFonts w:eastAsia="標楷體" w:cs="DFHeiHK-W3;細明體" w:ascii="標楷體" w:hAnsi="標楷體"/>
          <w:kern w:val="0"/>
          <w:vertAlign w:val="superscript"/>
          <w:lang w:val="zh-TW" w:eastAsia="zh-TW"/>
        </w:rPr>
      </w:r>
      <w:r>
        <w:rPr>
          <w:vertAlign w:val="superscript"/>
          <w:kern w:val="0"/>
          <w:rFonts w:eastAsia="標楷體" w:cs="DFHeiHK-W3;細明體" w:ascii="標楷體" w:hAnsi="標楷體"/>
          <w:lang w:val="zh-TW" w:eastAsia="zh-TW"/>
        </w:rPr>
        <w:fldChar w:fldCharType="end"/>
      </w:r>
    </w:p>
    <w:p>
      <w:pPr>
        <w:pStyle w:val="Normal"/>
        <w:snapToGrid w:val="false"/>
        <w:spacing w:lineRule="exact" w:line="400"/>
        <w:ind w:left="454" w:hanging="454"/>
        <w:jc w:val="both"/>
        <w:rPr/>
      </w:pPr>
      <w:r>
        <w:fldChar w:fldCharType="begin"/>
      </w:r>
      <w:r>
        <w:rPr>
          <w:sz w:val="26"/>
          <w:kern w:val="0"/>
          <w:szCs w:val="26"/>
          <w:rFonts w:eastAsia="標楷體" w:cs="DFHeiHK-W3;細明體" w:ascii="標楷體" w:hAnsi="標楷體"/>
          <w:lang w:val="zh-TW" w:eastAsia="zh-TW"/>
        </w:rPr>
        <w:instrText> ADDIN EN.REFLIST </w:instrText>
      </w:r>
      <w:r>
        <w:rPr>
          <w:rFonts w:eastAsia="標楷體" w:cs="DFHeiHK-W3;細明體" w:ascii="標楷體" w:hAnsi="標楷體"/>
          <w:kern w:val="0"/>
          <w:sz w:val="26"/>
          <w:szCs w:val="26"/>
          <w:lang w:val="zh-TW" w:eastAsia="zh-TW"/>
        </w:rPr>
      </w:r>
      <w:r>
        <w:rPr>
          <w:sz w:val="26"/>
          <w:kern w:val="0"/>
          <w:szCs w:val="26"/>
          <w:rFonts w:eastAsia="標楷體" w:cs="DFHeiHK-W3;細明體" w:ascii="標楷體" w:hAnsi="標楷體"/>
          <w:lang w:val="zh-TW" w:eastAsia="zh-TW"/>
        </w:rPr>
        <w:fldChar w:fldCharType="separate"/>
      </w:r>
      <w:r>
        <w:rPr>
          <w:rFonts w:eastAsia="標楷體" w:cs="DFHeiHK-W3;細明體" w:ascii="標楷體" w:hAnsi="標楷體"/>
          <w:kern w:val="0"/>
          <w:sz w:val="26"/>
          <w:szCs w:val="26"/>
          <w:lang w:val="zh-TW" w:eastAsia="zh-TW"/>
        </w:rPr>
      </w:r>
      <w:r>
        <w:rPr>
          <w:rFonts w:eastAsia="標楷體" w:cs="標楷體" w:ascii="標楷體" w:hAnsi="標楷體"/>
          <w:kern w:val="0"/>
          <w:sz w:val="26"/>
          <w:szCs w:val="26"/>
          <w:lang w:val="zh-TW" w:eastAsia="zh-TW"/>
        </w:rPr>
        <w:t>1.</w:t>
      </w:r>
      <w:r>
        <w:rPr>
          <w:rFonts w:eastAsia="標楷體" w:cs="標楷體" w:ascii="標楷體" w:hAnsi="標楷體"/>
          <w:kern w:val="0"/>
          <w:sz w:val="26"/>
          <w:szCs w:val="26"/>
          <w:lang w:val="zh-TW" w:eastAsia="zh-TW"/>
        </w:rPr>
        <w:t xml:space="preserve"> </w:t>
      </w:r>
      <w:r>
        <w:rPr>
          <w:rFonts w:eastAsia="標楷體" w:cs="標楷體" w:ascii="標楷體" w:hAnsi="標楷體"/>
          <w:spacing w:val="-12"/>
          <w:kern w:val="0"/>
          <w:sz w:val="26"/>
          <w:szCs w:val="26"/>
          <w:lang w:val="zh-TW" w:eastAsia="zh-TW"/>
        </w:rPr>
        <w:t>Miller WR. Motivational interviewing: research,</w:t>
      </w:r>
      <w:r>
        <w:rPr>
          <w:rFonts w:eastAsia="標楷體" w:cs="標楷體" w:ascii="標楷體" w:hAnsi="標楷體"/>
          <w:kern w:val="0"/>
          <w:sz w:val="26"/>
          <w:szCs w:val="26"/>
          <w:lang w:val="zh-TW" w:eastAsia="zh-TW"/>
        </w:rPr>
        <w:t xml:space="preserve"> practice, and puzzles. Addictive behaviors 1996 Nov-Dec;21(6):835-842.</w:t>
      </w:r>
    </w:p>
    <w:p>
      <w:pPr>
        <w:pStyle w:val="Normal"/>
        <w:snapToGrid w:val="false"/>
        <w:spacing w:lineRule="exact" w:line="400"/>
        <w:ind w:left="454" w:hanging="454"/>
        <w:jc w:val="both"/>
        <w:rPr/>
      </w:pPr>
      <w:r>
        <w:rPr>
          <w:rFonts w:eastAsia="標楷體" w:cs="標楷體" w:ascii="標楷體" w:hAnsi="標楷體"/>
          <w:kern w:val="0"/>
          <w:sz w:val="26"/>
          <w:szCs w:val="26"/>
          <w:lang w:val="zh-TW" w:eastAsia="zh-TW"/>
        </w:rPr>
        <w:t>2.</w:t>
      </w:r>
      <w:r>
        <w:rPr>
          <w:rFonts w:eastAsia="標楷體" w:cs="標楷體" w:ascii="標楷體" w:hAnsi="標楷體"/>
          <w:kern w:val="0"/>
          <w:sz w:val="26"/>
          <w:szCs w:val="26"/>
          <w:lang w:val="zh-TW" w:eastAsia="zh-TW"/>
        </w:rPr>
        <w:t xml:space="preserve"> </w:t>
      </w:r>
      <w:r>
        <w:rPr>
          <w:rFonts w:eastAsia="標楷體" w:cs="標楷體" w:ascii="標楷體" w:hAnsi="標楷體"/>
          <w:spacing w:val="-6"/>
          <w:kern w:val="0"/>
          <w:sz w:val="26"/>
          <w:szCs w:val="26"/>
          <w:lang w:val="zh-TW" w:eastAsia="zh-TW"/>
        </w:rPr>
        <w:t>Prochaska JO, DiClemente CC, Norcross JC. I</w:t>
      </w:r>
      <w:r>
        <w:rPr>
          <w:rFonts w:eastAsia="標楷體" w:cs="標楷體" w:ascii="標楷體" w:hAnsi="標楷體"/>
          <w:kern w:val="0"/>
          <w:sz w:val="26"/>
          <w:szCs w:val="26"/>
          <w:lang w:val="zh-TW" w:eastAsia="zh-TW"/>
        </w:rPr>
        <w:t>n search of how people change. Applications to addictive behaviors. The American psychologist 1992 Sep;47(9):1102-1114.</w:t>
      </w:r>
    </w:p>
    <w:p>
      <w:pPr>
        <w:pStyle w:val="Normal"/>
        <w:snapToGrid w:val="false"/>
        <w:spacing w:lineRule="exact" w:line="400"/>
        <w:ind w:left="454" w:hanging="454"/>
        <w:jc w:val="both"/>
        <w:rPr/>
      </w:pPr>
      <w:r>
        <w:rPr>
          <w:rFonts w:eastAsia="標楷體" w:cs="標楷體" w:ascii="標楷體" w:hAnsi="標楷體"/>
          <w:kern w:val="0"/>
          <w:sz w:val="26"/>
          <w:szCs w:val="26"/>
          <w:lang w:val="zh-TW" w:eastAsia="zh-TW"/>
        </w:rPr>
        <w:t>3.</w:t>
      </w:r>
      <w:r>
        <w:rPr>
          <w:rFonts w:eastAsia="標楷體" w:cs="標楷體" w:ascii="標楷體" w:hAnsi="標楷體"/>
          <w:kern w:val="0"/>
          <w:sz w:val="26"/>
          <w:szCs w:val="26"/>
          <w:lang w:val="zh-TW" w:eastAsia="zh-TW"/>
        </w:rPr>
        <w:t xml:space="preserve"> </w:t>
      </w:r>
      <w:r>
        <w:rPr>
          <w:rFonts w:eastAsia="標楷體" w:cs="標楷體" w:ascii="標楷體" w:hAnsi="標楷體"/>
          <w:spacing w:val="-6"/>
          <w:kern w:val="0"/>
          <w:sz w:val="26"/>
          <w:szCs w:val="26"/>
          <w:lang w:val="zh-TW" w:eastAsia="zh-TW"/>
        </w:rPr>
        <w:t>Kelly TM, Daley DC, Douaihy AB. Treatment of</w:t>
      </w:r>
      <w:r>
        <w:rPr>
          <w:rFonts w:eastAsia="標楷體" w:cs="標楷體" w:ascii="標楷體" w:hAnsi="標楷體"/>
          <w:kern w:val="0"/>
          <w:sz w:val="26"/>
          <w:szCs w:val="26"/>
          <w:lang w:val="zh-TW" w:eastAsia="zh-TW"/>
        </w:rPr>
        <w:t xml:space="preserve"> substance abusing patients with comorbid psychiatric disorders. Addictive behaviors 2012 Jan;37(1):11-24.</w:t>
      </w:r>
    </w:p>
    <w:p>
      <w:pPr>
        <w:pStyle w:val="Normal"/>
        <w:snapToGrid w:val="false"/>
        <w:spacing w:lineRule="exact" w:line="400"/>
        <w:ind w:left="454" w:hanging="454"/>
        <w:jc w:val="both"/>
        <w:rPr/>
      </w:pPr>
      <w:r>
        <w:rPr>
          <w:rFonts w:eastAsia="標楷體" w:cs="標楷體" w:ascii="標楷體" w:hAnsi="標楷體"/>
          <w:kern w:val="0"/>
          <w:sz w:val="26"/>
          <w:szCs w:val="26"/>
          <w:lang w:val="zh-TW" w:eastAsia="zh-TW"/>
        </w:rPr>
        <w:t>4.</w:t>
      </w:r>
      <w:r>
        <w:rPr>
          <w:rFonts w:eastAsia="標楷體" w:cs="標楷體" w:ascii="標楷體" w:hAnsi="標楷體"/>
          <w:kern w:val="0"/>
          <w:sz w:val="26"/>
          <w:szCs w:val="26"/>
          <w:lang w:val="zh-TW" w:eastAsia="zh-TW"/>
        </w:rPr>
        <w:t xml:space="preserve"> </w:t>
      </w:r>
      <w:r>
        <w:rPr>
          <w:rFonts w:eastAsia="標楷體" w:cs="標楷體" w:ascii="標楷體" w:hAnsi="標楷體"/>
          <w:spacing w:val="-12"/>
          <w:kern w:val="0"/>
          <w:sz w:val="26"/>
          <w:szCs w:val="26"/>
          <w:lang w:val="zh-TW" w:eastAsia="zh-TW"/>
        </w:rPr>
        <w:t>Hendershot CS, Witkiewitz K, George WH, Marlatt</w:t>
      </w:r>
      <w:r>
        <w:rPr>
          <w:rFonts w:eastAsia="標楷體" w:cs="標楷體" w:ascii="標楷體" w:hAnsi="標楷體"/>
          <w:kern w:val="0"/>
          <w:sz w:val="26"/>
          <w:szCs w:val="26"/>
          <w:lang w:val="zh-TW" w:eastAsia="zh-TW"/>
        </w:rPr>
        <w:t xml:space="preserve"> GA. Relapse prevention for addictive behaviors. Substance abuse treatment, prevention, and policy 2011;6:17.</w:t>
      </w:r>
    </w:p>
    <w:p>
      <w:pPr>
        <w:pStyle w:val="Normal"/>
        <w:snapToGrid w:val="false"/>
        <w:spacing w:lineRule="exact" w:line="400"/>
        <w:ind w:left="454" w:hanging="454"/>
        <w:jc w:val="both"/>
        <w:rPr/>
      </w:pPr>
      <w:r>
        <w:rPr>
          <w:rFonts w:eastAsia="標楷體" w:cs="標楷體" w:ascii="標楷體" w:hAnsi="標楷體"/>
          <w:kern w:val="0"/>
          <w:sz w:val="26"/>
          <w:szCs w:val="26"/>
          <w:lang w:val="zh-TW" w:eastAsia="zh-TW"/>
        </w:rPr>
        <w:t>5.</w:t>
      </w:r>
      <w:r>
        <w:rPr>
          <w:rFonts w:eastAsia="標楷體" w:cs="標楷體" w:ascii="標楷體" w:hAnsi="標楷體"/>
          <w:kern w:val="0"/>
          <w:sz w:val="26"/>
          <w:szCs w:val="26"/>
          <w:lang w:val="zh-TW" w:eastAsia="zh-TW"/>
        </w:rPr>
        <w:t xml:space="preserve"> </w:t>
      </w:r>
      <w:r>
        <w:rPr>
          <w:rFonts w:eastAsia="標楷體" w:cs="標楷體" w:ascii="標楷體" w:hAnsi="標楷體"/>
          <w:kern w:val="0"/>
          <w:sz w:val="26"/>
          <w:szCs w:val="26"/>
          <w:lang w:val="zh-TW" w:eastAsia="zh-TW"/>
        </w:rPr>
        <w:t>Marlatt GA, George WH. Relapse prevention: introduction and overview of the model. British journal of addiction 1984 Sep;79(3):261-273.</w:t>
      </w:r>
    </w:p>
    <w:p>
      <w:pPr>
        <w:pStyle w:val="Normal"/>
        <w:snapToGrid w:val="false"/>
        <w:spacing w:lineRule="exact" w:line="400"/>
        <w:ind w:left="454" w:hanging="454"/>
        <w:jc w:val="both"/>
        <w:rPr/>
      </w:pPr>
      <w:r>
        <w:rPr>
          <w:rFonts w:eastAsia="標楷體" w:cs="標楷體" w:ascii="標楷體" w:hAnsi="標楷體"/>
          <w:kern w:val="0"/>
          <w:sz w:val="26"/>
          <w:szCs w:val="26"/>
          <w:lang w:val="zh-TW" w:eastAsia="zh-TW"/>
        </w:rPr>
        <w:t>6.</w:t>
        <w:tab/>
        <w:t xml:space="preserve">Najavits LM, Weiss RD. The role of </w:t>
      </w:r>
      <w:r>
        <w:rPr>
          <w:rFonts w:eastAsia="標楷體" w:cs="標楷體" w:ascii="標楷體" w:hAnsi="標楷體"/>
          <w:spacing w:val="-6"/>
          <w:kern w:val="0"/>
          <w:sz w:val="26"/>
          <w:szCs w:val="26"/>
          <w:lang w:val="zh-TW" w:eastAsia="zh-TW"/>
        </w:rPr>
        <w:t>psychotherapy in the treatment of substance-</w:t>
      </w:r>
      <w:r>
        <w:rPr>
          <w:rFonts w:eastAsia="標楷體" w:cs="標楷體" w:ascii="標楷體" w:hAnsi="標楷體"/>
          <w:kern w:val="0"/>
          <w:sz w:val="26"/>
          <w:szCs w:val="26"/>
          <w:lang w:val="zh-TW" w:eastAsia="zh-TW"/>
        </w:rPr>
        <w:t xml:space="preserve"> </w:t>
      </w:r>
      <w:r>
        <w:rPr>
          <w:rFonts w:eastAsia="標楷體" w:cs="標楷體" w:ascii="標楷體" w:hAnsi="標楷體"/>
          <w:kern w:val="0"/>
          <w:sz w:val="26"/>
          <w:szCs w:val="26"/>
          <w:lang w:val="zh-TW" w:eastAsia="zh-TW"/>
        </w:rPr>
        <w:t>use disorders. Harvard review of psychiatry 1994 Jul-Aug;2(2):84-96.</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7.</w:t>
        <w:tab/>
        <w:t>Graham K, Annis HM, Brett PJ, Venesoen P. A controlled field trial of group versus individual cognitive-behavioural training for relapse prevention. Addiction 1996 Aug;91(8):1127-1139.</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8.</w:t>
        <w:tab/>
        <w:t>Morgan CJ, Curran HV. Ketamine use: a review. Addiction 2012 Jan;107(1):27-38.</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9.</w:t>
        <w:tab/>
        <w:t>Morgan CJ, Muetzelfeldt L, Curran HV. Ketamine use, cognition and psychological wellbeing: a comparison of frequent, infrequent and ex-users with polydrug and non-using controls. Addiction 2009 Jan;104(1):77-87.</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10.</w:t>
        <w:tab/>
        <w:t>Morgan CJ, Muetzelfeldt L, Curran HV. Consequences of chronic ketamine self-administration upon neurocognitive function and psychological wellbeing: a 1-year longitudinal study. Addiction 2010 Jan;105(1):121-133.</w:t>
      </w:r>
    </w:p>
    <w:p>
      <w:pPr>
        <w:pStyle w:val="Normal"/>
        <w:snapToGrid w:val="false"/>
        <w:spacing w:lineRule="exact" w:line="400"/>
        <w:ind w:left="454" w:hanging="454"/>
        <w:jc w:val="both"/>
        <w:rPr/>
      </w:pPr>
      <w:r>
        <w:rPr>
          <w:rFonts w:eastAsia="標楷體" w:cs="標楷體" w:ascii="標楷體" w:hAnsi="標楷體"/>
          <w:kern w:val="0"/>
          <w:sz w:val="26"/>
          <w:szCs w:val="26"/>
          <w:lang w:val="zh-TW" w:eastAsia="zh-TW"/>
        </w:rPr>
        <w:t>11.</w:t>
        <w:tab/>
      </w:r>
      <w:r>
        <w:rPr>
          <w:rFonts w:eastAsia="標楷體" w:cs="標楷體" w:ascii="標楷體" w:hAnsi="標楷體"/>
          <w:spacing w:val="-4"/>
          <w:kern w:val="0"/>
          <w:sz w:val="26"/>
          <w:szCs w:val="26"/>
          <w:lang w:val="zh-TW" w:eastAsia="zh-TW"/>
        </w:rPr>
        <w:t>Muetzelfeldt L, Kamboj SK, Rees H, Taylor J,</w:t>
      </w:r>
      <w:r>
        <w:rPr>
          <w:rFonts w:eastAsia="標楷體" w:cs="標楷體" w:ascii="標楷體" w:hAnsi="標楷體"/>
          <w:kern w:val="0"/>
          <w:sz w:val="26"/>
          <w:szCs w:val="26"/>
          <w:lang w:val="zh-TW" w:eastAsia="zh-TW"/>
        </w:rPr>
        <w:t xml:space="preserve"> Morgan CJ, Curran HV. Journey through the K-hole: phenomenological aspects of ketamine use. Drug Alcohol Depend 2008 Jun 1;95(3):219-229.</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12.</w:t>
        <w:tab/>
        <w:t>Ng SH, Tse ML, Ng HW, Lau FL. Emergency department presentation of ketamine abusers in Hong Kong: a review of 233 cases. Hong Kong Med J 2010 Feb;16(1):6-11.</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13.</w:t>
        <w:tab/>
        <w:t>Weiner AL, Vieira L, McKay CA, Bayer MJ. Ketamine abusers presenting to the emergency department: a case series. J Emerg Med 2000 May;18(4):447-451.</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14.</w:t>
        <w:tab/>
        <w:t>Wolff K, Winstock AR. Ketamine : from medicine to misuse. CNS Drugs 2006;20(3):199-218.</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15.</w:t>
        <w:tab/>
        <w:t>Critchlow DG. A case of ketamine dependence with discontinuation symptoms. Addiction 2006 Aug;101(8):1212-1213.</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16.</w:t>
        <w:tab/>
        <w:t>Curran HV, Monaghan L. In and out of the K-hole: a comparison of the acute and residual effects of ketamine in frequent and infrequent ketamine users. Addiction 2001 May;96(5):749-760.</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17.</w:t>
        <w:tab/>
        <w:t>Chen WJ, Fu TC, Ting TT, et al. Use of ecstasy and other psychoactive substances among school-attending adolescents in Taiwan: national surveys 2004-2006. BMC Public Health 2009;9:27.</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18.</w:t>
        <w:tab/>
        <w:t>Chu PS, Ma WK, Wong SC, et al. The destruction of the lower urinary tract by ketamine abuse: a new syndrome? BJU Int 2008 Dec;102(11):1616-1622.</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19.</w:t>
        <w:tab/>
        <w:t>Gutkin E, Hussain SA, Kim SH. Ketamine-Induced Biliary Dilatation: From Hong Kong to New York. J Addict Med 2011 Nov 24.</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20.</w:t>
        <w:tab/>
        <w:t>Jansen KL. A review of the nonmedical use of ketamine: use, users and consequences. J Psychoactive Drugs 2000 Oct-Dec;32(4):419-433.</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21.</w:t>
        <w:tab/>
        <w:t>Jansen KL, Darracot-Cankovic R. The nonmedical use of ketamine, part two: A review of problem use and dependence. J Psychoactive Drugs 2001 Apr-Jun;33(2):151-158.</w:t>
      </w:r>
    </w:p>
    <w:p>
      <w:pPr>
        <w:pStyle w:val="Normal"/>
        <w:snapToGrid w:val="false"/>
        <w:spacing w:lineRule="exact" w:line="400"/>
        <w:ind w:left="454" w:hanging="454"/>
        <w:jc w:val="both"/>
        <w:rPr>
          <w:rFonts w:ascii="標楷體" w:hAnsi="標楷體" w:eastAsia="標楷體" w:cs="標楷體"/>
          <w:kern w:val="0"/>
          <w:sz w:val="26"/>
          <w:szCs w:val="26"/>
          <w:lang w:val="zh-TW" w:eastAsia="zh-TW"/>
        </w:rPr>
      </w:pPr>
      <w:r>
        <w:rPr>
          <w:rFonts w:eastAsia="標楷體" w:cs="標楷體" w:ascii="標楷體" w:hAnsi="標楷體"/>
          <w:kern w:val="0"/>
          <w:sz w:val="26"/>
          <w:szCs w:val="26"/>
          <w:lang w:val="zh-TW" w:eastAsia="zh-TW"/>
        </w:rPr>
        <w:t>22.</w:t>
        <w:tab/>
        <w:t>Mason K, Cottrell AM, Corrigan AG, Gillatt DA, Mitchelmore AE. Ketamine-associated lower urinary tract destruction: a new radiological challenge. Clin Radiol 2010 Oct;65(10):795-800.</w:t>
      </w:r>
    </w:p>
    <w:p>
      <w:pPr>
        <w:pStyle w:val="Normal"/>
        <w:snapToGrid w:val="false"/>
        <w:spacing w:lineRule="exact" w:line="400"/>
        <w:jc w:val="both"/>
        <w:rPr>
          <w:rFonts w:ascii="標楷體" w:hAnsi="標楷體" w:eastAsia="標楷體" w:cs="DFHeiHK-W3;細明體"/>
          <w:kern w:val="0"/>
          <w:sz w:val="26"/>
          <w:szCs w:val="26"/>
          <w:lang w:val="zh-TW" w:eastAsia="zh-TW"/>
        </w:rPr>
      </w:pPr>
      <w:r>
        <w:rPr>
          <w:rFonts w:eastAsia="標楷體" w:cs="標楷體" w:ascii="標楷體" w:hAnsi="標楷體"/>
          <w:kern w:val="0"/>
          <w:sz w:val="26"/>
          <w:szCs w:val="26"/>
          <w:lang w:val="zh-TW" w:eastAsia="zh-TW"/>
        </w:rPr>
      </w:r>
      <w:r>
        <w:rPr>
          <w:sz w:val="26"/>
          <w:kern w:val="0"/>
          <w:szCs w:val="26"/>
          <w:rFonts w:eastAsia="標楷體" w:cs="標楷體" w:ascii="標楷體" w:hAnsi="標楷體"/>
          <w:lang w:val="zh-TW" w:eastAsia="zh-TW"/>
        </w:rPr>
        <w:fldChar w:fldCharType="end"/>
      </w:r>
      <w:r>
        <w:br w:type="page"/>
      </w:r>
    </w:p>
    <w:p>
      <w:pPr>
        <w:pStyle w:val="12"/>
        <w:rPr>
          <w:rFonts w:ascii="標楷體" w:hAnsi="標楷體" w:eastAsia="標楷體" w:cs="DFHeiHK-W3;細明體"/>
          <w:kern w:val="0"/>
          <w:sz w:val="44"/>
          <w:szCs w:val="44"/>
        </w:rPr>
      </w:pPr>
      <w:r>
        <w:rPr>
          <w:rFonts w:eastAsia="標楷體" w:cs="DFHeiHK-W3;細明體" w:ascii="標楷體" w:hAnsi="標楷體"/>
          <w:kern w:val="0"/>
          <w:sz w:val="44"/>
          <w:szCs w:val="44"/>
        </w:rPr>
      </w:r>
    </w:p>
    <w:sectPr>
      <w:footerReference w:type="default" r:id="rId6"/>
      <w:type w:val="nextPage"/>
      <w:pgSz w:orient="landscape" w:w="8419" w:h="11906"/>
      <w:pgMar w:left="1134" w:right="1134" w:gutter="0" w:header="0" w:top="1134" w:footer="680" w:bottom="1021"/>
      <w:pgNumType w:start="1"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mbria">
    <w:charset w:val="00"/>
    <w:family w:val="roman"/>
    <w:pitch w:val="variable"/>
  </w:font>
  <w:font w:name="Calibri">
    <w:charset w:val="00"/>
    <w:family w:val="swiss"/>
    <w:pitch w:val="variable"/>
  </w:font>
  <w:font w:name="標楷體">
    <w:charset w:val="88"/>
    <w:family w:val="script"/>
    <w:pitch w:val="default"/>
  </w:font>
  <w:font w:name="Wingdings">
    <w:charset w:val="02"/>
    <w:family w:val="auto"/>
    <w:pitch w:val="variable"/>
  </w:font>
  <w:font w:name="Liberation Sans">
    <w:altName w:val="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r>
      <mc:AlternateContent>
        <mc:Choice Requires="wps">
          <w:drawing>
            <wp:anchor behindDoc="0" distT="0" distB="0" distL="0" distR="0" simplePos="0" locked="0" layoutInCell="0" allowOverlap="1" relativeHeight="53">
              <wp:simplePos x="0" y="0"/>
              <wp:positionH relativeFrom="margin">
                <wp:align>center</wp:align>
              </wp:positionH>
              <wp:positionV relativeFrom="paragraph">
                <wp:posOffset>635</wp:posOffset>
              </wp:positionV>
              <wp:extent cx="127635" cy="140970"/>
              <wp:effectExtent l="0" t="0" r="0" b="0"/>
              <wp:wrapSquare wrapText="largest"/>
              <wp:docPr id="8" name="外框1"/>
              <a:graphic xmlns:a="http://schemas.openxmlformats.org/drawingml/2006/main">
                <a:graphicData uri="http://schemas.microsoft.com/office/word/2010/wordprocessingShape">
                  <wps:wsp>
                    <wps:cNvSpPr txBox="1"/>
                    <wps:spPr>
                      <a:xfrm>
                        <a:off x="0" y="0"/>
                        <a:ext cx="127635" cy="140970"/>
                      </a:xfrm>
                      <a:prstGeom prst="rect"/>
                      <a:solidFill>
                        <a:srgbClr val="FFFFFF">
                          <a:alpha val="0"/>
                        </a:srgbClr>
                      </a:solidFill>
                    </wps:spPr>
                    <wps:txbx>
                      <w:txbxContent>
                        <w:p>
                          <w:pPr>
                            <w:pStyle w:val="Style24"/>
                            <w:rPr>
                              <w:rStyle w:val="Style15"/>
                              <w:rFonts w:ascii="Arial" w:hAnsi="Arial" w:cs="Arial"/>
                              <w:sz w:val="24"/>
                              <w:szCs w:val="24"/>
                            </w:rPr>
                          </w:pPr>
                          <w:r>
                            <w:rPr>
                              <w:rStyle w:val="Style15"/>
                            </w:rPr>
                            <w:fldChar w:fldCharType="begin"/>
                          </w:r>
                          <w:r>
                            <w:rPr>
                              <w:rStyle w:val="Style15"/>
                            </w:rPr>
                            <w:instrText> PAGE </w:instrText>
                          </w:r>
                          <w:r>
                            <w:rPr>
                              <w:rStyle w:val="Style15"/>
                            </w:rPr>
                            <w:fldChar w:fldCharType="separate"/>
                          </w:r>
                          <w:r>
                            <w:rPr>
                              <w:rStyle w:val="Style15"/>
                            </w:rPr>
                            <w:t>52</w:t>
                          </w:r>
                          <w:r>
                            <w:rPr>
                              <w:rStyle w:val="Style15"/>
                            </w:rPr>
                            <w:fldChar w:fldCharType="end"/>
                          </w:r>
                        </w:p>
                      </w:txbxContent>
                    </wps:txbx>
                    <wps:bodyPr anchor="t" lIns="0" tIns="0" rIns="0" bIns="0">
                      <a:noAutofit/>
                    </wps:bodyPr>
                  </wps:wsp>
                </a:graphicData>
              </a:graphic>
            </wp:anchor>
          </w:drawing>
        </mc:Choice>
        <mc:Fallback>
          <w:pict>
            <v:rect fillcolor="#FFFFFF" style="position:absolute;rotation:0;width:10.05pt;height:11.1pt;mso-wrap-distance-left:0pt;mso-wrap-distance-right:0pt;mso-wrap-distance-top:0pt;mso-wrap-distance-bottom:0pt;margin-top:0.05pt;mso-position-vertical-relative:text;margin-left:148.75pt;mso-position-horizontal:center;mso-position-horizontal-relative:margin">
              <v:fill opacity="0f"/>
              <v:textbox inset="0in,0in,0in,0in">
                <w:txbxContent>
                  <w:p>
                    <w:pPr>
                      <w:pStyle w:val="Style24"/>
                      <w:rPr>
                        <w:rStyle w:val="Style15"/>
                        <w:rFonts w:ascii="Arial" w:hAnsi="Arial" w:cs="Arial"/>
                        <w:sz w:val="24"/>
                        <w:szCs w:val="24"/>
                      </w:rPr>
                    </w:pPr>
                    <w:r>
                      <w:rPr>
                        <w:rStyle w:val="Style15"/>
                      </w:rPr>
                      <w:fldChar w:fldCharType="begin"/>
                    </w:r>
                    <w:r>
                      <w:rPr>
                        <w:rStyle w:val="Style15"/>
                      </w:rPr>
                      <w:instrText> PAGE </w:instrText>
                    </w:r>
                    <w:r>
                      <w:rPr>
                        <w:rStyle w:val="Style15"/>
                      </w:rPr>
                      <w:fldChar w:fldCharType="separate"/>
                    </w:r>
                    <w:r>
                      <w:rPr>
                        <w:rStyle w:val="Style15"/>
                      </w:rPr>
                      <w:t>52</w:t>
                    </w:r>
                    <w:r>
                      <w:rPr>
                        <w:rStyle w:val="Style15"/>
                      </w:rPr>
                      <w:fldChar w:fldCharType="end"/>
                    </w:r>
                  </w:p>
                </w:txbxContent>
              </v:textbox>
              <w10:wrap type="square" side="largest"/>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7"/>
      <w:numFmt w:val="bullet"/>
      <w:lvlText w:val="▲"/>
      <w:lvlJc w:val="left"/>
      <w:pPr>
        <w:tabs>
          <w:tab w:val="num" w:pos="360"/>
        </w:tabs>
        <w:ind w:left="360" w:hanging="360"/>
      </w:pPr>
      <w:rPr>
        <w:rFonts w:ascii="標楷體" w:hAnsi="標楷體" w:cs="標楷體" w:hint="default"/>
        <w:sz w:val="26"/>
        <w:szCs w:val="26"/>
      </w:rPr>
    </w:lvl>
  </w:abstractNum>
  <w:num w:numId="1">
    <w:abstractNumId w:val="1"/>
  </w:num>
  <w:num w:numId="2">
    <w:abstractNumId w:val="2"/>
  </w:num>
</w:numbering>
</file>

<file path=word/settings.xml><?xml version="1.0" encoding="utf-8"?>
<w:settings xmlns:w="http://schemas.openxmlformats.org/wordprocessingml/2006/main">
  <w:zoom w:percent="150"/>
  <w:mirrorMargins/>
  <w:defaultTabStop w:val="480"/>
  <w:autoHyphenation w:val="true"/>
  <w:compat>
    <w:noLeading/>
    <w:doNotExpandShiftReturn/>
    <w:compatSetting w:name="compatibilityMode" w:uri="http://schemas.microsoft.com/office/word" w:val="14"/>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思源黑體" w:cs="Lucida Sans"/>
        <w:sz w:val="24"/>
        <w:szCs w:val="24"/>
        <w:lang w:val="en-US" w:eastAsia="zh-TW" w:bidi="hi-IN"/>
      </w:rPr>
    </w:rPrDefault>
    <w:pPrDefault>
      <w:pPr>
        <w:suppressAutoHyphens w:val="true"/>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4"/>
      <w:lang w:val="en-US" w:eastAsia="zh-TW" w:bidi="ar-SA"/>
    </w:rPr>
  </w:style>
  <w:style w:type="paragraph" w:styleId="1">
    <w:name w:val="Heading 1"/>
    <w:basedOn w:val="Normal"/>
    <w:next w:val="Normal"/>
    <w:qFormat/>
    <w:pPr>
      <w:keepNext w:val="true"/>
      <w:numPr>
        <w:ilvl w:val="0"/>
        <w:numId w:val="1"/>
      </w:numPr>
      <w:spacing w:lineRule="auto" w:line="720" w:before="180" w:after="180"/>
      <w:outlineLvl w:val="0"/>
    </w:pPr>
    <w:rPr>
      <w:rFonts w:ascii="Cambria" w:hAnsi="Cambria" w:eastAsia="標楷體" w:cs="Cambria"/>
      <w:b/>
      <w:bCs/>
      <w:kern w:val="2"/>
      <w:sz w:val="40"/>
      <w:szCs w:val="52"/>
    </w:rPr>
  </w:style>
  <w:style w:type="character" w:styleId="WW8Num1z0">
    <w:name w:val="WW8Num1z0"/>
    <w:qFormat/>
    <w:rPr>
      <w:rFonts w:ascii="Calibri" w:hAnsi="Calibri" w:cs="Times New Roman"/>
    </w:rPr>
  </w:style>
  <w:style w:type="character" w:styleId="WW8Num1z1">
    <w:name w:val="WW8Num1z1"/>
    <w:qFormat/>
    <w:rPr>
      <w:rFonts w:cs="Times New Roman"/>
    </w:rPr>
  </w:style>
  <w:style w:type="character" w:styleId="WW8Num2z0">
    <w:name w:val="WW8Num2z0"/>
    <w:qFormat/>
    <w:rPr>
      <w:rFonts w:cs="Times New Roman"/>
    </w:rPr>
  </w:style>
  <w:style w:type="character" w:styleId="WW8Num2z1">
    <w:name w:val="WW8Num2z1"/>
    <w:qFormat/>
    <w:rPr>
      <w:rFonts w:cs="Times New Roman"/>
    </w:rPr>
  </w:style>
  <w:style w:type="character" w:styleId="WW8Num3z0">
    <w:name w:val="WW8Num3z0"/>
    <w:qFormat/>
    <w:rPr>
      <w:rFonts w:cs="Times New Roman"/>
    </w:rPr>
  </w:style>
  <w:style w:type="character" w:styleId="WW8Num3z1">
    <w:name w:val="WW8Num3z1"/>
    <w:qFormat/>
    <w:rPr>
      <w:rFonts w:cs="Times New Roman"/>
    </w:rPr>
  </w:style>
  <w:style w:type="character" w:styleId="WW8Num4z0">
    <w:name w:val="WW8Num4z0"/>
    <w:qFormat/>
    <w:rPr>
      <w:rFonts w:ascii="標楷體" w:hAnsi="標楷體" w:eastAsia="標楷體" w:cs="Times"/>
      <w:sz w:val="26"/>
      <w:szCs w:val="26"/>
    </w:rPr>
  </w:style>
  <w:style w:type="character" w:styleId="WW8Num4z1">
    <w:name w:val="WW8Num4z1"/>
    <w:qFormat/>
    <w:rPr>
      <w:rFonts w:ascii="Wingdings" w:hAnsi="Wingdings" w:cs="Wingdings"/>
    </w:rPr>
  </w:style>
  <w:style w:type="character" w:styleId="Style13">
    <w:name w:val="預設段落字型"/>
    <w:qFormat/>
    <w:rPr/>
  </w:style>
  <w:style w:type="character" w:styleId="Applestylespan">
    <w:name w:val="apple-style-span"/>
    <w:basedOn w:val="Style13"/>
    <w:qFormat/>
    <w:rPr/>
  </w:style>
  <w:style w:type="character" w:styleId="11">
    <w:name w:val="標題 1 字元"/>
    <w:qFormat/>
    <w:rPr>
      <w:rFonts w:ascii="Cambria" w:hAnsi="Cambria" w:eastAsia="標楷體" w:cs="Cambria"/>
      <w:b/>
      <w:bCs/>
      <w:kern w:val="2"/>
      <w:sz w:val="40"/>
      <w:szCs w:val="52"/>
      <w:lang w:val="en-US" w:eastAsia="zh-TW" w:bidi="ar-SA"/>
    </w:rPr>
  </w:style>
  <w:style w:type="character" w:styleId="St1">
    <w:name w:val="st1"/>
    <w:basedOn w:val="Style13"/>
    <w:qFormat/>
    <w:rPr/>
  </w:style>
  <w:style w:type="character" w:styleId="Style14">
    <w:name w:val="網際網路連結"/>
    <w:rPr>
      <w:color w:val="0000FF"/>
      <w:u w:val="single"/>
    </w:rPr>
  </w:style>
  <w:style w:type="character" w:styleId="Style15">
    <w:name w:val="頁碼"/>
    <w:basedOn w:val="Style13"/>
    <w:rPr/>
  </w:style>
  <w:style w:type="character" w:styleId="Style16">
    <w:name w:val="特別強調"/>
    <w:qFormat/>
    <w:rPr>
      <w:b/>
      <w:bCs/>
    </w:rPr>
  </w:style>
  <w:style w:type="paragraph" w:styleId="Style17">
    <w:name w:val="標題"/>
    <w:basedOn w:val="Normal"/>
    <w:next w:val="Style18"/>
    <w:qFormat/>
    <w:pPr>
      <w:keepNext w:val="true"/>
      <w:spacing w:before="240" w:after="120"/>
    </w:pPr>
    <w:rPr>
      <w:rFonts w:ascii="Liberation Sans" w:hAnsi="Liberation Sans" w:eastAsia="思源黑體" w:cs="Lucida Sans"/>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Lucida Sans"/>
    </w:rPr>
  </w:style>
  <w:style w:type="paragraph" w:styleId="Style20">
    <w:name w:val="Caption"/>
    <w:basedOn w:val="Normal"/>
    <w:qFormat/>
    <w:pPr>
      <w:suppressLineNumbers/>
      <w:spacing w:before="120" w:after="120"/>
    </w:pPr>
    <w:rPr>
      <w:rFonts w:cs="Lucida Sans"/>
      <w:i/>
      <w:iCs/>
      <w:sz w:val="24"/>
      <w:szCs w:val="24"/>
    </w:rPr>
  </w:style>
  <w:style w:type="paragraph" w:styleId="Style21">
    <w:name w:val="索引"/>
    <w:basedOn w:val="Normal"/>
    <w:qFormat/>
    <w:pPr>
      <w:suppressLineNumbers/>
    </w:pPr>
    <w:rPr>
      <w:rFonts w:cs="Lucida Sans"/>
    </w:rPr>
  </w:style>
  <w:style w:type="paragraph" w:styleId="Style22">
    <w:name w:val="標號"/>
    <w:basedOn w:val="Normal"/>
    <w:next w:val="Normal"/>
    <w:qFormat/>
    <w:pPr/>
    <w:rPr>
      <w:rFonts w:ascii="Calibri" w:hAnsi="Calibri" w:cs="Calibri"/>
      <w:sz w:val="20"/>
      <w:szCs w:val="20"/>
    </w:rPr>
  </w:style>
  <w:style w:type="paragraph" w:styleId="ListParagraph">
    <w:name w:val="List Paragraph"/>
    <w:basedOn w:val="Normal"/>
    <w:qFormat/>
    <w:pPr>
      <w:ind w:left="480" w:hanging="0"/>
    </w:pPr>
    <w:rPr>
      <w:rFonts w:ascii="Calibri" w:hAnsi="Calibri" w:cs="Calibri"/>
      <w:szCs w:val="22"/>
    </w:rPr>
  </w:style>
  <w:style w:type="paragraph" w:styleId="12">
    <w:name w:val="TOC 1"/>
    <w:basedOn w:val="Normal"/>
    <w:next w:val="Normal"/>
    <w:pPr>
      <w:spacing w:before="120" w:after="0"/>
      <w:jc w:val="center"/>
    </w:pPr>
    <w:rPr>
      <w:b/>
      <w:bCs/>
      <w:caps/>
      <w:sz w:val="20"/>
      <w:szCs w:val="20"/>
    </w:rPr>
  </w:style>
  <w:style w:type="paragraph" w:styleId="Style23">
    <w:name w:val="頁首與頁尾"/>
    <w:basedOn w:val="Normal"/>
    <w:qFormat/>
    <w:pPr>
      <w:suppressLineNumbers/>
      <w:tabs>
        <w:tab w:val="clear" w:pos="480"/>
        <w:tab w:val="center" w:pos="4819" w:leader="none"/>
        <w:tab w:val="right" w:pos="9638" w:leader="none"/>
      </w:tabs>
    </w:pPr>
    <w:rPr/>
  </w:style>
  <w:style w:type="paragraph" w:styleId="Style24">
    <w:name w:val="Footer"/>
    <w:basedOn w:val="Normal"/>
    <w:pPr>
      <w:tabs>
        <w:tab w:val="clear" w:pos="480"/>
        <w:tab w:val="center" w:pos="4153" w:leader="none"/>
        <w:tab w:val="right" w:pos="8306" w:leader="none"/>
      </w:tabs>
      <w:snapToGrid w:val="false"/>
    </w:pPr>
    <w:rPr>
      <w:sz w:val="20"/>
      <w:szCs w:val="20"/>
    </w:rPr>
  </w:style>
  <w:style w:type="paragraph" w:styleId="Style25">
    <w:name w:val="Header"/>
    <w:basedOn w:val="Normal"/>
    <w:pPr>
      <w:tabs>
        <w:tab w:val="clear" w:pos="480"/>
        <w:tab w:val="center" w:pos="4153" w:leader="none"/>
        <w:tab w:val="right" w:pos="8306" w:leader="none"/>
      </w:tabs>
      <w:snapToGrid w:val="false"/>
    </w:pPr>
    <w:rPr>
      <w:sz w:val="20"/>
      <w:szCs w:val="20"/>
    </w:rPr>
  </w:style>
  <w:style w:type="paragraph" w:styleId="2">
    <w:name w:val="TOC 2"/>
    <w:basedOn w:val="Normal"/>
    <w:next w:val="Normal"/>
    <w:pPr>
      <w:ind w:left="240" w:hanging="0"/>
    </w:pPr>
    <w:rPr>
      <w:smallCaps/>
      <w:sz w:val="20"/>
      <w:szCs w:val="20"/>
    </w:rPr>
  </w:style>
  <w:style w:type="paragraph" w:styleId="3">
    <w:name w:val="TOC 3"/>
    <w:basedOn w:val="Normal"/>
    <w:next w:val="Normal"/>
    <w:pPr>
      <w:ind w:left="480" w:hanging="0"/>
    </w:pPr>
    <w:rPr>
      <w:i/>
      <w:iCs/>
      <w:sz w:val="20"/>
      <w:szCs w:val="20"/>
    </w:rPr>
  </w:style>
  <w:style w:type="paragraph" w:styleId="4">
    <w:name w:val="TOC 4"/>
    <w:basedOn w:val="Normal"/>
    <w:next w:val="Normal"/>
    <w:pPr>
      <w:ind w:left="720" w:hanging="0"/>
    </w:pPr>
    <w:rPr>
      <w:sz w:val="18"/>
      <w:szCs w:val="18"/>
    </w:rPr>
  </w:style>
  <w:style w:type="paragraph" w:styleId="5">
    <w:name w:val="TOC 5"/>
    <w:basedOn w:val="Normal"/>
    <w:next w:val="Normal"/>
    <w:pPr>
      <w:ind w:left="960" w:hanging="0"/>
    </w:pPr>
    <w:rPr>
      <w:sz w:val="18"/>
      <w:szCs w:val="18"/>
    </w:rPr>
  </w:style>
  <w:style w:type="paragraph" w:styleId="6">
    <w:name w:val="TOC 6"/>
    <w:basedOn w:val="Normal"/>
    <w:next w:val="Normal"/>
    <w:pPr>
      <w:ind w:left="1200" w:hanging="0"/>
    </w:pPr>
    <w:rPr>
      <w:sz w:val="18"/>
      <w:szCs w:val="18"/>
    </w:rPr>
  </w:style>
  <w:style w:type="paragraph" w:styleId="7">
    <w:name w:val="TOC 7"/>
    <w:basedOn w:val="Normal"/>
    <w:next w:val="Normal"/>
    <w:pPr>
      <w:ind w:left="1440" w:hanging="0"/>
    </w:pPr>
    <w:rPr>
      <w:sz w:val="18"/>
      <w:szCs w:val="18"/>
    </w:rPr>
  </w:style>
  <w:style w:type="paragraph" w:styleId="8">
    <w:name w:val="TOC 8"/>
    <w:basedOn w:val="Normal"/>
    <w:next w:val="Normal"/>
    <w:pPr>
      <w:ind w:left="1680" w:hanging="0"/>
    </w:pPr>
    <w:rPr>
      <w:sz w:val="18"/>
      <w:szCs w:val="18"/>
    </w:rPr>
  </w:style>
  <w:style w:type="paragraph" w:styleId="9">
    <w:name w:val="TOC 9"/>
    <w:basedOn w:val="Normal"/>
    <w:next w:val="Normal"/>
    <w:pPr>
      <w:ind w:left="1920" w:hanging="0"/>
    </w:pPr>
    <w:rPr>
      <w:sz w:val="18"/>
      <w:szCs w:val="18"/>
    </w:rPr>
  </w:style>
  <w:style w:type="paragraph" w:styleId="Style26">
    <w:name w:val="外框內容"/>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TotalTime>
  <Application>MODA_ODF_Application_Tools/3.5.5.5.1$Windows_X86_64 LibreOffice_project/0731c5f9adee5daee576bb62a18f665a8d51cd0c</Application>
  <AppVersion>15.0000</AppVersion>
  <Pages>52</Pages>
  <Words>15428</Words>
  <Characters>19264</Characters>
  <CharactersWithSpaces>19901</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2014-03-21T16:47:00Z</dcterms:created>
  <dc:creator>行政院衛生署</dc:creator>
  <dc:description/>
  <cp:keywords>行政院衛生署 行政院衛生署 衛生教育推動委員會</cp:keywords>
  <dc:language>zh-TW</dc:language>
  <cp:lastModifiedBy>心理及口腔健康司吳懿庭</cp:lastModifiedBy>
  <cp:lastPrinted>2013-04-26T10:36:00Z</cp:lastPrinted>
  <dcterms:modified xsi:type="dcterms:W3CDTF">2014-03-25T16:06:00Z</dcterms:modified>
  <cp:revision>6</cp:revision>
  <dc:subject>衛生署中英文網站</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N.InstantFormat">
    <vt:lpwstr>EN.InstantFormat</vt:lpwstr>
  </property>
  <property fmtid="{D5CDD505-2E9C-101B-9397-08002B2CF9AE}" pid="3" name="EN.Layout">
    <vt:lpwstr>EN.Layout</vt:lpwstr>
  </property>
  <property fmtid="{D5CDD505-2E9C-101B-9397-08002B2CF9AE}" pid="4" name="EN.Libraries">
    <vt:lpwstr>EN.Libraries</vt:lpwstr>
  </property>
</Properties>
</file>