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media/image1.png" ContentType="image/png"/>
  <Override PartName="/word/media/image2.png" ContentType="image/png"/>
  <Override PartName="/word/footer2.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rFonts w:ascii="標楷體" w:hAnsi="標楷體" w:eastAsia="標楷體" w:cs="標楷體"/>
          <w:sz w:val="72"/>
          <w:szCs w:val="72"/>
          <w:lang w:val="zh-TW" w:eastAsia="zh-TW"/>
        </w:rPr>
      </w:pPr>
      <w:r>
        <w:rPr>
          <w:rFonts w:eastAsia="標楷體" w:cs="標楷體" w:ascii="標楷體" w:hAnsi="標楷體"/>
          <w:sz w:val="72"/>
          <w:szCs w:val="72"/>
          <w:lang w:val="zh-TW" w:eastAsia="zh-TW"/>
        </w:rPr>
        <w:drawing>
          <wp:anchor behindDoc="0" distT="0" distB="0" distL="114935" distR="114935" simplePos="0" locked="0" layoutInCell="0" allowOverlap="1" relativeHeight="107">
            <wp:simplePos x="0" y="0"/>
            <wp:positionH relativeFrom="column">
              <wp:posOffset>1166495</wp:posOffset>
            </wp:positionH>
            <wp:positionV relativeFrom="paragraph">
              <wp:posOffset>582295</wp:posOffset>
            </wp:positionV>
            <wp:extent cx="1558290" cy="1398270"/>
            <wp:effectExtent l="0" t="0" r="0" b="0"/>
            <wp:wrapNone/>
            <wp:docPr id="1" name="doh_logo"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oh_logo" descr=""/>
                    <pic:cNvPicPr>
                      <a:picLocks noChangeAspect="1" noChangeArrowheads="1"/>
                    </pic:cNvPicPr>
                  </pic:nvPicPr>
                  <pic:blipFill>
                    <a:blip r:embed="rId2"/>
                    <a:srcRect l="1827" t="1824" r="1827" b="1824"/>
                    <a:stretch>
                      <a:fillRect/>
                    </a:stretch>
                  </pic:blipFill>
                  <pic:spPr bwMode="auto">
                    <a:xfrm>
                      <a:off x="0" y="0"/>
                      <a:ext cx="1558290" cy="1398270"/>
                    </a:xfrm>
                    <a:prstGeom prst="rect">
                      <a:avLst/>
                    </a:prstGeom>
                  </pic:spPr>
                </pic:pic>
              </a:graphicData>
            </a:graphic>
          </wp:anchor>
        </w:drawing>
      </w:r>
    </w:p>
    <w:p>
      <w:pPr>
        <w:pStyle w:val="Normal"/>
        <w:jc w:val="center"/>
        <w:rPr>
          <w:rFonts w:ascii="標楷體" w:hAnsi="標楷體" w:eastAsia="標楷體" w:cs="標楷體"/>
          <w:sz w:val="56"/>
          <w:szCs w:val="56"/>
        </w:rPr>
      </w:pPr>
      <w:r>
        <w:rPr>
          <w:rFonts w:eastAsia="標楷體" w:cs="標楷體" w:ascii="標楷體" w:hAnsi="標楷體"/>
          <w:sz w:val="56"/>
          <w:szCs w:val="56"/>
        </w:rPr>
      </w:r>
    </w:p>
    <w:p>
      <w:pPr>
        <w:pStyle w:val="Normal"/>
        <w:jc w:val="center"/>
        <w:rPr>
          <w:rFonts w:ascii="標楷體" w:hAnsi="標楷體" w:eastAsia="標楷體" w:cs="標楷體"/>
          <w:sz w:val="56"/>
          <w:szCs w:val="56"/>
        </w:rPr>
      </w:pPr>
      <w:r>
        <w:rPr>
          <w:rFonts w:eastAsia="標楷體" w:cs="標楷體" w:ascii="標楷體" w:hAnsi="標楷體"/>
          <w:sz w:val="56"/>
          <w:szCs w:val="56"/>
        </w:rPr>
      </w:r>
    </w:p>
    <w:p>
      <w:pPr>
        <w:pStyle w:val="Normal"/>
        <w:jc w:val="center"/>
        <w:rPr>
          <w:rFonts w:ascii="標楷體" w:hAnsi="標楷體" w:eastAsia="標楷體" w:cs="標楷體"/>
          <w:sz w:val="56"/>
          <w:szCs w:val="56"/>
        </w:rPr>
      </w:pPr>
      <w:r>
        <w:rPr>
          <w:rFonts w:ascii="標楷體" w:hAnsi="標楷體" w:cs="標楷體" w:eastAsia="標楷體"/>
          <w:sz w:val="56"/>
          <w:szCs w:val="56"/>
        </w:rPr>
        <w:t>二級毒品使用者</w:t>
      </w:r>
    </w:p>
    <w:p>
      <w:pPr>
        <w:pStyle w:val="Normal"/>
        <w:jc w:val="center"/>
        <w:rPr>
          <w:rFonts w:ascii="標楷體" w:hAnsi="標楷體" w:eastAsia="標楷體" w:cs="標楷體"/>
          <w:sz w:val="56"/>
          <w:szCs w:val="56"/>
        </w:rPr>
      </w:pPr>
      <w:r>
        <w:rPr>
          <w:rFonts w:ascii="標楷體" w:hAnsi="標楷體" w:cs="標楷體" w:eastAsia="標楷體"/>
          <w:sz w:val="56"/>
          <w:szCs w:val="56"/>
        </w:rPr>
        <w:t>臨床治療參考指引</w:t>
      </w:r>
    </w:p>
    <w:p>
      <w:pPr>
        <w:pStyle w:val="Normal"/>
        <w:jc w:val="center"/>
        <w:rPr>
          <w:rFonts w:ascii="標楷體" w:hAnsi="標楷體" w:eastAsia="標楷體" w:cs="標楷體"/>
          <w:sz w:val="40"/>
          <w:szCs w:val="40"/>
        </w:rPr>
      </w:pPr>
      <w:r>
        <w:rPr>
          <w:rFonts w:eastAsia="標楷體" w:cs="標楷體" w:ascii="標楷體" w:hAnsi="標楷體"/>
          <w:sz w:val="40"/>
          <w:szCs w:val="40"/>
        </w:rPr>
      </w:r>
    </w:p>
    <w:p>
      <w:pPr>
        <w:pStyle w:val="Normal"/>
        <w:jc w:val="center"/>
        <w:rPr>
          <w:rFonts w:ascii="標楷體" w:hAnsi="標楷體" w:eastAsia="標楷體" w:cs="標楷體"/>
          <w:sz w:val="40"/>
          <w:szCs w:val="40"/>
        </w:rPr>
      </w:pPr>
      <w:r>
        <w:rPr>
          <w:rFonts w:eastAsia="標楷體" w:cs="標楷體" w:ascii="標楷體" w:hAnsi="標楷體"/>
          <w:sz w:val="40"/>
          <w:szCs w:val="40"/>
        </w:rPr>
      </w:r>
    </w:p>
    <w:p>
      <w:pPr>
        <w:pStyle w:val="Normal"/>
        <w:jc w:val="center"/>
        <w:rPr>
          <w:rFonts w:ascii="標楷體" w:hAnsi="標楷體" w:eastAsia="標楷體" w:cs="標楷體"/>
          <w:sz w:val="40"/>
          <w:szCs w:val="40"/>
        </w:rPr>
      </w:pPr>
      <w:r>
        <w:rPr>
          <w:rFonts w:ascii="標楷體" w:hAnsi="標楷體" w:cs="標楷體" w:eastAsia="標楷體"/>
          <w:sz w:val="40"/>
          <w:szCs w:val="40"/>
        </w:rPr>
        <w:t>第一版</w:t>
      </w:r>
    </w:p>
    <w:p>
      <w:pPr>
        <w:pStyle w:val="Normal"/>
        <w:jc w:val="center"/>
        <w:rPr>
          <w:rFonts w:ascii="標楷體" w:hAnsi="標楷體" w:eastAsia="標楷體" w:cs="標楷體"/>
          <w:sz w:val="40"/>
          <w:szCs w:val="40"/>
        </w:rPr>
      </w:pPr>
      <w:r>
        <w:rPr>
          <w:rFonts w:ascii="標楷體" w:hAnsi="標楷體" w:cs="標楷體" w:eastAsia="標楷體"/>
          <w:sz w:val="40"/>
          <w:szCs w:val="40"/>
        </w:rPr>
        <w:t>中華民國</w:t>
      </w:r>
      <w:r>
        <w:rPr>
          <w:rFonts w:eastAsia="標楷體" w:cs="標楷體" w:ascii="標楷體" w:hAnsi="標楷體"/>
          <w:sz w:val="40"/>
          <w:szCs w:val="40"/>
        </w:rPr>
        <w:t>101</w:t>
      </w:r>
      <w:r>
        <w:rPr>
          <w:rFonts w:ascii="標楷體" w:hAnsi="標楷體" w:cs="標楷體" w:eastAsia="標楷體"/>
          <w:sz w:val="40"/>
          <w:szCs w:val="40"/>
        </w:rPr>
        <w:t xml:space="preserve">年 </w:t>
      </w:r>
      <w:r>
        <w:rPr>
          <w:rFonts w:eastAsia="標楷體" w:cs="標楷體" w:ascii="標楷體" w:hAnsi="標楷體"/>
          <w:sz w:val="40"/>
          <w:szCs w:val="40"/>
        </w:rPr>
        <w:t>4</w:t>
      </w:r>
      <w:r>
        <w:rPr>
          <w:rFonts w:ascii="標楷體" w:hAnsi="標楷體" w:cs="標楷體" w:eastAsia="標楷體"/>
          <w:sz w:val="40"/>
          <w:szCs w:val="40"/>
        </w:rPr>
        <w:t>月</w:t>
      </w:r>
    </w:p>
    <w:p>
      <w:pPr>
        <w:pStyle w:val="Normal"/>
        <w:jc w:val="center"/>
        <w:rPr>
          <w:rFonts w:ascii="標楷體" w:hAnsi="標楷體" w:eastAsia="標楷體" w:cs="標楷體"/>
          <w:sz w:val="40"/>
          <w:szCs w:val="40"/>
        </w:rPr>
      </w:pPr>
      <w:r>
        <w:rPr>
          <w:rFonts w:ascii="標楷體" w:hAnsi="標楷體" w:cs="標楷體" w:eastAsia="標楷體"/>
          <w:sz w:val="40"/>
          <w:szCs w:val="40"/>
        </w:rPr>
        <w:t>衛生署編印</w:t>
      </w:r>
      <w:r>
        <w:br w:type="page"/>
      </w:r>
    </w:p>
    <w:p>
      <w:pPr>
        <w:pStyle w:val="1"/>
        <w:spacing w:before="0" w:after="0"/>
        <w:jc w:val="center"/>
        <w:rPr>
          <w:rFonts w:ascii="標楷體" w:hAnsi="標楷體" w:cs="標楷體"/>
          <w:lang w:val="zh-TW"/>
        </w:rPr>
      </w:pPr>
      <w:bookmarkStart w:id="0" w:name="__RefHeading___Toc319875827"/>
      <w:bookmarkEnd w:id="0"/>
      <w:r>
        <w:rPr>
          <w:rFonts w:ascii="標楷體" w:hAnsi="標楷體" w:cs="標楷體"/>
          <w:lang w:val="zh-TW"/>
        </w:rPr>
        <w:t>目錄</w:t>
      </w:r>
    </w:p>
    <w:sdt>
      <w:sdtPr>
        <w:docPartObj>
          <w:docPartGallery w:val="Table of Contents"/>
          <w:docPartUnique w:val="true"/>
        </w:docPartObj>
      </w:sdtPr>
      <w:sdtContent>
        <w:p>
          <w:pPr>
            <w:pStyle w:val="12"/>
            <w:tabs>
              <w:tab w:val="clear" w:pos="480"/>
              <w:tab w:val="right" w:pos="6480" w:leader="hyphen"/>
            </w:tabs>
            <w:snapToGrid w:val="false"/>
            <w:rPr>
              <w:rFonts w:ascii="標楷體" w:hAnsi="標楷體" w:eastAsia="標楷體" w:cs="標楷體"/>
              <w:sz w:val="28"/>
              <w:szCs w:val="28"/>
              <w:lang w:val="zh-TW" w:eastAsia="zh-TW"/>
            </w:rPr>
          </w:pPr>
          <w:r>
            <w:fldChar w:fldCharType="begin"/>
          </w:r>
          <w:r>
            <w:rPr>
              <w:rStyle w:val="IndexLink"/>
              <w:sz w:val="28"/>
              <w:szCs w:val="28"/>
              <w:rFonts w:ascii="標楷體" w:hAnsi="標楷體" w:cs="標楷體" w:eastAsia="標楷體"/>
              <w:lang w:val="zh-TW" w:eastAsia="zh-TW"/>
            </w:rPr>
            <w:instrText> TOC \o "1-3" \h \z \u </w:instrText>
          </w:r>
          <w:r>
            <w:rPr>
              <w:rStyle w:val="IndexLink"/>
              <w:sz w:val="28"/>
              <w:szCs w:val="28"/>
              <w:rFonts w:ascii="標楷體" w:hAnsi="標楷體" w:cs="標楷體" w:eastAsia="標楷體"/>
              <w:lang w:val="zh-TW" w:eastAsia="zh-TW"/>
            </w:rPr>
            <w:fldChar w:fldCharType="separate"/>
          </w:r>
          <w:hyperlink w:anchor="__RefHeading___Toc319875827">
            <w:r>
              <w:rPr>
                <w:rStyle w:val="IndexLink"/>
                <w:rFonts w:ascii="標楷體" w:hAnsi="標楷體" w:cs="標楷體" w:eastAsia="標楷體"/>
                <w:sz w:val="28"/>
                <w:szCs w:val="28"/>
                <w:lang w:val="zh-TW" w:eastAsia="zh-TW"/>
              </w:rPr>
              <w:t>目錄</w:t>
            </w:r>
            <w:r>
              <w:rPr>
                <w:rStyle w:val="IndexLink"/>
                <w:sz w:val="28"/>
                <w:szCs w:val="28"/>
                <w:lang w:val="zh-TW" w:eastAsia="zh-TW"/>
              </w:rPr>
              <w:tab/>
              <w:t>1</w:t>
            </w:r>
          </w:hyperlink>
        </w:p>
        <w:p>
          <w:pPr>
            <w:pStyle w:val="12"/>
            <w:tabs>
              <w:tab w:val="clear" w:pos="480"/>
              <w:tab w:val="right" w:pos="6480" w:leader="hyphen"/>
            </w:tabs>
            <w:snapToGrid w:val="false"/>
            <w:rPr>
              <w:rFonts w:ascii="標楷體" w:hAnsi="標楷體" w:eastAsia="標楷體" w:cs="標楷體"/>
              <w:sz w:val="28"/>
              <w:szCs w:val="28"/>
              <w:lang w:val="zh-TW" w:eastAsia="zh-TW"/>
            </w:rPr>
          </w:pPr>
          <w:hyperlink w:anchor="__RefHeading___Toc319875828">
            <w:r>
              <w:rPr>
                <w:rStyle w:val="IndexLink"/>
                <w:rFonts w:ascii="標楷體" w:hAnsi="標楷體" w:cs="標楷體" w:eastAsia="標楷體"/>
                <w:sz w:val="28"/>
                <w:szCs w:val="28"/>
                <w:lang w:val="zh-TW" w:eastAsia="zh-TW"/>
              </w:rPr>
              <w:t>圖表目錄</w:t>
            </w:r>
            <w:r>
              <w:rPr>
                <w:rStyle w:val="IndexLink"/>
                <w:sz w:val="28"/>
                <w:szCs w:val="28"/>
                <w:lang w:val="zh-TW" w:eastAsia="zh-TW"/>
              </w:rPr>
              <w:tab/>
              <w:t>2</w:t>
            </w:r>
          </w:hyperlink>
        </w:p>
        <w:p>
          <w:pPr>
            <w:pStyle w:val="12"/>
            <w:tabs>
              <w:tab w:val="clear" w:pos="480"/>
              <w:tab w:val="right" w:pos="6480" w:leader="hyphen"/>
            </w:tabs>
            <w:snapToGrid w:val="false"/>
            <w:rPr>
              <w:rFonts w:ascii="標楷體" w:hAnsi="標楷體" w:eastAsia="標楷體" w:cs="標楷體"/>
              <w:sz w:val="28"/>
              <w:szCs w:val="28"/>
              <w:lang w:val="zh-TW" w:eastAsia="zh-TW"/>
            </w:rPr>
          </w:pPr>
          <w:hyperlink w:anchor="__RefHeading___Toc319875829">
            <w:r>
              <w:rPr>
                <w:rStyle w:val="IndexLink"/>
                <w:rFonts w:ascii="標楷體" w:hAnsi="標楷體" w:cs="標楷體" w:eastAsia="標楷體"/>
                <w:sz w:val="28"/>
                <w:szCs w:val="28"/>
                <w:lang w:val="zh-TW" w:eastAsia="zh-TW"/>
              </w:rPr>
              <w:t>第一節</w:t>
            </w:r>
            <w:r>
              <w:rPr>
                <w:rStyle w:val="IndexLink"/>
                <w:rFonts w:ascii="標楷體" w:hAnsi="標楷體" w:cs="標楷體" w:eastAsia="標楷體"/>
                <w:sz w:val="28"/>
                <w:szCs w:val="28"/>
                <w:lang w:val="zh-TW" w:eastAsia="zh-TW"/>
              </w:rPr>
              <w:t xml:space="preserve"> </w:t>
            </w:r>
            <w:r>
              <w:rPr>
                <w:rStyle w:val="IndexLink"/>
                <w:rFonts w:ascii="標楷體" w:hAnsi="標楷體" w:cs="標楷體" w:eastAsia="標楷體"/>
                <w:sz w:val="28"/>
                <w:szCs w:val="28"/>
                <w:lang w:val="zh-TW" w:eastAsia="zh-TW"/>
              </w:rPr>
              <w:t>前言</w:t>
            </w:r>
            <w:r>
              <w:rPr>
                <w:rStyle w:val="IndexLink"/>
                <w:sz w:val="28"/>
                <w:szCs w:val="28"/>
                <w:lang w:val="zh-TW" w:eastAsia="zh-TW"/>
              </w:rPr>
              <w:tab/>
              <w:t>3</w:t>
            </w:r>
          </w:hyperlink>
        </w:p>
        <w:p>
          <w:pPr>
            <w:pStyle w:val="12"/>
            <w:tabs>
              <w:tab w:val="clear" w:pos="480"/>
              <w:tab w:val="right" w:pos="6480" w:leader="hyphen"/>
            </w:tabs>
            <w:snapToGrid w:val="false"/>
            <w:rPr>
              <w:rFonts w:ascii="標楷體" w:hAnsi="標楷體" w:eastAsia="標楷體" w:cs="標楷體"/>
              <w:sz w:val="28"/>
              <w:szCs w:val="28"/>
              <w:lang w:val="zh-TW" w:eastAsia="zh-TW"/>
            </w:rPr>
          </w:pPr>
          <w:hyperlink w:anchor="__RefHeading___Toc319875830">
            <w:r>
              <w:rPr>
                <w:rStyle w:val="IndexLink"/>
                <w:rFonts w:ascii="標楷體" w:hAnsi="標楷體" w:cs="標楷體" w:eastAsia="標楷體"/>
                <w:sz w:val="28"/>
                <w:szCs w:val="28"/>
                <w:lang w:val="zh-TW" w:eastAsia="zh-TW"/>
              </w:rPr>
              <w:t>第二節</w:t>
            </w:r>
            <w:r>
              <w:rPr>
                <w:rStyle w:val="IndexLink"/>
                <w:rFonts w:ascii="標楷體" w:hAnsi="標楷體" w:cs="標楷體" w:eastAsia="標楷體"/>
                <w:sz w:val="28"/>
                <w:szCs w:val="28"/>
                <w:lang w:val="zh-TW" w:eastAsia="zh-TW"/>
              </w:rPr>
              <w:t xml:space="preserve"> </w:t>
            </w:r>
            <w:r>
              <w:rPr>
                <w:rStyle w:val="IndexLink"/>
                <w:rFonts w:ascii="標楷體" w:hAnsi="標楷體" w:cs="標楷體" w:eastAsia="標楷體"/>
                <w:sz w:val="28"/>
                <w:szCs w:val="28"/>
                <w:lang w:val="zh-TW" w:eastAsia="zh-TW"/>
              </w:rPr>
              <w:t>治療指引簡介</w:t>
            </w:r>
            <w:r>
              <w:rPr>
                <w:rStyle w:val="IndexLink"/>
                <w:sz w:val="28"/>
                <w:szCs w:val="28"/>
                <w:lang w:val="zh-TW" w:eastAsia="zh-TW"/>
              </w:rPr>
              <w:tab/>
              <w:t>6</w:t>
            </w:r>
          </w:hyperlink>
        </w:p>
        <w:p>
          <w:pPr>
            <w:pStyle w:val="12"/>
            <w:tabs>
              <w:tab w:val="clear" w:pos="480"/>
              <w:tab w:val="right" w:pos="6480" w:leader="hyphen"/>
            </w:tabs>
            <w:snapToGrid w:val="false"/>
            <w:rPr>
              <w:rFonts w:ascii="標楷體" w:hAnsi="標楷體" w:eastAsia="標楷體" w:cs="標楷體"/>
              <w:sz w:val="28"/>
              <w:szCs w:val="28"/>
              <w:lang w:val="zh-TW" w:eastAsia="zh-TW"/>
            </w:rPr>
          </w:pPr>
          <w:hyperlink w:anchor="__RefHeading___Toc319875831">
            <w:r>
              <w:rPr>
                <w:rStyle w:val="IndexLink"/>
                <w:rFonts w:ascii="標楷體" w:hAnsi="標楷體" w:cs="標楷體" w:eastAsia="標楷體"/>
                <w:sz w:val="28"/>
                <w:szCs w:val="28"/>
                <w:lang w:val="zh-TW" w:eastAsia="zh-TW"/>
              </w:rPr>
              <w:t>第三節</w:t>
            </w:r>
            <w:r>
              <w:rPr>
                <w:rStyle w:val="IndexLink"/>
                <w:rFonts w:ascii="標楷體" w:hAnsi="標楷體" w:cs="標楷體" w:eastAsia="標楷體"/>
                <w:sz w:val="28"/>
                <w:szCs w:val="28"/>
                <w:lang w:val="zh-TW" w:eastAsia="zh-TW"/>
              </w:rPr>
              <w:t xml:space="preserve"> </w:t>
            </w:r>
            <w:r>
              <w:rPr>
                <w:rStyle w:val="IndexLink"/>
                <w:rFonts w:ascii="標楷體" w:hAnsi="標楷體" w:cs="標楷體" w:eastAsia="標楷體"/>
                <w:sz w:val="28"/>
                <w:szCs w:val="28"/>
                <w:lang w:val="zh-TW" w:eastAsia="zh-TW"/>
              </w:rPr>
              <w:t>二級毒品藥理作用</w:t>
            </w:r>
            <w:r>
              <w:rPr>
                <w:rStyle w:val="IndexLink"/>
                <w:sz w:val="28"/>
                <w:szCs w:val="28"/>
                <w:lang w:val="zh-TW" w:eastAsia="zh-TW"/>
              </w:rPr>
              <w:tab/>
              <w:t>8</w:t>
            </w:r>
          </w:hyperlink>
        </w:p>
        <w:p>
          <w:pPr>
            <w:pStyle w:val="12"/>
            <w:tabs>
              <w:tab w:val="clear" w:pos="480"/>
              <w:tab w:val="right" w:pos="6480" w:leader="hyphen"/>
            </w:tabs>
            <w:snapToGrid w:val="false"/>
            <w:rPr>
              <w:rFonts w:ascii="標楷體" w:hAnsi="標楷體" w:eastAsia="標楷體" w:cs="標楷體"/>
              <w:sz w:val="28"/>
              <w:szCs w:val="28"/>
              <w:lang w:val="zh-TW" w:eastAsia="zh-TW"/>
            </w:rPr>
          </w:pPr>
          <w:hyperlink w:anchor="__RefHeading___Toc319875832">
            <w:r>
              <w:rPr>
                <w:rStyle w:val="IndexLink"/>
                <w:rFonts w:ascii="標楷體" w:hAnsi="標楷體" w:cs="標楷體" w:eastAsia="標楷體"/>
                <w:sz w:val="28"/>
                <w:szCs w:val="28"/>
                <w:lang w:val="zh-TW" w:eastAsia="zh-TW"/>
              </w:rPr>
              <w:t>第四節</w:t>
            </w:r>
            <w:r>
              <w:rPr>
                <w:rStyle w:val="IndexLink"/>
                <w:rFonts w:ascii="標楷體" w:hAnsi="標楷體" w:cs="標楷體" w:eastAsia="標楷體"/>
                <w:sz w:val="28"/>
                <w:szCs w:val="28"/>
                <w:lang w:val="zh-TW" w:eastAsia="zh-TW"/>
              </w:rPr>
              <w:t xml:space="preserve"> </w:t>
            </w:r>
            <w:r>
              <w:rPr>
                <w:rStyle w:val="IndexLink"/>
                <w:rFonts w:ascii="標楷體" w:hAnsi="標楷體" w:cs="標楷體" w:eastAsia="標楷體"/>
                <w:sz w:val="28"/>
                <w:szCs w:val="28"/>
                <w:lang w:val="zh-TW" w:eastAsia="zh-TW"/>
              </w:rPr>
              <w:t>一般處理原則</w:t>
            </w:r>
            <w:r>
              <w:rPr>
                <w:rStyle w:val="IndexLink"/>
                <w:sz w:val="28"/>
                <w:szCs w:val="28"/>
                <w:lang w:val="zh-TW" w:eastAsia="zh-TW"/>
              </w:rPr>
              <w:tab/>
              <w:t>14</w:t>
            </w:r>
          </w:hyperlink>
        </w:p>
        <w:p>
          <w:pPr>
            <w:pStyle w:val="12"/>
            <w:tabs>
              <w:tab w:val="clear" w:pos="480"/>
              <w:tab w:val="right" w:pos="6480" w:leader="hyphen"/>
            </w:tabs>
            <w:snapToGrid w:val="false"/>
            <w:rPr>
              <w:rFonts w:ascii="標楷體" w:hAnsi="標楷體" w:eastAsia="標楷體" w:cs="標楷體"/>
              <w:sz w:val="28"/>
              <w:szCs w:val="28"/>
              <w:lang w:val="zh-TW" w:eastAsia="zh-TW"/>
            </w:rPr>
          </w:pPr>
          <w:hyperlink w:anchor="__RefHeading___Toc319875833">
            <w:r>
              <w:rPr>
                <w:rStyle w:val="IndexLink"/>
                <w:rFonts w:ascii="標楷體" w:hAnsi="標楷體" w:cs="標楷體" w:eastAsia="標楷體"/>
                <w:sz w:val="28"/>
                <w:szCs w:val="28"/>
                <w:lang w:val="zh-TW" w:eastAsia="zh-TW"/>
              </w:rPr>
              <w:t>第五節</w:t>
            </w:r>
            <w:r>
              <w:rPr>
                <w:rStyle w:val="IndexLink"/>
                <w:rFonts w:ascii="標楷體" w:hAnsi="標楷體" w:cs="標楷體" w:eastAsia="標楷體"/>
                <w:sz w:val="28"/>
                <w:szCs w:val="28"/>
                <w:lang w:val="zh-TW" w:eastAsia="zh-TW"/>
              </w:rPr>
              <w:t xml:space="preserve"> </w:t>
            </w:r>
            <w:r>
              <w:rPr>
                <w:rStyle w:val="IndexLink"/>
                <w:rFonts w:ascii="標楷體" w:hAnsi="標楷體" w:cs="標楷體" w:eastAsia="標楷體"/>
                <w:sz w:val="28"/>
                <w:szCs w:val="28"/>
                <w:lang w:val="zh-TW" w:eastAsia="zh-TW"/>
              </w:rPr>
              <w:t>個案評估</w:t>
            </w:r>
            <w:r>
              <w:rPr>
                <w:rStyle w:val="IndexLink"/>
                <w:sz w:val="28"/>
                <w:szCs w:val="28"/>
                <w:lang w:val="zh-TW" w:eastAsia="zh-TW"/>
              </w:rPr>
              <w:tab/>
              <w:t>18</w:t>
            </w:r>
          </w:hyperlink>
        </w:p>
        <w:p>
          <w:pPr>
            <w:pStyle w:val="12"/>
            <w:tabs>
              <w:tab w:val="clear" w:pos="480"/>
              <w:tab w:val="right" w:pos="6480" w:leader="hyphen"/>
            </w:tabs>
            <w:snapToGrid w:val="false"/>
            <w:rPr>
              <w:rFonts w:ascii="標楷體" w:hAnsi="標楷體" w:eastAsia="標楷體" w:cs="標楷體"/>
              <w:sz w:val="28"/>
              <w:szCs w:val="28"/>
              <w:lang w:val="zh-TW" w:eastAsia="zh-TW"/>
            </w:rPr>
          </w:pPr>
          <w:hyperlink w:anchor="__RefHeading___Toc319875834">
            <w:r>
              <w:rPr>
                <w:rStyle w:val="IndexLink"/>
                <w:rFonts w:ascii="標楷體" w:hAnsi="標楷體" w:cs="標楷體" w:eastAsia="標楷體"/>
                <w:sz w:val="28"/>
                <w:szCs w:val="28"/>
                <w:lang w:val="zh-TW" w:eastAsia="zh-TW"/>
              </w:rPr>
              <w:t>第六節</w:t>
            </w:r>
            <w:r>
              <w:rPr>
                <w:rStyle w:val="IndexLink"/>
                <w:rFonts w:ascii="標楷體" w:hAnsi="標楷體" w:cs="標楷體" w:eastAsia="標楷體"/>
                <w:sz w:val="28"/>
                <w:szCs w:val="28"/>
                <w:lang w:val="zh-TW" w:eastAsia="zh-TW"/>
              </w:rPr>
              <w:t xml:space="preserve"> </w:t>
            </w:r>
            <w:r>
              <w:rPr>
                <w:rStyle w:val="IndexLink"/>
                <w:rFonts w:ascii="標楷體" w:hAnsi="標楷體" w:cs="標楷體" w:eastAsia="標楷體"/>
                <w:sz w:val="28"/>
                <w:szCs w:val="28"/>
                <w:lang w:val="zh-TW" w:eastAsia="zh-TW"/>
              </w:rPr>
              <w:t>心理社會治療</w:t>
            </w:r>
            <w:r>
              <w:rPr>
                <w:rStyle w:val="IndexLink"/>
                <w:sz w:val="28"/>
                <w:szCs w:val="28"/>
                <w:lang w:val="zh-TW" w:eastAsia="zh-TW"/>
              </w:rPr>
              <w:tab/>
              <w:t>25</w:t>
            </w:r>
          </w:hyperlink>
        </w:p>
        <w:p>
          <w:pPr>
            <w:pStyle w:val="12"/>
            <w:tabs>
              <w:tab w:val="clear" w:pos="480"/>
              <w:tab w:val="right" w:pos="6480" w:leader="hyphen"/>
            </w:tabs>
            <w:snapToGrid w:val="false"/>
            <w:rPr>
              <w:rFonts w:ascii="標楷體" w:hAnsi="標楷體" w:eastAsia="標楷體" w:cs="標楷體"/>
              <w:sz w:val="28"/>
              <w:szCs w:val="28"/>
              <w:lang w:val="zh-TW" w:eastAsia="zh-TW"/>
            </w:rPr>
          </w:pPr>
          <w:hyperlink w:anchor="__RefHeading___Toc319875835">
            <w:r>
              <w:rPr>
                <w:rStyle w:val="IndexLink"/>
                <w:rFonts w:ascii="標楷體" w:hAnsi="標楷體" w:cs="標楷體" w:eastAsia="標楷體"/>
                <w:sz w:val="28"/>
                <w:szCs w:val="28"/>
                <w:lang w:val="zh-TW" w:eastAsia="zh-TW"/>
              </w:rPr>
              <w:t>第七節</w:t>
            </w:r>
            <w:r>
              <w:rPr>
                <w:rStyle w:val="IndexLink"/>
                <w:rFonts w:ascii="標楷體" w:hAnsi="標楷體" w:cs="標楷體" w:eastAsia="標楷體"/>
                <w:sz w:val="28"/>
                <w:szCs w:val="28"/>
                <w:lang w:val="zh-TW" w:eastAsia="zh-TW"/>
              </w:rPr>
              <w:t xml:space="preserve"> </w:t>
            </w:r>
            <w:r>
              <w:rPr>
                <w:rStyle w:val="IndexLink"/>
                <w:rFonts w:ascii="標楷體" w:hAnsi="標楷體" w:cs="標楷體" w:eastAsia="標楷體"/>
                <w:sz w:val="28"/>
                <w:szCs w:val="28"/>
                <w:lang w:val="zh-TW" w:eastAsia="zh-TW"/>
              </w:rPr>
              <w:t>藥物治療</w:t>
            </w:r>
            <w:r>
              <w:rPr>
                <w:rStyle w:val="IndexLink"/>
                <w:sz w:val="28"/>
                <w:szCs w:val="28"/>
                <w:lang w:val="zh-TW" w:eastAsia="zh-TW"/>
              </w:rPr>
              <w:tab/>
              <w:t>32</w:t>
            </w:r>
          </w:hyperlink>
        </w:p>
        <w:p>
          <w:pPr>
            <w:pStyle w:val="12"/>
            <w:tabs>
              <w:tab w:val="clear" w:pos="480"/>
              <w:tab w:val="right" w:pos="6480" w:leader="hyphen"/>
            </w:tabs>
            <w:snapToGrid w:val="false"/>
            <w:rPr>
              <w:rFonts w:ascii="標楷體" w:hAnsi="標楷體" w:eastAsia="標楷體" w:cs="標楷體"/>
              <w:sz w:val="28"/>
              <w:szCs w:val="28"/>
              <w:lang w:val="zh-TW" w:eastAsia="zh-TW"/>
            </w:rPr>
          </w:pPr>
          <w:hyperlink w:anchor="__RefHeading___Toc319875836">
            <w:r>
              <w:rPr>
                <w:rStyle w:val="IndexLink"/>
                <w:rFonts w:ascii="標楷體" w:hAnsi="標楷體" w:cs="標楷體" w:eastAsia="標楷體"/>
                <w:sz w:val="28"/>
                <w:szCs w:val="28"/>
                <w:lang w:val="zh-TW" w:eastAsia="zh-TW"/>
              </w:rPr>
              <w:t>第八節</w:t>
            </w:r>
            <w:r>
              <w:rPr>
                <w:rStyle w:val="IndexLink"/>
                <w:rFonts w:ascii="標楷體" w:hAnsi="標楷體" w:cs="標楷體" w:eastAsia="標楷體"/>
                <w:sz w:val="28"/>
                <w:szCs w:val="28"/>
                <w:lang w:val="zh-TW" w:eastAsia="zh-TW"/>
              </w:rPr>
              <w:t xml:space="preserve"> </w:t>
            </w:r>
            <w:r>
              <w:rPr>
                <w:rStyle w:val="IndexLink"/>
                <w:rFonts w:ascii="標楷體" w:hAnsi="標楷體" w:cs="標楷體" w:eastAsia="標楷體"/>
                <w:sz w:val="28"/>
                <w:szCs w:val="28"/>
                <w:lang w:val="zh-TW" w:eastAsia="zh-TW"/>
              </w:rPr>
              <w:t>個別物質之特殊狀況</w:t>
            </w:r>
            <w:r>
              <w:rPr>
                <w:rStyle w:val="IndexLink"/>
                <w:sz w:val="28"/>
                <w:szCs w:val="28"/>
                <w:lang w:val="zh-TW" w:eastAsia="zh-TW"/>
              </w:rPr>
              <w:tab/>
              <w:t>33</w:t>
            </w:r>
          </w:hyperlink>
        </w:p>
        <w:p>
          <w:pPr>
            <w:pStyle w:val="12"/>
            <w:tabs>
              <w:tab w:val="clear" w:pos="480"/>
              <w:tab w:val="right" w:pos="6480" w:leader="hyphen"/>
            </w:tabs>
            <w:snapToGrid w:val="false"/>
            <w:rPr>
              <w:rFonts w:ascii="標楷體" w:hAnsi="標楷體" w:eastAsia="標楷體" w:cs="標楷體"/>
              <w:sz w:val="28"/>
              <w:szCs w:val="28"/>
              <w:lang w:val="zh-TW" w:eastAsia="zh-TW"/>
            </w:rPr>
          </w:pPr>
          <w:hyperlink w:anchor="__RefHeading___Toc319875837">
            <w:r>
              <w:rPr>
                <w:rStyle w:val="IndexLink"/>
                <w:rFonts w:ascii="標楷體" w:hAnsi="標楷體" w:cs="標楷體" w:eastAsia="標楷體"/>
                <w:sz w:val="28"/>
                <w:szCs w:val="28"/>
                <w:lang w:val="zh-TW" w:eastAsia="zh-TW"/>
              </w:rPr>
              <w:t>第九節</w:t>
            </w:r>
            <w:r>
              <w:rPr>
                <w:rStyle w:val="IndexLink"/>
                <w:rFonts w:ascii="標楷體" w:hAnsi="標楷體" w:cs="標楷體" w:eastAsia="標楷體"/>
                <w:sz w:val="28"/>
                <w:szCs w:val="28"/>
                <w:lang w:val="zh-TW" w:eastAsia="zh-TW"/>
              </w:rPr>
              <w:t xml:space="preserve"> </w:t>
            </w:r>
            <w:r>
              <w:rPr>
                <w:rStyle w:val="IndexLink"/>
                <w:rFonts w:ascii="標楷體" w:hAnsi="標楷體" w:cs="標楷體" w:eastAsia="標楷體"/>
                <w:sz w:val="28"/>
                <w:szCs w:val="28"/>
                <w:lang w:val="zh-TW" w:eastAsia="zh-TW"/>
              </w:rPr>
              <w:t>二級毒品緩起訴個案轉介處理流程</w:t>
            </w:r>
            <w:r>
              <w:rPr>
                <w:rStyle w:val="IndexLink"/>
                <w:sz w:val="28"/>
                <w:szCs w:val="28"/>
                <w:lang w:val="zh-TW" w:eastAsia="zh-TW"/>
              </w:rPr>
              <w:tab/>
              <w:t>39</w:t>
            </w:r>
          </w:hyperlink>
        </w:p>
        <w:p>
          <w:pPr>
            <w:pStyle w:val="12"/>
            <w:tabs>
              <w:tab w:val="clear" w:pos="480"/>
              <w:tab w:val="right" w:pos="6480" w:leader="hyphen"/>
            </w:tabs>
            <w:snapToGrid w:val="false"/>
            <w:rPr>
              <w:rFonts w:ascii="標楷體" w:hAnsi="標楷體" w:eastAsia="標楷體" w:cs="標楷體"/>
              <w:sz w:val="28"/>
              <w:szCs w:val="28"/>
              <w:lang w:val="zh-TW" w:eastAsia="zh-TW"/>
            </w:rPr>
          </w:pPr>
          <w:hyperlink w:anchor="__RefHeading___Toc319875838">
            <w:r>
              <w:rPr>
                <w:rStyle w:val="IndexLink"/>
                <w:rFonts w:ascii="標楷體" w:hAnsi="標楷體" w:cs="標楷體" w:eastAsia="標楷體"/>
                <w:sz w:val="28"/>
                <w:szCs w:val="28"/>
                <w:lang w:val="zh-TW" w:eastAsia="zh-TW"/>
              </w:rPr>
              <w:t>參考文獻</w:t>
            </w:r>
            <w:r>
              <w:rPr>
                <w:rStyle w:val="IndexLink"/>
                <w:sz w:val="28"/>
                <w:szCs w:val="28"/>
                <w:lang w:val="zh-TW" w:eastAsia="zh-TW"/>
              </w:rPr>
              <w:tab/>
              <w:t>47</w:t>
            </w:r>
          </w:hyperlink>
          <w:r>
            <w:rPr>
              <w:rStyle w:val="IndexLink"/>
              <w:sz w:val="28"/>
              <w:szCs w:val="28"/>
              <w:lang w:val="zh-TW" w:eastAsia="zh-TW"/>
            </w:rPr>
            <w:fldChar w:fldCharType="end"/>
          </w:r>
        </w:p>
      </w:sdtContent>
    </w:sdt>
    <w:p>
      <w:pPr>
        <w:pStyle w:val="1"/>
        <w:numPr>
          <w:ilvl w:val="0"/>
          <w:numId w:val="0"/>
        </w:numPr>
        <w:spacing w:before="0" w:after="0"/>
        <w:jc w:val="center"/>
        <w:rPr>
          <w:rFonts w:ascii="標楷體" w:hAnsi="標楷體" w:cs="標楷體"/>
          <w:sz w:val="28"/>
          <w:szCs w:val="28"/>
          <w:lang w:val="zh-TW" w:eastAsia="zh-TW"/>
        </w:rPr>
      </w:pPr>
      <w:r>
        <w:rPr>
          <w:rFonts w:cs="標楷體" w:ascii="標楷體" w:hAnsi="標楷體"/>
          <w:sz w:val="28"/>
          <w:szCs w:val="28"/>
          <w:lang w:val="zh-TW" w:eastAsia="zh-TW"/>
        </w:rPr>
      </w:r>
      <w:r>
        <w:br w:type="page"/>
      </w:r>
    </w:p>
    <w:p>
      <w:pPr>
        <w:pStyle w:val="1"/>
        <w:spacing w:before="0" w:after="0"/>
        <w:jc w:val="center"/>
        <w:rPr/>
      </w:pPr>
      <w:bookmarkStart w:id="1" w:name="__RefHeading___Toc319875828"/>
      <w:bookmarkEnd w:id="1"/>
      <w:r>
        <w:rPr/>
        <w:t>圖表目錄</w:t>
      </w:r>
    </w:p>
    <w:p>
      <w:pPr>
        <w:pStyle w:val="Style31"/>
        <w:tabs>
          <w:tab w:val="clear" w:pos="480"/>
          <w:tab w:val="right" w:pos="6480" w:leader="hyphen"/>
        </w:tabs>
        <w:spacing w:lineRule="exact" w:line="400" w:before="0" w:after="180"/>
        <w:ind w:left="960" w:right="480" w:hanging="960"/>
        <w:rPr>
          <w:caps w:val="false"/>
          <w:smallCaps w:val="false"/>
          <w:sz w:val="28"/>
          <w:szCs w:val="28"/>
          <w:lang w:val="zh-TW" w:eastAsia="zh-TW"/>
        </w:rPr>
      </w:pPr>
      <w:r>
        <w:fldChar w:fldCharType="begin"/>
      </w:r>
      <w:r>
        <w:rPr>
          <w:sz w:val="28"/>
          <w:szCs w:val="28"/>
          <w:rFonts w:ascii="標楷體" w:hAnsi="標楷體" w:cs="標楷體" w:eastAsia="標楷體"/>
          <w:lang w:val="zh-TW" w:eastAsia="zh-TW"/>
        </w:rPr>
        <w:instrText> TOC \c "圖表" </w:instrText>
      </w:r>
      <w:r>
        <w:rPr>
          <w:sz w:val="28"/>
          <w:szCs w:val="28"/>
          <w:rFonts w:ascii="標楷體" w:hAnsi="標楷體" w:cs="標楷體" w:eastAsia="標楷體"/>
          <w:lang w:val="zh-TW" w:eastAsia="zh-TW"/>
        </w:rPr>
        <w:fldChar w:fldCharType="separate"/>
      </w:r>
      <w:r>
        <w:rPr>
          <w:rFonts w:ascii="標楷體" w:hAnsi="標楷體" w:cs="標楷體" w:eastAsia="標楷體"/>
          <w:sz w:val="28"/>
          <w:szCs w:val="28"/>
          <w:lang w:val="zh-TW" w:eastAsia="zh-TW"/>
        </w:rPr>
        <w:t>圖表</w:t>
      </w:r>
      <w:r>
        <w:rPr>
          <w:rFonts w:ascii="標楷體" w:hAnsi="標楷體" w:cs="標楷體" w:eastAsia="標楷體"/>
          <w:sz w:val="28"/>
          <w:szCs w:val="28"/>
          <w:lang w:val="zh-TW" w:eastAsia="zh-TW"/>
        </w:rPr>
        <w:t xml:space="preserve"> </w:t>
      </w:r>
      <w:r>
        <w:rPr>
          <w:rFonts w:eastAsia="標楷體" w:cs="標楷體" w:ascii="標楷體" w:hAnsi="標楷體"/>
          <w:sz w:val="28"/>
          <w:szCs w:val="28"/>
          <w:lang w:val="zh-TW" w:eastAsia="zh-TW"/>
        </w:rPr>
        <w:t xml:space="preserve">1 </w:t>
      </w:r>
      <w:r>
        <w:rPr>
          <w:rFonts w:ascii="標楷體" w:hAnsi="標楷體" w:cs="標楷體" w:eastAsia="標楷體"/>
          <w:b/>
          <w:color w:val="000000"/>
          <w:sz w:val="28"/>
          <w:szCs w:val="28"/>
          <w:lang w:val="zh-TW" w:eastAsia="zh-TW"/>
        </w:rPr>
        <w:t>物質依賴</w:t>
      </w:r>
      <w:r>
        <w:rPr>
          <w:rFonts w:ascii="標楷體" w:hAnsi="標楷體" w:cs="標楷體" w:eastAsia="標楷體"/>
          <w:color w:val="000000"/>
          <w:sz w:val="28"/>
          <w:szCs w:val="28"/>
          <w:lang w:val="zh-TW" w:eastAsia="zh-TW"/>
        </w:rPr>
        <w:t>（精神疾患診斷與統計手冊</w:t>
      </w:r>
      <w:r>
        <w:rPr>
          <w:rFonts w:eastAsia="標楷體" w:cs="標楷體" w:ascii="標楷體" w:hAnsi="標楷體"/>
          <w:color w:val="000000"/>
          <w:sz w:val="28"/>
          <w:szCs w:val="28"/>
          <w:lang w:val="zh-TW" w:eastAsia="zh-TW"/>
        </w:rPr>
        <w:t>-</w:t>
      </w:r>
      <w:r>
        <w:rPr>
          <w:rFonts w:ascii="標楷體" w:hAnsi="標楷體" w:cs="標楷體" w:eastAsia="標楷體"/>
          <w:color w:val="000000"/>
          <w:sz w:val="28"/>
          <w:szCs w:val="28"/>
          <w:lang w:val="zh-TW" w:eastAsia="zh-TW"/>
        </w:rPr>
        <w:t>第四版</w:t>
      </w:r>
      <w:r>
        <w:rPr>
          <w:rFonts w:eastAsia="標楷體" w:cs="標楷體" w:ascii="標楷體" w:hAnsi="標楷體"/>
          <w:color w:val="000000"/>
          <w:sz w:val="28"/>
          <w:szCs w:val="28"/>
          <w:lang w:val="zh-TW" w:eastAsia="zh-TW"/>
        </w:rPr>
        <w:t>-</w:t>
      </w:r>
      <w:r>
        <w:rPr>
          <w:rFonts w:ascii="標楷體" w:hAnsi="標楷體" w:cs="標楷體" w:eastAsia="標楷體"/>
          <w:color w:val="000000"/>
          <w:sz w:val="28"/>
          <w:szCs w:val="28"/>
          <w:lang w:val="zh-TW" w:eastAsia="zh-TW"/>
        </w:rPr>
        <w:t>文字修訂版）</w:t>
      </w:r>
      <w:r>
        <w:rPr>
          <w:sz w:val="28"/>
          <w:szCs w:val="28"/>
          <w:lang w:val="zh-TW" w:eastAsia="zh-TW"/>
        </w:rPr>
        <w:tab/>
      </w:r>
      <w:hyperlink w:anchor="__RefHeading___Toc315757847">
        <w:r>
          <w:rPr>
            <w:rStyle w:val="IndexLink"/>
            <w:sz w:val="28"/>
            <w:szCs w:val="28"/>
            <w:lang w:val="zh-TW" w:eastAsia="zh-TW"/>
          </w:rPr>
          <w:t>23</w:t>
        </w:r>
      </w:hyperlink>
    </w:p>
    <w:p>
      <w:pPr>
        <w:pStyle w:val="Style31"/>
        <w:tabs>
          <w:tab w:val="clear" w:pos="480"/>
          <w:tab w:val="right" w:pos="6480" w:leader="hyphen"/>
        </w:tabs>
        <w:spacing w:lineRule="exact" w:line="400" w:before="0" w:after="180"/>
        <w:ind w:left="980" w:right="480" w:hanging="980"/>
        <w:rPr>
          <w:rFonts w:ascii="標楷體" w:hAnsi="標楷體" w:eastAsia="標楷體" w:cs="標楷體"/>
          <w:sz w:val="28"/>
          <w:szCs w:val="28"/>
          <w:lang w:val="zh-TW" w:eastAsia="zh-TW"/>
        </w:rPr>
      </w:pPr>
      <w:r>
        <w:rPr>
          <w:rFonts w:ascii="標楷體" w:hAnsi="標楷體" w:cs="標楷體" w:eastAsia="標楷體"/>
          <w:sz w:val="28"/>
          <w:szCs w:val="28"/>
          <w:lang w:val="zh-TW" w:eastAsia="zh-TW"/>
        </w:rPr>
        <w:t>圖表</w:t>
      </w:r>
      <w:r>
        <w:rPr>
          <w:rFonts w:ascii="標楷體" w:hAnsi="標楷體" w:cs="標楷體" w:eastAsia="標楷體"/>
          <w:sz w:val="28"/>
          <w:szCs w:val="28"/>
          <w:lang w:val="zh-TW" w:eastAsia="zh-TW"/>
        </w:rPr>
        <w:t xml:space="preserve"> </w:t>
      </w:r>
      <w:r>
        <w:rPr>
          <w:rFonts w:eastAsia="標楷體" w:cs="標楷體" w:ascii="標楷體" w:hAnsi="標楷體"/>
          <w:sz w:val="28"/>
          <w:szCs w:val="28"/>
          <w:lang w:val="zh-TW" w:eastAsia="zh-TW"/>
        </w:rPr>
        <w:t xml:space="preserve">2 </w:t>
      </w:r>
      <w:r>
        <w:rPr>
          <w:rFonts w:ascii="標楷體" w:hAnsi="標楷體" w:cs="標楷體" w:eastAsia="標楷體"/>
          <w:sz w:val="28"/>
          <w:szCs w:val="28"/>
          <w:lang w:val="zh-TW" w:eastAsia="zh-TW"/>
        </w:rPr>
        <w:t>物質濫用（精神疾患診斷與統計手冊</w:t>
      </w:r>
      <w:r>
        <w:rPr>
          <w:rFonts w:eastAsia="標楷體" w:cs="標楷體" w:ascii="標楷體" w:hAnsi="標楷體"/>
          <w:sz w:val="28"/>
          <w:szCs w:val="28"/>
          <w:lang w:val="zh-TW" w:eastAsia="zh-TW"/>
        </w:rPr>
        <w:t>-</w:t>
      </w:r>
      <w:r>
        <w:rPr>
          <w:rFonts w:ascii="標楷體" w:hAnsi="標楷體" w:cs="標楷體" w:eastAsia="標楷體"/>
          <w:sz w:val="28"/>
          <w:szCs w:val="28"/>
          <w:lang w:val="zh-TW" w:eastAsia="zh-TW"/>
        </w:rPr>
        <w:t>第四版</w:t>
      </w:r>
      <w:r>
        <w:rPr>
          <w:rFonts w:eastAsia="標楷體" w:cs="標楷體" w:ascii="標楷體" w:hAnsi="標楷體"/>
          <w:sz w:val="28"/>
          <w:szCs w:val="28"/>
          <w:lang w:val="zh-TW" w:eastAsia="zh-TW"/>
        </w:rPr>
        <w:t>-</w:t>
      </w:r>
      <w:r>
        <w:rPr>
          <w:rFonts w:ascii="標楷體" w:hAnsi="標楷體" w:cs="標楷體" w:eastAsia="標楷體"/>
          <w:sz w:val="28"/>
          <w:szCs w:val="28"/>
          <w:lang w:val="zh-TW" w:eastAsia="zh-TW"/>
        </w:rPr>
        <w:t>文字修訂版）</w:t>
      </w:r>
      <w:r>
        <w:rPr>
          <w:rFonts w:eastAsia="標楷體" w:cs="標楷體" w:ascii="標楷體" w:hAnsi="標楷體"/>
          <w:sz w:val="28"/>
          <w:szCs w:val="28"/>
          <w:lang w:val="zh-TW" w:eastAsia="zh-TW"/>
        </w:rPr>
        <w:tab/>
      </w:r>
      <w:hyperlink w:anchor="__RefHeading___Toc315757848">
        <w:r>
          <w:rPr>
            <w:rStyle w:val="IndexLink"/>
            <w:rFonts w:eastAsia="標楷體" w:cs="標楷體" w:ascii="標楷體" w:hAnsi="標楷體"/>
            <w:sz w:val="28"/>
            <w:szCs w:val="28"/>
            <w:lang w:val="zh-TW" w:eastAsia="zh-TW"/>
          </w:rPr>
          <w:t>24</w:t>
        </w:r>
      </w:hyperlink>
    </w:p>
    <w:p>
      <w:pPr>
        <w:pStyle w:val="Style31"/>
        <w:tabs>
          <w:tab w:val="clear" w:pos="480"/>
          <w:tab w:val="right" w:pos="6480" w:leader="hyphen"/>
          <w:tab w:val="right" w:pos="8296" w:leader="dot"/>
        </w:tabs>
        <w:spacing w:lineRule="exact" w:line="400" w:before="0" w:after="180"/>
        <w:ind w:left="980" w:right="480" w:hanging="980"/>
        <w:rPr>
          <w:caps w:val="false"/>
          <w:smallCaps w:val="false"/>
          <w:sz w:val="28"/>
          <w:szCs w:val="28"/>
          <w:lang w:val="zh-TW" w:eastAsia="zh-TW"/>
        </w:rPr>
      </w:pPr>
      <w:r>
        <w:rPr>
          <w:rFonts w:ascii="標楷體" w:hAnsi="標楷體" w:cs="標楷體" w:eastAsia="標楷體"/>
          <w:sz w:val="28"/>
          <w:szCs w:val="28"/>
          <w:lang w:val="zh-TW" w:eastAsia="zh-TW"/>
        </w:rPr>
        <w:t>圖表</w:t>
      </w:r>
      <w:r>
        <w:rPr>
          <w:rFonts w:ascii="標楷體" w:hAnsi="標楷體" w:cs="標楷體" w:eastAsia="標楷體"/>
          <w:sz w:val="28"/>
          <w:szCs w:val="28"/>
          <w:lang w:val="zh-TW" w:eastAsia="zh-TW"/>
        </w:rPr>
        <w:t xml:space="preserve"> </w:t>
      </w:r>
      <w:r>
        <w:rPr>
          <w:rFonts w:eastAsia="標楷體" w:cs="標楷體" w:ascii="標楷體" w:hAnsi="標楷體"/>
          <w:sz w:val="28"/>
          <w:szCs w:val="28"/>
          <w:lang w:val="zh-TW" w:eastAsia="zh-TW"/>
        </w:rPr>
        <w:t>3</w:t>
      </w:r>
      <w:r>
        <w:rPr>
          <w:sz w:val="28"/>
          <w:szCs w:val="28"/>
          <w:lang w:val="zh-TW" w:eastAsia="zh-TW"/>
        </w:rPr>
        <w:t xml:space="preserve"> </w:t>
      </w:r>
      <w:r>
        <w:rPr>
          <w:rFonts w:ascii="標楷體" w:hAnsi="標楷體" w:cs="+mj-cs" w:eastAsia="標楷體"/>
          <w:b/>
          <w:color w:val="000000"/>
          <w:kern w:val="2"/>
          <w:sz w:val="28"/>
          <w:szCs w:val="28"/>
          <w:lang w:val="zh-TW" w:eastAsia="zh-TW"/>
        </w:rPr>
        <w:t>復發預防的認知行為模式</w:t>
      </w:r>
      <w:r>
        <w:rPr>
          <w:sz w:val="28"/>
          <w:szCs w:val="28"/>
          <w:lang w:val="zh-TW" w:eastAsia="zh-TW"/>
        </w:rPr>
        <w:tab/>
      </w:r>
      <w:hyperlink w:anchor="__RefHeading___Toc315757849">
        <w:r>
          <w:rPr>
            <w:rStyle w:val="IndexLink"/>
            <w:sz w:val="28"/>
            <w:szCs w:val="28"/>
            <w:lang w:val="zh-TW" w:eastAsia="zh-TW"/>
          </w:rPr>
          <w:t>27</w:t>
        </w:r>
      </w:hyperlink>
    </w:p>
    <w:p>
      <w:pPr>
        <w:pStyle w:val="Style31"/>
        <w:tabs>
          <w:tab w:val="clear" w:pos="480"/>
          <w:tab w:val="right" w:pos="6480" w:leader="hyphen"/>
          <w:tab w:val="right" w:pos="8296" w:leader="dot"/>
        </w:tabs>
        <w:spacing w:lineRule="exact" w:line="400" w:before="0" w:after="180"/>
        <w:ind w:left="980" w:right="480" w:hanging="980"/>
        <w:rPr>
          <w:caps w:val="false"/>
          <w:smallCaps w:val="false"/>
          <w:sz w:val="28"/>
          <w:szCs w:val="28"/>
          <w:lang w:val="zh-TW" w:eastAsia="zh-TW"/>
        </w:rPr>
      </w:pPr>
      <w:r>
        <w:rPr>
          <w:rFonts w:ascii="標楷體" w:hAnsi="標楷體" w:cs="標楷體" w:eastAsia="標楷體"/>
          <w:sz w:val="28"/>
          <w:szCs w:val="28"/>
          <w:lang w:val="zh-TW" w:eastAsia="zh-TW"/>
        </w:rPr>
        <w:t>圖表</w:t>
      </w:r>
      <w:r>
        <w:rPr>
          <w:rFonts w:ascii="標楷體" w:hAnsi="標楷體" w:cs="標楷體" w:eastAsia="標楷體"/>
          <w:sz w:val="28"/>
          <w:szCs w:val="28"/>
          <w:lang w:val="zh-TW" w:eastAsia="zh-TW"/>
        </w:rPr>
        <w:t xml:space="preserve"> </w:t>
      </w:r>
      <w:r>
        <w:rPr>
          <w:rFonts w:eastAsia="標楷體" w:cs="標楷體" w:ascii="標楷體" w:hAnsi="標楷體"/>
          <w:sz w:val="28"/>
          <w:szCs w:val="28"/>
          <w:lang w:val="zh-TW" w:eastAsia="zh-TW"/>
        </w:rPr>
        <w:t xml:space="preserve">4 </w:t>
      </w:r>
      <w:r>
        <w:rPr>
          <w:rFonts w:ascii="標楷體" w:hAnsi="標楷體" w:cs="標楷體" w:eastAsia="標楷體"/>
          <w:b/>
          <w:color w:val="000000"/>
          <w:sz w:val="28"/>
          <w:szCs w:val="28"/>
          <w:lang w:val="zh-TW" w:eastAsia="zh-TW"/>
        </w:rPr>
        <w:t>安非他命中毒</w:t>
      </w:r>
      <w:r>
        <w:rPr>
          <w:rFonts w:ascii="標楷體" w:hAnsi="標楷體" w:cs="標楷體" w:eastAsia="標楷體"/>
          <w:color w:val="000000"/>
          <w:sz w:val="28"/>
          <w:szCs w:val="28"/>
          <w:lang w:val="zh-TW" w:eastAsia="zh-TW"/>
        </w:rPr>
        <w:t>（精神疾患診斷與統計手冊</w:t>
      </w:r>
      <w:r>
        <w:rPr>
          <w:rFonts w:eastAsia="標楷體" w:cs="標楷體" w:ascii="標楷體" w:hAnsi="標楷體"/>
          <w:color w:val="000000"/>
          <w:sz w:val="28"/>
          <w:szCs w:val="28"/>
          <w:lang w:val="zh-TW" w:eastAsia="zh-TW"/>
        </w:rPr>
        <w:t>-</w:t>
      </w:r>
      <w:r>
        <w:rPr>
          <w:rFonts w:ascii="標楷體" w:hAnsi="標楷體" w:cs="標楷體" w:eastAsia="標楷體"/>
          <w:color w:val="000000"/>
          <w:sz w:val="28"/>
          <w:szCs w:val="28"/>
          <w:lang w:val="zh-TW" w:eastAsia="zh-TW"/>
        </w:rPr>
        <w:t>第四版</w:t>
      </w:r>
      <w:r>
        <w:rPr>
          <w:rFonts w:eastAsia="標楷體" w:cs="標楷體" w:ascii="標楷體" w:hAnsi="標楷體"/>
          <w:color w:val="000000"/>
          <w:sz w:val="28"/>
          <w:szCs w:val="28"/>
          <w:lang w:val="zh-TW" w:eastAsia="zh-TW"/>
        </w:rPr>
        <w:t>-</w:t>
      </w:r>
      <w:r>
        <w:rPr>
          <w:rFonts w:ascii="標楷體" w:hAnsi="標楷體" w:cs="標楷體" w:eastAsia="標楷體"/>
          <w:color w:val="000000"/>
          <w:sz w:val="28"/>
          <w:szCs w:val="28"/>
          <w:lang w:val="zh-TW" w:eastAsia="zh-TW"/>
        </w:rPr>
        <w:t>文字修訂版）</w:t>
      </w:r>
      <w:r>
        <w:rPr>
          <w:sz w:val="28"/>
          <w:szCs w:val="28"/>
          <w:lang w:val="zh-TW" w:eastAsia="zh-TW"/>
        </w:rPr>
        <w:tab/>
      </w:r>
      <w:hyperlink w:anchor="__RefHeading___Toc315757850">
        <w:r>
          <w:rPr>
            <w:rStyle w:val="IndexLink"/>
            <w:sz w:val="28"/>
            <w:szCs w:val="28"/>
            <w:lang w:val="zh-TW" w:eastAsia="zh-TW"/>
          </w:rPr>
          <w:t>34</w:t>
        </w:r>
      </w:hyperlink>
    </w:p>
    <w:p>
      <w:pPr>
        <w:pStyle w:val="Style31"/>
        <w:tabs>
          <w:tab w:val="clear" w:pos="480"/>
          <w:tab w:val="right" w:pos="6480" w:leader="hyphen"/>
          <w:tab w:val="right" w:pos="8296" w:leader="dot"/>
        </w:tabs>
        <w:spacing w:lineRule="exact" w:line="400" w:before="0" w:after="180"/>
        <w:ind w:left="980" w:right="480" w:hanging="980"/>
        <w:rPr>
          <w:caps w:val="false"/>
          <w:smallCaps w:val="false"/>
          <w:sz w:val="28"/>
          <w:szCs w:val="28"/>
          <w:lang w:val="zh-TW" w:eastAsia="zh-TW"/>
        </w:rPr>
      </w:pPr>
      <w:r>
        <w:rPr>
          <w:rFonts w:ascii="標楷體" w:hAnsi="標楷體" w:cs="標楷體" w:eastAsia="標楷體"/>
          <w:sz w:val="28"/>
          <w:szCs w:val="28"/>
          <w:lang w:val="zh-TW" w:eastAsia="zh-TW"/>
        </w:rPr>
        <w:t>圖表</w:t>
      </w:r>
      <w:r>
        <w:rPr>
          <w:rFonts w:ascii="標楷體" w:hAnsi="標楷體" w:cs="標楷體" w:eastAsia="標楷體"/>
          <w:sz w:val="28"/>
          <w:szCs w:val="28"/>
          <w:lang w:val="zh-TW" w:eastAsia="zh-TW"/>
        </w:rPr>
        <w:t xml:space="preserve"> </w:t>
      </w:r>
      <w:r>
        <w:rPr>
          <w:rFonts w:eastAsia="標楷體" w:cs="標楷體" w:ascii="標楷體" w:hAnsi="標楷體"/>
          <w:sz w:val="28"/>
          <w:szCs w:val="28"/>
          <w:lang w:val="zh-TW" w:eastAsia="zh-TW"/>
        </w:rPr>
        <w:t xml:space="preserve">5 </w:t>
      </w:r>
      <w:r>
        <w:rPr>
          <w:rFonts w:ascii="標楷體" w:hAnsi="標楷體" w:cs="標楷體" w:eastAsia="標楷體"/>
          <w:b/>
          <w:color w:val="000000"/>
          <w:sz w:val="28"/>
          <w:szCs w:val="28"/>
          <w:lang w:val="zh-TW" w:eastAsia="zh-TW"/>
        </w:rPr>
        <w:t>安非他命戒斷</w:t>
      </w:r>
      <w:r>
        <w:rPr>
          <w:rFonts w:ascii="標楷體" w:hAnsi="標楷體" w:cs="標楷體" w:eastAsia="標楷體"/>
          <w:color w:val="000000"/>
          <w:sz w:val="28"/>
          <w:szCs w:val="28"/>
          <w:lang w:val="zh-TW" w:eastAsia="zh-TW"/>
        </w:rPr>
        <w:t>（精神疾患診斷與統計手冊</w:t>
      </w:r>
      <w:r>
        <w:rPr>
          <w:rFonts w:eastAsia="標楷體" w:cs="標楷體" w:ascii="標楷體" w:hAnsi="標楷體"/>
          <w:color w:val="000000"/>
          <w:sz w:val="28"/>
          <w:szCs w:val="28"/>
          <w:lang w:val="zh-TW" w:eastAsia="zh-TW"/>
        </w:rPr>
        <w:t>-</w:t>
      </w:r>
      <w:r>
        <w:rPr>
          <w:rFonts w:ascii="標楷體" w:hAnsi="標楷體" w:cs="標楷體" w:eastAsia="標楷體"/>
          <w:color w:val="000000"/>
          <w:sz w:val="28"/>
          <w:szCs w:val="28"/>
          <w:lang w:val="zh-TW" w:eastAsia="zh-TW"/>
        </w:rPr>
        <w:t>第四版</w:t>
      </w:r>
      <w:r>
        <w:rPr>
          <w:rFonts w:eastAsia="標楷體" w:cs="標楷體" w:ascii="標楷體" w:hAnsi="標楷體"/>
          <w:color w:val="000000"/>
          <w:sz w:val="28"/>
          <w:szCs w:val="28"/>
          <w:lang w:val="zh-TW" w:eastAsia="zh-TW"/>
        </w:rPr>
        <w:t>-</w:t>
      </w:r>
      <w:r>
        <w:rPr>
          <w:rFonts w:ascii="標楷體" w:hAnsi="標楷體" w:cs="標楷體" w:eastAsia="標楷體"/>
          <w:color w:val="000000"/>
          <w:sz w:val="28"/>
          <w:szCs w:val="28"/>
          <w:lang w:val="zh-TW" w:eastAsia="zh-TW"/>
        </w:rPr>
        <w:t>文字修訂版）</w:t>
      </w:r>
      <w:r>
        <w:rPr>
          <w:sz w:val="28"/>
          <w:szCs w:val="28"/>
          <w:lang w:val="zh-TW" w:eastAsia="zh-TW"/>
        </w:rPr>
        <w:tab/>
      </w:r>
      <w:hyperlink w:anchor="__RefHeading___Toc315757851">
        <w:r>
          <w:rPr>
            <w:rStyle w:val="IndexLink"/>
            <w:sz w:val="28"/>
            <w:szCs w:val="28"/>
            <w:lang w:val="zh-TW" w:eastAsia="zh-TW"/>
          </w:rPr>
          <w:t>35</w:t>
        </w:r>
      </w:hyperlink>
    </w:p>
    <w:p>
      <w:pPr>
        <w:pStyle w:val="Style31"/>
        <w:tabs>
          <w:tab w:val="clear" w:pos="480"/>
          <w:tab w:val="right" w:pos="6480" w:leader="hyphen"/>
          <w:tab w:val="right" w:pos="8296" w:leader="dot"/>
        </w:tabs>
        <w:spacing w:lineRule="exact" w:line="400" w:before="0" w:after="180"/>
        <w:ind w:left="980" w:right="480" w:hanging="980"/>
        <w:rPr>
          <w:caps w:val="false"/>
          <w:smallCaps w:val="false"/>
          <w:sz w:val="28"/>
          <w:szCs w:val="28"/>
          <w:lang w:val="zh-TW" w:eastAsia="zh-TW"/>
        </w:rPr>
      </w:pPr>
      <w:r>
        <w:rPr>
          <w:rFonts w:ascii="標楷體" w:hAnsi="標楷體" w:cs="標楷體" w:eastAsia="標楷體"/>
          <w:sz w:val="28"/>
          <w:szCs w:val="28"/>
          <w:lang w:val="zh-TW" w:eastAsia="zh-TW"/>
        </w:rPr>
        <w:t>圖表</w:t>
      </w:r>
      <w:r>
        <w:rPr>
          <w:rFonts w:ascii="標楷體" w:hAnsi="標楷體" w:cs="標楷體" w:eastAsia="標楷體"/>
          <w:sz w:val="28"/>
          <w:szCs w:val="28"/>
          <w:lang w:val="zh-TW" w:eastAsia="zh-TW"/>
        </w:rPr>
        <w:t xml:space="preserve"> </w:t>
      </w:r>
      <w:r>
        <w:rPr>
          <w:rFonts w:eastAsia="標楷體" w:cs="標楷體" w:ascii="標楷體" w:hAnsi="標楷體"/>
          <w:sz w:val="28"/>
          <w:szCs w:val="28"/>
          <w:lang w:val="zh-TW" w:eastAsia="zh-TW"/>
        </w:rPr>
        <w:t xml:space="preserve">6 </w:t>
      </w:r>
      <w:r>
        <w:rPr>
          <w:rFonts w:ascii="標楷體" w:hAnsi="標楷體" w:cs="標楷體" w:eastAsia="標楷體"/>
          <w:b/>
          <w:color w:val="000000"/>
          <w:sz w:val="28"/>
          <w:szCs w:val="28"/>
          <w:lang w:val="zh-TW" w:eastAsia="zh-TW"/>
        </w:rPr>
        <w:t>大麻中毒</w:t>
      </w:r>
      <w:r>
        <w:rPr>
          <w:rFonts w:ascii="標楷體" w:hAnsi="標楷體" w:cs="標楷體" w:eastAsia="標楷體"/>
          <w:color w:val="000000"/>
          <w:sz w:val="28"/>
          <w:szCs w:val="28"/>
          <w:lang w:val="zh-TW" w:eastAsia="zh-TW"/>
        </w:rPr>
        <w:t>（精神疾患診斷與統計手冊</w:t>
      </w:r>
      <w:r>
        <w:rPr>
          <w:rFonts w:eastAsia="標楷體" w:cs="標楷體" w:ascii="標楷體" w:hAnsi="標楷體"/>
          <w:color w:val="000000"/>
          <w:sz w:val="28"/>
          <w:szCs w:val="28"/>
          <w:lang w:val="zh-TW" w:eastAsia="zh-TW"/>
        </w:rPr>
        <w:t>-</w:t>
      </w:r>
      <w:r>
        <w:rPr>
          <w:rFonts w:ascii="標楷體" w:hAnsi="標楷體" w:cs="標楷體" w:eastAsia="標楷體"/>
          <w:color w:val="000000"/>
          <w:sz w:val="28"/>
          <w:szCs w:val="28"/>
          <w:lang w:val="zh-TW" w:eastAsia="zh-TW"/>
        </w:rPr>
        <w:t>第四版</w:t>
      </w:r>
      <w:r>
        <w:rPr>
          <w:rFonts w:eastAsia="標楷體" w:cs="標楷體" w:ascii="標楷體" w:hAnsi="標楷體"/>
          <w:color w:val="000000"/>
          <w:sz w:val="28"/>
          <w:szCs w:val="28"/>
          <w:lang w:val="zh-TW" w:eastAsia="zh-TW"/>
        </w:rPr>
        <w:t>-</w:t>
      </w:r>
      <w:r>
        <w:rPr>
          <w:rFonts w:ascii="標楷體" w:hAnsi="標楷體" w:cs="標楷體" w:eastAsia="標楷體"/>
          <w:color w:val="000000"/>
          <w:sz w:val="28"/>
          <w:szCs w:val="28"/>
          <w:lang w:val="zh-TW" w:eastAsia="zh-TW"/>
        </w:rPr>
        <w:t>文字修訂版）</w:t>
      </w:r>
      <w:r>
        <w:rPr>
          <w:sz w:val="28"/>
          <w:szCs w:val="28"/>
          <w:lang w:val="zh-TW" w:eastAsia="zh-TW"/>
        </w:rPr>
        <w:tab/>
      </w:r>
      <w:hyperlink w:anchor="__RefHeading___Toc315757852">
        <w:r>
          <w:rPr>
            <w:rStyle w:val="IndexLink"/>
            <w:sz w:val="28"/>
            <w:szCs w:val="28"/>
            <w:lang w:val="zh-TW" w:eastAsia="zh-TW"/>
          </w:rPr>
          <w:t>38</w:t>
        </w:r>
      </w:hyperlink>
    </w:p>
    <w:p>
      <w:pPr>
        <w:pStyle w:val="Style31"/>
        <w:tabs>
          <w:tab w:val="clear" w:pos="480"/>
          <w:tab w:val="right" w:pos="6480" w:leader="hyphen"/>
          <w:tab w:val="right" w:pos="8296" w:leader="dot"/>
        </w:tabs>
        <w:spacing w:lineRule="exact" w:line="400"/>
        <w:ind w:left="980" w:right="480" w:hanging="980"/>
        <w:rPr>
          <w:sz w:val="28"/>
          <w:szCs w:val="28"/>
          <w:lang w:val="zh-TW" w:eastAsia="zh-TW"/>
        </w:rPr>
      </w:pPr>
      <w:r>
        <w:rPr>
          <w:rFonts w:ascii="標楷體" w:hAnsi="標楷體" w:cs="標楷體" w:eastAsia="標楷體"/>
          <w:caps w:val="false"/>
          <w:smallCaps w:val="false"/>
          <w:sz w:val="28"/>
          <w:szCs w:val="28"/>
          <w:lang w:val="zh-TW" w:eastAsia="zh-TW"/>
        </w:rPr>
        <w:t>圖表</w:t>
      </w:r>
      <w:r>
        <w:rPr>
          <w:rFonts w:ascii="標楷體" w:hAnsi="標楷體" w:cs="標楷體" w:eastAsia="標楷體"/>
          <w:caps w:val="false"/>
          <w:smallCaps w:val="false"/>
          <w:sz w:val="28"/>
          <w:szCs w:val="28"/>
          <w:lang w:val="zh-TW" w:eastAsia="zh-TW"/>
        </w:rPr>
        <w:t xml:space="preserve"> </w:t>
      </w:r>
      <w:r>
        <w:rPr>
          <w:rFonts w:eastAsia="標楷體" w:cs="標楷體" w:ascii="標楷體" w:hAnsi="標楷體"/>
          <w:caps w:val="false"/>
          <w:smallCaps w:val="false"/>
          <w:sz w:val="28"/>
          <w:szCs w:val="28"/>
          <w:lang w:val="zh-TW" w:eastAsia="zh-TW"/>
        </w:rPr>
        <w:t xml:space="preserve">7 </w:t>
      </w:r>
      <w:r>
        <w:rPr>
          <w:rFonts w:ascii="標楷體" w:hAnsi="標楷體" w:cs="標楷體" w:eastAsia="標楷體"/>
          <w:b/>
          <w:caps w:val="false"/>
          <w:smallCaps w:val="false"/>
          <w:color w:val="000000"/>
          <w:sz w:val="28"/>
          <w:szCs w:val="28"/>
          <w:lang w:val="zh-TW" w:eastAsia="zh-TW"/>
        </w:rPr>
        <w:t>二級毒品緩起訴個案戒癮治療流程圖</w:t>
      </w:r>
      <w:r>
        <w:rPr>
          <w:caps w:val="false"/>
          <w:smallCaps w:val="false"/>
          <w:sz w:val="28"/>
          <w:szCs w:val="28"/>
          <w:lang w:val="zh-TW" w:eastAsia="zh-TW"/>
        </w:rPr>
        <w:tab/>
      </w:r>
      <w:hyperlink w:anchor="__RefHeading___Toc315757853">
        <w:r>
          <w:rPr>
            <w:rStyle w:val="IndexLink"/>
            <w:caps w:val="false"/>
            <w:smallCaps w:val="false"/>
            <w:sz w:val="28"/>
            <w:szCs w:val="28"/>
            <w:lang w:val="zh-TW" w:eastAsia="zh-TW"/>
          </w:rPr>
          <w:t>46</w:t>
        </w:r>
      </w:hyperlink>
      <w:r>
        <w:rPr>
          <w:rStyle w:val="IndexLink"/>
          <w:smallCaps w:val="false"/>
          <w:caps w:val="false"/>
          <w:sz w:val="28"/>
          <w:szCs w:val="28"/>
          <w:lang w:val="zh-TW" w:eastAsia="zh-TW"/>
        </w:rPr>
        <w:fldChar w:fldCharType="end"/>
      </w:r>
    </w:p>
    <w:p>
      <w:pPr>
        <w:pStyle w:val="1"/>
        <w:numPr>
          <w:ilvl w:val="0"/>
          <w:numId w:val="0"/>
        </w:numPr>
        <w:tabs>
          <w:tab w:val="clear" w:pos="480"/>
          <w:tab w:val="right" w:pos="6480" w:leader="hyphen"/>
        </w:tabs>
        <w:spacing w:lineRule="exact" w:line="400" w:before="180" w:after="0"/>
        <w:ind w:left="841" w:right="480" w:hanging="841"/>
        <w:jc w:val="center"/>
        <w:rPr>
          <w:caps/>
          <w:sz w:val="24"/>
          <w:szCs w:val="24"/>
          <w:lang w:val="zh-TW" w:eastAsia="zh-TW"/>
        </w:rPr>
      </w:pPr>
      <w:r>
        <w:rPr>
          <w:caps/>
          <w:sz w:val="24"/>
          <w:szCs w:val="24"/>
          <w:lang w:val="zh-TW" w:eastAsia="zh-TW"/>
        </w:rPr>
      </w:r>
      <w:r>
        <w:br w:type="page"/>
      </w:r>
    </w:p>
    <w:p>
      <w:pPr>
        <w:pStyle w:val="1"/>
        <w:tabs>
          <w:tab w:val="clear" w:pos="480"/>
          <w:tab w:val="right" w:pos="6480" w:leader="hyphen"/>
        </w:tabs>
        <w:spacing w:lineRule="exact" w:line="400" w:before="180" w:after="0"/>
        <w:ind w:left="841" w:right="480" w:hanging="841"/>
        <w:jc w:val="center"/>
        <w:rPr/>
      </w:pPr>
      <w:bookmarkStart w:id="2" w:name="__RefHeading___Toc319875829"/>
      <w:bookmarkEnd w:id="2"/>
      <w:r>
        <w:rPr/>
        <w:t>第一節</w:t>
      </w:r>
      <w:r>
        <w:rPr>
          <w:rFonts w:eastAsia="Cambria"/>
        </w:rPr>
        <w:t xml:space="preserve"> </w:t>
      </w:r>
      <w:r>
        <w:rPr/>
        <w:t>前言</w:t>
      </w:r>
    </w:p>
    <w:p>
      <w:pPr>
        <w:pStyle w:val="Normal"/>
        <w:rPr>
          <w:rFonts w:ascii="標楷體" w:hAnsi="標楷體" w:eastAsia="標楷體" w:cs="標楷體"/>
          <w:b/>
          <w:b/>
        </w:rPr>
      </w:pPr>
      <w:r>
        <w:rPr>
          <w:rFonts w:eastAsia="標楷體" w:cs="標楷體" w:ascii="標楷體" w:hAnsi="標楷體"/>
          <w:b/>
        </w:rPr>
      </w:r>
    </w:p>
    <w:p>
      <w:pPr>
        <w:pStyle w:val="Normal"/>
        <w:rPr>
          <w:rFonts w:ascii="標楷體" w:hAnsi="標楷體" w:eastAsia="標楷體" w:cs="標楷體"/>
          <w:b/>
          <w:b/>
        </w:rPr>
      </w:pPr>
      <w:r>
        <w:rPr>
          <w:rFonts w:ascii="標楷體" w:hAnsi="標楷體" w:cs="標楷體" w:eastAsia="標楷體"/>
          <w:b/>
        </w:rPr>
        <w:t>一、二級毒品探討範圍</w:t>
      </w:r>
    </w:p>
    <w:p>
      <w:pPr>
        <w:pStyle w:val="Normal"/>
        <w:ind w:left="480" w:firstLine="480"/>
        <w:rPr>
          <w:rFonts w:ascii="標楷體" w:hAnsi="標楷體" w:eastAsia="標楷體" w:cs="標楷體"/>
          <w:b/>
          <w:b/>
        </w:rPr>
      </w:pPr>
      <w:r>
        <w:rPr>
          <w:rFonts w:eastAsia="標楷體" w:cs="標楷體" w:ascii="標楷體" w:hAnsi="標楷體"/>
          <w:b/>
        </w:rPr>
      </w:r>
    </w:p>
    <w:p>
      <w:pPr>
        <w:pStyle w:val="Normal"/>
        <w:ind w:left="480" w:firstLine="480"/>
        <w:rPr>
          <w:rFonts w:ascii="標楷體" w:hAnsi="標楷體" w:eastAsia="標楷體" w:cs="標楷體"/>
        </w:rPr>
      </w:pPr>
      <w:r>
        <w:rPr>
          <w:rFonts w:ascii="標楷體" w:hAnsi="標楷體" w:cs="標楷體" w:eastAsia="標楷體"/>
        </w:rPr>
        <w:t>本治療指引針對臺灣地區常見之二級毒品為主要探討對象，包含下列物質：</w:t>
      </w:r>
    </w:p>
    <w:p>
      <w:pPr>
        <w:pStyle w:val="Normal"/>
        <w:numPr>
          <w:ilvl w:val="0"/>
          <w:numId w:val="24"/>
        </w:numPr>
        <w:ind w:left="1065" w:hanging="585"/>
        <w:rPr>
          <w:rFonts w:ascii="標楷體" w:hAnsi="標楷體" w:eastAsia="標楷體" w:cs="標楷體"/>
        </w:rPr>
      </w:pPr>
      <w:r>
        <w:rPr>
          <w:rFonts w:ascii="標楷體" w:hAnsi="標楷體" w:cs="標楷體" w:eastAsia="標楷體"/>
        </w:rPr>
        <w:t>安非他命</w:t>
      </w:r>
    </w:p>
    <w:p>
      <w:pPr>
        <w:pStyle w:val="Normal"/>
        <w:numPr>
          <w:ilvl w:val="0"/>
          <w:numId w:val="24"/>
        </w:numPr>
        <w:ind w:left="1065" w:hanging="585"/>
        <w:rPr>
          <w:rFonts w:ascii="標楷體" w:hAnsi="標楷體" w:eastAsia="標楷體" w:cs="標楷體"/>
        </w:rPr>
      </w:pPr>
      <w:r>
        <w:rPr>
          <w:rFonts w:ascii="標楷體" w:hAnsi="標楷體" w:cs="標楷體" w:eastAsia="標楷體"/>
        </w:rPr>
        <w:t>快樂丸（</w:t>
      </w:r>
      <w:r>
        <w:rPr>
          <w:rFonts w:eastAsia="標楷體" w:cs="標楷體" w:ascii="標楷體" w:hAnsi="標楷體"/>
        </w:rPr>
        <w:t>MDMA</w:t>
      </w:r>
      <w:r>
        <w:rPr>
          <w:rFonts w:ascii="標楷體" w:hAnsi="標楷體" w:cs="標楷體" w:eastAsia="標楷體"/>
        </w:rPr>
        <w:t>）</w:t>
      </w:r>
    </w:p>
    <w:p>
      <w:pPr>
        <w:pStyle w:val="Normal"/>
        <w:numPr>
          <w:ilvl w:val="0"/>
          <w:numId w:val="24"/>
        </w:numPr>
        <w:ind w:left="1065" w:hanging="585"/>
        <w:rPr>
          <w:rFonts w:ascii="標楷體" w:hAnsi="標楷體" w:eastAsia="標楷體" w:cs="標楷體"/>
        </w:rPr>
      </w:pPr>
      <w:r>
        <w:rPr>
          <w:rFonts w:ascii="標楷體" w:hAnsi="標楷體" w:cs="標楷體" w:eastAsia="標楷體"/>
        </w:rPr>
        <w:t>大麻</w:t>
      </w:r>
    </w:p>
    <w:p>
      <w:pPr>
        <w:pStyle w:val="Normal"/>
        <w:ind w:left="480" w:firstLine="480"/>
        <w:rPr>
          <w:rFonts w:ascii="標楷體" w:hAnsi="標楷體" w:eastAsia="標楷體" w:cs="標楷體"/>
          <w:color w:val="000000"/>
        </w:rPr>
      </w:pPr>
      <w:r>
        <w:rPr>
          <w:rFonts w:ascii="標楷體" w:hAnsi="標楷體" w:cs="標楷體" w:eastAsia="標楷體"/>
        </w:rPr>
        <w:t>本治療指引以實證醫學為出發點，針對上述物質所造成的濫用及成癮現象，提供臨床治療上的工作重點與內容綱要，做為臨床醫師與藥癮治療相關人員之參考，</w:t>
      </w:r>
      <w:r>
        <w:rPr>
          <w:rFonts w:ascii="標楷體" w:hAnsi="標楷體" w:cs="標楷體" w:eastAsia="標楷體"/>
          <w:color w:val="000000"/>
        </w:rPr>
        <w:t>達到提升第二級毒品濫用個案</w:t>
      </w:r>
      <w:r>
        <w:rPr>
          <w:rFonts w:ascii="標楷體" w:hAnsi="標楷體" w:cs="標楷體" w:eastAsia="標楷體"/>
          <w:color w:val="000000"/>
        </w:rPr>
        <w:t>戒癮</w:t>
      </w:r>
      <w:r>
        <w:rPr>
          <w:rFonts w:ascii="標楷體" w:hAnsi="標楷體" w:cs="標楷體" w:eastAsia="標楷體"/>
          <w:color w:val="000000"/>
        </w:rPr>
        <w:t>醫療品質目標</w:t>
      </w:r>
      <w:r>
        <w:rPr>
          <w:rFonts w:ascii="標楷體" w:hAnsi="標楷體" w:cs="標楷體" w:eastAsia="標楷體"/>
          <w:color w:val="000000"/>
        </w:rPr>
        <w:t>。</w:t>
      </w:r>
    </w:p>
    <w:p>
      <w:pPr>
        <w:pStyle w:val="Normal"/>
        <w:ind w:left="480" w:firstLine="480"/>
        <w:rPr>
          <w:rFonts w:ascii="標楷體" w:hAnsi="標楷體" w:eastAsia="標楷體" w:cs="標楷體"/>
        </w:rPr>
      </w:pPr>
      <w:r>
        <w:rPr>
          <w:rFonts w:ascii="標楷體" w:hAnsi="標楷體" w:cs="標楷體" w:eastAsia="標楷體"/>
          <w:bCs/>
        </w:rPr>
        <w:t>本指引可與法務部的緩起訴個案轉介醫療業務進行整合，以期增進國內二級毒品使用者接受醫療協助的可行性。並且</w:t>
      </w:r>
      <w:r>
        <w:rPr>
          <w:rFonts w:ascii="標楷體" w:hAnsi="標楷體" w:cs="標楷體" w:eastAsia="標楷體"/>
          <w:color w:val="000000"/>
        </w:rPr>
        <w:t>經由治療指引的建立，達到提升</w:t>
      </w:r>
      <w:r>
        <w:rPr>
          <w:rFonts w:ascii="標楷體" w:hAnsi="標楷體" w:cs="標楷體" w:eastAsia="標楷體"/>
          <w:color w:val="000000"/>
        </w:rPr>
        <w:t>藥癮</w:t>
      </w:r>
      <w:r>
        <w:rPr>
          <w:rFonts w:ascii="標楷體" w:hAnsi="標楷體" w:cs="標楷體" w:eastAsia="標楷體"/>
          <w:color w:val="000000"/>
        </w:rPr>
        <w:t>治療水準及發展藥癮專業治療的目標</w:t>
      </w:r>
      <w:r>
        <w:rPr>
          <w:rFonts w:ascii="標楷體" w:hAnsi="標楷體" w:cs="標楷體" w:eastAsia="標楷體"/>
          <w:color w:val="000000"/>
        </w:rPr>
        <w:t>。</w:t>
      </w:r>
    </w:p>
    <w:p>
      <w:pPr>
        <w:pStyle w:val="Normal"/>
        <w:rPr>
          <w:rFonts w:ascii="標楷體" w:hAnsi="標楷體" w:eastAsia="標楷體" w:cs="標楷體"/>
        </w:rPr>
      </w:pPr>
      <w:r>
        <w:rPr>
          <w:rFonts w:eastAsia="標楷體" w:cs="標楷體" w:ascii="標楷體" w:hAnsi="標楷體"/>
        </w:rPr>
      </w:r>
    </w:p>
    <w:p>
      <w:pPr>
        <w:pStyle w:val="Normal"/>
        <w:rPr>
          <w:rFonts w:ascii="標楷體" w:hAnsi="標楷體" w:eastAsia="標楷體" w:cs="標楷體"/>
          <w:b/>
          <w:b/>
        </w:rPr>
      </w:pPr>
      <w:r>
        <w:rPr>
          <w:rFonts w:ascii="標楷體" w:hAnsi="標楷體" w:cs="標楷體" w:eastAsia="標楷體"/>
          <w:b/>
        </w:rPr>
        <w:t>二、治療指引適用對象</w:t>
      </w:r>
    </w:p>
    <w:p>
      <w:pPr>
        <w:pStyle w:val="Normal"/>
        <w:rPr>
          <w:rFonts w:ascii="標楷體" w:hAnsi="標楷體" w:eastAsia="標楷體" w:cs="標楷體"/>
          <w:b/>
          <w:b/>
        </w:rPr>
      </w:pPr>
      <w:r>
        <w:rPr>
          <w:rFonts w:eastAsia="標楷體" w:cs="標楷體" w:ascii="標楷體" w:hAnsi="標楷體"/>
          <w:b/>
        </w:rPr>
      </w:r>
    </w:p>
    <w:p>
      <w:pPr>
        <w:pStyle w:val="Normal"/>
        <w:ind w:left="480" w:hanging="0"/>
        <w:rPr>
          <w:rFonts w:ascii="標楷體" w:hAnsi="標楷體" w:eastAsia="標楷體" w:cs="標楷體"/>
        </w:rPr>
      </w:pPr>
      <w:r>
        <w:rPr>
          <w:rFonts w:eastAsia="標楷體" w:cs="標楷體" w:ascii="標楷體" w:hAnsi="標楷體"/>
        </w:rPr>
        <w:t>(</w:t>
      </w:r>
      <w:r>
        <w:rPr>
          <w:rFonts w:ascii="標楷體" w:hAnsi="標楷體" w:cs="標楷體" w:eastAsia="標楷體"/>
        </w:rPr>
        <w:t>一</w:t>
      </w:r>
      <w:r>
        <w:rPr>
          <w:rFonts w:eastAsia="標楷體" w:cs="標楷體" w:ascii="標楷體" w:hAnsi="標楷體"/>
        </w:rPr>
        <w:t xml:space="preserve">) </w:t>
      </w:r>
      <w:r>
        <w:rPr>
          <w:rFonts w:ascii="標楷體" w:hAnsi="標楷體" w:cs="標楷體" w:eastAsia="標楷體"/>
        </w:rPr>
        <w:t>藥物濫用個案治療之相關科別醫師</w:t>
      </w:r>
    </w:p>
    <w:p>
      <w:pPr>
        <w:pStyle w:val="Normal"/>
        <w:ind w:left="480" w:hanging="0"/>
        <w:rPr>
          <w:rFonts w:ascii="標楷體" w:hAnsi="標楷體" w:eastAsia="標楷體" w:cs="標楷體"/>
        </w:rPr>
      </w:pPr>
      <w:r>
        <w:rPr>
          <w:rFonts w:eastAsia="標楷體" w:cs="標楷體" w:ascii="標楷體" w:hAnsi="標楷體"/>
        </w:rPr>
        <w:t>(</w:t>
      </w:r>
      <w:r>
        <w:rPr>
          <w:rFonts w:ascii="標楷體" w:hAnsi="標楷體" w:cs="標楷體" w:eastAsia="標楷體"/>
        </w:rPr>
        <w:t>二</w:t>
      </w:r>
      <w:r>
        <w:rPr>
          <w:rFonts w:eastAsia="標楷體" w:cs="標楷體" w:ascii="標楷體" w:hAnsi="標楷體"/>
        </w:rPr>
        <w:t xml:space="preserve">) </w:t>
      </w:r>
      <w:r>
        <w:rPr>
          <w:rFonts w:ascii="標楷體" w:hAnsi="標楷體" w:cs="標楷體" w:eastAsia="標楷體"/>
        </w:rPr>
        <w:t>醫療機構相關之諮詢、晤談人員</w:t>
      </w:r>
    </w:p>
    <w:p>
      <w:pPr>
        <w:pStyle w:val="Normal"/>
        <w:ind w:left="480" w:hanging="0"/>
        <w:rPr>
          <w:rFonts w:ascii="標楷體" w:hAnsi="標楷體" w:eastAsia="標楷體" w:cs="標楷體"/>
        </w:rPr>
      </w:pPr>
      <w:r>
        <w:rPr>
          <w:rFonts w:eastAsia="標楷體" w:cs="標楷體" w:ascii="標楷體" w:hAnsi="標楷體"/>
        </w:rPr>
        <w:t>(</w:t>
      </w:r>
      <w:r>
        <w:rPr>
          <w:rFonts w:ascii="標楷體" w:hAnsi="標楷體" w:cs="標楷體" w:eastAsia="標楷體"/>
        </w:rPr>
        <w:t>三</w:t>
      </w:r>
      <w:r>
        <w:rPr>
          <w:rFonts w:eastAsia="標楷體" w:cs="標楷體" w:ascii="標楷體" w:hAnsi="標楷體"/>
        </w:rPr>
        <w:t xml:space="preserve">) </w:t>
      </w:r>
      <w:r>
        <w:rPr>
          <w:rFonts w:ascii="標楷體" w:hAnsi="標楷體" w:cs="標楷體" w:eastAsia="標楷體"/>
        </w:rPr>
        <w:t>司法矯正機構相關之諮詢、晤談人員</w:t>
      </w:r>
    </w:p>
    <w:p>
      <w:pPr>
        <w:pStyle w:val="Normal"/>
        <w:ind w:left="480" w:hanging="0"/>
        <w:rPr>
          <w:rFonts w:ascii="標楷體" w:hAnsi="標楷體" w:eastAsia="標楷體" w:cs="標楷體"/>
        </w:rPr>
      </w:pPr>
      <w:r>
        <w:rPr>
          <w:rFonts w:eastAsia="標楷體" w:cs="標楷體" w:ascii="標楷體" w:hAnsi="標楷體"/>
        </w:rPr>
      </w:r>
    </w:p>
    <w:p>
      <w:pPr>
        <w:pStyle w:val="Normal"/>
        <w:ind w:left="480" w:hanging="0"/>
        <w:rPr/>
      </w:pPr>
      <w:r>
        <w:rPr>
          <w:rFonts w:ascii="標楷體" w:hAnsi="標楷體" w:cs="標楷體" w:eastAsia="標楷體"/>
        </w:rPr>
        <w:t>本指引之治療人員，應符合醫事人員法規或醫事人員人事條例所定義之醫事人員資格。</w:t>
      </w:r>
    </w:p>
    <w:p>
      <w:pPr>
        <w:pStyle w:val="Normal"/>
        <w:ind w:left="480" w:hanging="0"/>
        <w:rPr>
          <w:rFonts w:ascii="標楷體" w:hAnsi="標楷體" w:eastAsia="標楷體" w:cs="標楷體"/>
        </w:rPr>
      </w:pPr>
      <w:r>
        <w:rPr>
          <w:rFonts w:ascii="標楷體" w:hAnsi="標楷體" w:cs="標楷體" w:eastAsia="標楷體"/>
        </w:rPr>
        <w:t>所有治療程序，應經由醫師評估後依照醫囑進行。</w:t>
      </w:r>
    </w:p>
    <w:p>
      <w:pPr>
        <w:pStyle w:val="Normal"/>
        <w:rPr/>
      </w:pPr>
      <w:r>
        <w:rPr>
          <w:rFonts w:ascii="標楷體" w:hAnsi="標楷體" w:cs="標楷體" w:eastAsia="標楷體"/>
          <w:b/>
        </w:rPr>
        <w:t>三、治療指引目標</w:t>
      </w:r>
    </w:p>
    <w:p>
      <w:pPr>
        <w:pStyle w:val="Normal"/>
        <w:rPr>
          <w:rFonts w:ascii="標楷體" w:hAnsi="標楷體" w:eastAsia="標楷體" w:cs="標楷體"/>
          <w:b/>
          <w:b/>
        </w:rPr>
      </w:pPr>
      <w:r>
        <w:rPr>
          <w:rFonts w:eastAsia="標楷體" w:cs="標楷體" w:ascii="標楷體" w:hAnsi="標楷體"/>
          <w:b/>
        </w:rPr>
      </w:r>
    </w:p>
    <w:p>
      <w:pPr>
        <w:pStyle w:val="Normal"/>
        <w:ind w:left="480" w:hanging="0"/>
        <w:jc w:val="both"/>
        <w:rPr/>
      </w:pPr>
      <w:r>
        <w:rPr>
          <w:rFonts w:eastAsia="標楷體" w:cs="標楷體" w:ascii="標楷體" w:hAnsi="標楷體"/>
        </w:rPr>
        <w:t>(</w:t>
      </w:r>
      <w:r>
        <w:rPr>
          <w:rFonts w:ascii="標楷體" w:hAnsi="標楷體" w:cs="標楷體" w:eastAsia="標楷體"/>
        </w:rPr>
        <w:t>一</w:t>
      </w:r>
      <w:r>
        <w:rPr>
          <w:rFonts w:eastAsia="標楷體" w:cs="標楷體" w:ascii="標楷體" w:hAnsi="標楷體"/>
        </w:rPr>
        <w:t xml:space="preserve">) </w:t>
      </w:r>
      <w:r>
        <w:rPr>
          <w:rFonts w:ascii="標楷體" w:hAnsi="標楷體" w:cs="標楷體" w:eastAsia="標楷體"/>
        </w:rPr>
        <w:t>針對已達到藥物依賴程度個案：</w:t>
      </w:r>
    </w:p>
    <w:p>
      <w:pPr>
        <w:pStyle w:val="Normal"/>
        <w:ind w:left="1080" w:firstLine="482"/>
        <w:jc w:val="both"/>
        <w:rPr>
          <w:rFonts w:ascii="標楷體" w:hAnsi="標楷體" w:eastAsia="標楷體" w:cs="標楷體"/>
        </w:rPr>
      </w:pPr>
      <w:r>
        <w:rPr>
          <w:rFonts w:ascii="標楷體" w:hAnsi="標楷體" w:cs="標楷體" w:eastAsia="標楷體"/>
        </w:rPr>
        <w:t>進行解毒</w:t>
      </w:r>
      <w:r>
        <w:rPr>
          <w:rFonts w:eastAsia="標楷體" w:cs="標楷體" w:ascii="標楷體" w:hAnsi="標楷體"/>
        </w:rPr>
        <w:t>(detoxification)</w:t>
      </w:r>
      <w:r>
        <w:rPr>
          <w:rFonts w:ascii="標楷體" w:hAnsi="標楷體" w:cs="標楷體" w:eastAsia="標楷體"/>
        </w:rPr>
        <w:t>、以及後續維持治療，減少復發以求改善個案社會功能、減少傷害。</w:t>
      </w:r>
    </w:p>
    <w:p>
      <w:pPr>
        <w:pStyle w:val="Normal"/>
        <w:ind w:left="480" w:hanging="0"/>
        <w:jc w:val="both"/>
        <w:rPr/>
      </w:pPr>
      <w:r>
        <w:rPr>
          <w:rFonts w:eastAsia="標楷體" w:cs="標楷體" w:ascii="標楷體" w:hAnsi="標楷體"/>
        </w:rPr>
        <w:t>(</w:t>
      </w:r>
      <w:r>
        <w:rPr>
          <w:rFonts w:ascii="標楷體" w:hAnsi="標楷體" w:cs="標楷體" w:eastAsia="標楷體"/>
        </w:rPr>
        <w:t>二</w:t>
      </w:r>
      <w:r>
        <w:rPr>
          <w:rFonts w:eastAsia="標楷體" w:cs="標楷體" w:ascii="標楷體" w:hAnsi="標楷體"/>
        </w:rPr>
        <w:t xml:space="preserve">) </w:t>
      </w:r>
      <w:r>
        <w:rPr>
          <w:rFonts w:ascii="標楷體" w:hAnsi="標楷體" w:cs="標楷體" w:eastAsia="標楷體"/>
        </w:rPr>
        <w:t>針對藥物濫用階段之個案：</w:t>
      </w:r>
    </w:p>
    <w:p>
      <w:pPr>
        <w:pStyle w:val="Normal"/>
        <w:ind w:left="1080" w:firstLine="482"/>
        <w:jc w:val="both"/>
        <w:rPr>
          <w:rFonts w:ascii="標楷體" w:hAnsi="標楷體" w:eastAsia="標楷體" w:cs="標楷體"/>
        </w:rPr>
      </w:pPr>
      <w:r>
        <w:rPr>
          <w:rFonts w:ascii="標楷體" w:hAnsi="標楷體" w:cs="標楷體" w:eastAsia="標楷體"/>
        </w:rPr>
        <w:t>改善個案心身狀態與家庭、職業功能，避免個案往藥物依賴病程進一步惡化。</w:t>
      </w:r>
    </w:p>
    <w:p>
      <w:pPr>
        <w:pStyle w:val="Normal"/>
        <w:ind w:left="480" w:hanging="0"/>
        <w:jc w:val="both"/>
        <w:rPr>
          <w:rFonts w:ascii="標楷體" w:hAnsi="標楷體" w:eastAsia="標楷體" w:cs="標楷體"/>
        </w:rPr>
      </w:pPr>
      <w:r>
        <w:rPr>
          <w:rFonts w:eastAsia="標楷體" w:cs="標楷體" w:ascii="標楷體" w:hAnsi="標楷體"/>
        </w:rPr>
        <w:t>(</w:t>
      </w:r>
      <w:r>
        <w:rPr>
          <w:rFonts w:ascii="標楷體" w:hAnsi="標楷體" w:cs="標楷體" w:eastAsia="標楷體"/>
        </w:rPr>
        <w:t>三</w:t>
      </w:r>
      <w:r>
        <w:rPr>
          <w:rFonts w:eastAsia="標楷體" w:cs="標楷體" w:ascii="標楷體" w:hAnsi="標楷體"/>
        </w:rPr>
        <w:t xml:space="preserve">) </w:t>
      </w:r>
      <w:r>
        <w:rPr>
          <w:rFonts w:ascii="標楷體" w:hAnsi="標楷體" w:cs="標楷體" w:eastAsia="標楷體"/>
        </w:rPr>
        <w:t>個案復原</w:t>
      </w:r>
      <w:r>
        <w:rPr>
          <w:rFonts w:eastAsia="標楷體" w:cs="標楷體" w:ascii="標楷體" w:hAnsi="標楷體"/>
        </w:rPr>
        <w:t>(recovery)</w:t>
      </w:r>
      <w:r>
        <w:rPr>
          <w:rFonts w:ascii="標楷體" w:hAnsi="標楷體" w:cs="標楷體" w:eastAsia="標楷體"/>
        </w:rPr>
        <w:t>之定義與工作方向：</w:t>
      </w:r>
    </w:p>
    <w:p>
      <w:pPr>
        <w:pStyle w:val="Normal"/>
        <w:ind w:left="1080" w:firstLine="482"/>
        <w:jc w:val="both"/>
        <w:rPr>
          <w:rFonts w:ascii="標楷體" w:hAnsi="標楷體" w:eastAsia="標楷體" w:cs="標楷體"/>
        </w:rPr>
      </w:pPr>
      <w:r>
        <w:rPr>
          <w:rFonts w:eastAsia="標楷體" w:cs="標楷體" w:ascii="標楷體" w:hAnsi="標楷體"/>
        </w:rPr>
        <w:tab/>
      </w:r>
      <w:r>
        <w:rPr>
          <w:rFonts w:ascii="標楷體" w:hAnsi="標楷體" w:cs="標楷體" w:eastAsia="標楷體"/>
        </w:rPr>
        <w:t>根據美國藥物濫用和精神健康服務管理局</w:t>
      </w:r>
      <w:r>
        <w:rPr>
          <w:rFonts w:eastAsia="標楷體" w:cs="標楷體" w:ascii="標楷體" w:hAnsi="標楷體"/>
        </w:rPr>
        <w:t>(</w:t>
      </w:r>
      <w:r>
        <w:rPr>
          <w:rFonts w:eastAsia="標楷體" w:cs="標楷體" w:ascii="標楷體" w:hAnsi="標楷體"/>
        </w:rPr>
        <w:t>the Substance Abuse and Mental Health Services Administration</w:t>
      </w:r>
      <w:r>
        <w:rPr>
          <w:rFonts w:eastAsia="標楷體" w:cs="標楷體" w:ascii="標楷體" w:hAnsi="標楷體"/>
        </w:rPr>
        <w:t xml:space="preserve">, </w:t>
      </w:r>
      <w:r>
        <w:rPr>
          <w:rFonts w:eastAsia="標楷體" w:cs="標楷體" w:ascii="標楷體" w:hAnsi="標楷體"/>
        </w:rPr>
        <w:t>SAMHSA)</w:t>
      </w:r>
      <w:r>
        <w:rPr>
          <w:rFonts w:ascii="標楷體" w:hAnsi="標楷體" w:cs="標楷體" w:eastAsia="標楷體"/>
        </w:rPr>
        <w:t>於</w:t>
      </w:r>
      <w:r>
        <w:rPr>
          <w:rFonts w:eastAsia="標楷體" w:cs="標楷體" w:ascii="標楷體" w:hAnsi="標楷體"/>
        </w:rPr>
        <w:t>2011</w:t>
      </w:r>
      <w:r>
        <w:rPr>
          <w:rFonts w:ascii="標楷體" w:hAnsi="標楷體" w:cs="標楷體" w:eastAsia="標楷體"/>
        </w:rPr>
        <w:t>年對於藥物濫用個案的復原提出定義，復原是指經由一連串的改變後，個案能夠改善其健康與福祉、過自主性的生活、並且能努力發揮其所有潛能。</w:t>
      </w:r>
    </w:p>
    <w:p>
      <w:pPr>
        <w:pStyle w:val="Normal"/>
        <w:ind w:left="1080" w:firstLine="482"/>
        <w:jc w:val="both"/>
        <w:rPr/>
      </w:pPr>
      <w:r>
        <w:rPr>
          <w:rFonts w:eastAsia="標楷體" w:cs="標楷體" w:ascii="標楷體" w:hAnsi="標楷體"/>
        </w:rPr>
        <w:tab/>
      </w:r>
      <w:r>
        <w:rPr>
          <w:rFonts w:ascii="標楷體" w:hAnsi="標楷體" w:cs="標楷體" w:eastAsia="標楷體"/>
        </w:rPr>
        <w:t>評估藥物濫用個案復原的面向，則包括下列四個層面：</w:t>
      </w:r>
    </w:p>
    <w:p>
      <w:pPr>
        <w:pStyle w:val="Normal"/>
        <w:ind w:left="1200" w:hanging="0"/>
        <w:rPr/>
      </w:pPr>
      <w:r>
        <w:rPr>
          <w:rFonts w:eastAsia="標楷體" w:cs="標楷體" w:ascii="標楷體" w:hAnsi="標楷體"/>
        </w:rPr>
        <w:t xml:space="preserve">1. </w:t>
      </w:r>
      <w:r>
        <w:rPr>
          <w:rFonts w:ascii="標楷體" w:hAnsi="標楷體" w:cs="標楷體" w:eastAsia="標楷體"/>
        </w:rPr>
        <w:t>個案能維持健康的生活型態。</w:t>
      </w:r>
    </w:p>
    <w:p>
      <w:pPr>
        <w:pStyle w:val="Normal"/>
        <w:ind w:left="1200" w:hanging="0"/>
        <w:rPr>
          <w:rFonts w:ascii="標楷體" w:hAnsi="標楷體" w:eastAsia="標楷體" w:cs="標楷體"/>
        </w:rPr>
      </w:pPr>
      <w:r>
        <w:rPr>
          <w:rFonts w:eastAsia="標楷體" w:cs="標楷體" w:ascii="標楷體" w:hAnsi="標楷體"/>
        </w:rPr>
        <w:t xml:space="preserve">2. </w:t>
      </w:r>
      <w:r>
        <w:rPr>
          <w:rFonts w:ascii="標楷體" w:hAnsi="標楷體" w:cs="標楷體" w:eastAsia="標楷體"/>
        </w:rPr>
        <w:t>擁有穩定安全的住所。</w:t>
      </w:r>
    </w:p>
    <w:p>
      <w:pPr>
        <w:pStyle w:val="Normal"/>
        <w:ind w:left="1200" w:hanging="0"/>
        <w:rPr>
          <w:rFonts w:ascii="標楷體" w:hAnsi="標楷體" w:eastAsia="標楷體" w:cs="標楷體"/>
        </w:rPr>
      </w:pPr>
      <w:r>
        <w:rPr>
          <w:rFonts w:eastAsia="標楷體" w:cs="標楷體" w:ascii="標楷體" w:hAnsi="標楷體"/>
        </w:rPr>
        <w:t xml:space="preserve">3. </w:t>
      </w:r>
      <w:r>
        <w:rPr>
          <w:rFonts w:ascii="標楷體" w:hAnsi="標楷體" w:cs="標楷體" w:eastAsia="標楷體"/>
        </w:rPr>
        <w:t>從事有意義的日常活動。</w:t>
      </w:r>
    </w:p>
    <w:p>
      <w:pPr>
        <w:pStyle w:val="Normal"/>
        <w:ind w:left="1200" w:hanging="0"/>
        <w:rPr>
          <w:rFonts w:ascii="標楷體" w:hAnsi="標楷體" w:eastAsia="標楷體" w:cs="標楷體"/>
        </w:rPr>
      </w:pPr>
      <w:r>
        <w:rPr>
          <w:rFonts w:eastAsia="標楷體" w:cs="標楷體" w:ascii="標楷體" w:hAnsi="標楷體"/>
        </w:rPr>
        <w:t xml:space="preserve">4. </w:t>
      </w:r>
      <w:r>
        <w:rPr>
          <w:rFonts w:ascii="標楷體" w:hAnsi="標楷體" w:cs="標楷體" w:eastAsia="標楷體"/>
        </w:rPr>
        <w:t>能夠在社區維繫支持性的社交網絡。</w:t>
      </w:r>
    </w:p>
    <w:p>
      <w:pPr>
        <w:pStyle w:val="Normal"/>
        <w:ind w:left="480" w:hanging="0"/>
        <w:rPr>
          <w:rFonts w:ascii="標楷體" w:hAnsi="標楷體" w:eastAsia="標楷體" w:cs="標楷體"/>
        </w:rPr>
      </w:pPr>
      <w:r>
        <w:rPr>
          <w:rFonts w:eastAsia="標楷體" w:cs="標楷體" w:ascii="標楷體" w:hAnsi="標楷體"/>
        </w:rPr>
        <w:t>(</w:t>
      </w:r>
      <w:r>
        <w:rPr>
          <w:rFonts w:ascii="標楷體" w:hAnsi="標楷體" w:cs="標楷體" w:eastAsia="標楷體"/>
        </w:rPr>
        <w:t>四</w:t>
      </w:r>
      <w:r>
        <w:rPr>
          <w:rFonts w:eastAsia="標楷體" w:cs="標楷體" w:ascii="標楷體" w:hAnsi="標楷體"/>
        </w:rPr>
        <w:t xml:space="preserve">) </w:t>
      </w:r>
      <w:r>
        <w:rPr>
          <w:rFonts w:ascii="標楷體" w:hAnsi="標楷體" w:cs="標楷體" w:eastAsia="標楷體"/>
        </w:rPr>
        <w:t>治療期程：</w:t>
      </w:r>
    </w:p>
    <w:p>
      <w:pPr>
        <w:pStyle w:val="Normal"/>
        <w:ind w:left="1080" w:firstLine="482"/>
        <w:jc w:val="both"/>
        <w:rPr>
          <w:rFonts w:ascii="標楷體" w:hAnsi="標楷體" w:eastAsia="標楷體" w:cs="標楷體"/>
        </w:rPr>
      </w:pPr>
      <w:r>
        <w:rPr>
          <w:rFonts w:ascii="標楷體" w:hAnsi="標楷體" w:cs="標楷體" w:eastAsia="標楷體"/>
        </w:rPr>
        <w:t>根據精神疾患診斷與統計手冊</w:t>
      </w:r>
      <w:r>
        <w:rPr>
          <w:rFonts w:eastAsia="標楷體" w:cs="標楷體" w:ascii="標楷體" w:hAnsi="標楷體"/>
        </w:rPr>
        <w:t>-</w:t>
      </w:r>
      <w:r>
        <w:rPr>
          <w:rFonts w:ascii="標楷體" w:hAnsi="標楷體" w:cs="標楷體" w:eastAsia="標楷體"/>
        </w:rPr>
        <w:t>第四版</w:t>
      </w:r>
      <w:r>
        <w:rPr>
          <w:rFonts w:eastAsia="標楷體" w:cs="標楷體" w:ascii="標楷體" w:hAnsi="標楷體"/>
        </w:rPr>
        <w:t>(DSM-IV)</w:t>
      </w:r>
      <w:r>
        <w:rPr>
          <w:rFonts w:ascii="標楷體" w:hAnsi="標楷體" w:cs="標楷體" w:eastAsia="標楷體"/>
        </w:rPr>
        <w:t>對於藥物濫用相關診斷的定義，持續性完全緩解</w:t>
      </w:r>
      <w:r>
        <w:rPr>
          <w:rFonts w:eastAsia="標楷體" w:cs="標楷體" w:ascii="標楷體" w:hAnsi="標楷體"/>
        </w:rPr>
        <w:t>(in sustained full remission)</w:t>
      </w:r>
      <w:r>
        <w:rPr>
          <w:rFonts w:ascii="標楷體" w:hAnsi="標楷體" w:cs="標楷體" w:eastAsia="標楷體"/>
        </w:rPr>
        <w:t>或部分緩解，是指個案能有一年的時間完全達到、或部分達到藥物濫用行為的緩解。</w:t>
      </w:r>
    </w:p>
    <w:p>
      <w:pPr>
        <w:pStyle w:val="Normal"/>
        <w:ind w:left="1080" w:firstLine="482"/>
        <w:jc w:val="both"/>
        <w:rPr/>
      </w:pPr>
      <w:r>
        <w:rPr>
          <w:rFonts w:ascii="標楷體" w:hAnsi="標楷體" w:cs="標楷體" w:eastAsia="標楷體"/>
        </w:rPr>
        <w:t>個案的治療期程，可設定在個案能夠於一年期間維持緩解狀態。</w:t>
      </w:r>
    </w:p>
    <w:p>
      <w:pPr>
        <w:pStyle w:val="Normal"/>
        <w:ind w:left="1080" w:firstLine="482"/>
        <w:jc w:val="both"/>
        <w:rPr>
          <w:rFonts w:ascii="標楷體" w:hAnsi="標楷體" w:eastAsia="標楷體" w:cs="標楷體"/>
        </w:rPr>
      </w:pPr>
      <w:r>
        <w:rPr>
          <w:rFonts w:ascii="標楷體" w:hAnsi="標楷體" w:cs="標楷體" w:eastAsia="標楷體"/>
        </w:rPr>
        <w:t>若個案經由一至三個月的密集評估與治療期間已達到完全緩解狀態，並可預期後續能維繫完全緩解者，後續追蹤治療頻率可逐步遞減。</w:t>
      </w:r>
    </w:p>
    <w:p>
      <w:pPr>
        <w:pStyle w:val="Normal"/>
        <w:rPr>
          <w:rFonts w:ascii="標楷體" w:hAnsi="標楷體" w:eastAsia="標楷體" w:cs="標楷體"/>
        </w:rPr>
      </w:pPr>
      <w:r>
        <w:rPr>
          <w:rFonts w:eastAsia="標楷體" w:cs="標楷體" w:ascii="標楷體" w:hAnsi="標楷體"/>
        </w:rPr>
      </w:r>
    </w:p>
    <w:p>
      <w:pPr>
        <w:pStyle w:val="Normal"/>
        <w:rPr>
          <w:rFonts w:ascii="標楷體" w:hAnsi="標楷體" w:eastAsia="標楷體" w:cs="標楷體"/>
          <w:b/>
          <w:b/>
        </w:rPr>
      </w:pPr>
      <w:r>
        <w:rPr>
          <w:rFonts w:ascii="標楷體" w:hAnsi="標楷體" w:cs="標楷體" w:eastAsia="標楷體"/>
          <w:b/>
        </w:rPr>
        <w:t>四、治療指引之修正</w:t>
      </w:r>
    </w:p>
    <w:p>
      <w:pPr>
        <w:pStyle w:val="Normal"/>
        <w:rPr>
          <w:rFonts w:ascii="標楷體" w:hAnsi="標楷體" w:eastAsia="標楷體" w:cs="標楷體"/>
          <w:b/>
          <w:b/>
        </w:rPr>
      </w:pPr>
      <w:r>
        <w:rPr>
          <w:rFonts w:eastAsia="標楷體" w:cs="標楷體" w:ascii="標楷體" w:hAnsi="標楷體"/>
          <w:b/>
        </w:rPr>
      </w:r>
    </w:p>
    <w:p>
      <w:pPr>
        <w:pStyle w:val="Normal"/>
        <w:ind w:left="480" w:firstLine="480"/>
        <w:rPr/>
      </w:pPr>
      <w:r>
        <w:rPr>
          <w:rFonts w:ascii="標楷體" w:hAnsi="標楷體" w:cs="標楷體" w:eastAsia="標楷體"/>
        </w:rPr>
        <w:t>成癮疾病之診斷、治療準則，仍隨相關醫療研究與證據之累積而演進中。</w:t>
      </w:r>
    </w:p>
    <w:p>
      <w:pPr>
        <w:pStyle w:val="Normal"/>
        <w:ind w:left="480" w:firstLine="480"/>
        <w:rPr>
          <w:rFonts w:ascii="標楷體" w:hAnsi="標楷體" w:eastAsia="標楷體" w:cs="標楷體"/>
        </w:rPr>
      </w:pPr>
      <w:r>
        <w:rPr>
          <w:rFonts w:ascii="標楷體" w:hAnsi="標楷體" w:cs="標楷體" w:eastAsia="標楷體"/>
        </w:rPr>
        <w:t>本治療指引在精神疾病診斷準則改版、或是治療技術有相當程度進展時，應進行相關之修正。目前可預期之改變，為</w:t>
      </w:r>
      <w:r>
        <w:rPr>
          <w:rFonts w:eastAsia="標楷體" w:cs="標楷體" w:ascii="標楷體" w:hAnsi="標楷體"/>
        </w:rPr>
        <w:t>2013</w:t>
      </w:r>
      <w:r>
        <w:rPr>
          <w:rFonts w:ascii="標楷體" w:hAnsi="標楷體" w:cs="標楷體" w:eastAsia="標楷體"/>
        </w:rPr>
        <w:t>年</w:t>
      </w:r>
      <w:r>
        <w:rPr>
          <w:rFonts w:eastAsia="標楷體" w:cs="標楷體" w:ascii="標楷體" w:hAnsi="標楷體"/>
        </w:rPr>
        <w:t>5</w:t>
      </w:r>
      <w:r>
        <w:rPr>
          <w:rFonts w:ascii="標楷體" w:hAnsi="標楷體" w:cs="標楷體" w:eastAsia="標楷體"/>
        </w:rPr>
        <w:t>月將進行之</w:t>
      </w:r>
      <w:r>
        <w:rPr>
          <w:rFonts w:ascii="標楷體" w:hAnsi="標楷體" w:cs="標楷體" w:eastAsia="標楷體"/>
          <w:color w:val="000000"/>
          <w:szCs w:val="24"/>
        </w:rPr>
        <w:t>精神疾患診斷與統計手冊</w:t>
      </w:r>
      <w:r>
        <w:rPr>
          <w:rFonts w:eastAsia="標楷體" w:cs="標楷體" w:ascii="標楷體" w:hAnsi="標楷體"/>
          <w:color w:val="000000"/>
          <w:szCs w:val="24"/>
        </w:rPr>
        <w:t>-</w:t>
      </w:r>
      <w:r>
        <w:rPr>
          <w:rFonts w:ascii="標楷體" w:hAnsi="標楷體" w:cs="標楷體" w:eastAsia="標楷體"/>
          <w:color w:val="000000"/>
          <w:szCs w:val="24"/>
        </w:rPr>
        <w:t>第五版</w:t>
      </w:r>
      <w:r>
        <w:rPr>
          <w:rFonts w:eastAsia="標楷體" w:cs="標楷體" w:ascii="標楷體" w:hAnsi="標楷體"/>
          <w:color w:val="000000"/>
          <w:szCs w:val="24"/>
        </w:rPr>
        <w:t>(</w:t>
      </w:r>
      <w:r>
        <w:rPr>
          <w:rFonts w:eastAsia="標楷體" w:cs="標楷體" w:ascii="標楷體" w:hAnsi="標楷體"/>
        </w:rPr>
        <w:t>DSM-V)</w:t>
      </w:r>
      <w:r>
        <w:rPr>
          <w:rFonts w:ascii="標楷體" w:hAnsi="標楷體" w:cs="標楷體" w:eastAsia="標楷體"/>
        </w:rPr>
        <w:t>改版發表。</w:t>
      </w:r>
      <w:r>
        <w:br w:type="page"/>
      </w:r>
    </w:p>
    <w:p>
      <w:pPr>
        <w:pStyle w:val="1"/>
        <w:spacing w:before="0" w:after="0"/>
        <w:jc w:val="center"/>
        <w:rPr/>
      </w:pPr>
      <w:bookmarkStart w:id="3" w:name="__RefHeading___Toc319875830"/>
      <w:bookmarkEnd w:id="3"/>
      <w:r>
        <w:rPr/>
        <w:t>第二節</w:t>
      </w:r>
      <w:r>
        <w:rPr>
          <w:rFonts w:eastAsia="Cambria"/>
        </w:rPr>
        <w:t xml:space="preserve"> </w:t>
      </w:r>
      <w:r>
        <w:rPr/>
        <w:t>治療指引簡介</w:t>
      </w:r>
    </w:p>
    <w:p>
      <w:pPr>
        <w:pStyle w:val="Normal"/>
        <w:snapToGrid w:val="false"/>
        <w:spacing w:lineRule="exact" w:line="340"/>
        <w:ind w:firstLine="480"/>
        <w:rPr>
          <w:rFonts w:ascii="標楷體" w:hAnsi="標楷體" w:eastAsia="標楷體" w:cs="標楷體"/>
        </w:rPr>
      </w:pPr>
      <w:r>
        <w:rPr>
          <w:rFonts w:ascii="標楷體" w:hAnsi="標楷體" w:cs="標楷體" w:eastAsia="標楷體"/>
        </w:rPr>
        <w:t>本治療指引設定的個案來源，包含了社區、校園、以及司法單位轉介等。因此根據個案的不同來源，在個案的配合程度、病識感、及成癮嚴重程度上可能有相當大的異質性，以下為本指引所涵蓋範圍：</w:t>
      </w:r>
    </w:p>
    <w:p>
      <w:pPr>
        <w:pStyle w:val="Normal"/>
        <w:snapToGrid w:val="false"/>
        <w:spacing w:lineRule="exact" w:line="340"/>
        <w:rPr>
          <w:rFonts w:ascii="標楷體" w:hAnsi="標楷體" w:eastAsia="標楷體" w:cs="標楷體"/>
          <w:b/>
          <w:b/>
        </w:rPr>
      </w:pPr>
      <w:r>
        <w:rPr>
          <w:rFonts w:eastAsia="標楷體" w:cs="標楷體" w:ascii="標楷體" w:hAnsi="標楷體"/>
          <w:b/>
        </w:rPr>
      </w:r>
    </w:p>
    <w:p>
      <w:pPr>
        <w:pStyle w:val="Normal"/>
        <w:snapToGrid w:val="false"/>
        <w:spacing w:lineRule="exact" w:line="340"/>
        <w:rPr/>
      </w:pPr>
      <w:r>
        <w:rPr>
          <w:rFonts w:ascii="標楷體" w:hAnsi="標楷體" w:cs="標楷體" w:eastAsia="標楷體"/>
          <w:b/>
        </w:rPr>
        <w:t>一、評估</w:t>
      </w:r>
    </w:p>
    <w:p>
      <w:pPr>
        <w:pStyle w:val="Normal"/>
        <w:snapToGrid w:val="false"/>
        <w:spacing w:lineRule="exact" w:line="340"/>
        <w:ind w:left="480" w:hanging="0"/>
        <w:rPr>
          <w:rFonts w:ascii="標楷體" w:hAnsi="標楷體" w:eastAsia="標楷體" w:cs="標楷體"/>
          <w:b/>
          <w:b/>
        </w:rPr>
      </w:pPr>
      <w:r>
        <w:rPr>
          <w:rFonts w:eastAsia="標楷體" w:cs="標楷體" w:ascii="標楷體" w:hAnsi="標楷體"/>
          <w:b/>
        </w:rPr>
      </w:r>
    </w:p>
    <w:p>
      <w:pPr>
        <w:pStyle w:val="Normal"/>
        <w:snapToGrid w:val="false"/>
        <w:spacing w:lineRule="exact" w:line="340"/>
        <w:ind w:left="480" w:hanging="0"/>
        <w:rPr>
          <w:rFonts w:ascii="標楷體" w:hAnsi="標楷體" w:eastAsia="標楷體" w:cs="標楷體"/>
        </w:rPr>
      </w:pPr>
      <w:r>
        <w:rPr>
          <w:rFonts w:eastAsia="標楷體" w:cs="標楷體" w:ascii="標楷體" w:hAnsi="標楷體"/>
        </w:rPr>
        <w:t>(</w:t>
      </w:r>
      <w:r>
        <w:rPr>
          <w:rFonts w:ascii="標楷體" w:hAnsi="標楷體" w:cs="標楷體" w:eastAsia="標楷體"/>
        </w:rPr>
        <w:t>一</w:t>
      </w:r>
      <w:r>
        <w:rPr>
          <w:rFonts w:eastAsia="標楷體" w:cs="標楷體" w:ascii="標楷體" w:hAnsi="標楷體"/>
        </w:rPr>
        <w:t xml:space="preserve">) </w:t>
      </w:r>
      <w:r>
        <w:rPr>
          <w:rFonts w:ascii="標楷體" w:hAnsi="標楷體" w:cs="標楷體" w:eastAsia="標楷體"/>
        </w:rPr>
        <w:t>配合揭露用藥行為個案。</w:t>
      </w:r>
    </w:p>
    <w:p>
      <w:pPr>
        <w:pStyle w:val="Normal"/>
        <w:snapToGrid w:val="false"/>
        <w:spacing w:lineRule="exact" w:line="340"/>
        <w:ind w:left="480" w:hanging="0"/>
        <w:rPr>
          <w:rFonts w:ascii="標楷體" w:hAnsi="標楷體" w:eastAsia="標楷體" w:cs="標楷體"/>
        </w:rPr>
      </w:pPr>
      <w:r>
        <w:rPr>
          <w:rFonts w:eastAsia="標楷體" w:cs="標楷體" w:ascii="標楷體" w:hAnsi="標楷體"/>
        </w:rPr>
        <w:t>(</w:t>
      </w:r>
      <w:r>
        <w:rPr>
          <w:rFonts w:ascii="標楷體" w:hAnsi="標楷體" w:cs="標楷體" w:eastAsia="標楷體"/>
        </w:rPr>
        <w:t>二</w:t>
      </w:r>
      <w:r>
        <w:rPr>
          <w:rFonts w:eastAsia="標楷體" w:cs="標楷體" w:ascii="標楷體" w:hAnsi="標楷體"/>
        </w:rPr>
        <w:t xml:space="preserve">) </w:t>
      </w:r>
      <w:r>
        <w:rPr>
          <w:rFonts w:ascii="標楷體" w:hAnsi="標楷體" w:cs="標楷體" w:eastAsia="標楷體"/>
        </w:rPr>
        <w:t>否認用藥行為個案。</w:t>
      </w:r>
    </w:p>
    <w:p>
      <w:pPr>
        <w:pStyle w:val="Normal"/>
        <w:snapToGrid w:val="false"/>
        <w:spacing w:lineRule="exact" w:line="340"/>
        <w:rPr>
          <w:rFonts w:ascii="標楷體" w:hAnsi="標楷體" w:eastAsia="標楷體" w:cs="標楷體"/>
        </w:rPr>
      </w:pPr>
      <w:r>
        <w:rPr>
          <w:rFonts w:eastAsia="標楷體" w:cs="標楷體" w:ascii="標楷體" w:hAnsi="標楷體"/>
        </w:rPr>
      </w:r>
    </w:p>
    <w:p>
      <w:pPr>
        <w:pStyle w:val="Normal"/>
        <w:snapToGrid w:val="false"/>
        <w:spacing w:lineRule="exact" w:line="340"/>
        <w:rPr>
          <w:rFonts w:ascii="標楷體" w:hAnsi="標楷體" w:eastAsia="標楷體" w:cs="標楷體"/>
          <w:b/>
          <w:b/>
        </w:rPr>
      </w:pPr>
      <w:r>
        <w:rPr>
          <w:rFonts w:ascii="標楷體" w:hAnsi="標楷體" w:cs="標楷體" w:eastAsia="標楷體"/>
          <w:b/>
        </w:rPr>
        <w:t>二、診斷</w:t>
      </w:r>
    </w:p>
    <w:p>
      <w:pPr>
        <w:pStyle w:val="Normal"/>
        <w:snapToGrid w:val="false"/>
        <w:spacing w:lineRule="exact" w:line="340"/>
        <w:rPr>
          <w:rFonts w:ascii="標楷體" w:hAnsi="標楷體" w:eastAsia="標楷體" w:cs="標楷體"/>
          <w:b/>
          <w:b/>
        </w:rPr>
      </w:pPr>
      <w:r>
        <w:rPr>
          <w:rFonts w:eastAsia="標楷體" w:cs="標楷體" w:ascii="標楷體" w:hAnsi="標楷體"/>
          <w:b/>
        </w:rPr>
      </w:r>
    </w:p>
    <w:p>
      <w:pPr>
        <w:pStyle w:val="Normal"/>
        <w:snapToGrid w:val="false"/>
        <w:spacing w:lineRule="exact" w:line="340"/>
        <w:ind w:left="480" w:hanging="0"/>
        <w:rPr>
          <w:rFonts w:ascii="標楷體" w:hAnsi="標楷體" w:eastAsia="標楷體" w:cs="標楷體"/>
        </w:rPr>
      </w:pPr>
      <w:r>
        <w:rPr>
          <w:rFonts w:eastAsia="標楷體" w:cs="標楷體" w:ascii="標楷體" w:hAnsi="標楷體"/>
        </w:rPr>
        <w:tab/>
      </w:r>
      <w:r>
        <w:rPr>
          <w:rFonts w:ascii="標楷體" w:hAnsi="標楷體" w:cs="標楷體" w:eastAsia="標楷體"/>
        </w:rPr>
        <w:t>藥物濫用行為的相關診斷準則，係根據</w:t>
      </w:r>
      <w:r>
        <w:rPr>
          <w:rFonts w:ascii="標楷體" w:hAnsi="標楷體" w:cs="標楷體" w:eastAsia="標楷體"/>
          <w:color w:val="000000"/>
          <w:szCs w:val="24"/>
        </w:rPr>
        <w:t>精神疾患診斷與統計手冊</w:t>
      </w:r>
      <w:r>
        <w:rPr>
          <w:rFonts w:eastAsia="標楷體" w:cs="標楷體" w:ascii="標楷體" w:hAnsi="標楷體"/>
          <w:color w:val="000000"/>
          <w:szCs w:val="24"/>
        </w:rPr>
        <w:t>-</w:t>
      </w:r>
      <w:r>
        <w:rPr>
          <w:rFonts w:ascii="標楷體" w:hAnsi="標楷體" w:cs="標楷體" w:eastAsia="標楷體"/>
          <w:color w:val="000000"/>
          <w:szCs w:val="24"/>
        </w:rPr>
        <w:t>第四版</w:t>
      </w:r>
      <w:r>
        <w:rPr>
          <w:rFonts w:eastAsia="標楷體" w:cs="標楷體" w:ascii="標楷體" w:hAnsi="標楷體"/>
          <w:color w:val="000000"/>
          <w:szCs w:val="24"/>
        </w:rPr>
        <w:t>(DSM-IV)</w:t>
      </w:r>
      <w:r>
        <w:rPr>
          <w:rFonts w:ascii="標楷體" w:hAnsi="標楷體" w:cs="標楷體" w:eastAsia="標楷體"/>
          <w:color w:val="000000"/>
          <w:szCs w:val="24"/>
        </w:rPr>
        <w:t>，針對個案的成癮疾患嚴重程度進行相關診斷。</w:t>
      </w:r>
    </w:p>
    <w:p>
      <w:pPr>
        <w:pStyle w:val="Normal"/>
        <w:snapToGrid w:val="false"/>
        <w:spacing w:lineRule="exact" w:line="340"/>
        <w:rPr>
          <w:rFonts w:ascii="標楷體" w:hAnsi="標楷體" w:eastAsia="標楷體" w:cs="標楷體"/>
        </w:rPr>
      </w:pPr>
      <w:r>
        <w:rPr>
          <w:rFonts w:eastAsia="標楷體" w:cs="標楷體" w:ascii="標楷體" w:hAnsi="標楷體"/>
        </w:rPr>
      </w:r>
    </w:p>
    <w:p>
      <w:pPr>
        <w:pStyle w:val="Normal"/>
        <w:snapToGrid w:val="false"/>
        <w:spacing w:lineRule="exact" w:line="340"/>
        <w:rPr/>
      </w:pPr>
      <w:r>
        <w:rPr>
          <w:rFonts w:ascii="標楷體" w:hAnsi="標楷體" w:cs="標楷體" w:eastAsia="標楷體"/>
          <w:b/>
        </w:rPr>
        <w:t>三、個案處理</w:t>
      </w:r>
    </w:p>
    <w:p>
      <w:pPr>
        <w:pStyle w:val="Normal"/>
        <w:snapToGrid w:val="false"/>
        <w:spacing w:lineRule="exact" w:line="340"/>
        <w:ind w:left="480" w:hanging="0"/>
        <w:rPr>
          <w:rFonts w:ascii="標楷體" w:hAnsi="標楷體" w:eastAsia="標楷體" w:cs="標楷體"/>
          <w:b/>
          <w:b/>
        </w:rPr>
      </w:pPr>
      <w:r>
        <w:rPr>
          <w:rFonts w:eastAsia="標楷體" w:cs="標楷體" w:ascii="標楷體" w:hAnsi="標楷體"/>
          <w:b/>
        </w:rPr>
      </w:r>
    </w:p>
    <w:p>
      <w:pPr>
        <w:pStyle w:val="Normal"/>
        <w:snapToGrid w:val="false"/>
        <w:spacing w:lineRule="exact" w:line="340"/>
        <w:ind w:left="480" w:hanging="0"/>
        <w:rPr>
          <w:rFonts w:ascii="標楷體" w:hAnsi="標楷體" w:eastAsia="標楷體" w:cs="標楷體"/>
        </w:rPr>
      </w:pPr>
      <w:r>
        <w:rPr>
          <w:rFonts w:eastAsia="標楷體" w:cs="標楷體" w:ascii="標楷體" w:hAnsi="標楷體"/>
        </w:rPr>
        <w:t>(</w:t>
      </w:r>
      <w:r>
        <w:rPr>
          <w:rFonts w:ascii="標楷體" w:hAnsi="標楷體" w:cs="標楷體" w:eastAsia="標楷體"/>
        </w:rPr>
        <w:t>一</w:t>
      </w:r>
      <w:r>
        <w:rPr>
          <w:rFonts w:eastAsia="標楷體" w:cs="標楷體" w:ascii="標楷體" w:hAnsi="標楷體"/>
        </w:rPr>
        <w:t xml:space="preserve">) </w:t>
      </w:r>
      <w:r>
        <w:rPr>
          <w:rFonts w:ascii="標楷體" w:hAnsi="標楷體" w:cs="標楷體" w:eastAsia="標楷體"/>
        </w:rPr>
        <w:t>一般處理原則。</w:t>
      </w:r>
    </w:p>
    <w:p>
      <w:pPr>
        <w:pStyle w:val="Normal"/>
        <w:snapToGrid w:val="false"/>
        <w:spacing w:lineRule="exact" w:line="340"/>
        <w:ind w:left="480" w:hanging="0"/>
        <w:rPr>
          <w:rFonts w:ascii="標楷體" w:hAnsi="標楷體" w:eastAsia="標楷體" w:cs="標楷體"/>
        </w:rPr>
      </w:pPr>
      <w:r>
        <w:rPr>
          <w:rFonts w:eastAsia="標楷體" w:cs="標楷體" w:ascii="標楷體" w:hAnsi="標楷體"/>
        </w:rPr>
        <w:t>(</w:t>
      </w:r>
      <w:r>
        <w:rPr>
          <w:rFonts w:ascii="標楷體" w:hAnsi="標楷體" w:cs="標楷體" w:eastAsia="標楷體"/>
        </w:rPr>
        <w:t>二</w:t>
      </w:r>
      <w:r>
        <w:rPr>
          <w:rFonts w:eastAsia="標楷體" w:cs="標楷體" w:ascii="標楷體" w:hAnsi="標楷體"/>
        </w:rPr>
        <w:t xml:space="preserve">) </w:t>
      </w:r>
      <w:r>
        <w:rPr>
          <w:rFonts w:ascii="標楷體" w:hAnsi="標楷體" w:cs="標楷體" w:eastAsia="標楷體"/>
        </w:rPr>
        <w:t>特殊情況處理原則。</w:t>
      </w:r>
    </w:p>
    <w:p>
      <w:pPr>
        <w:pStyle w:val="Normal"/>
        <w:snapToGrid w:val="false"/>
        <w:spacing w:lineRule="exact" w:line="340"/>
        <w:rPr>
          <w:rFonts w:ascii="標楷體" w:hAnsi="標楷體" w:eastAsia="標楷體" w:cs="標楷體"/>
        </w:rPr>
      </w:pPr>
      <w:r>
        <w:rPr>
          <w:rFonts w:eastAsia="標楷體" w:cs="標楷體" w:ascii="標楷體" w:hAnsi="標楷體"/>
        </w:rPr>
      </w:r>
    </w:p>
    <w:p>
      <w:pPr>
        <w:pStyle w:val="Normal"/>
        <w:snapToGrid w:val="false"/>
        <w:spacing w:lineRule="exact" w:line="340"/>
        <w:rPr>
          <w:rFonts w:ascii="標楷體" w:hAnsi="標楷體" w:eastAsia="標楷體" w:cs="標楷體"/>
          <w:b/>
          <w:b/>
        </w:rPr>
      </w:pPr>
      <w:r>
        <w:rPr>
          <w:rFonts w:ascii="標楷體" w:hAnsi="標楷體" w:cs="標楷體" w:eastAsia="標楷體"/>
          <w:b/>
        </w:rPr>
        <w:t>四、心理社會治療與藥物治療</w:t>
      </w:r>
    </w:p>
    <w:p>
      <w:pPr>
        <w:pStyle w:val="Normal"/>
        <w:snapToGrid w:val="false"/>
        <w:spacing w:lineRule="exact" w:line="340"/>
        <w:rPr/>
      </w:pPr>
      <w:r>
        <w:rPr>
          <w:rFonts w:eastAsia="標楷體" w:cs="標楷體" w:ascii="標楷體" w:hAnsi="標楷體"/>
        </w:rPr>
        <w:tab/>
        <w:tab/>
      </w:r>
    </w:p>
    <w:p>
      <w:pPr>
        <w:pStyle w:val="Normal"/>
        <w:snapToGrid w:val="false"/>
        <w:spacing w:lineRule="exact" w:line="340"/>
        <w:ind w:left="480" w:firstLine="480"/>
        <w:rPr>
          <w:rFonts w:ascii="標楷體" w:hAnsi="標楷體" w:eastAsia="標楷體" w:cs="標楷體"/>
        </w:rPr>
      </w:pPr>
      <w:r>
        <w:rPr>
          <w:rFonts w:ascii="標楷體" w:hAnsi="標楷體" w:cs="標楷體" w:eastAsia="標楷體"/>
        </w:rPr>
        <w:t>二級毒品的戒斷治療模式，以心理社會治療模式為主，並輔以相關藥物治療。</w:t>
      </w:r>
    </w:p>
    <w:p>
      <w:pPr>
        <w:pStyle w:val="Normal"/>
        <w:snapToGrid w:val="false"/>
        <w:spacing w:lineRule="exact" w:line="340"/>
        <w:ind w:left="480" w:hanging="0"/>
        <w:rPr/>
      </w:pPr>
      <w:r>
        <w:rPr>
          <w:rFonts w:eastAsia="標楷體" w:cs="標楷體" w:ascii="標楷體" w:hAnsi="標楷體"/>
        </w:rPr>
        <w:tab/>
      </w:r>
      <w:r>
        <w:rPr>
          <w:rFonts w:ascii="標楷體" w:hAnsi="標楷體" w:cs="標楷體" w:eastAsia="標楷體"/>
        </w:rPr>
        <w:t>主要應用的心理社會治療模式為：</w:t>
      </w:r>
    </w:p>
    <w:p>
      <w:pPr>
        <w:pStyle w:val="Normal"/>
        <w:snapToGrid w:val="false"/>
        <w:spacing w:lineRule="exact" w:line="340"/>
        <w:ind w:left="480" w:hanging="0"/>
        <w:rPr>
          <w:rFonts w:ascii="標楷體" w:hAnsi="標楷體" w:eastAsia="標楷體" w:cs="標楷體"/>
        </w:rPr>
      </w:pPr>
      <w:r>
        <w:rPr>
          <w:rFonts w:eastAsia="標楷體" w:cs="標楷體" w:ascii="標楷體" w:hAnsi="標楷體"/>
        </w:rPr>
        <w:t>(</w:t>
      </w:r>
      <w:r>
        <w:rPr>
          <w:rFonts w:ascii="標楷體" w:hAnsi="標楷體" w:cs="標楷體" w:eastAsia="標楷體"/>
        </w:rPr>
        <w:t>一</w:t>
      </w:r>
      <w:r>
        <w:rPr>
          <w:rFonts w:eastAsia="標楷體" w:cs="標楷體" w:ascii="標楷體" w:hAnsi="標楷體"/>
        </w:rPr>
        <w:t xml:space="preserve">) </w:t>
      </w:r>
      <w:r>
        <w:rPr>
          <w:rFonts w:ascii="標楷體" w:hAnsi="標楷體" w:cs="標楷體" w:eastAsia="標楷體"/>
        </w:rPr>
        <w:t>動機式晤談法。</w:t>
      </w:r>
    </w:p>
    <w:p>
      <w:pPr>
        <w:pStyle w:val="Normal"/>
        <w:snapToGrid w:val="false"/>
        <w:spacing w:lineRule="exact" w:line="340"/>
        <w:ind w:left="480" w:hanging="0"/>
        <w:rPr>
          <w:rFonts w:ascii="標楷體" w:hAnsi="標楷體" w:eastAsia="標楷體" w:cs="標楷體"/>
        </w:rPr>
      </w:pPr>
      <w:r>
        <w:rPr>
          <w:rFonts w:eastAsia="標楷體" w:cs="標楷體" w:ascii="標楷體" w:hAnsi="標楷體"/>
        </w:rPr>
        <w:t>(</w:t>
      </w:r>
      <w:r>
        <w:rPr>
          <w:rFonts w:ascii="標楷體" w:hAnsi="標楷體" w:cs="標楷體" w:eastAsia="標楷體"/>
        </w:rPr>
        <w:t>二</w:t>
      </w:r>
      <w:r>
        <w:rPr>
          <w:rFonts w:eastAsia="標楷體" w:cs="標楷體" w:ascii="標楷體" w:hAnsi="標楷體"/>
        </w:rPr>
        <w:t xml:space="preserve">) </w:t>
      </w:r>
      <w:r>
        <w:rPr>
          <w:rFonts w:ascii="標楷體" w:hAnsi="標楷體" w:cs="標楷體" w:eastAsia="標楷體"/>
        </w:rPr>
        <w:t>復發預防。</w:t>
      </w:r>
    </w:p>
    <w:p>
      <w:pPr>
        <w:pStyle w:val="Normal"/>
        <w:snapToGrid w:val="false"/>
        <w:spacing w:lineRule="exact" w:line="340"/>
        <w:ind w:left="480" w:hanging="0"/>
        <w:rPr>
          <w:rFonts w:ascii="標楷體" w:hAnsi="標楷體" w:eastAsia="標楷體" w:cs="標楷體"/>
          <w:color w:val="000000"/>
        </w:rPr>
      </w:pPr>
      <w:r>
        <w:rPr>
          <w:rFonts w:eastAsia="標楷體" w:cs="標楷體" w:ascii="標楷體" w:hAnsi="標楷體"/>
        </w:rPr>
        <w:t>(</w:t>
      </w:r>
      <w:r>
        <w:rPr>
          <w:rFonts w:ascii="標楷體" w:hAnsi="標楷體" w:cs="標楷體" w:eastAsia="標楷體"/>
        </w:rPr>
        <w:t>三</w:t>
      </w:r>
      <w:r>
        <w:rPr>
          <w:rFonts w:eastAsia="標楷體" w:cs="標楷體" w:ascii="標楷體" w:hAnsi="標楷體"/>
        </w:rPr>
        <w:t xml:space="preserve">) </w:t>
      </w:r>
      <w:r>
        <w:rPr>
          <w:rFonts w:ascii="標楷體" w:hAnsi="標楷體" w:cs="標楷體" w:eastAsia="標楷體"/>
          <w:color w:val="000000"/>
        </w:rPr>
        <w:t>情境處置管理模式。</w:t>
      </w:r>
    </w:p>
    <w:p>
      <w:pPr>
        <w:pStyle w:val="Normal"/>
        <w:snapToGrid w:val="false"/>
        <w:spacing w:lineRule="exact" w:line="340"/>
        <w:ind w:left="480" w:hanging="0"/>
        <w:rPr>
          <w:rFonts w:ascii="標楷體" w:hAnsi="標楷體" w:eastAsia="標楷體" w:cs="標楷體"/>
          <w:color w:val="000000"/>
        </w:rPr>
      </w:pPr>
      <w:r>
        <w:rPr>
          <w:rFonts w:eastAsia="標楷體" w:cs="標楷體" w:ascii="標楷體" w:hAnsi="標楷體"/>
          <w:color w:val="000000"/>
        </w:rPr>
        <w:t>(</w:t>
      </w:r>
      <w:r>
        <w:rPr>
          <w:rFonts w:ascii="標楷體" w:hAnsi="標楷體" w:cs="標楷體" w:eastAsia="標楷體"/>
          <w:color w:val="000000"/>
        </w:rPr>
        <w:t>四</w:t>
      </w:r>
      <w:r>
        <w:rPr>
          <w:rFonts w:eastAsia="標楷體" w:cs="標楷體" w:ascii="標楷體" w:hAnsi="標楷體"/>
          <w:color w:val="000000"/>
        </w:rPr>
        <w:t xml:space="preserve">) </w:t>
      </w:r>
      <w:r>
        <w:rPr>
          <w:rFonts w:ascii="標楷體" w:hAnsi="標楷體" w:cs="標楷體" w:eastAsia="標楷體"/>
          <w:color w:val="000000"/>
        </w:rPr>
        <w:t>家庭治療。</w:t>
      </w:r>
    </w:p>
    <w:p>
      <w:pPr>
        <w:pStyle w:val="Normal"/>
        <w:snapToGrid w:val="false"/>
        <w:spacing w:lineRule="exact" w:line="340"/>
        <w:ind w:left="480" w:hanging="0"/>
        <w:rPr>
          <w:rFonts w:ascii="標楷體" w:hAnsi="標楷體" w:eastAsia="標楷體" w:cs="標楷體"/>
          <w:color w:val="000000"/>
        </w:rPr>
      </w:pPr>
      <w:r>
        <w:rPr>
          <w:rFonts w:eastAsia="標楷體" w:cs="標楷體" w:ascii="標楷體" w:hAnsi="標楷體"/>
          <w:color w:val="000000"/>
        </w:rPr>
        <w:t>(</w:t>
      </w:r>
      <w:r>
        <w:rPr>
          <w:rFonts w:ascii="標楷體" w:hAnsi="標楷體" w:cs="標楷體" w:eastAsia="標楷體"/>
          <w:color w:val="000000"/>
        </w:rPr>
        <w:t>五</w:t>
      </w:r>
      <w:r>
        <w:rPr>
          <w:rFonts w:eastAsia="標楷體" w:cs="標楷體" w:ascii="標楷體" w:hAnsi="標楷體"/>
          <w:color w:val="000000"/>
        </w:rPr>
        <w:t xml:space="preserve">) </w:t>
      </w:r>
      <w:r>
        <w:rPr>
          <w:rFonts w:ascii="標楷體" w:hAnsi="標楷體" w:cs="標楷體" w:eastAsia="標楷體"/>
          <w:color w:val="000000"/>
        </w:rPr>
        <w:t>個別心理動力治療。</w:t>
      </w:r>
    </w:p>
    <w:p>
      <w:pPr>
        <w:pStyle w:val="Normal"/>
        <w:snapToGrid w:val="false"/>
        <w:spacing w:lineRule="exact" w:line="340"/>
        <w:ind w:left="480" w:hanging="0"/>
        <w:rPr>
          <w:rFonts w:ascii="標楷體" w:hAnsi="標楷體" w:eastAsia="標楷體" w:cs="標楷體"/>
        </w:rPr>
      </w:pPr>
      <w:r>
        <w:rPr>
          <w:rFonts w:eastAsia="標楷體" w:cs="標楷體" w:ascii="標楷體" w:hAnsi="標楷體"/>
          <w:color w:val="000000"/>
        </w:rPr>
        <w:t>(</w:t>
      </w:r>
      <w:r>
        <w:rPr>
          <w:rFonts w:ascii="標楷體" w:hAnsi="標楷體" w:cs="標楷體" w:eastAsia="標楷體"/>
          <w:color w:val="000000"/>
        </w:rPr>
        <w:t>六</w:t>
      </w:r>
      <w:r>
        <w:rPr>
          <w:rFonts w:eastAsia="標楷體" w:cs="標楷體" w:ascii="標楷體" w:hAnsi="標楷體"/>
          <w:color w:val="000000"/>
        </w:rPr>
        <w:t xml:space="preserve">) </w:t>
      </w:r>
      <w:r>
        <w:rPr>
          <w:rFonts w:ascii="標楷體" w:hAnsi="標楷體" w:cs="標楷體" w:eastAsia="標楷體"/>
          <w:color w:val="000000"/>
        </w:rPr>
        <w:t>團體治療。</w:t>
      </w:r>
    </w:p>
    <w:p>
      <w:pPr>
        <w:pStyle w:val="Normal"/>
        <w:snapToGrid w:val="false"/>
        <w:spacing w:lineRule="exact" w:line="340"/>
        <w:rPr>
          <w:rFonts w:ascii="標楷體" w:hAnsi="標楷體" w:eastAsia="標楷體" w:cs="標楷體"/>
        </w:rPr>
      </w:pPr>
      <w:r>
        <w:rPr>
          <w:rFonts w:eastAsia="標楷體" w:cs="標楷體" w:ascii="標楷體" w:hAnsi="標楷體"/>
        </w:rPr>
      </w:r>
    </w:p>
    <w:p>
      <w:pPr>
        <w:pStyle w:val="Normal"/>
        <w:snapToGrid w:val="false"/>
        <w:spacing w:lineRule="exact" w:line="340"/>
        <w:rPr>
          <w:rFonts w:ascii="標楷體" w:hAnsi="標楷體" w:eastAsia="標楷體" w:cs="標楷體"/>
          <w:b/>
          <w:b/>
        </w:rPr>
      </w:pPr>
      <w:r>
        <w:rPr>
          <w:rFonts w:ascii="標楷體" w:hAnsi="標楷體" w:cs="標楷體" w:eastAsia="標楷體"/>
          <w:b/>
        </w:rPr>
        <w:t>五、醫療機構與司法矯治機構之合作</w:t>
      </w:r>
    </w:p>
    <w:p>
      <w:pPr>
        <w:pStyle w:val="Normal"/>
        <w:snapToGrid w:val="false"/>
        <w:spacing w:lineRule="exact" w:line="340"/>
        <w:rPr>
          <w:rFonts w:ascii="標楷體" w:hAnsi="標楷體" w:eastAsia="標楷體" w:cs="標楷體"/>
          <w:b/>
          <w:b/>
        </w:rPr>
      </w:pPr>
      <w:r>
        <w:rPr>
          <w:rFonts w:eastAsia="標楷體" w:cs="標楷體" w:ascii="標楷體" w:hAnsi="標楷體"/>
          <w:b/>
        </w:rPr>
      </w:r>
    </w:p>
    <w:p>
      <w:pPr>
        <w:pStyle w:val="Normal"/>
        <w:snapToGrid w:val="false"/>
        <w:spacing w:lineRule="exact" w:line="340"/>
        <w:ind w:left="480" w:hanging="0"/>
        <w:rPr>
          <w:rFonts w:ascii="標楷體" w:hAnsi="標楷體" w:eastAsia="標楷體" w:cs="標楷體"/>
        </w:rPr>
      </w:pPr>
      <w:r>
        <w:rPr>
          <w:rFonts w:eastAsia="標楷體" w:cs="標楷體" w:ascii="標楷體" w:hAnsi="標楷體"/>
        </w:rPr>
        <w:tab/>
      </w:r>
      <w:r>
        <w:rPr>
          <w:rFonts w:ascii="標楷體" w:hAnsi="標楷體" w:cs="標楷體" w:eastAsia="標楷體"/>
        </w:rPr>
        <w:t>由於目前國內的二級毒品個案，在身分上仍屬於「病犯」的過渡階段，同時具有犯人與病人的角色，因此醫療機構與司法矯治機構對於個案狀態的共同瞭解、以及後續追蹤的相互配合，仍須醫療機構與司法矯治機構雙方密切合作。</w:t>
      </w:r>
    </w:p>
    <w:p>
      <w:pPr>
        <w:pStyle w:val="Normal"/>
        <w:snapToGrid w:val="false"/>
        <w:spacing w:lineRule="exact" w:line="340"/>
        <w:rPr>
          <w:rFonts w:ascii="標楷體" w:hAnsi="標楷體" w:eastAsia="標楷體" w:cs="標楷體"/>
          <w:b/>
          <w:b/>
        </w:rPr>
      </w:pPr>
      <w:r>
        <w:rPr>
          <w:rFonts w:eastAsia="標楷體" w:cs="標楷體" w:ascii="標楷體" w:hAnsi="標楷體"/>
          <w:b/>
        </w:rPr>
        <w:tab/>
      </w:r>
    </w:p>
    <w:p>
      <w:pPr>
        <w:pStyle w:val="Normal"/>
        <w:snapToGrid w:val="false"/>
        <w:spacing w:lineRule="exact" w:line="340"/>
        <w:rPr>
          <w:rFonts w:ascii="標楷體" w:hAnsi="標楷體" w:eastAsia="標楷體" w:cs="標楷體"/>
          <w:b/>
          <w:b/>
        </w:rPr>
      </w:pPr>
      <w:r>
        <w:rPr>
          <w:rFonts w:ascii="標楷體" w:hAnsi="標楷體" w:cs="標楷體" w:eastAsia="標楷體"/>
          <w:b/>
        </w:rPr>
        <w:t>六、治療成效評估</w:t>
      </w:r>
    </w:p>
    <w:p>
      <w:pPr>
        <w:pStyle w:val="Normal"/>
        <w:snapToGrid w:val="false"/>
        <w:spacing w:lineRule="exact" w:line="340"/>
        <w:rPr>
          <w:rFonts w:ascii="標楷體" w:hAnsi="標楷體" w:eastAsia="標楷體" w:cs="標楷體"/>
          <w:b/>
          <w:b/>
        </w:rPr>
      </w:pPr>
      <w:r>
        <w:rPr>
          <w:rFonts w:eastAsia="標楷體" w:cs="標楷體" w:ascii="標楷體" w:hAnsi="標楷體"/>
          <w:b/>
        </w:rPr>
      </w:r>
    </w:p>
    <w:p>
      <w:pPr>
        <w:pStyle w:val="Normal"/>
        <w:snapToGrid w:val="false"/>
        <w:spacing w:lineRule="exact" w:line="340"/>
        <w:ind w:left="480" w:firstLine="480"/>
        <w:rPr/>
      </w:pPr>
      <w:r>
        <w:rPr>
          <w:rFonts w:ascii="標楷體" w:hAnsi="標楷體" w:cs="標楷體" w:eastAsia="標楷體"/>
        </w:rPr>
        <w:t>個案治療成效的評估，依照個案的成癮程度差異，可以有個別化的療效指標選擇。</w:t>
      </w:r>
    </w:p>
    <w:p>
      <w:pPr>
        <w:pStyle w:val="Normal"/>
        <w:snapToGrid w:val="false"/>
        <w:spacing w:lineRule="exact" w:line="340"/>
        <w:ind w:left="960" w:hanging="0"/>
        <w:rPr>
          <w:rFonts w:ascii="標楷體" w:hAnsi="標楷體" w:eastAsia="標楷體" w:cs="標楷體"/>
        </w:rPr>
      </w:pPr>
      <w:r>
        <w:rPr>
          <w:rFonts w:ascii="標楷體" w:hAnsi="標楷體" w:cs="標楷體" w:eastAsia="標楷體"/>
        </w:rPr>
        <w:t>可參考之治療成效指標如下：</w:t>
      </w:r>
    </w:p>
    <w:p>
      <w:pPr>
        <w:pStyle w:val="Normal"/>
        <w:snapToGrid w:val="false"/>
        <w:spacing w:lineRule="exact" w:line="340"/>
        <w:ind w:left="340" w:hanging="0"/>
        <w:rPr>
          <w:rFonts w:ascii="標楷體" w:hAnsi="標楷體" w:eastAsia="標楷體" w:cs="標楷體"/>
        </w:rPr>
      </w:pPr>
      <w:r>
        <w:rPr>
          <w:rFonts w:eastAsia="標楷體" w:cs="標楷體" w:ascii="標楷體" w:hAnsi="標楷體"/>
        </w:rPr>
        <w:t>(</w:t>
      </w:r>
      <w:r>
        <w:rPr>
          <w:rFonts w:ascii="標楷體" w:hAnsi="標楷體" w:cs="標楷體" w:eastAsia="標楷體"/>
        </w:rPr>
        <w:t>一</w:t>
      </w:r>
      <w:r>
        <w:rPr>
          <w:rFonts w:eastAsia="標楷體" w:cs="標楷體" w:ascii="標楷體" w:hAnsi="標楷體"/>
        </w:rPr>
        <w:t xml:space="preserve">) </w:t>
      </w:r>
      <w:r>
        <w:rPr>
          <w:rFonts w:ascii="標楷體" w:hAnsi="標楷體" w:cs="標楷體" w:eastAsia="標楷體"/>
        </w:rPr>
        <w:t>尿液藥物篩檢陰性率</w:t>
      </w:r>
    </w:p>
    <w:p>
      <w:pPr>
        <w:pStyle w:val="Normal"/>
        <w:snapToGrid w:val="false"/>
        <w:spacing w:lineRule="exact" w:line="340"/>
        <w:ind w:left="340" w:hanging="0"/>
        <w:rPr>
          <w:rFonts w:ascii="標楷體" w:hAnsi="標楷體" w:eastAsia="標楷體" w:cs="標楷體"/>
        </w:rPr>
      </w:pPr>
      <w:r>
        <w:rPr>
          <w:rFonts w:eastAsia="標楷體" w:cs="標楷體" w:ascii="標楷體" w:hAnsi="標楷體"/>
        </w:rPr>
        <w:t>(</w:t>
      </w:r>
      <w:r>
        <w:rPr>
          <w:rFonts w:ascii="標楷體" w:hAnsi="標楷體" w:cs="標楷體" w:eastAsia="標楷體"/>
        </w:rPr>
        <w:t>二</w:t>
      </w:r>
      <w:r>
        <w:rPr>
          <w:rFonts w:eastAsia="標楷體" w:cs="標楷體" w:ascii="標楷體" w:hAnsi="標楷體"/>
        </w:rPr>
        <w:t xml:space="preserve">) </w:t>
      </w:r>
      <w:r>
        <w:rPr>
          <w:rFonts w:ascii="標楷體" w:hAnsi="標楷體" w:cs="標楷體" w:eastAsia="標楷體"/>
        </w:rPr>
        <w:t>尿液藥物篩檢陰性持續時間</w:t>
      </w:r>
    </w:p>
    <w:p>
      <w:pPr>
        <w:pStyle w:val="Normal"/>
        <w:snapToGrid w:val="false"/>
        <w:spacing w:lineRule="exact" w:line="340"/>
        <w:ind w:left="340" w:hanging="0"/>
        <w:rPr>
          <w:rFonts w:ascii="標楷體" w:hAnsi="標楷體" w:eastAsia="標楷體" w:cs="標楷體"/>
        </w:rPr>
      </w:pPr>
      <w:r>
        <w:rPr>
          <w:rFonts w:eastAsia="標楷體" w:cs="標楷體" w:ascii="標楷體" w:hAnsi="標楷體"/>
        </w:rPr>
        <w:t>(</w:t>
      </w:r>
      <w:r>
        <w:rPr>
          <w:rFonts w:ascii="標楷體" w:hAnsi="標楷體" w:cs="標楷體" w:eastAsia="標楷體"/>
        </w:rPr>
        <w:t>三</w:t>
      </w:r>
      <w:r>
        <w:rPr>
          <w:rFonts w:eastAsia="標楷體" w:cs="標楷體" w:ascii="標楷體" w:hAnsi="標楷體"/>
        </w:rPr>
        <w:t xml:space="preserve">) </w:t>
      </w:r>
      <w:r>
        <w:rPr>
          <w:rFonts w:ascii="標楷體" w:hAnsi="標楷體" w:cs="標楷體" w:eastAsia="標楷體"/>
        </w:rPr>
        <w:t>出席率</w:t>
      </w:r>
    </w:p>
    <w:p>
      <w:pPr>
        <w:pStyle w:val="Normal"/>
        <w:snapToGrid w:val="false"/>
        <w:spacing w:lineRule="exact" w:line="340"/>
        <w:ind w:left="340" w:hanging="0"/>
        <w:rPr>
          <w:rFonts w:ascii="標楷體" w:hAnsi="標楷體" w:eastAsia="標楷體" w:cs="標楷體"/>
        </w:rPr>
      </w:pPr>
      <w:r>
        <w:rPr>
          <w:rFonts w:eastAsia="標楷體" w:cs="標楷體" w:ascii="標楷體" w:hAnsi="標楷體"/>
        </w:rPr>
        <w:t>(</w:t>
      </w:r>
      <w:r>
        <w:rPr>
          <w:rFonts w:ascii="標楷體" w:hAnsi="標楷體" w:cs="標楷體" w:eastAsia="標楷體"/>
        </w:rPr>
        <w:t>四</w:t>
      </w:r>
      <w:r>
        <w:rPr>
          <w:rFonts w:eastAsia="標楷體" w:cs="標楷體" w:ascii="標楷體" w:hAnsi="標楷體"/>
        </w:rPr>
        <w:t xml:space="preserve">) </w:t>
      </w:r>
      <w:r>
        <w:rPr>
          <w:rFonts w:ascii="標楷體" w:hAnsi="標楷體" w:cs="標楷體" w:eastAsia="標楷體"/>
        </w:rPr>
        <w:t>病識感（動機式晤談法分級）</w:t>
      </w:r>
    </w:p>
    <w:p>
      <w:pPr>
        <w:pStyle w:val="Normal"/>
        <w:snapToGrid w:val="false"/>
        <w:spacing w:lineRule="exact" w:line="340"/>
        <w:ind w:left="340" w:hanging="0"/>
        <w:rPr>
          <w:rFonts w:ascii="標楷體" w:hAnsi="標楷體" w:eastAsia="標楷體" w:cs="標楷體"/>
        </w:rPr>
      </w:pPr>
      <w:r>
        <w:rPr>
          <w:rFonts w:eastAsia="標楷體" w:cs="標楷體" w:ascii="標楷體" w:hAnsi="標楷體"/>
        </w:rPr>
        <w:t>(</w:t>
      </w:r>
      <w:r>
        <w:rPr>
          <w:rFonts w:ascii="標楷體" w:hAnsi="標楷體" w:cs="標楷體" w:eastAsia="標楷體"/>
        </w:rPr>
        <w:t>五</w:t>
      </w:r>
      <w:r>
        <w:rPr>
          <w:rFonts w:eastAsia="標楷體" w:cs="標楷體" w:ascii="標楷體" w:hAnsi="標楷體"/>
        </w:rPr>
        <w:t xml:space="preserve">) </w:t>
      </w:r>
      <w:r>
        <w:rPr>
          <w:rFonts w:ascii="標楷體" w:hAnsi="標楷體" w:cs="標楷體" w:eastAsia="標楷體"/>
        </w:rPr>
        <w:t>社會功能（合法性職業、家庭、或學業功能）</w:t>
      </w:r>
    </w:p>
    <w:p>
      <w:pPr>
        <w:pStyle w:val="Normal"/>
        <w:snapToGrid w:val="false"/>
        <w:spacing w:lineRule="exact" w:line="340"/>
        <w:ind w:left="340" w:hanging="0"/>
        <w:rPr>
          <w:rFonts w:ascii="標楷體" w:hAnsi="標楷體" w:eastAsia="標楷體" w:cs="標楷體"/>
        </w:rPr>
      </w:pPr>
      <w:r>
        <w:rPr>
          <w:rFonts w:eastAsia="標楷體" w:cs="標楷體" w:ascii="標楷體" w:hAnsi="標楷體"/>
        </w:rPr>
        <w:t>(</w:t>
      </w:r>
      <w:r>
        <w:rPr>
          <w:rFonts w:ascii="標楷體" w:hAnsi="標楷體" w:cs="標楷體" w:eastAsia="標楷體"/>
        </w:rPr>
        <w:t>六</w:t>
      </w:r>
      <w:r>
        <w:rPr>
          <w:rFonts w:eastAsia="標楷體" w:cs="標楷體" w:ascii="標楷體" w:hAnsi="標楷體"/>
        </w:rPr>
        <w:t xml:space="preserve">) </w:t>
      </w:r>
      <w:r>
        <w:rPr>
          <w:rFonts w:ascii="標楷體" w:hAnsi="標楷體" w:cs="標楷體" w:eastAsia="標楷體"/>
        </w:rPr>
        <w:t>共病性精神疾病症狀嚴重度</w:t>
      </w:r>
      <w:r>
        <w:br w:type="page"/>
      </w:r>
    </w:p>
    <w:p>
      <w:pPr>
        <w:pStyle w:val="1"/>
        <w:jc w:val="center"/>
        <w:rPr>
          <w:rStyle w:val="Applestylespan"/>
          <w:rFonts w:ascii="標楷體" w:hAnsi="標楷體" w:cs="標楷體"/>
        </w:rPr>
      </w:pPr>
      <w:bookmarkStart w:id="4" w:name="__RefHeading___Toc319875831"/>
      <w:bookmarkEnd w:id="4"/>
      <w:r>
        <w:rPr>
          <w:rStyle w:val="Applestylespan"/>
        </w:rPr>
        <w:t>第三節</w:t>
      </w:r>
      <w:r>
        <w:rPr>
          <w:rStyle w:val="Applestylespan"/>
          <w:rFonts w:eastAsia="Cambria"/>
        </w:rPr>
        <w:t xml:space="preserve"> </w:t>
      </w:r>
      <w:r>
        <w:rPr>
          <w:rStyle w:val="Applestylespan"/>
        </w:rPr>
        <w:t>二級毒品藥理作用</w:t>
      </w:r>
    </w:p>
    <w:p>
      <w:pPr>
        <w:pStyle w:val="Normal"/>
        <w:rPr>
          <w:rStyle w:val="Applestylespan"/>
          <w:rFonts w:ascii="標楷體" w:hAnsi="標楷體" w:eastAsia="標楷體" w:cs="標楷體"/>
        </w:rPr>
      </w:pPr>
      <w:r>
        <w:rPr>
          <w:rStyle w:val="Applestylespan"/>
          <w:rFonts w:eastAsia="標楷體" w:cs="標楷體" w:ascii="標楷體" w:hAnsi="標楷體"/>
        </w:rPr>
        <w:tab/>
      </w:r>
      <w:r>
        <w:rPr>
          <w:rStyle w:val="Applestylespan"/>
          <w:rFonts w:ascii="標楷體" w:hAnsi="標楷體" w:cs="標楷體" w:eastAsia="標楷體"/>
        </w:rPr>
        <w:t>在二級毒品濫用者的治療追蹤期間，了解過去個案的藥物使用狀態，以及監測個案的臨床戒斷狀態，除了依據尿液藥物篩檢、毛髮測試等實驗診斷工具，依照個別藥物的藥理作用，對於個案中毒、戒斷、復發等狀態，亦有助於從臨床表現上據以瞭解。</w:t>
      </w:r>
    </w:p>
    <w:p>
      <w:pPr>
        <w:pStyle w:val="Normal"/>
        <w:rPr>
          <w:rStyle w:val="Applestylespan"/>
          <w:rFonts w:ascii="標楷體" w:hAnsi="標楷體" w:eastAsia="標楷體" w:cs="標楷體"/>
          <w:b/>
          <w:b/>
        </w:rPr>
      </w:pPr>
      <w:r>
        <w:rPr/>
      </w:r>
    </w:p>
    <w:p>
      <w:pPr>
        <w:pStyle w:val="Normal"/>
        <w:rPr/>
      </w:pPr>
      <w:r>
        <w:rPr>
          <w:rStyle w:val="Applestylespan"/>
          <w:rFonts w:ascii="標楷體" w:hAnsi="標楷體" w:cs="標楷體" w:eastAsia="標楷體"/>
          <w:b/>
        </w:rPr>
        <w:t>一、安非他命</w:t>
      </w:r>
    </w:p>
    <w:p>
      <w:pPr>
        <w:pStyle w:val="Normal"/>
        <w:rPr>
          <w:rStyle w:val="Applestylespan"/>
          <w:rFonts w:ascii="標楷體" w:hAnsi="標楷體" w:eastAsia="標楷體" w:cs="標楷體"/>
          <w:b/>
          <w:b/>
        </w:rPr>
      </w:pPr>
      <w:r>
        <w:rPr/>
      </w:r>
    </w:p>
    <w:p>
      <w:pPr>
        <w:pStyle w:val="Normal"/>
        <w:rPr>
          <w:rStyle w:val="Applestylespan"/>
          <w:rFonts w:ascii="標楷體" w:hAnsi="標楷體" w:eastAsia="標楷體" w:cs="標楷體"/>
          <w:b/>
          <w:b/>
        </w:rPr>
      </w:pPr>
      <w:r>
        <w:rPr>
          <w:rStyle w:val="Applestylespan"/>
          <w:rFonts w:eastAsia="標楷體" w:cs="標楷體" w:ascii="標楷體" w:hAnsi="標楷體"/>
          <w:b/>
        </w:rPr>
        <w:t>(</w:t>
      </w:r>
      <w:r>
        <w:rPr>
          <w:rStyle w:val="Applestylespan"/>
          <w:rFonts w:ascii="標楷體" w:hAnsi="標楷體" w:cs="標楷體" w:eastAsia="標楷體"/>
          <w:b/>
        </w:rPr>
        <w:t>一</w:t>
      </w:r>
      <w:r>
        <w:rPr>
          <w:rStyle w:val="Applestylespan"/>
          <w:rFonts w:eastAsia="標楷體" w:cs="標楷體" w:ascii="標楷體" w:hAnsi="標楷體"/>
          <w:b/>
        </w:rPr>
        <w:t xml:space="preserve">) </w:t>
      </w:r>
      <w:r>
        <w:rPr>
          <w:rStyle w:val="Applestylespan"/>
          <w:rFonts w:ascii="標楷體" w:hAnsi="標楷體" w:cs="標楷體" w:eastAsia="標楷體"/>
          <w:b/>
        </w:rPr>
        <w:t>安非他命藥理作用</w:t>
      </w:r>
    </w:p>
    <w:p>
      <w:pPr>
        <w:pStyle w:val="Normal"/>
        <w:rPr>
          <w:rStyle w:val="Applestylespan"/>
          <w:rFonts w:ascii="標楷體" w:hAnsi="標楷體" w:eastAsia="標楷體" w:cs="標楷體"/>
          <w:b/>
          <w:b/>
        </w:rPr>
      </w:pPr>
      <w:r>
        <w:rPr/>
      </w:r>
    </w:p>
    <w:p>
      <w:pPr>
        <w:pStyle w:val="Normal"/>
        <w:ind w:left="600" w:firstLine="480"/>
        <w:rPr>
          <w:rStyle w:val="Applestylespan"/>
          <w:rFonts w:ascii="標楷體" w:hAnsi="標楷體" w:eastAsia="標楷體" w:cs="標楷體"/>
        </w:rPr>
      </w:pPr>
      <w:r>
        <w:rPr>
          <w:rStyle w:val="Applestylespan"/>
          <w:rFonts w:ascii="標楷體" w:hAnsi="標楷體" w:cs="標楷體" w:eastAsia="標楷體"/>
        </w:rPr>
        <w:t>安非他命類藥物的製劑可能有結晶體、藥丸、液體或粉末等型式，使用途徑有煙吸、鼻吸、口服、注射、肛門塞入等方式，在台灣地區最常見的使用途徑為煙吸的方式，在其他國家則是煙吸、口服、注射等方式都很常見，例如在泰國則以口服為主，近年來國人風靡減重，也有許多個案是以減重的原因而開始口服安非他命類的減肥藥。</w:t>
      </w:r>
    </w:p>
    <w:p>
      <w:pPr>
        <w:pStyle w:val="Normal"/>
        <w:ind w:left="480" w:hanging="0"/>
        <w:rPr>
          <w:rStyle w:val="Applestylespan"/>
          <w:rFonts w:ascii="標楷體" w:hAnsi="標楷體" w:eastAsia="標楷體" w:cs="標楷體"/>
        </w:rPr>
      </w:pPr>
      <w:r>
        <w:rPr/>
      </w:r>
    </w:p>
    <w:p>
      <w:pPr>
        <w:pStyle w:val="Normal"/>
        <w:ind w:left="600" w:firstLine="456"/>
        <w:jc w:val="both"/>
        <w:rPr/>
      </w:pPr>
      <w:r>
        <w:rPr>
          <w:rStyle w:val="Applestylespan"/>
          <w:rFonts w:ascii="標楷體" w:hAnsi="標楷體" w:cs="標楷體" w:eastAsia="標楷體"/>
          <w:spacing w:val="-6"/>
          <w:szCs w:val="24"/>
        </w:rPr>
        <w:t>正常人在剛開始使用安非他命時，可能產生舒服、心情愉悅、以及友善的感覺，除了增進注意力、增加寫作、演說以及技能表現，同時亦可能減少疲勞、減低食慾。相關作用尚包括性慾增加、快感、呼吸增快、脈搏增加、血壓增加、中心體溫升高、皮膚溫度下降、氣管平滑肌放鬆、腸胃蠕動減慢、尿道擴約肌收縮、止痛等。安非他命除了可能造成高血壓、腦血管或心血管病變外，其所引起的體溫過高現象，亦可能會伴隨橫紋肌崩解（</w:t>
      </w:r>
      <w:r>
        <w:rPr>
          <w:rStyle w:val="Applestylespan"/>
          <w:rFonts w:eastAsia="標楷體" w:cs="標楷體" w:ascii="標楷體" w:hAnsi="標楷體"/>
          <w:spacing w:val="-6"/>
          <w:szCs w:val="24"/>
        </w:rPr>
        <w:t>rhabdomyolysis</w:t>
      </w:r>
      <w:r>
        <w:rPr>
          <w:rStyle w:val="Applestylespan"/>
          <w:rFonts w:ascii="標楷體" w:hAnsi="標楷體" w:cs="標楷體" w:eastAsia="標楷體"/>
          <w:spacing w:val="-6"/>
          <w:szCs w:val="24"/>
        </w:rPr>
        <w:t>）、瀰漫性血管內凝血及腎衰竭等疾病，這些疾病都具有致死的危險性。</w:t>
      </w:r>
    </w:p>
    <w:p>
      <w:pPr>
        <w:pStyle w:val="Normal"/>
        <w:ind w:left="600" w:firstLine="480"/>
        <w:rPr>
          <w:rStyle w:val="Applestylespan"/>
          <w:rFonts w:ascii="標楷體" w:hAnsi="標楷體" w:eastAsia="標楷體" w:cs="標楷體"/>
          <w:spacing w:val="-6"/>
          <w:szCs w:val="24"/>
        </w:rPr>
      </w:pPr>
      <w:r>
        <w:rPr/>
      </w:r>
    </w:p>
    <w:p>
      <w:pPr>
        <w:pStyle w:val="Normal"/>
        <w:ind w:left="600" w:firstLine="480"/>
        <w:rPr/>
      </w:pPr>
      <w:r>
        <w:rPr>
          <w:rStyle w:val="Applestylespan"/>
          <w:rFonts w:ascii="標楷體" w:hAnsi="標楷體" w:cs="標楷體" w:eastAsia="標楷體"/>
        </w:rPr>
        <w:t>正向興奮作用會很快地發生耐受性，有時甚至可在使用一天以後就發生，同時食慾與睡眠也立即受到影響。除了耐受性與安非他命特有的敏感化現象外，安非他命一旦停用以後，戒斷初期會出現不適的戒斷症狀，特別是大量使用後，可能會發生崩潰期（</w:t>
      </w:r>
      <w:r>
        <w:rPr>
          <w:rStyle w:val="Applestylespan"/>
          <w:rFonts w:eastAsia="標楷體" w:cs="標楷體" w:ascii="標楷體" w:hAnsi="標楷體"/>
        </w:rPr>
        <w:t>crash period</w:t>
      </w:r>
      <w:r>
        <w:rPr>
          <w:rStyle w:val="Applestylespan"/>
          <w:rFonts w:ascii="標楷體" w:hAnsi="標楷體" w:cs="標楷體" w:eastAsia="標楷體"/>
        </w:rPr>
        <w:t>），症狀包括憂鬱、焦慮、激動、強烈的渴癮（</w:t>
      </w:r>
      <w:r>
        <w:rPr>
          <w:rStyle w:val="Applestylespan"/>
          <w:rFonts w:eastAsia="標楷體" w:cs="標楷體" w:ascii="標楷體" w:hAnsi="標楷體"/>
        </w:rPr>
        <w:t>craving</w:t>
      </w:r>
      <w:r>
        <w:rPr>
          <w:rStyle w:val="Applestylespan"/>
          <w:rFonts w:ascii="標楷體" w:hAnsi="標楷體" w:cs="標楷體" w:eastAsia="標楷體"/>
        </w:rPr>
        <w:t>）等，接下來戒斷中期會經歷疲倦感、失去身心能量、對週遭事物失去興趣等現象，最後戒斷末期則是會經歷偶發、短暫的渴癮。部分個案會發生精神病狀態，包括妄想、幻覺、情緒障礙、重複行為等。</w:t>
      </w:r>
    </w:p>
    <w:p>
      <w:pPr>
        <w:pStyle w:val="Normal"/>
        <w:ind w:left="600" w:firstLine="480"/>
        <w:rPr>
          <w:rStyle w:val="Applestylespan"/>
          <w:rFonts w:ascii="標楷體" w:hAnsi="標楷體" w:eastAsia="標楷體" w:cs="標楷體"/>
        </w:rPr>
      </w:pPr>
      <w:r>
        <w:rPr/>
      </w:r>
    </w:p>
    <w:p>
      <w:pPr>
        <w:pStyle w:val="Normal"/>
        <w:ind w:left="600" w:firstLine="480"/>
        <w:rPr/>
      </w:pPr>
      <w:r>
        <w:rPr>
          <w:rStyle w:val="Applestylespan"/>
          <w:rFonts w:ascii="標楷體" w:hAnsi="標楷體" w:cs="標楷體" w:eastAsia="標楷體"/>
        </w:rPr>
        <w:t>安非他命會與兒苯酚胺﹙</w:t>
      </w:r>
      <w:r>
        <w:rPr>
          <w:rStyle w:val="Applestylespan"/>
          <w:rFonts w:eastAsia="標楷體" w:cs="標楷體" w:ascii="標楷體" w:hAnsi="標楷體"/>
        </w:rPr>
        <w:t>catecholamine</w:t>
      </w:r>
      <w:r>
        <w:rPr>
          <w:rStyle w:val="Applestylespan"/>
          <w:rFonts w:ascii="標楷體" w:hAnsi="標楷體" w:cs="標楷體" w:eastAsia="標楷體"/>
        </w:rPr>
        <w:t>）相關的神經元發生作用，安非他命的化學結構與兒苯酚胺的類似產物相當接近。安非他命亦可藉由阻絕神經傳導介質在神經元的回收作用，增加神經細胞元突觸（</w:t>
      </w:r>
      <w:r>
        <w:rPr>
          <w:rStyle w:val="Applestylespan"/>
          <w:rFonts w:eastAsia="標楷體" w:cs="標楷體" w:ascii="標楷體" w:hAnsi="標楷體"/>
        </w:rPr>
        <w:t>synapse</w:t>
      </w:r>
      <w:r>
        <w:rPr>
          <w:rStyle w:val="Applestylespan"/>
          <w:rFonts w:ascii="標楷體" w:hAnsi="標楷體" w:cs="標楷體" w:eastAsia="標楷體"/>
        </w:rPr>
        <w:t>）的神經傳導介質濃度。可能活化的系統，主要包括了多巴胺、正腎上腺素以及血清素（</w:t>
      </w:r>
      <w:r>
        <w:rPr>
          <w:rStyle w:val="Applestylespan"/>
          <w:rFonts w:eastAsia="標楷體" w:cs="標楷體" w:ascii="標楷體" w:hAnsi="標楷體"/>
        </w:rPr>
        <w:t>serotonin</w:t>
      </w:r>
      <w:r>
        <w:rPr>
          <w:rStyle w:val="Applestylespan"/>
          <w:rFonts w:ascii="標楷體" w:hAnsi="標楷體" w:cs="標楷體" w:eastAsia="標楷體"/>
        </w:rPr>
        <w:t>）等三大系統，一般認為安非他命的作用，主要是來自多巴胺系統。</w:t>
      </w:r>
    </w:p>
    <w:p>
      <w:pPr>
        <w:pStyle w:val="Normal"/>
        <w:ind w:left="480" w:hanging="0"/>
        <w:rPr>
          <w:rStyle w:val="Applestylespan"/>
          <w:rFonts w:ascii="標楷體" w:hAnsi="標楷體" w:eastAsia="標楷體" w:cs="標楷體"/>
        </w:rPr>
      </w:pPr>
      <w:r>
        <w:rPr/>
      </w:r>
    </w:p>
    <w:p>
      <w:pPr>
        <w:pStyle w:val="Normal"/>
        <w:rPr>
          <w:rStyle w:val="Applestylespan"/>
          <w:rFonts w:ascii="標楷體" w:hAnsi="標楷體" w:eastAsia="標楷體" w:cs="標楷體"/>
          <w:b/>
          <w:b/>
        </w:rPr>
      </w:pPr>
      <w:r>
        <w:rPr>
          <w:rStyle w:val="Applestylespan"/>
          <w:rFonts w:eastAsia="標楷體" w:cs="標楷體" w:ascii="標楷體" w:hAnsi="標楷體"/>
          <w:b/>
        </w:rPr>
        <w:t>(</w:t>
      </w:r>
      <w:r>
        <w:rPr>
          <w:rStyle w:val="Applestylespan"/>
          <w:rFonts w:ascii="標楷體" w:hAnsi="標楷體" w:cs="標楷體" w:eastAsia="標楷體"/>
          <w:b/>
        </w:rPr>
        <w:t>二</w:t>
      </w:r>
      <w:r>
        <w:rPr>
          <w:rStyle w:val="Applestylespan"/>
          <w:rFonts w:eastAsia="標楷體" w:cs="標楷體" w:ascii="標楷體" w:hAnsi="標楷體"/>
          <w:b/>
        </w:rPr>
        <w:t xml:space="preserve">) </w:t>
      </w:r>
      <w:r>
        <w:rPr>
          <w:rStyle w:val="Applestylespan"/>
          <w:rFonts w:ascii="標楷體" w:hAnsi="標楷體" w:cs="標楷體" w:eastAsia="標楷體"/>
          <w:b/>
        </w:rPr>
        <w:t>安非他命藥物動力學</w:t>
      </w:r>
    </w:p>
    <w:p>
      <w:pPr>
        <w:pStyle w:val="Normal"/>
        <w:rPr>
          <w:rStyle w:val="Applestylespan"/>
          <w:rFonts w:ascii="標楷體" w:hAnsi="標楷體" w:eastAsia="標楷體" w:cs="標楷體"/>
          <w:b/>
          <w:b/>
        </w:rPr>
      </w:pPr>
      <w:r>
        <w:rPr/>
      </w:r>
    </w:p>
    <w:p>
      <w:pPr>
        <w:pStyle w:val="Normal"/>
        <w:ind w:left="600" w:firstLine="480"/>
        <w:jc w:val="both"/>
        <w:rPr/>
      </w:pPr>
      <w:r>
        <w:rPr>
          <w:rStyle w:val="Applestylespan"/>
          <w:rFonts w:ascii="標楷體" w:hAnsi="標楷體" w:cs="標楷體" w:eastAsia="標楷體"/>
        </w:rPr>
        <w:t>甲基安非他命的生物可用率（</w:t>
      </w:r>
      <w:r>
        <w:rPr>
          <w:rStyle w:val="Applestylespan"/>
          <w:rFonts w:eastAsia="標楷體" w:cs="標楷體" w:ascii="標楷體" w:hAnsi="標楷體"/>
        </w:rPr>
        <w:t>bioavailability</w:t>
      </w:r>
      <w:r>
        <w:rPr>
          <w:rStyle w:val="Applestylespan"/>
          <w:rFonts w:ascii="標楷體" w:hAnsi="標楷體" w:cs="標楷體" w:eastAsia="標楷體"/>
        </w:rPr>
        <w:t>），鼻黏膜吸入方式為</w:t>
      </w:r>
      <w:r>
        <w:rPr>
          <w:rStyle w:val="Applestylespan"/>
          <w:rFonts w:eastAsia="標楷體" w:cs="標楷體" w:ascii="標楷體" w:hAnsi="標楷體"/>
        </w:rPr>
        <w:t>79%</w:t>
      </w:r>
      <w:r>
        <w:rPr>
          <w:rStyle w:val="Applestylespan"/>
          <w:rFonts w:ascii="標楷體" w:hAnsi="標楷體" w:cs="標楷體" w:eastAsia="標楷體"/>
        </w:rPr>
        <w:t>，注射方式為</w:t>
      </w:r>
      <w:r>
        <w:rPr>
          <w:rStyle w:val="Applestylespan"/>
          <w:rFonts w:eastAsia="標楷體" w:cs="標楷體" w:ascii="標楷體" w:hAnsi="標楷體"/>
        </w:rPr>
        <w:t>67%</w:t>
      </w:r>
      <w:r>
        <w:rPr>
          <w:rStyle w:val="Applestylespan"/>
          <w:rFonts w:ascii="標楷體" w:hAnsi="標楷體" w:cs="標楷體" w:eastAsia="標楷體"/>
        </w:rPr>
        <w:t>，煙吸方式為</w:t>
      </w:r>
      <w:r>
        <w:rPr>
          <w:rStyle w:val="Applestylespan"/>
          <w:rFonts w:eastAsia="標楷體" w:cs="標楷體" w:ascii="標楷體" w:hAnsi="標楷體"/>
        </w:rPr>
        <w:t>37.4%</w:t>
      </w:r>
      <w:r>
        <w:rPr>
          <w:rStyle w:val="Applestylespan"/>
          <w:rFonts w:ascii="標楷體" w:hAnsi="標楷體" w:cs="標楷體" w:eastAsia="標楷體"/>
        </w:rPr>
        <w:t>。達到最大血中濃度時間，鼻黏膜吸入方式為</w:t>
      </w:r>
      <w:r>
        <w:rPr>
          <w:rStyle w:val="Applestylespan"/>
          <w:rFonts w:eastAsia="標楷體" w:cs="標楷體" w:ascii="標楷體" w:hAnsi="標楷體"/>
        </w:rPr>
        <w:t>2.66</w:t>
      </w:r>
      <w:r>
        <w:rPr>
          <w:rStyle w:val="Applestylespan"/>
          <w:rFonts w:ascii="標楷體" w:hAnsi="標楷體" w:cs="標楷體" w:eastAsia="標楷體"/>
        </w:rPr>
        <w:t>小時，煙吸方式為</w:t>
      </w:r>
      <w:r>
        <w:rPr>
          <w:rStyle w:val="Applestylespan"/>
          <w:rFonts w:eastAsia="標楷體" w:cs="標楷體" w:ascii="標楷體" w:hAnsi="標楷體"/>
        </w:rPr>
        <w:t>2.47</w:t>
      </w:r>
      <w:r>
        <w:rPr>
          <w:rStyle w:val="Applestylespan"/>
          <w:rFonts w:ascii="標楷體" w:hAnsi="標楷體" w:cs="標楷體" w:eastAsia="標楷體"/>
        </w:rPr>
        <w:t>小時。</w:t>
      </w:r>
    </w:p>
    <w:p>
      <w:pPr>
        <w:pStyle w:val="Normal"/>
        <w:ind w:left="600" w:firstLine="480"/>
        <w:jc w:val="both"/>
        <w:rPr>
          <w:rStyle w:val="Applestylespan"/>
          <w:rFonts w:ascii="標楷體" w:hAnsi="標楷體" w:eastAsia="標楷體" w:cs="標楷體"/>
        </w:rPr>
      </w:pPr>
      <w:r>
        <w:rPr/>
      </w:r>
    </w:p>
    <w:p>
      <w:pPr>
        <w:pStyle w:val="Normal"/>
        <w:ind w:left="600" w:firstLine="480"/>
        <w:jc w:val="both"/>
        <w:rPr/>
      </w:pPr>
      <w:r>
        <w:rPr>
          <w:rStyle w:val="Applestylespan"/>
          <w:rFonts w:ascii="標楷體" w:hAnsi="標楷體" w:cs="標楷體" w:eastAsia="標楷體"/>
        </w:rPr>
        <w:t>人體的肝臟酵素活性，是影響安非他命代謝速度的重要因素。例如，細胞色素</w:t>
      </w:r>
      <w:r>
        <w:rPr>
          <w:rStyle w:val="Applestylespan"/>
          <w:rFonts w:eastAsia="標楷體" w:cs="標楷體" w:ascii="標楷體" w:hAnsi="標楷體"/>
        </w:rPr>
        <w:t>2D6</w:t>
      </w:r>
      <w:r>
        <w:rPr>
          <w:rStyle w:val="Applestylespan"/>
          <w:rFonts w:ascii="標楷體" w:hAnsi="標楷體" w:cs="標楷體" w:eastAsia="標楷體"/>
        </w:rPr>
        <w:t>（</w:t>
      </w:r>
      <w:r>
        <w:rPr>
          <w:rStyle w:val="Applestylespan"/>
          <w:rFonts w:eastAsia="標楷體" w:cs="標楷體" w:ascii="標楷體" w:hAnsi="標楷體"/>
        </w:rPr>
        <w:t>CYP2D6</w:t>
      </w:r>
      <w:r>
        <w:rPr>
          <w:rStyle w:val="Applestylespan"/>
          <w:rFonts w:ascii="標楷體" w:hAnsi="標楷體" w:cs="標楷體" w:eastAsia="標楷體"/>
        </w:rPr>
        <w:t>）的活性即與安非他命及甲基安非他命的代謝速度有關，其作用除了主要針對安非他命苯環結構的水解作用外，可能也與</w:t>
      </w:r>
      <w:r>
        <w:rPr>
          <w:rStyle w:val="Applestylespan"/>
          <w:rFonts w:eastAsia="標楷體" w:cs="標楷體" w:ascii="標楷體" w:hAnsi="標楷體"/>
        </w:rPr>
        <w:t>N-</w:t>
      </w:r>
      <w:r>
        <w:rPr>
          <w:rStyle w:val="Applestylespan"/>
          <w:rFonts w:ascii="標楷體" w:hAnsi="標楷體" w:cs="標楷體" w:eastAsia="標楷體"/>
        </w:rPr>
        <w:t>去甲基（</w:t>
      </w:r>
      <w:r>
        <w:rPr>
          <w:rStyle w:val="Applestylespan"/>
          <w:rFonts w:eastAsia="標楷體" w:cs="標楷體" w:ascii="標楷體" w:hAnsi="標楷體"/>
        </w:rPr>
        <w:t>N-demethylation</w:t>
      </w:r>
      <w:r>
        <w:rPr>
          <w:rStyle w:val="Applestylespan"/>
          <w:rFonts w:ascii="標楷體" w:hAnsi="標楷體" w:cs="標楷體" w:eastAsia="標楷體"/>
        </w:rPr>
        <w:t>）的作用有關。至於安非他命的去氨基（</w:t>
      </w:r>
      <w:r>
        <w:rPr>
          <w:rStyle w:val="Applestylespan"/>
          <w:rFonts w:eastAsia="標楷體" w:cs="標楷體" w:ascii="標楷體" w:hAnsi="標楷體"/>
        </w:rPr>
        <w:t>deamination</w:t>
      </w:r>
      <w:r>
        <w:rPr>
          <w:rStyle w:val="Applestylespan"/>
          <w:rFonts w:ascii="標楷體" w:hAnsi="標楷體" w:cs="標楷體" w:eastAsia="標楷體"/>
        </w:rPr>
        <w:t>）作用，則可能與細胞色素</w:t>
      </w:r>
      <w:r>
        <w:rPr>
          <w:rStyle w:val="Applestylespan"/>
          <w:rFonts w:eastAsia="標楷體" w:cs="標楷體" w:ascii="標楷體" w:hAnsi="標楷體"/>
        </w:rPr>
        <w:t>2C</w:t>
      </w:r>
      <w:r>
        <w:rPr>
          <w:rStyle w:val="Applestylespan"/>
          <w:rFonts w:ascii="標楷體" w:hAnsi="標楷體" w:cs="標楷體" w:eastAsia="標楷體"/>
        </w:rPr>
        <w:t>及細胞色素</w:t>
      </w:r>
      <w:r>
        <w:rPr>
          <w:rStyle w:val="Applestylespan"/>
          <w:rFonts w:eastAsia="標楷體" w:cs="標楷體" w:ascii="標楷體" w:hAnsi="標楷體"/>
        </w:rPr>
        <w:t>2D</w:t>
      </w:r>
      <w:r>
        <w:rPr>
          <w:rStyle w:val="Applestylespan"/>
          <w:rFonts w:ascii="標楷體" w:hAnsi="標楷體" w:cs="標楷體" w:eastAsia="標楷體"/>
        </w:rPr>
        <w:t>有關。</w:t>
      </w:r>
    </w:p>
    <w:p>
      <w:pPr>
        <w:pStyle w:val="Normal"/>
        <w:ind w:left="480" w:hanging="0"/>
        <w:rPr>
          <w:rStyle w:val="Applestylespan"/>
          <w:rFonts w:ascii="標楷體" w:hAnsi="標楷體" w:eastAsia="標楷體" w:cs="標楷體"/>
          <w:color w:val="000000"/>
        </w:rPr>
      </w:pPr>
      <w:r>
        <w:rPr/>
      </w:r>
    </w:p>
    <w:p>
      <w:pPr>
        <w:pStyle w:val="Normal"/>
        <w:ind w:left="600" w:firstLine="480"/>
        <w:jc w:val="both"/>
        <w:rPr/>
      </w:pPr>
      <w:r>
        <w:rPr>
          <w:rStyle w:val="Applestylespan"/>
          <w:rFonts w:ascii="標楷體" w:hAnsi="標楷體" w:cs="標楷體" w:eastAsia="標楷體"/>
        </w:rPr>
        <w:t>安非他命有將近一半是以原來的型態自尿液中排出，安非他命在體內的半衰期為</w:t>
      </w:r>
      <w:r>
        <w:rPr>
          <w:rStyle w:val="Applestylespan"/>
          <w:rFonts w:eastAsia="標楷體" w:cs="標楷體" w:ascii="標楷體" w:hAnsi="標楷體"/>
        </w:rPr>
        <w:t>6-12</w:t>
      </w:r>
      <w:r>
        <w:rPr>
          <w:rStyle w:val="Applestylespan"/>
          <w:rFonts w:ascii="標楷體" w:hAnsi="標楷體" w:cs="標楷體" w:eastAsia="標楷體"/>
        </w:rPr>
        <w:t>小時。甲基安非他命在體內的半衰期，不論是鼻黏膜吸入或是煙吸方式，半衰期都是</w:t>
      </w:r>
      <w:r>
        <w:rPr>
          <w:rStyle w:val="Applestylespan"/>
          <w:rFonts w:eastAsia="標楷體" w:cs="標楷體" w:ascii="標楷體" w:hAnsi="標楷體"/>
        </w:rPr>
        <w:t>10.7</w:t>
      </w:r>
      <w:r>
        <w:rPr>
          <w:rStyle w:val="Applestylespan"/>
          <w:rFonts w:ascii="標楷體" w:hAnsi="標楷體" w:cs="標楷體" w:eastAsia="標楷體"/>
        </w:rPr>
        <w:t>小時，注射方式則為</w:t>
      </w:r>
      <w:r>
        <w:rPr>
          <w:rStyle w:val="Applestylespan"/>
          <w:rFonts w:eastAsia="標楷體" w:cs="標楷體" w:ascii="標楷體" w:hAnsi="標楷體"/>
        </w:rPr>
        <w:t>11.4</w:t>
      </w:r>
      <w:r>
        <w:rPr>
          <w:rStyle w:val="Applestylespan"/>
          <w:rFonts w:ascii="標楷體" w:hAnsi="標楷體" w:cs="標楷體" w:eastAsia="標楷體"/>
        </w:rPr>
        <w:t>小時左右。</w:t>
      </w:r>
    </w:p>
    <w:p>
      <w:pPr>
        <w:pStyle w:val="Normal"/>
        <w:rPr>
          <w:rStyle w:val="Applestylespan"/>
          <w:rFonts w:ascii="標楷體" w:hAnsi="標楷體" w:eastAsia="標楷體" w:cs="標楷體"/>
        </w:rPr>
      </w:pPr>
      <w:r>
        <w:rPr/>
      </w:r>
    </w:p>
    <w:p>
      <w:pPr>
        <w:pStyle w:val="Normal"/>
        <w:rPr>
          <w:rStyle w:val="Applestylespan"/>
          <w:rFonts w:ascii="標楷體" w:hAnsi="標楷體" w:eastAsia="標楷體" w:cs="標楷體"/>
          <w:b/>
          <w:b/>
        </w:rPr>
      </w:pPr>
      <w:r>
        <w:rPr>
          <w:rStyle w:val="Applestylespan"/>
          <w:rFonts w:ascii="標楷體" w:hAnsi="標楷體" w:cs="標楷體" w:eastAsia="標楷體"/>
          <w:b/>
        </w:rPr>
        <w:t>二、快樂丸</w:t>
      </w:r>
      <w:r>
        <w:rPr>
          <w:rStyle w:val="Applestylespan"/>
          <w:rFonts w:eastAsia="標楷體" w:cs="標楷體" w:ascii="標楷體" w:hAnsi="標楷體"/>
          <w:b/>
        </w:rPr>
        <w:t>(MDMA)</w:t>
      </w:r>
    </w:p>
    <w:p>
      <w:pPr>
        <w:pStyle w:val="Normal"/>
        <w:rPr>
          <w:rStyle w:val="Applestylespan"/>
          <w:rFonts w:ascii="標楷體" w:hAnsi="標楷體" w:eastAsia="標楷體" w:cs="標楷體"/>
          <w:b/>
          <w:b/>
        </w:rPr>
      </w:pPr>
      <w:r>
        <w:rPr/>
      </w:r>
    </w:p>
    <w:p>
      <w:pPr>
        <w:pStyle w:val="Normal"/>
        <w:rPr>
          <w:rStyle w:val="Applestylespan"/>
          <w:rFonts w:ascii="標楷體" w:hAnsi="標楷體" w:eastAsia="標楷體" w:cs="標楷體"/>
          <w:b/>
          <w:b/>
        </w:rPr>
      </w:pPr>
      <w:r>
        <w:rPr>
          <w:rStyle w:val="Applestylespan"/>
          <w:rFonts w:eastAsia="標楷體" w:cs="標楷體" w:ascii="標楷體" w:hAnsi="標楷體"/>
          <w:b/>
        </w:rPr>
        <w:t>(</w:t>
      </w:r>
      <w:r>
        <w:rPr>
          <w:rStyle w:val="Applestylespan"/>
          <w:rFonts w:ascii="標楷體" w:hAnsi="標楷體" w:cs="標楷體" w:eastAsia="標楷體"/>
          <w:b/>
        </w:rPr>
        <w:t>一</w:t>
      </w:r>
      <w:r>
        <w:rPr>
          <w:rStyle w:val="Applestylespan"/>
          <w:rFonts w:eastAsia="標楷體" w:cs="標楷體" w:ascii="標楷體" w:hAnsi="標楷體"/>
          <w:b/>
        </w:rPr>
        <w:t xml:space="preserve">) </w:t>
      </w:r>
      <w:r>
        <w:rPr>
          <w:rStyle w:val="Applestylespan"/>
          <w:rFonts w:ascii="標楷體" w:hAnsi="標楷體" w:cs="標楷體" w:eastAsia="標楷體"/>
          <w:b/>
        </w:rPr>
        <w:t>快樂丸藥理作用</w:t>
      </w:r>
    </w:p>
    <w:p>
      <w:pPr>
        <w:pStyle w:val="Normal"/>
        <w:rPr>
          <w:rStyle w:val="Applestylespan"/>
          <w:rFonts w:ascii="標楷體" w:hAnsi="標楷體" w:eastAsia="標楷體" w:cs="標楷體"/>
          <w:b/>
          <w:b/>
        </w:rPr>
      </w:pPr>
      <w:r>
        <w:rPr/>
      </w:r>
    </w:p>
    <w:p>
      <w:pPr>
        <w:pStyle w:val="Normal"/>
        <w:ind w:left="600" w:firstLine="480"/>
        <w:jc w:val="both"/>
        <w:rPr/>
      </w:pPr>
      <w:r>
        <w:rPr>
          <w:rStyle w:val="Applestylespan"/>
          <w:rFonts w:ascii="標楷體" w:hAnsi="標楷體" w:cs="標楷體" w:eastAsia="標楷體"/>
        </w:rPr>
        <w:t>雖然</w:t>
      </w:r>
      <w:r>
        <w:rPr>
          <w:rStyle w:val="Applestylespan"/>
          <w:rFonts w:eastAsia="標楷體" w:cs="標楷體" w:ascii="標楷體" w:hAnsi="標楷體"/>
        </w:rPr>
        <w:t>MDMA</w:t>
      </w:r>
      <w:r>
        <w:rPr>
          <w:rStyle w:val="Applestylespan"/>
          <w:rFonts w:ascii="標楷體" w:hAnsi="標楷體" w:cs="標楷體" w:eastAsia="標楷體"/>
        </w:rPr>
        <w:t>屬於安非他命類藥物的衍生物，但是安非他命在台灣多以燃燒煙吸方式使用，</w:t>
      </w:r>
      <w:r>
        <w:rPr>
          <w:rStyle w:val="Applestylespan"/>
          <w:rFonts w:eastAsia="標楷體" w:cs="標楷體" w:ascii="標楷體" w:hAnsi="標楷體"/>
        </w:rPr>
        <w:t>MDMA</w:t>
      </w:r>
      <w:r>
        <w:rPr>
          <w:rStyle w:val="Applestylespan"/>
          <w:rFonts w:ascii="標楷體" w:hAnsi="標楷體" w:cs="標楷體" w:eastAsia="標楷體"/>
        </w:rPr>
        <w:t>則是較多以藥丸的型態經由口服方式使用，少數個案才以鼻吸或注射等方式使用。</w:t>
      </w:r>
      <w:r>
        <w:rPr>
          <w:rStyle w:val="Applestylespan"/>
          <w:rFonts w:eastAsia="標楷體" w:cs="標楷體" w:ascii="標楷體" w:hAnsi="標楷體"/>
        </w:rPr>
        <w:t>MDMA</w:t>
      </w:r>
      <w:r>
        <w:rPr>
          <w:rStyle w:val="Applestylespan"/>
          <w:rFonts w:ascii="標楷體" w:hAnsi="標楷體" w:cs="標楷體" w:eastAsia="標楷體"/>
        </w:rPr>
        <w:t>的作用與主觀感受，包括情緒提升、增加自信與感官知覺、祥和感受、與周圍的人產生親密感、減少食慾等。交感神經作用亦屬常見，像是心跳加快、心悸、血壓上升、盜汗、體溫上升、牙關緊閉等，許多個案在使用時不見得會察覺到這些反應。噁心、嘔吐也是常見的反應。</w:t>
      </w:r>
    </w:p>
    <w:p>
      <w:pPr>
        <w:pStyle w:val="Normal"/>
        <w:ind w:left="600" w:firstLine="480"/>
        <w:jc w:val="both"/>
        <w:rPr>
          <w:rStyle w:val="Applestylespan"/>
          <w:rFonts w:ascii="標楷體" w:hAnsi="標楷體" w:eastAsia="標楷體" w:cs="標楷體"/>
        </w:rPr>
      </w:pPr>
      <w:r>
        <w:rPr/>
      </w:r>
    </w:p>
    <w:p>
      <w:pPr>
        <w:pStyle w:val="Normal"/>
        <w:ind w:left="600" w:firstLine="480"/>
        <w:jc w:val="both"/>
        <w:rPr/>
      </w:pPr>
      <w:r>
        <w:rPr>
          <w:rStyle w:val="Applestylespan"/>
          <w:rFonts w:eastAsia="標楷體" w:cs="標楷體" w:ascii="標楷體" w:hAnsi="標楷體"/>
        </w:rPr>
        <w:t>MDMA</w:t>
      </w:r>
      <w:r>
        <w:rPr>
          <w:rStyle w:val="Applestylespan"/>
          <w:rFonts w:ascii="標楷體" w:hAnsi="標楷體" w:cs="標楷體" w:eastAsia="標楷體"/>
        </w:rPr>
        <w:t>的長期使用可能造成許多心理及生理問題，隨著使用次數增多，濫用者可能遇到的困擾包括憂鬱、記憶減退、焦慮、情緒不穩、注意力不佳、顫抖或肌肉抽搐、以及體重下降等，較嚴重時亦可能發生精神病狀態。</w:t>
      </w:r>
      <w:r>
        <w:rPr>
          <w:rStyle w:val="Applestylespan"/>
          <w:rFonts w:eastAsia="標楷體" w:cs="標楷體" w:ascii="標楷體" w:hAnsi="標楷體"/>
        </w:rPr>
        <w:t>MDMA</w:t>
      </w:r>
      <w:r>
        <w:rPr>
          <w:rStyle w:val="Applestylespan"/>
          <w:rFonts w:ascii="標楷體" w:hAnsi="標楷體" w:cs="標楷體" w:eastAsia="標楷體"/>
        </w:rPr>
        <w:t>亦會引起危及生命的狀況，包括體溫過高、骨骼肌溶解、瀰漫性血管內凝血、肝壞死、心律不整、腦血管病變、以及藥物過量等情形。</w:t>
      </w:r>
    </w:p>
    <w:p>
      <w:pPr>
        <w:pStyle w:val="Normal"/>
        <w:ind w:left="600" w:firstLine="480"/>
        <w:jc w:val="both"/>
        <w:rPr>
          <w:rStyle w:val="Applestylespan"/>
          <w:rFonts w:ascii="標楷體" w:hAnsi="標楷體" w:eastAsia="標楷體" w:cs="標楷體"/>
        </w:rPr>
      </w:pPr>
      <w:r>
        <w:rPr/>
      </w:r>
    </w:p>
    <w:p>
      <w:pPr>
        <w:pStyle w:val="Normal"/>
        <w:ind w:left="600" w:firstLine="480"/>
        <w:jc w:val="both"/>
        <w:rPr/>
      </w:pPr>
      <w:r>
        <w:rPr>
          <w:rStyle w:val="Applestylespan"/>
          <w:rFonts w:ascii="標楷體" w:hAnsi="標楷體" w:cs="標楷體" w:eastAsia="標楷體"/>
        </w:rPr>
        <w:t>由於</w:t>
      </w:r>
      <w:r>
        <w:rPr>
          <w:rStyle w:val="Applestylespan"/>
          <w:rFonts w:eastAsia="標楷體" w:cs="標楷體" w:ascii="標楷體" w:hAnsi="標楷體"/>
        </w:rPr>
        <w:t>MDMA</w:t>
      </w:r>
      <w:r>
        <w:rPr>
          <w:rStyle w:val="Applestylespan"/>
          <w:rFonts w:ascii="標楷體" w:hAnsi="標楷體" w:cs="標楷體" w:eastAsia="標楷體"/>
        </w:rPr>
        <w:t>的結構與安非他命極為接近，</w:t>
      </w:r>
      <w:r>
        <w:rPr>
          <w:rStyle w:val="Applestylespan"/>
          <w:rFonts w:eastAsia="標楷體" w:cs="標楷體" w:ascii="標楷體" w:hAnsi="標楷體"/>
        </w:rPr>
        <w:t>MDMA</w:t>
      </w:r>
      <w:r>
        <w:rPr>
          <w:rStyle w:val="Applestylespan"/>
          <w:rFonts w:ascii="標楷體" w:hAnsi="標楷體" w:cs="標楷體" w:eastAsia="標楷體"/>
        </w:rPr>
        <w:t>可以活化的系統，也包括了多巴胺、正腎上腺素以及血清素等三大系統。但是</w:t>
      </w:r>
      <w:r>
        <w:rPr>
          <w:rStyle w:val="Applestylespan"/>
          <w:rFonts w:eastAsia="標楷體" w:cs="標楷體" w:ascii="標楷體" w:hAnsi="標楷體"/>
        </w:rPr>
        <w:t>MDMA</w:t>
      </w:r>
      <w:r>
        <w:rPr>
          <w:rStyle w:val="Applestylespan"/>
          <w:rFonts w:ascii="標楷體" w:hAnsi="標楷體" w:cs="標楷體" w:eastAsia="標楷體"/>
        </w:rPr>
        <w:t>與安非他命仍有所差異，一般認為</w:t>
      </w:r>
      <w:r>
        <w:rPr>
          <w:rStyle w:val="Applestylespan"/>
          <w:rFonts w:eastAsia="標楷體" w:cs="標楷體" w:ascii="標楷體" w:hAnsi="標楷體"/>
        </w:rPr>
        <w:t>MDMA</w:t>
      </w:r>
      <w:r>
        <w:rPr>
          <w:rFonts w:ascii="標楷體" w:hAnsi="標楷體" w:cs="標楷體" w:eastAsia="標楷體"/>
          <w:szCs w:val="13"/>
        </w:rPr>
        <w:t>的作用，主要來自於與血清素系統的作用。</w:t>
      </w:r>
    </w:p>
    <w:p>
      <w:pPr>
        <w:pStyle w:val="Normal"/>
        <w:ind w:left="480" w:hanging="0"/>
        <w:rPr>
          <w:rStyle w:val="Applestylespan"/>
          <w:rFonts w:ascii="標楷體" w:hAnsi="標楷體" w:eastAsia="標楷體" w:cs="標楷體"/>
        </w:rPr>
      </w:pPr>
      <w:r>
        <w:rPr>
          <w:rFonts w:eastAsia="標楷體" w:cs="標楷體" w:ascii="標楷體" w:hAnsi="標楷體"/>
          <w:szCs w:val="13"/>
        </w:rPr>
      </w:r>
    </w:p>
    <w:p>
      <w:pPr>
        <w:pStyle w:val="Normal"/>
        <w:rPr>
          <w:rStyle w:val="Applestylespan"/>
          <w:rFonts w:ascii="標楷體" w:hAnsi="標楷體" w:eastAsia="標楷體" w:cs="標楷體"/>
          <w:b/>
          <w:b/>
        </w:rPr>
      </w:pPr>
      <w:r>
        <w:rPr>
          <w:rStyle w:val="Applestylespan"/>
          <w:rFonts w:eastAsia="標楷體" w:cs="標楷體" w:ascii="標楷體" w:hAnsi="標楷體"/>
          <w:b/>
        </w:rPr>
        <w:t>(</w:t>
      </w:r>
      <w:r>
        <w:rPr>
          <w:rStyle w:val="Applestylespan"/>
          <w:rFonts w:ascii="標楷體" w:hAnsi="標楷體" w:cs="標楷體" w:eastAsia="標楷體"/>
          <w:b/>
        </w:rPr>
        <w:t>二</w:t>
      </w:r>
      <w:r>
        <w:rPr>
          <w:rStyle w:val="Applestylespan"/>
          <w:rFonts w:eastAsia="標楷體" w:cs="標楷體" w:ascii="標楷體" w:hAnsi="標楷體"/>
          <w:b/>
        </w:rPr>
        <w:t xml:space="preserve">) </w:t>
      </w:r>
      <w:r>
        <w:rPr>
          <w:rStyle w:val="Applestylespan"/>
          <w:rFonts w:ascii="標楷體" w:hAnsi="標楷體" w:cs="標楷體" w:eastAsia="標楷體"/>
          <w:b/>
        </w:rPr>
        <w:t>快樂丸藥物動力學</w:t>
      </w:r>
    </w:p>
    <w:p>
      <w:pPr>
        <w:pStyle w:val="Normal"/>
        <w:rPr>
          <w:rStyle w:val="Applestylespan"/>
          <w:rFonts w:ascii="標楷體" w:hAnsi="標楷體" w:eastAsia="標楷體" w:cs="標楷體"/>
          <w:b/>
          <w:b/>
        </w:rPr>
      </w:pPr>
      <w:r>
        <w:rPr/>
      </w:r>
    </w:p>
    <w:p>
      <w:pPr>
        <w:pStyle w:val="Normal"/>
        <w:ind w:left="600" w:firstLine="480"/>
        <w:jc w:val="both"/>
        <w:rPr/>
      </w:pPr>
      <w:r>
        <w:rPr>
          <w:rStyle w:val="Applestylespan"/>
          <w:rFonts w:eastAsia="標楷體" w:cs="標楷體" w:ascii="標楷體" w:hAnsi="標楷體"/>
        </w:rPr>
        <w:t>MDMA</w:t>
      </w:r>
      <w:r>
        <w:rPr>
          <w:rStyle w:val="Applestylespan"/>
          <w:rFonts w:ascii="標楷體" w:hAnsi="標楷體" w:cs="標楷體" w:eastAsia="標楷體"/>
        </w:rPr>
        <w:t>在人體內的血液濃度，在口服後</w:t>
      </w:r>
      <w:r>
        <w:rPr>
          <w:rStyle w:val="Applestylespan"/>
          <w:rFonts w:eastAsia="標楷體" w:cs="標楷體" w:ascii="標楷體" w:hAnsi="標楷體"/>
        </w:rPr>
        <w:t>15</w:t>
      </w:r>
      <w:r>
        <w:rPr>
          <w:rStyle w:val="Applestylespan"/>
          <w:rFonts w:ascii="標楷體" w:hAnsi="標楷體" w:cs="標楷體" w:eastAsia="標楷體"/>
        </w:rPr>
        <w:t>分鐘即可偵測到，約在服用後</w:t>
      </w:r>
      <w:r>
        <w:rPr>
          <w:rStyle w:val="Applestylespan"/>
          <w:rFonts w:eastAsia="標楷體" w:cs="標楷體" w:ascii="標楷體" w:hAnsi="標楷體"/>
        </w:rPr>
        <w:t>2</w:t>
      </w:r>
      <w:r>
        <w:rPr>
          <w:rStyle w:val="Applestylespan"/>
          <w:rFonts w:ascii="標楷體" w:hAnsi="標楷體" w:cs="標楷體" w:eastAsia="標楷體"/>
        </w:rPr>
        <w:t>小時到達最高濃度。</w:t>
      </w:r>
    </w:p>
    <w:p>
      <w:pPr>
        <w:pStyle w:val="Normal"/>
        <w:ind w:left="600" w:firstLine="480"/>
        <w:jc w:val="both"/>
        <w:rPr>
          <w:rStyle w:val="Applestylespan"/>
          <w:rFonts w:ascii="標楷體" w:hAnsi="標楷體" w:eastAsia="標楷體" w:cs="標楷體"/>
        </w:rPr>
      </w:pPr>
      <w:r>
        <w:rPr/>
      </w:r>
    </w:p>
    <w:p>
      <w:pPr>
        <w:pStyle w:val="Normal"/>
        <w:ind w:left="600" w:firstLine="480"/>
        <w:jc w:val="both"/>
        <w:rPr/>
      </w:pPr>
      <w:r>
        <w:rPr>
          <w:rStyle w:val="Applestylespan"/>
          <w:rFonts w:eastAsia="標楷體" w:cs="標楷體" w:ascii="標楷體" w:hAnsi="標楷體"/>
        </w:rPr>
        <w:t>MDMA</w:t>
      </w:r>
      <w:r>
        <w:rPr>
          <w:rStyle w:val="Applestylespan"/>
          <w:rFonts w:ascii="標楷體" w:hAnsi="標楷體" w:cs="標楷體" w:eastAsia="標楷體"/>
        </w:rPr>
        <w:t>在人體中，主要亦是經由肝臟代謝，一般認為肝臟酵素中以細胞色素</w:t>
      </w:r>
      <w:r>
        <w:rPr>
          <w:rStyle w:val="Applestylespan"/>
          <w:rFonts w:eastAsia="標楷體" w:cs="標楷體" w:ascii="標楷體" w:hAnsi="標楷體"/>
        </w:rPr>
        <w:t>2D6</w:t>
      </w:r>
      <w:r>
        <w:rPr>
          <w:rStyle w:val="Applestylespan"/>
          <w:rFonts w:ascii="標楷體" w:hAnsi="標楷體" w:cs="標楷體" w:eastAsia="標楷體"/>
        </w:rPr>
        <w:t>所佔角色最重要。而</w:t>
      </w:r>
      <w:r>
        <w:rPr>
          <w:rStyle w:val="Applestylespan"/>
          <w:rFonts w:eastAsia="標楷體" w:cs="標楷體" w:ascii="標楷體" w:hAnsi="標楷體"/>
        </w:rPr>
        <w:t>MDMA</w:t>
      </w:r>
      <w:r>
        <w:rPr>
          <w:rStyle w:val="Applestylespan"/>
          <w:rFonts w:ascii="標楷體" w:hAnsi="標楷體" w:cs="標楷體" w:eastAsia="標楷體"/>
        </w:rPr>
        <w:t>經由</w:t>
      </w:r>
      <w:r>
        <w:rPr>
          <w:rStyle w:val="Applestylespan"/>
          <w:rFonts w:eastAsia="標楷體" w:cs="標楷體" w:ascii="標楷體" w:hAnsi="標楷體"/>
        </w:rPr>
        <w:t>N-</w:t>
      </w:r>
      <w:r>
        <w:rPr>
          <w:rStyle w:val="Applestylespan"/>
          <w:rFonts w:ascii="標楷體" w:hAnsi="標楷體" w:cs="標楷體" w:eastAsia="標楷體"/>
        </w:rPr>
        <w:t>去烷基（</w:t>
      </w:r>
      <w:r>
        <w:rPr>
          <w:rStyle w:val="Applestylespan"/>
          <w:rFonts w:eastAsia="標楷體" w:cs="標楷體" w:ascii="標楷體" w:hAnsi="標楷體"/>
        </w:rPr>
        <w:t>N-dealkylation</w:t>
      </w:r>
      <w:r>
        <w:rPr>
          <w:rStyle w:val="Applestylespan"/>
          <w:rFonts w:ascii="標楷體" w:hAnsi="標楷體" w:cs="標楷體" w:eastAsia="標楷體"/>
        </w:rPr>
        <w:t>）作用後，會代謝形成中間產物</w:t>
      </w:r>
      <w:r>
        <w:rPr>
          <w:rStyle w:val="Applestylespan"/>
          <w:rFonts w:eastAsia="標楷體" w:cs="標楷體" w:ascii="標楷體" w:hAnsi="標楷體"/>
        </w:rPr>
        <w:t>MDA</w:t>
      </w:r>
      <w:r>
        <w:rPr>
          <w:rStyle w:val="Applestylespan"/>
          <w:rFonts w:ascii="標楷體" w:hAnsi="標楷體" w:cs="標楷體" w:eastAsia="標楷體"/>
        </w:rPr>
        <w:t>，事實上</w:t>
      </w:r>
      <w:r>
        <w:rPr>
          <w:rStyle w:val="Applestylespan"/>
          <w:rFonts w:eastAsia="標楷體" w:cs="標楷體" w:ascii="標楷體" w:hAnsi="標楷體"/>
        </w:rPr>
        <w:t>MDA</w:t>
      </w:r>
      <w:r>
        <w:rPr>
          <w:rStyle w:val="Applestylespan"/>
          <w:rFonts w:ascii="標楷體" w:hAnsi="標楷體" w:cs="標楷體" w:eastAsia="標楷體"/>
        </w:rPr>
        <w:t>的毒性反而比</w:t>
      </w:r>
      <w:r>
        <w:rPr>
          <w:rStyle w:val="Applestylespan"/>
          <w:rFonts w:eastAsia="標楷體" w:cs="標楷體" w:ascii="標楷體" w:hAnsi="標楷體"/>
        </w:rPr>
        <w:t>MDMA</w:t>
      </w:r>
      <w:r>
        <w:rPr>
          <w:rStyle w:val="Applestylespan"/>
          <w:rFonts w:ascii="標楷體" w:hAnsi="標楷體" w:cs="標楷體" w:eastAsia="標楷體"/>
        </w:rPr>
        <w:t>還高，這也是</w:t>
      </w:r>
      <w:r>
        <w:rPr>
          <w:rStyle w:val="Applestylespan"/>
          <w:rFonts w:eastAsia="標楷體" w:cs="標楷體" w:ascii="標楷體" w:hAnsi="標楷體"/>
        </w:rPr>
        <w:t>MDMA</w:t>
      </w:r>
      <w:r>
        <w:rPr>
          <w:rStyle w:val="Applestylespan"/>
          <w:rFonts w:ascii="標楷體" w:hAnsi="標楷體" w:cs="標楷體" w:eastAsia="標楷體"/>
        </w:rPr>
        <w:t>代謝的特殊處。同時，</w:t>
      </w:r>
      <w:r>
        <w:rPr>
          <w:rStyle w:val="Applestylespan"/>
          <w:rFonts w:eastAsia="標楷體" w:cs="標楷體" w:ascii="標楷體" w:hAnsi="標楷體"/>
        </w:rPr>
        <w:t>MDMA</w:t>
      </w:r>
      <w:r>
        <w:rPr>
          <w:rStyle w:val="Applestylespan"/>
          <w:rFonts w:ascii="標楷體" w:hAnsi="標楷體" w:cs="標楷體" w:eastAsia="標楷體"/>
        </w:rPr>
        <w:t>的血中濃度與劑量間並未呈現線性關係，有可能在劑量逐漸增加的情形下，濃度卻突然急速上升，這也可能與個人的細胞色素活性有關。</w:t>
      </w:r>
      <w:r>
        <w:rPr>
          <w:rStyle w:val="Applestylespan"/>
          <w:rFonts w:eastAsia="標楷體" w:cs="標楷體" w:ascii="標楷體" w:hAnsi="標楷體"/>
        </w:rPr>
        <w:t>MDMA</w:t>
      </w:r>
      <w:r>
        <w:rPr>
          <w:rStyle w:val="Applestylespan"/>
          <w:rFonts w:ascii="標楷體" w:hAnsi="標楷體" w:cs="標楷體" w:eastAsia="標楷體"/>
        </w:rPr>
        <w:t>在代謝上的這些特性，對於</w:t>
      </w:r>
      <w:r>
        <w:rPr>
          <w:rStyle w:val="Applestylespan"/>
          <w:rFonts w:eastAsia="標楷體" w:cs="標楷體" w:ascii="標楷體" w:hAnsi="標楷體"/>
        </w:rPr>
        <w:t>MDMA</w:t>
      </w:r>
      <w:r>
        <w:rPr>
          <w:rStyle w:val="Applestylespan"/>
          <w:rFonts w:ascii="標楷體" w:hAnsi="標楷體" w:cs="標楷體" w:eastAsia="標楷體"/>
        </w:rPr>
        <w:t>中毒應具有相當的關連性。</w:t>
      </w:r>
    </w:p>
    <w:p>
      <w:pPr>
        <w:pStyle w:val="Normal"/>
        <w:ind w:left="600" w:firstLine="480"/>
        <w:jc w:val="both"/>
        <w:rPr>
          <w:rStyle w:val="Applestylespan"/>
          <w:rFonts w:ascii="標楷體" w:hAnsi="標楷體" w:eastAsia="標楷體" w:cs="標楷體"/>
        </w:rPr>
      </w:pPr>
      <w:r>
        <w:rPr/>
      </w:r>
    </w:p>
    <w:p>
      <w:pPr>
        <w:pStyle w:val="Normal"/>
        <w:ind w:left="600" w:firstLine="480"/>
        <w:jc w:val="both"/>
        <w:rPr/>
      </w:pPr>
      <w:r>
        <w:rPr>
          <w:rStyle w:val="Applestylespan"/>
          <w:rFonts w:ascii="標楷體" w:hAnsi="標楷體" w:cs="標楷體" w:eastAsia="標楷體"/>
        </w:rPr>
        <w:t>口服</w:t>
      </w:r>
      <w:r>
        <w:rPr>
          <w:rStyle w:val="Applestylespan"/>
          <w:rFonts w:eastAsia="標楷體" w:cs="標楷體" w:ascii="標楷體" w:hAnsi="標楷體"/>
        </w:rPr>
        <w:t>MDMA</w:t>
      </w:r>
      <w:r>
        <w:rPr>
          <w:rStyle w:val="Applestylespan"/>
          <w:rFonts w:ascii="標楷體" w:hAnsi="標楷體" w:cs="標楷體" w:eastAsia="標楷體"/>
        </w:rPr>
        <w:t>的藥物血中濃度，其半衰期約</w:t>
      </w:r>
      <w:r>
        <w:rPr>
          <w:rStyle w:val="Applestylespan"/>
          <w:rFonts w:eastAsia="標楷體" w:cs="標楷體" w:ascii="標楷體" w:hAnsi="標楷體"/>
        </w:rPr>
        <w:t>5-10</w:t>
      </w:r>
      <w:r>
        <w:rPr>
          <w:rStyle w:val="Applestylespan"/>
          <w:rFonts w:ascii="標楷體" w:hAnsi="標楷體" w:cs="標楷體" w:eastAsia="標楷體"/>
        </w:rPr>
        <w:t>小時。由於約需要</w:t>
      </w:r>
      <w:r>
        <w:rPr>
          <w:rStyle w:val="Applestylespan"/>
          <w:rFonts w:eastAsia="標楷體" w:cs="標楷體" w:ascii="標楷體" w:hAnsi="標楷體"/>
        </w:rPr>
        <w:t>5</w:t>
      </w:r>
      <w:r>
        <w:rPr>
          <w:rStyle w:val="Applestylespan"/>
          <w:rFonts w:ascii="標楷體" w:hAnsi="標楷體" w:cs="標楷體" w:eastAsia="標楷體"/>
        </w:rPr>
        <w:t>個半衰期的時間，才能排除</w:t>
      </w:r>
      <w:r>
        <w:rPr>
          <w:rStyle w:val="Applestylespan"/>
          <w:rFonts w:eastAsia="標楷體" w:cs="標楷體" w:ascii="標楷體" w:hAnsi="標楷體"/>
        </w:rPr>
        <w:t>95%</w:t>
      </w:r>
      <w:r>
        <w:rPr>
          <w:rStyle w:val="Applestylespan"/>
          <w:rFonts w:ascii="標楷體" w:hAnsi="標楷體" w:cs="標楷體" w:eastAsia="標楷體"/>
        </w:rPr>
        <w:t>的藥物量，因此可以了解</w:t>
      </w:r>
      <w:r>
        <w:rPr>
          <w:rStyle w:val="Applestylespan"/>
          <w:rFonts w:eastAsia="標楷體" w:cs="標楷體" w:ascii="標楷體" w:hAnsi="標楷體"/>
        </w:rPr>
        <w:t>MDMA</w:t>
      </w:r>
      <w:r>
        <w:rPr>
          <w:rStyle w:val="Applestylespan"/>
          <w:rFonts w:ascii="標楷體" w:hAnsi="標楷體" w:cs="標楷體" w:eastAsia="標楷體"/>
        </w:rPr>
        <w:t>服用後，其殘餘作用可能延續一至二日。同時，因為</w:t>
      </w:r>
      <w:r>
        <w:rPr>
          <w:rStyle w:val="Applestylespan"/>
          <w:rFonts w:eastAsia="標楷體" w:cs="標楷體" w:ascii="標楷體" w:hAnsi="標楷體"/>
        </w:rPr>
        <w:t>MDMA</w:t>
      </w:r>
      <w:r>
        <w:rPr>
          <w:rStyle w:val="Applestylespan"/>
          <w:rFonts w:ascii="標楷體" w:hAnsi="標楷體" w:cs="標楷體" w:eastAsia="標楷體"/>
        </w:rPr>
        <w:t>的代謝物有許多都具有活性，所以</w:t>
      </w:r>
      <w:r>
        <w:rPr>
          <w:rStyle w:val="Applestylespan"/>
          <w:rFonts w:eastAsia="標楷體" w:cs="標楷體" w:ascii="標楷體" w:hAnsi="標楷體"/>
        </w:rPr>
        <w:t>MDMA</w:t>
      </w:r>
      <w:r>
        <w:rPr>
          <w:rStyle w:val="Applestylespan"/>
          <w:rFonts w:ascii="標楷體" w:hAnsi="標楷體" w:cs="標楷體" w:eastAsia="標楷體"/>
        </w:rPr>
        <w:t>真正的殘餘作用時間可能會更長。</w:t>
      </w:r>
    </w:p>
    <w:p>
      <w:pPr>
        <w:pStyle w:val="Normal"/>
        <w:rPr>
          <w:rStyle w:val="Applestylespan"/>
          <w:rFonts w:ascii="標楷體" w:hAnsi="標楷體" w:eastAsia="標楷體" w:cs="標楷體"/>
        </w:rPr>
      </w:pPr>
      <w:r>
        <w:rPr/>
      </w:r>
    </w:p>
    <w:p>
      <w:pPr>
        <w:pStyle w:val="Normal"/>
        <w:rPr/>
      </w:pPr>
      <w:r>
        <w:rPr>
          <w:rStyle w:val="Applestylespan"/>
          <w:rFonts w:ascii="標楷體" w:hAnsi="標楷體" w:cs="標楷體" w:eastAsia="標楷體"/>
          <w:b/>
        </w:rPr>
        <w:t>三、大麻</w:t>
      </w:r>
    </w:p>
    <w:p>
      <w:pPr>
        <w:pStyle w:val="Normal"/>
        <w:rPr>
          <w:rStyle w:val="Applestylespan"/>
          <w:rFonts w:ascii="標楷體" w:hAnsi="標楷體" w:eastAsia="標楷體" w:cs="標楷體"/>
          <w:b/>
          <w:b/>
        </w:rPr>
      </w:pPr>
      <w:r>
        <w:rPr/>
      </w:r>
    </w:p>
    <w:p>
      <w:pPr>
        <w:pStyle w:val="Normal"/>
        <w:rPr>
          <w:rStyle w:val="Applestylespan"/>
          <w:rFonts w:ascii="標楷體" w:hAnsi="標楷體" w:eastAsia="標楷體" w:cs="標楷體"/>
          <w:b/>
          <w:b/>
        </w:rPr>
      </w:pPr>
      <w:r>
        <w:rPr>
          <w:rStyle w:val="Applestylespan"/>
          <w:rFonts w:eastAsia="標楷體" w:cs="標楷體" w:ascii="標楷體" w:hAnsi="標楷體"/>
          <w:b/>
        </w:rPr>
        <w:t>(</w:t>
      </w:r>
      <w:r>
        <w:rPr>
          <w:rStyle w:val="Applestylespan"/>
          <w:rFonts w:ascii="標楷體" w:hAnsi="標楷體" w:cs="標楷體" w:eastAsia="標楷體"/>
          <w:b/>
        </w:rPr>
        <w:t>一</w:t>
      </w:r>
      <w:r>
        <w:rPr>
          <w:rStyle w:val="Applestylespan"/>
          <w:rFonts w:eastAsia="標楷體" w:cs="標楷體" w:ascii="標楷體" w:hAnsi="標楷體"/>
          <w:b/>
        </w:rPr>
        <w:t xml:space="preserve">) </w:t>
      </w:r>
      <w:r>
        <w:rPr>
          <w:rStyle w:val="Applestylespan"/>
          <w:rFonts w:ascii="標楷體" w:hAnsi="標楷體" w:cs="標楷體" w:eastAsia="標楷體"/>
          <w:b/>
        </w:rPr>
        <w:t>大麻藥理作用</w:t>
      </w:r>
    </w:p>
    <w:p>
      <w:pPr>
        <w:pStyle w:val="Normal"/>
        <w:rPr>
          <w:rStyle w:val="Applestylespan"/>
          <w:rFonts w:ascii="標楷體" w:hAnsi="標楷體" w:eastAsia="標楷體" w:cs="標楷體"/>
          <w:b/>
          <w:b/>
        </w:rPr>
      </w:pPr>
      <w:r>
        <w:rPr/>
      </w:r>
    </w:p>
    <w:p>
      <w:pPr>
        <w:pStyle w:val="Normal"/>
        <w:ind w:left="600" w:firstLine="480"/>
        <w:jc w:val="both"/>
        <w:rPr/>
      </w:pPr>
      <w:r>
        <w:rPr>
          <w:rStyle w:val="Applestylespan"/>
          <w:rFonts w:ascii="標楷體" w:hAnsi="標楷體" w:cs="標楷體" w:eastAsia="標楷體"/>
        </w:rPr>
        <w:t>大麻的使用方式大多是以口服或是吸入的方式進行，劑量大多在</w:t>
      </w:r>
      <w:r>
        <w:rPr>
          <w:rStyle w:val="Applestylespan"/>
          <w:rFonts w:eastAsia="標楷體" w:cs="標楷體" w:ascii="標楷體" w:hAnsi="標楷體"/>
        </w:rPr>
        <w:t>5-20</w:t>
      </w:r>
      <w:r>
        <w:rPr>
          <w:rStyle w:val="Applestylespan"/>
          <w:rFonts w:ascii="標楷體" w:hAnsi="標楷體" w:cs="標楷體" w:eastAsia="標楷體"/>
        </w:rPr>
        <w:t>毫克之間。大麻使用後的精神作用，主要包括了鎮靜作用、欣快感、幻覺或知覺扭曲等。</w:t>
      </w:r>
    </w:p>
    <w:p>
      <w:pPr>
        <w:pStyle w:val="Normal"/>
        <w:ind w:left="600" w:firstLine="480"/>
        <w:jc w:val="both"/>
        <w:rPr>
          <w:rStyle w:val="Applestylespan"/>
          <w:rFonts w:ascii="標楷體" w:hAnsi="標楷體" w:eastAsia="標楷體" w:cs="標楷體"/>
        </w:rPr>
      </w:pPr>
      <w:r>
        <w:rPr/>
      </w:r>
    </w:p>
    <w:p>
      <w:pPr>
        <w:pStyle w:val="Normal"/>
        <w:ind w:left="600" w:firstLine="480"/>
        <w:jc w:val="both"/>
        <w:rPr/>
      </w:pPr>
      <w:r>
        <w:rPr>
          <w:rStyle w:val="Applestylespan"/>
          <w:rFonts w:ascii="標楷體" w:hAnsi="標楷體" w:cs="標楷體" w:eastAsia="標楷體"/>
        </w:rPr>
        <w:t>大麻的主要成分為</w:t>
      </w:r>
      <w:r>
        <w:rPr>
          <w:rStyle w:val="Applestylespan"/>
          <w:rFonts w:eastAsia="標楷體" w:cs="標楷體" w:ascii="標楷體" w:hAnsi="標楷體"/>
        </w:rPr>
        <w:t>delta-9-tetrahydrocannabinol (THC)</w:t>
      </w:r>
      <w:r>
        <w:rPr>
          <w:rStyle w:val="Applestylespan"/>
          <w:rFonts w:ascii="標楷體" w:hAnsi="標楷體" w:cs="標楷體" w:eastAsia="標楷體"/>
        </w:rPr>
        <w:t>，其主要作用的受器位置有二，分別為</w:t>
      </w:r>
      <w:r>
        <w:rPr>
          <w:rStyle w:val="Applestylespan"/>
          <w:rFonts w:eastAsia="標楷體" w:cs="標楷體" w:ascii="標楷體" w:hAnsi="標楷體"/>
        </w:rPr>
        <w:t>CB1</w:t>
      </w:r>
      <w:r>
        <w:rPr>
          <w:rStyle w:val="Applestylespan"/>
          <w:rFonts w:ascii="標楷體" w:hAnsi="標楷體" w:cs="標楷體" w:eastAsia="標楷體"/>
        </w:rPr>
        <w:t>與</w:t>
      </w:r>
      <w:r>
        <w:rPr>
          <w:rStyle w:val="Applestylespan"/>
          <w:rFonts w:eastAsia="標楷體" w:cs="標楷體" w:ascii="標楷體" w:hAnsi="標楷體"/>
        </w:rPr>
        <w:t>CB2</w:t>
      </w:r>
      <w:r>
        <w:rPr>
          <w:rStyle w:val="Applestylespan"/>
          <w:rFonts w:ascii="標楷體" w:hAnsi="標楷體" w:cs="標楷體" w:eastAsia="標楷體"/>
        </w:rPr>
        <w:t>受器，其亦為內源性大麻素</w:t>
      </w:r>
      <w:r>
        <w:rPr>
          <w:rStyle w:val="Applestylespan"/>
          <w:rFonts w:eastAsia="標楷體" w:cs="標楷體" w:ascii="標楷體" w:hAnsi="標楷體"/>
        </w:rPr>
        <w:t>(endogenous cannabinoids)</w:t>
      </w:r>
      <w:r>
        <w:rPr>
          <w:rStyle w:val="Applestylespan"/>
          <w:rFonts w:ascii="標楷體" w:hAnsi="標楷體" w:cs="標楷體" w:eastAsia="標楷體"/>
        </w:rPr>
        <w:t>的作用處。</w:t>
      </w:r>
      <w:r>
        <w:rPr>
          <w:rStyle w:val="Applestylespan"/>
          <w:rFonts w:eastAsia="標楷體" w:cs="標楷體" w:ascii="標楷體" w:hAnsi="標楷體"/>
        </w:rPr>
        <w:t>CB1</w:t>
      </w:r>
      <w:r>
        <w:rPr>
          <w:rStyle w:val="Applestylespan"/>
          <w:rFonts w:ascii="標楷體" w:hAnsi="標楷體" w:cs="標楷體" w:eastAsia="標楷體"/>
        </w:rPr>
        <w:t>受器主要分布於大腦，</w:t>
      </w:r>
      <w:r>
        <w:rPr>
          <w:rStyle w:val="Applestylespan"/>
          <w:rFonts w:eastAsia="標楷體" w:cs="標楷體" w:ascii="標楷體" w:hAnsi="標楷體"/>
        </w:rPr>
        <w:t>CB</w:t>
      </w:r>
      <w:r>
        <w:rPr>
          <w:rStyle w:val="Applestylespan"/>
          <w:rFonts w:eastAsia="標楷體" w:cs="標楷體" w:ascii="標楷體" w:hAnsi="標楷體"/>
        </w:rPr>
        <w:t>2</w:t>
      </w:r>
      <w:r>
        <w:rPr>
          <w:rStyle w:val="Applestylespan"/>
          <w:rFonts w:ascii="標楷體" w:hAnsi="標楷體" w:cs="標楷體" w:eastAsia="標楷體"/>
        </w:rPr>
        <w:t>則主要分佈於體內的免疫組織像是胸腺、脾臟、或是扁桃腺等。事實上，</w:t>
      </w:r>
      <w:r>
        <w:rPr>
          <w:rStyle w:val="Applestylespan"/>
          <w:rFonts w:eastAsia="標楷體" w:cs="標楷體" w:ascii="標楷體" w:hAnsi="標楷體"/>
        </w:rPr>
        <w:t>THC</w:t>
      </w:r>
      <w:r>
        <w:rPr>
          <w:rStyle w:val="Applestylespan"/>
          <w:rFonts w:ascii="標楷體" w:hAnsi="標楷體" w:cs="標楷體" w:eastAsia="標楷體"/>
        </w:rPr>
        <w:t>的作用位置尚包含了苯二酚</w:t>
      </w:r>
      <w:r>
        <w:rPr>
          <w:rStyle w:val="Applestylespan"/>
          <w:rFonts w:eastAsia="標楷體" w:cs="標楷體" w:ascii="標楷體" w:hAnsi="標楷體"/>
        </w:rPr>
        <w:t>(benzodiazepine)</w:t>
      </w:r>
      <w:r>
        <w:rPr>
          <w:rStyle w:val="Applestylespan"/>
          <w:rFonts w:ascii="標楷體" w:hAnsi="標楷體" w:cs="標楷體" w:eastAsia="標楷體"/>
        </w:rPr>
        <w:t>、鴉片類</w:t>
      </w:r>
      <w:r>
        <w:rPr>
          <w:rStyle w:val="Applestylespan"/>
          <w:rFonts w:eastAsia="標楷體" w:cs="標楷體" w:ascii="標楷體" w:hAnsi="標楷體"/>
        </w:rPr>
        <w:t>(</w:t>
      </w:r>
      <w:r>
        <w:rPr>
          <w:rStyle w:val="Applestylespan"/>
          <w:rFonts w:eastAsia="標楷體" w:cs="標楷體" w:ascii="標楷體" w:hAnsi="標楷體"/>
        </w:rPr>
        <w:t>o</w:t>
      </w:r>
      <w:r>
        <w:rPr>
          <w:rStyle w:val="Applestylespan"/>
          <w:rFonts w:eastAsia="標楷體" w:cs="標楷體" w:ascii="標楷體" w:hAnsi="標楷體"/>
        </w:rPr>
        <w:t>pioid)</w:t>
      </w:r>
      <w:r>
        <w:rPr>
          <w:rStyle w:val="Applestylespan"/>
          <w:rFonts w:ascii="標楷體" w:hAnsi="標楷體" w:cs="標楷體" w:eastAsia="標楷體"/>
        </w:rPr>
        <w:t>等受器，也對於</w:t>
      </w:r>
      <w:r>
        <w:rPr>
          <w:rStyle w:val="Applestylespan"/>
          <w:rFonts w:eastAsia="標楷體" w:cs="標楷體" w:ascii="標楷體" w:hAnsi="標楷體"/>
        </w:rPr>
        <w:t>DNA, RNA,</w:t>
      </w:r>
      <w:r>
        <w:rPr>
          <w:rStyle w:val="Applestylespan"/>
          <w:rFonts w:ascii="標楷體" w:hAnsi="標楷體" w:cs="標楷體" w:eastAsia="標楷體"/>
        </w:rPr>
        <w:t>以及蛋白質的代謝、前列腺素合成等有所影響。</w:t>
      </w:r>
    </w:p>
    <w:p>
      <w:pPr>
        <w:pStyle w:val="Normal"/>
        <w:ind w:left="600" w:firstLine="480"/>
        <w:jc w:val="both"/>
        <w:rPr>
          <w:rStyle w:val="Applestylespan"/>
          <w:rFonts w:ascii="標楷體" w:hAnsi="標楷體" w:eastAsia="標楷體" w:cs="標楷體"/>
        </w:rPr>
      </w:pPr>
      <w:r>
        <w:rPr/>
      </w:r>
    </w:p>
    <w:p>
      <w:pPr>
        <w:pStyle w:val="Normal"/>
        <w:ind w:left="600" w:firstLine="480"/>
        <w:jc w:val="both"/>
        <w:rPr/>
      </w:pPr>
      <w:r>
        <w:rPr>
          <w:rStyle w:val="Applestylespan"/>
          <w:rFonts w:ascii="標楷體" w:hAnsi="標楷體" w:cs="標楷體" w:eastAsia="標楷體"/>
        </w:rPr>
        <w:t>大麻同時也對疼痛、代謝調節、渴癮、焦慮、骨骼生長、免疫功能等作用都具有影響性，相關的醫療用途以及可能造成的藥物濫用衝擊，仍在持續研究當中。</w:t>
      </w:r>
    </w:p>
    <w:p>
      <w:pPr>
        <w:pStyle w:val="Normal"/>
        <w:rPr>
          <w:rStyle w:val="Applestylespan"/>
          <w:rFonts w:ascii="標楷體" w:hAnsi="標楷體" w:eastAsia="標楷體" w:cs="標楷體"/>
        </w:rPr>
      </w:pPr>
      <w:r>
        <w:rPr/>
      </w:r>
    </w:p>
    <w:p>
      <w:pPr>
        <w:pStyle w:val="Normal"/>
        <w:rPr>
          <w:rStyle w:val="Applestylespan"/>
          <w:rFonts w:ascii="標楷體" w:hAnsi="標楷體" w:eastAsia="標楷體" w:cs="標楷體"/>
          <w:b/>
          <w:b/>
        </w:rPr>
      </w:pPr>
      <w:r>
        <w:rPr>
          <w:rStyle w:val="Applestylespan"/>
          <w:rFonts w:eastAsia="標楷體" w:cs="標楷體" w:ascii="標楷體" w:hAnsi="標楷體"/>
          <w:b/>
        </w:rPr>
        <w:t>(</w:t>
      </w:r>
      <w:r>
        <w:rPr>
          <w:rStyle w:val="Applestylespan"/>
          <w:rFonts w:ascii="標楷體" w:hAnsi="標楷體" w:cs="標楷體" w:eastAsia="標楷體"/>
          <w:b/>
        </w:rPr>
        <w:t>二</w:t>
      </w:r>
      <w:r>
        <w:rPr>
          <w:rStyle w:val="Applestylespan"/>
          <w:rFonts w:eastAsia="標楷體" w:cs="標楷體" w:ascii="標楷體" w:hAnsi="標楷體"/>
          <w:b/>
        </w:rPr>
        <w:t xml:space="preserve">) </w:t>
      </w:r>
      <w:r>
        <w:rPr>
          <w:rStyle w:val="Applestylespan"/>
          <w:rFonts w:ascii="標楷體" w:hAnsi="標楷體" w:cs="標楷體" w:eastAsia="標楷體"/>
          <w:b/>
        </w:rPr>
        <w:t>大麻藥物動力學</w:t>
      </w:r>
    </w:p>
    <w:p>
      <w:pPr>
        <w:pStyle w:val="Normal"/>
        <w:rPr>
          <w:rStyle w:val="Applestylespan"/>
          <w:rFonts w:ascii="標楷體" w:hAnsi="標楷體" w:eastAsia="標楷體" w:cs="標楷體"/>
          <w:b/>
          <w:b/>
        </w:rPr>
      </w:pPr>
      <w:r>
        <w:rPr/>
      </w:r>
    </w:p>
    <w:p>
      <w:pPr>
        <w:pStyle w:val="Normal"/>
        <w:ind w:left="600" w:firstLine="480"/>
        <w:jc w:val="both"/>
        <w:rPr/>
      </w:pPr>
      <w:r>
        <w:rPr>
          <w:rStyle w:val="Applestylespan"/>
          <w:rFonts w:ascii="標楷體" w:hAnsi="標楷體" w:cs="標楷體" w:eastAsia="標楷體"/>
        </w:rPr>
        <w:t>經由吸食方式使用，大麻的主要成分</w:t>
      </w:r>
      <w:r>
        <w:rPr>
          <w:rStyle w:val="Applestylespan"/>
          <w:rFonts w:eastAsia="標楷體" w:cs="標楷體" w:ascii="標楷體" w:hAnsi="標楷體"/>
        </w:rPr>
        <w:t>THC</w:t>
      </w:r>
      <w:r>
        <w:rPr>
          <w:rStyle w:val="Applestylespan"/>
          <w:rFonts w:ascii="標楷體" w:hAnsi="標楷體" w:cs="標楷體" w:eastAsia="標楷體"/>
        </w:rPr>
        <w:t>約在</w:t>
      </w:r>
      <w:r>
        <w:rPr>
          <w:rStyle w:val="Applestylespan"/>
          <w:rFonts w:eastAsia="標楷體" w:cs="標楷體" w:ascii="標楷體" w:hAnsi="標楷體"/>
        </w:rPr>
        <w:t>3-8</w:t>
      </w:r>
      <w:r>
        <w:rPr>
          <w:rStyle w:val="Applestylespan"/>
          <w:rFonts w:ascii="標楷體" w:hAnsi="標楷體" w:cs="標楷體" w:eastAsia="標楷體"/>
        </w:rPr>
        <w:t>分鐘後達到最高血中濃度，口服方式則約在</w:t>
      </w:r>
      <w:r>
        <w:rPr>
          <w:rStyle w:val="Applestylespan"/>
          <w:rFonts w:eastAsia="標楷體" w:cs="標楷體" w:ascii="標楷體" w:hAnsi="標楷體"/>
        </w:rPr>
        <w:t>30</w:t>
      </w:r>
      <w:r>
        <w:rPr>
          <w:rStyle w:val="Applestylespan"/>
          <w:rFonts w:ascii="標楷體" w:hAnsi="標楷體" w:cs="標楷體" w:eastAsia="標楷體"/>
        </w:rPr>
        <w:t>分鐘左右。</w:t>
      </w:r>
    </w:p>
    <w:p>
      <w:pPr>
        <w:pStyle w:val="Normal"/>
        <w:ind w:left="600" w:firstLine="480"/>
        <w:jc w:val="both"/>
        <w:rPr>
          <w:rStyle w:val="Applestylespan"/>
          <w:rFonts w:ascii="標楷體" w:hAnsi="標楷體" w:eastAsia="標楷體" w:cs="標楷體"/>
        </w:rPr>
      </w:pPr>
      <w:r>
        <w:rPr/>
      </w:r>
    </w:p>
    <w:p>
      <w:pPr>
        <w:pStyle w:val="Normal"/>
        <w:ind w:left="600" w:firstLine="480"/>
        <w:jc w:val="both"/>
        <w:rPr>
          <w:rStyle w:val="Applestylespan"/>
          <w:rFonts w:ascii="標楷體" w:hAnsi="標楷體" w:eastAsia="標楷體" w:cs="標楷體"/>
        </w:rPr>
      </w:pPr>
      <w:r>
        <w:rPr>
          <w:rStyle w:val="Applestylespan"/>
          <w:rFonts w:ascii="標楷體" w:hAnsi="標楷體" w:cs="標楷體" w:eastAsia="標楷體"/>
        </w:rPr>
        <w:t>大麻在進入體內後，絕大多數都是經由肝臟分解，只有極少部分才會以</w:t>
      </w:r>
      <w:r>
        <w:rPr>
          <w:rStyle w:val="Applestylespan"/>
          <w:rFonts w:eastAsia="標楷體" w:cs="標楷體" w:ascii="標楷體" w:hAnsi="標楷體"/>
        </w:rPr>
        <w:t>THC</w:t>
      </w:r>
      <w:r>
        <w:rPr>
          <w:rStyle w:val="Applestylespan"/>
          <w:rFonts w:ascii="標楷體" w:hAnsi="標楷體" w:cs="標楷體" w:eastAsia="標楷體"/>
        </w:rPr>
        <w:t>型態直接排出。大麻的代謝產物在二十種以上，而其主要代謝產物為</w:t>
      </w:r>
      <w:r>
        <w:rPr>
          <w:rStyle w:val="Applestylespan"/>
          <w:rFonts w:eastAsia="標楷體" w:cs="標楷體" w:ascii="標楷體" w:hAnsi="標楷體"/>
        </w:rPr>
        <w:t>11-hydroxy-THC</w:t>
      </w:r>
      <w:r>
        <w:rPr>
          <w:rStyle w:val="Applestylespan"/>
          <w:rFonts w:ascii="標楷體" w:hAnsi="標楷體" w:cs="標楷體" w:eastAsia="標楷體"/>
        </w:rPr>
        <w:t>以及</w:t>
      </w:r>
      <w:r>
        <w:rPr>
          <w:rStyle w:val="Applestylespan"/>
          <w:rFonts w:eastAsia="標楷體" w:cs="標楷體" w:ascii="標楷體" w:hAnsi="標楷體"/>
        </w:rPr>
        <w:t>8-beta-hydroxy-THC</w:t>
      </w:r>
      <w:r>
        <w:rPr>
          <w:rStyle w:val="Applestylespan"/>
          <w:rFonts w:ascii="標楷體" w:hAnsi="標楷體" w:cs="標楷體" w:eastAsia="標楷體"/>
        </w:rPr>
        <w:t>，兩者皆是具有活性的代謝產物，</w:t>
      </w:r>
      <w:r>
        <w:rPr>
          <w:rStyle w:val="Applestylespan"/>
          <w:rFonts w:eastAsia="標楷體" w:cs="標楷體" w:ascii="標楷體" w:hAnsi="標楷體"/>
        </w:rPr>
        <w:t>11-hydroxy-THC</w:t>
      </w:r>
      <w:r>
        <w:rPr>
          <w:rStyle w:val="Applestylespan"/>
          <w:rFonts w:ascii="標楷體" w:hAnsi="標楷體" w:cs="標楷體" w:eastAsia="標楷體"/>
        </w:rPr>
        <w:t>的活性與</w:t>
      </w:r>
      <w:r>
        <w:rPr>
          <w:rStyle w:val="Applestylespan"/>
          <w:rFonts w:eastAsia="標楷體" w:cs="標楷體" w:ascii="標楷體" w:hAnsi="標楷體"/>
        </w:rPr>
        <w:t>THC</w:t>
      </w:r>
      <w:r>
        <w:rPr>
          <w:rStyle w:val="Applestylespan"/>
          <w:rFonts w:ascii="標楷體" w:hAnsi="標楷體" w:cs="標楷體" w:eastAsia="標楷體"/>
        </w:rPr>
        <w:t>差異不大，</w:t>
      </w:r>
      <w:r>
        <w:rPr>
          <w:rStyle w:val="Applestylespan"/>
          <w:rFonts w:eastAsia="標楷體" w:cs="標楷體" w:ascii="標楷體" w:hAnsi="標楷體"/>
        </w:rPr>
        <w:t>8-beta- hydroxy-THC</w:t>
      </w:r>
      <w:r>
        <w:rPr>
          <w:rStyle w:val="Applestylespan"/>
          <w:rFonts w:eastAsia="標楷體" w:cs="標楷體" w:ascii="標楷體" w:hAnsi="標楷體"/>
        </w:rPr>
        <w:t xml:space="preserve"> </w:t>
      </w:r>
      <w:r>
        <w:rPr>
          <w:rStyle w:val="Applestylespan"/>
          <w:rFonts w:ascii="標楷體" w:hAnsi="標楷體" w:cs="標楷體" w:eastAsia="標楷體"/>
        </w:rPr>
        <w:t>則活性較</w:t>
      </w:r>
      <w:r>
        <w:rPr>
          <w:rStyle w:val="Applestylespan"/>
          <w:rFonts w:eastAsia="標楷體" w:cs="標楷體" w:ascii="標楷體" w:hAnsi="標楷體"/>
        </w:rPr>
        <w:t>THC</w:t>
      </w:r>
      <w:r>
        <w:rPr>
          <w:rStyle w:val="Applestylespan"/>
          <w:rFonts w:ascii="標楷體" w:hAnsi="標楷體" w:cs="標楷體" w:eastAsia="標楷體"/>
        </w:rPr>
        <w:t>為低。</w:t>
      </w:r>
    </w:p>
    <w:p>
      <w:pPr>
        <w:pStyle w:val="Normal"/>
        <w:ind w:left="600" w:firstLine="480"/>
        <w:jc w:val="both"/>
        <w:rPr>
          <w:rStyle w:val="Applestylespan"/>
          <w:rFonts w:ascii="標楷體" w:hAnsi="標楷體" w:eastAsia="標楷體" w:cs="標楷體"/>
        </w:rPr>
      </w:pPr>
      <w:r>
        <w:rPr/>
      </w:r>
    </w:p>
    <w:p>
      <w:pPr>
        <w:pStyle w:val="Normal"/>
        <w:ind w:left="600" w:firstLine="480"/>
        <w:jc w:val="both"/>
        <w:rPr>
          <w:rStyle w:val="Applestylespan"/>
          <w:rFonts w:ascii="標楷體" w:hAnsi="標楷體" w:eastAsia="標楷體" w:cs="標楷體"/>
        </w:rPr>
      </w:pPr>
      <w:r>
        <w:rPr>
          <w:rStyle w:val="Applestylespan"/>
          <w:rFonts w:ascii="標楷體" w:hAnsi="標楷體" w:cs="標楷體" w:eastAsia="標楷體"/>
        </w:rPr>
        <w:t>大麻進入人體後的排除，大約在</w:t>
      </w:r>
      <w:r>
        <w:rPr>
          <w:rStyle w:val="Applestylespan"/>
          <w:rFonts w:eastAsia="標楷體" w:cs="標楷體" w:ascii="標楷體" w:hAnsi="標楷體"/>
        </w:rPr>
        <w:t>72</w:t>
      </w:r>
      <w:r>
        <w:rPr>
          <w:rStyle w:val="Applestylespan"/>
          <w:rFonts w:ascii="標楷體" w:hAnsi="標楷體" w:cs="標楷體" w:eastAsia="標楷體"/>
        </w:rPr>
        <w:t>小時後可以排出</w:t>
      </w:r>
      <w:r>
        <w:rPr>
          <w:rStyle w:val="Applestylespan"/>
          <w:rFonts w:eastAsia="標楷體" w:cs="標楷體" w:ascii="標楷體" w:hAnsi="標楷體"/>
        </w:rPr>
        <w:t>70%</w:t>
      </w:r>
      <w:r>
        <w:rPr>
          <w:rStyle w:val="Applestylespan"/>
          <w:rFonts w:ascii="標楷體" w:hAnsi="標楷體" w:cs="標楷體" w:eastAsia="標楷體"/>
        </w:rPr>
        <w:t>的</w:t>
      </w:r>
      <w:r>
        <w:rPr>
          <w:rStyle w:val="Applestylespan"/>
          <w:rFonts w:eastAsia="標楷體" w:cs="標楷體" w:ascii="標楷體" w:hAnsi="標楷體"/>
        </w:rPr>
        <w:t>THC</w:t>
      </w:r>
      <w:r>
        <w:rPr>
          <w:rStyle w:val="Applestylespan"/>
          <w:rFonts w:ascii="標楷體" w:hAnsi="標楷體" w:cs="標楷體" w:eastAsia="標楷體"/>
        </w:rPr>
        <w:t>，其中</w:t>
      </w:r>
      <w:r>
        <w:rPr>
          <w:rStyle w:val="Applestylespan"/>
          <w:rFonts w:eastAsia="標楷體" w:cs="標楷體" w:ascii="標楷體" w:hAnsi="標楷體"/>
        </w:rPr>
        <w:t>30%</w:t>
      </w:r>
      <w:r>
        <w:rPr>
          <w:rStyle w:val="Applestylespan"/>
          <w:rFonts w:ascii="標楷體" w:hAnsi="標楷體" w:cs="標楷體" w:eastAsia="標楷體"/>
        </w:rPr>
        <w:t>是由尿液排出，</w:t>
      </w:r>
      <w:r>
        <w:rPr>
          <w:rStyle w:val="Applestylespan"/>
          <w:rFonts w:eastAsia="標楷體" w:cs="標楷體" w:ascii="標楷體" w:hAnsi="標楷體"/>
        </w:rPr>
        <w:t>40%</w:t>
      </w:r>
      <w:r>
        <w:rPr>
          <w:rStyle w:val="Applestylespan"/>
          <w:rFonts w:ascii="標楷體" w:hAnsi="標楷體" w:cs="標楷體" w:eastAsia="標楷體"/>
        </w:rPr>
        <w:t>則是經由糞便排出。尿液排出大麻代謝產物</w:t>
      </w:r>
      <w:r>
        <w:rPr>
          <w:rStyle w:val="Applestylespan"/>
          <w:rFonts w:eastAsia="標楷體" w:cs="標楷體" w:ascii="標楷體" w:hAnsi="標楷體"/>
        </w:rPr>
        <w:t>THC-COOH</w:t>
      </w:r>
      <w:r>
        <w:rPr>
          <w:rStyle w:val="Applestylespan"/>
          <w:rFonts w:ascii="標楷體" w:hAnsi="標楷體" w:cs="標楷體" w:eastAsia="標楷體"/>
        </w:rPr>
        <w:t>的半衰期，則約在</w:t>
      </w:r>
      <w:r>
        <w:rPr>
          <w:rStyle w:val="Applestylespan"/>
          <w:rFonts w:eastAsia="標楷體" w:cs="標楷體" w:ascii="標楷體" w:hAnsi="標楷體"/>
        </w:rPr>
        <w:t>30</w:t>
      </w:r>
      <w:r>
        <w:rPr>
          <w:rStyle w:val="Applestylespan"/>
          <w:rFonts w:ascii="標楷體" w:hAnsi="標楷體" w:cs="標楷體" w:eastAsia="標楷體"/>
        </w:rPr>
        <w:t>小時左右。</w:t>
      </w:r>
      <w:r>
        <w:br w:type="page"/>
      </w:r>
    </w:p>
    <w:p>
      <w:pPr>
        <w:pStyle w:val="1"/>
        <w:jc w:val="center"/>
        <w:rPr/>
      </w:pPr>
      <w:bookmarkStart w:id="5" w:name="__RefHeading___Toc319875832"/>
      <w:bookmarkEnd w:id="5"/>
      <w:r>
        <w:rPr/>
        <w:t>第四節</w:t>
      </w:r>
      <w:r>
        <w:rPr>
          <w:rFonts w:eastAsia="Cambria"/>
        </w:rPr>
        <w:t xml:space="preserve"> </w:t>
      </w:r>
      <w:r>
        <w:rPr/>
        <w:t>一般處理原則</w:t>
      </w:r>
    </w:p>
    <w:p>
      <w:pPr>
        <w:pStyle w:val="Normal"/>
        <w:ind w:firstLine="480"/>
        <w:rPr>
          <w:rFonts w:ascii="標楷體" w:hAnsi="標楷體" w:eastAsia="標楷體" w:cs="標楷體"/>
        </w:rPr>
      </w:pPr>
      <w:r>
        <w:rPr>
          <w:rFonts w:ascii="標楷體" w:hAnsi="標楷體" w:cs="標楷體" w:eastAsia="標楷體"/>
        </w:rPr>
        <w:t>關於二級毒品使用者的治療，由於不像海洛因個案有確定療效的藥物治療模式</w:t>
      </w:r>
      <w:r>
        <w:rPr>
          <w:rFonts w:eastAsia="標楷體" w:cs="標楷體" w:ascii="標楷體" w:hAnsi="標楷體"/>
        </w:rPr>
        <w:t>(</w:t>
      </w:r>
      <w:r>
        <w:rPr>
          <w:rFonts w:ascii="標楷體" w:hAnsi="標楷體" w:cs="標楷體" w:eastAsia="標楷體"/>
        </w:rPr>
        <w:t>如美沙冬替代維持療法</w:t>
      </w:r>
      <w:r>
        <w:rPr>
          <w:rFonts w:eastAsia="標楷體" w:cs="標楷體" w:ascii="標楷體" w:hAnsi="標楷體"/>
        </w:rPr>
        <w:t>)</w:t>
      </w:r>
      <w:r>
        <w:rPr>
          <w:rFonts w:ascii="標楷體" w:hAnsi="標楷體" w:cs="標楷體" w:eastAsia="標楷體"/>
        </w:rPr>
        <w:t>，因此在治療上是以心理社會治療為主軸，輔以藥物治療的方式進行。</w:t>
      </w:r>
    </w:p>
    <w:p>
      <w:pPr>
        <w:pStyle w:val="Normal"/>
        <w:rPr>
          <w:rFonts w:ascii="標楷體" w:hAnsi="標楷體" w:eastAsia="標楷體" w:cs="標楷體"/>
        </w:rPr>
      </w:pPr>
      <w:r>
        <w:rPr>
          <w:rFonts w:eastAsia="標楷體" w:cs="標楷體" w:ascii="標楷體" w:hAnsi="標楷體"/>
        </w:rPr>
        <w:tab/>
      </w:r>
    </w:p>
    <w:p>
      <w:pPr>
        <w:pStyle w:val="Normal"/>
        <w:numPr>
          <w:ilvl w:val="0"/>
          <w:numId w:val="12"/>
        </w:numPr>
        <w:rPr>
          <w:rFonts w:ascii="標楷體" w:hAnsi="標楷體" w:eastAsia="標楷體" w:cs="標楷體"/>
        </w:rPr>
      </w:pPr>
      <w:r>
        <w:rPr>
          <w:rFonts w:ascii="標楷體" w:hAnsi="標楷體" w:cs="標楷體" w:eastAsia="標楷體"/>
        </w:rPr>
        <w:t>建立治療關係</w:t>
      </w:r>
    </w:p>
    <w:p>
      <w:pPr>
        <w:pStyle w:val="Normal"/>
        <w:numPr>
          <w:ilvl w:val="0"/>
          <w:numId w:val="12"/>
        </w:numPr>
        <w:rPr>
          <w:rFonts w:ascii="標楷體" w:hAnsi="標楷體" w:eastAsia="標楷體" w:cs="標楷體"/>
        </w:rPr>
      </w:pPr>
      <w:r>
        <w:rPr>
          <w:rFonts w:ascii="標楷體" w:hAnsi="標楷體" w:cs="標楷體" w:eastAsia="標楷體"/>
        </w:rPr>
        <w:t>初步評估</w:t>
      </w:r>
    </w:p>
    <w:p>
      <w:pPr>
        <w:pStyle w:val="Normal"/>
        <w:numPr>
          <w:ilvl w:val="0"/>
          <w:numId w:val="12"/>
        </w:numPr>
        <w:rPr>
          <w:rFonts w:ascii="標楷體" w:hAnsi="標楷體" w:eastAsia="標楷體" w:cs="標楷體"/>
        </w:rPr>
      </w:pPr>
      <w:r>
        <w:rPr>
          <w:rFonts w:ascii="標楷體" w:hAnsi="標楷體" w:cs="標楷體" w:eastAsia="標楷體"/>
        </w:rPr>
        <w:t>擬訂治療計畫</w:t>
      </w:r>
    </w:p>
    <w:p>
      <w:pPr>
        <w:pStyle w:val="Normal"/>
        <w:numPr>
          <w:ilvl w:val="0"/>
          <w:numId w:val="12"/>
        </w:numPr>
        <w:rPr/>
      </w:pPr>
      <w:r>
        <w:rPr>
          <w:rFonts w:ascii="標楷體" w:hAnsi="標楷體" w:cs="標楷體" w:eastAsia="標楷體"/>
        </w:rPr>
        <w:t>鼓勵家庭成員介入：衛教、情緒支持</w:t>
      </w:r>
    </w:p>
    <w:p>
      <w:pPr>
        <w:pStyle w:val="Normal"/>
        <w:rPr>
          <w:rFonts w:ascii="標楷體" w:hAnsi="標楷體" w:eastAsia="標楷體" w:cs="標楷體"/>
        </w:rPr>
      </w:pPr>
      <w:r>
        <w:rPr>
          <w:rFonts w:eastAsia="標楷體" w:cs="標楷體" w:ascii="標楷體" w:hAnsi="標楷體"/>
        </w:rPr>
      </w:r>
    </w:p>
    <w:p>
      <w:pPr>
        <w:pStyle w:val="Normal"/>
        <w:rPr>
          <w:rFonts w:ascii="標楷體" w:hAnsi="標楷體" w:eastAsia="標楷體" w:cs="標楷體"/>
          <w:b/>
          <w:b/>
        </w:rPr>
      </w:pPr>
      <w:r>
        <w:rPr>
          <w:rFonts w:ascii="標楷體" w:hAnsi="標楷體" w:cs="標楷體" w:eastAsia="標楷體"/>
          <w:b/>
        </w:rPr>
        <w:t>一、未達依賴程度個案：</w:t>
      </w:r>
    </w:p>
    <w:p>
      <w:pPr>
        <w:pStyle w:val="Normal"/>
        <w:rPr>
          <w:rFonts w:ascii="標楷體" w:hAnsi="標楷體" w:eastAsia="標楷體" w:cs="標楷體"/>
          <w:b/>
          <w:b/>
        </w:rPr>
      </w:pPr>
      <w:r>
        <w:rPr>
          <w:rFonts w:eastAsia="標楷體" w:cs="標楷體" w:ascii="標楷體" w:hAnsi="標楷體"/>
          <w:b/>
        </w:rPr>
      </w:r>
    </w:p>
    <w:p>
      <w:pPr>
        <w:pStyle w:val="Normal"/>
        <w:ind w:left="480" w:firstLine="480"/>
        <w:jc w:val="both"/>
        <w:rPr>
          <w:rFonts w:ascii="標楷體" w:hAnsi="標楷體" w:eastAsia="標楷體" w:cs="標楷體"/>
        </w:rPr>
      </w:pPr>
      <w:r>
        <w:rPr>
          <w:rFonts w:ascii="標楷體" w:hAnsi="標楷體" w:cs="標楷體" w:eastAsia="標楷體"/>
        </w:rPr>
        <w:t>個案使用程度尚未符合</w:t>
      </w:r>
      <w:r>
        <w:rPr>
          <w:rFonts w:ascii="標楷體" w:hAnsi="標楷體" w:cs="標楷體" w:eastAsia="標楷體"/>
          <w:color w:val="000000"/>
          <w:szCs w:val="24"/>
        </w:rPr>
        <w:t>精神疾患診斷與統計手冊</w:t>
      </w:r>
      <w:r>
        <w:rPr>
          <w:rFonts w:eastAsia="標楷體" w:cs="標楷體" w:ascii="標楷體" w:hAnsi="標楷體"/>
          <w:color w:val="000000"/>
          <w:szCs w:val="24"/>
        </w:rPr>
        <w:t>-</w:t>
      </w:r>
      <w:r>
        <w:rPr>
          <w:rFonts w:ascii="標楷體" w:hAnsi="標楷體" w:cs="標楷體" w:eastAsia="標楷體"/>
          <w:color w:val="000000"/>
          <w:szCs w:val="24"/>
        </w:rPr>
        <w:t>第四版</w:t>
      </w:r>
      <w:r>
        <w:rPr>
          <w:rFonts w:eastAsia="標楷體" w:cs="標楷體" w:ascii="標楷體" w:hAnsi="標楷體"/>
          <w:color w:val="000000"/>
          <w:szCs w:val="24"/>
        </w:rPr>
        <w:t>(</w:t>
      </w:r>
      <w:r>
        <w:rPr>
          <w:rFonts w:eastAsia="標楷體" w:cs="標楷體" w:ascii="標楷體" w:hAnsi="標楷體"/>
        </w:rPr>
        <w:t>DSM-IV)</w:t>
      </w:r>
      <w:r>
        <w:rPr>
          <w:rFonts w:ascii="標楷體" w:hAnsi="標楷體" w:cs="標楷體" w:eastAsia="標楷體"/>
        </w:rPr>
        <w:t>物質依賴診斷，可能包含初期好奇使用、社交娛樂使用、或因職業場所接觸等原因而接觸到成癮物質的個案。</w:t>
      </w:r>
    </w:p>
    <w:p>
      <w:pPr>
        <w:pStyle w:val="Normal"/>
        <w:ind w:left="480" w:firstLine="480"/>
        <w:rPr>
          <w:rFonts w:ascii="標楷體" w:hAnsi="標楷體" w:eastAsia="標楷體" w:cs="標楷體"/>
        </w:rPr>
      </w:pPr>
      <w:r>
        <w:rPr>
          <w:rFonts w:eastAsia="標楷體" w:cs="標楷體" w:ascii="標楷體" w:hAnsi="標楷體"/>
        </w:rPr>
      </w:r>
    </w:p>
    <w:p>
      <w:pPr>
        <w:pStyle w:val="Normal"/>
        <w:ind w:left="480" w:hanging="0"/>
        <w:rPr>
          <w:rFonts w:ascii="標楷體" w:hAnsi="標楷體" w:eastAsia="標楷體" w:cs="標楷體"/>
        </w:rPr>
      </w:pPr>
      <w:r>
        <w:rPr>
          <w:rFonts w:eastAsia="標楷體" w:cs="標楷體" w:ascii="標楷體" w:hAnsi="標楷體"/>
        </w:rPr>
        <w:t>(</w:t>
      </w:r>
      <w:r>
        <w:rPr>
          <w:rFonts w:ascii="標楷體" w:hAnsi="標楷體" w:cs="標楷體" w:eastAsia="標楷體"/>
        </w:rPr>
        <w:t>一</w:t>
      </w:r>
      <w:r>
        <w:rPr>
          <w:rFonts w:eastAsia="標楷體" w:cs="標楷體" w:ascii="標楷體" w:hAnsi="標楷體"/>
        </w:rPr>
        <w:t xml:space="preserve">) </w:t>
      </w:r>
      <w:r>
        <w:rPr>
          <w:rFonts w:ascii="標楷體" w:hAnsi="標楷體" w:cs="標楷體" w:eastAsia="標楷體"/>
        </w:rPr>
        <w:t>減害原則。</w:t>
      </w:r>
    </w:p>
    <w:p>
      <w:pPr>
        <w:pStyle w:val="Normal"/>
        <w:ind w:left="480" w:hanging="0"/>
        <w:rPr>
          <w:rFonts w:ascii="標楷體" w:hAnsi="標楷體" w:eastAsia="標楷體" w:cs="標楷體"/>
        </w:rPr>
      </w:pPr>
      <w:r>
        <w:rPr>
          <w:rFonts w:eastAsia="標楷體" w:cs="標楷體" w:ascii="標楷體" w:hAnsi="標楷體"/>
        </w:rPr>
        <w:t>(</w:t>
      </w:r>
      <w:r>
        <w:rPr>
          <w:rFonts w:ascii="標楷體" w:hAnsi="標楷體" w:cs="標楷體" w:eastAsia="標楷體"/>
        </w:rPr>
        <w:t>二</w:t>
      </w:r>
      <w:r>
        <w:rPr>
          <w:rFonts w:eastAsia="標楷體" w:cs="標楷體" w:ascii="標楷體" w:hAnsi="標楷體"/>
        </w:rPr>
        <w:t xml:space="preserve">) </w:t>
      </w:r>
      <w:r>
        <w:rPr>
          <w:rFonts w:ascii="標楷體" w:hAnsi="標楷體" w:cs="標楷體" w:eastAsia="標楷體"/>
        </w:rPr>
        <w:t>衛教長期使用藥物的可能危害。</w:t>
      </w:r>
    </w:p>
    <w:p>
      <w:pPr>
        <w:pStyle w:val="Normal"/>
        <w:ind w:left="480" w:hanging="0"/>
        <w:rPr>
          <w:rFonts w:ascii="標楷體" w:hAnsi="標楷體" w:eastAsia="標楷體" w:cs="標楷體"/>
        </w:rPr>
      </w:pPr>
      <w:r>
        <w:rPr>
          <w:rFonts w:eastAsia="標楷體" w:cs="標楷體" w:ascii="標楷體" w:hAnsi="標楷體"/>
        </w:rPr>
        <w:t>(</w:t>
      </w:r>
      <w:r>
        <w:rPr>
          <w:rFonts w:ascii="標楷體" w:hAnsi="標楷體" w:cs="標楷體" w:eastAsia="標楷體"/>
        </w:rPr>
        <w:t>三</w:t>
      </w:r>
      <w:r>
        <w:rPr>
          <w:rFonts w:eastAsia="標楷體" w:cs="標楷體" w:ascii="標楷體" w:hAnsi="標楷體"/>
        </w:rPr>
        <w:t xml:space="preserve">) </w:t>
      </w:r>
      <w:r>
        <w:rPr>
          <w:rFonts w:ascii="標楷體" w:hAnsi="標楷體" w:cs="標楷體" w:eastAsia="標楷體"/>
        </w:rPr>
        <w:t>避免個案轉變為規律使用或依賴該成癮藥物。</w:t>
      </w:r>
    </w:p>
    <w:p>
      <w:pPr>
        <w:pStyle w:val="Normal"/>
        <w:ind w:left="480" w:hanging="0"/>
        <w:rPr>
          <w:rFonts w:ascii="標楷體" w:hAnsi="標楷體" w:eastAsia="標楷體" w:cs="標楷體"/>
        </w:rPr>
      </w:pPr>
      <w:r>
        <w:rPr>
          <w:rFonts w:eastAsia="標楷體" w:cs="標楷體" w:ascii="標楷體" w:hAnsi="標楷體"/>
        </w:rPr>
        <w:t>(</w:t>
      </w:r>
      <w:r>
        <w:rPr>
          <w:rFonts w:ascii="標楷體" w:hAnsi="標楷體" w:cs="標楷體" w:eastAsia="標楷體"/>
        </w:rPr>
        <w:t>四</w:t>
      </w:r>
      <w:r>
        <w:rPr>
          <w:rFonts w:eastAsia="標楷體" w:cs="標楷體" w:ascii="標楷體" w:hAnsi="標楷體"/>
        </w:rPr>
        <w:t xml:space="preserve">) </w:t>
      </w:r>
      <w:r>
        <w:rPr>
          <w:rFonts w:ascii="標楷體" w:hAnsi="標楷體" w:cs="標楷體" w:eastAsia="標楷體"/>
        </w:rPr>
        <w:t>短期介入要點：</w:t>
      </w:r>
    </w:p>
    <w:p>
      <w:pPr>
        <w:pStyle w:val="Normal"/>
        <w:ind w:left="1080" w:firstLine="480"/>
        <w:rPr>
          <w:rFonts w:ascii="標楷體" w:hAnsi="標楷體" w:eastAsia="標楷體" w:cs="標楷體"/>
        </w:rPr>
      </w:pPr>
      <w:r>
        <w:rPr>
          <w:rFonts w:ascii="標楷體" w:hAnsi="標楷體" w:cs="標楷體" w:eastAsia="標楷體"/>
        </w:rPr>
        <w:t>依照動機式晤談法與個案建立良好關係，避免質疑等方式所造成的個案心理阻抗，經常應用的動機促進會談、治療技巧可用下列模式為代表。</w:t>
      </w:r>
    </w:p>
    <w:p>
      <w:pPr>
        <w:pStyle w:val="Normal"/>
        <w:ind w:left="960" w:hanging="0"/>
        <w:rPr>
          <w:rFonts w:ascii="標楷體" w:hAnsi="標楷體" w:eastAsia="標楷體" w:cs="標楷體"/>
        </w:rPr>
      </w:pPr>
      <w:r>
        <w:rPr>
          <w:rFonts w:eastAsia="標楷體" w:cs="標楷體" w:ascii="標楷體" w:hAnsi="標楷體"/>
        </w:rPr>
        <w:tab/>
        <w:t>FRAMES</w:t>
      </w:r>
      <w:r>
        <w:rPr>
          <w:rFonts w:ascii="標楷體" w:hAnsi="標楷體" w:cs="標楷體" w:eastAsia="標楷體"/>
        </w:rPr>
        <w:t>模式：</w:t>
      </w:r>
    </w:p>
    <w:p>
      <w:pPr>
        <w:pStyle w:val="Normal"/>
        <w:ind w:left="960" w:hanging="0"/>
        <w:rPr>
          <w:rFonts w:ascii="標楷體" w:hAnsi="標楷體" w:eastAsia="標楷體" w:cs="標楷體"/>
        </w:rPr>
      </w:pPr>
      <w:r>
        <w:rPr>
          <w:rFonts w:eastAsia="標楷體" w:cs="標楷體" w:ascii="標楷體" w:hAnsi="標楷體"/>
        </w:rPr>
        <w:tab/>
        <w:t xml:space="preserve">1. </w:t>
      </w:r>
      <w:r>
        <w:rPr>
          <w:rFonts w:ascii="標楷體" w:hAnsi="標楷體" w:cs="標楷體" w:eastAsia="標楷體"/>
        </w:rPr>
        <w:t xml:space="preserve">回饋 </w:t>
      </w:r>
      <w:r>
        <w:rPr>
          <w:rFonts w:eastAsia="標楷體" w:cs="標楷體" w:ascii="標楷體" w:hAnsi="標楷體"/>
        </w:rPr>
        <w:t>(Feedback)</w:t>
      </w:r>
    </w:p>
    <w:p>
      <w:pPr>
        <w:pStyle w:val="Normal"/>
        <w:ind w:left="960" w:hanging="0"/>
        <w:rPr>
          <w:rFonts w:ascii="標楷體" w:hAnsi="標楷體" w:eastAsia="標楷體" w:cs="標楷體"/>
        </w:rPr>
      </w:pPr>
      <w:r>
        <w:rPr>
          <w:rFonts w:eastAsia="標楷體" w:cs="標楷體" w:ascii="標楷體" w:hAnsi="標楷體"/>
        </w:rPr>
        <w:tab/>
        <w:t xml:space="preserve">2. </w:t>
      </w:r>
      <w:r>
        <w:rPr>
          <w:rFonts w:ascii="標楷體" w:hAnsi="標楷體" w:cs="標楷體" w:eastAsia="標楷體"/>
        </w:rPr>
        <w:t xml:space="preserve">負責 </w:t>
      </w:r>
      <w:r>
        <w:rPr>
          <w:rFonts w:eastAsia="標楷體" w:cs="標楷體" w:ascii="標楷體" w:hAnsi="標楷體"/>
        </w:rPr>
        <w:t>(Responsibility)</w:t>
      </w:r>
    </w:p>
    <w:p>
      <w:pPr>
        <w:pStyle w:val="Normal"/>
        <w:ind w:left="960" w:hanging="0"/>
        <w:rPr>
          <w:rFonts w:ascii="標楷體" w:hAnsi="標楷體" w:eastAsia="標楷體" w:cs="標楷體"/>
        </w:rPr>
      </w:pPr>
      <w:r>
        <w:rPr>
          <w:rFonts w:eastAsia="標楷體" w:cs="標楷體" w:ascii="標楷體" w:hAnsi="標楷體"/>
        </w:rPr>
        <w:tab/>
        <w:t xml:space="preserve">3. </w:t>
      </w:r>
      <w:r>
        <w:rPr>
          <w:rFonts w:ascii="標楷體" w:hAnsi="標楷體" w:cs="標楷體" w:eastAsia="標楷體"/>
        </w:rPr>
        <w:t xml:space="preserve">建議 </w:t>
      </w:r>
      <w:r>
        <w:rPr>
          <w:rFonts w:eastAsia="標楷體" w:cs="標楷體" w:ascii="標楷體" w:hAnsi="標楷體"/>
        </w:rPr>
        <w:t>(Advice)</w:t>
      </w:r>
    </w:p>
    <w:p>
      <w:pPr>
        <w:pStyle w:val="Normal"/>
        <w:ind w:left="960" w:hanging="0"/>
        <w:rPr>
          <w:rFonts w:ascii="標楷體" w:hAnsi="標楷體" w:eastAsia="標楷體" w:cs="標楷體"/>
        </w:rPr>
      </w:pPr>
      <w:r>
        <w:rPr>
          <w:rFonts w:eastAsia="標楷體" w:cs="標楷體" w:ascii="標楷體" w:hAnsi="標楷體"/>
        </w:rPr>
        <w:tab/>
        <w:t xml:space="preserve">4. </w:t>
      </w:r>
      <w:r>
        <w:rPr>
          <w:rFonts w:ascii="標楷體" w:hAnsi="標楷體" w:cs="標楷體" w:eastAsia="標楷體"/>
        </w:rPr>
        <w:t xml:space="preserve">選擇 </w:t>
      </w:r>
      <w:r>
        <w:rPr>
          <w:rFonts w:eastAsia="標楷體" w:cs="標楷體" w:ascii="標楷體" w:hAnsi="標楷體"/>
        </w:rPr>
        <w:t>(Menu)</w:t>
      </w:r>
    </w:p>
    <w:p>
      <w:pPr>
        <w:pStyle w:val="Normal"/>
        <w:ind w:left="960" w:hanging="0"/>
        <w:rPr>
          <w:rFonts w:ascii="標楷體" w:hAnsi="標楷體" w:eastAsia="標楷體" w:cs="標楷體"/>
        </w:rPr>
      </w:pPr>
      <w:r>
        <w:rPr>
          <w:rFonts w:eastAsia="標楷體" w:cs="標楷體" w:ascii="標楷體" w:hAnsi="標楷體"/>
        </w:rPr>
        <w:tab/>
        <w:t xml:space="preserve">5. </w:t>
      </w:r>
      <w:r>
        <w:rPr>
          <w:rFonts w:ascii="標楷體" w:hAnsi="標楷體" w:cs="標楷體" w:eastAsia="標楷體"/>
        </w:rPr>
        <w:t xml:space="preserve">同理 </w:t>
      </w:r>
      <w:r>
        <w:rPr>
          <w:rFonts w:eastAsia="標楷體" w:cs="標楷體" w:ascii="標楷體" w:hAnsi="標楷體"/>
        </w:rPr>
        <w:t>(Empathy)</w:t>
      </w:r>
    </w:p>
    <w:p>
      <w:pPr>
        <w:pStyle w:val="Normal"/>
        <w:ind w:left="960" w:hanging="0"/>
        <w:rPr>
          <w:rFonts w:ascii="標楷體" w:hAnsi="標楷體" w:eastAsia="標楷體" w:cs="標楷體"/>
        </w:rPr>
      </w:pPr>
      <w:r>
        <w:rPr>
          <w:rFonts w:eastAsia="標楷體" w:cs="標楷體" w:ascii="標楷體" w:hAnsi="標楷體"/>
        </w:rPr>
        <w:tab/>
        <w:t xml:space="preserve">6. </w:t>
      </w:r>
      <w:r>
        <w:rPr>
          <w:rFonts w:ascii="標楷體" w:hAnsi="標楷體" w:cs="標楷體" w:eastAsia="標楷體"/>
        </w:rPr>
        <w:t xml:space="preserve">自我有能感 </w:t>
      </w:r>
      <w:r>
        <w:rPr>
          <w:rFonts w:eastAsia="標楷體" w:cs="標楷體" w:ascii="標楷體" w:hAnsi="標楷體"/>
        </w:rPr>
        <w:t>(Self-efficacy)</w:t>
      </w:r>
    </w:p>
    <w:p>
      <w:pPr>
        <w:pStyle w:val="Normal"/>
        <w:rPr>
          <w:rFonts w:ascii="標楷體" w:hAnsi="標楷體" w:eastAsia="標楷體" w:cs="標楷體"/>
        </w:rPr>
      </w:pPr>
      <w:r>
        <w:rPr>
          <w:rFonts w:eastAsia="標楷體" w:cs="標楷體" w:ascii="標楷體" w:hAnsi="標楷體"/>
        </w:rPr>
      </w:r>
    </w:p>
    <w:p>
      <w:pPr>
        <w:pStyle w:val="Normal"/>
        <w:rPr>
          <w:rFonts w:ascii="標楷體" w:hAnsi="標楷體" w:eastAsia="標楷體" w:cs="標楷體"/>
          <w:b/>
          <w:b/>
        </w:rPr>
      </w:pPr>
      <w:r>
        <w:rPr>
          <w:rFonts w:ascii="標楷體" w:hAnsi="標楷體" w:cs="標楷體" w:eastAsia="標楷體"/>
          <w:b/>
        </w:rPr>
        <w:t>二、經常性使用及依賴程度個案</w:t>
      </w:r>
    </w:p>
    <w:p>
      <w:pPr>
        <w:pStyle w:val="Normal"/>
        <w:rPr>
          <w:rFonts w:ascii="標楷體" w:hAnsi="標楷體" w:eastAsia="標楷體" w:cs="標楷體"/>
          <w:b/>
          <w:b/>
        </w:rPr>
      </w:pPr>
      <w:r>
        <w:rPr>
          <w:rFonts w:eastAsia="標楷體" w:cs="標楷體" w:ascii="標楷體" w:hAnsi="標楷體"/>
          <w:b/>
        </w:rPr>
      </w:r>
    </w:p>
    <w:p>
      <w:pPr>
        <w:pStyle w:val="Normal"/>
        <w:ind w:left="480" w:firstLine="480"/>
        <w:jc w:val="both"/>
        <w:rPr/>
      </w:pPr>
      <w:r>
        <w:rPr>
          <w:rFonts w:ascii="標楷體" w:hAnsi="標楷體" w:cs="標楷體" w:eastAsia="標楷體"/>
        </w:rPr>
        <w:t>長期使用藥物個案可能都會有心理、身體與社交問題，擬定治療計畫時須要針對個案的問題，給予個別化處理。</w:t>
      </w:r>
    </w:p>
    <w:p>
      <w:pPr>
        <w:pStyle w:val="Normal"/>
        <w:ind w:firstLine="480"/>
        <w:rPr>
          <w:rFonts w:ascii="標楷體" w:hAnsi="標楷體" w:eastAsia="標楷體" w:cs="標楷體"/>
        </w:rPr>
      </w:pPr>
      <w:r>
        <w:rPr>
          <w:rFonts w:eastAsia="標楷體" w:cs="標楷體" w:ascii="標楷體" w:hAnsi="標楷體"/>
        </w:rPr>
      </w:r>
    </w:p>
    <w:p>
      <w:pPr>
        <w:pStyle w:val="Normal"/>
        <w:ind w:left="480" w:firstLine="480"/>
        <w:jc w:val="both"/>
        <w:rPr/>
      </w:pPr>
      <w:r>
        <w:rPr>
          <w:rFonts w:ascii="標楷體" w:hAnsi="標楷體" w:cs="標楷體" w:eastAsia="標楷體"/>
        </w:rPr>
        <w:t>治療性關係的建立十分重要，初期須要著重在個案關心及呈現的問題，例如睡眠、情緒、營養、人際關係等，後續才較有機會處理到藥物依賴問題的核心。</w:t>
      </w:r>
    </w:p>
    <w:p>
      <w:pPr>
        <w:pStyle w:val="Normal"/>
        <w:ind w:left="480" w:hanging="0"/>
        <w:jc w:val="both"/>
        <w:rPr>
          <w:rFonts w:ascii="標楷體" w:hAnsi="標楷體" w:eastAsia="標楷體" w:cs="標楷體"/>
        </w:rPr>
      </w:pPr>
      <w:r>
        <w:rPr>
          <w:rFonts w:eastAsia="標楷體" w:cs="標楷體" w:ascii="標楷體" w:hAnsi="標楷體"/>
        </w:rPr>
      </w:r>
    </w:p>
    <w:p>
      <w:pPr>
        <w:pStyle w:val="Normal"/>
        <w:ind w:left="480" w:firstLine="480"/>
        <w:jc w:val="both"/>
        <w:rPr/>
      </w:pPr>
      <w:r>
        <w:rPr>
          <w:rFonts w:ascii="標楷體" w:hAnsi="標楷體" w:cs="標楷體" w:eastAsia="標楷體"/>
        </w:rPr>
        <w:t>評估患者是否達到</w:t>
      </w:r>
      <w:r>
        <w:rPr>
          <w:rFonts w:ascii="標楷體" w:hAnsi="標楷體" w:cs="標楷體" w:eastAsia="標楷體"/>
          <w:color w:val="000000"/>
          <w:szCs w:val="24"/>
        </w:rPr>
        <w:t>精神疾患診斷與統計手冊</w:t>
      </w:r>
      <w:r>
        <w:rPr>
          <w:rFonts w:eastAsia="標楷體" w:cs="標楷體" w:ascii="標楷體" w:hAnsi="標楷體"/>
          <w:color w:val="000000"/>
          <w:szCs w:val="24"/>
        </w:rPr>
        <w:t>-</w:t>
      </w:r>
      <w:r>
        <w:rPr>
          <w:rFonts w:ascii="標楷體" w:hAnsi="標楷體" w:cs="標楷體" w:eastAsia="標楷體"/>
          <w:color w:val="000000"/>
          <w:szCs w:val="24"/>
        </w:rPr>
        <w:t>第四版</w:t>
      </w:r>
      <w:r>
        <w:rPr>
          <w:rFonts w:eastAsia="標楷體" w:cs="標楷體" w:ascii="標楷體" w:hAnsi="標楷體"/>
          <w:color w:val="000000"/>
          <w:szCs w:val="24"/>
        </w:rPr>
        <w:t>(</w:t>
      </w:r>
      <w:r>
        <w:rPr>
          <w:rFonts w:eastAsia="標楷體" w:cs="標楷體" w:ascii="標楷體" w:hAnsi="標楷體"/>
        </w:rPr>
        <w:t>DSM-IV)</w:t>
      </w:r>
      <w:r>
        <w:rPr>
          <w:rFonts w:ascii="標楷體" w:hAnsi="標楷體" w:cs="標楷體" w:eastAsia="標楷體"/>
        </w:rPr>
        <w:t>物質依賴診斷，以判斷個案是否須要解毒治療</w:t>
      </w:r>
      <w:r>
        <w:rPr>
          <w:rFonts w:eastAsia="標楷體" w:cs="標楷體" w:ascii="標楷體" w:hAnsi="標楷體"/>
        </w:rPr>
        <w:t>(detoxification)</w:t>
      </w:r>
      <w:r>
        <w:rPr>
          <w:rFonts w:ascii="標楷體" w:hAnsi="標楷體" w:cs="標楷體" w:eastAsia="標楷體"/>
        </w:rPr>
        <w:t>或戒斷治療。</w:t>
      </w:r>
    </w:p>
    <w:p>
      <w:pPr>
        <w:pStyle w:val="Normal"/>
        <w:ind w:left="480" w:firstLine="480"/>
        <w:jc w:val="both"/>
        <w:rPr>
          <w:rFonts w:ascii="標楷體" w:hAnsi="標楷體" w:eastAsia="標楷體" w:cs="標楷體"/>
        </w:rPr>
      </w:pPr>
      <w:r>
        <w:rPr>
          <w:rFonts w:eastAsia="標楷體" w:cs="標楷體" w:ascii="標楷體" w:hAnsi="標楷體"/>
        </w:rPr>
      </w:r>
    </w:p>
    <w:p>
      <w:pPr>
        <w:pStyle w:val="Normal"/>
        <w:ind w:firstLine="480"/>
        <w:jc w:val="both"/>
        <w:rPr/>
      </w:pPr>
      <w:r>
        <w:rPr>
          <w:rFonts w:eastAsia="標楷體" w:cs="標楷體" w:ascii="標楷體" w:hAnsi="標楷體"/>
        </w:rPr>
        <w:t>(</w:t>
      </w:r>
      <w:r>
        <w:rPr>
          <w:rFonts w:ascii="標楷體" w:hAnsi="標楷體" w:cs="標楷體" w:eastAsia="標楷體"/>
        </w:rPr>
        <w:t>一</w:t>
      </w:r>
      <w:r>
        <w:rPr>
          <w:rFonts w:eastAsia="標楷體" w:cs="標楷體" w:ascii="標楷體" w:hAnsi="標楷體"/>
        </w:rPr>
        <w:t xml:space="preserve">) </w:t>
      </w:r>
      <w:r>
        <w:rPr>
          <w:rFonts w:ascii="標楷體" w:hAnsi="標楷體" w:cs="標楷體" w:eastAsia="標楷體"/>
        </w:rPr>
        <w:t>解毒治療的執行：</w:t>
      </w:r>
    </w:p>
    <w:p>
      <w:pPr>
        <w:pStyle w:val="Normal"/>
        <w:ind w:left="1080" w:firstLine="480"/>
        <w:jc w:val="both"/>
        <w:rPr>
          <w:rFonts w:ascii="標楷體" w:hAnsi="標楷體" w:eastAsia="標楷體" w:cs="標楷體"/>
        </w:rPr>
      </w:pPr>
      <w:r>
        <w:rPr>
          <w:rFonts w:ascii="標楷體" w:hAnsi="標楷體" w:cs="標楷體" w:eastAsia="標楷體"/>
        </w:rPr>
        <w:t>大多數患者的解毒治療可以在門診進行，依據個別戒斷症狀的呈現給予相關藥物。</w:t>
      </w:r>
    </w:p>
    <w:p>
      <w:pPr>
        <w:pStyle w:val="Normal"/>
        <w:ind w:left="1080" w:hanging="0"/>
        <w:jc w:val="both"/>
        <w:rPr/>
      </w:pPr>
      <w:r>
        <w:rPr>
          <w:rFonts w:eastAsia="標楷體" w:cs="標楷體" w:ascii="標楷體" w:hAnsi="標楷體"/>
        </w:rPr>
        <w:t>1.</w:t>
      </w:r>
      <w:r>
        <w:rPr>
          <w:rFonts w:ascii="標楷體" w:hAnsi="標楷體" w:cs="標楷體" w:eastAsia="標楷體"/>
        </w:rPr>
        <w:t>焦慮、失眠症狀：</w:t>
      </w:r>
    </w:p>
    <w:p>
      <w:pPr>
        <w:pStyle w:val="Normal"/>
        <w:ind w:left="1320" w:hanging="0"/>
        <w:jc w:val="both"/>
        <w:rPr>
          <w:rFonts w:ascii="標楷體" w:hAnsi="標楷體" w:eastAsia="標楷體" w:cs="標楷體"/>
        </w:rPr>
      </w:pPr>
      <w:r>
        <w:rPr>
          <w:rFonts w:ascii="標楷體" w:hAnsi="標楷體" w:cs="標楷體" w:eastAsia="標楷體"/>
        </w:rPr>
        <w:t>可考慮在戒斷症狀呈現期間，短期給予苯二酚</w:t>
      </w:r>
      <w:r>
        <w:rPr>
          <w:rFonts w:eastAsia="標楷體" w:cs="標楷體" w:ascii="標楷體" w:hAnsi="標楷體"/>
        </w:rPr>
        <w:t>(benzodiazepine)</w:t>
      </w:r>
      <w:r>
        <w:rPr>
          <w:rFonts w:ascii="標楷體" w:hAnsi="標楷體" w:cs="標楷體" w:eastAsia="標楷體"/>
        </w:rPr>
        <w:t>類藥物或其他抗焦慮藥物協助。部分個案在戒斷期結束後，可能會斷續呈現焦躁、失眠等情形長達數個月，亦須給予治療，減少復發可能性。</w:t>
      </w:r>
    </w:p>
    <w:p>
      <w:pPr>
        <w:pStyle w:val="Normal"/>
        <w:ind w:left="1080" w:hanging="0"/>
        <w:rPr>
          <w:rFonts w:ascii="標楷體" w:hAnsi="標楷體" w:eastAsia="標楷體" w:cs="標楷體"/>
        </w:rPr>
      </w:pPr>
      <w:r>
        <w:rPr>
          <w:rFonts w:eastAsia="標楷體" w:cs="標楷體" w:ascii="標楷體" w:hAnsi="標楷體"/>
        </w:rPr>
        <w:t>2.</w:t>
      </w:r>
      <w:r>
        <w:rPr>
          <w:rFonts w:ascii="標楷體" w:hAnsi="標楷體" w:cs="標楷體" w:eastAsia="標楷體"/>
        </w:rPr>
        <w:t>多重藥物使用者：</w:t>
      </w:r>
    </w:p>
    <w:p>
      <w:pPr>
        <w:pStyle w:val="Normal"/>
        <w:ind w:left="1320" w:hanging="0"/>
        <w:rPr>
          <w:rFonts w:ascii="標楷體" w:hAnsi="標楷體" w:eastAsia="標楷體" w:cs="標楷體"/>
        </w:rPr>
      </w:pPr>
      <w:r>
        <w:rPr>
          <w:rFonts w:ascii="標楷體" w:hAnsi="標楷體" w:cs="標楷體" w:eastAsia="標楷體"/>
        </w:rPr>
        <w:t>個案可能同時濫用多種藥物，或是合併有酒精依賴等情形，同時進行解毒治療時，需一併考慮及處理其他藥物或酒精的戒斷症狀。</w:t>
      </w:r>
    </w:p>
    <w:p>
      <w:pPr>
        <w:pStyle w:val="Normal"/>
        <w:ind w:left="1080" w:hanging="0"/>
        <w:rPr>
          <w:rFonts w:ascii="標楷體" w:hAnsi="標楷體" w:eastAsia="標楷體" w:cs="標楷體"/>
        </w:rPr>
      </w:pPr>
      <w:r>
        <w:rPr>
          <w:rFonts w:eastAsia="標楷體" w:cs="標楷體" w:ascii="標楷體" w:hAnsi="標楷體"/>
        </w:rPr>
        <w:t>3.</w:t>
      </w:r>
      <w:r>
        <w:rPr>
          <w:rFonts w:ascii="標楷體" w:hAnsi="標楷體" w:cs="標楷體" w:eastAsia="標楷體"/>
        </w:rPr>
        <w:t>憂鬱症狀：</w:t>
      </w:r>
    </w:p>
    <w:p>
      <w:pPr>
        <w:pStyle w:val="Normal"/>
        <w:ind w:left="1320" w:hanging="0"/>
        <w:rPr>
          <w:rFonts w:ascii="標楷體" w:hAnsi="標楷體" w:eastAsia="標楷體" w:cs="標楷體"/>
        </w:rPr>
      </w:pPr>
      <w:r>
        <w:rPr>
          <w:rFonts w:ascii="標楷體" w:hAnsi="標楷體" w:cs="標楷體" w:eastAsia="標楷體"/>
        </w:rPr>
        <w:t>可能是戒斷時期的憂鬱症狀，持續時間較短；部分個案有共病性憂鬱症，其憂鬱症狀在藥物濫用之前可能就已存在。</w:t>
      </w:r>
    </w:p>
    <w:p>
      <w:pPr>
        <w:pStyle w:val="Normal"/>
        <w:ind w:left="1320" w:hanging="0"/>
        <w:rPr>
          <w:rFonts w:ascii="標楷體" w:hAnsi="標楷體" w:eastAsia="標楷體" w:cs="標楷體"/>
        </w:rPr>
      </w:pPr>
      <w:r>
        <w:rPr>
          <w:rFonts w:ascii="標楷體" w:hAnsi="標楷體" w:cs="標楷體" w:eastAsia="標楷體"/>
        </w:rPr>
        <w:t>個案憂鬱症狀在戒斷二至四週後仍持續時，可考慮給予抗憂鬱劑藥物治療。</w:t>
      </w:r>
    </w:p>
    <w:p>
      <w:pPr>
        <w:pStyle w:val="Normal"/>
        <w:rPr>
          <w:rFonts w:ascii="標楷體" w:hAnsi="標楷體" w:eastAsia="標楷體" w:cs="標楷體"/>
        </w:rPr>
      </w:pPr>
      <w:r>
        <w:rPr>
          <w:rFonts w:eastAsia="標楷體" w:cs="標楷體" w:ascii="標楷體" w:hAnsi="標楷體"/>
        </w:rPr>
      </w:r>
    </w:p>
    <w:p>
      <w:pPr>
        <w:pStyle w:val="Normal"/>
        <w:ind w:firstLine="480"/>
        <w:rPr/>
      </w:pPr>
      <w:r>
        <w:rPr>
          <w:rFonts w:eastAsia="標楷體" w:cs="標楷體" w:ascii="標楷體" w:hAnsi="標楷體"/>
        </w:rPr>
        <w:t>(</w:t>
      </w:r>
      <w:r>
        <w:rPr>
          <w:rFonts w:ascii="標楷體" w:hAnsi="標楷體" w:cs="標楷體" w:eastAsia="標楷體"/>
        </w:rPr>
        <w:t>二</w:t>
      </w:r>
      <w:r>
        <w:rPr>
          <w:rFonts w:eastAsia="標楷體" w:cs="標楷體" w:ascii="標楷體" w:hAnsi="標楷體"/>
        </w:rPr>
        <w:t xml:space="preserve">) </w:t>
      </w:r>
      <w:r>
        <w:rPr>
          <w:rFonts w:ascii="標楷體" w:hAnsi="標楷體" w:cs="標楷體" w:eastAsia="標楷體"/>
        </w:rPr>
        <w:t>不需解毒治療的個案：</w:t>
      </w:r>
    </w:p>
    <w:p>
      <w:pPr>
        <w:pStyle w:val="Normal"/>
        <w:ind w:left="1080" w:firstLine="480"/>
        <w:rPr>
          <w:rFonts w:ascii="標楷體" w:hAnsi="標楷體" w:eastAsia="標楷體" w:cs="標楷體"/>
        </w:rPr>
      </w:pPr>
      <w:r>
        <w:rPr>
          <w:rFonts w:ascii="標楷體" w:hAnsi="標楷體" w:cs="標楷體" w:eastAsia="標楷體"/>
        </w:rPr>
        <w:t>藉由心理治療的介入，鼓勵個案維持戒斷狀態。</w:t>
      </w:r>
    </w:p>
    <w:p>
      <w:pPr>
        <w:pStyle w:val="Normal"/>
        <w:ind w:left="1080" w:hanging="0"/>
        <w:rPr>
          <w:rFonts w:ascii="標楷體" w:hAnsi="標楷體" w:eastAsia="標楷體" w:cs="標楷體"/>
        </w:rPr>
      </w:pPr>
      <w:r>
        <w:rPr>
          <w:rFonts w:eastAsia="標楷體" w:cs="標楷體" w:ascii="標楷體" w:hAnsi="標楷體"/>
        </w:rPr>
        <w:t>1.</w:t>
      </w:r>
      <w:r>
        <w:rPr>
          <w:rFonts w:ascii="標楷體" w:hAnsi="標楷體" w:cs="標楷體" w:eastAsia="標楷體"/>
        </w:rPr>
        <w:t>認知行為治療。</w:t>
      </w:r>
    </w:p>
    <w:p>
      <w:pPr>
        <w:pStyle w:val="Normal"/>
        <w:ind w:left="1080" w:hanging="0"/>
        <w:rPr>
          <w:rFonts w:ascii="標楷體" w:hAnsi="標楷體" w:eastAsia="標楷體" w:cs="標楷體"/>
        </w:rPr>
      </w:pPr>
      <w:r>
        <w:rPr>
          <w:rFonts w:eastAsia="標楷體" w:cs="標楷體" w:ascii="標楷體" w:hAnsi="標楷體"/>
        </w:rPr>
        <w:t>2.</w:t>
      </w:r>
      <w:r>
        <w:rPr>
          <w:rFonts w:ascii="標楷體" w:hAnsi="標楷體" w:cs="標楷體" w:eastAsia="標楷體"/>
        </w:rPr>
        <w:t>動機式晤談法。</w:t>
      </w:r>
    </w:p>
    <w:p>
      <w:pPr>
        <w:pStyle w:val="Normal"/>
        <w:ind w:left="1080" w:hanging="0"/>
        <w:rPr>
          <w:rFonts w:ascii="標楷體" w:hAnsi="標楷體" w:eastAsia="標楷體" w:cs="標楷體"/>
        </w:rPr>
      </w:pPr>
      <w:r>
        <w:rPr>
          <w:rFonts w:eastAsia="標楷體" w:cs="標楷體" w:ascii="標楷體" w:hAnsi="標楷體"/>
        </w:rPr>
        <w:t>3.</w:t>
      </w:r>
      <w:r>
        <w:rPr>
          <w:rFonts w:ascii="標楷體" w:hAnsi="標楷體" w:cs="標楷體" w:eastAsia="標楷體"/>
        </w:rPr>
        <w:t>復發防治。</w:t>
      </w:r>
    </w:p>
    <w:p>
      <w:pPr>
        <w:pStyle w:val="Normal"/>
        <w:rPr>
          <w:rFonts w:ascii="標楷體" w:hAnsi="標楷體" w:eastAsia="標楷體" w:cs="標楷體"/>
        </w:rPr>
      </w:pPr>
      <w:r>
        <w:rPr>
          <w:rFonts w:eastAsia="標楷體" w:cs="標楷體" w:ascii="標楷體" w:hAnsi="標楷體"/>
        </w:rPr>
      </w:r>
    </w:p>
    <w:p>
      <w:pPr>
        <w:pStyle w:val="Normal"/>
        <w:ind w:left="480" w:hanging="0"/>
        <w:rPr/>
      </w:pPr>
      <w:r>
        <w:rPr>
          <w:rFonts w:eastAsia="標楷體" w:cs="標楷體" w:ascii="標楷體" w:hAnsi="標楷體"/>
          <w:szCs w:val="24"/>
        </w:rPr>
        <w:t>(</w:t>
      </w:r>
      <w:r>
        <w:rPr>
          <w:rFonts w:ascii="標楷體" w:hAnsi="標楷體" w:cs="標楷體" w:eastAsia="標楷體"/>
          <w:szCs w:val="24"/>
        </w:rPr>
        <w:t>三</w:t>
      </w:r>
      <w:r>
        <w:rPr>
          <w:rFonts w:eastAsia="標楷體" w:cs="標楷體" w:ascii="標楷體" w:hAnsi="標楷體"/>
          <w:szCs w:val="24"/>
        </w:rPr>
        <w:t xml:space="preserve">) </w:t>
      </w:r>
      <w:r>
        <w:rPr>
          <w:rFonts w:ascii="標楷體" w:hAnsi="標楷體" w:cs="標楷體" w:eastAsia="標楷體"/>
          <w:szCs w:val="24"/>
        </w:rPr>
        <w:t>渴癮</w:t>
      </w:r>
      <w:r>
        <w:rPr>
          <w:rFonts w:eastAsia="標楷體" w:cs="標楷體" w:ascii="標楷體" w:hAnsi="標楷體"/>
          <w:szCs w:val="24"/>
        </w:rPr>
        <w:t>(craving)</w:t>
      </w:r>
      <w:r>
        <w:rPr>
          <w:rFonts w:ascii="標楷體" w:hAnsi="標楷體" w:cs="標楷體" w:eastAsia="標楷體"/>
          <w:szCs w:val="24"/>
        </w:rPr>
        <w:t>的處理：</w:t>
      </w:r>
    </w:p>
    <w:p>
      <w:pPr>
        <w:pStyle w:val="Normal"/>
        <w:ind w:left="1080" w:hanging="0"/>
        <w:rPr/>
      </w:pPr>
      <w:r>
        <w:rPr>
          <w:rFonts w:eastAsia="標楷體" w:cs="標楷體" w:ascii="標楷體" w:hAnsi="標楷體"/>
        </w:rPr>
        <w:t>1.</w:t>
      </w:r>
      <w:r>
        <w:rPr>
          <w:rFonts w:ascii="標楷體" w:hAnsi="標楷體" w:cs="標楷體" w:eastAsia="標楷體"/>
        </w:rPr>
        <w:t>教導個案處理渴癮技巧：</w:t>
      </w:r>
    </w:p>
    <w:p>
      <w:pPr>
        <w:pStyle w:val="Normal"/>
        <w:ind w:left="1320" w:hanging="0"/>
        <w:rPr>
          <w:rFonts w:ascii="標楷體" w:hAnsi="標楷體" w:eastAsia="標楷體" w:cs="標楷體"/>
        </w:rPr>
      </w:pPr>
      <w:r>
        <w:rPr>
          <w:rFonts w:ascii="標楷體" w:hAnsi="標楷體" w:cs="標楷體" w:eastAsia="標楷體"/>
        </w:rPr>
        <w:t>例如轉移注意力的活動、抗焦慮的藥物或活動技巧等。</w:t>
      </w:r>
    </w:p>
    <w:p>
      <w:pPr>
        <w:pStyle w:val="Normal"/>
        <w:ind w:left="1080" w:hanging="0"/>
        <w:rPr>
          <w:rFonts w:ascii="標楷體" w:hAnsi="標楷體" w:eastAsia="標楷體" w:cs="標楷體"/>
        </w:rPr>
      </w:pPr>
      <w:r>
        <w:rPr>
          <w:rFonts w:eastAsia="標楷體" w:cs="標楷體" w:ascii="標楷體" w:hAnsi="標楷體"/>
        </w:rPr>
        <w:t>2.</w:t>
      </w:r>
      <w:r>
        <w:rPr>
          <w:rFonts w:ascii="標楷體" w:hAnsi="標楷體" w:cs="標楷體" w:eastAsia="標楷體"/>
        </w:rPr>
        <w:t>教導個案避免復發使用：</w:t>
      </w:r>
    </w:p>
    <w:p>
      <w:pPr>
        <w:pStyle w:val="Normal"/>
        <w:ind w:left="1320" w:hanging="0"/>
        <w:rPr>
          <w:rFonts w:ascii="標楷體" w:hAnsi="標楷體" w:eastAsia="標楷體" w:cs="標楷體"/>
        </w:rPr>
      </w:pPr>
      <w:r>
        <w:rPr>
          <w:rFonts w:ascii="標楷體" w:hAnsi="標楷體" w:cs="標楷體" w:eastAsia="標楷體"/>
        </w:rPr>
        <w:t>例如遠離用藥或購藥環境、身上避免帶太多現金、請朋友提醒與幫忙自己戒藥等。</w:t>
      </w:r>
    </w:p>
    <w:p>
      <w:pPr>
        <w:pStyle w:val="Normal"/>
        <w:ind w:left="480" w:hanging="0"/>
        <w:rPr>
          <w:rStyle w:val="Applestylespan"/>
          <w:rFonts w:ascii="標楷體" w:hAnsi="標楷體" w:eastAsia="標楷體" w:cs="標楷體"/>
          <w:color w:val="000000"/>
          <w:sz w:val="27"/>
          <w:szCs w:val="27"/>
        </w:rPr>
      </w:pPr>
      <w:r>
        <w:rPr>
          <w:rFonts w:eastAsia="標楷體" w:cs="標楷體" w:ascii="標楷體" w:hAnsi="標楷體"/>
        </w:rPr>
      </w:r>
    </w:p>
    <w:p>
      <w:pPr>
        <w:pStyle w:val="Normal"/>
        <w:ind w:left="480" w:hanging="0"/>
        <w:rPr>
          <w:rStyle w:val="Applestylespan"/>
          <w:rFonts w:ascii="標楷體" w:hAnsi="標楷體" w:eastAsia="標楷體" w:cs="標楷體"/>
          <w:color w:val="000000"/>
          <w:szCs w:val="24"/>
        </w:rPr>
      </w:pPr>
      <w:r>
        <w:rPr>
          <w:rStyle w:val="Applestylespan"/>
          <w:rFonts w:eastAsia="標楷體" w:cs="標楷體" w:ascii="標楷體" w:hAnsi="標楷體"/>
          <w:color w:val="000000"/>
          <w:szCs w:val="24"/>
        </w:rPr>
        <w:t>(</w:t>
      </w:r>
      <w:r>
        <w:rPr>
          <w:rStyle w:val="Applestylespan"/>
          <w:rFonts w:ascii="標楷體" w:hAnsi="標楷體" w:cs="標楷體" w:eastAsia="標楷體"/>
          <w:color w:val="000000"/>
          <w:szCs w:val="24"/>
        </w:rPr>
        <w:t>四</w:t>
      </w:r>
      <w:r>
        <w:rPr>
          <w:rStyle w:val="Applestylespan"/>
          <w:rFonts w:eastAsia="標楷體" w:cs="標楷體" w:ascii="標楷體" w:hAnsi="標楷體"/>
          <w:color w:val="000000"/>
          <w:szCs w:val="24"/>
        </w:rPr>
        <w:t xml:space="preserve">) </w:t>
      </w:r>
      <w:r>
        <w:rPr>
          <w:rStyle w:val="Applestylespan"/>
          <w:rFonts w:ascii="標楷體" w:hAnsi="標楷體" w:cs="標楷體" w:eastAsia="標楷體"/>
          <w:color w:val="000000"/>
          <w:szCs w:val="24"/>
        </w:rPr>
        <w:t>持續濫用藥物個案：</w:t>
      </w:r>
    </w:p>
    <w:p>
      <w:pPr>
        <w:pStyle w:val="Normal"/>
        <w:ind w:left="1080" w:firstLine="480"/>
        <w:jc w:val="both"/>
        <w:rPr>
          <w:rFonts w:ascii="標楷體" w:hAnsi="標楷體" w:eastAsia="標楷體" w:cs="標楷體"/>
        </w:rPr>
      </w:pPr>
      <w:r>
        <w:rPr>
          <w:rFonts w:ascii="標楷體" w:hAnsi="標楷體" w:cs="標楷體" w:eastAsia="標楷體"/>
        </w:rPr>
        <w:t>在門診環境無法完成解毒階段的個案，在戒斷症狀期間可考慮以短期住院治療方式完成解毒階段治療。</w:t>
      </w:r>
    </w:p>
    <w:p>
      <w:pPr>
        <w:pStyle w:val="Normal"/>
        <w:ind w:left="1440" w:hanging="0"/>
        <w:rPr>
          <w:rStyle w:val="11"/>
        </w:rPr>
      </w:pPr>
      <w:r>
        <w:rPr>
          <w:rFonts w:eastAsia="標楷體" w:cs="標楷體" w:ascii="標楷體" w:hAnsi="標楷體"/>
        </w:rPr>
      </w:r>
    </w:p>
    <w:p>
      <w:pPr>
        <w:pStyle w:val="Normal"/>
        <w:ind w:left="1440" w:hanging="0"/>
        <w:rPr>
          <w:rStyle w:val="11"/>
          <w:rFonts w:ascii="標楷體" w:hAnsi="標楷體" w:cs="標楷體"/>
          <w:b w:val="false"/>
          <w:b w:val="false"/>
          <w:bCs w:val="false"/>
          <w:kern w:val="2"/>
          <w:sz w:val="24"/>
          <w:szCs w:val="22"/>
        </w:rPr>
      </w:pPr>
      <w:r>
        <w:rPr/>
      </w:r>
      <w:r>
        <w:br w:type="page"/>
      </w:r>
    </w:p>
    <w:p>
      <w:pPr>
        <w:pStyle w:val="1"/>
        <w:jc w:val="center"/>
        <w:rPr>
          <w:rStyle w:val="11"/>
        </w:rPr>
      </w:pPr>
      <w:bookmarkStart w:id="6" w:name="__RefHeading___Toc319875833"/>
      <w:bookmarkEnd w:id="6"/>
      <w:r>
        <w:rPr>
          <w:rStyle w:val="11"/>
        </w:rPr>
        <w:t>第五節</w:t>
      </w:r>
      <w:r>
        <w:rPr>
          <w:rStyle w:val="11"/>
          <w:rFonts w:eastAsia="Cambria"/>
        </w:rPr>
        <w:t xml:space="preserve"> </w:t>
      </w:r>
      <w:r>
        <w:rPr>
          <w:rStyle w:val="11"/>
        </w:rPr>
        <w:t>個案評估</w:t>
      </w:r>
    </w:p>
    <w:p>
      <w:pPr>
        <w:pStyle w:val="Normal"/>
        <w:rPr/>
      </w:pPr>
      <w:r>
        <w:rPr>
          <w:rFonts w:ascii="標楷體" w:hAnsi="標楷體" w:cs="標楷體" w:eastAsia="標楷體"/>
          <w:b/>
        </w:rPr>
        <w:t>一、配合揭露用藥行為個案</w:t>
      </w:r>
    </w:p>
    <w:p>
      <w:pPr>
        <w:pStyle w:val="Normal"/>
        <w:rPr>
          <w:rFonts w:ascii="標楷體" w:hAnsi="標楷體" w:eastAsia="標楷體" w:cs="標楷體"/>
          <w:b/>
          <w:b/>
        </w:rPr>
      </w:pPr>
      <w:r>
        <w:rPr>
          <w:rFonts w:eastAsia="標楷體" w:cs="標楷體" w:ascii="標楷體" w:hAnsi="標楷體"/>
          <w:b/>
        </w:rPr>
      </w:r>
    </w:p>
    <w:p>
      <w:pPr>
        <w:pStyle w:val="Normal"/>
        <w:ind w:firstLine="480"/>
        <w:rPr>
          <w:rFonts w:ascii="標楷體" w:hAnsi="標楷體" w:eastAsia="標楷體" w:cs="標楷體"/>
        </w:rPr>
      </w:pPr>
      <w:r>
        <w:rPr>
          <w:rFonts w:ascii="標楷體" w:hAnsi="標楷體" w:cs="標楷體" w:eastAsia="標楷體"/>
        </w:rPr>
        <w:t>個案能夠配合醫師透露藥物濫用的相關訊息時，下列資訊是評估個案的資料蒐集重點。</w:t>
      </w:r>
    </w:p>
    <w:p>
      <w:pPr>
        <w:pStyle w:val="Normal"/>
        <w:rPr>
          <w:rFonts w:ascii="標楷體" w:hAnsi="標楷體" w:eastAsia="標楷體" w:cs="標楷體"/>
        </w:rPr>
      </w:pPr>
      <w:r>
        <w:rPr>
          <w:rFonts w:eastAsia="標楷體" w:cs="標楷體" w:ascii="標楷體" w:hAnsi="標楷體"/>
        </w:rPr>
      </w:r>
    </w:p>
    <w:p>
      <w:pPr>
        <w:pStyle w:val="Normal"/>
        <w:rPr>
          <w:rFonts w:ascii="標楷體" w:hAnsi="標楷體" w:eastAsia="標楷體" w:cs="標楷體"/>
        </w:rPr>
      </w:pPr>
      <w:r>
        <w:rPr>
          <w:rFonts w:eastAsia="標楷體" w:cs="標楷體" w:ascii="標楷體" w:hAnsi="標楷體"/>
        </w:rPr>
        <w:t>(</w:t>
      </w:r>
      <w:r>
        <w:rPr>
          <w:rFonts w:ascii="標楷體" w:hAnsi="標楷體" w:cs="標楷體" w:eastAsia="標楷體"/>
        </w:rPr>
        <w:t>一</w:t>
      </w:r>
      <w:r>
        <w:rPr>
          <w:rFonts w:eastAsia="標楷體" w:cs="標楷體" w:ascii="標楷體" w:hAnsi="標楷體"/>
        </w:rPr>
        <w:t xml:space="preserve">) </w:t>
      </w:r>
      <w:r>
        <w:rPr>
          <w:rFonts w:ascii="標楷體" w:hAnsi="標楷體" w:cs="標楷體" w:eastAsia="標楷體"/>
        </w:rPr>
        <w:t>主要藥物濫用狀況：</w:t>
      </w:r>
    </w:p>
    <w:p>
      <w:pPr>
        <w:pStyle w:val="Normal"/>
        <w:numPr>
          <w:ilvl w:val="0"/>
          <w:numId w:val="2"/>
        </w:numPr>
        <w:rPr>
          <w:rFonts w:ascii="標楷體" w:hAnsi="標楷體" w:eastAsia="標楷體" w:cs="標楷體"/>
        </w:rPr>
      </w:pPr>
      <w:r>
        <w:rPr>
          <w:rFonts w:ascii="標楷體" w:hAnsi="標楷體" w:cs="標楷體" w:eastAsia="標楷體"/>
        </w:rPr>
        <w:t>濫用藥物名稱。</w:t>
      </w:r>
    </w:p>
    <w:p>
      <w:pPr>
        <w:pStyle w:val="Normal"/>
        <w:numPr>
          <w:ilvl w:val="0"/>
          <w:numId w:val="2"/>
        </w:numPr>
        <w:rPr>
          <w:rFonts w:ascii="標楷體" w:hAnsi="標楷體" w:eastAsia="標楷體" w:cs="標楷體"/>
        </w:rPr>
      </w:pPr>
      <w:r>
        <w:rPr>
          <w:rFonts w:ascii="標楷體" w:hAnsi="標楷體" w:cs="標楷體" w:eastAsia="標楷體"/>
        </w:rPr>
        <w:t>使用原因：</w:t>
      </w:r>
    </w:p>
    <w:p>
      <w:pPr>
        <w:pStyle w:val="Normal"/>
        <w:ind w:left="840" w:firstLine="482"/>
        <w:jc w:val="both"/>
        <w:rPr/>
      </w:pPr>
      <w:r>
        <w:rPr>
          <w:rFonts w:ascii="標楷體" w:hAnsi="標楷體" w:cs="標楷體" w:eastAsia="標楷體"/>
        </w:rPr>
        <w:t>可區分為嘗試性使用、娛樂場合使用、經常性大量使用以及每日使用等類型，相對應的是使用者在成癮病程或成癮嚴重度上的逐步發展。除了娛樂性、或好奇心驅使使用外，部分使用者是為了工作或考試提神、減肥、以及共病性精神疾病等原因而使用。</w:t>
      </w:r>
    </w:p>
    <w:p>
      <w:pPr>
        <w:pStyle w:val="Normal"/>
        <w:numPr>
          <w:ilvl w:val="0"/>
          <w:numId w:val="2"/>
        </w:numPr>
        <w:rPr>
          <w:rFonts w:ascii="標楷體" w:hAnsi="標楷體" w:eastAsia="標楷體" w:cs="標楷體"/>
        </w:rPr>
      </w:pPr>
      <w:r>
        <w:rPr>
          <w:rFonts w:ascii="標楷體" w:hAnsi="標楷體" w:cs="標楷體" w:eastAsia="標楷體"/>
        </w:rPr>
        <w:t>使用史：</w:t>
      </w:r>
    </w:p>
    <w:p>
      <w:pPr>
        <w:pStyle w:val="Normal"/>
        <w:ind w:left="840" w:firstLine="482"/>
        <w:jc w:val="both"/>
        <w:rPr>
          <w:rFonts w:ascii="標楷體" w:hAnsi="標楷體" w:eastAsia="標楷體" w:cs="標楷體"/>
        </w:rPr>
      </w:pPr>
      <w:r>
        <w:rPr>
          <w:rFonts w:ascii="標楷體" w:hAnsi="標楷體" w:cs="標楷體" w:eastAsia="標楷體"/>
        </w:rPr>
        <w:t>包括初次使用年齡、該次復發持續時間等。須注意藥癮個案經常會將初次使用時間解讀為該次復發的發生時間，刻意忽略先前用藥在病史探詢時須特別小心。</w:t>
      </w:r>
    </w:p>
    <w:p>
      <w:pPr>
        <w:pStyle w:val="Normal"/>
        <w:numPr>
          <w:ilvl w:val="0"/>
          <w:numId w:val="2"/>
        </w:numPr>
        <w:rPr>
          <w:rFonts w:ascii="標楷體" w:hAnsi="標楷體" w:eastAsia="標楷體" w:cs="標楷體"/>
        </w:rPr>
      </w:pPr>
      <w:r>
        <w:rPr>
          <w:rFonts w:ascii="標楷體" w:hAnsi="標楷體" w:cs="標楷體" w:eastAsia="標楷體"/>
        </w:rPr>
        <w:t>藥物使用量：每日使用重量或金額、或每次購買金額與購買頻率等。</w:t>
      </w:r>
    </w:p>
    <w:p>
      <w:pPr>
        <w:pStyle w:val="Normal"/>
        <w:numPr>
          <w:ilvl w:val="0"/>
          <w:numId w:val="2"/>
        </w:numPr>
        <w:rPr>
          <w:rFonts w:ascii="標楷體" w:hAnsi="標楷體" w:eastAsia="標楷體" w:cs="標楷體"/>
        </w:rPr>
      </w:pPr>
      <w:r>
        <w:rPr>
          <w:rFonts w:ascii="標楷體" w:hAnsi="標楷體" w:cs="標楷體" w:eastAsia="標楷體"/>
        </w:rPr>
        <w:t>藥物作用效力：藥物作用時間、藥物純度。</w:t>
      </w:r>
    </w:p>
    <w:p>
      <w:pPr>
        <w:pStyle w:val="Normal"/>
        <w:numPr>
          <w:ilvl w:val="0"/>
          <w:numId w:val="2"/>
        </w:numPr>
        <w:rPr>
          <w:rFonts w:ascii="標楷體" w:hAnsi="標楷體" w:eastAsia="標楷體" w:cs="標楷體"/>
        </w:rPr>
      </w:pPr>
      <w:r>
        <w:rPr>
          <w:rFonts w:ascii="標楷體" w:hAnsi="標楷體" w:cs="標楷體" w:eastAsia="標楷體"/>
        </w:rPr>
        <w:t>藥物使用途徑：</w:t>
      </w:r>
    </w:p>
    <w:p>
      <w:pPr>
        <w:pStyle w:val="Normal"/>
        <w:ind w:left="840" w:firstLine="482"/>
        <w:jc w:val="both"/>
        <w:rPr>
          <w:rFonts w:ascii="標楷體" w:hAnsi="標楷體" w:eastAsia="標楷體" w:cs="標楷體"/>
        </w:rPr>
      </w:pPr>
      <w:r>
        <w:rPr>
          <w:rFonts w:ascii="標楷體" w:hAnsi="標楷體" w:cs="標楷體" w:eastAsia="標楷體"/>
        </w:rPr>
        <w:t>在安非他命的使用途徑方面，以加熱形成煙霧後由鼻吸入為主，使用工具常見者為玻璃球、吸食器，或者是錫箔紙；另有部分使用者會以口服、注射、或鼻腔吸入等方式使用。臺灣使用者與歐美使用者差異較大的地方，在於臺灣較少以注射方式使用安非他命。</w:t>
      </w:r>
    </w:p>
    <w:p>
      <w:pPr>
        <w:pStyle w:val="Normal"/>
        <w:ind w:left="840" w:firstLine="482"/>
        <w:jc w:val="both"/>
        <w:rPr>
          <w:rFonts w:ascii="標楷體" w:hAnsi="標楷體" w:eastAsia="標楷體" w:cs="標楷體"/>
        </w:rPr>
      </w:pPr>
      <w:r>
        <w:rPr>
          <w:rFonts w:ascii="標楷體" w:hAnsi="標楷體" w:cs="標楷體" w:eastAsia="標楷體"/>
        </w:rPr>
        <w:t>快樂丸的使用途徑以口服為主，部分使用者以鼻腔吸入方式使用。</w:t>
      </w:r>
    </w:p>
    <w:p>
      <w:pPr>
        <w:pStyle w:val="Normal"/>
        <w:ind w:left="840" w:firstLine="482"/>
        <w:jc w:val="both"/>
        <w:rPr>
          <w:rFonts w:ascii="標楷體" w:hAnsi="標楷體" w:eastAsia="標楷體" w:cs="標楷體"/>
        </w:rPr>
      </w:pPr>
      <w:r>
        <w:rPr>
          <w:rFonts w:ascii="標楷體" w:hAnsi="標楷體" w:cs="標楷體" w:eastAsia="標楷體"/>
        </w:rPr>
        <w:t>大麻的使用方式則以捲菸方式吸食、或藉助菸斗等工具使用為主。</w:t>
      </w:r>
    </w:p>
    <w:p>
      <w:pPr>
        <w:pStyle w:val="Normal"/>
        <w:numPr>
          <w:ilvl w:val="0"/>
          <w:numId w:val="2"/>
        </w:numPr>
        <w:rPr>
          <w:rFonts w:ascii="標楷體" w:hAnsi="標楷體" w:eastAsia="標楷體" w:cs="標楷體"/>
        </w:rPr>
      </w:pPr>
      <w:r>
        <w:rPr>
          <w:rFonts w:ascii="標楷體" w:hAnsi="標楷體" w:cs="標楷體" w:eastAsia="標楷體"/>
        </w:rPr>
        <w:t>藥物使用頻率：</w:t>
      </w:r>
    </w:p>
    <w:p>
      <w:pPr>
        <w:pStyle w:val="Normal"/>
        <w:ind w:left="840" w:firstLine="482"/>
        <w:jc w:val="both"/>
        <w:rPr>
          <w:rFonts w:ascii="標楷體" w:hAnsi="標楷體" w:eastAsia="標楷體" w:cs="標楷體"/>
        </w:rPr>
      </w:pPr>
      <w:r>
        <w:rPr>
          <w:rFonts w:ascii="標楷體" w:hAnsi="標楷體" w:cs="標楷體" w:eastAsia="標楷體"/>
        </w:rPr>
        <w:t>每日使用頻率、每週或每月使用日數，特殊使用時機與場合等。</w:t>
      </w:r>
    </w:p>
    <w:p>
      <w:pPr>
        <w:pStyle w:val="Normal"/>
        <w:numPr>
          <w:ilvl w:val="0"/>
          <w:numId w:val="2"/>
        </w:numPr>
        <w:rPr>
          <w:rFonts w:ascii="標楷體" w:hAnsi="標楷體" w:eastAsia="標楷體" w:cs="標楷體"/>
        </w:rPr>
      </w:pPr>
      <w:r>
        <w:rPr>
          <w:rFonts w:ascii="標楷體" w:hAnsi="標楷體" w:cs="標楷體" w:eastAsia="標楷體"/>
        </w:rPr>
        <w:t>復發因子：個案主觀認為造成復發的相關因子。</w:t>
      </w:r>
    </w:p>
    <w:p>
      <w:pPr>
        <w:pStyle w:val="Normal"/>
        <w:ind w:left="840" w:hanging="0"/>
        <w:rPr>
          <w:rFonts w:ascii="標楷體" w:hAnsi="標楷體" w:eastAsia="標楷體" w:cs="標楷體"/>
        </w:rPr>
      </w:pPr>
      <w:r>
        <w:rPr>
          <w:rFonts w:eastAsia="標楷體" w:cs="標楷體" w:ascii="標楷體" w:hAnsi="標楷體"/>
        </w:rPr>
      </w:r>
    </w:p>
    <w:p>
      <w:pPr>
        <w:pStyle w:val="Normal"/>
        <w:rPr>
          <w:rFonts w:ascii="標楷體" w:hAnsi="標楷體" w:eastAsia="標楷體" w:cs="標楷體"/>
        </w:rPr>
      </w:pPr>
      <w:r>
        <w:rPr>
          <w:rFonts w:eastAsia="標楷體" w:cs="標楷體" w:ascii="標楷體" w:hAnsi="標楷體"/>
        </w:rPr>
        <w:t>(</w:t>
      </w:r>
      <w:r>
        <w:rPr>
          <w:rFonts w:ascii="標楷體" w:hAnsi="標楷體" w:cs="標楷體" w:eastAsia="標楷體"/>
        </w:rPr>
        <w:t>二</w:t>
      </w:r>
      <w:r>
        <w:rPr>
          <w:rFonts w:eastAsia="標楷體" w:cs="標楷體" w:ascii="標楷體" w:hAnsi="標楷體"/>
        </w:rPr>
        <w:t xml:space="preserve">) </w:t>
      </w:r>
      <w:r>
        <w:rPr>
          <w:rFonts w:ascii="標楷體" w:hAnsi="標楷體" w:cs="標楷體" w:eastAsia="標楷體"/>
        </w:rPr>
        <w:t>其他濫用藥物：</w:t>
      </w:r>
    </w:p>
    <w:p>
      <w:pPr>
        <w:pStyle w:val="Normal"/>
        <w:ind w:left="600" w:firstLine="480"/>
        <w:jc w:val="both"/>
        <w:rPr>
          <w:rFonts w:ascii="標楷體" w:hAnsi="標楷體" w:eastAsia="標楷體" w:cs="標楷體"/>
        </w:rPr>
      </w:pPr>
      <w:r>
        <w:rPr>
          <w:rFonts w:ascii="標楷體" w:hAnsi="標楷體" w:cs="標楷體" w:eastAsia="標楷體"/>
        </w:rPr>
        <w:t>依照前述重點詢問其他藥物使用情形。</w:t>
      </w:r>
    </w:p>
    <w:p>
      <w:pPr>
        <w:pStyle w:val="Normal"/>
        <w:ind w:left="600" w:firstLine="480"/>
        <w:jc w:val="both"/>
        <w:rPr/>
      </w:pPr>
      <w:r>
        <w:rPr>
          <w:rFonts w:ascii="標楷體" w:hAnsi="標楷體" w:cs="標楷體" w:eastAsia="標楷體"/>
        </w:rPr>
        <w:t>由於二級毒品使用個案經常有多重藥物使用情形，因此需特別注意相關訊息，尤其是部分個案的藥物濫用型態是在同一時段併用多種藥物或酒精，個案也可能同時有酒癮、鎮定劑（常見者如</w:t>
      </w:r>
      <w:r>
        <w:rPr>
          <w:rFonts w:eastAsia="標楷體" w:cs="標楷體" w:ascii="標楷體" w:hAnsi="標楷體"/>
        </w:rPr>
        <w:t>zolpidem, flunitrazepam, n</w:t>
      </w:r>
      <w:r>
        <w:rPr>
          <w:rFonts w:eastAsia="標楷體" w:cs="標楷體" w:ascii="標楷體" w:hAnsi="標楷體"/>
        </w:rPr>
        <w:t>imetazepam</w:t>
      </w:r>
      <w:r>
        <w:rPr>
          <w:rFonts w:ascii="標楷體" w:hAnsi="標楷體" w:cs="標楷體" w:eastAsia="標楷體"/>
        </w:rPr>
        <w:t>）成癮等問題。在後續治療上，須評估個案是否可能併發多種藥物的戒斷反應。</w:t>
      </w:r>
    </w:p>
    <w:p>
      <w:pPr>
        <w:pStyle w:val="Normal"/>
        <w:ind w:left="480" w:hanging="0"/>
        <w:rPr>
          <w:rFonts w:ascii="標楷體" w:hAnsi="標楷體" w:eastAsia="標楷體" w:cs="標楷體"/>
        </w:rPr>
      </w:pPr>
      <w:r>
        <w:rPr>
          <w:rFonts w:eastAsia="標楷體" w:cs="標楷體" w:ascii="標楷體" w:hAnsi="標楷體"/>
        </w:rPr>
      </w:r>
    </w:p>
    <w:p>
      <w:pPr>
        <w:pStyle w:val="Normal"/>
        <w:rPr>
          <w:rFonts w:ascii="標楷體" w:hAnsi="標楷體" w:eastAsia="標楷體" w:cs="標楷體"/>
        </w:rPr>
      </w:pPr>
      <w:r>
        <w:rPr>
          <w:rFonts w:eastAsia="標楷體" w:cs="標楷體" w:ascii="標楷體" w:hAnsi="標楷體"/>
        </w:rPr>
        <w:t>(</w:t>
      </w:r>
      <w:r>
        <w:rPr>
          <w:rFonts w:ascii="標楷體" w:hAnsi="標楷體" w:cs="標楷體" w:eastAsia="標楷體"/>
        </w:rPr>
        <w:t>三</w:t>
      </w:r>
      <w:r>
        <w:rPr>
          <w:rFonts w:eastAsia="標楷體" w:cs="標楷體" w:ascii="標楷體" w:hAnsi="標楷體"/>
        </w:rPr>
        <w:t xml:space="preserve">) </w:t>
      </w:r>
      <w:r>
        <w:rPr>
          <w:rFonts w:ascii="標楷體" w:hAnsi="標楷體" w:cs="標楷體" w:eastAsia="標楷體"/>
        </w:rPr>
        <w:t>藥物依賴：</w:t>
      </w:r>
    </w:p>
    <w:p>
      <w:pPr>
        <w:pStyle w:val="Normal"/>
        <w:ind w:left="600" w:firstLine="480"/>
        <w:jc w:val="both"/>
        <w:rPr/>
      </w:pPr>
      <w:r>
        <w:rPr>
          <w:rFonts w:ascii="標楷體" w:hAnsi="標楷體" w:cs="標楷體" w:eastAsia="標楷體"/>
        </w:rPr>
        <w:t>評估是否符合精神疾患診斷與統計手冊</w:t>
      </w:r>
      <w:r>
        <w:rPr>
          <w:rFonts w:eastAsia="標楷體" w:cs="標楷體" w:ascii="標楷體" w:hAnsi="標楷體"/>
        </w:rPr>
        <w:t>-</w:t>
      </w:r>
      <w:r>
        <w:rPr>
          <w:rFonts w:ascii="標楷體" w:hAnsi="標楷體" w:cs="標楷體" w:eastAsia="標楷體"/>
        </w:rPr>
        <w:t>第四版</w:t>
      </w:r>
      <w:r>
        <w:rPr>
          <w:rFonts w:eastAsia="標楷體" w:cs="標楷體" w:ascii="標楷體" w:hAnsi="標楷體"/>
        </w:rPr>
        <w:t>(DSM-IV)</w:t>
      </w:r>
      <w:r>
        <w:rPr>
          <w:rFonts w:ascii="標楷體" w:hAnsi="標楷體" w:cs="標楷體" w:eastAsia="標楷體"/>
        </w:rPr>
        <w:t>藥物依賴診斷準則。</w:t>
      </w:r>
    </w:p>
    <w:p>
      <w:pPr>
        <w:pStyle w:val="Normal"/>
        <w:ind w:left="600" w:firstLine="480"/>
        <w:jc w:val="both"/>
        <w:rPr/>
      </w:pPr>
      <w:r>
        <w:rPr>
          <w:rFonts w:ascii="標楷體" w:hAnsi="標楷體" w:cs="標楷體" w:eastAsia="標楷體"/>
        </w:rPr>
        <w:t>部分個案嘗試自行戒斷藥物時，依據診斷準則評估戒斷程度與時間，決定個案符合下列何種狀態：</w:t>
      </w:r>
    </w:p>
    <w:p>
      <w:pPr>
        <w:pStyle w:val="Normal"/>
        <w:ind w:left="600" w:firstLine="480"/>
        <w:jc w:val="both"/>
        <w:rPr/>
      </w:pPr>
      <w:r>
        <w:rPr>
          <w:rFonts w:ascii="標楷體" w:hAnsi="標楷體" w:cs="標楷體" w:eastAsia="標楷體"/>
        </w:rPr>
        <w:t>早期部分緩解</w:t>
      </w:r>
      <w:r>
        <w:rPr>
          <w:rFonts w:eastAsia="標楷體" w:cs="標楷體" w:ascii="標楷體" w:hAnsi="標楷體"/>
        </w:rPr>
        <w:t>(</w:t>
      </w:r>
      <w:r>
        <w:rPr>
          <w:rFonts w:eastAsia="標楷體" w:cs="標楷體" w:ascii="標楷體" w:hAnsi="標楷體"/>
        </w:rPr>
        <w:t>I</w:t>
      </w:r>
      <w:r>
        <w:rPr>
          <w:rFonts w:eastAsia="標楷體" w:cs="標楷體" w:ascii="標楷體" w:hAnsi="標楷體"/>
        </w:rPr>
        <w:t xml:space="preserve">n early partial </w:t>
      </w:r>
      <w:r>
        <w:rPr>
          <w:rFonts w:eastAsia="標楷體" w:cs="標楷體" w:ascii="標楷體" w:hAnsi="標楷體"/>
        </w:rPr>
        <w:t>remission</w:t>
      </w:r>
      <w:r>
        <w:rPr>
          <w:rFonts w:eastAsia="標楷體" w:cs="標楷體" w:ascii="標楷體" w:hAnsi="標楷體"/>
        </w:rPr>
        <w:t>)</w:t>
      </w:r>
    </w:p>
    <w:p>
      <w:pPr>
        <w:pStyle w:val="Normal"/>
        <w:ind w:left="600" w:firstLine="480"/>
        <w:jc w:val="both"/>
        <w:rPr/>
      </w:pPr>
      <w:r>
        <w:rPr>
          <w:rFonts w:ascii="標楷體" w:hAnsi="標楷體" w:cs="標楷體" w:eastAsia="標楷體"/>
        </w:rPr>
        <w:t>早期完全緩戒</w:t>
      </w:r>
      <w:r>
        <w:rPr>
          <w:rFonts w:eastAsia="標楷體" w:cs="標楷體" w:ascii="標楷體" w:hAnsi="標楷體"/>
        </w:rPr>
        <w:t>(</w:t>
      </w:r>
      <w:r>
        <w:rPr>
          <w:rFonts w:eastAsia="標楷體" w:cs="標楷體" w:ascii="標楷體" w:hAnsi="標楷體"/>
        </w:rPr>
        <w:t>I</w:t>
      </w:r>
      <w:r>
        <w:rPr>
          <w:rFonts w:eastAsia="標楷體" w:cs="標楷體" w:ascii="標楷體" w:hAnsi="標楷體"/>
        </w:rPr>
        <w:t>n early full remission)</w:t>
      </w:r>
    </w:p>
    <w:p>
      <w:pPr>
        <w:pStyle w:val="Normal"/>
        <w:ind w:left="600" w:firstLine="480"/>
        <w:jc w:val="both"/>
        <w:rPr/>
      </w:pPr>
      <w:r>
        <w:rPr>
          <w:rFonts w:ascii="標楷體" w:hAnsi="標楷體" w:cs="標楷體" w:eastAsia="標楷體"/>
        </w:rPr>
        <w:t>持續性部分緩解</w:t>
      </w:r>
      <w:r>
        <w:rPr>
          <w:rFonts w:eastAsia="標楷體" w:cs="標楷體" w:ascii="標楷體" w:hAnsi="標楷體"/>
        </w:rPr>
        <w:t>(</w:t>
      </w:r>
      <w:r>
        <w:rPr>
          <w:rFonts w:eastAsia="標楷體" w:cs="標楷體" w:ascii="標楷體" w:hAnsi="標楷體"/>
        </w:rPr>
        <w:t>I</w:t>
      </w:r>
      <w:r>
        <w:rPr>
          <w:rFonts w:eastAsia="標楷體" w:cs="標楷體" w:ascii="標楷體" w:hAnsi="標楷體"/>
        </w:rPr>
        <w:t>n sustained partial remission)</w:t>
      </w:r>
    </w:p>
    <w:p>
      <w:pPr>
        <w:pStyle w:val="Normal"/>
        <w:ind w:left="600" w:firstLine="480"/>
        <w:jc w:val="both"/>
        <w:rPr>
          <w:rFonts w:ascii="標楷體" w:hAnsi="標楷體" w:eastAsia="標楷體" w:cs="標楷體"/>
        </w:rPr>
      </w:pPr>
      <w:r>
        <w:rPr>
          <w:rFonts w:ascii="標楷體" w:hAnsi="標楷體" w:cs="標楷體" w:eastAsia="標楷體"/>
        </w:rPr>
        <w:t>持續性完全緩解</w:t>
      </w:r>
    </w:p>
    <w:p>
      <w:pPr>
        <w:pStyle w:val="Normal"/>
        <w:ind w:left="480" w:hanging="0"/>
        <w:rPr>
          <w:rFonts w:ascii="標楷體" w:hAnsi="標楷體" w:eastAsia="標楷體" w:cs="標楷體"/>
        </w:rPr>
      </w:pPr>
      <w:r>
        <w:rPr>
          <w:rFonts w:eastAsia="標楷體" w:cs="標楷體" w:ascii="標楷體" w:hAnsi="標楷體"/>
        </w:rPr>
      </w:r>
    </w:p>
    <w:p>
      <w:pPr>
        <w:pStyle w:val="Normal"/>
        <w:rPr>
          <w:rFonts w:ascii="標楷體" w:hAnsi="標楷體" w:eastAsia="標楷體" w:cs="標楷體"/>
        </w:rPr>
      </w:pPr>
      <w:r>
        <w:rPr>
          <w:rFonts w:eastAsia="標楷體" w:cs="標楷體" w:ascii="標楷體" w:hAnsi="標楷體"/>
        </w:rPr>
        <w:t>(</w:t>
      </w:r>
      <w:r>
        <w:rPr>
          <w:rFonts w:ascii="標楷體" w:hAnsi="標楷體" w:cs="標楷體" w:eastAsia="標楷體"/>
        </w:rPr>
        <w:t>四</w:t>
      </w:r>
      <w:r>
        <w:rPr>
          <w:rFonts w:eastAsia="標楷體" w:cs="標楷體" w:ascii="標楷體" w:hAnsi="標楷體"/>
        </w:rPr>
        <w:t xml:space="preserve">) </w:t>
      </w:r>
      <w:r>
        <w:rPr>
          <w:rFonts w:ascii="標楷體" w:hAnsi="標楷體" w:cs="標楷體" w:eastAsia="標楷體"/>
        </w:rPr>
        <w:t>戒癮史：</w:t>
      </w:r>
    </w:p>
    <w:p>
      <w:pPr>
        <w:pStyle w:val="Normal"/>
        <w:ind w:left="600" w:firstLine="480"/>
        <w:jc w:val="both"/>
        <w:rPr>
          <w:rFonts w:ascii="標楷體" w:hAnsi="標楷體" w:eastAsia="標楷體" w:cs="標楷體"/>
        </w:rPr>
      </w:pPr>
      <w:r>
        <w:rPr>
          <w:rFonts w:ascii="標楷體" w:hAnsi="標楷體" w:cs="標楷體" w:eastAsia="標楷體"/>
        </w:rPr>
        <w:t>評估戒斷症狀表現、戒斷嚴重度、戒斷病程，是否接受過戒癮相關治療、以及治療種類等。</w:t>
      </w:r>
    </w:p>
    <w:p>
      <w:pPr>
        <w:pStyle w:val="Normal"/>
        <w:ind w:left="480" w:hanging="0"/>
        <w:rPr>
          <w:rFonts w:ascii="標楷體" w:hAnsi="標楷體" w:eastAsia="標楷體" w:cs="標楷體"/>
        </w:rPr>
      </w:pPr>
      <w:r>
        <w:rPr>
          <w:rFonts w:eastAsia="標楷體" w:cs="標楷體" w:ascii="標楷體" w:hAnsi="標楷體"/>
        </w:rPr>
      </w:r>
    </w:p>
    <w:p>
      <w:pPr>
        <w:pStyle w:val="Normal"/>
        <w:rPr>
          <w:rFonts w:ascii="標楷體" w:hAnsi="標楷體" w:eastAsia="標楷體" w:cs="標楷體"/>
        </w:rPr>
      </w:pPr>
      <w:r>
        <w:rPr>
          <w:rFonts w:eastAsia="標楷體" w:cs="標楷體" w:ascii="標楷體" w:hAnsi="標楷體"/>
        </w:rPr>
        <w:t>(</w:t>
      </w:r>
      <w:r>
        <w:rPr>
          <w:rFonts w:ascii="標楷體" w:hAnsi="標楷體" w:cs="標楷體" w:eastAsia="標楷體"/>
        </w:rPr>
        <w:t>五</w:t>
      </w:r>
      <w:r>
        <w:rPr>
          <w:rFonts w:eastAsia="標楷體" w:cs="標楷體" w:ascii="標楷體" w:hAnsi="標楷體"/>
        </w:rPr>
        <w:t xml:space="preserve">) </w:t>
      </w:r>
      <w:r>
        <w:rPr>
          <w:rFonts w:ascii="標楷體" w:hAnsi="標楷體" w:cs="標楷體" w:eastAsia="標楷體"/>
        </w:rPr>
        <w:t>藥物使用影響：</w:t>
      </w:r>
    </w:p>
    <w:p>
      <w:pPr>
        <w:pStyle w:val="Normal"/>
        <w:ind w:left="480" w:hanging="0"/>
        <w:rPr>
          <w:rFonts w:ascii="標楷體" w:hAnsi="標楷體" w:eastAsia="標楷體" w:cs="標楷體"/>
        </w:rPr>
      </w:pPr>
      <w:r>
        <w:rPr>
          <w:rFonts w:eastAsia="標楷體" w:cs="標楷體" w:ascii="標楷體" w:hAnsi="標楷體"/>
        </w:rPr>
        <w:t xml:space="preserve">1. </w:t>
      </w:r>
      <w:r>
        <w:rPr>
          <w:rFonts w:ascii="標楷體" w:hAnsi="標楷體" w:cs="標楷體" w:eastAsia="標楷體"/>
        </w:rPr>
        <w:t>身體影響</w:t>
      </w:r>
    </w:p>
    <w:p>
      <w:pPr>
        <w:pStyle w:val="Normal"/>
        <w:ind w:left="480" w:hanging="0"/>
        <w:rPr>
          <w:rFonts w:ascii="標楷體" w:hAnsi="標楷體" w:eastAsia="標楷體" w:cs="標楷體"/>
        </w:rPr>
      </w:pPr>
      <w:r>
        <w:rPr>
          <w:rFonts w:eastAsia="標楷體" w:cs="標楷體" w:ascii="標楷體" w:hAnsi="標楷體"/>
        </w:rPr>
        <w:t xml:space="preserve">2. </w:t>
      </w:r>
      <w:r>
        <w:rPr>
          <w:rFonts w:ascii="標楷體" w:hAnsi="標楷體" w:cs="標楷體" w:eastAsia="標楷體"/>
        </w:rPr>
        <w:t>心理影響</w:t>
      </w:r>
    </w:p>
    <w:p>
      <w:pPr>
        <w:pStyle w:val="Normal"/>
        <w:ind w:left="480" w:hanging="0"/>
        <w:rPr>
          <w:rFonts w:ascii="標楷體" w:hAnsi="標楷體" w:eastAsia="標楷體" w:cs="標楷體"/>
        </w:rPr>
      </w:pPr>
      <w:r>
        <w:rPr>
          <w:rFonts w:eastAsia="標楷體" w:cs="標楷體" w:ascii="標楷體" w:hAnsi="標楷體"/>
        </w:rPr>
        <w:t xml:space="preserve">3. </w:t>
      </w:r>
      <w:r>
        <w:rPr>
          <w:rFonts w:ascii="標楷體" w:hAnsi="標楷體" w:cs="標楷體" w:eastAsia="標楷體"/>
        </w:rPr>
        <w:t>經濟影響</w:t>
      </w:r>
    </w:p>
    <w:p>
      <w:pPr>
        <w:pStyle w:val="Normal"/>
        <w:ind w:left="480" w:hanging="0"/>
        <w:rPr>
          <w:rFonts w:ascii="標楷體" w:hAnsi="標楷體" w:eastAsia="標楷體" w:cs="標楷體"/>
        </w:rPr>
      </w:pPr>
      <w:r>
        <w:rPr>
          <w:rFonts w:eastAsia="標楷體" w:cs="標楷體" w:ascii="標楷體" w:hAnsi="標楷體"/>
        </w:rPr>
        <w:t xml:space="preserve">4. </w:t>
      </w:r>
      <w:r>
        <w:rPr>
          <w:rFonts w:ascii="標楷體" w:hAnsi="標楷體" w:cs="標楷體" w:eastAsia="標楷體"/>
        </w:rPr>
        <w:t>家庭、人際關係影響</w:t>
      </w:r>
    </w:p>
    <w:p>
      <w:pPr>
        <w:pStyle w:val="Normal"/>
        <w:ind w:left="480" w:hanging="0"/>
        <w:rPr>
          <w:rFonts w:ascii="標楷體" w:hAnsi="標楷體" w:eastAsia="標楷體" w:cs="標楷體"/>
        </w:rPr>
      </w:pPr>
      <w:r>
        <w:rPr>
          <w:rFonts w:eastAsia="標楷體" w:cs="標楷體" w:ascii="標楷體" w:hAnsi="標楷體"/>
        </w:rPr>
        <w:t xml:space="preserve">5. </w:t>
      </w:r>
      <w:r>
        <w:rPr>
          <w:rFonts w:ascii="標楷體" w:hAnsi="標楷體" w:cs="標楷體" w:eastAsia="標楷體"/>
        </w:rPr>
        <w:t>法律、社會影響</w:t>
      </w:r>
    </w:p>
    <w:p>
      <w:pPr>
        <w:pStyle w:val="Normal"/>
        <w:ind w:left="480" w:hanging="0"/>
        <w:rPr>
          <w:rFonts w:ascii="標楷體" w:hAnsi="標楷體" w:eastAsia="標楷體" w:cs="標楷體"/>
        </w:rPr>
      </w:pPr>
      <w:r>
        <w:rPr>
          <w:rFonts w:eastAsia="標楷體" w:cs="標楷體" w:ascii="標楷體" w:hAnsi="標楷體"/>
        </w:rPr>
      </w:r>
    </w:p>
    <w:p>
      <w:pPr>
        <w:pStyle w:val="Normal"/>
        <w:rPr>
          <w:rFonts w:ascii="標楷體" w:hAnsi="標楷體" w:eastAsia="標楷體" w:cs="標楷體"/>
        </w:rPr>
      </w:pPr>
      <w:r>
        <w:rPr>
          <w:rFonts w:eastAsia="標楷體" w:cs="標楷體" w:ascii="標楷體" w:hAnsi="標楷體"/>
        </w:rPr>
        <w:t>(</w:t>
      </w:r>
      <w:r>
        <w:rPr>
          <w:rFonts w:ascii="標楷體" w:hAnsi="標楷體" w:cs="標楷體" w:eastAsia="標楷體"/>
        </w:rPr>
        <w:t>六</w:t>
      </w:r>
      <w:r>
        <w:rPr>
          <w:rFonts w:eastAsia="標楷體" w:cs="標楷體" w:ascii="標楷體" w:hAnsi="標楷體"/>
        </w:rPr>
        <w:t xml:space="preserve">) </w:t>
      </w:r>
      <w:r>
        <w:rPr>
          <w:rFonts w:ascii="標楷體" w:hAnsi="標楷體" w:cs="標楷體" w:eastAsia="標楷體"/>
        </w:rPr>
        <w:t>共病性精神疾病：</w:t>
      </w:r>
    </w:p>
    <w:p>
      <w:pPr>
        <w:pStyle w:val="Normal"/>
        <w:ind w:left="600" w:firstLine="480"/>
        <w:jc w:val="both"/>
        <w:rPr>
          <w:rFonts w:ascii="標楷體" w:hAnsi="標楷體" w:eastAsia="標楷體" w:cs="標楷體"/>
        </w:rPr>
      </w:pPr>
      <w:r>
        <w:rPr>
          <w:rFonts w:ascii="標楷體" w:hAnsi="標楷體" w:cs="標楷體" w:eastAsia="標楷體"/>
        </w:rPr>
        <w:t>共病性精神疾病的評估，應在物質使用史詢問時一併探詢。評估成癮物質使用達到中毒或戒斷狀態時，對精神症狀變化的影響，可協助判斷精神症狀是否由成癮物質中毒或戒斷所造成。若存在共病性精神疾病時，其治療應與戒癮治療同時進行。</w:t>
      </w:r>
    </w:p>
    <w:p>
      <w:pPr>
        <w:pStyle w:val="Normal"/>
        <w:ind w:left="600" w:firstLine="480"/>
        <w:jc w:val="both"/>
        <w:rPr>
          <w:rFonts w:ascii="標楷體" w:hAnsi="標楷體" w:eastAsia="標楷體" w:cs="標楷體"/>
        </w:rPr>
      </w:pPr>
      <w:r>
        <w:rPr>
          <w:rFonts w:ascii="標楷體" w:hAnsi="標楷體" w:cs="標楷體" w:eastAsia="標楷體"/>
        </w:rPr>
        <w:t>處理成癮物質使用患者時，須篩檢的常見共病性精神疾病：</w:t>
      </w:r>
    </w:p>
    <w:p>
      <w:pPr>
        <w:pStyle w:val="Normal"/>
        <w:numPr>
          <w:ilvl w:val="0"/>
          <w:numId w:val="19"/>
        </w:numPr>
        <w:rPr>
          <w:rFonts w:ascii="標楷體" w:hAnsi="標楷體" w:eastAsia="標楷體" w:cs="標楷體"/>
        </w:rPr>
      </w:pPr>
      <w:r>
        <w:rPr>
          <w:rFonts w:ascii="標楷體" w:hAnsi="標楷體" w:cs="標楷體" w:eastAsia="標楷體"/>
        </w:rPr>
        <w:t>憂鬱症</w:t>
      </w:r>
    </w:p>
    <w:p>
      <w:pPr>
        <w:pStyle w:val="Normal"/>
        <w:numPr>
          <w:ilvl w:val="0"/>
          <w:numId w:val="19"/>
        </w:numPr>
        <w:rPr>
          <w:rFonts w:ascii="標楷體" w:hAnsi="標楷體" w:eastAsia="標楷體" w:cs="標楷體"/>
        </w:rPr>
      </w:pPr>
      <w:r>
        <w:rPr>
          <w:rFonts w:ascii="標楷體" w:hAnsi="標楷體" w:cs="標楷體" w:eastAsia="標楷體"/>
        </w:rPr>
        <w:t>焦慮症</w:t>
      </w:r>
    </w:p>
    <w:p>
      <w:pPr>
        <w:pStyle w:val="Normal"/>
        <w:numPr>
          <w:ilvl w:val="0"/>
          <w:numId w:val="19"/>
        </w:numPr>
        <w:rPr>
          <w:rFonts w:ascii="標楷體" w:hAnsi="標楷體" w:eastAsia="標楷體" w:cs="標楷體"/>
        </w:rPr>
      </w:pPr>
      <w:r>
        <w:rPr>
          <w:rFonts w:ascii="標楷體" w:hAnsi="標楷體" w:cs="標楷體" w:eastAsia="標楷體"/>
        </w:rPr>
        <w:t>精神病</w:t>
      </w:r>
    </w:p>
    <w:p>
      <w:pPr>
        <w:pStyle w:val="Normal"/>
        <w:numPr>
          <w:ilvl w:val="0"/>
          <w:numId w:val="19"/>
        </w:numPr>
        <w:rPr>
          <w:rFonts w:ascii="標楷體" w:hAnsi="標楷體" w:eastAsia="標楷體" w:cs="標楷體"/>
        </w:rPr>
      </w:pPr>
      <w:r>
        <w:rPr>
          <w:rFonts w:ascii="標楷體" w:hAnsi="標楷體" w:cs="標楷體" w:eastAsia="標楷體"/>
        </w:rPr>
        <w:t>人格疾患</w:t>
      </w:r>
    </w:p>
    <w:p>
      <w:pPr>
        <w:pStyle w:val="Normal"/>
        <w:numPr>
          <w:ilvl w:val="0"/>
          <w:numId w:val="19"/>
        </w:numPr>
        <w:rPr>
          <w:rFonts w:ascii="標楷體" w:hAnsi="標楷體" w:eastAsia="標楷體" w:cs="標楷體"/>
        </w:rPr>
      </w:pPr>
      <w:r>
        <w:rPr>
          <w:rFonts w:ascii="標楷體" w:hAnsi="標楷體" w:cs="標楷體" w:eastAsia="標楷體"/>
        </w:rPr>
        <w:t>飲食疾患</w:t>
      </w:r>
    </w:p>
    <w:p>
      <w:pPr>
        <w:pStyle w:val="Normal"/>
        <w:numPr>
          <w:ilvl w:val="0"/>
          <w:numId w:val="19"/>
        </w:numPr>
        <w:rPr>
          <w:rFonts w:ascii="標楷體" w:hAnsi="標楷體" w:eastAsia="標楷體" w:cs="標楷體"/>
        </w:rPr>
      </w:pPr>
      <w:r>
        <w:rPr>
          <w:rFonts w:ascii="標楷體" w:hAnsi="標楷體" w:cs="標楷體" w:eastAsia="標楷體"/>
        </w:rPr>
        <w:t>身體化疾患</w:t>
      </w:r>
    </w:p>
    <w:p>
      <w:pPr>
        <w:pStyle w:val="Normal"/>
        <w:numPr>
          <w:ilvl w:val="0"/>
          <w:numId w:val="19"/>
        </w:numPr>
        <w:rPr>
          <w:rFonts w:ascii="標楷體" w:hAnsi="標楷體" w:eastAsia="標楷體" w:cs="標楷體"/>
        </w:rPr>
      </w:pPr>
      <w:r>
        <w:rPr>
          <w:rFonts w:ascii="標楷體" w:hAnsi="標楷體" w:cs="標楷體" w:eastAsia="標楷體"/>
        </w:rPr>
        <w:t>病態性賭博</w:t>
      </w:r>
    </w:p>
    <w:p>
      <w:pPr>
        <w:pStyle w:val="Normal"/>
        <w:numPr>
          <w:ilvl w:val="0"/>
          <w:numId w:val="19"/>
        </w:numPr>
        <w:rPr>
          <w:rFonts w:ascii="標楷體" w:hAnsi="標楷體" w:eastAsia="標楷體" w:cs="標楷體"/>
        </w:rPr>
      </w:pPr>
      <w:r>
        <w:rPr>
          <w:rFonts w:ascii="標楷體" w:hAnsi="標楷體" w:cs="標楷體" w:eastAsia="標楷體"/>
        </w:rPr>
        <w:t>器質性精神疾患</w:t>
      </w:r>
    </w:p>
    <w:p>
      <w:pPr>
        <w:pStyle w:val="Normal"/>
        <w:rPr>
          <w:rFonts w:ascii="標楷體" w:hAnsi="標楷體" w:eastAsia="標楷體" w:cs="標楷體"/>
        </w:rPr>
      </w:pPr>
      <w:r>
        <w:rPr>
          <w:rFonts w:eastAsia="標楷體" w:cs="標楷體" w:ascii="標楷體" w:hAnsi="標楷體"/>
        </w:rPr>
      </w:r>
    </w:p>
    <w:p>
      <w:pPr>
        <w:pStyle w:val="Normal"/>
        <w:rPr>
          <w:rFonts w:ascii="標楷體" w:hAnsi="標楷體" w:eastAsia="標楷體" w:cs="標楷體"/>
        </w:rPr>
      </w:pPr>
      <w:r>
        <w:rPr>
          <w:rFonts w:eastAsia="標楷體" w:cs="標楷體" w:ascii="標楷體" w:hAnsi="標楷體"/>
        </w:rPr>
        <w:t>(</w:t>
      </w:r>
      <w:r>
        <w:rPr>
          <w:rFonts w:ascii="標楷體" w:hAnsi="標楷體" w:cs="標楷體" w:eastAsia="標楷體"/>
        </w:rPr>
        <w:t>七</w:t>
      </w:r>
      <w:r>
        <w:rPr>
          <w:rFonts w:eastAsia="標楷體" w:cs="標楷體" w:ascii="標楷體" w:hAnsi="標楷體"/>
        </w:rPr>
        <w:t>) HIV</w:t>
      </w:r>
      <w:r>
        <w:rPr>
          <w:rFonts w:ascii="標楷體" w:hAnsi="標楷體" w:cs="標楷體" w:eastAsia="標楷體"/>
        </w:rPr>
        <w:t>與其他傳染性疾病：</w:t>
      </w:r>
    </w:p>
    <w:p>
      <w:pPr>
        <w:pStyle w:val="Normal"/>
        <w:ind w:left="600" w:firstLine="480"/>
        <w:jc w:val="both"/>
        <w:rPr/>
      </w:pPr>
      <w:r>
        <w:rPr>
          <w:rFonts w:ascii="標楷體" w:hAnsi="標楷體" w:cs="標楷體" w:eastAsia="標楷體"/>
        </w:rPr>
        <w:t>評估個案藥物濫用行為與</w:t>
      </w:r>
      <w:r>
        <w:rPr>
          <w:rFonts w:eastAsia="標楷體" w:cs="標楷體" w:ascii="標楷體" w:hAnsi="標楷體"/>
        </w:rPr>
        <w:t>HIV</w:t>
      </w:r>
      <w:r>
        <w:rPr>
          <w:rFonts w:ascii="標楷體" w:hAnsi="標楷體" w:cs="標楷體" w:eastAsia="標楷體"/>
        </w:rPr>
        <w:t>及其他傳染性疾病的相關性，特別是注射使用藥物行為、以及與藥物濫用相關的危險性行為等。</w:t>
      </w:r>
    </w:p>
    <w:p>
      <w:pPr>
        <w:pStyle w:val="Normal"/>
        <w:ind w:left="600" w:firstLine="480"/>
        <w:jc w:val="both"/>
        <w:rPr>
          <w:rFonts w:ascii="標楷體" w:hAnsi="標楷體" w:eastAsia="標楷體" w:cs="標楷體"/>
        </w:rPr>
      </w:pPr>
      <w:r>
        <w:rPr>
          <w:rFonts w:ascii="標楷體" w:hAnsi="標楷體" w:cs="標楷體" w:eastAsia="標楷體"/>
        </w:rPr>
        <w:t>藥物濫用者須注意的主要傳染性疾病：</w:t>
      </w:r>
    </w:p>
    <w:p>
      <w:pPr>
        <w:pStyle w:val="Normal"/>
        <w:ind w:left="480" w:hanging="0"/>
        <w:rPr>
          <w:rFonts w:ascii="標楷體" w:hAnsi="標楷體" w:eastAsia="標楷體" w:cs="標楷體"/>
        </w:rPr>
      </w:pPr>
      <w:r>
        <w:rPr>
          <w:rFonts w:eastAsia="標楷體" w:cs="標楷體" w:ascii="標楷體" w:hAnsi="標楷體"/>
        </w:rPr>
        <w:t>1. HIV</w:t>
      </w:r>
    </w:p>
    <w:p>
      <w:pPr>
        <w:pStyle w:val="Normal"/>
        <w:ind w:left="480" w:hanging="0"/>
        <w:rPr>
          <w:rFonts w:ascii="標楷體" w:hAnsi="標楷體" w:eastAsia="標楷體" w:cs="標楷體"/>
        </w:rPr>
      </w:pPr>
      <w:r>
        <w:rPr>
          <w:rFonts w:eastAsia="標楷體" w:cs="標楷體" w:ascii="標楷體" w:hAnsi="標楷體"/>
        </w:rPr>
        <w:t>2. B</w:t>
      </w:r>
      <w:r>
        <w:rPr>
          <w:rFonts w:ascii="標楷體" w:hAnsi="標楷體" w:cs="標楷體" w:eastAsia="標楷體"/>
        </w:rPr>
        <w:t>型肝炎、</w:t>
      </w:r>
      <w:r>
        <w:rPr>
          <w:rFonts w:eastAsia="標楷體" w:cs="標楷體" w:ascii="標楷體" w:hAnsi="標楷體"/>
        </w:rPr>
        <w:t>C</w:t>
      </w:r>
      <w:r>
        <w:rPr>
          <w:rFonts w:ascii="標楷體" w:hAnsi="標楷體" w:cs="標楷體" w:eastAsia="標楷體"/>
        </w:rPr>
        <w:t>型肝炎</w:t>
      </w:r>
    </w:p>
    <w:p>
      <w:pPr>
        <w:pStyle w:val="Normal"/>
        <w:ind w:left="480" w:hanging="0"/>
        <w:rPr>
          <w:rFonts w:ascii="標楷體" w:hAnsi="標楷體" w:eastAsia="標楷體" w:cs="標楷體"/>
        </w:rPr>
      </w:pPr>
      <w:r>
        <w:rPr>
          <w:rFonts w:eastAsia="標楷體" w:cs="標楷體" w:ascii="標楷體" w:hAnsi="標楷體"/>
        </w:rPr>
        <w:t xml:space="preserve">3. </w:t>
      </w:r>
      <w:r>
        <w:rPr>
          <w:rFonts w:ascii="標楷體" w:hAnsi="標楷體" w:cs="標楷體" w:eastAsia="標楷體"/>
        </w:rPr>
        <w:t>性傳染疾病（包括梅毒、淋病、生殖器皰疹、濕疣等</w:t>
      </w:r>
      <w:r>
        <w:rPr>
          <w:rFonts w:ascii="標楷體" w:hAnsi="標楷體" w:cs="標楷體" w:eastAsia="標楷體"/>
        </w:rPr>
        <w:t>）</w:t>
      </w:r>
    </w:p>
    <w:p>
      <w:pPr>
        <w:pStyle w:val="Normal"/>
        <w:ind w:left="480" w:hanging="0"/>
        <w:rPr>
          <w:rFonts w:ascii="標楷體" w:hAnsi="標楷體" w:eastAsia="標楷體" w:cs="標楷體"/>
        </w:rPr>
      </w:pPr>
      <w:r>
        <w:rPr>
          <w:rFonts w:eastAsia="標楷體" w:cs="標楷體" w:ascii="標楷體" w:hAnsi="標楷體"/>
        </w:rPr>
        <w:t xml:space="preserve">4. </w:t>
      </w:r>
      <w:r>
        <w:rPr>
          <w:rFonts w:ascii="標楷體" w:hAnsi="標楷體" w:cs="標楷體" w:eastAsia="標楷體"/>
        </w:rPr>
        <w:t>結核</w:t>
      </w:r>
    </w:p>
    <w:p>
      <w:pPr>
        <w:pStyle w:val="Normal"/>
        <w:rPr>
          <w:rFonts w:ascii="標楷體" w:hAnsi="標楷體" w:eastAsia="標楷體" w:cs="標楷體"/>
        </w:rPr>
      </w:pPr>
      <w:r>
        <w:rPr>
          <w:rFonts w:eastAsia="標楷體" w:cs="標楷體" w:ascii="標楷體" w:hAnsi="標楷體"/>
        </w:rPr>
      </w:r>
    </w:p>
    <w:p>
      <w:pPr>
        <w:pStyle w:val="Normal"/>
        <w:rPr>
          <w:rFonts w:ascii="標楷體" w:hAnsi="標楷體" w:eastAsia="標楷體" w:cs="標楷體"/>
        </w:rPr>
      </w:pPr>
      <w:r>
        <w:rPr>
          <w:rFonts w:eastAsia="標楷體" w:cs="標楷體" w:ascii="標楷體" w:hAnsi="標楷體"/>
        </w:rPr>
        <w:t>(</w:t>
      </w:r>
      <w:r>
        <w:rPr>
          <w:rFonts w:ascii="標楷體" w:hAnsi="標楷體" w:cs="標楷體" w:eastAsia="標楷體"/>
        </w:rPr>
        <w:t>八</w:t>
      </w:r>
      <w:r>
        <w:rPr>
          <w:rFonts w:eastAsia="標楷體" w:cs="標楷體" w:ascii="標楷體" w:hAnsi="標楷體"/>
        </w:rPr>
        <w:t xml:space="preserve">) </w:t>
      </w:r>
      <w:r>
        <w:rPr>
          <w:rFonts w:ascii="標楷體" w:hAnsi="標楷體" w:cs="標楷體" w:eastAsia="標楷體"/>
        </w:rPr>
        <w:t>家庭功能：</w:t>
      </w:r>
    </w:p>
    <w:p>
      <w:pPr>
        <w:pStyle w:val="Normal"/>
        <w:rPr>
          <w:rFonts w:ascii="標楷體" w:hAnsi="標楷體" w:eastAsia="標楷體" w:cs="標楷體"/>
        </w:rPr>
      </w:pPr>
      <w:r>
        <w:rPr>
          <w:rFonts w:eastAsia="標楷體" w:cs="標楷體" w:ascii="標楷體" w:hAnsi="標楷體"/>
        </w:rPr>
        <w:tab/>
        <w:t xml:space="preserve">1. </w:t>
      </w:r>
      <w:r>
        <w:rPr>
          <w:rFonts w:ascii="標楷體" w:hAnsi="標楷體" w:cs="標楷體" w:eastAsia="標楷體"/>
        </w:rPr>
        <w:t>關鍵人物</w:t>
      </w:r>
    </w:p>
    <w:p>
      <w:pPr>
        <w:pStyle w:val="Normal"/>
        <w:rPr>
          <w:rFonts w:ascii="標楷體" w:hAnsi="標楷體" w:eastAsia="標楷體" w:cs="標楷體"/>
        </w:rPr>
      </w:pPr>
      <w:r>
        <w:rPr>
          <w:rFonts w:eastAsia="標楷體" w:cs="標楷體" w:ascii="標楷體" w:hAnsi="標楷體"/>
        </w:rPr>
        <w:tab/>
        <w:t xml:space="preserve">2. </w:t>
      </w:r>
      <w:r>
        <w:rPr>
          <w:rFonts w:ascii="標楷體" w:hAnsi="標楷體" w:cs="標楷體" w:eastAsia="標楷體"/>
        </w:rPr>
        <w:t>家庭互動關係</w:t>
      </w:r>
    </w:p>
    <w:p>
      <w:pPr>
        <w:pStyle w:val="Normal"/>
        <w:rPr>
          <w:rFonts w:ascii="標楷體" w:hAnsi="標楷體" w:eastAsia="標楷體" w:cs="標楷體"/>
        </w:rPr>
      </w:pPr>
      <w:r>
        <w:rPr>
          <w:rFonts w:eastAsia="標楷體" w:cs="標楷體" w:ascii="標楷體" w:hAnsi="標楷體"/>
        </w:rPr>
        <w:tab/>
        <w:t xml:space="preserve">3. </w:t>
      </w:r>
      <w:r>
        <w:rPr>
          <w:rFonts w:ascii="標楷體" w:hAnsi="標楷體" w:cs="標楷體" w:eastAsia="標楷體"/>
        </w:rPr>
        <w:t>家庭受藥物濫用影響、家庭暴力</w:t>
      </w:r>
    </w:p>
    <w:p>
      <w:pPr>
        <w:pStyle w:val="Normal"/>
        <w:rPr>
          <w:rFonts w:ascii="標楷體" w:hAnsi="標楷體" w:eastAsia="標楷體" w:cs="標楷體"/>
        </w:rPr>
      </w:pPr>
      <w:r>
        <w:rPr>
          <w:rFonts w:eastAsia="標楷體" w:cs="標楷體" w:ascii="標楷體" w:hAnsi="標楷體"/>
        </w:rPr>
        <w:tab/>
        <w:t xml:space="preserve">4. </w:t>
      </w:r>
      <w:r>
        <w:rPr>
          <w:rFonts w:ascii="標楷體" w:hAnsi="標楷體" w:cs="標楷體" w:eastAsia="標楷體"/>
        </w:rPr>
        <w:t>家庭成員配合行為治療執行能力</w:t>
      </w:r>
    </w:p>
    <w:p>
      <w:pPr>
        <w:pStyle w:val="Normal"/>
        <w:rPr>
          <w:rFonts w:ascii="標楷體" w:hAnsi="標楷體" w:eastAsia="標楷體" w:cs="標楷體"/>
        </w:rPr>
      </w:pPr>
      <w:r>
        <w:rPr>
          <w:rFonts w:eastAsia="標楷體" w:cs="標楷體" w:ascii="標楷體" w:hAnsi="標楷體"/>
        </w:rPr>
        <w:tab/>
        <w:tab/>
      </w:r>
    </w:p>
    <w:p>
      <w:pPr>
        <w:pStyle w:val="Normal"/>
        <w:rPr>
          <w:rFonts w:ascii="標楷體" w:hAnsi="標楷體" w:eastAsia="標楷體" w:cs="標楷體"/>
        </w:rPr>
      </w:pPr>
      <w:r>
        <w:rPr>
          <w:rFonts w:eastAsia="標楷體" w:cs="標楷體" w:ascii="標楷體" w:hAnsi="標楷體"/>
        </w:rPr>
        <w:t>(</w:t>
      </w:r>
      <w:r>
        <w:rPr>
          <w:rFonts w:ascii="標楷體" w:hAnsi="標楷體" w:cs="標楷體" w:eastAsia="標楷體"/>
        </w:rPr>
        <w:t>九</w:t>
      </w:r>
      <w:r>
        <w:rPr>
          <w:rFonts w:eastAsia="標楷體" w:cs="標楷體" w:ascii="標楷體" w:hAnsi="標楷體"/>
        </w:rPr>
        <w:t xml:space="preserve">) </w:t>
      </w:r>
      <w:r>
        <w:rPr>
          <w:rFonts w:ascii="標楷體" w:hAnsi="標楷體" w:cs="標楷體" w:eastAsia="標楷體"/>
        </w:rPr>
        <w:t>社會功能</w:t>
      </w:r>
      <w:r>
        <w:rPr>
          <w:rFonts w:eastAsia="標楷體" w:cs="標楷體" w:ascii="標楷體" w:hAnsi="標楷體"/>
        </w:rPr>
        <w:t>:</w:t>
      </w:r>
    </w:p>
    <w:p>
      <w:pPr>
        <w:pStyle w:val="Normal"/>
        <w:rPr>
          <w:rFonts w:ascii="標楷體" w:hAnsi="標楷體" w:eastAsia="標楷體" w:cs="標楷體"/>
        </w:rPr>
      </w:pPr>
      <w:r>
        <w:rPr>
          <w:rFonts w:eastAsia="標楷體" w:cs="標楷體" w:ascii="標楷體" w:hAnsi="標楷體"/>
        </w:rPr>
        <w:tab/>
        <w:t xml:space="preserve">1. </w:t>
      </w:r>
      <w:r>
        <w:rPr>
          <w:rFonts w:ascii="標楷體" w:hAnsi="標楷體" w:cs="標楷體" w:eastAsia="標楷體"/>
        </w:rPr>
        <w:t>工作或學業狀態</w:t>
      </w:r>
    </w:p>
    <w:p>
      <w:pPr>
        <w:pStyle w:val="Normal"/>
        <w:rPr>
          <w:rFonts w:ascii="標楷體" w:hAnsi="標楷體" w:eastAsia="標楷體" w:cs="標楷體"/>
        </w:rPr>
      </w:pPr>
      <w:r>
        <w:rPr>
          <w:rFonts w:eastAsia="標楷體" w:cs="標楷體" w:ascii="標楷體" w:hAnsi="標楷體"/>
        </w:rPr>
        <w:tab/>
        <w:t xml:space="preserve">2. </w:t>
      </w:r>
      <w:r>
        <w:rPr>
          <w:rFonts w:ascii="標楷體" w:hAnsi="標楷體" w:cs="標楷體" w:eastAsia="標楷體"/>
        </w:rPr>
        <w:t>壓力源</w:t>
      </w:r>
    </w:p>
    <w:p>
      <w:pPr>
        <w:pStyle w:val="Normal"/>
        <w:rPr>
          <w:rFonts w:ascii="標楷體" w:hAnsi="標楷體" w:eastAsia="標楷體" w:cs="標楷體"/>
        </w:rPr>
      </w:pPr>
      <w:r>
        <w:rPr>
          <w:rFonts w:eastAsia="標楷體" w:cs="標楷體" w:ascii="標楷體" w:hAnsi="標楷體"/>
        </w:rPr>
        <w:tab/>
        <w:t xml:space="preserve">3. </w:t>
      </w:r>
      <w:r>
        <w:rPr>
          <w:rFonts w:ascii="標楷體" w:hAnsi="標楷體" w:cs="標楷體" w:eastAsia="標楷體"/>
        </w:rPr>
        <w:t>家庭及社交支持網路</w:t>
      </w:r>
    </w:p>
    <w:p>
      <w:pPr>
        <w:pStyle w:val="Normal"/>
        <w:rPr>
          <w:rFonts w:ascii="標楷體" w:hAnsi="標楷體" w:eastAsia="標楷體" w:cs="標楷體"/>
        </w:rPr>
      </w:pPr>
      <w:r>
        <w:rPr>
          <w:rFonts w:eastAsia="標楷體" w:cs="標楷體" w:ascii="標楷體" w:hAnsi="標楷體"/>
        </w:rPr>
        <w:tab/>
        <w:t xml:space="preserve">4. </w:t>
      </w:r>
      <w:r>
        <w:rPr>
          <w:rFonts w:ascii="標楷體" w:hAnsi="標楷體" w:cs="標楷體" w:eastAsia="標楷體"/>
        </w:rPr>
        <w:t>適應能力</w:t>
      </w:r>
    </w:p>
    <w:p>
      <w:pPr>
        <w:pStyle w:val="Normal"/>
        <w:rPr>
          <w:rFonts w:ascii="標楷體" w:hAnsi="標楷體" w:eastAsia="標楷體" w:cs="標楷體"/>
        </w:rPr>
      </w:pPr>
      <w:r>
        <w:rPr>
          <w:rFonts w:eastAsia="標楷體" w:cs="標楷體" w:ascii="標楷體" w:hAnsi="標楷體"/>
        </w:rPr>
        <w:tab/>
        <w:t xml:space="preserve">5. </w:t>
      </w:r>
      <w:r>
        <w:rPr>
          <w:rFonts w:ascii="標楷體" w:hAnsi="標楷體" w:cs="標楷體" w:eastAsia="標楷體"/>
        </w:rPr>
        <w:t>改變動機</w:t>
      </w:r>
    </w:p>
    <w:p>
      <w:pPr>
        <w:pStyle w:val="Normal"/>
        <w:rPr>
          <w:rFonts w:ascii="標楷體" w:hAnsi="標楷體" w:eastAsia="標楷體" w:cs="標楷體"/>
        </w:rPr>
      </w:pPr>
      <w:r>
        <w:rPr>
          <w:rFonts w:eastAsia="標楷體" w:cs="標楷體" w:ascii="標楷體" w:hAnsi="標楷體"/>
        </w:rPr>
        <w:tab/>
        <w:t xml:space="preserve">6. </w:t>
      </w:r>
      <w:r>
        <w:rPr>
          <w:rFonts w:ascii="標楷體" w:hAnsi="標楷體" w:cs="標楷體" w:eastAsia="標楷體"/>
        </w:rPr>
        <w:t>治療目標</w:t>
      </w:r>
    </w:p>
    <w:p>
      <w:pPr>
        <w:pStyle w:val="Normal"/>
        <w:rPr>
          <w:rFonts w:ascii="標楷體" w:hAnsi="標楷體" w:eastAsia="標楷體" w:cs="標楷體"/>
        </w:rPr>
      </w:pPr>
      <w:r>
        <w:rPr>
          <w:rFonts w:eastAsia="標楷體" w:cs="標楷體" w:ascii="標楷體" w:hAnsi="標楷體"/>
        </w:rPr>
      </w:r>
    </w:p>
    <w:p>
      <w:pPr>
        <w:pStyle w:val="Normal"/>
        <w:rPr>
          <w:rFonts w:ascii="標楷體" w:hAnsi="標楷體" w:eastAsia="標楷體" w:cs="標楷體"/>
          <w:b/>
          <w:b/>
        </w:rPr>
      </w:pPr>
      <w:r>
        <w:rPr>
          <w:rFonts w:ascii="標楷體" w:hAnsi="標楷體" w:cs="標楷體" w:eastAsia="標楷體"/>
          <w:b/>
        </w:rPr>
        <w:t>二、否認用藥行為個案</w:t>
      </w:r>
    </w:p>
    <w:p>
      <w:pPr>
        <w:pStyle w:val="Normal"/>
        <w:rPr>
          <w:rFonts w:ascii="標楷體" w:hAnsi="標楷體" w:eastAsia="標楷體" w:cs="標楷體"/>
          <w:b/>
          <w:b/>
        </w:rPr>
      </w:pPr>
      <w:r>
        <w:rPr>
          <w:rFonts w:eastAsia="標楷體" w:cs="標楷體" w:ascii="標楷體" w:hAnsi="標楷體"/>
          <w:b/>
        </w:rPr>
      </w:r>
    </w:p>
    <w:p>
      <w:pPr>
        <w:pStyle w:val="Normal"/>
        <w:ind w:firstLine="480"/>
        <w:rPr/>
      </w:pPr>
      <w:r>
        <w:rPr>
          <w:rFonts w:ascii="標楷體" w:hAnsi="標楷體" w:cs="標楷體" w:eastAsia="標楷體"/>
        </w:rPr>
        <w:t>個案否認藥物濫用，但客觀證據顯示個案有疑似藥物濫用行為時，仍以建立正向醫病關係為首要，避免質疑式的病史探詢，減少個案阻抗，並在保障個案治療權益的前提下，瞭解個案身心狀況，鼓勵個案揭露成癮藥物的使用狀況。</w:t>
      </w:r>
    </w:p>
    <w:p>
      <w:pPr>
        <w:pStyle w:val="Normal"/>
        <w:rPr>
          <w:rFonts w:ascii="標楷體" w:hAnsi="標楷體" w:eastAsia="標楷體" w:cs="標楷體"/>
        </w:rPr>
      </w:pPr>
      <w:r>
        <w:rPr>
          <w:rFonts w:ascii="標楷體" w:hAnsi="標楷體" w:cs="標楷體" w:eastAsia="標楷體"/>
        </w:rPr>
        <w:t>協助判斷個案是否仍在使用成癮藥物的參考觀察項目：</w:t>
      </w:r>
    </w:p>
    <w:p>
      <w:pPr>
        <w:pStyle w:val="Normal"/>
        <w:rPr>
          <w:rFonts w:ascii="標楷體" w:hAnsi="標楷體" w:eastAsia="標楷體" w:cs="標楷體"/>
        </w:rPr>
      </w:pPr>
      <w:r>
        <w:rPr>
          <w:rFonts w:eastAsia="標楷體" w:cs="標楷體" w:ascii="標楷體" w:hAnsi="標楷體"/>
        </w:rPr>
      </w:r>
    </w:p>
    <w:p>
      <w:pPr>
        <w:pStyle w:val="Normal"/>
        <w:ind w:left="480" w:hanging="0"/>
        <w:rPr>
          <w:rFonts w:ascii="標楷體" w:hAnsi="標楷體" w:eastAsia="標楷體" w:cs="標楷體"/>
        </w:rPr>
      </w:pPr>
      <w:r>
        <w:rPr>
          <w:rFonts w:eastAsia="標楷體" w:cs="標楷體" w:ascii="標楷體" w:hAnsi="標楷體"/>
        </w:rPr>
        <w:t>(</w:t>
      </w:r>
      <w:r>
        <w:rPr>
          <w:rFonts w:ascii="標楷體" w:hAnsi="標楷體" w:cs="標楷體" w:eastAsia="標楷體"/>
        </w:rPr>
        <w:t>一</w:t>
      </w:r>
      <w:r>
        <w:rPr>
          <w:rFonts w:eastAsia="標楷體" w:cs="標楷體" w:ascii="標楷體" w:hAnsi="標楷體"/>
        </w:rPr>
        <w:t xml:space="preserve">) </w:t>
      </w:r>
      <w:r>
        <w:rPr>
          <w:rFonts w:ascii="標楷體" w:hAnsi="標楷體" w:cs="標楷體" w:eastAsia="標楷體"/>
        </w:rPr>
        <w:t>短期使用安非他命或</w:t>
      </w:r>
      <w:r>
        <w:rPr>
          <w:rFonts w:eastAsia="標楷體" w:cs="標楷體" w:ascii="標楷體" w:hAnsi="標楷體"/>
        </w:rPr>
        <w:t>MDMA</w:t>
      </w:r>
      <w:r>
        <w:rPr>
          <w:rFonts w:ascii="標楷體" w:hAnsi="標楷體" w:cs="標楷體" w:eastAsia="標楷體"/>
        </w:rPr>
        <w:t>的表現：</w:t>
      </w:r>
    </w:p>
    <w:p>
      <w:pPr>
        <w:pStyle w:val="Normal"/>
        <w:numPr>
          <w:ilvl w:val="0"/>
          <w:numId w:val="9"/>
        </w:numPr>
        <w:ind w:left="1440" w:hanging="480"/>
        <w:rPr>
          <w:rFonts w:ascii="標楷體" w:hAnsi="標楷體" w:eastAsia="標楷體" w:cs="標楷體"/>
        </w:rPr>
      </w:pPr>
      <w:r>
        <w:rPr>
          <w:rFonts w:ascii="標楷體" w:hAnsi="標楷體" w:cs="標楷體" w:eastAsia="標楷體"/>
        </w:rPr>
        <w:t>坐立不安，情緒激躁，重覆行為</w:t>
      </w:r>
    </w:p>
    <w:p>
      <w:pPr>
        <w:pStyle w:val="Normal"/>
        <w:numPr>
          <w:ilvl w:val="0"/>
          <w:numId w:val="9"/>
        </w:numPr>
        <w:ind w:left="1440" w:hanging="480"/>
        <w:rPr>
          <w:rFonts w:ascii="標楷體" w:hAnsi="標楷體" w:eastAsia="標楷體" w:cs="標楷體"/>
        </w:rPr>
      </w:pPr>
      <w:r>
        <w:rPr>
          <w:rFonts w:ascii="標楷體" w:hAnsi="標楷體" w:cs="標楷體" w:eastAsia="標楷體"/>
        </w:rPr>
        <w:t>說話速度快</w:t>
      </w:r>
    </w:p>
    <w:p>
      <w:pPr>
        <w:pStyle w:val="Normal"/>
        <w:numPr>
          <w:ilvl w:val="0"/>
          <w:numId w:val="9"/>
        </w:numPr>
        <w:ind w:left="1440" w:hanging="480"/>
        <w:rPr>
          <w:rFonts w:ascii="標楷體" w:hAnsi="標楷體" w:eastAsia="標楷體" w:cs="標楷體"/>
        </w:rPr>
      </w:pPr>
      <w:r>
        <w:rPr>
          <w:rFonts w:ascii="標楷體" w:hAnsi="標楷體" w:cs="標楷體" w:eastAsia="標楷體"/>
        </w:rPr>
        <w:t>行為激動、踱步</w:t>
      </w:r>
    </w:p>
    <w:p>
      <w:pPr>
        <w:pStyle w:val="Normal"/>
        <w:numPr>
          <w:ilvl w:val="0"/>
          <w:numId w:val="9"/>
        </w:numPr>
        <w:ind w:left="1440" w:hanging="480"/>
        <w:rPr>
          <w:rFonts w:ascii="標楷體" w:hAnsi="標楷體" w:eastAsia="標楷體" w:cs="標楷體"/>
        </w:rPr>
      </w:pPr>
      <w:r>
        <w:rPr>
          <w:rFonts w:ascii="標楷體" w:hAnsi="標楷體" w:cs="標楷體" w:eastAsia="標楷體"/>
        </w:rPr>
        <w:t>高血壓</w:t>
      </w:r>
    </w:p>
    <w:p>
      <w:pPr>
        <w:pStyle w:val="Normal"/>
        <w:numPr>
          <w:ilvl w:val="0"/>
          <w:numId w:val="9"/>
        </w:numPr>
        <w:ind w:left="1440" w:hanging="480"/>
        <w:rPr>
          <w:rFonts w:ascii="標楷體" w:hAnsi="標楷體" w:eastAsia="標楷體" w:cs="標楷體"/>
        </w:rPr>
      </w:pPr>
      <w:r>
        <w:rPr>
          <w:rFonts w:ascii="標楷體" w:hAnsi="標楷體" w:cs="標楷體" w:eastAsia="標楷體"/>
        </w:rPr>
        <w:t>心跳快速</w:t>
      </w:r>
    </w:p>
    <w:p>
      <w:pPr>
        <w:pStyle w:val="Normal"/>
        <w:numPr>
          <w:ilvl w:val="0"/>
          <w:numId w:val="9"/>
        </w:numPr>
        <w:ind w:left="1440" w:hanging="480"/>
        <w:rPr>
          <w:rFonts w:ascii="標楷體" w:hAnsi="標楷體" w:eastAsia="標楷體" w:cs="標楷體"/>
        </w:rPr>
      </w:pPr>
      <w:r>
        <w:rPr>
          <w:rFonts w:ascii="標楷體" w:hAnsi="標楷體" w:cs="標楷體" w:eastAsia="標楷體"/>
        </w:rPr>
        <w:t>手掌冒汗</w:t>
      </w:r>
    </w:p>
    <w:p>
      <w:pPr>
        <w:pStyle w:val="Normal"/>
        <w:numPr>
          <w:ilvl w:val="0"/>
          <w:numId w:val="9"/>
        </w:numPr>
        <w:ind w:left="1440" w:hanging="480"/>
        <w:rPr>
          <w:rFonts w:ascii="標楷體" w:hAnsi="標楷體" w:eastAsia="標楷體" w:cs="標楷體"/>
        </w:rPr>
      </w:pPr>
      <w:r>
        <w:rPr>
          <w:rFonts w:ascii="標楷體" w:hAnsi="標楷體" w:cs="標楷體" w:eastAsia="標楷體"/>
        </w:rPr>
        <w:t>瞳孔放大且對光反應遲滯</w:t>
      </w:r>
    </w:p>
    <w:p>
      <w:pPr>
        <w:pStyle w:val="Normal"/>
        <w:numPr>
          <w:ilvl w:val="0"/>
          <w:numId w:val="9"/>
        </w:numPr>
        <w:ind w:left="1440" w:hanging="480"/>
        <w:rPr>
          <w:rFonts w:ascii="標楷體" w:hAnsi="標楷體" w:eastAsia="標楷體" w:cs="標楷體"/>
        </w:rPr>
      </w:pPr>
      <w:r>
        <w:rPr>
          <w:rFonts w:ascii="標楷體" w:hAnsi="標楷體" w:cs="標楷體" w:eastAsia="標楷體"/>
        </w:rPr>
        <w:t>下巴或牙關緊咬</w:t>
      </w:r>
    </w:p>
    <w:p>
      <w:pPr>
        <w:pStyle w:val="Normal"/>
        <w:numPr>
          <w:ilvl w:val="0"/>
          <w:numId w:val="9"/>
        </w:numPr>
        <w:ind w:left="1440" w:hanging="480"/>
        <w:rPr>
          <w:rFonts w:ascii="標楷體" w:hAnsi="標楷體" w:eastAsia="標楷體" w:cs="標楷體"/>
        </w:rPr>
      </w:pPr>
      <w:r>
        <w:rPr>
          <w:rFonts w:ascii="標楷體" w:hAnsi="標楷體" w:cs="標楷體" w:eastAsia="標楷體"/>
        </w:rPr>
        <w:t>過度敏感、多疑</w:t>
      </w:r>
    </w:p>
    <w:p>
      <w:pPr>
        <w:pStyle w:val="Normal"/>
        <w:ind w:left="480" w:hanging="0"/>
        <w:rPr>
          <w:rFonts w:ascii="標楷體" w:hAnsi="標楷體" w:eastAsia="標楷體" w:cs="標楷體"/>
        </w:rPr>
      </w:pPr>
      <w:r>
        <w:rPr>
          <w:rFonts w:eastAsia="標楷體" w:cs="標楷體" w:ascii="標楷體" w:hAnsi="標楷體"/>
        </w:rPr>
      </w:r>
    </w:p>
    <w:p>
      <w:pPr>
        <w:pStyle w:val="Normal"/>
        <w:ind w:left="480" w:hanging="0"/>
        <w:rPr>
          <w:rFonts w:ascii="標楷體" w:hAnsi="標楷體" w:eastAsia="標楷體" w:cs="標楷體"/>
        </w:rPr>
      </w:pPr>
      <w:r>
        <w:rPr>
          <w:rFonts w:eastAsia="標楷體" w:cs="標楷體" w:ascii="標楷體" w:hAnsi="標楷體"/>
        </w:rPr>
        <w:t>(</w:t>
      </w:r>
      <w:r>
        <w:rPr>
          <w:rFonts w:ascii="標楷體" w:hAnsi="標楷體" w:cs="標楷體" w:eastAsia="標楷體"/>
        </w:rPr>
        <w:t>二</w:t>
      </w:r>
      <w:r>
        <w:rPr>
          <w:rFonts w:eastAsia="標楷體" w:cs="標楷體" w:ascii="標楷體" w:hAnsi="標楷體"/>
        </w:rPr>
        <w:t xml:space="preserve">) </w:t>
      </w:r>
      <w:r>
        <w:rPr>
          <w:rFonts w:ascii="標楷體" w:hAnsi="標楷體" w:cs="標楷體" w:eastAsia="標楷體"/>
        </w:rPr>
        <w:t>長期使用表現：</w:t>
      </w:r>
    </w:p>
    <w:p>
      <w:pPr>
        <w:pStyle w:val="Normal"/>
        <w:numPr>
          <w:ilvl w:val="0"/>
          <w:numId w:val="7"/>
        </w:numPr>
        <w:ind w:left="1440" w:hanging="480"/>
        <w:rPr>
          <w:rFonts w:ascii="標楷體" w:hAnsi="標楷體" w:eastAsia="標楷體" w:cs="標楷體"/>
        </w:rPr>
      </w:pPr>
      <w:r>
        <w:rPr>
          <w:rFonts w:ascii="標楷體" w:hAnsi="標楷體" w:cs="標楷體" w:eastAsia="標楷體"/>
        </w:rPr>
        <w:t>營養不良</w:t>
      </w:r>
    </w:p>
    <w:p>
      <w:pPr>
        <w:pStyle w:val="Normal"/>
        <w:numPr>
          <w:ilvl w:val="0"/>
          <w:numId w:val="7"/>
        </w:numPr>
        <w:ind w:left="1440" w:hanging="480"/>
        <w:rPr>
          <w:rFonts w:ascii="標楷體" w:hAnsi="標楷體" w:eastAsia="標楷體" w:cs="標楷體"/>
        </w:rPr>
      </w:pPr>
      <w:r>
        <w:rPr>
          <w:rFonts w:ascii="標楷體" w:hAnsi="標楷體" w:cs="標楷體" w:eastAsia="標楷體"/>
        </w:rPr>
        <w:t>失眠或過度嗜睡</w:t>
      </w:r>
    </w:p>
    <w:p>
      <w:pPr>
        <w:pStyle w:val="Normal"/>
        <w:numPr>
          <w:ilvl w:val="0"/>
          <w:numId w:val="7"/>
        </w:numPr>
        <w:ind w:left="1440" w:hanging="480"/>
        <w:rPr/>
      </w:pPr>
      <w:r>
        <w:rPr>
          <w:rFonts w:ascii="標楷體" w:hAnsi="標楷體" w:cs="標楷體" w:eastAsia="標楷體"/>
        </w:rPr>
        <w:t>臉上易有</w:t>
      </w:r>
      <w:r>
        <w:rPr>
          <w:rStyle w:val="St"/>
          <w:rFonts w:ascii="標楷體" w:hAnsi="標楷體" w:cs="標楷體" w:eastAsia="標楷體"/>
        </w:rPr>
        <w:t>痤</w:t>
      </w:r>
      <w:r>
        <w:rPr>
          <w:rFonts w:ascii="標楷體" w:hAnsi="標楷體" w:cs="標楷體" w:eastAsia="標楷體"/>
        </w:rPr>
        <w:t>瘡</w:t>
      </w:r>
    </w:p>
    <w:p>
      <w:pPr>
        <w:pStyle w:val="Normal"/>
        <w:numPr>
          <w:ilvl w:val="0"/>
          <w:numId w:val="7"/>
        </w:numPr>
        <w:ind w:left="1440" w:hanging="480"/>
        <w:rPr>
          <w:rFonts w:ascii="標楷體" w:hAnsi="標楷體" w:eastAsia="標楷體" w:cs="標楷體"/>
        </w:rPr>
      </w:pPr>
      <w:r>
        <w:rPr>
          <w:rFonts w:ascii="標楷體" w:hAnsi="標楷體" w:cs="標楷體" w:eastAsia="標楷體"/>
        </w:rPr>
        <w:t>焦慮、憂鬱、易怒</w:t>
      </w:r>
    </w:p>
    <w:p>
      <w:pPr>
        <w:pStyle w:val="Normal"/>
        <w:numPr>
          <w:ilvl w:val="0"/>
          <w:numId w:val="7"/>
        </w:numPr>
        <w:ind w:left="1440" w:hanging="480"/>
        <w:rPr>
          <w:rFonts w:ascii="標楷體" w:hAnsi="標楷體" w:eastAsia="標楷體" w:cs="標楷體"/>
        </w:rPr>
      </w:pPr>
      <w:r>
        <w:rPr>
          <w:rFonts w:ascii="標楷體" w:hAnsi="標楷體" w:cs="標楷體" w:eastAsia="標楷體"/>
        </w:rPr>
        <w:t>體重增加或變化劇烈</w:t>
      </w:r>
    </w:p>
    <w:p>
      <w:pPr>
        <w:pStyle w:val="Normal"/>
        <w:numPr>
          <w:ilvl w:val="0"/>
          <w:numId w:val="7"/>
        </w:numPr>
        <w:ind w:left="1440" w:hanging="480"/>
        <w:rPr>
          <w:rFonts w:ascii="標楷體" w:hAnsi="標楷體" w:eastAsia="標楷體" w:cs="標楷體"/>
        </w:rPr>
      </w:pPr>
      <w:r>
        <w:rPr>
          <w:rFonts w:ascii="標楷體" w:hAnsi="標楷體" w:cs="標楷體" w:eastAsia="標楷體"/>
        </w:rPr>
        <w:t>疲累</w:t>
      </w:r>
    </w:p>
    <w:p>
      <w:pPr>
        <w:pStyle w:val="Normal"/>
        <w:numPr>
          <w:ilvl w:val="0"/>
          <w:numId w:val="7"/>
        </w:numPr>
        <w:ind w:left="1440" w:hanging="480"/>
        <w:rPr>
          <w:rFonts w:ascii="標楷體" w:hAnsi="標楷體" w:eastAsia="標楷體" w:cs="標楷體"/>
        </w:rPr>
      </w:pPr>
      <w:r>
        <w:rPr>
          <w:rFonts w:ascii="標楷體" w:hAnsi="標楷體" w:cs="標楷體" w:eastAsia="標楷體"/>
        </w:rPr>
        <w:t>精神病症狀惡化</w:t>
      </w:r>
    </w:p>
    <w:p>
      <w:pPr>
        <w:pStyle w:val="Normal"/>
        <w:rPr>
          <w:rFonts w:ascii="標楷體" w:hAnsi="標楷體" w:eastAsia="標楷體" w:cs="標楷體"/>
        </w:rPr>
      </w:pPr>
      <w:r>
        <w:rPr>
          <w:rFonts w:eastAsia="標楷體" w:cs="標楷體" w:ascii="標楷體" w:hAnsi="標楷體"/>
        </w:rPr>
      </w:r>
    </w:p>
    <w:p>
      <w:pPr>
        <w:pStyle w:val="Normal"/>
        <w:ind w:firstLine="480"/>
        <w:rPr/>
      </w:pPr>
      <w:r>
        <w:rPr>
          <w:rFonts w:ascii="標楷體" w:hAnsi="標楷體" w:cs="標楷體" w:eastAsia="標楷體"/>
        </w:rPr>
        <w:t>家屬的協助介入，對於否認用藥行為個案的生活功能與症狀呈現相當重要，家屬能夠配合醫師針對個案戒癮狀態給予正增強，減少可能引起復發使用的高危險情境，對於治療會有相當助益。</w:t>
      </w:r>
    </w:p>
    <w:p>
      <w:pPr>
        <w:pStyle w:val="Normal"/>
        <w:ind w:firstLine="480"/>
        <w:rPr>
          <w:rFonts w:ascii="標楷體" w:hAnsi="標楷體" w:eastAsia="標楷體" w:cs="標楷體"/>
        </w:rPr>
      </w:pPr>
      <w:r>
        <w:rPr>
          <w:rFonts w:eastAsia="標楷體" w:cs="標楷體" w:ascii="標楷體" w:hAnsi="標楷體"/>
        </w:rPr>
      </w:r>
    </w:p>
    <w:p>
      <w:pPr>
        <w:pStyle w:val="Normal"/>
        <w:ind w:firstLine="480"/>
        <w:rPr>
          <w:rFonts w:ascii="標楷體" w:hAnsi="標楷體" w:eastAsia="標楷體" w:cs="標楷體"/>
        </w:rPr>
      </w:pPr>
      <w:r>
        <w:rPr>
          <w:rFonts w:ascii="標楷體" w:hAnsi="標楷體" w:cs="標楷體" w:eastAsia="標楷體"/>
        </w:rPr>
        <w:t>在高度懷疑個案使用成癮物質，或因懷疑使用造成家庭嚴重衝突時，由個案與家屬之間達成溝通及協議定期、不定期給予尿液藥物篩檢，可以減少因不確定感、不信任感而引起在家屬、個案間的情緒衝突。</w:t>
      </w:r>
    </w:p>
    <w:p>
      <w:pPr>
        <w:pStyle w:val="Normal"/>
        <w:rPr>
          <w:rFonts w:ascii="標楷體" w:hAnsi="標楷體" w:eastAsia="標楷體" w:cs="標楷體"/>
        </w:rPr>
      </w:pPr>
      <w:r>
        <w:rPr>
          <w:rFonts w:eastAsia="標楷體" w:cs="標楷體" w:ascii="標楷體" w:hAnsi="標楷體"/>
        </w:rPr>
      </w:r>
    </w:p>
    <w:p>
      <w:pPr>
        <w:pStyle w:val="Style30"/>
        <w:rPr>
          <w:rFonts w:ascii="標楷體" w:hAnsi="標楷體" w:eastAsia="標楷體" w:cs="標楷體"/>
          <w:b/>
          <w:b/>
          <w:color w:val="000000"/>
          <w:sz w:val="24"/>
          <w:szCs w:val="24"/>
        </w:rPr>
      </w:pPr>
      <w:bookmarkStart w:id="7" w:name="__RefHeading___Toc315757847"/>
      <w:r>
        <w:rPr>
          <w:rFonts w:ascii="標楷體" w:hAnsi="標楷體" w:cs="標楷體" w:eastAsia="標楷體"/>
          <w:sz w:val="24"/>
          <w:szCs w:val="24"/>
        </w:rPr>
        <w:t xml:space="preserve">圖表 </w:t>
      </w:r>
      <w:r>
        <w:rPr>
          <w:rFonts w:ascii="標楷體" w:hAnsi="標楷體" w:cs="標楷體" w:eastAsia="標楷體"/>
          <w:sz w:val="24"/>
          <w:szCs w:val="24"/>
        </w:rPr>
        <w:fldChar w:fldCharType="begin"/>
      </w:r>
      <w:r>
        <w:rPr>
          <w:sz w:val="24"/>
          <w:szCs w:val="24"/>
          <w:rFonts w:ascii="標楷體" w:hAnsi="標楷體" w:cs="標楷體" w:eastAsia="標楷體"/>
        </w:rPr>
        <w:instrText> SEQ 圖表 \* ARABIC </w:instrText>
      </w:r>
      <w:r>
        <w:rPr>
          <w:sz w:val="24"/>
          <w:szCs w:val="24"/>
          <w:rFonts w:ascii="標楷體" w:hAnsi="標楷體" w:cs="標楷體" w:eastAsia="標楷體"/>
        </w:rPr>
        <w:fldChar w:fldCharType="separate"/>
      </w:r>
      <w:r>
        <w:rPr>
          <w:sz w:val="24"/>
          <w:szCs w:val="24"/>
          <w:rFonts w:ascii="標楷體" w:hAnsi="標楷體" w:cs="標楷體" w:eastAsia="標楷體"/>
        </w:rPr>
        <w:t>1</w:t>
      </w:r>
      <w:r>
        <w:rPr>
          <w:sz w:val="24"/>
          <w:szCs w:val="24"/>
          <w:rFonts w:ascii="標楷體" w:hAnsi="標楷體" w:cs="標楷體" w:eastAsia="標楷體"/>
        </w:rPr>
        <w:fldChar w:fldCharType="end"/>
      </w:r>
      <w:r>
        <w:rPr>
          <w:rFonts w:ascii="標楷體" w:hAnsi="標楷體" w:cs="標楷體" w:eastAsia="標楷體"/>
          <w:sz w:val="24"/>
          <w:szCs w:val="24"/>
        </w:rPr>
        <w:t xml:space="preserve"> </w:t>
      </w:r>
      <w:r>
        <w:rPr>
          <w:rFonts w:ascii="標楷體" w:hAnsi="標楷體" w:cs="標楷體" w:eastAsia="標楷體"/>
          <w:b/>
          <w:color w:val="000000"/>
          <w:sz w:val="24"/>
          <w:szCs w:val="24"/>
        </w:rPr>
        <w:t>物質依賴</w:t>
      </w:r>
    </w:p>
    <w:p>
      <w:pPr>
        <w:pStyle w:val="Style30"/>
        <w:rPr>
          <w:rFonts w:ascii="標楷體" w:hAnsi="標楷體" w:eastAsia="標楷體" w:cs="標楷體"/>
          <w:color w:val="000000"/>
          <w:sz w:val="24"/>
          <w:szCs w:val="24"/>
        </w:rPr>
      </w:pPr>
      <w:r>
        <w:rPr>
          <w:rFonts w:ascii="標楷體" w:hAnsi="標楷體" w:cs="標楷體" w:eastAsia="標楷體"/>
          <w:color w:val="000000"/>
          <w:sz w:val="24"/>
          <w:szCs w:val="24"/>
        </w:rPr>
        <w:t>（精神疾患診斷與統計手冊</w:t>
      </w:r>
      <w:r>
        <w:rPr>
          <w:rFonts w:eastAsia="標楷體" w:cs="標楷體" w:ascii="標楷體" w:hAnsi="標楷體"/>
          <w:color w:val="000000"/>
          <w:sz w:val="24"/>
          <w:szCs w:val="24"/>
        </w:rPr>
        <w:t>-</w:t>
      </w:r>
      <w:r>
        <w:rPr>
          <w:rFonts w:ascii="標楷體" w:hAnsi="標楷體" w:cs="標楷體" w:eastAsia="標楷體"/>
          <w:color w:val="000000"/>
          <w:sz w:val="24"/>
          <w:szCs w:val="24"/>
        </w:rPr>
        <w:t>第四版</w:t>
      </w:r>
      <w:r>
        <w:rPr>
          <w:rFonts w:eastAsia="標楷體" w:cs="標楷體" w:ascii="標楷體" w:hAnsi="標楷體"/>
          <w:color w:val="000000"/>
          <w:sz w:val="24"/>
          <w:szCs w:val="24"/>
        </w:rPr>
        <w:t>-</w:t>
      </w:r>
      <w:r>
        <w:rPr>
          <w:rFonts w:ascii="標楷體" w:hAnsi="標楷體" w:cs="標楷體" w:eastAsia="標楷體"/>
          <w:color w:val="000000"/>
          <w:sz w:val="24"/>
          <w:szCs w:val="24"/>
        </w:rPr>
        <w:t>文字修訂版）</w:t>
      </w:r>
      <w:bookmarkEnd w:id="7"/>
    </w:p>
    <w:tbl>
      <w:tblPr>
        <w:tblW w:w="6548" w:type="dxa"/>
        <w:jc w:val="left"/>
        <w:tblInd w:w="0" w:type="dxa"/>
        <w:tblLayout w:type="fixed"/>
        <w:tblCellMar>
          <w:top w:w="0" w:type="dxa"/>
          <w:left w:w="28" w:type="dxa"/>
          <w:bottom w:w="0" w:type="dxa"/>
          <w:right w:w="28" w:type="dxa"/>
        </w:tblCellMar>
      </w:tblPr>
      <w:tblGrid>
        <w:gridCol w:w="6548"/>
      </w:tblGrid>
      <w:tr>
        <w:trPr/>
        <w:tc>
          <w:tcPr>
            <w:tcW w:w="6548" w:type="dxa"/>
            <w:tcBorders>
              <w:top w:val="single" w:sz="12" w:space="0" w:color="008000"/>
              <w:bottom w:val="single" w:sz="6" w:space="0" w:color="008000"/>
            </w:tcBorders>
          </w:tcPr>
          <w:p>
            <w:pPr>
              <w:pStyle w:val="Normal"/>
              <w:rPr/>
            </w:pPr>
            <w:r>
              <w:rPr>
                <w:rFonts w:ascii="標楷體" w:hAnsi="標楷體" w:cs="標楷體" w:eastAsia="標楷體"/>
                <w:color w:val="000000"/>
              </w:rPr>
              <w:t>物質依賴</w:t>
            </w:r>
          </w:p>
        </w:tc>
      </w:tr>
      <w:tr>
        <w:trPr/>
        <w:tc>
          <w:tcPr>
            <w:tcW w:w="6548" w:type="dxa"/>
            <w:tcBorders>
              <w:top w:val="single" w:sz="6" w:space="0" w:color="008000"/>
              <w:bottom w:val="single" w:sz="12" w:space="0" w:color="008000"/>
            </w:tcBorders>
          </w:tcPr>
          <w:p>
            <w:pPr>
              <w:pStyle w:val="Normal"/>
              <w:rPr/>
            </w:pPr>
            <w:r>
              <w:rPr>
                <w:rFonts w:ascii="標楷體" w:hAnsi="標楷體" w:cs="標楷體" w:eastAsia="標楷體"/>
                <w:color w:val="000000"/>
              </w:rPr>
              <w:t>物質的不當使用，在臨床上造成顯著的損害或痛苦，在十二個月內之任何時刻，下列現象出現三個或三個以上：</w:t>
            </w:r>
          </w:p>
          <w:p>
            <w:pPr>
              <w:pStyle w:val="Normal"/>
              <w:numPr>
                <w:ilvl w:val="0"/>
                <w:numId w:val="4"/>
              </w:numPr>
              <w:rPr>
                <w:rFonts w:ascii="標楷體" w:hAnsi="標楷體" w:eastAsia="標楷體" w:cs="標楷體"/>
                <w:color w:val="000000"/>
              </w:rPr>
            </w:pPr>
            <w:r>
              <w:rPr>
                <w:rFonts w:ascii="標楷體" w:hAnsi="標楷體" w:cs="標楷體" w:eastAsia="標楷體"/>
                <w:color w:val="000000"/>
              </w:rPr>
              <w:t>耐受性，其定義為下列二者任一：</w:t>
            </w:r>
          </w:p>
          <w:p>
            <w:pPr>
              <w:pStyle w:val="Normal"/>
              <w:numPr>
                <w:ilvl w:val="1"/>
                <w:numId w:val="4"/>
              </w:numPr>
              <w:tabs>
                <w:tab w:val="clear" w:pos="480"/>
                <w:tab w:val="left" w:pos="1260" w:leader="none"/>
              </w:tabs>
              <w:ind w:left="1260" w:hanging="480"/>
              <w:rPr>
                <w:rFonts w:ascii="標楷體" w:hAnsi="標楷體" w:eastAsia="標楷體" w:cs="標楷體"/>
                <w:color w:val="000000"/>
              </w:rPr>
            </w:pPr>
            <w:r>
              <w:rPr>
                <w:rFonts w:ascii="標楷體" w:hAnsi="標楷體" w:cs="標楷體" w:eastAsia="標楷體"/>
                <w:color w:val="000000"/>
              </w:rPr>
              <w:t>需要明顯增加用量，才會達到中毒或想要的效果；</w:t>
            </w:r>
          </w:p>
          <w:p>
            <w:pPr>
              <w:pStyle w:val="Normal"/>
              <w:numPr>
                <w:ilvl w:val="1"/>
                <w:numId w:val="4"/>
              </w:numPr>
              <w:tabs>
                <w:tab w:val="clear" w:pos="480"/>
                <w:tab w:val="left" w:pos="1260" w:leader="none"/>
              </w:tabs>
              <w:ind w:left="1260" w:hanging="480"/>
              <w:rPr>
                <w:rFonts w:ascii="標楷體" w:hAnsi="標楷體" w:eastAsia="標楷體" w:cs="標楷體"/>
                <w:color w:val="000000"/>
              </w:rPr>
            </w:pPr>
            <w:r>
              <w:rPr>
                <w:rFonts w:ascii="標楷體" w:hAnsi="標楷體" w:cs="標楷體" w:eastAsia="標楷體"/>
                <w:color w:val="000000"/>
              </w:rPr>
              <w:t>雖然用量仍然相同，效果卻明顯降低。</w:t>
            </w:r>
          </w:p>
          <w:p>
            <w:pPr>
              <w:pStyle w:val="Normal"/>
              <w:numPr>
                <w:ilvl w:val="0"/>
                <w:numId w:val="4"/>
              </w:numPr>
              <w:rPr>
                <w:rFonts w:ascii="標楷體" w:hAnsi="標楷體" w:eastAsia="標楷體" w:cs="標楷體"/>
                <w:color w:val="000000"/>
              </w:rPr>
            </w:pPr>
            <w:r>
              <w:rPr>
                <w:rFonts w:ascii="標楷體" w:hAnsi="標楷體" w:cs="標楷體" w:eastAsia="標楷體"/>
                <w:color w:val="000000"/>
              </w:rPr>
              <w:t>戒斷，其表現為下列二者任一：</w:t>
            </w:r>
          </w:p>
          <w:p>
            <w:pPr>
              <w:pStyle w:val="Normal"/>
              <w:numPr>
                <w:ilvl w:val="1"/>
                <w:numId w:val="4"/>
              </w:numPr>
              <w:tabs>
                <w:tab w:val="clear" w:pos="480"/>
                <w:tab w:val="left" w:pos="1260" w:leader="none"/>
              </w:tabs>
              <w:ind w:left="1260" w:hanging="480"/>
              <w:rPr/>
            </w:pPr>
            <w:r>
              <w:rPr>
                <w:rFonts w:ascii="標楷體" w:hAnsi="標楷體" w:cs="標楷體" w:eastAsia="標楷體"/>
                <w:color w:val="000000"/>
              </w:rPr>
              <w:t>出現典型的物質戒斷症狀；</w:t>
            </w:r>
          </w:p>
          <w:p>
            <w:pPr>
              <w:pStyle w:val="Normal"/>
              <w:numPr>
                <w:ilvl w:val="1"/>
                <w:numId w:val="4"/>
              </w:numPr>
              <w:tabs>
                <w:tab w:val="clear" w:pos="480"/>
                <w:tab w:val="left" w:pos="1260" w:leader="none"/>
              </w:tabs>
              <w:ind w:left="1260" w:hanging="480"/>
              <w:rPr/>
            </w:pPr>
            <w:r>
              <w:rPr>
                <w:rFonts w:ascii="標楷體" w:hAnsi="標楷體" w:cs="標楷體" w:eastAsia="標楷體"/>
                <w:color w:val="000000"/>
              </w:rPr>
              <w:t>必須使用該物質或類似物質來減輕或避免戒斷症狀。</w:t>
            </w:r>
          </w:p>
          <w:p>
            <w:pPr>
              <w:pStyle w:val="Normal"/>
              <w:numPr>
                <w:ilvl w:val="0"/>
                <w:numId w:val="4"/>
              </w:numPr>
              <w:rPr/>
            </w:pPr>
            <w:r>
              <w:rPr>
                <w:rFonts w:ascii="標楷體" w:hAnsi="標楷體" w:cs="標楷體" w:eastAsia="標楷體"/>
                <w:color w:val="000000"/>
              </w:rPr>
              <w:t>物質的使用量或使用時間經常超出預期；</w:t>
            </w:r>
          </w:p>
          <w:p>
            <w:pPr>
              <w:pStyle w:val="Normal"/>
              <w:numPr>
                <w:ilvl w:val="0"/>
                <w:numId w:val="4"/>
              </w:numPr>
              <w:rPr/>
            </w:pPr>
            <w:r>
              <w:rPr>
                <w:rFonts w:ascii="標楷體" w:hAnsi="標楷體" w:cs="標楷體" w:eastAsia="標楷體"/>
                <w:color w:val="000000"/>
              </w:rPr>
              <w:t>對物質持續渴求、無法戒掉或無法減少使用量；</w:t>
            </w:r>
          </w:p>
          <w:p>
            <w:pPr>
              <w:pStyle w:val="Normal"/>
              <w:numPr>
                <w:ilvl w:val="0"/>
                <w:numId w:val="4"/>
              </w:numPr>
              <w:rPr/>
            </w:pPr>
            <w:r>
              <w:rPr>
                <w:rFonts w:ascii="標楷體" w:hAnsi="標楷體" w:cs="標楷體" w:eastAsia="標楷體"/>
                <w:color w:val="000000"/>
              </w:rPr>
              <w:t>耗費許多時間在物質的獲得、使用、或戒斷上；</w:t>
            </w:r>
          </w:p>
          <w:p>
            <w:pPr>
              <w:pStyle w:val="Normal"/>
              <w:numPr>
                <w:ilvl w:val="0"/>
                <w:numId w:val="4"/>
              </w:numPr>
              <w:rPr/>
            </w:pPr>
            <w:r>
              <w:rPr>
                <w:rFonts w:ascii="標楷體" w:hAnsi="標楷體" w:cs="標楷體" w:eastAsia="標楷體"/>
                <w:color w:val="000000"/>
              </w:rPr>
              <w:t>因使用物質而放棄或減少重要的社交、工作或娛樂活動；</w:t>
            </w:r>
          </w:p>
          <w:p>
            <w:pPr>
              <w:pStyle w:val="Normal"/>
              <w:numPr>
                <w:ilvl w:val="0"/>
                <w:numId w:val="4"/>
              </w:numPr>
              <w:rPr>
                <w:rFonts w:ascii="標楷體" w:hAnsi="標楷體" w:eastAsia="標楷體" w:cs="標楷體"/>
                <w:color w:val="000000"/>
              </w:rPr>
            </w:pPr>
            <w:r>
              <w:rPr>
                <w:rFonts w:ascii="標楷體" w:hAnsi="標楷體" w:cs="標楷體" w:eastAsia="標楷體"/>
                <w:color w:val="000000"/>
              </w:rPr>
              <w:t>即使知道持續或重複發生的身體或心理問題可能是由安非他命造成，仍持續使用。</w:t>
            </w:r>
          </w:p>
        </w:tc>
      </w:tr>
    </w:tbl>
    <w:p>
      <w:pPr>
        <w:pStyle w:val="Normal"/>
        <w:ind w:left="720" w:hanging="720"/>
        <w:rPr/>
      </w:pPr>
      <w:r>
        <w:rPr>
          <w:rFonts w:ascii="標楷體" w:hAnsi="標楷體" w:cs="標楷體" w:eastAsia="標楷體"/>
          <w:color w:val="000000"/>
        </w:rPr>
        <w:t>資料來源：</w:t>
      </w:r>
      <w:r>
        <w:rPr>
          <w:rFonts w:cs="Calibri" w:eastAsia="Calibri"/>
        </w:rPr>
        <w:t xml:space="preserve"> </w:t>
      </w:r>
    </w:p>
    <w:p>
      <w:pPr>
        <w:pStyle w:val="Normal"/>
        <w:ind w:left="720" w:hanging="720"/>
        <w:rPr/>
      </w:pPr>
      <w:r>
        <w:rPr/>
      </w:r>
    </w:p>
    <w:p>
      <w:pPr>
        <w:pStyle w:val="Normal"/>
        <w:ind w:left="720" w:hanging="720"/>
        <w:rPr/>
      </w:pPr>
      <w:r>
        <w:rPr/>
      </w:r>
    </w:p>
    <w:p>
      <w:pPr>
        <w:pStyle w:val="Style30"/>
        <w:rPr>
          <w:rFonts w:ascii="標楷體" w:hAnsi="標楷體" w:eastAsia="標楷體" w:cs="標楷體"/>
          <w:b/>
          <w:b/>
          <w:color w:val="000000"/>
          <w:sz w:val="24"/>
          <w:szCs w:val="24"/>
        </w:rPr>
      </w:pPr>
      <w:bookmarkStart w:id="8" w:name="__RefHeading___Toc315757848"/>
      <w:r>
        <w:rPr>
          <w:rFonts w:ascii="標楷體" w:hAnsi="標楷體" w:cs="標楷體" w:eastAsia="標楷體"/>
          <w:sz w:val="24"/>
          <w:szCs w:val="24"/>
        </w:rPr>
        <w:t xml:space="preserve">圖表 </w:t>
      </w:r>
      <w:r>
        <w:rPr>
          <w:rFonts w:ascii="標楷體" w:hAnsi="標楷體" w:cs="標楷體" w:eastAsia="標楷體"/>
          <w:sz w:val="24"/>
          <w:szCs w:val="24"/>
        </w:rPr>
        <w:fldChar w:fldCharType="begin"/>
      </w:r>
      <w:r>
        <w:rPr>
          <w:sz w:val="24"/>
          <w:szCs w:val="24"/>
          <w:rFonts w:ascii="標楷體" w:hAnsi="標楷體" w:cs="標楷體" w:eastAsia="標楷體"/>
        </w:rPr>
        <w:instrText> SEQ 圖表 \* ARABIC </w:instrText>
      </w:r>
      <w:r>
        <w:rPr>
          <w:sz w:val="24"/>
          <w:szCs w:val="24"/>
          <w:rFonts w:ascii="標楷體" w:hAnsi="標楷體" w:cs="標楷體" w:eastAsia="標楷體"/>
        </w:rPr>
        <w:fldChar w:fldCharType="separate"/>
      </w:r>
      <w:r>
        <w:rPr>
          <w:sz w:val="24"/>
          <w:szCs w:val="24"/>
          <w:rFonts w:ascii="標楷體" w:hAnsi="標楷體" w:cs="標楷體" w:eastAsia="標楷體"/>
        </w:rPr>
        <w:t>2</w:t>
      </w:r>
      <w:r>
        <w:rPr>
          <w:sz w:val="24"/>
          <w:szCs w:val="24"/>
          <w:rFonts w:ascii="標楷體" w:hAnsi="標楷體" w:cs="標楷體" w:eastAsia="標楷體"/>
        </w:rPr>
        <w:fldChar w:fldCharType="end"/>
      </w:r>
      <w:r>
        <w:rPr>
          <w:rFonts w:ascii="標楷體" w:hAnsi="標楷體" w:cs="標楷體" w:eastAsia="標楷體"/>
          <w:sz w:val="24"/>
          <w:szCs w:val="24"/>
        </w:rPr>
        <w:t xml:space="preserve"> </w:t>
      </w:r>
      <w:r>
        <w:rPr>
          <w:rFonts w:ascii="標楷體" w:hAnsi="標楷體" w:cs="標楷體" w:eastAsia="標楷體"/>
          <w:b/>
          <w:color w:val="000000"/>
          <w:sz w:val="24"/>
          <w:szCs w:val="24"/>
        </w:rPr>
        <w:t>物質濫用</w:t>
      </w:r>
    </w:p>
    <w:p>
      <w:pPr>
        <w:pStyle w:val="Style30"/>
        <w:rPr/>
      </w:pPr>
      <w:r>
        <w:rPr/>
        <w:t>（精神疾患診斷與統計手冊</w:t>
      </w:r>
      <w:r>
        <w:rPr/>
        <w:t>-</w:t>
      </w:r>
      <w:r>
        <w:rPr/>
        <w:t>第四版</w:t>
      </w:r>
      <w:r>
        <w:rPr/>
        <w:t>-</w:t>
      </w:r>
      <w:r>
        <w:rPr/>
        <w:t>文字修訂版）</w:t>
      </w:r>
      <w:bookmarkEnd w:id="8"/>
    </w:p>
    <w:tbl>
      <w:tblPr>
        <w:tblW w:w="6548" w:type="dxa"/>
        <w:jc w:val="left"/>
        <w:tblInd w:w="0" w:type="dxa"/>
        <w:tblLayout w:type="fixed"/>
        <w:tblCellMar>
          <w:top w:w="0" w:type="dxa"/>
          <w:left w:w="28" w:type="dxa"/>
          <w:bottom w:w="0" w:type="dxa"/>
          <w:right w:w="28" w:type="dxa"/>
        </w:tblCellMar>
      </w:tblPr>
      <w:tblGrid>
        <w:gridCol w:w="6548"/>
      </w:tblGrid>
      <w:tr>
        <w:trPr/>
        <w:tc>
          <w:tcPr>
            <w:tcW w:w="6548" w:type="dxa"/>
            <w:tcBorders>
              <w:top w:val="single" w:sz="12" w:space="0" w:color="008000"/>
              <w:bottom w:val="single" w:sz="6" w:space="0" w:color="008000"/>
            </w:tcBorders>
          </w:tcPr>
          <w:p>
            <w:pPr>
              <w:pStyle w:val="Normal"/>
              <w:rPr/>
            </w:pPr>
            <w:r>
              <w:rPr>
                <w:rFonts w:ascii="標楷體" w:hAnsi="標楷體" w:cs="標楷體" w:eastAsia="標楷體"/>
                <w:color w:val="000000"/>
              </w:rPr>
              <w:t>物質濫用</w:t>
            </w:r>
          </w:p>
        </w:tc>
      </w:tr>
      <w:tr>
        <w:trPr/>
        <w:tc>
          <w:tcPr>
            <w:tcW w:w="6548" w:type="dxa"/>
            <w:tcBorders>
              <w:top w:val="single" w:sz="6" w:space="0" w:color="008000"/>
              <w:bottom w:val="single" w:sz="12" w:space="0" w:color="008000"/>
            </w:tcBorders>
          </w:tcPr>
          <w:p>
            <w:pPr>
              <w:pStyle w:val="Normal"/>
              <w:numPr>
                <w:ilvl w:val="0"/>
                <w:numId w:val="3"/>
              </w:numPr>
              <w:rPr/>
            </w:pPr>
            <w:r>
              <w:rPr>
                <w:rFonts w:ascii="標楷體" w:hAnsi="標楷體" w:cs="標楷體" w:eastAsia="標楷體"/>
                <w:color w:val="000000"/>
              </w:rPr>
              <w:t>物質的不當使用，在臨床上造成顯著的損害或痛苦，在十二個月內之任何時刻，具下列現象一項或一項以上：</w:t>
            </w:r>
          </w:p>
          <w:p>
            <w:pPr>
              <w:pStyle w:val="Normal"/>
              <w:numPr>
                <w:ilvl w:val="1"/>
                <w:numId w:val="3"/>
              </w:numPr>
              <w:rPr/>
            </w:pPr>
            <w:r>
              <w:rPr>
                <w:rFonts w:ascii="標楷體" w:hAnsi="標楷體" w:cs="標楷體" w:eastAsia="標楷體"/>
                <w:color w:val="000000"/>
              </w:rPr>
              <w:t>因為反覆使用物質，而無法履行在職業、學業或家庭等方面的重要義務；</w:t>
            </w:r>
          </w:p>
          <w:p>
            <w:pPr>
              <w:pStyle w:val="Normal"/>
              <w:numPr>
                <w:ilvl w:val="1"/>
                <w:numId w:val="3"/>
              </w:numPr>
              <w:rPr/>
            </w:pPr>
            <w:r>
              <w:rPr>
                <w:rFonts w:ascii="標楷體" w:hAnsi="標楷體" w:cs="標楷體" w:eastAsia="標楷體"/>
                <w:color w:val="000000"/>
              </w:rPr>
              <w:t>在可能造成身體危害的情形下仍反覆使用物質；</w:t>
            </w:r>
          </w:p>
          <w:p>
            <w:pPr>
              <w:pStyle w:val="Normal"/>
              <w:numPr>
                <w:ilvl w:val="1"/>
                <w:numId w:val="3"/>
              </w:numPr>
              <w:rPr/>
            </w:pPr>
            <w:r>
              <w:rPr>
                <w:rFonts w:ascii="標楷體" w:hAnsi="標楷體" w:cs="標楷體" w:eastAsia="標楷體"/>
                <w:color w:val="000000"/>
              </w:rPr>
              <w:t>反覆發生與物質相關的法律問題；</w:t>
            </w:r>
          </w:p>
          <w:p>
            <w:pPr>
              <w:pStyle w:val="Normal"/>
              <w:numPr>
                <w:ilvl w:val="1"/>
                <w:numId w:val="3"/>
              </w:numPr>
              <w:rPr/>
            </w:pPr>
            <w:r>
              <w:rPr>
                <w:rFonts w:ascii="標楷體" w:hAnsi="標楷體" w:cs="標楷體" w:eastAsia="標楷體"/>
                <w:color w:val="000000"/>
              </w:rPr>
              <w:t>雖然造成持續或重複發生的社交或人際關係問題，仍然持續使用物質。</w:t>
            </w:r>
          </w:p>
          <w:p>
            <w:pPr>
              <w:pStyle w:val="Normal"/>
              <w:numPr>
                <w:ilvl w:val="0"/>
                <w:numId w:val="3"/>
              </w:numPr>
              <w:rPr/>
            </w:pPr>
            <w:r>
              <w:rPr>
                <w:rFonts w:ascii="標楷體" w:hAnsi="標楷體" w:cs="標楷體" w:eastAsia="標楷體"/>
                <w:color w:val="000000"/>
              </w:rPr>
              <w:t>症狀尚未達到物質依賴的診斷準則。</w:t>
            </w:r>
          </w:p>
        </w:tc>
      </w:tr>
    </w:tbl>
    <w:p>
      <w:pPr>
        <w:pStyle w:val="Normal"/>
        <w:ind w:left="720" w:hanging="720"/>
        <w:rPr/>
      </w:pPr>
      <w:r>
        <w:rPr>
          <w:rFonts w:ascii="標楷體" w:hAnsi="標楷體" w:cs="標楷體" w:eastAsia="標楷體"/>
          <w:color w:val="000000"/>
        </w:rPr>
        <w:t>資料來源：</w:t>
      </w:r>
      <w:r>
        <w:rPr>
          <w:rFonts w:cs="Calibri" w:eastAsia="Calibri"/>
        </w:rPr>
        <w:t xml:space="preserve"> </w:t>
      </w:r>
    </w:p>
    <w:p>
      <w:pPr>
        <w:pStyle w:val="Normal"/>
        <w:ind w:left="720" w:hanging="720"/>
        <w:rPr/>
      </w:pPr>
      <w:r>
        <w:rPr/>
      </w:r>
      <w:r>
        <w:br w:type="page"/>
      </w:r>
    </w:p>
    <w:p>
      <w:pPr>
        <w:pStyle w:val="1"/>
        <w:spacing w:before="0" w:after="0"/>
        <w:jc w:val="center"/>
        <w:rPr/>
      </w:pPr>
      <w:bookmarkStart w:id="9" w:name="__RefHeading___Toc319875834"/>
      <w:bookmarkEnd w:id="9"/>
      <w:r>
        <w:rPr>
          <w:rStyle w:val="Applestylespan"/>
          <w:rFonts w:ascii="標楷體" w:hAnsi="標楷體" w:cs="標楷體"/>
          <w:sz w:val="44"/>
          <w:szCs w:val="44"/>
        </w:rPr>
        <w:t>第六節 心理社會治療</w:t>
      </w:r>
    </w:p>
    <w:p>
      <w:pPr>
        <w:pStyle w:val="Normal"/>
        <w:ind w:firstLine="480"/>
        <w:rPr>
          <w:rStyle w:val="Applestylespan"/>
          <w:rFonts w:ascii="標楷體" w:hAnsi="標楷體" w:eastAsia="標楷體" w:cs="標楷體"/>
        </w:rPr>
      </w:pPr>
      <w:r>
        <w:rPr>
          <w:rStyle w:val="Applestylespan"/>
          <w:rFonts w:ascii="標楷體" w:hAnsi="標楷體" w:cs="標楷體" w:eastAsia="標楷體"/>
        </w:rPr>
        <w:t>針對二級毒品使用者的藥癮治療，由於並不像海洛因使用者有鴉片類藥物替代維持療法可以運用，因此在有限的藥物治療選擇外，心理社會治療在這部分佔有重要角色。</w:t>
      </w:r>
    </w:p>
    <w:p>
      <w:pPr>
        <w:pStyle w:val="Normal"/>
        <w:rPr>
          <w:rStyle w:val="Applestylespan"/>
          <w:rFonts w:ascii="標楷體" w:hAnsi="標楷體" w:eastAsia="標楷體" w:cs="標楷體"/>
        </w:rPr>
      </w:pPr>
      <w:r>
        <w:rPr/>
      </w:r>
    </w:p>
    <w:p>
      <w:pPr>
        <w:pStyle w:val="Normal"/>
        <w:rPr>
          <w:rStyle w:val="Applestylespan"/>
          <w:rFonts w:ascii="標楷體" w:hAnsi="標楷體" w:eastAsia="標楷體" w:cs="標楷體"/>
          <w:b/>
          <w:b/>
        </w:rPr>
      </w:pPr>
      <w:r>
        <w:rPr>
          <w:rStyle w:val="Applestylespan"/>
          <w:rFonts w:ascii="標楷體" w:hAnsi="標楷體" w:cs="標楷體" w:eastAsia="標楷體"/>
          <w:b/>
        </w:rPr>
        <w:t>一、整體治療架構</w:t>
      </w:r>
    </w:p>
    <w:p>
      <w:pPr>
        <w:pStyle w:val="Normal"/>
        <w:rPr>
          <w:rStyle w:val="Applestylespan"/>
          <w:rFonts w:ascii="標楷體" w:hAnsi="標楷體" w:eastAsia="標楷體" w:cs="標楷體"/>
          <w:b/>
          <w:b/>
        </w:rPr>
      </w:pPr>
      <w:r>
        <w:rPr/>
      </w:r>
    </w:p>
    <w:p>
      <w:pPr>
        <w:pStyle w:val="Normal"/>
        <w:rPr>
          <w:rStyle w:val="Applestylespan"/>
          <w:rFonts w:ascii="標楷體" w:hAnsi="標楷體" w:eastAsia="標楷體" w:cs="標楷體"/>
        </w:rPr>
      </w:pPr>
      <w:r>
        <w:rPr>
          <w:rStyle w:val="Applestylespan"/>
          <w:rFonts w:eastAsia="標楷體" w:cs="標楷體" w:ascii="標楷體" w:hAnsi="標楷體"/>
        </w:rPr>
        <w:tab/>
      </w:r>
      <w:r>
        <w:rPr>
          <w:rStyle w:val="Applestylespan"/>
          <w:rFonts w:ascii="標楷體" w:hAnsi="標楷體" w:cs="標楷體" w:eastAsia="標楷體"/>
        </w:rPr>
        <w:t>本指引所建議的治療模式以認知行為治療為主軸，治療者應視個案狀態，選擇適合的認知行為治療模式、或者是將數種模式予以整合；例如在治療追蹤期間，以情境處置管理</w:t>
      </w:r>
      <w:r>
        <w:rPr>
          <w:rFonts w:eastAsia="標楷體" w:cs="標楷體" w:ascii="標楷體" w:hAnsi="標楷體"/>
          <w:color w:val="000000"/>
        </w:rPr>
        <w:t>(contingency management)</w:t>
      </w:r>
      <w:r>
        <w:rPr>
          <w:rFonts w:ascii="標楷體" w:hAnsi="標楷體" w:cs="標楷體" w:eastAsia="標楷體"/>
          <w:color w:val="000000"/>
        </w:rPr>
        <w:t>模式</w:t>
      </w:r>
      <w:r>
        <w:rPr>
          <w:rStyle w:val="Applestylespan"/>
          <w:rFonts w:ascii="標楷體" w:hAnsi="標楷體" w:cs="標楷體" w:eastAsia="標楷體"/>
        </w:rPr>
        <w:t>建立治療環境架構，在每次的個別治療中，同時合併運用動機式晤談法、復發防治作為主要治療模式。部分個案有家庭互動障礙、人際關係困難、或對成癮病識感持續不佳等問題，可輔以家庭治療、伴侶治療或者是團體治療。</w:t>
      </w:r>
    </w:p>
    <w:p>
      <w:pPr>
        <w:pStyle w:val="Normal"/>
        <w:rPr>
          <w:rStyle w:val="Applestylespan"/>
          <w:rFonts w:ascii="標楷體" w:hAnsi="標楷體" w:eastAsia="標楷體" w:cs="標楷體"/>
        </w:rPr>
      </w:pPr>
      <w:r>
        <w:rPr/>
      </w:r>
    </w:p>
    <w:p>
      <w:pPr>
        <w:pStyle w:val="Normal"/>
        <w:rPr>
          <w:rStyle w:val="Applestylespan"/>
          <w:rFonts w:ascii="標楷體" w:hAnsi="標楷體" w:eastAsia="標楷體" w:cs="標楷體"/>
        </w:rPr>
      </w:pPr>
      <w:r>
        <w:rPr>
          <w:rStyle w:val="Applestylespan"/>
          <w:rFonts w:eastAsia="標楷體" w:cs="標楷體" w:ascii="標楷體" w:hAnsi="標楷體"/>
        </w:rPr>
        <w:tab/>
      </w:r>
      <w:r>
        <w:rPr>
          <w:rStyle w:val="Applestylespan"/>
          <w:rFonts w:ascii="標楷體" w:hAnsi="標楷體" w:cs="標楷體" w:eastAsia="標楷體"/>
        </w:rPr>
        <w:t>關於二級毒品使用者的認知行為治療架構，以短期介入的形態進行</w:t>
      </w:r>
      <w:r>
        <w:rPr>
          <w:rStyle w:val="Applestylespan"/>
          <w:rFonts w:eastAsia="標楷體" w:cs="標楷體" w:ascii="標楷體" w:hAnsi="標楷體"/>
        </w:rPr>
        <w:t>2-4</w:t>
      </w:r>
      <w:r>
        <w:rPr>
          <w:rStyle w:val="Applestylespan"/>
          <w:rFonts w:ascii="標楷體" w:hAnsi="標楷體" w:cs="標楷體" w:eastAsia="標楷體"/>
        </w:rPr>
        <w:t>次治療即可能具有療效。常見的作法則是以</w:t>
      </w:r>
      <w:r>
        <w:rPr>
          <w:rStyle w:val="Applestylespan"/>
          <w:rFonts w:eastAsia="標楷體" w:cs="標楷體" w:ascii="標楷體" w:hAnsi="標楷體"/>
        </w:rPr>
        <w:t>12-24</w:t>
      </w:r>
      <w:r>
        <w:rPr>
          <w:rStyle w:val="Applestylespan"/>
          <w:rFonts w:ascii="標楷體" w:hAnsi="標楷體" w:cs="標楷體" w:eastAsia="標楷體"/>
        </w:rPr>
        <w:t>週，每週一次的型式進行；每次的治療時間分配，可考慮予以三等份處理，前三分之一討論過去一週的毒品使用狀況、生活功能以及所面臨的問題，中間三分之一教導適應技巧並進行練習，最後三分之一則是討論接下來的計畫以及如何應用新學習到的適應技巧。</w:t>
      </w:r>
    </w:p>
    <w:p>
      <w:pPr>
        <w:pStyle w:val="Normal"/>
        <w:rPr>
          <w:rStyle w:val="Applestylespan"/>
          <w:rFonts w:ascii="標楷體" w:hAnsi="標楷體" w:eastAsia="標楷體" w:cs="標楷體"/>
        </w:rPr>
      </w:pPr>
      <w:r>
        <w:rPr/>
      </w:r>
    </w:p>
    <w:p>
      <w:pPr>
        <w:pStyle w:val="Normal"/>
        <w:rPr/>
      </w:pPr>
      <w:r>
        <w:rPr>
          <w:rFonts w:ascii="標楷體" w:hAnsi="標楷體" w:cs="標楷體" w:eastAsia="標楷體"/>
          <w:b/>
          <w:bCs/>
          <w:color w:val="000000"/>
        </w:rPr>
        <w:t>二、心理社會治療基本模式</w:t>
      </w:r>
    </w:p>
    <w:p>
      <w:pPr>
        <w:pStyle w:val="Normal"/>
        <w:rPr>
          <w:rFonts w:ascii="標楷體" w:hAnsi="標楷體" w:eastAsia="標楷體" w:cs="標楷體"/>
          <w:b/>
          <w:b/>
          <w:bCs/>
          <w:color w:val="000000"/>
        </w:rPr>
      </w:pPr>
      <w:r>
        <w:rPr>
          <w:rFonts w:eastAsia="標楷體" w:cs="標楷體" w:ascii="標楷體" w:hAnsi="標楷體"/>
          <w:b/>
          <w:bCs/>
          <w:color w:val="000000"/>
        </w:rPr>
      </w:r>
    </w:p>
    <w:p>
      <w:pPr>
        <w:pStyle w:val="Normal"/>
        <w:rPr>
          <w:rFonts w:ascii="標楷體" w:hAnsi="標楷體" w:eastAsia="標楷體" w:cs="標楷體"/>
          <w:bCs/>
          <w:color w:val="000000"/>
        </w:rPr>
      </w:pPr>
      <w:r>
        <w:rPr>
          <w:rFonts w:eastAsia="標楷體" w:cs="標楷體" w:ascii="標楷體" w:hAnsi="標楷體"/>
          <w:bCs/>
          <w:color w:val="000000"/>
        </w:rPr>
        <w:tab/>
      </w:r>
      <w:r>
        <w:rPr>
          <w:rFonts w:ascii="標楷體" w:hAnsi="標楷體" w:cs="標楷體" w:eastAsia="標楷體"/>
          <w:bCs/>
          <w:color w:val="000000"/>
        </w:rPr>
        <w:t>以下針對二級毒品使用者的心理社會治療模式，分別介紹其治療重點：</w:t>
      </w:r>
    </w:p>
    <w:p>
      <w:pPr>
        <w:pStyle w:val="Normal"/>
        <w:rPr>
          <w:rFonts w:ascii="標楷體" w:hAnsi="標楷體" w:eastAsia="標楷體" w:cs="標楷體"/>
          <w:b/>
          <w:b/>
          <w:bCs/>
          <w:color w:val="000000"/>
        </w:rPr>
      </w:pPr>
      <w:r>
        <w:rPr>
          <w:rFonts w:eastAsia="標楷體" w:cs="標楷體" w:ascii="標楷體" w:hAnsi="標楷體"/>
          <w:b/>
          <w:bCs/>
          <w:color w:val="000000"/>
        </w:rPr>
      </w:r>
    </w:p>
    <w:p>
      <w:pPr>
        <w:pStyle w:val="Normal"/>
        <w:rPr>
          <w:rStyle w:val="Applestylespan"/>
          <w:rFonts w:ascii="標楷體" w:hAnsi="標楷體" w:eastAsia="標楷體" w:cs="標楷體"/>
        </w:rPr>
      </w:pPr>
      <w:r>
        <w:rPr>
          <w:rFonts w:eastAsia="標楷體" w:cs="標楷體" w:ascii="標楷體" w:hAnsi="標楷體"/>
          <w:b/>
          <w:bCs/>
          <w:color w:val="000000"/>
        </w:rPr>
        <w:t>(</w:t>
      </w:r>
      <w:r>
        <w:rPr>
          <w:rFonts w:ascii="標楷體" w:hAnsi="標楷體" w:cs="標楷體" w:eastAsia="標楷體"/>
          <w:b/>
          <w:bCs/>
          <w:color w:val="000000"/>
        </w:rPr>
        <w:t>一</w:t>
      </w:r>
      <w:r>
        <w:rPr>
          <w:rFonts w:eastAsia="標楷體" w:cs="標楷體" w:ascii="標楷體" w:hAnsi="標楷體"/>
          <w:b/>
          <w:bCs/>
          <w:color w:val="000000"/>
        </w:rPr>
        <w:t xml:space="preserve">) </w:t>
      </w:r>
      <w:r>
        <w:rPr>
          <w:rFonts w:ascii="標楷體" w:hAnsi="標楷體" w:cs="標楷體" w:eastAsia="標楷體"/>
          <w:b/>
          <w:bCs/>
          <w:color w:val="000000"/>
        </w:rPr>
        <w:t>動機式晤談法與動機增強治療</w:t>
      </w:r>
    </w:p>
    <w:p>
      <w:pPr>
        <w:pStyle w:val="Normal"/>
        <w:rPr>
          <w:rStyle w:val="Applestylespan"/>
          <w:rFonts w:ascii="標楷體" w:hAnsi="標楷體" w:eastAsia="標楷體" w:cs="標楷體"/>
        </w:rPr>
      </w:pPr>
      <w:r>
        <w:rPr/>
      </w:r>
    </w:p>
    <w:p>
      <w:pPr>
        <w:pStyle w:val="Normal"/>
        <w:ind w:firstLine="480"/>
        <w:rPr>
          <w:rFonts w:ascii="標楷體" w:hAnsi="標楷體" w:eastAsia="標楷體" w:cs="標楷體"/>
          <w:color w:val="000000"/>
        </w:rPr>
      </w:pPr>
      <w:r>
        <w:rPr>
          <w:rFonts w:ascii="標楷體" w:hAnsi="標楷體" w:cs="標楷體" w:eastAsia="標楷體"/>
          <w:color w:val="000000"/>
        </w:rPr>
        <w:t>動機式晤談法</w:t>
      </w:r>
      <w:r>
        <w:rPr>
          <w:rFonts w:ascii="標楷體" w:hAnsi="標楷體" w:cs="標楷體" w:eastAsia="標楷體"/>
          <w:bCs/>
          <w:color w:val="000000"/>
        </w:rPr>
        <w:t>（</w:t>
      </w:r>
      <w:r>
        <w:rPr>
          <w:rFonts w:eastAsia="標楷體" w:cs="標楷體" w:ascii="標楷體" w:hAnsi="標楷體"/>
          <w:bCs/>
          <w:color w:val="000000"/>
        </w:rPr>
        <w:t>motivational interview</w:t>
      </w:r>
      <w:r>
        <w:rPr>
          <w:rFonts w:ascii="標楷體" w:hAnsi="標楷體" w:cs="標楷體" w:eastAsia="標楷體"/>
          <w:bCs/>
          <w:color w:val="000000"/>
        </w:rPr>
        <w:t>）</w:t>
      </w:r>
      <w:r>
        <w:rPr>
          <w:rFonts w:ascii="標楷體" w:hAnsi="標楷體" w:cs="標楷體" w:eastAsia="標楷體"/>
          <w:color w:val="000000"/>
        </w:rPr>
        <w:t>與動機增強治療</w:t>
      </w:r>
      <w:r>
        <w:rPr>
          <w:rFonts w:ascii="標楷體" w:hAnsi="標楷體" w:cs="標楷體" w:eastAsia="標楷體"/>
          <w:bCs/>
          <w:color w:val="000000"/>
        </w:rPr>
        <w:t>（</w:t>
      </w:r>
      <w:r>
        <w:rPr>
          <w:rFonts w:eastAsia="標楷體" w:cs="標楷體" w:ascii="標楷體" w:hAnsi="標楷體"/>
          <w:bCs/>
          <w:color w:val="000000"/>
        </w:rPr>
        <w:t>motivation enhancing treatment</w:t>
      </w:r>
      <w:r>
        <w:rPr>
          <w:rFonts w:ascii="標楷體" w:hAnsi="標楷體" w:cs="標楷體" w:eastAsia="標楷體"/>
          <w:bCs/>
          <w:color w:val="000000"/>
        </w:rPr>
        <w:t>）</w:t>
      </w:r>
      <w:r>
        <w:rPr>
          <w:rFonts w:ascii="標楷體" w:hAnsi="標楷體" w:cs="標楷體" w:eastAsia="標楷體"/>
          <w:color w:val="000000"/>
        </w:rPr>
        <w:t>是相當類似的治療方法，當初的源起，是臨床上觀察到接受十二步驟諮商的酒癮個案，由於一開始有些個案可能還沒做好戒酒準備，再加上這些阻抗（</w:t>
      </w:r>
      <w:r>
        <w:rPr>
          <w:rFonts w:eastAsia="標楷體" w:cs="標楷體" w:ascii="標楷體" w:hAnsi="標楷體"/>
          <w:color w:val="000000"/>
        </w:rPr>
        <w:t>resistance</w:t>
      </w:r>
      <w:r>
        <w:rPr>
          <w:rFonts w:ascii="標楷體" w:hAnsi="標楷體" w:cs="標楷體" w:eastAsia="標楷體"/>
          <w:color w:val="000000"/>
        </w:rPr>
        <w:t>）會在治療過程中被質疑，形成個案害怕接受治療的壓力而不想再接受治療。因此，動機式晤談法的目標，就是希望能化解成癮個案心中的矛盾現象。</w:t>
      </w:r>
    </w:p>
    <w:p>
      <w:pPr>
        <w:pStyle w:val="Normal"/>
        <w:ind w:firstLine="480"/>
        <w:rPr>
          <w:rFonts w:ascii="標楷體" w:hAnsi="標楷體" w:eastAsia="標楷體" w:cs="標楷體"/>
          <w:color w:val="000000"/>
        </w:rPr>
      </w:pPr>
      <w:r>
        <w:rPr>
          <w:rFonts w:eastAsia="標楷體" w:cs="標楷體" w:ascii="標楷體" w:hAnsi="標楷體"/>
          <w:color w:val="000000"/>
        </w:rPr>
      </w:r>
    </w:p>
    <w:p>
      <w:pPr>
        <w:pStyle w:val="Normal"/>
        <w:rPr>
          <w:rFonts w:ascii="標楷體" w:hAnsi="標楷體" w:eastAsia="標楷體" w:cs="標楷體"/>
          <w:color w:val="000000"/>
        </w:rPr>
      </w:pPr>
      <w:r>
        <w:rPr>
          <w:rFonts w:eastAsia="標楷體" w:cs="標楷體" w:ascii="標楷體" w:hAnsi="標楷體"/>
          <w:color w:val="000000"/>
        </w:rPr>
        <w:tab/>
      </w:r>
      <w:r>
        <w:rPr>
          <w:rFonts w:ascii="標楷體" w:hAnsi="標楷體" w:cs="標楷體" w:eastAsia="標楷體"/>
          <w:color w:val="000000"/>
        </w:rPr>
        <w:t>在做法上，會依照成癮個案的行為改變過程，將個案的狀態區分為六個階段，包括沉思前期、沉思期、準備期、行動期、維持期、及復發期。</w:t>
      </w:r>
    </w:p>
    <w:p>
      <w:pPr>
        <w:pStyle w:val="Normal"/>
        <w:rPr>
          <w:rFonts w:ascii="標楷體" w:hAnsi="標楷體" w:eastAsia="標楷體" w:cs="標楷體"/>
          <w:color w:val="000000"/>
        </w:rPr>
      </w:pPr>
      <w:r>
        <w:rPr>
          <w:rFonts w:eastAsia="標楷體" w:cs="標楷體" w:ascii="標楷體" w:hAnsi="標楷體"/>
          <w:color w:val="000000"/>
        </w:rPr>
      </w:r>
    </w:p>
    <w:p>
      <w:pPr>
        <w:pStyle w:val="Normal"/>
        <w:rPr>
          <w:rFonts w:ascii="標楷體" w:hAnsi="標楷體" w:eastAsia="標楷體" w:cs="標楷體"/>
          <w:color w:val="000000"/>
        </w:rPr>
      </w:pPr>
      <w:r>
        <w:rPr>
          <w:rFonts w:eastAsia="標楷體" w:cs="標楷體" w:ascii="標楷體" w:hAnsi="標楷體"/>
          <w:color w:val="000000"/>
        </w:rPr>
        <w:tab/>
      </w:r>
      <w:r>
        <w:rPr>
          <w:rFonts w:ascii="標楷體" w:hAnsi="標楷體" w:cs="標楷體" w:eastAsia="標楷體"/>
          <w:color w:val="000000"/>
        </w:rPr>
        <w:t>治療的原則，則是針對個案的狀態，設法增強個案改變至下一階段的動機，並且能夠維持穩定而不再復發。由於個案在治療發生阻抗時，便傾向不願再改變，因此必須注意到個案阻抗的狀態；同時，治療者的風格也會影響到個案阻抗與改變的態度，因此應該避免用面質個案的方式來進行治療，也避免用可能引起爭執的方式來改變個案。即使是針對藥癮及合併共病性精神疾病的個案，動機式晤談法仍是具有良好效果的治療方式。</w:t>
      </w:r>
    </w:p>
    <w:p>
      <w:pPr>
        <w:pStyle w:val="Normal"/>
        <w:rPr>
          <w:rFonts w:ascii="標楷體" w:hAnsi="標楷體" w:eastAsia="標楷體" w:cs="標楷體"/>
          <w:color w:val="000000"/>
        </w:rPr>
      </w:pPr>
      <w:r>
        <w:rPr>
          <w:rFonts w:eastAsia="標楷體" w:cs="標楷體" w:ascii="標楷體" w:hAnsi="標楷體"/>
          <w:color w:val="000000"/>
        </w:rPr>
      </w:r>
    </w:p>
    <w:p>
      <w:pPr>
        <w:pStyle w:val="Normal"/>
        <w:rPr>
          <w:rFonts w:ascii="標楷體" w:hAnsi="標楷體" w:eastAsia="標楷體" w:cs="標楷體"/>
          <w:b/>
          <w:b/>
          <w:color w:val="000000"/>
        </w:rPr>
      </w:pPr>
      <w:r>
        <w:rPr>
          <w:rFonts w:eastAsia="標楷體" w:cs="標楷體" w:ascii="標楷體" w:hAnsi="標楷體"/>
          <w:b/>
          <w:color w:val="000000"/>
        </w:rPr>
        <w:t>(</w:t>
      </w:r>
      <w:r>
        <w:rPr>
          <w:rFonts w:ascii="標楷體" w:hAnsi="標楷體" w:cs="標楷體" w:eastAsia="標楷體"/>
          <w:b/>
          <w:color w:val="000000"/>
        </w:rPr>
        <w:t>二</w:t>
      </w:r>
      <w:r>
        <w:rPr>
          <w:rFonts w:eastAsia="標楷體" w:cs="標楷體" w:ascii="標楷體" w:hAnsi="標楷體"/>
          <w:b/>
          <w:color w:val="000000"/>
        </w:rPr>
        <w:t xml:space="preserve">) </w:t>
      </w:r>
      <w:r>
        <w:rPr>
          <w:rFonts w:ascii="標楷體" w:hAnsi="標楷體" w:cs="標楷體" w:eastAsia="標楷體"/>
          <w:b/>
          <w:color w:val="000000"/>
        </w:rPr>
        <w:t xml:space="preserve">復發預防 </w:t>
      </w:r>
    </w:p>
    <w:p>
      <w:pPr>
        <w:pStyle w:val="Normal"/>
        <w:rPr>
          <w:rFonts w:ascii="標楷體" w:hAnsi="標楷體" w:eastAsia="標楷體" w:cs="標楷體"/>
          <w:b/>
          <w:b/>
          <w:color w:val="000000"/>
        </w:rPr>
      </w:pPr>
      <w:r>
        <w:rPr>
          <w:rFonts w:eastAsia="標楷體" w:cs="標楷體" w:ascii="標楷體" w:hAnsi="標楷體"/>
          <w:b/>
          <w:color w:val="000000"/>
        </w:rPr>
      </w:r>
    </w:p>
    <w:p>
      <w:pPr>
        <w:pStyle w:val="Normal"/>
        <w:ind w:firstLine="480"/>
        <w:rPr/>
      </w:pPr>
      <w:r>
        <w:rPr>
          <w:rFonts w:ascii="標楷體" w:hAnsi="標楷體" w:cs="標楷體" w:eastAsia="標楷體"/>
          <w:color w:val="000000"/>
        </w:rPr>
        <w:t>復發預防</w:t>
      </w:r>
      <w:r>
        <w:rPr>
          <w:rFonts w:eastAsia="標楷體" w:cs="標楷體" w:ascii="標楷體" w:hAnsi="標楷體"/>
          <w:color w:val="000000"/>
        </w:rPr>
        <w:t>(R</w:t>
      </w:r>
      <w:r>
        <w:rPr>
          <w:rFonts w:eastAsia="標楷體" w:cs="標楷體" w:ascii="標楷體" w:hAnsi="標楷體"/>
          <w:color w:val="000000"/>
        </w:rPr>
        <w:t xml:space="preserve">elapse </w:t>
      </w:r>
      <w:r>
        <w:rPr>
          <w:rFonts w:eastAsia="標楷體" w:cs="標楷體" w:ascii="標楷體" w:hAnsi="標楷體"/>
          <w:color w:val="000000"/>
        </w:rPr>
        <w:t>P</w:t>
      </w:r>
      <w:r>
        <w:rPr>
          <w:rFonts w:eastAsia="標楷體" w:cs="標楷體" w:ascii="標楷體" w:hAnsi="標楷體"/>
          <w:color w:val="000000"/>
        </w:rPr>
        <w:t>revention</w:t>
      </w:r>
      <w:r>
        <w:rPr>
          <w:rFonts w:ascii="標楷體" w:hAnsi="標楷體" w:cs="標楷體" w:eastAsia="標楷體"/>
          <w:color w:val="000000"/>
        </w:rPr>
        <w:t>）</w:t>
      </w:r>
      <w:r>
        <w:rPr>
          <w:rFonts w:ascii="標楷體" w:hAnsi="標楷體" w:cs="標楷體" w:eastAsia="標楷體"/>
          <w:color w:val="000000"/>
        </w:rPr>
        <w:t>的治療模式，屬於認知行為治療的範疇，在許多整合性的藥癮治療模式中，復發預防的介入方式時常被當作治療的主軸，在針對二級毒品的戒斷治療中，與動機式晤談法共同扮演了核心角色。</w:t>
      </w:r>
    </w:p>
    <w:p>
      <w:pPr>
        <w:pStyle w:val="Normal"/>
        <w:ind w:firstLine="480"/>
        <w:rPr>
          <w:rFonts w:ascii="標楷體" w:hAnsi="標楷體" w:eastAsia="標楷體" w:cs="標楷體"/>
          <w:color w:val="000000"/>
        </w:rPr>
      </w:pPr>
      <w:r>
        <w:rPr>
          <w:rFonts w:eastAsia="標楷體" w:cs="標楷體" w:ascii="標楷體" w:hAnsi="標楷體"/>
          <w:color w:val="000000"/>
        </w:rPr>
      </w:r>
    </w:p>
    <w:p>
      <w:pPr>
        <w:pStyle w:val="Normal"/>
        <w:ind w:firstLine="480"/>
        <w:rPr>
          <w:rFonts w:ascii="標楷體" w:hAnsi="標楷體" w:eastAsia="標楷體" w:cs="標楷體"/>
          <w:color w:val="000000"/>
        </w:rPr>
      </w:pPr>
      <w:r>
        <w:rPr>
          <w:rFonts w:ascii="標楷體" w:hAnsi="標楷體" w:cs="標楷體" w:eastAsia="標楷體"/>
          <w:color w:val="000000"/>
        </w:rPr>
        <w:t>復發預防的治療重點，是學得適應技巧來維持個案處於藥物戒除狀態，因此，從確認可能造成復發的高危險情境，到學習人際互動、自我管理等技巧，或是整個改變生活型態等，來對應這些高危險情境，並由實際克服高危險情境的經驗，增加個案對於戒癮的信心與自我有能感</w:t>
      </w:r>
      <w:r>
        <w:rPr>
          <w:rFonts w:eastAsia="標楷體" w:cs="標楷體" w:ascii="標楷體" w:hAnsi="標楷體"/>
          <w:color w:val="000000"/>
        </w:rPr>
        <w:t>(self-efficacy)</w:t>
      </w:r>
      <w:r>
        <w:rPr>
          <w:rFonts w:ascii="標楷體" w:hAnsi="標楷體" w:cs="標楷體" w:eastAsia="標楷體"/>
          <w:color w:val="000000"/>
        </w:rPr>
        <w:t>，以避免復發使用藥物。</w:t>
      </w:r>
    </w:p>
    <w:p>
      <w:pPr>
        <w:pStyle w:val="Normal"/>
        <w:rPr>
          <w:rFonts w:ascii="標楷體" w:hAnsi="標楷體" w:eastAsia="標楷體" w:cs="標楷體"/>
          <w:color w:val="000000"/>
        </w:rPr>
      </w:pPr>
      <w:r>
        <w:rPr>
          <w:rFonts w:eastAsia="標楷體" w:cs="標楷體" w:ascii="標楷體" w:hAnsi="標楷體"/>
          <w:color w:val="000000"/>
        </w:rPr>
      </w:r>
    </w:p>
    <w:p>
      <w:pPr>
        <w:pStyle w:val="Style30"/>
        <w:rPr>
          <w:rFonts w:ascii="標楷體" w:hAnsi="標楷體" w:eastAsia="標楷體" w:cs="+mj-cs"/>
          <w:b/>
          <w:b/>
          <w:color w:val="000000"/>
          <w:kern w:val="2"/>
          <w:sz w:val="24"/>
          <w:szCs w:val="24"/>
        </w:rPr>
      </w:pPr>
      <w:bookmarkStart w:id="10" w:name="__RefHeading___Toc315757849"/>
      <w:bookmarkEnd w:id="10"/>
      <w:r>
        <w:rPr/>
        <w:t>圖表</w:t>
      </w:r>
      <w:r>
        <w:rPr>
          <w:rFonts w:cs="Calibri" w:eastAsia="Calibri"/>
        </w:rPr>
        <w:t xml:space="preserve"> </w:t>
      </w:r>
      <w:r>
        <w:rPr/>
        <w:fldChar w:fldCharType="begin"/>
      </w:r>
      <w:r>
        <w:rPr/>
        <w:instrText> SEQ 圖表 \* ARABIC </w:instrText>
      </w:r>
      <w:r>
        <w:rPr/>
        <w:fldChar w:fldCharType="separate"/>
      </w:r>
      <w:r>
        <w:rPr/>
        <w:t>3</w:t>
      </w:r>
      <w:r>
        <w:rPr/>
        <w:fldChar w:fldCharType="end"/>
      </w:r>
      <w:r>
        <w:rPr>
          <w:rFonts w:cs="Calibri" w:eastAsia="Calibri"/>
        </w:rPr>
        <w:t xml:space="preserve"> </w:t>
      </w:r>
      <w:r>
        <w:rPr>
          <w:rFonts w:ascii="標楷體" w:hAnsi="標楷體" w:cs="+mj-cs" w:eastAsia="標楷體"/>
          <w:b/>
          <w:color w:val="000000"/>
          <w:kern w:val="2"/>
          <w:sz w:val="24"/>
          <w:szCs w:val="24"/>
        </w:rPr>
        <w:t>復發預防的認知行為模式</w:t>
      </w:r>
    </w:p>
    <w:p>
      <w:pPr>
        <w:pStyle w:val="Normal"/>
        <w:rPr/>
      </w:pPr>
      <w:r>
        <w:rPr>
          <w:lang w:val="zh-TW" w:eastAsia="zh-TW"/>
        </w:rPr>
        <w:drawing>
          <wp:inline distT="0" distB="0" distL="0" distR="0">
            <wp:extent cx="4231005" cy="2493645"/>
            <wp:effectExtent l="0" t="0" r="0" b="0"/>
            <wp:docPr id="2" name="影像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影像1" descr=""/>
                    <pic:cNvPicPr>
                      <a:picLocks noChangeAspect="1" noChangeArrowheads="1"/>
                    </pic:cNvPicPr>
                  </pic:nvPicPr>
                  <pic:blipFill>
                    <a:blip r:embed="rId3"/>
                    <a:srcRect l="-9" t="-14" r="-9" b="-14"/>
                    <a:stretch>
                      <a:fillRect/>
                    </a:stretch>
                  </pic:blipFill>
                  <pic:spPr bwMode="auto">
                    <a:xfrm>
                      <a:off x="0" y="0"/>
                      <a:ext cx="4231005" cy="2493645"/>
                    </a:xfrm>
                    <a:prstGeom prst="rect">
                      <a:avLst/>
                    </a:prstGeom>
                  </pic:spPr>
                </pic:pic>
              </a:graphicData>
            </a:graphic>
          </wp:inline>
        </w:drawing>
      </w:r>
    </w:p>
    <w:p>
      <w:pPr>
        <w:pStyle w:val="Normal"/>
        <w:rPr>
          <w:rFonts w:ascii="標楷體" w:hAnsi="標楷體" w:eastAsia="標楷體" w:cs="標楷體"/>
          <w:color w:val="000000"/>
          <w:lang w:val="zh-TW" w:eastAsia="zh-TW"/>
        </w:rPr>
      </w:pPr>
      <w:r>
        <w:rPr>
          <w:rFonts w:ascii="標楷體" w:hAnsi="標楷體" w:cs="標楷體" w:eastAsia="標楷體"/>
          <w:color w:val="000000"/>
          <w:lang w:val="zh-TW" w:eastAsia="zh-TW"/>
        </w:rPr>
        <w:t>資料來源：</w:t>
      </w:r>
    </w:p>
    <w:p>
      <w:pPr>
        <w:pStyle w:val="Normal"/>
        <w:ind w:firstLine="480"/>
        <w:rPr>
          <w:rFonts w:ascii="標楷體" w:hAnsi="標楷體" w:eastAsia="標楷體" w:cs="標楷體"/>
          <w:color w:val="000000"/>
          <w:lang w:val="zh-TW" w:eastAsia="zh-TW"/>
        </w:rPr>
      </w:pPr>
      <w:r>
        <w:rPr>
          <w:rFonts w:eastAsia="標楷體" w:cs="標楷體" w:ascii="標楷體" w:hAnsi="標楷體"/>
          <w:color w:val="000000"/>
          <w:lang w:val="zh-TW" w:eastAsia="zh-TW"/>
        </w:rPr>
      </w:r>
    </w:p>
    <w:p>
      <w:pPr>
        <w:pStyle w:val="Normal"/>
        <w:rPr>
          <w:rFonts w:ascii="標楷體" w:hAnsi="標楷體" w:eastAsia="標楷體" w:cs="標楷體"/>
          <w:b/>
          <w:b/>
          <w:color w:val="000000"/>
        </w:rPr>
      </w:pPr>
      <w:r>
        <w:rPr>
          <w:rFonts w:eastAsia="標楷體" w:cs="標楷體" w:ascii="標楷體" w:hAnsi="標楷體"/>
          <w:b/>
          <w:color w:val="000000"/>
        </w:rPr>
        <w:t>(</w:t>
      </w:r>
      <w:r>
        <w:rPr>
          <w:rFonts w:ascii="標楷體" w:hAnsi="標楷體" w:cs="標楷體" w:eastAsia="標楷體"/>
          <w:b/>
          <w:color w:val="000000"/>
        </w:rPr>
        <w:t>三</w:t>
      </w:r>
      <w:r>
        <w:rPr>
          <w:rFonts w:eastAsia="標楷體" w:cs="標楷體" w:ascii="標楷體" w:hAnsi="標楷體"/>
          <w:b/>
          <w:color w:val="000000"/>
        </w:rPr>
        <w:t xml:space="preserve">) </w:t>
      </w:r>
      <w:r>
        <w:rPr>
          <w:rFonts w:ascii="標楷體" w:hAnsi="標楷體" w:cs="標楷體" w:eastAsia="標楷體"/>
          <w:b/>
          <w:color w:val="000000"/>
        </w:rPr>
        <w:t>情境處置管理</w:t>
      </w:r>
    </w:p>
    <w:p>
      <w:pPr>
        <w:pStyle w:val="Normal"/>
        <w:rPr>
          <w:rFonts w:ascii="標楷體" w:hAnsi="標楷體" w:eastAsia="標楷體" w:cs="標楷體"/>
          <w:b/>
          <w:b/>
          <w:color w:val="000000"/>
        </w:rPr>
      </w:pPr>
      <w:r>
        <w:rPr>
          <w:rFonts w:eastAsia="標楷體" w:cs="標楷體" w:ascii="標楷體" w:hAnsi="標楷體"/>
          <w:b/>
          <w:color w:val="000000"/>
        </w:rPr>
      </w:r>
    </w:p>
    <w:p>
      <w:pPr>
        <w:pStyle w:val="Normal"/>
        <w:ind w:firstLine="480"/>
        <w:rPr>
          <w:rFonts w:ascii="標楷體" w:hAnsi="標楷體" w:eastAsia="標楷體" w:cs="標楷體"/>
          <w:color w:val="000000"/>
        </w:rPr>
      </w:pPr>
      <w:r>
        <w:rPr>
          <w:rFonts w:ascii="標楷體" w:hAnsi="標楷體" w:cs="標楷體" w:eastAsia="標楷體"/>
          <w:color w:val="000000"/>
        </w:rPr>
        <w:t>情境處置管理</w:t>
      </w:r>
      <w:r>
        <w:rPr>
          <w:rFonts w:eastAsia="標楷體" w:cs="標楷體" w:ascii="標楷體" w:hAnsi="標楷體"/>
          <w:color w:val="000000"/>
        </w:rPr>
        <w:t>(contingency management)</w:t>
      </w:r>
      <w:r>
        <w:rPr>
          <w:rFonts w:ascii="標楷體" w:hAnsi="標楷體" w:cs="標楷體" w:eastAsia="標楷體"/>
          <w:color w:val="000000"/>
        </w:rPr>
        <w:t>在管理科學領域又被稱為權變管理，利用行為理論調整組織內員工行為以增進組織效能；而在藥癮治療領域，一樣是利用行為理論來調整個案行為，只是在這裡的目標是減少、停止個案的藥物濫用行為。</w:t>
      </w:r>
    </w:p>
    <w:p>
      <w:pPr>
        <w:pStyle w:val="Normal"/>
        <w:ind w:firstLine="480"/>
        <w:rPr>
          <w:rFonts w:ascii="標楷體" w:hAnsi="標楷體" w:eastAsia="標楷體" w:cs="標楷體"/>
          <w:color w:val="000000"/>
        </w:rPr>
      </w:pPr>
      <w:r>
        <w:rPr>
          <w:rFonts w:eastAsia="標楷體" w:cs="標楷體" w:ascii="標楷體" w:hAnsi="標楷體"/>
          <w:color w:val="000000"/>
        </w:rPr>
      </w:r>
    </w:p>
    <w:p>
      <w:pPr>
        <w:pStyle w:val="Normal"/>
        <w:rPr>
          <w:rFonts w:ascii="標楷體" w:hAnsi="標楷體" w:eastAsia="標楷體" w:cs="標楷體"/>
          <w:color w:val="000000"/>
        </w:rPr>
      </w:pPr>
      <w:r>
        <w:rPr>
          <w:rFonts w:eastAsia="標楷體" w:cs="標楷體" w:ascii="標楷體" w:hAnsi="標楷體"/>
          <w:color w:val="000000"/>
        </w:rPr>
        <w:tab/>
      </w:r>
      <w:r>
        <w:rPr>
          <w:rFonts w:ascii="標楷體" w:hAnsi="標楷體" w:cs="標楷體" w:eastAsia="標楷體"/>
          <w:color w:val="000000"/>
        </w:rPr>
        <w:t>主要用來做為修正藥物濫用行為的技術，最常見的是合併或交互運用正增強</w:t>
      </w:r>
      <w:r>
        <w:rPr>
          <w:rFonts w:eastAsia="標楷體" w:cs="標楷體" w:ascii="標楷體" w:hAnsi="標楷體"/>
          <w:color w:val="000000"/>
        </w:rPr>
        <w:t>(positive reinforcement)</w:t>
      </w:r>
      <w:r>
        <w:rPr>
          <w:rFonts w:ascii="標楷體" w:hAnsi="標楷體" w:cs="標楷體" w:eastAsia="標楷體"/>
          <w:color w:val="000000"/>
        </w:rPr>
        <w:t>、負增強</w:t>
      </w:r>
      <w:r>
        <w:rPr>
          <w:rFonts w:eastAsia="標楷體" w:cs="標楷體" w:ascii="標楷體" w:hAnsi="標楷體"/>
          <w:color w:val="000000"/>
        </w:rPr>
        <w:t>(negative reinforcement)</w:t>
      </w:r>
      <w:r>
        <w:rPr>
          <w:rFonts w:ascii="標楷體" w:hAnsi="標楷體" w:cs="標楷體" w:eastAsia="標楷體"/>
          <w:color w:val="000000"/>
        </w:rPr>
        <w:t>、正懲罰</w:t>
      </w:r>
      <w:r>
        <w:rPr>
          <w:rFonts w:eastAsia="標楷體" w:cs="標楷體" w:ascii="標楷體" w:hAnsi="標楷體"/>
          <w:color w:val="000000"/>
        </w:rPr>
        <w:t>(positive punishment)</w:t>
      </w:r>
      <w:r>
        <w:rPr>
          <w:rFonts w:ascii="標楷體" w:hAnsi="標楷體" w:cs="標楷體" w:eastAsia="標楷體"/>
          <w:color w:val="000000"/>
        </w:rPr>
        <w:t>、負懲罰</w:t>
      </w:r>
      <w:r>
        <w:rPr>
          <w:rFonts w:eastAsia="標楷體" w:cs="標楷體" w:ascii="標楷體" w:hAnsi="標楷體"/>
          <w:color w:val="000000"/>
        </w:rPr>
        <w:t>(negative reinforcement)</w:t>
      </w:r>
      <w:r>
        <w:rPr>
          <w:rFonts w:ascii="標楷體" w:hAnsi="標楷體" w:cs="標楷體" w:eastAsia="標楷體"/>
          <w:color w:val="000000"/>
        </w:rPr>
        <w:t>等方式。</w:t>
      </w:r>
    </w:p>
    <w:p>
      <w:pPr>
        <w:pStyle w:val="Normal"/>
        <w:rPr>
          <w:rFonts w:ascii="標楷體" w:hAnsi="標楷體" w:eastAsia="標楷體" w:cs="標楷體"/>
          <w:color w:val="000000"/>
        </w:rPr>
      </w:pPr>
      <w:r>
        <w:rPr>
          <w:rFonts w:eastAsia="標楷體" w:cs="標楷體" w:ascii="標楷體" w:hAnsi="標楷體"/>
          <w:color w:val="000000"/>
        </w:rPr>
      </w:r>
    </w:p>
    <w:p>
      <w:pPr>
        <w:pStyle w:val="Normal"/>
        <w:ind w:firstLine="480"/>
        <w:rPr>
          <w:rFonts w:ascii="標楷體" w:hAnsi="標楷體" w:eastAsia="標楷體" w:cs="標楷體"/>
          <w:color w:val="000000"/>
        </w:rPr>
      </w:pPr>
      <w:r>
        <w:rPr>
          <w:rFonts w:ascii="標楷體" w:hAnsi="標楷體" w:cs="標楷體" w:eastAsia="標楷體"/>
          <w:color w:val="000000"/>
        </w:rPr>
        <w:t>藉由給予禮券</w:t>
      </w:r>
      <w:r>
        <w:rPr>
          <w:rFonts w:eastAsia="標楷體" w:cs="標楷體" w:ascii="標楷體" w:hAnsi="標楷體"/>
          <w:color w:val="000000"/>
        </w:rPr>
        <w:t>(voucher)</w:t>
      </w:r>
      <w:r>
        <w:rPr>
          <w:rFonts w:ascii="標楷體" w:hAnsi="標楷體" w:cs="標楷體" w:eastAsia="標楷體"/>
          <w:color w:val="000000"/>
        </w:rPr>
        <w:t>或現金券的方式，鼓勵減少藥癮行為也是相當具有效果的情境處置管理治療模式。依照國內實際現況，未來結合緩起訴金的運用，將藥物濫用個案每次完成階段治療目標</w:t>
      </w:r>
      <w:r>
        <w:rPr>
          <w:rFonts w:eastAsia="標楷體" w:cs="標楷體" w:ascii="標楷體" w:hAnsi="標楷體"/>
          <w:color w:val="000000"/>
        </w:rPr>
        <w:t>(</w:t>
      </w:r>
      <w:r>
        <w:rPr>
          <w:rFonts w:ascii="標楷體" w:hAnsi="標楷體" w:cs="標楷體" w:eastAsia="標楷體"/>
          <w:color w:val="000000"/>
        </w:rPr>
        <w:t>如尿液藥物篩檢陰性、規律出席治療活動</w:t>
      </w:r>
      <w:r>
        <w:rPr>
          <w:rFonts w:eastAsia="標楷體" w:cs="標楷體" w:ascii="標楷體" w:hAnsi="標楷體"/>
          <w:color w:val="000000"/>
        </w:rPr>
        <w:t>)</w:t>
      </w:r>
      <w:r>
        <w:rPr>
          <w:rFonts w:ascii="標楷體" w:hAnsi="標楷體" w:cs="標楷體" w:eastAsia="標楷體"/>
          <w:color w:val="000000"/>
        </w:rPr>
        <w:t>所得到的禮券或現金券，折抵部分還起訴金，對於鼓勵個案參與治療、維持戒斷狀態應該會有相當助益。利用禮券或現金券做為治療工具，可做為下一階段規劃之參考。</w:t>
      </w:r>
    </w:p>
    <w:p>
      <w:pPr>
        <w:pStyle w:val="Normal"/>
        <w:rPr>
          <w:rFonts w:ascii="標楷體" w:hAnsi="標楷體" w:eastAsia="標楷體" w:cs="標楷體"/>
          <w:color w:val="000000"/>
        </w:rPr>
      </w:pPr>
      <w:r>
        <w:rPr>
          <w:rFonts w:eastAsia="標楷體" w:cs="標楷體" w:ascii="標楷體" w:hAnsi="標楷體"/>
          <w:color w:val="000000"/>
        </w:rPr>
      </w:r>
    </w:p>
    <w:p>
      <w:pPr>
        <w:pStyle w:val="Normal"/>
        <w:rPr>
          <w:rFonts w:ascii="標楷體" w:hAnsi="標楷體" w:eastAsia="標楷體" w:cs="標楷體"/>
          <w:b/>
          <w:b/>
          <w:color w:val="000000"/>
        </w:rPr>
      </w:pPr>
      <w:r>
        <w:rPr>
          <w:rFonts w:eastAsia="標楷體" w:cs="標楷體" w:ascii="標楷體" w:hAnsi="標楷體"/>
          <w:b/>
          <w:color w:val="000000"/>
        </w:rPr>
        <w:t>(</w:t>
      </w:r>
      <w:r>
        <w:rPr>
          <w:rFonts w:ascii="標楷體" w:hAnsi="標楷體" w:cs="標楷體" w:eastAsia="標楷體"/>
          <w:b/>
          <w:color w:val="000000"/>
        </w:rPr>
        <w:t>四</w:t>
      </w:r>
      <w:r>
        <w:rPr>
          <w:rFonts w:eastAsia="標楷體" w:cs="標楷體" w:ascii="標楷體" w:hAnsi="標楷體"/>
          <w:b/>
          <w:color w:val="000000"/>
        </w:rPr>
        <w:t xml:space="preserve">) </w:t>
      </w:r>
      <w:r>
        <w:rPr>
          <w:rFonts w:ascii="標楷體" w:hAnsi="標楷體" w:cs="標楷體" w:eastAsia="標楷體"/>
          <w:b/>
          <w:color w:val="000000"/>
        </w:rPr>
        <w:t xml:space="preserve">家庭治療與伴侶行為治療 </w:t>
      </w:r>
    </w:p>
    <w:p>
      <w:pPr>
        <w:pStyle w:val="Normal"/>
        <w:rPr>
          <w:rFonts w:ascii="標楷體" w:hAnsi="標楷體" w:eastAsia="標楷體" w:cs="標楷體"/>
          <w:b/>
          <w:b/>
          <w:color w:val="000000"/>
        </w:rPr>
      </w:pPr>
      <w:r>
        <w:rPr>
          <w:rFonts w:eastAsia="標楷體" w:cs="標楷體" w:ascii="標楷體" w:hAnsi="標楷體"/>
          <w:b/>
          <w:color w:val="000000"/>
        </w:rPr>
      </w:r>
    </w:p>
    <w:p>
      <w:pPr>
        <w:pStyle w:val="Normal"/>
        <w:rPr>
          <w:rFonts w:ascii="標楷體" w:hAnsi="標楷體" w:eastAsia="標楷體" w:cs="標楷體"/>
          <w:bCs/>
          <w:color w:val="000000"/>
        </w:rPr>
      </w:pPr>
      <w:r>
        <w:rPr>
          <w:rFonts w:eastAsia="標楷體" w:cs="標楷體" w:ascii="標楷體" w:hAnsi="標楷體"/>
          <w:bCs/>
          <w:color w:val="000000"/>
        </w:rPr>
        <w:tab/>
      </w:r>
      <w:r>
        <w:rPr>
          <w:rFonts w:ascii="標楷體" w:hAnsi="標楷體" w:cs="標楷體" w:eastAsia="標楷體"/>
          <w:bCs/>
          <w:color w:val="000000"/>
        </w:rPr>
        <w:t>藥癮現象的形成，可能是諸多因素交互作用後的結果，這些因素包括了遺傳、行為、家庭、環境、社會、文化、種族、經濟等，生物因素與環境因素在藥癮形成所占的比重相當，因此提供了家庭治療</w:t>
      </w:r>
      <w:r>
        <w:rPr>
          <w:rFonts w:ascii="標楷體" w:hAnsi="標楷體" w:cs="標楷體" w:eastAsia="標楷體"/>
          <w:color w:val="000000"/>
        </w:rPr>
        <w:t>（</w:t>
      </w:r>
      <w:r>
        <w:rPr>
          <w:rFonts w:eastAsia="標楷體" w:cs="標楷體" w:ascii="標楷體" w:hAnsi="標楷體"/>
          <w:color w:val="000000"/>
        </w:rPr>
        <w:t>f</w:t>
      </w:r>
      <w:r>
        <w:rPr>
          <w:rFonts w:eastAsia="標楷體" w:cs="標楷體" w:ascii="標楷體" w:hAnsi="標楷體"/>
          <w:color w:val="000000"/>
        </w:rPr>
        <w:t>amily therapy</w:t>
      </w:r>
      <w:r>
        <w:rPr>
          <w:rFonts w:ascii="標楷體" w:hAnsi="標楷體" w:cs="標楷體" w:eastAsia="標楷體"/>
          <w:color w:val="000000"/>
        </w:rPr>
        <w:t>）</w:t>
      </w:r>
      <w:r>
        <w:rPr>
          <w:rFonts w:ascii="標楷體" w:hAnsi="標楷體" w:cs="標楷體" w:eastAsia="標楷體"/>
          <w:bCs/>
          <w:color w:val="000000"/>
        </w:rPr>
        <w:t>運用於藥癮治療的立足點。</w:t>
      </w:r>
    </w:p>
    <w:p>
      <w:pPr>
        <w:pStyle w:val="Normal"/>
        <w:rPr>
          <w:rFonts w:ascii="標楷體" w:hAnsi="標楷體" w:eastAsia="標楷體" w:cs="標楷體"/>
          <w:bCs/>
          <w:color w:val="000000"/>
        </w:rPr>
      </w:pPr>
      <w:r>
        <w:rPr>
          <w:rFonts w:eastAsia="標楷體" w:cs="標楷體" w:ascii="標楷體" w:hAnsi="標楷體"/>
          <w:bCs/>
          <w:color w:val="000000"/>
        </w:rPr>
      </w:r>
    </w:p>
    <w:p>
      <w:pPr>
        <w:pStyle w:val="Normal"/>
        <w:ind w:firstLine="480"/>
        <w:rPr>
          <w:rFonts w:ascii="標楷體" w:hAnsi="標楷體" w:eastAsia="標楷體" w:cs="標楷體"/>
          <w:bCs/>
          <w:color w:val="000000"/>
        </w:rPr>
      </w:pPr>
      <w:r>
        <w:rPr>
          <w:rFonts w:ascii="標楷體" w:hAnsi="標楷體" w:cs="標楷體" w:eastAsia="標楷體"/>
          <w:bCs/>
          <w:color w:val="000000"/>
        </w:rPr>
        <w:t>常見應用於藥癮治療的做法之一是系統理論，也就是將整個家庭視為一個封閉系統，將個案所出現的用藥行為，視為所有家庭成員彼此交互作用後所得到的結果，在治療上必須將整個家庭一同進行評估與處理，因為家庭中每一個人的改變都會影響彼此，也會有另一股力量驅使家庭回復原本狀態。因此促進包含戒癮的家庭行為改變，並且鞏固改變後的狀態，便是成癮行為的家庭治療工作重點。</w:t>
      </w:r>
    </w:p>
    <w:p>
      <w:pPr>
        <w:pStyle w:val="Normal"/>
        <w:ind w:firstLine="480"/>
        <w:rPr>
          <w:rFonts w:ascii="標楷體" w:hAnsi="標楷體" w:eastAsia="標楷體" w:cs="標楷體"/>
          <w:bCs/>
          <w:color w:val="000000"/>
        </w:rPr>
      </w:pPr>
      <w:r>
        <w:rPr>
          <w:rFonts w:eastAsia="標楷體" w:cs="標楷體" w:ascii="標楷體" w:hAnsi="標楷體"/>
          <w:bCs/>
          <w:color w:val="000000"/>
        </w:rPr>
      </w:r>
    </w:p>
    <w:p>
      <w:pPr>
        <w:pStyle w:val="Normal"/>
        <w:rPr>
          <w:rFonts w:ascii="標楷體" w:hAnsi="標楷體" w:eastAsia="標楷體" w:cs="標楷體"/>
          <w:bCs/>
          <w:color w:val="000000"/>
        </w:rPr>
      </w:pPr>
      <w:r>
        <w:rPr>
          <w:rFonts w:eastAsia="標楷體" w:cs="標楷體" w:ascii="標楷體" w:hAnsi="標楷體"/>
          <w:bCs/>
          <w:color w:val="000000"/>
        </w:rPr>
        <w:tab/>
      </w:r>
      <w:r>
        <w:rPr>
          <w:rFonts w:ascii="標楷體" w:hAnsi="標楷體" w:cs="標楷體" w:eastAsia="標楷體"/>
          <w:bCs/>
          <w:color w:val="000000"/>
        </w:rPr>
        <w:t>家庭治療與伴侶行為治療</w:t>
      </w:r>
      <w:r>
        <w:rPr>
          <w:rFonts w:eastAsia="標楷體" w:cs="標楷體" w:ascii="標楷體" w:hAnsi="標楷體"/>
          <w:color w:val="000000"/>
        </w:rPr>
        <w:t>(Behavioral Couples Therapy)</w:t>
      </w:r>
      <w:r>
        <w:rPr>
          <w:rFonts w:ascii="標楷體" w:hAnsi="標楷體" w:cs="標楷體" w:eastAsia="標楷體"/>
          <w:bCs/>
          <w:color w:val="000000"/>
        </w:rPr>
        <w:t>在整體藥癮治療中，也是要與其他心理社會治療協同，期待對個案進入藥癮治療及維持治療的配合度有所幫助，並且改善家庭功能及減少藥癮造成的家庭影響，特別是減少家庭暴力或是其他對於家屬、兒童的衝擊。</w:t>
      </w:r>
    </w:p>
    <w:p>
      <w:pPr>
        <w:pStyle w:val="Normal"/>
        <w:rPr>
          <w:rFonts w:ascii="標楷體" w:hAnsi="標楷體" w:eastAsia="標楷體" w:cs="標楷體"/>
          <w:b/>
          <w:b/>
          <w:bCs/>
          <w:color w:val="000000"/>
        </w:rPr>
      </w:pPr>
      <w:r>
        <w:rPr>
          <w:rFonts w:eastAsia="標楷體" w:cs="標楷體" w:ascii="標楷體" w:hAnsi="標楷體"/>
          <w:b/>
          <w:bCs/>
          <w:color w:val="000000"/>
        </w:rPr>
      </w:r>
    </w:p>
    <w:p>
      <w:pPr>
        <w:pStyle w:val="Normal"/>
        <w:rPr/>
      </w:pPr>
      <w:r>
        <w:rPr>
          <w:rFonts w:eastAsia="標楷體" w:cs="標楷體" w:ascii="標楷體" w:hAnsi="標楷體"/>
          <w:bCs/>
          <w:color w:val="000000"/>
        </w:rPr>
        <w:tab/>
      </w:r>
      <w:r>
        <w:rPr>
          <w:rFonts w:ascii="標楷體" w:hAnsi="標楷體" w:cs="標楷體" w:eastAsia="標楷體"/>
          <w:bCs/>
          <w:color w:val="000000"/>
        </w:rPr>
        <w:t>針對藥癮行為，常見的家庭治療與伴侶行為治療工作目標如下：</w:t>
      </w:r>
    </w:p>
    <w:p>
      <w:pPr>
        <w:pStyle w:val="Normal"/>
        <w:rPr>
          <w:rFonts w:ascii="標楷體" w:hAnsi="標楷體" w:eastAsia="標楷體" w:cs="標楷體"/>
          <w:bCs/>
          <w:color w:val="000000"/>
        </w:rPr>
      </w:pPr>
      <w:r>
        <w:rPr>
          <w:rFonts w:eastAsia="標楷體" w:cs="標楷體" w:ascii="標楷體" w:hAnsi="標楷體"/>
          <w:bCs/>
          <w:color w:val="000000"/>
        </w:rPr>
        <w:tab/>
        <w:t xml:space="preserve">1. </w:t>
      </w:r>
      <w:r>
        <w:rPr>
          <w:rFonts w:ascii="標楷體" w:hAnsi="標楷體" w:cs="標楷體" w:eastAsia="標楷體"/>
          <w:bCs/>
          <w:color w:val="000000"/>
        </w:rPr>
        <w:t>減少共同依賴現象；</w:t>
      </w:r>
    </w:p>
    <w:p>
      <w:pPr>
        <w:pStyle w:val="Normal"/>
        <w:rPr>
          <w:rFonts w:ascii="標楷體" w:hAnsi="標楷體" w:eastAsia="標楷體" w:cs="標楷體"/>
          <w:bCs/>
          <w:color w:val="000000"/>
        </w:rPr>
      </w:pPr>
      <w:r>
        <w:rPr>
          <w:rFonts w:eastAsia="標楷體" w:cs="標楷體" w:ascii="標楷體" w:hAnsi="標楷體"/>
          <w:bCs/>
          <w:color w:val="000000"/>
        </w:rPr>
        <w:tab/>
        <w:t xml:space="preserve">2. </w:t>
      </w:r>
      <w:r>
        <w:rPr>
          <w:rFonts w:ascii="標楷體" w:hAnsi="標楷體" w:cs="標楷體" w:eastAsia="標楷體"/>
          <w:bCs/>
          <w:color w:val="000000"/>
        </w:rPr>
        <w:t>教導家屬執行正增強行為治療；</w:t>
      </w:r>
    </w:p>
    <w:p>
      <w:pPr>
        <w:pStyle w:val="Normal"/>
        <w:rPr>
          <w:rFonts w:ascii="標楷體" w:hAnsi="標楷體" w:eastAsia="標楷體" w:cs="標楷體"/>
          <w:bCs/>
          <w:color w:val="000000"/>
        </w:rPr>
      </w:pPr>
      <w:r>
        <w:rPr>
          <w:rFonts w:eastAsia="標楷體" w:cs="標楷體" w:ascii="標楷體" w:hAnsi="標楷體"/>
          <w:bCs/>
          <w:color w:val="000000"/>
        </w:rPr>
        <w:tab/>
        <w:t xml:space="preserve">3. </w:t>
      </w:r>
      <w:r>
        <w:rPr>
          <w:rFonts w:ascii="標楷體" w:hAnsi="標楷體" w:cs="標楷體" w:eastAsia="標楷體"/>
          <w:bCs/>
          <w:color w:val="000000"/>
        </w:rPr>
        <w:t>改善家庭互動，特別是可能造成復發情境的互動模式。</w:t>
      </w:r>
    </w:p>
    <w:p>
      <w:pPr>
        <w:pStyle w:val="Normal"/>
        <w:rPr>
          <w:rFonts w:ascii="標楷體" w:hAnsi="標楷體" w:eastAsia="標楷體" w:cs="標楷體"/>
          <w:color w:val="000000"/>
        </w:rPr>
      </w:pPr>
      <w:r>
        <w:rPr>
          <w:rFonts w:eastAsia="標楷體" w:cs="標楷體" w:ascii="標楷體" w:hAnsi="標楷體"/>
          <w:bCs/>
          <w:color w:val="000000"/>
        </w:rPr>
        <w:tab/>
      </w:r>
    </w:p>
    <w:p>
      <w:pPr>
        <w:pStyle w:val="Normal"/>
        <w:rPr/>
      </w:pPr>
      <w:r>
        <w:rPr>
          <w:rFonts w:eastAsia="標楷體" w:cs="標楷體" w:ascii="標楷體" w:hAnsi="標楷體"/>
          <w:b/>
          <w:color w:val="000000"/>
        </w:rPr>
        <w:t>(</w:t>
      </w:r>
      <w:r>
        <w:rPr>
          <w:rFonts w:ascii="標楷體" w:hAnsi="標楷體" w:cs="標楷體" w:eastAsia="標楷體"/>
          <w:b/>
          <w:color w:val="000000"/>
        </w:rPr>
        <w:t>五</w:t>
      </w:r>
      <w:r>
        <w:rPr>
          <w:rFonts w:eastAsia="標楷體" w:cs="標楷體" w:ascii="標楷體" w:hAnsi="標楷體"/>
          <w:b/>
          <w:color w:val="000000"/>
        </w:rPr>
        <w:t xml:space="preserve">) </w:t>
      </w:r>
      <w:r>
        <w:rPr>
          <w:rFonts w:ascii="標楷體" w:hAnsi="標楷體" w:cs="標楷體" w:eastAsia="標楷體"/>
          <w:b/>
          <w:color w:val="000000"/>
        </w:rPr>
        <w:t>個別心理動力治療</w:t>
      </w:r>
    </w:p>
    <w:p>
      <w:pPr>
        <w:pStyle w:val="Normal"/>
        <w:rPr>
          <w:rFonts w:ascii="標楷體" w:hAnsi="標楷體" w:eastAsia="標楷體" w:cs="標楷體"/>
          <w:b/>
          <w:b/>
          <w:color w:val="000000"/>
        </w:rPr>
      </w:pPr>
      <w:r>
        <w:rPr>
          <w:rFonts w:eastAsia="標楷體" w:cs="標楷體" w:ascii="標楷體" w:hAnsi="標楷體"/>
          <w:b/>
          <w:color w:val="000000"/>
        </w:rPr>
      </w:r>
    </w:p>
    <w:p>
      <w:pPr>
        <w:pStyle w:val="Normal"/>
        <w:rPr>
          <w:rFonts w:ascii="標楷體" w:hAnsi="標楷體" w:eastAsia="標楷體" w:cs="標楷體"/>
          <w:color w:val="000000"/>
        </w:rPr>
      </w:pPr>
      <w:r>
        <w:rPr>
          <w:rFonts w:eastAsia="標楷體" w:cs="標楷體" w:ascii="標楷體" w:hAnsi="標楷體"/>
          <w:color w:val="000000"/>
        </w:rPr>
        <w:tab/>
      </w:r>
      <w:r>
        <w:rPr>
          <w:rFonts w:ascii="標楷體" w:hAnsi="標楷體" w:cs="標楷體" w:eastAsia="標楷體"/>
          <w:color w:val="000000"/>
        </w:rPr>
        <w:t>心理動力治療</w:t>
      </w:r>
      <w:r>
        <w:rPr>
          <w:rFonts w:ascii="標楷體" w:hAnsi="標楷體" w:cs="標楷體" w:eastAsia="標楷體"/>
          <w:color w:val="000000"/>
        </w:rPr>
        <w:t>（</w:t>
      </w:r>
      <w:r>
        <w:rPr>
          <w:rFonts w:eastAsia="標楷體" w:cs="標楷體" w:ascii="標楷體" w:hAnsi="標楷體"/>
          <w:color w:val="000000"/>
        </w:rPr>
        <w:t>psychodynamic therapy</w:t>
      </w:r>
      <w:r>
        <w:rPr>
          <w:rFonts w:ascii="標楷體" w:hAnsi="標楷體" w:cs="標楷體" w:eastAsia="標楷體"/>
          <w:color w:val="000000"/>
        </w:rPr>
        <w:t>）</w:t>
      </w:r>
      <w:r>
        <w:rPr>
          <w:rFonts w:ascii="標楷體" w:hAnsi="標楷體" w:cs="標楷體" w:eastAsia="標楷體"/>
          <w:color w:val="000000"/>
        </w:rPr>
        <w:t>雖然在早期有人應用在藥癮治療上，也有一些零星的報告是運用於安非他命成癮的治療，但是整體來說，心理動力治療在藥癮治療的評價並不高，這可能與過去部分治療師對於一些原則的應用方式有關。常見的例子，像是在治療過程中，治療師必須保持中性態度，也就是避免介入或不當干涉，但是當個案在治療時期仍持續濫用藥物，甚至越來越嚴重時，治療師對此不置可否的現象，這對個案來說是個不太適當的經驗，也可能會增強個案運用否認方式來作為心理防衛，也是此種治療方式後來沒有成為藥癮心理治療主流的原因。</w:t>
      </w:r>
    </w:p>
    <w:p>
      <w:pPr>
        <w:pStyle w:val="Normal"/>
        <w:rPr>
          <w:rFonts w:ascii="標楷體" w:hAnsi="標楷體" w:eastAsia="標楷體" w:cs="標楷體"/>
          <w:color w:val="000000"/>
        </w:rPr>
      </w:pPr>
      <w:r>
        <w:rPr>
          <w:rFonts w:eastAsia="標楷體" w:cs="標楷體" w:ascii="標楷體" w:hAnsi="標楷體"/>
          <w:color w:val="000000"/>
        </w:rPr>
      </w:r>
    </w:p>
    <w:p>
      <w:pPr>
        <w:pStyle w:val="Normal"/>
        <w:rPr/>
      </w:pPr>
      <w:r>
        <w:rPr>
          <w:rFonts w:eastAsia="標楷體" w:cs="標楷體" w:ascii="標楷體" w:hAnsi="標楷體"/>
          <w:color w:val="000000"/>
        </w:rPr>
        <w:tab/>
      </w:r>
      <w:r>
        <w:rPr>
          <w:rFonts w:ascii="標楷體" w:hAnsi="標楷體" w:cs="標楷體" w:eastAsia="標楷體"/>
          <w:color w:val="000000"/>
        </w:rPr>
        <w:t>如前所述，雖然在初期治療中，並不建議使用心理動力模式來從事治療，但是當個案處在戒癮狀態時，運用此種心理治療方式來處理個案原有的其他心理狀態，例如以支持性及敘述性的方式增加藥癮個案對自我的體察，對於維持個案的戒癮狀態亦有相當幫助，因此在許多整合性的治療模式中，個人心理動力治療亦常是後續維持療法中的一環。</w:t>
      </w:r>
    </w:p>
    <w:p>
      <w:pPr>
        <w:pStyle w:val="Normal"/>
        <w:rPr>
          <w:rFonts w:ascii="標楷體" w:hAnsi="標楷體" w:eastAsia="標楷體" w:cs="標楷體"/>
          <w:color w:val="000000"/>
        </w:rPr>
      </w:pPr>
      <w:r>
        <w:rPr>
          <w:rFonts w:eastAsia="標楷體" w:cs="標楷體" w:ascii="標楷體" w:hAnsi="標楷體"/>
          <w:color w:val="000000"/>
        </w:rPr>
      </w:r>
    </w:p>
    <w:p>
      <w:pPr>
        <w:pStyle w:val="Normal"/>
        <w:rPr/>
      </w:pPr>
      <w:r>
        <w:rPr>
          <w:rFonts w:eastAsia="標楷體" w:cs="標楷體" w:ascii="標楷體" w:hAnsi="標楷體"/>
          <w:b/>
          <w:color w:val="000000"/>
        </w:rPr>
        <w:t>(</w:t>
      </w:r>
      <w:r>
        <w:rPr>
          <w:rFonts w:ascii="標楷體" w:hAnsi="標楷體" w:cs="標楷體" w:eastAsia="標楷體"/>
          <w:b/>
          <w:color w:val="000000"/>
        </w:rPr>
        <w:t>六</w:t>
      </w:r>
      <w:r>
        <w:rPr>
          <w:rFonts w:eastAsia="標楷體" w:cs="標楷體" w:ascii="標楷體" w:hAnsi="標楷體"/>
          <w:b/>
          <w:color w:val="000000"/>
        </w:rPr>
        <w:t xml:space="preserve">) </w:t>
      </w:r>
      <w:r>
        <w:rPr>
          <w:rFonts w:ascii="標楷體" w:hAnsi="標楷體" w:cs="標楷體" w:eastAsia="標楷體"/>
          <w:b/>
          <w:color w:val="000000"/>
        </w:rPr>
        <w:t>團體治療</w:t>
      </w:r>
    </w:p>
    <w:p>
      <w:pPr>
        <w:pStyle w:val="Normal"/>
        <w:rPr>
          <w:rFonts w:ascii="標楷體" w:hAnsi="標楷體" w:eastAsia="標楷體" w:cs="標楷體"/>
          <w:b/>
          <w:b/>
          <w:color w:val="000000"/>
        </w:rPr>
      </w:pPr>
      <w:r>
        <w:rPr>
          <w:rFonts w:eastAsia="標楷體" w:cs="標楷體" w:ascii="標楷體" w:hAnsi="標楷體"/>
          <w:b/>
          <w:color w:val="000000"/>
        </w:rPr>
      </w:r>
    </w:p>
    <w:p>
      <w:pPr>
        <w:pStyle w:val="Normal"/>
        <w:rPr>
          <w:rFonts w:ascii="標楷體" w:hAnsi="標楷體" w:eastAsia="標楷體" w:cs="標楷體"/>
          <w:color w:val="000000"/>
        </w:rPr>
      </w:pPr>
      <w:r>
        <w:rPr>
          <w:rFonts w:eastAsia="標楷體" w:cs="標楷體" w:ascii="標楷體" w:hAnsi="標楷體"/>
          <w:color w:val="000000"/>
        </w:rPr>
        <w:tab/>
      </w:r>
      <w:r>
        <w:rPr>
          <w:rFonts w:ascii="標楷體" w:hAnsi="標楷體" w:cs="標楷體" w:eastAsia="標楷體"/>
          <w:color w:val="000000"/>
        </w:rPr>
        <w:t>團體治療</w:t>
      </w:r>
      <w:r>
        <w:rPr>
          <w:rFonts w:ascii="標楷體" w:hAnsi="標楷體" w:cs="標楷體" w:eastAsia="標楷體"/>
          <w:color w:val="000000"/>
        </w:rPr>
        <w:t>（</w:t>
      </w:r>
      <w:r>
        <w:rPr>
          <w:rFonts w:eastAsia="標楷體" w:cs="標楷體" w:ascii="標楷體" w:hAnsi="標楷體"/>
          <w:color w:val="000000"/>
        </w:rPr>
        <w:t>g</w:t>
      </w:r>
      <w:r>
        <w:rPr>
          <w:rFonts w:eastAsia="標楷體" w:cs="標楷體" w:ascii="標楷體" w:hAnsi="標楷體"/>
          <w:color w:val="000000"/>
        </w:rPr>
        <w:t>roup therapy</w:t>
      </w:r>
      <w:r>
        <w:rPr>
          <w:rFonts w:ascii="標楷體" w:hAnsi="標楷體" w:cs="標楷體" w:eastAsia="標楷體"/>
          <w:color w:val="000000"/>
        </w:rPr>
        <w:t>）</w:t>
      </w:r>
      <w:r>
        <w:rPr>
          <w:rFonts w:ascii="標楷體" w:hAnsi="標楷體" w:cs="標楷體" w:eastAsia="標楷體"/>
          <w:color w:val="000000"/>
        </w:rPr>
        <w:t>經常被應用在藥癮或酒癮的治療上，除了單獨應用外，也常被當作整合治療模式的一環。在成癮個案的團體治療上，可簡易區分為自助團體與心理治療團體兩大類，最大的差別點當然是在團體的領導人層面，自助團體是由藥癮同儕或是戒癮成功的個案來擔任，心理治療團體主要是由精神醫療相關人員來負責。目前並沒有單獨針對安非他命類藥物成癮個案的進行的團體治療研究，大多是以前面所述認知心理治療模式中，整合運用個人與團體治療等方式來進行。在藥癮治療方式的選擇上，團體治療雖然是較為經濟的方式，不見得療效會比較差，在個案可以配合的情形下，部分具有動機的個案可以邀請參與藥癮團體治療。</w:t>
      </w:r>
      <w:r>
        <w:br w:type="page"/>
      </w:r>
    </w:p>
    <w:p>
      <w:pPr>
        <w:pStyle w:val="1"/>
        <w:spacing w:before="0" w:after="0"/>
        <w:jc w:val="center"/>
        <w:rPr/>
      </w:pPr>
      <w:bookmarkStart w:id="11" w:name="__RefHeading___Toc319875835"/>
      <w:bookmarkEnd w:id="11"/>
      <w:r>
        <w:rPr/>
        <w:t>第七節</w:t>
      </w:r>
      <w:r>
        <w:rPr>
          <w:rFonts w:eastAsia="Cambria"/>
        </w:rPr>
        <w:t xml:space="preserve"> </w:t>
      </w:r>
      <w:r>
        <w:rPr/>
        <w:t>藥物治療</w:t>
      </w:r>
    </w:p>
    <w:p>
      <w:pPr>
        <w:pStyle w:val="Normal"/>
        <w:snapToGrid w:val="false"/>
        <w:spacing w:lineRule="exact" w:line="340"/>
        <w:ind w:firstLine="480"/>
        <w:jc w:val="both"/>
        <w:rPr>
          <w:rFonts w:ascii="標楷體" w:hAnsi="標楷體" w:eastAsia="標楷體" w:cs="標楷體"/>
          <w:color w:val="000000"/>
        </w:rPr>
      </w:pPr>
      <w:r>
        <w:rPr>
          <w:rFonts w:ascii="標楷體" w:hAnsi="標楷體" w:cs="標楷體" w:eastAsia="標楷體"/>
          <w:color w:val="000000"/>
        </w:rPr>
        <w:t>對於安非他命、</w:t>
      </w:r>
      <w:r>
        <w:rPr>
          <w:rFonts w:eastAsia="標楷體" w:cs="標楷體" w:ascii="標楷體" w:hAnsi="標楷體"/>
          <w:color w:val="000000"/>
        </w:rPr>
        <w:t>MDMA</w:t>
      </w:r>
      <w:r>
        <w:rPr>
          <w:rFonts w:ascii="標楷體" w:hAnsi="標楷體" w:cs="標楷體" w:eastAsia="標楷體"/>
          <w:color w:val="000000"/>
        </w:rPr>
        <w:t>、大麻等物質的戒斷治療過程，藥物治療對於個案的戒癮協助，目前仍待更多的臨床研究證據予以確認。</w:t>
      </w:r>
    </w:p>
    <w:p>
      <w:pPr>
        <w:pStyle w:val="Normal"/>
        <w:snapToGrid w:val="false"/>
        <w:spacing w:lineRule="exact" w:line="340"/>
        <w:ind w:firstLine="480"/>
        <w:jc w:val="both"/>
        <w:rPr>
          <w:rFonts w:ascii="標楷體" w:hAnsi="標楷體" w:eastAsia="標楷體" w:cs="標楷體"/>
          <w:color w:val="000000"/>
        </w:rPr>
      </w:pPr>
      <w:r>
        <w:rPr>
          <w:rFonts w:eastAsia="標楷體" w:cs="標楷體" w:ascii="標楷體" w:hAnsi="標楷體"/>
          <w:color w:val="000000"/>
        </w:rPr>
      </w:r>
    </w:p>
    <w:p>
      <w:pPr>
        <w:pStyle w:val="Normal"/>
        <w:snapToGrid w:val="false"/>
        <w:spacing w:lineRule="exact" w:line="340"/>
        <w:jc w:val="both"/>
        <w:rPr>
          <w:rFonts w:ascii="標楷體" w:hAnsi="標楷體" w:eastAsia="標楷體" w:cs="標楷體"/>
          <w:b/>
          <w:b/>
          <w:color w:val="000000"/>
        </w:rPr>
      </w:pPr>
      <w:r>
        <w:rPr>
          <w:rFonts w:ascii="標楷體" w:hAnsi="標楷體" w:cs="標楷體" w:eastAsia="標楷體"/>
          <w:b/>
          <w:color w:val="000000"/>
        </w:rPr>
        <w:t>一、安非他命與</w:t>
      </w:r>
      <w:r>
        <w:rPr>
          <w:rFonts w:eastAsia="標楷體" w:cs="標楷體" w:ascii="標楷體" w:hAnsi="標楷體"/>
          <w:b/>
          <w:color w:val="000000"/>
        </w:rPr>
        <w:t>MDMA</w:t>
      </w:r>
    </w:p>
    <w:p>
      <w:pPr>
        <w:pStyle w:val="Normal"/>
        <w:snapToGrid w:val="false"/>
        <w:spacing w:lineRule="exact" w:line="340"/>
        <w:jc w:val="both"/>
        <w:rPr>
          <w:rFonts w:ascii="標楷體" w:hAnsi="標楷體" w:eastAsia="標楷體" w:cs="標楷體"/>
          <w:b/>
          <w:b/>
          <w:color w:val="000000"/>
        </w:rPr>
      </w:pPr>
      <w:r>
        <w:rPr>
          <w:rFonts w:eastAsia="標楷體" w:cs="標楷體" w:ascii="標楷體" w:hAnsi="標楷體"/>
          <w:b/>
          <w:color w:val="000000"/>
        </w:rPr>
      </w:r>
    </w:p>
    <w:p>
      <w:pPr>
        <w:pStyle w:val="Normal"/>
        <w:snapToGrid w:val="false"/>
        <w:spacing w:lineRule="exact" w:line="340"/>
        <w:jc w:val="both"/>
        <w:rPr>
          <w:rFonts w:ascii="標楷體" w:hAnsi="標楷體" w:eastAsia="標楷體" w:cs="標楷體"/>
          <w:color w:val="000000"/>
        </w:rPr>
      </w:pPr>
      <w:r>
        <w:rPr>
          <w:rFonts w:eastAsia="標楷體" w:cs="標楷體" w:ascii="標楷體" w:hAnsi="標楷體"/>
          <w:color w:val="000000"/>
        </w:rPr>
        <w:tab/>
      </w:r>
      <w:r>
        <w:rPr>
          <w:rFonts w:ascii="標楷體" w:hAnsi="標楷體" w:cs="標楷體" w:eastAsia="標楷體"/>
          <w:color w:val="000000"/>
        </w:rPr>
        <w:t>針對興奮劑類藥物包括安非他命、</w:t>
      </w:r>
      <w:r>
        <w:rPr>
          <w:rFonts w:eastAsia="標楷體" w:cs="標楷體" w:ascii="標楷體" w:hAnsi="標楷體"/>
          <w:color w:val="000000"/>
        </w:rPr>
        <w:t>MDMA</w:t>
      </w:r>
      <w:r>
        <w:rPr>
          <w:rFonts w:ascii="標楷體" w:hAnsi="標楷體" w:cs="標楷體" w:eastAsia="標楷體"/>
          <w:color w:val="000000"/>
        </w:rPr>
        <w:t>等，過去曾經亦循著嗎啡類藥物模式嘗試進行興奮劑的替代療法，但是在治療有效程度的實際證據仍顯薄弱。其他緩解興奮劑藥物戒斷症狀的藥物方面，則可視個案狀態給予多巴胺促動劑</w:t>
      </w:r>
      <w:r>
        <w:rPr>
          <w:rFonts w:eastAsia="標楷體" w:cs="標楷體" w:ascii="標楷體" w:hAnsi="標楷體"/>
          <w:color w:val="000000"/>
        </w:rPr>
        <w:t>(dopamine agonist)</w:t>
      </w:r>
      <w:r>
        <w:rPr>
          <w:rFonts w:ascii="標楷體" w:hAnsi="標楷體" w:cs="標楷體" w:eastAsia="標楷體"/>
          <w:color w:val="000000"/>
        </w:rPr>
        <w:t>類型藥物，或者是抗憂鬱劑等藥物。</w:t>
      </w:r>
    </w:p>
    <w:p>
      <w:pPr>
        <w:pStyle w:val="Normal"/>
        <w:snapToGrid w:val="false"/>
        <w:spacing w:lineRule="exact" w:line="340"/>
        <w:ind w:firstLine="480"/>
        <w:jc w:val="both"/>
        <w:rPr>
          <w:rFonts w:ascii="標楷體" w:hAnsi="標楷體" w:eastAsia="標楷體" w:cs="標楷體"/>
          <w:color w:val="000000"/>
        </w:rPr>
      </w:pPr>
      <w:r>
        <w:rPr>
          <w:rFonts w:eastAsia="標楷體" w:cs="標楷體" w:ascii="標楷體" w:hAnsi="標楷體"/>
          <w:color w:val="000000"/>
        </w:rPr>
      </w:r>
    </w:p>
    <w:p>
      <w:pPr>
        <w:pStyle w:val="Normal"/>
        <w:snapToGrid w:val="false"/>
        <w:spacing w:lineRule="exact" w:line="340"/>
        <w:jc w:val="both"/>
        <w:rPr>
          <w:rFonts w:ascii="標楷體" w:hAnsi="標楷體" w:eastAsia="標楷體" w:cs="標楷體"/>
          <w:b/>
          <w:b/>
          <w:color w:val="000000"/>
        </w:rPr>
      </w:pPr>
      <w:r>
        <w:rPr>
          <w:rFonts w:ascii="標楷體" w:hAnsi="標楷體" w:cs="標楷體" w:eastAsia="標楷體"/>
          <w:b/>
          <w:color w:val="000000"/>
        </w:rPr>
        <w:t>二、大麻</w:t>
      </w:r>
    </w:p>
    <w:p>
      <w:pPr>
        <w:pStyle w:val="Normal"/>
        <w:snapToGrid w:val="false"/>
        <w:spacing w:lineRule="exact" w:line="340"/>
        <w:jc w:val="both"/>
        <w:rPr>
          <w:rFonts w:ascii="標楷體" w:hAnsi="標楷體" w:eastAsia="標楷體" w:cs="標楷體"/>
          <w:b/>
          <w:b/>
          <w:color w:val="000000"/>
        </w:rPr>
      </w:pPr>
      <w:r>
        <w:rPr>
          <w:rFonts w:eastAsia="標楷體" w:cs="標楷體" w:ascii="標楷體" w:hAnsi="標楷體"/>
          <w:b/>
          <w:color w:val="000000"/>
        </w:rPr>
      </w:r>
    </w:p>
    <w:p>
      <w:pPr>
        <w:pStyle w:val="Normal"/>
        <w:snapToGrid w:val="false"/>
        <w:spacing w:lineRule="exact" w:line="340"/>
        <w:jc w:val="both"/>
        <w:rPr/>
      </w:pPr>
      <w:r>
        <w:rPr>
          <w:rFonts w:eastAsia="標楷體" w:cs="標楷體" w:ascii="標楷體" w:hAnsi="標楷體"/>
          <w:color w:val="000000"/>
        </w:rPr>
        <w:tab/>
      </w:r>
      <w:r>
        <w:rPr>
          <w:rFonts w:ascii="標楷體" w:hAnsi="標楷體" w:cs="標楷體" w:eastAsia="標楷體"/>
          <w:color w:val="000000"/>
        </w:rPr>
        <w:t>至於在大麻依賴的藥物治療，</w:t>
      </w:r>
      <w:r>
        <w:rPr>
          <w:rFonts w:eastAsia="標楷體" w:cs="標楷體" w:ascii="標楷體" w:hAnsi="標楷體"/>
          <w:color w:val="000000"/>
        </w:rPr>
        <w:t>buspirone</w:t>
      </w:r>
      <w:r>
        <w:rPr>
          <w:rFonts w:ascii="標楷體" w:hAnsi="標楷體" w:cs="標楷體" w:eastAsia="標楷體"/>
          <w:color w:val="000000"/>
        </w:rPr>
        <w:t>是目前對於大麻依賴的治療藥物中，惟一較有確定療效研究的藥物。其他針對戒癮藥物的相關研究仍在持續進行中。</w:t>
      </w:r>
    </w:p>
    <w:p>
      <w:pPr>
        <w:pStyle w:val="Normal"/>
        <w:snapToGrid w:val="false"/>
        <w:spacing w:lineRule="exact" w:line="340"/>
        <w:ind w:firstLine="480"/>
        <w:jc w:val="both"/>
        <w:rPr>
          <w:rFonts w:ascii="標楷體" w:hAnsi="標楷體" w:eastAsia="標楷體" w:cs="標楷體"/>
          <w:color w:val="000000"/>
        </w:rPr>
      </w:pPr>
      <w:r>
        <w:rPr>
          <w:rFonts w:eastAsia="標楷體" w:cs="標楷體" w:ascii="標楷體" w:hAnsi="標楷體"/>
          <w:color w:val="000000"/>
        </w:rPr>
      </w:r>
    </w:p>
    <w:p>
      <w:pPr>
        <w:pStyle w:val="Normal"/>
        <w:snapToGrid w:val="false"/>
        <w:spacing w:lineRule="exact" w:line="340"/>
        <w:jc w:val="both"/>
        <w:rPr>
          <w:rFonts w:ascii="標楷體" w:hAnsi="標楷體" w:eastAsia="標楷體" w:cs="標楷體"/>
          <w:b/>
          <w:b/>
          <w:color w:val="000000"/>
        </w:rPr>
      </w:pPr>
      <w:r>
        <w:rPr>
          <w:rFonts w:ascii="標楷體" w:hAnsi="標楷體" w:cs="標楷體" w:eastAsia="標楷體"/>
          <w:b/>
          <w:color w:val="000000"/>
        </w:rPr>
        <w:t>三、共病性精神疾病</w:t>
      </w:r>
    </w:p>
    <w:p>
      <w:pPr>
        <w:pStyle w:val="Normal"/>
        <w:snapToGrid w:val="false"/>
        <w:spacing w:lineRule="exact" w:line="340"/>
        <w:jc w:val="both"/>
        <w:rPr>
          <w:rFonts w:ascii="標楷體" w:hAnsi="標楷體" w:eastAsia="標楷體" w:cs="標楷體"/>
          <w:b/>
          <w:b/>
          <w:color w:val="000000"/>
        </w:rPr>
      </w:pPr>
      <w:r>
        <w:rPr>
          <w:rFonts w:eastAsia="標楷體" w:cs="標楷體" w:ascii="標楷體" w:hAnsi="標楷體"/>
          <w:b/>
          <w:color w:val="000000"/>
        </w:rPr>
      </w:r>
    </w:p>
    <w:p>
      <w:pPr>
        <w:pStyle w:val="Normal"/>
        <w:snapToGrid w:val="false"/>
        <w:spacing w:lineRule="exact" w:line="340"/>
        <w:jc w:val="both"/>
        <w:rPr>
          <w:rFonts w:ascii="標楷體" w:hAnsi="標楷體" w:eastAsia="標楷體" w:cs="標楷體"/>
          <w:color w:val="000000"/>
        </w:rPr>
      </w:pPr>
      <w:r>
        <w:rPr>
          <w:rFonts w:eastAsia="標楷體" w:cs="標楷體" w:ascii="標楷體" w:hAnsi="標楷體"/>
          <w:color w:val="000000"/>
        </w:rPr>
        <w:tab/>
      </w:r>
      <w:r>
        <w:rPr>
          <w:rFonts w:ascii="標楷體" w:hAnsi="標楷體" w:cs="標楷體" w:eastAsia="標楷體"/>
          <w:color w:val="000000"/>
        </w:rPr>
        <w:t>對於個案在藥物濫用之外，另有共病性精神疾病時，應給予該精神疾病相關之藥物治療。治療藥物的選擇方面，在排除個案身體狀況影響藥物代謝的情形下，對於藥癮個案應優先選擇半衰期較長、作用時間啟始較和緩的藥物，以減少個案發生醫源性藥物依賴的可能性。</w:t>
      </w:r>
      <w:r>
        <w:br w:type="page"/>
      </w:r>
    </w:p>
    <w:p>
      <w:pPr>
        <w:pStyle w:val="1"/>
        <w:spacing w:before="0" w:after="0"/>
        <w:jc w:val="center"/>
        <w:rPr>
          <w:rStyle w:val="Applestylespan"/>
          <w:rFonts w:ascii="標楷體" w:hAnsi="標楷體" w:cs="標楷體"/>
          <w:sz w:val="44"/>
          <w:szCs w:val="44"/>
        </w:rPr>
      </w:pPr>
      <w:bookmarkStart w:id="12" w:name="__RefHeading___Toc319875836"/>
      <w:bookmarkEnd w:id="12"/>
      <w:r>
        <w:rPr>
          <w:rStyle w:val="Applestylespan"/>
          <w:sz w:val="44"/>
          <w:szCs w:val="44"/>
        </w:rPr>
        <w:t>第八節</w:t>
      </w:r>
      <w:r>
        <w:rPr>
          <w:rStyle w:val="Applestylespan"/>
          <w:rFonts w:eastAsia="Cambria"/>
          <w:sz w:val="44"/>
          <w:szCs w:val="44"/>
        </w:rPr>
        <w:t xml:space="preserve"> </w:t>
      </w:r>
      <w:r>
        <w:rPr>
          <w:rStyle w:val="Applestylespan"/>
          <w:rFonts w:ascii="標楷體" w:hAnsi="標楷體" w:cs="標楷體"/>
          <w:sz w:val="44"/>
          <w:szCs w:val="44"/>
        </w:rPr>
        <w:t>個別物質之特殊狀況</w:t>
      </w:r>
    </w:p>
    <w:p>
      <w:pPr>
        <w:pStyle w:val="Normal"/>
        <w:ind w:firstLine="480"/>
        <w:rPr>
          <w:rStyle w:val="Applestylespan"/>
          <w:rFonts w:ascii="標楷體" w:hAnsi="標楷體" w:eastAsia="標楷體" w:cs="標楷體"/>
        </w:rPr>
      </w:pPr>
      <w:r>
        <w:rPr>
          <w:rStyle w:val="Applestylespan"/>
          <w:rFonts w:ascii="標楷體" w:hAnsi="標楷體" w:cs="標楷體" w:eastAsia="標楷體"/>
        </w:rPr>
        <w:t>本節說明個別物質常見的臨床狀況，由於快樂丸</w:t>
      </w:r>
      <w:r>
        <w:rPr>
          <w:rStyle w:val="Applestylespan"/>
          <w:rFonts w:eastAsia="標楷體" w:cs="標楷體" w:ascii="標楷體" w:hAnsi="標楷體"/>
        </w:rPr>
        <w:t>(MDMA)</w:t>
      </w:r>
      <w:r>
        <w:rPr>
          <w:rStyle w:val="Applestylespan"/>
          <w:rFonts w:ascii="標楷體" w:hAnsi="標楷體" w:cs="標楷體" w:eastAsia="標楷體"/>
        </w:rPr>
        <w:t>在化學結構上屬於安非他命類藥物，其作用或使用的症狀呈現也與安非他命類似，只是在作用強度上應該會較安非他命輕微，快樂丸的中毒反應、戒斷反應，應等同安非他命而給予同等之重視。</w:t>
      </w:r>
    </w:p>
    <w:p>
      <w:pPr>
        <w:pStyle w:val="Normal"/>
        <w:ind w:firstLine="480"/>
        <w:rPr>
          <w:rStyle w:val="Applestylespan"/>
          <w:rFonts w:ascii="標楷體" w:hAnsi="標楷體" w:eastAsia="標楷體" w:cs="標楷體"/>
          <w:b/>
          <w:b/>
        </w:rPr>
      </w:pPr>
      <w:r>
        <w:rPr/>
      </w:r>
    </w:p>
    <w:p>
      <w:pPr>
        <w:pStyle w:val="Normal"/>
        <w:rPr>
          <w:rStyle w:val="Applestylespan"/>
          <w:rFonts w:ascii="標楷體" w:hAnsi="標楷體" w:eastAsia="標楷體" w:cs="標楷體"/>
          <w:b/>
          <w:b/>
        </w:rPr>
      </w:pPr>
      <w:r>
        <w:rPr>
          <w:rStyle w:val="Applestylespan"/>
          <w:rFonts w:ascii="標楷體" w:hAnsi="標楷體" w:cs="標楷體" w:eastAsia="標楷體"/>
          <w:b/>
        </w:rPr>
        <w:t>一、安非他命類藥物中毒反應</w:t>
      </w:r>
    </w:p>
    <w:p>
      <w:pPr>
        <w:pStyle w:val="Normal"/>
        <w:rPr>
          <w:rStyle w:val="Applestylespan"/>
          <w:rFonts w:ascii="標楷體" w:hAnsi="標楷體" w:eastAsia="標楷體" w:cs="標楷體"/>
          <w:b/>
          <w:b/>
        </w:rPr>
      </w:pPr>
      <w:r>
        <w:rPr/>
      </w:r>
    </w:p>
    <w:p>
      <w:pPr>
        <w:pStyle w:val="Normal"/>
        <w:ind w:firstLine="480"/>
        <w:rPr>
          <w:rFonts w:ascii="標楷體" w:hAnsi="標楷體" w:eastAsia="標楷體" w:cs="標楷體"/>
          <w:color w:val="000000"/>
        </w:rPr>
      </w:pPr>
      <w:r>
        <w:rPr>
          <w:rFonts w:ascii="標楷體" w:hAnsi="標楷體" w:cs="標楷體" w:eastAsia="標楷體"/>
          <w:color w:val="000000"/>
        </w:rPr>
        <w:t>一般來說，安非他命中毒的症狀大部分可在</w:t>
      </w:r>
      <w:r>
        <w:rPr>
          <w:rFonts w:eastAsia="標楷體" w:cs="標楷體" w:ascii="標楷體" w:hAnsi="標楷體"/>
          <w:color w:val="000000"/>
        </w:rPr>
        <w:t>24</w:t>
      </w:r>
      <w:r>
        <w:rPr>
          <w:rFonts w:ascii="標楷體" w:hAnsi="標楷體" w:cs="標楷體" w:eastAsia="標楷體"/>
          <w:color w:val="000000"/>
        </w:rPr>
        <w:t>小時內緩解，</w:t>
      </w:r>
      <w:r>
        <w:rPr>
          <w:rFonts w:eastAsia="標楷體" w:cs="標楷體" w:ascii="標楷體" w:hAnsi="標楷體"/>
          <w:color w:val="000000"/>
        </w:rPr>
        <w:t>48</w:t>
      </w:r>
      <w:r>
        <w:rPr>
          <w:rFonts w:ascii="標楷體" w:hAnsi="標楷體" w:cs="標楷體" w:eastAsia="標楷體"/>
          <w:color w:val="000000"/>
        </w:rPr>
        <w:t>小時後應該可以完全消失。安非他命類藥物中毒也可能導致譫妄（</w:t>
      </w:r>
      <w:r>
        <w:rPr>
          <w:rFonts w:eastAsia="標楷體" w:cs="標楷體" w:ascii="標楷體" w:hAnsi="標楷體"/>
          <w:color w:val="000000"/>
        </w:rPr>
        <w:t>delirium</w:t>
      </w:r>
      <w:r>
        <w:rPr>
          <w:rFonts w:ascii="標楷體" w:hAnsi="標楷體" w:cs="標楷體" w:eastAsia="標楷體"/>
          <w:color w:val="000000"/>
        </w:rPr>
        <w:t>）的現象，其原因可能是因為使用過多、或持續地使用安非他命類藥物所造成，也可能是因為長期的睡眠剝奪而來。混用多種藥物、或者是先前有過腦傷的人也是發生譫妄的常見現象。許多濫用安非他命類藥物藉以熬夜的學生或司機，也常出現這種譫妄現象。</w:t>
      </w:r>
    </w:p>
    <w:p>
      <w:pPr>
        <w:pStyle w:val="Normal"/>
        <w:ind w:firstLine="480"/>
        <w:rPr>
          <w:rFonts w:ascii="標楷體" w:hAnsi="標楷體" w:eastAsia="標楷體" w:cs="標楷體"/>
          <w:color w:val="000000"/>
        </w:rPr>
      </w:pPr>
      <w:r>
        <w:rPr>
          <w:rFonts w:eastAsia="標楷體" w:cs="標楷體" w:ascii="標楷體" w:hAnsi="標楷體"/>
          <w:color w:val="000000"/>
        </w:rPr>
      </w:r>
    </w:p>
    <w:p>
      <w:pPr>
        <w:pStyle w:val="Normal"/>
        <w:ind w:firstLine="480"/>
        <w:rPr>
          <w:rFonts w:ascii="標楷體" w:hAnsi="標楷體" w:eastAsia="標楷體" w:cs="標楷體"/>
          <w:color w:val="000000"/>
        </w:rPr>
      </w:pPr>
      <w:r>
        <w:rPr>
          <w:rFonts w:ascii="標楷體" w:hAnsi="標楷體" w:cs="標楷體" w:eastAsia="標楷體"/>
          <w:color w:val="000000"/>
        </w:rPr>
        <w:t>安非他命的毒性作用已有許多報告出現，較常見的嚴重反應多在腦血管、心臟以及腸胃道等部位。以危及生命程度的疾病而言，包括了心肌梗塞、嚴重高血壓、腦血管疾病、以及缺血性腸炎等。因此，對於安非他命中毒症狀的早期偵測相當重要，如此才能對中毒個案給予及時的後續處理。</w:t>
      </w:r>
    </w:p>
    <w:p>
      <w:pPr>
        <w:pStyle w:val="Normal"/>
        <w:rPr>
          <w:rFonts w:ascii="標楷體" w:hAnsi="標楷體" w:eastAsia="標楷體" w:cs="標楷體"/>
          <w:color w:val="000000"/>
        </w:rPr>
      </w:pPr>
      <w:r>
        <w:rPr>
          <w:rFonts w:eastAsia="標楷體" w:cs="標楷體" w:ascii="標楷體" w:hAnsi="標楷體"/>
          <w:color w:val="000000"/>
        </w:rPr>
      </w:r>
      <w:r>
        <w:br w:type="page"/>
      </w:r>
    </w:p>
    <w:p>
      <w:pPr>
        <w:pStyle w:val="Style30"/>
        <w:rPr>
          <w:rFonts w:ascii="標楷體" w:hAnsi="標楷體" w:eastAsia="標楷體" w:cs="標楷體"/>
          <w:b/>
          <w:b/>
          <w:color w:val="000000"/>
          <w:sz w:val="24"/>
          <w:szCs w:val="24"/>
        </w:rPr>
      </w:pPr>
      <w:bookmarkStart w:id="13" w:name="__RefHeading___Toc315757850"/>
      <w:r>
        <w:rPr>
          <w:rFonts w:ascii="標楷體" w:hAnsi="標楷體" w:cs="標楷體" w:eastAsia="標楷體"/>
          <w:sz w:val="24"/>
          <w:szCs w:val="24"/>
        </w:rPr>
        <w:t xml:space="preserve">圖表 </w:t>
      </w:r>
      <w:r>
        <w:rPr>
          <w:rFonts w:ascii="標楷體" w:hAnsi="標楷體" w:cs="標楷體" w:eastAsia="標楷體"/>
          <w:sz w:val="24"/>
          <w:szCs w:val="24"/>
        </w:rPr>
        <w:fldChar w:fldCharType="begin"/>
      </w:r>
      <w:r>
        <w:rPr>
          <w:sz w:val="24"/>
          <w:szCs w:val="24"/>
          <w:rFonts w:ascii="標楷體" w:hAnsi="標楷體" w:cs="標楷體" w:eastAsia="標楷體"/>
        </w:rPr>
        <w:instrText> SEQ 圖表 \* ARABIC </w:instrText>
      </w:r>
      <w:r>
        <w:rPr>
          <w:sz w:val="24"/>
          <w:szCs w:val="24"/>
          <w:rFonts w:ascii="標楷體" w:hAnsi="標楷體" w:cs="標楷體" w:eastAsia="標楷體"/>
        </w:rPr>
        <w:fldChar w:fldCharType="separate"/>
      </w:r>
      <w:r>
        <w:rPr>
          <w:sz w:val="24"/>
          <w:szCs w:val="24"/>
          <w:rFonts w:ascii="標楷體" w:hAnsi="標楷體" w:cs="標楷體" w:eastAsia="標楷體"/>
        </w:rPr>
        <w:t>4</w:t>
      </w:r>
      <w:r>
        <w:rPr>
          <w:sz w:val="24"/>
          <w:szCs w:val="24"/>
          <w:rFonts w:ascii="標楷體" w:hAnsi="標楷體" w:cs="標楷體" w:eastAsia="標楷體"/>
        </w:rPr>
        <w:fldChar w:fldCharType="end"/>
      </w:r>
      <w:r>
        <w:rPr>
          <w:rFonts w:ascii="標楷體" w:hAnsi="標楷體" w:cs="標楷體" w:eastAsia="標楷體"/>
          <w:sz w:val="24"/>
          <w:szCs w:val="24"/>
        </w:rPr>
        <w:t xml:space="preserve"> </w:t>
      </w:r>
      <w:r>
        <w:rPr>
          <w:rFonts w:ascii="標楷體" w:hAnsi="標楷體" w:cs="標楷體" w:eastAsia="標楷體"/>
          <w:b/>
          <w:color w:val="000000"/>
          <w:sz w:val="24"/>
          <w:szCs w:val="24"/>
        </w:rPr>
        <w:t>安非他命中毒</w:t>
      </w:r>
    </w:p>
    <w:p>
      <w:pPr>
        <w:pStyle w:val="Style30"/>
        <w:rPr/>
      </w:pPr>
      <w:r>
        <w:rPr/>
        <w:t>（精神疾患診斷與統計手冊</w:t>
      </w:r>
      <w:r>
        <w:rPr/>
        <w:t>-</w:t>
      </w:r>
      <w:r>
        <w:rPr/>
        <w:t>第四版</w:t>
      </w:r>
      <w:r>
        <w:rPr/>
        <w:t>-</w:t>
      </w:r>
      <w:r>
        <w:rPr/>
        <w:t>文字修訂版）</w:t>
      </w:r>
      <w:bookmarkEnd w:id="13"/>
    </w:p>
    <w:tbl>
      <w:tblPr>
        <w:tblW w:w="6548" w:type="dxa"/>
        <w:jc w:val="left"/>
        <w:tblInd w:w="0" w:type="dxa"/>
        <w:tblLayout w:type="fixed"/>
        <w:tblCellMar>
          <w:top w:w="0" w:type="dxa"/>
          <w:left w:w="28" w:type="dxa"/>
          <w:bottom w:w="0" w:type="dxa"/>
          <w:right w:w="28" w:type="dxa"/>
        </w:tblCellMar>
      </w:tblPr>
      <w:tblGrid>
        <w:gridCol w:w="6548"/>
      </w:tblGrid>
      <w:tr>
        <w:trPr/>
        <w:tc>
          <w:tcPr>
            <w:tcW w:w="6548" w:type="dxa"/>
            <w:tcBorders>
              <w:top w:val="single" w:sz="12" w:space="0" w:color="008000"/>
              <w:bottom w:val="single" w:sz="6" w:space="0" w:color="008000"/>
            </w:tcBorders>
          </w:tcPr>
          <w:p>
            <w:pPr>
              <w:pStyle w:val="Normal"/>
              <w:rPr>
                <w:rFonts w:ascii="標楷體" w:hAnsi="標楷體" w:eastAsia="標楷體" w:cs="標楷體"/>
                <w:color w:val="000000"/>
              </w:rPr>
            </w:pPr>
            <w:r>
              <w:rPr>
                <w:rFonts w:ascii="標楷體" w:hAnsi="標楷體" w:cs="標楷體" w:eastAsia="標楷體"/>
                <w:color w:val="000000"/>
              </w:rPr>
              <w:t>安非他命中毒</w:t>
            </w:r>
          </w:p>
        </w:tc>
      </w:tr>
      <w:tr>
        <w:trPr/>
        <w:tc>
          <w:tcPr>
            <w:tcW w:w="6548" w:type="dxa"/>
            <w:tcBorders>
              <w:top w:val="single" w:sz="6" w:space="0" w:color="008000"/>
              <w:bottom w:val="single" w:sz="12" w:space="0" w:color="008000"/>
            </w:tcBorders>
          </w:tcPr>
          <w:p>
            <w:pPr>
              <w:pStyle w:val="Normal"/>
              <w:numPr>
                <w:ilvl w:val="0"/>
                <w:numId w:val="6"/>
              </w:numPr>
              <w:rPr>
                <w:rFonts w:ascii="標楷體" w:hAnsi="標楷體" w:eastAsia="標楷體" w:cs="標楷體"/>
                <w:color w:val="000000"/>
              </w:rPr>
            </w:pPr>
            <w:r>
              <w:rPr>
                <w:rFonts w:ascii="標楷體" w:hAnsi="標楷體" w:cs="標楷體" w:eastAsia="標楷體"/>
                <w:color w:val="000000"/>
              </w:rPr>
              <w:t>在最近使用安非他命類藥物後。</w:t>
            </w:r>
          </w:p>
          <w:p>
            <w:pPr>
              <w:pStyle w:val="Normal"/>
              <w:numPr>
                <w:ilvl w:val="0"/>
                <w:numId w:val="6"/>
              </w:numPr>
              <w:rPr>
                <w:rFonts w:ascii="標楷體" w:hAnsi="標楷體" w:eastAsia="標楷體" w:cs="標楷體"/>
                <w:color w:val="000000"/>
              </w:rPr>
            </w:pPr>
            <w:r>
              <w:rPr>
                <w:rFonts w:ascii="標楷體" w:hAnsi="標楷體" w:cs="標楷體" w:eastAsia="標楷體"/>
                <w:color w:val="000000"/>
              </w:rPr>
              <w:t>在安非他命類藥物使用當時或剛使用後，臨床上出現明顯的行為或心理變化。</w:t>
            </w:r>
          </w:p>
          <w:p>
            <w:pPr>
              <w:pStyle w:val="Normal"/>
              <w:numPr>
                <w:ilvl w:val="0"/>
                <w:numId w:val="6"/>
              </w:numPr>
              <w:rPr>
                <w:rFonts w:ascii="標楷體" w:hAnsi="標楷體" w:eastAsia="標楷體" w:cs="標楷體"/>
                <w:color w:val="000000"/>
              </w:rPr>
            </w:pPr>
            <w:r>
              <w:rPr>
                <w:rFonts w:ascii="標楷體" w:hAnsi="標楷體" w:cs="標楷體" w:eastAsia="標楷體"/>
                <w:color w:val="000000"/>
              </w:rPr>
              <w:t>在安非他命類藥物使用當時或剛使用後，下列症狀出現兩項或兩項以上：</w:t>
            </w:r>
          </w:p>
          <w:p>
            <w:pPr>
              <w:pStyle w:val="Normal"/>
              <w:numPr>
                <w:ilvl w:val="0"/>
                <w:numId w:val="13"/>
              </w:numPr>
              <w:rPr>
                <w:rFonts w:ascii="標楷體" w:hAnsi="標楷體" w:eastAsia="標楷體" w:cs="標楷體"/>
                <w:color w:val="000000"/>
              </w:rPr>
            </w:pPr>
            <w:r>
              <w:rPr>
                <w:rFonts w:ascii="標楷體" w:hAnsi="標楷體" w:cs="標楷體" w:eastAsia="標楷體"/>
                <w:color w:val="000000"/>
              </w:rPr>
              <w:t>心率過快或心率緩慢；</w:t>
            </w:r>
          </w:p>
          <w:p>
            <w:pPr>
              <w:pStyle w:val="Normal"/>
              <w:numPr>
                <w:ilvl w:val="0"/>
                <w:numId w:val="13"/>
              </w:numPr>
              <w:rPr>
                <w:rFonts w:ascii="標楷體" w:hAnsi="標楷體" w:eastAsia="標楷體" w:cs="標楷體"/>
                <w:color w:val="000000"/>
              </w:rPr>
            </w:pPr>
            <w:r>
              <w:rPr>
                <w:rFonts w:ascii="標楷體" w:hAnsi="標楷體" w:cs="標楷體" w:eastAsia="標楷體"/>
                <w:color w:val="000000"/>
              </w:rPr>
              <w:t>瞳孔擴大；</w:t>
            </w:r>
          </w:p>
          <w:p>
            <w:pPr>
              <w:pStyle w:val="Normal"/>
              <w:numPr>
                <w:ilvl w:val="0"/>
                <w:numId w:val="13"/>
              </w:numPr>
              <w:rPr>
                <w:rFonts w:ascii="標楷體" w:hAnsi="標楷體" w:eastAsia="標楷體" w:cs="標楷體"/>
                <w:color w:val="000000"/>
              </w:rPr>
            </w:pPr>
            <w:r>
              <w:rPr>
                <w:rFonts w:ascii="標楷體" w:hAnsi="標楷體" w:cs="標楷體" w:eastAsia="標楷體"/>
                <w:color w:val="000000"/>
              </w:rPr>
              <w:t>血壓升高或降低；</w:t>
            </w:r>
          </w:p>
          <w:p>
            <w:pPr>
              <w:pStyle w:val="Normal"/>
              <w:numPr>
                <w:ilvl w:val="0"/>
                <w:numId w:val="13"/>
              </w:numPr>
              <w:rPr>
                <w:rFonts w:ascii="標楷體" w:hAnsi="標楷體" w:eastAsia="標楷體" w:cs="標楷體"/>
                <w:color w:val="000000"/>
              </w:rPr>
            </w:pPr>
            <w:r>
              <w:rPr>
                <w:rFonts w:ascii="標楷體" w:hAnsi="標楷體" w:cs="標楷體" w:eastAsia="標楷體"/>
                <w:color w:val="000000"/>
              </w:rPr>
              <w:t>冒汗或寒顫；</w:t>
            </w:r>
          </w:p>
          <w:p>
            <w:pPr>
              <w:pStyle w:val="Normal"/>
              <w:numPr>
                <w:ilvl w:val="0"/>
                <w:numId w:val="13"/>
              </w:numPr>
              <w:rPr>
                <w:rFonts w:ascii="標楷體" w:hAnsi="標楷體" w:eastAsia="標楷體" w:cs="標楷體"/>
                <w:color w:val="000000"/>
              </w:rPr>
            </w:pPr>
            <w:r>
              <w:rPr>
                <w:rFonts w:ascii="標楷體" w:hAnsi="標楷體" w:cs="標楷體" w:eastAsia="標楷體"/>
                <w:color w:val="000000"/>
              </w:rPr>
              <w:t>噁心或嘔吐；</w:t>
            </w:r>
          </w:p>
          <w:p>
            <w:pPr>
              <w:pStyle w:val="Normal"/>
              <w:numPr>
                <w:ilvl w:val="0"/>
                <w:numId w:val="13"/>
              </w:numPr>
              <w:rPr>
                <w:rFonts w:ascii="標楷體" w:hAnsi="標楷體" w:eastAsia="標楷體" w:cs="標楷體"/>
                <w:color w:val="000000"/>
              </w:rPr>
            </w:pPr>
            <w:r>
              <w:rPr>
                <w:rFonts w:ascii="標楷體" w:hAnsi="標楷體" w:cs="標楷體" w:eastAsia="標楷體"/>
                <w:color w:val="000000"/>
              </w:rPr>
              <w:t>有體重下降的證據；</w:t>
            </w:r>
          </w:p>
          <w:p>
            <w:pPr>
              <w:pStyle w:val="Normal"/>
              <w:numPr>
                <w:ilvl w:val="0"/>
                <w:numId w:val="13"/>
              </w:numPr>
              <w:rPr>
                <w:rFonts w:ascii="標楷體" w:hAnsi="標楷體" w:eastAsia="標楷體" w:cs="標楷體"/>
                <w:color w:val="000000"/>
              </w:rPr>
            </w:pPr>
            <w:r>
              <w:rPr>
                <w:rFonts w:ascii="標楷體" w:hAnsi="標楷體" w:cs="標楷體" w:eastAsia="標楷體"/>
                <w:color w:val="000000"/>
              </w:rPr>
              <w:t>精神運動性激動或遲滯；</w:t>
            </w:r>
          </w:p>
          <w:p>
            <w:pPr>
              <w:pStyle w:val="Normal"/>
              <w:numPr>
                <w:ilvl w:val="0"/>
                <w:numId w:val="13"/>
              </w:numPr>
              <w:rPr>
                <w:rFonts w:ascii="標楷體" w:hAnsi="標楷體" w:eastAsia="標楷體" w:cs="標楷體"/>
                <w:color w:val="000000"/>
              </w:rPr>
            </w:pPr>
            <w:r>
              <w:rPr>
                <w:rFonts w:ascii="標楷體" w:hAnsi="標楷體" w:cs="標楷體" w:eastAsia="標楷體"/>
                <w:color w:val="000000"/>
              </w:rPr>
              <w:t>肌肉衰弱、呼吸抑制、胸痛或心律不整；</w:t>
            </w:r>
          </w:p>
          <w:p>
            <w:pPr>
              <w:pStyle w:val="Normal"/>
              <w:numPr>
                <w:ilvl w:val="0"/>
                <w:numId w:val="13"/>
              </w:numPr>
              <w:rPr>
                <w:rFonts w:ascii="標楷體" w:hAnsi="標楷體" w:eastAsia="標楷體" w:cs="標楷體"/>
                <w:color w:val="000000"/>
              </w:rPr>
            </w:pPr>
            <w:r>
              <w:rPr>
                <w:rFonts w:ascii="標楷體" w:hAnsi="標楷體" w:cs="標楷體" w:eastAsia="標楷體"/>
                <w:color w:val="000000"/>
              </w:rPr>
              <w:t>意識混亂、癲癇、運動異常、肌張力異常或昏迷。</w:t>
            </w:r>
          </w:p>
          <w:p>
            <w:pPr>
              <w:pStyle w:val="Normal"/>
              <w:numPr>
                <w:ilvl w:val="0"/>
                <w:numId w:val="6"/>
              </w:numPr>
              <w:rPr>
                <w:rFonts w:ascii="標楷體" w:hAnsi="標楷體" w:eastAsia="標楷體" w:cs="標楷體"/>
                <w:color w:val="000000"/>
              </w:rPr>
            </w:pPr>
            <w:r>
              <w:rPr>
                <w:rFonts w:ascii="標楷體" w:hAnsi="標楷體" w:cs="標楷體" w:eastAsia="標楷體"/>
                <w:color w:val="000000"/>
              </w:rPr>
              <w:t>症狀並非由一般身體狀況，或其他精神疾病引起。</w:t>
            </w:r>
          </w:p>
          <w:p>
            <w:pPr>
              <w:pStyle w:val="Normal"/>
              <w:rPr>
                <w:rFonts w:ascii="標楷體" w:hAnsi="標楷體" w:eastAsia="標楷體" w:cs="標楷體"/>
                <w:color w:val="000000"/>
              </w:rPr>
            </w:pPr>
            <w:r>
              <w:rPr>
                <w:rFonts w:ascii="標楷體" w:hAnsi="標楷體" w:cs="標楷體" w:eastAsia="標楷體"/>
                <w:color w:val="000000"/>
              </w:rPr>
              <w:t>如果有下面情形可加以標示：</w:t>
            </w:r>
          </w:p>
          <w:p>
            <w:pPr>
              <w:pStyle w:val="Normal"/>
              <w:ind w:left="480" w:hanging="0"/>
              <w:rPr>
                <w:rFonts w:ascii="標楷體" w:hAnsi="標楷體" w:eastAsia="標楷體" w:cs="標楷體"/>
                <w:color w:val="000000"/>
              </w:rPr>
            </w:pPr>
            <w:r>
              <w:rPr>
                <w:rFonts w:ascii="標楷體" w:hAnsi="標楷體" w:cs="標楷體" w:eastAsia="標楷體"/>
                <w:color w:val="000000"/>
              </w:rPr>
              <w:t>伴隨知覺障礙。</w:t>
            </w:r>
          </w:p>
        </w:tc>
      </w:tr>
    </w:tbl>
    <w:p>
      <w:pPr>
        <w:pStyle w:val="Normal"/>
        <w:ind w:left="720" w:hanging="720"/>
        <w:rPr/>
      </w:pPr>
      <w:r>
        <w:rPr>
          <w:rFonts w:ascii="標楷體" w:hAnsi="標楷體" w:cs="標楷體" w:eastAsia="標楷體"/>
          <w:color w:val="000000"/>
        </w:rPr>
        <w:t>資料來源：</w:t>
      </w:r>
      <w:r>
        <w:rPr>
          <w:rFonts w:cs="Calibri" w:eastAsia="Calibri"/>
        </w:rPr>
        <w:t xml:space="preserve"> </w:t>
      </w:r>
    </w:p>
    <w:p>
      <w:pPr>
        <w:pStyle w:val="Normal"/>
        <w:rPr>
          <w:rStyle w:val="Applestylespan"/>
          <w:rFonts w:ascii="標楷體" w:hAnsi="標楷體" w:eastAsia="標楷體" w:cs="標楷體"/>
        </w:rPr>
      </w:pPr>
      <w:r>
        <w:rPr/>
      </w:r>
    </w:p>
    <w:p>
      <w:pPr>
        <w:pStyle w:val="Normal"/>
        <w:rPr>
          <w:rStyle w:val="Applestylespan"/>
          <w:rFonts w:ascii="標楷體" w:hAnsi="標楷體" w:eastAsia="標楷體" w:cs="標楷體"/>
          <w:b/>
          <w:b/>
        </w:rPr>
      </w:pPr>
      <w:r>
        <w:rPr>
          <w:rStyle w:val="Applestylespan"/>
          <w:rFonts w:ascii="標楷體" w:hAnsi="標楷體" w:cs="標楷體" w:eastAsia="標楷體"/>
          <w:b/>
        </w:rPr>
        <w:t>二、安非他命類藥物戒斷反應</w:t>
      </w:r>
    </w:p>
    <w:p>
      <w:pPr>
        <w:pStyle w:val="Normal"/>
        <w:rPr>
          <w:rStyle w:val="Applestylespan"/>
          <w:rFonts w:ascii="標楷體" w:hAnsi="標楷體" w:eastAsia="標楷體" w:cs="標楷體"/>
          <w:b/>
          <w:b/>
        </w:rPr>
      </w:pPr>
      <w:r>
        <w:rPr/>
      </w:r>
    </w:p>
    <w:p>
      <w:pPr>
        <w:pStyle w:val="Normal"/>
        <w:ind w:firstLine="480"/>
        <w:jc w:val="both"/>
        <w:rPr/>
      </w:pPr>
      <w:r>
        <w:rPr>
          <w:rFonts w:ascii="標楷體" w:hAnsi="標楷體" w:cs="標楷體" w:eastAsia="標楷體"/>
          <w:color w:val="000000"/>
        </w:rPr>
        <w:t>安非他命戒斷症狀的呈現，可以從輕微程度到極明顯狀態，臨床上須注意的是輕微程度的戒斷症狀有可能受到個案缺乏病識感、或是否認、防衛的態度而遭到忽略。常見且容易觀察到的安非他命戒斷症狀包含了嗜睡、食慾增加、與疲累等。安非他命相關的戒斷症狀亦可被歸納成三大類，第一項稱為過度警覺因子﹙</w:t>
      </w:r>
      <w:r>
        <w:rPr>
          <w:rFonts w:eastAsia="標楷體" w:cs="標楷體" w:ascii="標楷體" w:hAnsi="標楷體"/>
          <w:color w:val="000000"/>
        </w:rPr>
        <w:t>hyperarousal factor</w:t>
      </w:r>
      <w:r>
        <w:rPr>
          <w:rFonts w:ascii="標楷體" w:hAnsi="標楷體" w:cs="標楷體" w:eastAsia="標楷體"/>
          <w:color w:val="000000"/>
        </w:rPr>
        <w:t>），包括藥物渴癮、激動、與鮮明或不愉快的夢等三項症狀；第二項稱為逆轉植物性因子﹙</w:t>
      </w:r>
      <w:r>
        <w:rPr>
          <w:rFonts w:eastAsia="標楷體" w:cs="標楷體" w:ascii="標楷體" w:hAnsi="標楷體"/>
          <w:color w:val="000000"/>
        </w:rPr>
        <w:t>reversed vegetative factor</w:t>
      </w:r>
      <w:r>
        <w:rPr>
          <w:rFonts w:ascii="標楷體" w:hAnsi="標楷體" w:cs="標楷體" w:eastAsia="標楷體"/>
          <w:color w:val="000000"/>
        </w:rPr>
        <w:t>），包括體力減少、食慾增加、與渴求睡眠等三項症狀；最後一項稱為焦慮因子﹙</w:t>
      </w:r>
      <w:r>
        <w:rPr>
          <w:rFonts w:eastAsia="標楷體" w:cs="標楷體" w:ascii="標楷體" w:hAnsi="標楷體"/>
          <w:color w:val="000000"/>
        </w:rPr>
        <w:t>anxiety factor</w:t>
      </w:r>
      <w:r>
        <w:rPr>
          <w:rFonts w:ascii="標楷體" w:hAnsi="標楷體" w:cs="標楷體" w:eastAsia="標楷體"/>
          <w:color w:val="000000"/>
        </w:rPr>
        <w:t>），包括失去興趣或樂趣、焦慮、行動變慢等三項症狀，尚有一項戒斷症狀為惡劣心情，則可歸納至第一與第二項因子。</w:t>
      </w:r>
    </w:p>
    <w:p>
      <w:pPr>
        <w:pStyle w:val="Normal"/>
        <w:rPr>
          <w:rStyle w:val="Applestylespan"/>
          <w:rFonts w:ascii="標楷體" w:hAnsi="標楷體" w:eastAsia="標楷體" w:cs="標楷體"/>
        </w:rPr>
      </w:pPr>
      <w:r>
        <w:rPr>
          <w:rFonts w:eastAsia="標楷體" w:cs="標楷體" w:ascii="標楷體" w:hAnsi="標楷體"/>
          <w:color w:val="000000"/>
        </w:rPr>
      </w:r>
    </w:p>
    <w:p>
      <w:pPr>
        <w:pStyle w:val="Style30"/>
        <w:rPr>
          <w:rFonts w:ascii="標楷體" w:hAnsi="標楷體" w:eastAsia="標楷體" w:cs="標楷體"/>
          <w:b/>
          <w:b/>
          <w:color w:val="000000"/>
          <w:sz w:val="24"/>
          <w:szCs w:val="24"/>
        </w:rPr>
      </w:pPr>
      <w:bookmarkStart w:id="14" w:name="__RefHeading___Toc315757851"/>
      <w:r>
        <w:rPr>
          <w:rFonts w:ascii="標楷體" w:hAnsi="標楷體" w:cs="標楷體" w:eastAsia="標楷體"/>
          <w:sz w:val="24"/>
          <w:szCs w:val="24"/>
        </w:rPr>
        <w:t xml:space="preserve">圖表 </w:t>
      </w:r>
      <w:r>
        <w:rPr>
          <w:rFonts w:ascii="標楷體" w:hAnsi="標楷體" w:cs="標楷體" w:eastAsia="標楷體"/>
          <w:sz w:val="24"/>
          <w:szCs w:val="24"/>
        </w:rPr>
        <w:fldChar w:fldCharType="begin"/>
      </w:r>
      <w:r>
        <w:rPr>
          <w:sz w:val="24"/>
          <w:szCs w:val="24"/>
          <w:rFonts w:ascii="標楷體" w:hAnsi="標楷體" w:cs="標楷體" w:eastAsia="標楷體"/>
        </w:rPr>
        <w:instrText> SEQ 圖表 \* ARABIC </w:instrText>
      </w:r>
      <w:r>
        <w:rPr>
          <w:sz w:val="24"/>
          <w:szCs w:val="24"/>
          <w:rFonts w:ascii="標楷體" w:hAnsi="標楷體" w:cs="標楷體" w:eastAsia="標楷體"/>
        </w:rPr>
        <w:fldChar w:fldCharType="separate"/>
      </w:r>
      <w:r>
        <w:rPr>
          <w:sz w:val="24"/>
          <w:szCs w:val="24"/>
          <w:rFonts w:ascii="標楷體" w:hAnsi="標楷體" w:cs="標楷體" w:eastAsia="標楷體"/>
        </w:rPr>
        <w:t>5</w:t>
      </w:r>
      <w:r>
        <w:rPr>
          <w:sz w:val="24"/>
          <w:szCs w:val="24"/>
          <w:rFonts w:ascii="標楷體" w:hAnsi="標楷體" w:cs="標楷體" w:eastAsia="標楷體"/>
        </w:rPr>
        <w:fldChar w:fldCharType="end"/>
      </w:r>
      <w:r>
        <w:rPr>
          <w:rFonts w:ascii="標楷體" w:hAnsi="標楷體" w:cs="標楷體" w:eastAsia="標楷體"/>
          <w:sz w:val="24"/>
          <w:szCs w:val="24"/>
        </w:rPr>
        <w:t xml:space="preserve"> </w:t>
      </w:r>
      <w:r>
        <w:rPr>
          <w:rFonts w:ascii="標楷體" w:hAnsi="標楷體" w:cs="標楷體" w:eastAsia="標楷體"/>
          <w:b/>
          <w:color w:val="000000"/>
          <w:sz w:val="24"/>
          <w:szCs w:val="24"/>
        </w:rPr>
        <w:t>安非他命戒斷</w:t>
      </w:r>
    </w:p>
    <w:p>
      <w:pPr>
        <w:pStyle w:val="Style30"/>
        <w:rPr/>
      </w:pPr>
      <w:r>
        <w:rPr/>
        <w:t>（精神疾患診斷與統計手冊</w:t>
      </w:r>
      <w:r>
        <w:rPr/>
        <w:t>-</w:t>
      </w:r>
      <w:r>
        <w:rPr/>
        <w:t>第四版</w:t>
      </w:r>
      <w:r>
        <w:rPr/>
        <w:t>-</w:t>
      </w:r>
      <w:r>
        <w:rPr/>
        <w:t>文字修訂版）</w:t>
      </w:r>
      <w:bookmarkEnd w:id="14"/>
    </w:p>
    <w:tbl>
      <w:tblPr>
        <w:tblW w:w="6548" w:type="dxa"/>
        <w:jc w:val="left"/>
        <w:tblInd w:w="0" w:type="dxa"/>
        <w:tblLayout w:type="fixed"/>
        <w:tblCellMar>
          <w:top w:w="0" w:type="dxa"/>
          <w:left w:w="28" w:type="dxa"/>
          <w:bottom w:w="0" w:type="dxa"/>
          <w:right w:w="28" w:type="dxa"/>
        </w:tblCellMar>
      </w:tblPr>
      <w:tblGrid>
        <w:gridCol w:w="6548"/>
      </w:tblGrid>
      <w:tr>
        <w:trPr/>
        <w:tc>
          <w:tcPr>
            <w:tcW w:w="6548" w:type="dxa"/>
            <w:tcBorders>
              <w:top w:val="single" w:sz="12" w:space="0" w:color="008000"/>
              <w:bottom w:val="single" w:sz="6" w:space="0" w:color="008000"/>
            </w:tcBorders>
          </w:tcPr>
          <w:p>
            <w:pPr>
              <w:pStyle w:val="Normal"/>
              <w:rPr>
                <w:rFonts w:ascii="標楷體" w:hAnsi="標楷體" w:eastAsia="標楷體" w:cs="標楷體"/>
                <w:color w:val="000000"/>
              </w:rPr>
            </w:pPr>
            <w:r>
              <w:rPr>
                <w:rFonts w:ascii="標楷體" w:hAnsi="標楷體" w:cs="標楷體" w:eastAsia="標楷體"/>
                <w:color w:val="000000"/>
              </w:rPr>
              <w:t>安非他命戒斷</w:t>
            </w:r>
          </w:p>
        </w:tc>
      </w:tr>
      <w:tr>
        <w:trPr/>
        <w:tc>
          <w:tcPr>
            <w:tcW w:w="6548" w:type="dxa"/>
            <w:tcBorders>
              <w:top w:val="single" w:sz="6" w:space="0" w:color="008000"/>
              <w:bottom w:val="single" w:sz="12" w:space="0" w:color="008000"/>
            </w:tcBorders>
          </w:tcPr>
          <w:p>
            <w:pPr>
              <w:pStyle w:val="Normal"/>
              <w:numPr>
                <w:ilvl w:val="0"/>
                <w:numId w:val="14"/>
              </w:numPr>
              <w:rPr>
                <w:rFonts w:ascii="標楷體" w:hAnsi="標楷體" w:eastAsia="標楷體" w:cs="標楷體"/>
                <w:color w:val="000000"/>
              </w:rPr>
            </w:pPr>
            <w:r>
              <w:rPr>
                <w:rFonts w:ascii="標楷體" w:hAnsi="標楷體" w:cs="標楷體" w:eastAsia="標楷體"/>
                <w:color w:val="000000"/>
              </w:rPr>
              <w:t>在大量及長期使用後，中止或減少安非他命類藥物的使用量。</w:t>
            </w:r>
          </w:p>
          <w:p>
            <w:pPr>
              <w:pStyle w:val="Normal"/>
              <w:numPr>
                <w:ilvl w:val="0"/>
                <w:numId w:val="14"/>
              </w:numPr>
              <w:rPr>
                <w:rFonts w:ascii="標楷體" w:hAnsi="標楷體" w:eastAsia="標楷體" w:cs="標楷體"/>
                <w:color w:val="000000"/>
              </w:rPr>
            </w:pPr>
            <w:r>
              <w:rPr>
                <w:rFonts w:ascii="標楷體" w:hAnsi="標楷體" w:cs="標楷體" w:eastAsia="標楷體"/>
                <w:color w:val="000000"/>
              </w:rPr>
              <w:t>在上述情形發生數小時或數天之後，出現惡劣心情，以及下列生理變化出現兩項或兩項以上：</w:t>
            </w:r>
          </w:p>
          <w:p>
            <w:pPr>
              <w:pStyle w:val="Normal"/>
              <w:numPr>
                <w:ilvl w:val="0"/>
                <w:numId w:val="5"/>
              </w:numPr>
              <w:rPr>
                <w:rFonts w:ascii="標楷體" w:hAnsi="標楷體" w:eastAsia="標楷體" w:cs="標楷體"/>
                <w:color w:val="000000"/>
              </w:rPr>
            </w:pPr>
            <w:r>
              <w:rPr>
                <w:rFonts w:ascii="標楷體" w:hAnsi="標楷體" w:cs="標楷體" w:eastAsia="標楷體"/>
                <w:color w:val="000000"/>
              </w:rPr>
              <w:t>疲累；</w:t>
            </w:r>
          </w:p>
          <w:p>
            <w:pPr>
              <w:pStyle w:val="Normal"/>
              <w:numPr>
                <w:ilvl w:val="0"/>
                <w:numId w:val="5"/>
              </w:numPr>
              <w:rPr>
                <w:rFonts w:ascii="標楷體" w:hAnsi="標楷體" w:eastAsia="標楷體" w:cs="標楷體"/>
                <w:color w:val="000000"/>
              </w:rPr>
            </w:pPr>
            <w:r>
              <w:rPr>
                <w:rFonts w:ascii="標楷體" w:hAnsi="標楷體" w:cs="標楷體" w:eastAsia="標楷體"/>
                <w:color w:val="000000"/>
              </w:rPr>
              <w:t>鮮明而不愉快的夢；</w:t>
            </w:r>
          </w:p>
          <w:p>
            <w:pPr>
              <w:pStyle w:val="Normal"/>
              <w:numPr>
                <w:ilvl w:val="0"/>
                <w:numId w:val="5"/>
              </w:numPr>
              <w:rPr>
                <w:rFonts w:ascii="標楷體" w:hAnsi="標楷體" w:eastAsia="標楷體" w:cs="標楷體"/>
                <w:color w:val="000000"/>
              </w:rPr>
            </w:pPr>
            <w:r>
              <w:rPr>
                <w:rFonts w:ascii="標楷體" w:hAnsi="標楷體" w:cs="標楷體" w:eastAsia="標楷體"/>
                <w:color w:val="000000"/>
              </w:rPr>
              <w:t>失眠或嗜睡；</w:t>
            </w:r>
          </w:p>
          <w:p>
            <w:pPr>
              <w:pStyle w:val="Normal"/>
              <w:numPr>
                <w:ilvl w:val="0"/>
                <w:numId w:val="5"/>
              </w:numPr>
              <w:rPr>
                <w:rFonts w:ascii="標楷體" w:hAnsi="標楷體" w:eastAsia="標楷體" w:cs="標楷體"/>
                <w:color w:val="000000"/>
              </w:rPr>
            </w:pPr>
            <w:r>
              <w:rPr>
                <w:rFonts w:ascii="標楷體" w:hAnsi="標楷體" w:cs="標楷體" w:eastAsia="標楷體"/>
                <w:color w:val="000000"/>
              </w:rPr>
              <w:t>食慾增加；</w:t>
            </w:r>
          </w:p>
          <w:p>
            <w:pPr>
              <w:pStyle w:val="Normal"/>
              <w:numPr>
                <w:ilvl w:val="0"/>
                <w:numId w:val="5"/>
              </w:numPr>
              <w:rPr>
                <w:rFonts w:ascii="標楷體" w:hAnsi="標楷體" w:eastAsia="標楷體" w:cs="標楷體"/>
                <w:color w:val="000000"/>
              </w:rPr>
            </w:pPr>
            <w:r>
              <w:rPr>
                <w:rFonts w:ascii="標楷體" w:hAnsi="標楷體" w:cs="標楷體" w:eastAsia="標楷體"/>
                <w:color w:val="000000"/>
              </w:rPr>
              <w:t>精神運動性遲滯或激動。</w:t>
            </w:r>
          </w:p>
          <w:p>
            <w:pPr>
              <w:pStyle w:val="Normal"/>
              <w:numPr>
                <w:ilvl w:val="0"/>
                <w:numId w:val="14"/>
              </w:numPr>
              <w:rPr>
                <w:rFonts w:ascii="標楷體" w:hAnsi="標楷體" w:eastAsia="標楷體" w:cs="標楷體"/>
                <w:color w:val="000000"/>
              </w:rPr>
            </w:pPr>
            <w:r>
              <w:rPr>
                <w:rFonts w:ascii="標楷體" w:hAnsi="標楷體" w:cs="標楷體" w:eastAsia="標楷體"/>
                <w:color w:val="000000"/>
              </w:rPr>
              <w:t>這些症狀造成臨床上重大痛苦，或損害社會、職業或其他重要領域的功能。</w:t>
            </w:r>
          </w:p>
          <w:p>
            <w:pPr>
              <w:pStyle w:val="Normal"/>
              <w:numPr>
                <w:ilvl w:val="0"/>
                <w:numId w:val="14"/>
              </w:numPr>
              <w:rPr>
                <w:rFonts w:ascii="標楷體" w:hAnsi="標楷體" w:eastAsia="標楷體" w:cs="標楷體"/>
                <w:color w:val="000000"/>
              </w:rPr>
            </w:pPr>
            <w:r>
              <w:rPr>
                <w:rFonts w:ascii="標楷體" w:hAnsi="標楷體" w:cs="標楷體" w:eastAsia="標楷體"/>
                <w:color w:val="000000"/>
              </w:rPr>
              <w:t>症狀並非由一般性醫學狀況所造成，也無法以其他精神疾患做更佳解釋。</w:t>
            </w:r>
          </w:p>
        </w:tc>
      </w:tr>
    </w:tbl>
    <w:p>
      <w:pPr>
        <w:pStyle w:val="Normal"/>
        <w:ind w:left="720" w:hanging="720"/>
        <w:rPr/>
      </w:pPr>
      <w:r>
        <w:rPr>
          <w:rFonts w:ascii="標楷體" w:hAnsi="標楷體" w:cs="標楷體" w:eastAsia="標楷體"/>
          <w:color w:val="000000"/>
        </w:rPr>
        <w:t>資料來源：</w:t>
      </w:r>
      <w:r>
        <w:rPr>
          <w:rFonts w:cs="Calibri" w:eastAsia="Calibri"/>
        </w:rPr>
        <w:t xml:space="preserve"> </w:t>
      </w:r>
    </w:p>
    <w:p>
      <w:pPr>
        <w:pStyle w:val="Normal"/>
        <w:rPr>
          <w:rStyle w:val="Applestylespan"/>
        </w:rPr>
      </w:pPr>
      <w:r>
        <w:rPr/>
      </w:r>
    </w:p>
    <w:p>
      <w:pPr>
        <w:pStyle w:val="Normal"/>
        <w:rPr>
          <w:rFonts w:ascii="標楷體" w:hAnsi="標楷體" w:eastAsia="標楷體" w:cs="標楷體"/>
          <w:b/>
          <w:b/>
          <w:color w:val="000000"/>
        </w:rPr>
      </w:pPr>
      <w:r>
        <w:rPr>
          <w:rFonts w:ascii="標楷體" w:hAnsi="標楷體" w:cs="標楷體" w:eastAsia="標楷體"/>
          <w:b/>
          <w:color w:val="000000"/>
        </w:rPr>
        <w:t>三、安非他命類藥物引起之精神病</w:t>
      </w:r>
    </w:p>
    <w:p>
      <w:pPr>
        <w:pStyle w:val="Normal"/>
        <w:rPr>
          <w:rFonts w:ascii="標楷體" w:hAnsi="標楷體" w:eastAsia="標楷體" w:cs="標楷體"/>
          <w:b/>
          <w:b/>
          <w:color w:val="000000"/>
        </w:rPr>
      </w:pPr>
      <w:r>
        <w:rPr>
          <w:rFonts w:eastAsia="標楷體" w:cs="標楷體" w:ascii="標楷體" w:hAnsi="標楷體"/>
          <w:b/>
          <w:color w:val="000000"/>
        </w:rPr>
      </w:r>
    </w:p>
    <w:p>
      <w:pPr>
        <w:pStyle w:val="Normal"/>
        <w:ind w:firstLine="480"/>
        <w:rPr>
          <w:rFonts w:ascii="標楷體" w:hAnsi="標楷體" w:eastAsia="標楷體" w:cs="標楷體"/>
          <w:color w:val="000000"/>
        </w:rPr>
      </w:pPr>
      <w:r>
        <w:rPr>
          <w:rFonts w:ascii="標楷體" w:hAnsi="標楷體" w:cs="標楷體" w:eastAsia="標楷體"/>
          <w:color w:val="000000"/>
        </w:rPr>
        <w:t>安非他命精神病的典型臨床表現，為個案在使用安非他命類藥物後，在意識清醒的情形下出現高度的多疑與被害妄想，除了妄想症狀外，亦可能發生幻覺症狀，大多是以聽幻覺或觸幻覺（例如覺得有蟲在身上爬）等形式出現，也可能出現視幻覺或錯覺等情形。雖然這種精神病症狀會在停用安非他命類藥物之後，幾天或幾週左右消失，也可由抗精神病劑或鎮靜劑等藥物得到適當控制，但是在尚未接受治療前，可能會有情緒激動或不穩定的狀況，特別是個案受被害妄想影響，感到極度驚恐或者是多疑程度升高時，可能會因為缺乏病識感而出現暴力行為。</w:t>
      </w:r>
    </w:p>
    <w:p>
      <w:pPr>
        <w:pStyle w:val="Normal"/>
        <w:ind w:firstLine="480"/>
        <w:rPr>
          <w:rFonts w:ascii="標楷體" w:hAnsi="標楷體" w:eastAsia="標楷體" w:cs="標楷體"/>
          <w:color w:val="000000"/>
        </w:rPr>
      </w:pPr>
      <w:r>
        <w:rPr>
          <w:rFonts w:eastAsia="標楷體" w:cs="標楷體" w:ascii="標楷體" w:hAnsi="標楷體"/>
          <w:color w:val="000000"/>
        </w:rPr>
      </w:r>
    </w:p>
    <w:p>
      <w:pPr>
        <w:pStyle w:val="Normal"/>
        <w:ind w:firstLine="480"/>
        <w:rPr>
          <w:rStyle w:val="Applestylespan"/>
        </w:rPr>
      </w:pPr>
      <w:r>
        <w:rPr>
          <w:rFonts w:ascii="標楷體" w:hAnsi="標楷體" w:cs="標楷體" w:eastAsia="標楷體"/>
          <w:color w:val="000000"/>
        </w:rPr>
        <w:t>復發使用安非他命，可能造成精神病症狀快速且劇烈地呈現，此為敏感化</w:t>
      </w:r>
      <w:r>
        <w:rPr>
          <w:rFonts w:eastAsia="標楷體" w:cs="標楷體" w:ascii="標楷體" w:hAnsi="標楷體"/>
          <w:color w:val="000000"/>
        </w:rPr>
        <w:t>(sensitization)</w:t>
      </w:r>
      <w:r>
        <w:rPr>
          <w:rFonts w:ascii="標楷體" w:hAnsi="標楷體" w:cs="標楷體" w:eastAsia="標楷體"/>
          <w:color w:val="000000"/>
        </w:rPr>
        <w:t>的表現之一。安非他命精神病的另一個特別現象，就是病人也可能會在安非他命停用的情形下，因為壓力而造成精神病症狀的復發，此時在安非他命復發使用的判斷上，須特別注意尿液藥物篩檢、戒斷症狀表現是否符合安非他命復發使用的情形。</w:t>
      </w:r>
    </w:p>
    <w:p>
      <w:pPr>
        <w:pStyle w:val="Normal"/>
        <w:rPr>
          <w:rStyle w:val="Applestylespan"/>
        </w:rPr>
      </w:pPr>
      <w:r>
        <w:rPr/>
      </w:r>
    </w:p>
    <w:p>
      <w:pPr>
        <w:pStyle w:val="Normal"/>
        <w:rPr>
          <w:rStyle w:val="Applestylespan"/>
        </w:rPr>
      </w:pPr>
      <w:r>
        <w:rPr>
          <w:rStyle w:val="Applestylespan"/>
          <w:rFonts w:ascii="標楷體" w:hAnsi="標楷體" w:cs="標楷體" w:eastAsia="標楷體"/>
          <w:b/>
        </w:rPr>
        <w:t>四、大麻依賴</w:t>
      </w:r>
    </w:p>
    <w:p>
      <w:pPr>
        <w:pStyle w:val="Normal"/>
        <w:rPr>
          <w:rStyle w:val="Applestylespan"/>
          <w:rFonts w:ascii="標楷體" w:hAnsi="標楷體" w:eastAsia="標楷體" w:cs="標楷體"/>
          <w:b/>
          <w:b/>
        </w:rPr>
      </w:pPr>
      <w:r>
        <w:rPr/>
      </w:r>
    </w:p>
    <w:p>
      <w:pPr>
        <w:pStyle w:val="Normal"/>
        <w:ind w:firstLine="480"/>
        <w:rPr>
          <w:rStyle w:val="Applestylespan"/>
          <w:rFonts w:ascii="標楷體" w:hAnsi="標楷體" w:eastAsia="標楷體" w:cs="標楷體"/>
        </w:rPr>
      </w:pPr>
      <w:r>
        <w:rPr>
          <w:rStyle w:val="Applestylespan"/>
          <w:rFonts w:ascii="標楷體" w:hAnsi="標楷體" w:cs="標楷體" w:eastAsia="標楷體"/>
        </w:rPr>
        <w:t>由於國情與文化上的差異，我國對於大麻依賴的治療目標，仍應該放在完全的戒斷狀態。</w:t>
      </w:r>
    </w:p>
    <w:p>
      <w:pPr>
        <w:pStyle w:val="Normal"/>
        <w:ind w:firstLine="480"/>
        <w:rPr>
          <w:rStyle w:val="Applestylespan"/>
          <w:rFonts w:ascii="標楷體" w:hAnsi="標楷體" w:eastAsia="標楷體" w:cs="標楷體"/>
        </w:rPr>
      </w:pPr>
      <w:r>
        <w:rPr/>
      </w:r>
    </w:p>
    <w:p>
      <w:pPr>
        <w:pStyle w:val="Normal"/>
        <w:ind w:firstLine="480"/>
        <w:rPr>
          <w:rStyle w:val="Applestylespan"/>
          <w:rFonts w:ascii="標楷體" w:hAnsi="標楷體" w:eastAsia="標楷體" w:cs="標楷體"/>
        </w:rPr>
      </w:pPr>
      <w:r>
        <w:rPr>
          <w:rStyle w:val="Applestylespan"/>
          <w:rFonts w:ascii="標楷體" w:hAnsi="標楷體" w:cs="標楷體" w:eastAsia="標楷體"/>
        </w:rPr>
        <w:t>治療的首要步驟是進行大麻解毒治療，在戒斷狀態結束後，必須繼續與個案進行維持治療。</w:t>
      </w:r>
    </w:p>
    <w:p>
      <w:pPr>
        <w:pStyle w:val="Normal"/>
        <w:rPr>
          <w:rStyle w:val="Applestylespan"/>
          <w:rFonts w:ascii="標楷體" w:hAnsi="標楷體" w:eastAsia="標楷體" w:cs="標楷體"/>
        </w:rPr>
      </w:pPr>
      <w:r>
        <w:rPr/>
      </w:r>
    </w:p>
    <w:p>
      <w:pPr>
        <w:pStyle w:val="Normal"/>
        <w:rPr>
          <w:rStyle w:val="Applestylespan"/>
          <w:rFonts w:ascii="標楷體" w:hAnsi="標楷體" w:eastAsia="標楷體" w:cs="標楷體"/>
          <w:b/>
          <w:b/>
        </w:rPr>
      </w:pPr>
      <w:r>
        <w:rPr>
          <w:rStyle w:val="Applestylespan"/>
          <w:rFonts w:eastAsia="標楷體" w:cs="標楷體" w:ascii="標楷體" w:hAnsi="標楷體"/>
          <w:b/>
        </w:rPr>
        <w:t>(</w:t>
      </w:r>
      <w:r>
        <w:rPr>
          <w:rStyle w:val="Applestylespan"/>
          <w:rFonts w:ascii="標楷體" w:hAnsi="標楷體" w:cs="標楷體" w:eastAsia="標楷體"/>
          <w:b/>
        </w:rPr>
        <w:t>一</w:t>
      </w:r>
      <w:r>
        <w:rPr>
          <w:rStyle w:val="Applestylespan"/>
          <w:rFonts w:eastAsia="標楷體" w:cs="標楷體" w:ascii="標楷體" w:hAnsi="標楷體"/>
          <w:b/>
        </w:rPr>
        <w:t xml:space="preserve">) </w:t>
      </w:r>
      <w:r>
        <w:rPr>
          <w:rStyle w:val="Applestylespan"/>
          <w:rFonts w:ascii="標楷體" w:hAnsi="標楷體" w:cs="標楷體" w:eastAsia="標楷體"/>
          <w:b/>
        </w:rPr>
        <w:t>大麻戒斷與大麻解毒治療：</w:t>
      </w:r>
    </w:p>
    <w:p>
      <w:pPr>
        <w:pStyle w:val="Normal"/>
        <w:rPr>
          <w:rStyle w:val="Applestylespan"/>
          <w:rFonts w:ascii="標楷體" w:hAnsi="標楷體" w:eastAsia="標楷體" w:cs="標楷體"/>
          <w:b/>
          <w:b/>
        </w:rPr>
      </w:pPr>
      <w:r>
        <w:rPr/>
      </w:r>
    </w:p>
    <w:p>
      <w:pPr>
        <w:pStyle w:val="Normal"/>
        <w:ind w:firstLine="480"/>
        <w:rPr/>
      </w:pPr>
      <w:r>
        <w:rPr>
          <w:rFonts w:ascii="標楷體" w:hAnsi="標楷體" w:cs="標楷體" w:eastAsia="標楷體"/>
        </w:rPr>
        <w:t>由於過去的觀念並不認為大麻使用者會出現戒斷症狀，因此在</w:t>
      </w:r>
      <w:r>
        <w:rPr>
          <w:rFonts w:eastAsia="標楷體" w:cs="標楷體" w:ascii="標楷體" w:hAnsi="標楷體"/>
        </w:rPr>
        <w:t>DSM-IV</w:t>
      </w:r>
      <w:r>
        <w:rPr>
          <w:rFonts w:ascii="標楷體" w:hAnsi="標楷體" w:cs="標楷體" w:eastAsia="標楷體"/>
        </w:rPr>
        <w:t>的診斷系統裡面並沒有大麻戒斷的診斷存在。然而隨著醫學證據的逐漸累積，大麻成癮使用者的戒斷症狀也逐漸被確認出來。接下來的</w:t>
      </w:r>
      <w:r>
        <w:rPr>
          <w:rFonts w:eastAsia="標楷體" w:cs="標楷體" w:ascii="標楷體" w:hAnsi="標楷體"/>
        </w:rPr>
        <w:t>DSM-V</w:t>
      </w:r>
      <w:r>
        <w:rPr>
          <w:rFonts w:ascii="標楷體" w:hAnsi="標楷體" w:cs="標楷體" w:eastAsia="標楷體"/>
        </w:rPr>
        <w:t>診斷準則改版，可能會將大麻戒斷的診斷確立下來。</w:t>
      </w:r>
    </w:p>
    <w:p>
      <w:pPr>
        <w:pStyle w:val="Normal"/>
        <w:ind w:firstLine="480"/>
        <w:rPr>
          <w:rFonts w:ascii="標楷體" w:hAnsi="標楷體" w:eastAsia="標楷體" w:cs="標楷體"/>
        </w:rPr>
      </w:pPr>
      <w:r>
        <w:rPr>
          <w:rFonts w:eastAsia="標楷體" w:cs="標楷體" w:ascii="標楷體" w:hAnsi="標楷體"/>
        </w:rPr>
      </w:r>
    </w:p>
    <w:p>
      <w:pPr>
        <w:pStyle w:val="Normal"/>
        <w:ind w:firstLine="480"/>
        <w:rPr>
          <w:rFonts w:ascii="標楷體" w:hAnsi="標楷體" w:eastAsia="標楷體" w:cs="標楷體"/>
        </w:rPr>
      </w:pPr>
      <w:r>
        <w:rPr>
          <w:rStyle w:val="Applestylespan"/>
          <w:rFonts w:ascii="標楷體" w:hAnsi="標楷體" w:cs="標楷體" w:eastAsia="標楷體"/>
        </w:rPr>
        <w:t>長期使用大麻的個案，可能在解毒階段會出現戒斷症狀。</w:t>
      </w:r>
      <w:r>
        <w:rPr>
          <w:rFonts w:ascii="標楷體" w:hAnsi="標楷體" w:cs="標楷體" w:eastAsia="標楷體"/>
        </w:rPr>
        <w:t>常見的大麻戒斷症狀，包括情緒易怒、生氣或具攻擊性、緊張或焦慮、睡眠困難</w:t>
      </w:r>
      <w:r>
        <w:rPr>
          <w:rFonts w:eastAsia="標楷體" w:cs="標楷體" w:ascii="標楷體" w:hAnsi="標楷體"/>
        </w:rPr>
        <w:t>(</w:t>
      </w:r>
      <w:r>
        <w:rPr>
          <w:rFonts w:ascii="標楷體" w:hAnsi="標楷體" w:cs="標楷體" w:eastAsia="標楷體"/>
        </w:rPr>
        <w:t>失眠</w:t>
      </w:r>
      <w:r>
        <w:rPr>
          <w:rFonts w:eastAsia="標楷體" w:cs="標楷體" w:ascii="標楷體" w:hAnsi="標楷體"/>
        </w:rPr>
        <w:t>)</w:t>
      </w:r>
      <w:r>
        <w:rPr>
          <w:rFonts w:ascii="標楷體" w:hAnsi="標楷體" w:cs="標楷體" w:eastAsia="標楷體"/>
        </w:rPr>
        <w:t>、胃口降低或體重下降、坐立不安、憂鬱、身體不適</w:t>
      </w:r>
      <w:r>
        <w:rPr>
          <w:rFonts w:eastAsia="標楷體" w:cs="標楷體" w:ascii="標楷體" w:hAnsi="標楷體"/>
        </w:rPr>
        <w:t>(</w:t>
      </w:r>
      <w:r>
        <w:rPr>
          <w:rFonts w:ascii="標楷體" w:hAnsi="標楷體" w:cs="標楷體" w:eastAsia="標楷體"/>
        </w:rPr>
        <w:t>如胃痛、顫抖、盜汗、發燒、冷顫、頭痛等</w:t>
      </w:r>
      <w:r>
        <w:rPr>
          <w:rFonts w:eastAsia="標楷體" w:cs="標楷體" w:ascii="標楷體" w:hAnsi="標楷體"/>
        </w:rPr>
        <w:t>)</w:t>
      </w:r>
      <w:r>
        <w:rPr>
          <w:rFonts w:ascii="標楷體" w:hAnsi="標楷體" w:cs="標楷體" w:eastAsia="標楷體"/>
        </w:rPr>
        <w:t>。</w:t>
      </w:r>
    </w:p>
    <w:p>
      <w:pPr>
        <w:pStyle w:val="Normal"/>
        <w:ind w:firstLine="480"/>
        <w:rPr>
          <w:rStyle w:val="Applestylespan"/>
          <w:rFonts w:ascii="標楷體" w:hAnsi="標楷體" w:eastAsia="標楷體" w:cs="標楷體"/>
        </w:rPr>
      </w:pPr>
      <w:r>
        <w:rPr>
          <w:rFonts w:eastAsia="標楷體" w:cs="標楷體" w:ascii="標楷體" w:hAnsi="標楷體"/>
        </w:rPr>
      </w:r>
    </w:p>
    <w:p>
      <w:pPr>
        <w:pStyle w:val="Normal"/>
        <w:ind w:firstLine="480"/>
        <w:rPr>
          <w:rFonts w:ascii="標楷體" w:hAnsi="標楷體" w:eastAsia="標楷體" w:cs="標楷體"/>
        </w:rPr>
      </w:pPr>
      <w:r>
        <w:rPr>
          <w:rFonts w:ascii="標楷體" w:hAnsi="標楷體" w:cs="標楷體" w:eastAsia="標楷體"/>
        </w:rPr>
        <w:t>單純大麻戒斷症狀，一般不需住院治療，在門診處理即可，戒斷症狀的呈現時間約在</w:t>
      </w:r>
      <w:r>
        <w:rPr>
          <w:rFonts w:eastAsia="標楷體" w:cs="標楷體" w:ascii="標楷體" w:hAnsi="標楷體"/>
        </w:rPr>
        <w:t>7-10</w:t>
      </w:r>
      <w:r>
        <w:rPr>
          <w:rFonts w:ascii="標楷體" w:hAnsi="標楷體" w:cs="標楷體" w:eastAsia="標楷體"/>
        </w:rPr>
        <w:t>天，給予患者情緒支持及認知治療可以協助患者度過這段時間。</w:t>
      </w:r>
    </w:p>
    <w:p>
      <w:pPr>
        <w:pStyle w:val="Normal"/>
        <w:rPr>
          <w:rFonts w:ascii="標楷體" w:hAnsi="標楷體" w:eastAsia="標楷體" w:cs="標楷體"/>
        </w:rPr>
      </w:pPr>
      <w:r>
        <w:rPr>
          <w:rFonts w:eastAsia="標楷體" w:cs="標楷體" w:ascii="標楷體" w:hAnsi="標楷體"/>
        </w:rPr>
      </w:r>
    </w:p>
    <w:p>
      <w:pPr>
        <w:pStyle w:val="Normal"/>
        <w:rPr>
          <w:rFonts w:ascii="標楷體" w:hAnsi="標楷體" w:eastAsia="標楷體" w:cs="標楷體"/>
          <w:b/>
          <w:b/>
        </w:rPr>
      </w:pPr>
      <w:r>
        <w:rPr>
          <w:rFonts w:eastAsia="標楷體" w:cs="標楷體" w:ascii="標楷體" w:hAnsi="標楷體"/>
          <w:b/>
        </w:rPr>
        <w:t>(</w:t>
      </w:r>
      <w:r>
        <w:rPr>
          <w:rFonts w:ascii="標楷體" w:hAnsi="標楷體" w:cs="標楷體" w:eastAsia="標楷體"/>
          <w:b/>
        </w:rPr>
        <w:t>二</w:t>
      </w:r>
      <w:r>
        <w:rPr>
          <w:rFonts w:eastAsia="標楷體" w:cs="標楷體" w:ascii="標楷體" w:hAnsi="標楷體"/>
          <w:b/>
        </w:rPr>
        <w:t xml:space="preserve">) </w:t>
      </w:r>
      <w:r>
        <w:rPr>
          <w:rFonts w:ascii="標楷體" w:hAnsi="標楷體" w:cs="標楷體" w:eastAsia="標楷體"/>
          <w:b/>
        </w:rPr>
        <w:t>複雜性大麻濫用個案：</w:t>
      </w:r>
    </w:p>
    <w:p>
      <w:pPr>
        <w:pStyle w:val="Normal"/>
        <w:rPr>
          <w:rFonts w:ascii="標楷體" w:hAnsi="標楷體" w:eastAsia="標楷體" w:cs="標楷體"/>
          <w:b/>
          <w:b/>
        </w:rPr>
      </w:pPr>
      <w:r>
        <w:rPr>
          <w:rFonts w:eastAsia="標楷體" w:cs="標楷體" w:ascii="標楷體" w:hAnsi="標楷體"/>
          <w:b/>
        </w:rPr>
      </w:r>
    </w:p>
    <w:p>
      <w:pPr>
        <w:pStyle w:val="Normal"/>
        <w:ind w:firstLine="480"/>
        <w:rPr>
          <w:rFonts w:ascii="標楷體" w:hAnsi="標楷體" w:eastAsia="標楷體" w:cs="標楷體"/>
        </w:rPr>
      </w:pPr>
      <w:r>
        <w:rPr>
          <w:rFonts w:ascii="標楷體" w:hAnsi="標楷體" w:cs="標楷體" w:eastAsia="標楷體"/>
        </w:rPr>
        <w:t>常見的情形是個案有多重用藥狀況，或者有共病性精神疾病，所以此類個案的臨床表現會較為複雜。對於大麻濫用個案進行多種藥物的尿液篩檢，藉以偵測個案是否有多重用藥問題，並小心評估個案的心理與精神狀態。</w:t>
      </w:r>
    </w:p>
    <w:p>
      <w:pPr>
        <w:pStyle w:val="Normal"/>
        <w:ind w:firstLine="480"/>
        <w:rPr>
          <w:rFonts w:ascii="標楷體" w:hAnsi="標楷體" w:eastAsia="標楷體" w:cs="標楷體"/>
        </w:rPr>
      </w:pPr>
      <w:r>
        <w:rPr>
          <w:rFonts w:eastAsia="標楷體" w:cs="標楷體" w:ascii="標楷體" w:hAnsi="標楷體"/>
        </w:rPr>
      </w:r>
    </w:p>
    <w:p>
      <w:pPr>
        <w:pStyle w:val="Normal"/>
        <w:ind w:firstLine="480"/>
        <w:rPr>
          <w:rFonts w:ascii="標楷體" w:hAnsi="標楷體" w:eastAsia="標楷體" w:cs="標楷體"/>
        </w:rPr>
      </w:pPr>
      <w:r>
        <w:rPr>
          <w:rFonts w:ascii="標楷體" w:hAnsi="標楷體" w:cs="標楷體" w:eastAsia="標楷體"/>
        </w:rPr>
        <w:t>初期使用大麻個案、或是併用多種物質之大麻濫用個案，仍須注意觀測是否有大麻中毒之相關表現。</w:t>
      </w:r>
    </w:p>
    <w:p>
      <w:pPr>
        <w:pStyle w:val="Style30"/>
        <w:rPr>
          <w:rFonts w:ascii="標楷體" w:hAnsi="標楷體" w:eastAsia="標楷體" w:cs="標楷體"/>
          <w:b/>
          <w:b/>
          <w:color w:val="000000"/>
          <w:sz w:val="24"/>
          <w:szCs w:val="24"/>
        </w:rPr>
      </w:pPr>
      <w:bookmarkStart w:id="15" w:name="__RefHeading___Toc315757852"/>
      <w:r>
        <w:rPr>
          <w:rFonts w:ascii="標楷體" w:hAnsi="標楷體" w:cs="標楷體" w:eastAsia="標楷體"/>
          <w:sz w:val="24"/>
          <w:szCs w:val="24"/>
        </w:rPr>
        <w:t xml:space="preserve">圖表 </w:t>
      </w:r>
      <w:r>
        <w:rPr>
          <w:rFonts w:ascii="標楷體" w:hAnsi="標楷體" w:cs="標楷體" w:eastAsia="標楷體"/>
          <w:sz w:val="24"/>
          <w:szCs w:val="24"/>
        </w:rPr>
        <w:fldChar w:fldCharType="begin"/>
      </w:r>
      <w:r>
        <w:rPr>
          <w:sz w:val="24"/>
          <w:szCs w:val="24"/>
          <w:rFonts w:ascii="標楷體" w:hAnsi="標楷體" w:cs="標楷體" w:eastAsia="標楷體"/>
        </w:rPr>
        <w:instrText> SEQ 圖表 \* ARABIC </w:instrText>
      </w:r>
      <w:r>
        <w:rPr>
          <w:sz w:val="24"/>
          <w:szCs w:val="24"/>
          <w:rFonts w:ascii="標楷體" w:hAnsi="標楷體" w:cs="標楷體" w:eastAsia="標楷體"/>
        </w:rPr>
        <w:fldChar w:fldCharType="separate"/>
      </w:r>
      <w:r>
        <w:rPr>
          <w:sz w:val="24"/>
          <w:szCs w:val="24"/>
          <w:rFonts w:ascii="標楷體" w:hAnsi="標楷體" w:cs="標楷體" w:eastAsia="標楷體"/>
        </w:rPr>
        <w:t>6</w:t>
      </w:r>
      <w:r>
        <w:rPr>
          <w:sz w:val="24"/>
          <w:szCs w:val="24"/>
          <w:rFonts w:ascii="標楷體" w:hAnsi="標楷體" w:cs="標楷體" w:eastAsia="標楷體"/>
        </w:rPr>
        <w:fldChar w:fldCharType="end"/>
      </w:r>
      <w:r>
        <w:rPr>
          <w:rFonts w:ascii="標楷體" w:hAnsi="標楷體" w:cs="標楷體" w:eastAsia="標楷體"/>
          <w:sz w:val="24"/>
          <w:szCs w:val="24"/>
        </w:rPr>
        <w:t xml:space="preserve"> </w:t>
      </w:r>
      <w:r>
        <w:rPr>
          <w:rFonts w:ascii="標楷體" w:hAnsi="標楷體" w:cs="標楷體" w:eastAsia="標楷體"/>
          <w:b/>
          <w:color w:val="000000"/>
          <w:sz w:val="24"/>
          <w:szCs w:val="24"/>
        </w:rPr>
        <w:t>大麻中毒</w:t>
      </w:r>
    </w:p>
    <w:p>
      <w:pPr>
        <w:pStyle w:val="Style30"/>
        <w:rPr/>
      </w:pPr>
      <w:r>
        <w:rPr/>
        <w:t>（精神疾患診斷與統計手冊</w:t>
      </w:r>
      <w:r>
        <w:rPr/>
        <w:t>-</w:t>
      </w:r>
      <w:r>
        <w:rPr/>
        <w:t>第四版</w:t>
      </w:r>
      <w:r>
        <w:rPr/>
        <w:t>-</w:t>
      </w:r>
      <w:r>
        <w:rPr/>
        <w:t>文字修訂版）</w:t>
      </w:r>
      <w:bookmarkEnd w:id="15"/>
    </w:p>
    <w:tbl>
      <w:tblPr>
        <w:tblW w:w="6548" w:type="dxa"/>
        <w:jc w:val="left"/>
        <w:tblInd w:w="0" w:type="dxa"/>
        <w:tblLayout w:type="fixed"/>
        <w:tblCellMar>
          <w:top w:w="0" w:type="dxa"/>
          <w:left w:w="28" w:type="dxa"/>
          <w:bottom w:w="0" w:type="dxa"/>
          <w:right w:w="28" w:type="dxa"/>
        </w:tblCellMar>
      </w:tblPr>
      <w:tblGrid>
        <w:gridCol w:w="6548"/>
      </w:tblGrid>
      <w:tr>
        <w:trPr/>
        <w:tc>
          <w:tcPr>
            <w:tcW w:w="6548" w:type="dxa"/>
            <w:tcBorders>
              <w:top w:val="single" w:sz="12" w:space="0" w:color="008000"/>
              <w:bottom w:val="single" w:sz="6" w:space="0" w:color="008000"/>
            </w:tcBorders>
          </w:tcPr>
          <w:p>
            <w:pPr>
              <w:pStyle w:val="Normal"/>
              <w:rPr/>
            </w:pPr>
            <w:r>
              <w:rPr>
                <w:rFonts w:ascii="標楷體" w:hAnsi="標楷體" w:cs="標楷體" w:eastAsia="標楷體"/>
                <w:color w:val="000000"/>
              </w:rPr>
              <w:t>大麻中毒</w:t>
            </w:r>
          </w:p>
        </w:tc>
      </w:tr>
      <w:tr>
        <w:trPr/>
        <w:tc>
          <w:tcPr>
            <w:tcW w:w="6548" w:type="dxa"/>
            <w:tcBorders>
              <w:top w:val="single" w:sz="6" w:space="0" w:color="008000"/>
              <w:bottom w:val="single" w:sz="12" w:space="0" w:color="008000"/>
            </w:tcBorders>
          </w:tcPr>
          <w:p>
            <w:pPr>
              <w:pStyle w:val="Normal"/>
              <w:numPr>
                <w:ilvl w:val="0"/>
                <w:numId w:val="11"/>
              </w:numPr>
              <w:rPr/>
            </w:pPr>
            <w:r>
              <w:rPr>
                <w:rFonts w:ascii="標楷體" w:hAnsi="標楷體" w:cs="標楷體" w:eastAsia="標楷體"/>
                <w:color w:val="000000"/>
              </w:rPr>
              <w:t>近期內有使用大麻情形。</w:t>
            </w:r>
          </w:p>
          <w:p>
            <w:pPr>
              <w:pStyle w:val="Normal"/>
              <w:numPr>
                <w:ilvl w:val="0"/>
                <w:numId w:val="11"/>
              </w:numPr>
              <w:rPr/>
            </w:pPr>
            <w:r>
              <w:rPr>
                <w:rFonts w:ascii="標楷體" w:hAnsi="標楷體" w:cs="標楷體" w:eastAsia="標楷體"/>
                <w:color w:val="000000"/>
              </w:rPr>
              <w:t>在大麻使用當時或剛使用後，臨床上出現明顯的行為或心理變化</w:t>
            </w:r>
            <w:r>
              <w:rPr>
                <w:rFonts w:eastAsia="標楷體" w:cs="標楷體" w:ascii="標楷體" w:hAnsi="標楷體"/>
                <w:color w:val="000000"/>
              </w:rPr>
              <w:t>(</w:t>
            </w:r>
            <w:r>
              <w:rPr>
                <w:rFonts w:ascii="標楷體" w:hAnsi="標楷體" w:cs="標楷體" w:eastAsia="標楷體"/>
                <w:color w:val="000000"/>
              </w:rPr>
              <w:t>例如運動協調性受損、欣快感、焦慮、感覺時間變慢、判斷力受損、社交退縮等</w:t>
            </w:r>
            <w:r>
              <w:rPr>
                <w:rFonts w:eastAsia="標楷體" w:cs="標楷體" w:ascii="標楷體" w:hAnsi="標楷體"/>
                <w:color w:val="000000"/>
              </w:rPr>
              <w:t>)</w:t>
            </w:r>
            <w:r>
              <w:rPr>
                <w:rFonts w:ascii="標楷體" w:hAnsi="標楷體" w:cs="標楷體" w:eastAsia="標楷體"/>
                <w:color w:val="000000"/>
              </w:rPr>
              <w:t>。</w:t>
            </w:r>
          </w:p>
          <w:p>
            <w:pPr>
              <w:pStyle w:val="Normal"/>
              <w:numPr>
                <w:ilvl w:val="0"/>
                <w:numId w:val="11"/>
              </w:numPr>
              <w:rPr>
                <w:rFonts w:ascii="標楷體" w:hAnsi="標楷體" w:eastAsia="標楷體" w:cs="標楷體"/>
                <w:color w:val="000000"/>
              </w:rPr>
            </w:pPr>
            <w:r>
              <w:rPr>
                <w:rFonts w:ascii="標楷體" w:hAnsi="標楷體" w:cs="標楷體" w:eastAsia="標楷體"/>
                <w:color w:val="000000"/>
              </w:rPr>
              <w:t>在大麻使用當時或使用兩小時內，下列症狀出現兩項或兩項以上：</w:t>
            </w:r>
          </w:p>
          <w:p>
            <w:pPr>
              <w:pStyle w:val="Normal"/>
              <w:numPr>
                <w:ilvl w:val="0"/>
                <w:numId w:val="25"/>
              </w:numPr>
              <w:rPr/>
            </w:pPr>
            <w:r>
              <w:rPr>
                <w:rFonts w:ascii="標楷體" w:hAnsi="標楷體" w:cs="標楷體" w:eastAsia="標楷體"/>
                <w:color w:val="000000"/>
              </w:rPr>
              <w:t>結膜充血；</w:t>
            </w:r>
          </w:p>
          <w:p>
            <w:pPr>
              <w:pStyle w:val="Normal"/>
              <w:numPr>
                <w:ilvl w:val="0"/>
                <w:numId w:val="25"/>
              </w:numPr>
              <w:rPr>
                <w:rFonts w:ascii="標楷體" w:hAnsi="標楷體" w:eastAsia="標楷體" w:cs="標楷體"/>
                <w:color w:val="000000"/>
              </w:rPr>
            </w:pPr>
            <w:r>
              <w:rPr>
                <w:rFonts w:ascii="標楷體" w:hAnsi="標楷體" w:cs="標楷體" w:eastAsia="標楷體"/>
                <w:color w:val="000000"/>
              </w:rPr>
              <w:t>胃口增加；</w:t>
            </w:r>
          </w:p>
          <w:p>
            <w:pPr>
              <w:pStyle w:val="Normal"/>
              <w:numPr>
                <w:ilvl w:val="0"/>
                <w:numId w:val="25"/>
              </w:numPr>
              <w:rPr/>
            </w:pPr>
            <w:r>
              <w:rPr>
                <w:rFonts w:ascii="標楷體" w:hAnsi="標楷體" w:cs="標楷體" w:eastAsia="標楷體"/>
                <w:color w:val="000000"/>
              </w:rPr>
              <w:t>口乾；</w:t>
            </w:r>
          </w:p>
          <w:p>
            <w:pPr>
              <w:pStyle w:val="Normal"/>
              <w:numPr>
                <w:ilvl w:val="0"/>
                <w:numId w:val="25"/>
              </w:numPr>
              <w:rPr>
                <w:rFonts w:ascii="標楷體" w:hAnsi="標楷體" w:eastAsia="標楷體" w:cs="標楷體"/>
                <w:color w:val="000000"/>
              </w:rPr>
            </w:pPr>
            <w:r>
              <w:rPr>
                <w:rFonts w:ascii="標楷體" w:hAnsi="標楷體" w:cs="標楷體" w:eastAsia="標楷體"/>
                <w:color w:val="000000"/>
              </w:rPr>
              <w:t>心跳加速。</w:t>
            </w:r>
          </w:p>
          <w:p>
            <w:pPr>
              <w:pStyle w:val="Normal"/>
              <w:numPr>
                <w:ilvl w:val="0"/>
                <w:numId w:val="11"/>
              </w:numPr>
              <w:rPr>
                <w:rFonts w:ascii="標楷體" w:hAnsi="標楷體" w:eastAsia="標楷體" w:cs="標楷體"/>
                <w:color w:val="000000"/>
              </w:rPr>
            </w:pPr>
            <w:r>
              <w:rPr>
                <w:rFonts w:ascii="標楷體" w:hAnsi="標楷體" w:cs="標楷體" w:eastAsia="標楷體"/>
                <w:color w:val="000000"/>
              </w:rPr>
              <w:t>症狀並非由一般身體狀況，或其他精神疾病引起。</w:t>
            </w:r>
          </w:p>
          <w:p>
            <w:pPr>
              <w:pStyle w:val="Normal"/>
              <w:rPr>
                <w:rFonts w:ascii="標楷體" w:hAnsi="標楷體" w:eastAsia="標楷體" w:cs="標楷體"/>
                <w:color w:val="000000"/>
              </w:rPr>
            </w:pPr>
            <w:r>
              <w:rPr>
                <w:rFonts w:ascii="標楷體" w:hAnsi="標楷體" w:cs="標楷體" w:eastAsia="標楷體"/>
                <w:color w:val="000000"/>
              </w:rPr>
              <w:t>如果有下面情形可加以標示：</w:t>
            </w:r>
          </w:p>
          <w:p>
            <w:pPr>
              <w:pStyle w:val="Normal"/>
              <w:ind w:left="480" w:hanging="0"/>
              <w:rPr>
                <w:rFonts w:ascii="標楷體" w:hAnsi="標楷體" w:eastAsia="標楷體" w:cs="標楷體"/>
                <w:color w:val="000000"/>
              </w:rPr>
            </w:pPr>
            <w:r>
              <w:rPr>
                <w:rFonts w:ascii="標楷體" w:hAnsi="標楷體" w:cs="標楷體" w:eastAsia="標楷體"/>
                <w:color w:val="000000"/>
              </w:rPr>
              <w:t>伴隨知覺障礙。</w:t>
            </w:r>
          </w:p>
        </w:tc>
      </w:tr>
    </w:tbl>
    <w:p>
      <w:pPr>
        <w:pStyle w:val="Normal"/>
        <w:ind w:left="720" w:hanging="720"/>
        <w:rPr/>
      </w:pPr>
      <w:r>
        <w:rPr>
          <w:rFonts w:ascii="標楷體" w:hAnsi="標楷體" w:cs="標楷體" w:eastAsia="標楷體"/>
          <w:color w:val="000000"/>
        </w:rPr>
        <w:t>資料來源：</w:t>
      </w:r>
      <w:r>
        <w:rPr>
          <w:rFonts w:cs="Calibri" w:eastAsia="Calibri"/>
        </w:rPr>
        <w:t xml:space="preserve"> </w:t>
      </w:r>
    </w:p>
    <w:p>
      <w:pPr>
        <w:pStyle w:val="Normal"/>
        <w:ind w:firstLine="480"/>
        <w:rPr/>
      </w:pPr>
      <w:r>
        <w:rPr/>
      </w:r>
      <w:r>
        <w:br w:type="page"/>
      </w:r>
    </w:p>
    <w:p>
      <w:pPr>
        <w:pStyle w:val="1"/>
        <w:snapToGrid w:val="false"/>
        <w:spacing w:lineRule="auto" w:line="240" w:before="0" w:after="0"/>
        <w:ind w:left="1881" w:right="480" w:hanging="1401"/>
        <w:jc w:val="center"/>
        <w:rPr/>
      </w:pPr>
      <w:bookmarkStart w:id="16" w:name="__RefHeading___Toc319875837"/>
      <w:r>
        <w:rPr/>
        <w:t>第九節</w:t>
      </w:r>
      <w:r>
        <w:rPr>
          <w:rFonts w:eastAsia="Cambria"/>
        </w:rPr>
        <w:t xml:space="preserve"> </w:t>
      </w:r>
      <w:r>
        <w:rPr/>
        <w:t>二級毒品緩起訴個案</w:t>
      </w:r>
    </w:p>
    <w:p>
      <w:pPr>
        <w:pStyle w:val="1"/>
        <w:snapToGrid w:val="false"/>
        <w:spacing w:lineRule="auto" w:line="240" w:before="0" w:after="0"/>
        <w:ind w:left="1881" w:right="480" w:hanging="1401"/>
        <w:jc w:val="center"/>
        <w:rPr/>
      </w:pPr>
      <w:r>
        <w:rPr>
          <w:rFonts w:eastAsia="Cambria"/>
        </w:rPr>
        <w:t xml:space="preserve"> </w:t>
      </w:r>
      <w:r>
        <w:rPr/>
        <w:t>轉介處理流程</w:t>
      </w:r>
      <w:bookmarkEnd w:id="16"/>
    </w:p>
    <w:p>
      <w:pPr>
        <w:pStyle w:val="Normal"/>
        <w:ind w:firstLine="480"/>
        <w:rPr>
          <w:rFonts w:ascii="標楷體" w:hAnsi="標楷體" w:eastAsia="標楷體" w:cs="標楷體"/>
        </w:rPr>
      </w:pPr>
      <w:r>
        <w:rPr>
          <w:rFonts w:eastAsia="標楷體" w:cs="標楷體" w:ascii="標楷體" w:hAnsi="標楷體"/>
        </w:rPr>
      </w:r>
    </w:p>
    <w:p>
      <w:pPr>
        <w:pStyle w:val="Normal"/>
        <w:ind w:firstLine="480"/>
        <w:rPr>
          <w:rFonts w:ascii="標楷體" w:hAnsi="標楷體" w:eastAsia="標楷體" w:cs="標楷體"/>
        </w:rPr>
      </w:pPr>
      <w:r>
        <w:rPr>
          <w:rFonts w:ascii="標楷體" w:hAnsi="標楷體" w:cs="標楷體" w:eastAsia="標楷體"/>
        </w:rPr>
        <w:t>根據國內二級毒品緩起訴試辦計畫實際執行經驗，本指引提供醫療院所轉介過程及治療流程範例，做為個別醫療院所擬定相關緩起訴個案處理流程之參考依據。</w:t>
      </w:r>
    </w:p>
    <w:p>
      <w:pPr>
        <w:pStyle w:val="Normal"/>
        <w:ind w:firstLine="480"/>
        <w:rPr>
          <w:rFonts w:ascii="標楷體" w:hAnsi="標楷體" w:eastAsia="標楷體" w:cs="標楷體"/>
        </w:rPr>
      </w:pPr>
      <w:r>
        <w:rPr>
          <w:rFonts w:eastAsia="標楷體" w:cs="標楷體" w:ascii="標楷體" w:hAnsi="標楷體"/>
        </w:rPr>
      </w:r>
    </w:p>
    <w:p>
      <w:pPr>
        <w:pStyle w:val="Normal"/>
        <w:ind w:firstLine="480"/>
        <w:rPr>
          <w:rFonts w:ascii="標楷體" w:hAnsi="標楷體" w:eastAsia="標楷體" w:cs="標楷體"/>
        </w:rPr>
      </w:pPr>
      <w:r>
        <w:rPr>
          <w:rFonts w:ascii="標楷體" w:hAnsi="標楷體" w:cs="標楷體" w:eastAsia="標楷體"/>
        </w:rPr>
        <w:t>根據</w:t>
      </w:r>
      <w:r>
        <w:rPr>
          <w:rFonts w:ascii="標楷體" w:hAnsi="標楷體" w:cs="標楷體" w:eastAsia="標楷體"/>
          <w:color w:val="000000"/>
          <w:szCs w:val="24"/>
        </w:rPr>
        <w:t>精神疾患診斷與統計手冊</w:t>
      </w:r>
      <w:r>
        <w:rPr>
          <w:rFonts w:eastAsia="標楷體" w:cs="標楷體" w:ascii="標楷體" w:hAnsi="標楷體"/>
          <w:color w:val="000000"/>
          <w:szCs w:val="24"/>
        </w:rPr>
        <w:t>-</w:t>
      </w:r>
      <w:r>
        <w:rPr>
          <w:rFonts w:ascii="標楷體" w:hAnsi="標楷體" w:cs="標楷體" w:eastAsia="標楷體"/>
          <w:color w:val="000000"/>
          <w:szCs w:val="24"/>
        </w:rPr>
        <w:t>第四版</w:t>
      </w:r>
      <w:r>
        <w:rPr>
          <w:rFonts w:eastAsia="標楷體" w:cs="標楷體" w:ascii="標楷體" w:hAnsi="標楷體"/>
          <w:color w:val="000000"/>
          <w:szCs w:val="24"/>
        </w:rPr>
        <w:t>(DSM-IV)</w:t>
      </w:r>
      <w:r>
        <w:rPr>
          <w:rFonts w:ascii="標楷體" w:hAnsi="標楷體" w:cs="標楷體" w:eastAsia="標楷體"/>
          <w:color w:val="000000"/>
          <w:szCs w:val="24"/>
        </w:rPr>
        <w:t>定義，</w:t>
      </w:r>
      <w:r>
        <w:rPr>
          <w:rFonts w:ascii="標楷體" w:hAnsi="標楷體" w:cs="標楷體" w:eastAsia="標楷體"/>
        </w:rPr>
        <w:t>持續性完全緩解</w:t>
      </w:r>
      <w:r>
        <w:rPr>
          <w:rFonts w:eastAsia="標楷體" w:cs="標楷體" w:ascii="標楷體" w:hAnsi="標楷體"/>
        </w:rPr>
        <w:t>(</w:t>
      </w:r>
      <w:r>
        <w:rPr>
          <w:rFonts w:eastAsia="標楷體" w:cs="標楷體" w:ascii="標楷體" w:hAnsi="標楷體"/>
        </w:rPr>
        <w:t>I</w:t>
      </w:r>
      <w:r>
        <w:rPr>
          <w:rFonts w:eastAsia="標楷體" w:cs="標楷體" w:ascii="標楷體" w:hAnsi="標楷體"/>
        </w:rPr>
        <w:t>n sustained full remission)</w:t>
      </w:r>
      <w:r>
        <w:rPr>
          <w:rFonts w:ascii="標楷體" w:hAnsi="標楷體" w:cs="標楷體" w:eastAsia="標楷體"/>
        </w:rPr>
        <w:t>的時間條件為符合戒斷狀態</w:t>
      </w:r>
      <w:r>
        <w:rPr>
          <w:rFonts w:eastAsia="標楷體" w:cs="標楷體" w:ascii="標楷體" w:hAnsi="標楷體"/>
        </w:rPr>
        <w:t>12</w:t>
      </w:r>
      <w:r>
        <w:rPr>
          <w:rFonts w:ascii="標楷體" w:hAnsi="標楷體" w:cs="標楷體" w:eastAsia="標楷體"/>
        </w:rPr>
        <w:t>個月以上，因此本治療流程架構設定時間以一年為期。個案另有特殊情形者，可予以縮短或延長追蹤時間。</w:t>
      </w:r>
    </w:p>
    <w:p>
      <w:pPr>
        <w:pStyle w:val="Normal"/>
        <w:rPr>
          <w:rFonts w:ascii="標楷體" w:hAnsi="標楷體" w:eastAsia="標楷體" w:cs="標楷體"/>
        </w:rPr>
      </w:pPr>
      <w:r>
        <w:rPr>
          <w:rFonts w:eastAsia="標楷體" w:cs="標楷體" w:ascii="標楷體" w:hAnsi="標楷體"/>
        </w:rPr>
      </w:r>
    </w:p>
    <w:p>
      <w:pPr>
        <w:pStyle w:val="Normal"/>
        <w:ind w:firstLine="480"/>
        <w:rPr>
          <w:rFonts w:ascii="標楷體" w:hAnsi="標楷體" w:eastAsia="標楷體" w:cs="標楷體"/>
          <w:color w:val="000000"/>
        </w:rPr>
      </w:pPr>
      <w:r>
        <w:rPr>
          <w:rFonts w:ascii="標楷體" w:hAnsi="標楷體" w:cs="標楷體" w:eastAsia="標楷體"/>
        </w:rPr>
        <w:t>建立治療架構的依據為</w:t>
      </w:r>
      <w:r>
        <w:rPr>
          <w:rFonts w:ascii="標楷體" w:hAnsi="標楷體" w:cs="標楷體" w:eastAsia="標楷體"/>
          <w:color w:val="000000"/>
        </w:rPr>
        <w:t>情境處置管理</w:t>
      </w:r>
      <w:r>
        <w:rPr>
          <w:rFonts w:eastAsia="標楷體" w:cs="標楷體" w:ascii="標楷體" w:hAnsi="標楷體"/>
          <w:color w:val="000000"/>
        </w:rPr>
        <w:t>(contingency management)</w:t>
      </w:r>
      <w:r>
        <w:rPr>
          <w:rFonts w:ascii="標楷體" w:hAnsi="標楷體" w:cs="標楷體" w:eastAsia="標楷體"/>
          <w:color w:val="000000"/>
        </w:rPr>
        <w:t>，利用個案完成每一階段的戒斷與治療目標後，可進階至追蹤頻率強度降低的下一個治療階段，涵蓋正增強與負增強的治療條件；而當個案無法配合治療活動時，將會接到地檢署的警告與通知，或者撤銷緩起訴，這部分則是涵蓋正懲罰與負懲罰的治療條件。</w:t>
      </w:r>
    </w:p>
    <w:p>
      <w:pPr>
        <w:pStyle w:val="Normal"/>
        <w:ind w:firstLine="480"/>
        <w:rPr>
          <w:rFonts w:ascii="標楷體" w:hAnsi="標楷體" w:eastAsia="標楷體" w:cs="標楷體"/>
          <w:color w:val="000000"/>
        </w:rPr>
      </w:pPr>
      <w:r>
        <w:rPr>
          <w:rFonts w:eastAsia="標楷體" w:cs="標楷體" w:ascii="標楷體" w:hAnsi="標楷體"/>
          <w:color w:val="000000"/>
        </w:rPr>
      </w:r>
    </w:p>
    <w:p>
      <w:pPr>
        <w:pStyle w:val="Normal"/>
        <w:ind w:firstLine="480"/>
        <w:rPr>
          <w:rFonts w:ascii="標楷體" w:hAnsi="標楷體" w:eastAsia="標楷體" w:cs="標楷體"/>
          <w:color w:val="000000"/>
        </w:rPr>
      </w:pPr>
      <w:r>
        <w:rPr>
          <w:rFonts w:ascii="標楷體" w:hAnsi="標楷體" w:cs="標楷體" w:eastAsia="標楷體"/>
          <w:color w:val="000000"/>
        </w:rPr>
        <w:t>個案的治療動機評估，依照動機式晤談法的分期方式予以判斷。分期結果可做為治療內容參考，亦做為是否須轉介至司法矯治機構的參考依據。</w:t>
      </w:r>
    </w:p>
    <w:p>
      <w:pPr>
        <w:pStyle w:val="Normal"/>
        <w:ind w:firstLine="480"/>
        <w:rPr>
          <w:rFonts w:ascii="標楷體" w:hAnsi="標楷體" w:eastAsia="標楷體" w:cs="標楷體"/>
          <w:color w:val="000000"/>
        </w:rPr>
      </w:pPr>
      <w:r>
        <w:rPr>
          <w:rFonts w:eastAsia="標楷體" w:cs="標楷體" w:ascii="標楷體" w:hAnsi="標楷體"/>
          <w:color w:val="000000"/>
        </w:rPr>
      </w:r>
    </w:p>
    <w:p>
      <w:pPr>
        <w:pStyle w:val="Normal"/>
        <w:ind w:firstLine="480"/>
        <w:rPr>
          <w:rFonts w:ascii="標楷體" w:hAnsi="標楷體" w:eastAsia="標楷體" w:cs="標楷體"/>
        </w:rPr>
      </w:pPr>
      <w:r>
        <w:rPr>
          <w:rFonts w:ascii="標楷體" w:hAnsi="標楷體" w:cs="標楷體" w:eastAsia="標楷體"/>
          <w:color w:val="000000"/>
        </w:rPr>
        <w:t>確認個案是否復發使用二級毒品，除了個案的主觀陳述外，必須依賴可靠的尿液藥物篩檢。醫療院所必須進行關於毒品驗尿的相關人員訓練，以及配合採尿所需的場地設施。</w:t>
      </w:r>
    </w:p>
    <w:p>
      <w:pPr>
        <w:pStyle w:val="Normal"/>
        <w:rPr>
          <w:rFonts w:ascii="標楷體" w:hAnsi="標楷體" w:eastAsia="標楷體" w:cs="標楷體"/>
        </w:rPr>
      </w:pPr>
      <w:r>
        <w:rPr>
          <w:rFonts w:eastAsia="標楷體" w:cs="標楷體" w:ascii="標楷體" w:hAnsi="標楷體"/>
        </w:rPr>
      </w:r>
    </w:p>
    <w:p>
      <w:pPr>
        <w:pStyle w:val="Normal"/>
        <w:rPr/>
      </w:pPr>
      <w:r>
        <w:rPr>
          <w:rStyle w:val="Applestylespan"/>
          <w:rFonts w:ascii="標楷體" w:hAnsi="標楷體" w:cs="標楷體" w:eastAsia="標楷體"/>
          <w:b/>
          <w:color w:val="000000"/>
          <w:szCs w:val="24"/>
        </w:rPr>
        <w:t>一、轉介階段：</w:t>
      </w:r>
    </w:p>
    <w:p>
      <w:pPr>
        <w:pStyle w:val="Normal"/>
        <w:numPr>
          <w:ilvl w:val="0"/>
          <w:numId w:val="17"/>
        </w:numPr>
        <w:rPr/>
      </w:pPr>
      <w:r>
        <w:rPr>
          <w:rStyle w:val="Applestylespan"/>
          <w:rFonts w:ascii="標楷體" w:hAnsi="標楷體" w:cs="標楷體" w:eastAsia="標楷體"/>
          <w:color w:val="000000"/>
          <w:szCs w:val="24"/>
        </w:rPr>
        <w:t>地檢署將個案轉介單傳真至醫療院所，並且確認傳達。</w:t>
      </w:r>
    </w:p>
    <w:p>
      <w:pPr>
        <w:pStyle w:val="Normal"/>
        <w:numPr>
          <w:ilvl w:val="0"/>
          <w:numId w:val="17"/>
        </w:numPr>
        <w:rPr/>
      </w:pPr>
      <w:r>
        <w:rPr>
          <w:rFonts w:ascii="標楷體" w:hAnsi="標楷體" w:cs="標楷體" w:eastAsia="標楷體"/>
          <w:color w:val="000000"/>
          <w:szCs w:val="24"/>
        </w:rPr>
        <w:t>轉介單註明就診報到時間，指定個案至藥癮特別門診報到。</w:t>
      </w:r>
    </w:p>
    <w:p>
      <w:pPr>
        <w:pStyle w:val="Normal"/>
        <w:rPr>
          <w:rFonts w:ascii="標楷體" w:hAnsi="標楷體" w:eastAsia="標楷體" w:cs="標楷體"/>
          <w:color w:val="000000"/>
          <w:szCs w:val="24"/>
        </w:rPr>
      </w:pPr>
      <w:r>
        <w:rPr>
          <w:rFonts w:eastAsia="標楷體" w:cs="標楷體" w:ascii="標楷體" w:hAnsi="標楷體"/>
          <w:color w:val="000000"/>
          <w:szCs w:val="24"/>
        </w:rPr>
      </w:r>
    </w:p>
    <w:p>
      <w:pPr>
        <w:pStyle w:val="Normal"/>
        <w:rPr/>
      </w:pPr>
      <w:r>
        <w:rPr>
          <w:rStyle w:val="Applestylespan"/>
          <w:rFonts w:ascii="標楷體" w:hAnsi="標楷體" w:cs="標楷體" w:eastAsia="標楷體"/>
          <w:b/>
          <w:color w:val="000000"/>
          <w:szCs w:val="24"/>
        </w:rPr>
        <w:t>二、個案管理建立：</w:t>
      </w:r>
    </w:p>
    <w:p>
      <w:pPr>
        <w:pStyle w:val="Normal"/>
        <w:ind w:left="480" w:hanging="0"/>
        <w:rPr>
          <w:rStyle w:val="Applestylespan"/>
          <w:rFonts w:ascii="標楷體" w:hAnsi="標楷體" w:eastAsia="標楷體" w:cs="標楷體"/>
          <w:color w:val="000000"/>
          <w:szCs w:val="24"/>
        </w:rPr>
      </w:pPr>
      <w:r>
        <w:rPr>
          <w:rStyle w:val="Applestylespan"/>
          <w:rFonts w:eastAsia="標楷體" w:cs="標楷體" w:ascii="標楷體" w:hAnsi="標楷體"/>
          <w:color w:val="000000"/>
          <w:szCs w:val="24"/>
        </w:rPr>
        <w:t xml:space="preserve">(1) </w:t>
      </w:r>
      <w:r>
        <w:rPr>
          <w:rStyle w:val="Applestylespan"/>
          <w:rFonts w:ascii="標楷體" w:hAnsi="標楷體" w:cs="標楷體" w:eastAsia="標楷體"/>
          <w:color w:val="000000"/>
          <w:szCs w:val="24"/>
        </w:rPr>
        <w:t>建立個案編號、檔案及輸入基本資料。</w:t>
      </w:r>
    </w:p>
    <w:p>
      <w:pPr>
        <w:pStyle w:val="Normal"/>
        <w:ind w:left="480" w:hanging="0"/>
        <w:rPr/>
      </w:pPr>
      <w:r>
        <w:rPr>
          <w:rStyle w:val="Applestylespan"/>
          <w:rFonts w:eastAsia="標楷體" w:cs="標楷體" w:ascii="標楷體" w:hAnsi="標楷體"/>
          <w:color w:val="000000"/>
          <w:szCs w:val="24"/>
        </w:rPr>
        <w:t xml:space="preserve">(2) </w:t>
      </w:r>
      <w:r>
        <w:rPr>
          <w:rStyle w:val="Applestylespan"/>
          <w:rFonts w:ascii="標楷體" w:hAnsi="標楷體" w:cs="標楷體" w:eastAsia="標楷體"/>
          <w:color w:val="000000"/>
          <w:szCs w:val="24"/>
        </w:rPr>
        <w:t>安排追蹤之個案管理人員。</w:t>
      </w:r>
    </w:p>
    <w:p>
      <w:pPr>
        <w:pStyle w:val="Normal"/>
        <w:rPr>
          <w:rStyle w:val="Applestylespan"/>
          <w:rFonts w:ascii="標楷體" w:hAnsi="標楷體" w:eastAsia="標楷體" w:cs="標楷體"/>
          <w:color w:val="000000"/>
          <w:szCs w:val="24"/>
        </w:rPr>
      </w:pPr>
      <w:r>
        <w:rPr/>
      </w:r>
    </w:p>
    <w:p>
      <w:pPr>
        <w:pStyle w:val="Normal"/>
        <w:rPr/>
      </w:pPr>
      <w:r>
        <w:rPr>
          <w:rStyle w:val="Applestylespan"/>
          <w:rFonts w:ascii="標楷體" w:hAnsi="標楷體" w:cs="標楷體" w:eastAsia="標楷體"/>
          <w:b/>
          <w:color w:val="000000"/>
          <w:szCs w:val="24"/>
        </w:rPr>
        <w:t>三、門診初診：</w:t>
      </w:r>
    </w:p>
    <w:p>
      <w:pPr>
        <w:pStyle w:val="Normal"/>
        <w:numPr>
          <w:ilvl w:val="0"/>
          <w:numId w:val="22"/>
        </w:numPr>
        <w:ind w:left="1200" w:hanging="720"/>
        <w:rPr/>
      </w:pPr>
      <w:r>
        <w:rPr>
          <w:rStyle w:val="Applestylespan"/>
          <w:rFonts w:ascii="標楷體" w:hAnsi="標楷體" w:cs="標楷體" w:eastAsia="標楷體"/>
          <w:color w:val="000000"/>
          <w:szCs w:val="24"/>
        </w:rPr>
        <w:t>說明試辦計畫醫療執行方式，個案簽署同意書。</w:t>
      </w:r>
    </w:p>
    <w:p>
      <w:pPr>
        <w:pStyle w:val="Normal"/>
        <w:numPr>
          <w:ilvl w:val="0"/>
          <w:numId w:val="22"/>
        </w:numPr>
        <w:ind w:left="1200" w:hanging="720"/>
        <w:rPr/>
      </w:pPr>
      <w:r>
        <w:rPr>
          <w:rStyle w:val="Applestylespan"/>
          <w:rFonts w:ascii="標楷體" w:hAnsi="標楷體" w:cs="標楷體" w:eastAsia="標楷體"/>
          <w:color w:val="000000"/>
          <w:szCs w:val="24"/>
        </w:rPr>
        <w:t>藥癮初診評估與初步鑑別診斷。</w:t>
      </w:r>
    </w:p>
    <w:p>
      <w:pPr>
        <w:pStyle w:val="Normal"/>
        <w:numPr>
          <w:ilvl w:val="0"/>
          <w:numId w:val="22"/>
        </w:numPr>
        <w:ind w:left="1200" w:hanging="720"/>
        <w:rPr/>
      </w:pPr>
      <w:r>
        <w:rPr>
          <w:rStyle w:val="Applestylespan"/>
          <w:rFonts w:ascii="標楷體" w:hAnsi="標楷體" w:cs="標楷體" w:eastAsia="標楷體"/>
          <w:color w:val="000000"/>
          <w:szCs w:val="24"/>
        </w:rPr>
        <w:t>實驗室檢查：依個案狀況，選擇所需之相關檢查</w:t>
      </w:r>
      <w:r>
        <w:rPr>
          <w:rStyle w:val="Applestylespan"/>
          <w:rFonts w:eastAsia="標楷體" w:cs="標楷體" w:ascii="標楷體" w:hAnsi="標楷體"/>
          <w:color w:val="000000"/>
          <w:szCs w:val="24"/>
        </w:rPr>
        <w:t>(</w:t>
      </w:r>
      <w:r>
        <w:rPr>
          <w:rStyle w:val="Applestylespan"/>
          <w:rFonts w:ascii="標楷體" w:hAnsi="標楷體" w:cs="標楷體" w:eastAsia="標楷體"/>
          <w:color w:val="000000"/>
          <w:szCs w:val="24"/>
        </w:rPr>
        <w:t>如血液學、生化學、血清學、</w:t>
      </w:r>
      <w:r>
        <w:rPr>
          <w:rStyle w:val="Applestylespan"/>
          <w:rFonts w:eastAsia="標楷體" w:cs="標楷體" w:ascii="標楷體" w:hAnsi="標楷體"/>
          <w:color w:val="000000"/>
          <w:szCs w:val="24"/>
        </w:rPr>
        <w:t>X</w:t>
      </w:r>
      <w:r>
        <w:rPr>
          <w:rStyle w:val="Applestylespan"/>
          <w:rFonts w:ascii="標楷體" w:hAnsi="標楷體" w:cs="標楷體" w:eastAsia="標楷體"/>
          <w:color w:val="000000"/>
          <w:szCs w:val="24"/>
        </w:rPr>
        <w:t>光、心電圖等</w:t>
      </w:r>
      <w:r>
        <w:rPr>
          <w:rStyle w:val="Applestylespan"/>
          <w:rFonts w:eastAsia="標楷體" w:cs="標楷體" w:ascii="標楷體" w:hAnsi="標楷體"/>
          <w:color w:val="000000"/>
          <w:szCs w:val="24"/>
        </w:rPr>
        <w:t>)</w:t>
      </w:r>
      <w:r>
        <w:rPr>
          <w:rStyle w:val="Applestylespan"/>
          <w:rFonts w:ascii="標楷體" w:hAnsi="標楷體" w:cs="標楷體" w:eastAsia="標楷體"/>
          <w:color w:val="000000"/>
          <w:szCs w:val="24"/>
        </w:rPr>
        <w:t>。</w:t>
      </w:r>
    </w:p>
    <w:p>
      <w:pPr>
        <w:pStyle w:val="Normal"/>
        <w:numPr>
          <w:ilvl w:val="0"/>
          <w:numId w:val="22"/>
        </w:numPr>
        <w:ind w:left="1200" w:hanging="720"/>
        <w:rPr/>
      </w:pPr>
      <w:r>
        <w:rPr>
          <w:rStyle w:val="Applestylespan"/>
          <w:rFonts w:ascii="標楷體" w:hAnsi="標楷體" w:cs="標楷體" w:eastAsia="標楷體"/>
          <w:color w:val="000000"/>
          <w:szCs w:val="24"/>
        </w:rPr>
        <w:t>尿液藥物篩檢。</w:t>
      </w:r>
    </w:p>
    <w:p>
      <w:pPr>
        <w:pStyle w:val="Normal"/>
        <w:numPr>
          <w:ilvl w:val="0"/>
          <w:numId w:val="22"/>
        </w:numPr>
        <w:ind w:left="1200" w:hanging="720"/>
        <w:rPr/>
      </w:pPr>
      <w:r>
        <w:rPr>
          <w:rStyle w:val="Applestylespan"/>
          <w:rFonts w:ascii="標楷體" w:hAnsi="標楷體" w:cs="標楷體" w:eastAsia="標楷體"/>
          <w:color w:val="000000"/>
          <w:szCs w:val="24"/>
        </w:rPr>
        <w:t>戒癮相關藥物治療評估。</w:t>
      </w:r>
    </w:p>
    <w:p>
      <w:pPr>
        <w:pStyle w:val="Normal"/>
        <w:numPr>
          <w:ilvl w:val="0"/>
          <w:numId w:val="22"/>
        </w:numPr>
        <w:ind w:left="1200" w:hanging="720"/>
        <w:rPr/>
      </w:pPr>
      <w:r>
        <w:rPr>
          <w:rStyle w:val="Applestylespan"/>
          <w:rFonts w:ascii="標楷體" w:hAnsi="標楷體" w:cs="標楷體" w:eastAsia="標楷體"/>
          <w:b/>
          <w:color w:val="000000"/>
          <w:szCs w:val="24"/>
        </w:rPr>
        <w:t>「初診收案回覆單」</w:t>
      </w:r>
      <w:r>
        <w:rPr>
          <w:rStyle w:val="Applestylespan"/>
          <w:rFonts w:ascii="標楷體" w:hAnsi="標楷體" w:cs="標楷體" w:eastAsia="標楷體"/>
          <w:color w:val="000000"/>
          <w:szCs w:val="24"/>
        </w:rPr>
        <w:t>：</w:t>
      </w:r>
    </w:p>
    <w:p>
      <w:pPr>
        <w:pStyle w:val="Normal"/>
        <w:numPr>
          <w:ilvl w:val="0"/>
          <w:numId w:val="8"/>
        </w:numPr>
        <w:ind w:left="1680" w:hanging="480"/>
        <w:rPr/>
      </w:pPr>
      <w:r>
        <w:rPr>
          <w:rStyle w:val="Applestylespan"/>
          <w:rFonts w:ascii="標楷體" w:hAnsi="標楷體" w:cs="標楷體" w:eastAsia="標楷體"/>
          <w:color w:val="000000"/>
          <w:szCs w:val="24"/>
        </w:rPr>
        <w:t>傳真至地檢署，正本發文送交地檢署。</w:t>
      </w:r>
    </w:p>
    <w:p>
      <w:pPr>
        <w:pStyle w:val="Normal"/>
        <w:rPr>
          <w:rStyle w:val="Applestylespan"/>
          <w:rFonts w:ascii="標楷體" w:hAnsi="標楷體" w:eastAsia="標楷體" w:cs="標楷體"/>
          <w:color w:val="000000"/>
          <w:szCs w:val="24"/>
        </w:rPr>
      </w:pPr>
      <w:r>
        <w:rPr/>
      </w:r>
    </w:p>
    <w:p>
      <w:pPr>
        <w:pStyle w:val="Normal"/>
        <w:rPr/>
      </w:pPr>
      <w:r>
        <w:rPr>
          <w:rStyle w:val="Applestylespan"/>
          <w:rFonts w:ascii="標楷體" w:hAnsi="標楷體" w:cs="標楷體" w:eastAsia="標楷體"/>
          <w:b/>
          <w:color w:val="000000"/>
          <w:szCs w:val="24"/>
        </w:rPr>
        <w:t>四、第一階段</w:t>
      </w:r>
      <w:r>
        <w:rPr>
          <w:rStyle w:val="Applestylespan"/>
          <w:rFonts w:eastAsia="標楷體" w:cs="標楷體" w:ascii="標楷體" w:hAnsi="標楷體"/>
          <w:b/>
          <w:color w:val="000000"/>
          <w:szCs w:val="24"/>
        </w:rPr>
        <w:t>(</w:t>
      </w:r>
      <w:r>
        <w:rPr>
          <w:rStyle w:val="Applestylespan"/>
          <w:rFonts w:ascii="標楷體" w:hAnsi="標楷體" w:cs="標楷體" w:eastAsia="標楷體"/>
          <w:b/>
          <w:color w:val="000000"/>
          <w:szCs w:val="24"/>
        </w:rPr>
        <w:t>評估期、解毒期</w:t>
      </w:r>
      <w:r>
        <w:rPr>
          <w:rStyle w:val="Applestylespan"/>
          <w:rFonts w:eastAsia="標楷體" w:cs="標楷體" w:ascii="標楷體" w:hAnsi="標楷體"/>
          <w:b/>
          <w:color w:val="000000"/>
          <w:szCs w:val="24"/>
        </w:rPr>
        <w:t>)</w:t>
      </w:r>
      <w:r>
        <w:rPr>
          <w:rStyle w:val="Applestylespan"/>
          <w:rFonts w:ascii="標楷體" w:hAnsi="標楷體" w:cs="標楷體" w:eastAsia="標楷體"/>
          <w:b/>
          <w:color w:val="000000"/>
          <w:szCs w:val="24"/>
        </w:rPr>
        <w:t>：</w:t>
      </w:r>
    </w:p>
    <w:p>
      <w:pPr>
        <w:pStyle w:val="Normal"/>
        <w:ind w:left="480" w:firstLine="480"/>
        <w:rPr/>
      </w:pPr>
      <w:r>
        <w:rPr>
          <w:rStyle w:val="Applestylespan"/>
          <w:rFonts w:ascii="標楷體" w:hAnsi="標楷體" w:cs="標楷體" w:eastAsia="標楷體"/>
          <w:color w:val="000000"/>
          <w:szCs w:val="24"/>
        </w:rPr>
        <w:t>第二至四週，每週返診。</w:t>
      </w:r>
    </w:p>
    <w:p>
      <w:pPr>
        <w:pStyle w:val="Normal"/>
        <w:ind w:left="480" w:firstLine="480"/>
        <w:rPr/>
      </w:pPr>
      <w:r>
        <w:rPr>
          <w:rStyle w:val="Applestylespan"/>
          <w:rFonts w:ascii="標楷體" w:hAnsi="標楷體" w:cs="標楷體" w:eastAsia="標楷體"/>
          <w:b/>
          <w:color w:val="000000"/>
          <w:szCs w:val="24"/>
        </w:rPr>
        <w:t>嚴重成癮個案</w:t>
      </w:r>
      <w:r>
        <w:rPr>
          <w:rStyle w:val="Applestylespan"/>
          <w:rFonts w:ascii="標楷體" w:hAnsi="標楷體" w:cs="標楷體" w:eastAsia="標楷體"/>
          <w:color w:val="000000"/>
          <w:szCs w:val="24"/>
        </w:rPr>
        <w:t>可考慮住院完成解毒治療與藥癮評估。</w:t>
      </w:r>
    </w:p>
    <w:p>
      <w:pPr>
        <w:pStyle w:val="Normal"/>
        <w:ind w:left="480" w:firstLine="480"/>
        <w:rPr/>
      </w:pPr>
      <w:r>
        <w:rPr>
          <w:rStyle w:val="Applestylespan"/>
          <w:rFonts w:ascii="標楷體" w:hAnsi="標楷體" w:cs="標楷體" w:eastAsia="標楷體"/>
          <w:b/>
          <w:color w:val="000000"/>
          <w:szCs w:val="24"/>
        </w:rPr>
        <w:t>未能完成評估、或仍處於沉思前期個案，考慮轉介至矯治機構</w:t>
      </w:r>
      <w:r>
        <w:rPr>
          <w:rStyle w:val="Applestylespan"/>
          <w:rFonts w:ascii="標楷體" w:hAnsi="標楷體" w:cs="標楷體" w:eastAsia="標楷體"/>
          <w:color w:val="000000"/>
          <w:szCs w:val="24"/>
        </w:rPr>
        <w:t>。</w:t>
      </w:r>
    </w:p>
    <w:p>
      <w:pPr>
        <w:pStyle w:val="Normal"/>
        <w:ind w:firstLine="264"/>
        <w:rPr>
          <w:rStyle w:val="Applestylespan"/>
          <w:rFonts w:ascii="標楷體" w:hAnsi="標楷體" w:eastAsia="標楷體" w:cs="標楷體"/>
          <w:color w:val="000000"/>
          <w:szCs w:val="24"/>
        </w:rPr>
      </w:pPr>
      <w:r>
        <w:rPr/>
      </w:r>
    </w:p>
    <w:p>
      <w:pPr>
        <w:pStyle w:val="Normal"/>
        <w:numPr>
          <w:ilvl w:val="0"/>
          <w:numId w:val="26"/>
        </w:numPr>
        <w:ind w:left="1224" w:hanging="720"/>
        <w:rPr/>
      </w:pPr>
      <w:r>
        <w:rPr>
          <w:rStyle w:val="Applestylespan"/>
          <w:rFonts w:ascii="標楷體" w:hAnsi="標楷體" w:cs="標楷體" w:eastAsia="標楷體"/>
          <w:color w:val="000000"/>
          <w:szCs w:val="24"/>
        </w:rPr>
        <w:t>第二次複診評估建議項目：</w:t>
      </w:r>
    </w:p>
    <w:p>
      <w:pPr>
        <w:pStyle w:val="Normal"/>
        <w:numPr>
          <w:ilvl w:val="0"/>
          <w:numId w:val="8"/>
        </w:numPr>
        <w:ind w:left="1680" w:hanging="480"/>
        <w:rPr/>
      </w:pPr>
      <w:r>
        <w:rPr>
          <w:rStyle w:val="Applestylespan"/>
          <w:rFonts w:ascii="標楷體" w:hAnsi="標楷體" w:cs="標楷體" w:eastAsia="標楷體"/>
          <w:color w:val="000000"/>
          <w:szCs w:val="24"/>
        </w:rPr>
        <w:t>精神科心理評估</w:t>
      </w:r>
      <w:r>
        <w:rPr>
          <w:rStyle w:val="Applestylespan"/>
          <w:rFonts w:eastAsia="標楷體" w:cs="標楷體" w:ascii="標楷體" w:hAnsi="標楷體"/>
          <w:color w:val="000000"/>
          <w:szCs w:val="24"/>
        </w:rPr>
        <w:t>(</w:t>
      </w:r>
      <w:r>
        <w:rPr>
          <w:rStyle w:val="Applestylespan"/>
          <w:rFonts w:ascii="標楷體" w:hAnsi="標楷體" w:cs="標楷體" w:eastAsia="標楷體"/>
          <w:color w:val="000000"/>
          <w:szCs w:val="24"/>
        </w:rPr>
        <w:t>防衛機轉或人格疾患評估</w:t>
      </w:r>
      <w:r>
        <w:rPr>
          <w:rStyle w:val="Applestylespan"/>
          <w:rFonts w:eastAsia="標楷體" w:cs="標楷體" w:ascii="標楷體" w:hAnsi="標楷體"/>
          <w:color w:val="000000"/>
          <w:szCs w:val="24"/>
        </w:rPr>
        <w:t>)</w:t>
      </w:r>
      <w:r>
        <w:rPr>
          <w:rStyle w:val="Applestylespan"/>
          <w:rFonts w:ascii="標楷體" w:hAnsi="標楷體" w:cs="標楷體" w:eastAsia="標楷體"/>
          <w:color w:val="000000"/>
          <w:szCs w:val="24"/>
        </w:rPr>
        <w:t>。</w:t>
      </w:r>
    </w:p>
    <w:p>
      <w:pPr>
        <w:pStyle w:val="Normal"/>
        <w:numPr>
          <w:ilvl w:val="0"/>
          <w:numId w:val="8"/>
        </w:numPr>
        <w:ind w:left="1680" w:hanging="480"/>
        <w:rPr/>
      </w:pPr>
      <w:r>
        <w:rPr>
          <w:rStyle w:val="Applestylespan"/>
          <w:rFonts w:ascii="標楷體" w:hAnsi="標楷體" w:cs="標楷體" w:eastAsia="標楷體"/>
          <w:color w:val="000000"/>
          <w:szCs w:val="24"/>
        </w:rPr>
        <w:t>精神科共病性評估。</w:t>
      </w:r>
    </w:p>
    <w:p>
      <w:pPr>
        <w:pStyle w:val="Normal"/>
        <w:numPr>
          <w:ilvl w:val="0"/>
          <w:numId w:val="8"/>
        </w:numPr>
        <w:ind w:left="1680" w:hanging="480"/>
        <w:rPr/>
      </w:pPr>
      <w:r>
        <w:rPr>
          <w:rStyle w:val="Applestylespan"/>
          <w:rFonts w:ascii="標楷體" w:hAnsi="標楷體" w:cs="標楷體" w:eastAsia="標楷體"/>
          <w:color w:val="000000"/>
          <w:szCs w:val="24"/>
        </w:rPr>
        <w:t>戒癮相關藥物開立評估。</w:t>
      </w:r>
    </w:p>
    <w:p>
      <w:pPr>
        <w:pStyle w:val="Normal"/>
        <w:numPr>
          <w:ilvl w:val="0"/>
          <w:numId w:val="8"/>
        </w:numPr>
        <w:ind w:left="1680" w:hanging="480"/>
        <w:rPr/>
      </w:pPr>
      <w:r>
        <w:rPr>
          <w:rStyle w:val="Applestylespan"/>
          <w:rFonts w:ascii="標楷體" w:hAnsi="標楷體" w:cs="標楷體" w:eastAsia="標楷體"/>
          <w:color w:val="000000"/>
          <w:szCs w:val="24"/>
        </w:rPr>
        <w:t>尿液藥物篩檢。</w:t>
      </w:r>
    </w:p>
    <w:p>
      <w:pPr>
        <w:pStyle w:val="Normal"/>
        <w:ind w:left="1680" w:hanging="0"/>
        <w:rPr>
          <w:rStyle w:val="Applestylespan"/>
          <w:rFonts w:ascii="標楷體" w:hAnsi="標楷體" w:eastAsia="標楷體" w:cs="標楷體"/>
          <w:color w:val="000000"/>
          <w:szCs w:val="24"/>
        </w:rPr>
      </w:pPr>
      <w:r>
        <w:rPr/>
      </w:r>
    </w:p>
    <w:p>
      <w:pPr>
        <w:pStyle w:val="Normal"/>
        <w:numPr>
          <w:ilvl w:val="0"/>
          <w:numId w:val="26"/>
        </w:numPr>
        <w:ind w:left="1224" w:hanging="720"/>
        <w:rPr/>
      </w:pPr>
      <w:r>
        <w:rPr>
          <w:rStyle w:val="Applestylespan"/>
          <w:rFonts w:ascii="標楷體" w:hAnsi="標楷體" w:cs="標楷體" w:eastAsia="標楷體"/>
          <w:color w:val="000000"/>
          <w:szCs w:val="24"/>
        </w:rPr>
        <w:t>第三次複診評估建議項目：</w:t>
      </w:r>
    </w:p>
    <w:p>
      <w:pPr>
        <w:pStyle w:val="Normal"/>
        <w:numPr>
          <w:ilvl w:val="0"/>
          <w:numId w:val="15"/>
        </w:numPr>
        <w:ind w:left="1704" w:hanging="480"/>
        <w:rPr/>
      </w:pPr>
      <w:r>
        <w:rPr>
          <w:rStyle w:val="Applestylespan"/>
          <w:rFonts w:ascii="標楷體" w:hAnsi="標楷體" w:cs="標楷體" w:eastAsia="標楷體"/>
          <w:color w:val="000000"/>
          <w:szCs w:val="24"/>
        </w:rPr>
        <w:t>精神科家庭、社會功能評估。</w:t>
      </w:r>
    </w:p>
    <w:p>
      <w:pPr>
        <w:pStyle w:val="Normal"/>
        <w:numPr>
          <w:ilvl w:val="0"/>
          <w:numId w:val="15"/>
        </w:numPr>
        <w:ind w:left="1704" w:hanging="480"/>
        <w:rPr/>
      </w:pPr>
      <w:r>
        <w:rPr>
          <w:rStyle w:val="Applestylespan"/>
          <w:rFonts w:ascii="標楷體" w:hAnsi="標楷體" w:cs="標楷體" w:eastAsia="標楷體"/>
          <w:color w:val="000000"/>
          <w:szCs w:val="24"/>
        </w:rPr>
        <w:t>戒癮相關藥物開立評估。</w:t>
      </w:r>
    </w:p>
    <w:p>
      <w:pPr>
        <w:pStyle w:val="Normal"/>
        <w:numPr>
          <w:ilvl w:val="0"/>
          <w:numId w:val="15"/>
        </w:numPr>
        <w:ind w:left="1704" w:hanging="480"/>
        <w:rPr/>
      </w:pPr>
      <w:r>
        <w:rPr>
          <w:rStyle w:val="Applestylespan"/>
          <w:rFonts w:ascii="標楷體" w:hAnsi="標楷體" w:cs="標楷體" w:eastAsia="標楷體"/>
          <w:color w:val="000000"/>
          <w:szCs w:val="24"/>
        </w:rPr>
        <w:t>尿液藥物篩檢。</w:t>
      </w:r>
    </w:p>
    <w:p>
      <w:pPr>
        <w:pStyle w:val="Normal"/>
        <w:numPr>
          <w:ilvl w:val="0"/>
          <w:numId w:val="15"/>
        </w:numPr>
        <w:ind w:left="1704" w:hanging="480"/>
        <w:rPr>
          <w:rStyle w:val="Applestylespan"/>
          <w:rFonts w:ascii="標楷體" w:hAnsi="標楷體" w:eastAsia="標楷體" w:cs="標楷體"/>
          <w:color w:val="000000"/>
          <w:szCs w:val="24"/>
        </w:rPr>
      </w:pPr>
      <w:r>
        <w:rPr/>
      </w:r>
    </w:p>
    <w:p>
      <w:pPr>
        <w:pStyle w:val="Normal"/>
        <w:numPr>
          <w:ilvl w:val="0"/>
          <w:numId w:val="26"/>
        </w:numPr>
        <w:ind w:left="1224" w:hanging="720"/>
        <w:rPr/>
      </w:pPr>
      <w:r>
        <w:rPr>
          <w:rStyle w:val="Applestylespan"/>
          <w:rFonts w:ascii="標楷體" w:hAnsi="標楷體" w:cs="標楷體" w:eastAsia="標楷體"/>
          <w:color w:val="000000"/>
          <w:szCs w:val="24"/>
        </w:rPr>
        <w:t>第四次複診評估建議項目：</w:t>
      </w:r>
    </w:p>
    <w:p>
      <w:pPr>
        <w:pStyle w:val="Normal"/>
        <w:numPr>
          <w:ilvl w:val="0"/>
          <w:numId w:val="10"/>
        </w:numPr>
        <w:ind w:left="1704" w:hanging="480"/>
        <w:rPr/>
      </w:pPr>
      <w:r>
        <w:rPr>
          <w:rStyle w:val="Applestylespan"/>
          <w:rFonts w:ascii="標楷體" w:hAnsi="標楷體" w:cs="標楷體" w:eastAsia="標楷體"/>
          <w:color w:val="000000"/>
          <w:szCs w:val="24"/>
        </w:rPr>
        <w:t>動機式晤談法分期評估。</w:t>
      </w:r>
    </w:p>
    <w:p>
      <w:pPr>
        <w:pStyle w:val="Normal"/>
        <w:numPr>
          <w:ilvl w:val="0"/>
          <w:numId w:val="10"/>
        </w:numPr>
        <w:ind w:left="1704" w:hanging="480"/>
        <w:rPr/>
      </w:pPr>
      <w:r>
        <w:rPr>
          <w:rStyle w:val="Applestylespan"/>
          <w:rFonts w:ascii="標楷體" w:hAnsi="標楷體" w:cs="標楷體" w:eastAsia="標楷體"/>
          <w:color w:val="000000"/>
          <w:szCs w:val="24"/>
        </w:rPr>
        <w:t>戒癮相關藥物開立評估。</w:t>
      </w:r>
    </w:p>
    <w:p>
      <w:pPr>
        <w:pStyle w:val="Normal"/>
        <w:numPr>
          <w:ilvl w:val="0"/>
          <w:numId w:val="10"/>
        </w:numPr>
        <w:ind w:left="1704" w:hanging="480"/>
        <w:rPr/>
      </w:pPr>
      <w:r>
        <w:rPr>
          <w:rStyle w:val="Applestylespan"/>
          <w:rFonts w:ascii="標楷體" w:hAnsi="標楷體" w:cs="標楷體" w:eastAsia="標楷體"/>
          <w:color w:val="000000"/>
          <w:szCs w:val="24"/>
        </w:rPr>
        <w:t>尿液藥物篩檢。</w:t>
      </w:r>
    </w:p>
    <w:p>
      <w:pPr>
        <w:pStyle w:val="Normal"/>
        <w:ind w:left="1224" w:hanging="0"/>
        <w:rPr>
          <w:rStyle w:val="Applestylespan"/>
          <w:rFonts w:ascii="標楷體" w:hAnsi="標楷體" w:eastAsia="標楷體" w:cs="標楷體"/>
          <w:color w:val="000000"/>
          <w:szCs w:val="24"/>
        </w:rPr>
      </w:pPr>
      <w:r>
        <w:rPr/>
      </w:r>
    </w:p>
    <w:p>
      <w:pPr>
        <w:pStyle w:val="Normal"/>
        <w:numPr>
          <w:ilvl w:val="0"/>
          <w:numId w:val="26"/>
        </w:numPr>
        <w:ind w:left="1224" w:hanging="720"/>
        <w:rPr/>
      </w:pPr>
      <w:r>
        <w:rPr>
          <w:rStyle w:val="Applestylespan"/>
          <w:rFonts w:ascii="標楷體" w:hAnsi="標楷體" w:cs="標楷體" w:eastAsia="標楷體"/>
          <w:b/>
          <w:color w:val="000000"/>
          <w:szCs w:val="24"/>
        </w:rPr>
        <w:t>「第一階段評估回覆單」：</w:t>
      </w:r>
    </w:p>
    <w:p>
      <w:pPr>
        <w:pStyle w:val="Normal"/>
        <w:numPr>
          <w:ilvl w:val="0"/>
          <w:numId w:val="16"/>
        </w:numPr>
        <w:ind w:left="1680" w:hanging="480"/>
        <w:rPr/>
      </w:pPr>
      <w:r>
        <w:rPr>
          <w:rStyle w:val="Applestylespan"/>
          <w:rFonts w:ascii="標楷體" w:hAnsi="標楷體" w:cs="標楷體" w:eastAsia="標楷體"/>
          <w:color w:val="000000"/>
          <w:szCs w:val="24"/>
        </w:rPr>
        <w:t>綜合第一次至第四次門診資料、個案接受戒癮治療意願、尿液藥物篩檢結果，決定個案是否繼續進入緩起訴戒癮治療。</w:t>
      </w:r>
    </w:p>
    <w:p>
      <w:pPr>
        <w:pStyle w:val="Normal"/>
        <w:numPr>
          <w:ilvl w:val="0"/>
          <w:numId w:val="16"/>
        </w:numPr>
        <w:ind w:left="1680" w:hanging="480"/>
        <w:rPr/>
      </w:pPr>
      <w:r>
        <w:rPr>
          <w:rStyle w:val="Applestylespan"/>
          <w:rFonts w:ascii="標楷體" w:hAnsi="標楷體" w:cs="標楷體" w:eastAsia="標楷體"/>
          <w:color w:val="000000"/>
          <w:szCs w:val="24"/>
        </w:rPr>
        <w:t>本階段</w:t>
      </w:r>
      <w:r>
        <w:rPr>
          <w:rStyle w:val="Applestylespan"/>
          <w:rFonts w:ascii="標楷體" w:hAnsi="標楷體" w:cs="標楷體" w:eastAsia="標楷體"/>
          <w:b/>
          <w:color w:val="000000"/>
          <w:szCs w:val="24"/>
        </w:rPr>
        <w:t>尿液藥物篩檢仍持續呈現陽性反應</w:t>
      </w:r>
      <w:r>
        <w:rPr>
          <w:rStyle w:val="Applestylespan"/>
          <w:rFonts w:ascii="標楷體" w:hAnsi="標楷體" w:cs="標楷體" w:eastAsia="標楷體"/>
          <w:color w:val="000000"/>
          <w:szCs w:val="24"/>
        </w:rPr>
        <w:t>、</w:t>
      </w:r>
      <w:r>
        <w:rPr>
          <w:rStyle w:val="Applestylespan"/>
          <w:rFonts w:ascii="標楷體" w:hAnsi="標楷體" w:cs="標楷體" w:eastAsia="標楷體"/>
          <w:b/>
          <w:color w:val="000000"/>
          <w:szCs w:val="24"/>
        </w:rPr>
        <w:t>或仍處於沉思前期個案，考慮轉介至矯治機構</w:t>
      </w:r>
      <w:r>
        <w:rPr>
          <w:rStyle w:val="Applestylespan"/>
          <w:rFonts w:ascii="標楷體" w:hAnsi="標楷體" w:cs="標楷體" w:eastAsia="標楷體"/>
          <w:color w:val="000000"/>
          <w:szCs w:val="24"/>
        </w:rPr>
        <w:t>。</w:t>
      </w:r>
    </w:p>
    <w:p>
      <w:pPr>
        <w:pStyle w:val="Normal"/>
        <w:numPr>
          <w:ilvl w:val="0"/>
          <w:numId w:val="16"/>
        </w:numPr>
        <w:ind w:left="1680" w:hanging="480"/>
        <w:rPr/>
      </w:pPr>
      <w:r>
        <w:rPr>
          <w:rStyle w:val="Applestylespan"/>
          <w:rFonts w:ascii="標楷體" w:hAnsi="標楷體" w:cs="標楷體" w:eastAsia="標楷體"/>
          <w:color w:val="000000"/>
          <w:szCs w:val="24"/>
        </w:rPr>
        <w:t>完成「第一階段評估回覆單」，傳真至地檢署，正本發文送交地檢署。</w:t>
      </w:r>
    </w:p>
    <w:p>
      <w:pPr>
        <w:pStyle w:val="Normal"/>
        <w:rPr>
          <w:rStyle w:val="Applestylespan"/>
          <w:rFonts w:ascii="標楷體" w:hAnsi="標楷體" w:eastAsia="標楷體" w:cs="標楷體"/>
          <w:color w:val="000000"/>
          <w:szCs w:val="24"/>
        </w:rPr>
      </w:pPr>
      <w:r>
        <w:rPr/>
      </w:r>
    </w:p>
    <w:p>
      <w:pPr>
        <w:pStyle w:val="Normal"/>
        <w:rPr/>
      </w:pPr>
      <w:r>
        <w:rPr>
          <w:rStyle w:val="Applestylespan"/>
          <w:rFonts w:ascii="標楷體" w:hAnsi="標楷體" w:cs="標楷體" w:eastAsia="標楷體"/>
          <w:b/>
          <w:color w:val="000000"/>
          <w:szCs w:val="24"/>
        </w:rPr>
        <w:t>五、第二階段</w:t>
      </w:r>
      <w:r>
        <w:rPr>
          <w:rStyle w:val="Applestylespan"/>
          <w:rFonts w:eastAsia="標楷體" w:cs="標楷體" w:ascii="標楷體" w:hAnsi="標楷體"/>
          <w:b/>
          <w:color w:val="000000"/>
          <w:szCs w:val="24"/>
        </w:rPr>
        <w:t>(</w:t>
      </w:r>
      <w:r>
        <w:rPr>
          <w:rStyle w:val="Applestylespan"/>
          <w:rFonts w:ascii="標楷體" w:hAnsi="標楷體" w:cs="標楷體" w:eastAsia="標楷體"/>
          <w:b/>
          <w:color w:val="000000"/>
          <w:szCs w:val="24"/>
        </w:rPr>
        <w:t>鞏固期</w:t>
      </w:r>
      <w:r>
        <w:rPr>
          <w:rStyle w:val="Applestylespan"/>
          <w:rFonts w:eastAsia="標楷體" w:cs="標楷體" w:ascii="標楷體" w:hAnsi="標楷體"/>
          <w:b/>
          <w:color w:val="000000"/>
          <w:szCs w:val="24"/>
        </w:rPr>
        <w:t>)</w:t>
      </w:r>
      <w:r>
        <w:rPr>
          <w:rStyle w:val="Applestylespan"/>
          <w:rFonts w:ascii="標楷體" w:hAnsi="標楷體" w:cs="標楷體" w:eastAsia="標楷體"/>
          <w:b/>
          <w:color w:val="000000"/>
          <w:szCs w:val="24"/>
        </w:rPr>
        <w:t>：</w:t>
      </w:r>
    </w:p>
    <w:p>
      <w:pPr>
        <w:pStyle w:val="Normal"/>
        <w:rPr>
          <w:rStyle w:val="Applestylespan"/>
          <w:rFonts w:ascii="標楷體" w:hAnsi="標楷體" w:eastAsia="標楷體" w:cs="標楷體"/>
          <w:color w:val="000000"/>
          <w:szCs w:val="24"/>
        </w:rPr>
      </w:pPr>
      <w:r>
        <w:rPr>
          <w:rStyle w:val="Applestylespan"/>
          <w:rFonts w:ascii="標楷體" w:hAnsi="標楷體" w:cs="標楷體" w:eastAsia="標楷體"/>
          <w:color w:val="000000"/>
          <w:szCs w:val="24"/>
        </w:rPr>
        <w:t xml:space="preserve">  </w:t>
      </w:r>
      <w:r>
        <w:rPr>
          <w:rStyle w:val="Applestylespan"/>
          <w:rFonts w:eastAsia="標楷體" w:cs="標楷體" w:ascii="標楷體" w:hAnsi="標楷體"/>
          <w:color w:val="000000"/>
          <w:szCs w:val="24"/>
        </w:rPr>
        <w:tab/>
        <w:tab/>
      </w:r>
      <w:r>
        <w:rPr>
          <w:rStyle w:val="Applestylespan"/>
          <w:rFonts w:ascii="標楷體" w:hAnsi="標楷體" w:cs="標楷體" w:eastAsia="標楷體"/>
          <w:color w:val="000000"/>
          <w:szCs w:val="24"/>
        </w:rPr>
        <w:t xml:space="preserve">第五週至第十二週，每兩週返診一次。 </w:t>
      </w:r>
    </w:p>
    <w:p>
      <w:pPr>
        <w:pStyle w:val="Normal"/>
        <w:ind w:left="480" w:hanging="0"/>
        <w:rPr/>
      </w:pPr>
      <w:r>
        <w:rPr>
          <w:rStyle w:val="Applestylespan"/>
          <w:rFonts w:eastAsia="標楷體" w:cs="標楷體" w:ascii="標楷體" w:hAnsi="標楷體"/>
          <w:color w:val="000000"/>
          <w:szCs w:val="24"/>
        </w:rPr>
        <w:tab/>
      </w:r>
      <w:r>
        <w:rPr>
          <w:rStyle w:val="Applestylespan"/>
          <w:rFonts w:ascii="標楷體" w:hAnsi="標楷體" w:cs="標楷體" w:eastAsia="標楷體"/>
          <w:b/>
          <w:color w:val="000000"/>
          <w:szCs w:val="24"/>
        </w:rPr>
        <w:t>已達安非他命成癮診斷、或是有安非他命復發病史之個案，第二階段可考慮延長至第二十六週。</w:t>
      </w:r>
    </w:p>
    <w:p>
      <w:pPr>
        <w:pStyle w:val="Normal"/>
        <w:ind w:left="240" w:hanging="0"/>
        <w:rPr>
          <w:rStyle w:val="Applestylespan"/>
          <w:rFonts w:ascii="標楷體" w:hAnsi="標楷體" w:eastAsia="標楷體" w:cs="標楷體"/>
          <w:b/>
          <w:b/>
          <w:color w:val="000000"/>
          <w:szCs w:val="24"/>
        </w:rPr>
      </w:pPr>
      <w:r>
        <w:rPr/>
      </w:r>
    </w:p>
    <w:p>
      <w:pPr>
        <w:pStyle w:val="Normal"/>
        <w:numPr>
          <w:ilvl w:val="0"/>
          <w:numId w:val="23"/>
        </w:numPr>
        <w:ind w:left="1200" w:hanging="720"/>
        <w:rPr/>
      </w:pPr>
      <w:r>
        <w:rPr>
          <w:rStyle w:val="Applestylespan"/>
          <w:rFonts w:ascii="標楷體" w:hAnsi="標楷體" w:cs="標楷體" w:eastAsia="標楷體"/>
          <w:color w:val="000000"/>
          <w:szCs w:val="24"/>
        </w:rPr>
        <w:t>第二階段診療建議項目：</w:t>
      </w:r>
    </w:p>
    <w:p>
      <w:pPr>
        <w:pStyle w:val="Normal"/>
        <w:numPr>
          <w:ilvl w:val="0"/>
          <w:numId w:val="10"/>
        </w:numPr>
        <w:ind w:left="1704" w:hanging="480"/>
        <w:rPr/>
      </w:pPr>
      <w:r>
        <w:rPr>
          <w:rStyle w:val="Applestylespan"/>
          <w:rFonts w:ascii="標楷體" w:hAnsi="標楷體" w:cs="標楷體" w:eastAsia="標楷體"/>
          <w:color w:val="000000"/>
          <w:szCs w:val="24"/>
        </w:rPr>
        <w:t>動機式晤談。</w:t>
      </w:r>
    </w:p>
    <w:p>
      <w:pPr>
        <w:pStyle w:val="Normal"/>
        <w:numPr>
          <w:ilvl w:val="0"/>
          <w:numId w:val="10"/>
        </w:numPr>
        <w:ind w:left="1704" w:hanging="480"/>
        <w:rPr/>
      </w:pPr>
      <w:r>
        <w:rPr>
          <w:rStyle w:val="Applestylespan"/>
          <w:rFonts w:ascii="標楷體" w:hAnsi="標楷體" w:cs="標楷體" w:eastAsia="標楷體"/>
          <w:color w:val="000000"/>
          <w:szCs w:val="24"/>
        </w:rPr>
        <w:t>復發防治。</w:t>
      </w:r>
    </w:p>
    <w:p>
      <w:pPr>
        <w:pStyle w:val="Normal"/>
        <w:numPr>
          <w:ilvl w:val="0"/>
          <w:numId w:val="10"/>
        </w:numPr>
        <w:ind w:left="1704" w:hanging="480"/>
        <w:rPr/>
      </w:pPr>
      <w:r>
        <w:rPr>
          <w:rStyle w:val="Applestylespan"/>
          <w:rFonts w:ascii="標楷體" w:hAnsi="標楷體" w:cs="標楷體" w:eastAsia="標楷體"/>
          <w:color w:val="000000"/>
          <w:szCs w:val="24"/>
        </w:rPr>
        <w:t>共病性精神疾病處理。</w:t>
      </w:r>
    </w:p>
    <w:p>
      <w:pPr>
        <w:pStyle w:val="Normal"/>
        <w:numPr>
          <w:ilvl w:val="0"/>
          <w:numId w:val="10"/>
        </w:numPr>
        <w:ind w:left="1704" w:hanging="480"/>
        <w:rPr/>
      </w:pPr>
      <w:r>
        <w:rPr>
          <w:rStyle w:val="Applestylespan"/>
          <w:rFonts w:ascii="標楷體" w:hAnsi="標楷體" w:cs="標楷體" w:eastAsia="標楷體"/>
          <w:color w:val="000000"/>
          <w:szCs w:val="24"/>
        </w:rPr>
        <w:t>戒癮相關藥物開立評估。</w:t>
      </w:r>
    </w:p>
    <w:p>
      <w:pPr>
        <w:pStyle w:val="Normal"/>
        <w:numPr>
          <w:ilvl w:val="0"/>
          <w:numId w:val="10"/>
        </w:numPr>
        <w:ind w:left="1704" w:hanging="480"/>
        <w:rPr/>
      </w:pPr>
      <w:r>
        <w:rPr>
          <w:rStyle w:val="Applestylespan"/>
          <w:rFonts w:ascii="標楷體" w:hAnsi="標楷體" w:cs="標楷體" w:eastAsia="標楷體"/>
          <w:color w:val="000000"/>
          <w:szCs w:val="24"/>
        </w:rPr>
        <w:t>尿液藥物篩檢：</w:t>
      </w:r>
    </w:p>
    <w:p>
      <w:pPr>
        <w:pStyle w:val="Normal"/>
        <w:ind w:left="1704" w:hanging="0"/>
        <w:rPr/>
      </w:pPr>
      <w:r>
        <w:rPr>
          <w:rStyle w:val="Applestylespan"/>
          <w:rFonts w:ascii="標楷體" w:hAnsi="標楷體" w:cs="標楷體" w:eastAsia="標楷體"/>
          <w:color w:val="000000"/>
          <w:szCs w:val="24"/>
        </w:rPr>
        <w:t xml:space="preserve">   </w:t>
      </w:r>
      <w:r>
        <w:rPr>
          <w:rStyle w:val="Applestylespan"/>
          <w:rFonts w:ascii="標楷體" w:hAnsi="標楷體" w:cs="標楷體" w:eastAsia="標楷體"/>
          <w:color w:val="000000"/>
          <w:szCs w:val="24"/>
        </w:rPr>
        <w:t>本階段尿液藥物篩檢持續呈現陽性時，個案須在後續三週接受每週一次的尿液藥物篩檢，任何一次再度呈現陽性時，可考慮返回第一階段流程或住院完成解毒治療，</w:t>
      </w:r>
      <w:r>
        <w:rPr>
          <w:rStyle w:val="Applestylespan"/>
          <w:rFonts w:ascii="標楷體" w:hAnsi="標楷體" w:cs="標楷體" w:eastAsia="標楷體"/>
          <w:b/>
          <w:color w:val="000000"/>
          <w:szCs w:val="24"/>
        </w:rPr>
        <w:t>或者仍處於沉思前期個案，考慮轉介至矯治機構</w:t>
      </w:r>
      <w:r>
        <w:rPr>
          <w:rStyle w:val="Applestylespan"/>
          <w:rFonts w:ascii="標楷體" w:hAnsi="標楷體" w:cs="標楷體" w:eastAsia="標楷體"/>
          <w:color w:val="000000"/>
          <w:szCs w:val="24"/>
        </w:rPr>
        <w:t>。</w:t>
      </w:r>
    </w:p>
    <w:p>
      <w:pPr>
        <w:pStyle w:val="Normal"/>
        <w:ind w:left="1224" w:hanging="0"/>
        <w:rPr>
          <w:rStyle w:val="Applestylespan"/>
          <w:rFonts w:ascii="標楷體" w:hAnsi="標楷體" w:eastAsia="標楷體" w:cs="標楷體"/>
          <w:color w:val="000000"/>
          <w:szCs w:val="24"/>
        </w:rPr>
      </w:pPr>
      <w:r>
        <w:rPr/>
      </w:r>
    </w:p>
    <w:p>
      <w:pPr>
        <w:pStyle w:val="Normal"/>
        <w:numPr>
          <w:ilvl w:val="0"/>
          <w:numId w:val="23"/>
        </w:numPr>
        <w:ind w:left="1200" w:hanging="720"/>
        <w:rPr/>
      </w:pPr>
      <w:r>
        <w:rPr>
          <w:rStyle w:val="Applestylespan"/>
          <w:rFonts w:ascii="標楷體" w:hAnsi="標楷體" w:cs="標楷體" w:eastAsia="標楷體"/>
          <w:b/>
          <w:color w:val="000000"/>
          <w:szCs w:val="24"/>
        </w:rPr>
        <w:t>「第二階段治療回覆單」：</w:t>
      </w:r>
    </w:p>
    <w:p>
      <w:pPr>
        <w:pStyle w:val="Normal"/>
        <w:numPr>
          <w:ilvl w:val="0"/>
          <w:numId w:val="18"/>
        </w:numPr>
        <w:ind w:left="1680" w:hanging="480"/>
        <w:rPr/>
      </w:pPr>
      <w:r>
        <w:rPr>
          <w:rStyle w:val="Applestylespan"/>
          <w:rFonts w:ascii="標楷體" w:hAnsi="標楷體" w:cs="標楷體" w:eastAsia="標楷體"/>
          <w:color w:val="000000"/>
          <w:szCs w:val="24"/>
        </w:rPr>
        <w:t>每月</w:t>
      </w:r>
      <w:r>
        <w:rPr>
          <w:rStyle w:val="Applestylespan"/>
          <w:rFonts w:eastAsia="標楷體" w:cs="標楷體" w:ascii="標楷體" w:hAnsi="標楷體"/>
          <w:color w:val="000000"/>
          <w:szCs w:val="24"/>
        </w:rPr>
        <w:t>10</w:t>
      </w:r>
      <w:r>
        <w:rPr>
          <w:rStyle w:val="Applestylespan"/>
          <w:rFonts w:ascii="標楷體" w:hAnsi="標楷體" w:cs="標楷體" w:eastAsia="標楷體"/>
          <w:color w:val="000000"/>
          <w:szCs w:val="24"/>
        </w:rPr>
        <w:t>日前將前一個月尿液藥物篩檢結果、以及返診次數與配合情形，發文送交地檢署。</w:t>
      </w:r>
    </w:p>
    <w:p>
      <w:pPr>
        <w:pStyle w:val="Normal"/>
        <w:numPr>
          <w:ilvl w:val="0"/>
          <w:numId w:val="18"/>
        </w:numPr>
        <w:ind w:left="1680" w:hanging="480"/>
        <w:rPr/>
      </w:pPr>
      <w:r>
        <w:rPr>
          <w:rStyle w:val="Applestylespan"/>
          <w:rFonts w:ascii="標楷體" w:hAnsi="標楷體" w:cs="標楷體" w:eastAsia="標楷體"/>
          <w:color w:val="000000"/>
          <w:szCs w:val="24"/>
        </w:rPr>
        <w:t>未配合返診追蹤者，</w:t>
      </w:r>
      <w:r>
        <w:rPr>
          <w:rStyle w:val="Applestylespan"/>
          <w:rFonts w:ascii="標楷體" w:hAnsi="標楷體" w:cs="標楷體" w:eastAsia="標楷體"/>
          <w:b/>
          <w:color w:val="000000"/>
          <w:szCs w:val="24"/>
        </w:rPr>
        <w:t>或仍處於沉思前期個案，考慮轉介至矯治機構</w:t>
      </w:r>
      <w:r>
        <w:rPr>
          <w:rStyle w:val="Applestylespan"/>
          <w:rFonts w:ascii="標楷體" w:hAnsi="標楷體" w:cs="標楷體" w:eastAsia="標楷體"/>
          <w:color w:val="000000"/>
          <w:szCs w:val="24"/>
        </w:rPr>
        <w:t>。</w:t>
      </w:r>
    </w:p>
    <w:p>
      <w:pPr>
        <w:pStyle w:val="Normal"/>
        <w:rPr>
          <w:rStyle w:val="Applestylespan"/>
          <w:rFonts w:ascii="標楷體" w:hAnsi="標楷體" w:eastAsia="標楷體" w:cs="標楷體"/>
          <w:color w:val="000000"/>
          <w:szCs w:val="24"/>
        </w:rPr>
      </w:pPr>
      <w:r>
        <w:rPr/>
      </w:r>
    </w:p>
    <w:p>
      <w:pPr>
        <w:pStyle w:val="Normal"/>
        <w:rPr/>
      </w:pPr>
      <w:r>
        <w:rPr>
          <w:rStyle w:val="Applestylespan"/>
          <w:rFonts w:ascii="標楷體" w:hAnsi="標楷體" w:cs="標楷體" w:eastAsia="標楷體"/>
          <w:b/>
          <w:color w:val="000000"/>
          <w:szCs w:val="24"/>
        </w:rPr>
        <w:t>六、第三階段</w:t>
      </w:r>
      <w:r>
        <w:rPr>
          <w:rStyle w:val="Applestylespan"/>
          <w:rFonts w:eastAsia="標楷體" w:cs="標楷體" w:ascii="標楷體" w:hAnsi="標楷體"/>
          <w:b/>
          <w:color w:val="000000"/>
          <w:szCs w:val="24"/>
        </w:rPr>
        <w:t>(</w:t>
      </w:r>
      <w:r>
        <w:rPr>
          <w:rStyle w:val="Applestylespan"/>
          <w:rFonts w:ascii="標楷體" w:hAnsi="標楷體" w:cs="標楷體" w:eastAsia="標楷體"/>
          <w:b/>
          <w:color w:val="000000"/>
          <w:szCs w:val="24"/>
        </w:rPr>
        <w:t>維持期</w:t>
      </w:r>
      <w:r>
        <w:rPr>
          <w:rStyle w:val="Applestylespan"/>
          <w:rFonts w:eastAsia="標楷體" w:cs="標楷體" w:ascii="標楷體" w:hAnsi="標楷體"/>
          <w:b/>
          <w:color w:val="000000"/>
          <w:szCs w:val="24"/>
        </w:rPr>
        <w:t>)</w:t>
      </w:r>
      <w:r>
        <w:rPr>
          <w:rStyle w:val="Applestylespan"/>
          <w:rFonts w:ascii="標楷體" w:hAnsi="標楷體" w:cs="標楷體" w:eastAsia="標楷體"/>
          <w:b/>
          <w:color w:val="000000"/>
          <w:szCs w:val="24"/>
        </w:rPr>
        <w:t>：</w:t>
      </w:r>
    </w:p>
    <w:p>
      <w:pPr>
        <w:pStyle w:val="Normal"/>
        <w:rPr>
          <w:rStyle w:val="Applestylespan"/>
          <w:rFonts w:ascii="標楷體" w:hAnsi="標楷體" w:eastAsia="標楷體" w:cs="標楷體"/>
          <w:color w:val="000000"/>
          <w:szCs w:val="24"/>
        </w:rPr>
      </w:pPr>
      <w:r>
        <w:rPr>
          <w:rStyle w:val="Applestylespan"/>
          <w:rFonts w:eastAsia="標楷體" w:cs="標楷體" w:ascii="標楷體" w:hAnsi="標楷體"/>
          <w:color w:val="000000"/>
          <w:szCs w:val="24"/>
        </w:rPr>
        <w:tab/>
        <w:tab/>
      </w:r>
      <w:r>
        <w:rPr>
          <w:rStyle w:val="Applestylespan"/>
          <w:rFonts w:ascii="標楷體" w:hAnsi="標楷體" w:cs="標楷體" w:eastAsia="標楷體"/>
          <w:color w:val="000000"/>
          <w:szCs w:val="24"/>
        </w:rPr>
        <w:t>第十三週至第五十二週，每四週返診一次。</w:t>
      </w:r>
    </w:p>
    <w:p>
      <w:pPr>
        <w:pStyle w:val="Normal"/>
        <w:ind w:left="480" w:firstLine="480"/>
        <w:rPr>
          <w:rStyle w:val="Applestylespan"/>
          <w:rFonts w:ascii="標楷體" w:hAnsi="標楷體" w:eastAsia="標楷體" w:cs="標楷體"/>
          <w:color w:val="000000"/>
          <w:szCs w:val="24"/>
        </w:rPr>
      </w:pPr>
      <w:r>
        <w:rPr>
          <w:rStyle w:val="Applestylespan"/>
          <w:rFonts w:ascii="標楷體" w:hAnsi="標楷體" w:cs="標楷體" w:eastAsia="標楷體"/>
          <w:b/>
          <w:color w:val="000000"/>
          <w:szCs w:val="24"/>
        </w:rPr>
        <w:t>已達安非他命成癮診斷、或是有安非他命復發病史之個案，第三階段可考慮為第二十七週至第五十二週。</w:t>
      </w:r>
    </w:p>
    <w:p>
      <w:pPr>
        <w:pStyle w:val="Normal"/>
        <w:rPr>
          <w:rStyle w:val="Applestylespan"/>
          <w:rFonts w:ascii="標楷體" w:hAnsi="標楷體" w:eastAsia="標楷體" w:cs="標楷體"/>
          <w:color w:val="000000"/>
          <w:szCs w:val="24"/>
        </w:rPr>
      </w:pPr>
      <w:r>
        <w:rPr/>
      </w:r>
    </w:p>
    <w:p>
      <w:pPr>
        <w:pStyle w:val="Normal"/>
        <w:numPr>
          <w:ilvl w:val="0"/>
          <w:numId w:val="20"/>
        </w:numPr>
        <w:ind w:left="1200" w:hanging="720"/>
        <w:rPr/>
      </w:pPr>
      <w:r>
        <w:rPr>
          <w:rStyle w:val="Applestylespan"/>
          <w:rFonts w:ascii="標楷體" w:hAnsi="標楷體" w:cs="標楷體" w:eastAsia="標楷體"/>
          <w:color w:val="000000"/>
          <w:szCs w:val="24"/>
        </w:rPr>
        <w:t>第三階段診療建議項目：</w:t>
      </w:r>
    </w:p>
    <w:p>
      <w:pPr>
        <w:pStyle w:val="Normal"/>
        <w:numPr>
          <w:ilvl w:val="0"/>
          <w:numId w:val="10"/>
        </w:numPr>
        <w:ind w:left="1704" w:hanging="480"/>
        <w:rPr/>
      </w:pPr>
      <w:r>
        <w:rPr>
          <w:rStyle w:val="Applestylespan"/>
          <w:rFonts w:ascii="標楷體" w:hAnsi="標楷體" w:cs="標楷體" w:eastAsia="標楷體"/>
          <w:color w:val="000000"/>
          <w:szCs w:val="24"/>
        </w:rPr>
        <w:t>復發防治。</w:t>
      </w:r>
    </w:p>
    <w:p>
      <w:pPr>
        <w:pStyle w:val="Normal"/>
        <w:numPr>
          <w:ilvl w:val="0"/>
          <w:numId w:val="10"/>
        </w:numPr>
        <w:ind w:left="1704" w:hanging="480"/>
        <w:rPr/>
      </w:pPr>
      <w:r>
        <w:rPr>
          <w:rStyle w:val="Applestylespan"/>
          <w:rFonts w:ascii="標楷體" w:hAnsi="標楷體" w:cs="標楷體" w:eastAsia="標楷體"/>
          <w:color w:val="000000"/>
          <w:szCs w:val="24"/>
        </w:rPr>
        <w:t>共病性精神疾病處理。</w:t>
      </w:r>
    </w:p>
    <w:p>
      <w:pPr>
        <w:pStyle w:val="Normal"/>
        <w:numPr>
          <w:ilvl w:val="0"/>
          <w:numId w:val="10"/>
        </w:numPr>
        <w:ind w:left="1704" w:hanging="480"/>
        <w:rPr/>
      </w:pPr>
      <w:r>
        <w:rPr>
          <w:rStyle w:val="Applestylespan"/>
          <w:rFonts w:ascii="標楷體" w:hAnsi="標楷體" w:cs="標楷體" w:eastAsia="標楷體"/>
          <w:color w:val="000000"/>
          <w:szCs w:val="24"/>
        </w:rPr>
        <w:t>戒癮相關藥物開立評估。</w:t>
      </w:r>
    </w:p>
    <w:p>
      <w:pPr>
        <w:pStyle w:val="Normal"/>
        <w:numPr>
          <w:ilvl w:val="0"/>
          <w:numId w:val="10"/>
        </w:numPr>
        <w:ind w:left="1704" w:hanging="480"/>
        <w:rPr/>
      </w:pPr>
      <w:r>
        <w:rPr>
          <w:rStyle w:val="Applestylespan"/>
          <w:rFonts w:ascii="標楷體" w:hAnsi="標楷體" w:cs="標楷體" w:eastAsia="標楷體"/>
          <w:color w:val="000000"/>
          <w:szCs w:val="24"/>
        </w:rPr>
        <w:t>尿液藥物篩檢：</w:t>
      </w:r>
    </w:p>
    <w:p>
      <w:pPr>
        <w:pStyle w:val="Normal"/>
        <w:ind w:left="1704" w:hanging="0"/>
        <w:rPr/>
      </w:pPr>
      <w:r>
        <w:rPr>
          <w:rStyle w:val="Applestylespan"/>
          <w:rFonts w:ascii="標楷體" w:hAnsi="標楷體" w:cs="標楷體" w:eastAsia="標楷體"/>
          <w:color w:val="000000"/>
          <w:szCs w:val="24"/>
        </w:rPr>
        <w:t xml:space="preserve">   </w:t>
      </w:r>
      <w:r>
        <w:rPr>
          <w:rStyle w:val="Applestylespan"/>
          <w:rFonts w:ascii="標楷體" w:hAnsi="標楷體" w:cs="標楷體" w:eastAsia="標楷體"/>
          <w:color w:val="000000"/>
          <w:szCs w:val="24"/>
        </w:rPr>
        <w:t>本階段尿液藥物篩檢呈現陽性時，個案須在後續三週接受每週一次的尿液藥物篩檢，再度呈現陽性反應時，可考慮再次執行第一、第二階段流程，</w:t>
      </w:r>
      <w:r>
        <w:rPr>
          <w:rStyle w:val="Applestylespan"/>
          <w:rFonts w:ascii="標楷體" w:hAnsi="標楷體" w:cs="標楷體" w:eastAsia="標楷體"/>
          <w:b/>
          <w:color w:val="000000"/>
          <w:szCs w:val="24"/>
        </w:rPr>
        <w:t>或仍處於沉思前期個案，考慮轉介至矯治機構</w:t>
      </w:r>
      <w:r>
        <w:rPr>
          <w:rStyle w:val="Applestylespan"/>
          <w:rFonts w:ascii="標楷體" w:hAnsi="標楷體" w:cs="標楷體" w:eastAsia="標楷體"/>
          <w:color w:val="000000"/>
          <w:szCs w:val="24"/>
        </w:rPr>
        <w:t>。</w:t>
      </w:r>
    </w:p>
    <w:p>
      <w:pPr>
        <w:pStyle w:val="Normal"/>
        <w:ind w:left="1224" w:hanging="0"/>
        <w:rPr>
          <w:rStyle w:val="Applestylespan"/>
          <w:rFonts w:ascii="標楷體" w:hAnsi="標楷體" w:eastAsia="標楷體" w:cs="標楷體"/>
          <w:color w:val="000000"/>
          <w:szCs w:val="24"/>
        </w:rPr>
      </w:pPr>
      <w:r>
        <w:rPr/>
      </w:r>
    </w:p>
    <w:p>
      <w:pPr>
        <w:pStyle w:val="Normal"/>
        <w:numPr>
          <w:ilvl w:val="0"/>
          <w:numId w:val="20"/>
        </w:numPr>
        <w:ind w:left="1200" w:hanging="720"/>
        <w:rPr/>
      </w:pPr>
      <w:r>
        <w:rPr>
          <w:rStyle w:val="Applestylespan"/>
          <w:rFonts w:ascii="標楷體" w:hAnsi="標楷體" w:cs="標楷體" w:eastAsia="標楷體"/>
          <w:b/>
          <w:color w:val="000000"/>
          <w:szCs w:val="24"/>
        </w:rPr>
        <w:t>「第三階段治療回覆單」：</w:t>
      </w:r>
    </w:p>
    <w:p>
      <w:pPr>
        <w:pStyle w:val="Normal"/>
        <w:numPr>
          <w:ilvl w:val="0"/>
          <w:numId w:val="18"/>
        </w:numPr>
        <w:ind w:left="1680" w:hanging="480"/>
        <w:rPr/>
      </w:pPr>
      <w:r>
        <w:rPr>
          <w:rStyle w:val="Applestylespan"/>
          <w:rFonts w:ascii="標楷體" w:hAnsi="標楷體" w:cs="標楷體" w:eastAsia="標楷體"/>
          <w:color w:val="000000"/>
          <w:szCs w:val="24"/>
        </w:rPr>
        <w:t>每月</w:t>
      </w:r>
      <w:r>
        <w:rPr>
          <w:rStyle w:val="Applestylespan"/>
          <w:rFonts w:eastAsia="標楷體" w:cs="標楷體" w:ascii="標楷體" w:hAnsi="標楷體"/>
          <w:color w:val="000000"/>
          <w:szCs w:val="24"/>
        </w:rPr>
        <w:t>10</w:t>
      </w:r>
      <w:r>
        <w:rPr>
          <w:rStyle w:val="Applestylespan"/>
          <w:rFonts w:ascii="標楷體" w:hAnsi="標楷體" w:cs="標楷體" w:eastAsia="標楷體"/>
          <w:color w:val="000000"/>
          <w:szCs w:val="24"/>
        </w:rPr>
        <w:t>日前將前一個月尿液藥物篩檢結果、以及返診次數與配合情形，發文送交地檢署。</w:t>
      </w:r>
    </w:p>
    <w:p>
      <w:pPr>
        <w:pStyle w:val="Normal"/>
        <w:numPr>
          <w:ilvl w:val="0"/>
          <w:numId w:val="18"/>
        </w:numPr>
        <w:ind w:left="1680" w:hanging="480"/>
        <w:rPr>
          <w:rStyle w:val="Applestylespan"/>
          <w:rFonts w:ascii="標楷體" w:hAnsi="標楷體" w:eastAsia="標楷體" w:cs="標楷體"/>
          <w:color w:val="000000"/>
          <w:szCs w:val="24"/>
        </w:rPr>
      </w:pPr>
      <w:r>
        <w:rPr>
          <w:rStyle w:val="Applestylespan"/>
          <w:rFonts w:ascii="標楷體" w:hAnsi="標楷體" w:cs="標楷體" w:eastAsia="標楷體"/>
          <w:color w:val="000000"/>
          <w:szCs w:val="24"/>
        </w:rPr>
        <w:t>未配合返診追蹤者，</w:t>
      </w:r>
      <w:r>
        <w:rPr>
          <w:rStyle w:val="Applestylespan"/>
          <w:rFonts w:ascii="標楷體" w:hAnsi="標楷體" w:cs="標楷體" w:eastAsia="標楷體"/>
          <w:b/>
          <w:color w:val="000000"/>
          <w:szCs w:val="24"/>
        </w:rPr>
        <w:t>或仍處於沉思前期個案，考慮轉介至矯治機構</w:t>
      </w:r>
      <w:r>
        <w:rPr>
          <w:rStyle w:val="Applestylespan"/>
          <w:rFonts w:ascii="標楷體" w:hAnsi="標楷體" w:cs="標楷體" w:eastAsia="標楷體"/>
          <w:color w:val="000000"/>
          <w:szCs w:val="24"/>
        </w:rPr>
        <w:t>。</w:t>
      </w:r>
    </w:p>
    <w:p>
      <w:pPr>
        <w:pStyle w:val="Normal"/>
        <w:rPr>
          <w:rStyle w:val="Applestylespan"/>
          <w:rFonts w:ascii="標楷體" w:hAnsi="標楷體" w:eastAsia="標楷體" w:cs="標楷體"/>
          <w:color w:val="000000"/>
          <w:szCs w:val="24"/>
        </w:rPr>
      </w:pPr>
      <w:r>
        <w:rPr/>
      </w:r>
    </w:p>
    <w:p>
      <w:pPr>
        <w:pStyle w:val="Normal"/>
        <w:rPr/>
      </w:pPr>
      <w:r>
        <w:rPr>
          <w:rStyle w:val="Applestylespan"/>
          <w:rFonts w:ascii="標楷體" w:hAnsi="標楷體" w:cs="標楷體" w:eastAsia="標楷體"/>
          <w:b/>
          <w:color w:val="000000"/>
          <w:szCs w:val="24"/>
        </w:rPr>
        <w:t>七、結案：</w:t>
      </w:r>
    </w:p>
    <w:p>
      <w:pPr>
        <w:pStyle w:val="Normal"/>
        <w:numPr>
          <w:ilvl w:val="0"/>
          <w:numId w:val="21"/>
        </w:numPr>
        <w:ind w:left="984" w:hanging="480"/>
        <w:rPr>
          <w:rStyle w:val="Applestylespan"/>
          <w:rFonts w:ascii="標楷體" w:hAnsi="標楷體" w:eastAsia="標楷體" w:cs="標楷體"/>
          <w:color w:val="000000"/>
          <w:szCs w:val="24"/>
        </w:rPr>
      </w:pPr>
      <w:r>
        <w:rPr>
          <w:rStyle w:val="Applestylespan"/>
          <w:rFonts w:ascii="標楷體" w:hAnsi="標楷體" w:cs="標楷體" w:eastAsia="標楷體"/>
          <w:color w:val="000000"/>
          <w:szCs w:val="24"/>
        </w:rPr>
        <w:t>治療一年後，於期滿後</w:t>
      </w:r>
      <w:r>
        <w:rPr>
          <w:rStyle w:val="Applestylespan"/>
          <w:rFonts w:eastAsia="標楷體" w:cs="標楷體" w:ascii="標楷體" w:hAnsi="標楷體"/>
          <w:color w:val="000000"/>
          <w:szCs w:val="24"/>
        </w:rPr>
        <w:t>15</w:t>
      </w:r>
      <w:r>
        <w:rPr>
          <w:rStyle w:val="Applestylespan"/>
          <w:rFonts w:ascii="標楷體" w:hAnsi="標楷體" w:cs="標楷體" w:eastAsia="標楷體"/>
          <w:color w:val="000000"/>
          <w:szCs w:val="24"/>
        </w:rPr>
        <w:t>日內進行三次尿液藥物篩檢。</w:t>
      </w:r>
    </w:p>
    <w:p>
      <w:pPr>
        <w:pStyle w:val="Normal"/>
        <w:numPr>
          <w:ilvl w:val="0"/>
          <w:numId w:val="21"/>
        </w:numPr>
        <w:ind w:left="1224" w:hanging="720"/>
        <w:rPr>
          <w:rStyle w:val="Applestylespan"/>
          <w:rFonts w:ascii="標楷體" w:hAnsi="標楷體" w:eastAsia="標楷體" w:cs="標楷體"/>
          <w:b/>
          <w:b/>
          <w:color w:val="000000"/>
          <w:szCs w:val="24"/>
        </w:rPr>
      </w:pPr>
      <w:r>
        <w:rPr>
          <w:rStyle w:val="Applestylespan"/>
          <w:rFonts w:ascii="標楷體" w:hAnsi="標楷體" w:cs="標楷體" w:eastAsia="標楷體"/>
          <w:color w:val="000000"/>
          <w:szCs w:val="24"/>
        </w:rPr>
        <w:t>完成追蹤治療程序個案，發給</w:t>
      </w:r>
      <w:r>
        <w:rPr>
          <w:rStyle w:val="Applestylespan"/>
          <w:rFonts w:ascii="標楷體" w:hAnsi="標楷體" w:cs="標楷體" w:eastAsia="標楷體"/>
          <w:b/>
          <w:color w:val="000000"/>
          <w:szCs w:val="24"/>
        </w:rPr>
        <w:t>「結業證書」。</w:t>
      </w:r>
    </w:p>
    <w:p>
      <w:pPr>
        <w:pStyle w:val="Normal"/>
        <w:numPr>
          <w:ilvl w:val="0"/>
          <w:numId w:val="21"/>
        </w:numPr>
        <w:ind w:left="1224" w:hanging="720"/>
        <w:rPr>
          <w:rStyle w:val="Applestylespan"/>
          <w:rFonts w:ascii="標楷體" w:hAnsi="標楷體" w:eastAsia="標楷體" w:cs="標楷體"/>
          <w:b/>
          <w:b/>
          <w:color w:val="000000"/>
          <w:szCs w:val="24"/>
        </w:rPr>
      </w:pPr>
      <w:r>
        <w:rPr>
          <w:rStyle w:val="Applestylespan"/>
          <w:rFonts w:ascii="標楷體" w:hAnsi="標楷體" w:cs="標楷體" w:eastAsia="標楷體"/>
          <w:b/>
          <w:color w:val="000000"/>
          <w:szCs w:val="24"/>
        </w:rPr>
        <w:t>「結案回覆單」：</w:t>
      </w:r>
    </w:p>
    <w:p>
      <w:pPr>
        <w:pStyle w:val="Style30"/>
        <w:ind w:left="960" w:firstLine="480"/>
        <w:rPr>
          <w:rStyle w:val="Applestylespan"/>
          <w:rFonts w:ascii="標楷體" w:hAnsi="標楷體" w:eastAsia="標楷體" w:cs="標楷體"/>
          <w:color w:val="000000"/>
          <w:sz w:val="24"/>
          <w:szCs w:val="24"/>
        </w:rPr>
      </w:pPr>
      <w:r>
        <w:rPr>
          <w:rStyle w:val="Applestylespan"/>
          <w:rFonts w:ascii="標楷體" w:hAnsi="標楷體" w:cs="標楷體" w:eastAsia="標楷體"/>
          <w:color w:val="000000"/>
          <w:sz w:val="24"/>
          <w:szCs w:val="24"/>
        </w:rPr>
        <w:t>完成一年追蹤個案資料，以及三次尿液藥物篩檢結果報告，予以發文送交地檢署。</w:t>
      </w:r>
    </w:p>
    <w:p>
      <w:pPr>
        <w:pStyle w:val="Style30"/>
        <w:ind w:firstLine="24"/>
        <w:rPr>
          <w:rStyle w:val="Applestylespan"/>
          <w:rFonts w:ascii="標楷體" w:hAnsi="標楷體" w:eastAsia="標楷體" w:cs="標楷體"/>
          <w:color w:val="000000"/>
          <w:sz w:val="24"/>
          <w:szCs w:val="24"/>
        </w:rPr>
      </w:pPr>
      <w:r>
        <w:rPr/>
      </w:r>
    </w:p>
    <w:p>
      <w:pPr>
        <w:pStyle w:val="Style30"/>
        <w:ind w:firstLine="24"/>
        <w:rPr/>
      </w:pPr>
      <w:r>
        <w:rPr>
          <w:rFonts w:ascii="標楷體" w:hAnsi="標楷體" w:cs="標楷體" w:eastAsia="標楷體"/>
          <w:b/>
          <w:sz w:val="24"/>
          <w:szCs w:val="24"/>
        </w:rPr>
        <w:t>八、定期個案會議：</w:t>
      </w:r>
    </w:p>
    <w:p>
      <w:pPr>
        <w:pStyle w:val="Style30"/>
        <w:ind w:left="480" w:firstLine="480"/>
        <w:jc w:val="both"/>
        <w:rPr>
          <w:rFonts w:ascii="標楷體" w:hAnsi="標楷體" w:eastAsia="標楷體" w:cs="標楷體"/>
          <w:sz w:val="24"/>
          <w:szCs w:val="24"/>
        </w:rPr>
      </w:pPr>
      <w:r>
        <w:rPr>
          <w:rFonts w:ascii="標楷體" w:hAnsi="標楷體" w:cs="標楷體" w:eastAsia="標楷體"/>
          <w:sz w:val="24"/>
          <w:szCs w:val="24"/>
        </w:rPr>
        <w:t>法務單位、觀護人與醫療院所單位，應就緩起訴個案整體追蹤及就醫狀況，定期召開會議討論。</w:t>
      </w:r>
    </w:p>
    <w:p>
      <w:pPr>
        <w:pStyle w:val="Style30"/>
        <w:rPr>
          <w:rFonts w:ascii="標楷體" w:hAnsi="標楷體" w:eastAsia="標楷體" w:cs="標楷體"/>
          <w:sz w:val="24"/>
          <w:szCs w:val="24"/>
        </w:rPr>
      </w:pPr>
      <w:r>
        <w:rPr>
          <w:rFonts w:eastAsia="標楷體" w:cs="標楷體" w:ascii="標楷體" w:hAnsi="標楷體"/>
          <w:sz w:val="24"/>
          <w:szCs w:val="24"/>
        </w:rPr>
      </w:r>
    </w:p>
    <w:p>
      <w:pPr>
        <w:pStyle w:val="Style30"/>
        <w:rPr>
          <w:rFonts w:ascii="標楷體" w:hAnsi="標楷體" w:eastAsia="標楷體" w:cs="標楷體"/>
          <w:b/>
          <w:b/>
          <w:sz w:val="24"/>
          <w:szCs w:val="24"/>
        </w:rPr>
      </w:pPr>
      <w:r>
        <w:rPr>
          <w:rFonts w:ascii="標楷體" w:hAnsi="標楷體" w:cs="標楷體" w:eastAsia="標楷體"/>
          <w:b/>
          <w:sz w:val="24"/>
          <w:szCs w:val="24"/>
        </w:rPr>
        <w:t>九、治療項目與費用參考：</w:t>
      </w:r>
    </w:p>
    <w:p>
      <w:pPr>
        <w:pStyle w:val="Style30"/>
        <w:ind w:left="480" w:firstLine="480"/>
        <w:rPr>
          <w:rFonts w:ascii="標楷體" w:hAnsi="標楷體" w:eastAsia="標楷體" w:cs="標楷體"/>
          <w:sz w:val="24"/>
          <w:szCs w:val="24"/>
        </w:rPr>
      </w:pPr>
      <w:r>
        <w:rPr>
          <w:rFonts w:ascii="標楷體" w:hAnsi="標楷體" w:cs="標楷體" w:eastAsia="標楷體"/>
          <w:sz w:val="24"/>
          <w:szCs w:val="24"/>
        </w:rPr>
        <w:t>一年之追蹤期間，實際治療內容應依照個案的病情演進給予個別化考量處理。</w:t>
      </w:r>
      <w:r>
        <w:rPr>
          <w:rFonts w:ascii="標楷體" w:hAnsi="標楷體" w:cs="標楷體" w:eastAsia="標楷體"/>
          <w:b/>
          <w:sz w:val="24"/>
          <w:szCs w:val="24"/>
          <w:u w:val="single"/>
        </w:rPr>
        <w:t>個案若有短暫復發狀況、出席不規則、需要藥物治療、或需要住院治療等狀況，會有個別之治療項目及費用差異。</w:t>
      </w:r>
    </w:p>
    <w:p>
      <w:pPr>
        <w:pStyle w:val="Normal"/>
        <w:ind w:left="480" w:hanging="0"/>
        <w:rPr>
          <w:rFonts w:ascii="標楷體" w:hAnsi="標楷體" w:eastAsia="標楷體" w:cs="標楷體"/>
        </w:rPr>
      </w:pPr>
      <w:r>
        <w:rPr>
          <w:rFonts w:eastAsia="標楷體" w:cs="標楷體" w:ascii="標楷體" w:hAnsi="標楷體"/>
        </w:rPr>
        <w:tab/>
      </w:r>
      <w:r>
        <w:rPr>
          <w:rFonts w:ascii="標楷體" w:hAnsi="標楷體" w:cs="標楷體" w:eastAsia="標楷體"/>
        </w:rPr>
        <w:t>以下所列舉之參考治療項目與費用</w:t>
      </w:r>
      <w:r>
        <w:rPr>
          <w:rFonts w:eastAsia="標楷體" w:cs="標楷體" w:ascii="標楷體" w:hAnsi="標楷體"/>
        </w:rPr>
        <w:t>(</w:t>
      </w:r>
      <w:r>
        <w:rPr>
          <w:rFonts w:ascii="標楷體" w:hAnsi="標楷體" w:cs="標楷體" w:eastAsia="標楷體"/>
        </w:rPr>
        <w:t>括號內為金額，幣別為新台幣</w:t>
      </w:r>
      <w:r>
        <w:rPr>
          <w:rFonts w:eastAsia="標楷體" w:cs="標楷體" w:ascii="標楷體" w:hAnsi="標楷體"/>
        </w:rPr>
        <w:t>)</w:t>
      </w:r>
      <w:r>
        <w:rPr>
          <w:rFonts w:ascii="標楷體" w:hAnsi="標楷體" w:cs="標楷體" w:eastAsia="標楷體"/>
        </w:rPr>
        <w:t>，係依照全程規律參與，並維持戒斷狀態之安非他命個案為範例。</w:t>
      </w:r>
    </w:p>
    <w:p>
      <w:pPr>
        <w:pStyle w:val="Normal"/>
        <w:ind w:left="480" w:hanging="0"/>
        <w:rPr>
          <w:rFonts w:ascii="標楷體" w:hAnsi="標楷體" w:eastAsia="標楷體" w:cs="標楷體"/>
        </w:rPr>
      </w:pPr>
      <w:r>
        <w:rPr>
          <w:rFonts w:eastAsia="標楷體" w:cs="標楷體" w:ascii="標楷體" w:hAnsi="標楷體"/>
        </w:rPr>
      </w:r>
    </w:p>
    <w:p>
      <w:pPr>
        <w:pStyle w:val="Normal"/>
        <w:ind w:left="480" w:hanging="0"/>
        <w:rPr/>
      </w:pPr>
      <w:r>
        <w:rPr>
          <w:rFonts w:eastAsia="標楷體" w:cs="標楷體" w:ascii="標楷體" w:hAnsi="標楷體"/>
          <w:b/>
        </w:rPr>
        <w:t>(</w:t>
      </w:r>
      <w:r>
        <w:rPr>
          <w:rFonts w:ascii="標楷體" w:hAnsi="標楷體" w:cs="標楷體" w:eastAsia="標楷體"/>
          <w:b/>
        </w:rPr>
        <w:t>一</w:t>
      </w:r>
      <w:r>
        <w:rPr>
          <w:rFonts w:eastAsia="標楷體" w:cs="標楷體" w:ascii="標楷體" w:hAnsi="標楷體"/>
          <w:b/>
        </w:rPr>
        <w:t xml:space="preserve">) </w:t>
      </w:r>
      <w:r>
        <w:rPr>
          <w:rFonts w:ascii="標楷體" w:hAnsi="標楷體" w:cs="標楷體" w:eastAsia="標楷體"/>
          <w:b/>
        </w:rPr>
        <w:t>第一階段治療參考項目與費用：</w:t>
      </w:r>
    </w:p>
    <w:p>
      <w:pPr>
        <w:pStyle w:val="Normal"/>
        <w:ind w:left="1080" w:hanging="0"/>
        <w:jc w:val="both"/>
        <w:rPr>
          <w:rFonts w:ascii="標楷體" w:hAnsi="標楷體" w:eastAsia="標楷體" w:cs="標楷體"/>
        </w:rPr>
      </w:pPr>
      <w:r>
        <w:rPr>
          <w:rFonts w:ascii="標楷體" w:hAnsi="標楷體" w:cs="標楷體" w:eastAsia="標楷體"/>
        </w:rPr>
        <w:t>包含初診與三次複診，總費用為</w:t>
      </w:r>
      <w:r>
        <w:rPr>
          <w:rFonts w:eastAsia="標楷體" w:cs="標楷體" w:ascii="標楷體" w:hAnsi="標楷體"/>
        </w:rPr>
        <w:t>7699</w:t>
      </w:r>
      <w:r>
        <w:rPr>
          <w:rFonts w:ascii="標楷體" w:hAnsi="標楷體" w:cs="標楷體" w:eastAsia="標楷體"/>
        </w:rPr>
        <w:t>元。</w:t>
      </w:r>
    </w:p>
    <w:p>
      <w:pPr>
        <w:pStyle w:val="Normal"/>
        <w:ind w:left="1080" w:hanging="0"/>
        <w:jc w:val="both"/>
        <w:rPr/>
      </w:pPr>
      <w:r>
        <w:rPr>
          <w:rFonts w:ascii="標楷體" w:hAnsi="標楷體" w:cs="標楷體" w:eastAsia="標楷體"/>
        </w:rPr>
        <w:t>初診治療項目：</w:t>
      </w:r>
    </w:p>
    <w:p>
      <w:pPr>
        <w:pStyle w:val="Normal"/>
        <w:ind w:left="1320" w:hanging="0"/>
        <w:jc w:val="both"/>
        <w:rPr/>
      </w:pPr>
      <w:r>
        <w:rPr>
          <w:rFonts w:ascii="標楷體" w:hAnsi="標楷體" w:cs="標楷體" w:eastAsia="標楷體"/>
        </w:rPr>
        <w:t>掛號（</w:t>
      </w:r>
      <w:r>
        <w:rPr>
          <w:rFonts w:eastAsia="標楷體" w:cs="標楷體" w:ascii="標楷體" w:hAnsi="標楷體"/>
        </w:rPr>
        <w:t>50</w:t>
      </w:r>
      <w:r>
        <w:rPr>
          <w:rFonts w:ascii="標楷體" w:hAnsi="標楷體" w:cs="標楷體" w:eastAsia="標楷體"/>
        </w:rPr>
        <w:t>）、精神科門診診察費（</w:t>
      </w:r>
      <w:r>
        <w:rPr>
          <w:rFonts w:eastAsia="標楷體" w:cs="標楷體" w:ascii="標楷體" w:hAnsi="標楷體"/>
        </w:rPr>
        <w:t>257</w:t>
      </w:r>
      <w:r>
        <w:rPr>
          <w:rFonts w:ascii="標楷體" w:hAnsi="標楷體" w:cs="標楷體" w:eastAsia="標楷體"/>
        </w:rPr>
        <w:t>）、精神科診斷式會談（</w:t>
      </w:r>
      <w:r>
        <w:rPr>
          <w:rFonts w:eastAsia="標楷體" w:cs="標楷體" w:ascii="標楷體" w:hAnsi="標楷體"/>
        </w:rPr>
        <w:t>1031</w:t>
      </w:r>
      <w:r>
        <w:rPr>
          <w:rFonts w:ascii="標楷體" w:hAnsi="標楷體" w:cs="標楷體" w:eastAsia="標楷體"/>
        </w:rPr>
        <w:t>）、藥酒癮評估（</w:t>
      </w:r>
      <w:r>
        <w:rPr>
          <w:rFonts w:eastAsia="標楷體" w:cs="標楷體" w:ascii="標楷體" w:hAnsi="標楷體"/>
        </w:rPr>
        <w:t>640</w:t>
      </w:r>
      <w:r>
        <w:rPr>
          <w:rFonts w:ascii="標楷體" w:hAnsi="標楷體" w:cs="標楷體" w:eastAsia="標楷體"/>
        </w:rPr>
        <w:t>）；</w:t>
      </w:r>
    </w:p>
    <w:p>
      <w:pPr>
        <w:pStyle w:val="Normal"/>
        <w:ind w:left="1320" w:hanging="0"/>
        <w:jc w:val="both"/>
        <w:rPr>
          <w:rFonts w:ascii="標楷體" w:hAnsi="標楷體" w:eastAsia="標楷體" w:cs="標楷體"/>
        </w:rPr>
      </w:pPr>
      <w:r>
        <w:rPr>
          <w:rFonts w:ascii="標楷體" w:hAnsi="標楷體" w:cs="標楷體" w:eastAsia="標楷體"/>
        </w:rPr>
        <w:t>檢驗項目則包括心電圖（</w:t>
      </w:r>
      <w:r>
        <w:rPr>
          <w:rFonts w:eastAsia="標楷體" w:cs="標楷體" w:ascii="標楷體" w:hAnsi="標楷體"/>
        </w:rPr>
        <w:t>150</w:t>
      </w:r>
      <w:r>
        <w:rPr>
          <w:rFonts w:ascii="標楷體" w:hAnsi="標楷體" w:cs="標楷體" w:eastAsia="標楷體"/>
        </w:rPr>
        <w:t>）、胸部</w:t>
      </w:r>
      <w:r>
        <w:rPr>
          <w:rFonts w:eastAsia="標楷體" w:cs="標楷體" w:ascii="標楷體" w:hAnsi="標楷體"/>
        </w:rPr>
        <w:t>X</w:t>
      </w:r>
      <w:r>
        <w:rPr>
          <w:rFonts w:ascii="標楷體" w:hAnsi="標楷體" w:cs="標楷體" w:eastAsia="標楷體"/>
        </w:rPr>
        <w:t>光（</w:t>
      </w:r>
      <w:r>
        <w:rPr>
          <w:rFonts w:eastAsia="標楷體" w:cs="標楷體" w:ascii="標楷體" w:hAnsi="標楷體"/>
        </w:rPr>
        <w:t>200</w:t>
      </w:r>
      <w:r>
        <w:rPr>
          <w:rFonts w:ascii="標楷體" w:hAnsi="標楷體" w:cs="標楷體" w:eastAsia="標楷體"/>
        </w:rPr>
        <w:t>）、血液檢查（</w:t>
      </w:r>
      <w:r>
        <w:rPr>
          <w:rFonts w:eastAsia="標楷體" w:cs="標楷體" w:ascii="標楷體" w:hAnsi="標楷體"/>
        </w:rPr>
        <w:t>130</w:t>
      </w:r>
      <w:r>
        <w:rPr>
          <w:rFonts w:ascii="標楷體" w:hAnsi="標楷體" w:cs="標楷體" w:eastAsia="標楷體"/>
        </w:rPr>
        <w:t>）、</w:t>
      </w:r>
      <w:r>
        <w:rPr>
          <w:rFonts w:eastAsia="標楷體" w:cs="標楷體" w:ascii="標楷體" w:hAnsi="標楷體"/>
        </w:rPr>
        <w:t>GOT</w:t>
      </w:r>
      <w:r>
        <w:rPr>
          <w:rFonts w:ascii="標楷體" w:hAnsi="標楷體" w:cs="標楷體" w:eastAsia="標楷體"/>
        </w:rPr>
        <w:t>（</w:t>
      </w:r>
      <w:r>
        <w:rPr>
          <w:rFonts w:eastAsia="標楷體" w:cs="標楷體" w:ascii="標楷體" w:hAnsi="標楷體"/>
        </w:rPr>
        <w:t>50</w:t>
      </w:r>
      <w:r>
        <w:rPr>
          <w:rFonts w:ascii="標楷體" w:hAnsi="標楷體" w:cs="標楷體" w:eastAsia="標楷體"/>
        </w:rPr>
        <w:t>）、</w:t>
      </w:r>
      <w:r>
        <w:rPr>
          <w:rFonts w:eastAsia="標楷體" w:cs="標楷體" w:ascii="標楷體" w:hAnsi="標楷體"/>
        </w:rPr>
        <w:t>GPT</w:t>
      </w:r>
      <w:r>
        <w:rPr>
          <w:rFonts w:ascii="標楷體" w:hAnsi="標楷體" w:cs="標楷體" w:eastAsia="標楷體"/>
        </w:rPr>
        <w:t>（</w:t>
      </w:r>
      <w:r>
        <w:rPr>
          <w:rFonts w:eastAsia="標楷體" w:cs="標楷體" w:ascii="標楷體" w:hAnsi="標楷體"/>
        </w:rPr>
        <w:t>50</w:t>
      </w:r>
      <w:r>
        <w:rPr>
          <w:rFonts w:ascii="標楷體" w:hAnsi="標楷體" w:cs="標楷體" w:eastAsia="標楷體"/>
        </w:rPr>
        <w:t>）、</w:t>
      </w:r>
      <w:r>
        <w:rPr>
          <w:rFonts w:eastAsia="標楷體" w:cs="標楷體" w:ascii="標楷體" w:hAnsi="標楷體"/>
        </w:rPr>
        <w:t>γ</w:t>
      </w:r>
      <w:r>
        <w:rPr>
          <w:rFonts w:eastAsia="標楷體" w:cs="標楷體" w:ascii="標楷體" w:hAnsi="標楷體"/>
        </w:rPr>
        <w:t>-</w:t>
      </w:r>
      <w:r>
        <w:rPr>
          <w:rFonts w:eastAsia="標楷體" w:cs="標楷體" w:ascii="標楷體" w:hAnsi="標楷體"/>
        </w:rPr>
        <w:t>GT</w:t>
      </w:r>
      <w:r>
        <w:rPr>
          <w:rFonts w:ascii="標楷體" w:hAnsi="標楷體" w:cs="標楷體" w:eastAsia="標楷體"/>
        </w:rPr>
        <w:t>（</w:t>
      </w:r>
      <w:r>
        <w:rPr>
          <w:rFonts w:eastAsia="標楷體" w:cs="標楷體" w:ascii="標楷體" w:hAnsi="標楷體"/>
        </w:rPr>
        <w:t>70</w:t>
      </w:r>
      <w:r>
        <w:rPr>
          <w:rFonts w:ascii="標楷體" w:hAnsi="標楷體" w:cs="標楷體" w:eastAsia="標楷體"/>
        </w:rPr>
        <w:t>）、</w:t>
      </w:r>
      <w:r>
        <w:rPr>
          <w:rFonts w:eastAsia="標楷體" w:cs="標楷體" w:ascii="標楷體" w:hAnsi="標楷體"/>
        </w:rPr>
        <w:t>HBsAg</w:t>
      </w:r>
      <w:r>
        <w:rPr>
          <w:rFonts w:ascii="標楷體" w:hAnsi="標楷體" w:cs="標楷體" w:eastAsia="標楷體"/>
        </w:rPr>
        <w:t>（</w:t>
      </w:r>
      <w:r>
        <w:rPr>
          <w:rFonts w:eastAsia="標楷體" w:cs="標楷體" w:ascii="標楷體" w:hAnsi="標楷體"/>
        </w:rPr>
        <w:t>160</w:t>
      </w:r>
      <w:r>
        <w:rPr>
          <w:rFonts w:ascii="標楷體" w:hAnsi="標楷體" w:cs="標楷體" w:eastAsia="標楷體"/>
        </w:rPr>
        <w:t>）、</w:t>
      </w:r>
      <w:r>
        <w:rPr>
          <w:rFonts w:eastAsia="標楷體" w:cs="標楷體" w:ascii="標楷體" w:hAnsi="標楷體"/>
        </w:rPr>
        <w:t>Anti-HBs</w:t>
      </w:r>
      <w:r>
        <w:rPr>
          <w:rFonts w:ascii="標楷體" w:hAnsi="標楷體" w:cs="標楷體" w:eastAsia="標楷體"/>
        </w:rPr>
        <w:t>（</w:t>
      </w:r>
      <w:r>
        <w:rPr>
          <w:rFonts w:eastAsia="標楷體" w:cs="標楷體" w:ascii="標楷體" w:hAnsi="標楷體"/>
        </w:rPr>
        <w:t>200</w:t>
      </w:r>
      <w:r>
        <w:rPr>
          <w:rFonts w:ascii="標楷體" w:hAnsi="標楷體" w:cs="標楷體" w:eastAsia="標楷體"/>
        </w:rPr>
        <w:t>）、</w:t>
      </w:r>
      <w:r>
        <w:rPr>
          <w:rFonts w:eastAsia="標楷體" w:cs="標楷體" w:ascii="標楷體" w:hAnsi="標楷體"/>
        </w:rPr>
        <w:t>A</w:t>
      </w:r>
      <w:r>
        <w:rPr>
          <w:rFonts w:eastAsia="標楷體" w:cs="標楷體" w:ascii="標楷體" w:hAnsi="標楷體"/>
        </w:rPr>
        <w:t>n</w:t>
      </w:r>
      <w:r>
        <w:rPr>
          <w:rFonts w:eastAsia="標楷體" w:cs="標楷體" w:ascii="標楷體" w:hAnsi="標楷體"/>
        </w:rPr>
        <w:t>ti-HCV</w:t>
      </w:r>
      <w:r>
        <w:rPr>
          <w:rFonts w:ascii="標楷體" w:hAnsi="標楷體" w:cs="標楷體" w:eastAsia="標楷體"/>
        </w:rPr>
        <w:t>（</w:t>
      </w:r>
      <w:r>
        <w:rPr>
          <w:rFonts w:eastAsia="標楷體" w:cs="標楷體" w:ascii="標楷體" w:hAnsi="標楷體"/>
        </w:rPr>
        <w:t>250</w:t>
      </w:r>
      <w:r>
        <w:rPr>
          <w:rFonts w:ascii="標楷體" w:hAnsi="標楷體" w:cs="標楷體" w:eastAsia="標楷體"/>
        </w:rPr>
        <w:t>）、</w:t>
      </w:r>
      <w:r>
        <w:rPr>
          <w:rFonts w:eastAsia="標楷體" w:cs="標楷體" w:ascii="標楷體" w:hAnsi="標楷體"/>
        </w:rPr>
        <w:t>Anti-HIV</w:t>
      </w:r>
      <w:r>
        <w:rPr>
          <w:rFonts w:ascii="標楷體" w:hAnsi="標楷體" w:cs="標楷體" w:eastAsia="標楷體"/>
        </w:rPr>
        <w:t>（</w:t>
      </w:r>
      <w:r>
        <w:rPr>
          <w:rFonts w:eastAsia="標楷體" w:cs="標楷體" w:ascii="標楷體" w:hAnsi="標楷體"/>
        </w:rPr>
        <w:t>240</w:t>
      </w:r>
      <w:r>
        <w:rPr>
          <w:rFonts w:ascii="標楷體" w:hAnsi="標楷體" w:cs="標楷體" w:eastAsia="標楷體"/>
        </w:rPr>
        <w:t>）、</w:t>
      </w:r>
      <w:r>
        <w:rPr>
          <w:rFonts w:eastAsia="標楷體" w:cs="標楷體" w:ascii="標楷體" w:hAnsi="標楷體"/>
        </w:rPr>
        <w:t>STS</w:t>
      </w:r>
      <w:r>
        <w:rPr>
          <w:rFonts w:ascii="標楷體" w:hAnsi="標楷體" w:cs="標楷體" w:eastAsia="標楷體"/>
        </w:rPr>
        <w:t>（</w:t>
      </w:r>
      <w:r>
        <w:rPr>
          <w:rFonts w:eastAsia="標楷體" w:cs="標楷體" w:ascii="標楷體" w:hAnsi="標楷體"/>
        </w:rPr>
        <w:t>70</w:t>
      </w:r>
      <w:r>
        <w:rPr>
          <w:rFonts w:ascii="標楷體" w:hAnsi="標楷體" w:cs="標楷體" w:eastAsia="標楷體"/>
        </w:rPr>
        <w:t>）、</w:t>
      </w:r>
      <w:r>
        <w:rPr>
          <w:rFonts w:eastAsia="標楷體" w:cs="標楷體" w:ascii="標楷體" w:hAnsi="標楷體"/>
        </w:rPr>
        <w:t>TPHA</w:t>
      </w:r>
      <w:r>
        <w:rPr>
          <w:rFonts w:ascii="標楷體" w:hAnsi="標楷體" w:cs="標楷體" w:eastAsia="標楷體"/>
        </w:rPr>
        <w:t>（</w:t>
      </w:r>
      <w:r>
        <w:rPr>
          <w:rFonts w:eastAsia="標楷體" w:cs="標楷體" w:ascii="標楷體" w:hAnsi="標楷體"/>
        </w:rPr>
        <w:t>300</w:t>
      </w:r>
      <w:r>
        <w:rPr>
          <w:rFonts w:ascii="標楷體" w:hAnsi="標楷體" w:cs="標楷體" w:eastAsia="標楷體"/>
        </w:rPr>
        <w:t>）、藥物篩檢兩項為安非他命與嗎啡（</w:t>
      </w:r>
      <w:r>
        <w:rPr>
          <w:rFonts w:eastAsia="標楷體" w:cs="標楷體" w:ascii="標楷體" w:hAnsi="標楷體"/>
        </w:rPr>
        <w:t>250 + 250</w:t>
      </w:r>
      <w:r>
        <w:rPr>
          <w:rFonts w:ascii="標楷體" w:hAnsi="標楷體" w:cs="標楷體" w:eastAsia="標楷體"/>
        </w:rPr>
        <w:t>）。</w:t>
      </w:r>
    </w:p>
    <w:p>
      <w:pPr>
        <w:pStyle w:val="Normal"/>
        <w:ind w:left="960" w:hanging="0"/>
        <w:rPr>
          <w:rFonts w:ascii="標楷體" w:hAnsi="標楷體" w:eastAsia="標楷體" w:cs="標楷體"/>
        </w:rPr>
      </w:pPr>
      <w:r>
        <w:rPr>
          <w:rFonts w:eastAsia="標楷體" w:cs="標楷體" w:ascii="標楷體" w:hAnsi="標楷體"/>
        </w:rPr>
      </w:r>
    </w:p>
    <w:p>
      <w:pPr>
        <w:pStyle w:val="Normal"/>
        <w:ind w:left="1080" w:hanging="0"/>
        <w:jc w:val="both"/>
        <w:rPr/>
      </w:pPr>
      <w:r>
        <w:rPr>
          <w:rFonts w:ascii="標楷體" w:hAnsi="標楷體" w:cs="標楷體" w:eastAsia="標楷體"/>
        </w:rPr>
        <w:t>複診治療項目：</w:t>
      </w:r>
    </w:p>
    <w:p>
      <w:pPr>
        <w:pStyle w:val="Normal"/>
        <w:ind w:left="1320" w:hanging="0"/>
        <w:jc w:val="both"/>
        <w:rPr>
          <w:rFonts w:ascii="標楷體" w:hAnsi="標楷體" w:eastAsia="標楷體" w:cs="標楷體"/>
        </w:rPr>
      </w:pPr>
      <w:r>
        <w:rPr>
          <w:rFonts w:ascii="標楷體" w:hAnsi="標楷體" w:cs="標楷體" w:eastAsia="標楷體"/>
        </w:rPr>
        <w:t>掛號（</w:t>
      </w:r>
      <w:r>
        <w:rPr>
          <w:rFonts w:eastAsia="標楷體" w:cs="標楷體" w:ascii="標楷體" w:hAnsi="標楷體"/>
        </w:rPr>
        <w:t>50</w:t>
      </w:r>
      <w:r>
        <w:rPr>
          <w:rFonts w:ascii="標楷體" w:hAnsi="標楷體" w:cs="標楷體" w:eastAsia="標楷體"/>
        </w:rPr>
        <w:t>）、精神科門診診察費（</w:t>
      </w:r>
      <w:r>
        <w:rPr>
          <w:rFonts w:eastAsia="標楷體" w:cs="標楷體" w:ascii="標楷體" w:hAnsi="標楷體"/>
        </w:rPr>
        <w:t>257</w:t>
      </w:r>
      <w:r>
        <w:rPr>
          <w:rFonts w:ascii="標楷體" w:hAnsi="標楷體" w:cs="標楷體" w:eastAsia="標楷體"/>
        </w:rPr>
        <w:t>）、藥酒癮諮商（</w:t>
      </w:r>
      <w:r>
        <w:rPr>
          <w:rFonts w:eastAsia="標楷體" w:cs="標楷體" w:ascii="標楷體" w:hAnsi="標楷體"/>
        </w:rPr>
        <w:t>3</w:t>
      </w:r>
      <w:r>
        <w:rPr>
          <w:rFonts w:eastAsia="標楷體" w:cs="標楷體" w:ascii="標楷體" w:hAnsi="標楷體"/>
        </w:rPr>
        <w:t>10</w:t>
      </w:r>
      <w:r>
        <w:rPr>
          <w:rFonts w:ascii="標楷體" w:hAnsi="標楷體" w:cs="標楷體" w:eastAsia="標楷體"/>
        </w:rPr>
        <w:t>）、藥物篩檢兩項（</w:t>
      </w:r>
      <w:r>
        <w:rPr>
          <w:rFonts w:eastAsia="標楷體" w:cs="標楷體" w:ascii="標楷體" w:hAnsi="標楷體"/>
        </w:rPr>
        <w:t>250 + 250</w:t>
      </w:r>
      <w:r>
        <w:rPr>
          <w:rFonts w:ascii="標楷體" w:hAnsi="標楷體" w:cs="標楷體" w:eastAsia="標楷體"/>
        </w:rPr>
        <w:t>）。</w:t>
      </w:r>
    </w:p>
    <w:p>
      <w:pPr>
        <w:pStyle w:val="Normal"/>
        <w:ind w:left="720" w:hanging="0"/>
        <w:rPr>
          <w:rFonts w:ascii="標楷體" w:hAnsi="標楷體" w:eastAsia="標楷體" w:cs="標楷體"/>
        </w:rPr>
      </w:pPr>
      <w:r>
        <w:rPr>
          <w:rFonts w:eastAsia="標楷體" w:cs="標楷體" w:ascii="標楷體" w:hAnsi="標楷體"/>
        </w:rPr>
      </w:r>
    </w:p>
    <w:p>
      <w:pPr>
        <w:pStyle w:val="Normal"/>
        <w:rPr/>
      </w:pPr>
      <w:r>
        <w:rPr>
          <w:rFonts w:eastAsia="標楷體" w:cs="標楷體" w:ascii="標楷體" w:hAnsi="標楷體"/>
          <w:b/>
        </w:rPr>
        <w:tab/>
        <w:t>(</w:t>
      </w:r>
      <w:r>
        <w:rPr>
          <w:rFonts w:ascii="標楷體" w:hAnsi="標楷體" w:cs="標楷體" w:eastAsia="標楷體"/>
          <w:b/>
        </w:rPr>
        <w:t>二</w:t>
      </w:r>
      <w:r>
        <w:rPr>
          <w:rFonts w:eastAsia="標楷體" w:cs="標楷體" w:ascii="標楷體" w:hAnsi="標楷體"/>
          <w:b/>
        </w:rPr>
        <w:t xml:space="preserve">) </w:t>
      </w:r>
      <w:r>
        <w:rPr>
          <w:rFonts w:ascii="標楷體" w:hAnsi="標楷體" w:cs="標楷體" w:eastAsia="標楷體"/>
          <w:b/>
        </w:rPr>
        <w:t>第二階段治療參考項目與費用：</w:t>
      </w:r>
    </w:p>
    <w:p>
      <w:pPr>
        <w:pStyle w:val="Normal"/>
        <w:ind w:left="1080" w:hanging="0"/>
        <w:jc w:val="both"/>
        <w:rPr>
          <w:rFonts w:ascii="標楷體" w:hAnsi="標楷體" w:eastAsia="標楷體" w:cs="標楷體"/>
        </w:rPr>
      </w:pPr>
      <w:r>
        <w:rPr>
          <w:rFonts w:ascii="標楷體" w:hAnsi="標楷體" w:cs="標楷體" w:eastAsia="標楷體"/>
        </w:rPr>
        <w:t>包含四次複診，總費用為</w:t>
      </w:r>
      <w:r>
        <w:rPr>
          <w:rFonts w:eastAsia="標楷體" w:cs="標楷體" w:ascii="標楷體" w:hAnsi="標楷體"/>
        </w:rPr>
        <w:t>4468</w:t>
      </w:r>
      <w:r>
        <w:rPr>
          <w:rFonts w:ascii="標楷體" w:hAnsi="標楷體" w:cs="標楷體" w:eastAsia="標楷體"/>
        </w:rPr>
        <w:t>元。</w:t>
      </w:r>
    </w:p>
    <w:p>
      <w:pPr>
        <w:pStyle w:val="Normal"/>
        <w:ind w:left="1080" w:hanging="0"/>
        <w:jc w:val="both"/>
        <w:rPr/>
      </w:pPr>
      <w:r>
        <w:rPr>
          <w:rFonts w:ascii="標楷體" w:hAnsi="標楷體" w:cs="標楷體" w:eastAsia="標楷體"/>
        </w:rPr>
        <w:t>複診治療項目：</w:t>
      </w:r>
    </w:p>
    <w:p>
      <w:pPr>
        <w:pStyle w:val="Normal"/>
        <w:ind w:left="1320" w:hanging="0"/>
        <w:jc w:val="both"/>
        <w:rPr/>
      </w:pPr>
      <w:r>
        <w:rPr>
          <w:rFonts w:ascii="標楷體" w:hAnsi="標楷體" w:cs="標楷體" w:eastAsia="標楷體"/>
        </w:rPr>
        <w:t>掛號（</w:t>
      </w:r>
      <w:r>
        <w:rPr>
          <w:rFonts w:eastAsia="標楷體" w:cs="標楷體" w:ascii="標楷體" w:hAnsi="標楷體"/>
        </w:rPr>
        <w:t>50</w:t>
      </w:r>
      <w:r>
        <w:rPr>
          <w:rFonts w:ascii="標楷體" w:hAnsi="標楷體" w:cs="標楷體" w:eastAsia="標楷體"/>
        </w:rPr>
        <w:t>）、精神科門診診察費（</w:t>
      </w:r>
      <w:r>
        <w:rPr>
          <w:rFonts w:eastAsia="標楷體" w:cs="標楷體" w:ascii="標楷體" w:hAnsi="標楷體"/>
        </w:rPr>
        <w:t>257</w:t>
      </w:r>
      <w:r>
        <w:rPr>
          <w:rFonts w:ascii="標楷體" w:hAnsi="標楷體" w:cs="標楷體" w:eastAsia="標楷體"/>
        </w:rPr>
        <w:t>）、藥酒癮諮商（</w:t>
      </w:r>
      <w:r>
        <w:rPr>
          <w:rFonts w:eastAsia="標楷體" w:cs="標楷體" w:ascii="標楷體" w:hAnsi="標楷體"/>
        </w:rPr>
        <w:t>3</w:t>
      </w:r>
      <w:r>
        <w:rPr>
          <w:rFonts w:eastAsia="標楷體" w:cs="標楷體" w:ascii="標楷體" w:hAnsi="標楷體"/>
        </w:rPr>
        <w:t>10</w:t>
      </w:r>
      <w:r>
        <w:rPr>
          <w:rFonts w:ascii="標楷體" w:hAnsi="標楷體" w:cs="標楷體" w:eastAsia="標楷體"/>
        </w:rPr>
        <w:t>）、藥物篩檢兩項（</w:t>
      </w:r>
      <w:r>
        <w:rPr>
          <w:rFonts w:eastAsia="標楷體" w:cs="標楷體" w:ascii="標楷體" w:hAnsi="標楷體"/>
        </w:rPr>
        <w:t>250 + 250</w:t>
      </w:r>
      <w:r>
        <w:rPr>
          <w:rFonts w:ascii="標楷體" w:hAnsi="標楷體" w:cs="標楷體" w:eastAsia="標楷體"/>
        </w:rPr>
        <w:t>）。</w:t>
      </w:r>
    </w:p>
    <w:p>
      <w:pPr>
        <w:pStyle w:val="Normal"/>
        <w:rPr>
          <w:rFonts w:ascii="標楷體" w:hAnsi="標楷體" w:eastAsia="標楷體" w:cs="標楷體"/>
        </w:rPr>
      </w:pPr>
      <w:r>
        <w:rPr>
          <w:rFonts w:eastAsia="標楷體" w:cs="標楷體" w:ascii="標楷體" w:hAnsi="標楷體"/>
        </w:rPr>
      </w:r>
    </w:p>
    <w:p>
      <w:pPr>
        <w:pStyle w:val="Normal"/>
        <w:rPr>
          <w:rFonts w:ascii="標楷體" w:hAnsi="標楷體" w:eastAsia="標楷體" w:cs="標楷體"/>
        </w:rPr>
      </w:pPr>
      <w:r>
        <w:rPr>
          <w:rFonts w:eastAsia="標楷體" w:cs="標楷體" w:ascii="標楷體" w:hAnsi="標楷體"/>
        </w:rPr>
      </w:r>
    </w:p>
    <w:p>
      <w:pPr>
        <w:pStyle w:val="Normal"/>
        <w:rPr/>
      </w:pPr>
      <w:r>
        <w:rPr>
          <w:rFonts w:eastAsia="標楷體" w:cs="標楷體" w:ascii="標楷體" w:hAnsi="標楷體"/>
          <w:b/>
        </w:rPr>
        <w:tab/>
        <w:t>(</w:t>
      </w:r>
      <w:r>
        <w:rPr>
          <w:rFonts w:ascii="標楷體" w:hAnsi="標楷體" w:cs="標楷體" w:eastAsia="標楷體"/>
          <w:b/>
        </w:rPr>
        <w:t>三</w:t>
      </w:r>
      <w:r>
        <w:rPr>
          <w:rFonts w:eastAsia="標楷體" w:cs="標楷體" w:ascii="標楷體" w:hAnsi="標楷體"/>
          <w:b/>
        </w:rPr>
        <w:t xml:space="preserve">) </w:t>
      </w:r>
      <w:r>
        <w:rPr>
          <w:rFonts w:ascii="標楷體" w:hAnsi="標楷體" w:cs="標楷體" w:eastAsia="標楷體"/>
          <w:b/>
        </w:rPr>
        <w:t>第三階段治療參考項目與費用：</w:t>
      </w:r>
    </w:p>
    <w:p>
      <w:pPr>
        <w:pStyle w:val="Normal"/>
        <w:ind w:left="1080" w:hanging="0"/>
        <w:jc w:val="both"/>
        <w:rPr>
          <w:rFonts w:ascii="標楷體" w:hAnsi="標楷體" w:eastAsia="標楷體" w:cs="標楷體"/>
        </w:rPr>
      </w:pPr>
      <w:r>
        <w:rPr>
          <w:rFonts w:ascii="標楷體" w:hAnsi="標楷體" w:cs="標楷體" w:eastAsia="標楷體"/>
        </w:rPr>
        <w:t>包含九次複診，總費用為</w:t>
      </w:r>
      <w:r>
        <w:rPr>
          <w:rFonts w:eastAsia="標楷體" w:cs="標楷體" w:ascii="標楷體" w:hAnsi="標楷體"/>
        </w:rPr>
        <w:t>10053</w:t>
      </w:r>
      <w:r>
        <w:rPr>
          <w:rFonts w:ascii="標楷體" w:hAnsi="標楷體" w:cs="標楷體" w:eastAsia="標楷體"/>
        </w:rPr>
        <w:t>元。</w:t>
      </w:r>
    </w:p>
    <w:p>
      <w:pPr>
        <w:pStyle w:val="Normal"/>
        <w:ind w:left="1080" w:hanging="0"/>
        <w:jc w:val="both"/>
        <w:rPr/>
      </w:pPr>
      <w:r>
        <w:rPr>
          <w:rFonts w:ascii="標楷體" w:hAnsi="標楷體" w:cs="標楷體" w:eastAsia="標楷體"/>
        </w:rPr>
        <w:t>複診治療項目：</w:t>
      </w:r>
    </w:p>
    <w:p>
      <w:pPr>
        <w:pStyle w:val="Normal"/>
        <w:ind w:left="1320" w:hanging="0"/>
        <w:jc w:val="both"/>
        <w:rPr/>
      </w:pPr>
      <w:r>
        <w:rPr>
          <w:rFonts w:ascii="標楷體" w:hAnsi="標楷體" w:cs="標楷體" w:eastAsia="標楷體"/>
        </w:rPr>
        <w:t>掛號（</w:t>
      </w:r>
      <w:r>
        <w:rPr>
          <w:rFonts w:eastAsia="標楷體" w:cs="標楷體" w:ascii="標楷體" w:hAnsi="標楷體"/>
        </w:rPr>
        <w:t>50</w:t>
      </w:r>
      <w:r>
        <w:rPr>
          <w:rFonts w:ascii="標楷體" w:hAnsi="標楷體" w:cs="標楷體" w:eastAsia="標楷體"/>
        </w:rPr>
        <w:t>）、精神科門診診察費（</w:t>
      </w:r>
      <w:r>
        <w:rPr>
          <w:rFonts w:eastAsia="標楷體" w:cs="標楷體" w:ascii="標楷體" w:hAnsi="標楷體"/>
        </w:rPr>
        <w:t>257</w:t>
      </w:r>
      <w:r>
        <w:rPr>
          <w:rFonts w:ascii="標楷體" w:hAnsi="標楷體" w:cs="標楷體" w:eastAsia="標楷體"/>
        </w:rPr>
        <w:t>）、藥酒癮諮商（</w:t>
      </w:r>
      <w:r>
        <w:rPr>
          <w:rFonts w:eastAsia="標楷體" w:cs="標楷體" w:ascii="標楷體" w:hAnsi="標楷體"/>
        </w:rPr>
        <w:t>3</w:t>
      </w:r>
      <w:r>
        <w:rPr>
          <w:rFonts w:eastAsia="標楷體" w:cs="標楷體" w:ascii="標楷體" w:hAnsi="標楷體"/>
        </w:rPr>
        <w:t>10</w:t>
      </w:r>
      <w:r>
        <w:rPr>
          <w:rFonts w:ascii="標楷體" w:hAnsi="標楷體" w:cs="標楷體" w:eastAsia="標楷體"/>
        </w:rPr>
        <w:t>）、藥物篩檢兩項（</w:t>
      </w:r>
      <w:r>
        <w:rPr>
          <w:rFonts w:eastAsia="標楷體" w:cs="標楷體" w:ascii="標楷體" w:hAnsi="標楷體"/>
        </w:rPr>
        <w:t>250 + 250</w:t>
      </w:r>
      <w:r>
        <w:rPr>
          <w:rFonts w:ascii="標楷體" w:hAnsi="標楷體" w:cs="標楷體" w:eastAsia="標楷體"/>
        </w:rPr>
        <w:t>）。</w:t>
      </w:r>
    </w:p>
    <w:p>
      <w:pPr>
        <w:pStyle w:val="Normal"/>
        <w:rPr>
          <w:rFonts w:ascii="標楷體" w:hAnsi="標楷體" w:eastAsia="標楷體" w:cs="標楷體"/>
        </w:rPr>
      </w:pPr>
      <w:r>
        <w:rPr>
          <w:rFonts w:eastAsia="標楷體" w:cs="標楷體" w:ascii="標楷體" w:hAnsi="標楷體"/>
        </w:rPr>
      </w:r>
    </w:p>
    <w:p>
      <w:pPr>
        <w:pStyle w:val="Style30"/>
        <w:rPr>
          <w:rFonts w:ascii="標楷體" w:hAnsi="標楷體" w:eastAsia="標楷體" w:cs="標楷體"/>
          <w:b/>
          <w:b/>
          <w:sz w:val="24"/>
          <w:szCs w:val="24"/>
        </w:rPr>
      </w:pPr>
      <w:r>
        <w:rPr>
          <w:rFonts w:eastAsia="標楷體" w:cs="標楷體" w:ascii="標楷體" w:hAnsi="標楷體"/>
          <w:b/>
          <w:sz w:val="24"/>
          <w:szCs w:val="24"/>
        </w:rPr>
        <w:tab/>
        <w:t>(</w:t>
      </w:r>
      <w:r>
        <w:rPr>
          <w:rFonts w:ascii="標楷體" w:hAnsi="標楷體" w:cs="標楷體" w:eastAsia="標楷體"/>
          <w:b/>
          <w:sz w:val="24"/>
          <w:szCs w:val="24"/>
        </w:rPr>
        <w:t>四</w:t>
      </w:r>
      <w:r>
        <w:rPr>
          <w:rFonts w:eastAsia="標楷體" w:cs="標楷體" w:ascii="標楷體" w:hAnsi="標楷體"/>
          <w:b/>
          <w:sz w:val="24"/>
          <w:szCs w:val="24"/>
        </w:rPr>
        <w:t xml:space="preserve">) </w:t>
      </w:r>
      <w:r>
        <w:rPr>
          <w:rFonts w:ascii="標楷體" w:hAnsi="標楷體" w:cs="標楷體" w:eastAsia="標楷體"/>
          <w:b/>
          <w:sz w:val="24"/>
          <w:szCs w:val="24"/>
        </w:rPr>
        <w:t>團體治療費用：</w:t>
      </w:r>
    </w:p>
    <w:p>
      <w:pPr>
        <w:pStyle w:val="Normal"/>
        <w:ind w:left="1080" w:hanging="0"/>
        <w:jc w:val="both"/>
        <w:rPr/>
      </w:pPr>
      <w:r>
        <w:rPr>
          <w:rFonts w:ascii="標楷體" w:hAnsi="標楷體" w:cs="標楷體" w:eastAsia="標楷體"/>
        </w:rPr>
        <w:t>包含六次藥癮團體心理治療，總費用為</w:t>
      </w:r>
      <w:r>
        <w:rPr>
          <w:rFonts w:eastAsia="標楷體" w:cs="標楷體" w:ascii="標楷體" w:hAnsi="標楷體"/>
        </w:rPr>
        <w:t>2616</w:t>
      </w:r>
      <w:r>
        <w:rPr>
          <w:rFonts w:ascii="標楷體" w:hAnsi="標楷體" w:cs="標楷體" w:eastAsia="標楷體"/>
        </w:rPr>
        <w:t>元。</w:t>
      </w:r>
    </w:p>
    <w:p>
      <w:pPr>
        <w:pStyle w:val="Normal"/>
        <w:ind w:left="1080" w:hanging="0"/>
        <w:jc w:val="both"/>
        <w:rPr>
          <w:rFonts w:ascii="標楷體" w:hAnsi="標楷體" w:eastAsia="標楷體" w:cs="標楷體"/>
        </w:rPr>
      </w:pPr>
      <w:r>
        <w:rPr>
          <w:rFonts w:ascii="標楷體" w:hAnsi="標楷體" w:cs="標楷體" w:eastAsia="標楷體"/>
        </w:rPr>
        <w:t>團體治療：</w:t>
      </w:r>
    </w:p>
    <w:p>
      <w:pPr>
        <w:pStyle w:val="Normal"/>
        <w:ind w:left="1320" w:hanging="0"/>
        <w:jc w:val="both"/>
        <w:rPr>
          <w:rFonts w:ascii="標楷體" w:hAnsi="標楷體" w:eastAsia="標楷體" w:cs="標楷體"/>
        </w:rPr>
      </w:pPr>
      <w:r>
        <w:rPr>
          <w:rFonts w:ascii="標楷體" w:hAnsi="標楷體" w:cs="標楷體" w:eastAsia="標楷體"/>
        </w:rPr>
        <w:t>掛號（</w:t>
      </w:r>
      <w:r>
        <w:rPr>
          <w:rFonts w:eastAsia="標楷體" w:cs="標楷體" w:ascii="標楷體" w:hAnsi="標楷體"/>
        </w:rPr>
        <w:t>50</w:t>
      </w:r>
      <w:r>
        <w:rPr>
          <w:rFonts w:ascii="標楷體" w:hAnsi="標楷體" w:cs="標楷體" w:eastAsia="標楷體"/>
        </w:rPr>
        <w:t>）、精神科門診診察費（</w:t>
      </w:r>
      <w:r>
        <w:rPr>
          <w:rFonts w:eastAsia="標楷體" w:cs="標楷體" w:ascii="標楷體" w:hAnsi="標楷體"/>
        </w:rPr>
        <w:t>257</w:t>
      </w:r>
      <w:r>
        <w:rPr>
          <w:rFonts w:ascii="標楷體" w:hAnsi="標楷體" w:cs="標楷體" w:eastAsia="標楷體"/>
        </w:rPr>
        <w:t>）、特殊團體心理治療（</w:t>
      </w:r>
      <w:r>
        <w:rPr>
          <w:rFonts w:eastAsia="標楷體" w:cs="標楷體" w:ascii="標楷體" w:hAnsi="標楷體"/>
        </w:rPr>
        <w:t>129</w:t>
      </w:r>
      <w:r>
        <w:rPr>
          <w:rFonts w:ascii="標楷體" w:hAnsi="標楷體" w:cs="標楷體" w:eastAsia="標楷體"/>
        </w:rPr>
        <w:t>）。</w:t>
      </w:r>
    </w:p>
    <w:p>
      <w:pPr>
        <w:pStyle w:val="Normal"/>
        <w:rPr>
          <w:rFonts w:ascii="標楷體" w:hAnsi="標楷體" w:eastAsia="標楷體" w:cs="標楷體"/>
        </w:rPr>
      </w:pPr>
      <w:r>
        <w:rPr>
          <w:rFonts w:eastAsia="標楷體" w:cs="標楷體" w:ascii="標楷體" w:hAnsi="標楷體"/>
        </w:rPr>
        <w:tab/>
      </w:r>
    </w:p>
    <w:p>
      <w:pPr>
        <w:pStyle w:val="Normal"/>
        <w:ind w:firstLine="480"/>
        <w:rPr>
          <w:rFonts w:ascii="標楷體" w:hAnsi="標楷體" w:eastAsia="標楷體" w:cs="標楷體"/>
          <w:b/>
          <w:b/>
        </w:rPr>
      </w:pPr>
      <w:r>
        <w:rPr>
          <w:rFonts w:eastAsia="標楷體" w:cs="標楷體" w:ascii="標楷體" w:hAnsi="標楷體"/>
          <w:b/>
        </w:rPr>
        <w:t>(</w:t>
      </w:r>
      <w:r>
        <w:rPr>
          <w:rFonts w:ascii="標楷體" w:hAnsi="標楷體" w:cs="標楷體" w:eastAsia="標楷體"/>
          <w:b/>
        </w:rPr>
        <w:t>五</w:t>
      </w:r>
      <w:r>
        <w:rPr>
          <w:rFonts w:eastAsia="標楷體" w:cs="標楷體" w:ascii="標楷體" w:hAnsi="標楷體"/>
          <w:b/>
        </w:rPr>
        <w:t xml:space="preserve">) </w:t>
      </w:r>
      <w:r>
        <w:rPr>
          <w:rFonts w:ascii="標楷體" w:hAnsi="標楷體" w:cs="標楷體" w:eastAsia="標楷體"/>
          <w:b/>
        </w:rPr>
        <w:t>完成治療總費用：</w:t>
      </w:r>
    </w:p>
    <w:p>
      <w:pPr>
        <w:pStyle w:val="Normal"/>
        <w:ind w:left="1080" w:hanging="0"/>
        <w:jc w:val="both"/>
        <w:rPr>
          <w:rFonts w:ascii="標楷體" w:hAnsi="標楷體" w:eastAsia="標楷體" w:cs="標楷體"/>
        </w:rPr>
      </w:pPr>
      <w:r>
        <w:rPr>
          <w:rFonts w:ascii="標楷體" w:hAnsi="標楷體" w:cs="標楷體" w:eastAsia="標楷體"/>
        </w:rPr>
        <w:t>依照前述三個階段完成為期一年之治療，所預估之治療費用為</w:t>
      </w:r>
      <w:r>
        <w:rPr>
          <w:rFonts w:eastAsia="標楷體" w:cs="標楷體" w:ascii="標楷體" w:hAnsi="標楷體"/>
        </w:rPr>
        <w:t>24836</w:t>
      </w:r>
      <w:r>
        <w:rPr>
          <w:rFonts w:ascii="標楷體" w:hAnsi="標楷體" w:cs="標楷體" w:eastAsia="標楷體"/>
        </w:rPr>
        <w:t>元。</w:t>
      </w:r>
    </w:p>
    <w:p>
      <w:pPr>
        <w:pStyle w:val="Normal"/>
        <w:ind w:left="1080" w:hanging="0"/>
        <w:jc w:val="both"/>
        <w:rPr>
          <w:rFonts w:ascii="標楷體" w:hAnsi="標楷體" w:eastAsia="標楷體" w:cs="標楷體"/>
        </w:rPr>
      </w:pPr>
      <w:r>
        <w:rPr>
          <w:rFonts w:ascii="標楷體" w:hAnsi="標楷體" w:cs="標楷體" w:eastAsia="標楷體"/>
        </w:rPr>
        <w:t>若個案有復發狀態、藥物治療、住院治療等情形，治療費用以實際治療內容為準。</w:t>
      </w:r>
    </w:p>
    <w:p>
      <w:pPr>
        <w:pStyle w:val="Style30"/>
        <w:rPr>
          <w:rFonts w:ascii="標楷體" w:hAnsi="標楷體" w:eastAsia="標楷體" w:cs="標楷體"/>
          <w:sz w:val="24"/>
          <w:szCs w:val="24"/>
        </w:rPr>
      </w:pPr>
      <w:r>
        <w:rPr>
          <w:rFonts w:eastAsia="標楷體" w:cs="標楷體" w:ascii="標楷體" w:hAnsi="標楷體"/>
          <w:sz w:val="24"/>
          <w:szCs w:val="24"/>
        </w:rPr>
      </w:r>
      <w:r>
        <w:br w:type="page"/>
      </w:r>
    </w:p>
    <w:p>
      <w:pPr>
        <w:pStyle w:val="Style30"/>
        <w:rPr>
          <w:rFonts w:ascii="標楷體" w:hAnsi="標楷體" w:eastAsia="標楷體" w:cs="標楷體"/>
          <w:sz w:val="24"/>
          <w:szCs w:val="24"/>
        </w:rPr>
      </w:pPr>
      <w:bookmarkStart w:id="17" w:name="__RefHeading___Toc315757853"/>
      <w:bookmarkEnd w:id="17"/>
      <w:r>
        <w:rPr>
          <w:rFonts w:ascii="標楷體" w:hAnsi="標楷體" w:cs="標楷體" w:eastAsia="標楷體"/>
          <w:sz w:val="24"/>
          <w:szCs w:val="24"/>
        </w:rPr>
        <w:t xml:space="preserve">圖表 </w:t>
      </w:r>
      <w:r>
        <w:rPr>
          <w:rFonts w:ascii="標楷體" w:hAnsi="標楷體" w:cs="標楷體" w:eastAsia="標楷體"/>
          <w:sz w:val="24"/>
          <w:szCs w:val="24"/>
        </w:rPr>
        <w:fldChar w:fldCharType="begin"/>
      </w:r>
      <w:r>
        <w:rPr>
          <w:sz w:val="24"/>
          <w:szCs w:val="24"/>
          <w:rFonts w:ascii="標楷體" w:hAnsi="標楷體" w:cs="標楷體" w:eastAsia="標楷體"/>
        </w:rPr>
        <w:instrText> SEQ 圖表 \* ARABIC </w:instrText>
      </w:r>
      <w:r>
        <w:rPr>
          <w:sz w:val="24"/>
          <w:szCs w:val="24"/>
          <w:rFonts w:ascii="標楷體" w:hAnsi="標楷體" w:cs="標楷體" w:eastAsia="標楷體"/>
        </w:rPr>
        <w:fldChar w:fldCharType="separate"/>
      </w:r>
      <w:r>
        <w:rPr>
          <w:sz w:val="24"/>
          <w:szCs w:val="24"/>
          <w:rFonts w:ascii="標楷體" w:hAnsi="標楷體" w:cs="標楷體" w:eastAsia="標楷體"/>
        </w:rPr>
        <w:t>7</w:t>
      </w:r>
      <w:r>
        <w:rPr>
          <w:sz w:val="24"/>
          <w:szCs w:val="24"/>
          <w:rFonts w:ascii="標楷體" w:hAnsi="標楷體" w:cs="標楷體" w:eastAsia="標楷體"/>
        </w:rPr>
        <w:fldChar w:fldCharType="end"/>
      </w:r>
      <w:r>
        <w:rPr>
          <w:rFonts w:ascii="標楷體" w:hAnsi="標楷體" w:cs="標楷體" w:eastAsia="標楷體"/>
          <w:sz w:val="24"/>
          <w:szCs w:val="24"/>
        </w:rPr>
        <w:t xml:space="preserve"> </w:t>
      </w:r>
      <w:r>
        <w:rPr>
          <w:rStyle w:val="Applestylespan"/>
          <w:rFonts w:ascii="標楷體" w:hAnsi="標楷體" w:cs="標楷體" w:eastAsia="標楷體"/>
          <w:b/>
          <w:color w:val="000000"/>
          <w:sz w:val="24"/>
          <w:szCs w:val="24"/>
        </w:rPr>
        <w:t>二級毒品緩起訴個案戒癮治療流程圖</w:t>
      </w:r>
    </w:p>
    <w:p>
      <w:pPr>
        <w:pStyle w:val="Normal"/>
        <w:rPr>
          <w:rFonts w:ascii="標楷體" w:hAnsi="標楷體" w:eastAsia="標楷體" w:cs="標楷體"/>
          <w:b/>
          <w:b/>
          <w:color w:val="000000"/>
          <w:sz w:val="28"/>
          <w:szCs w:val="28"/>
          <w:lang w:val="zh-TW" w:eastAsia="zh-TW"/>
        </w:rPr>
      </w:pPr>
      <w:r>
        <w:rPr>
          <w:rFonts w:eastAsia="標楷體" w:cs="標楷體" w:ascii="標楷體" w:hAnsi="標楷體"/>
          <w:b/>
          <w:color w:val="000000"/>
          <w:sz w:val="28"/>
          <w:szCs w:val="28"/>
          <w:lang w:val="zh-TW" w:eastAsia="zh-TW"/>
        </w:rPr>
        <mc:AlternateContent>
          <mc:Choice Requires="wps">
            <w:drawing>
              <wp:anchor behindDoc="0" distT="4445" distB="4445" distL="119380" distR="119380" simplePos="0" locked="0" layoutInCell="0" allowOverlap="1" relativeHeight="62">
                <wp:simplePos x="0" y="0"/>
                <wp:positionH relativeFrom="column">
                  <wp:posOffset>1166495</wp:posOffset>
                </wp:positionH>
                <wp:positionV relativeFrom="paragraph">
                  <wp:posOffset>304800</wp:posOffset>
                </wp:positionV>
                <wp:extent cx="1222375" cy="239395"/>
                <wp:effectExtent l="0" t="0" r="0" b="0"/>
                <wp:wrapNone/>
                <wp:docPr id="3" name=""/>
                <a:graphic xmlns:a="http://schemas.openxmlformats.org/drawingml/2006/main">
                  <a:graphicData uri="http://schemas.microsoft.com/office/word/2010/wordprocessingShape">
                    <wps:wsp>
                      <wps:cNvSpPr/>
                      <wps:spPr>
                        <a:xfrm>
                          <a:off x="0" y="0"/>
                          <a:ext cx="1221840" cy="238680"/>
                        </a:xfrm>
                        <a:custGeom>
                          <a:avLst/>
                          <a:gdLst/>
                          <a:ahLst/>
                          <a:rect l="0" t="0" r="r" b="b"/>
                          <a:pathLst>
                            <a:path w="1926" h="378">
                              <a:moveTo>
                                <a:pt x="62" y="0"/>
                              </a:moveTo>
                              <a:lnTo>
                                <a:pt x="63" y="0"/>
                              </a:lnTo>
                              <a:cubicBezTo>
                                <a:pt x="52" y="0"/>
                                <a:pt x="41" y="3"/>
                                <a:pt x="31" y="8"/>
                              </a:cubicBezTo>
                              <a:cubicBezTo>
                                <a:pt x="22" y="14"/>
                                <a:pt x="14" y="22"/>
                                <a:pt x="8" y="31"/>
                              </a:cubicBezTo>
                              <a:cubicBezTo>
                                <a:pt x="3" y="41"/>
                                <a:pt x="0" y="52"/>
                                <a:pt x="0" y="63"/>
                              </a:cubicBezTo>
                              <a:lnTo>
                                <a:pt x="0" y="314"/>
                              </a:lnTo>
                              <a:lnTo>
                                <a:pt x="0" y="314"/>
                              </a:lnTo>
                              <a:cubicBezTo>
                                <a:pt x="0" y="325"/>
                                <a:pt x="3" y="336"/>
                                <a:pt x="8" y="346"/>
                              </a:cubicBezTo>
                              <a:cubicBezTo>
                                <a:pt x="14" y="355"/>
                                <a:pt x="22" y="363"/>
                                <a:pt x="31" y="369"/>
                              </a:cubicBezTo>
                              <a:cubicBezTo>
                                <a:pt x="41" y="374"/>
                                <a:pt x="52" y="377"/>
                                <a:pt x="63" y="377"/>
                              </a:cubicBezTo>
                              <a:lnTo>
                                <a:pt x="1862" y="377"/>
                              </a:lnTo>
                              <a:lnTo>
                                <a:pt x="1862" y="377"/>
                              </a:lnTo>
                              <a:cubicBezTo>
                                <a:pt x="1873" y="377"/>
                                <a:pt x="1884" y="374"/>
                                <a:pt x="1894" y="369"/>
                              </a:cubicBezTo>
                              <a:cubicBezTo>
                                <a:pt x="1903" y="363"/>
                                <a:pt x="1911" y="355"/>
                                <a:pt x="1917" y="346"/>
                              </a:cubicBezTo>
                              <a:cubicBezTo>
                                <a:pt x="1922" y="336"/>
                                <a:pt x="1925" y="325"/>
                                <a:pt x="1925" y="314"/>
                              </a:cubicBezTo>
                              <a:lnTo>
                                <a:pt x="1924" y="62"/>
                              </a:lnTo>
                              <a:lnTo>
                                <a:pt x="1925" y="63"/>
                              </a:lnTo>
                              <a:lnTo>
                                <a:pt x="1925" y="63"/>
                              </a:lnTo>
                              <a:cubicBezTo>
                                <a:pt x="1925" y="52"/>
                                <a:pt x="1922" y="41"/>
                                <a:pt x="1917" y="31"/>
                              </a:cubicBezTo>
                              <a:cubicBezTo>
                                <a:pt x="1911" y="22"/>
                                <a:pt x="1903" y="14"/>
                                <a:pt x="1894" y="8"/>
                              </a:cubicBezTo>
                              <a:cubicBezTo>
                                <a:pt x="1884" y="3"/>
                                <a:pt x="1873" y="0"/>
                                <a:pt x="1862" y="0"/>
                              </a:cubicBezTo>
                              <a:lnTo>
                                <a:pt x="62" y="0"/>
                              </a:lnTo>
                            </a:path>
                          </a:pathLst>
                        </a:custGeom>
                        <a:solidFill>
                          <a:srgbClr val="ffffff"/>
                        </a:solidFill>
                        <a:ln w="9360">
                          <a:solidFill>
                            <a:srgbClr val="000000"/>
                          </a:solidFill>
                          <a:miter/>
                        </a:ln>
                      </wps:spPr>
                      <wps:style>
                        <a:lnRef idx="0"/>
                        <a:fillRef idx="0"/>
                        <a:effectRef idx="0"/>
                        <a:fontRef idx="minor"/>
                      </wps:style>
                      <wps:txbx>
                        <w:txbxContent>
                          <w:p>
                            <w:pPr>
                              <w:overflowPunct w:val="false"/>
                              <w:bidi w:val="0"/>
                              <w:jc w:val="center"/>
                              <w:rPr/>
                            </w:pPr>
                            <w:r>
                              <w:rPr>
                                <w:kern w:val="2"/>
                                <w:sz w:val="20"/>
                                <w:szCs w:val="20"/>
                                <w:rFonts w:ascii="標楷體" w:hAnsi="標楷體" w:eastAsia="標楷體" w:cs="標楷體"/>
                                <w:color w:val="auto"/>
                                <w:lang w:val="en-US" w:eastAsia="zh-TW" w:bidi="ar-SA"/>
                              </w:rPr>
                              <w:t>地檢署轉介個案</w:t>
                            </w:r>
                          </w:p>
                        </w:txbxContent>
                      </wps:txbx>
                      <wps:bodyPr tIns="21600" bIns="10800">
                        <a:noAutofit/>
                      </wps:bodyPr>
                    </wps:wsp>
                  </a:graphicData>
                </a:graphic>
              </wp:anchor>
            </w:drawing>
          </mc:Choice>
          <mc:Fallback>
            <w:pict>
              <v:roundrect id="shape_0" fillcolor="white" stroked="t" style="position:absolute;margin-left:91.85pt;margin-top:24pt;width:96.15pt;height:18.75pt;mso-wrap-style:square;v-text-anchor:top">
                <v:textbox>
                  <w:txbxContent>
                    <w:p>
                      <w:pPr>
                        <w:overflowPunct w:val="false"/>
                        <w:bidi w:val="0"/>
                        <w:jc w:val="center"/>
                        <w:rPr/>
                      </w:pPr>
                      <w:r>
                        <w:rPr>
                          <w:kern w:val="2"/>
                          <w:sz w:val="20"/>
                          <w:szCs w:val="20"/>
                          <w:rFonts w:ascii="標楷體" w:hAnsi="標楷體" w:eastAsia="標楷體" w:cs="標楷體"/>
                          <w:color w:val="auto"/>
                          <w:lang w:val="en-US" w:eastAsia="zh-TW" w:bidi="ar-SA"/>
                        </w:rPr>
                        <w:t>地檢署轉介個案</w:t>
                      </w:r>
                    </w:p>
                  </w:txbxContent>
                </v:textbox>
                <v:fill o:detectmouseclick="t" type="solid" color2="black"/>
                <v:stroke color="black" weight="9360" joinstyle="miter" endcap="flat"/>
                <w10:wrap type="none"/>
              </v:roundrect>
            </w:pict>
          </mc:Fallback>
        </mc:AlternateContent>
        <mc:AlternateContent>
          <mc:Choice Requires="wps">
            <w:drawing>
              <wp:anchor behindDoc="0" distT="9525" distB="9525" distL="124460" distR="124460" simplePos="0" locked="0" layoutInCell="0" allowOverlap="1" relativeHeight="104">
                <wp:simplePos x="0" y="0"/>
                <wp:positionH relativeFrom="column">
                  <wp:posOffset>-22860</wp:posOffset>
                </wp:positionH>
                <wp:positionV relativeFrom="paragraph">
                  <wp:posOffset>190500</wp:posOffset>
                </wp:positionV>
                <wp:extent cx="4180205" cy="5753735"/>
                <wp:effectExtent l="0" t="0" r="0" b="0"/>
                <wp:wrapNone/>
                <wp:docPr id="4" name=""/>
                <a:graphic xmlns:a="http://schemas.openxmlformats.org/drawingml/2006/main">
                  <a:graphicData uri="http://schemas.microsoft.com/office/word/2010/wordprocessingShape">
                    <wps:wsp>
                      <wps:cNvSpPr/>
                      <wps:spPr>
                        <a:xfrm>
                          <a:off x="0" y="0"/>
                          <a:ext cx="4179600" cy="5753160"/>
                        </a:xfrm>
                        <a:prstGeom prst="rect">
                          <a:avLst/>
                        </a:prstGeom>
                        <a:noFill/>
                        <a:ln w="19080">
                          <a:solidFill>
                            <a:srgbClr val="000000"/>
                          </a:solidFill>
                          <a:miter/>
                        </a:ln>
                      </wps:spPr>
                      <wps:style>
                        <a:lnRef idx="0"/>
                        <a:fillRef idx="0"/>
                        <a:effectRef idx="0"/>
                        <a:fontRef idx="minor"/>
                      </wps:style>
                      <wps:bodyPr/>
                    </wps:wsp>
                  </a:graphicData>
                </a:graphic>
              </wp:anchor>
            </w:drawing>
          </mc:Choice>
          <mc:Fallback>
            <w:pict>
              <v:rect id="shape_0" stroked="t" style="position:absolute;margin-left:-1.8pt;margin-top:15pt;width:329.05pt;height:452.95pt;mso-wrap-style:none;v-text-anchor:middle">
                <v:fill o:detectmouseclick="t" on="false"/>
                <v:stroke color="black" weight="19080" joinstyle="miter" endcap="flat"/>
                <w10:wrap type="none"/>
              </v:rect>
            </w:pict>
          </mc:Fallback>
        </mc:AlternateContent>
      </w:r>
    </w:p>
    <w:p>
      <w:pPr>
        <w:pStyle w:val="1"/>
        <w:numPr>
          <w:ilvl w:val="0"/>
          <w:numId w:val="0"/>
        </w:numPr>
        <w:spacing w:before="0" w:after="0"/>
        <w:jc w:val="center"/>
        <w:rPr>
          <w:rFonts w:ascii="標楷體" w:hAnsi="標楷體" w:eastAsia="標楷體" w:cs="標楷體"/>
          <w:b/>
          <w:b/>
          <w:color w:val="000000"/>
          <w:sz w:val="28"/>
          <w:szCs w:val="28"/>
        </w:rPr>
      </w:pPr>
      <w:r>
        <w:rPr>
          <w:rFonts w:eastAsia="標楷體" w:cs="標楷體" w:ascii="標楷體" w:hAnsi="標楷體"/>
          <w:b/>
          <w:color w:val="000000"/>
          <w:sz w:val="28"/>
          <w:szCs w:val="28"/>
        </w:rPr>
        <mc:AlternateContent>
          <mc:Choice Requires="wps">
            <w:drawing>
              <wp:anchor behindDoc="0" distT="4445" distB="4445" distL="119380" distR="119380" simplePos="0" locked="0" layoutInCell="0" allowOverlap="1" relativeHeight="61">
                <wp:simplePos x="0" y="0"/>
                <wp:positionH relativeFrom="column">
                  <wp:posOffset>1143000</wp:posOffset>
                </wp:positionH>
                <wp:positionV relativeFrom="paragraph">
                  <wp:posOffset>342900</wp:posOffset>
                </wp:positionV>
                <wp:extent cx="1190625" cy="193040"/>
                <wp:effectExtent l="0" t="0" r="0" b="0"/>
                <wp:wrapNone/>
                <wp:docPr id="5" name=""/>
                <a:graphic xmlns:a="http://schemas.openxmlformats.org/drawingml/2006/main">
                  <a:graphicData uri="http://schemas.microsoft.com/office/word/2010/wordprocessingShape">
                    <wps:wsp>
                      <wps:cNvSpPr/>
                      <wps:spPr>
                        <a:xfrm>
                          <a:off x="0" y="0"/>
                          <a:ext cx="1190160" cy="192240"/>
                        </a:xfrm>
                        <a:prstGeom prst="flowChartProcess">
                          <a:avLst/>
                        </a:prstGeom>
                        <a:solidFill>
                          <a:srgbClr val="ffffff"/>
                        </a:solidFill>
                        <a:ln w="9360">
                          <a:solidFill>
                            <a:srgbClr val="000000"/>
                          </a:solidFill>
                          <a:miter/>
                        </a:ln>
                      </wps:spPr>
                      <wps:style>
                        <a:lnRef idx="0"/>
                        <a:fillRef idx="0"/>
                        <a:effectRef idx="0"/>
                        <a:fontRef idx="minor"/>
                      </wps:style>
                      <wps:txbx>
                        <w:txbxContent>
                          <w:p>
                            <w:pPr>
                              <w:overflowPunct w:val="false"/>
                              <w:bidi w:val="0"/>
                              <w:jc w:val="center"/>
                              <w:rPr/>
                            </w:pPr>
                            <w:r>
                              <w:rPr>
                                <w:kern w:val="2"/>
                                <w:sz w:val="20"/>
                                <w:szCs w:val="20"/>
                                <w:rFonts w:ascii="標楷體" w:hAnsi="標楷體" w:eastAsia="標楷體" w:cs="標楷體"/>
                                <w:color w:val="auto"/>
                                <w:lang w:val="en-US" w:eastAsia="zh-TW" w:bidi="ar-SA"/>
                              </w:rPr>
                              <w:t>初診收案</w:t>
                            </w:r>
                          </w:p>
                        </w:txbxContent>
                      </wps:txbx>
                      <wps:bodyPr tIns="21600" bIns="0">
                        <a:noAutofit/>
                      </wps:bodyPr>
                    </wps:wsp>
                  </a:graphicData>
                </a:graphic>
              </wp:anchor>
            </w:drawing>
          </mc:Choice>
          <mc:Fallback>
            <w:pict>
              <v:shapetype id="shapetype_109" coordsize="21600,21600" o:spt="109" path="m,l21600,l21600,21600l,21600xe">
                <v:stroke joinstyle="miter"/>
                <v:path gradientshapeok="t" o:connecttype="rect" textboxrect="0,0,21600,21600"/>
              </v:shapetype>
              <v:shape id="shape_0" fillcolor="white" stroked="t" style="position:absolute;margin-left:90pt;margin-top:27pt;width:93.65pt;height:15.1pt;mso-wrap-style:square;v-text-anchor:top" type="shapetype_109">
                <v:textbox>
                  <w:txbxContent>
                    <w:p>
                      <w:pPr>
                        <w:overflowPunct w:val="false"/>
                        <w:bidi w:val="0"/>
                        <w:jc w:val="center"/>
                        <w:rPr/>
                      </w:pPr>
                      <w:r>
                        <w:rPr>
                          <w:kern w:val="2"/>
                          <w:sz w:val="20"/>
                          <w:szCs w:val="20"/>
                          <w:rFonts w:ascii="標楷體" w:hAnsi="標楷體" w:eastAsia="標楷體" w:cs="標楷體"/>
                          <w:color w:val="auto"/>
                          <w:lang w:val="en-US" w:eastAsia="zh-TW" w:bidi="ar-SA"/>
                        </w:rPr>
                        <w:t>初診收案</w:t>
                      </w:r>
                    </w:p>
                  </w:txbxContent>
                </v:textbox>
                <v:fill o:detectmouseclick="t" type="solid" color2="black"/>
                <v:stroke color="black" weight="9360" joinstyle="miter" endcap="flat"/>
                <w10:wrap type="none"/>
              </v:shape>
            </w:pict>
          </mc:Fallback>
        </mc:AlternateContent>
        <mc:AlternateContent>
          <mc:Choice Requires="wps">
            <w:drawing>
              <wp:anchor behindDoc="0" distT="4445" distB="4445" distL="119380" distR="119380" simplePos="0" locked="0" layoutInCell="0" allowOverlap="1" relativeHeight="63">
                <wp:simplePos x="0" y="0"/>
                <wp:positionH relativeFrom="column">
                  <wp:posOffset>1063625</wp:posOffset>
                </wp:positionH>
                <wp:positionV relativeFrom="paragraph">
                  <wp:posOffset>850265</wp:posOffset>
                </wp:positionV>
                <wp:extent cx="1563370" cy="192405"/>
                <wp:effectExtent l="0" t="0" r="0" b="0"/>
                <wp:wrapNone/>
                <wp:docPr id="6" name=""/>
                <a:graphic xmlns:a="http://schemas.openxmlformats.org/drawingml/2006/main">
                  <a:graphicData uri="http://schemas.microsoft.com/office/word/2010/wordprocessingShape">
                    <wps:wsp>
                      <wps:cNvSpPr/>
                      <wps:spPr>
                        <a:xfrm>
                          <a:off x="0" y="0"/>
                          <a:ext cx="1562760" cy="191880"/>
                        </a:xfrm>
                        <a:prstGeom prst="flowChartProcess">
                          <a:avLst/>
                        </a:prstGeom>
                        <a:solidFill>
                          <a:srgbClr val="ffffff"/>
                        </a:solidFill>
                        <a:ln w="9360">
                          <a:solidFill>
                            <a:srgbClr val="000000"/>
                          </a:solidFill>
                          <a:miter/>
                        </a:ln>
                      </wps:spPr>
                      <wps:style>
                        <a:lnRef idx="0"/>
                        <a:fillRef idx="0"/>
                        <a:effectRef idx="0"/>
                        <a:fontRef idx="minor"/>
                      </wps:style>
                      <wps:txbx>
                        <w:txbxContent>
                          <w:p>
                            <w:pPr>
                              <w:overflowPunct w:val="false"/>
                              <w:bidi w:val="0"/>
                              <w:jc w:val="center"/>
                              <w:rPr/>
                            </w:pPr>
                            <w:r>
                              <w:rPr>
                                <w:sz w:val="20"/>
                                <w:kern w:val="2"/>
                                <w:szCs w:val="20"/>
                                <w:rFonts w:ascii="標楷體" w:hAnsi="標楷體" w:eastAsia="標楷體" w:cs="標楷體"/>
                                <w:color w:val="auto"/>
                                <w:lang w:val="en-US" w:eastAsia="zh-TW" w:bidi="ar-SA"/>
                              </w:rPr>
                              <w:t>0第一階段(評估期、解毒期)</w:t>
                            </w:r>
                          </w:p>
                        </w:txbxContent>
                      </wps:txbx>
                      <wps:bodyPr tIns="21600" bIns="0">
                        <a:noAutofit/>
                      </wps:bodyPr>
                    </wps:wsp>
                  </a:graphicData>
                </a:graphic>
              </wp:anchor>
            </w:drawing>
          </mc:Choice>
          <mc:Fallback>
            <w:pict>
              <v:shape id="shape_0" fillcolor="white" stroked="t" style="position:absolute;margin-left:83.75pt;margin-top:66.95pt;width:123pt;height:15.05pt;mso-wrap-style:square;v-text-anchor:top" type="shapetype_109">
                <v:textbox>
                  <w:txbxContent>
                    <w:p>
                      <w:pPr>
                        <w:overflowPunct w:val="false"/>
                        <w:bidi w:val="0"/>
                        <w:jc w:val="center"/>
                        <w:rPr/>
                      </w:pPr>
                      <w:r>
                        <w:rPr>
                          <w:sz w:val="20"/>
                          <w:kern w:val="2"/>
                          <w:szCs w:val="20"/>
                          <w:rFonts w:ascii="標楷體" w:hAnsi="標楷體" w:eastAsia="標楷體" w:cs="標楷體"/>
                          <w:color w:val="auto"/>
                          <w:lang w:val="en-US" w:eastAsia="zh-TW" w:bidi="ar-SA"/>
                        </w:rPr>
                        <w:t>0第一階段(評估期、解毒期)</w:t>
                      </w:r>
                    </w:p>
                  </w:txbxContent>
                </v:textbox>
                <v:fill o:detectmouseclick="t" type="solid" color2="black"/>
                <v:stroke color="black" weight="9360" joinstyle="miter" endcap="flat"/>
                <w10:wrap type="none"/>
              </v:shape>
            </w:pict>
          </mc:Fallback>
        </mc:AlternateContent>
        <mc:AlternateContent>
          <mc:Choice Requires="wps">
            <w:drawing>
              <wp:anchor behindDoc="0" distT="4445" distB="4445" distL="119380" distR="119380" simplePos="0" locked="0" layoutInCell="0" allowOverlap="1" relativeHeight="64">
                <wp:simplePos x="0" y="0"/>
                <wp:positionH relativeFrom="column">
                  <wp:posOffset>1108710</wp:posOffset>
                </wp:positionH>
                <wp:positionV relativeFrom="paragraph">
                  <wp:posOffset>2145665</wp:posOffset>
                </wp:positionV>
                <wp:extent cx="1563370" cy="193040"/>
                <wp:effectExtent l="0" t="0" r="0" b="0"/>
                <wp:wrapNone/>
                <wp:docPr id="7" name=""/>
                <a:graphic xmlns:a="http://schemas.openxmlformats.org/drawingml/2006/main">
                  <a:graphicData uri="http://schemas.microsoft.com/office/word/2010/wordprocessingShape">
                    <wps:wsp>
                      <wps:cNvSpPr/>
                      <wps:spPr>
                        <a:xfrm>
                          <a:off x="0" y="0"/>
                          <a:ext cx="1562760" cy="192240"/>
                        </a:xfrm>
                        <a:prstGeom prst="flowChartProcess">
                          <a:avLst/>
                        </a:prstGeom>
                        <a:solidFill>
                          <a:srgbClr val="ffffff"/>
                        </a:solidFill>
                        <a:ln w="9360">
                          <a:solidFill>
                            <a:srgbClr val="000000"/>
                          </a:solidFill>
                          <a:miter/>
                        </a:ln>
                      </wps:spPr>
                      <wps:style>
                        <a:lnRef idx="0"/>
                        <a:fillRef idx="0"/>
                        <a:effectRef idx="0"/>
                        <a:fontRef idx="minor"/>
                      </wps:style>
                      <wps:txbx>
                        <w:txbxContent>
                          <w:p>
                            <w:pPr>
                              <w:overflowPunct w:val="false"/>
                              <w:bidi w:val="0"/>
                              <w:jc w:val="center"/>
                              <w:rPr/>
                            </w:pPr>
                            <w:r>
                              <w:rPr>
                                <w:kern w:val="2"/>
                                <w:sz w:val="20"/>
                                <w:szCs w:val="20"/>
                                <w:rFonts w:ascii="標楷體" w:hAnsi="標楷體" w:eastAsia="標楷體" w:cs="標楷體"/>
                                <w:color w:val="auto"/>
                                <w:lang w:val="en-US" w:eastAsia="zh-TW" w:bidi="ar-SA"/>
                              </w:rPr>
                              <w:t>第二階段(鞏固期)</w:t>
                            </w:r>
                          </w:p>
                        </w:txbxContent>
                      </wps:txbx>
                      <wps:bodyPr tIns="21600" bIns="10800">
                        <a:noAutofit/>
                      </wps:bodyPr>
                    </wps:wsp>
                  </a:graphicData>
                </a:graphic>
              </wp:anchor>
            </w:drawing>
          </mc:Choice>
          <mc:Fallback>
            <w:pict>
              <v:shape id="shape_0" fillcolor="white" stroked="t" style="position:absolute;margin-left:87.3pt;margin-top:168.95pt;width:123pt;height:15.1pt;mso-wrap-style:square;v-text-anchor:top" type="shapetype_109">
                <v:textbox>
                  <w:txbxContent>
                    <w:p>
                      <w:pPr>
                        <w:overflowPunct w:val="false"/>
                        <w:bidi w:val="0"/>
                        <w:jc w:val="center"/>
                        <w:rPr/>
                      </w:pPr>
                      <w:r>
                        <w:rPr>
                          <w:kern w:val="2"/>
                          <w:sz w:val="20"/>
                          <w:szCs w:val="20"/>
                          <w:rFonts w:ascii="標楷體" w:hAnsi="標楷體" w:eastAsia="標楷體" w:cs="標楷體"/>
                          <w:color w:val="auto"/>
                          <w:lang w:val="en-US" w:eastAsia="zh-TW" w:bidi="ar-SA"/>
                        </w:rPr>
                        <w:t>第二階段(鞏固期)</w:t>
                      </w:r>
                    </w:p>
                  </w:txbxContent>
                </v:textbox>
                <v:fill o:detectmouseclick="t" type="solid" color2="black"/>
                <v:stroke color="black" weight="9360" joinstyle="miter" endcap="flat"/>
                <w10:wrap type="none"/>
              </v:shape>
            </w:pict>
          </mc:Fallback>
        </mc:AlternateContent>
        <mc:AlternateContent>
          <mc:Choice Requires="wps">
            <w:drawing>
              <wp:anchor behindDoc="0" distT="4445" distB="4445" distL="119380" distR="119380" simplePos="0" locked="0" layoutInCell="0" allowOverlap="1" relativeHeight="65">
                <wp:simplePos x="0" y="0"/>
                <wp:positionH relativeFrom="column">
                  <wp:posOffset>1108710</wp:posOffset>
                </wp:positionH>
                <wp:positionV relativeFrom="paragraph">
                  <wp:posOffset>3498215</wp:posOffset>
                </wp:positionV>
                <wp:extent cx="1563370" cy="192405"/>
                <wp:effectExtent l="0" t="0" r="0" b="0"/>
                <wp:wrapNone/>
                <wp:docPr id="8" name=""/>
                <a:graphic xmlns:a="http://schemas.openxmlformats.org/drawingml/2006/main">
                  <a:graphicData uri="http://schemas.microsoft.com/office/word/2010/wordprocessingShape">
                    <wps:wsp>
                      <wps:cNvSpPr/>
                      <wps:spPr>
                        <a:xfrm>
                          <a:off x="0" y="0"/>
                          <a:ext cx="1562760" cy="191880"/>
                        </a:xfrm>
                        <a:prstGeom prst="flowChartProcess">
                          <a:avLst/>
                        </a:prstGeom>
                        <a:solidFill>
                          <a:srgbClr val="ffffff"/>
                        </a:solidFill>
                        <a:ln w="9360">
                          <a:solidFill>
                            <a:srgbClr val="000000"/>
                          </a:solidFill>
                          <a:miter/>
                        </a:ln>
                      </wps:spPr>
                      <wps:style>
                        <a:lnRef idx="0"/>
                        <a:fillRef idx="0"/>
                        <a:effectRef idx="0"/>
                        <a:fontRef idx="minor"/>
                      </wps:style>
                      <wps:txbx>
                        <w:txbxContent>
                          <w:p>
                            <w:pPr>
                              <w:overflowPunct w:val="false"/>
                              <w:bidi w:val="0"/>
                              <w:jc w:val="center"/>
                              <w:rPr/>
                            </w:pPr>
                            <w:r>
                              <w:rPr>
                                <w:kern w:val="2"/>
                                <w:sz w:val="20"/>
                                <w:szCs w:val="20"/>
                                <w:rFonts w:ascii="標楷體" w:hAnsi="標楷體" w:eastAsia="標楷體" w:cs="標楷體"/>
                                <w:color w:val="auto"/>
                                <w:lang w:val="en-US" w:eastAsia="zh-TW" w:bidi="ar-SA"/>
                              </w:rPr>
                              <w:t>第三階段(維持期)</w:t>
                            </w:r>
                          </w:p>
                        </w:txbxContent>
                      </wps:txbx>
                      <wps:bodyPr tIns="21600" bIns="10800">
                        <a:noAutofit/>
                      </wps:bodyPr>
                    </wps:wsp>
                  </a:graphicData>
                </a:graphic>
              </wp:anchor>
            </w:drawing>
          </mc:Choice>
          <mc:Fallback>
            <w:pict>
              <v:shape id="shape_0" fillcolor="white" stroked="t" style="position:absolute;margin-left:87.3pt;margin-top:275.45pt;width:123pt;height:15.05pt;mso-wrap-style:square;v-text-anchor:top" type="shapetype_109">
                <v:textbox>
                  <w:txbxContent>
                    <w:p>
                      <w:pPr>
                        <w:overflowPunct w:val="false"/>
                        <w:bidi w:val="0"/>
                        <w:jc w:val="center"/>
                        <w:rPr/>
                      </w:pPr>
                      <w:r>
                        <w:rPr>
                          <w:kern w:val="2"/>
                          <w:sz w:val="20"/>
                          <w:szCs w:val="20"/>
                          <w:rFonts w:ascii="標楷體" w:hAnsi="標楷體" w:eastAsia="標楷體" w:cs="標楷體"/>
                          <w:color w:val="auto"/>
                          <w:lang w:val="en-US" w:eastAsia="zh-TW" w:bidi="ar-SA"/>
                        </w:rPr>
                        <w:t>第三階段(維持期)</w:t>
                      </w:r>
                    </w:p>
                  </w:txbxContent>
                </v:textbox>
                <v:fill o:detectmouseclick="t" type="solid" color2="black"/>
                <v:stroke color="black" weight="9360" joinstyle="miter" endcap="flat"/>
                <w10:wrap type="none"/>
              </v:shape>
            </w:pict>
          </mc:Fallback>
        </mc:AlternateContent>
        <mc:AlternateContent>
          <mc:Choice Requires="wps">
            <w:drawing>
              <wp:anchor behindDoc="0" distT="4445" distB="4445" distL="119380" distR="119380" simplePos="0" locked="0" layoutInCell="0" allowOverlap="1" relativeHeight="66">
                <wp:simplePos x="0" y="0"/>
                <wp:positionH relativeFrom="column">
                  <wp:posOffset>1282700</wp:posOffset>
                </wp:positionH>
                <wp:positionV relativeFrom="paragraph">
                  <wp:posOffset>5174615</wp:posOffset>
                </wp:positionV>
                <wp:extent cx="1222375" cy="240030"/>
                <wp:effectExtent l="0" t="0" r="0" b="0"/>
                <wp:wrapNone/>
                <wp:docPr id="9" name=""/>
                <a:graphic xmlns:a="http://schemas.openxmlformats.org/drawingml/2006/main">
                  <a:graphicData uri="http://schemas.microsoft.com/office/word/2010/wordprocessingShape">
                    <wps:wsp>
                      <wps:cNvSpPr/>
                      <wps:spPr>
                        <a:xfrm>
                          <a:off x="0" y="0"/>
                          <a:ext cx="1221840" cy="239400"/>
                        </a:xfrm>
                        <a:custGeom>
                          <a:avLst/>
                          <a:gdLst/>
                          <a:ahLst/>
                          <a:rect l="0" t="0" r="r" b="b"/>
                          <a:pathLst>
                            <a:path w="1926" h="379">
                              <a:moveTo>
                                <a:pt x="62" y="0"/>
                              </a:moveTo>
                              <a:lnTo>
                                <a:pt x="63" y="0"/>
                              </a:lnTo>
                              <a:cubicBezTo>
                                <a:pt x="52" y="0"/>
                                <a:pt x="41" y="3"/>
                                <a:pt x="32" y="8"/>
                              </a:cubicBezTo>
                              <a:cubicBezTo>
                                <a:pt x="22" y="14"/>
                                <a:pt x="14" y="22"/>
                                <a:pt x="8" y="32"/>
                              </a:cubicBezTo>
                              <a:cubicBezTo>
                                <a:pt x="3" y="41"/>
                                <a:pt x="0" y="52"/>
                                <a:pt x="0" y="63"/>
                              </a:cubicBezTo>
                              <a:lnTo>
                                <a:pt x="0" y="315"/>
                              </a:lnTo>
                              <a:lnTo>
                                <a:pt x="0" y="315"/>
                              </a:lnTo>
                              <a:cubicBezTo>
                                <a:pt x="0" y="326"/>
                                <a:pt x="3" y="337"/>
                                <a:pt x="8" y="347"/>
                              </a:cubicBezTo>
                              <a:cubicBezTo>
                                <a:pt x="14" y="356"/>
                                <a:pt x="22" y="364"/>
                                <a:pt x="32" y="370"/>
                              </a:cubicBezTo>
                              <a:cubicBezTo>
                                <a:pt x="41" y="375"/>
                                <a:pt x="52" y="378"/>
                                <a:pt x="63" y="378"/>
                              </a:cubicBezTo>
                              <a:lnTo>
                                <a:pt x="1861" y="378"/>
                              </a:lnTo>
                              <a:lnTo>
                                <a:pt x="1862" y="378"/>
                              </a:lnTo>
                              <a:cubicBezTo>
                                <a:pt x="1873" y="378"/>
                                <a:pt x="1884" y="375"/>
                                <a:pt x="1894" y="370"/>
                              </a:cubicBezTo>
                              <a:cubicBezTo>
                                <a:pt x="1903" y="364"/>
                                <a:pt x="1911" y="356"/>
                                <a:pt x="1917" y="347"/>
                              </a:cubicBezTo>
                              <a:cubicBezTo>
                                <a:pt x="1922" y="337"/>
                                <a:pt x="1925" y="326"/>
                                <a:pt x="1925" y="315"/>
                              </a:cubicBezTo>
                              <a:lnTo>
                                <a:pt x="1924" y="63"/>
                              </a:lnTo>
                              <a:lnTo>
                                <a:pt x="1925" y="63"/>
                              </a:lnTo>
                              <a:lnTo>
                                <a:pt x="1925" y="63"/>
                              </a:lnTo>
                              <a:cubicBezTo>
                                <a:pt x="1925" y="52"/>
                                <a:pt x="1922" y="41"/>
                                <a:pt x="1917" y="32"/>
                              </a:cubicBezTo>
                              <a:cubicBezTo>
                                <a:pt x="1911" y="22"/>
                                <a:pt x="1903" y="14"/>
                                <a:pt x="1894" y="8"/>
                              </a:cubicBezTo>
                              <a:cubicBezTo>
                                <a:pt x="1884" y="3"/>
                                <a:pt x="1873" y="0"/>
                                <a:pt x="1862" y="0"/>
                              </a:cubicBezTo>
                              <a:lnTo>
                                <a:pt x="62" y="0"/>
                              </a:lnTo>
                            </a:path>
                          </a:pathLst>
                        </a:custGeom>
                        <a:solidFill>
                          <a:srgbClr val="ffffff"/>
                        </a:solidFill>
                        <a:ln w="9360">
                          <a:solidFill>
                            <a:srgbClr val="000000"/>
                          </a:solidFill>
                          <a:miter/>
                        </a:ln>
                      </wps:spPr>
                      <wps:style>
                        <a:lnRef idx="0"/>
                        <a:fillRef idx="0"/>
                        <a:effectRef idx="0"/>
                        <a:fontRef idx="minor"/>
                      </wps:style>
                      <wps:txbx>
                        <w:txbxContent>
                          <w:p>
                            <w:pPr>
                              <w:overflowPunct w:val="false"/>
                              <w:bidi w:val="0"/>
                              <w:jc w:val="center"/>
                              <w:rPr/>
                            </w:pPr>
                            <w:r>
                              <w:rPr>
                                <w:kern w:val="2"/>
                                <w:sz w:val="20"/>
                                <w:szCs w:val="20"/>
                                <w:rFonts w:ascii="標楷體" w:hAnsi="標楷體" w:eastAsia="標楷體" w:cs="標楷體"/>
                                <w:color w:val="auto"/>
                                <w:lang w:val="en-US" w:eastAsia="zh-TW" w:bidi="ar-SA"/>
                              </w:rPr>
                              <w:t>結案</w:t>
                            </w:r>
                          </w:p>
                        </w:txbxContent>
                      </wps:txbx>
                      <wps:bodyPr tIns="21600">
                        <a:noAutofit/>
                      </wps:bodyPr>
                    </wps:wsp>
                  </a:graphicData>
                </a:graphic>
              </wp:anchor>
            </w:drawing>
          </mc:Choice>
          <mc:Fallback>
            <w:pict>
              <v:roundrect id="shape_0" fillcolor="white" stroked="t" style="position:absolute;margin-left:101pt;margin-top:407.45pt;width:96.15pt;height:18.8pt;mso-wrap-style:square;v-text-anchor:top">
                <v:textbox>
                  <w:txbxContent>
                    <w:p>
                      <w:pPr>
                        <w:overflowPunct w:val="false"/>
                        <w:bidi w:val="0"/>
                        <w:jc w:val="center"/>
                        <w:rPr/>
                      </w:pPr>
                      <w:r>
                        <w:rPr>
                          <w:kern w:val="2"/>
                          <w:sz w:val="20"/>
                          <w:szCs w:val="20"/>
                          <w:rFonts w:ascii="標楷體" w:hAnsi="標楷體" w:eastAsia="標楷體" w:cs="標楷體"/>
                          <w:color w:val="auto"/>
                          <w:lang w:val="en-US" w:eastAsia="zh-TW" w:bidi="ar-SA"/>
                        </w:rPr>
                        <w:t>結案</w:t>
                      </w:r>
                    </w:p>
                  </w:txbxContent>
                </v:textbox>
                <v:fill o:detectmouseclick="t" type="solid" color2="black"/>
                <v:stroke color="black" weight="9360" joinstyle="miter" endcap="flat"/>
                <w10:wrap type="none"/>
              </v:roundrect>
            </w:pict>
          </mc:Fallback>
        </mc:AlternateContent>
        <mc:AlternateContent>
          <mc:Choice Requires="wps">
            <w:drawing>
              <wp:anchor behindDoc="0" distT="4445" distB="4445" distL="119380" distR="119380" simplePos="0" locked="0" layoutInCell="0" allowOverlap="1" relativeHeight="70">
                <wp:simplePos x="0" y="0"/>
                <wp:positionH relativeFrom="column">
                  <wp:posOffset>1108710</wp:posOffset>
                </wp:positionH>
                <wp:positionV relativeFrom="paragraph">
                  <wp:posOffset>4759325</wp:posOffset>
                </wp:positionV>
                <wp:extent cx="1563370" cy="193040"/>
                <wp:effectExtent l="0" t="0" r="0" b="0"/>
                <wp:wrapNone/>
                <wp:docPr id="10" name=""/>
                <a:graphic xmlns:a="http://schemas.openxmlformats.org/drawingml/2006/main">
                  <a:graphicData uri="http://schemas.microsoft.com/office/word/2010/wordprocessingShape">
                    <wps:wsp>
                      <wps:cNvSpPr/>
                      <wps:spPr>
                        <a:xfrm>
                          <a:off x="0" y="0"/>
                          <a:ext cx="1562760" cy="192240"/>
                        </a:xfrm>
                        <a:prstGeom prst="flowChartProcess">
                          <a:avLst/>
                        </a:prstGeom>
                        <a:solidFill>
                          <a:srgbClr val="ffffff"/>
                        </a:solidFill>
                        <a:ln w="9360">
                          <a:solidFill>
                            <a:srgbClr val="000000"/>
                          </a:solidFill>
                          <a:miter/>
                        </a:ln>
                      </wps:spPr>
                      <wps:style>
                        <a:lnRef idx="0"/>
                        <a:fillRef idx="0"/>
                        <a:effectRef idx="0"/>
                        <a:fontRef idx="minor"/>
                      </wps:style>
                      <wps:txbx>
                        <w:txbxContent>
                          <w:p>
                            <w:pPr>
                              <w:overflowPunct w:val="false"/>
                              <w:bidi w:val="0"/>
                              <w:jc w:val="center"/>
                              <w:rPr/>
                            </w:pPr>
                            <w:r>
                              <w:rPr>
                                <w:kern w:val="2"/>
                                <w:sz w:val="20"/>
                                <w:szCs w:val="20"/>
                                <w:rFonts w:ascii="標楷體" w:hAnsi="標楷體" w:eastAsia="標楷體" w:cs="標楷體"/>
                                <w:color w:val="auto"/>
                                <w:lang w:val="en-US" w:eastAsia="zh-TW" w:bidi="ar-SA"/>
                              </w:rPr>
                              <w:t>期末尿液篩檢</w:t>
                            </w:r>
                          </w:p>
                          <w:p>
                            <w:pPr>
                              <w:overflowPunct w:val="false"/>
                              <w:bidi w:val="0"/>
                              <w:jc w:val="center"/>
                              <w:rPr/>
                            </w:pPr>
                            <w:r>
                              <w:rPr>
                                <w:szCs w:val="24"/>
                                <w:rFonts w:ascii="Liberation Serif" w:hAnsi="Liberation Serif" w:eastAsia="思源黑體" w:cs="Lucida Sans"/>
                                <w:lang w:bidi="hi-IN"/>
                              </w:rPr>
                            </w:r>
                          </w:p>
                        </w:txbxContent>
                      </wps:txbx>
                      <wps:bodyPr lIns="17640" rIns="17640" tIns="10800" bIns="10800">
                        <a:noAutofit/>
                      </wps:bodyPr>
                    </wps:wsp>
                  </a:graphicData>
                </a:graphic>
              </wp:anchor>
            </w:drawing>
          </mc:Choice>
          <mc:Fallback>
            <w:pict>
              <v:shape id="shape_0" fillcolor="white" stroked="t" style="position:absolute;margin-left:87.3pt;margin-top:374.75pt;width:123pt;height:15.1pt;mso-wrap-style:square;v-text-anchor:top" type="shapetype_109">
                <v:textbox>
                  <w:txbxContent>
                    <w:p>
                      <w:pPr>
                        <w:overflowPunct w:val="false"/>
                        <w:bidi w:val="0"/>
                        <w:jc w:val="center"/>
                        <w:rPr/>
                      </w:pPr>
                      <w:r>
                        <w:rPr>
                          <w:kern w:val="2"/>
                          <w:sz w:val="20"/>
                          <w:szCs w:val="20"/>
                          <w:rFonts w:ascii="標楷體" w:hAnsi="標楷體" w:eastAsia="標楷體" w:cs="標楷體"/>
                          <w:color w:val="auto"/>
                          <w:lang w:val="en-US" w:eastAsia="zh-TW" w:bidi="ar-SA"/>
                        </w:rPr>
                        <w:t>期末尿液篩檢</w:t>
                      </w:r>
                    </w:p>
                    <w:p>
                      <w:pPr>
                        <w:overflowPunct w:val="false"/>
                        <w:bidi w:val="0"/>
                        <w:jc w:val="center"/>
                        <w:rPr/>
                      </w:pPr>
                      <w:r>
                        <w:rPr>
                          <w:szCs w:val="24"/>
                          <w:rFonts w:ascii="Liberation Serif" w:hAnsi="Liberation Serif" w:eastAsia="思源黑體" w:cs="Lucida Sans"/>
                          <w:lang w:bidi="hi-IN"/>
                        </w:rPr>
                      </w:r>
                    </w:p>
                  </w:txbxContent>
                </v:textbox>
                <v:fill o:detectmouseclick="t" type="solid" color2="black"/>
                <v:stroke color="black" weight="9360" joinstyle="miter" endcap="flat"/>
                <w10:wrap type="none"/>
              </v:shape>
            </w:pict>
          </mc:Fallback>
        </mc:AlternateContent>
        <mc:AlternateContent>
          <mc:Choice Requires="wps">
            <w:drawing>
              <wp:anchor behindDoc="0" distT="4445" distB="4445" distL="119380" distR="119380" simplePos="0" locked="0" layoutInCell="0" allowOverlap="1" relativeHeight="71">
                <wp:simplePos x="0" y="0"/>
                <wp:positionH relativeFrom="column">
                  <wp:posOffset>318135</wp:posOffset>
                </wp:positionH>
                <wp:positionV relativeFrom="paragraph">
                  <wp:posOffset>1358265</wp:posOffset>
                </wp:positionV>
                <wp:extent cx="579120" cy="395605"/>
                <wp:effectExtent l="0" t="0" r="0" b="0"/>
                <wp:wrapNone/>
                <wp:docPr id="11" name=""/>
                <a:graphic xmlns:a="http://schemas.openxmlformats.org/drawingml/2006/main">
                  <a:graphicData uri="http://schemas.microsoft.com/office/word/2010/wordprocessingShape">
                    <wps:wsp>
                      <wps:cNvSpPr/>
                      <wps:spPr>
                        <a:xfrm>
                          <a:off x="0" y="0"/>
                          <a:ext cx="578520" cy="394920"/>
                        </a:xfrm>
                        <a:prstGeom prst="flowChartProcess">
                          <a:avLst/>
                        </a:prstGeom>
                        <a:solidFill>
                          <a:srgbClr val="ffffff"/>
                        </a:solidFill>
                        <a:ln w="9360">
                          <a:solidFill>
                            <a:srgbClr val="000000"/>
                          </a:solidFill>
                          <a:miter/>
                        </a:ln>
                      </wps:spPr>
                      <wps:style>
                        <a:lnRef idx="0"/>
                        <a:fillRef idx="0"/>
                        <a:effectRef idx="0"/>
                        <a:fontRef idx="minor"/>
                      </wps:style>
                      <wps:txbx>
                        <w:txbxContent>
                          <w:p>
                            <w:pPr>
                              <w:overflowPunct w:val="false"/>
                              <w:bidi w:val="0"/>
                              <w:jc w:val="center"/>
                              <w:rPr/>
                            </w:pPr>
                            <w:r>
                              <w:rPr>
                                <w:kern w:val="2"/>
                                <w:sz w:val="20"/>
                                <w:szCs w:val="20"/>
                                <w:rFonts w:ascii="標楷體" w:hAnsi="標楷體" w:eastAsia="標楷體" w:cs="標楷體"/>
                                <w:color w:val="auto"/>
                                <w:lang w:val="en-US" w:eastAsia="zh-TW" w:bidi="ar-SA"/>
                              </w:rPr>
                              <w:t>住院戒斷治療</w:t>
                            </w:r>
                          </w:p>
                        </w:txbxContent>
                      </wps:txbx>
                      <wps:bodyPr lIns="54000" rIns="54000" tIns="10800">
                        <a:noAutofit/>
                      </wps:bodyPr>
                    </wps:wsp>
                  </a:graphicData>
                </a:graphic>
              </wp:anchor>
            </w:drawing>
          </mc:Choice>
          <mc:Fallback>
            <w:pict>
              <v:shape id="shape_0" fillcolor="white" stroked="t" style="position:absolute;margin-left:25.05pt;margin-top:106.95pt;width:45.5pt;height:31.05pt;mso-wrap-style:square;v-text-anchor:top" type="shapetype_109">
                <v:textbox>
                  <w:txbxContent>
                    <w:p>
                      <w:pPr>
                        <w:overflowPunct w:val="false"/>
                        <w:bidi w:val="0"/>
                        <w:jc w:val="center"/>
                        <w:rPr/>
                      </w:pPr>
                      <w:r>
                        <w:rPr>
                          <w:kern w:val="2"/>
                          <w:sz w:val="20"/>
                          <w:szCs w:val="20"/>
                          <w:rFonts w:ascii="標楷體" w:hAnsi="標楷體" w:eastAsia="標楷體" w:cs="標楷體"/>
                          <w:color w:val="auto"/>
                          <w:lang w:val="en-US" w:eastAsia="zh-TW" w:bidi="ar-SA"/>
                        </w:rPr>
                        <w:t>住院戒斷治療</w:t>
                      </w:r>
                    </w:p>
                  </w:txbxContent>
                </v:textbox>
                <v:fill o:detectmouseclick="t" type="solid" color2="black"/>
                <v:stroke color="black" weight="9360" joinstyle="miter" endcap="flat"/>
                <w10:wrap type="none"/>
              </v:shape>
            </w:pict>
          </mc:Fallback>
        </mc:AlternateContent>
        <mc:AlternateContent>
          <mc:Choice Requires="wps">
            <w:drawing>
              <wp:anchor behindDoc="0" distT="4445" distB="4445" distL="119380" distR="119380" simplePos="0" locked="0" layoutInCell="0" allowOverlap="1" relativeHeight="72">
                <wp:simplePos x="0" y="0"/>
                <wp:positionH relativeFrom="column">
                  <wp:posOffset>260350</wp:posOffset>
                </wp:positionH>
                <wp:positionV relativeFrom="paragraph">
                  <wp:posOffset>2687955</wp:posOffset>
                </wp:positionV>
                <wp:extent cx="669290" cy="441960"/>
                <wp:effectExtent l="0" t="0" r="0" b="0"/>
                <wp:wrapNone/>
                <wp:docPr id="12" name=""/>
                <a:graphic xmlns:a="http://schemas.openxmlformats.org/drawingml/2006/main">
                  <a:graphicData uri="http://schemas.microsoft.com/office/word/2010/wordprocessingShape">
                    <wps:wsp>
                      <wps:cNvSpPr/>
                      <wps:spPr>
                        <a:xfrm>
                          <a:off x="0" y="0"/>
                          <a:ext cx="668520" cy="441360"/>
                        </a:xfrm>
                        <a:prstGeom prst="flowChartProcess">
                          <a:avLst/>
                        </a:prstGeom>
                        <a:solidFill>
                          <a:srgbClr val="ffffff"/>
                        </a:solidFill>
                        <a:ln w="9360">
                          <a:solidFill>
                            <a:srgbClr val="000000"/>
                          </a:solidFill>
                          <a:miter/>
                        </a:ln>
                      </wps:spPr>
                      <wps:style>
                        <a:lnRef idx="0"/>
                        <a:fillRef idx="0"/>
                        <a:effectRef idx="0"/>
                        <a:fontRef idx="minor"/>
                      </wps:style>
                      <wps:txbx>
                        <w:txbxContent>
                          <w:p>
                            <w:pPr>
                              <w:overflowPunct w:val="false"/>
                              <w:bidi w:val="0"/>
                              <w:jc w:val="center"/>
                              <w:rPr/>
                            </w:pPr>
                            <w:r>
                              <w:rPr>
                                <w:kern w:val="2"/>
                                <w:sz w:val="20"/>
                                <w:szCs w:val="20"/>
                                <w:rFonts w:ascii="標楷體" w:hAnsi="標楷體" w:eastAsia="標楷體" w:cs="標楷體"/>
                                <w:color w:val="auto"/>
                                <w:lang w:val="en-US" w:eastAsia="zh-TW" w:bidi="ar-SA"/>
                              </w:rPr>
                              <w:t>重複第一階段流程</w:t>
                            </w:r>
                          </w:p>
                        </w:txbxContent>
                      </wps:txbx>
                      <wps:bodyPr lIns="17640" rIns="17640" tIns="47160" bIns="10800">
                        <a:noAutofit/>
                      </wps:bodyPr>
                    </wps:wsp>
                  </a:graphicData>
                </a:graphic>
              </wp:anchor>
            </w:drawing>
          </mc:Choice>
          <mc:Fallback>
            <w:pict>
              <v:shape id="shape_0" fillcolor="white" stroked="t" style="position:absolute;margin-left:20.5pt;margin-top:211.65pt;width:52.6pt;height:34.7pt;mso-wrap-style:square;v-text-anchor:top" type="shapetype_109">
                <v:textbox>
                  <w:txbxContent>
                    <w:p>
                      <w:pPr>
                        <w:overflowPunct w:val="false"/>
                        <w:bidi w:val="0"/>
                        <w:jc w:val="center"/>
                        <w:rPr/>
                      </w:pPr>
                      <w:r>
                        <w:rPr>
                          <w:kern w:val="2"/>
                          <w:sz w:val="20"/>
                          <w:szCs w:val="20"/>
                          <w:rFonts w:ascii="標楷體" w:hAnsi="標楷體" w:eastAsia="標楷體" w:cs="標楷體"/>
                          <w:color w:val="auto"/>
                          <w:lang w:val="en-US" w:eastAsia="zh-TW" w:bidi="ar-SA"/>
                        </w:rPr>
                        <w:t>重複第一階段流程</w:t>
                      </w:r>
                    </w:p>
                  </w:txbxContent>
                </v:textbox>
                <v:fill o:detectmouseclick="t" type="solid" color2="black"/>
                <v:stroke color="black" weight="9360" joinstyle="miter" endcap="flat"/>
                <w10:wrap type="none"/>
              </v:shape>
            </w:pict>
          </mc:Fallback>
        </mc:AlternateContent>
        <mc:AlternateContent>
          <mc:Choice Requires="wps">
            <w:drawing>
              <wp:anchor behindDoc="0" distT="4445" distB="4445" distL="119380" distR="119380" simplePos="0" locked="0" layoutInCell="0" allowOverlap="1" relativeHeight="73">
                <wp:simplePos x="0" y="0"/>
                <wp:positionH relativeFrom="column">
                  <wp:posOffset>260350</wp:posOffset>
                </wp:positionH>
                <wp:positionV relativeFrom="paragraph">
                  <wp:posOffset>4053205</wp:posOffset>
                </wp:positionV>
                <wp:extent cx="694690" cy="514985"/>
                <wp:effectExtent l="0" t="0" r="0" b="0"/>
                <wp:wrapNone/>
                <wp:docPr id="13" name=""/>
                <a:graphic xmlns:a="http://schemas.openxmlformats.org/drawingml/2006/main">
                  <a:graphicData uri="http://schemas.microsoft.com/office/word/2010/wordprocessingShape">
                    <wps:wsp>
                      <wps:cNvSpPr/>
                      <wps:spPr>
                        <a:xfrm>
                          <a:off x="0" y="0"/>
                          <a:ext cx="694080" cy="514440"/>
                        </a:xfrm>
                        <a:prstGeom prst="flowChartProcess">
                          <a:avLst/>
                        </a:prstGeom>
                        <a:solidFill>
                          <a:srgbClr val="ffffff"/>
                        </a:solidFill>
                        <a:ln w="9360">
                          <a:solidFill>
                            <a:srgbClr val="000000"/>
                          </a:solidFill>
                          <a:miter/>
                        </a:ln>
                      </wps:spPr>
                      <wps:style>
                        <a:lnRef idx="0"/>
                        <a:fillRef idx="0"/>
                        <a:effectRef idx="0"/>
                        <a:fontRef idx="minor"/>
                      </wps:style>
                      <wps:txbx>
                        <w:txbxContent>
                          <w:p>
                            <w:pPr>
                              <w:overflowPunct w:val="false"/>
                              <w:bidi w:val="0"/>
                              <w:jc w:val="center"/>
                              <w:rPr/>
                            </w:pPr>
                            <w:r>
                              <w:rPr>
                                <w:kern w:val="2"/>
                                <w:sz w:val="20"/>
                                <w:szCs w:val="20"/>
                                <w:rFonts w:ascii="標楷體" w:hAnsi="標楷體" w:eastAsia="標楷體" w:cs="標楷體"/>
                                <w:color w:val="auto"/>
                                <w:lang w:val="en-US" w:eastAsia="zh-TW" w:bidi="ar-SA"/>
                              </w:rPr>
                              <w:t>重複第一</w:t>
                            </w:r>
                          </w:p>
                          <w:p>
                            <w:pPr>
                              <w:overflowPunct w:val="false"/>
                              <w:bidi w:val="0"/>
                              <w:jc w:val="center"/>
                              <w:rPr/>
                            </w:pPr>
                            <w:r>
                              <w:rPr>
                                <w:kern w:val="2"/>
                                <w:sz w:val="20"/>
                                <w:szCs w:val="20"/>
                                <w:rFonts w:ascii="標楷體" w:hAnsi="標楷體" w:eastAsia="標楷體" w:cs="標楷體"/>
                                <w:color w:val="auto"/>
                                <w:lang w:val="en-US" w:eastAsia="zh-TW" w:bidi="ar-SA"/>
                              </w:rPr>
                              <w:t>、第二階段流程</w:t>
                            </w:r>
                          </w:p>
                          <w:p>
                            <w:pPr>
                              <w:overflowPunct w:val="false"/>
                              <w:bidi w:val="0"/>
                              <w:rPr/>
                            </w:pPr>
                            <w:r>
                              <w:rPr>
                                <w:szCs w:val="24"/>
                                <w:rFonts w:ascii="Liberation Serif" w:hAnsi="Liberation Serif" w:eastAsia="思源黑體" w:cs="Lucida Sans"/>
                                <w:lang w:bidi="hi-IN"/>
                              </w:rPr>
                            </w:r>
                          </w:p>
                        </w:txbxContent>
                      </wps:txbx>
                      <wps:bodyPr lIns="17640" rIns="17640" tIns="10800">
                        <a:noAutofit/>
                      </wps:bodyPr>
                    </wps:wsp>
                  </a:graphicData>
                </a:graphic>
              </wp:anchor>
            </w:drawing>
          </mc:Choice>
          <mc:Fallback>
            <w:pict>
              <v:shape id="shape_0" fillcolor="white" stroked="t" style="position:absolute;margin-left:20.5pt;margin-top:319.15pt;width:54.6pt;height:40.45pt;mso-wrap-style:square;v-text-anchor:top" type="shapetype_109">
                <v:textbox>
                  <w:txbxContent>
                    <w:p>
                      <w:pPr>
                        <w:overflowPunct w:val="false"/>
                        <w:bidi w:val="0"/>
                        <w:jc w:val="center"/>
                        <w:rPr/>
                      </w:pPr>
                      <w:r>
                        <w:rPr>
                          <w:kern w:val="2"/>
                          <w:sz w:val="20"/>
                          <w:szCs w:val="20"/>
                          <w:rFonts w:ascii="標楷體" w:hAnsi="標楷體" w:eastAsia="標楷體" w:cs="標楷體"/>
                          <w:color w:val="auto"/>
                          <w:lang w:val="en-US" w:eastAsia="zh-TW" w:bidi="ar-SA"/>
                        </w:rPr>
                        <w:t>重複第一</w:t>
                      </w:r>
                    </w:p>
                    <w:p>
                      <w:pPr>
                        <w:overflowPunct w:val="false"/>
                        <w:bidi w:val="0"/>
                        <w:jc w:val="center"/>
                        <w:rPr/>
                      </w:pPr>
                      <w:r>
                        <w:rPr>
                          <w:kern w:val="2"/>
                          <w:sz w:val="20"/>
                          <w:szCs w:val="20"/>
                          <w:rFonts w:ascii="標楷體" w:hAnsi="標楷體" w:eastAsia="標楷體" w:cs="標楷體"/>
                          <w:color w:val="auto"/>
                          <w:lang w:val="en-US" w:eastAsia="zh-TW" w:bidi="ar-SA"/>
                        </w:rPr>
                        <w:t>、第二階段流程</w:t>
                      </w:r>
                    </w:p>
                    <w:p>
                      <w:pPr>
                        <w:overflowPunct w:val="false"/>
                        <w:bidi w:val="0"/>
                        <w:rPr/>
                      </w:pPr>
                      <w:r>
                        <w:rPr>
                          <w:szCs w:val="24"/>
                          <w:rFonts w:ascii="Liberation Serif" w:hAnsi="Liberation Serif" w:eastAsia="思源黑體" w:cs="Lucida Sans"/>
                          <w:lang w:bidi="hi-IN"/>
                        </w:rPr>
                      </w:r>
                    </w:p>
                  </w:txbxContent>
                </v:textbox>
                <v:fill o:detectmouseclick="t" type="solid" color2="black"/>
                <v:stroke color="black" weight="9360" joinstyle="miter" endcap="flat"/>
                <w10:wrap type="none"/>
              </v:shape>
            </w:pict>
          </mc:Fallback>
        </mc:AlternateContent>
        <mc:AlternateContent>
          <mc:Choice Requires="wps">
            <w:drawing>
              <wp:anchor behindDoc="0" distT="4445" distB="4445" distL="119380" distR="119380" simplePos="0" locked="0" layoutInCell="0" allowOverlap="1" relativeHeight="74">
                <wp:simplePos x="0" y="0"/>
                <wp:positionH relativeFrom="column">
                  <wp:posOffset>954405</wp:posOffset>
                </wp:positionH>
                <wp:positionV relativeFrom="paragraph">
                  <wp:posOffset>4219575</wp:posOffset>
                </wp:positionV>
                <wp:extent cx="387350" cy="1905"/>
                <wp:effectExtent l="0" t="0" r="0" b="0"/>
                <wp:wrapNone/>
                <wp:docPr id="14" name=""/>
                <a:graphic xmlns:a="http://schemas.openxmlformats.org/drawingml/2006/main">
                  <a:graphicData uri="http://schemas.microsoft.com/office/word/2010/wordprocessingShape">
                    <wps:wsp>
                      <wps:cNvCnPr/>
                      <wps:spPr>
                        <a:xfrm flipH="1">
                          <a:off x="0" y="0"/>
                          <a:ext cx="387000" cy="1800"/>
                        </a:xfrm>
                        <a:prstGeom prst="straightConnector1">
                          <a:avLst/>
                        </a:prstGeom>
                        <a:ln w="9360">
                          <a:solidFill>
                            <a:srgbClr val="000000"/>
                          </a:solidFill>
                          <a:miter/>
                          <a:tailEnd len="med" type="triangle" w="med"/>
                        </a:ln>
                      </wps:spPr>
                      <wps:bodyPr/>
                    </wps:wsp>
                  </a:graphicData>
                </a:graphic>
              </wp:anchor>
            </w:drawing>
          </mc:Choice>
          <mc:Fallback>
            <w:pict>
              <v:shapetype id="shapetype_32" coordsize="21600,21600" o:spt="32" path="m,l21600,21600nfe">
                <v:stroke joinstyle="miter"/>
                <v:path gradientshapeok="t" o:connecttype="rect" textboxrect="0,0,21600,21600"/>
              </v:shapetype>
              <v:shape id="shape_0" stroked="t" style="position:absolute;margin-left:75.15pt;margin-top:332.25pt;width:30.35pt;height:0.1pt;flip:x" type="shapetype_32">
                <v:stroke color="black" weight="9360" endarrow="block" endarrowwidth="medium" endarrowlength="medium" joinstyle="miter" endcap="flat"/>
                <v:fill o:detectmouseclick="t" on="false"/>
                <w10:wrap type="none"/>
              </v:shape>
            </w:pict>
          </mc:Fallback>
        </mc:AlternateContent>
        <mc:AlternateContent>
          <mc:Choice Requires="wps">
            <w:drawing>
              <wp:anchor behindDoc="0" distT="4445" distB="4445" distL="119380" distR="119380" simplePos="0" locked="0" layoutInCell="0" allowOverlap="1" relativeHeight="77">
                <wp:simplePos x="0" y="0"/>
                <wp:positionH relativeFrom="column">
                  <wp:posOffset>1282700</wp:posOffset>
                </wp:positionH>
                <wp:positionV relativeFrom="paragraph">
                  <wp:posOffset>1236345</wp:posOffset>
                </wp:positionV>
                <wp:extent cx="1048385" cy="649605"/>
                <wp:effectExtent l="0" t="0" r="0" b="0"/>
                <wp:wrapNone/>
                <wp:docPr id="15" name=""/>
                <a:graphic xmlns:a="http://schemas.openxmlformats.org/drawingml/2006/main">
                  <a:graphicData uri="http://schemas.microsoft.com/office/word/2010/wordprocessingShape">
                    <wps:wsp>
                      <wps:cNvSpPr/>
                      <wps:spPr>
                        <a:xfrm>
                          <a:off x="0" y="0"/>
                          <a:ext cx="1047600" cy="649080"/>
                        </a:xfrm>
                        <a:prstGeom prst="flowChartDecision">
                          <a:avLst/>
                        </a:prstGeom>
                        <a:solidFill>
                          <a:srgbClr val="ffffff"/>
                        </a:solidFill>
                        <a:ln w="9360">
                          <a:solidFill>
                            <a:srgbClr val="000000"/>
                          </a:solidFill>
                          <a:miter/>
                        </a:ln>
                      </wps:spPr>
                      <wps:style>
                        <a:lnRef idx="0"/>
                        <a:fillRef idx="0"/>
                        <a:effectRef idx="0"/>
                        <a:fontRef idx="minor"/>
                      </wps:style>
                      <wps:txbx>
                        <w:txbxContent>
                          <w:p>
                            <w:pPr>
                              <w:overflowPunct w:val="false"/>
                              <w:bidi w:val="0"/>
                              <w:jc w:val="center"/>
                              <w:rPr/>
                            </w:pPr>
                            <w:r>
                              <w:rPr>
                                <w:kern w:val="2"/>
                                <w:sz w:val="20"/>
                                <w:szCs w:val="20"/>
                                <w:rFonts w:ascii="標楷體" w:hAnsi="標楷體" w:eastAsia="標楷體" w:cs="標楷體"/>
                                <w:color w:val="auto"/>
                                <w:lang w:val="en-US" w:eastAsia="zh-TW" w:bidi="ar-SA"/>
                              </w:rPr>
                              <w:t>第一階段評估</w:t>
                            </w:r>
                          </w:p>
                        </w:txbxContent>
                      </wps:txbx>
                      <wps:bodyPr lIns="17640" rIns="17640" tIns="10800">
                        <a:noAutofit/>
                      </wps:bodyPr>
                    </wps:wsp>
                  </a:graphicData>
                </a:graphic>
              </wp:anchor>
            </w:drawing>
          </mc:Choice>
          <mc:Fallback>
            <w:pict>
              <v:shapetype id="shapetype_110" coordsize="21600,21600" o:spt="110" path="m,10800l10800,l21600,10800l10800,21600xe">
                <v:stroke joinstyle="miter"/>
                <v:formulas>
                  <v:f eqn="prod width 3 4"/>
                  <v:f eqn="prod height 3 4"/>
                </v:formulas>
                <v:path gradientshapeok="t" o:connecttype="rect" textboxrect="5400,5400,@0,@1"/>
              </v:shapetype>
              <v:shape id="shape_0" fillcolor="white" stroked="t" style="position:absolute;margin-left:101pt;margin-top:97.35pt;width:82.45pt;height:51.05pt;mso-wrap-style:square;v-text-anchor:top" type="shapetype_110">
                <v:textbox>
                  <w:txbxContent>
                    <w:p>
                      <w:pPr>
                        <w:overflowPunct w:val="false"/>
                        <w:bidi w:val="0"/>
                        <w:jc w:val="center"/>
                        <w:rPr/>
                      </w:pPr>
                      <w:r>
                        <w:rPr>
                          <w:kern w:val="2"/>
                          <w:sz w:val="20"/>
                          <w:szCs w:val="20"/>
                          <w:rFonts w:ascii="標楷體" w:hAnsi="標楷體" w:eastAsia="標楷體" w:cs="標楷體"/>
                          <w:color w:val="auto"/>
                          <w:lang w:val="en-US" w:eastAsia="zh-TW" w:bidi="ar-SA"/>
                        </w:rPr>
                        <w:t>第一階段評估</w:t>
                      </w:r>
                    </w:p>
                  </w:txbxContent>
                </v:textbox>
                <v:fill o:detectmouseclick="t" type="solid" color2="black"/>
                <v:stroke color="black" weight="9360" joinstyle="miter" endcap="flat"/>
                <w10:wrap type="none"/>
              </v:shape>
            </w:pict>
          </mc:Fallback>
        </mc:AlternateContent>
        <mc:AlternateContent>
          <mc:Choice Requires="wps">
            <w:drawing>
              <wp:anchor behindDoc="0" distT="4445" distB="4445" distL="119380" distR="119380" simplePos="0" locked="0" layoutInCell="0" allowOverlap="1" relativeHeight="78">
                <wp:simplePos x="0" y="0"/>
                <wp:positionH relativeFrom="column">
                  <wp:posOffset>896620</wp:posOffset>
                </wp:positionH>
                <wp:positionV relativeFrom="paragraph">
                  <wp:posOffset>1560830</wp:posOffset>
                </wp:positionV>
                <wp:extent cx="387350" cy="1905"/>
                <wp:effectExtent l="0" t="0" r="0" b="0"/>
                <wp:wrapNone/>
                <wp:docPr id="16" name=""/>
                <a:graphic xmlns:a="http://schemas.openxmlformats.org/drawingml/2006/main">
                  <a:graphicData uri="http://schemas.microsoft.com/office/word/2010/wordprocessingShape">
                    <wps:wsp>
                      <wps:cNvCnPr/>
                      <wps:spPr>
                        <a:xfrm flipH="1">
                          <a:off x="0" y="0"/>
                          <a:ext cx="387000" cy="1440"/>
                        </a:xfrm>
                        <a:prstGeom prst="straightConnector1">
                          <a:avLst/>
                        </a:prstGeom>
                        <a:ln w="9360">
                          <a:solidFill>
                            <a:srgbClr val="000000"/>
                          </a:solidFill>
                          <a:miter/>
                          <a:tailEnd len="med" type="triangle" w="med"/>
                        </a:ln>
                      </wps:spPr>
                      <wps:bodyPr/>
                    </wps:wsp>
                  </a:graphicData>
                </a:graphic>
              </wp:anchor>
            </w:drawing>
          </mc:Choice>
          <mc:Fallback>
            <w:pict>
              <v:shape id="shape_0" stroked="t" style="position:absolute;margin-left:70.6pt;margin-top:122.9pt;width:30.35pt;height:0.05pt;flip:x" type="shapetype_32">
                <v:stroke color="black" weight="9360" endarrow="block" endarrowwidth="medium" endarrowlength="medium" joinstyle="miter" endcap="flat"/>
                <v:fill o:detectmouseclick="t" on="false"/>
                <w10:wrap type="none"/>
              </v:shape>
            </w:pict>
          </mc:Fallback>
        </mc:AlternateContent>
        <mc:AlternateContent>
          <mc:Choice Requires="wps">
            <w:drawing>
              <wp:anchor behindDoc="0" distT="4445" distB="4445" distL="119380" distR="119380" simplePos="0" locked="0" layoutInCell="0" allowOverlap="1" relativeHeight="79">
                <wp:simplePos x="0" y="0"/>
                <wp:positionH relativeFrom="column">
                  <wp:posOffset>1282700</wp:posOffset>
                </wp:positionH>
                <wp:positionV relativeFrom="paragraph">
                  <wp:posOffset>2571115</wp:posOffset>
                </wp:positionV>
                <wp:extent cx="1048385" cy="649605"/>
                <wp:effectExtent l="0" t="0" r="0" b="0"/>
                <wp:wrapNone/>
                <wp:docPr id="17" name=""/>
                <a:graphic xmlns:a="http://schemas.openxmlformats.org/drawingml/2006/main">
                  <a:graphicData uri="http://schemas.microsoft.com/office/word/2010/wordprocessingShape">
                    <wps:wsp>
                      <wps:cNvSpPr/>
                      <wps:spPr>
                        <a:xfrm>
                          <a:off x="0" y="0"/>
                          <a:ext cx="1047600" cy="649080"/>
                        </a:xfrm>
                        <a:prstGeom prst="flowChartDecision">
                          <a:avLst/>
                        </a:prstGeom>
                        <a:solidFill>
                          <a:srgbClr val="ffffff"/>
                        </a:solidFill>
                        <a:ln w="9360">
                          <a:solidFill>
                            <a:srgbClr val="000000"/>
                          </a:solidFill>
                          <a:miter/>
                        </a:ln>
                      </wps:spPr>
                      <wps:style>
                        <a:lnRef idx="0"/>
                        <a:fillRef idx="0"/>
                        <a:effectRef idx="0"/>
                        <a:fontRef idx="minor"/>
                      </wps:style>
                      <wps:txbx>
                        <w:txbxContent>
                          <w:p>
                            <w:pPr>
                              <w:overflowPunct w:val="false"/>
                              <w:bidi w:val="0"/>
                              <w:jc w:val="center"/>
                              <w:rPr/>
                            </w:pPr>
                            <w:r>
                              <w:rPr>
                                <w:kern w:val="2"/>
                                <w:sz w:val="20"/>
                                <w:szCs w:val="20"/>
                                <w:rFonts w:ascii="標楷體" w:hAnsi="標楷體" w:eastAsia="標楷體" w:cs="標楷體"/>
                                <w:color w:val="auto"/>
                                <w:lang w:val="en-US" w:eastAsia="zh-TW" w:bidi="ar-SA"/>
                              </w:rPr>
                              <w:t>第二階段評估</w:t>
                            </w:r>
                          </w:p>
                        </w:txbxContent>
                      </wps:txbx>
                      <wps:bodyPr tIns="10800">
                        <a:noAutofit/>
                      </wps:bodyPr>
                    </wps:wsp>
                  </a:graphicData>
                </a:graphic>
              </wp:anchor>
            </w:drawing>
          </mc:Choice>
          <mc:Fallback>
            <w:pict>
              <v:shape id="shape_0" fillcolor="white" stroked="t" style="position:absolute;margin-left:101pt;margin-top:202.45pt;width:82.45pt;height:51.05pt;mso-wrap-style:square;v-text-anchor:top" type="shapetype_110">
                <v:textbox>
                  <w:txbxContent>
                    <w:p>
                      <w:pPr>
                        <w:overflowPunct w:val="false"/>
                        <w:bidi w:val="0"/>
                        <w:jc w:val="center"/>
                        <w:rPr/>
                      </w:pPr>
                      <w:r>
                        <w:rPr>
                          <w:kern w:val="2"/>
                          <w:sz w:val="20"/>
                          <w:szCs w:val="20"/>
                          <w:rFonts w:ascii="標楷體" w:hAnsi="標楷體" w:eastAsia="標楷體" w:cs="標楷體"/>
                          <w:color w:val="auto"/>
                          <w:lang w:val="en-US" w:eastAsia="zh-TW" w:bidi="ar-SA"/>
                        </w:rPr>
                        <w:t>第二階段評估</w:t>
                      </w:r>
                    </w:p>
                  </w:txbxContent>
                </v:textbox>
                <v:fill o:detectmouseclick="t" type="solid" color2="black"/>
                <v:stroke color="black" weight="9360" joinstyle="miter" endcap="flat"/>
                <w10:wrap type="none"/>
              </v:shape>
            </w:pict>
          </mc:Fallback>
        </mc:AlternateContent>
        <mc:AlternateContent>
          <mc:Choice Requires="wps">
            <w:drawing>
              <wp:anchor behindDoc="0" distT="4445" distB="4445" distL="119380" distR="119380" simplePos="0" locked="0" layoutInCell="0" allowOverlap="1" relativeHeight="80">
                <wp:simplePos x="0" y="0"/>
                <wp:positionH relativeFrom="column">
                  <wp:posOffset>929005</wp:posOffset>
                </wp:positionH>
                <wp:positionV relativeFrom="paragraph">
                  <wp:posOffset>2895600</wp:posOffset>
                </wp:positionV>
                <wp:extent cx="386715" cy="1905"/>
                <wp:effectExtent l="0" t="0" r="0" b="0"/>
                <wp:wrapNone/>
                <wp:docPr id="18" name=""/>
                <a:graphic xmlns:a="http://schemas.openxmlformats.org/drawingml/2006/main">
                  <a:graphicData uri="http://schemas.microsoft.com/office/word/2010/wordprocessingShape">
                    <wps:wsp>
                      <wps:cNvCnPr/>
                      <wps:spPr>
                        <a:xfrm flipH="1">
                          <a:off x="0" y="0"/>
                          <a:ext cx="386280" cy="1800"/>
                        </a:xfrm>
                        <a:prstGeom prst="straightConnector1">
                          <a:avLst/>
                        </a:prstGeom>
                        <a:ln w="9360">
                          <a:solidFill>
                            <a:srgbClr val="000000"/>
                          </a:solidFill>
                          <a:miter/>
                          <a:tailEnd len="med" type="triangle" w="med"/>
                        </a:ln>
                      </wps:spPr>
                      <wps:bodyPr/>
                    </wps:wsp>
                  </a:graphicData>
                </a:graphic>
              </wp:anchor>
            </w:drawing>
          </mc:Choice>
          <mc:Fallback>
            <w:pict>
              <v:shape id="shape_0" stroked="t" style="position:absolute;margin-left:73.15pt;margin-top:228pt;width:30.3pt;height:0.1pt;flip:x" type="shapetype_32">
                <v:stroke color="black" weight="9360" endarrow="block" endarrowwidth="medium" endarrowlength="medium" joinstyle="miter" endcap="flat"/>
                <v:fill o:detectmouseclick="t" on="false"/>
                <w10:wrap type="none"/>
              </v:shape>
            </w:pict>
          </mc:Fallback>
        </mc:AlternateContent>
        <mc:AlternateContent>
          <mc:Choice Requires="wps">
            <w:drawing>
              <wp:anchor behindDoc="0" distT="4445" distB="4445" distL="119380" distR="119380" simplePos="0" locked="0" layoutInCell="0" allowOverlap="1" relativeHeight="81">
                <wp:simplePos x="0" y="0"/>
                <wp:positionH relativeFrom="column">
                  <wp:posOffset>1340485</wp:posOffset>
                </wp:positionH>
                <wp:positionV relativeFrom="paragraph">
                  <wp:posOffset>3902710</wp:posOffset>
                </wp:positionV>
                <wp:extent cx="1048385" cy="649605"/>
                <wp:effectExtent l="0" t="0" r="0" b="0"/>
                <wp:wrapNone/>
                <wp:docPr id="19" name=""/>
                <a:graphic xmlns:a="http://schemas.openxmlformats.org/drawingml/2006/main">
                  <a:graphicData uri="http://schemas.microsoft.com/office/word/2010/wordprocessingShape">
                    <wps:wsp>
                      <wps:cNvSpPr/>
                      <wps:spPr>
                        <a:xfrm>
                          <a:off x="0" y="0"/>
                          <a:ext cx="1047600" cy="649080"/>
                        </a:xfrm>
                        <a:prstGeom prst="flowChartDecision">
                          <a:avLst/>
                        </a:prstGeom>
                        <a:solidFill>
                          <a:srgbClr val="ffffff"/>
                        </a:solidFill>
                        <a:ln w="9360">
                          <a:solidFill>
                            <a:srgbClr val="000000"/>
                          </a:solidFill>
                          <a:miter/>
                        </a:ln>
                      </wps:spPr>
                      <wps:style>
                        <a:lnRef idx="0"/>
                        <a:fillRef idx="0"/>
                        <a:effectRef idx="0"/>
                        <a:fontRef idx="minor"/>
                      </wps:style>
                      <wps:txbx>
                        <w:txbxContent>
                          <w:p>
                            <w:pPr>
                              <w:overflowPunct w:val="false"/>
                              <w:bidi w:val="0"/>
                              <w:jc w:val="center"/>
                              <w:rPr/>
                            </w:pPr>
                            <w:r>
                              <w:rPr>
                                <w:kern w:val="2"/>
                                <w:sz w:val="20"/>
                                <w:szCs w:val="20"/>
                                <w:rFonts w:ascii="標楷體" w:hAnsi="標楷體" w:eastAsia="標楷體" w:cs="標楷體"/>
                                <w:color w:val="auto"/>
                                <w:lang w:val="en-US" w:eastAsia="zh-TW" w:bidi="ar-SA"/>
                              </w:rPr>
                              <w:t>第三階段評估</w:t>
                            </w:r>
                          </w:p>
                        </w:txbxContent>
                      </wps:txbx>
                      <wps:bodyPr lIns="17640" rIns="17640" tIns="10800">
                        <a:noAutofit/>
                      </wps:bodyPr>
                    </wps:wsp>
                  </a:graphicData>
                </a:graphic>
              </wp:anchor>
            </w:drawing>
          </mc:Choice>
          <mc:Fallback>
            <w:pict>
              <v:shape id="shape_0" fillcolor="white" stroked="t" style="position:absolute;margin-left:105.55pt;margin-top:307.3pt;width:82.45pt;height:51.05pt;mso-wrap-style:square;v-text-anchor:top" type="shapetype_110">
                <v:textbox>
                  <w:txbxContent>
                    <w:p>
                      <w:pPr>
                        <w:overflowPunct w:val="false"/>
                        <w:bidi w:val="0"/>
                        <w:jc w:val="center"/>
                        <w:rPr/>
                      </w:pPr>
                      <w:r>
                        <w:rPr>
                          <w:kern w:val="2"/>
                          <w:sz w:val="20"/>
                          <w:szCs w:val="20"/>
                          <w:rFonts w:ascii="標楷體" w:hAnsi="標楷體" w:eastAsia="標楷體" w:cs="標楷體"/>
                          <w:color w:val="auto"/>
                          <w:lang w:val="en-US" w:eastAsia="zh-TW" w:bidi="ar-SA"/>
                        </w:rPr>
                        <w:t>第三階段評估</w:t>
                      </w:r>
                    </w:p>
                  </w:txbxContent>
                </v:textbox>
                <v:fill o:detectmouseclick="t" type="solid" color2="black"/>
                <v:stroke color="black" weight="9360" joinstyle="miter" endcap="flat"/>
                <w10:wrap type="none"/>
              </v:shape>
            </w:pict>
          </mc:Fallback>
        </mc:AlternateContent>
        <mc:AlternateContent>
          <mc:Choice Requires="wps">
            <w:drawing>
              <wp:anchor behindDoc="0" distT="4445" distB="4445" distL="119380" distR="119380" simplePos="0" locked="0" layoutInCell="0" allowOverlap="1" relativeHeight="82">
                <wp:simplePos x="0" y="0"/>
                <wp:positionH relativeFrom="column">
                  <wp:posOffset>1815465</wp:posOffset>
                </wp:positionH>
                <wp:positionV relativeFrom="paragraph">
                  <wp:posOffset>112395</wp:posOffset>
                </wp:positionV>
                <wp:extent cx="1905" cy="229870"/>
                <wp:effectExtent l="0" t="0" r="0" b="0"/>
                <wp:wrapNone/>
                <wp:docPr id="20" name=""/>
                <a:graphic xmlns:a="http://schemas.openxmlformats.org/drawingml/2006/main">
                  <a:graphicData uri="http://schemas.microsoft.com/office/word/2010/wordprocessingShape">
                    <wps:wsp>
                      <wps:cNvCnPr/>
                      <wps:spPr>
                        <a:xfrm>
                          <a:off x="0" y="0"/>
                          <a:ext cx="1440" cy="229680"/>
                        </a:xfrm>
                        <a:prstGeom prst="straightConnector1">
                          <a:avLst/>
                        </a:prstGeom>
                        <a:ln w="9360">
                          <a:solidFill>
                            <a:srgbClr val="000000"/>
                          </a:solidFill>
                          <a:miter/>
                          <a:tailEnd len="med" type="triangle" w="med"/>
                        </a:ln>
                      </wps:spPr>
                      <wps:bodyPr/>
                    </wps:wsp>
                  </a:graphicData>
                </a:graphic>
              </wp:anchor>
            </w:drawing>
          </mc:Choice>
          <mc:Fallback>
            <w:pict>
              <v:shape id="shape_0" stroked="t" style="position:absolute;margin-left:142.95pt;margin-top:8.85pt;width:0.05pt;height:18.05pt" type="shapetype_32">
                <v:stroke color="black" weight="9360" endarrow="block" endarrowwidth="medium" endarrowlength="medium" joinstyle="miter" endcap="flat"/>
                <v:fill o:detectmouseclick="t" on="false"/>
                <w10:wrap type="none"/>
              </v:shape>
            </w:pict>
          </mc:Fallback>
        </mc:AlternateContent>
        <mc:AlternateContent>
          <mc:Choice Requires="wps">
            <w:drawing>
              <wp:anchor behindDoc="0" distT="4445" distB="4445" distL="119380" distR="119380" simplePos="0" locked="0" layoutInCell="0" allowOverlap="1" relativeHeight="83">
                <wp:simplePos x="0" y="0"/>
                <wp:positionH relativeFrom="column">
                  <wp:posOffset>1815465</wp:posOffset>
                </wp:positionH>
                <wp:positionV relativeFrom="paragraph">
                  <wp:posOffset>594995</wp:posOffset>
                </wp:positionV>
                <wp:extent cx="1905" cy="229870"/>
                <wp:effectExtent l="0" t="0" r="0" b="0"/>
                <wp:wrapNone/>
                <wp:docPr id="21" name=""/>
                <a:graphic xmlns:a="http://schemas.openxmlformats.org/drawingml/2006/main">
                  <a:graphicData uri="http://schemas.microsoft.com/office/word/2010/wordprocessingShape">
                    <wps:wsp>
                      <wps:cNvCnPr/>
                      <wps:spPr>
                        <a:xfrm>
                          <a:off x="0" y="0"/>
                          <a:ext cx="1440" cy="229680"/>
                        </a:xfrm>
                        <a:prstGeom prst="straightConnector1">
                          <a:avLst/>
                        </a:prstGeom>
                        <a:ln w="9360">
                          <a:solidFill>
                            <a:srgbClr val="000000"/>
                          </a:solidFill>
                          <a:miter/>
                          <a:tailEnd len="med" type="triangle" w="med"/>
                        </a:ln>
                      </wps:spPr>
                      <wps:bodyPr/>
                    </wps:wsp>
                  </a:graphicData>
                </a:graphic>
              </wp:anchor>
            </w:drawing>
          </mc:Choice>
          <mc:Fallback>
            <w:pict>
              <v:shape id="shape_0" stroked="t" style="position:absolute;margin-left:142.95pt;margin-top:46.85pt;width:0.05pt;height:18.05pt" type="shapetype_32">
                <v:stroke color="black" weight="9360" endarrow="block" endarrowwidth="medium" endarrowlength="medium" joinstyle="miter" endcap="flat"/>
                <v:fill o:detectmouseclick="t" on="false"/>
                <w10:wrap type="none"/>
              </v:shape>
            </w:pict>
          </mc:Fallback>
        </mc:AlternateContent>
        <mc:AlternateContent>
          <mc:Choice Requires="wps">
            <w:drawing>
              <wp:anchor behindDoc="0" distT="4445" distB="4445" distL="119380" distR="119380" simplePos="0" locked="0" layoutInCell="0" allowOverlap="1" relativeHeight="84">
                <wp:simplePos x="0" y="0"/>
                <wp:positionH relativeFrom="column">
                  <wp:posOffset>1816100</wp:posOffset>
                </wp:positionH>
                <wp:positionV relativeFrom="paragraph">
                  <wp:posOffset>1042035</wp:posOffset>
                </wp:positionV>
                <wp:extent cx="1905" cy="195580"/>
                <wp:effectExtent l="0" t="0" r="0" b="0"/>
                <wp:wrapNone/>
                <wp:docPr id="22" name=""/>
                <a:graphic xmlns:a="http://schemas.openxmlformats.org/drawingml/2006/main">
                  <a:graphicData uri="http://schemas.microsoft.com/office/word/2010/wordprocessingShape">
                    <wps:wsp>
                      <wps:cNvCnPr/>
                      <wps:spPr>
                        <a:xfrm>
                          <a:off x="0" y="0"/>
                          <a:ext cx="1440" cy="195120"/>
                        </a:xfrm>
                        <a:prstGeom prst="straightConnector1">
                          <a:avLst/>
                        </a:prstGeom>
                        <a:ln w="9360">
                          <a:solidFill>
                            <a:srgbClr val="000000"/>
                          </a:solidFill>
                          <a:miter/>
                          <a:tailEnd len="med" type="triangle" w="med"/>
                        </a:ln>
                      </wps:spPr>
                      <wps:bodyPr/>
                    </wps:wsp>
                  </a:graphicData>
                </a:graphic>
              </wp:anchor>
            </w:drawing>
          </mc:Choice>
          <mc:Fallback>
            <w:pict>
              <v:shape id="shape_0" stroked="t" style="position:absolute;margin-left:143pt;margin-top:82.05pt;width:0.05pt;height:15.3pt" type="shapetype_32">
                <v:stroke color="black" weight="9360" endarrow="block" endarrowwidth="medium" endarrowlength="medium" joinstyle="miter" endcap="flat"/>
                <v:fill o:detectmouseclick="t" on="false"/>
                <w10:wrap type="none"/>
              </v:shape>
            </w:pict>
          </mc:Fallback>
        </mc:AlternateContent>
        <mc:AlternateContent>
          <mc:Choice Requires="wps">
            <w:drawing>
              <wp:anchor behindDoc="0" distT="4445" distB="4445" distL="119380" distR="119380" simplePos="0" locked="0" layoutInCell="0" allowOverlap="1" relativeHeight="85">
                <wp:simplePos x="0" y="0"/>
                <wp:positionH relativeFrom="column">
                  <wp:posOffset>1815465</wp:posOffset>
                </wp:positionH>
                <wp:positionV relativeFrom="paragraph">
                  <wp:posOffset>1924685</wp:posOffset>
                </wp:positionV>
                <wp:extent cx="1905" cy="195580"/>
                <wp:effectExtent l="0" t="0" r="0" b="0"/>
                <wp:wrapNone/>
                <wp:docPr id="23" name=""/>
                <a:graphic xmlns:a="http://schemas.openxmlformats.org/drawingml/2006/main">
                  <a:graphicData uri="http://schemas.microsoft.com/office/word/2010/wordprocessingShape">
                    <wps:wsp>
                      <wps:cNvCnPr/>
                      <wps:spPr>
                        <a:xfrm>
                          <a:off x="0" y="0"/>
                          <a:ext cx="1440" cy="195480"/>
                        </a:xfrm>
                        <a:prstGeom prst="straightConnector1">
                          <a:avLst/>
                        </a:prstGeom>
                        <a:ln w="9360">
                          <a:solidFill>
                            <a:srgbClr val="000000"/>
                          </a:solidFill>
                          <a:miter/>
                          <a:tailEnd len="med" type="triangle" w="med"/>
                        </a:ln>
                      </wps:spPr>
                      <wps:bodyPr/>
                    </wps:wsp>
                  </a:graphicData>
                </a:graphic>
              </wp:anchor>
            </w:drawing>
          </mc:Choice>
          <mc:Fallback>
            <w:pict>
              <v:shape id="shape_0" stroked="t" style="position:absolute;margin-left:142.95pt;margin-top:151.55pt;width:0.05pt;height:15.35pt" type="shapetype_32">
                <v:stroke color="black" weight="9360" endarrow="block" endarrowwidth="medium" endarrowlength="medium" joinstyle="miter" endcap="flat"/>
                <v:fill o:detectmouseclick="t" on="false"/>
                <w10:wrap type="none"/>
              </v:shape>
            </w:pict>
          </mc:Fallback>
        </mc:AlternateContent>
        <mc:AlternateContent>
          <mc:Choice Requires="wps">
            <w:drawing>
              <wp:anchor behindDoc="0" distT="4445" distB="4445" distL="119380" distR="119380" simplePos="0" locked="0" layoutInCell="0" allowOverlap="1" relativeHeight="86">
                <wp:simplePos x="0" y="0"/>
                <wp:positionH relativeFrom="column">
                  <wp:posOffset>1818005</wp:posOffset>
                </wp:positionH>
                <wp:positionV relativeFrom="paragraph">
                  <wp:posOffset>2377440</wp:posOffset>
                </wp:positionV>
                <wp:extent cx="1905" cy="194945"/>
                <wp:effectExtent l="0" t="0" r="0" b="0"/>
                <wp:wrapNone/>
                <wp:docPr id="24" name=""/>
                <a:graphic xmlns:a="http://schemas.openxmlformats.org/drawingml/2006/main">
                  <a:graphicData uri="http://schemas.microsoft.com/office/word/2010/wordprocessingShape">
                    <wps:wsp>
                      <wps:cNvCnPr/>
                      <wps:spPr>
                        <a:xfrm>
                          <a:off x="0" y="0"/>
                          <a:ext cx="1800" cy="194760"/>
                        </a:xfrm>
                        <a:prstGeom prst="straightConnector1">
                          <a:avLst/>
                        </a:prstGeom>
                        <a:ln w="9360">
                          <a:solidFill>
                            <a:srgbClr val="000000"/>
                          </a:solidFill>
                          <a:miter/>
                          <a:tailEnd len="med" type="triangle" w="med"/>
                        </a:ln>
                      </wps:spPr>
                      <wps:bodyPr/>
                    </wps:wsp>
                  </a:graphicData>
                </a:graphic>
              </wp:anchor>
            </w:drawing>
          </mc:Choice>
          <mc:Fallback>
            <w:pict>
              <v:shape id="shape_0" stroked="t" style="position:absolute;margin-left:143.15pt;margin-top:187.2pt;width:0.1pt;height:15.3pt" type="shapetype_32">
                <v:stroke color="black" weight="9360" endarrow="block" endarrowwidth="medium" endarrowlength="medium" joinstyle="miter" endcap="flat"/>
                <v:fill o:detectmouseclick="t" on="false"/>
                <w10:wrap type="none"/>
              </v:shape>
            </w:pict>
          </mc:Fallback>
        </mc:AlternateContent>
        <mc:AlternateContent>
          <mc:Choice Requires="wps">
            <w:drawing>
              <wp:anchor behindDoc="0" distT="4445" distB="4445" distL="119380" distR="119380" simplePos="0" locked="0" layoutInCell="0" allowOverlap="1" relativeHeight="87">
                <wp:simplePos x="0" y="0"/>
                <wp:positionH relativeFrom="column">
                  <wp:posOffset>1818005</wp:posOffset>
                </wp:positionH>
                <wp:positionV relativeFrom="paragraph">
                  <wp:posOffset>3246755</wp:posOffset>
                </wp:positionV>
                <wp:extent cx="1905" cy="226060"/>
                <wp:effectExtent l="0" t="0" r="0" b="0"/>
                <wp:wrapNone/>
                <wp:docPr id="25" name=""/>
                <a:graphic xmlns:a="http://schemas.openxmlformats.org/drawingml/2006/main">
                  <a:graphicData uri="http://schemas.microsoft.com/office/word/2010/wordprocessingShape">
                    <wps:wsp>
                      <wps:cNvCnPr/>
                      <wps:spPr>
                        <a:xfrm>
                          <a:off x="0" y="0"/>
                          <a:ext cx="1800" cy="225720"/>
                        </a:xfrm>
                        <a:prstGeom prst="straightConnector1">
                          <a:avLst/>
                        </a:prstGeom>
                        <a:ln w="9360">
                          <a:solidFill>
                            <a:srgbClr val="000000"/>
                          </a:solidFill>
                          <a:miter/>
                          <a:tailEnd len="med" type="triangle" w="med"/>
                        </a:ln>
                      </wps:spPr>
                      <wps:bodyPr/>
                    </wps:wsp>
                  </a:graphicData>
                </a:graphic>
              </wp:anchor>
            </w:drawing>
          </mc:Choice>
          <mc:Fallback>
            <w:pict>
              <v:shape id="shape_0" stroked="t" style="position:absolute;margin-left:143.15pt;margin-top:255.65pt;width:0.1pt;height:17.7pt" type="shapetype_32">
                <v:stroke color="black" weight="9360" endarrow="block" endarrowwidth="medium" endarrowlength="medium" joinstyle="miter" endcap="flat"/>
                <v:fill o:detectmouseclick="t" on="false"/>
                <w10:wrap type="none"/>
              </v:shape>
            </w:pict>
          </mc:Fallback>
        </mc:AlternateContent>
        <mc:AlternateContent>
          <mc:Choice Requires="wps">
            <w:drawing>
              <wp:anchor behindDoc="0" distT="4445" distB="4445" distL="119380" distR="119380" simplePos="0" locked="0" layoutInCell="0" allowOverlap="1" relativeHeight="88">
                <wp:simplePos x="0" y="0"/>
                <wp:positionH relativeFrom="column">
                  <wp:posOffset>1872615</wp:posOffset>
                </wp:positionH>
                <wp:positionV relativeFrom="paragraph">
                  <wp:posOffset>3689985</wp:posOffset>
                </wp:positionV>
                <wp:extent cx="1905" cy="195580"/>
                <wp:effectExtent l="0" t="0" r="0" b="0"/>
                <wp:wrapNone/>
                <wp:docPr id="26" name=""/>
                <a:graphic xmlns:a="http://schemas.openxmlformats.org/drawingml/2006/main">
                  <a:graphicData uri="http://schemas.microsoft.com/office/word/2010/wordprocessingShape">
                    <wps:wsp>
                      <wps:cNvCnPr/>
                      <wps:spPr>
                        <a:xfrm>
                          <a:off x="0" y="0"/>
                          <a:ext cx="1440" cy="195120"/>
                        </a:xfrm>
                        <a:prstGeom prst="straightConnector1">
                          <a:avLst/>
                        </a:prstGeom>
                        <a:ln w="9360">
                          <a:solidFill>
                            <a:srgbClr val="000000"/>
                          </a:solidFill>
                          <a:miter/>
                          <a:tailEnd len="med" type="triangle" w="med"/>
                        </a:ln>
                      </wps:spPr>
                      <wps:bodyPr/>
                    </wps:wsp>
                  </a:graphicData>
                </a:graphic>
              </wp:anchor>
            </w:drawing>
          </mc:Choice>
          <mc:Fallback>
            <w:pict>
              <v:shape id="shape_0" stroked="t" style="position:absolute;margin-left:147.45pt;margin-top:290.55pt;width:0.05pt;height:15.3pt" type="shapetype_32">
                <v:stroke color="black" weight="9360" endarrow="block" endarrowwidth="medium" endarrowlength="medium" joinstyle="miter" endcap="flat"/>
                <v:fill o:detectmouseclick="t" on="false"/>
                <w10:wrap type="none"/>
              </v:shape>
            </w:pict>
          </mc:Fallback>
        </mc:AlternateContent>
        <mc:AlternateContent>
          <mc:Choice Requires="wps">
            <w:drawing>
              <wp:anchor behindDoc="0" distT="4445" distB="4445" distL="119380" distR="119380" simplePos="0" locked="0" layoutInCell="0" allowOverlap="1" relativeHeight="89">
                <wp:simplePos x="0" y="0"/>
                <wp:positionH relativeFrom="column">
                  <wp:posOffset>1873250</wp:posOffset>
                </wp:positionH>
                <wp:positionV relativeFrom="paragraph">
                  <wp:posOffset>4565650</wp:posOffset>
                </wp:positionV>
                <wp:extent cx="1905" cy="194945"/>
                <wp:effectExtent l="0" t="0" r="0" b="0"/>
                <wp:wrapNone/>
                <wp:docPr id="27" name=""/>
                <a:graphic xmlns:a="http://schemas.openxmlformats.org/drawingml/2006/main">
                  <a:graphicData uri="http://schemas.microsoft.com/office/word/2010/wordprocessingShape">
                    <wps:wsp>
                      <wps:cNvCnPr/>
                      <wps:spPr>
                        <a:xfrm>
                          <a:off x="0" y="0"/>
                          <a:ext cx="1800" cy="194760"/>
                        </a:xfrm>
                        <a:prstGeom prst="straightConnector1">
                          <a:avLst/>
                        </a:prstGeom>
                        <a:ln w="9360">
                          <a:solidFill>
                            <a:srgbClr val="000000"/>
                          </a:solidFill>
                          <a:miter/>
                          <a:tailEnd len="med" type="triangle" w="med"/>
                        </a:ln>
                      </wps:spPr>
                      <wps:bodyPr/>
                    </wps:wsp>
                  </a:graphicData>
                </a:graphic>
              </wp:anchor>
            </w:drawing>
          </mc:Choice>
          <mc:Fallback>
            <w:pict>
              <v:shape id="shape_0" stroked="t" style="position:absolute;margin-left:147.5pt;margin-top:359.5pt;width:0.1pt;height:15.3pt" type="shapetype_32">
                <v:stroke color="black" weight="9360" endarrow="block" endarrowwidth="medium" endarrowlength="medium" joinstyle="miter" endcap="flat"/>
                <v:fill o:detectmouseclick="t" on="false"/>
                <w10:wrap type="none"/>
              </v:shape>
            </w:pict>
          </mc:Fallback>
        </mc:AlternateContent>
        <mc:AlternateContent>
          <mc:Choice Requires="wps">
            <w:drawing>
              <wp:anchor behindDoc="0" distT="4445" distB="4445" distL="119380" distR="119380" simplePos="0" locked="0" layoutInCell="0" allowOverlap="1" relativeHeight="90">
                <wp:simplePos x="0" y="0"/>
                <wp:positionH relativeFrom="column">
                  <wp:posOffset>1873250</wp:posOffset>
                </wp:positionH>
                <wp:positionV relativeFrom="paragraph">
                  <wp:posOffset>4980940</wp:posOffset>
                </wp:positionV>
                <wp:extent cx="1905" cy="194945"/>
                <wp:effectExtent l="0" t="0" r="0" b="0"/>
                <wp:wrapNone/>
                <wp:docPr id="28" name=""/>
                <a:graphic xmlns:a="http://schemas.openxmlformats.org/drawingml/2006/main">
                  <a:graphicData uri="http://schemas.microsoft.com/office/word/2010/wordprocessingShape">
                    <wps:wsp>
                      <wps:cNvCnPr/>
                      <wps:spPr>
                        <a:xfrm>
                          <a:off x="0" y="0"/>
                          <a:ext cx="1800" cy="194760"/>
                        </a:xfrm>
                        <a:prstGeom prst="straightConnector1">
                          <a:avLst/>
                        </a:prstGeom>
                        <a:ln w="9360">
                          <a:solidFill>
                            <a:srgbClr val="000000"/>
                          </a:solidFill>
                          <a:miter/>
                          <a:tailEnd len="med" type="triangle" w="med"/>
                        </a:ln>
                      </wps:spPr>
                      <wps:bodyPr/>
                    </wps:wsp>
                  </a:graphicData>
                </a:graphic>
              </wp:anchor>
            </w:drawing>
          </mc:Choice>
          <mc:Fallback>
            <w:pict>
              <v:shape id="shape_0" stroked="t" style="position:absolute;margin-left:147.5pt;margin-top:392.2pt;width:0.1pt;height:15.3pt" type="shapetype_32">
                <v:stroke color="black" weight="9360" endarrow="block" endarrowwidth="medium" endarrowlength="medium" joinstyle="miter" endcap="flat"/>
                <v:fill o:detectmouseclick="t" on="false"/>
                <w10:wrap type="none"/>
              </v:shape>
            </w:pict>
          </mc:Fallback>
        </mc:AlternateContent>
        <mc:AlternateContent>
          <mc:Choice Requires="wps">
            <w:drawing>
              <wp:anchor behindDoc="0" distT="4445" distB="4445" distL="119380" distR="119380" simplePos="0" locked="0" layoutInCell="0" allowOverlap="1" relativeHeight="91">
                <wp:simplePos x="0" y="0"/>
                <wp:positionH relativeFrom="column">
                  <wp:posOffset>613410</wp:posOffset>
                </wp:positionH>
                <wp:positionV relativeFrom="paragraph">
                  <wp:posOffset>2256790</wp:posOffset>
                </wp:positionV>
                <wp:extent cx="8255" cy="431800"/>
                <wp:effectExtent l="0" t="0" r="0" b="0"/>
                <wp:wrapNone/>
                <wp:docPr id="29" name=""/>
                <a:graphic xmlns:a="http://schemas.openxmlformats.org/drawingml/2006/main">
                  <a:graphicData uri="http://schemas.microsoft.com/office/word/2010/wordprocessingShape">
                    <wps:wsp>
                      <wps:cNvCnPr/>
                      <wps:spPr>
                        <a:xfrm flipV="1">
                          <a:off x="0" y="0"/>
                          <a:ext cx="7920" cy="431640"/>
                        </a:xfrm>
                        <a:prstGeom prst="straightConnector1">
                          <a:avLst/>
                        </a:prstGeom>
                        <a:ln w="9360">
                          <a:solidFill>
                            <a:srgbClr val="000000"/>
                          </a:solidFill>
                          <a:miter/>
                        </a:ln>
                      </wps:spPr>
                      <wps:bodyPr/>
                    </wps:wsp>
                  </a:graphicData>
                </a:graphic>
              </wp:anchor>
            </w:drawing>
          </mc:Choice>
          <mc:Fallback>
            <w:pict>
              <v:shape id="shape_0" stroked="t" style="position:absolute;margin-left:48.3pt;margin-top:177.7pt;width:0.55pt;height:33.9pt;flip:y" type="shapetype_32">
                <v:stroke color="black" weight="9360" joinstyle="miter" endcap="flat"/>
                <v:fill o:detectmouseclick="t" on="false"/>
                <w10:wrap type="none"/>
              </v:shape>
            </w:pict>
          </mc:Fallback>
        </mc:AlternateContent>
        <mc:AlternateContent>
          <mc:Choice Requires="wps">
            <w:drawing>
              <wp:anchor behindDoc="0" distT="4445" distB="4445" distL="119380" distR="119380" simplePos="0" locked="0" layoutInCell="0" allowOverlap="1" relativeHeight="92">
                <wp:simplePos x="0" y="0"/>
                <wp:positionH relativeFrom="column">
                  <wp:posOffset>620395</wp:posOffset>
                </wp:positionH>
                <wp:positionV relativeFrom="paragraph">
                  <wp:posOffset>2256790</wp:posOffset>
                </wp:positionV>
                <wp:extent cx="489585" cy="1905"/>
                <wp:effectExtent l="0" t="0" r="0" b="0"/>
                <wp:wrapNone/>
                <wp:docPr id="30" name=""/>
                <a:graphic xmlns:a="http://schemas.openxmlformats.org/drawingml/2006/main">
                  <a:graphicData uri="http://schemas.microsoft.com/office/word/2010/wordprocessingShape">
                    <wps:wsp>
                      <wps:cNvCnPr/>
                      <wps:spPr>
                        <a:xfrm>
                          <a:off x="0" y="0"/>
                          <a:ext cx="489600" cy="1440"/>
                        </a:xfrm>
                        <a:prstGeom prst="straightConnector1">
                          <a:avLst/>
                        </a:prstGeom>
                        <a:ln w="9360">
                          <a:solidFill>
                            <a:srgbClr val="000000"/>
                          </a:solidFill>
                          <a:miter/>
                          <a:tailEnd len="med" type="triangle" w="med"/>
                        </a:ln>
                      </wps:spPr>
                      <wps:bodyPr/>
                    </wps:wsp>
                  </a:graphicData>
                </a:graphic>
              </wp:anchor>
            </w:drawing>
          </mc:Choice>
          <mc:Fallback>
            <w:pict>
              <v:shape id="shape_0" stroked="t" style="position:absolute;margin-left:48.85pt;margin-top:177.7pt;width:38.5pt;height:0.05pt" type="shapetype_32">
                <v:stroke color="black" weight="9360" endarrow="block" endarrowwidth="medium" endarrowlength="medium" joinstyle="miter" endcap="flat"/>
                <v:fill o:detectmouseclick="t" on="false"/>
                <w10:wrap type="none"/>
              </v:shape>
            </w:pict>
          </mc:Fallback>
        </mc:AlternateContent>
        <mc:AlternateContent>
          <mc:Choice Requires="wps">
            <w:drawing>
              <wp:anchor behindDoc="0" distT="4445" distB="4445" distL="119380" distR="119380" simplePos="0" locked="0" layoutInCell="0" allowOverlap="1" relativeHeight="93">
                <wp:simplePos x="0" y="0"/>
                <wp:positionH relativeFrom="column">
                  <wp:posOffset>536575</wp:posOffset>
                </wp:positionH>
                <wp:positionV relativeFrom="paragraph">
                  <wp:posOffset>927735</wp:posOffset>
                </wp:positionV>
                <wp:extent cx="6985" cy="431800"/>
                <wp:effectExtent l="0" t="0" r="0" b="0"/>
                <wp:wrapNone/>
                <wp:docPr id="31" name=""/>
                <a:graphic xmlns:a="http://schemas.openxmlformats.org/drawingml/2006/main">
                  <a:graphicData uri="http://schemas.microsoft.com/office/word/2010/wordprocessingShape">
                    <wps:wsp>
                      <wps:cNvCnPr/>
                      <wps:spPr>
                        <a:xfrm flipV="1">
                          <a:off x="0" y="0"/>
                          <a:ext cx="6840" cy="431640"/>
                        </a:xfrm>
                        <a:prstGeom prst="straightConnector1">
                          <a:avLst/>
                        </a:prstGeom>
                        <a:ln w="9360">
                          <a:solidFill>
                            <a:srgbClr val="000000"/>
                          </a:solidFill>
                          <a:miter/>
                        </a:ln>
                      </wps:spPr>
                      <wps:bodyPr/>
                    </wps:wsp>
                  </a:graphicData>
                </a:graphic>
              </wp:anchor>
            </w:drawing>
          </mc:Choice>
          <mc:Fallback>
            <w:pict>
              <v:shape id="shape_0" stroked="t" style="position:absolute;margin-left:42.25pt;margin-top:73.05pt;width:0.5pt;height:33.9pt;flip:y" type="shapetype_32">
                <v:stroke color="black" weight="9360" joinstyle="miter" endcap="flat"/>
                <v:fill o:detectmouseclick="t" on="false"/>
                <w10:wrap type="none"/>
              </v:shape>
            </w:pict>
          </mc:Fallback>
        </mc:AlternateContent>
        <mc:AlternateContent>
          <mc:Choice Requires="wps">
            <w:drawing>
              <wp:anchor behindDoc="0" distT="4445" distB="4445" distL="119380" distR="119380" simplePos="0" locked="0" layoutInCell="0" allowOverlap="1" relativeHeight="94">
                <wp:simplePos x="0" y="0"/>
                <wp:positionH relativeFrom="column">
                  <wp:posOffset>542925</wp:posOffset>
                </wp:positionH>
                <wp:positionV relativeFrom="paragraph">
                  <wp:posOffset>927735</wp:posOffset>
                </wp:positionV>
                <wp:extent cx="490220" cy="1905"/>
                <wp:effectExtent l="0" t="0" r="0" b="0"/>
                <wp:wrapNone/>
                <wp:docPr id="32" name=""/>
                <a:graphic xmlns:a="http://schemas.openxmlformats.org/drawingml/2006/main">
                  <a:graphicData uri="http://schemas.microsoft.com/office/word/2010/wordprocessingShape">
                    <wps:wsp>
                      <wps:cNvCnPr/>
                      <wps:spPr>
                        <a:xfrm>
                          <a:off x="0" y="0"/>
                          <a:ext cx="489960" cy="1800"/>
                        </a:xfrm>
                        <a:prstGeom prst="straightConnector1">
                          <a:avLst/>
                        </a:prstGeom>
                        <a:ln w="9360">
                          <a:solidFill>
                            <a:srgbClr val="000000"/>
                          </a:solidFill>
                          <a:miter/>
                          <a:tailEnd len="med" type="triangle" w="med"/>
                        </a:ln>
                      </wps:spPr>
                      <wps:bodyPr/>
                    </wps:wsp>
                  </a:graphicData>
                </a:graphic>
              </wp:anchor>
            </w:drawing>
          </mc:Choice>
          <mc:Fallback>
            <w:pict>
              <v:shape id="shape_0" stroked="t" style="position:absolute;margin-left:42.75pt;margin-top:73.05pt;width:38.55pt;height:0.1pt" type="shapetype_32">
                <v:stroke color="black" weight="9360" endarrow="block" endarrowwidth="medium" endarrowlength="medium" joinstyle="miter" endcap="flat"/>
                <v:fill o:detectmouseclick="t" on="false"/>
                <w10:wrap type="none"/>
              </v:shape>
            </w:pict>
          </mc:Fallback>
        </mc:AlternateContent>
        <mc:AlternateContent>
          <mc:Choice Requires="wps">
            <w:drawing>
              <wp:anchor behindDoc="0" distT="4445" distB="4445" distL="119380" distR="119380" simplePos="0" locked="0" layoutInCell="0" allowOverlap="1" relativeHeight="95">
                <wp:simplePos x="0" y="0"/>
                <wp:positionH relativeFrom="column">
                  <wp:posOffset>613410</wp:posOffset>
                </wp:positionH>
                <wp:positionV relativeFrom="paragraph">
                  <wp:posOffset>3622040</wp:posOffset>
                </wp:positionV>
                <wp:extent cx="8255" cy="431800"/>
                <wp:effectExtent l="0" t="0" r="0" b="0"/>
                <wp:wrapNone/>
                <wp:docPr id="33" name=""/>
                <a:graphic xmlns:a="http://schemas.openxmlformats.org/drawingml/2006/main">
                  <a:graphicData uri="http://schemas.microsoft.com/office/word/2010/wordprocessingShape">
                    <wps:wsp>
                      <wps:cNvCnPr/>
                      <wps:spPr>
                        <a:xfrm flipV="1">
                          <a:off x="0" y="0"/>
                          <a:ext cx="7920" cy="431640"/>
                        </a:xfrm>
                        <a:prstGeom prst="straightConnector1">
                          <a:avLst/>
                        </a:prstGeom>
                        <a:ln w="9360">
                          <a:solidFill>
                            <a:srgbClr val="000000"/>
                          </a:solidFill>
                          <a:miter/>
                        </a:ln>
                      </wps:spPr>
                      <wps:bodyPr/>
                    </wps:wsp>
                  </a:graphicData>
                </a:graphic>
              </wp:anchor>
            </w:drawing>
          </mc:Choice>
          <mc:Fallback>
            <w:pict>
              <v:shape id="shape_0" stroked="t" style="position:absolute;margin-left:48.3pt;margin-top:285.2pt;width:0.55pt;height:33.9pt;flip:y" type="shapetype_32">
                <v:stroke color="black" weight="9360" joinstyle="miter" endcap="flat"/>
                <v:fill o:detectmouseclick="t" on="false"/>
                <w10:wrap type="none"/>
              </v:shape>
            </w:pict>
          </mc:Fallback>
        </mc:AlternateContent>
        <mc:AlternateContent>
          <mc:Choice Requires="wps">
            <w:drawing>
              <wp:anchor behindDoc="0" distT="4445" distB="4445" distL="119380" distR="119380" simplePos="0" locked="0" layoutInCell="0" allowOverlap="1" relativeHeight="96">
                <wp:simplePos x="0" y="0"/>
                <wp:positionH relativeFrom="column">
                  <wp:posOffset>620395</wp:posOffset>
                </wp:positionH>
                <wp:positionV relativeFrom="paragraph">
                  <wp:posOffset>3622040</wp:posOffset>
                </wp:positionV>
                <wp:extent cx="489585" cy="1905"/>
                <wp:effectExtent l="0" t="0" r="0" b="0"/>
                <wp:wrapNone/>
                <wp:docPr id="34" name=""/>
                <a:graphic xmlns:a="http://schemas.openxmlformats.org/drawingml/2006/main">
                  <a:graphicData uri="http://schemas.microsoft.com/office/word/2010/wordprocessingShape">
                    <wps:wsp>
                      <wps:cNvCnPr/>
                      <wps:spPr>
                        <a:xfrm>
                          <a:off x="0" y="0"/>
                          <a:ext cx="489600" cy="1800"/>
                        </a:xfrm>
                        <a:prstGeom prst="straightConnector1">
                          <a:avLst/>
                        </a:prstGeom>
                        <a:ln w="9360">
                          <a:solidFill>
                            <a:srgbClr val="000000"/>
                          </a:solidFill>
                          <a:miter/>
                          <a:tailEnd len="med" type="triangle" w="med"/>
                        </a:ln>
                      </wps:spPr>
                      <wps:bodyPr/>
                    </wps:wsp>
                  </a:graphicData>
                </a:graphic>
              </wp:anchor>
            </w:drawing>
          </mc:Choice>
          <mc:Fallback>
            <w:pict>
              <v:shape id="shape_0" stroked="t" style="position:absolute;margin-left:48.85pt;margin-top:285.2pt;width:38.5pt;height:0.1pt" type="shapetype_32">
                <v:stroke color="black" weight="9360" endarrow="block" endarrowwidth="medium" endarrowlength="medium" joinstyle="miter" endcap="flat"/>
                <v:fill o:detectmouseclick="t" on="false"/>
                <w10:wrap type="none"/>
              </v:shape>
            </w:pict>
          </mc:Fallback>
        </mc:AlternateContent>
        <mc:AlternateContent>
          <mc:Choice Requires="wps">
            <w:drawing>
              <wp:anchor behindDoc="0" distT="4445" distB="4445" distL="119380" distR="119380" simplePos="0" locked="0" layoutInCell="0" allowOverlap="1" relativeHeight="98">
                <wp:simplePos x="0" y="0"/>
                <wp:positionH relativeFrom="column">
                  <wp:posOffset>2330450</wp:posOffset>
                </wp:positionH>
                <wp:positionV relativeFrom="paragraph">
                  <wp:posOffset>1560830</wp:posOffset>
                </wp:positionV>
                <wp:extent cx="1049655" cy="1905"/>
                <wp:effectExtent l="0" t="0" r="0" b="0"/>
                <wp:wrapNone/>
                <wp:docPr id="35" name=""/>
                <a:graphic xmlns:a="http://schemas.openxmlformats.org/drawingml/2006/main">
                  <a:graphicData uri="http://schemas.microsoft.com/office/word/2010/wordprocessingShape">
                    <wps:wsp>
                      <wps:cNvCnPr/>
                      <wps:spPr>
                        <a:xfrm>
                          <a:off x="0" y="0"/>
                          <a:ext cx="1049400" cy="1440"/>
                        </a:xfrm>
                        <a:prstGeom prst="straightConnector1">
                          <a:avLst/>
                        </a:prstGeom>
                        <a:ln w="9360">
                          <a:solidFill>
                            <a:srgbClr val="000000"/>
                          </a:solidFill>
                          <a:miter/>
                          <a:tailEnd len="med" type="triangle" w="med"/>
                        </a:ln>
                      </wps:spPr>
                      <wps:bodyPr/>
                    </wps:wsp>
                  </a:graphicData>
                </a:graphic>
              </wp:anchor>
            </w:drawing>
          </mc:Choice>
          <mc:Fallback>
            <w:pict>
              <v:shape id="shape_0" stroked="t" style="position:absolute;margin-left:183.5pt;margin-top:122.9pt;width:82.6pt;height:0.05pt" type="shapetype_32">
                <v:stroke color="black" weight="9360" endarrow="block" endarrowwidth="medium" endarrowlength="medium" joinstyle="miter" endcap="flat"/>
                <v:fill o:detectmouseclick="t" on="false"/>
                <w10:wrap type="none"/>
              </v:shape>
            </w:pict>
          </mc:Fallback>
        </mc:AlternateContent>
        <mc:AlternateContent>
          <mc:Choice Requires="wps">
            <w:drawing>
              <wp:anchor behindDoc="0" distT="4445" distB="4445" distL="119380" distR="119380" simplePos="0" locked="0" layoutInCell="0" allowOverlap="1" relativeHeight="99">
                <wp:simplePos x="0" y="0"/>
                <wp:positionH relativeFrom="column">
                  <wp:posOffset>2388235</wp:posOffset>
                </wp:positionH>
                <wp:positionV relativeFrom="paragraph">
                  <wp:posOffset>2900680</wp:posOffset>
                </wp:positionV>
                <wp:extent cx="1049655" cy="1905"/>
                <wp:effectExtent l="0" t="0" r="0" b="0"/>
                <wp:wrapNone/>
                <wp:docPr id="36" name=""/>
                <a:graphic xmlns:a="http://schemas.openxmlformats.org/drawingml/2006/main">
                  <a:graphicData uri="http://schemas.microsoft.com/office/word/2010/wordprocessingShape">
                    <wps:wsp>
                      <wps:cNvCnPr/>
                      <wps:spPr>
                        <a:xfrm>
                          <a:off x="0" y="0"/>
                          <a:ext cx="1049400" cy="1800"/>
                        </a:xfrm>
                        <a:prstGeom prst="straightConnector1">
                          <a:avLst/>
                        </a:prstGeom>
                        <a:ln w="9360">
                          <a:solidFill>
                            <a:srgbClr val="000000"/>
                          </a:solidFill>
                          <a:miter/>
                          <a:tailEnd len="med" type="triangle" w="med"/>
                        </a:ln>
                      </wps:spPr>
                      <wps:bodyPr/>
                    </wps:wsp>
                  </a:graphicData>
                </a:graphic>
              </wp:anchor>
            </w:drawing>
          </mc:Choice>
          <mc:Fallback>
            <w:pict>
              <v:shape id="shape_0" stroked="t" style="position:absolute;margin-left:188.05pt;margin-top:228.4pt;width:82.6pt;height:0.1pt" type="shapetype_32">
                <v:stroke color="black" weight="9360" endarrow="block" endarrowwidth="medium" endarrowlength="medium" joinstyle="miter" endcap="flat"/>
                <v:fill o:detectmouseclick="t" on="false"/>
                <w10:wrap type="none"/>
              </v:shape>
            </w:pict>
          </mc:Fallback>
        </mc:AlternateContent>
        <mc:AlternateContent>
          <mc:Choice Requires="wps">
            <w:drawing>
              <wp:anchor behindDoc="0" distT="4445" distB="4445" distL="119380" distR="119380" simplePos="0" locked="0" layoutInCell="0" allowOverlap="1" relativeHeight="100">
                <wp:simplePos x="0" y="0"/>
                <wp:positionH relativeFrom="column">
                  <wp:posOffset>2388235</wp:posOffset>
                </wp:positionH>
                <wp:positionV relativeFrom="paragraph">
                  <wp:posOffset>4219575</wp:posOffset>
                </wp:positionV>
                <wp:extent cx="1049655" cy="1905"/>
                <wp:effectExtent l="0" t="0" r="0" b="0"/>
                <wp:wrapNone/>
                <wp:docPr id="37" name=""/>
                <a:graphic xmlns:a="http://schemas.openxmlformats.org/drawingml/2006/main">
                  <a:graphicData uri="http://schemas.microsoft.com/office/word/2010/wordprocessingShape">
                    <wps:wsp>
                      <wps:cNvCnPr/>
                      <wps:spPr>
                        <a:xfrm>
                          <a:off x="0" y="0"/>
                          <a:ext cx="1049400" cy="1800"/>
                        </a:xfrm>
                        <a:prstGeom prst="straightConnector1">
                          <a:avLst/>
                        </a:prstGeom>
                        <a:ln w="9360">
                          <a:solidFill>
                            <a:srgbClr val="000000"/>
                          </a:solidFill>
                          <a:miter/>
                          <a:tailEnd len="med" type="triangle" w="med"/>
                        </a:ln>
                      </wps:spPr>
                      <wps:bodyPr/>
                    </wps:wsp>
                  </a:graphicData>
                </a:graphic>
              </wp:anchor>
            </w:drawing>
          </mc:Choice>
          <mc:Fallback>
            <w:pict>
              <v:shape id="shape_0" stroked="t" style="position:absolute;margin-left:188.05pt;margin-top:332.25pt;width:82.6pt;height:0.1pt" type="shapetype_32">
                <v:stroke color="black" weight="9360" endarrow="block" endarrowwidth="medium" endarrowlength="medium" joinstyle="miter" endcap="flat"/>
                <v:fill o:detectmouseclick="t" on="false"/>
                <w10:wrap type="none"/>
              </v:shape>
            </w:pict>
          </mc:Fallback>
        </mc:AlternateContent>
        <mc:AlternateContent>
          <mc:Choice Requires="wps">
            <w:drawing>
              <wp:anchor behindDoc="0" distT="4445" distB="4445" distL="119380" distR="119380" simplePos="0" locked="0" layoutInCell="0" allowOverlap="1" relativeHeight="101">
                <wp:simplePos x="0" y="0"/>
                <wp:positionH relativeFrom="column">
                  <wp:posOffset>3376930</wp:posOffset>
                </wp:positionH>
                <wp:positionV relativeFrom="paragraph">
                  <wp:posOffset>1475740</wp:posOffset>
                </wp:positionV>
                <wp:extent cx="713105" cy="267335"/>
                <wp:effectExtent l="0" t="0" r="0" b="0"/>
                <wp:wrapNone/>
                <wp:docPr id="38" name=""/>
                <a:graphic xmlns:a="http://schemas.openxmlformats.org/drawingml/2006/main">
                  <a:graphicData uri="http://schemas.microsoft.com/office/word/2010/wordprocessingShape">
                    <wps:wsp>
                      <wps:cNvSpPr/>
                      <wps:spPr>
                        <a:xfrm>
                          <a:off x="0" y="0"/>
                          <a:ext cx="712440" cy="266760"/>
                        </a:xfrm>
                        <a:prstGeom prst="flowChartProcess">
                          <a:avLst/>
                        </a:prstGeom>
                        <a:solidFill>
                          <a:srgbClr val="ffffff"/>
                        </a:solidFill>
                        <a:ln w="9360">
                          <a:solidFill>
                            <a:srgbClr val="000000"/>
                          </a:solidFill>
                          <a:miter/>
                        </a:ln>
                      </wps:spPr>
                      <wps:style>
                        <a:lnRef idx="0"/>
                        <a:fillRef idx="0"/>
                        <a:effectRef idx="0"/>
                        <a:fontRef idx="minor"/>
                      </wps:style>
                      <wps:txbx>
                        <w:txbxContent>
                          <w:p>
                            <w:pPr>
                              <w:overflowPunct w:val="false"/>
                              <w:bidi w:val="0"/>
                              <w:jc w:val="center"/>
                              <w:rPr/>
                            </w:pPr>
                            <w:r>
                              <w:rPr>
                                <w:kern w:val="2"/>
                                <w:sz w:val="20"/>
                                <w:szCs w:val="20"/>
                                <w:rFonts w:ascii="標楷體" w:hAnsi="標楷體" w:eastAsia="標楷體" w:cs="標楷體"/>
                                <w:color w:val="auto"/>
                                <w:lang w:val="en-US" w:eastAsia="zh-TW" w:bidi="ar-SA"/>
                              </w:rPr>
                              <w:t>矯治機構</w:t>
                            </w:r>
                          </w:p>
                        </w:txbxContent>
                      </wps:txbx>
                      <wps:bodyPr tIns="10800">
                        <a:noAutofit/>
                      </wps:bodyPr>
                    </wps:wsp>
                  </a:graphicData>
                </a:graphic>
              </wp:anchor>
            </w:drawing>
          </mc:Choice>
          <mc:Fallback>
            <w:pict>
              <v:shape id="shape_0" fillcolor="white" stroked="t" style="position:absolute;margin-left:265.9pt;margin-top:116.2pt;width:56.05pt;height:20.95pt;mso-wrap-style:square;v-text-anchor:top" type="shapetype_109">
                <v:textbox>
                  <w:txbxContent>
                    <w:p>
                      <w:pPr>
                        <w:overflowPunct w:val="false"/>
                        <w:bidi w:val="0"/>
                        <w:jc w:val="center"/>
                        <w:rPr/>
                      </w:pPr>
                      <w:r>
                        <w:rPr>
                          <w:kern w:val="2"/>
                          <w:sz w:val="20"/>
                          <w:szCs w:val="20"/>
                          <w:rFonts w:ascii="標楷體" w:hAnsi="標楷體" w:eastAsia="標楷體" w:cs="標楷體"/>
                          <w:color w:val="auto"/>
                          <w:lang w:val="en-US" w:eastAsia="zh-TW" w:bidi="ar-SA"/>
                        </w:rPr>
                        <w:t>矯治機構</w:t>
                      </w:r>
                    </w:p>
                  </w:txbxContent>
                </v:textbox>
                <v:fill o:detectmouseclick="t" type="solid" color2="black"/>
                <v:stroke color="black" weight="9360" joinstyle="miter" endcap="flat"/>
                <w10:wrap type="none"/>
              </v:shape>
            </w:pict>
          </mc:Fallback>
        </mc:AlternateContent>
        <mc:AlternateContent>
          <mc:Choice Requires="wps">
            <w:drawing>
              <wp:anchor behindDoc="0" distT="4445" distB="4445" distL="119380" distR="119380" simplePos="0" locked="0" layoutInCell="0" allowOverlap="1" relativeHeight="102">
                <wp:simplePos x="0" y="0"/>
                <wp:positionH relativeFrom="column">
                  <wp:posOffset>3434715</wp:posOffset>
                </wp:positionH>
                <wp:positionV relativeFrom="paragraph">
                  <wp:posOffset>2786380</wp:posOffset>
                </wp:positionV>
                <wp:extent cx="655320" cy="247650"/>
                <wp:effectExtent l="0" t="0" r="0" b="0"/>
                <wp:wrapNone/>
                <wp:docPr id="39" name=""/>
                <a:graphic xmlns:a="http://schemas.openxmlformats.org/drawingml/2006/main">
                  <a:graphicData uri="http://schemas.microsoft.com/office/word/2010/wordprocessingShape">
                    <wps:wsp>
                      <wps:cNvSpPr/>
                      <wps:spPr>
                        <a:xfrm>
                          <a:off x="0" y="0"/>
                          <a:ext cx="654840" cy="246960"/>
                        </a:xfrm>
                        <a:prstGeom prst="flowChartProcess">
                          <a:avLst/>
                        </a:prstGeom>
                        <a:solidFill>
                          <a:srgbClr val="ffffff"/>
                        </a:solidFill>
                        <a:ln w="9360">
                          <a:solidFill>
                            <a:srgbClr val="000000"/>
                          </a:solidFill>
                          <a:miter/>
                        </a:ln>
                      </wps:spPr>
                      <wps:style>
                        <a:lnRef idx="0"/>
                        <a:fillRef idx="0"/>
                        <a:effectRef idx="0"/>
                        <a:fontRef idx="minor"/>
                      </wps:style>
                      <wps:txbx>
                        <w:txbxContent>
                          <w:p>
                            <w:pPr>
                              <w:overflowPunct w:val="false"/>
                              <w:bidi w:val="0"/>
                              <w:jc w:val="center"/>
                              <w:rPr/>
                            </w:pPr>
                            <w:r>
                              <w:rPr>
                                <w:kern w:val="2"/>
                                <w:sz w:val="20"/>
                                <w:szCs w:val="20"/>
                                <w:rFonts w:ascii="標楷體" w:hAnsi="標楷體" w:eastAsia="標楷體" w:cs="標楷體"/>
                                <w:color w:val="auto"/>
                                <w:lang w:val="en-US" w:eastAsia="zh-TW" w:bidi="ar-SA"/>
                              </w:rPr>
                              <w:t>矯治機構</w:t>
                            </w:r>
                          </w:p>
                        </w:txbxContent>
                      </wps:txbx>
                      <wps:bodyPr lIns="17640" rIns="17640" tIns="10800">
                        <a:noAutofit/>
                      </wps:bodyPr>
                    </wps:wsp>
                  </a:graphicData>
                </a:graphic>
              </wp:anchor>
            </w:drawing>
          </mc:Choice>
          <mc:Fallback>
            <w:pict>
              <v:shape id="shape_0" fillcolor="white" stroked="t" style="position:absolute;margin-left:270.45pt;margin-top:219.4pt;width:51.5pt;height:19.4pt;mso-wrap-style:square;v-text-anchor:top" type="shapetype_109">
                <v:textbox>
                  <w:txbxContent>
                    <w:p>
                      <w:pPr>
                        <w:overflowPunct w:val="false"/>
                        <w:bidi w:val="0"/>
                        <w:jc w:val="center"/>
                        <w:rPr/>
                      </w:pPr>
                      <w:r>
                        <w:rPr>
                          <w:kern w:val="2"/>
                          <w:sz w:val="20"/>
                          <w:szCs w:val="20"/>
                          <w:rFonts w:ascii="標楷體" w:hAnsi="標楷體" w:eastAsia="標楷體" w:cs="標楷體"/>
                          <w:color w:val="auto"/>
                          <w:lang w:val="en-US" w:eastAsia="zh-TW" w:bidi="ar-SA"/>
                        </w:rPr>
                        <w:t>矯治機構</w:t>
                      </w:r>
                    </w:p>
                  </w:txbxContent>
                </v:textbox>
                <v:fill o:detectmouseclick="t" type="solid" color2="black"/>
                <v:stroke color="black" weight="9360" joinstyle="miter" endcap="flat"/>
                <w10:wrap type="none"/>
              </v:shape>
            </w:pict>
          </mc:Fallback>
        </mc:AlternateContent>
        <mc:AlternateContent>
          <mc:Choice Requires="wps">
            <w:drawing>
              <wp:anchor behindDoc="0" distT="4445" distB="4445" distL="119380" distR="119380" simplePos="0" locked="0" layoutInCell="0" allowOverlap="1" relativeHeight="103">
                <wp:simplePos x="0" y="0"/>
                <wp:positionH relativeFrom="column">
                  <wp:posOffset>3434715</wp:posOffset>
                </wp:positionH>
                <wp:positionV relativeFrom="paragraph">
                  <wp:posOffset>4118610</wp:posOffset>
                </wp:positionV>
                <wp:extent cx="655320" cy="241935"/>
                <wp:effectExtent l="0" t="0" r="0" b="0"/>
                <wp:wrapNone/>
                <wp:docPr id="40" name=""/>
                <a:graphic xmlns:a="http://schemas.openxmlformats.org/drawingml/2006/main">
                  <a:graphicData uri="http://schemas.microsoft.com/office/word/2010/wordprocessingShape">
                    <wps:wsp>
                      <wps:cNvSpPr/>
                      <wps:spPr>
                        <a:xfrm>
                          <a:off x="0" y="0"/>
                          <a:ext cx="654840" cy="241200"/>
                        </a:xfrm>
                        <a:prstGeom prst="flowChartProcess">
                          <a:avLst/>
                        </a:prstGeom>
                        <a:solidFill>
                          <a:srgbClr val="ffffff"/>
                        </a:solidFill>
                        <a:ln w="9360">
                          <a:solidFill>
                            <a:srgbClr val="000000"/>
                          </a:solidFill>
                          <a:miter/>
                        </a:ln>
                      </wps:spPr>
                      <wps:style>
                        <a:lnRef idx="0"/>
                        <a:fillRef idx="0"/>
                        <a:effectRef idx="0"/>
                        <a:fontRef idx="minor"/>
                      </wps:style>
                      <wps:txbx>
                        <w:txbxContent>
                          <w:p>
                            <w:pPr>
                              <w:overflowPunct w:val="false"/>
                              <w:bidi w:val="0"/>
                              <w:jc w:val="center"/>
                              <w:rPr/>
                            </w:pPr>
                            <w:r>
                              <w:rPr>
                                <w:kern w:val="2"/>
                                <w:sz w:val="20"/>
                                <w:szCs w:val="20"/>
                                <w:rFonts w:ascii="標楷體" w:hAnsi="標楷體" w:eastAsia="標楷體" w:cs="標楷體"/>
                                <w:color w:val="auto"/>
                                <w:lang w:val="en-US" w:eastAsia="zh-TW" w:bidi="ar-SA"/>
                              </w:rPr>
                              <w:t>矯治機構</w:t>
                            </w:r>
                          </w:p>
                        </w:txbxContent>
                      </wps:txbx>
                      <wps:bodyPr lIns="17640" rIns="17640" tIns="10800">
                        <a:noAutofit/>
                      </wps:bodyPr>
                    </wps:wsp>
                  </a:graphicData>
                </a:graphic>
              </wp:anchor>
            </w:drawing>
          </mc:Choice>
          <mc:Fallback>
            <w:pict>
              <v:shape id="shape_0" fillcolor="white" stroked="t" style="position:absolute;margin-left:270.45pt;margin-top:324.3pt;width:51.5pt;height:18.95pt;mso-wrap-style:square;v-text-anchor:top" type="shapetype_109">
                <v:textbox>
                  <w:txbxContent>
                    <w:p>
                      <w:pPr>
                        <w:overflowPunct w:val="false"/>
                        <w:bidi w:val="0"/>
                        <w:jc w:val="center"/>
                        <w:rPr/>
                      </w:pPr>
                      <w:r>
                        <w:rPr>
                          <w:kern w:val="2"/>
                          <w:sz w:val="20"/>
                          <w:szCs w:val="20"/>
                          <w:rFonts w:ascii="標楷體" w:hAnsi="標楷體" w:eastAsia="標楷體" w:cs="標楷體"/>
                          <w:color w:val="auto"/>
                          <w:lang w:val="en-US" w:eastAsia="zh-TW" w:bidi="ar-SA"/>
                        </w:rPr>
                        <w:t>矯治機構</w:t>
                      </w:r>
                    </w:p>
                  </w:txbxContent>
                </v:textbox>
                <v:fill o:detectmouseclick="t" type="solid" color2="black"/>
                <v:stroke color="black" weight="9360" joinstyle="miter" endcap="flat"/>
                <w10:wrap type="none"/>
              </v:shape>
            </w:pict>
          </mc:Fallback>
        </mc:AlternateContent>
      </w:r>
      <w:r>
        <w:br w:type="page"/>
      </w:r>
      <w:r>
        <mc:AlternateContent>
          <mc:Choice Requires="wps">
            <w:drawing>
              <wp:anchor behindDoc="0" distT="0" distB="0" distL="114935" distR="114935" simplePos="0" locked="0" layoutInCell="0" allowOverlap="1" relativeHeight="57">
                <wp:simplePos x="0" y="0"/>
                <wp:positionH relativeFrom="column">
                  <wp:posOffset>1895475</wp:posOffset>
                </wp:positionH>
                <wp:positionV relativeFrom="paragraph">
                  <wp:posOffset>4519295</wp:posOffset>
                </wp:positionV>
                <wp:extent cx="471805" cy="190500"/>
                <wp:effectExtent l="0" t="0" r="0" b="0"/>
                <wp:wrapNone/>
                <wp:docPr id="41" name="外框12"/>
                <a:graphic xmlns:a="http://schemas.openxmlformats.org/drawingml/2006/main">
                  <a:graphicData uri="http://schemas.microsoft.com/office/word/2010/wordprocessingShape">
                    <wps:wsp>
                      <wps:cNvSpPr txBox="1"/>
                      <wps:spPr>
                        <a:xfrm>
                          <a:off x="0" y="0"/>
                          <a:ext cx="471805" cy="190500"/>
                        </a:xfrm>
                        <a:prstGeom prst="rect"/>
                        <a:solidFill>
                          <a:srgbClr val="FFFFFF"/>
                        </a:solidFill>
                        <a:ln w="9525">
                          <a:solidFill>
                            <a:srgbClr val="FFFFFF"/>
                          </a:solidFill>
                        </a:ln>
                      </wps:spPr>
                      <wps:txbx>
                        <w:txbxContent>
                          <w:p>
                            <w:pPr>
                              <w:pStyle w:val="Normal"/>
                              <w:rPr>
                                <w:rFonts w:ascii="標楷體" w:hAnsi="標楷體" w:eastAsia="標楷體" w:cs="標楷體"/>
                                <w:sz w:val="16"/>
                                <w:szCs w:val="16"/>
                              </w:rPr>
                            </w:pPr>
                            <w:r>
                              <w:rPr>
                                <w:rFonts w:ascii="標楷體" w:hAnsi="標楷體" w:cs="標楷體" w:eastAsia="標楷體"/>
                                <w:sz w:val="16"/>
                                <w:szCs w:val="16"/>
                              </w:rPr>
                              <w:t>通過</w:t>
                            </w:r>
                          </w:p>
                        </w:txbxContent>
                      </wps:txbx>
                      <wps:bodyPr anchor="t" lIns="91440" tIns="45720" rIns="91440" bIns="45720">
                        <a:noAutofit/>
                      </wps:bodyPr>
                    </wps:wsp>
                  </a:graphicData>
                </a:graphic>
              </wp:anchor>
            </w:drawing>
          </mc:Choice>
          <mc:Fallback>
            <w:pict>
              <v:rect fillcolor="#FFFFFF" strokecolor="#FFFFFF" strokeweight="0pt" style="position:absolute;rotation:0;width:37.15pt;height:15pt;mso-wrap-distance-left:9.05pt;mso-wrap-distance-right:9.05pt;mso-wrap-distance-top:0pt;mso-wrap-distance-bottom:0pt;margin-top:355.85pt;mso-position-vertical-relative:text;margin-left:149.25pt;mso-position-horizontal-relative:text">
                <v:textbox>
                  <w:txbxContent>
                    <w:p>
                      <w:pPr>
                        <w:pStyle w:val="Normal"/>
                        <w:rPr>
                          <w:rFonts w:ascii="標楷體" w:hAnsi="標楷體" w:eastAsia="標楷體" w:cs="標楷體"/>
                          <w:sz w:val="16"/>
                          <w:szCs w:val="16"/>
                        </w:rPr>
                      </w:pPr>
                      <w:r>
                        <w:rPr>
                          <w:rFonts w:ascii="標楷體" w:hAnsi="標楷體" w:cs="標楷體" w:eastAsia="標楷體"/>
                          <w:sz w:val="16"/>
                          <w:szCs w:val="16"/>
                        </w:rPr>
                        <w:t>通過</w:t>
                      </w:r>
                    </w:p>
                  </w:txbxContent>
                </v:textbox>
                <w10:wrap type="none"/>
              </v:rect>
            </w:pict>
          </mc:Fallback>
        </mc:AlternateContent>
      </w:r>
      <w:r>
        <mc:AlternateContent>
          <mc:Choice Requires="wps">
            <w:drawing>
              <wp:anchor behindDoc="0" distT="0" distB="0" distL="114935" distR="114935" simplePos="0" locked="0" layoutInCell="0" allowOverlap="1" relativeHeight="58">
                <wp:simplePos x="0" y="0"/>
                <wp:positionH relativeFrom="column">
                  <wp:posOffset>1772920</wp:posOffset>
                </wp:positionH>
                <wp:positionV relativeFrom="paragraph">
                  <wp:posOffset>3215640</wp:posOffset>
                </wp:positionV>
                <wp:extent cx="471805" cy="191135"/>
                <wp:effectExtent l="0" t="0" r="0" b="0"/>
                <wp:wrapNone/>
                <wp:docPr id="42" name="外框11"/>
                <a:graphic xmlns:a="http://schemas.openxmlformats.org/drawingml/2006/main">
                  <a:graphicData uri="http://schemas.microsoft.com/office/word/2010/wordprocessingShape">
                    <wps:wsp>
                      <wps:cNvSpPr txBox="1"/>
                      <wps:spPr>
                        <a:xfrm>
                          <a:off x="0" y="0"/>
                          <a:ext cx="471805" cy="191135"/>
                        </a:xfrm>
                        <a:prstGeom prst="rect"/>
                        <a:solidFill>
                          <a:srgbClr val="FFFFFF"/>
                        </a:solidFill>
                        <a:ln w="9525">
                          <a:solidFill>
                            <a:srgbClr val="FFFFFF"/>
                          </a:solidFill>
                        </a:ln>
                      </wps:spPr>
                      <wps:txbx>
                        <w:txbxContent>
                          <w:p>
                            <w:pPr>
                              <w:pStyle w:val="Normal"/>
                              <w:rPr>
                                <w:rFonts w:ascii="標楷體" w:hAnsi="標楷體" w:eastAsia="標楷體" w:cs="標楷體"/>
                                <w:sz w:val="16"/>
                                <w:szCs w:val="16"/>
                              </w:rPr>
                            </w:pPr>
                            <w:r>
                              <w:rPr>
                                <w:rFonts w:ascii="標楷體" w:hAnsi="標楷體" w:cs="標楷體" w:eastAsia="標楷體"/>
                                <w:sz w:val="16"/>
                                <w:szCs w:val="16"/>
                              </w:rPr>
                              <w:t>通過</w:t>
                            </w:r>
                          </w:p>
                        </w:txbxContent>
                      </wps:txbx>
                      <wps:bodyPr anchor="t" lIns="91440" tIns="45720" rIns="91440" bIns="45720">
                        <a:noAutofit/>
                      </wps:bodyPr>
                    </wps:wsp>
                  </a:graphicData>
                </a:graphic>
              </wp:anchor>
            </w:drawing>
          </mc:Choice>
          <mc:Fallback>
            <w:pict>
              <v:rect fillcolor="#FFFFFF" strokecolor="#FFFFFF" strokeweight="0pt" style="position:absolute;rotation:0;width:37.15pt;height:15.05pt;mso-wrap-distance-left:9.05pt;mso-wrap-distance-right:9.05pt;mso-wrap-distance-top:0pt;mso-wrap-distance-bottom:0pt;margin-top:253.2pt;mso-position-vertical-relative:text;margin-left:139.6pt;mso-position-horizontal-relative:text">
                <v:textbox>
                  <w:txbxContent>
                    <w:p>
                      <w:pPr>
                        <w:pStyle w:val="Normal"/>
                        <w:rPr>
                          <w:rFonts w:ascii="標楷體" w:hAnsi="標楷體" w:eastAsia="標楷體" w:cs="標楷體"/>
                          <w:sz w:val="16"/>
                          <w:szCs w:val="16"/>
                        </w:rPr>
                      </w:pPr>
                      <w:r>
                        <w:rPr>
                          <w:rFonts w:ascii="標楷體" w:hAnsi="標楷體" w:cs="標楷體" w:eastAsia="標楷體"/>
                          <w:sz w:val="16"/>
                          <w:szCs w:val="16"/>
                        </w:rPr>
                        <w:t>通過</w:t>
                      </w:r>
                    </w:p>
                  </w:txbxContent>
                </v:textbox>
                <w10:wrap type="none"/>
              </v:rect>
            </w:pict>
          </mc:Fallback>
        </mc:AlternateContent>
      </w:r>
      <w:r>
        <mc:AlternateContent>
          <mc:Choice Requires="wps">
            <w:drawing>
              <wp:anchor behindDoc="0" distT="0" distB="0" distL="114935" distR="114935" simplePos="0" locked="0" layoutInCell="0" allowOverlap="1" relativeHeight="59">
                <wp:simplePos x="0" y="0"/>
                <wp:positionH relativeFrom="column">
                  <wp:posOffset>1813560</wp:posOffset>
                </wp:positionH>
                <wp:positionV relativeFrom="paragraph">
                  <wp:posOffset>1880870</wp:posOffset>
                </wp:positionV>
                <wp:extent cx="472440" cy="190500"/>
                <wp:effectExtent l="0" t="0" r="0" b="0"/>
                <wp:wrapNone/>
                <wp:docPr id="43" name="外框10"/>
                <a:graphic xmlns:a="http://schemas.openxmlformats.org/drawingml/2006/main">
                  <a:graphicData uri="http://schemas.microsoft.com/office/word/2010/wordprocessingShape">
                    <wps:wsp>
                      <wps:cNvSpPr txBox="1"/>
                      <wps:spPr>
                        <a:xfrm>
                          <a:off x="0" y="0"/>
                          <a:ext cx="472440" cy="190500"/>
                        </a:xfrm>
                        <a:prstGeom prst="rect"/>
                        <a:solidFill>
                          <a:srgbClr val="FFFFFF"/>
                        </a:solidFill>
                        <a:ln w="9525">
                          <a:solidFill>
                            <a:srgbClr val="FFFFFF"/>
                          </a:solidFill>
                        </a:ln>
                      </wps:spPr>
                      <wps:txbx>
                        <w:txbxContent>
                          <w:p>
                            <w:pPr>
                              <w:pStyle w:val="Normal"/>
                              <w:rPr>
                                <w:rFonts w:ascii="標楷體" w:hAnsi="標楷體" w:eastAsia="標楷體" w:cs="標楷體"/>
                                <w:sz w:val="16"/>
                                <w:szCs w:val="16"/>
                              </w:rPr>
                            </w:pPr>
                            <w:r>
                              <w:rPr>
                                <w:rFonts w:ascii="標楷體" w:hAnsi="標楷體" w:cs="標楷體" w:eastAsia="標楷體"/>
                                <w:sz w:val="16"/>
                                <w:szCs w:val="16"/>
                              </w:rPr>
                              <w:t>通過</w:t>
                            </w:r>
                          </w:p>
                        </w:txbxContent>
                      </wps:txbx>
                      <wps:bodyPr anchor="t" lIns="91440" tIns="45720" rIns="91440" bIns="45720">
                        <a:noAutofit/>
                      </wps:bodyPr>
                    </wps:wsp>
                  </a:graphicData>
                </a:graphic>
              </wp:anchor>
            </w:drawing>
          </mc:Choice>
          <mc:Fallback>
            <w:pict>
              <v:rect fillcolor="#FFFFFF" strokecolor="#FFFFFF" strokeweight="0pt" style="position:absolute;rotation:0;width:37.2pt;height:15pt;mso-wrap-distance-left:9.05pt;mso-wrap-distance-right:9.05pt;mso-wrap-distance-top:0pt;mso-wrap-distance-bottom:0pt;margin-top:148.1pt;mso-position-vertical-relative:text;margin-left:142.8pt;mso-position-horizontal-relative:text">
                <v:textbox>
                  <w:txbxContent>
                    <w:p>
                      <w:pPr>
                        <w:pStyle w:val="Normal"/>
                        <w:rPr>
                          <w:rFonts w:ascii="標楷體" w:hAnsi="標楷體" w:eastAsia="標楷體" w:cs="標楷體"/>
                          <w:sz w:val="16"/>
                          <w:szCs w:val="16"/>
                        </w:rPr>
                      </w:pPr>
                      <w:r>
                        <w:rPr>
                          <w:rFonts w:ascii="標楷體" w:hAnsi="標楷體" w:cs="標楷體" w:eastAsia="標楷體"/>
                          <w:sz w:val="16"/>
                          <w:szCs w:val="16"/>
                        </w:rPr>
                        <w:t>通過</w:t>
                      </w:r>
                    </w:p>
                  </w:txbxContent>
                </v:textbox>
                <w10:wrap type="none"/>
              </v:rect>
            </w:pict>
          </mc:Fallback>
        </mc:AlternateContent>
      </w:r>
      <w:r>
        <mc:AlternateContent>
          <mc:Choice Requires="wps">
            <w:drawing>
              <wp:anchor behindDoc="0" distT="0" distB="0" distL="114935" distR="114935" simplePos="0" locked="0" layoutInCell="0" allowOverlap="1" relativeHeight="60">
                <wp:simplePos x="0" y="0"/>
                <wp:positionH relativeFrom="column">
                  <wp:posOffset>982345</wp:posOffset>
                </wp:positionH>
                <wp:positionV relativeFrom="paragraph">
                  <wp:posOffset>4215130</wp:posOffset>
                </wp:positionV>
                <wp:extent cx="471805" cy="190500"/>
                <wp:effectExtent l="0" t="0" r="0" b="0"/>
                <wp:wrapNone/>
                <wp:docPr id="44" name="外框9"/>
                <a:graphic xmlns:a="http://schemas.openxmlformats.org/drawingml/2006/main">
                  <a:graphicData uri="http://schemas.microsoft.com/office/word/2010/wordprocessingShape">
                    <wps:wsp>
                      <wps:cNvSpPr txBox="1"/>
                      <wps:spPr>
                        <a:xfrm>
                          <a:off x="0" y="0"/>
                          <a:ext cx="471805" cy="190500"/>
                        </a:xfrm>
                        <a:prstGeom prst="rect"/>
                        <a:solidFill>
                          <a:srgbClr val="FFFFFF"/>
                        </a:solidFill>
                        <a:ln w="9525">
                          <a:solidFill>
                            <a:srgbClr val="FFFFFF"/>
                          </a:solidFill>
                        </a:ln>
                      </wps:spPr>
                      <wps:txbx>
                        <w:txbxContent>
                          <w:p>
                            <w:pPr>
                              <w:pStyle w:val="Normal"/>
                              <w:rPr>
                                <w:rFonts w:ascii="標楷體" w:hAnsi="標楷體" w:eastAsia="標楷體" w:cs="標楷體"/>
                                <w:sz w:val="16"/>
                                <w:szCs w:val="16"/>
                              </w:rPr>
                            </w:pPr>
                            <w:r>
                              <w:rPr>
                                <w:rFonts w:ascii="標楷體" w:hAnsi="標楷體" w:cs="標楷體" w:eastAsia="標楷體"/>
                                <w:sz w:val="16"/>
                                <w:szCs w:val="16"/>
                              </w:rPr>
                              <w:t>未通過</w:t>
                            </w:r>
                          </w:p>
                        </w:txbxContent>
                      </wps:txbx>
                      <wps:bodyPr anchor="t" lIns="91440" tIns="45720" rIns="91440" bIns="45720">
                        <a:noAutofit/>
                      </wps:bodyPr>
                    </wps:wsp>
                  </a:graphicData>
                </a:graphic>
              </wp:anchor>
            </w:drawing>
          </mc:Choice>
          <mc:Fallback>
            <w:pict>
              <v:rect fillcolor="#FFFFFF" strokecolor="#FFFFFF" strokeweight="0pt" style="position:absolute;rotation:0;width:37.15pt;height:15pt;mso-wrap-distance-left:9.05pt;mso-wrap-distance-right:9.05pt;mso-wrap-distance-top:0pt;mso-wrap-distance-bottom:0pt;margin-top:331.9pt;mso-position-vertical-relative:text;margin-left:77.35pt;mso-position-horizontal-relative:text">
                <v:textbox>
                  <w:txbxContent>
                    <w:p>
                      <w:pPr>
                        <w:pStyle w:val="Normal"/>
                        <w:rPr>
                          <w:rFonts w:ascii="標楷體" w:hAnsi="標楷體" w:eastAsia="標楷體" w:cs="標楷體"/>
                          <w:sz w:val="16"/>
                          <w:szCs w:val="16"/>
                        </w:rPr>
                      </w:pPr>
                      <w:r>
                        <w:rPr>
                          <w:rFonts w:ascii="標楷體" w:hAnsi="標楷體" w:cs="標楷體" w:eastAsia="標楷體"/>
                          <w:sz w:val="16"/>
                          <w:szCs w:val="16"/>
                        </w:rPr>
                        <w:t>未通過</w:t>
                      </w:r>
                    </w:p>
                  </w:txbxContent>
                </v:textbox>
                <w10:wrap type="none"/>
              </v:rect>
            </w:pict>
          </mc:Fallback>
        </mc:AlternateContent>
      </w:r>
      <w:r>
        <mc:AlternateContent>
          <mc:Choice Requires="wps">
            <w:drawing>
              <wp:anchor behindDoc="0" distT="0" distB="0" distL="114935" distR="114935" simplePos="0" locked="0" layoutInCell="0" allowOverlap="1" relativeHeight="67">
                <wp:simplePos x="0" y="0"/>
                <wp:positionH relativeFrom="column">
                  <wp:posOffset>5080</wp:posOffset>
                </wp:positionH>
                <wp:positionV relativeFrom="paragraph">
                  <wp:posOffset>368935</wp:posOffset>
                </wp:positionV>
                <wp:extent cx="317500" cy="1520825"/>
                <wp:effectExtent l="0" t="0" r="0" b="0"/>
                <wp:wrapNone/>
                <wp:docPr id="45" name="外框8"/>
                <a:graphic xmlns:a="http://schemas.openxmlformats.org/drawingml/2006/main">
                  <a:graphicData uri="http://schemas.microsoft.com/office/word/2010/wordprocessingShape">
                    <wps:wsp>
                      <wps:cNvSpPr txBox="1"/>
                      <wps:spPr>
                        <a:xfrm>
                          <a:off x="0" y="0"/>
                          <a:ext cx="317500" cy="1520825"/>
                        </a:xfrm>
                        <a:prstGeom prst="rect"/>
                        <a:solidFill>
                          <a:srgbClr val="FFFFFF"/>
                        </a:solidFill>
                        <a:ln w="9525">
                          <a:solidFill>
                            <a:srgbClr val="FFFFFF"/>
                          </a:solidFill>
                        </a:ln>
                      </wps:spPr>
                      <wps:txbx>
                        <w:txbxContent>
                          <w:p>
                            <w:pPr>
                              <w:pStyle w:val="Normal"/>
                              <w:jc w:val="center"/>
                              <w:rPr>
                                <w:rFonts w:ascii="標楷體" w:hAnsi="標楷體" w:eastAsia="標楷體" w:cs="標楷體"/>
                                <w:sz w:val="20"/>
                                <w:szCs w:val="20"/>
                              </w:rPr>
                            </w:pPr>
                            <w:r>
                              <w:rPr>
                                <w:rFonts w:ascii="標楷體" w:hAnsi="標楷體" w:cs="標楷體" w:eastAsia="標楷體"/>
                                <w:sz w:val="20"/>
                                <w:szCs w:val="20"/>
                              </w:rPr>
                              <w:t>第一階段</w:t>
                            </w:r>
                            <w:r>
                              <w:rPr>
                                <w:rFonts w:eastAsia="標楷體" w:cs="標楷體" w:ascii="標楷體" w:hAnsi="標楷體"/>
                                <w:sz w:val="20"/>
                                <w:szCs w:val="20"/>
                              </w:rPr>
                              <w:t>(</w:t>
                            </w:r>
                            <w:r>
                              <w:rPr>
                                <w:rFonts w:ascii="標楷體" w:hAnsi="標楷體" w:cs="標楷體" w:eastAsia="標楷體"/>
                                <w:sz w:val="20"/>
                                <w:szCs w:val="20"/>
                              </w:rPr>
                              <w:t>第一至四週</w:t>
                            </w:r>
                            <w:r>
                              <w:rPr>
                                <w:rFonts w:eastAsia="標楷體" w:cs="標楷體" w:ascii="標楷體" w:hAnsi="標楷體"/>
                                <w:sz w:val="20"/>
                                <w:szCs w:val="20"/>
                              </w:rPr>
                              <w:t>)</w:t>
                            </w:r>
                          </w:p>
                        </w:txbxContent>
                      </wps:txbx>
                      <wps:bodyPr anchor="t" lIns="91440" tIns="45720" rIns="17780" bIns="45720" vert="eaVert">
                        <a:noAutofit/>
                      </wps:bodyPr>
                    </wps:wsp>
                  </a:graphicData>
                </a:graphic>
              </wp:anchor>
            </w:drawing>
          </mc:Choice>
          <mc:Fallback>
            <w:pict>
              <v:rect fillcolor="#FFFFFF" strokecolor="#FFFFFF" strokeweight="0pt" style="position:absolute;rotation:0;width:25pt;height:119.75pt;mso-wrap-distance-left:9.05pt;mso-wrap-distance-right:9.05pt;mso-wrap-distance-top:0pt;mso-wrap-distance-bottom:0pt;margin-top:29.05pt;mso-position-vertical-relative:text;margin-left:0.4pt;mso-position-horizontal-relative:text">
                <v:textbox inset="0.1in,0.05in,0.0194444444444444in">
                  <w:txbxContent>
                    <w:p>
                      <w:pPr>
                        <w:pStyle w:val="Normal"/>
                        <w:jc w:val="center"/>
                        <w:rPr>
                          <w:rFonts w:ascii="標楷體" w:hAnsi="標楷體" w:eastAsia="標楷體" w:cs="標楷體"/>
                          <w:sz w:val="20"/>
                          <w:szCs w:val="20"/>
                        </w:rPr>
                      </w:pPr>
                      <w:r>
                        <w:rPr>
                          <w:rFonts w:ascii="標楷體" w:hAnsi="標楷體" w:cs="標楷體" w:eastAsia="標楷體"/>
                          <w:sz w:val="20"/>
                          <w:szCs w:val="20"/>
                        </w:rPr>
                        <w:t>第一階段</w:t>
                      </w:r>
                      <w:r>
                        <w:rPr>
                          <w:rFonts w:eastAsia="標楷體" w:cs="標楷體" w:ascii="標楷體" w:hAnsi="標楷體"/>
                          <w:sz w:val="20"/>
                          <w:szCs w:val="20"/>
                        </w:rPr>
                        <w:t>(</w:t>
                      </w:r>
                      <w:r>
                        <w:rPr>
                          <w:rFonts w:ascii="標楷體" w:hAnsi="標楷體" w:cs="標楷體" w:eastAsia="標楷體"/>
                          <w:sz w:val="20"/>
                          <w:szCs w:val="20"/>
                        </w:rPr>
                        <w:t>第一至四週</w:t>
                      </w:r>
                      <w:r>
                        <w:rPr>
                          <w:rFonts w:eastAsia="標楷體" w:cs="標楷體" w:ascii="標楷體" w:hAnsi="標楷體"/>
                          <w:sz w:val="20"/>
                          <w:szCs w:val="20"/>
                        </w:rPr>
                        <w:t>)</w:t>
                      </w:r>
                    </w:p>
                  </w:txbxContent>
                </v:textbox>
                <w10:wrap type="none"/>
              </v:rect>
            </w:pict>
          </mc:Fallback>
        </mc:AlternateContent>
      </w:r>
      <w:r>
        <mc:AlternateContent>
          <mc:Choice Requires="wps">
            <w:drawing>
              <wp:anchor behindDoc="0" distT="0" distB="0" distL="114935" distR="114935" simplePos="0" locked="0" layoutInCell="0" allowOverlap="1" relativeHeight="68">
                <wp:simplePos x="0" y="0"/>
                <wp:positionH relativeFrom="column">
                  <wp:posOffset>5080</wp:posOffset>
                </wp:positionH>
                <wp:positionV relativeFrom="paragraph">
                  <wp:posOffset>1824355</wp:posOffset>
                </wp:positionV>
                <wp:extent cx="317500" cy="1723390"/>
                <wp:effectExtent l="0" t="0" r="0" b="0"/>
                <wp:wrapNone/>
                <wp:docPr id="46" name="外框1"/>
                <a:graphic xmlns:a="http://schemas.openxmlformats.org/drawingml/2006/main">
                  <a:graphicData uri="http://schemas.microsoft.com/office/word/2010/wordprocessingShape">
                    <wps:wsp>
                      <wps:cNvSpPr txBox="1"/>
                      <wps:spPr>
                        <a:xfrm>
                          <a:off x="0" y="0"/>
                          <a:ext cx="317500" cy="1723390"/>
                        </a:xfrm>
                        <a:prstGeom prst="rect"/>
                        <a:solidFill>
                          <a:srgbClr val="FFFFFF"/>
                        </a:solidFill>
                        <a:ln w="9525">
                          <a:solidFill>
                            <a:srgbClr val="FFFFFF"/>
                          </a:solidFill>
                        </a:ln>
                      </wps:spPr>
                      <wps:txbx>
                        <w:txbxContent>
                          <w:p>
                            <w:pPr>
                              <w:pStyle w:val="Normal"/>
                              <w:jc w:val="center"/>
                              <w:rPr>
                                <w:rFonts w:ascii="標楷體" w:hAnsi="標楷體" w:eastAsia="標楷體" w:cs="標楷體"/>
                                <w:sz w:val="20"/>
                                <w:szCs w:val="20"/>
                              </w:rPr>
                            </w:pPr>
                            <w:r>
                              <w:rPr>
                                <w:rFonts w:ascii="標楷體" w:hAnsi="標楷體" w:cs="標楷體" w:eastAsia="標楷體"/>
                                <w:sz w:val="20"/>
                                <w:szCs w:val="20"/>
                              </w:rPr>
                              <w:t>第二階段</w:t>
                            </w:r>
                            <w:r>
                              <w:rPr>
                                <w:rFonts w:eastAsia="標楷體" w:cs="標楷體" w:ascii="標楷體" w:hAnsi="標楷體"/>
                                <w:sz w:val="20"/>
                                <w:szCs w:val="20"/>
                              </w:rPr>
                              <w:t>(</w:t>
                            </w:r>
                            <w:r>
                              <w:rPr>
                                <w:rFonts w:ascii="標楷體" w:hAnsi="標楷體" w:cs="標楷體" w:eastAsia="標楷體"/>
                                <w:sz w:val="20"/>
                                <w:szCs w:val="20"/>
                              </w:rPr>
                              <w:t>第五至十二週</w:t>
                            </w:r>
                            <w:r>
                              <w:rPr>
                                <w:rFonts w:eastAsia="標楷體" w:cs="標楷體" w:ascii="標楷體" w:hAnsi="標楷體"/>
                                <w:sz w:val="20"/>
                                <w:szCs w:val="20"/>
                              </w:rPr>
                              <w:t>)</w:t>
                            </w:r>
                          </w:p>
                        </w:txbxContent>
                      </wps:txbx>
                      <wps:bodyPr anchor="t" lIns="91440" tIns="45720" rIns="36195" bIns="45720" vert="eaVert">
                        <a:noAutofit/>
                      </wps:bodyPr>
                    </wps:wsp>
                  </a:graphicData>
                </a:graphic>
              </wp:anchor>
            </w:drawing>
          </mc:Choice>
          <mc:Fallback>
            <w:pict>
              <v:rect fillcolor="#FFFFFF" strokecolor="#FFFFFF" strokeweight="0pt" style="position:absolute;rotation:0;width:25pt;height:135.7pt;mso-wrap-distance-left:9.05pt;mso-wrap-distance-right:9.05pt;mso-wrap-distance-top:0pt;mso-wrap-distance-bottom:0pt;margin-top:143.65pt;mso-position-vertical-relative:text;margin-left:0.4pt;mso-position-horizontal-relative:text">
                <v:textbox inset="0.1in,0.05in,0.0395833333333333in">
                  <w:txbxContent>
                    <w:p>
                      <w:pPr>
                        <w:pStyle w:val="Normal"/>
                        <w:jc w:val="center"/>
                        <w:rPr>
                          <w:rFonts w:ascii="標楷體" w:hAnsi="標楷體" w:eastAsia="標楷體" w:cs="標楷體"/>
                          <w:sz w:val="20"/>
                          <w:szCs w:val="20"/>
                        </w:rPr>
                      </w:pPr>
                      <w:r>
                        <w:rPr>
                          <w:rFonts w:ascii="標楷體" w:hAnsi="標楷體" w:cs="標楷體" w:eastAsia="標楷體"/>
                          <w:sz w:val="20"/>
                          <w:szCs w:val="20"/>
                        </w:rPr>
                        <w:t>第二階段</w:t>
                      </w:r>
                      <w:r>
                        <w:rPr>
                          <w:rFonts w:eastAsia="標楷體" w:cs="標楷體" w:ascii="標楷體" w:hAnsi="標楷體"/>
                          <w:sz w:val="20"/>
                          <w:szCs w:val="20"/>
                        </w:rPr>
                        <w:t>(</w:t>
                      </w:r>
                      <w:r>
                        <w:rPr>
                          <w:rFonts w:ascii="標楷體" w:hAnsi="標楷體" w:cs="標楷體" w:eastAsia="標楷體"/>
                          <w:sz w:val="20"/>
                          <w:szCs w:val="20"/>
                        </w:rPr>
                        <w:t>第五至十二週</w:t>
                      </w:r>
                      <w:r>
                        <w:rPr>
                          <w:rFonts w:eastAsia="標楷體" w:cs="標楷體" w:ascii="標楷體" w:hAnsi="標楷體"/>
                          <w:sz w:val="20"/>
                          <w:szCs w:val="20"/>
                        </w:rPr>
                        <w:t>)</w:t>
                      </w:r>
                    </w:p>
                  </w:txbxContent>
                </v:textbox>
                <w10:wrap type="none"/>
              </v:rect>
            </w:pict>
          </mc:Fallback>
        </mc:AlternateContent>
      </w:r>
      <w:r>
        <mc:AlternateContent>
          <mc:Choice Requires="wps">
            <w:drawing>
              <wp:anchor behindDoc="0" distT="0" distB="0" distL="114935" distR="114935" simplePos="0" locked="0" layoutInCell="0" allowOverlap="1" relativeHeight="69">
                <wp:simplePos x="0" y="0"/>
                <wp:positionH relativeFrom="column">
                  <wp:posOffset>5080</wp:posOffset>
                </wp:positionH>
                <wp:positionV relativeFrom="paragraph">
                  <wp:posOffset>3685540</wp:posOffset>
                </wp:positionV>
                <wp:extent cx="317500" cy="1919605"/>
                <wp:effectExtent l="0" t="0" r="0" b="0"/>
                <wp:wrapNone/>
                <wp:docPr id="47" name="外框2"/>
                <a:graphic xmlns:a="http://schemas.openxmlformats.org/drawingml/2006/main">
                  <a:graphicData uri="http://schemas.microsoft.com/office/word/2010/wordprocessingShape">
                    <wps:wsp>
                      <wps:cNvSpPr txBox="1"/>
                      <wps:spPr>
                        <a:xfrm>
                          <a:off x="0" y="0"/>
                          <a:ext cx="317500" cy="1919605"/>
                        </a:xfrm>
                        <a:prstGeom prst="rect"/>
                        <a:solidFill>
                          <a:srgbClr val="FFFFFF"/>
                        </a:solidFill>
                        <a:ln w="9525">
                          <a:solidFill>
                            <a:srgbClr val="FFFFFF"/>
                          </a:solidFill>
                        </a:ln>
                      </wps:spPr>
                      <wps:txbx>
                        <w:txbxContent>
                          <w:p>
                            <w:pPr>
                              <w:pStyle w:val="Normal"/>
                              <w:jc w:val="both"/>
                              <w:rPr>
                                <w:rFonts w:ascii="標楷體" w:hAnsi="標楷體" w:eastAsia="標楷體" w:cs="標楷體"/>
                                <w:sz w:val="20"/>
                                <w:szCs w:val="20"/>
                              </w:rPr>
                            </w:pPr>
                            <w:r>
                              <w:rPr>
                                <w:rFonts w:ascii="標楷體" w:hAnsi="標楷體" w:cs="標楷體" w:eastAsia="標楷體"/>
                                <w:sz w:val="20"/>
                                <w:szCs w:val="20"/>
                              </w:rPr>
                              <w:t>第三階段</w:t>
                            </w:r>
                            <w:r>
                              <w:rPr>
                                <w:rFonts w:eastAsia="標楷體" w:cs="標楷體" w:ascii="標楷體" w:hAnsi="標楷體"/>
                                <w:sz w:val="20"/>
                                <w:szCs w:val="20"/>
                              </w:rPr>
                              <w:t>(</w:t>
                            </w:r>
                            <w:r>
                              <w:rPr>
                                <w:rFonts w:ascii="標楷體" w:hAnsi="標楷體" w:cs="標楷體" w:eastAsia="標楷體"/>
                                <w:sz w:val="20"/>
                                <w:szCs w:val="20"/>
                              </w:rPr>
                              <w:t>第十三至五十二週</w:t>
                            </w:r>
                            <w:r>
                              <w:rPr>
                                <w:rFonts w:eastAsia="標楷體" w:cs="標楷體" w:ascii="標楷體" w:hAnsi="標楷體"/>
                                <w:sz w:val="20"/>
                                <w:szCs w:val="20"/>
                              </w:rPr>
                              <w:t>)</w:t>
                            </w:r>
                          </w:p>
                        </w:txbxContent>
                      </wps:txbx>
                      <wps:bodyPr anchor="t" lIns="91440" tIns="45720" rIns="36195" bIns="45720" vert="eaVert">
                        <a:noAutofit/>
                      </wps:bodyPr>
                    </wps:wsp>
                  </a:graphicData>
                </a:graphic>
              </wp:anchor>
            </w:drawing>
          </mc:Choice>
          <mc:Fallback>
            <w:pict>
              <v:rect fillcolor="#FFFFFF" strokecolor="#FFFFFF" strokeweight="0pt" style="position:absolute;rotation:0;width:25pt;height:151.15pt;mso-wrap-distance-left:9.05pt;mso-wrap-distance-right:9.05pt;mso-wrap-distance-top:0pt;mso-wrap-distance-bottom:0pt;margin-top:290.2pt;mso-position-vertical-relative:text;margin-left:0.4pt;mso-position-horizontal-relative:text">
                <v:textbox inset="0.1in,0.05in,0.0395833333333333in">
                  <w:txbxContent>
                    <w:p>
                      <w:pPr>
                        <w:pStyle w:val="Normal"/>
                        <w:jc w:val="both"/>
                        <w:rPr>
                          <w:rFonts w:ascii="標楷體" w:hAnsi="標楷體" w:eastAsia="標楷體" w:cs="標楷體"/>
                          <w:sz w:val="20"/>
                          <w:szCs w:val="20"/>
                        </w:rPr>
                      </w:pPr>
                      <w:r>
                        <w:rPr>
                          <w:rFonts w:ascii="標楷體" w:hAnsi="標楷體" w:cs="標楷體" w:eastAsia="標楷體"/>
                          <w:sz w:val="20"/>
                          <w:szCs w:val="20"/>
                        </w:rPr>
                        <w:t>第三階段</w:t>
                      </w:r>
                      <w:r>
                        <w:rPr>
                          <w:rFonts w:eastAsia="標楷體" w:cs="標楷體" w:ascii="標楷體" w:hAnsi="標楷體"/>
                          <w:sz w:val="20"/>
                          <w:szCs w:val="20"/>
                        </w:rPr>
                        <w:t>(</w:t>
                      </w:r>
                      <w:r>
                        <w:rPr>
                          <w:rFonts w:ascii="標楷體" w:hAnsi="標楷體" w:cs="標楷體" w:eastAsia="標楷體"/>
                          <w:sz w:val="20"/>
                          <w:szCs w:val="20"/>
                        </w:rPr>
                        <w:t>第十三至五十二週</w:t>
                      </w:r>
                      <w:r>
                        <w:rPr>
                          <w:rFonts w:eastAsia="標楷體" w:cs="標楷體" w:ascii="標楷體" w:hAnsi="標楷體"/>
                          <w:sz w:val="20"/>
                          <w:szCs w:val="20"/>
                        </w:rPr>
                        <w:t>)</w:t>
                      </w:r>
                    </w:p>
                  </w:txbxContent>
                </v:textbox>
                <w10:wrap type="none"/>
              </v:rect>
            </w:pict>
          </mc:Fallback>
        </mc:AlternateContent>
      </w:r>
      <w:r>
        <mc:AlternateContent>
          <mc:Choice Requires="wps">
            <w:drawing>
              <wp:anchor behindDoc="0" distT="0" distB="0" distL="114935" distR="114935" simplePos="0" locked="0" layoutInCell="0" allowOverlap="1" relativeHeight="75">
                <wp:simplePos x="0" y="0"/>
                <wp:positionH relativeFrom="column">
                  <wp:posOffset>924560</wp:posOffset>
                </wp:positionH>
                <wp:positionV relativeFrom="paragraph">
                  <wp:posOffset>1556385</wp:posOffset>
                </wp:positionV>
                <wp:extent cx="471805" cy="190500"/>
                <wp:effectExtent l="0" t="0" r="0" b="0"/>
                <wp:wrapNone/>
                <wp:docPr id="48" name="外框7"/>
                <a:graphic xmlns:a="http://schemas.openxmlformats.org/drawingml/2006/main">
                  <a:graphicData uri="http://schemas.microsoft.com/office/word/2010/wordprocessingShape">
                    <wps:wsp>
                      <wps:cNvSpPr txBox="1"/>
                      <wps:spPr>
                        <a:xfrm>
                          <a:off x="0" y="0"/>
                          <a:ext cx="471805" cy="190500"/>
                        </a:xfrm>
                        <a:prstGeom prst="rect"/>
                        <a:solidFill>
                          <a:srgbClr val="FFFFFF"/>
                        </a:solidFill>
                        <a:ln w="9525">
                          <a:solidFill>
                            <a:srgbClr val="FFFFFF"/>
                          </a:solidFill>
                        </a:ln>
                      </wps:spPr>
                      <wps:txbx>
                        <w:txbxContent>
                          <w:p>
                            <w:pPr>
                              <w:pStyle w:val="Normal"/>
                              <w:rPr>
                                <w:rFonts w:ascii="標楷體" w:hAnsi="標楷體" w:eastAsia="標楷體" w:cs="標楷體"/>
                                <w:sz w:val="16"/>
                                <w:szCs w:val="16"/>
                              </w:rPr>
                            </w:pPr>
                            <w:r>
                              <w:rPr>
                                <w:rFonts w:ascii="標楷體" w:hAnsi="標楷體" w:cs="標楷體" w:eastAsia="標楷體"/>
                                <w:sz w:val="16"/>
                                <w:szCs w:val="16"/>
                              </w:rPr>
                              <w:t>未通過</w:t>
                            </w:r>
                          </w:p>
                        </w:txbxContent>
                      </wps:txbx>
                      <wps:bodyPr anchor="t" lIns="91440" tIns="45720" rIns="91440" bIns="45720">
                        <a:noAutofit/>
                      </wps:bodyPr>
                    </wps:wsp>
                  </a:graphicData>
                </a:graphic>
              </wp:anchor>
            </w:drawing>
          </mc:Choice>
          <mc:Fallback>
            <w:pict>
              <v:rect fillcolor="#FFFFFF" strokecolor="#FFFFFF" strokeweight="0pt" style="position:absolute;rotation:0;width:37.15pt;height:15pt;mso-wrap-distance-left:9.05pt;mso-wrap-distance-right:9.05pt;mso-wrap-distance-top:0pt;mso-wrap-distance-bottom:0pt;margin-top:122.55pt;mso-position-vertical-relative:text;margin-left:72.8pt;mso-position-horizontal-relative:text">
                <v:textbox>
                  <w:txbxContent>
                    <w:p>
                      <w:pPr>
                        <w:pStyle w:val="Normal"/>
                        <w:rPr>
                          <w:rFonts w:ascii="標楷體" w:hAnsi="標楷體" w:eastAsia="標楷體" w:cs="標楷體"/>
                          <w:sz w:val="16"/>
                          <w:szCs w:val="16"/>
                        </w:rPr>
                      </w:pPr>
                      <w:r>
                        <w:rPr>
                          <w:rFonts w:ascii="標楷體" w:hAnsi="標楷體" w:cs="標楷體" w:eastAsia="標楷體"/>
                          <w:sz w:val="16"/>
                          <w:szCs w:val="16"/>
                        </w:rPr>
                        <w:t>未通過</w:t>
                      </w:r>
                    </w:p>
                  </w:txbxContent>
                </v:textbox>
                <w10:wrap type="none"/>
              </v:rect>
            </w:pict>
          </mc:Fallback>
        </mc:AlternateContent>
      </w:r>
      <w:r>
        <mc:AlternateContent>
          <mc:Choice Requires="wps">
            <w:drawing>
              <wp:anchor behindDoc="0" distT="0" distB="0" distL="114935" distR="114935" simplePos="0" locked="0" layoutInCell="0" allowOverlap="1" relativeHeight="76">
                <wp:simplePos x="0" y="0"/>
                <wp:positionH relativeFrom="column">
                  <wp:posOffset>949960</wp:posOffset>
                </wp:positionH>
                <wp:positionV relativeFrom="paragraph">
                  <wp:posOffset>2896235</wp:posOffset>
                </wp:positionV>
                <wp:extent cx="471805" cy="190500"/>
                <wp:effectExtent l="0" t="0" r="0" b="0"/>
                <wp:wrapNone/>
                <wp:docPr id="49" name="外框6"/>
                <a:graphic xmlns:a="http://schemas.openxmlformats.org/drawingml/2006/main">
                  <a:graphicData uri="http://schemas.microsoft.com/office/word/2010/wordprocessingShape">
                    <wps:wsp>
                      <wps:cNvSpPr txBox="1"/>
                      <wps:spPr>
                        <a:xfrm>
                          <a:off x="0" y="0"/>
                          <a:ext cx="471805" cy="190500"/>
                        </a:xfrm>
                        <a:prstGeom prst="rect"/>
                        <a:solidFill>
                          <a:srgbClr val="FFFFFF"/>
                        </a:solidFill>
                        <a:ln w="9525">
                          <a:solidFill>
                            <a:srgbClr val="FFFFFF"/>
                          </a:solidFill>
                        </a:ln>
                      </wps:spPr>
                      <wps:txbx>
                        <w:txbxContent>
                          <w:p>
                            <w:pPr>
                              <w:pStyle w:val="Normal"/>
                              <w:rPr>
                                <w:rFonts w:ascii="標楷體" w:hAnsi="標楷體" w:eastAsia="標楷體" w:cs="標楷體"/>
                                <w:sz w:val="16"/>
                                <w:szCs w:val="16"/>
                              </w:rPr>
                            </w:pPr>
                            <w:r>
                              <w:rPr>
                                <w:rFonts w:ascii="標楷體" w:hAnsi="標楷體" w:cs="標楷體" w:eastAsia="標楷體"/>
                                <w:sz w:val="16"/>
                                <w:szCs w:val="16"/>
                              </w:rPr>
                              <w:t>未通過</w:t>
                            </w:r>
                          </w:p>
                        </w:txbxContent>
                      </wps:txbx>
                      <wps:bodyPr anchor="t" lIns="91440" tIns="45720" rIns="91440" bIns="45720">
                        <a:noAutofit/>
                      </wps:bodyPr>
                    </wps:wsp>
                  </a:graphicData>
                </a:graphic>
              </wp:anchor>
            </w:drawing>
          </mc:Choice>
          <mc:Fallback>
            <w:pict>
              <v:rect fillcolor="#FFFFFF" strokecolor="#FFFFFF" strokeweight="0pt" style="position:absolute;rotation:0;width:37.15pt;height:15pt;mso-wrap-distance-left:9.05pt;mso-wrap-distance-right:9.05pt;mso-wrap-distance-top:0pt;mso-wrap-distance-bottom:0pt;margin-top:228.05pt;mso-position-vertical-relative:text;margin-left:74.8pt;mso-position-horizontal-relative:text">
                <v:textbox>
                  <w:txbxContent>
                    <w:p>
                      <w:pPr>
                        <w:pStyle w:val="Normal"/>
                        <w:rPr>
                          <w:rFonts w:ascii="標楷體" w:hAnsi="標楷體" w:eastAsia="標楷體" w:cs="標楷體"/>
                          <w:sz w:val="16"/>
                          <w:szCs w:val="16"/>
                        </w:rPr>
                      </w:pPr>
                      <w:r>
                        <w:rPr>
                          <w:rFonts w:ascii="標楷體" w:hAnsi="標楷體" w:cs="標楷體" w:eastAsia="標楷體"/>
                          <w:sz w:val="16"/>
                          <w:szCs w:val="16"/>
                        </w:rPr>
                        <w:t>未通過</w:t>
                      </w:r>
                    </w:p>
                  </w:txbxContent>
                </v:textbox>
                <w10:wrap type="none"/>
              </v:rect>
            </w:pict>
          </mc:Fallback>
        </mc:AlternateContent>
      </w:r>
      <w:r>
        <mc:AlternateContent>
          <mc:Choice Requires="wps">
            <w:drawing>
              <wp:anchor behindDoc="0" distT="0" distB="0" distL="114935" distR="114935" simplePos="0" locked="0" layoutInCell="0" allowOverlap="1" relativeHeight="97">
                <wp:simplePos x="0" y="0"/>
                <wp:positionH relativeFrom="column">
                  <wp:posOffset>2326005</wp:posOffset>
                </wp:positionH>
                <wp:positionV relativeFrom="paragraph">
                  <wp:posOffset>1525270</wp:posOffset>
                </wp:positionV>
                <wp:extent cx="975995" cy="364490"/>
                <wp:effectExtent l="0" t="0" r="0" b="0"/>
                <wp:wrapNone/>
                <wp:docPr id="50" name="外框5"/>
                <a:graphic xmlns:a="http://schemas.openxmlformats.org/drawingml/2006/main">
                  <a:graphicData uri="http://schemas.microsoft.com/office/word/2010/wordprocessingShape">
                    <wps:wsp>
                      <wps:cNvSpPr txBox="1"/>
                      <wps:spPr>
                        <a:xfrm>
                          <a:off x="0" y="0"/>
                          <a:ext cx="975995" cy="364490"/>
                        </a:xfrm>
                        <a:prstGeom prst="rect"/>
                        <a:solidFill>
                          <a:srgbClr val="FFFFFF"/>
                        </a:solidFill>
                        <a:ln w="9525">
                          <a:solidFill>
                            <a:srgbClr val="FFFFFF"/>
                          </a:solidFill>
                        </a:ln>
                      </wps:spPr>
                      <wps:txbx>
                        <w:txbxContent>
                          <w:p>
                            <w:pPr>
                              <w:pStyle w:val="Normal"/>
                              <w:rPr>
                                <w:rFonts w:ascii="標楷體" w:hAnsi="標楷體" w:eastAsia="標楷體" w:cs="標楷體"/>
                                <w:sz w:val="16"/>
                                <w:szCs w:val="16"/>
                              </w:rPr>
                            </w:pPr>
                            <w:r>
                              <w:rPr>
                                <w:rFonts w:ascii="標楷體" w:hAnsi="標楷體" w:cs="標楷體" w:eastAsia="標楷體"/>
                                <w:sz w:val="16"/>
                                <w:szCs w:val="16"/>
                              </w:rPr>
                              <w:t>未通過；沉思前期</w:t>
                            </w:r>
                          </w:p>
                        </w:txbxContent>
                      </wps:txbx>
                      <wps:bodyPr anchor="t" lIns="91440" tIns="45720" rIns="91440" bIns="45720">
                        <a:noAutofit/>
                      </wps:bodyPr>
                    </wps:wsp>
                  </a:graphicData>
                </a:graphic>
              </wp:anchor>
            </w:drawing>
          </mc:Choice>
          <mc:Fallback>
            <w:pict>
              <v:rect fillcolor="#FFFFFF" strokecolor="#FFFFFF" strokeweight="0pt" style="position:absolute;rotation:0;width:76.85pt;height:28.7pt;mso-wrap-distance-left:9.05pt;mso-wrap-distance-right:9.05pt;mso-wrap-distance-top:0pt;mso-wrap-distance-bottom:0pt;margin-top:120.1pt;mso-position-vertical-relative:text;margin-left:183.15pt;mso-position-horizontal-relative:text">
                <v:textbox>
                  <w:txbxContent>
                    <w:p>
                      <w:pPr>
                        <w:pStyle w:val="Normal"/>
                        <w:rPr>
                          <w:rFonts w:ascii="標楷體" w:hAnsi="標楷體" w:eastAsia="標楷體" w:cs="標楷體"/>
                          <w:sz w:val="16"/>
                          <w:szCs w:val="16"/>
                        </w:rPr>
                      </w:pPr>
                      <w:r>
                        <w:rPr>
                          <w:rFonts w:ascii="標楷體" w:hAnsi="標楷體" w:cs="標楷體" w:eastAsia="標楷體"/>
                          <w:sz w:val="16"/>
                          <w:szCs w:val="16"/>
                        </w:rPr>
                        <w:t>未通過；沉思前期</w:t>
                      </w:r>
                    </w:p>
                  </w:txbxContent>
                </v:textbox>
                <w10:wrap type="none"/>
              </v:rect>
            </w:pict>
          </mc:Fallback>
        </mc:AlternateContent>
      </w:r>
      <w:r>
        <mc:AlternateContent>
          <mc:Choice Requires="wps">
            <w:drawing>
              <wp:anchor behindDoc="0" distT="0" distB="0" distL="114935" distR="114935" simplePos="0" locked="0" layoutInCell="0" allowOverlap="1" relativeHeight="105">
                <wp:simplePos x="0" y="0"/>
                <wp:positionH relativeFrom="column">
                  <wp:posOffset>2454910</wp:posOffset>
                </wp:positionH>
                <wp:positionV relativeFrom="paragraph">
                  <wp:posOffset>2926715</wp:posOffset>
                </wp:positionV>
                <wp:extent cx="928370" cy="363855"/>
                <wp:effectExtent l="0" t="0" r="0" b="0"/>
                <wp:wrapNone/>
                <wp:docPr id="51" name="外框4"/>
                <a:graphic xmlns:a="http://schemas.openxmlformats.org/drawingml/2006/main">
                  <a:graphicData uri="http://schemas.microsoft.com/office/word/2010/wordprocessingShape">
                    <wps:wsp>
                      <wps:cNvSpPr txBox="1"/>
                      <wps:spPr>
                        <a:xfrm>
                          <a:off x="0" y="0"/>
                          <a:ext cx="928370" cy="363855"/>
                        </a:xfrm>
                        <a:prstGeom prst="rect"/>
                        <a:solidFill>
                          <a:srgbClr val="FFFFFF"/>
                        </a:solidFill>
                        <a:ln w="9525">
                          <a:solidFill>
                            <a:srgbClr val="FFFFFF"/>
                          </a:solidFill>
                        </a:ln>
                      </wps:spPr>
                      <wps:txbx>
                        <w:txbxContent>
                          <w:p>
                            <w:pPr>
                              <w:pStyle w:val="Normal"/>
                              <w:snapToGrid w:val="false"/>
                              <w:rPr>
                                <w:rFonts w:ascii="標楷體" w:hAnsi="標楷體" w:eastAsia="標楷體" w:cs="標楷體"/>
                                <w:sz w:val="16"/>
                                <w:szCs w:val="16"/>
                              </w:rPr>
                            </w:pPr>
                            <w:r>
                              <w:rPr>
                                <w:rFonts w:ascii="標楷體" w:hAnsi="標楷體" w:cs="標楷體" w:eastAsia="標楷體"/>
                                <w:sz w:val="16"/>
                                <w:szCs w:val="16"/>
                              </w:rPr>
                              <w:t>未通過；沉思前期</w:t>
                            </w:r>
                          </w:p>
                        </w:txbxContent>
                      </wps:txbx>
                      <wps:bodyPr anchor="t" lIns="53975" tIns="45720" rIns="53975" bIns="45720">
                        <a:noAutofit/>
                      </wps:bodyPr>
                    </wps:wsp>
                  </a:graphicData>
                </a:graphic>
              </wp:anchor>
            </w:drawing>
          </mc:Choice>
          <mc:Fallback>
            <w:pict>
              <v:rect fillcolor="#FFFFFF" strokecolor="#FFFFFF" strokeweight="0pt" style="position:absolute;rotation:0;width:73.1pt;height:28.65pt;mso-wrap-distance-left:9.05pt;mso-wrap-distance-right:9.05pt;mso-wrap-distance-top:0pt;mso-wrap-distance-bottom:0pt;margin-top:230.45pt;mso-position-vertical-relative:text;margin-left:193.3pt;mso-position-horizontal-relative:text">
                <v:textbox inset="0.0590277777777778in,0.05in,0.0590277777777778in">
                  <w:txbxContent>
                    <w:p>
                      <w:pPr>
                        <w:pStyle w:val="Normal"/>
                        <w:snapToGrid w:val="false"/>
                        <w:rPr>
                          <w:rFonts w:ascii="標楷體" w:hAnsi="標楷體" w:eastAsia="標楷體" w:cs="標楷體"/>
                          <w:sz w:val="16"/>
                          <w:szCs w:val="16"/>
                        </w:rPr>
                      </w:pPr>
                      <w:r>
                        <w:rPr>
                          <w:rFonts w:ascii="標楷體" w:hAnsi="標楷體" w:cs="標楷體" w:eastAsia="標楷體"/>
                          <w:sz w:val="16"/>
                          <w:szCs w:val="16"/>
                        </w:rPr>
                        <w:t>未通過；沉思前期</w:t>
                      </w:r>
                    </w:p>
                  </w:txbxContent>
                </v:textbox>
                <w10:wrap type="none"/>
              </v:rect>
            </w:pict>
          </mc:Fallback>
        </mc:AlternateContent>
      </w:r>
      <w:r>
        <mc:AlternateContent>
          <mc:Choice Requires="wps">
            <w:drawing>
              <wp:anchor behindDoc="0" distT="0" distB="0" distL="114935" distR="114935" simplePos="0" locked="0" layoutInCell="0" allowOverlap="1" relativeHeight="106">
                <wp:simplePos x="0" y="0"/>
                <wp:positionH relativeFrom="column">
                  <wp:posOffset>2499995</wp:posOffset>
                </wp:positionH>
                <wp:positionV relativeFrom="paragraph">
                  <wp:posOffset>4260850</wp:posOffset>
                </wp:positionV>
                <wp:extent cx="883285" cy="364490"/>
                <wp:effectExtent l="0" t="0" r="0" b="0"/>
                <wp:wrapNone/>
                <wp:docPr id="52" name="外框3"/>
                <a:graphic xmlns:a="http://schemas.openxmlformats.org/drawingml/2006/main">
                  <a:graphicData uri="http://schemas.microsoft.com/office/word/2010/wordprocessingShape">
                    <wps:wsp>
                      <wps:cNvSpPr txBox="1"/>
                      <wps:spPr>
                        <a:xfrm>
                          <a:off x="0" y="0"/>
                          <a:ext cx="883285" cy="364490"/>
                        </a:xfrm>
                        <a:prstGeom prst="rect"/>
                        <a:solidFill>
                          <a:srgbClr val="FFFFFF"/>
                        </a:solidFill>
                        <a:ln w="9525">
                          <a:solidFill>
                            <a:srgbClr val="FFFFFF"/>
                          </a:solidFill>
                        </a:ln>
                      </wps:spPr>
                      <wps:txbx>
                        <w:txbxContent>
                          <w:p>
                            <w:pPr>
                              <w:pStyle w:val="Normal"/>
                              <w:rPr>
                                <w:rFonts w:ascii="標楷體" w:hAnsi="標楷體" w:eastAsia="標楷體" w:cs="標楷體"/>
                                <w:sz w:val="16"/>
                                <w:szCs w:val="16"/>
                              </w:rPr>
                            </w:pPr>
                            <w:r>
                              <w:rPr>
                                <w:rFonts w:ascii="標楷體" w:hAnsi="標楷體" w:cs="標楷體" w:eastAsia="標楷體"/>
                                <w:sz w:val="16"/>
                                <w:szCs w:val="16"/>
                              </w:rPr>
                              <w:t>未通過；沉思前期</w:t>
                            </w:r>
                          </w:p>
                        </w:txbxContent>
                      </wps:txbx>
                      <wps:bodyPr anchor="t" lIns="17780" tIns="10795" rIns="17780" bIns="45720">
                        <a:noAutofit/>
                      </wps:bodyPr>
                    </wps:wsp>
                  </a:graphicData>
                </a:graphic>
              </wp:anchor>
            </w:drawing>
          </mc:Choice>
          <mc:Fallback>
            <w:pict>
              <v:rect fillcolor="#FFFFFF" strokecolor="#FFFFFF" strokeweight="0pt" style="position:absolute;rotation:0;width:69.55pt;height:28.7pt;mso-wrap-distance-left:9.05pt;mso-wrap-distance-right:9.05pt;mso-wrap-distance-top:0pt;mso-wrap-distance-bottom:0pt;margin-top:335.5pt;mso-position-vertical-relative:text;margin-left:196.85pt;mso-position-horizontal-relative:text">
                <v:textbox inset="0.0194444444444444in,0.0118055555555556in,0.0194444444444444in">
                  <w:txbxContent>
                    <w:p>
                      <w:pPr>
                        <w:pStyle w:val="Normal"/>
                        <w:rPr>
                          <w:rFonts w:ascii="標楷體" w:hAnsi="標楷體" w:eastAsia="標楷體" w:cs="標楷體"/>
                          <w:sz w:val="16"/>
                          <w:szCs w:val="16"/>
                        </w:rPr>
                      </w:pPr>
                      <w:r>
                        <w:rPr>
                          <w:rFonts w:ascii="標楷體" w:hAnsi="標楷體" w:cs="標楷體" w:eastAsia="標楷體"/>
                          <w:sz w:val="16"/>
                          <w:szCs w:val="16"/>
                        </w:rPr>
                        <w:t>未通過；沉思前期</w:t>
                      </w:r>
                    </w:p>
                  </w:txbxContent>
                </v:textbox>
                <w10:wrap type="none"/>
              </v:rect>
            </w:pict>
          </mc:Fallback>
        </mc:AlternateContent>
      </w:r>
    </w:p>
    <w:p>
      <w:pPr>
        <w:pStyle w:val="1"/>
        <w:spacing w:before="0" w:after="0"/>
        <w:jc w:val="center"/>
        <w:rPr/>
      </w:pPr>
      <w:bookmarkStart w:id="18" w:name="__RefHeading___Toc319875838"/>
      <w:bookmarkEnd w:id="18"/>
      <w:r>
        <w:rPr/>
        <w:t>參考文獻</w:t>
      </w:r>
    </w:p>
    <w:p>
      <w:pPr>
        <w:pStyle w:val="Normal"/>
        <w:ind w:left="720" w:hanging="720"/>
        <w:rPr/>
      </w:pPr>
      <w:r>
        <w:fldChar w:fldCharType="begin"/>
      </w:r>
      <w:r>
        <w:rPr>
          <w:lang w:val="zh-TW" w:eastAsia="zh-TW"/>
        </w:rPr>
        <w:instrText> ADDIN EN.REFLIST </w:instrText>
      </w:r>
      <w:bookmarkStart w:id="19" w:name="_ENREF_47"/>
      <w:bookmarkStart w:id="20" w:name="_ENREF_46"/>
      <w:bookmarkStart w:id="21" w:name="_ENREF_45"/>
      <w:bookmarkStart w:id="22" w:name="_ENREF_44"/>
      <w:bookmarkStart w:id="23" w:name="_ENREF_43"/>
      <w:bookmarkStart w:id="24" w:name="_ENREF_42"/>
      <w:bookmarkStart w:id="25" w:name="_ENREF_41"/>
      <w:bookmarkStart w:id="26" w:name="_ENREF_40"/>
      <w:bookmarkStart w:id="27" w:name="_ENREF_39"/>
      <w:bookmarkStart w:id="28" w:name="_ENREF_38"/>
      <w:bookmarkStart w:id="29" w:name="_ENREF_37"/>
      <w:bookmarkStart w:id="30" w:name="_ENREF_36"/>
      <w:bookmarkStart w:id="31" w:name="_ENREF_35"/>
      <w:bookmarkStart w:id="32" w:name="_ENREF_34"/>
      <w:bookmarkStart w:id="33" w:name="_ENREF_33"/>
      <w:bookmarkStart w:id="34" w:name="_ENREF_32"/>
      <w:bookmarkStart w:id="35" w:name="_ENREF_31"/>
      <w:bookmarkStart w:id="36" w:name="_ENREF_30"/>
      <w:bookmarkStart w:id="37" w:name="_ENREF_29"/>
      <w:bookmarkStart w:id="38" w:name="_ENREF_28"/>
      <w:bookmarkStart w:id="39" w:name="_ENREF_27"/>
      <w:bookmarkStart w:id="40" w:name="_ENREF_26"/>
      <w:bookmarkStart w:id="41" w:name="_ENREF_25"/>
      <w:bookmarkStart w:id="42" w:name="_ENREF_24"/>
      <w:bookmarkStart w:id="43" w:name="_ENREF_23"/>
      <w:bookmarkStart w:id="44" w:name="_ENREF_22"/>
      <w:bookmarkStart w:id="45" w:name="_ENREF_21"/>
      <w:bookmarkStart w:id="46" w:name="_ENREF_20"/>
      <w:bookmarkStart w:id="47" w:name="_ENREF_19"/>
      <w:bookmarkStart w:id="48" w:name="_ENREF_18"/>
      <w:bookmarkStart w:id="49" w:name="_ENREF_17"/>
      <w:bookmarkStart w:id="50" w:name="_ENREF_16"/>
      <w:bookmarkStart w:id="51" w:name="_ENREF_15"/>
      <w:bookmarkStart w:id="52" w:name="_ENREF_14"/>
      <w:bookmarkStart w:id="53" w:name="_ENREF_13"/>
      <w:bookmarkStart w:id="54" w:name="_ENREF_12"/>
      <w:bookmarkStart w:id="55" w:name="_ENREF_11"/>
      <w:bookmarkStart w:id="56" w:name="_ENREF_10"/>
      <w:bookmarkStart w:id="57" w:name="_ENREF_9"/>
      <w:bookmarkStart w:id="58" w:name="_ENREF_8"/>
      <w:bookmarkStart w:id="59" w:name="_ENREF_7"/>
      <w:bookmarkStart w:id="60" w:name="_ENREF_6"/>
      <w:bookmarkStart w:id="61" w:name="_ENREF_5"/>
      <w:bookmarkStart w:id="62" w:name="_ENREF_4"/>
      <w:bookmarkStart w:id="63" w:name="_ENREF_3"/>
      <w:bookmarkStart w:id="64" w:name="_ENREF_2"/>
      <w:bookmarkStart w:id="65" w:name="_ENREF_1"/>
      <w:r>
        <w:rPr>
          <w:lang w:val="zh-TW" w:eastAsia="zh-TW"/>
        </w:rPr>
      </w:r>
      <w:r>
        <w:rPr>
          <w:lang w:val="zh-TW" w:eastAsia="zh-TW"/>
        </w:rPr>
        <w:fldChar w:fldCharType="separate"/>
      </w:r>
      <w:r>
        <w:rPr>
          <w:lang w:val="zh-TW" w:eastAsia="zh-TW"/>
        </w:rPr>
      </w:r>
      <w:r>
        <w:rPr>
          <w:lang w:val="zh-TW" w:eastAsia="zh-TW"/>
        </w:rPr>
        <w:t>1.</w:t>
        <w:tab/>
        <w:t xml:space="preserve">Rawson, R.A., R. Gonzales, and P. Brethen, </w:t>
      </w:r>
      <w:r>
        <w:rPr>
          <w:i/>
          <w:lang w:val="zh-TW" w:eastAsia="zh-TW"/>
        </w:rPr>
        <w:t>Treatment of methamphetamine use disorders: an update.</w:t>
      </w:r>
      <w:r>
        <w:rPr>
          <w:lang w:val="zh-TW" w:eastAsia="zh-TW"/>
        </w:rPr>
        <w:t xml:space="preserve"> J Subst Abuse Treat, 2002. </w:t>
      </w:r>
      <w:r>
        <w:rPr>
          <w:b/>
          <w:lang w:val="zh-TW" w:eastAsia="zh-TW"/>
        </w:rPr>
        <w:t>23</w:t>
      </w:r>
      <w:r>
        <w:rPr>
          <w:lang w:val="zh-TW" w:eastAsia="zh-TW"/>
        </w:rPr>
        <w:t>(2): p. 145-5</w:t>
      </w:r>
      <w:bookmarkEnd w:id="65"/>
      <w:r>
        <w:rPr>
          <w:lang w:val="zh-TW" w:eastAsia="zh-TW"/>
        </w:rPr>
        <w:t>0.</w:t>
      </w:r>
    </w:p>
    <w:p>
      <w:pPr>
        <w:pStyle w:val="Normal"/>
        <w:ind w:left="720" w:hanging="720"/>
        <w:rPr/>
      </w:pPr>
      <w:r>
        <w:rPr>
          <w:lang w:val="zh-TW" w:eastAsia="zh-TW"/>
        </w:rPr>
        <w:t>2.</w:t>
        <w:tab/>
        <w:t xml:space="preserve">Ahmad, K., </w:t>
      </w:r>
      <w:r>
        <w:rPr>
          <w:i/>
          <w:lang w:val="zh-TW" w:eastAsia="zh-TW"/>
        </w:rPr>
        <w:t>Asia grapples with spreading amphetamine abuse.</w:t>
      </w:r>
      <w:r>
        <w:rPr>
          <w:lang w:val="zh-TW" w:eastAsia="zh-TW"/>
        </w:rPr>
        <w:t xml:space="preserve"> Lancet, 2003. </w:t>
      </w:r>
      <w:r>
        <w:rPr>
          <w:b/>
          <w:lang w:val="zh-TW" w:eastAsia="zh-TW"/>
        </w:rPr>
        <w:t>361</w:t>
      </w:r>
      <w:r>
        <w:rPr>
          <w:lang w:val="zh-TW" w:eastAsia="zh-TW"/>
        </w:rPr>
        <w:t>(9372): p. 1878-9.</w:t>
      </w:r>
      <w:bookmarkEnd w:id="64"/>
    </w:p>
    <w:p>
      <w:pPr>
        <w:pStyle w:val="Normal"/>
        <w:ind w:left="720" w:hanging="720"/>
        <w:rPr/>
      </w:pPr>
      <w:r>
        <w:rPr>
          <w:lang w:val="zh-TW" w:eastAsia="zh-TW"/>
        </w:rPr>
        <w:t>3.</w:t>
        <w:tab/>
        <w:t xml:space="preserve">Ginsberg, M.D., M. Hertzman, and W.W. Schmidt-Nowara, </w:t>
      </w:r>
      <w:r>
        <w:rPr>
          <w:i/>
          <w:lang w:val="zh-TW" w:eastAsia="zh-TW"/>
        </w:rPr>
        <w:t>Amphetamine intoxication with coagulopathy, hyperthermia, and reversible renal failure. A syndrome resembling heatstroke.</w:t>
      </w:r>
      <w:r>
        <w:rPr>
          <w:lang w:val="zh-TW" w:eastAsia="zh-TW"/>
        </w:rPr>
        <w:t xml:space="preserve"> Ann Intern Med, 1970. </w:t>
      </w:r>
      <w:r>
        <w:rPr>
          <w:b/>
          <w:lang w:val="zh-TW" w:eastAsia="zh-TW"/>
        </w:rPr>
        <w:t>73</w:t>
      </w:r>
      <w:r>
        <w:rPr>
          <w:lang w:val="zh-TW" w:eastAsia="zh-TW"/>
        </w:rPr>
        <w:t>(1): p. 81-5.</w:t>
      </w:r>
      <w:bookmarkEnd w:id="63"/>
    </w:p>
    <w:p>
      <w:pPr>
        <w:pStyle w:val="Normal"/>
        <w:ind w:left="720" w:hanging="720"/>
        <w:rPr/>
      </w:pPr>
      <w:r>
        <w:rPr>
          <w:lang w:val="zh-TW" w:eastAsia="zh-TW"/>
        </w:rPr>
        <w:t>4.</w:t>
        <w:tab/>
        <w:t xml:space="preserve">Comer, S.D., et al., </w:t>
      </w:r>
      <w:r>
        <w:rPr>
          <w:i/>
          <w:lang w:val="zh-TW" w:eastAsia="zh-TW"/>
        </w:rPr>
        <w:t>Effects of repeated oral methamphetamine administration in humans.</w:t>
      </w:r>
      <w:r>
        <w:rPr>
          <w:lang w:val="zh-TW" w:eastAsia="zh-TW"/>
        </w:rPr>
        <w:t xml:space="preserve"> Psychopharmacology (Berl), 2001. </w:t>
      </w:r>
      <w:r>
        <w:rPr>
          <w:b/>
          <w:lang w:val="zh-TW" w:eastAsia="zh-TW"/>
        </w:rPr>
        <w:t>155</w:t>
      </w:r>
      <w:r>
        <w:rPr>
          <w:lang w:val="zh-TW" w:eastAsia="zh-TW"/>
        </w:rPr>
        <w:t>(4): p. 397-404.</w:t>
      </w:r>
      <w:bookmarkEnd w:id="62"/>
    </w:p>
    <w:p>
      <w:pPr>
        <w:pStyle w:val="Normal"/>
        <w:ind w:left="720" w:hanging="720"/>
        <w:rPr/>
      </w:pPr>
      <w:r>
        <w:rPr>
          <w:lang w:val="zh-TW" w:eastAsia="zh-TW"/>
        </w:rPr>
        <w:t>5.</w:t>
        <w:tab/>
        <w:t xml:space="preserve">Anglin, M.D., et al., </w:t>
      </w:r>
      <w:r>
        <w:rPr>
          <w:i/>
          <w:lang w:val="zh-TW" w:eastAsia="zh-TW"/>
        </w:rPr>
        <w:t>History of the methamphetamine problem.</w:t>
      </w:r>
      <w:r>
        <w:rPr>
          <w:lang w:val="zh-TW" w:eastAsia="zh-TW"/>
        </w:rPr>
        <w:t xml:space="preserve"> J Psychoactive Drugs, 2000. </w:t>
      </w:r>
      <w:r>
        <w:rPr>
          <w:b/>
          <w:lang w:val="zh-TW" w:eastAsia="zh-TW"/>
        </w:rPr>
        <w:t>32</w:t>
      </w:r>
      <w:r>
        <w:rPr>
          <w:lang w:val="zh-TW" w:eastAsia="zh-TW"/>
        </w:rPr>
        <w:t>(2): p. 137-41.</w:t>
      </w:r>
      <w:bookmarkEnd w:id="61"/>
    </w:p>
    <w:p>
      <w:pPr>
        <w:pStyle w:val="Normal"/>
        <w:ind w:left="720" w:hanging="720"/>
        <w:rPr/>
      </w:pPr>
      <w:r>
        <w:rPr>
          <w:lang w:val="zh-TW" w:eastAsia="zh-TW"/>
        </w:rPr>
        <w:t>6.</w:t>
        <w:tab/>
        <w:t xml:space="preserve">Fleckenstein, A.E., et al., </w:t>
      </w:r>
      <w:r>
        <w:rPr>
          <w:i/>
          <w:lang w:val="zh-TW" w:eastAsia="zh-TW"/>
        </w:rPr>
        <w:t>Differential effects of psychostimulants and related agents on dopaminergic and serotonergic transporter function.</w:t>
      </w:r>
      <w:r>
        <w:rPr>
          <w:lang w:val="zh-TW" w:eastAsia="zh-TW"/>
        </w:rPr>
        <w:t xml:space="preserve"> Eur J Pharmacol, 1999. </w:t>
      </w:r>
      <w:r>
        <w:rPr>
          <w:b/>
          <w:lang w:val="zh-TW" w:eastAsia="zh-TW"/>
        </w:rPr>
        <w:t>382</w:t>
      </w:r>
      <w:r>
        <w:rPr>
          <w:lang w:val="zh-TW" w:eastAsia="zh-TW"/>
        </w:rPr>
        <w:t>(1): p. 45-9.</w:t>
      </w:r>
      <w:bookmarkEnd w:id="60"/>
    </w:p>
    <w:p>
      <w:pPr>
        <w:pStyle w:val="Normal"/>
        <w:ind w:left="720" w:hanging="720"/>
        <w:rPr/>
      </w:pPr>
      <w:r>
        <w:rPr>
          <w:lang w:val="zh-TW" w:eastAsia="zh-TW"/>
        </w:rPr>
        <w:t>7.</w:t>
        <w:tab/>
        <w:t xml:space="preserve">Harris, D.S., et al., </w:t>
      </w:r>
      <w:r>
        <w:rPr>
          <w:i/>
          <w:lang w:val="zh-TW" w:eastAsia="zh-TW"/>
        </w:rPr>
        <w:t>The bioavailability of intranasal and smoked methamphetamine.</w:t>
      </w:r>
      <w:r>
        <w:rPr>
          <w:lang w:val="zh-TW" w:eastAsia="zh-TW"/>
        </w:rPr>
        <w:t xml:space="preserve"> Clin Pharmacol Ther, 2003. </w:t>
      </w:r>
      <w:r>
        <w:rPr>
          <w:b/>
          <w:lang w:val="zh-TW" w:eastAsia="zh-TW"/>
        </w:rPr>
        <w:t>74</w:t>
      </w:r>
      <w:r>
        <w:rPr>
          <w:lang w:val="zh-TW" w:eastAsia="zh-TW"/>
        </w:rPr>
        <w:t>(5): p. 475-86.</w:t>
      </w:r>
      <w:bookmarkEnd w:id="59"/>
    </w:p>
    <w:p>
      <w:pPr>
        <w:pStyle w:val="Normal"/>
        <w:ind w:left="720" w:hanging="720"/>
        <w:rPr/>
      </w:pPr>
      <w:r>
        <w:rPr>
          <w:lang w:val="zh-TW" w:eastAsia="zh-TW"/>
        </w:rPr>
        <w:t>8.</w:t>
        <w:tab/>
        <w:t xml:space="preserve">Lin, L.Y., et al., </w:t>
      </w:r>
      <w:r>
        <w:rPr>
          <w:i/>
          <w:lang w:val="zh-TW" w:eastAsia="zh-TW"/>
        </w:rPr>
        <w:t>Oxidation of methamphetamine and methylenedioxymethamphetamine by CYP2D6.</w:t>
      </w:r>
      <w:r>
        <w:rPr>
          <w:lang w:val="zh-TW" w:eastAsia="zh-TW"/>
        </w:rPr>
        <w:t xml:space="preserve"> Drug Metab Dispos, 1997. </w:t>
      </w:r>
      <w:r>
        <w:rPr>
          <w:b/>
          <w:lang w:val="zh-TW" w:eastAsia="zh-TW"/>
        </w:rPr>
        <w:t>25</w:t>
      </w:r>
      <w:r>
        <w:rPr>
          <w:lang w:val="zh-TW" w:eastAsia="zh-TW"/>
        </w:rPr>
        <w:t>(9): p. 1059-64.</w:t>
      </w:r>
      <w:bookmarkEnd w:id="58"/>
    </w:p>
    <w:p>
      <w:pPr>
        <w:pStyle w:val="Normal"/>
        <w:ind w:left="720" w:hanging="720"/>
        <w:rPr/>
      </w:pPr>
      <w:r>
        <w:rPr>
          <w:lang w:val="zh-TW" w:eastAsia="zh-TW"/>
        </w:rPr>
        <w:t>9.</w:t>
        <w:tab/>
        <w:t xml:space="preserve">Bach, M.V., R.T. Coutts, and G.B. Baker, </w:t>
      </w:r>
      <w:r>
        <w:rPr>
          <w:i/>
          <w:lang w:val="zh-TW" w:eastAsia="zh-TW"/>
        </w:rPr>
        <w:t>Involvement of CYP2D6 in the in vitro metabolism of amphetamine, two N-alkylamphetamines and their 4-methoxylated derivatives.</w:t>
      </w:r>
      <w:r>
        <w:rPr>
          <w:lang w:val="zh-TW" w:eastAsia="zh-TW"/>
        </w:rPr>
        <w:t xml:space="preserve"> Xenobiotica, 1999. </w:t>
      </w:r>
      <w:r>
        <w:rPr>
          <w:b/>
          <w:lang w:val="zh-TW" w:eastAsia="zh-TW"/>
        </w:rPr>
        <w:t>29</w:t>
      </w:r>
      <w:r>
        <w:rPr>
          <w:lang w:val="zh-TW" w:eastAsia="zh-TW"/>
        </w:rPr>
        <w:t>(7): p. 719-32.</w:t>
      </w:r>
      <w:bookmarkEnd w:id="57"/>
    </w:p>
    <w:p>
      <w:pPr>
        <w:pStyle w:val="Normal"/>
        <w:ind w:left="720" w:hanging="720"/>
        <w:rPr/>
      </w:pPr>
      <w:r>
        <w:rPr>
          <w:lang w:val="zh-TW" w:eastAsia="zh-TW"/>
        </w:rPr>
        <w:t>10.</w:t>
        <w:tab/>
        <w:t xml:space="preserve">Shiiyama, S., et al., </w:t>
      </w:r>
      <w:r>
        <w:rPr>
          <w:i/>
          <w:lang w:val="zh-TW" w:eastAsia="zh-TW"/>
        </w:rPr>
        <w:t>Major role of the CYP2C isozymes in deamination of amphetamine and benzphetamine: evidence for the quinidine-specific inhibition of the reactions catalysed by rabbit enzyme.</w:t>
      </w:r>
      <w:r>
        <w:rPr>
          <w:lang w:val="zh-TW" w:eastAsia="zh-TW"/>
        </w:rPr>
        <w:t xml:space="preserve"> Xenobiotica, 1997. </w:t>
      </w:r>
      <w:r>
        <w:rPr>
          <w:b/>
          <w:lang w:val="zh-TW" w:eastAsia="zh-TW"/>
        </w:rPr>
        <w:t>27</w:t>
      </w:r>
      <w:r>
        <w:rPr>
          <w:lang w:val="zh-TW" w:eastAsia="zh-TW"/>
        </w:rPr>
        <w:t>(4): p. 379-87.</w:t>
      </w:r>
      <w:bookmarkEnd w:id="56"/>
    </w:p>
    <w:p>
      <w:pPr>
        <w:pStyle w:val="Normal"/>
        <w:ind w:left="720" w:hanging="720"/>
        <w:rPr/>
      </w:pPr>
      <w:r>
        <w:rPr>
          <w:lang w:val="zh-TW" w:eastAsia="zh-TW"/>
        </w:rPr>
        <w:t>11.</w:t>
        <w:tab/>
        <w:t xml:space="preserve">Harris, D.S., et al., </w:t>
      </w:r>
      <w:r>
        <w:rPr>
          <w:i/>
          <w:lang w:val="zh-TW" w:eastAsia="zh-TW"/>
        </w:rPr>
        <w:t>Subjective and hormonal effects of 3,4-methylenedioxymethamphetamine (MDMA) in humans.</w:t>
      </w:r>
      <w:r>
        <w:rPr>
          <w:lang w:val="zh-TW" w:eastAsia="zh-TW"/>
        </w:rPr>
        <w:t xml:space="preserve"> Psychopharmacology (Berl), 2002. </w:t>
      </w:r>
      <w:r>
        <w:rPr>
          <w:b/>
          <w:lang w:val="zh-TW" w:eastAsia="zh-TW"/>
        </w:rPr>
        <w:t>162</w:t>
      </w:r>
      <w:r>
        <w:rPr>
          <w:lang w:val="zh-TW" w:eastAsia="zh-TW"/>
        </w:rPr>
        <w:t>(4): p. 396-405.</w:t>
      </w:r>
      <w:bookmarkEnd w:id="55"/>
    </w:p>
    <w:p>
      <w:pPr>
        <w:pStyle w:val="Normal"/>
        <w:ind w:left="720" w:hanging="720"/>
        <w:rPr/>
      </w:pPr>
      <w:r>
        <w:rPr>
          <w:lang w:val="zh-TW" w:eastAsia="zh-TW"/>
        </w:rPr>
        <w:t>12.</w:t>
        <w:tab/>
        <w:t xml:space="preserve">Mas, M., et al., </w:t>
      </w:r>
      <w:r>
        <w:rPr>
          <w:i/>
          <w:lang w:val="zh-TW" w:eastAsia="zh-TW"/>
        </w:rPr>
        <w:t>Cardiovascular and neuroendocrine effects and pharmacokinetics of 3, 4-methylenedioxymethamphetamine in humans.</w:t>
      </w:r>
      <w:r>
        <w:rPr>
          <w:lang w:val="zh-TW" w:eastAsia="zh-TW"/>
        </w:rPr>
        <w:t xml:space="preserve"> J Pharmacol Exp Ther, 1999. </w:t>
      </w:r>
      <w:r>
        <w:rPr>
          <w:b/>
          <w:lang w:val="zh-TW" w:eastAsia="zh-TW"/>
        </w:rPr>
        <w:t>290</w:t>
      </w:r>
      <w:r>
        <w:rPr>
          <w:lang w:val="zh-TW" w:eastAsia="zh-TW"/>
        </w:rPr>
        <w:t>(1): p. 136-45.</w:t>
      </w:r>
      <w:bookmarkEnd w:id="54"/>
    </w:p>
    <w:p>
      <w:pPr>
        <w:pStyle w:val="Normal"/>
        <w:ind w:left="720" w:hanging="720"/>
        <w:rPr/>
      </w:pPr>
      <w:r>
        <w:rPr>
          <w:lang w:val="zh-TW" w:eastAsia="zh-TW"/>
        </w:rPr>
        <w:t>13.</w:t>
        <w:tab/>
        <w:t xml:space="preserve">Kalant, H., </w:t>
      </w:r>
      <w:r>
        <w:rPr>
          <w:i/>
          <w:lang w:val="zh-TW" w:eastAsia="zh-TW"/>
        </w:rPr>
        <w:t>The pharmacology and toxicology of "ecstasy" (MDMA) and related drugs.</w:t>
      </w:r>
      <w:r>
        <w:rPr>
          <w:lang w:val="zh-TW" w:eastAsia="zh-TW"/>
        </w:rPr>
        <w:t xml:space="preserve"> CMAJ, 2001. </w:t>
      </w:r>
      <w:r>
        <w:rPr>
          <w:b/>
          <w:lang w:val="zh-TW" w:eastAsia="zh-TW"/>
        </w:rPr>
        <w:t>165</w:t>
      </w:r>
      <w:r>
        <w:rPr>
          <w:lang w:val="zh-TW" w:eastAsia="zh-TW"/>
        </w:rPr>
        <w:t>(7): p. 917-28.</w:t>
      </w:r>
      <w:bookmarkEnd w:id="53"/>
    </w:p>
    <w:p>
      <w:pPr>
        <w:pStyle w:val="Normal"/>
        <w:ind w:left="720" w:hanging="720"/>
        <w:rPr/>
      </w:pPr>
      <w:r>
        <w:rPr>
          <w:lang w:val="zh-TW" w:eastAsia="zh-TW"/>
        </w:rPr>
        <w:t>14.</w:t>
        <w:tab/>
        <w:t xml:space="preserve">de la Torre, R., et al., </w:t>
      </w:r>
      <w:r>
        <w:rPr>
          <w:i/>
          <w:lang w:val="zh-TW" w:eastAsia="zh-TW"/>
        </w:rPr>
        <w:t>Non-linear pharmacokinetics of MDMA ('ecstasy') in humans.</w:t>
      </w:r>
      <w:r>
        <w:rPr>
          <w:lang w:val="zh-TW" w:eastAsia="zh-TW"/>
        </w:rPr>
        <w:t xml:space="preserve"> Br J Clin Pharmacol, 2000. </w:t>
      </w:r>
      <w:r>
        <w:rPr>
          <w:b/>
          <w:lang w:val="zh-TW" w:eastAsia="zh-TW"/>
        </w:rPr>
        <w:t>49</w:t>
      </w:r>
      <w:r>
        <w:rPr>
          <w:lang w:val="zh-TW" w:eastAsia="zh-TW"/>
        </w:rPr>
        <w:t>(2): p. 104-9.</w:t>
      </w:r>
      <w:bookmarkEnd w:id="52"/>
    </w:p>
    <w:p>
      <w:pPr>
        <w:pStyle w:val="Normal"/>
        <w:ind w:left="720" w:hanging="720"/>
        <w:rPr/>
      </w:pPr>
      <w:r>
        <w:rPr>
          <w:lang w:val="zh-TW" w:eastAsia="zh-TW"/>
        </w:rPr>
        <w:t>15.</w:t>
        <w:tab/>
        <w:t xml:space="preserve">Maurer, H.H., et al., </w:t>
      </w:r>
      <w:r>
        <w:rPr>
          <w:i/>
          <w:lang w:val="zh-TW" w:eastAsia="zh-TW"/>
        </w:rPr>
        <w:t>Toxicokinetics and analytical toxicology of amphetamine-derived designer drugs ('Ecstasy').</w:t>
      </w:r>
      <w:r>
        <w:rPr>
          <w:lang w:val="zh-TW" w:eastAsia="zh-TW"/>
        </w:rPr>
        <w:t xml:space="preserve"> Toxicol Lett, 2000. </w:t>
      </w:r>
      <w:r>
        <w:rPr>
          <w:b/>
          <w:lang w:val="zh-TW" w:eastAsia="zh-TW"/>
        </w:rPr>
        <w:t>112-113</w:t>
      </w:r>
      <w:r>
        <w:rPr>
          <w:lang w:val="zh-TW" w:eastAsia="zh-TW"/>
        </w:rPr>
        <w:t>: p. 133-42.</w:t>
      </w:r>
      <w:bookmarkEnd w:id="51"/>
    </w:p>
    <w:p>
      <w:pPr>
        <w:pStyle w:val="Normal"/>
        <w:ind w:left="720" w:hanging="720"/>
        <w:rPr/>
      </w:pPr>
      <w:r>
        <w:rPr>
          <w:lang w:val="zh-TW" w:eastAsia="zh-TW"/>
        </w:rPr>
        <w:t>16.</w:t>
        <w:tab/>
        <w:t xml:space="preserve">Vaughan, C.W. and M.J. Christie, </w:t>
      </w:r>
      <w:r>
        <w:rPr>
          <w:i/>
          <w:lang w:val="zh-TW" w:eastAsia="zh-TW"/>
        </w:rPr>
        <w:t>An analgesic role for cannabinoids.</w:t>
      </w:r>
      <w:r>
        <w:rPr>
          <w:lang w:val="zh-TW" w:eastAsia="zh-TW"/>
        </w:rPr>
        <w:t xml:space="preserve"> Med J Aust, 2000. </w:t>
      </w:r>
      <w:r>
        <w:rPr>
          <w:b/>
          <w:lang w:val="zh-TW" w:eastAsia="zh-TW"/>
        </w:rPr>
        <w:t>173</w:t>
      </w:r>
      <w:r>
        <w:rPr>
          <w:lang w:val="zh-TW" w:eastAsia="zh-TW"/>
        </w:rPr>
        <w:t>(5): p. 270-2.</w:t>
      </w:r>
      <w:bookmarkEnd w:id="50"/>
    </w:p>
    <w:p>
      <w:pPr>
        <w:pStyle w:val="Normal"/>
        <w:ind w:left="720" w:hanging="720"/>
        <w:rPr/>
      </w:pPr>
      <w:r>
        <w:rPr>
          <w:lang w:val="zh-TW" w:eastAsia="zh-TW"/>
        </w:rPr>
        <w:t>17.</w:t>
        <w:tab/>
        <w:t xml:space="preserve">McCarberg, B.H. and R.L. Barkin, </w:t>
      </w:r>
      <w:r>
        <w:rPr>
          <w:i/>
          <w:lang w:val="zh-TW" w:eastAsia="zh-TW"/>
        </w:rPr>
        <w:t>The future of cannabinoids as analgesic agents: a pharmacologic, pharmacokinetic, and pharmacodynamic overview.</w:t>
      </w:r>
      <w:r>
        <w:rPr>
          <w:lang w:val="zh-TW" w:eastAsia="zh-TW"/>
        </w:rPr>
        <w:t xml:space="preserve"> Am J Ther, 2007. </w:t>
      </w:r>
      <w:r>
        <w:rPr>
          <w:b/>
          <w:lang w:val="zh-TW" w:eastAsia="zh-TW"/>
        </w:rPr>
        <w:t>14</w:t>
      </w:r>
      <w:r>
        <w:rPr>
          <w:lang w:val="zh-TW" w:eastAsia="zh-TW"/>
        </w:rPr>
        <w:t>(5): p. 475-83.</w:t>
      </w:r>
      <w:bookmarkEnd w:id="49"/>
    </w:p>
    <w:p>
      <w:pPr>
        <w:pStyle w:val="Normal"/>
        <w:ind w:left="720" w:hanging="720"/>
        <w:rPr/>
      </w:pPr>
      <w:r>
        <w:rPr>
          <w:lang w:val="zh-TW" w:eastAsia="zh-TW"/>
        </w:rPr>
        <w:t>18.</w:t>
        <w:tab/>
        <w:t xml:space="preserve">Huestis, M.A., et al., </w:t>
      </w:r>
      <w:r>
        <w:rPr>
          <w:i/>
          <w:lang w:val="zh-TW" w:eastAsia="zh-TW"/>
        </w:rPr>
        <w:t>Characterization of the absorption phase of marijuana smoking.</w:t>
      </w:r>
      <w:r>
        <w:rPr>
          <w:lang w:val="zh-TW" w:eastAsia="zh-TW"/>
        </w:rPr>
        <w:t xml:space="preserve"> Clin Pharmacol Ther, 1992. </w:t>
      </w:r>
      <w:r>
        <w:rPr>
          <w:b/>
          <w:lang w:val="zh-TW" w:eastAsia="zh-TW"/>
        </w:rPr>
        <w:t>52</w:t>
      </w:r>
      <w:r>
        <w:rPr>
          <w:lang w:val="zh-TW" w:eastAsia="zh-TW"/>
        </w:rPr>
        <w:t>(1): p. 31-41.</w:t>
      </w:r>
      <w:bookmarkEnd w:id="48"/>
    </w:p>
    <w:p>
      <w:pPr>
        <w:pStyle w:val="Normal"/>
        <w:ind w:left="720" w:hanging="720"/>
        <w:rPr/>
      </w:pPr>
      <w:r>
        <w:rPr>
          <w:lang w:val="zh-TW" w:eastAsia="zh-TW"/>
        </w:rPr>
        <w:t>19.</w:t>
        <w:tab/>
        <w:t xml:space="preserve">Huestis, M.A., </w:t>
      </w:r>
      <w:r>
        <w:rPr>
          <w:i/>
          <w:lang w:val="zh-TW" w:eastAsia="zh-TW"/>
        </w:rPr>
        <w:t>Pharmacokinetics and metabolism of the plant cannabinoids, delta9-tetrahydrocannabinol, cannabidiol and cannabinol.</w:t>
      </w:r>
      <w:r>
        <w:rPr>
          <w:lang w:val="zh-TW" w:eastAsia="zh-TW"/>
        </w:rPr>
        <w:t xml:space="preserve"> Handb Exp Pharmacol, 2005(168): p. 657-90.</w:t>
      </w:r>
      <w:bookmarkEnd w:id="47"/>
    </w:p>
    <w:p>
      <w:pPr>
        <w:pStyle w:val="Normal"/>
        <w:ind w:left="720" w:hanging="720"/>
        <w:rPr/>
      </w:pPr>
      <w:r>
        <w:rPr>
          <w:lang w:val="zh-TW" w:eastAsia="zh-TW"/>
        </w:rPr>
        <w:t>20.</w:t>
        <w:tab/>
        <w:t xml:space="preserve">Miller, W.R. and S. Rollnick, </w:t>
      </w:r>
      <w:r>
        <w:rPr>
          <w:i/>
          <w:lang w:val="zh-TW" w:eastAsia="zh-TW"/>
        </w:rPr>
        <w:t>Motivational interviewing : preparing people for change</w:t>
      </w:r>
      <w:r>
        <w:rPr>
          <w:lang w:val="zh-TW" w:eastAsia="zh-TW"/>
        </w:rPr>
        <w:t>. 2nd ed2002, New York: Guilford Press. xx, 428 p.</w:t>
      </w:r>
      <w:bookmarkEnd w:id="46"/>
    </w:p>
    <w:p>
      <w:pPr>
        <w:pStyle w:val="Normal"/>
        <w:ind w:left="720" w:hanging="720"/>
        <w:rPr/>
      </w:pPr>
      <w:r>
        <w:rPr>
          <w:lang w:val="zh-TW" w:eastAsia="zh-TW"/>
        </w:rPr>
        <w:t>21.</w:t>
        <w:tab/>
        <w:t xml:space="preserve">Miller, W.R., </w:t>
      </w:r>
      <w:r>
        <w:rPr>
          <w:i/>
          <w:lang w:val="zh-TW" w:eastAsia="zh-TW"/>
        </w:rPr>
        <w:t>Motivational interviewing: research, practice, and puzzles.</w:t>
      </w:r>
      <w:r>
        <w:rPr>
          <w:lang w:val="zh-TW" w:eastAsia="zh-TW"/>
        </w:rPr>
        <w:t xml:space="preserve"> Addict Behav, 1996. </w:t>
      </w:r>
      <w:r>
        <w:rPr>
          <w:b/>
          <w:lang w:val="zh-TW" w:eastAsia="zh-TW"/>
        </w:rPr>
        <w:t>21</w:t>
      </w:r>
      <w:r>
        <w:rPr>
          <w:lang w:val="zh-TW" w:eastAsia="zh-TW"/>
        </w:rPr>
        <w:t>(6): p. 835-42.</w:t>
      </w:r>
      <w:bookmarkEnd w:id="45"/>
    </w:p>
    <w:p>
      <w:pPr>
        <w:pStyle w:val="Normal"/>
        <w:ind w:left="720" w:hanging="720"/>
        <w:rPr/>
      </w:pPr>
      <w:r>
        <w:rPr>
          <w:lang w:val="zh-TW" w:eastAsia="zh-TW"/>
        </w:rPr>
        <w:t>22.</w:t>
        <w:tab/>
        <w:t xml:space="preserve">American Psychiatric Association. and American Psychiatric Association. Task Force on DSM-IV., </w:t>
      </w:r>
      <w:r>
        <w:rPr>
          <w:i/>
          <w:lang w:val="zh-TW" w:eastAsia="zh-TW"/>
        </w:rPr>
        <w:t>Diagnostic and statistical manual of mental disorders : DSM-IV-TR</w:t>
      </w:r>
      <w:r>
        <w:rPr>
          <w:lang w:val="zh-TW" w:eastAsia="zh-TW"/>
        </w:rPr>
        <w:t>. 4th ed2000, Washington, DC: American Psychiatric Association. xxxvii, 943 p.</w:t>
      </w:r>
      <w:bookmarkEnd w:id="44"/>
    </w:p>
    <w:p>
      <w:pPr>
        <w:pStyle w:val="Normal"/>
        <w:ind w:left="720" w:hanging="720"/>
        <w:rPr/>
      </w:pPr>
      <w:r>
        <w:rPr>
          <w:lang w:val="zh-TW" w:eastAsia="zh-TW"/>
        </w:rPr>
        <w:t>23.</w:t>
        <w:tab/>
        <w:t xml:space="preserve">Lee, N.K. and R.A. Rawson, </w:t>
      </w:r>
      <w:r>
        <w:rPr>
          <w:i/>
          <w:lang w:val="zh-TW" w:eastAsia="zh-TW"/>
        </w:rPr>
        <w:t>A systematic review of cognitive and behavioural therapies for methamphetamine dependence.</w:t>
      </w:r>
      <w:r>
        <w:rPr>
          <w:lang w:val="zh-TW" w:eastAsia="zh-TW"/>
        </w:rPr>
        <w:t xml:space="preserve"> Drug Alcohol Rev, 2008. </w:t>
      </w:r>
      <w:r>
        <w:rPr>
          <w:b/>
          <w:lang w:val="zh-TW" w:eastAsia="zh-TW"/>
        </w:rPr>
        <w:t>27</w:t>
      </w:r>
      <w:r>
        <w:rPr>
          <w:lang w:val="zh-TW" w:eastAsia="zh-TW"/>
        </w:rPr>
        <w:t>(3): p. 309-17.</w:t>
      </w:r>
      <w:bookmarkEnd w:id="43"/>
    </w:p>
    <w:p>
      <w:pPr>
        <w:pStyle w:val="Normal"/>
        <w:ind w:left="720" w:hanging="720"/>
        <w:rPr/>
      </w:pPr>
      <w:r>
        <w:rPr>
          <w:lang w:val="zh-TW" w:eastAsia="zh-TW"/>
        </w:rPr>
        <w:t>24.</w:t>
        <w:tab/>
        <w:t xml:space="preserve">Baker, A., T.G. Boggs, and T.J. Lewin, </w:t>
      </w:r>
      <w:r>
        <w:rPr>
          <w:i/>
          <w:lang w:val="zh-TW" w:eastAsia="zh-TW"/>
        </w:rPr>
        <w:t>Randomized controlled trial of brief cognitive-behavioural interventions among regular users of amphetamine.</w:t>
      </w:r>
      <w:r>
        <w:rPr>
          <w:lang w:val="zh-TW" w:eastAsia="zh-TW"/>
        </w:rPr>
        <w:t xml:space="preserve"> Addiction, 2001. </w:t>
      </w:r>
      <w:r>
        <w:rPr>
          <w:b/>
          <w:lang w:val="zh-TW" w:eastAsia="zh-TW"/>
        </w:rPr>
        <w:t>96</w:t>
      </w:r>
      <w:r>
        <w:rPr>
          <w:lang w:val="zh-TW" w:eastAsia="zh-TW"/>
        </w:rPr>
        <w:t>(9): p. 1279-87.</w:t>
      </w:r>
      <w:bookmarkEnd w:id="42"/>
    </w:p>
    <w:p>
      <w:pPr>
        <w:pStyle w:val="Normal"/>
        <w:ind w:left="720" w:hanging="720"/>
        <w:rPr/>
      </w:pPr>
      <w:r>
        <w:rPr>
          <w:lang w:val="zh-TW" w:eastAsia="zh-TW"/>
        </w:rPr>
        <w:t>25.</w:t>
        <w:tab/>
        <w:t xml:space="preserve">Carroll, K.M., et al., </w:t>
      </w:r>
      <w:r>
        <w:rPr>
          <w:i/>
          <w:lang w:val="zh-TW" w:eastAsia="zh-TW"/>
        </w:rPr>
        <w:t>Treatment of cocaine and alcohol dependence with psychotherapy and disulfiram.</w:t>
      </w:r>
      <w:r>
        <w:rPr>
          <w:lang w:val="zh-TW" w:eastAsia="zh-TW"/>
        </w:rPr>
        <w:t xml:space="preserve"> Addiction, 1998. </w:t>
      </w:r>
      <w:r>
        <w:rPr>
          <w:b/>
          <w:lang w:val="zh-TW" w:eastAsia="zh-TW"/>
        </w:rPr>
        <w:t>93</w:t>
      </w:r>
      <w:r>
        <w:rPr>
          <w:lang w:val="zh-TW" w:eastAsia="zh-TW"/>
        </w:rPr>
        <w:t>(5): p. 713-27.</w:t>
      </w:r>
      <w:bookmarkEnd w:id="41"/>
    </w:p>
    <w:p>
      <w:pPr>
        <w:pStyle w:val="Normal"/>
        <w:ind w:left="720" w:hanging="720"/>
        <w:rPr/>
      </w:pPr>
      <w:r>
        <w:rPr>
          <w:lang w:val="zh-TW" w:eastAsia="zh-TW"/>
        </w:rPr>
        <w:t>26.</w:t>
        <w:tab/>
        <w:t xml:space="preserve">Prochaska, J.O., C.C. DiClemente, and J.C. Norcross, </w:t>
      </w:r>
      <w:r>
        <w:rPr>
          <w:i/>
          <w:lang w:val="zh-TW" w:eastAsia="zh-TW"/>
        </w:rPr>
        <w:t>In search of how people change. Applications to addictive behaviors.</w:t>
      </w:r>
      <w:r>
        <w:rPr>
          <w:lang w:val="zh-TW" w:eastAsia="zh-TW"/>
        </w:rPr>
        <w:t xml:space="preserve"> Am Psychol, 1992. </w:t>
      </w:r>
      <w:r>
        <w:rPr>
          <w:b/>
          <w:lang w:val="zh-TW" w:eastAsia="zh-TW"/>
        </w:rPr>
        <w:t>47</w:t>
      </w:r>
      <w:r>
        <w:rPr>
          <w:lang w:val="zh-TW" w:eastAsia="zh-TW"/>
        </w:rPr>
        <w:t>(9): p. 1102-14.</w:t>
      </w:r>
      <w:bookmarkEnd w:id="40"/>
    </w:p>
    <w:p>
      <w:pPr>
        <w:pStyle w:val="Normal"/>
        <w:ind w:left="720" w:hanging="720"/>
        <w:rPr/>
      </w:pPr>
      <w:r>
        <w:rPr>
          <w:lang w:val="zh-TW" w:eastAsia="zh-TW"/>
        </w:rPr>
        <w:t>27.</w:t>
        <w:tab/>
        <w:t xml:space="preserve">Kelly, T.M., D.C. Daley, and A.B. Douaihy, </w:t>
      </w:r>
      <w:r>
        <w:rPr>
          <w:i/>
          <w:lang w:val="zh-TW" w:eastAsia="zh-TW"/>
        </w:rPr>
        <w:t>Treatment of substance abusing patients with comorbid psychiatric disorders.</w:t>
      </w:r>
      <w:r>
        <w:rPr>
          <w:lang w:val="zh-TW" w:eastAsia="zh-TW"/>
        </w:rPr>
        <w:t xml:space="preserve"> Addict Behav, 2012. </w:t>
      </w:r>
      <w:r>
        <w:rPr>
          <w:b/>
          <w:lang w:val="zh-TW" w:eastAsia="zh-TW"/>
        </w:rPr>
        <w:t>37</w:t>
      </w:r>
      <w:r>
        <w:rPr>
          <w:lang w:val="zh-TW" w:eastAsia="zh-TW"/>
        </w:rPr>
        <w:t>(1): p. 11-24.</w:t>
      </w:r>
      <w:bookmarkEnd w:id="39"/>
    </w:p>
    <w:p>
      <w:pPr>
        <w:pStyle w:val="Normal"/>
        <w:ind w:left="720" w:hanging="720"/>
        <w:rPr/>
      </w:pPr>
      <w:r>
        <w:rPr>
          <w:lang w:val="zh-TW" w:eastAsia="zh-TW"/>
        </w:rPr>
        <w:t>28.</w:t>
        <w:tab/>
        <w:t xml:space="preserve">Hendershot, C.S., et al., </w:t>
      </w:r>
      <w:r>
        <w:rPr>
          <w:i/>
          <w:lang w:val="zh-TW" w:eastAsia="zh-TW"/>
        </w:rPr>
        <w:t>Relapse prevention for addictive behaviors.</w:t>
      </w:r>
      <w:r>
        <w:rPr>
          <w:lang w:val="zh-TW" w:eastAsia="zh-TW"/>
        </w:rPr>
        <w:t xml:space="preserve"> Subst Abuse Treat Prev Policy, 2011. </w:t>
      </w:r>
      <w:r>
        <w:rPr>
          <w:b/>
          <w:lang w:val="zh-TW" w:eastAsia="zh-TW"/>
        </w:rPr>
        <w:t>6</w:t>
      </w:r>
      <w:r>
        <w:rPr>
          <w:lang w:val="zh-TW" w:eastAsia="zh-TW"/>
        </w:rPr>
        <w:t>: p. 17.</w:t>
      </w:r>
      <w:bookmarkEnd w:id="38"/>
    </w:p>
    <w:p>
      <w:pPr>
        <w:pStyle w:val="Normal"/>
        <w:ind w:left="720" w:hanging="720"/>
        <w:rPr/>
      </w:pPr>
      <w:r>
        <w:rPr>
          <w:lang w:val="zh-TW" w:eastAsia="zh-TW"/>
        </w:rPr>
        <w:t>29.</w:t>
        <w:tab/>
        <w:t xml:space="preserve">Marlatt, G.A. and W.H. George, </w:t>
      </w:r>
      <w:r>
        <w:rPr>
          <w:i/>
          <w:lang w:val="zh-TW" w:eastAsia="zh-TW"/>
        </w:rPr>
        <w:t>Relapse prevention: introduction and overview of the model.</w:t>
      </w:r>
      <w:r>
        <w:rPr>
          <w:lang w:val="zh-TW" w:eastAsia="zh-TW"/>
        </w:rPr>
        <w:t xml:space="preserve"> Br J Addict, 1984. </w:t>
      </w:r>
      <w:r>
        <w:rPr>
          <w:b/>
          <w:lang w:val="zh-TW" w:eastAsia="zh-TW"/>
        </w:rPr>
        <w:t>79</w:t>
      </w:r>
      <w:r>
        <w:rPr>
          <w:lang w:val="zh-TW" w:eastAsia="zh-TW"/>
        </w:rPr>
        <w:t>(3): p. 261-73.</w:t>
      </w:r>
      <w:bookmarkEnd w:id="37"/>
    </w:p>
    <w:p>
      <w:pPr>
        <w:pStyle w:val="Normal"/>
        <w:ind w:left="720" w:hanging="720"/>
        <w:rPr/>
      </w:pPr>
      <w:r>
        <w:rPr>
          <w:lang w:val="zh-TW" w:eastAsia="zh-TW"/>
        </w:rPr>
        <w:t>30.</w:t>
        <w:tab/>
        <w:t xml:space="preserve">Higgins, S.T., S.H. Heil, and J.P. Lussier, </w:t>
      </w:r>
      <w:r>
        <w:rPr>
          <w:i/>
          <w:lang w:val="zh-TW" w:eastAsia="zh-TW"/>
        </w:rPr>
        <w:t>Clinical implications of reinforcement as a determinant of substance use disorders.</w:t>
      </w:r>
      <w:r>
        <w:rPr>
          <w:lang w:val="zh-TW" w:eastAsia="zh-TW"/>
        </w:rPr>
        <w:t xml:space="preserve"> Annu Rev Psychol, 2004. </w:t>
      </w:r>
      <w:r>
        <w:rPr>
          <w:b/>
          <w:lang w:val="zh-TW" w:eastAsia="zh-TW"/>
        </w:rPr>
        <w:t>55</w:t>
      </w:r>
      <w:r>
        <w:rPr>
          <w:lang w:val="zh-TW" w:eastAsia="zh-TW"/>
        </w:rPr>
        <w:t>: p. 431-61.</w:t>
      </w:r>
      <w:bookmarkEnd w:id="36"/>
    </w:p>
    <w:p>
      <w:pPr>
        <w:pStyle w:val="Normal"/>
        <w:ind w:left="720" w:hanging="720"/>
        <w:rPr/>
      </w:pPr>
      <w:r>
        <w:rPr>
          <w:lang w:val="zh-TW" w:eastAsia="zh-TW"/>
        </w:rPr>
        <w:t>31.</w:t>
        <w:tab/>
        <w:t xml:space="preserve">Griffith, J.D., et al., </w:t>
      </w:r>
      <w:r>
        <w:rPr>
          <w:i/>
          <w:lang w:val="zh-TW" w:eastAsia="zh-TW"/>
        </w:rPr>
        <w:t>Contingency management in outpatient methadone treatment: a meta-analysis.</w:t>
      </w:r>
      <w:r>
        <w:rPr>
          <w:lang w:val="zh-TW" w:eastAsia="zh-TW"/>
        </w:rPr>
        <w:t xml:space="preserve"> Drug Alcohol Depend, 2000. </w:t>
      </w:r>
      <w:r>
        <w:rPr>
          <w:b/>
          <w:lang w:val="zh-TW" w:eastAsia="zh-TW"/>
        </w:rPr>
        <w:t>58</w:t>
      </w:r>
      <w:r>
        <w:rPr>
          <w:lang w:val="zh-TW" w:eastAsia="zh-TW"/>
        </w:rPr>
        <w:t>(1-2): p. 55-66.</w:t>
      </w:r>
      <w:bookmarkEnd w:id="35"/>
    </w:p>
    <w:p>
      <w:pPr>
        <w:pStyle w:val="Normal"/>
        <w:ind w:left="720" w:hanging="720"/>
        <w:rPr/>
      </w:pPr>
      <w:r>
        <w:rPr>
          <w:lang w:val="zh-TW" w:eastAsia="zh-TW"/>
        </w:rPr>
        <w:t>32.</w:t>
        <w:tab/>
        <w:t xml:space="preserve">Higgins, S.T., et al., </w:t>
      </w:r>
      <w:r>
        <w:rPr>
          <w:i/>
          <w:lang w:val="zh-TW" w:eastAsia="zh-TW"/>
        </w:rPr>
        <w:t>Effects of varying the monetary value of voucher-based incentives on abstinence achieved during and following treatment among cocaine-dependent outpatients.</w:t>
      </w:r>
      <w:r>
        <w:rPr>
          <w:lang w:val="zh-TW" w:eastAsia="zh-TW"/>
        </w:rPr>
        <w:t xml:space="preserve"> Addiction, 2007. </w:t>
      </w:r>
      <w:r>
        <w:rPr>
          <w:b/>
          <w:lang w:val="zh-TW" w:eastAsia="zh-TW"/>
        </w:rPr>
        <w:t>102</w:t>
      </w:r>
      <w:r>
        <w:rPr>
          <w:lang w:val="zh-TW" w:eastAsia="zh-TW"/>
        </w:rPr>
        <w:t>(2): p. 271-81.</w:t>
      </w:r>
      <w:bookmarkEnd w:id="34"/>
    </w:p>
    <w:p>
      <w:pPr>
        <w:pStyle w:val="Normal"/>
        <w:ind w:left="720" w:hanging="720"/>
        <w:rPr/>
      </w:pPr>
      <w:r>
        <w:rPr>
          <w:lang w:val="zh-TW" w:eastAsia="zh-TW"/>
        </w:rPr>
        <w:t>33.</w:t>
        <w:tab/>
        <w:t xml:space="preserve">O'Farrell, T.J. and W. Fals-Stewart, </w:t>
      </w:r>
      <w:r>
        <w:rPr>
          <w:i/>
          <w:lang w:val="zh-TW" w:eastAsia="zh-TW"/>
        </w:rPr>
        <w:t>Behavioral couples and family therapy for substance abusers.</w:t>
      </w:r>
      <w:r>
        <w:rPr>
          <w:lang w:val="zh-TW" w:eastAsia="zh-TW"/>
        </w:rPr>
        <w:t xml:space="preserve"> Curr Psychiatry Rep, 2002. </w:t>
      </w:r>
      <w:r>
        <w:rPr>
          <w:b/>
          <w:lang w:val="zh-TW" w:eastAsia="zh-TW"/>
        </w:rPr>
        <w:t>4</w:t>
      </w:r>
      <w:r>
        <w:rPr>
          <w:lang w:val="zh-TW" w:eastAsia="zh-TW"/>
        </w:rPr>
        <w:t>(5): p. 371-6.</w:t>
      </w:r>
      <w:bookmarkEnd w:id="33"/>
    </w:p>
    <w:p>
      <w:pPr>
        <w:pStyle w:val="Normal"/>
        <w:ind w:left="720" w:hanging="720"/>
        <w:rPr/>
      </w:pPr>
      <w:r>
        <w:rPr>
          <w:lang w:val="zh-TW" w:eastAsia="zh-TW"/>
        </w:rPr>
        <w:t>34.</w:t>
        <w:tab/>
        <w:t xml:space="preserve">Copello, A. and J. Orford, </w:t>
      </w:r>
      <w:r>
        <w:rPr>
          <w:i/>
          <w:lang w:val="zh-TW" w:eastAsia="zh-TW"/>
        </w:rPr>
        <w:t>Addiction and the family: is it time for services to take notice of the evidence?</w:t>
      </w:r>
      <w:r>
        <w:rPr>
          <w:lang w:val="zh-TW" w:eastAsia="zh-TW"/>
        </w:rPr>
        <w:t xml:space="preserve"> Addiction, 2002. </w:t>
      </w:r>
      <w:r>
        <w:rPr>
          <w:b/>
          <w:lang w:val="zh-TW" w:eastAsia="zh-TW"/>
        </w:rPr>
        <w:t>97</w:t>
      </w:r>
      <w:r>
        <w:rPr>
          <w:lang w:val="zh-TW" w:eastAsia="zh-TW"/>
        </w:rPr>
        <w:t>(11): p. 1361-3.</w:t>
      </w:r>
      <w:bookmarkEnd w:id="32"/>
    </w:p>
    <w:p>
      <w:pPr>
        <w:pStyle w:val="Normal"/>
        <w:ind w:left="720" w:hanging="720"/>
        <w:rPr/>
      </w:pPr>
      <w:r>
        <w:rPr>
          <w:lang w:val="zh-TW" w:eastAsia="zh-TW"/>
        </w:rPr>
        <w:t>35.</w:t>
        <w:tab/>
        <w:t xml:space="preserve">Harkness, D. and G. Cotrell, </w:t>
      </w:r>
      <w:r>
        <w:rPr>
          <w:i/>
          <w:lang w:val="zh-TW" w:eastAsia="zh-TW"/>
        </w:rPr>
        <w:t>The social construction of co-dependency in the treatment of substance abuse.</w:t>
      </w:r>
      <w:r>
        <w:rPr>
          <w:lang w:val="zh-TW" w:eastAsia="zh-TW"/>
        </w:rPr>
        <w:t xml:space="preserve"> J Subst Abuse Treat, 1997. </w:t>
      </w:r>
      <w:r>
        <w:rPr>
          <w:b/>
          <w:lang w:val="zh-TW" w:eastAsia="zh-TW"/>
        </w:rPr>
        <w:t>14</w:t>
      </w:r>
      <w:r>
        <w:rPr>
          <w:lang w:val="zh-TW" w:eastAsia="zh-TW"/>
        </w:rPr>
        <w:t>(5): p. 473-9.</w:t>
      </w:r>
      <w:bookmarkEnd w:id="31"/>
    </w:p>
    <w:p>
      <w:pPr>
        <w:pStyle w:val="Normal"/>
        <w:ind w:left="720" w:hanging="720"/>
        <w:rPr/>
      </w:pPr>
      <w:r>
        <w:rPr>
          <w:lang w:val="zh-TW" w:eastAsia="zh-TW"/>
        </w:rPr>
        <w:t>36.</w:t>
        <w:tab/>
        <w:t xml:space="preserve">Najavits, L.M. and R.D. Weiss, </w:t>
      </w:r>
      <w:r>
        <w:rPr>
          <w:i/>
          <w:lang w:val="zh-TW" w:eastAsia="zh-TW"/>
        </w:rPr>
        <w:t>The role of psychotherapy in the treatment of substance-use disorders.</w:t>
      </w:r>
      <w:r>
        <w:rPr>
          <w:lang w:val="zh-TW" w:eastAsia="zh-TW"/>
        </w:rPr>
        <w:t xml:space="preserve"> Harv Rev Psychiatry, 1994. </w:t>
      </w:r>
      <w:r>
        <w:rPr>
          <w:b/>
          <w:lang w:val="zh-TW" w:eastAsia="zh-TW"/>
        </w:rPr>
        <w:t>2</w:t>
      </w:r>
      <w:r>
        <w:rPr>
          <w:lang w:val="zh-TW" w:eastAsia="zh-TW"/>
        </w:rPr>
        <w:t>(2): p. 84-96.</w:t>
      </w:r>
      <w:bookmarkEnd w:id="30"/>
    </w:p>
    <w:p>
      <w:pPr>
        <w:pStyle w:val="Normal"/>
        <w:ind w:left="720" w:hanging="720"/>
        <w:rPr/>
      </w:pPr>
      <w:r>
        <w:rPr>
          <w:lang w:val="zh-TW" w:eastAsia="zh-TW"/>
        </w:rPr>
        <w:t>37.</w:t>
        <w:tab/>
        <w:t xml:space="preserve">Graham, K., et al., </w:t>
      </w:r>
      <w:r>
        <w:rPr>
          <w:i/>
          <w:lang w:val="zh-TW" w:eastAsia="zh-TW"/>
        </w:rPr>
        <w:t>A controlled field trial of group versus individual cognitive-behavioural training for relapse prevention.</w:t>
      </w:r>
      <w:r>
        <w:rPr>
          <w:lang w:val="zh-TW" w:eastAsia="zh-TW"/>
        </w:rPr>
        <w:t xml:space="preserve"> Addiction, 1996. </w:t>
      </w:r>
      <w:r>
        <w:rPr>
          <w:b/>
          <w:lang w:val="zh-TW" w:eastAsia="zh-TW"/>
        </w:rPr>
        <w:t>91</w:t>
      </w:r>
      <w:r>
        <w:rPr>
          <w:lang w:val="zh-TW" w:eastAsia="zh-TW"/>
        </w:rPr>
        <w:t>(8): p. 1127-39.</w:t>
      </w:r>
      <w:bookmarkEnd w:id="29"/>
    </w:p>
    <w:p>
      <w:pPr>
        <w:pStyle w:val="Normal"/>
        <w:ind w:left="720" w:hanging="720"/>
        <w:rPr/>
      </w:pPr>
      <w:r>
        <w:rPr>
          <w:lang w:val="zh-TW" w:eastAsia="zh-TW"/>
        </w:rPr>
        <w:t>38.</w:t>
        <w:tab/>
        <w:t xml:space="preserve">Longo, M., et al., </w:t>
      </w:r>
      <w:r>
        <w:rPr>
          <w:i/>
          <w:lang w:val="zh-TW" w:eastAsia="zh-TW"/>
        </w:rPr>
        <w:t>Randomized controlled trial of dexamphetamine maintenance for the treatment of methamphetamine dependence.</w:t>
      </w:r>
      <w:r>
        <w:rPr>
          <w:lang w:val="zh-TW" w:eastAsia="zh-TW"/>
        </w:rPr>
        <w:t xml:space="preserve"> Addiction, 2010. </w:t>
      </w:r>
      <w:r>
        <w:rPr>
          <w:b/>
          <w:lang w:val="zh-TW" w:eastAsia="zh-TW"/>
        </w:rPr>
        <w:t>105</w:t>
      </w:r>
      <w:r>
        <w:rPr>
          <w:lang w:val="zh-TW" w:eastAsia="zh-TW"/>
        </w:rPr>
        <w:t>(1): p. 146-54.</w:t>
      </w:r>
      <w:bookmarkEnd w:id="28"/>
    </w:p>
    <w:p>
      <w:pPr>
        <w:pStyle w:val="Normal"/>
        <w:ind w:left="720" w:hanging="720"/>
        <w:rPr/>
      </w:pPr>
      <w:r>
        <w:rPr>
          <w:lang w:val="zh-TW" w:eastAsia="zh-TW"/>
        </w:rPr>
        <w:t>39.</w:t>
        <w:tab/>
        <w:t xml:space="preserve">Shoptaw, S.J., et al., </w:t>
      </w:r>
      <w:r>
        <w:rPr>
          <w:i/>
          <w:lang w:val="zh-TW" w:eastAsia="zh-TW"/>
        </w:rPr>
        <w:t>Treatment for amphetamine withdrawal.</w:t>
      </w:r>
      <w:r>
        <w:rPr>
          <w:lang w:val="zh-TW" w:eastAsia="zh-TW"/>
        </w:rPr>
        <w:t xml:space="preserve"> Cochrane Database Syst Rev, 2009(2): p. CD003021.</w:t>
      </w:r>
      <w:bookmarkEnd w:id="27"/>
    </w:p>
    <w:p>
      <w:pPr>
        <w:pStyle w:val="Normal"/>
        <w:ind w:left="720" w:hanging="720"/>
        <w:rPr/>
      </w:pPr>
      <w:r>
        <w:rPr>
          <w:lang w:val="zh-TW" w:eastAsia="zh-TW"/>
        </w:rPr>
        <w:t>40.</w:t>
        <w:tab/>
        <w:t xml:space="preserve">McRae-Clark, A.L., et al., </w:t>
      </w:r>
      <w:r>
        <w:rPr>
          <w:i/>
          <w:lang w:val="zh-TW" w:eastAsia="zh-TW"/>
        </w:rPr>
        <w:t>A placebo-controlled trial of buspirone for the treatment of marijuana dependence.</w:t>
      </w:r>
      <w:r>
        <w:rPr>
          <w:lang w:val="zh-TW" w:eastAsia="zh-TW"/>
        </w:rPr>
        <w:t xml:space="preserve"> Drug Alcohol Depend, 2009. </w:t>
      </w:r>
      <w:r>
        <w:rPr>
          <w:b/>
          <w:lang w:val="zh-TW" w:eastAsia="zh-TW"/>
        </w:rPr>
        <w:t>105</w:t>
      </w:r>
      <w:r>
        <w:rPr>
          <w:lang w:val="zh-TW" w:eastAsia="zh-TW"/>
        </w:rPr>
        <w:t>(1-2): p. 132-8.</w:t>
      </w:r>
      <w:bookmarkEnd w:id="26"/>
    </w:p>
    <w:p>
      <w:pPr>
        <w:pStyle w:val="Normal"/>
        <w:ind w:left="720" w:hanging="720"/>
        <w:rPr/>
      </w:pPr>
      <w:r>
        <w:rPr>
          <w:lang w:val="zh-TW" w:eastAsia="zh-TW"/>
        </w:rPr>
        <w:t>41.</w:t>
        <w:tab/>
        <w:t xml:space="preserve">Weinstein, A.M. and D.A. Gorelick, </w:t>
      </w:r>
      <w:r>
        <w:rPr>
          <w:i/>
          <w:lang w:val="zh-TW" w:eastAsia="zh-TW"/>
        </w:rPr>
        <w:t>Pharmacological treatment of cannabis dependence.</w:t>
      </w:r>
      <w:r>
        <w:rPr>
          <w:lang w:val="zh-TW" w:eastAsia="zh-TW"/>
        </w:rPr>
        <w:t xml:space="preserve"> Curr Pharm Des, 2011. </w:t>
      </w:r>
      <w:r>
        <w:rPr>
          <w:b/>
          <w:lang w:val="zh-TW" w:eastAsia="zh-TW"/>
        </w:rPr>
        <w:t>17</w:t>
      </w:r>
      <w:r>
        <w:rPr>
          <w:lang w:val="zh-TW" w:eastAsia="zh-TW"/>
        </w:rPr>
        <w:t>(14): p. 1351-8.</w:t>
      </w:r>
      <w:bookmarkEnd w:id="25"/>
    </w:p>
    <w:p>
      <w:pPr>
        <w:pStyle w:val="Normal"/>
        <w:ind w:left="720" w:hanging="720"/>
        <w:rPr/>
      </w:pPr>
      <w:r>
        <w:rPr>
          <w:lang w:val="zh-TW" w:eastAsia="zh-TW"/>
        </w:rPr>
        <w:t>42.</w:t>
        <w:tab/>
        <w:t xml:space="preserve">Vandrey, R. and M. Haney, </w:t>
      </w:r>
      <w:r>
        <w:rPr>
          <w:i/>
          <w:lang w:val="zh-TW" w:eastAsia="zh-TW"/>
        </w:rPr>
        <w:t>Pharmacotherapy for cannabis dependence: how close are we?</w:t>
      </w:r>
      <w:r>
        <w:rPr>
          <w:lang w:val="zh-TW" w:eastAsia="zh-TW"/>
        </w:rPr>
        <w:t xml:space="preserve"> CNS Drugs, 2009. </w:t>
      </w:r>
      <w:r>
        <w:rPr>
          <w:b/>
          <w:lang w:val="zh-TW" w:eastAsia="zh-TW"/>
        </w:rPr>
        <w:t>23</w:t>
      </w:r>
      <w:r>
        <w:rPr>
          <w:lang w:val="zh-TW" w:eastAsia="zh-TW"/>
        </w:rPr>
        <w:t>(7): p. 543-53.</w:t>
      </w:r>
      <w:bookmarkEnd w:id="24"/>
    </w:p>
    <w:p>
      <w:pPr>
        <w:pStyle w:val="Normal"/>
        <w:ind w:left="720" w:hanging="720"/>
        <w:rPr/>
      </w:pPr>
      <w:r>
        <w:rPr>
          <w:lang w:val="zh-TW" w:eastAsia="zh-TW"/>
        </w:rPr>
        <w:t>43.</w:t>
        <w:tab/>
        <w:t xml:space="preserve">Karila, L., et al., </w:t>
      </w:r>
      <w:r>
        <w:rPr>
          <w:i/>
          <w:lang w:val="zh-TW" w:eastAsia="zh-TW"/>
        </w:rPr>
        <w:t>Pharmacological approaches to methamphetamine dependence: a focused review.</w:t>
      </w:r>
      <w:r>
        <w:rPr>
          <w:lang w:val="zh-TW" w:eastAsia="zh-TW"/>
        </w:rPr>
        <w:t xml:space="preserve"> Br J Clin Pharmacol, 2010. </w:t>
      </w:r>
      <w:r>
        <w:rPr>
          <w:b/>
          <w:lang w:val="zh-TW" w:eastAsia="zh-TW"/>
        </w:rPr>
        <w:t>69</w:t>
      </w:r>
      <w:r>
        <w:rPr>
          <w:lang w:val="zh-TW" w:eastAsia="zh-TW"/>
        </w:rPr>
        <w:t>(6): p. 578-92.</w:t>
      </w:r>
      <w:bookmarkEnd w:id="23"/>
    </w:p>
    <w:p>
      <w:pPr>
        <w:pStyle w:val="Normal"/>
        <w:ind w:left="720" w:hanging="720"/>
        <w:rPr/>
      </w:pPr>
      <w:r>
        <w:rPr>
          <w:lang w:val="zh-TW" w:eastAsia="zh-TW"/>
        </w:rPr>
        <w:t>44.</w:t>
        <w:tab/>
        <w:t xml:space="preserve">Srisurapanont, M., N. Jarusuraisin, and J. Jittiwutikan, </w:t>
      </w:r>
      <w:r>
        <w:rPr>
          <w:i/>
          <w:lang w:val="zh-TW" w:eastAsia="zh-TW"/>
        </w:rPr>
        <w:t>Amphetamine withdrawal: I. Reliability, validity and factor structure of a measure.</w:t>
      </w:r>
      <w:r>
        <w:rPr>
          <w:lang w:val="zh-TW" w:eastAsia="zh-TW"/>
        </w:rPr>
        <w:t xml:space="preserve"> Aust N Z J Psychiatry, 1999. </w:t>
      </w:r>
      <w:r>
        <w:rPr>
          <w:b/>
          <w:lang w:val="zh-TW" w:eastAsia="zh-TW"/>
        </w:rPr>
        <w:t>33</w:t>
      </w:r>
      <w:r>
        <w:rPr>
          <w:lang w:val="zh-TW" w:eastAsia="zh-TW"/>
        </w:rPr>
        <w:t>(1): p. 89-93.</w:t>
      </w:r>
      <w:bookmarkEnd w:id="22"/>
    </w:p>
    <w:p>
      <w:pPr>
        <w:pStyle w:val="Normal"/>
        <w:ind w:left="720" w:hanging="720"/>
        <w:rPr/>
      </w:pPr>
      <w:r>
        <w:rPr>
          <w:lang w:val="zh-TW" w:eastAsia="zh-TW"/>
        </w:rPr>
        <w:t>45.</w:t>
        <w:tab/>
        <w:t xml:space="preserve">Ujike, H., </w:t>
      </w:r>
      <w:r>
        <w:rPr>
          <w:i/>
          <w:lang w:val="zh-TW" w:eastAsia="zh-TW"/>
        </w:rPr>
        <w:t>Stimulant-induced psychosis and schizophrenia: the role of sensitization.</w:t>
      </w:r>
      <w:r>
        <w:rPr>
          <w:lang w:val="zh-TW" w:eastAsia="zh-TW"/>
        </w:rPr>
        <w:t xml:space="preserve"> Curr Psychiatry Rep, 2002. </w:t>
      </w:r>
      <w:r>
        <w:rPr>
          <w:b/>
          <w:lang w:val="zh-TW" w:eastAsia="zh-TW"/>
        </w:rPr>
        <w:t>4</w:t>
      </w:r>
      <w:r>
        <w:rPr>
          <w:lang w:val="zh-TW" w:eastAsia="zh-TW"/>
        </w:rPr>
        <w:t>(3): p. 177-84.</w:t>
      </w:r>
      <w:bookmarkEnd w:id="21"/>
    </w:p>
    <w:p>
      <w:pPr>
        <w:pStyle w:val="Normal"/>
        <w:ind w:left="720" w:hanging="720"/>
        <w:rPr/>
      </w:pPr>
      <w:r>
        <w:rPr>
          <w:lang w:val="zh-TW" w:eastAsia="zh-TW"/>
        </w:rPr>
        <w:t>46.</w:t>
        <w:tab/>
        <w:t xml:space="preserve">Yui, K., et al., </w:t>
      </w:r>
      <w:r>
        <w:rPr>
          <w:i/>
          <w:lang w:val="zh-TW" w:eastAsia="zh-TW"/>
        </w:rPr>
        <w:t>Studies of amphetamine or methamphetamine psychosis in Japan: relation of methamphetamine psychosis to schizophrenia.</w:t>
      </w:r>
      <w:r>
        <w:rPr>
          <w:lang w:val="zh-TW" w:eastAsia="zh-TW"/>
        </w:rPr>
        <w:t xml:space="preserve"> Ann N Y Acad Sci, 2000. </w:t>
      </w:r>
      <w:r>
        <w:rPr>
          <w:b/>
          <w:lang w:val="zh-TW" w:eastAsia="zh-TW"/>
        </w:rPr>
        <w:t>914</w:t>
      </w:r>
      <w:r>
        <w:rPr>
          <w:lang w:val="zh-TW" w:eastAsia="zh-TW"/>
        </w:rPr>
        <w:t>: p. 1-12.</w:t>
      </w:r>
      <w:bookmarkEnd w:id="20"/>
    </w:p>
    <w:p>
      <w:pPr>
        <w:pStyle w:val="Normal"/>
        <w:ind w:left="720" w:hanging="720"/>
        <w:rPr/>
      </w:pPr>
      <w:r>
        <w:rPr>
          <w:lang w:val="zh-TW" w:eastAsia="zh-TW"/>
        </w:rPr>
        <w:t>47.</w:t>
        <w:tab/>
        <w:t xml:space="preserve">Budney, A.J., et al., </w:t>
      </w:r>
      <w:r>
        <w:rPr>
          <w:i/>
          <w:lang w:val="zh-TW" w:eastAsia="zh-TW"/>
        </w:rPr>
        <w:t>Marijuana abstinence effects in marijuana smokers maintained in their home environment.</w:t>
      </w:r>
      <w:r>
        <w:rPr>
          <w:lang w:val="zh-TW" w:eastAsia="zh-TW"/>
        </w:rPr>
        <w:t xml:space="preserve"> Arch Gen Psychiatry, 2001. </w:t>
      </w:r>
      <w:r>
        <w:rPr>
          <w:b/>
          <w:lang w:val="zh-TW" w:eastAsia="zh-TW"/>
        </w:rPr>
        <w:t>58</w:t>
      </w:r>
      <w:r>
        <w:rPr>
          <w:lang w:val="zh-TW" w:eastAsia="zh-TW"/>
        </w:rPr>
        <w:t>(10): p. 917-24.</w:t>
      </w:r>
      <w:bookmarkEnd w:id="19"/>
    </w:p>
    <w:p>
      <w:pPr>
        <w:pStyle w:val="Normal"/>
        <w:rPr>
          <w:lang w:val="zh-TW" w:eastAsia="zh-TW"/>
        </w:rPr>
      </w:pPr>
      <w:r>
        <w:rPr>
          <w:lang w:val="zh-TW" w:eastAsia="zh-TW"/>
        </w:rPr>
      </w:r>
    </w:p>
    <w:p>
      <w:pPr>
        <w:pStyle w:val="Normal"/>
        <w:rPr>
          <w:lang w:val="zh-TW" w:eastAsia="zh-TW"/>
        </w:rPr>
      </w:pPr>
      <w:r>
        <w:rPr>
          <w:lang w:val="zh-TW" w:eastAsia="zh-TW"/>
        </w:rPr>
      </w:r>
      <w:r>
        <w:rPr>
          <w:lang w:val="zh-TW" w:eastAsia="zh-TW"/>
        </w:rPr>
        <w:fldChar w:fldCharType="end"/>
      </w:r>
    </w:p>
    <w:sectPr>
      <w:footerReference w:type="default" r:id="rId4"/>
      <w:footerReference w:type="first" r:id="rId5"/>
      <w:type w:val="nextPage"/>
      <w:pgSz w:orient="landscape" w:w="8420" w:h="11906"/>
      <w:pgMar w:left="964" w:right="964" w:gutter="0" w:header="0" w:top="1134" w:footer="567" w:bottom="851"/>
      <w:pgNumType w:start="0" w:fmt="decimal"/>
      <w:formProt w:val="false"/>
      <w:titlePg/>
      <w:textDirection w:val="lrTb"/>
      <w:docGrid w:type="lines"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88"/>
    <w:family w:val="roman"/>
    <w:pitch w:val="variable"/>
  </w:font>
  <w:font w:name="Calibri">
    <w:charset w:val="00"/>
    <w:family w:val="swiss"/>
    <w:pitch w:val="variable"/>
  </w:font>
  <w:font w:name="Cambria">
    <w:charset w:val="00"/>
    <w:family w:val="roman"/>
    <w:pitch w:val="variable"/>
  </w:font>
  <w:font w:name="標楷體">
    <w:charset w:val="88"/>
    <w:family w:val="script"/>
    <w:pitch w:val="default"/>
  </w:font>
  <w:font w:name="Wingdings">
    <w:charset w:val="02"/>
    <w:family w:val="auto"/>
    <w:pitch w:val="variable"/>
  </w:font>
  <w:font w:name="Liberation Sans">
    <w:altName w:val="Arial"/>
    <w:charset w:val="88"/>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27"/>
      <w:rPr/>
    </w:pPr>
    <w:r>
      <w:rPr/>
    </w:r>
    <w:r>
      <mc:AlternateContent>
        <mc:Choice Requires="wps">
          <w:drawing>
            <wp:anchor behindDoc="0" distT="0" distB="0" distL="0" distR="0" simplePos="0" locked="0" layoutInCell="0" allowOverlap="1" relativeHeight="55">
              <wp:simplePos x="0" y="0"/>
              <wp:positionH relativeFrom="margin">
                <wp:align>center</wp:align>
              </wp:positionH>
              <wp:positionV relativeFrom="paragraph">
                <wp:posOffset>635</wp:posOffset>
              </wp:positionV>
              <wp:extent cx="153035" cy="152400"/>
              <wp:effectExtent l="0" t="0" r="0" b="0"/>
              <wp:wrapSquare wrapText="largest"/>
              <wp:docPr id="53" name="外框13"/>
              <a:graphic xmlns:a="http://schemas.openxmlformats.org/drawingml/2006/main">
                <a:graphicData uri="http://schemas.microsoft.com/office/word/2010/wordprocessingShape">
                  <wps:wsp>
                    <wps:cNvSpPr txBox="1"/>
                    <wps:spPr>
                      <a:xfrm>
                        <a:off x="0" y="0"/>
                        <a:ext cx="153035" cy="152400"/>
                      </a:xfrm>
                      <a:prstGeom prst="rect"/>
                      <a:solidFill>
                        <a:srgbClr val="FFFFFF">
                          <a:alpha val="0"/>
                        </a:srgbClr>
                      </a:solidFill>
                    </wps:spPr>
                    <wps:txbx>
                      <w:txbxContent>
                        <w:p>
                          <w:pPr>
                            <w:pStyle w:val="Style27"/>
                            <w:rPr>
                              <w:rStyle w:val="Style18"/>
                              <w:rFonts w:ascii="標楷體" w:hAnsi="標楷體" w:eastAsia="標楷體" w:cs="標楷體"/>
                              <w:sz w:val="24"/>
                              <w:szCs w:val="24"/>
                            </w:rPr>
                          </w:pPr>
                          <w:r>
                            <w:rPr>
                              <w:rStyle w:val="Style18"/>
                              <w:rFonts w:ascii="標楷體" w:hAnsi="標楷體" w:cs="標楷體" w:eastAsia="標楷體"/>
                              <w:sz w:val="24"/>
                              <w:szCs w:val="24"/>
                            </w:rPr>
                            <w:fldChar w:fldCharType="begin"/>
                          </w:r>
                          <w:r>
                            <w:rPr>
                              <w:rStyle w:val="Style18"/>
                              <w:sz w:val="24"/>
                              <w:szCs w:val="24"/>
                              <w:rFonts w:ascii="標楷體" w:hAnsi="標楷體" w:cs="標楷體" w:eastAsia="標楷體"/>
                            </w:rPr>
                            <w:instrText> PAGE </w:instrText>
                          </w:r>
                          <w:r>
                            <w:rPr>
                              <w:rStyle w:val="Style18"/>
                              <w:sz w:val="24"/>
                              <w:szCs w:val="24"/>
                              <w:rFonts w:ascii="標楷體" w:hAnsi="標楷體" w:cs="標楷體" w:eastAsia="標楷體"/>
                            </w:rPr>
                            <w:fldChar w:fldCharType="separate"/>
                          </w:r>
                          <w:r>
                            <w:rPr>
                              <w:rStyle w:val="Style18"/>
                              <w:sz w:val="24"/>
                              <w:szCs w:val="24"/>
                              <w:rFonts w:ascii="標楷體" w:hAnsi="標楷體" w:cs="標楷體" w:eastAsia="標楷體"/>
                            </w:rPr>
                            <w:t>54</w:t>
                          </w:r>
                          <w:r>
                            <w:rPr>
                              <w:rStyle w:val="Style18"/>
                              <w:sz w:val="24"/>
                              <w:szCs w:val="24"/>
                              <w:rFonts w:ascii="標楷體" w:hAnsi="標楷體" w:cs="標楷體" w:eastAsia="標楷體"/>
                            </w:rPr>
                            <w:fldChar w:fldCharType="end"/>
                          </w:r>
                        </w:p>
                      </w:txbxContent>
                    </wps:txbx>
                    <wps:bodyPr anchor="t" lIns="0" tIns="0" rIns="0" bIns="0">
                      <a:noAutofit/>
                    </wps:bodyPr>
                  </wps:wsp>
                </a:graphicData>
              </a:graphic>
            </wp:anchor>
          </w:drawing>
        </mc:Choice>
        <mc:Fallback>
          <w:pict>
            <v:rect fillcolor="#FFFFFF" style="position:absolute;rotation:0;width:12.05pt;height:12pt;mso-wrap-distance-left:0pt;mso-wrap-distance-right:0pt;mso-wrap-distance-top:0pt;mso-wrap-distance-bottom:0pt;margin-top:0.05pt;mso-position-vertical-relative:text;margin-left:156.3pt;mso-position-horizontal:center;mso-position-horizontal-relative:margin">
              <v:fill opacity="0f"/>
              <v:textbox inset="0in,0in,0in,0in">
                <w:txbxContent>
                  <w:p>
                    <w:pPr>
                      <w:pStyle w:val="Style27"/>
                      <w:rPr>
                        <w:rStyle w:val="Style18"/>
                        <w:rFonts w:ascii="標楷體" w:hAnsi="標楷體" w:eastAsia="標楷體" w:cs="標楷體"/>
                        <w:sz w:val="24"/>
                        <w:szCs w:val="24"/>
                      </w:rPr>
                    </w:pPr>
                    <w:r>
                      <w:rPr>
                        <w:rStyle w:val="Style18"/>
                        <w:rFonts w:ascii="標楷體" w:hAnsi="標楷體" w:cs="標楷體" w:eastAsia="標楷體"/>
                        <w:sz w:val="24"/>
                        <w:szCs w:val="24"/>
                      </w:rPr>
                      <w:fldChar w:fldCharType="begin"/>
                    </w:r>
                    <w:r>
                      <w:rPr>
                        <w:rStyle w:val="Style18"/>
                        <w:sz w:val="24"/>
                        <w:szCs w:val="24"/>
                        <w:rFonts w:ascii="標楷體" w:hAnsi="標楷體" w:cs="標楷體" w:eastAsia="標楷體"/>
                      </w:rPr>
                      <w:instrText> PAGE </w:instrText>
                    </w:r>
                    <w:r>
                      <w:rPr>
                        <w:rStyle w:val="Style18"/>
                        <w:sz w:val="24"/>
                        <w:szCs w:val="24"/>
                        <w:rFonts w:ascii="標楷體" w:hAnsi="標楷體" w:cs="標楷體" w:eastAsia="標楷體"/>
                      </w:rPr>
                      <w:fldChar w:fldCharType="separate"/>
                    </w:r>
                    <w:r>
                      <w:rPr>
                        <w:rStyle w:val="Style18"/>
                        <w:sz w:val="24"/>
                        <w:szCs w:val="24"/>
                        <w:rFonts w:ascii="標楷體" w:hAnsi="標楷體" w:cs="標楷體" w:eastAsia="標楷體"/>
                      </w:rPr>
                      <w:t>54</w:t>
                    </w:r>
                    <w:r>
                      <w:rPr>
                        <w:rStyle w:val="Style18"/>
                        <w:sz w:val="24"/>
                        <w:szCs w:val="24"/>
                        <w:rFonts w:ascii="標楷體" w:hAnsi="標楷體" w:cs="標楷體" w:eastAsia="標楷體"/>
                      </w:rPr>
                      <w:fldChar w:fldCharType="end"/>
                    </w:r>
                  </w:p>
                </w:txbxContent>
              </v:textbox>
              <w10:wrap type="square" side="largest"/>
            </v:rect>
          </w:pict>
        </mc:Fallback>
      </mc:AlternateContent>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27"/>
      <w:rPr/>
    </w:pPr>
    <w:r>
      <w:rPr/>
    </w:r>
  </w:p>
</w:ft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decimal"/>
      <w:lvlText w:val="%1."/>
      <w:lvlJc w:val="left"/>
      <w:pPr>
        <w:tabs>
          <w:tab w:val="num" w:pos="0"/>
        </w:tabs>
        <w:ind w:left="840" w:hanging="360"/>
      </w:pPr>
      <w:rPr/>
    </w:lvl>
  </w:abstractNum>
  <w:abstractNum w:abstractNumId="3">
    <w:lvl w:ilvl="0">
      <w:start w:val="1"/>
      <w:numFmt w:val="upperLetter"/>
      <w:lvlText w:val="%1."/>
      <w:lvlJc w:val="left"/>
      <w:pPr>
        <w:tabs>
          <w:tab w:val="num" w:pos="480"/>
        </w:tabs>
        <w:ind w:left="480" w:hanging="480"/>
      </w:pPr>
      <w:rPr>
        <w:rFonts w:ascii="標楷體" w:hAnsi="標楷體" w:eastAsia="標楷體" w:cs="標楷體"/>
        <w:color w:val="000000"/>
      </w:rPr>
    </w:lvl>
    <w:lvl w:ilvl="1">
      <w:start w:val="1"/>
      <w:numFmt w:val="decimal"/>
      <w:lvlText w:val="(%2)"/>
      <w:lvlJc w:val="left"/>
      <w:pPr>
        <w:tabs>
          <w:tab w:val="num" w:pos="960"/>
        </w:tabs>
        <w:ind w:left="960" w:hanging="480"/>
      </w:pPr>
      <w:rPr>
        <w:rFonts w:ascii="標楷體" w:hAnsi="標楷體" w:eastAsia="標楷體" w:cs="標楷體"/>
        <w:color w:val="000000"/>
      </w:rPr>
    </w:lvl>
    <w:lvl w:ilvl="2">
      <w:start w:val="1"/>
      <w:numFmt w:val="lowerRoman"/>
      <w:lvlText w:val="%3."/>
      <w:lvlJc w:val="right"/>
      <w:pPr>
        <w:tabs>
          <w:tab w:val="num" w:pos="1440"/>
        </w:tabs>
        <w:ind w:left="1440" w:hanging="480"/>
      </w:pPr>
      <w:rPr/>
    </w:lvl>
    <w:lvl w:ilvl="3">
      <w:start w:val="1"/>
      <w:numFmt w:val="decimal"/>
      <w:lvlText w:val="%4."/>
      <w:lvlJc w:val="left"/>
      <w:pPr>
        <w:tabs>
          <w:tab w:val="num" w:pos="1920"/>
        </w:tabs>
        <w:ind w:left="1920" w:hanging="480"/>
      </w:pPr>
      <w:rPr/>
    </w:lvl>
    <w:lvl w:ilvl="4">
      <w:start w:val="1"/>
      <w:numFmt w:val="ideographTraditional"/>
      <w:lvlText w:val="%5、"/>
      <w:lvlJc w:val="left"/>
      <w:pPr>
        <w:tabs>
          <w:tab w:val="num" w:pos="2400"/>
        </w:tabs>
        <w:ind w:left="2400" w:hanging="480"/>
      </w:pPr>
      <w:rPr/>
    </w:lvl>
    <w:lvl w:ilvl="5">
      <w:start w:val="1"/>
      <w:numFmt w:val="lowerRoman"/>
      <w:lvlText w:val="%6."/>
      <w:lvlJc w:val="right"/>
      <w:pPr>
        <w:tabs>
          <w:tab w:val="num" w:pos="2880"/>
        </w:tabs>
        <w:ind w:left="2880" w:hanging="480"/>
      </w:pPr>
      <w:rPr/>
    </w:lvl>
    <w:lvl w:ilvl="6">
      <w:start w:val="1"/>
      <w:numFmt w:val="decimal"/>
      <w:lvlText w:val="%7."/>
      <w:lvlJc w:val="left"/>
      <w:pPr>
        <w:tabs>
          <w:tab w:val="num" w:pos="3360"/>
        </w:tabs>
        <w:ind w:left="3360" w:hanging="480"/>
      </w:pPr>
      <w:rPr/>
    </w:lvl>
    <w:lvl w:ilvl="7">
      <w:start w:val="1"/>
      <w:numFmt w:val="ideographTraditional"/>
      <w:lvlText w:val="%8、"/>
      <w:lvlJc w:val="left"/>
      <w:pPr>
        <w:tabs>
          <w:tab w:val="num" w:pos="3840"/>
        </w:tabs>
        <w:ind w:left="3840" w:hanging="480"/>
      </w:pPr>
      <w:rPr/>
    </w:lvl>
    <w:lvl w:ilvl="8">
      <w:start w:val="1"/>
      <w:numFmt w:val="lowerRoman"/>
      <w:lvlText w:val="%9."/>
      <w:lvlJc w:val="right"/>
      <w:pPr>
        <w:tabs>
          <w:tab w:val="num" w:pos="4320"/>
        </w:tabs>
        <w:ind w:left="4320" w:hanging="480"/>
      </w:pPr>
      <w:rPr/>
    </w:lvl>
  </w:abstractNum>
  <w:abstractNum w:abstractNumId="4">
    <w:lvl w:ilvl="0">
      <w:start w:val="1"/>
      <w:numFmt w:val="decimal"/>
      <w:lvlText w:val="（%1）"/>
      <w:lvlJc w:val="left"/>
      <w:pPr>
        <w:tabs>
          <w:tab w:val="num" w:pos="720"/>
        </w:tabs>
        <w:ind w:left="720" w:hanging="720"/>
      </w:pPr>
      <w:rPr>
        <w:rFonts w:ascii="標楷體" w:hAnsi="標楷體" w:eastAsia="標楷體" w:cs="標楷體"/>
        <w:color w:val="000000"/>
      </w:rPr>
    </w:lvl>
    <w:lvl w:ilvl="1">
      <w:start w:val="1"/>
      <w:numFmt w:val="lowerLetter"/>
      <w:lvlText w:val="(%2)"/>
      <w:lvlJc w:val="left"/>
      <w:pPr>
        <w:tabs>
          <w:tab w:val="num" w:pos="960"/>
        </w:tabs>
        <w:ind w:left="960" w:hanging="480"/>
      </w:pPr>
      <w:rPr>
        <w:rFonts w:ascii="標楷體" w:hAnsi="標楷體" w:eastAsia="標楷體" w:cs="標楷體"/>
        <w:color w:val="000000"/>
      </w:rPr>
    </w:lvl>
    <w:lvl w:ilvl="2">
      <w:start w:val="1"/>
      <w:numFmt w:val="lowerLetter"/>
      <w:lvlText w:val="(%3)"/>
      <w:lvlJc w:val="right"/>
      <w:pPr>
        <w:tabs>
          <w:tab w:val="num" w:pos="1440"/>
        </w:tabs>
        <w:ind w:left="1440" w:hanging="480"/>
      </w:pPr>
      <w:rPr>
        <w:rFonts w:ascii="標楷體" w:hAnsi="標楷體" w:eastAsia="標楷體" w:cs="標楷體"/>
        <w:color w:val="000000"/>
      </w:rPr>
    </w:lvl>
    <w:lvl w:ilvl="3">
      <w:start w:val="1"/>
      <w:numFmt w:val="decimal"/>
      <w:lvlText w:val="%4."/>
      <w:lvlJc w:val="left"/>
      <w:pPr>
        <w:tabs>
          <w:tab w:val="num" w:pos="1920"/>
        </w:tabs>
        <w:ind w:left="1920" w:hanging="480"/>
      </w:pPr>
      <w:rPr/>
    </w:lvl>
    <w:lvl w:ilvl="4">
      <w:start w:val="1"/>
      <w:numFmt w:val="ideographTraditional"/>
      <w:lvlText w:val="%5、"/>
      <w:lvlJc w:val="left"/>
      <w:pPr>
        <w:tabs>
          <w:tab w:val="num" w:pos="2400"/>
        </w:tabs>
        <w:ind w:left="2400" w:hanging="480"/>
      </w:pPr>
      <w:rPr/>
    </w:lvl>
    <w:lvl w:ilvl="5">
      <w:start w:val="1"/>
      <w:numFmt w:val="lowerRoman"/>
      <w:lvlText w:val="%6."/>
      <w:lvlJc w:val="right"/>
      <w:pPr>
        <w:tabs>
          <w:tab w:val="num" w:pos="2880"/>
        </w:tabs>
        <w:ind w:left="2880" w:hanging="480"/>
      </w:pPr>
      <w:rPr/>
    </w:lvl>
    <w:lvl w:ilvl="6">
      <w:start w:val="1"/>
      <w:numFmt w:val="decimal"/>
      <w:lvlText w:val="%7."/>
      <w:lvlJc w:val="left"/>
      <w:pPr>
        <w:tabs>
          <w:tab w:val="num" w:pos="3360"/>
        </w:tabs>
        <w:ind w:left="3360" w:hanging="480"/>
      </w:pPr>
      <w:rPr/>
    </w:lvl>
    <w:lvl w:ilvl="7">
      <w:start w:val="1"/>
      <w:numFmt w:val="ideographTraditional"/>
      <w:lvlText w:val="%8、"/>
      <w:lvlJc w:val="left"/>
      <w:pPr>
        <w:tabs>
          <w:tab w:val="num" w:pos="3840"/>
        </w:tabs>
        <w:ind w:left="3840" w:hanging="480"/>
      </w:pPr>
      <w:rPr/>
    </w:lvl>
    <w:lvl w:ilvl="8">
      <w:start w:val="1"/>
      <w:numFmt w:val="lowerRoman"/>
      <w:lvlText w:val="%9."/>
      <w:lvlJc w:val="right"/>
      <w:pPr>
        <w:tabs>
          <w:tab w:val="num" w:pos="4320"/>
        </w:tabs>
        <w:ind w:left="4320" w:hanging="480"/>
      </w:pPr>
      <w:rPr/>
    </w:lvl>
  </w:abstractNum>
  <w:abstractNum w:abstractNumId="5">
    <w:lvl w:ilvl="0">
      <w:start w:val="1"/>
      <w:numFmt w:val="decimal"/>
      <w:lvlText w:val="（%1）"/>
      <w:lvlJc w:val="left"/>
      <w:pPr>
        <w:tabs>
          <w:tab w:val="num" w:pos="1200"/>
        </w:tabs>
        <w:ind w:left="1200" w:hanging="720"/>
      </w:pPr>
      <w:rPr/>
    </w:lvl>
  </w:abstractNum>
  <w:abstractNum w:abstractNumId="6">
    <w:lvl w:ilvl="0">
      <w:start w:val="1"/>
      <w:numFmt w:val="upperLetter"/>
      <w:lvlText w:val="%1."/>
      <w:lvlJc w:val="left"/>
      <w:pPr>
        <w:tabs>
          <w:tab w:val="num" w:pos="480"/>
        </w:tabs>
        <w:ind w:left="480" w:hanging="480"/>
      </w:pPr>
      <w:rPr/>
    </w:lvl>
  </w:abstractNum>
  <w:abstractNum w:abstractNumId="7">
    <w:lvl w:ilvl="0">
      <w:start w:val="1"/>
      <w:numFmt w:val="decimal"/>
      <w:lvlText w:val="%1."/>
      <w:lvlJc w:val="left"/>
      <w:pPr>
        <w:tabs>
          <w:tab w:val="num" w:pos="0"/>
        </w:tabs>
        <w:ind w:left="960" w:hanging="480"/>
      </w:pPr>
      <w:rPr>
        <w:rFonts w:ascii="標楷體" w:hAnsi="標楷體" w:eastAsia="標楷體" w:cs="標楷體"/>
      </w:rPr>
    </w:lvl>
  </w:abstractNum>
  <w:abstractNum w:abstractNumId="8">
    <w:lvl w:ilvl="0">
      <w:start w:val="1"/>
      <w:numFmt w:val="bullet"/>
      <w:lvlText w:val="–"/>
      <w:lvlJc w:val="left"/>
      <w:pPr>
        <w:tabs>
          <w:tab w:val="num" w:pos="0"/>
        </w:tabs>
        <w:ind w:left="1440" w:hanging="480"/>
      </w:pPr>
      <w:rPr>
        <w:rFonts w:ascii="標楷體" w:hAnsi="標楷體" w:cs="標楷體" w:hint="default"/>
        <w:szCs w:val="24"/>
        <w:color w:val="000000"/>
      </w:rPr>
    </w:lvl>
  </w:abstractNum>
  <w:abstractNum w:abstractNumId="9">
    <w:lvl w:ilvl="0">
      <w:start w:val="1"/>
      <w:numFmt w:val="decimal"/>
      <w:lvlText w:val="%1."/>
      <w:lvlJc w:val="left"/>
      <w:pPr>
        <w:tabs>
          <w:tab w:val="num" w:pos="0"/>
        </w:tabs>
        <w:ind w:left="960" w:hanging="480"/>
      </w:pPr>
      <w:rPr/>
    </w:lvl>
  </w:abstractNum>
  <w:abstractNum w:abstractNumId="10">
    <w:lvl w:ilvl="0">
      <w:start w:val="1"/>
      <w:numFmt w:val="bullet"/>
      <w:lvlText w:val="–"/>
      <w:lvlJc w:val="left"/>
      <w:pPr>
        <w:tabs>
          <w:tab w:val="num" w:pos="0"/>
        </w:tabs>
        <w:ind w:left="1464" w:hanging="480"/>
      </w:pPr>
      <w:rPr>
        <w:rFonts w:ascii="標楷體" w:hAnsi="標楷體" w:cs="標楷體" w:hint="default"/>
        <w:szCs w:val="24"/>
        <w:color w:val="000000"/>
      </w:rPr>
    </w:lvl>
  </w:abstractNum>
  <w:abstractNum w:abstractNumId="11">
    <w:lvl w:ilvl="0">
      <w:start w:val="1"/>
      <w:numFmt w:val="upperLetter"/>
      <w:lvlText w:val="%1."/>
      <w:lvlJc w:val="left"/>
      <w:pPr>
        <w:tabs>
          <w:tab w:val="num" w:pos="480"/>
        </w:tabs>
        <w:ind w:left="480" w:hanging="480"/>
      </w:pPr>
      <w:rPr>
        <w:rFonts w:ascii="標楷體" w:hAnsi="標楷體" w:eastAsia="標楷體" w:cs="標楷體"/>
        <w:color w:val="000000"/>
      </w:rPr>
    </w:lvl>
  </w:abstractNum>
  <w:abstractNum w:abstractNumId="12">
    <w:lvl w:ilvl="0">
      <w:start w:val="1"/>
      <w:numFmt w:val="bullet"/>
      <w:lvlText w:val="–"/>
      <w:lvlJc w:val="left"/>
      <w:pPr>
        <w:tabs>
          <w:tab w:val="num" w:pos="0"/>
        </w:tabs>
        <w:ind w:left="960" w:hanging="480"/>
      </w:pPr>
      <w:rPr>
        <w:rFonts w:ascii="標楷體" w:hAnsi="標楷體" w:cs="標楷體" w:hint="default"/>
      </w:rPr>
    </w:lvl>
  </w:abstractNum>
  <w:abstractNum w:abstractNumId="13">
    <w:lvl w:ilvl="0">
      <w:start w:val="1"/>
      <w:numFmt w:val="decimal"/>
      <w:lvlText w:val="（%1）"/>
      <w:lvlJc w:val="left"/>
      <w:pPr>
        <w:tabs>
          <w:tab w:val="num" w:pos="1200"/>
        </w:tabs>
        <w:ind w:left="1200" w:hanging="720"/>
      </w:pPr>
      <w:rPr/>
    </w:lvl>
  </w:abstractNum>
  <w:abstractNum w:abstractNumId="14">
    <w:lvl w:ilvl="0">
      <w:start w:val="1"/>
      <w:numFmt w:val="upperLetter"/>
      <w:lvlText w:val="%1."/>
      <w:lvlJc w:val="left"/>
      <w:pPr>
        <w:tabs>
          <w:tab w:val="num" w:pos="480"/>
        </w:tabs>
        <w:ind w:left="480" w:hanging="480"/>
      </w:pPr>
      <w:rPr/>
    </w:lvl>
  </w:abstractNum>
  <w:abstractNum w:abstractNumId="15">
    <w:lvl w:ilvl="0">
      <w:start w:val="1"/>
      <w:numFmt w:val="bullet"/>
      <w:lvlText w:val="–"/>
      <w:lvlJc w:val="left"/>
      <w:pPr>
        <w:tabs>
          <w:tab w:val="num" w:pos="0"/>
        </w:tabs>
        <w:ind w:left="1464" w:hanging="480"/>
      </w:pPr>
      <w:rPr>
        <w:rFonts w:ascii="標楷體" w:hAnsi="標楷體" w:cs="標楷體" w:hint="default"/>
        <w:szCs w:val="24"/>
        <w:color w:val="000000"/>
      </w:rPr>
    </w:lvl>
  </w:abstractNum>
  <w:abstractNum w:abstractNumId="16">
    <w:lvl w:ilvl="0">
      <w:start w:val="1"/>
      <w:numFmt w:val="bullet"/>
      <w:lvlText w:val="–"/>
      <w:lvlJc w:val="left"/>
      <w:pPr>
        <w:tabs>
          <w:tab w:val="num" w:pos="0"/>
        </w:tabs>
        <w:ind w:left="1440" w:hanging="480"/>
      </w:pPr>
      <w:rPr>
        <w:rFonts w:ascii="標楷體" w:hAnsi="標楷體" w:cs="標楷體" w:hint="default"/>
        <w:szCs w:val="24"/>
        <w:color w:val="000000"/>
      </w:rPr>
    </w:lvl>
  </w:abstractNum>
  <w:abstractNum w:abstractNumId="17">
    <w:lvl w:ilvl="0">
      <w:start w:val="1"/>
      <w:numFmt w:val="decimal"/>
      <w:lvlText w:val="(%1)"/>
      <w:lvlJc w:val="left"/>
      <w:pPr>
        <w:tabs>
          <w:tab w:val="num" w:pos="0"/>
        </w:tabs>
        <w:ind w:left="1200" w:hanging="720"/>
      </w:pPr>
      <w:rPr>
        <w:szCs w:val="24"/>
        <w:rFonts w:ascii="標楷體" w:hAnsi="標楷體" w:eastAsia="標楷體" w:cs="標楷體"/>
        <w:color w:val="000000"/>
      </w:rPr>
    </w:lvl>
  </w:abstractNum>
  <w:abstractNum w:abstractNumId="18">
    <w:lvl w:ilvl="0">
      <w:start w:val="1"/>
      <w:numFmt w:val="bullet"/>
      <w:lvlText w:val="–"/>
      <w:lvlJc w:val="left"/>
      <w:pPr>
        <w:tabs>
          <w:tab w:val="num" w:pos="0"/>
        </w:tabs>
        <w:ind w:left="1440" w:hanging="480"/>
      </w:pPr>
      <w:rPr>
        <w:rFonts w:ascii="標楷體" w:hAnsi="標楷體" w:cs="標楷體" w:hint="default"/>
        <w:szCs w:val="24"/>
        <w:color w:val="000000"/>
      </w:rPr>
    </w:lvl>
  </w:abstractNum>
  <w:abstractNum w:abstractNumId="19">
    <w:lvl w:ilvl="0">
      <w:start w:val="1"/>
      <w:numFmt w:val="decimal"/>
      <w:lvlText w:val="%1."/>
      <w:lvlJc w:val="left"/>
      <w:pPr>
        <w:tabs>
          <w:tab w:val="num" w:pos="0"/>
        </w:tabs>
        <w:ind w:left="840" w:hanging="360"/>
      </w:pPr>
      <w:rPr/>
    </w:lvl>
  </w:abstractNum>
  <w:abstractNum w:abstractNumId="20">
    <w:lvl w:ilvl="0">
      <w:start w:val="1"/>
      <w:numFmt w:val="decimal"/>
      <w:lvlText w:val="(%1)"/>
      <w:lvlJc w:val="left"/>
      <w:pPr>
        <w:tabs>
          <w:tab w:val="num" w:pos="0"/>
        </w:tabs>
        <w:ind w:left="960" w:hanging="720"/>
      </w:pPr>
      <w:rPr>
        <w:b/>
        <w:szCs w:val="24"/>
        <w:rFonts w:ascii="標楷體" w:hAnsi="標楷體" w:eastAsia="標楷體" w:cs="標楷體"/>
        <w:color w:val="000000"/>
      </w:rPr>
    </w:lvl>
  </w:abstractNum>
  <w:abstractNum w:abstractNumId="21">
    <w:lvl w:ilvl="0">
      <w:start w:val="1"/>
      <w:numFmt w:val="decimal"/>
      <w:lvlText w:val="(%1)"/>
      <w:lvlJc w:val="left"/>
      <w:pPr>
        <w:tabs>
          <w:tab w:val="num" w:pos="480"/>
        </w:tabs>
        <w:ind w:left="984" w:hanging="720"/>
      </w:pPr>
      <w:rPr>
        <w:b/>
        <w:szCs w:val="24"/>
        <w:rFonts w:ascii="標楷體" w:hAnsi="標楷體" w:eastAsia="標楷體" w:cs="標楷體"/>
        <w:color w:val="000000"/>
      </w:rPr>
    </w:lvl>
  </w:abstractNum>
  <w:abstractNum w:abstractNumId="22">
    <w:lvl w:ilvl="0">
      <w:start w:val="1"/>
      <w:numFmt w:val="decimal"/>
      <w:lvlText w:val="(%1)"/>
      <w:lvlJc w:val="left"/>
      <w:pPr>
        <w:tabs>
          <w:tab w:val="num" w:pos="0"/>
        </w:tabs>
        <w:ind w:left="960" w:hanging="720"/>
      </w:pPr>
      <w:rPr>
        <w:szCs w:val="24"/>
        <w:rFonts w:ascii="標楷體" w:hAnsi="標楷體" w:eastAsia="標楷體" w:cs="標楷體"/>
        <w:color w:val="000000"/>
      </w:rPr>
    </w:lvl>
  </w:abstractNum>
  <w:abstractNum w:abstractNumId="23">
    <w:lvl w:ilvl="0">
      <w:start w:val="1"/>
      <w:numFmt w:val="decimal"/>
      <w:lvlText w:val="(%1)"/>
      <w:lvlJc w:val="left"/>
      <w:pPr>
        <w:tabs>
          <w:tab w:val="num" w:pos="0"/>
        </w:tabs>
        <w:ind w:left="960" w:hanging="720"/>
      </w:pPr>
      <w:rPr>
        <w:b/>
        <w:szCs w:val="24"/>
        <w:rFonts w:ascii="標楷體" w:hAnsi="標楷體" w:eastAsia="標楷體" w:cs="標楷體"/>
        <w:color w:val="000000"/>
      </w:rPr>
    </w:lvl>
  </w:abstractNum>
  <w:abstractNum w:abstractNumId="24">
    <w:lvl w:ilvl="0">
      <w:start w:val="1"/>
      <w:numFmt w:val="taiwaneseCountingThousand"/>
      <w:lvlText w:val="(%1)"/>
      <w:lvlJc w:val="left"/>
      <w:pPr>
        <w:tabs>
          <w:tab w:val="num" w:pos="0"/>
        </w:tabs>
        <w:ind w:left="585" w:hanging="585"/>
      </w:pPr>
      <w:rPr>
        <w:rFonts w:ascii="標楷體" w:hAnsi="標楷體" w:eastAsia="標楷體" w:cs="標楷體"/>
      </w:rPr>
    </w:lvl>
  </w:abstractNum>
  <w:abstractNum w:abstractNumId="25">
    <w:lvl w:ilvl="0">
      <w:start w:val="1"/>
      <w:numFmt w:val="decimal"/>
      <w:lvlText w:val="（%1）"/>
      <w:lvlJc w:val="left"/>
      <w:pPr>
        <w:tabs>
          <w:tab w:val="num" w:pos="1200"/>
        </w:tabs>
        <w:ind w:left="1200" w:hanging="720"/>
      </w:pPr>
      <w:rPr>
        <w:rFonts w:ascii="標楷體" w:hAnsi="標楷體" w:eastAsia="標楷體" w:cs="標楷體"/>
        <w:color w:val="000000"/>
      </w:rPr>
    </w:lvl>
  </w:abstractNum>
  <w:abstractNum w:abstractNumId="26">
    <w:lvl w:ilvl="0">
      <w:start w:val="1"/>
      <w:numFmt w:val="decimal"/>
      <w:lvlText w:val="(%1)"/>
      <w:lvlJc w:val="left"/>
      <w:pPr>
        <w:tabs>
          <w:tab w:val="num" w:pos="0"/>
        </w:tabs>
        <w:ind w:left="984" w:hanging="720"/>
      </w:pPr>
      <w:rPr>
        <w:b/>
        <w:szCs w:val="24"/>
        <w:rFonts w:ascii="標楷體" w:hAnsi="標楷體" w:eastAsia="標楷體" w:cs="標楷體"/>
        <w:color w:val="000000"/>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bering>
</file>

<file path=word/settings.xml><?xml version="1.0" encoding="utf-8"?>
<w:settings xmlns:w="http://schemas.openxmlformats.org/wordprocessingml/2006/main">
  <w:zoom w:percent="100"/>
  <w:mirrorMargins/>
  <w:defaultTabStop w:val="709"/>
  <w:autoHyphenation w:val="true"/>
  <w:compat>
    <w:noLeading/>
    <w:doNotExpandShiftReturn/>
    <w:compatSetting w:name="compatibilityMode" w:uri="http://schemas.microsoft.com/office/word" w:val="14"/>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思源黑體" w:cs="Lucida Sans"/>
        <w:sz w:val="24"/>
        <w:szCs w:val="24"/>
        <w:lang w:val="en-US" w:eastAsia="zh-TW" w:bidi="hi-IN"/>
      </w:rPr>
    </w:rPrDefault>
    <w:pPrDefault>
      <w:pPr>
        <w:suppressAutoHyphens w:val="true"/>
      </w:pPr>
    </w:pPrDefault>
  </w:docDefaults>
  <w:style w:type="paragraph" w:styleId="Normal">
    <w:name w:val="Normal"/>
    <w:qFormat/>
    <w:pPr>
      <w:widowControl w:val="false"/>
      <w:bidi w:val="0"/>
    </w:pPr>
    <w:rPr>
      <w:rFonts w:ascii="Calibri" w:hAnsi="Calibri" w:eastAsia="新細明體;PMingLiU" w:cs="Times New Roman"/>
      <w:color w:val="auto"/>
      <w:kern w:val="2"/>
      <w:sz w:val="24"/>
      <w:szCs w:val="22"/>
      <w:lang w:val="en-US" w:eastAsia="zh-TW" w:bidi="ar-SA"/>
    </w:rPr>
  </w:style>
  <w:style w:type="paragraph" w:styleId="1">
    <w:name w:val="Heading 1"/>
    <w:basedOn w:val="Normal"/>
    <w:next w:val="Normal"/>
    <w:qFormat/>
    <w:pPr>
      <w:keepNext w:val="true"/>
      <w:numPr>
        <w:ilvl w:val="0"/>
        <w:numId w:val="1"/>
      </w:numPr>
      <w:spacing w:lineRule="auto" w:line="720" w:before="180" w:after="180"/>
      <w:outlineLvl w:val="0"/>
    </w:pPr>
    <w:rPr>
      <w:rFonts w:ascii="Cambria" w:hAnsi="Cambria" w:eastAsia="標楷體" w:cs="Cambria"/>
      <w:b/>
      <w:bCs/>
      <w:kern w:val="2"/>
      <w:sz w:val="40"/>
      <w:szCs w:val="52"/>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ascii="標楷體" w:hAnsi="標楷體" w:eastAsia="標楷體" w:cs="標楷體"/>
      <w:color w:val="000000"/>
    </w:rPr>
  </w:style>
  <w:style w:type="character" w:styleId="WW8Num2z1">
    <w:name w:val="WW8Num2z1"/>
    <w:qFormat/>
    <w:rPr>
      <w:rFonts w:ascii="標楷體" w:hAnsi="標楷體" w:eastAsia="標楷體" w:cs="標楷體"/>
      <w:color w:val="000000"/>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WW8Num4z0">
    <w:name w:val="WW8Num4z0"/>
    <w:qFormat/>
    <w:rPr>
      <w:rFonts w:ascii="標楷體" w:hAnsi="標楷體" w:eastAsia="標楷體" w:cs="標楷體"/>
      <w:color w:val="000000"/>
    </w:rPr>
  </w:style>
  <w:style w:type="character" w:styleId="WW8Num4z3">
    <w:name w:val="WW8Num4z3"/>
    <w:qFormat/>
    <w:rPr/>
  </w:style>
  <w:style w:type="character" w:styleId="WW8Num4z4">
    <w:name w:val="WW8Num4z4"/>
    <w:qFormat/>
    <w:rPr/>
  </w:style>
  <w:style w:type="character" w:styleId="WW8Num4z5">
    <w:name w:val="WW8Num4z5"/>
    <w:qFormat/>
    <w:rPr/>
  </w:style>
  <w:style w:type="character" w:styleId="WW8Num4z6">
    <w:name w:val="WW8Num4z6"/>
    <w:qFormat/>
    <w:rPr/>
  </w:style>
  <w:style w:type="character" w:styleId="WW8Num4z7">
    <w:name w:val="WW8Num4z7"/>
    <w:qFormat/>
    <w:rPr/>
  </w:style>
  <w:style w:type="character" w:styleId="WW8Num4z8">
    <w:name w:val="WW8Num4z8"/>
    <w:qFormat/>
    <w:rPr/>
  </w:style>
  <w:style w:type="character" w:styleId="WW8Num5z0">
    <w:name w:val="WW8Num5z0"/>
    <w:qFormat/>
    <w:rPr/>
  </w:style>
  <w:style w:type="character" w:styleId="WW8Num5z3">
    <w:name w:val="WW8Num5z3"/>
    <w:qFormat/>
    <w:rPr/>
  </w:style>
  <w:style w:type="character" w:styleId="WW8Num5z4">
    <w:name w:val="WW8Num5z4"/>
    <w:qFormat/>
    <w:rPr/>
  </w:style>
  <w:style w:type="character" w:styleId="WW8Num5z5">
    <w:name w:val="WW8Num5z5"/>
    <w:qFormat/>
    <w:rPr/>
  </w:style>
  <w:style w:type="character" w:styleId="WW8Num5z6">
    <w:name w:val="WW8Num5z6"/>
    <w:qFormat/>
    <w:rPr/>
  </w:style>
  <w:style w:type="character" w:styleId="WW8Num5z7">
    <w:name w:val="WW8Num5z7"/>
    <w:qFormat/>
    <w:rPr/>
  </w:style>
  <w:style w:type="character" w:styleId="WW8Num5z8">
    <w:name w:val="WW8Num5z8"/>
    <w:qFormat/>
    <w:rPr/>
  </w:style>
  <w:style w:type="character" w:styleId="WW8Num6z0">
    <w:name w:val="WW8Num6z0"/>
    <w:qFormat/>
    <w:rPr/>
  </w:style>
  <w:style w:type="character" w:styleId="WW8Num6z1">
    <w:name w:val="WW8Num6z1"/>
    <w:qFormat/>
    <w:rPr/>
  </w:style>
  <w:style w:type="character" w:styleId="WW8Num6z2">
    <w:name w:val="WW8Num6z2"/>
    <w:qFormat/>
    <w:rPr/>
  </w:style>
  <w:style w:type="character" w:styleId="WW8Num6z3">
    <w:name w:val="WW8Num6z3"/>
    <w:qFormat/>
    <w:rPr/>
  </w:style>
  <w:style w:type="character" w:styleId="WW8Num6z4">
    <w:name w:val="WW8Num6z4"/>
    <w:qFormat/>
    <w:rPr/>
  </w:style>
  <w:style w:type="character" w:styleId="WW8Num6z5">
    <w:name w:val="WW8Num6z5"/>
    <w:qFormat/>
    <w:rPr/>
  </w:style>
  <w:style w:type="character" w:styleId="WW8Num6z6">
    <w:name w:val="WW8Num6z6"/>
    <w:qFormat/>
    <w:rPr/>
  </w:style>
  <w:style w:type="character" w:styleId="WW8Num6z7">
    <w:name w:val="WW8Num6z7"/>
    <w:qFormat/>
    <w:rPr/>
  </w:style>
  <w:style w:type="character" w:styleId="WW8Num6z8">
    <w:name w:val="WW8Num6z8"/>
    <w:qFormat/>
    <w:rPr/>
  </w:style>
  <w:style w:type="character" w:styleId="WW8Num7z0">
    <w:name w:val="WW8Num7z0"/>
    <w:qFormat/>
    <w:rPr>
      <w:rFonts w:ascii="標楷體" w:hAnsi="標楷體" w:eastAsia="標楷體" w:cs="標楷體"/>
    </w:rPr>
  </w:style>
  <w:style w:type="character" w:styleId="WW8Num7z1">
    <w:name w:val="WW8Num7z1"/>
    <w:qFormat/>
    <w:rPr/>
  </w:style>
  <w:style w:type="character" w:styleId="WW8Num7z2">
    <w:name w:val="WW8Num7z2"/>
    <w:qFormat/>
    <w:rPr/>
  </w:style>
  <w:style w:type="character" w:styleId="WW8Num7z3">
    <w:name w:val="WW8Num7z3"/>
    <w:qFormat/>
    <w:rPr/>
  </w:style>
  <w:style w:type="character" w:styleId="WW8Num7z4">
    <w:name w:val="WW8Num7z4"/>
    <w:qFormat/>
    <w:rPr/>
  </w:style>
  <w:style w:type="character" w:styleId="WW8Num7z5">
    <w:name w:val="WW8Num7z5"/>
    <w:qFormat/>
    <w:rPr/>
  </w:style>
  <w:style w:type="character" w:styleId="WW8Num7z6">
    <w:name w:val="WW8Num7z6"/>
    <w:qFormat/>
    <w:rPr/>
  </w:style>
  <w:style w:type="character" w:styleId="WW8Num7z7">
    <w:name w:val="WW8Num7z7"/>
    <w:qFormat/>
    <w:rPr/>
  </w:style>
  <w:style w:type="character" w:styleId="WW8Num7z8">
    <w:name w:val="WW8Num7z8"/>
    <w:qFormat/>
    <w:rPr/>
  </w:style>
  <w:style w:type="character" w:styleId="WW8Num8z0">
    <w:name w:val="WW8Num8z0"/>
    <w:qFormat/>
    <w:rPr>
      <w:rFonts w:ascii="標楷體" w:hAnsi="標楷體" w:eastAsia="標楷體" w:cs="標楷體"/>
      <w:color w:val="000000"/>
      <w:szCs w:val="24"/>
    </w:rPr>
  </w:style>
  <w:style w:type="character" w:styleId="WW8Num8z1">
    <w:name w:val="WW8Num8z1"/>
    <w:qFormat/>
    <w:rPr>
      <w:rFonts w:ascii="Wingdings" w:hAnsi="Wingdings" w:cs="Wingdings"/>
    </w:rPr>
  </w:style>
  <w:style w:type="character" w:styleId="WW8Num9z0">
    <w:name w:val="WW8Num9z0"/>
    <w:qFormat/>
    <w:rPr/>
  </w:style>
  <w:style w:type="character" w:styleId="WW8Num9z2">
    <w:name w:val="WW8Num9z2"/>
    <w:qFormat/>
    <w:rPr/>
  </w:style>
  <w:style w:type="character" w:styleId="WW8Num9z3">
    <w:name w:val="WW8Num9z3"/>
    <w:qFormat/>
    <w:rPr/>
  </w:style>
  <w:style w:type="character" w:styleId="WW8Num9z4">
    <w:name w:val="WW8Num9z4"/>
    <w:qFormat/>
    <w:rPr/>
  </w:style>
  <w:style w:type="character" w:styleId="WW8Num9z5">
    <w:name w:val="WW8Num9z5"/>
    <w:qFormat/>
    <w:rPr/>
  </w:style>
  <w:style w:type="character" w:styleId="WW8Num9z6">
    <w:name w:val="WW8Num9z6"/>
    <w:qFormat/>
    <w:rPr/>
  </w:style>
  <w:style w:type="character" w:styleId="WW8Num9z7">
    <w:name w:val="WW8Num9z7"/>
    <w:qFormat/>
    <w:rPr/>
  </w:style>
  <w:style w:type="character" w:styleId="WW8Num9z8">
    <w:name w:val="WW8Num9z8"/>
    <w:qFormat/>
    <w:rPr/>
  </w:style>
  <w:style w:type="character" w:styleId="WW8Num10z0">
    <w:name w:val="WW8Num10z0"/>
    <w:qFormat/>
    <w:rPr/>
  </w:style>
  <w:style w:type="character" w:styleId="WW8Num10z1">
    <w:name w:val="WW8Num10z1"/>
    <w:qFormat/>
    <w:rPr/>
  </w:style>
  <w:style w:type="character" w:styleId="WW8Num10z2">
    <w:name w:val="WW8Num10z2"/>
    <w:qFormat/>
    <w:rPr/>
  </w:style>
  <w:style w:type="character" w:styleId="WW8Num10z3">
    <w:name w:val="WW8Num10z3"/>
    <w:qFormat/>
    <w:rPr/>
  </w:style>
  <w:style w:type="character" w:styleId="WW8Num10z4">
    <w:name w:val="WW8Num10z4"/>
    <w:qFormat/>
    <w:rPr/>
  </w:style>
  <w:style w:type="character" w:styleId="WW8Num10z5">
    <w:name w:val="WW8Num10z5"/>
    <w:qFormat/>
    <w:rPr/>
  </w:style>
  <w:style w:type="character" w:styleId="WW8Num10z6">
    <w:name w:val="WW8Num10z6"/>
    <w:qFormat/>
    <w:rPr/>
  </w:style>
  <w:style w:type="character" w:styleId="WW8Num10z7">
    <w:name w:val="WW8Num10z7"/>
    <w:qFormat/>
    <w:rPr/>
  </w:style>
  <w:style w:type="character" w:styleId="WW8Num10z8">
    <w:name w:val="WW8Num10z8"/>
    <w:qFormat/>
    <w:rPr/>
  </w:style>
  <w:style w:type="character" w:styleId="WW8Num11z0">
    <w:name w:val="WW8Num11z0"/>
    <w:qFormat/>
    <w:rPr/>
  </w:style>
  <w:style w:type="character" w:styleId="WW8Num11z1">
    <w:name w:val="WW8Num11z1"/>
    <w:qFormat/>
    <w:rPr/>
  </w:style>
  <w:style w:type="character" w:styleId="WW8Num11z2">
    <w:name w:val="WW8Num11z2"/>
    <w:qFormat/>
    <w:rPr/>
  </w:style>
  <w:style w:type="character" w:styleId="WW8Num11z3">
    <w:name w:val="WW8Num11z3"/>
    <w:qFormat/>
    <w:rPr/>
  </w:style>
  <w:style w:type="character" w:styleId="WW8Num11z4">
    <w:name w:val="WW8Num11z4"/>
    <w:qFormat/>
    <w:rPr/>
  </w:style>
  <w:style w:type="character" w:styleId="WW8Num11z5">
    <w:name w:val="WW8Num11z5"/>
    <w:qFormat/>
    <w:rPr/>
  </w:style>
  <w:style w:type="character" w:styleId="WW8Num11z6">
    <w:name w:val="WW8Num11z6"/>
    <w:qFormat/>
    <w:rPr/>
  </w:style>
  <w:style w:type="character" w:styleId="WW8Num11z7">
    <w:name w:val="WW8Num11z7"/>
    <w:qFormat/>
    <w:rPr/>
  </w:style>
  <w:style w:type="character" w:styleId="WW8Num11z8">
    <w:name w:val="WW8Num11z8"/>
    <w:qFormat/>
    <w:rPr/>
  </w:style>
  <w:style w:type="character" w:styleId="WW8Num12z0">
    <w:name w:val="WW8Num12z0"/>
    <w:qFormat/>
    <w:rPr/>
  </w:style>
  <w:style w:type="character" w:styleId="WW8Num12z1">
    <w:name w:val="WW8Num12z1"/>
    <w:qFormat/>
    <w:rPr/>
  </w:style>
  <w:style w:type="character" w:styleId="WW8Num12z2">
    <w:name w:val="WW8Num12z2"/>
    <w:qFormat/>
    <w:rPr/>
  </w:style>
  <w:style w:type="character" w:styleId="WW8Num12z3">
    <w:name w:val="WW8Num12z3"/>
    <w:qFormat/>
    <w:rPr/>
  </w:style>
  <w:style w:type="character" w:styleId="WW8Num12z4">
    <w:name w:val="WW8Num12z4"/>
    <w:qFormat/>
    <w:rPr/>
  </w:style>
  <w:style w:type="character" w:styleId="WW8Num12z5">
    <w:name w:val="WW8Num12z5"/>
    <w:qFormat/>
    <w:rPr/>
  </w:style>
  <w:style w:type="character" w:styleId="WW8Num12z6">
    <w:name w:val="WW8Num12z6"/>
    <w:qFormat/>
    <w:rPr/>
  </w:style>
  <w:style w:type="character" w:styleId="WW8Num12z7">
    <w:name w:val="WW8Num12z7"/>
    <w:qFormat/>
    <w:rPr/>
  </w:style>
  <w:style w:type="character" w:styleId="WW8Num12z8">
    <w:name w:val="WW8Num12z8"/>
    <w:qFormat/>
    <w:rPr/>
  </w:style>
  <w:style w:type="character" w:styleId="WW8Num13z0">
    <w:name w:val="WW8Num13z0"/>
    <w:qFormat/>
    <w:rPr/>
  </w:style>
  <w:style w:type="character" w:styleId="WW8Num13z1">
    <w:name w:val="WW8Num13z1"/>
    <w:qFormat/>
    <w:rPr/>
  </w:style>
  <w:style w:type="character" w:styleId="WW8Num13z2">
    <w:name w:val="WW8Num13z2"/>
    <w:qFormat/>
    <w:rPr/>
  </w:style>
  <w:style w:type="character" w:styleId="WW8Num13z3">
    <w:name w:val="WW8Num13z3"/>
    <w:qFormat/>
    <w:rPr/>
  </w:style>
  <w:style w:type="character" w:styleId="WW8Num13z4">
    <w:name w:val="WW8Num13z4"/>
    <w:qFormat/>
    <w:rPr/>
  </w:style>
  <w:style w:type="character" w:styleId="WW8Num13z5">
    <w:name w:val="WW8Num13z5"/>
    <w:qFormat/>
    <w:rPr/>
  </w:style>
  <w:style w:type="character" w:styleId="WW8Num13z6">
    <w:name w:val="WW8Num13z6"/>
    <w:qFormat/>
    <w:rPr/>
  </w:style>
  <w:style w:type="character" w:styleId="WW8Num13z7">
    <w:name w:val="WW8Num13z7"/>
    <w:qFormat/>
    <w:rPr/>
  </w:style>
  <w:style w:type="character" w:styleId="WW8Num13z8">
    <w:name w:val="WW8Num13z8"/>
    <w:qFormat/>
    <w:rPr/>
  </w:style>
  <w:style w:type="character" w:styleId="WW8Num14z0">
    <w:name w:val="WW8Num14z0"/>
    <w:qFormat/>
    <w:rPr>
      <w:rFonts w:ascii="標楷體" w:hAnsi="標楷體" w:eastAsia="標楷體" w:cs="標楷體"/>
      <w:color w:val="000000"/>
      <w:szCs w:val="24"/>
    </w:rPr>
  </w:style>
  <w:style w:type="character" w:styleId="WW8Num14z1">
    <w:name w:val="WW8Num14z1"/>
    <w:qFormat/>
    <w:rPr>
      <w:rFonts w:ascii="Wingdings" w:hAnsi="Wingdings" w:cs="Wingdings"/>
    </w:rPr>
  </w:style>
  <w:style w:type="character" w:styleId="WW8Num15z0">
    <w:name w:val="WW8Num15z0"/>
    <w:qFormat/>
    <w:rPr>
      <w:rFonts w:ascii="標楷體" w:hAnsi="標楷體" w:eastAsia="標楷體" w:cs="標楷體"/>
      <w:color w:val="000000"/>
    </w:rPr>
  </w:style>
  <w:style w:type="character" w:styleId="WW8Num15z1">
    <w:name w:val="WW8Num15z1"/>
    <w:qFormat/>
    <w:rPr/>
  </w:style>
  <w:style w:type="character" w:styleId="WW8Num15z2">
    <w:name w:val="WW8Num15z2"/>
    <w:qFormat/>
    <w:rPr/>
  </w:style>
  <w:style w:type="character" w:styleId="WW8Num15z3">
    <w:name w:val="WW8Num15z3"/>
    <w:qFormat/>
    <w:rPr/>
  </w:style>
  <w:style w:type="character" w:styleId="WW8Num15z4">
    <w:name w:val="WW8Num15z4"/>
    <w:qFormat/>
    <w:rPr/>
  </w:style>
  <w:style w:type="character" w:styleId="WW8Num15z5">
    <w:name w:val="WW8Num15z5"/>
    <w:qFormat/>
    <w:rPr/>
  </w:style>
  <w:style w:type="character" w:styleId="WW8Num15z6">
    <w:name w:val="WW8Num15z6"/>
    <w:qFormat/>
    <w:rPr/>
  </w:style>
  <w:style w:type="character" w:styleId="WW8Num15z7">
    <w:name w:val="WW8Num15z7"/>
    <w:qFormat/>
    <w:rPr/>
  </w:style>
  <w:style w:type="character" w:styleId="WW8Num15z8">
    <w:name w:val="WW8Num15z8"/>
    <w:qFormat/>
    <w:rPr/>
  </w:style>
  <w:style w:type="character" w:styleId="WW8Num16z0">
    <w:name w:val="WW8Num16z0"/>
    <w:qFormat/>
    <w:rPr>
      <w:rFonts w:ascii="標楷體" w:hAnsi="標楷體" w:eastAsia="標楷體" w:cs="標楷體"/>
    </w:rPr>
  </w:style>
  <w:style w:type="character" w:styleId="WW8Num16z1">
    <w:name w:val="WW8Num16z1"/>
    <w:qFormat/>
    <w:rPr>
      <w:rFonts w:ascii="Wingdings" w:hAnsi="Wingdings" w:cs="Wingdings"/>
    </w:rPr>
  </w:style>
  <w:style w:type="character" w:styleId="WW8Num17z0">
    <w:name w:val="WW8Num17z0"/>
    <w:qFormat/>
    <w:rPr/>
  </w:style>
  <w:style w:type="character" w:styleId="WW8Num17z2">
    <w:name w:val="WW8Num17z2"/>
    <w:qFormat/>
    <w:rPr/>
  </w:style>
  <w:style w:type="character" w:styleId="WW8Num17z3">
    <w:name w:val="WW8Num17z3"/>
    <w:qFormat/>
    <w:rPr/>
  </w:style>
  <w:style w:type="character" w:styleId="WW8Num17z4">
    <w:name w:val="WW8Num17z4"/>
    <w:qFormat/>
    <w:rPr/>
  </w:style>
  <w:style w:type="character" w:styleId="WW8Num17z5">
    <w:name w:val="WW8Num17z5"/>
    <w:qFormat/>
    <w:rPr/>
  </w:style>
  <w:style w:type="character" w:styleId="WW8Num17z6">
    <w:name w:val="WW8Num17z6"/>
    <w:qFormat/>
    <w:rPr/>
  </w:style>
  <w:style w:type="character" w:styleId="WW8Num17z7">
    <w:name w:val="WW8Num17z7"/>
    <w:qFormat/>
    <w:rPr/>
  </w:style>
  <w:style w:type="character" w:styleId="WW8Num17z8">
    <w:name w:val="WW8Num17z8"/>
    <w:qFormat/>
    <w:rPr/>
  </w:style>
  <w:style w:type="character" w:styleId="WW8Num18z0">
    <w:name w:val="WW8Num18z0"/>
    <w:qFormat/>
    <w:rPr/>
  </w:style>
  <w:style w:type="character" w:styleId="WW8Num18z2">
    <w:name w:val="WW8Num18z2"/>
    <w:qFormat/>
    <w:rPr/>
  </w:style>
  <w:style w:type="character" w:styleId="WW8Num18z3">
    <w:name w:val="WW8Num18z3"/>
    <w:qFormat/>
    <w:rPr/>
  </w:style>
  <w:style w:type="character" w:styleId="WW8Num18z4">
    <w:name w:val="WW8Num18z4"/>
    <w:qFormat/>
    <w:rPr/>
  </w:style>
  <w:style w:type="character" w:styleId="WW8Num18z5">
    <w:name w:val="WW8Num18z5"/>
    <w:qFormat/>
    <w:rPr/>
  </w:style>
  <w:style w:type="character" w:styleId="WW8Num18z6">
    <w:name w:val="WW8Num18z6"/>
    <w:qFormat/>
    <w:rPr/>
  </w:style>
  <w:style w:type="character" w:styleId="WW8Num18z7">
    <w:name w:val="WW8Num18z7"/>
    <w:qFormat/>
    <w:rPr/>
  </w:style>
  <w:style w:type="character" w:styleId="WW8Num18z8">
    <w:name w:val="WW8Num18z8"/>
    <w:qFormat/>
    <w:rPr/>
  </w:style>
  <w:style w:type="character" w:styleId="WW8Num19z0">
    <w:name w:val="WW8Num19z0"/>
    <w:qFormat/>
    <w:rPr/>
  </w:style>
  <w:style w:type="character" w:styleId="WW8Num19z1">
    <w:name w:val="WW8Num19z1"/>
    <w:qFormat/>
    <w:rPr/>
  </w:style>
  <w:style w:type="character" w:styleId="WW8Num19z2">
    <w:name w:val="WW8Num19z2"/>
    <w:qFormat/>
    <w:rPr/>
  </w:style>
  <w:style w:type="character" w:styleId="WW8Num19z3">
    <w:name w:val="WW8Num19z3"/>
    <w:qFormat/>
    <w:rPr/>
  </w:style>
  <w:style w:type="character" w:styleId="WW8Num19z4">
    <w:name w:val="WW8Num19z4"/>
    <w:qFormat/>
    <w:rPr/>
  </w:style>
  <w:style w:type="character" w:styleId="WW8Num19z5">
    <w:name w:val="WW8Num19z5"/>
    <w:qFormat/>
    <w:rPr/>
  </w:style>
  <w:style w:type="character" w:styleId="WW8Num19z6">
    <w:name w:val="WW8Num19z6"/>
    <w:qFormat/>
    <w:rPr/>
  </w:style>
  <w:style w:type="character" w:styleId="WW8Num19z7">
    <w:name w:val="WW8Num19z7"/>
    <w:qFormat/>
    <w:rPr/>
  </w:style>
  <w:style w:type="character" w:styleId="WW8Num19z8">
    <w:name w:val="WW8Num19z8"/>
    <w:qFormat/>
    <w:rPr/>
  </w:style>
  <w:style w:type="character" w:styleId="WW8Num20z0">
    <w:name w:val="WW8Num20z0"/>
    <w:qFormat/>
    <w:rPr/>
  </w:style>
  <w:style w:type="character" w:styleId="WW8Num20z1">
    <w:name w:val="WW8Num20z1"/>
    <w:qFormat/>
    <w:rPr/>
  </w:style>
  <w:style w:type="character" w:styleId="WW8Num20z2">
    <w:name w:val="WW8Num20z2"/>
    <w:qFormat/>
    <w:rPr/>
  </w:style>
  <w:style w:type="character" w:styleId="WW8Num20z3">
    <w:name w:val="WW8Num20z3"/>
    <w:qFormat/>
    <w:rPr/>
  </w:style>
  <w:style w:type="character" w:styleId="WW8Num20z4">
    <w:name w:val="WW8Num20z4"/>
    <w:qFormat/>
    <w:rPr/>
  </w:style>
  <w:style w:type="character" w:styleId="WW8Num20z5">
    <w:name w:val="WW8Num20z5"/>
    <w:qFormat/>
    <w:rPr/>
  </w:style>
  <w:style w:type="character" w:styleId="WW8Num20z6">
    <w:name w:val="WW8Num20z6"/>
    <w:qFormat/>
    <w:rPr/>
  </w:style>
  <w:style w:type="character" w:styleId="WW8Num20z7">
    <w:name w:val="WW8Num20z7"/>
    <w:qFormat/>
    <w:rPr/>
  </w:style>
  <w:style w:type="character" w:styleId="WW8Num20z8">
    <w:name w:val="WW8Num20z8"/>
    <w:qFormat/>
    <w:rPr/>
  </w:style>
  <w:style w:type="character" w:styleId="WW8Num21z0">
    <w:name w:val="WW8Num21z0"/>
    <w:qFormat/>
    <w:rPr/>
  </w:style>
  <w:style w:type="character" w:styleId="WW8Num21z3">
    <w:name w:val="WW8Num21z3"/>
    <w:qFormat/>
    <w:rPr/>
  </w:style>
  <w:style w:type="character" w:styleId="WW8Num21z4">
    <w:name w:val="WW8Num21z4"/>
    <w:qFormat/>
    <w:rPr/>
  </w:style>
  <w:style w:type="character" w:styleId="WW8Num21z5">
    <w:name w:val="WW8Num21z5"/>
    <w:qFormat/>
    <w:rPr/>
  </w:style>
  <w:style w:type="character" w:styleId="WW8Num21z6">
    <w:name w:val="WW8Num21z6"/>
    <w:qFormat/>
    <w:rPr/>
  </w:style>
  <w:style w:type="character" w:styleId="WW8Num21z7">
    <w:name w:val="WW8Num21z7"/>
    <w:qFormat/>
    <w:rPr/>
  </w:style>
  <w:style w:type="character" w:styleId="WW8Num21z8">
    <w:name w:val="WW8Num21z8"/>
    <w:qFormat/>
    <w:rPr/>
  </w:style>
  <w:style w:type="character" w:styleId="WW8Num22z0">
    <w:name w:val="WW8Num22z0"/>
    <w:qFormat/>
    <w:rPr/>
  </w:style>
  <w:style w:type="character" w:styleId="WW8Num22z1">
    <w:name w:val="WW8Num22z1"/>
    <w:qFormat/>
    <w:rPr/>
  </w:style>
  <w:style w:type="character" w:styleId="WW8Num22z2">
    <w:name w:val="WW8Num22z2"/>
    <w:qFormat/>
    <w:rPr/>
  </w:style>
  <w:style w:type="character" w:styleId="WW8Num22z3">
    <w:name w:val="WW8Num22z3"/>
    <w:qFormat/>
    <w:rPr/>
  </w:style>
  <w:style w:type="character" w:styleId="WW8Num22z4">
    <w:name w:val="WW8Num22z4"/>
    <w:qFormat/>
    <w:rPr/>
  </w:style>
  <w:style w:type="character" w:styleId="WW8Num22z5">
    <w:name w:val="WW8Num22z5"/>
    <w:qFormat/>
    <w:rPr/>
  </w:style>
  <w:style w:type="character" w:styleId="WW8Num22z6">
    <w:name w:val="WW8Num22z6"/>
    <w:qFormat/>
    <w:rPr/>
  </w:style>
  <w:style w:type="character" w:styleId="WW8Num22z7">
    <w:name w:val="WW8Num22z7"/>
    <w:qFormat/>
    <w:rPr/>
  </w:style>
  <w:style w:type="character" w:styleId="WW8Num22z8">
    <w:name w:val="WW8Num22z8"/>
    <w:qFormat/>
    <w:rPr/>
  </w:style>
  <w:style w:type="character" w:styleId="WW8Num23z0">
    <w:name w:val="WW8Num23z0"/>
    <w:qFormat/>
    <w:rPr>
      <w:rFonts w:ascii="標楷體" w:hAnsi="標楷體" w:eastAsia="標楷體" w:cs="標楷體"/>
      <w:color w:val="000000"/>
      <w:szCs w:val="24"/>
    </w:rPr>
  </w:style>
  <w:style w:type="character" w:styleId="WW8Num23z1">
    <w:name w:val="WW8Num23z1"/>
    <w:qFormat/>
    <w:rPr>
      <w:rFonts w:ascii="Wingdings" w:hAnsi="Wingdings" w:cs="Wingdings"/>
    </w:rPr>
  </w:style>
  <w:style w:type="character" w:styleId="WW8Num24z0">
    <w:name w:val="WW8Num24z0"/>
    <w:qFormat/>
    <w:rPr>
      <w:rFonts w:ascii="標楷體" w:hAnsi="標楷體" w:eastAsia="標楷體" w:cs="標楷體"/>
      <w:color w:val="000000"/>
      <w:szCs w:val="24"/>
    </w:rPr>
  </w:style>
  <w:style w:type="character" w:styleId="WW8Num24z1">
    <w:name w:val="WW8Num24z1"/>
    <w:qFormat/>
    <w:rPr>
      <w:rFonts w:ascii="Wingdings" w:hAnsi="Wingdings" w:cs="Wingdings"/>
    </w:rPr>
  </w:style>
  <w:style w:type="character" w:styleId="WW8Num25z0">
    <w:name w:val="WW8Num25z0"/>
    <w:qFormat/>
    <w:rPr/>
  </w:style>
  <w:style w:type="character" w:styleId="WW8Num25z2">
    <w:name w:val="WW8Num25z2"/>
    <w:qFormat/>
    <w:rPr/>
  </w:style>
  <w:style w:type="character" w:styleId="WW8Num25z3">
    <w:name w:val="WW8Num25z3"/>
    <w:qFormat/>
    <w:rPr/>
  </w:style>
  <w:style w:type="character" w:styleId="WW8Num25z4">
    <w:name w:val="WW8Num25z4"/>
    <w:qFormat/>
    <w:rPr/>
  </w:style>
  <w:style w:type="character" w:styleId="WW8Num25z5">
    <w:name w:val="WW8Num25z5"/>
    <w:qFormat/>
    <w:rPr/>
  </w:style>
  <w:style w:type="character" w:styleId="WW8Num25z6">
    <w:name w:val="WW8Num25z6"/>
    <w:qFormat/>
    <w:rPr/>
  </w:style>
  <w:style w:type="character" w:styleId="WW8Num25z7">
    <w:name w:val="WW8Num25z7"/>
    <w:qFormat/>
    <w:rPr/>
  </w:style>
  <w:style w:type="character" w:styleId="WW8Num25z8">
    <w:name w:val="WW8Num25z8"/>
    <w:qFormat/>
    <w:rPr/>
  </w:style>
  <w:style w:type="character" w:styleId="WW8Num26z0">
    <w:name w:val="WW8Num26z0"/>
    <w:qFormat/>
    <w:rPr>
      <w:rFonts w:ascii="標楷體" w:hAnsi="標楷體" w:eastAsia="標楷體" w:cs="標楷體"/>
      <w:color w:val="000000"/>
      <w:szCs w:val="24"/>
    </w:rPr>
  </w:style>
  <w:style w:type="character" w:styleId="WW8Num26z1">
    <w:name w:val="WW8Num26z1"/>
    <w:qFormat/>
    <w:rPr/>
  </w:style>
  <w:style w:type="character" w:styleId="WW8Num26z2">
    <w:name w:val="WW8Num26z2"/>
    <w:qFormat/>
    <w:rPr/>
  </w:style>
  <w:style w:type="character" w:styleId="WW8Num26z3">
    <w:name w:val="WW8Num26z3"/>
    <w:qFormat/>
    <w:rPr/>
  </w:style>
  <w:style w:type="character" w:styleId="WW8Num26z4">
    <w:name w:val="WW8Num26z4"/>
    <w:qFormat/>
    <w:rPr/>
  </w:style>
  <w:style w:type="character" w:styleId="WW8Num26z5">
    <w:name w:val="WW8Num26z5"/>
    <w:qFormat/>
    <w:rPr/>
  </w:style>
  <w:style w:type="character" w:styleId="WW8Num26z6">
    <w:name w:val="WW8Num26z6"/>
    <w:qFormat/>
    <w:rPr/>
  </w:style>
  <w:style w:type="character" w:styleId="WW8Num26z7">
    <w:name w:val="WW8Num26z7"/>
    <w:qFormat/>
    <w:rPr/>
  </w:style>
  <w:style w:type="character" w:styleId="WW8Num26z8">
    <w:name w:val="WW8Num26z8"/>
    <w:qFormat/>
    <w:rPr/>
  </w:style>
  <w:style w:type="character" w:styleId="WW8Num27z0">
    <w:name w:val="WW8Num27z0"/>
    <w:qFormat/>
    <w:rPr/>
  </w:style>
  <w:style w:type="character" w:styleId="WW8Num27z1">
    <w:name w:val="WW8Num27z1"/>
    <w:qFormat/>
    <w:rPr/>
  </w:style>
  <w:style w:type="character" w:styleId="WW8Num27z2">
    <w:name w:val="WW8Num27z2"/>
    <w:qFormat/>
    <w:rPr/>
  </w:style>
  <w:style w:type="character" w:styleId="WW8Num27z3">
    <w:name w:val="WW8Num27z3"/>
    <w:qFormat/>
    <w:rPr/>
  </w:style>
  <w:style w:type="character" w:styleId="WW8Num27z4">
    <w:name w:val="WW8Num27z4"/>
    <w:qFormat/>
    <w:rPr/>
  </w:style>
  <w:style w:type="character" w:styleId="WW8Num27z5">
    <w:name w:val="WW8Num27z5"/>
    <w:qFormat/>
    <w:rPr/>
  </w:style>
  <w:style w:type="character" w:styleId="WW8Num27z6">
    <w:name w:val="WW8Num27z6"/>
    <w:qFormat/>
    <w:rPr/>
  </w:style>
  <w:style w:type="character" w:styleId="WW8Num27z7">
    <w:name w:val="WW8Num27z7"/>
    <w:qFormat/>
    <w:rPr/>
  </w:style>
  <w:style w:type="character" w:styleId="WW8Num27z8">
    <w:name w:val="WW8Num27z8"/>
    <w:qFormat/>
    <w:rPr/>
  </w:style>
  <w:style w:type="character" w:styleId="WW8Num28z0">
    <w:name w:val="WW8Num28z0"/>
    <w:qFormat/>
    <w:rPr>
      <w:rFonts w:ascii="標楷體" w:hAnsi="標楷體" w:eastAsia="標楷體" w:cs="標楷體"/>
      <w:color w:val="000000"/>
      <w:szCs w:val="24"/>
    </w:rPr>
  </w:style>
  <w:style w:type="character" w:styleId="WW8Num28z1">
    <w:name w:val="WW8Num28z1"/>
    <w:qFormat/>
    <w:rPr>
      <w:rFonts w:ascii="Wingdings" w:hAnsi="Wingdings" w:cs="Wingdings"/>
    </w:rPr>
  </w:style>
  <w:style w:type="character" w:styleId="WW8Num29z0">
    <w:name w:val="WW8Num29z0"/>
    <w:qFormat/>
    <w:rPr/>
  </w:style>
  <w:style w:type="character" w:styleId="WW8Num29z1">
    <w:name w:val="WW8Num29z1"/>
    <w:qFormat/>
    <w:rPr/>
  </w:style>
  <w:style w:type="character" w:styleId="WW8Num29z2">
    <w:name w:val="WW8Num29z2"/>
    <w:qFormat/>
    <w:rPr/>
  </w:style>
  <w:style w:type="character" w:styleId="WW8Num29z3">
    <w:name w:val="WW8Num29z3"/>
    <w:qFormat/>
    <w:rPr/>
  </w:style>
  <w:style w:type="character" w:styleId="WW8Num29z4">
    <w:name w:val="WW8Num29z4"/>
    <w:qFormat/>
    <w:rPr/>
  </w:style>
  <w:style w:type="character" w:styleId="WW8Num29z5">
    <w:name w:val="WW8Num29z5"/>
    <w:qFormat/>
    <w:rPr/>
  </w:style>
  <w:style w:type="character" w:styleId="WW8Num29z6">
    <w:name w:val="WW8Num29z6"/>
    <w:qFormat/>
    <w:rPr/>
  </w:style>
  <w:style w:type="character" w:styleId="WW8Num29z7">
    <w:name w:val="WW8Num29z7"/>
    <w:qFormat/>
    <w:rPr/>
  </w:style>
  <w:style w:type="character" w:styleId="WW8Num29z8">
    <w:name w:val="WW8Num29z8"/>
    <w:qFormat/>
    <w:rPr/>
  </w:style>
  <w:style w:type="character" w:styleId="WW8Num30z0">
    <w:name w:val="WW8Num30z0"/>
    <w:qFormat/>
    <w:rPr>
      <w:rFonts w:ascii="標楷體" w:hAnsi="標楷體" w:eastAsia="標楷體" w:cs="標楷體"/>
      <w:b/>
      <w:color w:val="000000"/>
      <w:szCs w:val="24"/>
    </w:rPr>
  </w:style>
  <w:style w:type="character" w:styleId="WW8Num30z1">
    <w:name w:val="WW8Num30z1"/>
    <w:qFormat/>
    <w:rPr/>
  </w:style>
  <w:style w:type="character" w:styleId="WW8Num30z2">
    <w:name w:val="WW8Num30z2"/>
    <w:qFormat/>
    <w:rPr/>
  </w:style>
  <w:style w:type="character" w:styleId="WW8Num30z3">
    <w:name w:val="WW8Num30z3"/>
    <w:qFormat/>
    <w:rPr/>
  </w:style>
  <w:style w:type="character" w:styleId="WW8Num30z4">
    <w:name w:val="WW8Num30z4"/>
    <w:qFormat/>
    <w:rPr/>
  </w:style>
  <w:style w:type="character" w:styleId="WW8Num30z5">
    <w:name w:val="WW8Num30z5"/>
    <w:qFormat/>
    <w:rPr/>
  </w:style>
  <w:style w:type="character" w:styleId="WW8Num30z6">
    <w:name w:val="WW8Num30z6"/>
    <w:qFormat/>
    <w:rPr/>
  </w:style>
  <w:style w:type="character" w:styleId="WW8Num30z7">
    <w:name w:val="WW8Num30z7"/>
    <w:qFormat/>
    <w:rPr/>
  </w:style>
  <w:style w:type="character" w:styleId="WW8Num30z8">
    <w:name w:val="WW8Num30z8"/>
    <w:qFormat/>
    <w:rPr/>
  </w:style>
  <w:style w:type="character" w:styleId="WW8Num31z0">
    <w:name w:val="WW8Num31z0"/>
    <w:qFormat/>
    <w:rPr/>
  </w:style>
  <w:style w:type="character" w:styleId="WW8Num31z1">
    <w:name w:val="WW8Num31z1"/>
    <w:qFormat/>
    <w:rPr/>
  </w:style>
  <w:style w:type="character" w:styleId="WW8Num31z2">
    <w:name w:val="WW8Num31z2"/>
    <w:qFormat/>
    <w:rPr/>
  </w:style>
  <w:style w:type="character" w:styleId="WW8Num31z3">
    <w:name w:val="WW8Num31z3"/>
    <w:qFormat/>
    <w:rPr/>
  </w:style>
  <w:style w:type="character" w:styleId="WW8Num31z4">
    <w:name w:val="WW8Num31z4"/>
    <w:qFormat/>
    <w:rPr/>
  </w:style>
  <w:style w:type="character" w:styleId="WW8Num31z5">
    <w:name w:val="WW8Num31z5"/>
    <w:qFormat/>
    <w:rPr/>
  </w:style>
  <w:style w:type="character" w:styleId="WW8Num31z6">
    <w:name w:val="WW8Num31z6"/>
    <w:qFormat/>
    <w:rPr/>
  </w:style>
  <w:style w:type="character" w:styleId="WW8Num31z7">
    <w:name w:val="WW8Num31z7"/>
    <w:qFormat/>
    <w:rPr/>
  </w:style>
  <w:style w:type="character" w:styleId="WW8Num31z8">
    <w:name w:val="WW8Num31z8"/>
    <w:qFormat/>
    <w:rPr/>
  </w:style>
  <w:style w:type="character" w:styleId="WW8Num32z0">
    <w:name w:val="WW8Num32z0"/>
    <w:qFormat/>
    <w:rPr/>
  </w:style>
  <w:style w:type="character" w:styleId="WW8Num32z1">
    <w:name w:val="WW8Num32z1"/>
    <w:qFormat/>
    <w:rPr/>
  </w:style>
  <w:style w:type="character" w:styleId="WW8Num32z2">
    <w:name w:val="WW8Num32z2"/>
    <w:qFormat/>
    <w:rPr/>
  </w:style>
  <w:style w:type="character" w:styleId="WW8Num32z3">
    <w:name w:val="WW8Num32z3"/>
    <w:qFormat/>
    <w:rPr/>
  </w:style>
  <w:style w:type="character" w:styleId="WW8Num32z4">
    <w:name w:val="WW8Num32z4"/>
    <w:qFormat/>
    <w:rPr/>
  </w:style>
  <w:style w:type="character" w:styleId="WW8Num32z5">
    <w:name w:val="WW8Num32z5"/>
    <w:qFormat/>
    <w:rPr/>
  </w:style>
  <w:style w:type="character" w:styleId="WW8Num32z6">
    <w:name w:val="WW8Num32z6"/>
    <w:qFormat/>
    <w:rPr/>
  </w:style>
  <w:style w:type="character" w:styleId="WW8Num32z7">
    <w:name w:val="WW8Num32z7"/>
    <w:qFormat/>
    <w:rPr/>
  </w:style>
  <w:style w:type="character" w:styleId="WW8Num32z8">
    <w:name w:val="WW8Num32z8"/>
    <w:qFormat/>
    <w:rPr/>
  </w:style>
  <w:style w:type="character" w:styleId="WW8Num33z0">
    <w:name w:val="WW8Num33z0"/>
    <w:qFormat/>
    <w:rPr>
      <w:rFonts w:ascii="標楷體" w:hAnsi="標楷體" w:eastAsia="標楷體" w:cs="標楷體"/>
      <w:b/>
      <w:color w:val="000000"/>
      <w:szCs w:val="24"/>
    </w:rPr>
  </w:style>
  <w:style w:type="character" w:styleId="WW8Num33z1">
    <w:name w:val="WW8Num33z1"/>
    <w:qFormat/>
    <w:rPr/>
  </w:style>
  <w:style w:type="character" w:styleId="WW8Num33z2">
    <w:name w:val="WW8Num33z2"/>
    <w:qFormat/>
    <w:rPr/>
  </w:style>
  <w:style w:type="character" w:styleId="WW8Num33z3">
    <w:name w:val="WW8Num33z3"/>
    <w:qFormat/>
    <w:rPr/>
  </w:style>
  <w:style w:type="character" w:styleId="WW8Num33z4">
    <w:name w:val="WW8Num33z4"/>
    <w:qFormat/>
    <w:rPr/>
  </w:style>
  <w:style w:type="character" w:styleId="WW8Num33z5">
    <w:name w:val="WW8Num33z5"/>
    <w:qFormat/>
    <w:rPr/>
  </w:style>
  <w:style w:type="character" w:styleId="WW8Num33z6">
    <w:name w:val="WW8Num33z6"/>
    <w:qFormat/>
    <w:rPr/>
  </w:style>
  <w:style w:type="character" w:styleId="WW8Num33z7">
    <w:name w:val="WW8Num33z7"/>
    <w:qFormat/>
    <w:rPr/>
  </w:style>
  <w:style w:type="character" w:styleId="WW8Num33z8">
    <w:name w:val="WW8Num33z8"/>
    <w:qFormat/>
    <w:rPr/>
  </w:style>
  <w:style w:type="character" w:styleId="WW8Num34z0">
    <w:name w:val="WW8Num34z0"/>
    <w:qFormat/>
    <w:rPr/>
  </w:style>
  <w:style w:type="character" w:styleId="WW8Num34z1">
    <w:name w:val="WW8Num34z1"/>
    <w:qFormat/>
    <w:rPr/>
  </w:style>
  <w:style w:type="character" w:styleId="WW8Num34z2">
    <w:name w:val="WW8Num34z2"/>
    <w:qFormat/>
    <w:rPr/>
  </w:style>
  <w:style w:type="character" w:styleId="WW8Num34z3">
    <w:name w:val="WW8Num34z3"/>
    <w:qFormat/>
    <w:rPr/>
  </w:style>
  <w:style w:type="character" w:styleId="WW8Num34z4">
    <w:name w:val="WW8Num34z4"/>
    <w:qFormat/>
    <w:rPr/>
  </w:style>
  <w:style w:type="character" w:styleId="WW8Num34z5">
    <w:name w:val="WW8Num34z5"/>
    <w:qFormat/>
    <w:rPr/>
  </w:style>
  <w:style w:type="character" w:styleId="WW8Num34z6">
    <w:name w:val="WW8Num34z6"/>
    <w:qFormat/>
    <w:rPr/>
  </w:style>
  <w:style w:type="character" w:styleId="WW8Num34z7">
    <w:name w:val="WW8Num34z7"/>
    <w:qFormat/>
    <w:rPr/>
  </w:style>
  <w:style w:type="character" w:styleId="WW8Num34z8">
    <w:name w:val="WW8Num34z8"/>
    <w:qFormat/>
    <w:rPr/>
  </w:style>
  <w:style w:type="character" w:styleId="WW8Num35z0">
    <w:name w:val="WW8Num35z0"/>
    <w:qFormat/>
    <w:rPr/>
  </w:style>
  <w:style w:type="character" w:styleId="WW8Num35z2">
    <w:name w:val="WW8Num35z2"/>
    <w:qFormat/>
    <w:rPr/>
  </w:style>
  <w:style w:type="character" w:styleId="WW8Num35z3">
    <w:name w:val="WW8Num35z3"/>
    <w:qFormat/>
    <w:rPr/>
  </w:style>
  <w:style w:type="character" w:styleId="WW8Num35z4">
    <w:name w:val="WW8Num35z4"/>
    <w:qFormat/>
    <w:rPr/>
  </w:style>
  <w:style w:type="character" w:styleId="WW8Num35z5">
    <w:name w:val="WW8Num35z5"/>
    <w:qFormat/>
    <w:rPr/>
  </w:style>
  <w:style w:type="character" w:styleId="WW8Num35z6">
    <w:name w:val="WW8Num35z6"/>
    <w:qFormat/>
    <w:rPr/>
  </w:style>
  <w:style w:type="character" w:styleId="WW8Num35z7">
    <w:name w:val="WW8Num35z7"/>
    <w:qFormat/>
    <w:rPr/>
  </w:style>
  <w:style w:type="character" w:styleId="WW8Num35z8">
    <w:name w:val="WW8Num35z8"/>
    <w:qFormat/>
    <w:rPr/>
  </w:style>
  <w:style w:type="character" w:styleId="WW8Num36z0">
    <w:name w:val="WW8Num36z0"/>
    <w:qFormat/>
    <w:rPr>
      <w:rFonts w:ascii="標楷體" w:hAnsi="標楷體" w:eastAsia="標楷體" w:cs="標楷體"/>
      <w:color w:val="000000"/>
      <w:szCs w:val="24"/>
    </w:rPr>
  </w:style>
  <w:style w:type="character" w:styleId="WW8Num36z1">
    <w:name w:val="WW8Num36z1"/>
    <w:qFormat/>
    <w:rPr/>
  </w:style>
  <w:style w:type="character" w:styleId="WW8Num36z2">
    <w:name w:val="WW8Num36z2"/>
    <w:qFormat/>
    <w:rPr/>
  </w:style>
  <w:style w:type="character" w:styleId="WW8Num36z3">
    <w:name w:val="WW8Num36z3"/>
    <w:qFormat/>
    <w:rPr/>
  </w:style>
  <w:style w:type="character" w:styleId="WW8Num36z4">
    <w:name w:val="WW8Num36z4"/>
    <w:qFormat/>
    <w:rPr/>
  </w:style>
  <w:style w:type="character" w:styleId="WW8Num36z5">
    <w:name w:val="WW8Num36z5"/>
    <w:qFormat/>
    <w:rPr/>
  </w:style>
  <w:style w:type="character" w:styleId="WW8Num36z6">
    <w:name w:val="WW8Num36z6"/>
    <w:qFormat/>
    <w:rPr/>
  </w:style>
  <w:style w:type="character" w:styleId="WW8Num36z7">
    <w:name w:val="WW8Num36z7"/>
    <w:qFormat/>
    <w:rPr/>
  </w:style>
  <w:style w:type="character" w:styleId="WW8Num36z8">
    <w:name w:val="WW8Num36z8"/>
    <w:qFormat/>
    <w:rPr/>
  </w:style>
  <w:style w:type="character" w:styleId="WW8Num37z0">
    <w:name w:val="WW8Num37z0"/>
    <w:qFormat/>
    <w:rPr/>
  </w:style>
  <w:style w:type="character" w:styleId="WW8Num37z1">
    <w:name w:val="WW8Num37z1"/>
    <w:qFormat/>
    <w:rPr/>
  </w:style>
  <w:style w:type="character" w:styleId="WW8Num37z2">
    <w:name w:val="WW8Num37z2"/>
    <w:qFormat/>
    <w:rPr/>
  </w:style>
  <w:style w:type="character" w:styleId="WW8Num37z3">
    <w:name w:val="WW8Num37z3"/>
    <w:qFormat/>
    <w:rPr/>
  </w:style>
  <w:style w:type="character" w:styleId="WW8Num37z4">
    <w:name w:val="WW8Num37z4"/>
    <w:qFormat/>
    <w:rPr/>
  </w:style>
  <w:style w:type="character" w:styleId="WW8Num37z5">
    <w:name w:val="WW8Num37z5"/>
    <w:qFormat/>
    <w:rPr/>
  </w:style>
  <w:style w:type="character" w:styleId="WW8Num37z6">
    <w:name w:val="WW8Num37z6"/>
    <w:qFormat/>
    <w:rPr/>
  </w:style>
  <w:style w:type="character" w:styleId="WW8Num37z7">
    <w:name w:val="WW8Num37z7"/>
    <w:qFormat/>
    <w:rPr/>
  </w:style>
  <w:style w:type="character" w:styleId="WW8Num37z8">
    <w:name w:val="WW8Num37z8"/>
    <w:qFormat/>
    <w:rPr/>
  </w:style>
  <w:style w:type="character" w:styleId="WW8Num38z0">
    <w:name w:val="WW8Num38z0"/>
    <w:qFormat/>
    <w:rPr>
      <w:rFonts w:ascii="標楷體" w:hAnsi="標楷體" w:eastAsia="標楷體" w:cs="標楷體"/>
      <w:b/>
      <w:color w:val="000000"/>
      <w:szCs w:val="24"/>
    </w:rPr>
  </w:style>
  <w:style w:type="character" w:styleId="WW8Num38z1">
    <w:name w:val="WW8Num38z1"/>
    <w:qFormat/>
    <w:rPr/>
  </w:style>
  <w:style w:type="character" w:styleId="WW8Num38z2">
    <w:name w:val="WW8Num38z2"/>
    <w:qFormat/>
    <w:rPr/>
  </w:style>
  <w:style w:type="character" w:styleId="WW8Num38z3">
    <w:name w:val="WW8Num38z3"/>
    <w:qFormat/>
    <w:rPr/>
  </w:style>
  <w:style w:type="character" w:styleId="WW8Num38z4">
    <w:name w:val="WW8Num38z4"/>
    <w:qFormat/>
    <w:rPr/>
  </w:style>
  <w:style w:type="character" w:styleId="WW8Num38z5">
    <w:name w:val="WW8Num38z5"/>
    <w:qFormat/>
    <w:rPr/>
  </w:style>
  <w:style w:type="character" w:styleId="WW8Num38z6">
    <w:name w:val="WW8Num38z6"/>
    <w:qFormat/>
    <w:rPr/>
  </w:style>
  <w:style w:type="character" w:styleId="WW8Num38z7">
    <w:name w:val="WW8Num38z7"/>
    <w:qFormat/>
    <w:rPr/>
  </w:style>
  <w:style w:type="character" w:styleId="WW8Num38z8">
    <w:name w:val="WW8Num38z8"/>
    <w:qFormat/>
    <w:rPr/>
  </w:style>
  <w:style w:type="character" w:styleId="WW8Num39z0">
    <w:name w:val="WW8Num39z0"/>
    <w:qFormat/>
    <w:rPr>
      <w:rFonts w:ascii="標楷體" w:hAnsi="標楷體" w:eastAsia="標楷體" w:cs="標楷體"/>
    </w:rPr>
  </w:style>
  <w:style w:type="character" w:styleId="WW8Num39z1">
    <w:name w:val="WW8Num39z1"/>
    <w:qFormat/>
    <w:rPr/>
  </w:style>
  <w:style w:type="character" w:styleId="WW8Num39z2">
    <w:name w:val="WW8Num39z2"/>
    <w:qFormat/>
    <w:rPr/>
  </w:style>
  <w:style w:type="character" w:styleId="WW8Num39z3">
    <w:name w:val="WW8Num39z3"/>
    <w:qFormat/>
    <w:rPr/>
  </w:style>
  <w:style w:type="character" w:styleId="WW8Num39z4">
    <w:name w:val="WW8Num39z4"/>
    <w:qFormat/>
    <w:rPr/>
  </w:style>
  <w:style w:type="character" w:styleId="WW8Num39z5">
    <w:name w:val="WW8Num39z5"/>
    <w:qFormat/>
    <w:rPr/>
  </w:style>
  <w:style w:type="character" w:styleId="WW8Num39z6">
    <w:name w:val="WW8Num39z6"/>
    <w:qFormat/>
    <w:rPr/>
  </w:style>
  <w:style w:type="character" w:styleId="WW8Num39z7">
    <w:name w:val="WW8Num39z7"/>
    <w:qFormat/>
    <w:rPr/>
  </w:style>
  <w:style w:type="character" w:styleId="WW8Num39z8">
    <w:name w:val="WW8Num39z8"/>
    <w:qFormat/>
    <w:rPr/>
  </w:style>
  <w:style w:type="character" w:styleId="WW8Num40z0">
    <w:name w:val="WW8Num40z0"/>
    <w:qFormat/>
    <w:rPr>
      <w:rFonts w:ascii="標楷體" w:hAnsi="標楷體" w:eastAsia="標楷體" w:cs="標楷體"/>
      <w:color w:val="000000"/>
    </w:rPr>
  </w:style>
  <w:style w:type="character" w:styleId="WW8Num40z1">
    <w:name w:val="WW8Num40z1"/>
    <w:qFormat/>
    <w:rPr/>
  </w:style>
  <w:style w:type="character" w:styleId="WW8Num40z2">
    <w:name w:val="WW8Num40z2"/>
    <w:qFormat/>
    <w:rPr/>
  </w:style>
  <w:style w:type="character" w:styleId="WW8Num40z3">
    <w:name w:val="WW8Num40z3"/>
    <w:qFormat/>
    <w:rPr/>
  </w:style>
  <w:style w:type="character" w:styleId="WW8Num40z4">
    <w:name w:val="WW8Num40z4"/>
    <w:qFormat/>
    <w:rPr/>
  </w:style>
  <w:style w:type="character" w:styleId="WW8Num40z5">
    <w:name w:val="WW8Num40z5"/>
    <w:qFormat/>
    <w:rPr/>
  </w:style>
  <w:style w:type="character" w:styleId="WW8Num40z6">
    <w:name w:val="WW8Num40z6"/>
    <w:qFormat/>
    <w:rPr/>
  </w:style>
  <w:style w:type="character" w:styleId="WW8Num40z7">
    <w:name w:val="WW8Num40z7"/>
    <w:qFormat/>
    <w:rPr/>
  </w:style>
  <w:style w:type="character" w:styleId="WW8Num40z8">
    <w:name w:val="WW8Num40z8"/>
    <w:qFormat/>
    <w:rPr/>
  </w:style>
  <w:style w:type="character" w:styleId="WW8Num41z0">
    <w:name w:val="WW8Num41z0"/>
    <w:qFormat/>
    <w:rPr>
      <w:rFonts w:ascii="標楷體" w:hAnsi="標楷體" w:eastAsia="標楷體" w:cs="標楷體"/>
      <w:b/>
      <w:color w:val="000000"/>
      <w:szCs w:val="24"/>
    </w:rPr>
  </w:style>
  <w:style w:type="character" w:styleId="WW8Num41z1">
    <w:name w:val="WW8Num41z1"/>
    <w:qFormat/>
    <w:rPr/>
  </w:style>
  <w:style w:type="character" w:styleId="WW8Num41z2">
    <w:name w:val="WW8Num41z2"/>
    <w:qFormat/>
    <w:rPr/>
  </w:style>
  <w:style w:type="character" w:styleId="WW8Num41z3">
    <w:name w:val="WW8Num41z3"/>
    <w:qFormat/>
    <w:rPr/>
  </w:style>
  <w:style w:type="character" w:styleId="WW8Num41z4">
    <w:name w:val="WW8Num41z4"/>
    <w:qFormat/>
    <w:rPr/>
  </w:style>
  <w:style w:type="character" w:styleId="WW8Num41z5">
    <w:name w:val="WW8Num41z5"/>
    <w:qFormat/>
    <w:rPr/>
  </w:style>
  <w:style w:type="character" w:styleId="WW8Num41z6">
    <w:name w:val="WW8Num41z6"/>
    <w:qFormat/>
    <w:rPr/>
  </w:style>
  <w:style w:type="character" w:styleId="WW8Num41z7">
    <w:name w:val="WW8Num41z7"/>
    <w:qFormat/>
    <w:rPr/>
  </w:style>
  <w:style w:type="character" w:styleId="WW8Num41z8">
    <w:name w:val="WW8Num41z8"/>
    <w:qFormat/>
    <w:rPr/>
  </w:style>
  <w:style w:type="character" w:styleId="WW8Num42z0">
    <w:name w:val="WW8Num42z0"/>
    <w:qFormat/>
    <w:rPr/>
  </w:style>
  <w:style w:type="character" w:styleId="WW8Num42z2">
    <w:name w:val="WW8Num42z2"/>
    <w:qFormat/>
    <w:rPr/>
  </w:style>
  <w:style w:type="character" w:styleId="WW8Num42z3">
    <w:name w:val="WW8Num42z3"/>
    <w:qFormat/>
    <w:rPr/>
  </w:style>
  <w:style w:type="character" w:styleId="WW8Num42z4">
    <w:name w:val="WW8Num42z4"/>
    <w:qFormat/>
    <w:rPr/>
  </w:style>
  <w:style w:type="character" w:styleId="WW8Num42z5">
    <w:name w:val="WW8Num42z5"/>
    <w:qFormat/>
    <w:rPr/>
  </w:style>
  <w:style w:type="character" w:styleId="WW8Num42z6">
    <w:name w:val="WW8Num42z6"/>
    <w:qFormat/>
    <w:rPr/>
  </w:style>
  <w:style w:type="character" w:styleId="WW8Num42z7">
    <w:name w:val="WW8Num42z7"/>
    <w:qFormat/>
    <w:rPr/>
  </w:style>
  <w:style w:type="character" w:styleId="WW8Num42z8">
    <w:name w:val="WW8Num42z8"/>
    <w:qFormat/>
    <w:rPr/>
  </w:style>
  <w:style w:type="character" w:styleId="WW8Num43z0">
    <w:name w:val="WW8Num43z0"/>
    <w:qFormat/>
    <w:rPr/>
  </w:style>
  <w:style w:type="character" w:styleId="WW8Num43z1">
    <w:name w:val="WW8Num43z1"/>
    <w:qFormat/>
    <w:rPr/>
  </w:style>
  <w:style w:type="character" w:styleId="WW8Num43z2">
    <w:name w:val="WW8Num43z2"/>
    <w:qFormat/>
    <w:rPr/>
  </w:style>
  <w:style w:type="character" w:styleId="WW8Num43z3">
    <w:name w:val="WW8Num43z3"/>
    <w:qFormat/>
    <w:rPr/>
  </w:style>
  <w:style w:type="character" w:styleId="WW8Num43z4">
    <w:name w:val="WW8Num43z4"/>
    <w:qFormat/>
    <w:rPr/>
  </w:style>
  <w:style w:type="character" w:styleId="WW8Num43z5">
    <w:name w:val="WW8Num43z5"/>
    <w:qFormat/>
    <w:rPr/>
  </w:style>
  <w:style w:type="character" w:styleId="WW8Num43z6">
    <w:name w:val="WW8Num43z6"/>
    <w:qFormat/>
    <w:rPr/>
  </w:style>
  <w:style w:type="character" w:styleId="WW8Num43z7">
    <w:name w:val="WW8Num43z7"/>
    <w:qFormat/>
    <w:rPr/>
  </w:style>
  <w:style w:type="character" w:styleId="WW8Num43z8">
    <w:name w:val="WW8Num43z8"/>
    <w:qFormat/>
    <w:rPr/>
  </w:style>
  <w:style w:type="character" w:styleId="WW8Num44z0">
    <w:name w:val="WW8Num44z0"/>
    <w:qFormat/>
    <w:rPr/>
  </w:style>
  <w:style w:type="character" w:styleId="WW8Num44z1">
    <w:name w:val="WW8Num44z1"/>
    <w:qFormat/>
    <w:rPr/>
  </w:style>
  <w:style w:type="character" w:styleId="WW8Num44z2">
    <w:name w:val="WW8Num44z2"/>
    <w:qFormat/>
    <w:rPr/>
  </w:style>
  <w:style w:type="character" w:styleId="WW8Num44z3">
    <w:name w:val="WW8Num44z3"/>
    <w:qFormat/>
    <w:rPr/>
  </w:style>
  <w:style w:type="character" w:styleId="WW8Num44z4">
    <w:name w:val="WW8Num44z4"/>
    <w:qFormat/>
    <w:rPr/>
  </w:style>
  <w:style w:type="character" w:styleId="WW8Num44z5">
    <w:name w:val="WW8Num44z5"/>
    <w:qFormat/>
    <w:rPr/>
  </w:style>
  <w:style w:type="character" w:styleId="WW8Num44z6">
    <w:name w:val="WW8Num44z6"/>
    <w:qFormat/>
    <w:rPr/>
  </w:style>
  <w:style w:type="character" w:styleId="WW8Num44z7">
    <w:name w:val="WW8Num44z7"/>
    <w:qFormat/>
    <w:rPr/>
  </w:style>
  <w:style w:type="character" w:styleId="WW8Num44z8">
    <w:name w:val="WW8Num44z8"/>
    <w:qFormat/>
    <w:rPr/>
  </w:style>
  <w:style w:type="character" w:styleId="WW8Num45z0">
    <w:name w:val="WW8Num45z0"/>
    <w:qFormat/>
    <w:rPr/>
  </w:style>
  <w:style w:type="character" w:styleId="WW8Num45z1">
    <w:name w:val="WW8Num45z1"/>
    <w:qFormat/>
    <w:rPr/>
  </w:style>
  <w:style w:type="character" w:styleId="WW8Num45z2">
    <w:name w:val="WW8Num45z2"/>
    <w:qFormat/>
    <w:rPr/>
  </w:style>
  <w:style w:type="character" w:styleId="WW8Num45z3">
    <w:name w:val="WW8Num45z3"/>
    <w:qFormat/>
    <w:rPr/>
  </w:style>
  <w:style w:type="character" w:styleId="WW8Num45z4">
    <w:name w:val="WW8Num45z4"/>
    <w:qFormat/>
    <w:rPr/>
  </w:style>
  <w:style w:type="character" w:styleId="WW8Num45z5">
    <w:name w:val="WW8Num45z5"/>
    <w:qFormat/>
    <w:rPr/>
  </w:style>
  <w:style w:type="character" w:styleId="WW8Num45z6">
    <w:name w:val="WW8Num45z6"/>
    <w:qFormat/>
    <w:rPr/>
  </w:style>
  <w:style w:type="character" w:styleId="WW8Num45z7">
    <w:name w:val="WW8Num45z7"/>
    <w:qFormat/>
    <w:rPr/>
  </w:style>
  <w:style w:type="character" w:styleId="WW8Num45z8">
    <w:name w:val="WW8Num45z8"/>
    <w:qFormat/>
    <w:rPr/>
  </w:style>
  <w:style w:type="character" w:styleId="Style13">
    <w:name w:val="預設段落字型"/>
    <w:qFormat/>
    <w:rPr/>
  </w:style>
  <w:style w:type="character" w:styleId="Style14">
    <w:name w:val="網際網路連結"/>
    <w:rPr>
      <w:color w:val="0000FF"/>
      <w:u w:val="single"/>
    </w:rPr>
  </w:style>
  <w:style w:type="character" w:styleId="Style15">
    <w:name w:val="頁首 字元"/>
    <w:qFormat/>
    <w:rPr>
      <w:kern w:val="2"/>
    </w:rPr>
  </w:style>
  <w:style w:type="character" w:styleId="Style16">
    <w:name w:val="頁尾 字元"/>
    <w:qFormat/>
    <w:rPr>
      <w:kern w:val="2"/>
    </w:rPr>
  </w:style>
  <w:style w:type="character" w:styleId="St">
    <w:name w:val="st"/>
    <w:basedOn w:val="Style13"/>
    <w:qFormat/>
    <w:rPr/>
  </w:style>
  <w:style w:type="character" w:styleId="Applestylespan">
    <w:name w:val="apple-style-span"/>
    <w:basedOn w:val="Style13"/>
    <w:qFormat/>
    <w:rPr/>
  </w:style>
  <w:style w:type="character" w:styleId="11">
    <w:name w:val="標題 1 字元"/>
    <w:qFormat/>
    <w:rPr>
      <w:rFonts w:ascii="Cambria" w:hAnsi="Cambria" w:eastAsia="標楷體" w:cs="Cambria"/>
      <w:b/>
      <w:bCs/>
      <w:kern w:val="2"/>
      <w:sz w:val="40"/>
      <w:szCs w:val="52"/>
    </w:rPr>
  </w:style>
  <w:style w:type="character" w:styleId="Style17">
    <w:name w:val="註解方塊文字 字元"/>
    <w:qFormat/>
    <w:rPr>
      <w:rFonts w:ascii="Cambria" w:hAnsi="Cambria" w:eastAsia="新細明體;PMingLiU" w:cs="Times New Roman"/>
      <w:kern w:val="2"/>
      <w:sz w:val="18"/>
      <w:szCs w:val="18"/>
    </w:rPr>
  </w:style>
  <w:style w:type="character" w:styleId="Style18">
    <w:name w:val="頁碼"/>
    <w:basedOn w:val="Style13"/>
    <w:rPr/>
  </w:style>
  <w:style w:type="character" w:styleId="Style19">
    <w:name w:val="日期 字元"/>
    <w:qFormat/>
    <w:rPr>
      <w:kern w:val="2"/>
      <w:sz w:val="24"/>
      <w:szCs w:val="22"/>
    </w:rPr>
  </w:style>
  <w:style w:type="paragraph" w:styleId="Style20">
    <w:name w:val="標題"/>
    <w:basedOn w:val="Normal"/>
    <w:next w:val="Style21"/>
    <w:qFormat/>
    <w:pPr>
      <w:keepNext w:val="true"/>
      <w:spacing w:before="240" w:after="120"/>
    </w:pPr>
    <w:rPr>
      <w:rFonts w:ascii="Liberation Sans" w:hAnsi="Liberation Sans" w:eastAsia="思源黑體" w:cs="Lucida Sans"/>
      <w:sz w:val="28"/>
      <w:szCs w:val="28"/>
    </w:rPr>
  </w:style>
  <w:style w:type="paragraph" w:styleId="Style21">
    <w:name w:val="Body Text"/>
    <w:basedOn w:val="Normal"/>
    <w:pPr>
      <w:spacing w:lineRule="auto" w:line="276" w:before="0" w:after="140"/>
    </w:pPr>
    <w:rPr/>
  </w:style>
  <w:style w:type="paragraph" w:styleId="Style22">
    <w:name w:val="List"/>
    <w:basedOn w:val="Style21"/>
    <w:pPr/>
    <w:rPr>
      <w:rFonts w:cs="Lucida Sans"/>
    </w:rPr>
  </w:style>
  <w:style w:type="paragraph" w:styleId="Style23">
    <w:name w:val="Caption"/>
    <w:basedOn w:val="Normal"/>
    <w:qFormat/>
    <w:pPr>
      <w:suppressLineNumbers/>
      <w:spacing w:before="120" w:after="120"/>
    </w:pPr>
    <w:rPr>
      <w:rFonts w:cs="Lucida Sans"/>
      <w:i/>
      <w:iCs/>
      <w:sz w:val="24"/>
      <w:szCs w:val="24"/>
    </w:rPr>
  </w:style>
  <w:style w:type="paragraph" w:styleId="Style24">
    <w:name w:val="索引"/>
    <w:basedOn w:val="Normal"/>
    <w:qFormat/>
    <w:pPr>
      <w:suppressLineNumbers/>
    </w:pPr>
    <w:rPr>
      <w:rFonts w:cs="Lucida Sans"/>
    </w:rPr>
  </w:style>
  <w:style w:type="paragraph" w:styleId="Style25">
    <w:name w:val="頁首與頁尾"/>
    <w:basedOn w:val="Normal"/>
    <w:qFormat/>
    <w:pPr>
      <w:suppressLineNumbers/>
      <w:tabs>
        <w:tab w:val="clear" w:pos="480"/>
        <w:tab w:val="center" w:pos="4819" w:leader="none"/>
        <w:tab w:val="right" w:pos="9638" w:leader="none"/>
      </w:tabs>
    </w:pPr>
    <w:rPr/>
  </w:style>
  <w:style w:type="paragraph" w:styleId="Style26">
    <w:name w:val="Header"/>
    <w:basedOn w:val="Normal"/>
    <w:pPr>
      <w:tabs>
        <w:tab w:val="clear" w:pos="480"/>
        <w:tab w:val="center" w:pos="4153" w:leader="none"/>
        <w:tab w:val="right" w:pos="8306" w:leader="none"/>
      </w:tabs>
      <w:snapToGrid w:val="false"/>
    </w:pPr>
    <w:rPr>
      <w:sz w:val="20"/>
      <w:szCs w:val="20"/>
    </w:rPr>
  </w:style>
  <w:style w:type="paragraph" w:styleId="Style27">
    <w:name w:val="Footer"/>
    <w:basedOn w:val="Normal"/>
    <w:pPr>
      <w:tabs>
        <w:tab w:val="clear" w:pos="480"/>
        <w:tab w:val="center" w:pos="4153" w:leader="none"/>
        <w:tab w:val="right" w:pos="8306" w:leader="none"/>
      </w:tabs>
      <w:snapToGrid w:val="false"/>
    </w:pPr>
    <w:rPr>
      <w:sz w:val="20"/>
      <w:szCs w:val="20"/>
    </w:rPr>
  </w:style>
  <w:style w:type="paragraph" w:styleId="Style28">
    <w:name w:val="目錄標題"/>
    <w:basedOn w:val="1"/>
    <w:next w:val="Normal"/>
    <w:qFormat/>
    <w:pPr>
      <w:keepLines/>
      <w:widowControl/>
      <w:numPr>
        <w:ilvl w:val="0"/>
        <w:numId w:val="0"/>
      </w:numPr>
      <w:spacing w:lineRule="auto" w:line="276" w:before="480" w:after="0"/>
    </w:pPr>
    <w:rPr>
      <w:color w:val="365F91"/>
      <w:kern w:val="0"/>
      <w:sz w:val="28"/>
      <w:szCs w:val="28"/>
    </w:rPr>
  </w:style>
  <w:style w:type="paragraph" w:styleId="2">
    <w:name w:val="TOC 2"/>
    <w:basedOn w:val="Normal"/>
    <w:next w:val="Normal"/>
    <w:pPr>
      <w:widowControl/>
      <w:spacing w:lineRule="auto" w:line="276" w:before="0" w:after="100"/>
      <w:ind w:left="220" w:hanging="0"/>
    </w:pPr>
    <w:rPr>
      <w:rFonts w:ascii="Calibri" w:hAnsi="Calibri" w:eastAsia="新細明體;PMingLiU" w:cs="Times New Roman"/>
      <w:kern w:val="0"/>
      <w:sz w:val="22"/>
    </w:rPr>
  </w:style>
  <w:style w:type="paragraph" w:styleId="12">
    <w:name w:val="TOC 1"/>
    <w:basedOn w:val="Normal"/>
    <w:next w:val="Normal"/>
    <w:pPr>
      <w:widowControl/>
      <w:spacing w:lineRule="auto" w:line="276" w:before="0" w:after="100"/>
    </w:pPr>
    <w:rPr>
      <w:b/>
      <w:kern w:val="0"/>
      <w:sz w:val="22"/>
    </w:rPr>
  </w:style>
  <w:style w:type="paragraph" w:styleId="3">
    <w:name w:val="TOC 3"/>
    <w:basedOn w:val="Normal"/>
    <w:next w:val="Normal"/>
    <w:pPr>
      <w:widowControl/>
      <w:spacing w:lineRule="auto" w:line="276" w:before="0" w:after="100"/>
      <w:ind w:left="440" w:hanging="0"/>
    </w:pPr>
    <w:rPr>
      <w:rFonts w:ascii="Calibri" w:hAnsi="Calibri" w:eastAsia="新細明體;PMingLiU" w:cs="Times New Roman"/>
      <w:kern w:val="0"/>
      <w:sz w:val="22"/>
    </w:rPr>
  </w:style>
  <w:style w:type="paragraph" w:styleId="Style29">
    <w:name w:val="註解方塊文字"/>
    <w:basedOn w:val="Normal"/>
    <w:qFormat/>
    <w:pPr/>
    <w:rPr>
      <w:rFonts w:ascii="Cambria" w:hAnsi="Cambria" w:eastAsia="新細明體;PMingLiU" w:cs="Times New Roman"/>
      <w:sz w:val="18"/>
      <w:szCs w:val="18"/>
    </w:rPr>
  </w:style>
  <w:style w:type="paragraph" w:styleId="Style30">
    <w:name w:val="標號"/>
    <w:basedOn w:val="Normal"/>
    <w:next w:val="Normal"/>
    <w:qFormat/>
    <w:pPr/>
    <w:rPr>
      <w:sz w:val="20"/>
      <w:szCs w:val="20"/>
    </w:rPr>
  </w:style>
  <w:style w:type="paragraph" w:styleId="Style31">
    <w:name w:val="圖表目錄"/>
    <w:basedOn w:val="Normal"/>
    <w:next w:val="Normal"/>
    <w:qFormat/>
    <w:pPr>
      <w:ind w:left="480" w:hanging="480"/>
    </w:pPr>
    <w:rPr>
      <w:rFonts w:ascii="Calibri" w:hAnsi="Calibri" w:cs="Calibri"/>
      <w:caps/>
      <w:sz w:val="20"/>
      <w:szCs w:val="20"/>
    </w:rPr>
  </w:style>
  <w:style w:type="paragraph" w:styleId="Style32">
    <w:name w:val="文件引導模式"/>
    <w:basedOn w:val="Normal"/>
    <w:qFormat/>
    <w:pPr>
      <w:shd w:fill="000080" w:val="clear"/>
    </w:pPr>
    <w:rPr>
      <w:rFonts w:ascii="Arial" w:hAnsi="Arial" w:cs="Arial"/>
    </w:rPr>
  </w:style>
  <w:style w:type="paragraph" w:styleId="Style33">
    <w:name w:val="日期"/>
    <w:basedOn w:val="Normal"/>
    <w:next w:val="Normal"/>
    <w:qFormat/>
    <w:pPr>
      <w:jc w:val="right"/>
    </w:pPr>
    <w:rPr/>
  </w:style>
  <w:style w:type="paragraph" w:styleId="Style34">
    <w:name w:val="表格內容"/>
    <w:basedOn w:val="Normal"/>
    <w:qFormat/>
    <w:pPr>
      <w:widowControl w:val="false"/>
      <w:suppressLineNumbers/>
    </w:pPr>
    <w:rPr/>
  </w:style>
  <w:style w:type="paragraph" w:styleId="Style35">
    <w:name w:val="表格標題"/>
    <w:basedOn w:val="Style34"/>
    <w:qFormat/>
    <w:pPr>
      <w:suppressLineNumbers/>
      <w:jc w:val="center"/>
    </w:pPr>
    <w:rPr>
      <w:b/>
      <w:bCs/>
    </w:rPr>
  </w:style>
  <w:style w:type="paragraph" w:styleId="Style36">
    <w:name w:val="外框內容"/>
    <w:basedOn w:val="Normal"/>
    <w:qFormat/>
    <w:pPr/>
    <w:rPr/>
  </w:style>
  <w:style w:type="numbering" w:styleId="WW8Num1">
    <w:name w:val="WW8Num1"/>
    <w:qFormat/>
  </w:style>
  <w:style w:type="numbering" w:styleId="WW8Num2">
    <w:name w:val="WW8Num2"/>
    <w:qFormat/>
  </w:style>
  <w:style w:type="numbering" w:styleId="WW8Num3">
    <w:name w:val="WW8Num3"/>
    <w:qFormat/>
  </w:style>
  <w:style w:type="numbering" w:styleId="WW8Num4">
    <w:name w:val="WW8Num4"/>
    <w:qFormat/>
  </w:style>
  <w:style w:type="numbering" w:styleId="WW8Num5">
    <w:name w:val="WW8Num5"/>
    <w:qFormat/>
  </w:style>
  <w:style w:type="numbering" w:styleId="WW8Num6">
    <w:name w:val="WW8Num6"/>
    <w:qFormat/>
  </w:style>
  <w:style w:type="numbering" w:styleId="WW8Num7">
    <w:name w:val="WW8Num7"/>
    <w:qFormat/>
  </w:style>
  <w:style w:type="numbering" w:styleId="WW8Num8">
    <w:name w:val="WW8Num8"/>
    <w:qFormat/>
  </w:style>
  <w:style w:type="numbering" w:styleId="WW8Num9">
    <w:name w:val="WW8Num9"/>
    <w:qFormat/>
  </w:style>
  <w:style w:type="numbering" w:styleId="WW8Num10">
    <w:name w:val="WW8Num10"/>
    <w:qFormat/>
  </w:style>
  <w:style w:type="numbering" w:styleId="WW8Num11">
    <w:name w:val="WW8Num11"/>
    <w:qFormat/>
  </w:style>
  <w:style w:type="numbering" w:styleId="WW8Num12">
    <w:name w:val="WW8Num12"/>
    <w:qFormat/>
  </w:style>
  <w:style w:type="numbering" w:styleId="WW8Num13">
    <w:name w:val="WW8Num13"/>
    <w:qFormat/>
  </w:style>
  <w:style w:type="numbering" w:styleId="WW8Num14">
    <w:name w:val="WW8Num14"/>
    <w:qFormat/>
  </w:style>
  <w:style w:type="numbering" w:styleId="WW8Num15">
    <w:name w:val="WW8Num15"/>
    <w:qFormat/>
  </w:style>
  <w:style w:type="numbering" w:styleId="WW8Num16">
    <w:name w:val="WW8Num16"/>
    <w:qFormat/>
  </w:style>
  <w:style w:type="numbering" w:styleId="WW8Num17">
    <w:name w:val="WW8Num17"/>
    <w:qFormat/>
  </w:style>
  <w:style w:type="numbering" w:styleId="WW8Num18">
    <w:name w:val="WW8Num18"/>
    <w:qFormat/>
  </w:style>
  <w:style w:type="numbering" w:styleId="WW8Num19">
    <w:name w:val="WW8Num19"/>
    <w:qFormat/>
  </w:style>
  <w:style w:type="numbering" w:styleId="WW8Num20">
    <w:name w:val="WW8Num20"/>
    <w:qFormat/>
  </w:style>
  <w:style w:type="numbering" w:styleId="WW8Num21">
    <w:name w:val="WW8Num21"/>
    <w:qFormat/>
  </w:style>
  <w:style w:type="numbering" w:styleId="WW8Num22">
    <w:name w:val="WW8Num22"/>
    <w:qFormat/>
  </w:style>
  <w:style w:type="numbering" w:styleId="WW8Num23">
    <w:name w:val="WW8Num23"/>
    <w:qFormat/>
  </w:style>
  <w:style w:type="numbering" w:styleId="WW8Num24">
    <w:name w:val="WW8Num24"/>
    <w:qFormat/>
  </w:style>
  <w:style w:type="numbering" w:styleId="WW8Num25">
    <w:name w:val="WW8Num25"/>
    <w:qFormat/>
  </w:style>
  <w:style w:type="numbering" w:styleId="WW8Num26">
    <w:name w:val="WW8Num26"/>
    <w:qFormat/>
  </w:style>
  <w:style w:type="numbering" w:styleId="WW8Num27">
    <w:name w:val="WW8Num27"/>
    <w:qFormat/>
  </w:style>
  <w:style w:type="numbering" w:styleId="WW8Num28">
    <w:name w:val="WW8Num28"/>
    <w:qFormat/>
  </w:style>
  <w:style w:type="numbering" w:styleId="WW8Num29">
    <w:name w:val="WW8Num29"/>
    <w:qFormat/>
  </w:style>
  <w:style w:type="numbering" w:styleId="WW8Num30">
    <w:name w:val="WW8Num30"/>
    <w:qFormat/>
  </w:style>
  <w:style w:type="numbering" w:styleId="WW8Num31">
    <w:name w:val="WW8Num31"/>
    <w:qFormat/>
  </w:style>
  <w:style w:type="numbering" w:styleId="WW8Num32">
    <w:name w:val="WW8Num32"/>
    <w:qFormat/>
  </w:style>
  <w:style w:type="numbering" w:styleId="WW8Num33">
    <w:name w:val="WW8Num33"/>
    <w:qFormat/>
  </w:style>
  <w:style w:type="numbering" w:styleId="WW8Num34">
    <w:name w:val="WW8Num34"/>
    <w:qFormat/>
  </w:style>
  <w:style w:type="numbering" w:styleId="WW8Num35">
    <w:name w:val="WW8Num35"/>
    <w:qFormat/>
  </w:style>
  <w:style w:type="numbering" w:styleId="WW8Num36">
    <w:name w:val="WW8Num36"/>
    <w:qFormat/>
  </w:style>
  <w:style w:type="numbering" w:styleId="WW8Num37">
    <w:name w:val="WW8Num37"/>
    <w:qFormat/>
  </w:style>
  <w:style w:type="numbering" w:styleId="WW8Num38">
    <w:name w:val="WW8Num38"/>
    <w:qFormat/>
  </w:style>
  <w:style w:type="numbering" w:styleId="WW8Num39">
    <w:name w:val="WW8Num39"/>
    <w:qFormat/>
  </w:style>
  <w:style w:type="numbering" w:styleId="WW8Num40">
    <w:name w:val="WW8Num40"/>
    <w:qFormat/>
  </w:style>
  <w:style w:type="numbering" w:styleId="WW8Num41">
    <w:name w:val="WW8Num41"/>
    <w:qFormat/>
  </w:style>
  <w:style w:type="numbering" w:styleId="WW8Num42">
    <w:name w:val="WW8Num42"/>
    <w:qFormat/>
  </w:style>
  <w:style w:type="numbering" w:styleId="WW8Num43">
    <w:name w:val="WW8Num43"/>
    <w:qFormat/>
  </w:style>
  <w:style w:type="numbering" w:styleId="WW8Num44">
    <w:name w:val="WW8Num44"/>
    <w:qFormat/>
  </w:style>
  <w:style w:type="numbering" w:styleId="WW8Num45">
    <w:name w:val="WW8Num45"/>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footer" Target="footer1.xml"/><Relationship Id="rId5" Type="http://schemas.openxmlformats.org/officeDocument/2006/relationships/footer" Target="footer2.xml"/><Relationship Id="rId6" Type="http://schemas.openxmlformats.org/officeDocument/2006/relationships/numbering" Target="numbering.xm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Normal_x0000_</Template>
  <TotalTime>3</TotalTime>
  <Application>MODA_ODF_Application_Tools/3.5.5.5.1$Windows_X86_64 LibreOffice_project/0731c5f9adee5daee576bb62a18f665a8d51cd0c</Application>
  <AppVersion>15.0000</AppVersion>
  <Pages>55</Pages>
  <Words>16894</Words>
  <Characters>23583</Characters>
  <CharactersWithSpaces>24887</CharactersWithSpaces>
  <Paragraphs>556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2014-03-21T16:15:00Z</dcterms:created>
  <dc:creator>行政院衛生署</dc:creator>
  <dc:description/>
  <cp:keywords>行政院衛生署 行政院衛生署 衛生教育推動委員會</cp:keywords>
  <dc:language>zh-TW</dc:language>
  <cp:lastModifiedBy>心理及口腔健康司吳懿庭</cp:lastModifiedBy>
  <dcterms:modified xsi:type="dcterms:W3CDTF">2014-03-25T16:07:00Z</dcterms:modified>
  <cp:revision>6</cp:revision>
  <dc:subject>衛生署中英文網站</dc:subject>
  <dc:title>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EN.InstantFormat">
    <vt:lpwstr>EN.InstantFormat</vt:lpwstr>
  </property>
  <property fmtid="{D5CDD505-2E9C-101B-9397-08002B2CF9AE}" pid="3" name="EN.Layout">
    <vt:lpwstr>EN.Layout</vt:lpwstr>
  </property>
  <property fmtid="{D5CDD505-2E9C-101B-9397-08002B2CF9AE}" pid="4" name="EN.Libraries">
    <vt:lpwstr>EN.Libraries</vt:lpwstr>
  </property>
</Properties>
</file>