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ABD" w:rsidRDefault="007114D2">
      <w:pPr>
        <w:overflowPunct w:val="0"/>
        <w:jc w:val="center"/>
        <w:rPr>
          <w:rFonts w:ascii="標楷體" w:eastAsia="標楷體" w:hAnsi="標楷體"/>
          <w:color w:val="000000"/>
          <w:sz w:val="40"/>
          <w:szCs w:val="40"/>
        </w:rPr>
      </w:pPr>
      <w:r>
        <w:rPr>
          <w:rFonts w:ascii="標楷體" w:eastAsia="標楷體" w:hAnsi="標楷體"/>
          <w:color w:val="000000"/>
          <w:sz w:val="40"/>
          <w:szCs w:val="40"/>
        </w:rPr>
        <w:t>性騷擾防治法施行細則修正條文</w:t>
      </w:r>
    </w:p>
    <w:p w:rsidR="008C0ABD" w:rsidRDefault="007114D2">
      <w:pPr>
        <w:overflowPunct w:val="0"/>
        <w:spacing w:line="460" w:lineRule="exact"/>
        <w:ind w:left="1559" w:right="120" w:hanging="1701"/>
        <w:jc w:val="both"/>
      </w:pPr>
      <w:r>
        <w:rPr>
          <w:rFonts w:ascii="標楷體" w:eastAsia="標楷體" w:hAnsi="標楷體"/>
          <w:spacing w:val="350"/>
          <w:kern w:val="0"/>
          <w:sz w:val="28"/>
          <w:szCs w:val="28"/>
        </w:rPr>
        <w:t>第一</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本細則依性騷擾防治法</w:t>
      </w:r>
      <w:r>
        <w:rPr>
          <w:rFonts w:ascii="標楷體" w:eastAsia="標楷體" w:hAnsi="標楷體"/>
          <w:sz w:val="28"/>
          <w:szCs w:val="28"/>
        </w:rPr>
        <w:t>(</w:t>
      </w:r>
      <w:r>
        <w:rPr>
          <w:rFonts w:ascii="標楷體" w:eastAsia="標楷體" w:hAnsi="標楷體"/>
          <w:sz w:val="28"/>
          <w:szCs w:val="28"/>
        </w:rPr>
        <w:t>以下簡稱本法</w:t>
      </w:r>
      <w:proofErr w:type="gramStart"/>
      <w:r>
        <w:rPr>
          <w:rFonts w:ascii="標楷體" w:eastAsia="標楷體" w:hAnsi="標楷體"/>
          <w:sz w:val="28"/>
          <w:szCs w:val="28"/>
        </w:rPr>
        <w:t>）</w:t>
      </w:r>
      <w:proofErr w:type="gramEnd"/>
      <w:r>
        <w:rPr>
          <w:rFonts w:ascii="標楷體" w:eastAsia="標楷體" w:hAnsi="標楷體"/>
          <w:sz w:val="28"/>
          <w:szCs w:val="28"/>
        </w:rPr>
        <w:t>第三十三條規定訂定之。</w:t>
      </w:r>
    </w:p>
    <w:p w:rsidR="008C0ABD" w:rsidRDefault="007114D2">
      <w:pPr>
        <w:overflowPunct w:val="0"/>
        <w:spacing w:line="460" w:lineRule="exact"/>
        <w:ind w:left="1531" w:right="120" w:hanging="1701"/>
        <w:jc w:val="both"/>
      </w:pPr>
      <w:r>
        <w:rPr>
          <w:rFonts w:ascii="標楷體" w:eastAsia="標楷體" w:hAnsi="標楷體"/>
          <w:spacing w:val="350"/>
          <w:kern w:val="0"/>
          <w:sz w:val="28"/>
          <w:szCs w:val="28"/>
        </w:rPr>
        <w:t>第二條</w:t>
      </w:r>
      <w:r>
        <w:rPr>
          <w:rFonts w:ascii="標楷體" w:eastAsia="標楷體" w:hAnsi="標楷體"/>
          <w:kern w:val="0"/>
          <w:sz w:val="28"/>
          <w:szCs w:val="28"/>
        </w:rPr>
        <w:t xml:space="preserve">  </w:t>
      </w:r>
      <w:r>
        <w:rPr>
          <w:rFonts w:ascii="標楷體" w:eastAsia="標楷體" w:hAnsi="標楷體"/>
          <w:kern w:val="0"/>
          <w:sz w:val="28"/>
          <w:szCs w:val="28"/>
        </w:rPr>
        <w:t>性騷擾之認定，應就個案審酌事件發生之背景、環境、當事人之關係、言詞、行為、認知或其他具體事實為之。</w:t>
      </w:r>
    </w:p>
    <w:p w:rsidR="008C0ABD" w:rsidRDefault="007114D2">
      <w:pPr>
        <w:overflowPunct w:val="0"/>
        <w:spacing w:line="460" w:lineRule="exact"/>
        <w:ind w:left="1560" w:hanging="1702"/>
        <w:jc w:val="both"/>
      </w:pPr>
      <w:r>
        <w:rPr>
          <w:rFonts w:ascii="標楷體" w:eastAsia="標楷體" w:hAnsi="標楷體"/>
          <w:spacing w:val="350"/>
          <w:kern w:val="0"/>
          <w:sz w:val="28"/>
          <w:szCs w:val="28"/>
        </w:rPr>
        <w:t>第三</w:t>
      </w:r>
      <w:r>
        <w:rPr>
          <w:rFonts w:ascii="標楷體" w:eastAsia="標楷體" w:hAnsi="標楷體"/>
          <w:kern w:val="0"/>
          <w:sz w:val="28"/>
          <w:szCs w:val="28"/>
        </w:rPr>
        <w:t>條</w:t>
      </w:r>
      <w:r>
        <w:rPr>
          <w:rFonts w:ascii="標楷體" w:eastAsia="標楷體" w:hAnsi="標楷體"/>
          <w:kern w:val="0"/>
          <w:sz w:val="28"/>
          <w:szCs w:val="28"/>
        </w:rPr>
        <w:t xml:space="preserve">     </w:t>
      </w:r>
      <w:r>
        <w:rPr>
          <w:rFonts w:ascii="標楷體" w:eastAsia="標楷體" w:hAnsi="標楷體"/>
          <w:kern w:val="0"/>
          <w:sz w:val="28"/>
          <w:szCs w:val="28"/>
        </w:rPr>
        <w:t>政府機關</w:t>
      </w:r>
      <w:r>
        <w:rPr>
          <w:rFonts w:ascii="標楷體" w:eastAsia="標楷體" w:hAnsi="標楷體"/>
          <w:kern w:val="0"/>
          <w:sz w:val="28"/>
          <w:szCs w:val="28"/>
        </w:rPr>
        <w:t>(</w:t>
      </w:r>
      <w:r>
        <w:rPr>
          <w:rFonts w:ascii="標楷體" w:eastAsia="標楷體" w:hAnsi="標楷體"/>
          <w:kern w:val="0"/>
          <w:sz w:val="28"/>
          <w:szCs w:val="28"/>
        </w:rPr>
        <w:t>構</w:t>
      </w:r>
      <w:r>
        <w:rPr>
          <w:rFonts w:ascii="標楷體" w:eastAsia="標楷體" w:hAnsi="標楷體"/>
          <w:kern w:val="0"/>
          <w:sz w:val="28"/>
          <w:szCs w:val="28"/>
        </w:rPr>
        <w:t>)</w:t>
      </w:r>
      <w:r>
        <w:rPr>
          <w:rFonts w:ascii="標楷體" w:eastAsia="標楷體" w:hAnsi="標楷體"/>
          <w:kern w:val="0"/>
          <w:sz w:val="28"/>
          <w:szCs w:val="28"/>
        </w:rPr>
        <w:t>、部隊、學校、警察機關或直轄市、縣</w:t>
      </w:r>
      <w:r>
        <w:rPr>
          <w:rFonts w:ascii="標楷體" w:eastAsia="標楷體" w:hAnsi="標楷體"/>
          <w:kern w:val="0"/>
          <w:sz w:val="28"/>
          <w:szCs w:val="28"/>
        </w:rPr>
        <w:t>(</w:t>
      </w:r>
      <w:r>
        <w:rPr>
          <w:rFonts w:ascii="標楷體" w:eastAsia="標楷體" w:hAnsi="標楷體"/>
          <w:kern w:val="0"/>
          <w:sz w:val="28"/>
          <w:szCs w:val="28"/>
        </w:rPr>
        <w:t>市</w:t>
      </w:r>
      <w:r>
        <w:rPr>
          <w:rFonts w:ascii="標楷體" w:eastAsia="標楷體" w:hAnsi="標楷體"/>
          <w:kern w:val="0"/>
          <w:sz w:val="28"/>
          <w:szCs w:val="28"/>
        </w:rPr>
        <w:t>)</w:t>
      </w:r>
      <w:r>
        <w:rPr>
          <w:rFonts w:ascii="標楷體" w:eastAsia="標楷體" w:hAnsi="標楷體"/>
          <w:kern w:val="0"/>
          <w:sz w:val="28"/>
          <w:szCs w:val="28"/>
        </w:rPr>
        <w:t>主管機關，接獲本法第一條第二項但書所定性別平等教育法及性別平等工作法之性騷擾事件，應於接獲之日起二十日內，移送該事件之主管機關，並副知當事人。</w:t>
      </w:r>
    </w:p>
    <w:p w:rsidR="008C0ABD" w:rsidRDefault="007114D2">
      <w:pPr>
        <w:tabs>
          <w:tab w:val="left" w:pos="1560"/>
        </w:tabs>
        <w:overflowPunct w:val="0"/>
        <w:spacing w:line="460" w:lineRule="exact"/>
        <w:ind w:left="1560" w:hanging="1560"/>
        <w:jc w:val="both"/>
      </w:pPr>
      <w:r>
        <w:rPr>
          <w:rFonts w:ascii="標楷體" w:eastAsia="標楷體" w:hAnsi="標楷體"/>
          <w:spacing w:val="350"/>
          <w:kern w:val="0"/>
          <w:sz w:val="28"/>
          <w:szCs w:val="28"/>
        </w:rPr>
        <w:t>第四</w:t>
      </w:r>
      <w:r>
        <w:rPr>
          <w:rFonts w:ascii="標楷體" w:eastAsia="標楷體" w:hAnsi="標楷體"/>
          <w:kern w:val="0"/>
          <w:sz w:val="28"/>
          <w:szCs w:val="28"/>
        </w:rPr>
        <w:t>條</w:t>
      </w:r>
      <w:r>
        <w:rPr>
          <w:rFonts w:ascii="標楷體" w:eastAsia="標楷體" w:hAnsi="標楷體"/>
          <w:kern w:val="0"/>
          <w:sz w:val="28"/>
          <w:szCs w:val="28"/>
        </w:rPr>
        <w:t xml:space="preserve">    </w:t>
      </w:r>
      <w:r>
        <w:rPr>
          <w:rFonts w:ascii="標楷體" w:eastAsia="標楷體" w:hAnsi="標楷體"/>
          <w:kern w:val="0"/>
          <w:sz w:val="28"/>
          <w:szCs w:val="28"/>
        </w:rPr>
        <w:t>本法第二條</w:t>
      </w:r>
      <w:proofErr w:type="gramStart"/>
      <w:r>
        <w:rPr>
          <w:rFonts w:ascii="標楷體" w:eastAsia="標楷體" w:hAnsi="標楷體"/>
          <w:kern w:val="0"/>
          <w:sz w:val="28"/>
          <w:szCs w:val="28"/>
        </w:rPr>
        <w:t>所稱性侵害</w:t>
      </w:r>
      <w:proofErr w:type="gramEnd"/>
      <w:r>
        <w:rPr>
          <w:rFonts w:ascii="標楷體" w:eastAsia="標楷體" w:hAnsi="標楷體"/>
          <w:kern w:val="0"/>
          <w:sz w:val="28"/>
          <w:szCs w:val="28"/>
        </w:rPr>
        <w:t>犯罪，</w:t>
      </w:r>
      <w:proofErr w:type="gramStart"/>
      <w:r>
        <w:rPr>
          <w:rFonts w:ascii="標楷體" w:eastAsia="標楷體" w:hAnsi="標楷體"/>
          <w:kern w:val="0"/>
          <w:sz w:val="28"/>
          <w:szCs w:val="28"/>
        </w:rPr>
        <w:t>指性侵害</w:t>
      </w:r>
      <w:proofErr w:type="gramEnd"/>
      <w:r>
        <w:rPr>
          <w:rFonts w:ascii="標楷體" w:eastAsia="標楷體" w:hAnsi="標楷體"/>
          <w:kern w:val="0"/>
          <w:sz w:val="28"/>
          <w:szCs w:val="28"/>
        </w:rPr>
        <w:t>犯罪防治法第二條第一款所定之犯罪。</w:t>
      </w:r>
    </w:p>
    <w:p w:rsidR="008C0ABD" w:rsidRDefault="007114D2">
      <w:pPr>
        <w:overflowPunct w:val="0"/>
        <w:spacing w:line="460" w:lineRule="exact"/>
        <w:ind w:left="1560" w:hanging="1560"/>
        <w:jc w:val="both"/>
      </w:pPr>
      <w:r>
        <w:rPr>
          <w:rFonts w:ascii="標楷體" w:eastAsia="標楷體" w:hAnsi="標楷體"/>
          <w:spacing w:val="350"/>
          <w:kern w:val="0"/>
          <w:sz w:val="28"/>
          <w:szCs w:val="28"/>
        </w:rPr>
        <w:t>第五</w:t>
      </w:r>
      <w:r>
        <w:rPr>
          <w:rFonts w:ascii="標楷體" w:eastAsia="標楷體" w:hAnsi="標楷體"/>
          <w:kern w:val="0"/>
          <w:sz w:val="28"/>
          <w:szCs w:val="28"/>
        </w:rPr>
        <w:t>條</w:t>
      </w:r>
      <w:r>
        <w:rPr>
          <w:rFonts w:ascii="標楷體" w:eastAsia="標楷體" w:hAnsi="標楷體"/>
          <w:kern w:val="0"/>
          <w:sz w:val="28"/>
          <w:szCs w:val="28"/>
        </w:rPr>
        <w:t xml:space="preserve">    </w:t>
      </w:r>
      <w:r>
        <w:rPr>
          <w:rFonts w:ascii="標楷體" w:eastAsia="標楷體" w:hAnsi="標楷體"/>
          <w:sz w:val="28"/>
          <w:szCs w:val="28"/>
        </w:rPr>
        <w:t>本法第六條所定性騷擾防治審議會，應每季至少召開一次。</w:t>
      </w:r>
    </w:p>
    <w:p w:rsidR="008C0ABD" w:rsidRDefault="007114D2">
      <w:pPr>
        <w:overflowPunct w:val="0"/>
        <w:spacing w:line="460" w:lineRule="exact"/>
        <w:ind w:left="1560" w:firstLine="567"/>
        <w:jc w:val="both"/>
        <w:rPr>
          <w:rFonts w:ascii="標楷體" w:eastAsia="標楷體" w:hAnsi="標楷體"/>
          <w:sz w:val="28"/>
          <w:szCs w:val="28"/>
        </w:rPr>
      </w:pPr>
      <w:r>
        <w:rPr>
          <w:rFonts w:ascii="標楷體" w:eastAsia="標楷體" w:hAnsi="標楷體"/>
          <w:sz w:val="28"/>
          <w:szCs w:val="28"/>
        </w:rPr>
        <w:t>召集人不能出席時，由副召集人或出席委員互推一人代理之。</w:t>
      </w:r>
    </w:p>
    <w:p w:rsidR="008C0ABD" w:rsidRDefault="007114D2">
      <w:pPr>
        <w:overflowPunct w:val="0"/>
        <w:spacing w:line="460" w:lineRule="exact"/>
        <w:ind w:left="1560" w:hanging="1560"/>
        <w:jc w:val="both"/>
      </w:pPr>
      <w:r>
        <w:rPr>
          <w:rFonts w:ascii="標楷體" w:eastAsia="標楷體" w:hAnsi="標楷體"/>
          <w:spacing w:val="350"/>
          <w:kern w:val="0"/>
          <w:sz w:val="28"/>
          <w:szCs w:val="28"/>
        </w:rPr>
        <w:t>第六</w:t>
      </w:r>
      <w:r>
        <w:rPr>
          <w:rFonts w:ascii="標楷體" w:eastAsia="標楷體" w:hAnsi="標楷體"/>
          <w:kern w:val="0"/>
          <w:sz w:val="28"/>
          <w:szCs w:val="28"/>
        </w:rPr>
        <w:t>條</w:t>
      </w:r>
      <w:r>
        <w:rPr>
          <w:rFonts w:ascii="標楷體" w:eastAsia="標楷體" w:hAnsi="標楷體"/>
          <w:kern w:val="0"/>
          <w:sz w:val="28"/>
          <w:szCs w:val="28"/>
        </w:rPr>
        <w:t xml:space="preserve">    </w:t>
      </w:r>
      <w:r>
        <w:rPr>
          <w:rFonts w:ascii="標楷體" w:eastAsia="標楷體" w:hAnsi="標楷體"/>
          <w:sz w:val="28"/>
          <w:szCs w:val="28"/>
        </w:rPr>
        <w:t>性騷擾事件之調查人員、審議或調解委員，應具備性別平等意識。</w:t>
      </w:r>
    </w:p>
    <w:p w:rsidR="008C0ABD" w:rsidRDefault="007114D2">
      <w:pPr>
        <w:overflowPunct w:val="0"/>
        <w:spacing w:line="460" w:lineRule="exact"/>
        <w:ind w:left="1560" w:hanging="1560"/>
        <w:jc w:val="both"/>
      </w:pPr>
      <w:r>
        <w:rPr>
          <w:rFonts w:ascii="標楷體" w:eastAsia="標楷體" w:hAnsi="標楷體"/>
          <w:spacing w:val="350"/>
          <w:kern w:val="0"/>
          <w:sz w:val="28"/>
          <w:szCs w:val="28"/>
        </w:rPr>
        <w:t>第七</w:t>
      </w:r>
      <w:r>
        <w:rPr>
          <w:rFonts w:ascii="標楷體" w:eastAsia="標楷體" w:hAnsi="標楷體"/>
          <w:kern w:val="0"/>
          <w:sz w:val="28"/>
          <w:szCs w:val="28"/>
        </w:rPr>
        <w:t>條</w:t>
      </w:r>
      <w:r>
        <w:rPr>
          <w:rFonts w:ascii="標楷體" w:eastAsia="標楷體" w:hAnsi="標楷體"/>
          <w:kern w:val="0"/>
          <w:sz w:val="28"/>
          <w:szCs w:val="28"/>
        </w:rPr>
        <w:t xml:space="preserve">    </w:t>
      </w:r>
      <w:r>
        <w:rPr>
          <w:rFonts w:ascii="標楷體" w:eastAsia="標楷體" w:hAnsi="標楷體"/>
          <w:sz w:val="28"/>
          <w:szCs w:val="28"/>
        </w:rPr>
        <w:t>性騷擾事件之調查、審議及調解，應以不公開方式為之，並保護當事人之隱私及其</w:t>
      </w:r>
      <w:r>
        <w:rPr>
          <w:rFonts w:ascii="標楷體" w:eastAsia="標楷體" w:hAnsi="標楷體"/>
          <w:sz w:val="28"/>
          <w:szCs w:val="28"/>
        </w:rPr>
        <w:t>他權益。</w:t>
      </w:r>
    </w:p>
    <w:p w:rsidR="008C0ABD" w:rsidRDefault="007114D2">
      <w:pPr>
        <w:overflowPunct w:val="0"/>
        <w:spacing w:line="460" w:lineRule="exact"/>
        <w:ind w:left="1560" w:hanging="1560"/>
        <w:jc w:val="both"/>
      </w:pPr>
      <w:r>
        <w:rPr>
          <w:rFonts w:ascii="標楷體" w:eastAsia="標楷體" w:hAnsi="標楷體"/>
          <w:spacing w:val="350"/>
          <w:kern w:val="0"/>
          <w:sz w:val="28"/>
          <w:szCs w:val="28"/>
        </w:rPr>
        <w:t>第八</w:t>
      </w:r>
      <w:r>
        <w:rPr>
          <w:rFonts w:ascii="標楷體" w:eastAsia="標楷體" w:hAnsi="標楷體"/>
          <w:kern w:val="0"/>
          <w:sz w:val="28"/>
          <w:szCs w:val="28"/>
        </w:rPr>
        <w:t>條</w:t>
      </w:r>
      <w:r>
        <w:rPr>
          <w:rFonts w:ascii="標楷體" w:eastAsia="標楷體" w:hAnsi="標楷體"/>
          <w:kern w:val="0"/>
          <w:sz w:val="28"/>
          <w:szCs w:val="28"/>
        </w:rPr>
        <w:t xml:space="preserve">    </w:t>
      </w:r>
      <w:r>
        <w:rPr>
          <w:rFonts w:ascii="標楷體" w:eastAsia="標楷體" w:hAnsi="標楷體"/>
          <w:sz w:val="28"/>
          <w:szCs w:val="28"/>
        </w:rPr>
        <w:t>本法第七條第一項所定組織成員、受</w:t>
      </w:r>
      <w:proofErr w:type="gramStart"/>
      <w:r>
        <w:rPr>
          <w:rFonts w:ascii="標楷體" w:eastAsia="標楷體" w:hAnsi="標楷體"/>
          <w:sz w:val="28"/>
          <w:szCs w:val="28"/>
        </w:rPr>
        <w:t>僱</w:t>
      </w:r>
      <w:proofErr w:type="gramEnd"/>
      <w:r>
        <w:rPr>
          <w:rFonts w:ascii="標楷體" w:eastAsia="標楷體" w:hAnsi="標楷體"/>
          <w:sz w:val="28"/>
          <w:szCs w:val="28"/>
        </w:rPr>
        <w:t>人或受服務人員之計算，包括分支機構及附屬單位，並依被害人申訴當月第一個工作日之總人數計算。</w:t>
      </w:r>
    </w:p>
    <w:p w:rsidR="008C0ABD" w:rsidRDefault="007114D2">
      <w:pPr>
        <w:overflowPunct w:val="0"/>
        <w:spacing w:line="460" w:lineRule="exact"/>
        <w:ind w:left="1560" w:firstLine="141"/>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前項受服務人員，指到達該政府機關</w:t>
      </w:r>
      <w:r>
        <w:rPr>
          <w:rFonts w:ascii="標楷體" w:eastAsia="標楷體" w:hAnsi="標楷體"/>
          <w:sz w:val="28"/>
          <w:szCs w:val="28"/>
        </w:rPr>
        <w:t>(</w:t>
      </w:r>
      <w:r>
        <w:rPr>
          <w:rFonts w:ascii="標楷體" w:eastAsia="標楷體" w:hAnsi="標楷體"/>
          <w:sz w:val="28"/>
          <w:szCs w:val="28"/>
        </w:rPr>
        <w:t>構</w:t>
      </w:r>
      <w:r>
        <w:rPr>
          <w:rFonts w:ascii="標楷體" w:eastAsia="標楷體" w:hAnsi="標楷體"/>
          <w:sz w:val="28"/>
          <w:szCs w:val="28"/>
        </w:rPr>
        <w:t>)</w:t>
      </w:r>
      <w:r>
        <w:rPr>
          <w:rFonts w:ascii="標楷體" w:eastAsia="標楷體" w:hAnsi="標楷體"/>
          <w:sz w:val="28"/>
          <w:szCs w:val="28"/>
        </w:rPr>
        <w:t>、部隊、學校、機構或僱用人之處所受服務，且非組織成員或受</w:t>
      </w:r>
      <w:proofErr w:type="gramStart"/>
      <w:r>
        <w:rPr>
          <w:rFonts w:ascii="標楷體" w:eastAsia="標楷體" w:hAnsi="標楷體"/>
          <w:sz w:val="28"/>
          <w:szCs w:val="28"/>
        </w:rPr>
        <w:t>僱</w:t>
      </w:r>
      <w:proofErr w:type="gramEnd"/>
      <w:r>
        <w:rPr>
          <w:rFonts w:ascii="標楷體" w:eastAsia="標楷體" w:hAnsi="標楷體"/>
          <w:sz w:val="28"/>
          <w:szCs w:val="28"/>
        </w:rPr>
        <w:t>人者。</w:t>
      </w:r>
    </w:p>
    <w:p w:rsidR="008C0ABD" w:rsidRDefault="007114D2">
      <w:pPr>
        <w:overflowPunct w:val="0"/>
        <w:spacing w:line="460" w:lineRule="exact"/>
        <w:ind w:left="1560" w:hanging="1560"/>
        <w:jc w:val="both"/>
      </w:pPr>
      <w:r>
        <w:rPr>
          <w:rFonts w:ascii="標楷體" w:eastAsia="標楷體" w:hAnsi="標楷體"/>
          <w:spacing w:val="350"/>
          <w:kern w:val="0"/>
          <w:sz w:val="28"/>
          <w:szCs w:val="28"/>
        </w:rPr>
        <w:t>第九</w:t>
      </w:r>
      <w:r>
        <w:rPr>
          <w:rFonts w:ascii="標楷體" w:eastAsia="標楷體" w:hAnsi="標楷體"/>
          <w:kern w:val="0"/>
          <w:sz w:val="28"/>
          <w:szCs w:val="28"/>
        </w:rPr>
        <w:t>條</w:t>
      </w:r>
      <w:r>
        <w:rPr>
          <w:rFonts w:ascii="標楷體" w:eastAsia="標楷體" w:hAnsi="標楷體"/>
          <w:kern w:val="0"/>
          <w:sz w:val="28"/>
          <w:szCs w:val="28"/>
        </w:rPr>
        <w:t xml:space="preserve">    </w:t>
      </w:r>
      <w:r>
        <w:rPr>
          <w:rFonts w:ascii="標楷體" w:eastAsia="標楷體" w:hAnsi="標楷體"/>
          <w:sz w:val="28"/>
          <w:szCs w:val="28"/>
        </w:rPr>
        <w:t>本法第九條所稱不當之差別待遇，指無正當理由之解僱、降調、減薪或損害其依法所應享有之權益。</w:t>
      </w:r>
    </w:p>
    <w:p w:rsidR="008C0ABD" w:rsidRDefault="007114D2">
      <w:pPr>
        <w:overflowPunct w:val="0"/>
        <w:spacing w:line="460" w:lineRule="exact"/>
        <w:ind w:left="1560" w:hanging="1560"/>
        <w:jc w:val="both"/>
      </w:pPr>
      <w:r>
        <w:rPr>
          <w:rFonts w:ascii="標楷體" w:eastAsia="標楷體" w:hAnsi="標楷體"/>
          <w:spacing w:val="350"/>
          <w:kern w:val="0"/>
          <w:sz w:val="28"/>
          <w:szCs w:val="28"/>
        </w:rPr>
        <w:lastRenderedPageBreak/>
        <w:t>第十</w:t>
      </w:r>
      <w:r>
        <w:rPr>
          <w:rFonts w:ascii="標楷體" w:eastAsia="標楷體" w:hAnsi="標楷體"/>
          <w:kern w:val="0"/>
          <w:sz w:val="28"/>
          <w:szCs w:val="28"/>
        </w:rPr>
        <w:t>條</w:t>
      </w:r>
      <w:r>
        <w:rPr>
          <w:rFonts w:ascii="標楷體" w:eastAsia="標楷體" w:hAnsi="標楷體"/>
          <w:kern w:val="0"/>
          <w:sz w:val="28"/>
          <w:szCs w:val="28"/>
        </w:rPr>
        <w:t xml:space="preserve">    </w:t>
      </w:r>
      <w:r>
        <w:rPr>
          <w:rFonts w:ascii="標楷體" w:eastAsia="標楷體" w:hAnsi="標楷體"/>
          <w:sz w:val="28"/>
          <w:szCs w:val="28"/>
        </w:rPr>
        <w:t>本法第十條第一項所定其他足資識別被害人身分之資訊，包括被害人照片、影像、圖畫、聲音、住址、親屬姓名或其關係、就讀學校、班級、工作場所與</w:t>
      </w:r>
      <w:r>
        <w:rPr>
          <w:rFonts w:ascii="標楷體" w:eastAsia="標楷體" w:hAnsi="標楷體"/>
          <w:sz w:val="28"/>
          <w:szCs w:val="28"/>
        </w:rPr>
        <w:t>名稱或其他得以直接或間接方式識別該被害人個人之資料。</w:t>
      </w:r>
    </w:p>
    <w:p w:rsidR="008C0ABD" w:rsidRDefault="007114D2">
      <w:pPr>
        <w:overflowPunct w:val="0"/>
        <w:spacing w:line="460" w:lineRule="exact"/>
        <w:ind w:left="1560" w:hanging="1560"/>
        <w:jc w:val="both"/>
      </w:pPr>
      <w:r>
        <w:rPr>
          <w:rFonts w:ascii="標楷體" w:eastAsia="標楷體" w:hAnsi="標楷體"/>
          <w:spacing w:val="140"/>
          <w:kern w:val="0"/>
          <w:sz w:val="28"/>
          <w:szCs w:val="28"/>
        </w:rPr>
        <w:t>第十一</w:t>
      </w:r>
      <w:r>
        <w:rPr>
          <w:rFonts w:ascii="標楷體" w:eastAsia="標楷體" w:hAnsi="標楷體"/>
          <w:kern w:val="0"/>
          <w:sz w:val="28"/>
          <w:szCs w:val="28"/>
        </w:rPr>
        <w:t>條</w:t>
      </w:r>
      <w:r>
        <w:rPr>
          <w:rFonts w:ascii="標楷體" w:eastAsia="標楷體" w:hAnsi="標楷體"/>
          <w:kern w:val="0"/>
          <w:sz w:val="28"/>
          <w:szCs w:val="28"/>
        </w:rPr>
        <w:t xml:space="preserve">    </w:t>
      </w:r>
      <w:r>
        <w:rPr>
          <w:rFonts w:ascii="標楷體" w:eastAsia="標楷體" w:hAnsi="標楷體"/>
          <w:sz w:val="28"/>
          <w:szCs w:val="28"/>
        </w:rPr>
        <w:t>本法第十一條所定被害人諮詢協談、心理輔導、法律協助、社會福利資源及其他必要之服務，由被害人居所地之直轄市、縣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主管機關提供，並得因事件個案需要，協調相關單位協助。</w:t>
      </w:r>
    </w:p>
    <w:p w:rsidR="008C0ABD" w:rsidRDefault="007114D2">
      <w:pPr>
        <w:overflowPunct w:val="0"/>
        <w:spacing w:line="460" w:lineRule="exact"/>
        <w:ind w:left="1560" w:hanging="1560"/>
        <w:jc w:val="both"/>
      </w:pPr>
      <w:r>
        <w:rPr>
          <w:rFonts w:ascii="標楷體" w:eastAsia="標楷體" w:hAnsi="標楷體"/>
          <w:spacing w:val="140"/>
          <w:kern w:val="0"/>
          <w:sz w:val="28"/>
          <w:szCs w:val="28"/>
        </w:rPr>
        <w:t>第十二</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本法第十四條所定性騷擾之申訴，得以書面或言詞提出；其以言詞為之者，受理之人員或單位應作成紀錄，經向申訴人朗讀或使閱覽，確認其內容無誤後，由其簽名或蓋章。</w:t>
      </w:r>
    </w:p>
    <w:p w:rsidR="008C0ABD" w:rsidRDefault="007114D2">
      <w:pPr>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以書面提出之申訴或以言詞作成之申訴紀錄</w:t>
      </w:r>
      <w:r>
        <w:rPr>
          <w:rFonts w:ascii="標楷體" w:eastAsia="標楷體" w:hAnsi="標楷體"/>
          <w:sz w:val="28"/>
          <w:szCs w:val="28"/>
        </w:rPr>
        <w:t>(</w:t>
      </w:r>
      <w:r>
        <w:rPr>
          <w:rFonts w:ascii="標楷體" w:eastAsia="標楷體" w:hAnsi="標楷體"/>
          <w:sz w:val="28"/>
          <w:szCs w:val="28"/>
        </w:rPr>
        <w:t>以下</w:t>
      </w:r>
      <w:proofErr w:type="gramStart"/>
      <w:r>
        <w:rPr>
          <w:rFonts w:ascii="標楷體" w:eastAsia="標楷體" w:hAnsi="標楷體"/>
          <w:sz w:val="28"/>
          <w:szCs w:val="28"/>
        </w:rPr>
        <w:t>併</w:t>
      </w:r>
      <w:proofErr w:type="gramEnd"/>
      <w:r>
        <w:rPr>
          <w:rFonts w:ascii="標楷體" w:eastAsia="標楷體" w:hAnsi="標楷體"/>
          <w:sz w:val="28"/>
          <w:szCs w:val="28"/>
        </w:rPr>
        <w:t>稱申訴書</w:t>
      </w:r>
      <w:r>
        <w:rPr>
          <w:rFonts w:ascii="標楷體" w:eastAsia="標楷體" w:hAnsi="標楷體"/>
          <w:sz w:val="28"/>
          <w:szCs w:val="28"/>
        </w:rPr>
        <w:t>)</w:t>
      </w:r>
      <w:r>
        <w:rPr>
          <w:rFonts w:ascii="標楷體" w:eastAsia="標楷體" w:hAnsi="標楷體"/>
          <w:sz w:val="28"/>
          <w:szCs w:val="28"/>
        </w:rPr>
        <w:t>，應載明下列事項：</w:t>
      </w:r>
    </w:p>
    <w:p w:rsidR="008C0ABD" w:rsidRDefault="007114D2">
      <w:pPr>
        <w:tabs>
          <w:tab w:val="left" w:pos="1843"/>
        </w:tabs>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一、申訴人之姓名、性別、出生年月日、身分證明文件編號、服務或就學之單位與職稱、住所或居所及聯絡電話。</w:t>
      </w:r>
    </w:p>
    <w:p w:rsidR="008C0ABD" w:rsidRDefault="007114D2">
      <w:pPr>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二、有法定代理人者，其姓名、性別、出生年月日、身分證明文件編號、職業、住所或居所及聯絡電話。</w:t>
      </w:r>
    </w:p>
    <w:p w:rsidR="008C0ABD" w:rsidRDefault="007114D2">
      <w:pPr>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三、有委任代理人者，其姓名、性別、出生年月日、身分證明文件編號、職業、住所或居所及聯絡電話。</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四、申訴之事實內容及相關證據。</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五、性騷擾事件發生及知悉之時間。</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六、申訴之年月日。</w:t>
      </w:r>
    </w:p>
    <w:p w:rsidR="008C0ABD" w:rsidRDefault="007114D2">
      <w:pPr>
        <w:overflowPunct w:val="0"/>
        <w:spacing w:line="460" w:lineRule="exact"/>
        <w:ind w:left="1120" w:hanging="112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前項第三款規定，申訴人應檢附委任書。</w:t>
      </w:r>
    </w:p>
    <w:p w:rsidR="008C0ABD" w:rsidRDefault="007114D2">
      <w:pPr>
        <w:overflowPunct w:val="0"/>
        <w:spacing w:line="460" w:lineRule="exact"/>
        <w:ind w:left="1560" w:hanging="1560"/>
        <w:jc w:val="both"/>
      </w:pPr>
      <w:r>
        <w:rPr>
          <w:rFonts w:ascii="標楷體" w:eastAsia="標楷體" w:hAnsi="標楷體"/>
          <w:spacing w:val="140"/>
          <w:kern w:val="0"/>
          <w:sz w:val="28"/>
          <w:szCs w:val="28"/>
        </w:rPr>
        <w:t>第十三</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政府機關</w:t>
      </w:r>
      <w:r>
        <w:rPr>
          <w:rFonts w:ascii="標楷體" w:eastAsia="標楷體" w:hAnsi="標楷體"/>
          <w:sz w:val="28"/>
          <w:szCs w:val="28"/>
        </w:rPr>
        <w:t>(</w:t>
      </w:r>
      <w:r>
        <w:rPr>
          <w:rFonts w:ascii="標楷體" w:eastAsia="標楷體" w:hAnsi="標楷體"/>
          <w:sz w:val="28"/>
          <w:szCs w:val="28"/>
        </w:rPr>
        <w:t>構</w:t>
      </w:r>
      <w:r>
        <w:rPr>
          <w:rFonts w:ascii="標楷體" w:eastAsia="標楷體" w:hAnsi="標楷體"/>
          <w:sz w:val="28"/>
          <w:szCs w:val="28"/>
        </w:rPr>
        <w:t>)</w:t>
      </w:r>
      <w:r>
        <w:rPr>
          <w:rFonts w:ascii="標楷體" w:eastAsia="標楷體" w:hAnsi="標楷體"/>
          <w:sz w:val="28"/>
          <w:szCs w:val="28"/>
        </w:rPr>
        <w:t>、部隊、學校、警察機關或直轄市、縣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w:t>
      </w:r>
      <w:r>
        <w:rPr>
          <w:rFonts w:ascii="標楷體" w:eastAsia="標楷體" w:hAnsi="標楷體"/>
          <w:sz w:val="28"/>
          <w:szCs w:val="28"/>
        </w:rPr>
        <w:t>(</w:t>
      </w:r>
      <w:r>
        <w:rPr>
          <w:rFonts w:ascii="標楷體" w:eastAsia="標楷體" w:hAnsi="標楷體"/>
          <w:sz w:val="28"/>
          <w:szCs w:val="28"/>
        </w:rPr>
        <w:t>以下</w:t>
      </w:r>
      <w:proofErr w:type="gramStart"/>
      <w:r>
        <w:rPr>
          <w:rFonts w:ascii="標楷體" w:eastAsia="標楷體" w:hAnsi="標楷體"/>
          <w:sz w:val="28"/>
          <w:szCs w:val="28"/>
        </w:rPr>
        <w:t>併</w:t>
      </w:r>
      <w:proofErr w:type="gramEnd"/>
      <w:r>
        <w:rPr>
          <w:rFonts w:ascii="標楷體" w:eastAsia="標楷體" w:hAnsi="標楷體"/>
          <w:sz w:val="28"/>
          <w:szCs w:val="28"/>
        </w:rPr>
        <w:t>稱受理單位</w:t>
      </w:r>
      <w:r>
        <w:rPr>
          <w:rFonts w:ascii="標楷體" w:eastAsia="標楷體" w:hAnsi="標楷體"/>
          <w:sz w:val="28"/>
          <w:szCs w:val="28"/>
        </w:rPr>
        <w:t>)</w:t>
      </w:r>
      <w:r>
        <w:rPr>
          <w:rFonts w:ascii="標楷體" w:eastAsia="標楷體" w:hAnsi="標楷體"/>
          <w:sz w:val="28"/>
          <w:szCs w:val="28"/>
        </w:rPr>
        <w:t>接獲性騷擾申訴而不具調查權限者，應於接獲申訴之日起十四日內查明並移</w:t>
      </w:r>
      <w:r>
        <w:rPr>
          <w:rFonts w:ascii="標楷體" w:eastAsia="標楷體" w:hAnsi="標楷體"/>
          <w:sz w:val="28"/>
          <w:szCs w:val="28"/>
        </w:rPr>
        <w:lastRenderedPageBreak/>
        <w:t>送具有調查權之受理單位</w:t>
      </w:r>
      <w:r>
        <w:rPr>
          <w:rFonts w:ascii="標楷體" w:eastAsia="標楷體" w:hAnsi="標楷體"/>
          <w:sz w:val="28"/>
          <w:szCs w:val="28"/>
        </w:rPr>
        <w:t>(</w:t>
      </w:r>
      <w:r>
        <w:rPr>
          <w:rFonts w:ascii="標楷體" w:eastAsia="標楷體" w:hAnsi="標楷體"/>
          <w:sz w:val="28"/>
          <w:szCs w:val="28"/>
        </w:rPr>
        <w:t>以下稱調查單位</w:t>
      </w:r>
      <w:r>
        <w:rPr>
          <w:rFonts w:ascii="標楷體" w:eastAsia="標楷體" w:hAnsi="標楷體"/>
          <w:sz w:val="28"/>
          <w:szCs w:val="28"/>
        </w:rPr>
        <w:t>)</w:t>
      </w:r>
      <w:r>
        <w:rPr>
          <w:rFonts w:ascii="標楷體" w:eastAsia="標楷體" w:hAnsi="標楷體"/>
          <w:sz w:val="28"/>
          <w:szCs w:val="28"/>
        </w:rPr>
        <w:t>，未能查明調查單位者，應移送性騷擾事件發生地之警察機關就性騷擾申訴為調查。</w:t>
      </w:r>
    </w:p>
    <w:p w:rsidR="008C0ABD" w:rsidRDefault="007114D2">
      <w:pPr>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前項移送，應以書面通知當事人，並副知直轄市、縣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w:t>
      </w:r>
    </w:p>
    <w:p w:rsidR="008C0ABD" w:rsidRDefault="007114D2">
      <w:pPr>
        <w:overflowPunct w:val="0"/>
        <w:spacing w:line="460" w:lineRule="exact"/>
        <w:ind w:left="1560" w:hanging="1560"/>
        <w:jc w:val="both"/>
      </w:pPr>
      <w:r>
        <w:rPr>
          <w:rFonts w:ascii="標楷體" w:eastAsia="標楷體" w:hAnsi="標楷體"/>
          <w:spacing w:val="140"/>
          <w:kern w:val="0"/>
          <w:sz w:val="28"/>
          <w:szCs w:val="28"/>
        </w:rPr>
        <w:t>第十四</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申訴書不合第十二條規定，而其情形可補正者，受理單位應通知申訴人於十四日內補正。</w:t>
      </w:r>
    </w:p>
    <w:p w:rsidR="008C0ABD" w:rsidRDefault="007114D2">
      <w:pPr>
        <w:tabs>
          <w:tab w:val="left" w:pos="1418"/>
          <w:tab w:val="left" w:pos="1560"/>
          <w:tab w:val="left" w:pos="1701"/>
          <w:tab w:val="left" w:pos="1843"/>
        </w:tabs>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受理單位認性騷擾事件有本法第十四條第五項所定不予受理情形之</w:t>
      </w:r>
      <w:proofErr w:type="gramStart"/>
      <w:r>
        <w:rPr>
          <w:rFonts w:ascii="標楷體" w:eastAsia="標楷體" w:hAnsi="標楷體"/>
          <w:sz w:val="28"/>
          <w:szCs w:val="28"/>
        </w:rPr>
        <w:t>一</w:t>
      </w:r>
      <w:proofErr w:type="gramEnd"/>
      <w:r>
        <w:rPr>
          <w:rFonts w:ascii="標楷體" w:eastAsia="標楷體" w:hAnsi="標楷體"/>
          <w:sz w:val="28"/>
          <w:szCs w:val="28"/>
        </w:rPr>
        <w:t>者，應即移送直轄市、縣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主管機關決定不予受理或應續行調查。</w:t>
      </w:r>
    </w:p>
    <w:p w:rsidR="008C0ABD" w:rsidRDefault="007114D2">
      <w:pPr>
        <w:tabs>
          <w:tab w:val="left" w:pos="1418"/>
          <w:tab w:val="left" w:pos="1560"/>
          <w:tab w:val="left" w:pos="1701"/>
          <w:tab w:val="left" w:pos="1843"/>
        </w:tabs>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主管機關認應續行調查者，應即移送調查單位為本法第十五條第一項之調查。</w:t>
      </w:r>
    </w:p>
    <w:p w:rsidR="008C0ABD" w:rsidRDefault="007114D2">
      <w:pPr>
        <w:overflowPunct w:val="0"/>
        <w:spacing w:line="460" w:lineRule="exact"/>
        <w:ind w:left="1560" w:hanging="1560"/>
        <w:jc w:val="both"/>
      </w:pPr>
      <w:r>
        <w:rPr>
          <w:rFonts w:ascii="標楷體" w:eastAsia="標楷體" w:hAnsi="標楷體"/>
          <w:spacing w:val="140"/>
          <w:kern w:val="0"/>
          <w:sz w:val="28"/>
          <w:szCs w:val="28"/>
        </w:rPr>
        <w:t>第十五</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性騷擾事件之調查人員於調查過程中，有下列各款情形之</w:t>
      </w:r>
      <w:proofErr w:type="gramStart"/>
      <w:r>
        <w:rPr>
          <w:rFonts w:ascii="標楷體" w:eastAsia="標楷體" w:hAnsi="標楷體"/>
          <w:sz w:val="28"/>
          <w:szCs w:val="28"/>
        </w:rPr>
        <w:t>一</w:t>
      </w:r>
      <w:proofErr w:type="gramEnd"/>
      <w:r>
        <w:rPr>
          <w:rFonts w:ascii="標楷體" w:eastAsia="標楷體" w:hAnsi="標楷體"/>
          <w:sz w:val="28"/>
          <w:szCs w:val="28"/>
        </w:rPr>
        <w:t>者，應自行迴避：</w:t>
      </w:r>
    </w:p>
    <w:p w:rsidR="008C0ABD" w:rsidRDefault="007114D2">
      <w:pPr>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一、本人或其配偶、前配偶、四親等內之血親或三親等內之姻親或曾有此關係者為該事件之當事人。</w:t>
      </w:r>
    </w:p>
    <w:p w:rsidR="008C0ABD" w:rsidRDefault="007114D2">
      <w:pPr>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二、本人或其配偶、前配偶，就該事件與當事人有共同權利人或共同義務人之關係。</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三、現為或曾為該事件</w:t>
      </w:r>
      <w:r>
        <w:rPr>
          <w:rFonts w:ascii="標楷體" w:eastAsia="標楷體" w:hAnsi="標楷體"/>
          <w:sz w:val="28"/>
          <w:szCs w:val="28"/>
        </w:rPr>
        <w:t>當事人之代理人、輔佐人。</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四、於該事件，曾為證人、鑑定人。</w:t>
      </w:r>
    </w:p>
    <w:p w:rsidR="008C0ABD" w:rsidRDefault="007114D2">
      <w:pPr>
        <w:tabs>
          <w:tab w:val="left" w:pos="1418"/>
          <w:tab w:val="left" w:pos="1560"/>
          <w:tab w:val="left" w:pos="1701"/>
          <w:tab w:val="left" w:pos="1843"/>
        </w:tabs>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性騷擾事件之調查人員有下列各款情形之一，當事人得申請迴避</w:t>
      </w:r>
      <w:proofErr w:type="gramStart"/>
      <w:r>
        <w:rPr>
          <w:rFonts w:ascii="標楷體" w:eastAsia="標楷體" w:hAnsi="標楷體"/>
          <w:sz w:val="28"/>
          <w:szCs w:val="28"/>
        </w:rPr>
        <w:t>︰</w:t>
      </w:r>
      <w:proofErr w:type="gramEnd"/>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一、有前項所定之情形而</w:t>
      </w:r>
      <w:proofErr w:type="gramStart"/>
      <w:r>
        <w:rPr>
          <w:rFonts w:ascii="標楷體" w:eastAsia="標楷體" w:hAnsi="標楷體"/>
          <w:sz w:val="28"/>
          <w:szCs w:val="28"/>
        </w:rPr>
        <w:t>不</w:t>
      </w:r>
      <w:proofErr w:type="gramEnd"/>
      <w:r>
        <w:rPr>
          <w:rFonts w:ascii="標楷體" w:eastAsia="標楷體" w:hAnsi="標楷體"/>
          <w:sz w:val="28"/>
          <w:szCs w:val="28"/>
        </w:rPr>
        <w:t>自行迴避。</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二、有具體事實，足認其執行調查有偏頗之虞。</w:t>
      </w:r>
    </w:p>
    <w:p w:rsidR="008C0ABD" w:rsidRDefault="007114D2">
      <w:pPr>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前項申請，應舉其原因及事實，向該事件之調查單位為之，並為適當</w:t>
      </w:r>
      <w:proofErr w:type="gramStart"/>
      <w:r>
        <w:rPr>
          <w:rFonts w:ascii="標楷體" w:eastAsia="標楷體" w:hAnsi="標楷體"/>
          <w:sz w:val="28"/>
          <w:szCs w:val="28"/>
        </w:rPr>
        <w:t>之釋明</w:t>
      </w:r>
      <w:proofErr w:type="gramEnd"/>
      <w:r>
        <w:rPr>
          <w:rFonts w:ascii="標楷體" w:eastAsia="標楷體" w:hAnsi="標楷體"/>
          <w:sz w:val="28"/>
          <w:szCs w:val="28"/>
        </w:rPr>
        <w:t>；被申請迴避之調查人員，得提出意見書。</w:t>
      </w:r>
    </w:p>
    <w:p w:rsidR="008C0ABD" w:rsidRDefault="007114D2">
      <w:pPr>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被申請迴避之調查人員，於調查單位為</w:t>
      </w:r>
      <w:proofErr w:type="gramStart"/>
      <w:r>
        <w:rPr>
          <w:rFonts w:ascii="標楷體" w:eastAsia="標楷體" w:hAnsi="標楷體"/>
          <w:sz w:val="28"/>
          <w:szCs w:val="28"/>
        </w:rPr>
        <w:t>准駁前</w:t>
      </w:r>
      <w:proofErr w:type="gramEnd"/>
      <w:r>
        <w:rPr>
          <w:rFonts w:ascii="標楷體" w:eastAsia="標楷體" w:hAnsi="標楷體"/>
          <w:sz w:val="28"/>
          <w:szCs w:val="28"/>
        </w:rPr>
        <w:t>，應停止調查工作。但有急迫情形，仍應為必要處置。</w:t>
      </w:r>
    </w:p>
    <w:p w:rsidR="008C0ABD" w:rsidRDefault="007114D2">
      <w:pPr>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lastRenderedPageBreak/>
        <w:t xml:space="preserve">             </w:t>
      </w:r>
      <w:r>
        <w:rPr>
          <w:rFonts w:ascii="標楷體" w:eastAsia="標楷體" w:hAnsi="標楷體"/>
          <w:sz w:val="28"/>
          <w:szCs w:val="28"/>
        </w:rPr>
        <w:t xml:space="preserve">  </w:t>
      </w:r>
      <w:r>
        <w:rPr>
          <w:rFonts w:ascii="標楷體" w:eastAsia="標楷體" w:hAnsi="標楷體"/>
          <w:sz w:val="28"/>
          <w:szCs w:val="28"/>
        </w:rPr>
        <w:t>調查人員有第一項所定情形</w:t>
      </w:r>
      <w:proofErr w:type="gramStart"/>
      <w:r>
        <w:rPr>
          <w:rFonts w:ascii="標楷體" w:eastAsia="標楷體" w:hAnsi="標楷體"/>
          <w:sz w:val="28"/>
          <w:szCs w:val="28"/>
        </w:rPr>
        <w:t>不</w:t>
      </w:r>
      <w:proofErr w:type="gramEnd"/>
      <w:r>
        <w:rPr>
          <w:rFonts w:ascii="標楷體" w:eastAsia="標楷體" w:hAnsi="標楷體"/>
          <w:sz w:val="28"/>
          <w:szCs w:val="28"/>
        </w:rPr>
        <w:t>自行迴避，且未經當事人申請迴避者，調查</w:t>
      </w:r>
      <w:proofErr w:type="gramStart"/>
      <w:r>
        <w:rPr>
          <w:rFonts w:ascii="標楷體" w:eastAsia="標楷體" w:hAnsi="標楷體"/>
          <w:sz w:val="28"/>
          <w:szCs w:val="28"/>
        </w:rPr>
        <w:t>單位應命其</w:t>
      </w:r>
      <w:proofErr w:type="gramEnd"/>
      <w:r>
        <w:rPr>
          <w:rFonts w:ascii="標楷體" w:eastAsia="標楷體" w:hAnsi="標楷體"/>
          <w:sz w:val="28"/>
          <w:szCs w:val="28"/>
        </w:rPr>
        <w:t>迴避。</w:t>
      </w:r>
    </w:p>
    <w:p w:rsidR="008C0ABD" w:rsidRDefault="007114D2">
      <w:pPr>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主管機關之審議委員或調解委員，有第一項各款情形時，應行迴避。</w:t>
      </w:r>
    </w:p>
    <w:p w:rsidR="008C0ABD" w:rsidRDefault="007114D2">
      <w:pPr>
        <w:overflowPunct w:val="0"/>
        <w:spacing w:line="460" w:lineRule="exact"/>
        <w:ind w:left="1560" w:hanging="1560"/>
        <w:jc w:val="both"/>
      </w:pPr>
      <w:r>
        <w:rPr>
          <w:rFonts w:ascii="標楷體" w:eastAsia="標楷體" w:hAnsi="標楷體"/>
          <w:spacing w:val="140"/>
          <w:kern w:val="0"/>
          <w:sz w:val="28"/>
          <w:szCs w:val="28"/>
        </w:rPr>
        <w:t>第十六</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政府機關</w:t>
      </w:r>
      <w:r>
        <w:rPr>
          <w:rFonts w:ascii="標楷體" w:eastAsia="標楷體" w:hAnsi="標楷體"/>
          <w:sz w:val="28"/>
          <w:szCs w:val="28"/>
        </w:rPr>
        <w:t>(</w:t>
      </w:r>
      <w:r>
        <w:rPr>
          <w:rFonts w:ascii="標楷體" w:eastAsia="標楷體" w:hAnsi="標楷體"/>
          <w:sz w:val="28"/>
          <w:szCs w:val="28"/>
        </w:rPr>
        <w:t>構</w:t>
      </w:r>
      <w:r>
        <w:rPr>
          <w:rFonts w:ascii="標楷體" w:eastAsia="標楷體" w:hAnsi="標楷體"/>
          <w:sz w:val="28"/>
          <w:szCs w:val="28"/>
        </w:rPr>
        <w:t>)</w:t>
      </w:r>
      <w:r>
        <w:rPr>
          <w:rFonts w:ascii="標楷體" w:eastAsia="標楷體" w:hAnsi="標楷體"/>
          <w:sz w:val="28"/>
          <w:szCs w:val="28"/>
        </w:rPr>
        <w:t>、部隊、學校或直轄市、縣（市）主管機關調查性騷擾事件，必要時，得依行政程序法第十九條規定請求警察機關協助。</w:t>
      </w:r>
    </w:p>
    <w:p w:rsidR="008C0ABD" w:rsidRDefault="007114D2">
      <w:pPr>
        <w:tabs>
          <w:tab w:val="left" w:pos="1701"/>
        </w:tabs>
        <w:overflowPunct w:val="0"/>
        <w:spacing w:line="460" w:lineRule="exact"/>
        <w:ind w:left="1560" w:hanging="1560"/>
        <w:jc w:val="both"/>
      </w:pPr>
      <w:r>
        <w:rPr>
          <w:rFonts w:ascii="標楷體" w:eastAsia="標楷體" w:hAnsi="標楷體"/>
          <w:spacing w:val="140"/>
          <w:kern w:val="0"/>
          <w:sz w:val="28"/>
          <w:szCs w:val="28"/>
        </w:rPr>
        <w:t>第十七</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性騷擾事件之當事人或證人有權力不對等之情形時，應避免使其對質。</w:t>
      </w:r>
    </w:p>
    <w:p w:rsidR="008C0ABD" w:rsidRDefault="007114D2">
      <w:pPr>
        <w:tabs>
          <w:tab w:val="left" w:pos="1560"/>
          <w:tab w:val="left" w:pos="1701"/>
          <w:tab w:val="left" w:pos="1843"/>
        </w:tabs>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調查人員因調查之必要，得於不違反保密義務範圍內另作成書面資料，交由當事人</w:t>
      </w:r>
      <w:proofErr w:type="gramStart"/>
      <w:r>
        <w:rPr>
          <w:rFonts w:ascii="標楷體" w:eastAsia="標楷體" w:hAnsi="標楷體"/>
          <w:sz w:val="28"/>
          <w:szCs w:val="28"/>
        </w:rPr>
        <w:t>閱覽或告以</w:t>
      </w:r>
      <w:proofErr w:type="gramEnd"/>
      <w:r>
        <w:rPr>
          <w:rFonts w:ascii="標楷體" w:eastAsia="標楷體" w:hAnsi="標楷體"/>
          <w:sz w:val="28"/>
          <w:szCs w:val="28"/>
        </w:rPr>
        <w:t>要旨。</w:t>
      </w:r>
    </w:p>
    <w:p w:rsidR="008C0ABD" w:rsidRDefault="007114D2">
      <w:pPr>
        <w:overflowPunct w:val="0"/>
        <w:spacing w:line="460" w:lineRule="exact"/>
        <w:ind w:left="1560" w:hanging="1560"/>
        <w:jc w:val="both"/>
      </w:pPr>
      <w:r>
        <w:rPr>
          <w:rFonts w:ascii="標楷體" w:eastAsia="標楷體" w:hAnsi="標楷體"/>
          <w:spacing w:val="140"/>
          <w:kern w:val="0"/>
          <w:sz w:val="28"/>
          <w:szCs w:val="28"/>
        </w:rPr>
        <w:t>第十八</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調查單位依本法所為調查報告及處理建議，應載明下列事項：</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一、性騷擾事件之案由，包括當事人之敘述。</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二、調查訪談過程紀錄，包括日期及對象。</w:t>
      </w:r>
    </w:p>
    <w:p w:rsidR="008C0ABD" w:rsidRDefault="007114D2">
      <w:pPr>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三、申訴人、證人與相關人士、被申訴人之陳述及答辯。</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四、相關物證之查驗。</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五、性騷擾事件調查結果及處理建議。</w:t>
      </w:r>
    </w:p>
    <w:p w:rsidR="008C0ABD" w:rsidRDefault="007114D2">
      <w:pPr>
        <w:overflowPunct w:val="0"/>
        <w:spacing w:line="460" w:lineRule="exact"/>
        <w:ind w:left="1560" w:hanging="1560"/>
        <w:jc w:val="both"/>
      </w:pPr>
      <w:r>
        <w:rPr>
          <w:rFonts w:ascii="標楷體" w:eastAsia="標楷體" w:hAnsi="標楷體"/>
          <w:spacing w:val="140"/>
          <w:kern w:val="0"/>
          <w:sz w:val="28"/>
          <w:szCs w:val="28"/>
        </w:rPr>
        <w:t>第十九</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主管機關接獲性騷擾事件調查報告及處理建議，與相關書表資料後，認有補正之必要者，應通知該事件調查單位補正。</w:t>
      </w:r>
    </w:p>
    <w:p w:rsidR="008C0ABD" w:rsidRDefault="007114D2">
      <w:pPr>
        <w:overflowPunct w:val="0"/>
        <w:spacing w:line="460" w:lineRule="exact"/>
        <w:ind w:left="1120" w:hanging="112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前項調查單位，應於收受通知後十四日內補正。</w:t>
      </w:r>
    </w:p>
    <w:p w:rsidR="008C0ABD" w:rsidRDefault="007114D2">
      <w:pPr>
        <w:overflowPunct w:val="0"/>
        <w:spacing w:line="460" w:lineRule="exact"/>
        <w:ind w:left="1560" w:hanging="1560"/>
        <w:jc w:val="both"/>
      </w:pPr>
      <w:r>
        <w:rPr>
          <w:rFonts w:ascii="標楷體" w:eastAsia="標楷體" w:hAnsi="標楷體"/>
          <w:spacing w:val="140"/>
          <w:kern w:val="0"/>
          <w:sz w:val="28"/>
          <w:szCs w:val="28"/>
        </w:rPr>
        <w:t>第二十</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本法第十六條第一項所定有必要重行調查者，指下列情形之</w:t>
      </w:r>
      <w:proofErr w:type="gramStart"/>
      <w:r>
        <w:rPr>
          <w:rFonts w:ascii="標楷體" w:eastAsia="標楷體" w:hAnsi="標楷體"/>
          <w:sz w:val="28"/>
          <w:szCs w:val="28"/>
        </w:rPr>
        <w:t>一</w:t>
      </w:r>
      <w:proofErr w:type="gramEnd"/>
      <w:r>
        <w:rPr>
          <w:rFonts w:ascii="標楷體" w:eastAsia="標楷體" w:hAnsi="標楷體"/>
          <w:sz w:val="28"/>
          <w:szCs w:val="28"/>
        </w:rPr>
        <w:t>：</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一、調查程序有重大瑕疵。</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二、有足以影響原調查認定之新事實、新證據。</w:t>
      </w:r>
    </w:p>
    <w:p w:rsidR="008C0ABD" w:rsidRDefault="007114D2">
      <w:pPr>
        <w:overflowPunct w:val="0"/>
        <w:spacing w:line="460" w:lineRule="exact"/>
        <w:ind w:left="2240" w:hanging="113"/>
        <w:jc w:val="both"/>
        <w:rPr>
          <w:rFonts w:ascii="標楷體" w:eastAsia="標楷體" w:hAnsi="標楷體"/>
          <w:sz w:val="28"/>
          <w:szCs w:val="28"/>
        </w:rPr>
      </w:pPr>
      <w:r>
        <w:rPr>
          <w:rFonts w:ascii="標楷體" w:eastAsia="標楷體" w:hAnsi="標楷體"/>
          <w:sz w:val="28"/>
          <w:szCs w:val="28"/>
        </w:rPr>
        <w:t>三、其他性騷擾防治審議會認有必要重行調查之原因。</w:t>
      </w:r>
    </w:p>
    <w:p w:rsidR="008C0ABD" w:rsidRDefault="007114D2">
      <w:pPr>
        <w:overflowPunct w:val="0"/>
        <w:spacing w:line="460" w:lineRule="exact"/>
        <w:ind w:left="1560" w:hanging="156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前項重行調查應於二個月內調查完成；必要時，得延</w:t>
      </w:r>
      <w:r>
        <w:rPr>
          <w:rFonts w:ascii="標楷體" w:eastAsia="標楷體" w:hAnsi="標楷體"/>
          <w:sz w:val="28"/>
          <w:szCs w:val="28"/>
        </w:rPr>
        <w:lastRenderedPageBreak/>
        <w:t>長一個月，並通知當事人。</w:t>
      </w:r>
    </w:p>
    <w:p w:rsidR="008C0ABD" w:rsidRDefault="007114D2">
      <w:pPr>
        <w:overflowPunct w:val="0"/>
        <w:spacing w:line="460" w:lineRule="exact"/>
        <w:ind w:left="1560" w:hanging="1560"/>
        <w:jc w:val="both"/>
      </w:pPr>
      <w:r>
        <w:rPr>
          <w:rFonts w:ascii="標楷體" w:eastAsia="標楷體" w:hAnsi="標楷體"/>
          <w:spacing w:val="35"/>
          <w:kern w:val="0"/>
          <w:sz w:val="28"/>
          <w:szCs w:val="28"/>
        </w:rPr>
        <w:t>第二十一</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行為人無正當理由規避、妨礙或拒絕提供資料者，政府機關</w:t>
      </w:r>
      <w:r>
        <w:rPr>
          <w:rFonts w:ascii="標楷體" w:eastAsia="標楷體" w:hAnsi="標楷體"/>
          <w:sz w:val="28"/>
          <w:szCs w:val="28"/>
        </w:rPr>
        <w:t>(</w:t>
      </w:r>
      <w:r>
        <w:rPr>
          <w:rFonts w:ascii="標楷體" w:eastAsia="標楷體" w:hAnsi="標楷體"/>
          <w:sz w:val="28"/>
          <w:szCs w:val="28"/>
        </w:rPr>
        <w:t>構</w:t>
      </w:r>
      <w:r>
        <w:rPr>
          <w:rFonts w:ascii="標楷體" w:eastAsia="標楷體" w:hAnsi="標楷體"/>
          <w:sz w:val="28"/>
          <w:szCs w:val="28"/>
        </w:rPr>
        <w:t>)</w:t>
      </w:r>
      <w:r>
        <w:rPr>
          <w:rFonts w:ascii="標楷體" w:eastAsia="標楷體" w:hAnsi="標楷體"/>
          <w:sz w:val="28"/>
          <w:szCs w:val="28"/>
        </w:rPr>
        <w:t>、部隊、學校、警察機關，應通知直轄市、縣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主管機關依本法第三十</w:t>
      </w:r>
      <w:r>
        <w:rPr>
          <w:rFonts w:ascii="標楷體" w:eastAsia="標楷體" w:hAnsi="標楷體"/>
          <w:sz w:val="28"/>
          <w:szCs w:val="28"/>
        </w:rPr>
        <w:t>條辦理。</w:t>
      </w:r>
    </w:p>
    <w:p w:rsidR="008C0ABD" w:rsidRDefault="007114D2">
      <w:pPr>
        <w:overflowPunct w:val="0"/>
        <w:spacing w:line="460" w:lineRule="exact"/>
        <w:ind w:left="1560" w:hanging="1560"/>
        <w:jc w:val="both"/>
      </w:pPr>
      <w:r>
        <w:rPr>
          <w:rFonts w:ascii="標楷體" w:eastAsia="標楷體" w:hAnsi="標楷體"/>
          <w:spacing w:val="35"/>
          <w:kern w:val="0"/>
          <w:sz w:val="28"/>
          <w:szCs w:val="28"/>
        </w:rPr>
        <w:t>第二十二</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調解委員不得以強暴、脅迫、恐嚇或詐術進行調解、阻止起訴、告訴或自訴，或有其他涉嫌犯罪之行為。</w:t>
      </w:r>
    </w:p>
    <w:p w:rsidR="008C0ABD" w:rsidRDefault="007114D2">
      <w:pPr>
        <w:overflowPunct w:val="0"/>
        <w:spacing w:line="460" w:lineRule="exact"/>
        <w:ind w:left="1560" w:hanging="1560"/>
        <w:jc w:val="both"/>
      </w:pPr>
      <w:r>
        <w:rPr>
          <w:rFonts w:ascii="標楷體" w:eastAsia="標楷體" w:hAnsi="標楷體"/>
          <w:spacing w:val="35"/>
          <w:kern w:val="0"/>
          <w:sz w:val="28"/>
          <w:szCs w:val="28"/>
        </w:rPr>
        <w:t>第二十三</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依本法第十八條申請調解者，於調解</w:t>
      </w:r>
      <w:proofErr w:type="gramStart"/>
      <w:r>
        <w:rPr>
          <w:rFonts w:ascii="標楷體" w:eastAsia="標楷體" w:hAnsi="標楷體"/>
          <w:sz w:val="28"/>
          <w:szCs w:val="28"/>
        </w:rPr>
        <w:t>期間，</w:t>
      </w:r>
      <w:proofErr w:type="gramEnd"/>
      <w:r>
        <w:rPr>
          <w:rFonts w:ascii="標楷體" w:eastAsia="標楷體" w:hAnsi="標楷體"/>
          <w:sz w:val="28"/>
          <w:szCs w:val="28"/>
        </w:rPr>
        <w:t>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主管機關依被害人請求停止調查時，應通知調查單位停止調查。</w:t>
      </w:r>
    </w:p>
    <w:p w:rsidR="008C0ABD" w:rsidRDefault="007114D2">
      <w:pPr>
        <w:overflowPunct w:val="0"/>
        <w:spacing w:line="460" w:lineRule="exact"/>
        <w:ind w:left="1560" w:hanging="1560"/>
        <w:jc w:val="both"/>
      </w:pPr>
      <w:r>
        <w:rPr>
          <w:rFonts w:ascii="標楷體" w:eastAsia="標楷體" w:hAnsi="標楷體"/>
          <w:spacing w:val="35"/>
          <w:kern w:val="0"/>
          <w:sz w:val="28"/>
          <w:szCs w:val="28"/>
        </w:rPr>
        <w:t>第二十四</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本法第二十六條所稱目的事業主管機關，指下列機關：</w:t>
      </w:r>
    </w:p>
    <w:p w:rsidR="008C0ABD" w:rsidRDefault="007114D2">
      <w:pPr>
        <w:overflowPunct w:val="0"/>
        <w:spacing w:line="460" w:lineRule="exact"/>
        <w:ind w:left="1701" w:firstLine="426"/>
        <w:jc w:val="both"/>
        <w:rPr>
          <w:rFonts w:ascii="標楷體" w:eastAsia="標楷體" w:hAnsi="標楷體"/>
          <w:sz w:val="28"/>
          <w:szCs w:val="28"/>
        </w:rPr>
      </w:pPr>
      <w:r>
        <w:rPr>
          <w:rFonts w:ascii="標楷體" w:eastAsia="標楷體" w:hAnsi="標楷體"/>
          <w:sz w:val="28"/>
          <w:szCs w:val="28"/>
        </w:rPr>
        <w:t>一、廣播、電視事業：國家通訊傳播委員會。</w:t>
      </w:r>
    </w:p>
    <w:p w:rsidR="008C0ABD" w:rsidRDefault="007114D2">
      <w:pPr>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二、宣傳品、出版品、網際網路或其他媒體：被害人居所地之直轄市、縣（市）主管機關。</w:t>
      </w:r>
    </w:p>
    <w:p w:rsidR="008C0ABD" w:rsidRDefault="007114D2">
      <w:pPr>
        <w:overflowPunct w:val="0"/>
        <w:spacing w:line="460" w:lineRule="exact"/>
        <w:ind w:left="1560" w:hanging="1560"/>
        <w:jc w:val="both"/>
      </w:pPr>
      <w:r>
        <w:rPr>
          <w:rFonts w:ascii="標楷體" w:eastAsia="標楷體" w:hAnsi="標楷體"/>
          <w:spacing w:val="35"/>
          <w:kern w:val="0"/>
          <w:sz w:val="28"/>
          <w:szCs w:val="28"/>
        </w:rPr>
        <w:t>第二十五</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本法第六章所稱直轄市、縣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主管機關，指下列機關：</w:t>
      </w:r>
    </w:p>
    <w:p w:rsidR="008C0ABD" w:rsidRDefault="007114D2">
      <w:pPr>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一、本法第二十六條第四項及第五項</w:t>
      </w:r>
      <w:r>
        <w:rPr>
          <w:rFonts w:ascii="標楷體" w:eastAsia="標楷體" w:hAnsi="標楷體"/>
          <w:sz w:val="28"/>
          <w:szCs w:val="28"/>
        </w:rPr>
        <w:t>:</w:t>
      </w:r>
      <w:r>
        <w:rPr>
          <w:rFonts w:ascii="標楷體" w:eastAsia="標楷體" w:hAnsi="標楷體"/>
          <w:sz w:val="28"/>
          <w:szCs w:val="28"/>
        </w:rPr>
        <w:t>被害人居所地之直轄市、縣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w:t>
      </w:r>
    </w:p>
    <w:p w:rsidR="008C0ABD" w:rsidRDefault="007114D2">
      <w:pPr>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二、本法第二十七條、第二十九條及第三十條</w:t>
      </w:r>
      <w:r>
        <w:rPr>
          <w:rFonts w:ascii="標楷體" w:eastAsia="標楷體" w:hAnsi="標楷體"/>
          <w:sz w:val="28"/>
          <w:szCs w:val="28"/>
        </w:rPr>
        <w:t>:</w:t>
      </w:r>
      <w:r>
        <w:rPr>
          <w:rFonts w:ascii="標楷體" w:eastAsia="標楷體" w:hAnsi="標楷體"/>
          <w:sz w:val="28"/>
          <w:szCs w:val="28"/>
        </w:rPr>
        <w:t>性騷擾事件調查單位所在地之直轄市、縣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w:t>
      </w:r>
    </w:p>
    <w:p w:rsidR="008C0ABD" w:rsidRDefault="007114D2">
      <w:pPr>
        <w:overflowPunct w:val="0"/>
        <w:spacing w:line="460" w:lineRule="exact"/>
        <w:ind w:left="2694" w:hanging="567"/>
        <w:jc w:val="both"/>
        <w:rPr>
          <w:rFonts w:ascii="標楷體" w:eastAsia="標楷體" w:hAnsi="標楷體"/>
          <w:sz w:val="28"/>
          <w:szCs w:val="28"/>
        </w:rPr>
      </w:pPr>
      <w:r>
        <w:rPr>
          <w:rFonts w:ascii="標楷體" w:eastAsia="標楷體" w:hAnsi="標楷體"/>
          <w:sz w:val="28"/>
          <w:szCs w:val="28"/>
        </w:rPr>
        <w:t>三、本法第二十八條</w:t>
      </w:r>
      <w:r>
        <w:rPr>
          <w:rFonts w:ascii="標楷體" w:eastAsia="標楷體" w:hAnsi="標楷體"/>
          <w:sz w:val="28"/>
          <w:szCs w:val="28"/>
        </w:rPr>
        <w:t>:</w:t>
      </w:r>
      <w:r>
        <w:rPr>
          <w:rFonts w:ascii="標楷體" w:eastAsia="標楷體" w:hAnsi="標楷體"/>
          <w:sz w:val="28"/>
          <w:szCs w:val="28"/>
        </w:rPr>
        <w:t>該政府機關</w:t>
      </w:r>
      <w:r>
        <w:rPr>
          <w:rFonts w:ascii="標楷體" w:eastAsia="標楷體" w:hAnsi="標楷體"/>
          <w:sz w:val="28"/>
          <w:szCs w:val="28"/>
        </w:rPr>
        <w:t>(</w:t>
      </w:r>
      <w:r>
        <w:rPr>
          <w:rFonts w:ascii="標楷體" w:eastAsia="標楷體" w:hAnsi="標楷體"/>
          <w:sz w:val="28"/>
          <w:szCs w:val="28"/>
        </w:rPr>
        <w:t>構</w:t>
      </w:r>
      <w:r>
        <w:rPr>
          <w:rFonts w:ascii="標楷體" w:eastAsia="標楷體" w:hAnsi="標楷體"/>
          <w:sz w:val="28"/>
          <w:szCs w:val="28"/>
        </w:rPr>
        <w:t>)</w:t>
      </w:r>
      <w:r>
        <w:rPr>
          <w:rFonts w:ascii="標楷體" w:eastAsia="標楷體" w:hAnsi="標楷體"/>
          <w:sz w:val="28"/>
          <w:szCs w:val="28"/>
        </w:rPr>
        <w:t>、部隊、學校、機構或僱用人所在地之直轄市、縣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主管機關。</w:t>
      </w:r>
    </w:p>
    <w:p w:rsidR="008C0ABD" w:rsidRDefault="007114D2">
      <w:pPr>
        <w:overflowPunct w:val="0"/>
        <w:spacing w:line="460" w:lineRule="exact"/>
        <w:ind w:left="1120" w:hanging="1120"/>
        <w:jc w:val="both"/>
      </w:pPr>
      <w:r>
        <w:rPr>
          <w:rFonts w:ascii="標楷體" w:eastAsia="標楷體" w:hAnsi="標楷體"/>
          <w:spacing w:val="35"/>
          <w:kern w:val="0"/>
          <w:sz w:val="28"/>
          <w:szCs w:val="28"/>
        </w:rPr>
        <w:t>第二十六</w:t>
      </w:r>
      <w:r>
        <w:rPr>
          <w:rFonts w:ascii="標楷體" w:eastAsia="標楷體" w:hAnsi="標楷體"/>
          <w:kern w:val="0"/>
          <w:sz w:val="28"/>
          <w:szCs w:val="28"/>
        </w:rPr>
        <w:t>條</w:t>
      </w:r>
      <w:r>
        <w:rPr>
          <w:rFonts w:ascii="標楷體" w:eastAsia="標楷體" w:hAnsi="標楷體"/>
          <w:sz w:val="28"/>
          <w:szCs w:val="28"/>
        </w:rPr>
        <w:t xml:space="preserve">    </w:t>
      </w:r>
      <w:r>
        <w:rPr>
          <w:rFonts w:ascii="標楷體" w:eastAsia="標楷體" w:hAnsi="標楷體"/>
          <w:sz w:val="28"/>
          <w:szCs w:val="28"/>
        </w:rPr>
        <w:t>本細則自發布日施行。</w:t>
      </w:r>
    </w:p>
    <w:sectPr w:rsidR="008C0ABD">
      <w:headerReference w:type="even" r:id="rId6"/>
      <w:headerReference w:type="default" r:id="rId7"/>
      <w:footerReference w:type="even" r:id="rId8"/>
      <w:footerReference w:type="default" r:id="rId9"/>
      <w:headerReference w:type="first" r:id="rId10"/>
      <w:footerReference w:type="first" r:id="rId11"/>
      <w:pgSz w:w="11906" w:h="16838"/>
      <w:pgMar w:top="1440" w:right="1558" w:bottom="1440" w:left="1800" w:header="851" w:footer="992" w:gutter="0"/>
      <w:cols w:space="720"/>
      <w:docGrid w:type="lines" w:linePitch="93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14D2">
      <w:r>
        <w:separator/>
      </w:r>
    </w:p>
  </w:endnote>
  <w:endnote w:type="continuationSeparator" w:id="0">
    <w:p w:rsidR="00000000" w:rsidRDefault="00711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8FD" w:rsidRDefault="001258F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7E4" w:rsidRPr="007114D2" w:rsidRDefault="007114D2">
    <w:pPr>
      <w:pStyle w:val="a5"/>
      <w:jc w:val="center"/>
      <w:rPr>
        <w:rFonts w:ascii="Times New Roman" w:hAnsi="Times New Roman"/>
      </w:rPr>
    </w:pPr>
    <w:r w:rsidRPr="007114D2">
      <w:rPr>
        <w:rFonts w:ascii="Times New Roman" w:hAnsi="Times New Roman"/>
        <w:lang w:val="zh-TW"/>
      </w:rPr>
      <w:fldChar w:fldCharType="begin"/>
    </w:r>
    <w:r w:rsidRPr="007114D2">
      <w:rPr>
        <w:rFonts w:ascii="Times New Roman" w:hAnsi="Times New Roman"/>
        <w:lang w:val="zh-TW"/>
      </w:rPr>
      <w:instrText xml:space="preserve"> PAGE </w:instrText>
    </w:r>
    <w:r w:rsidRPr="007114D2">
      <w:rPr>
        <w:rFonts w:ascii="Times New Roman" w:hAnsi="Times New Roman"/>
        <w:lang w:val="zh-TW"/>
      </w:rPr>
      <w:fldChar w:fldCharType="separate"/>
    </w:r>
    <w:r>
      <w:rPr>
        <w:rFonts w:ascii="Times New Roman" w:hAnsi="Times New Roman"/>
        <w:noProof/>
        <w:lang w:val="zh-TW"/>
      </w:rPr>
      <w:t>1</w:t>
    </w:r>
    <w:r w:rsidRPr="007114D2">
      <w:rPr>
        <w:rFonts w:ascii="Times New Roman" w:hAnsi="Times New Roman"/>
        <w:lang w:val="zh-TW"/>
      </w:rPr>
      <w:fldChar w:fldCharType="end"/>
    </w:r>
  </w:p>
  <w:p w:rsidR="00DD67E4" w:rsidRDefault="007114D2">
    <w:pPr>
      <w:pStyle w:val="a5"/>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8FD" w:rsidRDefault="001258F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14D2">
      <w:r>
        <w:rPr>
          <w:color w:val="000000"/>
        </w:rPr>
        <w:separator/>
      </w:r>
    </w:p>
  </w:footnote>
  <w:footnote w:type="continuationSeparator" w:id="0">
    <w:p w:rsidR="00000000" w:rsidRDefault="00711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8FD" w:rsidRDefault="001258F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8FD" w:rsidRDefault="001258FD">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8FD" w:rsidRDefault="001258F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8C0ABD"/>
    <w:rsid w:val="001258FD"/>
    <w:rsid w:val="007114D2"/>
    <w:rsid w:val="008C0ABD"/>
    <w:rsid w:val="00ED1D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a7">
    <w:name w:val="Salutation"/>
    <w:basedOn w:val="a"/>
    <w:next w:val="a"/>
    <w:rPr>
      <w:rFonts w:ascii="標楷體" w:eastAsia="標楷體" w:hAnsi="標楷體"/>
      <w:spacing w:val="70"/>
      <w:kern w:val="0"/>
      <w:sz w:val="28"/>
      <w:szCs w:val="28"/>
    </w:rPr>
  </w:style>
  <w:style w:type="character" w:customStyle="1" w:styleId="a8">
    <w:name w:val="問候 字元"/>
    <w:basedOn w:val="a0"/>
    <w:rPr>
      <w:rFonts w:ascii="標楷體" w:eastAsia="標楷體" w:hAnsi="標楷體"/>
      <w:spacing w:val="70"/>
      <w:kern w:val="0"/>
      <w:sz w:val="28"/>
      <w:szCs w:val="28"/>
    </w:rPr>
  </w:style>
  <w:style w:type="paragraph" w:styleId="a9">
    <w:name w:val="Closing"/>
    <w:basedOn w:val="a"/>
    <w:pPr>
      <w:ind w:left="100"/>
    </w:pPr>
    <w:rPr>
      <w:rFonts w:ascii="標楷體" w:eastAsia="標楷體" w:hAnsi="標楷體"/>
      <w:spacing w:val="70"/>
      <w:kern w:val="0"/>
      <w:sz w:val="28"/>
      <w:szCs w:val="28"/>
    </w:rPr>
  </w:style>
  <w:style w:type="character" w:customStyle="1" w:styleId="aa">
    <w:name w:val="結語 字元"/>
    <w:basedOn w:val="a0"/>
    <w:rPr>
      <w:rFonts w:ascii="標楷體" w:eastAsia="標楷體" w:hAnsi="標楷體"/>
      <w:spacing w:val="70"/>
      <w:kern w:val="0"/>
      <w:sz w:val="28"/>
      <w:szCs w:val="28"/>
    </w:rPr>
  </w:style>
  <w:style w:type="paragraph" w:styleId="ab">
    <w:name w:val="Balloon Text"/>
    <w:basedOn w:val="a"/>
    <w:rPr>
      <w:rFonts w:ascii="Calibri Light" w:hAnsi="Calibri Light"/>
      <w:sz w:val="18"/>
      <w:szCs w:val="18"/>
    </w:rPr>
  </w:style>
  <w:style w:type="character" w:customStyle="1" w:styleId="ac">
    <w:name w:val="註解方塊文字 字元"/>
    <w:basedOn w:val="a0"/>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452</Words>
  <Characters>2579</Characters>
  <Application>Microsoft Office Word</Application>
  <DocSecurity>0</DocSecurity>
  <Lines>21</Lines>
  <Paragraphs>6</Paragraphs>
  <ScaleCrop>false</ScaleCrop>
  <Company/>
  <LinksUpToDate>false</LinksUpToDate>
  <CharactersWithSpaces>3025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2024-03-06T01:51:00Z</dcterms:created>
  <dcterms:modified xsi:type="dcterms:W3CDTF">2024-03-06T01:52:00Z</dcterms:modified>
  <cp:contentStatus>完稿</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