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4A" w:rsidRDefault="004D725A">
      <w:pPr>
        <w:pStyle w:val="Textbody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附表</w:t>
      </w:r>
      <w:r>
        <w:rPr>
          <w:rFonts w:ascii="標楷體" w:eastAsia="標楷體" w:hAnsi="標楷體"/>
          <w:b/>
          <w:sz w:val="36"/>
        </w:rPr>
        <w:t>1</w:t>
      </w:r>
      <w:r>
        <w:rPr>
          <w:rFonts w:ascii="標楷體" w:eastAsia="標楷體" w:hAnsi="標楷體"/>
          <w:b/>
          <w:sz w:val="36"/>
        </w:rPr>
        <w:t>、衛生福利部鬆綁成果</w:t>
      </w:r>
    </w:p>
    <w:tbl>
      <w:tblPr>
        <w:tblW w:w="14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853"/>
        <w:gridCol w:w="2242"/>
        <w:gridCol w:w="2127"/>
        <w:gridCol w:w="2693"/>
        <w:gridCol w:w="2282"/>
      </w:tblGrid>
      <w:tr w:rsidR="009B5F4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修正規定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條號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鬆綁效益</w:t>
            </w:r>
          </w:p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包括修正前之影響對象及修正後之受惠對象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發布日期</w:t>
            </w:r>
          </w:p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發布網址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B5F4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嚴重特殊傳染性肺炎隔離及檢疫期間防疫補償辦法第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條、第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條</w:t>
            </w:r>
          </w:p>
          <w:p w:rsidR="009B5F4A" w:rsidRDefault="009B5F4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法源依據：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嚴重特殊傳染性肺炎防治及紓困振興特別條例第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項第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款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本辦法之適用對象如下：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經各級衛生主管機關認定應接受居家隔離、居家檢疫、集中隔離或集中檢疫者。但未遵守中央流行疫情指揮中心所實施防疫之措施者，不適用之。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</w:r>
          </w:p>
          <w:p w:rsidR="009B5F4A" w:rsidRDefault="009B5F4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>9</w:t>
            </w:r>
            <w:r>
              <w:rPr>
                <w:rFonts w:ascii="標楷體" w:eastAsia="標楷體" w:hAnsi="標楷體"/>
                <w:b/>
                <w:szCs w:val="24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項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本辦法中華民國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日修正發布之第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條，自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日施行。</w:t>
            </w:r>
            <w:r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項第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款</w:t>
            </w: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本辦法之適用對象如下：</w:t>
            </w:r>
          </w:p>
          <w:p w:rsidR="009B5F4A" w:rsidRDefault="004D725A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4"/>
              </w:rPr>
              <w:t>經各級衛生主管機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關認定應接受居家隔離</w:t>
            </w:r>
            <w:r>
              <w:rPr>
                <w:rFonts w:ascii="標楷體" w:eastAsia="標楷體" w:hAnsi="標楷體"/>
                <w:szCs w:val="24"/>
                <w:u w:val="single"/>
              </w:rPr>
              <w:t>(</w:t>
            </w:r>
            <w:r>
              <w:rPr>
                <w:rFonts w:ascii="標楷體" w:eastAsia="標楷體" w:hAnsi="標楷體"/>
                <w:szCs w:val="24"/>
                <w:u w:val="single"/>
              </w:rPr>
              <w:t>含指定處所居家隔離</w:t>
            </w:r>
            <w:r>
              <w:rPr>
                <w:rFonts w:ascii="標楷體" w:eastAsia="標楷體" w:hAnsi="標楷體"/>
                <w:szCs w:val="24"/>
                <w:u w:val="single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、居家檢疫、集中隔離或集中檢疫者。但未遵守中央流行疫情指揮中心所實施防疫之措施者，不適用之。</w:t>
            </w:r>
            <w:r>
              <w:rPr>
                <w:rFonts w:ascii="標楷體" w:eastAsia="標楷體" w:hAnsi="標楷體"/>
                <w:szCs w:val="24"/>
              </w:rPr>
              <w:br/>
            </w: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>9</w:t>
            </w:r>
            <w:r>
              <w:rPr>
                <w:rFonts w:ascii="標楷體" w:eastAsia="標楷體" w:hAnsi="標楷體"/>
                <w:b/>
                <w:szCs w:val="24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項</w:t>
            </w:r>
          </w:p>
          <w:p w:rsidR="009B5F4A" w:rsidRDefault="004D725A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4"/>
              </w:rPr>
              <w:t>本辦法中華民國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日修正發布之第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條，自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日施行；</w:t>
            </w:r>
            <w:r>
              <w:rPr>
                <w:rFonts w:ascii="標楷體" w:eastAsia="標楷體" w:hAnsi="標楷體"/>
                <w:szCs w:val="24"/>
                <w:u w:val="single"/>
              </w:rPr>
              <w:t>110</w:t>
            </w:r>
            <w:r>
              <w:rPr>
                <w:rFonts w:ascii="標楷體" w:eastAsia="標楷體" w:hAnsi="標楷體"/>
                <w:szCs w:val="24"/>
                <w:u w:val="single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>10</w:t>
            </w:r>
            <w:r>
              <w:rPr>
                <w:rFonts w:ascii="標楷體" w:eastAsia="標楷體" w:hAnsi="標楷體"/>
                <w:szCs w:val="24"/>
                <w:u w:val="single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>19</w:t>
            </w:r>
            <w:r>
              <w:rPr>
                <w:rFonts w:ascii="標楷體" w:eastAsia="標楷體" w:hAnsi="標楷體"/>
                <w:szCs w:val="24"/>
                <w:u w:val="single"/>
              </w:rPr>
              <w:t>日修正發布之第</w:t>
            </w:r>
            <w:r>
              <w:rPr>
                <w:rFonts w:ascii="標楷體" w:eastAsia="標楷體" w:hAnsi="標楷體"/>
                <w:szCs w:val="24"/>
                <w:u w:val="single"/>
              </w:rPr>
              <w:t>2</w:t>
            </w:r>
            <w:r>
              <w:rPr>
                <w:rFonts w:ascii="標楷體" w:eastAsia="標楷體" w:hAnsi="標楷體"/>
                <w:szCs w:val="24"/>
                <w:u w:val="single"/>
              </w:rPr>
              <w:t>條，自</w:t>
            </w:r>
            <w:r>
              <w:rPr>
                <w:rFonts w:ascii="標楷體" w:eastAsia="標楷體" w:hAnsi="標楷體"/>
                <w:szCs w:val="24"/>
                <w:u w:val="single"/>
              </w:rPr>
              <w:t>110</w:t>
            </w:r>
            <w:r>
              <w:rPr>
                <w:rFonts w:ascii="標楷體" w:eastAsia="標楷體" w:hAnsi="標楷體"/>
                <w:szCs w:val="24"/>
                <w:u w:val="single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>5</w:t>
            </w:r>
            <w:r>
              <w:rPr>
                <w:rFonts w:ascii="標楷體" w:eastAsia="標楷體" w:hAnsi="標楷體"/>
                <w:szCs w:val="24"/>
                <w:u w:val="single"/>
              </w:rPr>
              <w:lastRenderedPageBreak/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>11</w:t>
            </w:r>
            <w:r>
              <w:rPr>
                <w:rFonts w:ascii="標楷體" w:eastAsia="標楷體" w:hAnsi="標楷體"/>
                <w:szCs w:val="24"/>
                <w:u w:val="single"/>
              </w:rPr>
              <w:t>日施行。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新增「指定處所居家隔離」為下列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種經衛生主管單位開立居家隔離通知書認定之狀況；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</w:t>
            </w:r>
            <w:r>
              <w:rPr>
                <w:rFonts w:ascii="標楷體" w:eastAsia="標楷體" w:hAnsi="標楷體"/>
                <w:szCs w:val="24"/>
              </w:rPr>
              <w:t>在家獲知確診者</w:t>
            </w:r>
          </w:p>
          <w:p w:rsidR="009B5F4A" w:rsidRDefault="004D725A">
            <w:pPr>
              <w:pStyle w:val="Textbody"/>
              <w:snapToGrid w:val="0"/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</w:t>
            </w:r>
            <w:r>
              <w:rPr>
                <w:rFonts w:ascii="標楷體" w:eastAsia="標楷體" w:hAnsi="標楷體"/>
                <w:szCs w:val="24"/>
              </w:rPr>
              <w:t>解除隔離治療需再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 xml:space="preserve">天居家隔離之無症狀或輕症確診個案　　</w:t>
            </w:r>
          </w:p>
          <w:p w:rsidR="009B5F4A" w:rsidRDefault="004D72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(3)</w:t>
            </w:r>
            <w:r>
              <w:rPr>
                <w:rFonts w:ascii="標楷體" w:eastAsia="標楷體" w:hAnsi="標楷體"/>
                <w:szCs w:val="24"/>
              </w:rPr>
              <w:t>抗原快篩陽性個案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110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日。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溯自</w:t>
            </w:r>
            <w:r>
              <w:rPr>
                <w:rFonts w:ascii="標楷體" w:eastAsia="標楷體" w:hAnsi="標楷體"/>
                <w:szCs w:val="24"/>
              </w:rPr>
              <w:t>110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日施行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B5F4A" w:rsidRDefault="004D725A">
            <w:pPr>
              <w:pStyle w:val="Textbody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https://gazette.nat.gov.tw/egFront/detail.do?metaid=127540&amp;log=detailLo</w:t>
            </w:r>
          </w:p>
        </w:tc>
      </w:tr>
      <w:tr w:rsidR="009B5F4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衛生福利部補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助款項會計處理作業要點第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點、第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點及第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點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spacing w:line="240" w:lineRule="atLeast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szCs w:val="24"/>
              </w:rPr>
              <w:t>第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5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點及第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11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點</w:t>
            </w:r>
          </w:p>
          <w:p w:rsidR="009B5F4A" w:rsidRDefault="004D725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>
              <w:rPr>
                <w:rFonts w:ascii="標楷體" w:eastAsia="標楷體" w:hAnsi="標楷體" w:cs="Arial"/>
                <w:bCs/>
                <w:szCs w:val="24"/>
              </w:rPr>
              <w:t>受補</w:t>
            </w:r>
            <w:r>
              <w:rPr>
                <w:rFonts w:ascii="標楷體" w:eastAsia="標楷體" w:hAnsi="標楷體" w:cs="Arial"/>
                <w:bCs/>
                <w:szCs w:val="24"/>
              </w:rPr>
              <w:t>(</w:t>
            </w:r>
            <w:r>
              <w:rPr>
                <w:rFonts w:ascii="標楷體" w:eastAsia="標楷體" w:hAnsi="標楷體" w:cs="Arial"/>
                <w:bCs/>
                <w:szCs w:val="24"/>
              </w:rPr>
              <w:t>捐</w:t>
            </w:r>
            <w:r>
              <w:rPr>
                <w:rFonts w:ascii="標楷體" w:eastAsia="標楷體" w:hAnsi="標楷體" w:cs="Arial"/>
                <w:bCs/>
                <w:szCs w:val="24"/>
              </w:rPr>
              <w:t>)</w:t>
            </w:r>
            <w:r>
              <w:rPr>
                <w:rFonts w:ascii="標楷體" w:eastAsia="標楷體" w:hAnsi="標楷體" w:cs="Arial"/>
                <w:bCs/>
                <w:szCs w:val="24"/>
              </w:rPr>
              <w:t>助單位執行補</w:t>
            </w:r>
            <w:r>
              <w:rPr>
                <w:rFonts w:ascii="標楷體" w:eastAsia="標楷體" w:hAnsi="標楷體" w:cs="Arial"/>
                <w:bCs/>
                <w:szCs w:val="24"/>
              </w:rPr>
              <w:t>(</w:t>
            </w:r>
            <w:r>
              <w:rPr>
                <w:rFonts w:ascii="標楷體" w:eastAsia="標楷體" w:hAnsi="標楷體" w:cs="Arial"/>
                <w:bCs/>
                <w:szCs w:val="24"/>
              </w:rPr>
              <w:t>捐</w:t>
            </w:r>
            <w:r>
              <w:rPr>
                <w:rFonts w:ascii="標楷體" w:eastAsia="標楷體" w:hAnsi="標楷體" w:cs="Arial"/>
                <w:bCs/>
                <w:szCs w:val="24"/>
              </w:rPr>
              <w:t>)</w:t>
            </w:r>
            <w:r>
              <w:rPr>
                <w:rFonts w:ascii="標楷體" w:eastAsia="標楷體" w:hAnsi="標楷體" w:cs="Arial"/>
                <w:bCs/>
                <w:szCs w:val="24"/>
              </w:rPr>
              <w:t>助款項之相關單據，均屬本部原始憑證，計畫完成後，應檢具原始憑證、收支明細表及成果報告等送本部辦理結報。</w:t>
            </w: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9B5F4A">
            <w:pPr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  <w:p w:rsidR="009B5F4A" w:rsidRDefault="004D725A">
            <w:pPr>
              <w:spacing w:line="240" w:lineRule="atLeast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szCs w:val="24"/>
              </w:rPr>
              <w:t>第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點</w:t>
            </w:r>
          </w:p>
          <w:p w:rsidR="009B5F4A" w:rsidRDefault="004D725A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助單位執行補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助款遇有經費不足，除不得</w:t>
            </w:r>
            <w:r>
              <w:rPr>
                <w:rFonts w:ascii="標楷體" w:eastAsia="標楷體" w:hAnsi="標楷體"/>
                <w:szCs w:val="24"/>
              </w:rPr>
              <w:lastRenderedPageBreak/>
              <w:t>流用之項目外，於各用途別科目預算金額百分之二十額度內，得由受補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助單位首長核定辦理經費流用。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spacing w:line="240" w:lineRule="atLeast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5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點及第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11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點</w:t>
            </w: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依會計法第</w:t>
            </w:r>
            <w:r>
              <w:rPr>
                <w:rFonts w:ascii="標楷體" w:eastAsia="標楷體" w:hAnsi="標楷體"/>
                <w:szCs w:val="24"/>
              </w:rPr>
              <w:t>52</w:t>
            </w:r>
            <w:r>
              <w:rPr>
                <w:rFonts w:ascii="標楷體" w:eastAsia="標楷體" w:hAnsi="標楷體"/>
                <w:szCs w:val="24"/>
              </w:rPr>
              <w:t>條有關原始憑證之定義重新檢討，受補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助單位執行補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助款項所取得之發票等單據為其支用單據，以證明其是否依規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約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定執行補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助款之證明文件，界定非屬本部原始憑證，受補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助單位並得依其相關規定存管；至結報時是否須檢具支用單據，則由業務單位衡酌補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助事項性質等擇定結報方式。</w:t>
            </w:r>
          </w:p>
          <w:p w:rsidR="009B5F4A" w:rsidRDefault="009B5F4A">
            <w:pPr>
              <w:pStyle w:val="Textbody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szCs w:val="24"/>
              </w:rPr>
              <w:t>第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點</w:t>
            </w: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助單位執行補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助款遇有經費不足，</w:t>
            </w:r>
            <w:r>
              <w:rPr>
                <w:rFonts w:ascii="標楷體" w:eastAsia="標楷體" w:hAnsi="標楷體"/>
                <w:szCs w:val="24"/>
              </w:rPr>
              <w:lastRenderedPageBreak/>
              <w:t>除不得流用之項目外，得由受補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助單位首長核定辦理經費流用。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</w:t>
            </w:r>
            <w:r>
              <w:rPr>
                <w:rFonts w:ascii="標楷體" w:eastAsia="標楷體" w:hAnsi="標楷體"/>
                <w:szCs w:val="24"/>
              </w:rPr>
              <w:t>、受補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助單位執行補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助款項取得之支用單據，回歸各單位相關規定辦理，不再強制依會</w:t>
            </w:r>
            <w:r>
              <w:rPr>
                <w:rFonts w:ascii="標楷體" w:eastAsia="標楷體" w:hAnsi="標楷體"/>
                <w:szCs w:val="24"/>
              </w:rPr>
              <w:t>計法及政府會計憑證保管調案及銷毀應行注意事項規定存管，另衡酌補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助事項性質，放寬檢具支用單據辦理結報之作業方式。</w:t>
            </w:r>
          </w:p>
          <w:p w:rsidR="009B5F4A" w:rsidRDefault="004D725A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、放寬流用比例限制，增進受補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助單位執行補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助款項彈性。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110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9B5F4A" w:rsidRDefault="004D725A">
      <w:pPr>
        <w:pStyle w:val="Textbody"/>
        <w:spacing w:line="240" w:lineRule="exact"/>
        <w:ind w:left="8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備註：</w:t>
      </w:r>
      <w:r>
        <w:rPr>
          <w:rFonts w:ascii="標楷體" w:eastAsia="標楷體" w:hAnsi="標楷體"/>
          <w:sz w:val="20"/>
          <w:szCs w:val="20"/>
        </w:rPr>
        <w:t xml:space="preserve"> 1.</w:t>
      </w:r>
      <w:r>
        <w:rPr>
          <w:rFonts w:ascii="標楷體" w:eastAsia="標楷體" w:hAnsi="標楷體"/>
          <w:sz w:val="20"/>
          <w:szCs w:val="20"/>
        </w:rPr>
        <w:t>鬆綁成果請填列本</w:t>
      </w:r>
      <w:r>
        <w:rPr>
          <w:rFonts w:ascii="標楷體" w:eastAsia="標楷體" w:hAnsi="標楷體"/>
          <w:sz w:val="20"/>
          <w:szCs w:val="20"/>
        </w:rPr>
        <w:t>(110)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月至</w:t>
      </w:r>
      <w:r>
        <w:rPr>
          <w:rFonts w:ascii="標楷體" w:eastAsia="標楷體" w:hAnsi="標楷體"/>
          <w:sz w:val="20"/>
          <w:szCs w:val="20"/>
        </w:rPr>
        <w:t>12</w:t>
      </w:r>
      <w:r>
        <w:rPr>
          <w:rFonts w:ascii="標楷體" w:eastAsia="標楷體" w:hAnsi="標楷體"/>
          <w:sz w:val="20"/>
          <w:szCs w:val="20"/>
        </w:rPr>
        <w:t>月底完成者。</w:t>
      </w:r>
    </w:p>
    <w:p w:rsidR="009B5F4A" w:rsidRDefault="004D725A">
      <w:pPr>
        <w:pStyle w:val="Textbody"/>
        <w:spacing w:line="240" w:lineRule="exact"/>
        <w:ind w:left="92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鬆綁成果及預定鬆綁事項不重複列計，曾填報之相關成果，請勿再行填列；前經提報為預定鬆綁事項，其後完成鬆綁者，亦毋需再行填報為鬆綁成果。</w:t>
      </w:r>
    </w:p>
    <w:p w:rsidR="009B5F4A" w:rsidRDefault="004D725A">
      <w:pPr>
        <w:pStyle w:val="Textbody"/>
        <w:spacing w:line="240" w:lineRule="exact"/>
        <w:ind w:left="92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/>
          <w:sz w:val="20"/>
          <w:szCs w:val="20"/>
        </w:rPr>
        <w:t>屬同一法規不同條文之訂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修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者，請併計為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項成果，勿將不同修正條文分列不同成果。</w:t>
      </w:r>
    </w:p>
    <w:p w:rsidR="009B5F4A" w:rsidRDefault="004D725A">
      <w:pPr>
        <w:pStyle w:val="Textbody"/>
        <w:spacing w:line="240" w:lineRule="exact"/>
        <w:ind w:firstLine="50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sz w:val="20"/>
          <w:szCs w:val="20"/>
        </w:rPr>
        <w:t>如為法規修正案，修正前後之欄位請摘要列述該次修正前後之重點差異，勿直接援引修正前後之條文內容。</w:t>
      </w:r>
    </w:p>
    <w:p w:rsidR="009B5F4A" w:rsidRDefault="009B5F4A">
      <w:pPr>
        <w:pStyle w:val="Textbody"/>
        <w:spacing w:line="24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sz w:val="20"/>
          <w:szCs w:val="20"/>
        </w:rPr>
      </w:pPr>
    </w:p>
    <w:p w:rsidR="009B5F4A" w:rsidRDefault="009B5F4A">
      <w:pPr>
        <w:pStyle w:val="Textbody"/>
        <w:jc w:val="center"/>
        <w:rPr>
          <w:rFonts w:ascii="標楷體" w:eastAsia="標楷體" w:hAnsi="標楷體"/>
          <w:b/>
          <w:sz w:val="36"/>
        </w:rPr>
      </w:pPr>
    </w:p>
    <w:p w:rsidR="009B5F4A" w:rsidRDefault="004D725A">
      <w:pPr>
        <w:pStyle w:val="Textbody"/>
        <w:jc w:val="center"/>
      </w:pPr>
      <w:r>
        <w:rPr>
          <w:rFonts w:ascii="標楷體" w:eastAsia="標楷體" w:hAnsi="標楷體"/>
          <w:b/>
          <w:sz w:val="36"/>
        </w:rPr>
        <w:lastRenderedPageBreak/>
        <w:t>附表</w:t>
      </w:r>
      <w:r>
        <w:rPr>
          <w:rFonts w:ascii="Times New Roman" w:eastAsia="標楷體" w:hAnsi="Times New Roman"/>
          <w:b/>
          <w:sz w:val="36"/>
        </w:rPr>
        <w:t>2</w:t>
      </w:r>
      <w:r>
        <w:rPr>
          <w:rFonts w:ascii="標楷體" w:eastAsia="標楷體" w:hAnsi="標楷體"/>
          <w:b/>
          <w:sz w:val="36"/>
        </w:rPr>
        <w:t>、衛生福利部預定鬆綁事項</w:t>
      </w:r>
    </w:p>
    <w:tbl>
      <w:tblPr>
        <w:tblW w:w="14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853"/>
        <w:gridCol w:w="2336"/>
        <w:gridCol w:w="2336"/>
        <w:gridCol w:w="3240"/>
        <w:gridCol w:w="1432"/>
      </w:tblGrid>
      <w:tr w:rsidR="009B5F4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預定修正規定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條號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預定鬆綁效益</w:t>
            </w:r>
          </w:p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包括修正前之影響對象及修正後之受惠對象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F4A" w:rsidRDefault="004D725A">
            <w:pPr>
              <w:pStyle w:val="Textbody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預定完成時間</w:t>
            </w:r>
          </w:p>
        </w:tc>
      </w:tr>
      <w:tr w:rsidR="009B5F4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受聘僱外國人健康檢查管理辦法第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條之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、第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條</w:t>
            </w:r>
          </w:p>
          <w:p w:rsidR="009B5F4A" w:rsidRDefault="009B5F4A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法源依據：</w:t>
            </w:r>
          </w:p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就業服務法第</w:t>
            </w:r>
            <w:r>
              <w:rPr>
                <w:rFonts w:ascii="標楷體" w:eastAsia="標楷體" w:hAnsi="標楷體"/>
                <w:szCs w:val="24"/>
              </w:rPr>
              <w:t>48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條之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中央流行疫情指揮中心成立期間，中央衛生主管機關得依國內疫情防治或勞動輸出國疫情評估所需，公告第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類外國人依本辦法第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款、第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款及第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項健康檢查之辦理期限，以符合防疫需求；配合前述公告調整，致第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款健康檢查之日與最近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次接受健康檢查日間隔未滿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個月，得申請免辦理該次健康檢查。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倘因中央衛生主管機關公告調整第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類外國人依第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款、第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款及第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項健康檢查辦理期限，造成兩次健康檢查日間隔未滿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個月，則第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次健康檢查得免辦理，以兼顧移工健康及工作權、降低雇主財務負擔及</w:t>
            </w:r>
            <w:r>
              <w:rPr>
                <w:rFonts w:ascii="標楷體" w:eastAsia="標楷體" w:hAnsi="標楷體"/>
                <w:szCs w:val="24"/>
              </w:rPr>
              <w:t>國家防疫需求等公益之衡平。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111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  <w:p w:rsidR="009B5F4A" w:rsidRDefault="009B5F4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  <w:p w:rsidR="009B5F4A" w:rsidRDefault="004D725A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https://gazette.nat.gov.tw/egFront/detail.do?metaid=128367&amp;log=detailLog</w:t>
            </w:r>
          </w:p>
        </w:tc>
      </w:tr>
    </w:tbl>
    <w:p w:rsidR="009B5F4A" w:rsidRDefault="004D725A">
      <w:pPr>
        <w:pStyle w:val="Textbody"/>
        <w:spacing w:line="240" w:lineRule="exact"/>
        <w:ind w:left="8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備註：</w:t>
      </w:r>
      <w:r>
        <w:rPr>
          <w:rFonts w:ascii="標楷體" w:eastAsia="標楷體" w:hAnsi="標楷體"/>
          <w:sz w:val="20"/>
          <w:szCs w:val="20"/>
        </w:rPr>
        <w:t xml:space="preserve"> 1.</w:t>
      </w:r>
      <w:r>
        <w:rPr>
          <w:rFonts w:ascii="標楷體" w:eastAsia="標楷體" w:hAnsi="標楷體"/>
          <w:sz w:val="20"/>
          <w:szCs w:val="20"/>
        </w:rPr>
        <w:t>預定鬆綁事項請填列預定於明</w:t>
      </w:r>
      <w:r>
        <w:rPr>
          <w:rFonts w:ascii="標楷體" w:eastAsia="標楷體" w:hAnsi="標楷體"/>
          <w:sz w:val="20"/>
          <w:szCs w:val="20"/>
        </w:rPr>
        <w:t>(111)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月間完成者。</w:t>
      </w:r>
    </w:p>
    <w:p w:rsidR="009B5F4A" w:rsidRDefault="004D725A">
      <w:pPr>
        <w:pStyle w:val="Textbody"/>
        <w:spacing w:line="240" w:lineRule="exact"/>
        <w:ind w:left="92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鬆綁成果及預定鬆綁事項不重複列計，曾填報之相關成果，請勿再行填列；前經提報為預定鬆綁事項，其後完成鬆綁者，亦毋需再行填報為鬆綁成果。</w:t>
      </w:r>
    </w:p>
    <w:p w:rsidR="009B5F4A" w:rsidRDefault="004D725A">
      <w:pPr>
        <w:pStyle w:val="Textbody"/>
        <w:spacing w:line="240" w:lineRule="exact"/>
        <w:ind w:left="92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/>
          <w:sz w:val="20"/>
          <w:szCs w:val="20"/>
        </w:rPr>
        <w:t>屬同一法規不同條文之訂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修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者，請併計為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項成果，勿將不同修正條文分列不同成果。</w:t>
      </w:r>
    </w:p>
    <w:p w:rsidR="009B5F4A" w:rsidRDefault="004D725A">
      <w:pPr>
        <w:pStyle w:val="Textbody"/>
        <w:spacing w:line="240" w:lineRule="exact"/>
        <w:ind w:firstLine="504"/>
      </w:pPr>
      <w:r>
        <w:rPr>
          <w:rFonts w:ascii="標楷體" w:eastAsia="標楷體" w:hAnsi="標楷體"/>
          <w:sz w:val="20"/>
          <w:szCs w:val="20"/>
        </w:rPr>
        <w:t xml:space="preserve">  4.</w:t>
      </w:r>
      <w:r>
        <w:rPr>
          <w:rFonts w:ascii="標楷體" w:eastAsia="標楷體" w:hAnsi="標楷體"/>
          <w:sz w:val="20"/>
          <w:szCs w:val="20"/>
        </w:rPr>
        <w:t>如為法規修正案，修正前後之欄位請摘要列述該次修正前後之重點差異，勿直接援引修正前後之條文內容。</w:t>
      </w:r>
    </w:p>
    <w:sectPr w:rsidR="009B5F4A">
      <w:pgSz w:w="16951" w:h="11906" w:orient="landscape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5A" w:rsidRDefault="004D725A">
      <w:r>
        <w:separator/>
      </w:r>
    </w:p>
  </w:endnote>
  <w:endnote w:type="continuationSeparator" w:id="0">
    <w:p w:rsidR="004D725A" w:rsidRDefault="004D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5A" w:rsidRDefault="004D725A">
      <w:r>
        <w:rPr>
          <w:color w:val="000000"/>
        </w:rPr>
        <w:separator/>
      </w:r>
    </w:p>
  </w:footnote>
  <w:footnote w:type="continuationSeparator" w:id="0">
    <w:p w:rsidR="004D725A" w:rsidRDefault="004D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5F4A"/>
    <w:rsid w:val="004D725A"/>
    <w:rsid w:val="005120A1"/>
    <w:rsid w:val="009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FDDEF-EB6D-4082-8E20-8FC14EC9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法規會陳怡君</cp:lastModifiedBy>
  <cp:revision>2</cp:revision>
  <cp:lastPrinted>2021-12-13T08:49:00Z</cp:lastPrinted>
  <dcterms:created xsi:type="dcterms:W3CDTF">2022-09-02T08:24:00Z</dcterms:created>
  <dcterms:modified xsi:type="dcterms:W3CDTF">2022-09-02T08:24:00Z</dcterms:modified>
</cp:coreProperties>
</file>