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53A90" w:rsidRDefault="00253A90" w:rsidP="00253A90">
      <w:pPr>
        <w:rPr>
          <w:rFonts w:ascii="Times New Roman" w:eastAsia="標楷體" w:hAnsi="Times New Roman"/>
          <w:b/>
          <w:sz w:val="32"/>
          <w:szCs w:val="24"/>
        </w:rPr>
      </w:pPr>
      <w:r w:rsidRPr="00A07B9B">
        <w:rPr>
          <w:b/>
          <w:bCs/>
          <w:noProof/>
        </w:rPr>
        <mc:AlternateContent>
          <mc:Choice Requires="wps">
            <w:drawing>
              <wp:anchor distT="0" distB="0" distL="91440" distR="91440" simplePos="0" relativeHeight="251663360" behindDoc="0" locked="0" layoutInCell="1" allowOverlap="1" wp14:anchorId="5A123310" wp14:editId="073DD9C3">
                <wp:simplePos x="0" y="0"/>
                <wp:positionH relativeFrom="margin">
                  <wp:posOffset>-76200</wp:posOffset>
                </wp:positionH>
                <wp:positionV relativeFrom="line">
                  <wp:posOffset>26035</wp:posOffset>
                </wp:positionV>
                <wp:extent cx="6164580" cy="1767840"/>
                <wp:effectExtent l="0" t="0" r="7620" b="0"/>
                <wp:wrapSquare wrapText="bothSides"/>
                <wp:docPr id="42" name="文字方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458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3A90" w:rsidRPr="008059EC" w:rsidRDefault="00253A90" w:rsidP="00253A90">
                            <w:pPr>
                              <w:pStyle w:val="af"/>
                              <w:pBdr>
                                <w:top w:val="single" w:sz="48" w:space="8" w:color="E97B31" w:themeColor="accent1"/>
                                <w:bottom w:val="single" w:sz="48" w:space="31" w:color="E97B31" w:themeColor="accent1"/>
                              </w:pBdr>
                              <w:spacing w:before="108" w:line="300" w:lineRule="auto"/>
                              <w:ind w:rightChars="-1186" w:right="-2846" w:firstLineChars="800" w:firstLine="3203"/>
                              <w:rPr>
                                <w:b/>
                                <w:color w:val="E97B31" w:themeColor="accent1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 w:val="0"/>
                                <w:color w:val="7F3B0D" w:themeColor="accent1" w:themeShade="80"/>
                                <w:sz w:val="40"/>
                              </w:rPr>
                              <w:t>柒</w:t>
                            </w:r>
                            <w:r w:rsidRPr="008059EC">
                              <w:rPr>
                                <w:rFonts w:hint="eastAsia"/>
                                <w:b/>
                                <w:i w:val="0"/>
                                <w:color w:val="7F3B0D" w:themeColor="accent1" w:themeShade="80"/>
                                <w:sz w:val="4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i w:val="0"/>
                                <w:color w:val="7F3B0D" w:themeColor="accent1" w:themeShade="80"/>
                                <w:sz w:val="40"/>
                              </w:rPr>
                              <w:t>國際比較</w:t>
                            </w:r>
                          </w:p>
                          <w:p w:rsidR="00253A90" w:rsidRPr="00A07B9B" w:rsidRDefault="00253A90" w:rsidP="00253A90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By </w:t>
                            </w:r>
                            <w:r w:rsidRPr="009556C4">
                              <w:rPr>
                                <w:rFonts w:ascii="標楷體" w:eastAsia="標楷體" w:hAnsi="標楷體" w:hint="eastAsia"/>
                              </w:rPr>
                              <w:t>衛生福利部統計處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margin-left:-6pt;margin-top:2.05pt;width:485.4pt;height:139.2pt;z-index:251663360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" filled="f" stroked="f" strokeweight=".5pt">
                <v:textbox inset="0,7.2pt,0,7.2pt">
                  <w:txbxContent>
                    <w:p w:rsidR="00253A90" w:rsidRPr="008059EC" w:rsidRDefault="00253A90" w:rsidP="00253A90">
                      <w:pPr>
                        <w:pStyle w:val="af"/>
                        <w:pBdr>
                          <w:top w:val="single" w:sz="48" w:space="8" w:color="E97B31" w:themeColor="accent1"/>
                          <w:bottom w:val="single" w:sz="48" w:space="31" w:color="E97B31" w:themeColor="accent1"/>
                        </w:pBdr>
                        <w:spacing w:before="108" w:line="300" w:lineRule="auto"/>
                        <w:ind w:rightChars="-1186" w:right="-2846" w:firstLineChars="800" w:firstLine="3203"/>
                        <w:rPr>
                          <w:b/>
                          <w:color w:val="E97B31" w:themeColor="accent1"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i w:val="0"/>
                          <w:color w:val="7F3B0D" w:themeColor="accent1" w:themeShade="80"/>
                          <w:sz w:val="40"/>
                        </w:rPr>
                        <w:t>柒</w:t>
                      </w:r>
                      <w:r w:rsidRPr="008059EC">
                        <w:rPr>
                          <w:rFonts w:hint="eastAsia"/>
                          <w:b/>
                          <w:i w:val="0"/>
                          <w:color w:val="7F3B0D" w:themeColor="accent1" w:themeShade="80"/>
                          <w:sz w:val="40"/>
                        </w:rPr>
                        <w:t>、</w:t>
                      </w:r>
                      <w:r>
                        <w:rPr>
                          <w:rFonts w:hint="eastAsia"/>
                          <w:b/>
                          <w:i w:val="0"/>
                          <w:color w:val="7F3B0D" w:themeColor="accent1" w:themeShade="80"/>
                          <w:sz w:val="40"/>
                        </w:rPr>
                        <w:t>國際比較</w:t>
                      </w:r>
                    </w:p>
                    <w:p w:rsidR="00253A90" w:rsidRPr="00A07B9B" w:rsidRDefault="00253A90" w:rsidP="00253A90">
                      <w:pPr>
                        <w:spacing w:before="72"/>
                        <w:ind w:rightChars="-1186" w:right="-2846" w:firstLine="48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               By </w:t>
                      </w:r>
                      <w:r w:rsidRPr="009556C4">
                        <w:rPr>
                          <w:rFonts w:ascii="標楷體" w:eastAsia="標楷體" w:hAnsi="標楷體" w:hint="eastAsia"/>
                        </w:rPr>
                        <w:t>衛生福利部統計處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6A85C0D" wp14:editId="53E02C59">
            <wp:simplePos x="0" y="0"/>
            <wp:positionH relativeFrom="column">
              <wp:posOffset>-533400</wp:posOffset>
            </wp:positionH>
            <wp:positionV relativeFrom="paragraph">
              <wp:posOffset>1871980</wp:posOffset>
            </wp:positionV>
            <wp:extent cx="6744970" cy="7162800"/>
            <wp:effectExtent l="0" t="0" r="0" b="0"/>
            <wp:wrapNone/>
            <wp:docPr id="5" name="圖片 1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圖片 10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rgbClr val="F3995B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97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438" w:rsidRPr="008274CA">
        <w:rPr>
          <w:rFonts w:ascii="Times New Roman" w:eastAsia="標楷體" w:hAnsi="Times New Roman"/>
          <w:b/>
          <w:sz w:val="32"/>
          <w:szCs w:val="24"/>
        </w:rPr>
        <w:t xml:space="preserve">       </w:t>
      </w:r>
    </w:p>
    <w:p w:rsidR="00CB44D0" w:rsidRPr="00253A90" w:rsidRDefault="00253A90" w:rsidP="00253A90">
      <w:pPr>
        <w:rPr>
          <w:rFonts w:ascii="Times New Roman" w:eastAsia="標楷體" w:hAnsi="Times New Roman"/>
          <w:b/>
          <w:sz w:val="32"/>
          <w:szCs w:val="24"/>
        </w:rPr>
      </w:pPr>
      <w:r>
        <w:rPr>
          <w:rFonts w:ascii="Times New Roman" w:eastAsia="標楷體" w:hAnsi="Times New Roman"/>
          <w:b/>
          <w:sz w:val="32"/>
          <w:szCs w:val="24"/>
        </w:rPr>
        <w:t xml:space="preserve">  </w:t>
      </w:r>
    </w:p>
    <w:p w:rsidR="00DD3B34" w:rsidRPr="00253A90" w:rsidRDefault="00B2208F" w:rsidP="00253A90">
      <w:pPr>
        <w:pStyle w:val="11"/>
        <w:rPr>
          <w:kern w:val="2"/>
        </w:rPr>
      </w:pPr>
      <w:r w:rsidRPr="004D5F3E">
        <w:rPr>
          <w:color w:val="000000"/>
          <w:sz w:val="28"/>
        </w:rPr>
        <w:fldChar w:fldCharType="begin"/>
      </w:r>
      <w:r w:rsidRPr="00421A72">
        <w:rPr>
          <w:color w:val="000000"/>
          <w:sz w:val="28"/>
        </w:rPr>
        <w:instrText xml:space="preserve"> TOC \o "1-3" \h \z \u </w:instrText>
      </w:r>
      <w:r w:rsidRPr="004D5F3E">
        <w:rPr>
          <w:color w:val="000000"/>
          <w:sz w:val="28"/>
        </w:rPr>
        <w:fldChar w:fldCharType="separate"/>
      </w:r>
      <w:hyperlink w:anchor="_Toc379466134" w:history="1">
        <w:r w:rsidR="00DD3B34" w:rsidRPr="00253A90">
          <w:rPr>
            <w:rStyle w:val="a5"/>
            <w:rFonts w:ascii="Times New Roman" w:hAnsi="Times New Roman" w:cs="Times New Roman"/>
          </w:rPr>
          <w:t>一、生命統計</w:t>
        </w:r>
        <w:r w:rsidR="00DD3B34" w:rsidRPr="00253A90">
          <w:rPr>
            <w:webHidden/>
          </w:rPr>
          <w:tab/>
        </w:r>
        <w:r w:rsidR="00381E65" w:rsidRPr="00253A90">
          <w:rPr>
            <w:webHidden/>
          </w:rPr>
          <w:t>柒</w:t>
        </w:r>
        <w:r w:rsidR="00381E65" w:rsidRPr="00253A90">
          <w:rPr>
            <w:webHidden/>
          </w:rPr>
          <w:t>-</w:t>
        </w:r>
        <w:r w:rsidR="00DD3B34" w:rsidRPr="00253A90">
          <w:rPr>
            <w:webHidden/>
          </w:rPr>
          <w:fldChar w:fldCharType="begin"/>
        </w:r>
        <w:r w:rsidR="00DD3B34" w:rsidRPr="00253A90">
          <w:rPr>
            <w:webHidden/>
          </w:rPr>
          <w:instrText xml:space="preserve"> PAGEREF _Toc379466134 \h </w:instrText>
        </w:r>
        <w:r w:rsidR="00DD3B34" w:rsidRPr="00253A90">
          <w:rPr>
            <w:webHidden/>
          </w:rPr>
        </w:r>
        <w:r w:rsidR="00DD3B34" w:rsidRPr="00253A90">
          <w:rPr>
            <w:webHidden/>
          </w:rPr>
          <w:fldChar w:fldCharType="separate"/>
        </w:r>
        <w:r w:rsidR="009518AD">
          <w:rPr>
            <w:webHidden/>
          </w:rPr>
          <w:t>1</w:t>
        </w:r>
        <w:r w:rsidR="00DD3B34" w:rsidRPr="00253A90">
          <w:rPr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35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一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)0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歲平均餘命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_Toc379466135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36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二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五歲以下兒童死亡機率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_Toc379466136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3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37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三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嬰兒及孕產婦死亡率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_Toc379466137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4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38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四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惡性腫瘤標準化死亡率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_Toc379466138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5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39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五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蓄意自我傷害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自殺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標準化死亡率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_Toc379466139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7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253A90">
      <w:pPr>
        <w:pStyle w:val="11"/>
        <w:rPr>
          <w:kern w:val="2"/>
        </w:rPr>
      </w:pPr>
      <w:hyperlink w:anchor="_Toc379466140" w:history="1">
        <w:r w:rsidR="00DD3B34" w:rsidRPr="00253A90">
          <w:rPr>
            <w:rStyle w:val="a5"/>
            <w:rFonts w:ascii="Times New Roman" w:hAnsi="Times New Roman" w:cs="Times New Roman"/>
          </w:rPr>
          <w:t>二、醫療資源及利用</w:t>
        </w:r>
        <w:r w:rsidR="00DD3B34" w:rsidRPr="00253A90">
          <w:rPr>
            <w:webHidden/>
          </w:rPr>
          <w:tab/>
        </w:r>
        <w:r w:rsidR="00381E65" w:rsidRPr="00253A90">
          <w:rPr>
            <w:webHidden/>
          </w:rPr>
          <w:t>柒</w:t>
        </w:r>
        <w:r w:rsidR="00381E65" w:rsidRPr="00253A90">
          <w:rPr>
            <w:webHidden/>
          </w:rPr>
          <w:t>-</w:t>
        </w:r>
        <w:r w:rsidR="00DD3B34" w:rsidRPr="00253A90">
          <w:rPr>
            <w:webHidden/>
          </w:rPr>
          <w:fldChar w:fldCharType="begin"/>
        </w:r>
        <w:r w:rsidR="00DD3B34" w:rsidRPr="00253A90">
          <w:rPr>
            <w:webHidden/>
          </w:rPr>
          <w:instrText xml:space="preserve"> PAGEREF _Toc379466140 \h </w:instrText>
        </w:r>
        <w:r w:rsidR="00DD3B34" w:rsidRPr="00253A90">
          <w:rPr>
            <w:webHidden/>
          </w:rPr>
        </w:r>
        <w:r w:rsidR="00DD3B34" w:rsidRPr="00253A90">
          <w:rPr>
            <w:webHidden/>
          </w:rPr>
          <w:fldChar w:fldCharType="separate"/>
        </w:r>
        <w:r w:rsidR="009518AD">
          <w:rPr>
            <w:webHidden/>
          </w:rPr>
          <w:t>9</w:t>
        </w:r>
        <w:r w:rsidR="00DD3B34" w:rsidRPr="00253A90">
          <w:rPr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1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一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醫療資源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醫護比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_Toc379466141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9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2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二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醫療資源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每千人口急性一般病床數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_Toc379466142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10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3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三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醫療資源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就醫次數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_Toc379466143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11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253A90">
      <w:pPr>
        <w:pStyle w:val="11"/>
        <w:rPr>
          <w:kern w:val="2"/>
        </w:rPr>
      </w:pPr>
      <w:hyperlink w:anchor="_Toc379466144" w:history="1">
        <w:r w:rsidR="00DD3B34" w:rsidRPr="00253A90">
          <w:rPr>
            <w:rStyle w:val="a5"/>
            <w:rFonts w:ascii="Times New Roman" w:hAnsi="Times New Roman" w:cs="Times New Roman"/>
          </w:rPr>
          <w:t>三、國民醫療保健支出</w:t>
        </w:r>
        <w:r w:rsidR="00DD3B34" w:rsidRPr="00253A90">
          <w:rPr>
            <w:webHidden/>
          </w:rPr>
          <w:tab/>
        </w:r>
        <w:r w:rsidR="00381E65" w:rsidRPr="00253A90">
          <w:rPr>
            <w:webHidden/>
          </w:rPr>
          <w:t>柒</w:t>
        </w:r>
        <w:r w:rsidR="00381E65" w:rsidRPr="00253A90">
          <w:rPr>
            <w:webHidden/>
          </w:rPr>
          <w:t>-</w:t>
        </w:r>
        <w:r w:rsidR="00DD3B34" w:rsidRPr="00253A90">
          <w:rPr>
            <w:webHidden/>
          </w:rPr>
          <w:fldChar w:fldCharType="begin"/>
        </w:r>
        <w:r w:rsidR="00DD3B34" w:rsidRPr="00253A90">
          <w:rPr>
            <w:webHidden/>
          </w:rPr>
          <w:instrText xml:space="preserve"> PAGEREF _Toc379466144 \h </w:instrText>
        </w:r>
        <w:r w:rsidR="00DD3B34" w:rsidRPr="00253A90">
          <w:rPr>
            <w:webHidden/>
          </w:rPr>
        </w:r>
        <w:r w:rsidR="00DD3B34" w:rsidRPr="00253A90">
          <w:rPr>
            <w:webHidden/>
          </w:rPr>
          <w:fldChar w:fldCharType="separate"/>
        </w:r>
        <w:r w:rsidR="009518AD">
          <w:rPr>
            <w:webHidden/>
          </w:rPr>
          <w:t>12</w:t>
        </w:r>
        <w:r w:rsidR="00DD3B34" w:rsidRPr="00253A90">
          <w:rPr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5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一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平均每人國民醫療保健支出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(NHE)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與平均每人國內生產毛額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(GDP)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_Toc379466145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12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6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二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我國藥品支出占國民醫療保健支出比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_Toc379466146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14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7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三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公私部門醫療保健支出占率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_Toc379466147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16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48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四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家庭自付醫療費用占國民醫療保健支出比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_Toc379466148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18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253A90">
      <w:pPr>
        <w:pStyle w:val="11"/>
        <w:rPr>
          <w:kern w:val="2"/>
        </w:rPr>
      </w:pPr>
      <w:hyperlink w:anchor="_Toc379466149" w:history="1">
        <w:r w:rsidR="00DD3B34" w:rsidRPr="00253A90">
          <w:rPr>
            <w:rStyle w:val="a5"/>
            <w:rFonts w:ascii="Times New Roman" w:hAnsi="Times New Roman" w:cs="Times New Roman"/>
          </w:rPr>
          <w:t>四、人口統計</w:t>
        </w:r>
        <w:r w:rsidR="00DD3B34" w:rsidRPr="00253A90">
          <w:rPr>
            <w:webHidden/>
          </w:rPr>
          <w:tab/>
        </w:r>
        <w:r w:rsidR="00381E65" w:rsidRPr="00253A90">
          <w:rPr>
            <w:webHidden/>
          </w:rPr>
          <w:t>柒</w:t>
        </w:r>
        <w:r w:rsidR="00381E65" w:rsidRPr="00253A90">
          <w:rPr>
            <w:webHidden/>
          </w:rPr>
          <w:t>-</w:t>
        </w:r>
        <w:r w:rsidR="00DD3B34" w:rsidRPr="00253A90">
          <w:rPr>
            <w:webHidden/>
          </w:rPr>
          <w:fldChar w:fldCharType="begin"/>
        </w:r>
        <w:r w:rsidR="00DD3B34" w:rsidRPr="00253A90">
          <w:rPr>
            <w:webHidden/>
          </w:rPr>
          <w:instrText xml:space="preserve"> PAGEREF _Toc379466149 \h </w:instrText>
        </w:r>
        <w:r w:rsidR="00DD3B34" w:rsidRPr="00253A90">
          <w:rPr>
            <w:webHidden/>
          </w:rPr>
        </w:r>
        <w:r w:rsidR="00DD3B34" w:rsidRPr="00253A90">
          <w:rPr>
            <w:webHidden/>
          </w:rPr>
          <w:fldChar w:fldCharType="separate"/>
        </w:r>
        <w:r w:rsidR="009518AD">
          <w:rPr>
            <w:webHidden/>
          </w:rPr>
          <w:t>20</w:t>
        </w:r>
        <w:r w:rsidR="00DD3B34" w:rsidRPr="00253A90">
          <w:rPr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50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一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人口結構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_Toc379466150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20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b/>
          <w:noProof/>
          <w:kern w:val="2"/>
        </w:rPr>
      </w:pPr>
      <w:hyperlink w:anchor="_Toc379466151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二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  <w:lang w:val="zh-TW"/>
          </w:rPr>
          <w:t>人口年成長率與年齡中位數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_Toc379466151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22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Pr="00253A90" w:rsidRDefault="005673D8" w:rsidP="000D1EDA">
      <w:pPr>
        <w:pStyle w:val="21"/>
        <w:ind w:firstLine="550"/>
        <w:rPr>
          <w:rFonts w:cs="Calibri"/>
          <w:noProof/>
          <w:kern w:val="2"/>
        </w:rPr>
      </w:pPr>
      <w:hyperlink w:anchor="_Toc379466152" w:history="1"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(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三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</w:rPr>
          <w:t>)</w:t>
        </w:r>
        <w:r w:rsidR="00DD3B34" w:rsidRPr="00253A90">
          <w:rPr>
            <w:rStyle w:val="a5"/>
            <w:rFonts w:ascii="Times New Roman" w:eastAsia="標楷體" w:hAnsi="Times New Roman"/>
            <w:b/>
            <w:noProof/>
            <w:sz w:val="24"/>
            <w:szCs w:val="24"/>
            <w:lang w:val="zh-TW"/>
          </w:rPr>
          <w:t>新生兒性別比與總生育率</w:t>
        </w:r>
        <w:r w:rsidR="00DD3B34" w:rsidRPr="00253A90">
          <w:rPr>
            <w:b/>
            <w:noProof/>
            <w:webHidden/>
          </w:rPr>
          <w:tab/>
        </w:r>
        <w:r w:rsidR="00381E65" w:rsidRPr="00253A90">
          <w:rPr>
            <w:b/>
            <w:noProof/>
            <w:webHidden/>
          </w:rPr>
          <w:t>柒</w:t>
        </w:r>
        <w:r w:rsidR="00381E65" w:rsidRPr="00253A90">
          <w:rPr>
            <w:b/>
            <w:noProof/>
            <w:webHidden/>
          </w:rPr>
          <w:t>-</w:t>
        </w:r>
        <w:r w:rsidR="00DD3B34" w:rsidRPr="00253A90">
          <w:rPr>
            <w:b/>
            <w:noProof/>
            <w:webHidden/>
          </w:rPr>
          <w:fldChar w:fldCharType="begin"/>
        </w:r>
        <w:r w:rsidR="00DD3B34" w:rsidRPr="00253A90">
          <w:rPr>
            <w:b/>
            <w:noProof/>
            <w:webHidden/>
          </w:rPr>
          <w:instrText xml:space="preserve"> PAGEREF _Toc379466152 \h </w:instrText>
        </w:r>
        <w:r w:rsidR="00DD3B34" w:rsidRPr="00253A90">
          <w:rPr>
            <w:b/>
            <w:noProof/>
            <w:webHidden/>
          </w:rPr>
        </w:r>
        <w:r w:rsidR="00DD3B34" w:rsidRPr="00253A90">
          <w:rPr>
            <w:b/>
            <w:noProof/>
            <w:webHidden/>
          </w:rPr>
          <w:fldChar w:fldCharType="separate"/>
        </w:r>
        <w:r w:rsidR="009518AD">
          <w:rPr>
            <w:b/>
            <w:noProof/>
            <w:webHidden/>
          </w:rPr>
          <w:t>24</w:t>
        </w:r>
        <w:r w:rsidR="00DD3B34" w:rsidRPr="00253A90">
          <w:rPr>
            <w:b/>
            <w:noProof/>
            <w:webHidden/>
          </w:rPr>
          <w:fldChar w:fldCharType="end"/>
        </w:r>
      </w:hyperlink>
    </w:p>
    <w:p w:rsidR="00DD3B34" w:rsidRDefault="00B2208F" w:rsidP="00DD3B34">
      <w:pPr>
        <w:tabs>
          <w:tab w:val="num" w:pos="720"/>
        </w:tabs>
        <w:spacing w:afterLines="50" w:after="180"/>
        <w:jc w:val="both"/>
        <w:outlineLvl w:val="0"/>
        <w:rPr>
          <w:rFonts w:ascii="Times New Roman" w:eastAsia="標楷體" w:hAnsi="Times New Roman"/>
          <w:color w:val="000000"/>
          <w:sz w:val="28"/>
          <w:szCs w:val="24"/>
        </w:rPr>
      </w:pPr>
      <w:r w:rsidRPr="004D5F3E">
        <w:rPr>
          <w:rFonts w:eastAsia="標楷體" w:cs="Calibri"/>
          <w:color w:val="000000"/>
          <w:sz w:val="28"/>
          <w:szCs w:val="24"/>
        </w:rPr>
        <w:fldChar w:fldCharType="end"/>
      </w:r>
      <w:bookmarkStart w:id="1" w:name="_Toc338321803"/>
      <w:bookmarkStart w:id="2" w:name="_Toc379466134"/>
      <w:bookmarkEnd w:id="1"/>
    </w:p>
    <w:p w:rsidR="00DD3B34" w:rsidRDefault="00DD3B34" w:rsidP="00DD3B34">
      <w:pPr>
        <w:tabs>
          <w:tab w:val="num" w:pos="720"/>
        </w:tabs>
        <w:spacing w:afterLines="50" w:after="180"/>
        <w:jc w:val="both"/>
        <w:outlineLvl w:val="0"/>
        <w:rPr>
          <w:rFonts w:ascii="Times New Roman" w:eastAsia="標楷體" w:hAnsi="Times New Roman"/>
          <w:color w:val="000000"/>
          <w:sz w:val="28"/>
          <w:szCs w:val="24"/>
        </w:rPr>
        <w:sectPr w:rsidR="00DD3B34" w:rsidSect="00056B0A">
          <w:footerReference w:type="default" r:id="rId10"/>
          <w:pgSz w:w="11906" w:h="16838"/>
          <w:pgMar w:top="1440" w:right="1466" w:bottom="1276" w:left="1440" w:header="851" w:footer="992" w:gutter="0"/>
          <w:pgNumType w:start="1"/>
          <w:cols w:space="425"/>
          <w:docGrid w:type="lines" w:linePitch="360"/>
        </w:sectPr>
      </w:pPr>
    </w:p>
    <w:p w:rsidR="00CA3B30" w:rsidRPr="00D310F7" w:rsidRDefault="00CA3B30" w:rsidP="00DD3B34">
      <w:pPr>
        <w:tabs>
          <w:tab w:val="num" w:pos="720"/>
        </w:tabs>
        <w:snapToGrid w:val="0"/>
        <w:spacing w:before="60" w:after="60"/>
        <w:jc w:val="both"/>
        <w:outlineLvl w:val="0"/>
        <w:rPr>
          <w:rFonts w:eastAsia="標楷體" w:cs="Calibri"/>
          <w:b/>
          <w:bCs/>
          <w:sz w:val="28"/>
        </w:rPr>
      </w:pPr>
      <w:r w:rsidRPr="00D310F7">
        <w:rPr>
          <w:rFonts w:eastAsia="標楷體" w:cs="Calibri"/>
          <w:b/>
          <w:bCs/>
          <w:sz w:val="28"/>
        </w:rPr>
        <w:lastRenderedPageBreak/>
        <w:t>一、</w:t>
      </w:r>
      <w:r w:rsidRPr="00D310F7">
        <w:rPr>
          <w:rFonts w:eastAsia="標楷體" w:cs="Calibri"/>
          <w:b/>
          <w:sz w:val="28"/>
        </w:rPr>
        <w:t>生命統計</w:t>
      </w:r>
      <w:bookmarkEnd w:id="2"/>
    </w:p>
    <w:p w:rsidR="00CA3B30" w:rsidRPr="00D310F7" w:rsidRDefault="00CA3B30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4"/>
        </w:rPr>
      </w:pPr>
      <w:bookmarkStart w:id="3" w:name="_Toc379466135"/>
      <w:r w:rsidRPr="00D310F7">
        <w:rPr>
          <w:rFonts w:ascii="Calibri" w:eastAsia="標楷體" w:hAnsi="Calibri" w:cs="Calibri"/>
          <w:sz w:val="28"/>
          <w:szCs w:val="28"/>
        </w:rPr>
        <w:t>(</w:t>
      </w:r>
      <w:r w:rsidRPr="00D310F7">
        <w:rPr>
          <w:rFonts w:ascii="Calibri" w:eastAsia="標楷體" w:hAnsi="Calibri" w:cs="Calibri"/>
          <w:sz w:val="28"/>
          <w:szCs w:val="28"/>
        </w:rPr>
        <w:t>一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r w:rsidRPr="00D310F7">
        <w:rPr>
          <w:rFonts w:ascii="Calibri" w:eastAsia="標楷體" w:hAnsi="Calibri" w:cs="Calibri"/>
          <w:sz w:val="28"/>
        </w:rPr>
        <w:t>0</w:t>
      </w:r>
      <w:r w:rsidRPr="00D310F7">
        <w:rPr>
          <w:rFonts w:ascii="Calibri" w:eastAsia="標楷體" w:hAnsi="Calibri" w:cs="Calibri"/>
          <w:sz w:val="28"/>
        </w:rPr>
        <w:t>歲平均餘命</w:t>
      </w:r>
      <w:bookmarkEnd w:id="3"/>
    </w:p>
    <w:p w:rsidR="00C7100E" w:rsidRPr="00D310F7" w:rsidRDefault="00C7100E" w:rsidP="00A30A46">
      <w:pPr>
        <w:adjustRightInd w:val="0"/>
        <w:snapToGrid w:val="0"/>
        <w:spacing w:before="60" w:after="60"/>
        <w:ind w:right="-335" w:firstLineChars="170" w:firstLine="476"/>
        <w:jc w:val="both"/>
        <w:rPr>
          <w:rFonts w:eastAsia="標楷體" w:cs="Calibri"/>
          <w:b/>
          <w:bCs/>
          <w:sz w:val="28"/>
        </w:rPr>
      </w:pPr>
      <w:r w:rsidRPr="00D310F7">
        <w:rPr>
          <w:rFonts w:eastAsia="標楷體" w:cs="Calibri"/>
          <w:b/>
          <w:bCs/>
          <w:sz w:val="28"/>
        </w:rPr>
        <w:t>我國男、女兩性</w:t>
      </w:r>
      <w:r w:rsidRPr="00D310F7">
        <w:rPr>
          <w:rFonts w:eastAsia="標楷體" w:cs="Calibri"/>
          <w:b/>
          <w:bCs/>
          <w:sz w:val="28"/>
        </w:rPr>
        <w:t>0</w:t>
      </w:r>
      <w:r w:rsidRPr="00D310F7">
        <w:rPr>
          <w:rFonts w:eastAsia="標楷體" w:cs="Calibri"/>
          <w:b/>
          <w:bCs/>
          <w:sz w:val="28"/>
        </w:rPr>
        <w:t>歲平均餘命均較</w:t>
      </w:r>
      <w:r w:rsidRPr="00D310F7">
        <w:rPr>
          <w:rFonts w:eastAsia="標楷體" w:cs="Calibri"/>
          <w:b/>
          <w:bCs/>
          <w:sz w:val="28"/>
        </w:rPr>
        <w:t>OECD</w:t>
      </w:r>
      <w:r w:rsidRPr="00D310F7">
        <w:rPr>
          <w:rFonts w:eastAsia="標楷體" w:cs="Calibri"/>
          <w:b/>
          <w:bCs/>
          <w:sz w:val="28"/>
        </w:rPr>
        <w:t>會員國中位數低。</w:t>
      </w:r>
    </w:p>
    <w:p w:rsidR="00606B26" w:rsidRDefault="00A45ADB" w:rsidP="006600B4">
      <w:pPr>
        <w:adjustRightInd w:val="0"/>
        <w:snapToGrid w:val="0"/>
        <w:spacing w:before="60" w:after="60"/>
        <w:ind w:leftChars="-413" w:right="-335" w:hangingChars="413" w:hanging="991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7044690" cy="4001135"/>
            <wp:effectExtent l="0" t="0" r="3810" b="0"/>
            <wp:docPr id="3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690" cy="400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B26" w:rsidRDefault="00316193" w:rsidP="00316193">
      <w:pPr>
        <w:adjustRightInd w:val="0"/>
        <w:snapToGrid w:val="0"/>
        <w:spacing w:before="60" w:after="60"/>
        <w:ind w:leftChars="-1" w:left="-2" w:right="66"/>
        <w:jc w:val="center"/>
        <w:rPr>
          <w:noProof/>
        </w:rPr>
      </w:pPr>
      <w:r>
        <w:rPr>
          <w:noProof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5388610" cy="6944995"/>
            <wp:effectExtent l="0" t="0" r="2540" b="825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610" cy="694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B26" w:rsidRPr="00D310F7" w:rsidRDefault="00606B26" w:rsidP="00D15E1F">
      <w:pPr>
        <w:snapToGrid w:val="0"/>
        <w:spacing w:before="240" w:after="60" w:line="360" w:lineRule="auto"/>
        <w:ind w:firstLine="482"/>
        <w:rPr>
          <w:rFonts w:eastAsia="標楷體" w:cs="Calibri"/>
        </w:rPr>
      </w:pP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年我國男性</w:t>
      </w:r>
      <w:r w:rsidRPr="00D310F7">
        <w:rPr>
          <w:rFonts w:eastAsia="標楷體" w:cs="Calibri"/>
        </w:rPr>
        <w:t>0</w:t>
      </w:r>
      <w:r w:rsidRPr="00D310F7">
        <w:rPr>
          <w:rFonts w:eastAsia="標楷體" w:cs="Calibri"/>
        </w:rPr>
        <w:t>歲平均餘命為</w:t>
      </w:r>
      <w:r w:rsidRPr="00D310F7">
        <w:rPr>
          <w:rFonts w:eastAsia="標楷體" w:cs="Calibri"/>
        </w:rPr>
        <w:t>76.0</w:t>
      </w:r>
      <w:r w:rsidRPr="00D310F7">
        <w:rPr>
          <w:rFonts w:eastAsia="標楷體" w:cs="Calibri"/>
        </w:rPr>
        <w:t>歲；女性為</w:t>
      </w:r>
      <w:r w:rsidRPr="00D310F7">
        <w:rPr>
          <w:rFonts w:eastAsia="標楷體" w:cs="Calibri"/>
        </w:rPr>
        <w:t>82.6</w:t>
      </w:r>
      <w:r w:rsidRPr="00D310F7">
        <w:rPr>
          <w:rFonts w:eastAsia="標楷體" w:cs="Calibri"/>
        </w:rPr>
        <w:t>歲，若與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會員國相較，男、女性分別低了</w:t>
      </w:r>
      <w:r w:rsidRPr="00D310F7">
        <w:rPr>
          <w:rFonts w:eastAsia="標楷體" w:cs="Calibri"/>
        </w:rPr>
        <w:t>2.3</w:t>
      </w:r>
      <w:r w:rsidRPr="00D310F7">
        <w:rPr>
          <w:rFonts w:eastAsia="標楷體" w:cs="Calibri"/>
        </w:rPr>
        <w:t>歲與</w:t>
      </w:r>
      <w:r w:rsidRPr="00D310F7">
        <w:rPr>
          <w:rFonts w:eastAsia="標楷體" w:cs="Calibri"/>
        </w:rPr>
        <w:t>0.5</w:t>
      </w:r>
      <w:r w:rsidRPr="00D310F7">
        <w:rPr>
          <w:rFonts w:eastAsia="標楷體" w:cs="Calibri"/>
        </w:rPr>
        <w:t>歲，相當於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26</w:t>
      </w:r>
      <w:r w:rsidRPr="00D310F7">
        <w:rPr>
          <w:rFonts w:eastAsia="標楷體" w:cs="Calibri"/>
        </w:rPr>
        <w:t>及</w:t>
      </w:r>
      <w:r w:rsidRPr="00D310F7">
        <w:rPr>
          <w:rFonts w:eastAsia="標楷體" w:cs="Calibri"/>
        </w:rPr>
        <w:t>24</w:t>
      </w:r>
      <w:r w:rsidRPr="00D310F7">
        <w:rPr>
          <w:rFonts w:eastAsia="標楷體" w:cs="Calibri"/>
        </w:rPr>
        <w:t>位。</w:t>
      </w:r>
    </w:p>
    <w:p w:rsidR="00E57A33" w:rsidRDefault="00606B26" w:rsidP="008A6B38">
      <w:pPr>
        <w:adjustRightInd w:val="0"/>
        <w:snapToGrid w:val="0"/>
        <w:spacing w:before="60" w:after="60" w:line="360" w:lineRule="auto"/>
        <w:ind w:right="66" w:firstLine="480"/>
        <w:jc w:val="both"/>
        <w:rPr>
          <w:rFonts w:eastAsia="標楷體"/>
        </w:rPr>
      </w:pPr>
      <w:r w:rsidRPr="00D310F7">
        <w:rPr>
          <w:rFonts w:eastAsia="標楷體" w:cs="Calibri"/>
        </w:rPr>
        <w:t>以座標圖觀察，我國男、女性</w:t>
      </w:r>
      <w:r w:rsidRPr="00D310F7">
        <w:rPr>
          <w:rFonts w:eastAsia="標楷體" w:cs="Calibri"/>
        </w:rPr>
        <w:t>0</w:t>
      </w:r>
      <w:r w:rsidRPr="00D310F7">
        <w:rPr>
          <w:rFonts w:eastAsia="標楷體" w:cs="Calibri"/>
        </w:rPr>
        <w:t>歲平均餘命均較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中位數低，位於第</w:t>
      </w:r>
      <w:r w:rsidRPr="00984D80">
        <w:rPr>
          <w:rFonts w:ascii="細明體" w:eastAsia="細明體" w:hAnsi="細明體" w:cs="細明體" w:hint="eastAsia"/>
        </w:rPr>
        <w:t>Ⅲ</w:t>
      </w:r>
      <w:r w:rsidRPr="00D310F7">
        <w:rPr>
          <w:rFonts w:eastAsia="標楷體" w:cs="Calibri"/>
        </w:rPr>
        <w:t>象限。</w:t>
      </w: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年男性最長壽國家為冰島的</w:t>
      </w:r>
      <w:r w:rsidRPr="00D310F7">
        <w:rPr>
          <w:rFonts w:eastAsia="標楷體" w:cs="Calibri"/>
        </w:rPr>
        <w:t>80.7</w:t>
      </w:r>
      <w:r w:rsidRPr="00D310F7">
        <w:rPr>
          <w:rFonts w:eastAsia="標楷體" w:cs="Calibri"/>
        </w:rPr>
        <w:t>歲，女性為日本的</w:t>
      </w:r>
      <w:r w:rsidRPr="00D310F7">
        <w:rPr>
          <w:rFonts w:eastAsia="標楷體" w:cs="Calibri"/>
        </w:rPr>
        <w:t>85.9</w:t>
      </w:r>
      <w:r w:rsidRPr="00D310F7">
        <w:rPr>
          <w:rFonts w:eastAsia="標楷體" w:cs="Calibri"/>
        </w:rPr>
        <w:t>歲。</w:t>
      </w:r>
    </w:p>
    <w:p w:rsidR="00121FA0" w:rsidRPr="00D310F7" w:rsidRDefault="00121FA0" w:rsidP="00794857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</w:rPr>
      </w:pPr>
      <w:r>
        <w:rPr>
          <w:rFonts w:eastAsia="標楷體"/>
          <w:b w:val="0"/>
          <w:bCs w:val="0"/>
          <w:sz w:val="28"/>
        </w:rPr>
        <w:br w:type="page"/>
      </w:r>
      <w:bookmarkStart w:id="4" w:name="_Toc379466136"/>
      <w:r w:rsidRPr="00D310F7">
        <w:rPr>
          <w:rFonts w:ascii="Calibri" w:eastAsia="標楷體" w:hAnsi="Calibri" w:cs="Calibri"/>
          <w:sz w:val="28"/>
        </w:rPr>
        <w:lastRenderedPageBreak/>
        <w:t>(</w:t>
      </w:r>
      <w:r w:rsidRPr="00D310F7">
        <w:rPr>
          <w:rFonts w:ascii="Calibri" w:eastAsia="標楷體" w:hAnsi="Calibri" w:cs="Calibri"/>
          <w:sz w:val="28"/>
        </w:rPr>
        <w:t>二</w:t>
      </w:r>
      <w:r w:rsidRPr="00D310F7">
        <w:rPr>
          <w:rFonts w:ascii="Calibri" w:eastAsia="標楷體" w:hAnsi="Calibri" w:cs="Calibri"/>
          <w:sz w:val="28"/>
        </w:rPr>
        <w:t>)</w:t>
      </w:r>
      <w:r w:rsidRPr="00D310F7">
        <w:rPr>
          <w:rFonts w:ascii="Calibri" w:eastAsia="標楷體" w:hAnsi="Calibri" w:cs="Calibri"/>
          <w:sz w:val="28"/>
        </w:rPr>
        <w:tab/>
      </w:r>
      <w:r w:rsidRPr="00D310F7">
        <w:rPr>
          <w:rFonts w:ascii="Calibri" w:eastAsia="標楷體" w:hAnsi="Calibri" w:cs="Calibri"/>
          <w:sz w:val="28"/>
        </w:rPr>
        <w:t>五歲以下兒童死亡機率</w:t>
      </w:r>
      <w:bookmarkEnd w:id="4"/>
    </w:p>
    <w:p w:rsidR="00121FA0" w:rsidRPr="00D310F7" w:rsidRDefault="00121FA0" w:rsidP="001E57B7">
      <w:pPr>
        <w:snapToGrid w:val="0"/>
        <w:spacing w:before="60" w:afterLines="50" w:after="180"/>
        <w:ind w:firstLineChars="170" w:firstLine="476"/>
        <w:rPr>
          <w:rFonts w:eastAsia="標楷體" w:cs="Calibri"/>
          <w:b/>
          <w:bCs/>
          <w:sz w:val="28"/>
        </w:rPr>
      </w:pPr>
      <w:r w:rsidRPr="00D310F7">
        <w:rPr>
          <w:rFonts w:eastAsia="標楷體" w:cs="Calibri"/>
          <w:b/>
          <w:bCs/>
          <w:sz w:val="28"/>
        </w:rPr>
        <w:t>與</w:t>
      </w:r>
      <w:r w:rsidRPr="00D310F7">
        <w:rPr>
          <w:rFonts w:eastAsia="標楷體" w:cs="Calibri"/>
          <w:b/>
          <w:bCs/>
          <w:sz w:val="28"/>
        </w:rPr>
        <w:t>OECD</w:t>
      </w:r>
      <w:r w:rsidRPr="00D310F7">
        <w:rPr>
          <w:rFonts w:eastAsia="標楷體" w:cs="Calibri"/>
          <w:b/>
          <w:bCs/>
          <w:sz w:val="28"/>
        </w:rPr>
        <w:t>會員國比較，我國五歲以下兒童死亡機率高於</w:t>
      </w:r>
      <w:r w:rsidRPr="00D310F7">
        <w:rPr>
          <w:rFonts w:eastAsia="標楷體" w:cs="Calibri"/>
          <w:b/>
          <w:bCs/>
          <w:sz w:val="28"/>
        </w:rPr>
        <w:t>OECD</w:t>
      </w:r>
      <w:r w:rsidRPr="00D310F7">
        <w:rPr>
          <w:rFonts w:eastAsia="標楷體" w:cs="Calibri"/>
          <w:b/>
          <w:bCs/>
          <w:sz w:val="28"/>
        </w:rPr>
        <w:t>中位數。</w:t>
      </w:r>
    </w:p>
    <w:p w:rsidR="00121FA0" w:rsidRDefault="00A45ADB" w:rsidP="008A3B23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5039995" cy="7195185"/>
            <wp:effectExtent l="0" t="0" r="8255" b="571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719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FA0" w:rsidRPr="00D310F7" w:rsidRDefault="00121FA0" w:rsidP="00D15E1F">
      <w:pPr>
        <w:snapToGrid w:val="0"/>
        <w:spacing w:before="240" w:after="60" w:line="360" w:lineRule="auto"/>
        <w:ind w:firstLine="482"/>
        <w:rPr>
          <w:rFonts w:eastAsia="標楷體" w:cs="Calibri"/>
        </w:rPr>
      </w:pPr>
      <w:r w:rsidRPr="00D310F7">
        <w:rPr>
          <w:rFonts w:eastAsia="標楷體" w:cs="Calibri"/>
        </w:rPr>
        <w:t>2012</w:t>
      </w:r>
      <w:r w:rsidRPr="00D310F7">
        <w:rPr>
          <w:rFonts w:eastAsia="標楷體" w:cs="Calibri"/>
        </w:rPr>
        <w:t>年我國五歲以下兒童死亡機率為每千名活產嬰兒</w:t>
      </w:r>
      <w:r w:rsidRPr="00D310F7">
        <w:rPr>
          <w:rFonts w:eastAsia="標楷體" w:cs="Calibri"/>
        </w:rPr>
        <w:t>5.0</w:t>
      </w:r>
      <w:r w:rsidRPr="00D310F7">
        <w:rPr>
          <w:rFonts w:eastAsia="標楷體" w:cs="Calibri"/>
        </w:rPr>
        <w:t>人，相當於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27</w:t>
      </w:r>
      <w:r w:rsidRPr="00D310F7">
        <w:rPr>
          <w:rFonts w:eastAsia="標楷體" w:cs="Calibri"/>
        </w:rPr>
        <w:t>名，高於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會員國中位數的</w:t>
      </w:r>
      <w:r w:rsidRPr="00D310F7">
        <w:rPr>
          <w:rFonts w:eastAsia="標楷體" w:cs="Calibri"/>
        </w:rPr>
        <w:t>4.1</w:t>
      </w:r>
      <w:r w:rsidRPr="00D310F7">
        <w:rPr>
          <w:rFonts w:eastAsia="標楷體" w:cs="Calibri"/>
        </w:rPr>
        <w:t>人。</w:t>
      </w:r>
    </w:p>
    <w:p w:rsidR="00121FA0" w:rsidRPr="00D310F7" w:rsidRDefault="00121FA0" w:rsidP="00A30A46">
      <w:pPr>
        <w:pStyle w:val="title2"/>
        <w:numPr>
          <w:ilvl w:val="0"/>
          <w:numId w:val="0"/>
        </w:numPr>
        <w:snapToGrid w:val="0"/>
        <w:spacing w:before="60" w:after="60"/>
        <w:rPr>
          <w:rFonts w:ascii="Calibri" w:hAnsi="Calibri" w:cs="Calibri"/>
          <w:b/>
          <w:color w:val="auto"/>
          <w:sz w:val="28"/>
          <w:szCs w:val="28"/>
          <w:lang w:val="en-US" w:eastAsia="zh-TW"/>
        </w:rPr>
      </w:pPr>
      <w:r>
        <w:br w:type="page"/>
      </w:r>
      <w:bookmarkStart w:id="5" w:name="_Toc379466137"/>
      <w:r w:rsidR="00466446"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lastRenderedPageBreak/>
        <w:t>(</w:t>
      </w:r>
      <w:r w:rsidR="00466446"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t>三</w:t>
      </w:r>
      <w:r w:rsidR="00466446"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t>)</w:t>
      </w:r>
      <w:r w:rsidRPr="00D310F7">
        <w:rPr>
          <w:rFonts w:ascii="Calibri" w:hAnsi="Calibri" w:cs="Calibri"/>
          <w:b/>
          <w:color w:val="auto"/>
          <w:sz w:val="28"/>
          <w:szCs w:val="28"/>
          <w:lang w:val="en-US" w:eastAsia="zh-TW"/>
        </w:rPr>
        <w:t>嬰兒及孕產婦死亡率</w:t>
      </w:r>
      <w:bookmarkEnd w:id="5"/>
    </w:p>
    <w:p w:rsidR="00121FA0" w:rsidRPr="00D310F7" w:rsidRDefault="00121FA0" w:rsidP="001E57B7">
      <w:pPr>
        <w:snapToGrid w:val="0"/>
        <w:spacing w:before="60" w:afterLines="50" w:after="180"/>
        <w:ind w:firstLine="482"/>
        <w:rPr>
          <w:rFonts w:eastAsia="標楷體" w:cs="Calibri"/>
          <w:b/>
          <w:sz w:val="28"/>
          <w:szCs w:val="28"/>
        </w:rPr>
      </w:pPr>
      <w:r w:rsidRPr="00D310F7">
        <w:rPr>
          <w:rFonts w:eastAsia="標楷體" w:cs="Calibri"/>
          <w:b/>
          <w:sz w:val="28"/>
          <w:szCs w:val="28"/>
        </w:rPr>
        <w:t>我國嬰兒死亡率高於</w:t>
      </w:r>
      <w:r w:rsidRPr="00D310F7">
        <w:rPr>
          <w:rFonts w:eastAsia="標楷體" w:cs="Calibri"/>
          <w:b/>
          <w:sz w:val="28"/>
          <w:szCs w:val="28"/>
        </w:rPr>
        <w:t>OECD</w:t>
      </w:r>
      <w:r w:rsidRPr="00D310F7">
        <w:rPr>
          <w:rFonts w:eastAsia="標楷體" w:cs="Calibri"/>
          <w:b/>
          <w:sz w:val="28"/>
          <w:szCs w:val="28"/>
        </w:rPr>
        <w:t>中位數，孕產婦死亡率則低於</w:t>
      </w:r>
      <w:r w:rsidRPr="00D310F7">
        <w:rPr>
          <w:rFonts w:eastAsia="標楷體" w:cs="Calibri"/>
          <w:b/>
          <w:sz w:val="28"/>
          <w:szCs w:val="28"/>
        </w:rPr>
        <w:t>OECD</w:t>
      </w:r>
      <w:r w:rsidRPr="00D310F7">
        <w:rPr>
          <w:rFonts w:eastAsia="標楷體" w:cs="Calibri"/>
          <w:b/>
          <w:sz w:val="28"/>
          <w:szCs w:val="28"/>
        </w:rPr>
        <w:t>中位數。</w:t>
      </w:r>
    </w:p>
    <w:p w:rsidR="00121FA0" w:rsidRDefault="00A45ADB" w:rsidP="00B055B6">
      <w:pPr>
        <w:jc w:val="center"/>
        <w:rPr>
          <w:rFonts w:eastAsia="標楷體"/>
          <w:b/>
          <w:bCs/>
          <w:sz w:val="28"/>
        </w:rPr>
      </w:pPr>
      <w:r>
        <w:rPr>
          <w:rFonts w:hint="eastAsia"/>
          <w:noProof/>
        </w:rPr>
        <w:drawing>
          <wp:inline distT="0" distB="0" distL="0" distR="0">
            <wp:extent cx="5715000" cy="649859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49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FA0" w:rsidRPr="00D310F7" w:rsidRDefault="00121FA0" w:rsidP="00D15E1F">
      <w:pPr>
        <w:snapToGrid w:val="0"/>
        <w:spacing w:before="240" w:after="60" w:line="360" w:lineRule="auto"/>
        <w:ind w:firstLine="482"/>
        <w:rPr>
          <w:rFonts w:eastAsia="標楷體" w:cs="Calibri"/>
        </w:rPr>
      </w:pPr>
      <w:r w:rsidRPr="00D310F7">
        <w:rPr>
          <w:rFonts w:eastAsia="標楷體" w:cs="Calibri"/>
        </w:rPr>
        <w:t>2010</w:t>
      </w:r>
      <w:r w:rsidRPr="00D310F7">
        <w:rPr>
          <w:rFonts w:eastAsia="標楷體" w:cs="Calibri"/>
        </w:rPr>
        <w:t>年我國嬰兒死亡率為每千名活產嬰兒</w:t>
      </w:r>
      <w:r w:rsidRPr="00D310F7">
        <w:rPr>
          <w:rFonts w:eastAsia="標楷體" w:cs="Calibri"/>
        </w:rPr>
        <w:t>4.2</w:t>
      </w:r>
      <w:r w:rsidRPr="00D310F7">
        <w:rPr>
          <w:rFonts w:eastAsia="標楷體" w:cs="Calibri"/>
        </w:rPr>
        <w:t>人，較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中位數高</w:t>
      </w:r>
      <w:r w:rsidRPr="00D310F7">
        <w:rPr>
          <w:rFonts w:eastAsia="標楷體" w:cs="Calibri"/>
        </w:rPr>
        <w:t>0.6</w:t>
      </w:r>
      <w:r w:rsidRPr="00D310F7">
        <w:rPr>
          <w:rFonts w:eastAsia="標楷體" w:cs="Calibri"/>
        </w:rPr>
        <w:t>個千分點；新生兒死亡率</w:t>
      </w:r>
      <w:r w:rsidRPr="00D310F7">
        <w:rPr>
          <w:rFonts w:eastAsia="標楷體" w:cs="Calibri"/>
          <w:szCs w:val="28"/>
          <w:lang w:val="zh-TW"/>
        </w:rPr>
        <w:t>(</w:t>
      </w:r>
      <w:r w:rsidRPr="00D310F7">
        <w:rPr>
          <w:rFonts w:eastAsia="標楷體" w:cs="Calibri"/>
          <w:szCs w:val="28"/>
          <w:lang w:val="zh-TW"/>
        </w:rPr>
        <w:t>出生</w:t>
      </w:r>
      <w:r w:rsidRPr="00D310F7">
        <w:rPr>
          <w:rFonts w:eastAsia="標楷體" w:cs="Calibri"/>
          <w:szCs w:val="28"/>
          <w:lang w:val="zh-TW"/>
        </w:rPr>
        <w:t>28</w:t>
      </w:r>
      <w:r w:rsidRPr="00D310F7">
        <w:rPr>
          <w:rFonts w:eastAsia="標楷體" w:cs="Calibri"/>
          <w:szCs w:val="28"/>
          <w:lang w:val="zh-TW"/>
        </w:rPr>
        <w:t>天以下之新生兒死亡</w:t>
      </w:r>
      <w:r w:rsidRPr="00D310F7">
        <w:rPr>
          <w:rFonts w:eastAsia="標楷體" w:cs="Calibri"/>
          <w:szCs w:val="28"/>
          <w:lang w:val="zh-TW"/>
        </w:rPr>
        <w:t>)</w:t>
      </w:r>
      <w:r w:rsidRPr="00D310F7">
        <w:rPr>
          <w:rFonts w:eastAsia="標楷體" w:cs="Calibri"/>
        </w:rPr>
        <w:t>則為每千名活產嬰兒</w:t>
      </w:r>
      <w:r w:rsidRPr="00D310F7">
        <w:rPr>
          <w:rFonts w:eastAsia="標楷體" w:cs="Calibri"/>
        </w:rPr>
        <w:t>2.6</w:t>
      </w:r>
      <w:r w:rsidRPr="00D310F7">
        <w:rPr>
          <w:rFonts w:eastAsia="標楷體" w:cs="Calibri"/>
        </w:rPr>
        <w:t>人，較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中位數高</w:t>
      </w:r>
      <w:r w:rsidRPr="00D310F7">
        <w:rPr>
          <w:rFonts w:eastAsia="標楷體" w:cs="Calibri"/>
        </w:rPr>
        <w:t>0.1</w:t>
      </w:r>
      <w:r w:rsidRPr="00D310F7">
        <w:rPr>
          <w:rFonts w:eastAsia="標楷體" w:cs="Calibri"/>
        </w:rPr>
        <w:t>個千分點；孕產婦死亡率則為每十萬名活產嬰兒</w:t>
      </w:r>
      <w:r w:rsidRPr="00D310F7">
        <w:rPr>
          <w:rFonts w:eastAsia="標楷體" w:cs="Calibri"/>
        </w:rPr>
        <w:t>4.2</w:t>
      </w:r>
      <w:r w:rsidRPr="00D310F7">
        <w:rPr>
          <w:rFonts w:eastAsia="標楷體" w:cs="Calibri"/>
        </w:rPr>
        <w:t>人，較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中位數低</w:t>
      </w:r>
      <w:r w:rsidRPr="00D310F7">
        <w:rPr>
          <w:rFonts w:eastAsia="標楷體" w:cs="Calibri"/>
        </w:rPr>
        <w:t>0.7</w:t>
      </w:r>
      <w:r w:rsidRPr="00D310F7">
        <w:rPr>
          <w:rFonts w:eastAsia="標楷體" w:cs="Calibri"/>
        </w:rPr>
        <w:t>個十萬分點。</w:t>
      </w:r>
    </w:p>
    <w:p w:rsidR="00121FA0" w:rsidRPr="00D310F7" w:rsidRDefault="00121FA0" w:rsidP="00A30A46">
      <w:pPr>
        <w:pStyle w:val="title2"/>
        <w:numPr>
          <w:ilvl w:val="0"/>
          <w:numId w:val="0"/>
        </w:numPr>
        <w:snapToGrid w:val="0"/>
        <w:spacing w:before="60" w:after="60"/>
        <w:rPr>
          <w:rFonts w:ascii="Calibri" w:hAnsi="Calibri" w:cs="Calibri"/>
          <w:b/>
          <w:color w:val="auto"/>
          <w:sz w:val="28"/>
          <w:szCs w:val="28"/>
          <w:lang w:val="en-US" w:eastAsia="zh-TW"/>
        </w:rPr>
      </w:pPr>
      <w:r>
        <w:br w:type="page"/>
      </w:r>
      <w:bookmarkStart w:id="6" w:name="_Toc379466138"/>
      <w:r w:rsidR="00466446"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lastRenderedPageBreak/>
        <w:t>(</w:t>
      </w:r>
      <w:r w:rsidR="00466446"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t>四</w:t>
      </w:r>
      <w:r w:rsidR="00466446"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t>)</w:t>
      </w:r>
      <w:r w:rsidRPr="00D310F7">
        <w:rPr>
          <w:rFonts w:ascii="Calibri" w:hAnsi="Calibri" w:cs="Calibri"/>
          <w:b/>
          <w:color w:val="auto"/>
          <w:sz w:val="28"/>
          <w:szCs w:val="28"/>
          <w:lang w:val="en-US" w:eastAsia="zh-TW"/>
        </w:rPr>
        <w:t>惡性腫瘤標準化死亡率</w:t>
      </w:r>
      <w:bookmarkEnd w:id="6"/>
    </w:p>
    <w:p w:rsidR="00121FA0" w:rsidRPr="00D310F7" w:rsidRDefault="00121FA0" w:rsidP="001E57B7">
      <w:pPr>
        <w:snapToGrid w:val="0"/>
        <w:spacing w:before="60"/>
        <w:ind w:firstLine="482"/>
        <w:rPr>
          <w:rFonts w:eastAsia="標楷體" w:cs="Calibri"/>
          <w:b/>
          <w:sz w:val="28"/>
          <w:szCs w:val="28"/>
        </w:rPr>
      </w:pPr>
      <w:r w:rsidRPr="00D310F7">
        <w:rPr>
          <w:rFonts w:eastAsia="標楷體" w:cs="Calibri"/>
          <w:b/>
          <w:sz w:val="28"/>
          <w:szCs w:val="28"/>
        </w:rPr>
        <w:t>我國癌症之標準化死亡率相當於</w:t>
      </w:r>
      <w:r w:rsidRPr="00D310F7">
        <w:rPr>
          <w:rFonts w:eastAsia="標楷體" w:cs="Calibri"/>
          <w:b/>
          <w:sz w:val="28"/>
          <w:szCs w:val="28"/>
        </w:rPr>
        <w:t>OECD</w:t>
      </w:r>
      <w:r w:rsidRPr="00D310F7">
        <w:rPr>
          <w:rFonts w:eastAsia="標楷體" w:cs="Calibri"/>
          <w:b/>
          <w:sz w:val="28"/>
          <w:szCs w:val="28"/>
        </w:rPr>
        <w:t>會員國之第</w:t>
      </w:r>
      <w:r w:rsidRPr="00D310F7">
        <w:rPr>
          <w:rFonts w:eastAsia="標楷體" w:cs="Calibri"/>
          <w:b/>
          <w:sz w:val="28"/>
          <w:szCs w:val="28"/>
        </w:rPr>
        <w:t>18</w:t>
      </w:r>
      <w:r w:rsidRPr="00D310F7">
        <w:rPr>
          <w:rFonts w:eastAsia="標楷體" w:cs="Calibri"/>
          <w:b/>
          <w:sz w:val="28"/>
          <w:szCs w:val="28"/>
        </w:rPr>
        <w:t>位。</w:t>
      </w:r>
    </w:p>
    <w:p w:rsidR="00121FA0" w:rsidRPr="00121FA0" w:rsidRDefault="00A45ADB" w:rsidP="00B055B6">
      <w:pPr>
        <w:spacing w:before="72"/>
        <w:ind w:hanging="993"/>
      </w:pPr>
      <w:r>
        <w:rPr>
          <w:noProof/>
        </w:rPr>
        <w:drawing>
          <wp:inline distT="0" distB="0" distL="0" distR="0">
            <wp:extent cx="7216775" cy="4521835"/>
            <wp:effectExtent l="0" t="0" r="3175" b="0"/>
            <wp:docPr id="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6775" cy="452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1FA0" w:rsidRDefault="00121FA0" w:rsidP="00121FA0">
      <w:pPr>
        <w:jc w:val="center"/>
        <w:rPr>
          <w:noProof/>
        </w:rPr>
      </w:pPr>
      <w:r>
        <w:rPr>
          <w:rFonts w:eastAsia="標楷體"/>
          <w:b/>
          <w:bCs/>
          <w:sz w:val="28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5312410" cy="6335395"/>
            <wp:effectExtent l="0" t="0" r="2540" b="825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10" cy="633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FA0" w:rsidRPr="00D310F7" w:rsidRDefault="00121FA0" w:rsidP="00D15E1F">
      <w:pPr>
        <w:snapToGrid w:val="0"/>
        <w:spacing w:before="240" w:after="60" w:line="360" w:lineRule="auto"/>
        <w:ind w:firstLine="482"/>
        <w:rPr>
          <w:rFonts w:eastAsia="標楷體" w:cs="Calibri"/>
        </w:rPr>
      </w:pPr>
      <w:r w:rsidRPr="00D310F7">
        <w:rPr>
          <w:rFonts w:eastAsia="標楷體" w:cs="Calibri"/>
        </w:rPr>
        <w:t>以</w:t>
      </w:r>
      <w:r w:rsidRPr="00D310F7">
        <w:rPr>
          <w:rFonts w:eastAsia="標楷體" w:cs="Calibri"/>
        </w:rPr>
        <w:t>2010</w:t>
      </w:r>
      <w:r w:rsidRPr="00D310F7">
        <w:rPr>
          <w:rFonts w:eastAsia="標楷體" w:cs="Calibri"/>
        </w:rPr>
        <w:t>年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標準化人口計算，</w:t>
      </w:r>
      <w:r w:rsidRPr="00D310F7">
        <w:rPr>
          <w:rFonts w:eastAsia="標楷體" w:cs="Calibri"/>
        </w:rPr>
        <w:t>2010</w:t>
      </w:r>
      <w:r w:rsidRPr="00D310F7">
        <w:rPr>
          <w:rFonts w:eastAsia="標楷體" w:cs="Calibri"/>
        </w:rPr>
        <w:t>年我國癌症標準化死亡率為每十萬</w:t>
      </w:r>
      <w:r w:rsidRPr="00D310F7">
        <w:rPr>
          <w:rFonts w:eastAsia="標楷體" w:cs="Calibri"/>
        </w:rPr>
        <w:t>220.4</w:t>
      </w:r>
      <w:r w:rsidRPr="00D310F7">
        <w:rPr>
          <w:rFonts w:eastAsia="標楷體" w:cs="Calibri"/>
        </w:rPr>
        <w:t>人，高於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會員國中位數每十萬</w:t>
      </w:r>
      <w:r w:rsidRPr="00D310F7">
        <w:rPr>
          <w:rFonts w:eastAsia="標楷體" w:cs="Calibri"/>
        </w:rPr>
        <w:t>206.6</w:t>
      </w:r>
      <w:r w:rsidRPr="00D310F7">
        <w:rPr>
          <w:rFonts w:eastAsia="標楷體" w:cs="Calibri"/>
        </w:rPr>
        <w:t>人，相當於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18</w:t>
      </w:r>
      <w:r w:rsidRPr="00D310F7">
        <w:rPr>
          <w:rFonts w:eastAsia="標楷體" w:cs="Calibri"/>
        </w:rPr>
        <w:t>位。</w:t>
      </w:r>
    </w:p>
    <w:p w:rsidR="00466446" w:rsidRDefault="00121FA0" w:rsidP="00D15E1F">
      <w:pPr>
        <w:snapToGrid w:val="0"/>
        <w:spacing w:before="60" w:after="60" w:line="360" w:lineRule="auto"/>
        <w:ind w:firstLine="482"/>
      </w:pPr>
      <w:r w:rsidRPr="00D310F7">
        <w:rPr>
          <w:rFonts w:eastAsia="標楷體" w:cs="Calibri"/>
        </w:rPr>
        <w:t>若依性別之死因分，我國男性癌症標準化死亡率高於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中位數，女性則低於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中位數，位居第四象限；其中男性標準化死亡率為每十萬</w:t>
      </w:r>
      <w:r w:rsidRPr="00D310F7">
        <w:rPr>
          <w:rFonts w:eastAsia="標楷體" w:cs="Calibri"/>
        </w:rPr>
        <w:t>285.9</w:t>
      </w:r>
      <w:r w:rsidRPr="00D310F7">
        <w:rPr>
          <w:rFonts w:eastAsia="標楷體" w:cs="Calibri"/>
        </w:rPr>
        <w:t>人，女性為</w:t>
      </w:r>
      <w:r w:rsidRPr="00D310F7">
        <w:rPr>
          <w:rFonts w:eastAsia="標楷體" w:cs="Calibri"/>
        </w:rPr>
        <w:t>158.4</w:t>
      </w:r>
      <w:r w:rsidRPr="00D310F7">
        <w:rPr>
          <w:rFonts w:eastAsia="標楷體" w:cs="Calibri"/>
        </w:rPr>
        <w:t>人，分別相當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會員國中第</w:t>
      </w:r>
      <w:r w:rsidRPr="00D310F7">
        <w:rPr>
          <w:rFonts w:eastAsia="標楷體" w:cs="Calibri"/>
        </w:rPr>
        <w:t>20</w:t>
      </w:r>
      <w:r w:rsidRPr="00D310F7">
        <w:rPr>
          <w:rFonts w:eastAsia="標楷體" w:cs="Calibri"/>
        </w:rPr>
        <w:t>名及</w:t>
      </w:r>
      <w:r w:rsidRPr="00D310F7">
        <w:rPr>
          <w:rFonts w:eastAsia="標楷體" w:cs="Calibri"/>
        </w:rPr>
        <w:t>11</w:t>
      </w:r>
      <w:r w:rsidRPr="00D310F7">
        <w:rPr>
          <w:rFonts w:eastAsia="標楷體" w:cs="Calibri"/>
        </w:rPr>
        <w:t>名。</w:t>
      </w:r>
    </w:p>
    <w:p w:rsidR="00466446" w:rsidRPr="00D310F7" w:rsidRDefault="00466446" w:rsidP="00A30A46">
      <w:pPr>
        <w:pStyle w:val="title2"/>
        <w:numPr>
          <w:ilvl w:val="0"/>
          <w:numId w:val="0"/>
        </w:numPr>
        <w:snapToGrid w:val="0"/>
        <w:spacing w:before="60" w:after="60"/>
        <w:rPr>
          <w:rFonts w:ascii="Calibri" w:hAnsi="Calibri" w:cs="Calibri"/>
          <w:b/>
          <w:color w:val="auto"/>
          <w:sz w:val="28"/>
          <w:szCs w:val="28"/>
        </w:rPr>
      </w:pPr>
      <w:r>
        <w:br w:type="page"/>
      </w:r>
      <w:bookmarkStart w:id="7" w:name="_Toc379466139"/>
      <w:r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lastRenderedPageBreak/>
        <w:t>(</w:t>
      </w:r>
      <w:r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t>五</w:t>
      </w:r>
      <w:r w:rsidRPr="00D310F7">
        <w:rPr>
          <w:rFonts w:ascii="Calibri" w:hAnsi="Calibri" w:cs="Calibri"/>
          <w:b/>
          <w:color w:val="auto"/>
          <w:sz w:val="28"/>
          <w:szCs w:val="28"/>
          <w:lang w:eastAsia="zh-TW"/>
        </w:rPr>
        <w:t>)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蓄意自我傷害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(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自殺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)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標準化死亡率</w:t>
      </w:r>
      <w:bookmarkEnd w:id="7"/>
    </w:p>
    <w:p w:rsidR="00466446" w:rsidRPr="00D310F7" w:rsidRDefault="00466446" w:rsidP="00CE6CA2">
      <w:pPr>
        <w:pStyle w:val="notenote"/>
        <w:snapToGrid w:val="0"/>
        <w:spacing w:beforeLines="0" w:before="60"/>
        <w:rPr>
          <w:rFonts w:ascii="Calibri" w:hAnsi="Calibri" w:cs="Calibri"/>
          <w:b/>
          <w:color w:val="auto"/>
          <w:sz w:val="28"/>
          <w:szCs w:val="28"/>
        </w:rPr>
      </w:pPr>
      <w:r w:rsidRPr="00D310F7">
        <w:rPr>
          <w:rFonts w:ascii="Calibri" w:hAnsi="Calibri" w:cs="Calibri"/>
          <w:b/>
          <w:color w:val="auto"/>
          <w:sz w:val="28"/>
          <w:szCs w:val="28"/>
        </w:rPr>
        <w:t>我國自殺之標準化死亡率相當於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OECD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會員國之第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23</w:t>
      </w:r>
      <w:r w:rsidRPr="00D310F7">
        <w:rPr>
          <w:rFonts w:ascii="Calibri" w:hAnsi="Calibri" w:cs="Calibri"/>
          <w:b/>
          <w:color w:val="auto"/>
          <w:sz w:val="28"/>
          <w:szCs w:val="28"/>
        </w:rPr>
        <w:t>位。</w:t>
      </w:r>
    </w:p>
    <w:p w:rsidR="00466446" w:rsidRDefault="00A45ADB" w:rsidP="00B055B6">
      <w:pPr>
        <w:ind w:hanging="993"/>
        <w:rPr>
          <w:rFonts w:eastAsia="標楷體"/>
          <w:b/>
          <w:bCs/>
          <w:sz w:val="28"/>
        </w:rPr>
      </w:pPr>
      <w:r>
        <w:rPr>
          <w:rFonts w:eastAsia="標楷體"/>
          <w:b/>
          <w:bCs/>
          <w:noProof/>
          <w:sz w:val="28"/>
        </w:rPr>
        <w:drawing>
          <wp:inline distT="0" distB="0" distL="0" distR="0">
            <wp:extent cx="7220585" cy="5494655"/>
            <wp:effectExtent l="0" t="0" r="0" b="0"/>
            <wp:docPr id="1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585" cy="549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6446" w:rsidRDefault="00466446" w:rsidP="00B055B6">
      <w:pPr>
        <w:jc w:val="center"/>
        <w:rPr>
          <w:rFonts w:eastAsia="標楷體"/>
          <w:b/>
          <w:bCs/>
          <w:sz w:val="28"/>
        </w:rPr>
      </w:pPr>
      <w:r>
        <w:rPr>
          <w:rFonts w:eastAsia="標楷體"/>
          <w:b/>
          <w:bCs/>
          <w:sz w:val="28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5541010" cy="6466205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10" cy="646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721" w:rsidRPr="00D310F7" w:rsidRDefault="00F40721" w:rsidP="00D15E1F">
      <w:pPr>
        <w:snapToGrid w:val="0"/>
        <w:spacing w:before="240" w:after="60" w:line="360" w:lineRule="auto"/>
        <w:ind w:firstLine="482"/>
        <w:rPr>
          <w:rFonts w:eastAsia="標楷體" w:cs="Calibri"/>
          <w:color w:val="000000"/>
          <w:szCs w:val="24"/>
        </w:rPr>
      </w:pPr>
      <w:r w:rsidRPr="00D310F7">
        <w:rPr>
          <w:rFonts w:eastAsia="標楷體" w:cs="Calibri"/>
          <w:color w:val="000000"/>
          <w:szCs w:val="24"/>
        </w:rPr>
        <w:t>以</w:t>
      </w:r>
      <w:r w:rsidRPr="00D310F7">
        <w:rPr>
          <w:rFonts w:eastAsia="標楷體" w:cs="Calibri"/>
          <w:color w:val="000000"/>
          <w:szCs w:val="24"/>
        </w:rPr>
        <w:t>2010</w:t>
      </w:r>
      <w:r w:rsidRPr="00D310F7">
        <w:rPr>
          <w:rFonts w:eastAsia="標楷體" w:cs="Calibri"/>
          <w:color w:val="000000"/>
          <w:szCs w:val="24"/>
        </w:rPr>
        <w:t>年</w:t>
      </w:r>
      <w:r w:rsidRPr="00D310F7">
        <w:rPr>
          <w:rFonts w:eastAsia="標楷體" w:cs="Calibri"/>
          <w:color w:val="000000"/>
          <w:szCs w:val="24"/>
        </w:rPr>
        <w:t>OECD</w:t>
      </w:r>
      <w:r w:rsidRPr="00D310F7">
        <w:rPr>
          <w:rFonts w:eastAsia="標楷體" w:cs="Calibri"/>
          <w:color w:val="000000"/>
          <w:szCs w:val="24"/>
        </w:rPr>
        <w:t>標準化人口計算，</w:t>
      </w:r>
      <w:r w:rsidRPr="00D310F7">
        <w:rPr>
          <w:rFonts w:eastAsia="標楷體" w:cs="Calibri"/>
          <w:color w:val="000000"/>
          <w:szCs w:val="24"/>
        </w:rPr>
        <w:t>2010</w:t>
      </w:r>
      <w:r w:rsidRPr="00D310F7">
        <w:rPr>
          <w:rFonts w:eastAsia="標楷體" w:cs="Calibri"/>
          <w:color w:val="000000"/>
          <w:szCs w:val="24"/>
        </w:rPr>
        <w:t>年我國自殺標準化死亡率為每十萬</w:t>
      </w:r>
      <w:r w:rsidRPr="00D310F7">
        <w:rPr>
          <w:rFonts w:eastAsia="標楷體" w:cs="Calibri"/>
          <w:color w:val="000000"/>
          <w:szCs w:val="24"/>
        </w:rPr>
        <w:t>17.1</w:t>
      </w:r>
      <w:r w:rsidRPr="00D310F7">
        <w:rPr>
          <w:rFonts w:eastAsia="標楷體" w:cs="Calibri"/>
          <w:color w:val="000000"/>
          <w:szCs w:val="24"/>
        </w:rPr>
        <w:t>人，高於</w:t>
      </w:r>
      <w:r w:rsidRPr="00D310F7">
        <w:rPr>
          <w:rFonts w:eastAsia="標楷體" w:cs="Calibri"/>
          <w:color w:val="000000"/>
          <w:szCs w:val="24"/>
        </w:rPr>
        <w:t>OECD</w:t>
      </w:r>
      <w:r w:rsidRPr="00D310F7">
        <w:rPr>
          <w:rFonts w:eastAsia="標楷體" w:cs="Calibri"/>
          <w:color w:val="000000"/>
          <w:szCs w:val="24"/>
        </w:rPr>
        <w:t>會員國中位數每十萬</w:t>
      </w:r>
      <w:r w:rsidRPr="00D310F7">
        <w:rPr>
          <w:rFonts w:eastAsia="標楷體" w:cs="Calibri"/>
          <w:color w:val="000000"/>
          <w:szCs w:val="24"/>
        </w:rPr>
        <w:t>11.3</w:t>
      </w:r>
      <w:r w:rsidRPr="00D310F7">
        <w:rPr>
          <w:rFonts w:eastAsia="標楷體" w:cs="Calibri"/>
          <w:color w:val="000000"/>
          <w:szCs w:val="24"/>
        </w:rPr>
        <w:t>人</w:t>
      </w:r>
      <w:r w:rsidRPr="00D310F7">
        <w:rPr>
          <w:rFonts w:eastAsia="標楷體" w:cs="Calibri"/>
          <w:color w:val="000000"/>
          <w:szCs w:val="24"/>
        </w:rPr>
        <w:t xml:space="preserve"> </w:t>
      </w:r>
      <w:r w:rsidRPr="00D310F7">
        <w:rPr>
          <w:rFonts w:eastAsia="標楷體" w:cs="Calibri"/>
          <w:color w:val="000000"/>
          <w:szCs w:val="24"/>
        </w:rPr>
        <w:t>，相當於</w:t>
      </w:r>
      <w:r w:rsidRPr="00D310F7">
        <w:rPr>
          <w:rFonts w:eastAsia="標楷體" w:cs="Calibri"/>
          <w:color w:val="000000"/>
          <w:szCs w:val="24"/>
        </w:rPr>
        <w:t>OECD</w:t>
      </w:r>
      <w:r w:rsidRPr="00D310F7">
        <w:rPr>
          <w:rFonts w:eastAsia="標楷體" w:cs="Calibri"/>
          <w:color w:val="000000"/>
          <w:szCs w:val="24"/>
        </w:rPr>
        <w:t>會員國之第</w:t>
      </w:r>
      <w:r w:rsidRPr="00D310F7">
        <w:rPr>
          <w:rFonts w:eastAsia="標楷體" w:cs="Calibri"/>
          <w:color w:val="000000"/>
          <w:szCs w:val="24"/>
        </w:rPr>
        <w:t>23</w:t>
      </w:r>
      <w:r w:rsidRPr="00D310F7">
        <w:rPr>
          <w:rFonts w:eastAsia="標楷體" w:cs="Calibri"/>
          <w:color w:val="000000"/>
          <w:szCs w:val="24"/>
        </w:rPr>
        <w:t>位。</w:t>
      </w:r>
    </w:p>
    <w:p w:rsidR="002079A1" w:rsidRDefault="00F40721" w:rsidP="00D15E1F">
      <w:pPr>
        <w:snapToGrid w:val="0"/>
        <w:spacing w:before="60" w:after="60" w:line="360" w:lineRule="auto"/>
        <w:ind w:firstLine="482"/>
        <w:jc w:val="both"/>
        <w:rPr>
          <w:rFonts w:ascii="Times New Roman" w:eastAsia="標楷體" w:hAnsi="Times New Roman"/>
          <w:color w:val="000000"/>
          <w:szCs w:val="24"/>
        </w:rPr>
      </w:pPr>
      <w:r w:rsidRPr="00D310F7">
        <w:rPr>
          <w:rFonts w:eastAsia="標楷體" w:cs="Calibri"/>
          <w:color w:val="000000"/>
          <w:szCs w:val="24"/>
        </w:rPr>
        <w:t>若依性別之死因分，我國男、女兩性自殺標準化死亡率均高於</w:t>
      </w:r>
      <w:r w:rsidRPr="00D310F7">
        <w:rPr>
          <w:rFonts w:eastAsia="標楷體" w:cs="Calibri"/>
          <w:color w:val="000000"/>
          <w:szCs w:val="24"/>
        </w:rPr>
        <w:t>OECD</w:t>
      </w:r>
      <w:r w:rsidRPr="00D310F7">
        <w:rPr>
          <w:rFonts w:eastAsia="標楷體" w:cs="Calibri"/>
          <w:color w:val="000000"/>
          <w:szCs w:val="24"/>
        </w:rPr>
        <w:t>中位數，位居第一象限；分別為每十萬</w:t>
      </w:r>
      <w:r w:rsidRPr="00D310F7">
        <w:rPr>
          <w:rFonts w:eastAsia="標楷體" w:cs="Calibri"/>
          <w:color w:val="000000"/>
          <w:szCs w:val="24"/>
        </w:rPr>
        <w:t>23.4</w:t>
      </w:r>
      <w:r w:rsidRPr="00D310F7">
        <w:rPr>
          <w:rFonts w:eastAsia="標楷體" w:cs="Calibri"/>
          <w:color w:val="000000"/>
          <w:szCs w:val="24"/>
        </w:rPr>
        <w:t>人及</w:t>
      </w:r>
      <w:r w:rsidRPr="00D310F7">
        <w:rPr>
          <w:rFonts w:eastAsia="標楷體" w:cs="Calibri"/>
          <w:color w:val="000000"/>
          <w:szCs w:val="24"/>
        </w:rPr>
        <w:t>10.9</w:t>
      </w:r>
      <w:r w:rsidRPr="00D310F7">
        <w:rPr>
          <w:rFonts w:eastAsia="標楷體" w:cs="Calibri"/>
          <w:color w:val="000000"/>
          <w:szCs w:val="24"/>
        </w:rPr>
        <w:t>人，分別相當</w:t>
      </w:r>
      <w:r w:rsidRPr="00D310F7">
        <w:rPr>
          <w:rFonts w:eastAsia="標楷體" w:cs="Calibri"/>
          <w:color w:val="000000"/>
          <w:szCs w:val="24"/>
        </w:rPr>
        <w:t>OECD</w:t>
      </w:r>
      <w:r w:rsidRPr="00D310F7">
        <w:rPr>
          <w:rFonts w:eastAsia="標楷體" w:cs="Calibri"/>
          <w:color w:val="000000"/>
          <w:szCs w:val="24"/>
        </w:rPr>
        <w:t>會員國中第</w:t>
      </w:r>
      <w:r w:rsidRPr="00D310F7">
        <w:rPr>
          <w:rFonts w:eastAsia="標楷體" w:cs="Calibri"/>
          <w:color w:val="000000"/>
          <w:szCs w:val="24"/>
        </w:rPr>
        <w:t>20</w:t>
      </w:r>
      <w:r w:rsidRPr="00D310F7">
        <w:rPr>
          <w:rFonts w:eastAsia="標楷體" w:cs="Calibri"/>
          <w:color w:val="000000"/>
          <w:szCs w:val="24"/>
        </w:rPr>
        <w:t>名及</w:t>
      </w:r>
      <w:r w:rsidRPr="00D310F7">
        <w:rPr>
          <w:rFonts w:eastAsia="標楷體" w:cs="Calibri"/>
          <w:color w:val="000000"/>
          <w:szCs w:val="24"/>
        </w:rPr>
        <w:t>26</w:t>
      </w:r>
      <w:r w:rsidRPr="00D310F7">
        <w:rPr>
          <w:rFonts w:eastAsia="標楷體" w:cs="Calibri"/>
          <w:color w:val="000000"/>
          <w:szCs w:val="24"/>
        </w:rPr>
        <w:t>名，女性自殺死亡率僅低於韓國與日本。</w:t>
      </w:r>
    </w:p>
    <w:p w:rsidR="00F40721" w:rsidRPr="00D310F7" w:rsidRDefault="00F40721" w:rsidP="00A30A46">
      <w:pPr>
        <w:pStyle w:val="1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8"/>
        </w:rPr>
      </w:pPr>
      <w:r>
        <w:rPr>
          <w:rFonts w:eastAsia="標楷體"/>
          <w:b w:val="0"/>
          <w:bCs w:val="0"/>
          <w:sz w:val="28"/>
        </w:rPr>
        <w:br w:type="page"/>
      </w:r>
      <w:bookmarkStart w:id="8" w:name="_Toc379466140"/>
      <w:r w:rsidRPr="00D310F7">
        <w:rPr>
          <w:rFonts w:ascii="Calibri" w:eastAsia="標楷體" w:hAnsi="Calibri" w:cs="Calibri"/>
          <w:sz w:val="28"/>
          <w:szCs w:val="28"/>
        </w:rPr>
        <w:lastRenderedPageBreak/>
        <w:t>二、醫療資源及利用</w:t>
      </w:r>
      <w:bookmarkEnd w:id="8"/>
    </w:p>
    <w:p w:rsidR="00F40721" w:rsidRPr="00D310F7" w:rsidRDefault="00F40721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8"/>
        </w:rPr>
      </w:pPr>
      <w:bookmarkStart w:id="9" w:name="_Toc379466141"/>
      <w:r w:rsidRPr="00D310F7">
        <w:rPr>
          <w:rFonts w:ascii="Calibri" w:eastAsia="標楷體" w:hAnsi="Calibri" w:cs="Calibri"/>
          <w:sz w:val="28"/>
          <w:szCs w:val="28"/>
        </w:rPr>
        <w:t>(</w:t>
      </w:r>
      <w:r w:rsidRPr="00D310F7">
        <w:rPr>
          <w:rFonts w:ascii="Calibri" w:eastAsia="標楷體" w:hAnsi="Calibri" w:cs="Calibri"/>
          <w:sz w:val="28"/>
          <w:szCs w:val="28"/>
        </w:rPr>
        <w:t>一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r w:rsidRPr="00D310F7">
        <w:rPr>
          <w:rFonts w:ascii="Calibri" w:eastAsia="標楷體" w:hAnsi="Calibri" w:cs="Calibri"/>
          <w:sz w:val="28"/>
          <w:szCs w:val="28"/>
        </w:rPr>
        <w:t>醫療資源</w:t>
      </w:r>
      <w:r w:rsidRPr="00D310F7">
        <w:rPr>
          <w:rFonts w:ascii="Calibri" w:eastAsia="標楷體" w:hAnsi="Calibri" w:cs="Calibri"/>
          <w:sz w:val="28"/>
          <w:szCs w:val="28"/>
        </w:rPr>
        <w:t>(</w:t>
      </w:r>
      <w:r w:rsidRPr="00D310F7">
        <w:rPr>
          <w:rFonts w:ascii="Calibri" w:eastAsia="標楷體" w:hAnsi="Calibri" w:cs="Calibri"/>
          <w:sz w:val="28"/>
          <w:szCs w:val="28"/>
        </w:rPr>
        <w:t>醫護比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bookmarkEnd w:id="9"/>
    </w:p>
    <w:p w:rsidR="00F40721" w:rsidRPr="00D310F7" w:rsidRDefault="00F40721" w:rsidP="00A30A46">
      <w:pPr>
        <w:snapToGrid w:val="0"/>
        <w:spacing w:before="60" w:after="60"/>
        <w:ind w:firstLineChars="170" w:firstLine="476"/>
        <w:rPr>
          <w:rFonts w:eastAsia="標楷體" w:cs="Calibri"/>
          <w:b/>
          <w:bCs/>
          <w:sz w:val="28"/>
          <w:szCs w:val="28"/>
        </w:rPr>
      </w:pPr>
      <w:r w:rsidRPr="00D310F7">
        <w:rPr>
          <w:rFonts w:eastAsia="標楷體" w:cs="Calibri"/>
          <w:b/>
          <w:bCs/>
          <w:sz w:val="28"/>
          <w:szCs w:val="28"/>
        </w:rPr>
        <w:t>2010</w:t>
      </w:r>
      <w:r w:rsidRPr="00D310F7">
        <w:rPr>
          <w:rFonts w:eastAsia="標楷體" w:cs="Calibri"/>
          <w:b/>
          <w:bCs/>
          <w:sz w:val="28"/>
          <w:szCs w:val="28"/>
        </w:rPr>
        <w:t>年我國每位醫師與護理人員數比</w:t>
      </w:r>
      <w:r w:rsidRPr="00D310F7">
        <w:rPr>
          <w:rFonts w:eastAsia="標楷體" w:cs="Calibri"/>
          <w:b/>
          <w:bCs/>
          <w:sz w:val="28"/>
          <w:szCs w:val="28"/>
        </w:rPr>
        <w:t>3.3</w:t>
      </w:r>
      <w:r w:rsidRPr="00D310F7">
        <w:rPr>
          <w:rFonts w:eastAsia="標楷體" w:cs="Calibri"/>
          <w:b/>
          <w:bCs/>
          <w:sz w:val="28"/>
          <w:szCs w:val="28"/>
        </w:rPr>
        <w:t>，高於</w:t>
      </w:r>
      <w:r w:rsidRPr="00D310F7">
        <w:rPr>
          <w:rFonts w:eastAsia="標楷體" w:cs="Calibri"/>
          <w:b/>
          <w:bCs/>
          <w:sz w:val="28"/>
          <w:szCs w:val="28"/>
        </w:rPr>
        <w:t>OECD</w:t>
      </w:r>
      <w:r w:rsidRPr="00D310F7">
        <w:rPr>
          <w:rFonts w:eastAsia="標楷體" w:cs="Calibri"/>
          <w:b/>
          <w:bCs/>
          <w:sz w:val="28"/>
          <w:szCs w:val="28"/>
        </w:rPr>
        <w:t>會員國中位數</w:t>
      </w:r>
      <w:r w:rsidRPr="00D310F7">
        <w:rPr>
          <w:rFonts w:eastAsia="標楷體" w:cs="Calibri"/>
          <w:b/>
          <w:bCs/>
          <w:sz w:val="28"/>
          <w:szCs w:val="28"/>
        </w:rPr>
        <w:t>3.0</w:t>
      </w:r>
      <w:r w:rsidRPr="00D310F7">
        <w:rPr>
          <w:rFonts w:eastAsia="標楷體" w:cs="Calibri"/>
          <w:b/>
          <w:bCs/>
          <w:sz w:val="28"/>
          <w:szCs w:val="28"/>
        </w:rPr>
        <w:t>。</w:t>
      </w:r>
    </w:p>
    <w:p w:rsidR="00915016" w:rsidRPr="00915016" w:rsidRDefault="00A45ADB" w:rsidP="002079A1">
      <w:pPr>
        <w:snapToGrid w:val="0"/>
        <w:jc w:val="center"/>
        <w:rPr>
          <w:rFonts w:ascii="Times New Roman" w:eastAsia="標楷體" w:hAnsi="標楷體"/>
          <w:b/>
          <w:bCs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5638800" cy="6335395"/>
            <wp:effectExtent l="0" t="0" r="0" b="825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633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53B" w:rsidRPr="00D310F7" w:rsidRDefault="00F40721" w:rsidP="0007753B">
      <w:pPr>
        <w:snapToGrid w:val="0"/>
        <w:spacing w:before="240" w:after="60" w:line="360" w:lineRule="auto"/>
        <w:ind w:firstLine="482"/>
        <w:rPr>
          <w:rFonts w:eastAsia="標楷體" w:cs="Calibri"/>
          <w:bCs/>
        </w:rPr>
      </w:pPr>
      <w:r w:rsidRPr="00D310F7">
        <w:rPr>
          <w:rFonts w:eastAsia="標楷體" w:cs="Calibri"/>
          <w:bCs/>
        </w:rPr>
        <w:t>2010</w:t>
      </w:r>
      <w:r w:rsidRPr="00D310F7">
        <w:rPr>
          <w:rFonts w:eastAsia="標楷體" w:cs="Calibri"/>
          <w:bCs/>
        </w:rPr>
        <w:t>年我國平均每千人口西醫師數</w:t>
      </w:r>
      <w:r w:rsidRPr="00D310F7">
        <w:rPr>
          <w:rFonts w:eastAsia="標楷體" w:cs="Calibri"/>
          <w:bCs/>
        </w:rPr>
        <w:t>1.7</w:t>
      </w:r>
      <w:r w:rsidRPr="00D310F7">
        <w:rPr>
          <w:rFonts w:eastAsia="標楷體" w:cs="Calibri"/>
          <w:bCs/>
        </w:rPr>
        <w:t>人，護理人員數</w:t>
      </w:r>
      <w:r w:rsidRPr="00D310F7">
        <w:rPr>
          <w:rFonts w:eastAsia="標楷體" w:cs="Calibri"/>
          <w:bCs/>
        </w:rPr>
        <w:t>5.6</w:t>
      </w:r>
      <w:r w:rsidRPr="00D310F7">
        <w:rPr>
          <w:rFonts w:eastAsia="標楷體" w:cs="Calibri"/>
          <w:bCs/>
        </w:rPr>
        <w:t>人，低於</w:t>
      </w:r>
      <w:r w:rsidRPr="00D310F7">
        <w:rPr>
          <w:rFonts w:eastAsia="標楷體" w:cs="Calibri"/>
          <w:bCs/>
        </w:rPr>
        <w:t>OECD</w:t>
      </w:r>
      <w:r w:rsidRPr="00D310F7">
        <w:rPr>
          <w:rFonts w:eastAsia="標楷體" w:cs="Calibri"/>
          <w:bCs/>
        </w:rPr>
        <w:t>會員國中位數</w:t>
      </w:r>
      <w:r w:rsidRPr="00D310F7">
        <w:rPr>
          <w:rFonts w:eastAsia="標楷體" w:cs="Calibri"/>
          <w:bCs/>
        </w:rPr>
        <w:t>3.2</w:t>
      </w:r>
      <w:r w:rsidRPr="00D310F7">
        <w:rPr>
          <w:rFonts w:eastAsia="標楷體" w:cs="Calibri"/>
          <w:bCs/>
        </w:rPr>
        <w:t>人及</w:t>
      </w:r>
      <w:r w:rsidRPr="00D310F7">
        <w:rPr>
          <w:rFonts w:eastAsia="標楷體" w:cs="Calibri"/>
          <w:bCs/>
        </w:rPr>
        <w:t>8.4</w:t>
      </w:r>
      <w:r w:rsidRPr="00D310F7">
        <w:rPr>
          <w:rFonts w:eastAsia="標楷體" w:cs="Calibri"/>
          <w:bCs/>
        </w:rPr>
        <w:t>人。每千人口醫師數以希臘</w:t>
      </w:r>
      <w:r w:rsidRPr="00D310F7">
        <w:rPr>
          <w:rFonts w:eastAsia="標楷體" w:cs="Calibri"/>
          <w:bCs/>
        </w:rPr>
        <w:t>6.1</w:t>
      </w:r>
      <w:r w:rsidRPr="00D310F7">
        <w:rPr>
          <w:rFonts w:eastAsia="標楷體" w:cs="Calibri"/>
          <w:bCs/>
        </w:rPr>
        <w:t>人最高，我國排名相當於</w:t>
      </w:r>
      <w:r w:rsidRPr="00D310F7">
        <w:rPr>
          <w:rFonts w:eastAsia="標楷體" w:cs="Calibri"/>
          <w:bCs/>
        </w:rPr>
        <w:t>OECD</w:t>
      </w:r>
      <w:r w:rsidRPr="00D310F7">
        <w:rPr>
          <w:rFonts w:eastAsia="標楷體" w:cs="Calibri"/>
          <w:bCs/>
        </w:rPr>
        <w:t>會員國之第</w:t>
      </w:r>
      <w:r w:rsidRPr="00D310F7">
        <w:rPr>
          <w:rFonts w:eastAsia="標楷體" w:cs="Calibri"/>
          <w:bCs/>
        </w:rPr>
        <w:t>34</w:t>
      </w:r>
      <w:r w:rsidRPr="00D310F7">
        <w:rPr>
          <w:rFonts w:eastAsia="標楷體" w:cs="Calibri"/>
          <w:bCs/>
        </w:rPr>
        <w:t>位，僅高於智利；而每千人口護理人員數以瑞士</w:t>
      </w:r>
      <w:r w:rsidRPr="00D310F7">
        <w:rPr>
          <w:rFonts w:eastAsia="標楷體" w:cs="Calibri"/>
          <w:bCs/>
        </w:rPr>
        <w:t>16.0</w:t>
      </w:r>
      <w:r w:rsidRPr="00D310F7">
        <w:rPr>
          <w:rFonts w:eastAsia="標楷體" w:cs="Calibri"/>
          <w:bCs/>
        </w:rPr>
        <w:t>人最高，我國排名相當於</w:t>
      </w:r>
      <w:r w:rsidRPr="00D310F7">
        <w:rPr>
          <w:rFonts w:eastAsia="標楷體" w:cs="Calibri"/>
          <w:bCs/>
        </w:rPr>
        <w:t>OECD</w:t>
      </w:r>
      <w:r w:rsidRPr="00D310F7">
        <w:rPr>
          <w:rFonts w:eastAsia="標楷體" w:cs="Calibri"/>
          <w:bCs/>
        </w:rPr>
        <w:t>會員國之第</w:t>
      </w:r>
      <w:r w:rsidRPr="00D310F7">
        <w:rPr>
          <w:rFonts w:eastAsia="標楷體" w:cs="Calibri"/>
          <w:bCs/>
        </w:rPr>
        <w:t>27</w:t>
      </w:r>
      <w:r w:rsidRPr="00D310F7">
        <w:rPr>
          <w:rFonts w:eastAsia="標楷體" w:cs="Calibri"/>
          <w:bCs/>
        </w:rPr>
        <w:t>位。此外，我國每位醫師與護理人員數比</w:t>
      </w:r>
      <w:r w:rsidRPr="00D310F7">
        <w:rPr>
          <w:rFonts w:eastAsia="標楷體" w:cs="Calibri"/>
          <w:bCs/>
        </w:rPr>
        <w:t>(</w:t>
      </w:r>
      <w:r w:rsidRPr="00D310F7">
        <w:rPr>
          <w:rFonts w:eastAsia="標楷體" w:cs="Calibri"/>
          <w:bCs/>
        </w:rPr>
        <w:t>護理人員數</w:t>
      </w:r>
      <w:r w:rsidRPr="00D310F7">
        <w:rPr>
          <w:rFonts w:eastAsia="標楷體" w:cs="Calibri"/>
          <w:bCs/>
        </w:rPr>
        <w:t>/</w:t>
      </w:r>
      <w:r w:rsidRPr="00D310F7">
        <w:rPr>
          <w:rFonts w:eastAsia="標楷體" w:cs="Calibri"/>
          <w:bCs/>
        </w:rPr>
        <w:t>醫師數</w:t>
      </w:r>
      <w:r w:rsidRPr="00D310F7">
        <w:rPr>
          <w:rFonts w:eastAsia="標楷體" w:cs="Calibri"/>
          <w:bCs/>
        </w:rPr>
        <w:t>)</w:t>
      </w:r>
      <w:r w:rsidRPr="00D310F7">
        <w:rPr>
          <w:rFonts w:eastAsia="標楷體" w:cs="Calibri"/>
          <w:bCs/>
        </w:rPr>
        <w:t>為</w:t>
      </w:r>
      <w:r w:rsidRPr="00D310F7">
        <w:rPr>
          <w:rFonts w:eastAsia="標楷體" w:cs="Calibri"/>
          <w:bCs/>
        </w:rPr>
        <w:t>3.3</w:t>
      </w:r>
      <w:r w:rsidRPr="00D310F7">
        <w:rPr>
          <w:rFonts w:eastAsia="標楷體" w:cs="Calibri"/>
          <w:bCs/>
        </w:rPr>
        <w:t>，高於</w:t>
      </w:r>
      <w:r w:rsidRPr="00D310F7">
        <w:rPr>
          <w:rFonts w:eastAsia="標楷體" w:cs="Calibri"/>
          <w:bCs/>
        </w:rPr>
        <w:t>OECD</w:t>
      </w:r>
      <w:r w:rsidRPr="00D310F7">
        <w:rPr>
          <w:rFonts w:eastAsia="標楷體" w:cs="Calibri"/>
          <w:bCs/>
        </w:rPr>
        <w:t>會員國中位數</w:t>
      </w:r>
      <w:r w:rsidRPr="00D310F7">
        <w:rPr>
          <w:rFonts w:eastAsia="標楷體" w:cs="Calibri"/>
          <w:bCs/>
        </w:rPr>
        <w:t>3.0</w:t>
      </w:r>
      <w:r w:rsidRPr="00D310F7">
        <w:rPr>
          <w:rFonts w:eastAsia="標楷體" w:cs="Calibri"/>
          <w:bCs/>
        </w:rPr>
        <w:t>，相當於</w:t>
      </w:r>
      <w:r w:rsidRPr="00D310F7">
        <w:rPr>
          <w:rFonts w:eastAsia="標楷體" w:cs="Calibri"/>
          <w:bCs/>
        </w:rPr>
        <w:t>OECD</w:t>
      </w:r>
      <w:r w:rsidRPr="00D310F7">
        <w:rPr>
          <w:rFonts w:eastAsia="標楷體" w:cs="Calibri"/>
          <w:bCs/>
        </w:rPr>
        <w:t>會員國之第</w:t>
      </w:r>
      <w:r w:rsidRPr="00D310F7">
        <w:rPr>
          <w:rFonts w:eastAsia="標楷體" w:cs="Calibri"/>
          <w:bCs/>
        </w:rPr>
        <w:t>15</w:t>
      </w:r>
      <w:r w:rsidRPr="00D310F7">
        <w:rPr>
          <w:rFonts w:eastAsia="標楷體" w:cs="Calibri"/>
          <w:bCs/>
        </w:rPr>
        <w:t>位。</w:t>
      </w:r>
    </w:p>
    <w:p w:rsidR="00915016" w:rsidRPr="00D310F7" w:rsidRDefault="00915016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b w:val="0"/>
          <w:sz w:val="24"/>
          <w:szCs w:val="22"/>
        </w:rPr>
      </w:pPr>
      <w:bookmarkStart w:id="10" w:name="_Toc379466142"/>
      <w:r w:rsidRPr="00D310F7">
        <w:rPr>
          <w:rFonts w:ascii="Calibri" w:eastAsia="標楷體" w:hAnsi="Calibri" w:cs="Calibri"/>
          <w:sz w:val="28"/>
          <w:szCs w:val="28"/>
        </w:rPr>
        <w:lastRenderedPageBreak/>
        <w:t>(</w:t>
      </w:r>
      <w:r w:rsidRPr="00D310F7">
        <w:rPr>
          <w:rFonts w:ascii="Calibri" w:eastAsia="標楷體" w:hAnsi="Calibri" w:cs="Calibri"/>
          <w:sz w:val="28"/>
          <w:szCs w:val="28"/>
        </w:rPr>
        <w:t>二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r w:rsidRPr="00D310F7">
        <w:rPr>
          <w:rFonts w:ascii="Calibri" w:eastAsia="標楷體" w:hAnsi="Calibri" w:cs="Calibri"/>
          <w:sz w:val="28"/>
          <w:szCs w:val="28"/>
        </w:rPr>
        <w:t>醫療資源</w:t>
      </w:r>
      <w:r w:rsidRPr="00D310F7">
        <w:rPr>
          <w:rFonts w:ascii="Calibri" w:eastAsia="標楷體" w:hAnsi="Calibri" w:cs="Calibri"/>
          <w:sz w:val="28"/>
          <w:szCs w:val="28"/>
        </w:rPr>
        <w:t>(</w:t>
      </w:r>
      <w:r w:rsidRPr="00D310F7">
        <w:rPr>
          <w:rFonts w:ascii="Calibri" w:eastAsia="標楷體" w:hAnsi="Calibri" w:cs="Calibri"/>
          <w:sz w:val="28"/>
          <w:szCs w:val="28"/>
        </w:rPr>
        <w:t>每千人口急性一般病床數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bookmarkEnd w:id="10"/>
    </w:p>
    <w:p w:rsidR="00915016" w:rsidRPr="00D310F7" w:rsidRDefault="00915016" w:rsidP="00CE6CA2">
      <w:pPr>
        <w:snapToGrid w:val="0"/>
        <w:spacing w:before="60" w:afterLines="50" w:after="180"/>
        <w:ind w:firstLineChars="170" w:firstLine="476"/>
        <w:rPr>
          <w:rFonts w:eastAsia="標楷體" w:cs="Calibri"/>
          <w:b/>
          <w:bCs/>
          <w:sz w:val="28"/>
          <w:szCs w:val="28"/>
        </w:rPr>
      </w:pPr>
      <w:r w:rsidRPr="00D310F7">
        <w:rPr>
          <w:rFonts w:eastAsia="標楷體" w:cs="Calibri"/>
          <w:b/>
          <w:bCs/>
          <w:sz w:val="28"/>
          <w:szCs w:val="28"/>
        </w:rPr>
        <w:t>我國平均每千人口急性病床數自</w:t>
      </w:r>
      <w:r w:rsidRPr="00D310F7">
        <w:rPr>
          <w:rFonts w:eastAsia="標楷體" w:cs="Calibri"/>
          <w:b/>
          <w:bCs/>
          <w:sz w:val="28"/>
          <w:szCs w:val="28"/>
        </w:rPr>
        <w:t>2008</w:t>
      </w:r>
      <w:r w:rsidRPr="00D310F7">
        <w:rPr>
          <w:rFonts w:eastAsia="標楷體" w:cs="Calibri"/>
          <w:b/>
          <w:bCs/>
          <w:sz w:val="28"/>
          <w:szCs w:val="28"/>
        </w:rPr>
        <w:t>年起高於</w:t>
      </w:r>
      <w:r w:rsidRPr="00D310F7">
        <w:rPr>
          <w:rFonts w:eastAsia="標楷體" w:cs="Calibri"/>
          <w:b/>
          <w:bCs/>
          <w:sz w:val="28"/>
          <w:szCs w:val="28"/>
        </w:rPr>
        <w:t>OECD</w:t>
      </w:r>
      <w:r w:rsidRPr="00D310F7">
        <w:rPr>
          <w:rFonts w:eastAsia="標楷體" w:cs="Calibri"/>
          <w:b/>
          <w:bCs/>
          <w:sz w:val="28"/>
          <w:szCs w:val="28"/>
        </w:rPr>
        <w:t>會員國中位數。</w:t>
      </w:r>
    </w:p>
    <w:p w:rsidR="002079A1" w:rsidRPr="00D310F7" w:rsidRDefault="00A45ADB" w:rsidP="002079A1">
      <w:pPr>
        <w:snapToGrid w:val="0"/>
        <w:jc w:val="center"/>
        <w:rPr>
          <w:rFonts w:eastAsia="標楷體" w:cs="Calibr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715000" cy="6629400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016" w:rsidRPr="00D310F7" w:rsidRDefault="00915016" w:rsidP="006028A8">
      <w:pPr>
        <w:snapToGrid w:val="0"/>
        <w:spacing w:before="240" w:after="60" w:line="360" w:lineRule="auto"/>
        <w:ind w:leftChars="50" w:left="120" w:firstLineChars="200" w:firstLine="480"/>
        <w:rPr>
          <w:rFonts w:eastAsia="標楷體" w:cs="Calibri"/>
          <w:szCs w:val="24"/>
        </w:rPr>
      </w:pPr>
      <w:r w:rsidRPr="00D310F7">
        <w:rPr>
          <w:rFonts w:eastAsia="標楷體" w:cs="Calibri"/>
          <w:bCs/>
          <w:szCs w:val="24"/>
        </w:rPr>
        <w:t>我國</w:t>
      </w:r>
      <w:r w:rsidRPr="00D310F7">
        <w:rPr>
          <w:rFonts w:eastAsia="標楷體" w:cs="Calibri"/>
          <w:bCs/>
          <w:szCs w:val="24"/>
        </w:rPr>
        <w:t>2012</w:t>
      </w:r>
      <w:r w:rsidRPr="00D310F7">
        <w:rPr>
          <w:rFonts w:eastAsia="標楷體" w:cs="Calibri"/>
          <w:bCs/>
          <w:szCs w:val="24"/>
        </w:rPr>
        <w:t>年平均</w:t>
      </w:r>
      <w:r w:rsidRPr="00D310F7">
        <w:rPr>
          <w:rFonts w:eastAsia="標楷體" w:cs="Calibri"/>
          <w:szCs w:val="24"/>
        </w:rPr>
        <w:t>每千人口急性病床數</w:t>
      </w:r>
      <w:r w:rsidRPr="00D310F7">
        <w:rPr>
          <w:rFonts w:eastAsia="標楷體" w:cs="Calibri"/>
          <w:szCs w:val="24"/>
        </w:rPr>
        <w:t>3.2</w:t>
      </w:r>
      <w:r w:rsidRPr="00D310F7">
        <w:rPr>
          <w:rFonts w:eastAsia="標楷體" w:cs="Calibri"/>
          <w:szCs w:val="24"/>
        </w:rPr>
        <w:t>床。與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會員國相較，自</w:t>
      </w:r>
      <w:r w:rsidRPr="00D310F7">
        <w:rPr>
          <w:rFonts w:eastAsia="標楷體" w:cs="Calibri"/>
          <w:szCs w:val="24"/>
        </w:rPr>
        <w:t>2008</w:t>
      </w:r>
      <w:r w:rsidRPr="00D310F7">
        <w:rPr>
          <w:rFonts w:eastAsia="標楷體" w:cs="Calibri"/>
          <w:szCs w:val="24"/>
        </w:rPr>
        <w:t>年起高於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會員國中位數。</w:t>
      </w:r>
    </w:p>
    <w:p w:rsidR="00915016" w:rsidRPr="00915016" w:rsidRDefault="00915016" w:rsidP="006028A8">
      <w:pPr>
        <w:snapToGrid w:val="0"/>
        <w:spacing w:before="60" w:after="60" w:line="360" w:lineRule="auto"/>
        <w:ind w:leftChars="50" w:left="120" w:firstLineChars="200" w:firstLine="480"/>
        <w:rPr>
          <w:rFonts w:ascii="Times New Roman" w:eastAsia="標楷體" w:hAnsi="Times New Roman"/>
          <w:szCs w:val="24"/>
        </w:rPr>
      </w:pPr>
      <w:r w:rsidRPr="00D310F7">
        <w:rPr>
          <w:rFonts w:eastAsia="標楷體" w:cs="Calibri"/>
          <w:szCs w:val="24"/>
        </w:rPr>
        <w:t>就</w:t>
      </w:r>
      <w:r w:rsidRPr="00D310F7">
        <w:rPr>
          <w:rFonts w:eastAsia="標楷體" w:cs="Calibri"/>
          <w:szCs w:val="24"/>
        </w:rPr>
        <w:t>2010</w:t>
      </w:r>
      <w:r w:rsidRPr="00D310F7">
        <w:rPr>
          <w:rFonts w:eastAsia="標楷體" w:cs="Calibri"/>
          <w:szCs w:val="24"/>
        </w:rPr>
        <w:t>年觀察，我國</w:t>
      </w:r>
      <w:r w:rsidRPr="00D310F7">
        <w:rPr>
          <w:rFonts w:eastAsia="標楷體" w:cs="Calibri"/>
          <w:bCs/>
          <w:szCs w:val="24"/>
        </w:rPr>
        <w:t>平均</w:t>
      </w:r>
      <w:r w:rsidRPr="00D310F7">
        <w:rPr>
          <w:rFonts w:eastAsia="標楷體" w:cs="Calibri"/>
          <w:szCs w:val="24"/>
        </w:rPr>
        <w:t>每千人口急性病床數</w:t>
      </w:r>
      <w:r w:rsidRPr="00D310F7">
        <w:rPr>
          <w:rFonts w:eastAsia="標楷體" w:cs="Calibri"/>
          <w:szCs w:val="24"/>
        </w:rPr>
        <w:t>3.2</w:t>
      </w:r>
      <w:r w:rsidRPr="00D310F7">
        <w:rPr>
          <w:rFonts w:eastAsia="標楷體" w:cs="Calibri"/>
          <w:szCs w:val="24"/>
        </w:rPr>
        <w:t>床，在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會員國中高於瑞士、芬蘭等</w:t>
      </w:r>
      <w:r w:rsidRPr="00D310F7">
        <w:rPr>
          <w:rFonts w:eastAsia="標楷體" w:cs="Calibri"/>
          <w:szCs w:val="24"/>
        </w:rPr>
        <w:t>18</w:t>
      </w:r>
      <w:r w:rsidRPr="00D310F7">
        <w:rPr>
          <w:rFonts w:eastAsia="標楷體" w:cs="Calibri"/>
          <w:szCs w:val="24"/>
        </w:rPr>
        <w:t>個國家，</w:t>
      </w:r>
      <w:r w:rsidRPr="00D310F7">
        <w:rPr>
          <w:rFonts w:eastAsia="標楷體" w:cs="Calibri"/>
          <w:bCs/>
          <w:szCs w:val="24"/>
        </w:rPr>
        <w:t>相當於</w:t>
      </w:r>
      <w:r w:rsidRPr="00D310F7">
        <w:rPr>
          <w:rFonts w:eastAsia="標楷體" w:cs="Calibri"/>
          <w:bCs/>
          <w:szCs w:val="24"/>
        </w:rPr>
        <w:t>OECD</w:t>
      </w:r>
      <w:r w:rsidRPr="00D310F7">
        <w:rPr>
          <w:rFonts w:eastAsia="標楷體" w:cs="Calibri"/>
          <w:bCs/>
          <w:szCs w:val="24"/>
        </w:rPr>
        <w:t>會員國之第</w:t>
      </w:r>
      <w:r w:rsidRPr="00D310F7">
        <w:rPr>
          <w:rFonts w:eastAsia="標楷體" w:cs="Calibri"/>
          <w:bCs/>
          <w:szCs w:val="24"/>
        </w:rPr>
        <w:t>16</w:t>
      </w:r>
      <w:r w:rsidRPr="00D310F7">
        <w:rPr>
          <w:rFonts w:eastAsia="標楷體" w:cs="Calibri"/>
          <w:bCs/>
          <w:szCs w:val="24"/>
        </w:rPr>
        <w:t>位</w:t>
      </w:r>
      <w:r w:rsidRPr="00D310F7">
        <w:rPr>
          <w:rFonts w:eastAsia="標楷體" w:cs="Calibri"/>
          <w:szCs w:val="24"/>
        </w:rPr>
        <w:t>。</w:t>
      </w:r>
    </w:p>
    <w:p w:rsidR="00915016" w:rsidRPr="00D310F7" w:rsidRDefault="00915016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8"/>
        </w:rPr>
      </w:pPr>
      <w:r>
        <w:rPr>
          <w:rFonts w:eastAsia="標楷體"/>
          <w:b w:val="0"/>
          <w:bCs w:val="0"/>
          <w:sz w:val="28"/>
        </w:rPr>
        <w:br w:type="page"/>
      </w:r>
      <w:bookmarkStart w:id="11" w:name="_Toc379466143"/>
      <w:r w:rsidRPr="00D310F7">
        <w:rPr>
          <w:rFonts w:ascii="Calibri" w:eastAsia="標楷體" w:hAnsi="Calibri" w:cs="Calibri"/>
          <w:sz w:val="28"/>
          <w:szCs w:val="28"/>
        </w:rPr>
        <w:lastRenderedPageBreak/>
        <w:t>(</w:t>
      </w:r>
      <w:r w:rsidRPr="00D310F7">
        <w:rPr>
          <w:rFonts w:ascii="Calibri" w:eastAsia="標楷體" w:hAnsi="Calibri" w:cs="Calibri"/>
          <w:sz w:val="28"/>
          <w:szCs w:val="28"/>
        </w:rPr>
        <w:t>三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r w:rsidRPr="00D310F7">
        <w:rPr>
          <w:rFonts w:ascii="Calibri" w:eastAsia="標楷體" w:hAnsi="Calibri" w:cs="Calibri"/>
          <w:sz w:val="28"/>
          <w:szCs w:val="28"/>
        </w:rPr>
        <w:t>醫療資源</w:t>
      </w:r>
      <w:r w:rsidRPr="00D310F7">
        <w:rPr>
          <w:rFonts w:ascii="Calibri" w:eastAsia="標楷體" w:hAnsi="Calibri" w:cs="Calibri"/>
          <w:sz w:val="28"/>
          <w:szCs w:val="28"/>
        </w:rPr>
        <w:t>(</w:t>
      </w:r>
      <w:r w:rsidRPr="00D310F7">
        <w:rPr>
          <w:rFonts w:ascii="Calibri" w:eastAsia="標楷體" w:hAnsi="Calibri" w:cs="Calibri"/>
          <w:sz w:val="28"/>
          <w:szCs w:val="28"/>
        </w:rPr>
        <w:t>就醫次數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bookmarkEnd w:id="11"/>
    </w:p>
    <w:p w:rsidR="00915016" w:rsidRPr="00D310F7" w:rsidRDefault="00915016" w:rsidP="00CE6CA2">
      <w:pPr>
        <w:snapToGrid w:val="0"/>
        <w:spacing w:before="60" w:afterLines="50" w:after="180"/>
        <w:ind w:firstLineChars="170" w:firstLine="476"/>
        <w:rPr>
          <w:rFonts w:eastAsia="標楷體" w:cs="Calibri"/>
          <w:b/>
          <w:bCs/>
          <w:sz w:val="28"/>
          <w:szCs w:val="28"/>
        </w:rPr>
      </w:pPr>
      <w:r w:rsidRPr="00D310F7">
        <w:rPr>
          <w:rFonts w:eastAsia="標楷體" w:cs="Calibri"/>
          <w:b/>
          <w:bCs/>
          <w:sz w:val="28"/>
          <w:szCs w:val="28"/>
        </w:rPr>
        <w:t>2010</w:t>
      </w:r>
      <w:r w:rsidRPr="00D310F7">
        <w:rPr>
          <w:rFonts w:eastAsia="標楷體" w:cs="Calibri"/>
          <w:b/>
          <w:bCs/>
          <w:sz w:val="28"/>
          <w:szCs w:val="28"/>
        </w:rPr>
        <w:t>年我國平均每人西醫門診就醫次數</w:t>
      </w:r>
      <w:r w:rsidRPr="00D310F7">
        <w:rPr>
          <w:rFonts w:eastAsia="標楷體" w:cs="Calibri"/>
          <w:b/>
          <w:bCs/>
          <w:sz w:val="28"/>
          <w:szCs w:val="28"/>
        </w:rPr>
        <w:t>12.1</w:t>
      </w:r>
      <w:r w:rsidRPr="00D310F7">
        <w:rPr>
          <w:rFonts w:eastAsia="標楷體" w:cs="Calibri"/>
          <w:b/>
          <w:bCs/>
          <w:sz w:val="28"/>
          <w:szCs w:val="28"/>
        </w:rPr>
        <w:t>次，僅次於日本</w:t>
      </w:r>
      <w:r w:rsidRPr="00D310F7">
        <w:rPr>
          <w:rFonts w:eastAsia="標楷體" w:cs="Calibri"/>
          <w:b/>
          <w:bCs/>
          <w:sz w:val="28"/>
          <w:szCs w:val="28"/>
        </w:rPr>
        <w:t>13.1</w:t>
      </w:r>
      <w:r w:rsidRPr="00D310F7">
        <w:rPr>
          <w:rFonts w:eastAsia="標楷體" w:cs="Calibri"/>
          <w:b/>
          <w:bCs/>
          <w:sz w:val="28"/>
          <w:szCs w:val="28"/>
        </w:rPr>
        <w:t>次及南韓</w:t>
      </w:r>
      <w:r w:rsidRPr="00D310F7">
        <w:rPr>
          <w:rFonts w:eastAsia="標楷體" w:cs="Calibri"/>
          <w:b/>
          <w:bCs/>
          <w:sz w:val="28"/>
          <w:szCs w:val="28"/>
        </w:rPr>
        <w:t>12.9</w:t>
      </w:r>
      <w:r w:rsidRPr="00D310F7">
        <w:rPr>
          <w:rFonts w:eastAsia="標楷體" w:cs="Calibri"/>
          <w:b/>
          <w:bCs/>
          <w:sz w:val="28"/>
          <w:szCs w:val="28"/>
        </w:rPr>
        <w:t>次，相當於</w:t>
      </w:r>
      <w:r w:rsidRPr="00D310F7">
        <w:rPr>
          <w:rFonts w:eastAsia="標楷體" w:cs="Calibri"/>
          <w:b/>
          <w:bCs/>
          <w:sz w:val="28"/>
          <w:szCs w:val="28"/>
        </w:rPr>
        <w:t>OECD</w:t>
      </w:r>
      <w:r w:rsidRPr="00D310F7">
        <w:rPr>
          <w:rFonts w:eastAsia="標楷體" w:cs="Calibri"/>
          <w:b/>
          <w:bCs/>
          <w:sz w:val="28"/>
          <w:szCs w:val="28"/>
        </w:rPr>
        <w:t>會員國之第</w:t>
      </w:r>
      <w:r w:rsidRPr="00D310F7">
        <w:rPr>
          <w:rFonts w:eastAsia="標楷體" w:cs="Calibri"/>
          <w:b/>
          <w:bCs/>
          <w:sz w:val="28"/>
          <w:szCs w:val="28"/>
        </w:rPr>
        <w:t>3</w:t>
      </w:r>
      <w:r w:rsidRPr="00D310F7">
        <w:rPr>
          <w:rFonts w:eastAsia="標楷體" w:cs="Calibri"/>
          <w:b/>
          <w:bCs/>
          <w:sz w:val="28"/>
          <w:szCs w:val="28"/>
        </w:rPr>
        <w:t>位。</w:t>
      </w:r>
    </w:p>
    <w:p w:rsidR="006028A8" w:rsidRPr="00D310F7" w:rsidRDefault="00A45ADB" w:rsidP="006028A8">
      <w:pPr>
        <w:snapToGrid w:val="0"/>
        <w:rPr>
          <w:rFonts w:eastAsia="標楷體" w:cs="Calibri"/>
          <w:b/>
          <w:bCs/>
          <w:sz w:val="28"/>
          <w:szCs w:val="28"/>
        </w:rPr>
      </w:pPr>
      <w:r>
        <w:rPr>
          <w:rFonts w:hint="eastAsia"/>
          <w:noProof/>
        </w:rPr>
        <w:drawing>
          <wp:inline distT="0" distB="0" distL="0" distR="0">
            <wp:extent cx="5715000" cy="6106795"/>
            <wp:effectExtent l="0" t="0" r="0" b="825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10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016" w:rsidRPr="00D310F7" w:rsidRDefault="00915016" w:rsidP="006028A8">
      <w:pPr>
        <w:snapToGrid w:val="0"/>
        <w:spacing w:before="240" w:after="60" w:line="360" w:lineRule="auto"/>
        <w:ind w:firstLine="482"/>
        <w:rPr>
          <w:rFonts w:eastAsia="標楷體" w:cs="Calibri"/>
          <w:szCs w:val="24"/>
        </w:rPr>
      </w:pPr>
      <w:r w:rsidRPr="00D310F7">
        <w:rPr>
          <w:rFonts w:eastAsia="標楷體" w:cs="Calibri"/>
          <w:szCs w:val="24"/>
        </w:rPr>
        <w:t>依據全民健康保險統計資料，</w:t>
      </w:r>
      <w:r w:rsidRPr="00D310F7">
        <w:rPr>
          <w:rFonts w:eastAsia="標楷體" w:cs="Calibri"/>
          <w:szCs w:val="24"/>
        </w:rPr>
        <w:t>2011</w:t>
      </w:r>
      <w:r w:rsidRPr="00D310F7">
        <w:rPr>
          <w:rFonts w:eastAsia="標楷體" w:cs="Calibri"/>
          <w:szCs w:val="24"/>
        </w:rPr>
        <w:t>年我國平均每人西醫門診就醫次數高達</w:t>
      </w:r>
      <w:r w:rsidRPr="00D310F7">
        <w:rPr>
          <w:rFonts w:eastAsia="標楷體" w:cs="Calibri"/>
          <w:szCs w:val="24"/>
        </w:rPr>
        <w:t>12.6</w:t>
      </w:r>
      <w:r w:rsidRPr="00D310F7">
        <w:rPr>
          <w:rFonts w:eastAsia="標楷體" w:cs="Calibri"/>
          <w:szCs w:val="24"/>
        </w:rPr>
        <w:t>次，與</w:t>
      </w:r>
      <w:r w:rsidRPr="00D310F7">
        <w:rPr>
          <w:rFonts w:eastAsia="標楷體" w:cs="Calibri"/>
          <w:szCs w:val="24"/>
        </w:rPr>
        <w:t>2001</w:t>
      </w:r>
      <w:r w:rsidRPr="00D310F7">
        <w:rPr>
          <w:rFonts w:eastAsia="標楷體" w:cs="Calibri"/>
          <w:szCs w:val="24"/>
        </w:rPr>
        <w:t>年</w:t>
      </w:r>
      <w:r w:rsidRPr="00D310F7">
        <w:rPr>
          <w:rFonts w:eastAsia="標楷體" w:cs="Calibri"/>
          <w:szCs w:val="24"/>
        </w:rPr>
        <w:t>12.1</w:t>
      </w:r>
      <w:r w:rsidRPr="00D310F7">
        <w:rPr>
          <w:rFonts w:eastAsia="標楷體" w:cs="Calibri"/>
          <w:szCs w:val="24"/>
        </w:rPr>
        <w:t>次相比，增加</w:t>
      </w:r>
      <w:r w:rsidRPr="00D310F7">
        <w:rPr>
          <w:rFonts w:eastAsia="標楷體" w:cs="Calibri"/>
          <w:szCs w:val="24"/>
        </w:rPr>
        <w:t>0.5</w:t>
      </w:r>
      <w:r w:rsidRPr="00D310F7">
        <w:rPr>
          <w:rFonts w:eastAsia="標楷體" w:cs="Calibri"/>
          <w:szCs w:val="24"/>
        </w:rPr>
        <w:t>次。</w:t>
      </w:r>
    </w:p>
    <w:p w:rsidR="00915016" w:rsidRPr="00D310F7" w:rsidRDefault="00915016" w:rsidP="006028A8">
      <w:pPr>
        <w:snapToGrid w:val="0"/>
        <w:spacing w:before="60" w:after="60" w:line="360" w:lineRule="auto"/>
        <w:ind w:firstLine="482"/>
        <w:rPr>
          <w:rFonts w:eastAsia="標楷體" w:cs="Calibri"/>
          <w:szCs w:val="24"/>
        </w:rPr>
      </w:pPr>
      <w:r w:rsidRPr="00D310F7">
        <w:rPr>
          <w:rFonts w:eastAsia="標楷體" w:cs="Calibri"/>
          <w:szCs w:val="24"/>
        </w:rPr>
        <w:t>與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會員國相較，</w:t>
      </w:r>
      <w:r w:rsidRPr="00D310F7">
        <w:rPr>
          <w:rFonts w:eastAsia="標楷體" w:cs="Calibri"/>
          <w:szCs w:val="24"/>
        </w:rPr>
        <w:t>2010</w:t>
      </w:r>
      <w:r w:rsidRPr="00D310F7">
        <w:rPr>
          <w:rFonts w:eastAsia="標楷體" w:cs="Calibri"/>
          <w:szCs w:val="24"/>
        </w:rPr>
        <w:t>年我國平均每人西醫門診就醫次數</w:t>
      </w:r>
      <w:r w:rsidRPr="00D310F7">
        <w:rPr>
          <w:rFonts w:eastAsia="標楷體" w:cs="Calibri"/>
          <w:szCs w:val="24"/>
        </w:rPr>
        <w:t>12.1</w:t>
      </w:r>
      <w:r w:rsidRPr="00D310F7">
        <w:rPr>
          <w:rFonts w:eastAsia="標楷體" w:cs="Calibri"/>
          <w:szCs w:val="24"/>
        </w:rPr>
        <w:t>次，僅次於日本</w:t>
      </w:r>
      <w:r w:rsidRPr="00D310F7">
        <w:rPr>
          <w:rFonts w:eastAsia="標楷體" w:cs="Calibri"/>
          <w:szCs w:val="24"/>
        </w:rPr>
        <w:t>13.1</w:t>
      </w:r>
      <w:r w:rsidRPr="00D310F7">
        <w:rPr>
          <w:rFonts w:eastAsia="標楷體" w:cs="Calibri"/>
          <w:szCs w:val="24"/>
        </w:rPr>
        <w:t>次及南韓</w:t>
      </w:r>
      <w:r w:rsidRPr="00D310F7">
        <w:rPr>
          <w:rFonts w:eastAsia="標楷體" w:cs="Calibri"/>
          <w:szCs w:val="24"/>
        </w:rPr>
        <w:t>12.9</w:t>
      </w:r>
      <w:r w:rsidRPr="00D310F7">
        <w:rPr>
          <w:rFonts w:eastAsia="標楷體" w:cs="Calibri"/>
          <w:szCs w:val="24"/>
        </w:rPr>
        <w:t>次，相當於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會員國之第</w:t>
      </w:r>
      <w:r w:rsidRPr="00D310F7">
        <w:rPr>
          <w:rFonts w:eastAsia="標楷體" w:cs="Calibri"/>
          <w:szCs w:val="24"/>
        </w:rPr>
        <w:t>3</w:t>
      </w:r>
      <w:r w:rsidRPr="00D310F7">
        <w:rPr>
          <w:rFonts w:eastAsia="標楷體" w:cs="Calibri"/>
          <w:szCs w:val="24"/>
        </w:rPr>
        <w:t>位。</w:t>
      </w:r>
    </w:p>
    <w:p w:rsidR="00121FA0" w:rsidRPr="00D310F7" w:rsidRDefault="00C7100E" w:rsidP="00A30A46">
      <w:pPr>
        <w:pStyle w:val="1"/>
        <w:snapToGrid w:val="0"/>
        <w:spacing w:before="60" w:after="60" w:line="240" w:lineRule="auto"/>
        <w:rPr>
          <w:rFonts w:ascii="Calibri" w:eastAsia="標楷體" w:hAnsi="Calibri" w:cs="Calibri"/>
          <w:b w:val="0"/>
          <w:color w:val="000000"/>
          <w:sz w:val="24"/>
          <w:szCs w:val="24"/>
        </w:rPr>
      </w:pPr>
      <w:r>
        <w:rPr>
          <w:rFonts w:eastAsia="標楷體"/>
          <w:b w:val="0"/>
          <w:bCs w:val="0"/>
          <w:sz w:val="28"/>
        </w:rPr>
        <w:br w:type="page"/>
      </w:r>
      <w:bookmarkStart w:id="12" w:name="_Toc379385333"/>
      <w:bookmarkStart w:id="13" w:name="_Toc379388155"/>
      <w:bookmarkStart w:id="14" w:name="_Toc379388193"/>
      <w:bookmarkStart w:id="15" w:name="_Toc379388219"/>
      <w:bookmarkStart w:id="16" w:name="_Toc379388277"/>
      <w:bookmarkStart w:id="17" w:name="_Toc379466144"/>
      <w:r w:rsidR="00A777AF" w:rsidRPr="00D310F7">
        <w:rPr>
          <w:rFonts w:ascii="Calibri" w:eastAsia="標楷體" w:hAnsi="Calibri" w:cs="Calibri"/>
          <w:sz w:val="28"/>
          <w:szCs w:val="28"/>
        </w:rPr>
        <w:lastRenderedPageBreak/>
        <w:t>三、國民醫療保健支出</w:t>
      </w:r>
      <w:bookmarkStart w:id="18" w:name="_Toc379385334"/>
      <w:bookmarkStart w:id="19" w:name="_Toc379388156"/>
      <w:bookmarkStart w:id="20" w:name="_Toc379388194"/>
      <w:bookmarkStart w:id="21" w:name="_Toc379388220"/>
      <w:bookmarkStart w:id="22" w:name="_Toc379388278"/>
      <w:bookmarkEnd w:id="12"/>
      <w:bookmarkEnd w:id="13"/>
      <w:bookmarkEnd w:id="14"/>
      <w:bookmarkEnd w:id="15"/>
      <w:bookmarkEnd w:id="16"/>
      <w:bookmarkEnd w:id="17"/>
    </w:p>
    <w:p w:rsidR="00A777AF" w:rsidRPr="00D310F7" w:rsidRDefault="00121FA0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8"/>
        </w:rPr>
      </w:pPr>
      <w:bookmarkStart w:id="23" w:name="_Toc379466145"/>
      <w:r w:rsidRPr="00D310F7">
        <w:rPr>
          <w:rFonts w:ascii="Calibri" w:eastAsia="標楷體" w:hAnsi="Calibri" w:cs="Calibri"/>
          <w:sz w:val="28"/>
          <w:szCs w:val="28"/>
        </w:rPr>
        <w:t>(</w:t>
      </w:r>
      <w:r w:rsidRPr="00D310F7">
        <w:rPr>
          <w:rFonts w:ascii="Calibri" w:eastAsia="標楷體" w:hAnsi="Calibri" w:cs="Calibri"/>
          <w:sz w:val="28"/>
          <w:szCs w:val="28"/>
        </w:rPr>
        <w:t>一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r w:rsidR="00A777AF" w:rsidRPr="00D310F7">
        <w:rPr>
          <w:rFonts w:ascii="Calibri" w:eastAsia="標楷體" w:hAnsi="Calibri" w:cs="Calibri"/>
          <w:sz w:val="28"/>
          <w:szCs w:val="28"/>
        </w:rPr>
        <w:t>平均每人</w:t>
      </w:r>
      <w:r w:rsidR="00535494" w:rsidRPr="00D310F7">
        <w:rPr>
          <w:rFonts w:ascii="Calibri" w:eastAsia="標楷體" w:hAnsi="Calibri" w:cs="Calibri"/>
          <w:sz w:val="28"/>
          <w:szCs w:val="28"/>
        </w:rPr>
        <w:t>國民醫療保健支出</w:t>
      </w:r>
      <w:r w:rsidR="00CE7F71" w:rsidRPr="00D310F7">
        <w:rPr>
          <w:rFonts w:ascii="Calibri" w:eastAsia="標楷體" w:hAnsi="Calibri" w:cs="Calibri"/>
          <w:sz w:val="28"/>
          <w:szCs w:val="28"/>
        </w:rPr>
        <w:t>(NHE)</w:t>
      </w:r>
      <w:r w:rsidR="00A777AF" w:rsidRPr="00D310F7">
        <w:rPr>
          <w:rFonts w:ascii="Calibri" w:eastAsia="標楷體" w:hAnsi="Calibri" w:cs="Calibri"/>
          <w:sz w:val="28"/>
          <w:szCs w:val="28"/>
        </w:rPr>
        <w:t>與平均每人</w:t>
      </w:r>
      <w:r w:rsidR="00535494" w:rsidRPr="00D310F7">
        <w:rPr>
          <w:rFonts w:ascii="Calibri" w:eastAsia="標楷體" w:hAnsi="Calibri" w:cs="Calibri"/>
          <w:sz w:val="28"/>
          <w:szCs w:val="28"/>
        </w:rPr>
        <w:t>國內生產毛額</w:t>
      </w:r>
      <w:r w:rsidR="00CE7F71" w:rsidRPr="00D310F7">
        <w:rPr>
          <w:rFonts w:ascii="Calibri" w:eastAsia="標楷體" w:hAnsi="Calibri" w:cs="Calibri"/>
          <w:sz w:val="28"/>
          <w:szCs w:val="28"/>
        </w:rPr>
        <w:t>(GDP)</w:t>
      </w:r>
      <w:bookmarkEnd w:id="18"/>
      <w:bookmarkEnd w:id="19"/>
      <w:bookmarkEnd w:id="20"/>
      <w:bookmarkEnd w:id="21"/>
      <w:bookmarkEnd w:id="22"/>
      <w:bookmarkEnd w:id="23"/>
    </w:p>
    <w:p w:rsidR="00A777AF" w:rsidRPr="00D310F7" w:rsidRDefault="00A777AF" w:rsidP="00A30A46">
      <w:pPr>
        <w:adjustRightInd w:val="0"/>
        <w:snapToGrid w:val="0"/>
        <w:spacing w:before="60" w:after="60"/>
        <w:ind w:right="-335" w:firstLine="482"/>
        <w:jc w:val="both"/>
        <w:rPr>
          <w:rFonts w:eastAsia="標楷體" w:cs="Calibri"/>
          <w:b/>
          <w:sz w:val="28"/>
          <w:szCs w:val="28"/>
        </w:rPr>
      </w:pPr>
      <w:r w:rsidRPr="00D310F7">
        <w:rPr>
          <w:rFonts w:eastAsia="標楷體" w:cs="Calibri"/>
          <w:b/>
          <w:sz w:val="28"/>
          <w:szCs w:val="28"/>
        </w:rPr>
        <w:t>與</w:t>
      </w:r>
      <w:r w:rsidRPr="00D310F7">
        <w:rPr>
          <w:rFonts w:eastAsia="標楷體" w:cs="Calibri"/>
          <w:b/>
          <w:sz w:val="28"/>
          <w:szCs w:val="28"/>
        </w:rPr>
        <w:t>OECD</w:t>
      </w:r>
      <w:r w:rsidRPr="00D310F7">
        <w:rPr>
          <w:rFonts w:eastAsia="標楷體" w:cs="Calibri"/>
          <w:b/>
          <w:sz w:val="28"/>
          <w:szCs w:val="28"/>
        </w:rPr>
        <w:t>會員國相較，我國平均每人</w:t>
      </w:r>
      <w:r w:rsidRPr="00D310F7">
        <w:rPr>
          <w:rFonts w:eastAsia="標楷體" w:cs="Calibri"/>
          <w:b/>
          <w:sz w:val="28"/>
          <w:szCs w:val="28"/>
        </w:rPr>
        <w:t>NHE</w:t>
      </w:r>
      <w:r w:rsidRPr="00D310F7">
        <w:rPr>
          <w:rFonts w:eastAsia="標楷體" w:cs="Calibri"/>
          <w:b/>
          <w:sz w:val="28"/>
          <w:szCs w:val="28"/>
        </w:rPr>
        <w:t>相對偏低。</w:t>
      </w:r>
    </w:p>
    <w:p w:rsidR="00A777AF" w:rsidRPr="006B1981" w:rsidRDefault="00A45ADB" w:rsidP="00CE5B55">
      <w:pPr>
        <w:adjustRightInd w:val="0"/>
        <w:snapToGrid w:val="0"/>
        <w:spacing w:before="60" w:after="60"/>
        <w:ind w:leftChars="-58" w:left="-139" w:right="-6"/>
        <w:rPr>
          <w:rFonts w:eastAsia="標楷體"/>
          <w:b/>
          <w:bCs/>
          <w:sz w:val="28"/>
        </w:rPr>
      </w:pPr>
      <w:r>
        <w:rPr>
          <w:noProof/>
        </w:rPr>
        <w:drawing>
          <wp:inline distT="0" distB="0" distL="0" distR="0">
            <wp:extent cx="5922010" cy="5366385"/>
            <wp:effectExtent l="0" t="0" r="2540" b="571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536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EA646B" w:rsidRDefault="00316193" w:rsidP="00316193">
      <w:pPr>
        <w:tabs>
          <w:tab w:val="num" w:pos="720"/>
        </w:tabs>
        <w:adjustRightInd w:val="0"/>
        <w:snapToGrid w:val="0"/>
        <w:spacing w:line="360" w:lineRule="auto"/>
        <w:jc w:val="center"/>
        <w:rPr>
          <w:rFonts w:eastAsia="標楷體"/>
          <w:b/>
          <w:bCs/>
          <w:sz w:val="28"/>
          <w:szCs w:val="28"/>
          <w:lang w:val="zh-TW"/>
        </w:rPr>
      </w:pPr>
      <w:r>
        <w:rPr>
          <w:rFonts w:eastAsia="標楷體"/>
          <w:b/>
          <w:bCs/>
          <w:sz w:val="28"/>
          <w:szCs w:val="28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5061585" cy="6128385"/>
            <wp:effectExtent l="0" t="0" r="5715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585" cy="612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D310F7" w:rsidRDefault="00A777AF" w:rsidP="001E57B7">
      <w:pPr>
        <w:adjustRightInd w:val="0"/>
        <w:snapToGrid w:val="0"/>
        <w:spacing w:before="240" w:after="60" w:line="360" w:lineRule="auto"/>
        <w:ind w:right="210" w:firstLineChars="225" w:firstLine="540"/>
        <w:jc w:val="both"/>
        <w:rPr>
          <w:rFonts w:eastAsia="標楷體" w:cs="Calibri"/>
        </w:rPr>
      </w:pP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年我國國民醫療保健支出</w:t>
      </w:r>
      <w:r w:rsidRPr="00D310F7">
        <w:rPr>
          <w:rFonts w:eastAsia="標楷體" w:cs="Calibri"/>
        </w:rPr>
        <w:t>(National Health Expenditure, NHE)</w:t>
      </w:r>
      <w:r w:rsidRPr="00D310F7">
        <w:rPr>
          <w:rFonts w:eastAsia="標楷體" w:cs="Calibri"/>
        </w:rPr>
        <w:t>占國內生產毛額</w:t>
      </w:r>
      <w:r w:rsidRPr="00D310F7">
        <w:rPr>
          <w:rFonts w:eastAsia="標楷體" w:cs="Calibri"/>
        </w:rPr>
        <w:t>(GDP)</w:t>
      </w:r>
      <w:r w:rsidRPr="00D310F7">
        <w:rPr>
          <w:rFonts w:eastAsia="標楷體" w:cs="Calibri"/>
        </w:rPr>
        <w:t>比為</w:t>
      </w:r>
      <w:r w:rsidRPr="00D310F7">
        <w:rPr>
          <w:rFonts w:eastAsia="標楷體" w:cs="Calibri"/>
        </w:rPr>
        <w:t>6.6%</w:t>
      </w:r>
      <w:r w:rsidRPr="00D310F7">
        <w:rPr>
          <w:rFonts w:eastAsia="標楷體" w:cs="Calibri"/>
        </w:rPr>
        <w:t>，低於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</w:t>
      </w:r>
      <w:r w:rsidRPr="00D310F7">
        <w:rPr>
          <w:rFonts w:eastAsia="標楷體" w:cs="Calibri"/>
        </w:rPr>
        <w:t>9.2%</w:t>
      </w:r>
      <w:r w:rsidRPr="00D310F7">
        <w:rPr>
          <w:rFonts w:eastAsia="標楷體" w:cs="Calibri"/>
        </w:rPr>
        <w:t>的水準，相當於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30</w:t>
      </w:r>
      <w:r w:rsidRPr="00D310F7">
        <w:rPr>
          <w:rFonts w:eastAsia="標楷體" w:cs="Calibri"/>
        </w:rPr>
        <w:t>位，僅高於愛沙尼亞。</w:t>
      </w:r>
    </w:p>
    <w:p w:rsidR="00A777AF" w:rsidRPr="00D310F7" w:rsidRDefault="00A777AF" w:rsidP="001E57B7">
      <w:pPr>
        <w:adjustRightInd w:val="0"/>
        <w:snapToGrid w:val="0"/>
        <w:spacing w:before="60" w:after="60" w:line="360" w:lineRule="auto"/>
        <w:ind w:right="210" w:firstLineChars="225" w:firstLine="540"/>
        <w:jc w:val="both"/>
        <w:rPr>
          <w:rFonts w:eastAsia="標楷體" w:cs="Calibri"/>
        </w:rPr>
      </w:pPr>
      <w:r w:rsidRPr="00D310F7">
        <w:rPr>
          <w:rFonts w:eastAsia="標楷體" w:cs="Calibri"/>
        </w:rPr>
        <w:t>以購買力平價折算並以美元為國際貨幣單位，我國</w:t>
      </w: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年平均每人</w:t>
      </w:r>
      <w:r w:rsidRPr="00D310F7">
        <w:rPr>
          <w:rFonts w:eastAsia="標楷體" w:cs="Calibri"/>
        </w:rPr>
        <w:t>NHE</w:t>
      </w:r>
      <w:r w:rsidRPr="00D310F7">
        <w:rPr>
          <w:rFonts w:eastAsia="標楷體" w:cs="Calibri"/>
        </w:rPr>
        <w:t>與平均每人</w:t>
      </w:r>
      <w:r w:rsidRPr="00D310F7">
        <w:rPr>
          <w:rFonts w:eastAsia="標楷體" w:cs="Calibri"/>
        </w:rPr>
        <w:t>GDP</w:t>
      </w:r>
      <w:r w:rsidRPr="00D310F7">
        <w:rPr>
          <w:rFonts w:eastAsia="標楷體" w:cs="Calibri"/>
        </w:rPr>
        <w:t>分別為</w:t>
      </w:r>
      <w:r w:rsidRPr="00D310F7">
        <w:rPr>
          <w:rFonts w:eastAsia="標楷體" w:cs="Calibri"/>
        </w:rPr>
        <w:t>2,479</w:t>
      </w:r>
      <w:r w:rsidRPr="00D310F7">
        <w:rPr>
          <w:rFonts w:eastAsia="標楷體" w:cs="Calibri"/>
        </w:rPr>
        <w:t>美元與</w:t>
      </w:r>
      <w:r w:rsidRPr="00D310F7">
        <w:rPr>
          <w:rFonts w:eastAsia="標楷體" w:cs="Calibri"/>
        </w:rPr>
        <w:t>37,403</w:t>
      </w:r>
      <w:r w:rsidRPr="00D310F7">
        <w:rPr>
          <w:rFonts w:eastAsia="標楷體" w:cs="Calibri"/>
        </w:rPr>
        <w:t>美元，二者排名相當於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21</w:t>
      </w:r>
      <w:r w:rsidRPr="00D310F7">
        <w:rPr>
          <w:rFonts w:eastAsia="標楷體" w:cs="Calibri"/>
        </w:rPr>
        <w:t>及</w:t>
      </w:r>
      <w:r w:rsidRPr="00D310F7">
        <w:rPr>
          <w:rFonts w:eastAsia="標楷體" w:cs="Calibri"/>
        </w:rPr>
        <w:t>14</w:t>
      </w:r>
      <w:r w:rsidRPr="00D310F7">
        <w:rPr>
          <w:rFonts w:eastAsia="標楷體" w:cs="Calibri"/>
        </w:rPr>
        <w:t>位。</w:t>
      </w:r>
    </w:p>
    <w:p w:rsidR="00BF5EF3" w:rsidRPr="00D310F7" w:rsidRDefault="00A777AF" w:rsidP="001E57B7">
      <w:pPr>
        <w:adjustRightInd w:val="0"/>
        <w:snapToGrid w:val="0"/>
        <w:spacing w:before="60" w:after="60" w:line="360" w:lineRule="auto"/>
        <w:ind w:right="210" w:firstLine="482"/>
        <w:jc w:val="both"/>
        <w:rPr>
          <w:rFonts w:eastAsia="標楷體" w:cs="Calibri"/>
          <w:color w:val="FF0000"/>
        </w:rPr>
      </w:pPr>
      <w:r w:rsidRPr="00D310F7">
        <w:rPr>
          <w:rFonts w:eastAsia="標楷體" w:cs="Calibri"/>
        </w:rPr>
        <w:t>整體而言，平均每人</w:t>
      </w:r>
      <w:r w:rsidRPr="00D310F7">
        <w:rPr>
          <w:rFonts w:eastAsia="標楷體" w:cs="Calibri"/>
        </w:rPr>
        <w:t>GDP</w:t>
      </w:r>
      <w:r w:rsidRPr="00D310F7">
        <w:rPr>
          <w:rFonts w:eastAsia="標楷體" w:cs="Calibri"/>
        </w:rPr>
        <w:t>愈高的國家其平均每人</w:t>
      </w:r>
      <w:r w:rsidRPr="00D310F7">
        <w:rPr>
          <w:rFonts w:eastAsia="標楷體" w:cs="Calibri"/>
        </w:rPr>
        <w:t>NHE</w:t>
      </w:r>
      <w:r w:rsidRPr="00D310F7">
        <w:rPr>
          <w:rFonts w:eastAsia="標楷體" w:cs="Calibri"/>
        </w:rPr>
        <w:t>亦愈高，</w:t>
      </w: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年我國</w:t>
      </w:r>
      <w:r w:rsidRPr="00D310F7">
        <w:rPr>
          <w:rFonts w:eastAsia="標楷體" w:cs="Calibri"/>
        </w:rPr>
        <w:t>NHE</w:t>
      </w:r>
      <w:r w:rsidRPr="00D310F7">
        <w:rPr>
          <w:rFonts w:eastAsia="標楷體" w:cs="Calibri"/>
        </w:rPr>
        <w:t>占</w:t>
      </w:r>
      <w:r w:rsidRPr="00D310F7">
        <w:rPr>
          <w:rFonts w:eastAsia="標楷體" w:cs="Calibri"/>
        </w:rPr>
        <w:t>GDP</w:t>
      </w:r>
      <w:r w:rsidRPr="00D310F7">
        <w:rPr>
          <w:rFonts w:eastAsia="標楷體" w:cs="Calibri"/>
        </w:rPr>
        <w:t>比為</w:t>
      </w:r>
      <w:r w:rsidRPr="00D310F7">
        <w:rPr>
          <w:rFonts w:eastAsia="標楷體" w:cs="Calibri"/>
        </w:rPr>
        <w:t>6.6%</w:t>
      </w:r>
      <w:r w:rsidRPr="00D310F7">
        <w:rPr>
          <w:rFonts w:eastAsia="標楷體" w:cs="Calibri"/>
        </w:rPr>
        <w:t>，低於中位數</w:t>
      </w:r>
      <w:r w:rsidRPr="00D310F7">
        <w:rPr>
          <w:rFonts w:eastAsia="標楷體" w:cs="Calibri"/>
        </w:rPr>
        <w:t>2.6</w:t>
      </w:r>
      <w:r w:rsidRPr="00D310F7">
        <w:rPr>
          <w:rFonts w:eastAsia="標楷體" w:cs="Calibri"/>
        </w:rPr>
        <w:t>個百分點，較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會員國相對偏低。</w:t>
      </w:r>
    </w:p>
    <w:p w:rsidR="00BF5EF3" w:rsidRPr="00D310F7" w:rsidRDefault="00A777AF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</w:rPr>
      </w:pPr>
      <w:bookmarkStart w:id="24" w:name="_Toc379466146"/>
      <w:r w:rsidRPr="00D310F7">
        <w:rPr>
          <w:rFonts w:ascii="Calibri" w:eastAsia="標楷體" w:hAnsi="Calibri" w:cs="Calibri"/>
          <w:sz w:val="28"/>
          <w:szCs w:val="28"/>
        </w:rPr>
        <w:lastRenderedPageBreak/>
        <w:t>(</w:t>
      </w:r>
      <w:r w:rsidRPr="00D310F7">
        <w:rPr>
          <w:rFonts w:ascii="Calibri" w:eastAsia="標楷體" w:hAnsi="Calibri" w:cs="Calibri"/>
          <w:sz w:val="28"/>
          <w:szCs w:val="28"/>
        </w:rPr>
        <w:t>二</w:t>
      </w:r>
      <w:r w:rsidRPr="00D310F7">
        <w:rPr>
          <w:rFonts w:ascii="Calibri" w:eastAsia="標楷體" w:hAnsi="Calibri" w:cs="Calibri"/>
          <w:sz w:val="28"/>
          <w:szCs w:val="28"/>
        </w:rPr>
        <w:t>)</w:t>
      </w:r>
      <w:r w:rsidRPr="00D310F7">
        <w:rPr>
          <w:rFonts w:ascii="Calibri" w:eastAsia="標楷體" w:hAnsi="Calibri" w:cs="Calibri"/>
          <w:sz w:val="28"/>
          <w:szCs w:val="28"/>
        </w:rPr>
        <w:t>我國藥品支出占國民醫療保健支出比</w:t>
      </w:r>
      <w:bookmarkEnd w:id="24"/>
    </w:p>
    <w:p w:rsidR="00A777AF" w:rsidRPr="00D310F7" w:rsidRDefault="00BC1F09" w:rsidP="00CE6CA2">
      <w:pPr>
        <w:adjustRightInd w:val="0"/>
        <w:snapToGrid w:val="0"/>
        <w:spacing w:before="60" w:afterLines="50" w:after="180"/>
        <w:ind w:right="210" w:firstLine="482"/>
        <w:jc w:val="both"/>
        <w:rPr>
          <w:rFonts w:eastAsia="標楷體" w:cs="Calibri"/>
          <w:b/>
          <w:bCs/>
          <w:sz w:val="28"/>
        </w:rPr>
      </w:pPr>
      <w:r w:rsidRPr="00D310F7">
        <w:rPr>
          <w:rFonts w:eastAsia="標楷體" w:cs="Calibri"/>
          <w:b/>
          <w:bCs/>
          <w:sz w:val="28"/>
        </w:rPr>
        <w:t>與</w:t>
      </w:r>
      <w:r w:rsidRPr="00D310F7">
        <w:rPr>
          <w:rFonts w:eastAsia="標楷體" w:cs="Calibri"/>
          <w:b/>
          <w:bCs/>
          <w:sz w:val="28"/>
        </w:rPr>
        <w:t>OECD</w:t>
      </w:r>
      <w:r w:rsidRPr="00D310F7">
        <w:rPr>
          <w:rFonts w:eastAsia="標楷體" w:cs="Calibri"/>
          <w:b/>
          <w:bCs/>
          <w:sz w:val="28"/>
        </w:rPr>
        <w:t>會員國相較，</w:t>
      </w:r>
      <w:r w:rsidR="00A777AF" w:rsidRPr="00D310F7">
        <w:rPr>
          <w:rFonts w:eastAsia="標楷體" w:cs="Calibri"/>
          <w:b/>
          <w:bCs/>
          <w:sz w:val="28"/>
        </w:rPr>
        <w:t>我國藥品支出占醫療保健支出比相對偏高。</w:t>
      </w:r>
    </w:p>
    <w:p w:rsidR="00316193" w:rsidRDefault="00A45ADB" w:rsidP="00316193">
      <w:pPr>
        <w:adjustRightInd w:val="0"/>
        <w:snapToGrid w:val="0"/>
        <w:spacing w:before="60" w:after="60"/>
        <w:ind w:left="-6" w:right="335" w:firstLine="6"/>
        <w:jc w:val="both"/>
      </w:pPr>
      <w:r>
        <w:rPr>
          <w:rFonts w:hint="eastAsia"/>
          <w:noProof/>
        </w:rPr>
        <w:drawing>
          <wp:inline distT="0" distB="0" distL="0" distR="0">
            <wp:extent cx="5823585" cy="5442585"/>
            <wp:effectExtent l="0" t="0" r="5715" b="571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544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8D0E54" w:rsidRDefault="00316193" w:rsidP="00316193">
      <w:pPr>
        <w:adjustRightInd w:val="0"/>
        <w:snapToGrid w:val="0"/>
        <w:spacing w:before="60" w:after="60"/>
        <w:ind w:left="-6" w:right="66" w:firstLine="6"/>
        <w:jc w:val="center"/>
        <w:rPr>
          <w:rFonts w:eastAsia="標楷體"/>
        </w:rPr>
      </w:pPr>
      <w:r>
        <w:br w:type="page"/>
      </w:r>
      <w:r w:rsidR="00A45ADB">
        <w:rPr>
          <w:noProof/>
        </w:rPr>
        <w:lastRenderedPageBreak/>
        <w:drawing>
          <wp:inline distT="0" distB="0" distL="0" distR="0">
            <wp:extent cx="5268595" cy="6009005"/>
            <wp:effectExtent l="0" t="0" r="8255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600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D310F7" w:rsidRDefault="00A777AF" w:rsidP="00CE6CA2">
      <w:pPr>
        <w:adjustRightInd w:val="0"/>
        <w:snapToGrid w:val="0"/>
        <w:spacing w:before="240" w:after="60" w:line="360" w:lineRule="auto"/>
        <w:ind w:right="96" w:firstLine="539"/>
        <w:jc w:val="both"/>
        <w:rPr>
          <w:rFonts w:eastAsia="標楷體" w:cs="Calibri"/>
        </w:rPr>
      </w:pP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年我國藥品支出占國民醫療保健支出比為</w:t>
      </w:r>
      <w:r w:rsidRPr="00D310F7">
        <w:rPr>
          <w:rFonts w:eastAsia="標楷體" w:cs="Calibri"/>
        </w:rPr>
        <w:t>24.3%</w:t>
      </w:r>
      <w:r w:rsidRPr="00D310F7">
        <w:rPr>
          <w:rFonts w:eastAsia="標楷體" w:cs="Calibri"/>
        </w:rPr>
        <w:t>，高於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</w:t>
      </w:r>
      <w:r w:rsidRPr="00D310F7">
        <w:rPr>
          <w:rFonts w:eastAsia="標楷體" w:cs="Calibri"/>
        </w:rPr>
        <w:t>18.4%</w:t>
      </w:r>
      <w:r w:rsidRPr="00D310F7">
        <w:rPr>
          <w:rFonts w:eastAsia="標楷體" w:cs="Calibri"/>
        </w:rPr>
        <w:t>的水準，相當於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5</w:t>
      </w:r>
      <w:r w:rsidRPr="00D310F7">
        <w:rPr>
          <w:rFonts w:eastAsia="標楷體" w:cs="Calibri"/>
        </w:rPr>
        <w:t>位，僅低於斯洛伐克之</w:t>
      </w:r>
      <w:r w:rsidRPr="00D310F7">
        <w:rPr>
          <w:rFonts w:eastAsia="標楷體" w:cs="Calibri"/>
        </w:rPr>
        <w:t>36.3%</w:t>
      </w:r>
      <w:r w:rsidRPr="00D310F7">
        <w:rPr>
          <w:rFonts w:eastAsia="標楷體" w:cs="Calibri"/>
        </w:rPr>
        <w:t>、匈牙利之</w:t>
      </w:r>
      <w:r w:rsidRPr="00D310F7">
        <w:rPr>
          <w:rFonts w:eastAsia="標楷體" w:cs="Calibri"/>
        </w:rPr>
        <w:t>35.8%</w:t>
      </w:r>
      <w:r w:rsidRPr="00D310F7">
        <w:rPr>
          <w:rFonts w:eastAsia="標楷體" w:cs="Calibri"/>
        </w:rPr>
        <w:t>、希臘之</w:t>
      </w:r>
      <w:r w:rsidRPr="00D310F7">
        <w:rPr>
          <w:rFonts w:eastAsia="標楷體" w:cs="Calibri"/>
        </w:rPr>
        <w:t>30.8%</w:t>
      </w:r>
      <w:r w:rsidRPr="00D310F7">
        <w:rPr>
          <w:rFonts w:eastAsia="標楷體" w:cs="Calibri"/>
        </w:rPr>
        <w:t>、波蘭之</w:t>
      </w:r>
      <w:r w:rsidRPr="00D310F7">
        <w:rPr>
          <w:rFonts w:eastAsia="標楷體" w:cs="Calibri"/>
        </w:rPr>
        <w:t>24.5%</w:t>
      </w:r>
      <w:r w:rsidRPr="00D310F7">
        <w:rPr>
          <w:rFonts w:eastAsia="標楷體" w:cs="Calibri"/>
        </w:rPr>
        <w:t>。</w:t>
      </w:r>
    </w:p>
    <w:p w:rsidR="00316193" w:rsidRDefault="00241869" w:rsidP="00316193">
      <w:pPr>
        <w:adjustRightInd w:val="0"/>
        <w:snapToGrid w:val="0"/>
        <w:spacing w:before="60" w:after="60" w:line="360" w:lineRule="auto"/>
        <w:ind w:right="96" w:firstLine="539"/>
        <w:jc w:val="both"/>
        <w:rPr>
          <w:rFonts w:eastAsia="標楷體" w:cs="Calibri"/>
        </w:rPr>
      </w:pP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</w:t>
      </w:r>
      <w:r w:rsidR="00A777AF" w:rsidRPr="00D310F7">
        <w:rPr>
          <w:rFonts w:eastAsia="標楷體" w:cs="Calibri"/>
        </w:rPr>
        <w:t>我國藥品支出占國內生產毛額比為</w:t>
      </w:r>
      <w:r w:rsidR="00A777AF" w:rsidRPr="00D310F7">
        <w:rPr>
          <w:rFonts w:eastAsia="標楷體" w:cs="Calibri"/>
        </w:rPr>
        <w:t>1.6%</w:t>
      </w:r>
      <w:r w:rsidR="00A777AF" w:rsidRPr="00D310F7">
        <w:rPr>
          <w:rFonts w:eastAsia="標楷體" w:cs="Calibri"/>
        </w:rPr>
        <w:t>，低於</w:t>
      </w:r>
      <w:r w:rsidR="00A777AF" w:rsidRPr="00D310F7">
        <w:rPr>
          <w:rFonts w:eastAsia="標楷體" w:cs="Calibri"/>
        </w:rPr>
        <w:t>OECD</w:t>
      </w:r>
      <w:r w:rsidR="00A777AF" w:rsidRPr="00D310F7">
        <w:rPr>
          <w:rFonts w:eastAsia="標楷體" w:cs="Calibri"/>
        </w:rPr>
        <w:t>中位數</w:t>
      </w:r>
      <w:r w:rsidR="00A777AF" w:rsidRPr="00D310F7">
        <w:rPr>
          <w:rFonts w:eastAsia="標楷體" w:cs="Calibri"/>
        </w:rPr>
        <w:t>1.7%</w:t>
      </w:r>
      <w:r w:rsidR="00A777AF" w:rsidRPr="00D310F7">
        <w:rPr>
          <w:rFonts w:eastAsia="標楷體" w:cs="Calibri"/>
        </w:rPr>
        <w:t>的水準，相當於</w:t>
      </w:r>
      <w:r w:rsidR="00A777AF" w:rsidRPr="00D310F7">
        <w:rPr>
          <w:rFonts w:eastAsia="標楷體" w:cs="Calibri"/>
        </w:rPr>
        <w:t>OECD</w:t>
      </w:r>
      <w:r w:rsidR="00A777AF" w:rsidRPr="00D310F7">
        <w:rPr>
          <w:rFonts w:eastAsia="標楷體" w:cs="Calibri"/>
        </w:rPr>
        <w:t>會員國之第</w:t>
      </w:r>
      <w:r w:rsidR="00A777AF" w:rsidRPr="00D310F7">
        <w:rPr>
          <w:rFonts w:eastAsia="標楷體" w:cs="Calibri"/>
        </w:rPr>
        <w:t>17</w:t>
      </w:r>
      <w:r w:rsidR="00A777AF" w:rsidRPr="00D310F7">
        <w:rPr>
          <w:rFonts w:eastAsia="標楷體" w:cs="Calibri"/>
        </w:rPr>
        <w:t>位；以購買力平價折算並以美元為國際貨幣單位，</w:t>
      </w: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</w:t>
      </w:r>
      <w:r w:rsidR="00A777AF" w:rsidRPr="00D310F7">
        <w:rPr>
          <w:rFonts w:eastAsia="標楷體" w:cs="Calibri"/>
        </w:rPr>
        <w:t>我國平均每人藥品支出為</w:t>
      </w:r>
      <w:r w:rsidR="00A777AF" w:rsidRPr="00D310F7">
        <w:rPr>
          <w:rFonts w:eastAsia="標楷體" w:cs="Calibri"/>
        </w:rPr>
        <w:t>604</w:t>
      </w:r>
      <w:r w:rsidR="00A777AF" w:rsidRPr="00D310F7">
        <w:rPr>
          <w:rFonts w:eastAsia="標楷體" w:cs="Calibri"/>
        </w:rPr>
        <w:t>美元，</w:t>
      </w:r>
      <w:r w:rsidR="00187718" w:rsidRPr="00D310F7">
        <w:rPr>
          <w:rFonts w:eastAsia="標楷體" w:cs="Calibri"/>
        </w:rPr>
        <w:t>高於</w:t>
      </w:r>
      <w:r w:rsidR="00187718" w:rsidRPr="00D310F7">
        <w:rPr>
          <w:rFonts w:eastAsia="標楷體" w:cs="Calibri"/>
        </w:rPr>
        <w:t>OECD</w:t>
      </w:r>
      <w:r w:rsidR="00A777AF" w:rsidRPr="00D310F7">
        <w:rPr>
          <w:rFonts w:eastAsia="標楷體" w:cs="Calibri"/>
        </w:rPr>
        <w:t>中位數</w:t>
      </w:r>
      <w:r w:rsidR="00187718" w:rsidRPr="00D310F7">
        <w:rPr>
          <w:rFonts w:eastAsia="標楷體" w:cs="Calibri"/>
        </w:rPr>
        <w:t>之</w:t>
      </w:r>
      <w:r w:rsidR="00187718" w:rsidRPr="00D310F7">
        <w:rPr>
          <w:rFonts w:eastAsia="標楷體" w:cs="Calibri"/>
        </w:rPr>
        <w:t>586</w:t>
      </w:r>
      <w:r w:rsidR="00A777AF" w:rsidRPr="00D310F7">
        <w:rPr>
          <w:rFonts w:eastAsia="標楷體" w:cs="Calibri"/>
        </w:rPr>
        <w:t>美元，相當於</w:t>
      </w:r>
      <w:r w:rsidR="00A777AF" w:rsidRPr="00D310F7">
        <w:rPr>
          <w:rFonts w:eastAsia="標楷體" w:cs="Calibri"/>
        </w:rPr>
        <w:t>OECD</w:t>
      </w:r>
      <w:r w:rsidR="00A777AF" w:rsidRPr="00D310F7">
        <w:rPr>
          <w:rFonts w:eastAsia="標楷體" w:cs="Calibri"/>
        </w:rPr>
        <w:t>會員國之第</w:t>
      </w:r>
      <w:r w:rsidR="00A777AF" w:rsidRPr="00D310F7">
        <w:rPr>
          <w:rFonts w:eastAsia="標楷體" w:cs="Calibri"/>
        </w:rPr>
        <w:t>13</w:t>
      </w:r>
      <w:r w:rsidR="00A777AF" w:rsidRPr="00D310F7">
        <w:rPr>
          <w:rFonts w:eastAsia="標楷體" w:cs="Calibri"/>
        </w:rPr>
        <w:t>位。</w:t>
      </w:r>
    </w:p>
    <w:p w:rsidR="00A777AF" w:rsidRPr="00D310F7" w:rsidRDefault="00316193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</w:rPr>
      </w:pPr>
      <w:r>
        <w:rPr>
          <w:rFonts w:eastAsia="標楷體" w:cs="Calibri"/>
        </w:rPr>
        <w:br w:type="page"/>
      </w:r>
      <w:bookmarkStart w:id="25" w:name="_Toc379466147"/>
      <w:r w:rsidR="00A777AF" w:rsidRPr="00D310F7">
        <w:rPr>
          <w:rFonts w:ascii="Calibri" w:eastAsia="標楷體" w:hAnsi="Calibri" w:cs="Calibri"/>
          <w:sz w:val="28"/>
          <w:szCs w:val="28"/>
        </w:rPr>
        <w:lastRenderedPageBreak/>
        <w:t>(</w:t>
      </w:r>
      <w:r w:rsidR="00A777AF" w:rsidRPr="00D310F7">
        <w:rPr>
          <w:rFonts w:ascii="Calibri" w:eastAsia="標楷體" w:hAnsi="Calibri" w:cs="Calibri"/>
          <w:sz w:val="28"/>
          <w:szCs w:val="28"/>
        </w:rPr>
        <w:t>三</w:t>
      </w:r>
      <w:r w:rsidR="00A777AF" w:rsidRPr="00D310F7">
        <w:rPr>
          <w:rFonts w:ascii="Calibri" w:eastAsia="標楷體" w:hAnsi="Calibri" w:cs="Calibri"/>
          <w:sz w:val="28"/>
          <w:szCs w:val="28"/>
        </w:rPr>
        <w:t>)</w:t>
      </w:r>
      <w:r w:rsidR="00A777AF" w:rsidRPr="00D310F7">
        <w:rPr>
          <w:rFonts w:ascii="Calibri" w:eastAsia="標楷體" w:hAnsi="Calibri" w:cs="Calibri"/>
          <w:sz w:val="28"/>
        </w:rPr>
        <w:t>公私部門醫療保健支出占率</w:t>
      </w:r>
      <w:bookmarkEnd w:id="25"/>
    </w:p>
    <w:p w:rsidR="00A777AF" w:rsidRDefault="00A777AF" w:rsidP="00CE6CA2">
      <w:pPr>
        <w:adjustRightInd w:val="0"/>
        <w:snapToGrid w:val="0"/>
        <w:spacing w:before="60" w:afterLines="50" w:after="180"/>
        <w:ind w:left="-62" w:right="-335" w:firstLine="482"/>
        <w:jc w:val="both"/>
        <w:rPr>
          <w:rFonts w:eastAsia="標楷體" w:cs="Calibri"/>
          <w:b/>
          <w:bCs/>
          <w:sz w:val="28"/>
        </w:rPr>
      </w:pPr>
      <w:r w:rsidRPr="00D310F7">
        <w:rPr>
          <w:rFonts w:eastAsia="標楷體" w:cs="Calibri"/>
          <w:b/>
          <w:bCs/>
          <w:sz w:val="28"/>
        </w:rPr>
        <w:t>與</w:t>
      </w:r>
      <w:r w:rsidRPr="00D310F7">
        <w:rPr>
          <w:rFonts w:eastAsia="標楷體" w:cs="Calibri"/>
          <w:b/>
          <w:bCs/>
          <w:sz w:val="28"/>
        </w:rPr>
        <w:t>OECD</w:t>
      </w:r>
      <w:r w:rsidRPr="00D310F7">
        <w:rPr>
          <w:rFonts w:eastAsia="標楷體" w:cs="Calibri"/>
          <w:b/>
          <w:bCs/>
          <w:sz w:val="28"/>
        </w:rPr>
        <w:t>會員國相較，我國私部門醫療保健支出占率相對偏高。</w:t>
      </w:r>
    </w:p>
    <w:p w:rsidR="00316193" w:rsidRDefault="00A45ADB" w:rsidP="00032D33">
      <w:pPr>
        <w:adjustRightInd w:val="0"/>
        <w:snapToGrid w:val="0"/>
        <w:spacing w:before="60" w:afterLines="50" w:after="180"/>
        <w:ind w:right="-335"/>
        <w:jc w:val="center"/>
        <w:rPr>
          <w:rFonts w:eastAsia="標楷體" w:cs="Calibri"/>
          <w:b/>
          <w:bCs/>
          <w:sz w:val="28"/>
        </w:rPr>
      </w:pPr>
      <w:r>
        <w:rPr>
          <w:rFonts w:hint="eastAsia"/>
          <w:noProof/>
        </w:rPr>
        <w:drawing>
          <wp:inline distT="0" distB="0" distL="0" distR="0">
            <wp:extent cx="5715000" cy="5236210"/>
            <wp:effectExtent l="0" t="0" r="0" b="254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23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9E3AE2" w:rsidRDefault="00316193" w:rsidP="00316193">
      <w:pPr>
        <w:adjustRightInd w:val="0"/>
        <w:snapToGrid w:val="0"/>
        <w:spacing w:before="60" w:afterLines="50" w:after="180"/>
        <w:ind w:right="66"/>
        <w:jc w:val="both"/>
      </w:pPr>
      <w:r>
        <w:rPr>
          <w:rFonts w:eastAsia="標楷體" w:cs="Calibri"/>
          <w:b/>
          <w:bCs/>
          <w:sz w:val="28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5704205" cy="5943600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F3" w:rsidRPr="00D310F7" w:rsidRDefault="00A777AF" w:rsidP="00CE6CA2">
      <w:pPr>
        <w:adjustRightInd w:val="0"/>
        <w:snapToGrid w:val="0"/>
        <w:spacing w:before="240" w:after="60" w:line="360" w:lineRule="auto"/>
        <w:ind w:right="-335" w:firstLineChars="225" w:firstLine="540"/>
        <w:jc w:val="both"/>
        <w:rPr>
          <w:rFonts w:eastAsia="標楷體" w:cs="Calibri"/>
        </w:rPr>
      </w:pP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年我國公部門醫療保健支出占醫療保健支出比為</w:t>
      </w:r>
      <w:r w:rsidRPr="00D310F7">
        <w:rPr>
          <w:rFonts w:eastAsia="標楷體" w:cs="Calibri"/>
        </w:rPr>
        <w:t>57.3%</w:t>
      </w:r>
      <w:r w:rsidR="004C07DE" w:rsidRPr="00D310F7">
        <w:rPr>
          <w:rFonts w:eastAsia="標楷體" w:cs="Calibri"/>
        </w:rPr>
        <w:t>，較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</w:t>
      </w:r>
      <w:r w:rsidR="004C07DE" w:rsidRPr="00D310F7">
        <w:rPr>
          <w:rFonts w:eastAsia="標楷體" w:cs="Calibri"/>
        </w:rPr>
        <w:t>低</w:t>
      </w:r>
      <w:r w:rsidRPr="00D310F7">
        <w:rPr>
          <w:rFonts w:eastAsia="標楷體" w:cs="Calibri"/>
        </w:rPr>
        <w:t>16.1</w:t>
      </w:r>
      <w:r w:rsidRPr="00D310F7">
        <w:rPr>
          <w:rFonts w:eastAsia="標楷體" w:cs="Calibri"/>
        </w:rPr>
        <w:t>個百分點，相當於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25</w:t>
      </w:r>
      <w:r w:rsidRPr="00D310F7">
        <w:rPr>
          <w:rFonts w:eastAsia="標楷體" w:cs="Calibri"/>
        </w:rPr>
        <w:t>位；私部門醫療保健支出占醫療保健支出比為</w:t>
      </w:r>
      <w:r w:rsidRPr="00D310F7">
        <w:rPr>
          <w:rFonts w:eastAsia="標楷體" w:cs="Calibri"/>
        </w:rPr>
        <w:t>42.7%</w:t>
      </w:r>
      <w:r w:rsidRPr="00D310F7">
        <w:rPr>
          <w:rFonts w:eastAsia="標楷體" w:cs="Calibri"/>
        </w:rPr>
        <w:t>，</w:t>
      </w:r>
      <w:r w:rsidR="004C07DE" w:rsidRPr="00D310F7">
        <w:rPr>
          <w:rFonts w:eastAsia="標楷體" w:cs="Calibri"/>
        </w:rPr>
        <w:t>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</w:t>
      </w:r>
      <w:r w:rsidR="004C07DE" w:rsidRPr="00D310F7">
        <w:rPr>
          <w:rFonts w:eastAsia="標楷體" w:cs="Calibri"/>
        </w:rPr>
        <w:t>高</w:t>
      </w:r>
      <w:r w:rsidRPr="00D310F7">
        <w:rPr>
          <w:rFonts w:eastAsia="標楷體" w:cs="Calibri"/>
        </w:rPr>
        <w:t>16.1</w:t>
      </w:r>
      <w:r w:rsidRPr="00D310F7">
        <w:rPr>
          <w:rFonts w:eastAsia="標楷體" w:cs="Calibri"/>
        </w:rPr>
        <w:t>個百分點，相當於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4</w:t>
      </w:r>
      <w:r w:rsidRPr="00D310F7">
        <w:rPr>
          <w:rFonts w:eastAsia="標楷體" w:cs="Calibri"/>
        </w:rPr>
        <w:t>位，僅低於智利、美國及南韓；家庭自付醫療保健支出占私部門醫療保健支出比為</w:t>
      </w:r>
      <w:r w:rsidRPr="00D310F7">
        <w:rPr>
          <w:rFonts w:eastAsia="標楷體" w:cs="Calibri"/>
        </w:rPr>
        <w:t>86.2%</w:t>
      </w:r>
      <w:r w:rsidRPr="00D310F7">
        <w:rPr>
          <w:rFonts w:eastAsia="標楷體" w:cs="Calibri"/>
        </w:rPr>
        <w:t>，</w:t>
      </w:r>
      <w:r w:rsidR="004C07DE" w:rsidRPr="00D310F7">
        <w:rPr>
          <w:rFonts w:eastAsia="標楷體" w:cs="Calibri"/>
        </w:rPr>
        <w:t>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</w:t>
      </w:r>
      <w:r w:rsidR="004C07DE" w:rsidRPr="00D310F7">
        <w:rPr>
          <w:rFonts w:eastAsia="標楷體" w:cs="Calibri"/>
        </w:rPr>
        <w:t>高</w:t>
      </w:r>
      <w:r w:rsidRPr="00D310F7">
        <w:rPr>
          <w:rFonts w:eastAsia="標楷體" w:cs="Calibri"/>
        </w:rPr>
        <w:t>10.2</w:t>
      </w:r>
      <w:r w:rsidRPr="00D310F7">
        <w:rPr>
          <w:rFonts w:eastAsia="標楷體" w:cs="Calibri"/>
        </w:rPr>
        <w:t>個百分點，相當於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7</w:t>
      </w:r>
      <w:r w:rsidRPr="00D310F7">
        <w:rPr>
          <w:rFonts w:eastAsia="標楷體" w:cs="Calibri"/>
        </w:rPr>
        <w:t>位。</w:t>
      </w:r>
    </w:p>
    <w:p w:rsidR="00A777AF" w:rsidRPr="00D310F7" w:rsidRDefault="00BF5EF3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</w:rPr>
      </w:pPr>
      <w:r>
        <w:rPr>
          <w:rFonts w:eastAsia="標楷體"/>
        </w:rPr>
        <w:br w:type="page"/>
      </w:r>
      <w:bookmarkStart w:id="26" w:name="_Toc379466148"/>
      <w:r w:rsidR="00A777AF" w:rsidRPr="00D310F7">
        <w:rPr>
          <w:rFonts w:ascii="Calibri" w:eastAsia="標楷體" w:hAnsi="Calibri" w:cs="Calibri"/>
          <w:sz w:val="28"/>
          <w:szCs w:val="28"/>
        </w:rPr>
        <w:lastRenderedPageBreak/>
        <w:t>(</w:t>
      </w:r>
      <w:r w:rsidR="00A777AF" w:rsidRPr="00D310F7">
        <w:rPr>
          <w:rFonts w:ascii="Calibri" w:eastAsia="標楷體" w:hAnsi="Calibri" w:cs="Calibri"/>
          <w:sz w:val="28"/>
          <w:szCs w:val="28"/>
        </w:rPr>
        <w:t>四</w:t>
      </w:r>
      <w:r w:rsidR="00A777AF" w:rsidRPr="00D310F7">
        <w:rPr>
          <w:rFonts w:ascii="Calibri" w:eastAsia="標楷體" w:hAnsi="Calibri" w:cs="Calibri"/>
          <w:sz w:val="28"/>
          <w:szCs w:val="28"/>
        </w:rPr>
        <w:t>)</w:t>
      </w:r>
      <w:r w:rsidR="00C85983" w:rsidRPr="00D310F7">
        <w:rPr>
          <w:rFonts w:ascii="Calibri" w:eastAsia="標楷體" w:hAnsi="Calibri" w:cs="Calibri"/>
          <w:sz w:val="28"/>
        </w:rPr>
        <w:t>家庭自</w:t>
      </w:r>
      <w:r w:rsidR="00A777AF" w:rsidRPr="00D310F7">
        <w:rPr>
          <w:rFonts w:ascii="Calibri" w:eastAsia="標楷體" w:hAnsi="Calibri" w:cs="Calibri"/>
          <w:sz w:val="28"/>
        </w:rPr>
        <w:t>付醫療費用占國民醫療保健支出比</w:t>
      </w:r>
      <w:bookmarkEnd w:id="26"/>
    </w:p>
    <w:p w:rsidR="00A777AF" w:rsidRDefault="00A777AF" w:rsidP="00CE6CA2">
      <w:pPr>
        <w:adjustRightInd w:val="0"/>
        <w:snapToGrid w:val="0"/>
        <w:spacing w:before="60" w:afterLines="50" w:after="180"/>
        <w:ind w:left="-62" w:right="-335" w:firstLine="482"/>
        <w:jc w:val="both"/>
        <w:rPr>
          <w:rFonts w:eastAsia="標楷體" w:cs="Calibri"/>
          <w:b/>
          <w:bCs/>
          <w:sz w:val="28"/>
        </w:rPr>
      </w:pPr>
      <w:r w:rsidRPr="00D310F7">
        <w:rPr>
          <w:rFonts w:eastAsia="標楷體" w:cs="Calibri"/>
          <w:b/>
          <w:bCs/>
          <w:sz w:val="28"/>
        </w:rPr>
        <w:t>與</w:t>
      </w:r>
      <w:r w:rsidRPr="00D310F7">
        <w:rPr>
          <w:rFonts w:eastAsia="標楷體" w:cs="Calibri"/>
          <w:b/>
          <w:bCs/>
          <w:sz w:val="28"/>
        </w:rPr>
        <w:t>OECD</w:t>
      </w:r>
      <w:r w:rsidRPr="00D310F7">
        <w:rPr>
          <w:rFonts w:eastAsia="標楷體" w:cs="Calibri"/>
          <w:b/>
          <w:bCs/>
          <w:sz w:val="28"/>
        </w:rPr>
        <w:t>會員國相較，我國家庭自付</w:t>
      </w:r>
      <w:r w:rsidR="00C85983" w:rsidRPr="00D310F7">
        <w:rPr>
          <w:rFonts w:eastAsia="標楷體" w:cs="Calibri"/>
          <w:b/>
          <w:bCs/>
          <w:sz w:val="28"/>
        </w:rPr>
        <w:t>醫療</w:t>
      </w:r>
      <w:r w:rsidR="00991E2D" w:rsidRPr="00D310F7">
        <w:rPr>
          <w:rFonts w:eastAsia="標楷體" w:cs="Calibri"/>
          <w:b/>
          <w:bCs/>
          <w:sz w:val="28"/>
        </w:rPr>
        <w:t>費用占率相</w:t>
      </w:r>
      <w:r w:rsidRPr="00D310F7">
        <w:rPr>
          <w:rFonts w:eastAsia="標楷體" w:cs="Calibri"/>
          <w:b/>
          <w:bCs/>
          <w:sz w:val="28"/>
        </w:rPr>
        <w:t>對</w:t>
      </w:r>
      <w:r w:rsidR="00991E2D" w:rsidRPr="00D310F7">
        <w:rPr>
          <w:rFonts w:eastAsia="標楷體" w:cs="Calibri"/>
          <w:b/>
          <w:bCs/>
          <w:sz w:val="28"/>
        </w:rPr>
        <w:t>偏</w:t>
      </w:r>
      <w:r w:rsidRPr="00D310F7">
        <w:rPr>
          <w:rFonts w:eastAsia="標楷體" w:cs="Calibri"/>
          <w:b/>
          <w:bCs/>
          <w:sz w:val="28"/>
        </w:rPr>
        <w:t>高。</w:t>
      </w:r>
    </w:p>
    <w:p w:rsidR="00316193" w:rsidRDefault="00A45ADB" w:rsidP="00962318">
      <w:pPr>
        <w:adjustRightInd w:val="0"/>
        <w:snapToGrid w:val="0"/>
        <w:spacing w:before="60" w:afterLines="50" w:after="180"/>
        <w:ind w:leftChars="-59" w:right="-335" w:hangingChars="59" w:hanging="142"/>
        <w:jc w:val="both"/>
        <w:rPr>
          <w:rFonts w:eastAsia="標楷體" w:cs="Calibri"/>
          <w:b/>
          <w:bCs/>
          <w:sz w:val="28"/>
        </w:rPr>
      </w:pPr>
      <w:r>
        <w:rPr>
          <w:rFonts w:hint="eastAsia"/>
          <w:noProof/>
        </w:rPr>
        <w:drawing>
          <wp:inline distT="0" distB="0" distL="0" distR="0">
            <wp:extent cx="5954395" cy="5497195"/>
            <wp:effectExtent l="0" t="0" r="8255" b="8255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549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8376ED" w:rsidRDefault="00316193" w:rsidP="00316193">
      <w:pPr>
        <w:adjustRightInd w:val="0"/>
        <w:snapToGrid w:val="0"/>
        <w:spacing w:before="60" w:afterLines="50" w:after="180"/>
        <w:ind w:right="-335"/>
        <w:jc w:val="both"/>
      </w:pPr>
      <w:r>
        <w:rPr>
          <w:rFonts w:eastAsia="標楷體" w:cs="Calibri"/>
          <w:b/>
          <w:bCs/>
          <w:sz w:val="28"/>
        </w:rPr>
        <w:br w:type="page"/>
      </w:r>
      <w:r w:rsidR="00A45ADB">
        <w:rPr>
          <w:rFonts w:hint="eastAsia"/>
          <w:noProof/>
        </w:rPr>
        <w:lastRenderedPageBreak/>
        <w:drawing>
          <wp:inline distT="0" distB="0" distL="0" distR="0">
            <wp:extent cx="5715000" cy="5399405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9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Pr="00D310F7" w:rsidRDefault="00A777AF" w:rsidP="00CE6CA2">
      <w:pPr>
        <w:adjustRightInd w:val="0"/>
        <w:snapToGrid w:val="0"/>
        <w:spacing w:before="240" w:after="60" w:line="360" w:lineRule="auto"/>
        <w:ind w:right="-335" w:firstLineChars="225" w:firstLine="540"/>
        <w:rPr>
          <w:rFonts w:eastAsia="標楷體" w:cs="Calibri"/>
        </w:rPr>
      </w:pPr>
      <w:r w:rsidRPr="00D310F7">
        <w:rPr>
          <w:rFonts w:eastAsia="標楷體" w:cs="Calibri"/>
        </w:rPr>
        <w:t>2011</w:t>
      </w:r>
      <w:r w:rsidRPr="00D310F7">
        <w:rPr>
          <w:rFonts w:eastAsia="標楷體" w:cs="Calibri"/>
        </w:rPr>
        <w:t>年我國各級政府扣除社會安全計畫</w:t>
      </w:r>
      <w:r w:rsidRPr="00D310F7">
        <w:rPr>
          <w:rFonts w:eastAsia="標楷體" w:cs="Calibri"/>
        </w:rPr>
        <w:t xml:space="preserve"> (social security schemes)</w:t>
      </w:r>
      <w:r w:rsidRPr="00D310F7">
        <w:rPr>
          <w:rFonts w:eastAsia="標楷體" w:cs="Calibri"/>
        </w:rPr>
        <w:t>醫療保健支出占總醫療保健支出比為</w:t>
      </w:r>
      <w:r w:rsidRPr="00D310F7">
        <w:rPr>
          <w:rFonts w:eastAsia="標楷體" w:cs="Calibri"/>
        </w:rPr>
        <w:t>6.1%</w:t>
      </w:r>
      <w:r w:rsidRPr="00D310F7">
        <w:rPr>
          <w:rFonts w:eastAsia="標楷體" w:cs="Calibri"/>
        </w:rPr>
        <w:t>，較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中位數低</w:t>
      </w:r>
      <w:r w:rsidRPr="00D310F7">
        <w:rPr>
          <w:rFonts w:eastAsia="標楷體" w:cs="Calibri"/>
        </w:rPr>
        <w:t>10.9</w:t>
      </w:r>
      <w:r w:rsidRPr="00D310F7">
        <w:rPr>
          <w:rFonts w:eastAsia="標楷體" w:cs="Calibri"/>
        </w:rPr>
        <w:t>個百分點，相當於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25</w:t>
      </w:r>
      <w:r w:rsidRPr="00D310F7">
        <w:rPr>
          <w:rFonts w:eastAsia="標楷體" w:cs="Calibri"/>
        </w:rPr>
        <w:t>位，僅高於斯洛維尼亞及法國；社會安全計畫醫療保健支出占總醫療保健支出比為</w:t>
      </w:r>
      <w:r w:rsidRPr="00D310F7">
        <w:rPr>
          <w:rFonts w:eastAsia="標楷體" w:cs="Calibri"/>
        </w:rPr>
        <w:t>51.2%</w:t>
      </w:r>
      <w:r w:rsidRPr="00D310F7">
        <w:rPr>
          <w:rFonts w:eastAsia="標楷體" w:cs="Calibri"/>
        </w:rPr>
        <w:t>，</w:t>
      </w:r>
      <w:r w:rsidR="00383EF8" w:rsidRPr="00D310F7">
        <w:rPr>
          <w:rFonts w:eastAsia="標楷體" w:cs="Calibri"/>
        </w:rPr>
        <w:t>較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</w:t>
      </w:r>
      <w:r w:rsidR="00383EF8" w:rsidRPr="00D310F7">
        <w:rPr>
          <w:rFonts w:eastAsia="標楷體" w:cs="Calibri"/>
        </w:rPr>
        <w:t>高</w:t>
      </w:r>
      <w:r w:rsidRPr="00D310F7">
        <w:rPr>
          <w:rFonts w:eastAsia="標楷體" w:cs="Calibri"/>
        </w:rPr>
        <w:t>7.4</w:t>
      </w:r>
      <w:r w:rsidRPr="00D310F7">
        <w:rPr>
          <w:rFonts w:eastAsia="標楷體" w:cs="Calibri"/>
        </w:rPr>
        <w:t>個百分點，相當於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11</w:t>
      </w:r>
      <w:r w:rsidRPr="00D310F7">
        <w:rPr>
          <w:rFonts w:eastAsia="標楷體" w:cs="Calibri"/>
        </w:rPr>
        <w:t>位；家庭自付醫療保健支出占總醫療保健支出比為</w:t>
      </w:r>
      <w:r w:rsidRPr="00D310F7">
        <w:rPr>
          <w:rFonts w:eastAsia="標楷體" w:cs="Calibri"/>
        </w:rPr>
        <w:t>36.8%</w:t>
      </w:r>
      <w:r w:rsidRPr="00D310F7">
        <w:rPr>
          <w:rFonts w:eastAsia="標楷體" w:cs="Calibri"/>
        </w:rPr>
        <w:t>，</w:t>
      </w:r>
      <w:r w:rsidR="00383EF8" w:rsidRPr="00D310F7">
        <w:rPr>
          <w:rFonts w:eastAsia="標楷體" w:cs="Calibri"/>
        </w:rPr>
        <w:t>僅低於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會員國智利。</w:t>
      </w:r>
    </w:p>
    <w:p w:rsidR="00465B59" w:rsidRPr="00D310F7" w:rsidRDefault="00465B59" w:rsidP="00A30A46">
      <w:pPr>
        <w:pStyle w:val="1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8"/>
        </w:rPr>
      </w:pPr>
      <w:r>
        <w:rPr>
          <w:rFonts w:eastAsia="標楷體"/>
        </w:rPr>
        <w:br w:type="page"/>
      </w:r>
      <w:bookmarkStart w:id="27" w:name="_Toc379466149"/>
      <w:r w:rsidRPr="00D310F7">
        <w:rPr>
          <w:rFonts w:ascii="Calibri" w:eastAsia="標楷體" w:hAnsi="Calibri" w:cs="Calibri"/>
          <w:sz w:val="28"/>
          <w:szCs w:val="28"/>
        </w:rPr>
        <w:lastRenderedPageBreak/>
        <w:t>四、人口統計</w:t>
      </w:r>
      <w:bookmarkEnd w:id="27"/>
    </w:p>
    <w:p w:rsidR="00465B59" w:rsidRPr="00D310F7" w:rsidRDefault="00465B59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sz w:val="28"/>
          <w:szCs w:val="24"/>
        </w:rPr>
      </w:pPr>
      <w:bookmarkStart w:id="28" w:name="_Toc379466150"/>
      <w:r w:rsidRPr="00D310F7">
        <w:rPr>
          <w:rFonts w:ascii="Calibri" w:eastAsia="標楷體" w:hAnsi="Calibri" w:cs="Calibri"/>
          <w:sz w:val="28"/>
          <w:szCs w:val="24"/>
        </w:rPr>
        <w:t>(</w:t>
      </w:r>
      <w:r w:rsidRPr="00D310F7">
        <w:rPr>
          <w:rFonts w:ascii="Calibri" w:eastAsia="標楷體" w:hAnsi="Calibri" w:cs="Calibri"/>
          <w:sz w:val="28"/>
          <w:szCs w:val="24"/>
        </w:rPr>
        <w:t>一</w:t>
      </w:r>
      <w:r w:rsidRPr="00D310F7">
        <w:rPr>
          <w:rFonts w:ascii="Calibri" w:eastAsia="標楷體" w:hAnsi="Calibri" w:cs="Calibri"/>
          <w:sz w:val="28"/>
          <w:szCs w:val="24"/>
        </w:rPr>
        <w:t>)</w:t>
      </w:r>
      <w:r w:rsidRPr="00D310F7">
        <w:rPr>
          <w:rFonts w:ascii="Calibri" w:eastAsia="標楷體" w:hAnsi="Calibri" w:cs="Calibri"/>
          <w:sz w:val="28"/>
          <w:szCs w:val="24"/>
        </w:rPr>
        <w:t>人口結構</w:t>
      </w:r>
      <w:bookmarkEnd w:id="28"/>
    </w:p>
    <w:p w:rsidR="004D5496" w:rsidRPr="00D310F7" w:rsidRDefault="00465B59" w:rsidP="00A30A46">
      <w:pPr>
        <w:adjustRightInd w:val="0"/>
        <w:snapToGrid w:val="0"/>
        <w:spacing w:before="60" w:after="60"/>
        <w:ind w:right="69" w:firstLineChars="170" w:firstLine="476"/>
        <w:jc w:val="both"/>
        <w:rPr>
          <w:rFonts w:eastAsia="標楷體" w:cs="Calibri"/>
        </w:rPr>
      </w:pPr>
      <w:r w:rsidRPr="00D310F7">
        <w:rPr>
          <w:rFonts w:eastAsia="標楷體" w:cs="Calibri"/>
          <w:b/>
          <w:bCs/>
          <w:sz w:val="28"/>
          <w:szCs w:val="24"/>
        </w:rPr>
        <w:t>2012</w:t>
      </w:r>
      <w:r w:rsidRPr="00D310F7">
        <w:rPr>
          <w:rFonts w:eastAsia="標楷體" w:cs="Calibri"/>
          <w:b/>
          <w:bCs/>
          <w:sz w:val="28"/>
          <w:szCs w:val="24"/>
        </w:rPr>
        <w:t>年我國</w:t>
      </w:r>
      <w:r w:rsidRPr="00D310F7">
        <w:rPr>
          <w:rFonts w:eastAsia="標楷體" w:cs="Calibri"/>
          <w:b/>
          <w:bCs/>
          <w:sz w:val="28"/>
          <w:szCs w:val="24"/>
        </w:rPr>
        <w:t>65</w:t>
      </w:r>
      <w:r w:rsidRPr="00D310F7">
        <w:rPr>
          <w:rFonts w:eastAsia="標楷體" w:cs="Calibri"/>
          <w:b/>
          <w:bCs/>
          <w:sz w:val="28"/>
          <w:szCs w:val="24"/>
        </w:rPr>
        <w:t>歲以上人口占率為</w:t>
      </w:r>
      <w:r w:rsidRPr="00D310F7">
        <w:rPr>
          <w:rFonts w:eastAsia="標楷體" w:cs="Calibri"/>
          <w:b/>
          <w:bCs/>
          <w:sz w:val="28"/>
          <w:szCs w:val="24"/>
        </w:rPr>
        <w:t>11.2%</w:t>
      </w:r>
      <w:r w:rsidRPr="00D310F7">
        <w:rPr>
          <w:rFonts w:eastAsia="標楷體" w:cs="Calibri"/>
          <w:b/>
          <w:bCs/>
          <w:sz w:val="28"/>
          <w:szCs w:val="24"/>
        </w:rPr>
        <w:t>，較</w:t>
      </w:r>
      <w:r w:rsidRPr="00D310F7">
        <w:rPr>
          <w:rFonts w:eastAsia="標楷體" w:cs="Calibri"/>
          <w:b/>
          <w:bCs/>
          <w:sz w:val="28"/>
          <w:szCs w:val="24"/>
        </w:rPr>
        <w:t>OECD</w:t>
      </w:r>
      <w:r w:rsidRPr="00D310F7">
        <w:rPr>
          <w:rFonts w:eastAsia="標楷體" w:cs="Calibri"/>
          <w:b/>
          <w:bCs/>
          <w:sz w:val="28"/>
          <w:szCs w:val="24"/>
        </w:rPr>
        <w:t>會員國尚屬年輕國家。</w:t>
      </w:r>
    </w:p>
    <w:p w:rsidR="00A777AF" w:rsidRDefault="00A45ADB" w:rsidP="00465B59">
      <w:pPr>
        <w:adjustRightInd w:val="0"/>
        <w:snapToGrid w:val="0"/>
        <w:spacing w:before="240" w:after="60" w:line="360" w:lineRule="auto"/>
        <w:ind w:right="69"/>
        <w:jc w:val="both"/>
        <w:rPr>
          <w:rFonts w:eastAsia="標楷體"/>
        </w:rPr>
      </w:pPr>
      <w:r>
        <w:rPr>
          <w:rFonts w:hint="eastAsia"/>
          <w:noProof/>
        </w:rPr>
        <w:drawing>
          <wp:inline distT="0" distB="0" distL="0" distR="0">
            <wp:extent cx="5899785" cy="5225415"/>
            <wp:effectExtent l="0" t="0" r="5715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522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AF" w:rsidRDefault="00465B59" w:rsidP="00ED543E">
      <w:pPr>
        <w:adjustRightInd w:val="0"/>
        <w:snapToGrid w:val="0"/>
        <w:spacing w:before="240" w:after="60" w:line="360" w:lineRule="auto"/>
        <w:ind w:right="69"/>
        <w:jc w:val="center"/>
        <w:rPr>
          <w:rFonts w:eastAsia="標楷體"/>
        </w:rPr>
      </w:pPr>
      <w:r>
        <w:rPr>
          <w:rFonts w:eastAsia="標楷體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4561205" cy="6597015"/>
            <wp:effectExtent l="0" t="0" r="0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659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59" w:rsidRPr="00D310F7" w:rsidRDefault="00465B59" w:rsidP="00970012">
      <w:pPr>
        <w:snapToGrid w:val="0"/>
        <w:spacing w:before="60" w:after="60" w:line="360" w:lineRule="auto"/>
        <w:ind w:firstLineChars="236" w:firstLine="566"/>
        <w:rPr>
          <w:rFonts w:eastAsia="標楷體" w:cs="Calibri"/>
        </w:rPr>
      </w:pPr>
      <w:r w:rsidRPr="00D310F7">
        <w:rPr>
          <w:rFonts w:eastAsia="標楷體" w:cs="Calibri"/>
        </w:rPr>
        <w:t>2012</w:t>
      </w:r>
      <w:r w:rsidRPr="00D310F7">
        <w:rPr>
          <w:rFonts w:eastAsia="標楷體" w:cs="Calibri"/>
        </w:rPr>
        <w:t>年我國</w:t>
      </w:r>
      <w:r w:rsidRPr="00D310F7">
        <w:rPr>
          <w:rFonts w:eastAsia="標楷體" w:cs="Calibri"/>
        </w:rPr>
        <w:t>0-14</w:t>
      </w:r>
      <w:r w:rsidRPr="00D310F7">
        <w:rPr>
          <w:rFonts w:eastAsia="標楷體" w:cs="Calibri"/>
        </w:rPr>
        <w:t>歲人口結構比為</w:t>
      </w:r>
      <w:r w:rsidRPr="00D310F7">
        <w:rPr>
          <w:rFonts w:eastAsia="標楷體" w:cs="Calibri"/>
        </w:rPr>
        <w:t>14.6%</w:t>
      </w:r>
      <w:r w:rsidRPr="00D310F7">
        <w:rPr>
          <w:rFonts w:eastAsia="標楷體" w:cs="Calibri"/>
        </w:rPr>
        <w:t>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28</w:t>
      </w:r>
      <w:r w:rsidRPr="00D310F7">
        <w:rPr>
          <w:rFonts w:eastAsia="標楷體" w:cs="Calibri"/>
        </w:rPr>
        <w:t>位，低於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會員國中位數；</w:t>
      </w:r>
      <w:r w:rsidRPr="00D310F7">
        <w:rPr>
          <w:rFonts w:eastAsia="標楷體" w:cs="Calibri"/>
        </w:rPr>
        <w:t>65</w:t>
      </w:r>
      <w:r w:rsidRPr="00D310F7">
        <w:rPr>
          <w:rFonts w:eastAsia="標楷體" w:cs="Calibri"/>
        </w:rPr>
        <w:t>歲以上人口比為</w:t>
      </w:r>
      <w:r w:rsidRPr="00D310F7">
        <w:rPr>
          <w:rFonts w:eastAsia="標楷體" w:cs="Calibri"/>
        </w:rPr>
        <w:t>11.2%</w:t>
      </w:r>
      <w:r w:rsidRPr="00D310F7">
        <w:rPr>
          <w:rFonts w:eastAsia="標楷體" w:cs="Calibri"/>
        </w:rPr>
        <w:t>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31</w:t>
      </w:r>
      <w:r w:rsidRPr="00D310F7">
        <w:rPr>
          <w:rFonts w:eastAsia="標楷體" w:cs="Calibri"/>
        </w:rPr>
        <w:t>位，高於以色列、智利、土耳其及墨西哥四國，亦低於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會員國中位數；若與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會員國相較，我國尚屬老化程度較緩的國家，惟我國老化速度已有加快現象。</w:t>
      </w:r>
    </w:p>
    <w:p w:rsidR="00970012" w:rsidRPr="00D310F7" w:rsidRDefault="00465B59" w:rsidP="00970012">
      <w:pPr>
        <w:adjustRightInd w:val="0"/>
        <w:snapToGrid w:val="0"/>
        <w:spacing w:before="60" w:after="60" w:line="360" w:lineRule="auto"/>
        <w:ind w:right="68" w:firstLine="482"/>
        <w:jc w:val="both"/>
        <w:rPr>
          <w:rFonts w:eastAsia="標楷體" w:cs="Calibri"/>
        </w:rPr>
      </w:pPr>
      <w:r w:rsidRPr="00D310F7">
        <w:rPr>
          <w:rFonts w:eastAsia="標楷體" w:cs="Calibri"/>
        </w:rPr>
        <w:t>由於出生率降低，使得</w:t>
      </w:r>
      <w:r w:rsidRPr="00D310F7">
        <w:rPr>
          <w:rFonts w:eastAsia="標楷體" w:cs="Calibri"/>
        </w:rPr>
        <w:t>0-14</w:t>
      </w:r>
      <w:r w:rsidRPr="00D310F7">
        <w:rPr>
          <w:rFonts w:eastAsia="標楷體" w:cs="Calibri"/>
        </w:rPr>
        <w:t>歲人口結構比呈現逐年下降趨勢；而隨平均壽命之延長，</w:t>
      </w:r>
      <w:r w:rsidRPr="00D310F7">
        <w:rPr>
          <w:rFonts w:eastAsia="標楷體" w:cs="Calibri"/>
        </w:rPr>
        <w:t>65</w:t>
      </w:r>
      <w:r w:rsidRPr="00D310F7">
        <w:rPr>
          <w:rFonts w:eastAsia="標楷體" w:cs="Calibri"/>
        </w:rPr>
        <w:t>歲以上人口比由</w:t>
      </w:r>
      <w:r w:rsidRPr="00D310F7">
        <w:rPr>
          <w:rFonts w:eastAsia="標楷體" w:cs="Calibri"/>
        </w:rPr>
        <w:t>2002</w:t>
      </w:r>
      <w:r w:rsidRPr="00D310F7">
        <w:rPr>
          <w:rFonts w:eastAsia="標楷體" w:cs="Calibri"/>
        </w:rPr>
        <w:t>年之</w:t>
      </w:r>
      <w:r w:rsidRPr="00D310F7">
        <w:rPr>
          <w:rFonts w:eastAsia="標楷體" w:cs="Calibri"/>
        </w:rPr>
        <w:t>9.0%</w:t>
      </w:r>
      <w:r w:rsidRPr="00D310F7">
        <w:rPr>
          <w:rFonts w:eastAsia="標楷體" w:cs="Calibri"/>
        </w:rPr>
        <w:t>，上升至</w:t>
      </w:r>
      <w:r w:rsidRPr="00D310F7">
        <w:rPr>
          <w:rFonts w:eastAsia="標楷體" w:cs="Calibri"/>
        </w:rPr>
        <w:t>2012</w:t>
      </w:r>
      <w:r w:rsidRPr="00D310F7">
        <w:rPr>
          <w:rFonts w:eastAsia="標楷體" w:cs="Calibri"/>
        </w:rPr>
        <w:t>年</w:t>
      </w:r>
      <w:r w:rsidRPr="00D310F7">
        <w:rPr>
          <w:rFonts w:eastAsia="標楷體" w:cs="Calibri"/>
        </w:rPr>
        <w:t>11.2%</w:t>
      </w:r>
      <w:r w:rsidRPr="00D310F7">
        <w:rPr>
          <w:rFonts w:eastAsia="標楷體" w:cs="Calibri"/>
        </w:rPr>
        <w:t>，</w:t>
      </w:r>
      <w:r w:rsidRPr="00D310F7">
        <w:rPr>
          <w:rFonts w:eastAsia="標楷體" w:cs="Calibri"/>
        </w:rPr>
        <w:t>10</w:t>
      </w:r>
      <w:r w:rsidRPr="00D310F7">
        <w:rPr>
          <w:rFonts w:eastAsia="標楷體" w:cs="Calibri"/>
        </w:rPr>
        <w:t>年來增加</w:t>
      </w:r>
      <w:r w:rsidRPr="00D310F7">
        <w:rPr>
          <w:rFonts w:eastAsia="標楷體" w:cs="Calibri"/>
        </w:rPr>
        <w:t>2.2</w:t>
      </w:r>
      <w:r w:rsidRPr="00D310F7">
        <w:rPr>
          <w:rFonts w:eastAsia="標楷體" w:cs="Calibri"/>
        </w:rPr>
        <w:t>個百分點，人口呈現少子化及高齡化現象。</w:t>
      </w:r>
    </w:p>
    <w:p w:rsidR="00465B59" w:rsidRPr="00D310F7" w:rsidRDefault="00465B59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b w:val="0"/>
          <w:bCs w:val="0"/>
          <w:sz w:val="24"/>
          <w:szCs w:val="22"/>
        </w:rPr>
      </w:pPr>
      <w:bookmarkStart w:id="29" w:name="_Toc379466151"/>
      <w:r w:rsidRPr="00D310F7">
        <w:rPr>
          <w:rFonts w:ascii="Calibri" w:eastAsia="標楷體" w:hAnsi="Calibri" w:cs="Calibri"/>
          <w:sz w:val="28"/>
          <w:szCs w:val="24"/>
        </w:rPr>
        <w:lastRenderedPageBreak/>
        <w:t>(</w:t>
      </w:r>
      <w:r w:rsidRPr="00D310F7">
        <w:rPr>
          <w:rFonts w:ascii="Calibri" w:eastAsia="標楷體" w:hAnsi="Calibri" w:cs="Calibri"/>
          <w:sz w:val="28"/>
          <w:szCs w:val="24"/>
        </w:rPr>
        <w:t>二</w:t>
      </w:r>
      <w:r w:rsidRPr="00D310F7">
        <w:rPr>
          <w:rFonts w:ascii="Calibri" w:eastAsia="標楷體" w:hAnsi="Calibri" w:cs="Calibri"/>
          <w:sz w:val="28"/>
          <w:szCs w:val="24"/>
        </w:rPr>
        <w:t>)</w:t>
      </w:r>
      <w:r w:rsidRPr="00D310F7">
        <w:rPr>
          <w:rFonts w:ascii="Calibri" w:eastAsia="標楷體" w:hAnsi="Calibri" w:cs="Calibri"/>
          <w:kern w:val="0"/>
          <w:sz w:val="28"/>
          <w:szCs w:val="28"/>
          <w:lang w:val="zh-TW"/>
        </w:rPr>
        <w:t>人口年成長率與年齡中位數</w:t>
      </w:r>
      <w:bookmarkEnd w:id="29"/>
    </w:p>
    <w:p w:rsidR="00465B59" w:rsidRPr="00D310F7" w:rsidRDefault="00465B59" w:rsidP="00970012">
      <w:pPr>
        <w:snapToGrid w:val="0"/>
        <w:spacing w:before="60" w:afterLines="50" w:after="180"/>
        <w:ind w:firstLineChars="170" w:firstLine="476"/>
        <w:rPr>
          <w:rFonts w:eastAsia="標楷體" w:cs="Calibri"/>
          <w:b/>
          <w:bCs/>
          <w:sz w:val="28"/>
          <w:szCs w:val="24"/>
        </w:rPr>
      </w:pPr>
      <w:r w:rsidRPr="00D310F7">
        <w:rPr>
          <w:rFonts w:eastAsia="標楷體" w:cs="Calibri"/>
          <w:b/>
          <w:bCs/>
          <w:sz w:val="28"/>
          <w:szCs w:val="24"/>
        </w:rPr>
        <w:t>10</w:t>
      </w:r>
      <w:r w:rsidRPr="00D310F7">
        <w:rPr>
          <w:rFonts w:eastAsia="標楷體" w:cs="Calibri"/>
          <w:b/>
          <w:bCs/>
          <w:sz w:val="28"/>
          <w:szCs w:val="24"/>
        </w:rPr>
        <w:t>年來我國年齡中位數上升</w:t>
      </w:r>
      <w:r w:rsidRPr="00D310F7">
        <w:rPr>
          <w:rFonts w:eastAsia="標楷體" w:cs="Calibri"/>
          <w:b/>
          <w:bCs/>
          <w:sz w:val="28"/>
          <w:szCs w:val="24"/>
        </w:rPr>
        <w:t>5.4</w:t>
      </w:r>
      <w:r w:rsidRPr="00D310F7">
        <w:rPr>
          <w:rFonts w:eastAsia="標楷體" w:cs="Calibri"/>
          <w:b/>
          <w:bCs/>
          <w:sz w:val="28"/>
          <w:szCs w:val="24"/>
        </w:rPr>
        <w:t>歲，老化程度有加快之趨勢。</w:t>
      </w:r>
    </w:p>
    <w:p w:rsidR="00465B59" w:rsidRPr="00D310F7" w:rsidRDefault="00A45ADB" w:rsidP="00465B59">
      <w:pPr>
        <w:snapToGrid w:val="0"/>
        <w:spacing w:before="60" w:after="60"/>
        <w:rPr>
          <w:rFonts w:eastAsia="標楷體" w:cs="Calibri"/>
        </w:rPr>
      </w:pPr>
      <w:r>
        <w:rPr>
          <w:noProof/>
        </w:rPr>
        <w:drawing>
          <wp:inline distT="0" distB="0" distL="0" distR="0">
            <wp:extent cx="5943600" cy="5279390"/>
            <wp:effectExtent l="0" t="0" r="0" b="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59" w:rsidRPr="00465B59" w:rsidRDefault="00465B59" w:rsidP="009D4DEF">
      <w:pPr>
        <w:adjustRightInd w:val="0"/>
        <w:snapToGrid w:val="0"/>
        <w:spacing w:before="60" w:after="60" w:line="360" w:lineRule="auto"/>
        <w:ind w:right="69"/>
        <w:jc w:val="center"/>
        <w:rPr>
          <w:rFonts w:eastAsia="標楷體"/>
        </w:rPr>
      </w:pPr>
      <w:r>
        <w:rPr>
          <w:rFonts w:eastAsia="標楷體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3907790" cy="6771005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677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59" w:rsidRPr="00D310F7" w:rsidRDefault="00465B59" w:rsidP="009D4DEF">
      <w:pPr>
        <w:snapToGrid w:val="0"/>
        <w:spacing w:before="60" w:after="60" w:line="360" w:lineRule="auto"/>
        <w:ind w:firstLineChars="236" w:firstLine="566"/>
        <w:rPr>
          <w:rFonts w:eastAsia="標楷體" w:cs="Calibri"/>
        </w:rPr>
      </w:pPr>
      <w:r w:rsidRPr="00D310F7">
        <w:rPr>
          <w:rFonts w:eastAsia="標楷體" w:cs="Calibri"/>
        </w:rPr>
        <w:t>2012</w:t>
      </w:r>
      <w:r w:rsidRPr="00D310F7">
        <w:rPr>
          <w:rFonts w:eastAsia="標楷體" w:cs="Calibri"/>
        </w:rPr>
        <w:t>年我國人口年成長率為</w:t>
      </w:r>
      <w:r w:rsidRPr="00D310F7">
        <w:rPr>
          <w:rFonts w:eastAsia="標楷體" w:cs="Calibri"/>
        </w:rPr>
        <w:t>0.4%</w:t>
      </w:r>
      <w:r w:rsidRPr="00D310F7">
        <w:rPr>
          <w:rFonts w:eastAsia="標楷體" w:cs="Calibri"/>
        </w:rPr>
        <w:t>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</w:rPr>
        <w:t>21</w:t>
      </w:r>
      <w:r w:rsidRPr="00D310F7">
        <w:rPr>
          <w:rFonts w:eastAsia="標楷體" w:cs="Calibri"/>
        </w:rPr>
        <w:t>位，低於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會員國中位數；年齡中位數為</w:t>
      </w:r>
      <w:r w:rsidRPr="00D310F7">
        <w:rPr>
          <w:rFonts w:eastAsia="標楷體" w:cs="Calibri"/>
        </w:rPr>
        <w:t>38.4</w:t>
      </w:r>
      <w:r w:rsidRPr="00D310F7">
        <w:rPr>
          <w:rFonts w:eastAsia="標楷體" w:cs="Calibri"/>
        </w:rPr>
        <w:t>歲，相當於</w:t>
      </w:r>
      <w:r w:rsidRPr="00D310F7">
        <w:rPr>
          <w:rFonts w:eastAsia="標楷體" w:cs="Calibri"/>
        </w:rPr>
        <w:t>OECD</w:t>
      </w:r>
      <w:r w:rsidRPr="00D310F7">
        <w:rPr>
          <w:rFonts w:eastAsia="標楷體" w:cs="Calibri"/>
        </w:rPr>
        <w:t>會員國之第</w:t>
      </w:r>
      <w:r w:rsidRPr="00D310F7">
        <w:rPr>
          <w:rFonts w:eastAsia="標楷體" w:cs="Calibri"/>
          <w:szCs w:val="24"/>
        </w:rPr>
        <w:t>25</w:t>
      </w:r>
      <w:r w:rsidRPr="00D310F7">
        <w:rPr>
          <w:rFonts w:eastAsia="標楷體" w:cs="Calibri"/>
          <w:szCs w:val="24"/>
        </w:rPr>
        <w:t>位，亦低於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會員國中位數；與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會員國相較，我國屬於相對年輕</w:t>
      </w:r>
      <w:r w:rsidRPr="00D310F7">
        <w:rPr>
          <w:rFonts w:eastAsia="標楷體" w:cs="Calibri"/>
          <w:bCs/>
          <w:szCs w:val="24"/>
        </w:rPr>
        <w:t>之國家，而人口成長速度則接近</w:t>
      </w:r>
      <w:r w:rsidRPr="00D310F7">
        <w:rPr>
          <w:rFonts w:eastAsia="標楷體" w:cs="Calibri"/>
          <w:bCs/>
          <w:szCs w:val="24"/>
        </w:rPr>
        <w:t>OECD</w:t>
      </w:r>
      <w:r w:rsidRPr="00D310F7">
        <w:rPr>
          <w:rFonts w:eastAsia="標楷體" w:cs="Calibri"/>
          <w:bCs/>
          <w:szCs w:val="24"/>
        </w:rPr>
        <w:t>會員國中位數，人口成長速率有減緩現象</w:t>
      </w:r>
      <w:r w:rsidRPr="00D310F7">
        <w:rPr>
          <w:rFonts w:eastAsia="標楷體" w:cs="Calibri"/>
          <w:szCs w:val="24"/>
        </w:rPr>
        <w:t>。</w:t>
      </w:r>
    </w:p>
    <w:p w:rsidR="009D4DEF" w:rsidRDefault="00465B59" w:rsidP="009D4DEF">
      <w:pPr>
        <w:snapToGrid w:val="0"/>
        <w:spacing w:before="60" w:after="60" w:line="360" w:lineRule="auto"/>
        <w:ind w:firstLine="482"/>
        <w:rPr>
          <w:rFonts w:ascii="Times New Roman" w:eastAsia="標楷體" w:hAnsi="Times New Roman"/>
        </w:rPr>
      </w:pPr>
      <w:r w:rsidRPr="00D310F7">
        <w:rPr>
          <w:rFonts w:eastAsia="標楷體" w:cs="Calibri"/>
        </w:rPr>
        <w:t>由於出生率下降速度較死亡率下降速度快，人口年成長率由</w:t>
      </w:r>
      <w:r w:rsidRPr="00D310F7">
        <w:rPr>
          <w:rFonts w:eastAsia="標楷體" w:cs="Calibri"/>
        </w:rPr>
        <w:t>2002</w:t>
      </w:r>
      <w:r w:rsidRPr="00D310F7">
        <w:rPr>
          <w:rFonts w:eastAsia="標楷體" w:cs="Calibri"/>
        </w:rPr>
        <w:t>年之</w:t>
      </w:r>
      <w:r w:rsidRPr="00D310F7">
        <w:rPr>
          <w:rFonts w:eastAsia="標楷體" w:cs="Calibri"/>
        </w:rPr>
        <w:t>0.5%</w:t>
      </w:r>
      <w:r w:rsidRPr="00D310F7">
        <w:rPr>
          <w:rFonts w:eastAsia="標楷體" w:cs="Calibri"/>
        </w:rPr>
        <w:t>，下降至</w:t>
      </w:r>
      <w:r w:rsidRPr="00D310F7">
        <w:rPr>
          <w:rFonts w:eastAsia="標楷體" w:cs="Calibri"/>
        </w:rPr>
        <w:t>2012</w:t>
      </w:r>
      <w:r w:rsidRPr="00D310F7">
        <w:rPr>
          <w:rFonts w:eastAsia="標楷體" w:cs="Calibri"/>
        </w:rPr>
        <w:t>年</w:t>
      </w:r>
      <w:r w:rsidRPr="00D310F7">
        <w:rPr>
          <w:rFonts w:eastAsia="標楷體" w:cs="Calibri"/>
        </w:rPr>
        <w:t>0.4%</w:t>
      </w:r>
      <w:r w:rsidRPr="00D310F7">
        <w:rPr>
          <w:rFonts w:eastAsia="標楷體" w:cs="Calibri"/>
        </w:rPr>
        <w:t>，</w:t>
      </w:r>
      <w:r w:rsidRPr="00D310F7">
        <w:rPr>
          <w:rFonts w:eastAsia="標楷體" w:cs="Calibri"/>
        </w:rPr>
        <w:t>10</w:t>
      </w:r>
      <w:r w:rsidRPr="00D310F7">
        <w:rPr>
          <w:rFonts w:eastAsia="標楷體" w:cs="Calibri"/>
        </w:rPr>
        <w:t>年來下降</w:t>
      </w:r>
      <w:r w:rsidRPr="00D310F7">
        <w:rPr>
          <w:rFonts w:eastAsia="標楷體" w:cs="Calibri"/>
        </w:rPr>
        <w:t>0.1</w:t>
      </w:r>
      <w:r w:rsidRPr="00D310F7">
        <w:rPr>
          <w:rFonts w:eastAsia="標楷體" w:cs="Calibri"/>
        </w:rPr>
        <w:t>個百分點；而隨平均壽命之延長，我國年齡中位數由</w:t>
      </w:r>
      <w:r w:rsidRPr="00D310F7">
        <w:rPr>
          <w:rFonts w:eastAsia="標楷體" w:cs="Calibri"/>
        </w:rPr>
        <w:t>2002</w:t>
      </w:r>
      <w:r w:rsidRPr="00D310F7">
        <w:rPr>
          <w:rFonts w:eastAsia="標楷體" w:cs="Calibri"/>
        </w:rPr>
        <w:t>年之</w:t>
      </w:r>
      <w:r w:rsidRPr="00D310F7">
        <w:rPr>
          <w:rFonts w:eastAsia="標楷體" w:cs="Calibri"/>
        </w:rPr>
        <w:t>33</w:t>
      </w:r>
      <w:r w:rsidRPr="00D310F7">
        <w:rPr>
          <w:rFonts w:eastAsia="標楷體" w:cs="Calibri"/>
        </w:rPr>
        <w:t>歲，上升至</w:t>
      </w:r>
      <w:r w:rsidRPr="00D310F7">
        <w:rPr>
          <w:rFonts w:eastAsia="標楷體" w:cs="Calibri"/>
        </w:rPr>
        <w:t>2012</w:t>
      </w:r>
      <w:r w:rsidRPr="00D310F7">
        <w:rPr>
          <w:rFonts w:eastAsia="標楷體" w:cs="Calibri"/>
        </w:rPr>
        <w:t>年</w:t>
      </w:r>
      <w:r w:rsidRPr="00D310F7">
        <w:rPr>
          <w:rFonts w:eastAsia="標楷體" w:cs="Calibri"/>
        </w:rPr>
        <w:t>38.4</w:t>
      </w:r>
      <w:r w:rsidRPr="00D310F7">
        <w:rPr>
          <w:rFonts w:eastAsia="標楷體" w:cs="Calibri"/>
        </w:rPr>
        <w:t>歲，</w:t>
      </w:r>
      <w:r w:rsidRPr="00D310F7">
        <w:rPr>
          <w:rFonts w:eastAsia="標楷體" w:cs="Calibri"/>
        </w:rPr>
        <w:t>10</w:t>
      </w:r>
      <w:r w:rsidRPr="00D310F7">
        <w:rPr>
          <w:rFonts w:eastAsia="標楷體" w:cs="Calibri"/>
        </w:rPr>
        <w:t>年來上升</w:t>
      </w:r>
      <w:r w:rsidRPr="00D310F7">
        <w:rPr>
          <w:rFonts w:eastAsia="標楷體" w:cs="Calibri"/>
        </w:rPr>
        <w:t>5.4</w:t>
      </w:r>
      <w:r w:rsidRPr="00D310F7">
        <w:rPr>
          <w:rFonts w:eastAsia="標楷體" w:cs="Calibri"/>
        </w:rPr>
        <w:t>歲，老化程度有加快之趨勢。</w:t>
      </w:r>
    </w:p>
    <w:p w:rsidR="00465B59" w:rsidRPr="00D310F7" w:rsidRDefault="00465B59" w:rsidP="00A30A46">
      <w:pPr>
        <w:pStyle w:val="2"/>
        <w:snapToGrid w:val="0"/>
        <w:spacing w:before="60" w:after="60" w:line="240" w:lineRule="auto"/>
        <w:rPr>
          <w:rFonts w:ascii="Calibri" w:eastAsia="標楷體" w:hAnsi="Calibri" w:cs="Calibri"/>
          <w:b w:val="0"/>
          <w:bCs w:val="0"/>
          <w:sz w:val="24"/>
          <w:szCs w:val="22"/>
        </w:rPr>
      </w:pPr>
      <w:bookmarkStart w:id="30" w:name="_Toc379466152"/>
      <w:r w:rsidRPr="00D310F7">
        <w:rPr>
          <w:rFonts w:ascii="Calibri" w:eastAsia="標楷體" w:hAnsi="Calibri" w:cs="Calibri"/>
          <w:sz w:val="28"/>
          <w:szCs w:val="24"/>
        </w:rPr>
        <w:lastRenderedPageBreak/>
        <w:t>(</w:t>
      </w:r>
      <w:r w:rsidRPr="00D310F7">
        <w:rPr>
          <w:rFonts w:ascii="Calibri" w:eastAsia="標楷體" w:hAnsi="Calibri" w:cs="Calibri"/>
          <w:sz w:val="28"/>
          <w:szCs w:val="24"/>
        </w:rPr>
        <w:t>三</w:t>
      </w:r>
      <w:r w:rsidRPr="00D310F7">
        <w:rPr>
          <w:rFonts w:ascii="Calibri" w:eastAsia="標楷體" w:hAnsi="Calibri" w:cs="Calibri"/>
          <w:sz w:val="28"/>
          <w:szCs w:val="24"/>
        </w:rPr>
        <w:t>)</w:t>
      </w:r>
      <w:r w:rsidRPr="00D310F7">
        <w:rPr>
          <w:rFonts w:ascii="Calibri" w:eastAsia="標楷體" w:hAnsi="Calibri" w:cs="Calibri"/>
          <w:color w:val="000000"/>
          <w:kern w:val="0"/>
          <w:sz w:val="28"/>
          <w:szCs w:val="28"/>
          <w:lang w:val="zh-TW"/>
        </w:rPr>
        <w:t>新生兒性別比與總生育率</w:t>
      </w:r>
      <w:bookmarkEnd w:id="30"/>
    </w:p>
    <w:p w:rsidR="00465B59" w:rsidRPr="00D310F7" w:rsidRDefault="00465B59" w:rsidP="009D4DEF">
      <w:pPr>
        <w:snapToGrid w:val="0"/>
        <w:spacing w:before="60" w:after="60"/>
        <w:ind w:firstLineChars="170" w:firstLine="476"/>
        <w:rPr>
          <w:rFonts w:eastAsia="標楷體" w:cs="Calibri"/>
          <w:b/>
          <w:sz w:val="28"/>
          <w:szCs w:val="28"/>
        </w:rPr>
      </w:pPr>
      <w:r w:rsidRPr="00D310F7">
        <w:rPr>
          <w:rFonts w:eastAsia="標楷體" w:cs="Calibri"/>
          <w:b/>
          <w:bCs/>
          <w:sz w:val="28"/>
          <w:szCs w:val="24"/>
        </w:rPr>
        <w:t>我國性別比失衡及少子化為需關注議題</w:t>
      </w:r>
      <w:r w:rsidRPr="00D310F7">
        <w:rPr>
          <w:rFonts w:eastAsia="標楷體" w:cs="Calibri"/>
          <w:b/>
          <w:bCs/>
          <w:sz w:val="28"/>
          <w:szCs w:val="28"/>
        </w:rPr>
        <w:t>。</w:t>
      </w:r>
    </w:p>
    <w:p w:rsidR="00465B59" w:rsidRDefault="00A45ADB" w:rsidP="00465B59">
      <w:pPr>
        <w:rPr>
          <w:rFonts w:ascii="Times New Roman" w:eastAsia="標楷體" w:hAnsi="Times New Roman"/>
        </w:rPr>
      </w:pPr>
      <w:r>
        <w:rPr>
          <w:rFonts w:hint="eastAsia"/>
          <w:noProof/>
        </w:rPr>
        <w:drawing>
          <wp:inline distT="0" distB="0" distL="0" distR="0">
            <wp:extent cx="5715000" cy="5061585"/>
            <wp:effectExtent l="0" t="0" r="0" b="5715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06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59" w:rsidRDefault="00465B59" w:rsidP="00831BEE">
      <w:pPr>
        <w:jc w:val="center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  <w:r w:rsidR="00A45ADB">
        <w:rPr>
          <w:noProof/>
        </w:rPr>
        <w:lastRenderedPageBreak/>
        <w:drawing>
          <wp:inline distT="0" distB="0" distL="0" distR="0">
            <wp:extent cx="4114800" cy="6379210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37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59" w:rsidRPr="00D310F7" w:rsidRDefault="00465B59" w:rsidP="00831BEE">
      <w:pPr>
        <w:snapToGrid w:val="0"/>
        <w:spacing w:before="60" w:after="60" w:line="360" w:lineRule="auto"/>
        <w:ind w:firstLineChars="236" w:firstLine="566"/>
        <w:rPr>
          <w:rFonts w:eastAsia="標楷體" w:cs="Calibri"/>
        </w:rPr>
      </w:pPr>
      <w:r w:rsidRPr="00D310F7">
        <w:rPr>
          <w:rFonts w:eastAsia="標楷體" w:cs="Calibri"/>
          <w:szCs w:val="24"/>
        </w:rPr>
        <w:t>2005-2010</w:t>
      </w:r>
      <w:r w:rsidRPr="00D310F7">
        <w:rPr>
          <w:rFonts w:eastAsia="標楷體" w:cs="Calibri"/>
          <w:szCs w:val="24"/>
        </w:rPr>
        <w:t>年我國平均新生兒性別比為</w:t>
      </w:r>
      <w:r w:rsidRPr="00D310F7">
        <w:rPr>
          <w:rFonts w:eastAsia="標楷體" w:cs="Calibri"/>
          <w:szCs w:val="24"/>
        </w:rPr>
        <w:t>1.09</w:t>
      </w:r>
      <w:r w:rsidRPr="00D310F7">
        <w:rPr>
          <w:rFonts w:eastAsia="標楷體" w:cs="Calibri"/>
          <w:szCs w:val="24"/>
        </w:rPr>
        <w:t>，較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會員國為高，且高於人口學家認為</w:t>
      </w:r>
      <w:hyperlink r:id="rId36" w:tooltip="嬰兒" w:history="1">
        <w:r w:rsidRPr="00D310F7">
          <w:rPr>
            <w:rFonts w:eastAsia="標楷體" w:cs="Calibri"/>
          </w:rPr>
          <w:t>新生兒</w:t>
        </w:r>
      </w:hyperlink>
      <w:r w:rsidRPr="00D310F7">
        <w:rPr>
          <w:rFonts w:eastAsia="標楷體" w:cs="Calibri"/>
          <w:szCs w:val="24"/>
        </w:rPr>
        <w:t>自然性別比</w:t>
      </w:r>
      <w:r w:rsidRPr="00D310F7">
        <w:rPr>
          <w:rFonts w:eastAsia="標楷體" w:cs="Calibri"/>
          <w:szCs w:val="24"/>
        </w:rPr>
        <w:t>1.05</w:t>
      </w:r>
      <w:r w:rsidRPr="00D310F7">
        <w:rPr>
          <w:rFonts w:eastAsia="標楷體" w:cs="Calibri"/>
          <w:szCs w:val="24"/>
        </w:rPr>
        <w:t>；平均總生育率為</w:t>
      </w:r>
      <w:r w:rsidRPr="00D310F7">
        <w:rPr>
          <w:rFonts w:eastAsia="標楷體" w:cs="Calibri"/>
          <w:szCs w:val="24"/>
        </w:rPr>
        <w:t>1.05</w:t>
      </w:r>
      <w:r w:rsidRPr="00D310F7">
        <w:rPr>
          <w:rFonts w:eastAsia="標楷體" w:cs="Calibri"/>
          <w:szCs w:val="24"/>
        </w:rPr>
        <w:t>人，較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會員國為低，且低於人口</w:t>
      </w:r>
      <w:r w:rsidRPr="00D310F7">
        <w:rPr>
          <w:rFonts w:eastAsia="標楷體" w:cs="Calibri"/>
        </w:rPr>
        <w:t>替代水準</w:t>
      </w:r>
      <w:r w:rsidRPr="00D310F7">
        <w:rPr>
          <w:rFonts w:eastAsia="標楷體" w:cs="Calibri"/>
        </w:rPr>
        <w:t>2.1</w:t>
      </w:r>
      <w:r w:rsidRPr="00D310F7">
        <w:rPr>
          <w:rFonts w:eastAsia="標楷體" w:cs="Calibri"/>
        </w:rPr>
        <w:t>人</w:t>
      </w:r>
      <w:r w:rsidRPr="00D310F7">
        <w:rPr>
          <w:rFonts w:eastAsia="標楷體" w:cs="Calibri"/>
          <w:szCs w:val="24"/>
        </w:rPr>
        <w:t>；與</w:t>
      </w:r>
      <w:r w:rsidRPr="00D310F7">
        <w:rPr>
          <w:rFonts w:eastAsia="標楷體" w:cs="Calibri"/>
          <w:szCs w:val="24"/>
        </w:rPr>
        <w:t>OECD</w:t>
      </w:r>
      <w:r w:rsidRPr="00D310F7">
        <w:rPr>
          <w:rFonts w:eastAsia="標楷體" w:cs="Calibri"/>
          <w:szCs w:val="24"/>
        </w:rPr>
        <w:t>會員國相較，我國出生性別失衡及少子化情況相對嚴重。</w:t>
      </w:r>
    </w:p>
    <w:p w:rsidR="00465B59" w:rsidRPr="00D310F7" w:rsidRDefault="00465B59" w:rsidP="00831BEE">
      <w:pPr>
        <w:snapToGrid w:val="0"/>
        <w:spacing w:before="60" w:after="60" w:line="360" w:lineRule="auto"/>
        <w:ind w:firstLine="480"/>
        <w:rPr>
          <w:rFonts w:eastAsia="標楷體" w:cs="Calibri"/>
        </w:rPr>
      </w:pPr>
      <w:r w:rsidRPr="00D310F7">
        <w:rPr>
          <w:rFonts w:eastAsia="標楷體" w:cs="Calibri"/>
        </w:rPr>
        <w:t>由於傳統重男輕女觀念逐漸薄弱，我國性別比由</w:t>
      </w:r>
      <w:r w:rsidRPr="00D310F7">
        <w:rPr>
          <w:rFonts w:eastAsia="標楷體" w:cs="Calibri"/>
        </w:rPr>
        <w:t>2000-2005</w:t>
      </w:r>
      <w:r w:rsidRPr="00D310F7">
        <w:rPr>
          <w:rFonts w:eastAsia="標楷體" w:cs="Calibri"/>
        </w:rPr>
        <w:t>年平均</w:t>
      </w:r>
      <w:r w:rsidRPr="00D310F7">
        <w:rPr>
          <w:rFonts w:eastAsia="標楷體" w:cs="Calibri"/>
        </w:rPr>
        <w:t>1.10</w:t>
      </w:r>
      <w:r w:rsidRPr="00D310F7">
        <w:rPr>
          <w:rFonts w:eastAsia="標楷體" w:cs="Calibri"/>
        </w:rPr>
        <w:t>，下降至</w:t>
      </w:r>
      <w:r w:rsidRPr="00D310F7">
        <w:rPr>
          <w:rFonts w:eastAsia="標楷體" w:cs="Calibri"/>
        </w:rPr>
        <w:t>2005-2010</w:t>
      </w:r>
      <w:r w:rsidRPr="00D310F7">
        <w:rPr>
          <w:rFonts w:eastAsia="標楷體" w:cs="Calibri"/>
        </w:rPr>
        <w:t>年平均</w:t>
      </w:r>
      <w:r w:rsidRPr="00D310F7">
        <w:rPr>
          <w:rFonts w:eastAsia="標楷體" w:cs="Calibri"/>
        </w:rPr>
        <w:t>1.09</w:t>
      </w:r>
      <w:r w:rsidRPr="00D310F7">
        <w:rPr>
          <w:rFonts w:eastAsia="標楷體" w:cs="Calibri"/>
        </w:rPr>
        <w:t>，下降</w:t>
      </w:r>
      <w:r w:rsidRPr="00D310F7">
        <w:rPr>
          <w:rFonts w:eastAsia="標楷體" w:cs="Calibri"/>
        </w:rPr>
        <w:t>1</w:t>
      </w:r>
      <w:r w:rsidRPr="00D310F7">
        <w:rPr>
          <w:rFonts w:eastAsia="標楷體" w:cs="Calibri"/>
        </w:rPr>
        <w:t>個百分點；</w:t>
      </w:r>
      <w:r w:rsidRPr="00D310F7">
        <w:rPr>
          <w:rFonts w:eastAsia="標楷體" w:cs="Calibri"/>
          <w:szCs w:val="24"/>
        </w:rPr>
        <w:t>平均總生育率</w:t>
      </w:r>
      <w:r w:rsidRPr="00D310F7">
        <w:rPr>
          <w:rFonts w:eastAsia="標楷體" w:cs="Calibri"/>
        </w:rPr>
        <w:t>由</w:t>
      </w:r>
      <w:r w:rsidRPr="00D310F7">
        <w:rPr>
          <w:rFonts w:eastAsia="標楷體" w:cs="Calibri"/>
        </w:rPr>
        <w:t>2000-2005</w:t>
      </w:r>
      <w:r w:rsidRPr="00D310F7">
        <w:rPr>
          <w:rFonts w:eastAsia="標楷體" w:cs="Calibri"/>
        </w:rPr>
        <w:t>年平均</w:t>
      </w:r>
      <w:r w:rsidRPr="00D310F7">
        <w:rPr>
          <w:rFonts w:eastAsia="標楷體" w:cs="Calibri"/>
        </w:rPr>
        <w:t>1.33</w:t>
      </w:r>
      <w:r w:rsidRPr="00D310F7">
        <w:rPr>
          <w:rFonts w:eastAsia="標楷體" w:cs="Calibri"/>
        </w:rPr>
        <w:t>人，下降至</w:t>
      </w:r>
      <w:r w:rsidRPr="00D310F7">
        <w:rPr>
          <w:rFonts w:eastAsia="標楷體" w:cs="Calibri"/>
        </w:rPr>
        <w:t>2005-2010</w:t>
      </w:r>
      <w:r w:rsidRPr="00D310F7">
        <w:rPr>
          <w:rFonts w:eastAsia="標楷體" w:cs="Calibri"/>
        </w:rPr>
        <w:t>年平均</w:t>
      </w:r>
      <w:r w:rsidRPr="00D310F7">
        <w:rPr>
          <w:rFonts w:eastAsia="標楷體" w:cs="Calibri"/>
        </w:rPr>
        <w:t>1.05</w:t>
      </w:r>
      <w:r w:rsidRPr="00D310F7">
        <w:rPr>
          <w:rFonts w:eastAsia="標楷體" w:cs="Calibri"/>
        </w:rPr>
        <w:t>人，下降</w:t>
      </w:r>
      <w:r w:rsidRPr="00D310F7">
        <w:rPr>
          <w:rFonts w:eastAsia="標楷體" w:cs="Calibri"/>
        </w:rPr>
        <w:t>0.28</w:t>
      </w:r>
      <w:r w:rsidRPr="00D310F7">
        <w:rPr>
          <w:rFonts w:eastAsia="標楷體" w:cs="Calibri"/>
        </w:rPr>
        <w:t>人，雖重男輕女情況已漸趨改善</w:t>
      </w:r>
      <w:r w:rsidRPr="00D310F7">
        <w:rPr>
          <w:rFonts w:eastAsia="標楷體" w:cs="Calibri"/>
          <w:szCs w:val="24"/>
        </w:rPr>
        <w:t>，惟少子化問題</w:t>
      </w:r>
      <w:r w:rsidRPr="00D310F7">
        <w:rPr>
          <w:rFonts w:eastAsia="標楷體" w:cs="Calibri"/>
        </w:rPr>
        <w:t>仍為台灣目前急待解決的課題。</w:t>
      </w:r>
    </w:p>
    <w:sectPr w:rsidR="00465B59" w:rsidRPr="00D310F7" w:rsidSect="009518AD">
      <w:headerReference w:type="default" r:id="rId37"/>
      <w:footerReference w:type="default" r:id="rId38"/>
      <w:pgSz w:w="11906" w:h="16838"/>
      <w:pgMar w:top="1440" w:right="1466" w:bottom="1276" w:left="1440" w:header="680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3D8" w:rsidRDefault="005673D8" w:rsidP="005C301E">
      <w:r>
        <w:separator/>
      </w:r>
    </w:p>
  </w:endnote>
  <w:endnote w:type="continuationSeparator" w:id="0">
    <w:p w:rsidR="005673D8" w:rsidRDefault="005673D8" w:rsidP="005C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34" w:rsidRDefault="00DD3B34">
    <w:pPr>
      <w:pStyle w:val="a9"/>
      <w:jc w:val="center"/>
      <w:rPr>
        <w:lang w:eastAsia="zh-TW"/>
      </w:rPr>
    </w:pPr>
  </w:p>
  <w:p w:rsidR="00A846B1" w:rsidRDefault="00A846B1">
    <w:pPr>
      <w:pStyle w:val="a9"/>
      <w:rPr>
        <w:lang w:eastAsia="zh-TW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34" w:rsidRPr="00721AC4" w:rsidRDefault="009518AD" w:rsidP="00794857">
    <w:pPr>
      <w:pStyle w:val="a9"/>
      <w:jc w:val="center"/>
      <w:rPr>
        <w:rFonts w:ascii="微軟正黑體" w:eastAsia="微軟正黑體" w:hAnsi="微軟正黑體"/>
        <w:lang w:eastAsia="zh-TW"/>
      </w:rPr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2439DD" wp14:editId="05CC8F4E">
              <wp:simplePos x="0" y="0"/>
              <wp:positionH relativeFrom="column">
                <wp:posOffset>-914400</wp:posOffset>
              </wp:positionH>
              <wp:positionV relativeFrom="paragraph">
                <wp:posOffset>-1905</wp:posOffset>
              </wp:positionV>
              <wp:extent cx="7193961" cy="0"/>
              <wp:effectExtent l="0" t="0" r="26035" b="19050"/>
              <wp:wrapNone/>
              <wp:docPr id="749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193961" cy="0"/>
                      </a:xfrm>
                      <a:prstGeom prst="straightConnector1">
                        <a:avLst/>
                      </a:prstGeom>
                      <a:ln w="12700">
                        <a:headEnd/>
                        <a:tailEnd/>
                      </a:ln>
                      <a:ex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in;margin-top:-.15pt;width:566.45pt;height: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" strokecolor="#e77223 [3044]" strokeweight="1pt"/>
          </w:pict>
        </mc:Fallback>
      </mc:AlternateContent>
    </w:r>
    <w:r w:rsidR="00DD3B34" w:rsidRPr="00721AC4">
      <w:rPr>
        <w:rFonts w:ascii="微軟正黑體" w:eastAsia="微軟正黑體" w:hAnsi="微軟正黑體" w:hint="eastAsia"/>
        <w:lang w:eastAsia="zh-TW"/>
      </w:rPr>
      <w:t>柒-</w:t>
    </w:r>
    <w:r w:rsidR="00DD3B34" w:rsidRPr="00721AC4">
      <w:rPr>
        <w:rFonts w:ascii="微軟正黑體" w:eastAsia="微軟正黑體" w:hAnsi="微軟正黑體"/>
      </w:rPr>
      <w:fldChar w:fldCharType="begin"/>
    </w:r>
    <w:r w:rsidR="00DD3B34" w:rsidRPr="00721AC4">
      <w:rPr>
        <w:rFonts w:ascii="微軟正黑體" w:eastAsia="微軟正黑體" w:hAnsi="微軟正黑體"/>
      </w:rPr>
      <w:instrText>PAGE   \* MERGEFORMAT</w:instrText>
    </w:r>
    <w:r w:rsidR="00DD3B34" w:rsidRPr="00721AC4">
      <w:rPr>
        <w:rFonts w:ascii="微軟正黑體" w:eastAsia="微軟正黑體" w:hAnsi="微軟正黑體"/>
      </w:rPr>
      <w:fldChar w:fldCharType="separate"/>
    </w:r>
    <w:r w:rsidR="000D1EDA" w:rsidRPr="000D1EDA">
      <w:rPr>
        <w:rFonts w:ascii="微軟正黑體" w:eastAsia="微軟正黑體" w:hAnsi="微軟正黑體"/>
        <w:noProof/>
        <w:lang w:val="zh-TW" w:eastAsia="zh-TW"/>
      </w:rPr>
      <w:t>25</w:t>
    </w:r>
    <w:r w:rsidR="00DD3B34" w:rsidRPr="00721AC4">
      <w:rPr>
        <w:rFonts w:ascii="微軟正黑體" w:eastAsia="微軟正黑體" w:hAnsi="微軟正黑體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3D8" w:rsidRDefault="005673D8" w:rsidP="005C301E">
      <w:r>
        <w:separator/>
      </w:r>
    </w:p>
  </w:footnote>
  <w:footnote w:type="continuationSeparator" w:id="0">
    <w:p w:rsidR="005673D8" w:rsidRDefault="005673D8" w:rsidP="005C3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AD" w:rsidRPr="009518AD" w:rsidRDefault="009518AD" w:rsidP="009518AD">
    <w:pPr>
      <w:pStyle w:val="a7"/>
      <w:ind w:leftChars="-295" w:left="-708"/>
      <w:rPr>
        <w:b/>
      </w:rPr>
    </w:pPr>
    <w:r w:rsidRPr="009518AD">
      <w:rPr>
        <w:rFonts w:ascii="標楷體" w:eastAsia="標楷體" w:hAnsi="標楷體"/>
        <w:b/>
        <w:noProof/>
        <w:lang w:val="en-US" w:eastAsia="zh-TW"/>
      </w:rPr>
      <w:drawing>
        <wp:anchor distT="0" distB="0" distL="114300" distR="115824" simplePos="0" relativeHeight="251661312" behindDoc="1" locked="0" layoutInCell="1" allowOverlap="1" wp14:anchorId="0E82CD06" wp14:editId="4B001D5F">
          <wp:simplePos x="0" y="0"/>
          <wp:positionH relativeFrom="column">
            <wp:posOffset>-914400</wp:posOffset>
          </wp:positionH>
          <wp:positionV relativeFrom="paragraph">
            <wp:posOffset>-87630</wp:posOffset>
          </wp:positionV>
          <wp:extent cx="7825105" cy="567055"/>
          <wp:effectExtent l="0" t="0" r="4445" b="4445"/>
          <wp:wrapThrough wrapText="bothSides">
            <wp:wrapPolygon edited="0">
              <wp:start x="0" y="0"/>
              <wp:lineTo x="0" y="21044"/>
              <wp:lineTo x="21560" y="21044"/>
              <wp:lineTo x="21560" y="0"/>
              <wp:lineTo x="0" y="0"/>
            </wp:wrapPolygon>
          </wp:wrapThrough>
          <wp:docPr id="11" name="圖片 7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5" name="圖片 745"/>
                  <pic:cNvPicPr/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567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18AD">
      <w:rPr>
        <w:rStyle w:val="af1"/>
        <w:rFonts w:ascii="標楷體" w:eastAsia="標楷體" w:hAnsi="標楷體" w:hint="eastAsia"/>
        <w:b/>
        <w:i w:val="0"/>
        <w:color w:val="auto"/>
        <w:lang w:eastAsia="zh-TW"/>
      </w:rPr>
      <w:t>衛生</w:t>
    </w:r>
    <w:r w:rsidR="000D1EDA">
      <w:rPr>
        <w:rStyle w:val="af1"/>
        <w:rFonts w:ascii="標楷體" w:eastAsia="標楷體" w:hAnsi="標楷體" w:hint="eastAsia"/>
        <w:b/>
        <w:i w:val="0"/>
        <w:color w:val="auto"/>
        <w:lang w:eastAsia="zh-TW"/>
      </w:rPr>
      <w:t>福利</w:t>
    </w:r>
    <w:r w:rsidRPr="009518AD">
      <w:rPr>
        <w:rStyle w:val="af1"/>
        <w:rFonts w:ascii="標楷體" w:eastAsia="標楷體" w:hAnsi="標楷體" w:hint="eastAsia"/>
        <w:b/>
        <w:i w:val="0"/>
        <w:color w:val="auto"/>
        <w:lang w:eastAsia="zh-TW"/>
      </w:rPr>
      <w:t>統計動向</w:t>
    </w:r>
    <w:r>
      <w:rPr>
        <w:rStyle w:val="af1"/>
        <w:rFonts w:hint="eastAsia"/>
        <w:b/>
        <w:i w:val="0"/>
        <w:color w:val="auto"/>
        <w:lang w:eastAsia="zh-TW"/>
      </w:rPr>
      <w:t>,2012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5E49"/>
    <w:multiLevelType w:val="hybridMultilevel"/>
    <w:tmpl w:val="3408930E"/>
    <w:lvl w:ilvl="0" w:tplc="E5D4A080">
      <w:start w:val="1"/>
      <w:numFmt w:val="taiwaneseCountingThousand"/>
      <w:pStyle w:val="title2"/>
      <w:lvlText w:val="(%1)"/>
      <w:lvlJc w:val="left"/>
      <w:pPr>
        <w:ind w:left="763" w:hanging="480"/>
      </w:pPr>
      <w:rPr>
        <w:rFonts w:ascii="標楷體" w:eastAsia="標楷體" w:hAnsi="標楷體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7886701F"/>
    <w:multiLevelType w:val="multilevel"/>
    <w:tmpl w:val="DAA8190E"/>
    <w:lvl w:ilvl="0">
      <w:start w:val="1"/>
      <w:numFmt w:val="taiwaneseCountingThousand"/>
      <w:pStyle w:val="title1"/>
      <w:lvlText w:val="%1、"/>
      <w:lvlJc w:val="left"/>
      <w:pPr>
        <w:ind w:left="480" w:hanging="48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73"/>
    <w:rsid w:val="00000573"/>
    <w:rsid w:val="000005E1"/>
    <w:rsid w:val="00017450"/>
    <w:rsid w:val="00030D7E"/>
    <w:rsid w:val="00032D33"/>
    <w:rsid w:val="00036F24"/>
    <w:rsid w:val="00037384"/>
    <w:rsid w:val="00056B0A"/>
    <w:rsid w:val="000634E1"/>
    <w:rsid w:val="0006443F"/>
    <w:rsid w:val="00066272"/>
    <w:rsid w:val="00070887"/>
    <w:rsid w:val="0007753B"/>
    <w:rsid w:val="000803C3"/>
    <w:rsid w:val="00085CA7"/>
    <w:rsid w:val="00087E48"/>
    <w:rsid w:val="00090239"/>
    <w:rsid w:val="000960C5"/>
    <w:rsid w:val="000965A4"/>
    <w:rsid w:val="00097CF5"/>
    <w:rsid w:val="000A0BDB"/>
    <w:rsid w:val="000A1107"/>
    <w:rsid w:val="000A1965"/>
    <w:rsid w:val="000A3251"/>
    <w:rsid w:val="000B49A6"/>
    <w:rsid w:val="000B7A98"/>
    <w:rsid w:val="000C2484"/>
    <w:rsid w:val="000C69E7"/>
    <w:rsid w:val="000C6F55"/>
    <w:rsid w:val="000C7A33"/>
    <w:rsid w:val="000D1EDA"/>
    <w:rsid w:val="000D2E3F"/>
    <w:rsid w:val="000E0A82"/>
    <w:rsid w:val="000E1016"/>
    <w:rsid w:val="000E7DFF"/>
    <w:rsid w:val="00100AD3"/>
    <w:rsid w:val="00100E91"/>
    <w:rsid w:val="00111660"/>
    <w:rsid w:val="00112815"/>
    <w:rsid w:val="00116040"/>
    <w:rsid w:val="00117F92"/>
    <w:rsid w:val="00121FA0"/>
    <w:rsid w:val="00123401"/>
    <w:rsid w:val="00126E28"/>
    <w:rsid w:val="00130E83"/>
    <w:rsid w:val="0013609F"/>
    <w:rsid w:val="00136BF4"/>
    <w:rsid w:val="00136FEC"/>
    <w:rsid w:val="001370D9"/>
    <w:rsid w:val="0014359C"/>
    <w:rsid w:val="0014435D"/>
    <w:rsid w:val="001518B5"/>
    <w:rsid w:val="00152E9D"/>
    <w:rsid w:val="0015347A"/>
    <w:rsid w:val="00153E8A"/>
    <w:rsid w:val="00154072"/>
    <w:rsid w:val="00154269"/>
    <w:rsid w:val="001543BC"/>
    <w:rsid w:val="00154B8F"/>
    <w:rsid w:val="0015622D"/>
    <w:rsid w:val="00162329"/>
    <w:rsid w:val="001634CE"/>
    <w:rsid w:val="0016488E"/>
    <w:rsid w:val="00173C71"/>
    <w:rsid w:val="0018142A"/>
    <w:rsid w:val="001816FE"/>
    <w:rsid w:val="00181C80"/>
    <w:rsid w:val="0018648C"/>
    <w:rsid w:val="001873B2"/>
    <w:rsid w:val="00187718"/>
    <w:rsid w:val="00190FD3"/>
    <w:rsid w:val="001952DE"/>
    <w:rsid w:val="001A1EC6"/>
    <w:rsid w:val="001A6B2C"/>
    <w:rsid w:val="001B44BA"/>
    <w:rsid w:val="001C0C98"/>
    <w:rsid w:val="001C41E7"/>
    <w:rsid w:val="001E381A"/>
    <w:rsid w:val="001E40EB"/>
    <w:rsid w:val="001E51ED"/>
    <w:rsid w:val="001E57B7"/>
    <w:rsid w:val="001F1F65"/>
    <w:rsid w:val="001F3067"/>
    <w:rsid w:val="001F4773"/>
    <w:rsid w:val="00203D8D"/>
    <w:rsid w:val="00204DC4"/>
    <w:rsid w:val="002079A1"/>
    <w:rsid w:val="00211FE0"/>
    <w:rsid w:val="00214706"/>
    <w:rsid w:val="00216438"/>
    <w:rsid w:val="00222B15"/>
    <w:rsid w:val="00224B58"/>
    <w:rsid w:val="002337F8"/>
    <w:rsid w:val="00241869"/>
    <w:rsid w:val="00251AB8"/>
    <w:rsid w:val="00253631"/>
    <w:rsid w:val="00253A90"/>
    <w:rsid w:val="00257973"/>
    <w:rsid w:val="0026030B"/>
    <w:rsid w:val="00264181"/>
    <w:rsid w:val="002726B3"/>
    <w:rsid w:val="002808F2"/>
    <w:rsid w:val="002819EA"/>
    <w:rsid w:val="00286776"/>
    <w:rsid w:val="0029121E"/>
    <w:rsid w:val="002921F4"/>
    <w:rsid w:val="002976F1"/>
    <w:rsid w:val="002A148F"/>
    <w:rsid w:val="002A49DF"/>
    <w:rsid w:val="002B226D"/>
    <w:rsid w:val="002B2EDF"/>
    <w:rsid w:val="002B33E5"/>
    <w:rsid w:val="002B33FE"/>
    <w:rsid w:val="002B4DDE"/>
    <w:rsid w:val="002B71E6"/>
    <w:rsid w:val="002C1AA1"/>
    <w:rsid w:val="002D6A1C"/>
    <w:rsid w:val="002E1493"/>
    <w:rsid w:val="002E66AE"/>
    <w:rsid w:val="002F1675"/>
    <w:rsid w:val="002F3400"/>
    <w:rsid w:val="002F6E18"/>
    <w:rsid w:val="00311335"/>
    <w:rsid w:val="0031551F"/>
    <w:rsid w:val="00316193"/>
    <w:rsid w:val="00317A9A"/>
    <w:rsid w:val="00323218"/>
    <w:rsid w:val="00323FC5"/>
    <w:rsid w:val="0033218F"/>
    <w:rsid w:val="00333E3B"/>
    <w:rsid w:val="00361B83"/>
    <w:rsid w:val="00366FBC"/>
    <w:rsid w:val="00371293"/>
    <w:rsid w:val="00377B60"/>
    <w:rsid w:val="00381307"/>
    <w:rsid w:val="00381E65"/>
    <w:rsid w:val="00382323"/>
    <w:rsid w:val="00383EF8"/>
    <w:rsid w:val="0039139D"/>
    <w:rsid w:val="00393631"/>
    <w:rsid w:val="003A2BBF"/>
    <w:rsid w:val="003A6918"/>
    <w:rsid w:val="003B4963"/>
    <w:rsid w:val="003C1309"/>
    <w:rsid w:val="003D5C5A"/>
    <w:rsid w:val="003E00BD"/>
    <w:rsid w:val="003E4C42"/>
    <w:rsid w:val="003E5537"/>
    <w:rsid w:val="003E677B"/>
    <w:rsid w:val="0040663E"/>
    <w:rsid w:val="00407452"/>
    <w:rsid w:val="00412C58"/>
    <w:rsid w:val="00414E6F"/>
    <w:rsid w:val="00416759"/>
    <w:rsid w:val="0041709D"/>
    <w:rsid w:val="00421A72"/>
    <w:rsid w:val="00425631"/>
    <w:rsid w:val="00425D71"/>
    <w:rsid w:val="00435EF0"/>
    <w:rsid w:val="00436361"/>
    <w:rsid w:val="004375BB"/>
    <w:rsid w:val="004434A3"/>
    <w:rsid w:val="0044534F"/>
    <w:rsid w:val="004543EF"/>
    <w:rsid w:val="004608BE"/>
    <w:rsid w:val="00465B59"/>
    <w:rsid w:val="00466446"/>
    <w:rsid w:val="004804D1"/>
    <w:rsid w:val="00481009"/>
    <w:rsid w:val="00482A21"/>
    <w:rsid w:val="00484285"/>
    <w:rsid w:val="004844CC"/>
    <w:rsid w:val="0049092C"/>
    <w:rsid w:val="00497D90"/>
    <w:rsid w:val="004A1A7D"/>
    <w:rsid w:val="004A79CB"/>
    <w:rsid w:val="004B064E"/>
    <w:rsid w:val="004B1284"/>
    <w:rsid w:val="004B5538"/>
    <w:rsid w:val="004C0140"/>
    <w:rsid w:val="004C07DE"/>
    <w:rsid w:val="004C1A55"/>
    <w:rsid w:val="004C3067"/>
    <w:rsid w:val="004C33F9"/>
    <w:rsid w:val="004D0003"/>
    <w:rsid w:val="004D2600"/>
    <w:rsid w:val="004D5496"/>
    <w:rsid w:val="004D5F3E"/>
    <w:rsid w:val="004D6216"/>
    <w:rsid w:val="004E1DE4"/>
    <w:rsid w:val="004E672E"/>
    <w:rsid w:val="0050513D"/>
    <w:rsid w:val="00515970"/>
    <w:rsid w:val="00515B82"/>
    <w:rsid w:val="0053274B"/>
    <w:rsid w:val="00534E7D"/>
    <w:rsid w:val="00535494"/>
    <w:rsid w:val="005417F8"/>
    <w:rsid w:val="00543874"/>
    <w:rsid w:val="00544F36"/>
    <w:rsid w:val="005471FE"/>
    <w:rsid w:val="005563A1"/>
    <w:rsid w:val="005572C8"/>
    <w:rsid w:val="00561E42"/>
    <w:rsid w:val="00564ED5"/>
    <w:rsid w:val="005653E8"/>
    <w:rsid w:val="0056633A"/>
    <w:rsid w:val="005673D8"/>
    <w:rsid w:val="005736CF"/>
    <w:rsid w:val="005808E2"/>
    <w:rsid w:val="00593BC6"/>
    <w:rsid w:val="0059506A"/>
    <w:rsid w:val="00595929"/>
    <w:rsid w:val="00595EED"/>
    <w:rsid w:val="005A1A0C"/>
    <w:rsid w:val="005A3FA9"/>
    <w:rsid w:val="005A5A7B"/>
    <w:rsid w:val="005B15DF"/>
    <w:rsid w:val="005C07E0"/>
    <w:rsid w:val="005C301E"/>
    <w:rsid w:val="005C6871"/>
    <w:rsid w:val="005D29E1"/>
    <w:rsid w:val="005D3A00"/>
    <w:rsid w:val="005E28F9"/>
    <w:rsid w:val="005E750B"/>
    <w:rsid w:val="005F0590"/>
    <w:rsid w:val="005F2FE6"/>
    <w:rsid w:val="005F5C52"/>
    <w:rsid w:val="006028A8"/>
    <w:rsid w:val="00606B26"/>
    <w:rsid w:val="00606CA2"/>
    <w:rsid w:val="006155CD"/>
    <w:rsid w:val="00621A16"/>
    <w:rsid w:val="006224A0"/>
    <w:rsid w:val="0063262A"/>
    <w:rsid w:val="006326E7"/>
    <w:rsid w:val="00641493"/>
    <w:rsid w:val="00642AD7"/>
    <w:rsid w:val="00643663"/>
    <w:rsid w:val="006464AE"/>
    <w:rsid w:val="00656EE6"/>
    <w:rsid w:val="006600B4"/>
    <w:rsid w:val="00672515"/>
    <w:rsid w:val="00672FB8"/>
    <w:rsid w:val="00677678"/>
    <w:rsid w:val="00684589"/>
    <w:rsid w:val="006A004A"/>
    <w:rsid w:val="006B7924"/>
    <w:rsid w:val="006B7C9D"/>
    <w:rsid w:val="006C6E1A"/>
    <w:rsid w:val="006D4711"/>
    <w:rsid w:val="006E1591"/>
    <w:rsid w:val="006E674F"/>
    <w:rsid w:val="006F2D25"/>
    <w:rsid w:val="006F3E87"/>
    <w:rsid w:val="006F7398"/>
    <w:rsid w:val="00700EC5"/>
    <w:rsid w:val="00706422"/>
    <w:rsid w:val="007064A4"/>
    <w:rsid w:val="0071398B"/>
    <w:rsid w:val="007158CF"/>
    <w:rsid w:val="00721AC4"/>
    <w:rsid w:val="00725E19"/>
    <w:rsid w:val="00727648"/>
    <w:rsid w:val="00730477"/>
    <w:rsid w:val="0073127A"/>
    <w:rsid w:val="0073263B"/>
    <w:rsid w:val="00734F2B"/>
    <w:rsid w:val="007402A2"/>
    <w:rsid w:val="00743561"/>
    <w:rsid w:val="0074527D"/>
    <w:rsid w:val="0074682B"/>
    <w:rsid w:val="00752E4F"/>
    <w:rsid w:val="00761FD4"/>
    <w:rsid w:val="0077209F"/>
    <w:rsid w:val="007741A3"/>
    <w:rsid w:val="00774BCD"/>
    <w:rsid w:val="00776ED6"/>
    <w:rsid w:val="00785F44"/>
    <w:rsid w:val="00792EA4"/>
    <w:rsid w:val="00794757"/>
    <w:rsid w:val="00794857"/>
    <w:rsid w:val="007A6E9F"/>
    <w:rsid w:val="007B17CA"/>
    <w:rsid w:val="007C4C4E"/>
    <w:rsid w:val="007C665F"/>
    <w:rsid w:val="007D6BED"/>
    <w:rsid w:val="007E144A"/>
    <w:rsid w:val="007E1D32"/>
    <w:rsid w:val="007E65FB"/>
    <w:rsid w:val="00802C40"/>
    <w:rsid w:val="00811C5E"/>
    <w:rsid w:val="00820CCE"/>
    <w:rsid w:val="008274CA"/>
    <w:rsid w:val="00831269"/>
    <w:rsid w:val="00831BEE"/>
    <w:rsid w:val="00841E3B"/>
    <w:rsid w:val="00855852"/>
    <w:rsid w:val="00861928"/>
    <w:rsid w:val="00871A17"/>
    <w:rsid w:val="008726AC"/>
    <w:rsid w:val="00873B58"/>
    <w:rsid w:val="0088723E"/>
    <w:rsid w:val="008925A7"/>
    <w:rsid w:val="00892C64"/>
    <w:rsid w:val="0089494A"/>
    <w:rsid w:val="008A3B23"/>
    <w:rsid w:val="008A45A1"/>
    <w:rsid w:val="008A4CCA"/>
    <w:rsid w:val="008A6821"/>
    <w:rsid w:val="008A6B38"/>
    <w:rsid w:val="008A6D5A"/>
    <w:rsid w:val="008A746F"/>
    <w:rsid w:val="008B405C"/>
    <w:rsid w:val="008B7EAE"/>
    <w:rsid w:val="008C118E"/>
    <w:rsid w:val="008C76DE"/>
    <w:rsid w:val="008D239F"/>
    <w:rsid w:val="008D27C6"/>
    <w:rsid w:val="008E5653"/>
    <w:rsid w:val="008F1AB3"/>
    <w:rsid w:val="008F1E50"/>
    <w:rsid w:val="009002CC"/>
    <w:rsid w:val="00903E50"/>
    <w:rsid w:val="0091487B"/>
    <w:rsid w:val="00915016"/>
    <w:rsid w:val="00915432"/>
    <w:rsid w:val="00917958"/>
    <w:rsid w:val="00920A5E"/>
    <w:rsid w:val="00922DDA"/>
    <w:rsid w:val="00925CF1"/>
    <w:rsid w:val="009410B7"/>
    <w:rsid w:val="0094207D"/>
    <w:rsid w:val="009518AD"/>
    <w:rsid w:val="0095223A"/>
    <w:rsid w:val="00955DBD"/>
    <w:rsid w:val="00962318"/>
    <w:rsid w:val="00970012"/>
    <w:rsid w:val="00973752"/>
    <w:rsid w:val="00977CB0"/>
    <w:rsid w:val="00984D80"/>
    <w:rsid w:val="00991D94"/>
    <w:rsid w:val="00991E2D"/>
    <w:rsid w:val="009963E3"/>
    <w:rsid w:val="009A5DD4"/>
    <w:rsid w:val="009A63E2"/>
    <w:rsid w:val="009B01C1"/>
    <w:rsid w:val="009B1B2C"/>
    <w:rsid w:val="009B3354"/>
    <w:rsid w:val="009B6DD2"/>
    <w:rsid w:val="009C6A92"/>
    <w:rsid w:val="009C75A3"/>
    <w:rsid w:val="009D4DEF"/>
    <w:rsid w:val="009D5800"/>
    <w:rsid w:val="009E3E2A"/>
    <w:rsid w:val="009E773E"/>
    <w:rsid w:val="009E7CEE"/>
    <w:rsid w:val="009F0856"/>
    <w:rsid w:val="009F5E47"/>
    <w:rsid w:val="00A01540"/>
    <w:rsid w:val="00A01D13"/>
    <w:rsid w:val="00A05438"/>
    <w:rsid w:val="00A120CD"/>
    <w:rsid w:val="00A150C4"/>
    <w:rsid w:val="00A1573D"/>
    <w:rsid w:val="00A16A34"/>
    <w:rsid w:val="00A30A46"/>
    <w:rsid w:val="00A4276A"/>
    <w:rsid w:val="00A45ADB"/>
    <w:rsid w:val="00A467F6"/>
    <w:rsid w:val="00A5544D"/>
    <w:rsid w:val="00A55C58"/>
    <w:rsid w:val="00A55F7D"/>
    <w:rsid w:val="00A640A5"/>
    <w:rsid w:val="00A64426"/>
    <w:rsid w:val="00A6576E"/>
    <w:rsid w:val="00A73975"/>
    <w:rsid w:val="00A73EBC"/>
    <w:rsid w:val="00A74399"/>
    <w:rsid w:val="00A777AF"/>
    <w:rsid w:val="00A832F8"/>
    <w:rsid w:val="00A846B1"/>
    <w:rsid w:val="00A868D6"/>
    <w:rsid w:val="00A90C64"/>
    <w:rsid w:val="00A92420"/>
    <w:rsid w:val="00A965E7"/>
    <w:rsid w:val="00A9766B"/>
    <w:rsid w:val="00AA22F0"/>
    <w:rsid w:val="00AB0718"/>
    <w:rsid w:val="00AB0831"/>
    <w:rsid w:val="00AB6AB8"/>
    <w:rsid w:val="00AC1AB1"/>
    <w:rsid w:val="00AC42A1"/>
    <w:rsid w:val="00AD0E38"/>
    <w:rsid w:val="00AE3311"/>
    <w:rsid w:val="00AE399C"/>
    <w:rsid w:val="00AE39FC"/>
    <w:rsid w:val="00AE7A4F"/>
    <w:rsid w:val="00AF0352"/>
    <w:rsid w:val="00AF4D56"/>
    <w:rsid w:val="00B00349"/>
    <w:rsid w:val="00B043A7"/>
    <w:rsid w:val="00B049D6"/>
    <w:rsid w:val="00B055B6"/>
    <w:rsid w:val="00B1065C"/>
    <w:rsid w:val="00B1118D"/>
    <w:rsid w:val="00B12C23"/>
    <w:rsid w:val="00B15F39"/>
    <w:rsid w:val="00B1671A"/>
    <w:rsid w:val="00B17719"/>
    <w:rsid w:val="00B2208F"/>
    <w:rsid w:val="00B31938"/>
    <w:rsid w:val="00B373E3"/>
    <w:rsid w:val="00B40C39"/>
    <w:rsid w:val="00B5359E"/>
    <w:rsid w:val="00B551B0"/>
    <w:rsid w:val="00B6593B"/>
    <w:rsid w:val="00B7158D"/>
    <w:rsid w:val="00B76E1C"/>
    <w:rsid w:val="00B8300C"/>
    <w:rsid w:val="00B85D39"/>
    <w:rsid w:val="00B91215"/>
    <w:rsid w:val="00B962A3"/>
    <w:rsid w:val="00BA1221"/>
    <w:rsid w:val="00BA2048"/>
    <w:rsid w:val="00BA7B2A"/>
    <w:rsid w:val="00BB001C"/>
    <w:rsid w:val="00BB2332"/>
    <w:rsid w:val="00BB4AAD"/>
    <w:rsid w:val="00BB5788"/>
    <w:rsid w:val="00BC0698"/>
    <w:rsid w:val="00BC143B"/>
    <w:rsid w:val="00BC1F09"/>
    <w:rsid w:val="00BC659C"/>
    <w:rsid w:val="00BC6A73"/>
    <w:rsid w:val="00BD25C7"/>
    <w:rsid w:val="00BE2DB6"/>
    <w:rsid w:val="00BE388B"/>
    <w:rsid w:val="00BE4115"/>
    <w:rsid w:val="00BE5CD3"/>
    <w:rsid w:val="00BE6CC7"/>
    <w:rsid w:val="00BF5EF3"/>
    <w:rsid w:val="00C00B49"/>
    <w:rsid w:val="00C01FD6"/>
    <w:rsid w:val="00C04F00"/>
    <w:rsid w:val="00C103A7"/>
    <w:rsid w:val="00C21D8F"/>
    <w:rsid w:val="00C235F2"/>
    <w:rsid w:val="00C302F7"/>
    <w:rsid w:val="00C325B0"/>
    <w:rsid w:val="00C32928"/>
    <w:rsid w:val="00C336B2"/>
    <w:rsid w:val="00C404A4"/>
    <w:rsid w:val="00C5448A"/>
    <w:rsid w:val="00C7100E"/>
    <w:rsid w:val="00C71B13"/>
    <w:rsid w:val="00C73083"/>
    <w:rsid w:val="00C7760A"/>
    <w:rsid w:val="00C80BEF"/>
    <w:rsid w:val="00C81C08"/>
    <w:rsid w:val="00C85983"/>
    <w:rsid w:val="00C91A16"/>
    <w:rsid w:val="00C95AF3"/>
    <w:rsid w:val="00CA3B30"/>
    <w:rsid w:val="00CB406B"/>
    <w:rsid w:val="00CB44D0"/>
    <w:rsid w:val="00CB6A4B"/>
    <w:rsid w:val="00CC22D9"/>
    <w:rsid w:val="00CD310E"/>
    <w:rsid w:val="00CE1DBF"/>
    <w:rsid w:val="00CE37CF"/>
    <w:rsid w:val="00CE5B55"/>
    <w:rsid w:val="00CE6CA2"/>
    <w:rsid w:val="00CE7F71"/>
    <w:rsid w:val="00CF4E56"/>
    <w:rsid w:val="00CF5AC7"/>
    <w:rsid w:val="00CF7413"/>
    <w:rsid w:val="00CF7EB1"/>
    <w:rsid w:val="00D1553F"/>
    <w:rsid w:val="00D15556"/>
    <w:rsid w:val="00D15E1F"/>
    <w:rsid w:val="00D2223E"/>
    <w:rsid w:val="00D238EA"/>
    <w:rsid w:val="00D264F9"/>
    <w:rsid w:val="00D310F7"/>
    <w:rsid w:val="00D44223"/>
    <w:rsid w:val="00D459FA"/>
    <w:rsid w:val="00D46159"/>
    <w:rsid w:val="00D55083"/>
    <w:rsid w:val="00D55F7F"/>
    <w:rsid w:val="00D5653E"/>
    <w:rsid w:val="00D6126B"/>
    <w:rsid w:val="00D636B2"/>
    <w:rsid w:val="00D66F2A"/>
    <w:rsid w:val="00D73352"/>
    <w:rsid w:val="00D76D69"/>
    <w:rsid w:val="00D80697"/>
    <w:rsid w:val="00D82D7B"/>
    <w:rsid w:val="00D84582"/>
    <w:rsid w:val="00D85CC4"/>
    <w:rsid w:val="00D91F26"/>
    <w:rsid w:val="00D9340D"/>
    <w:rsid w:val="00DA4220"/>
    <w:rsid w:val="00DB0E48"/>
    <w:rsid w:val="00DB1470"/>
    <w:rsid w:val="00DB73DA"/>
    <w:rsid w:val="00DC40B2"/>
    <w:rsid w:val="00DC4701"/>
    <w:rsid w:val="00DD069F"/>
    <w:rsid w:val="00DD3B34"/>
    <w:rsid w:val="00DD4489"/>
    <w:rsid w:val="00DD7113"/>
    <w:rsid w:val="00DE4575"/>
    <w:rsid w:val="00DF438C"/>
    <w:rsid w:val="00DF4F9A"/>
    <w:rsid w:val="00E021E5"/>
    <w:rsid w:val="00E02E53"/>
    <w:rsid w:val="00E03C41"/>
    <w:rsid w:val="00E167B8"/>
    <w:rsid w:val="00E2441C"/>
    <w:rsid w:val="00E30973"/>
    <w:rsid w:val="00E36E4A"/>
    <w:rsid w:val="00E416E0"/>
    <w:rsid w:val="00E42679"/>
    <w:rsid w:val="00E4383A"/>
    <w:rsid w:val="00E50618"/>
    <w:rsid w:val="00E558FF"/>
    <w:rsid w:val="00E57A33"/>
    <w:rsid w:val="00E64A61"/>
    <w:rsid w:val="00E70BDA"/>
    <w:rsid w:val="00E76CC8"/>
    <w:rsid w:val="00E8142E"/>
    <w:rsid w:val="00E9121C"/>
    <w:rsid w:val="00EA1DBD"/>
    <w:rsid w:val="00EA3922"/>
    <w:rsid w:val="00EA63EF"/>
    <w:rsid w:val="00EB1215"/>
    <w:rsid w:val="00EB530E"/>
    <w:rsid w:val="00ED0E26"/>
    <w:rsid w:val="00ED1F20"/>
    <w:rsid w:val="00ED543E"/>
    <w:rsid w:val="00ED7E36"/>
    <w:rsid w:val="00EF136C"/>
    <w:rsid w:val="00EF4B1F"/>
    <w:rsid w:val="00EF6768"/>
    <w:rsid w:val="00F1134B"/>
    <w:rsid w:val="00F15E36"/>
    <w:rsid w:val="00F17065"/>
    <w:rsid w:val="00F22602"/>
    <w:rsid w:val="00F23E45"/>
    <w:rsid w:val="00F23E99"/>
    <w:rsid w:val="00F27059"/>
    <w:rsid w:val="00F31F04"/>
    <w:rsid w:val="00F32AA9"/>
    <w:rsid w:val="00F36851"/>
    <w:rsid w:val="00F40721"/>
    <w:rsid w:val="00F41BD2"/>
    <w:rsid w:val="00F41CA8"/>
    <w:rsid w:val="00F4377F"/>
    <w:rsid w:val="00F573A1"/>
    <w:rsid w:val="00F576E3"/>
    <w:rsid w:val="00F70A19"/>
    <w:rsid w:val="00F76082"/>
    <w:rsid w:val="00F83A17"/>
    <w:rsid w:val="00F9777D"/>
    <w:rsid w:val="00FA4785"/>
    <w:rsid w:val="00FA4F0C"/>
    <w:rsid w:val="00FA6134"/>
    <w:rsid w:val="00FA7F22"/>
    <w:rsid w:val="00FB02FB"/>
    <w:rsid w:val="00FC563B"/>
    <w:rsid w:val="00FC79BC"/>
    <w:rsid w:val="00FD5766"/>
    <w:rsid w:val="00FD5A2C"/>
    <w:rsid w:val="00FD70D3"/>
    <w:rsid w:val="00FE053C"/>
    <w:rsid w:val="00FE080B"/>
    <w:rsid w:val="00FE72E7"/>
    <w:rsid w:val="00FE7DA2"/>
    <w:rsid w:val="00FF3BC5"/>
    <w:rsid w:val="00FF5894"/>
    <w:rsid w:val="00FF6464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13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7A33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A3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973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4">
    <w:name w:val="註解方塊文字 字元"/>
    <w:link w:val="a3"/>
    <w:uiPriority w:val="99"/>
    <w:semiHidden/>
    <w:rsid w:val="00E30973"/>
    <w:rPr>
      <w:rFonts w:ascii="Cambria" w:eastAsia="新細明體" w:hAnsi="Cambria" w:cs="Times New Roman"/>
      <w:sz w:val="18"/>
      <w:szCs w:val="18"/>
    </w:rPr>
  </w:style>
  <w:style w:type="character" w:styleId="a5">
    <w:name w:val="Hyperlink"/>
    <w:uiPriority w:val="99"/>
    <w:unhideWhenUsed/>
    <w:rsid w:val="00216438"/>
    <w:rPr>
      <w:color w:val="0000FF"/>
      <w:u w:val="single"/>
    </w:rPr>
  </w:style>
  <w:style w:type="character" w:styleId="a6">
    <w:name w:val="Emphasis"/>
    <w:uiPriority w:val="20"/>
    <w:qFormat/>
    <w:rsid w:val="00841E3B"/>
    <w:rPr>
      <w:i/>
      <w:iCs/>
    </w:rPr>
  </w:style>
  <w:style w:type="paragraph" w:styleId="a7">
    <w:name w:val="header"/>
    <w:basedOn w:val="a"/>
    <w:link w:val="a8"/>
    <w:uiPriority w:val="99"/>
    <w:unhideWhenUsed/>
    <w:rsid w:val="005C30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5C301E"/>
    <w:rPr>
      <w:kern w:val="2"/>
    </w:rPr>
  </w:style>
  <w:style w:type="paragraph" w:styleId="a9">
    <w:name w:val="footer"/>
    <w:basedOn w:val="a"/>
    <w:link w:val="aa"/>
    <w:uiPriority w:val="99"/>
    <w:unhideWhenUsed/>
    <w:rsid w:val="005C30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5C301E"/>
    <w:rPr>
      <w:kern w:val="2"/>
    </w:rPr>
  </w:style>
  <w:style w:type="paragraph" w:customStyle="1" w:styleId="title1">
    <w:name w:val="title1"/>
    <w:basedOn w:val="ab"/>
    <w:link w:val="title10"/>
    <w:qFormat/>
    <w:rsid w:val="000A1965"/>
    <w:pPr>
      <w:numPr>
        <w:numId w:val="1"/>
      </w:numPr>
      <w:tabs>
        <w:tab w:val="left" w:pos="480"/>
      </w:tabs>
      <w:ind w:leftChars="0" w:left="655" w:hangingChars="234" w:hanging="655"/>
      <w:outlineLvl w:val="0"/>
    </w:pPr>
    <w:rPr>
      <w:rFonts w:ascii="Times New Roman" w:eastAsia="標楷體" w:hAnsi="Times New Roman"/>
      <w:color w:val="000000"/>
      <w:sz w:val="28"/>
      <w:szCs w:val="24"/>
      <w:lang w:val="x-none" w:eastAsia="x-none"/>
    </w:rPr>
  </w:style>
  <w:style w:type="paragraph" w:customStyle="1" w:styleId="title2">
    <w:name w:val="title2"/>
    <w:basedOn w:val="ab"/>
    <w:link w:val="title20"/>
    <w:qFormat/>
    <w:rsid w:val="000A1965"/>
    <w:pPr>
      <w:numPr>
        <w:numId w:val="2"/>
      </w:numPr>
      <w:tabs>
        <w:tab w:val="left" w:pos="851"/>
      </w:tabs>
      <w:ind w:leftChars="0" w:left="0" w:firstLine="0"/>
      <w:outlineLvl w:val="1"/>
    </w:pPr>
    <w:rPr>
      <w:rFonts w:ascii="Times New Roman" w:eastAsia="標楷體" w:hAnsi="Times New Roman"/>
      <w:color w:val="000000"/>
      <w:sz w:val="26"/>
      <w:szCs w:val="24"/>
      <w:lang w:val="x-none" w:eastAsia="x-none"/>
    </w:rPr>
  </w:style>
  <w:style w:type="character" w:customStyle="1" w:styleId="title10">
    <w:name w:val="title1 字元"/>
    <w:link w:val="title1"/>
    <w:rsid w:val="000A1965"/>
    <w:rPr>
      <w:rFonts w:ascii="Times New Roman" w:eastAsia="標楷體" w:hAnsi="Times New Roman" w:cs="Times New Roman"/>
      <w:color w:val="000000"/>
      <w:kern w:val="2"/>
      <w:sz w:val="28"/>
      <w:szCs w:val="24"/>
    </w:rPr>
  </w:style>
  <w:style w:type="character" w:customStyle="1" w:styleId="title20">
    <w:name w:val="title2 字元"/>
    <w:link w:val="title2"/>
    <w:rsid w:val="000A1965"/>
    <w:rPr>
      <w:rFonts w:ascii="Times New Roman" w:eastAsia="標楷體" w:hAnsi="Times New Roman" w:cs="Times New Roman"/>
      <w:color w:val="000000"/>
      <w:kern w:val="2"/>
      <w:sz w:val="26"/>
      <w:szCs w:val="24"/>
    </w:rPr>
  </w:style>
  <w:style w:type="paragraph" w:customStyle="1" w:styleId="ac">
    <w:name w:val="圖片"/>
    <w:basedOn w:val="a"/>
    <w:link w:val="ad"/>
    <w:qFormat/>
    <w:rsid w:val="000A1965"/>
    <w:pPr>
      <w:jc w:val="center"/>
    </w:pPr>
    <w:rPr>
      <w:rFonts w:ascii="Times New Roman" w:eastAsia="標楷體" w:hAnsi="Times New Roman"/>
      <w:color w:val="808080"/>
      <w:szCs w:val="24"/>
      <w:lang w:val="x-none" w:eastAsia="x-none"/>
    </w:rPr>
  </w:style>
  <w:style w:type="character" w:customStyle="1" w:styleId="ad">
    <w:name w:val="圖片 字元"/>
    <w:link w:val="ac"/>
    <w:rsid w:val="000A1965"/>
    <w:rPr>
      <w:rFonts w:ascii="Times New Roman" w:eastAsia="標楷體" w:hAnsi="Times New Roman" w:cs="Times New Roman"/>
      <w:color w:val="808080"/>
      <w:kern w:val="2"/>
      <w:sz w:val="24"/>
      <w:szCs w:val="24"/>
    </w:rPr>
  </w:style>
  <w:style w:type="paragraph" w:customStyle="1" w:styleId="notenote">
    <w:name w:val="notenote"/>
    <w:basedOn w:val="a"/>
    <w:link w:val="notenote0"/>
    <w:qFormat/>
    <w:rsid w:val="000A1965"/>
    <w:pPr>
      <w:spacing w:beforeLines="30"/>
      <w:ind w:firstLine="482"/>
    </w:pPr>
    <w:rPr>
      <w:rFonts w:ascii="Times New Roman" w:eastAsia="標楷體" w:hAnsi="Times New Roman"/>
      <w:color w:val="808080"/>
      <w:szCs w:val="24"/>
      <w:lang w:val="x-none" w:eastAsia="x-none"/>
    </w:rPr>
  </w:style>
  <w:style w:type="character" w:customStyle="1" w:styleId="notenote0">
    <w:name w:val="notenote 字元"/>
    <w:link w:val="notenote"/>
    <w:rsid w:val="000A1965"/>
    <w:rPr>
      <w:rFonts w:ascii="Times New Roman" w:eastAsia="標楷體" w:hAnsi="Times New Roman" w:cs="Times New Roman"/>
      <w:color w:val="808080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0A1965"/>
    <w:pPr>
      <w:ind w:leftChars="200" w:left="480"/>
    </w:pPr>
  </w:style>
  <w:style w:type="character" w:customStyle="1" w:styleId="10">
    <w:name w:val="標題 1 字元"/>
    <w:link w:val="1"/>
    <w:uiPriority w:val="9"/>
    <w:rsid w:val="00E57A33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semiHidden/>
    <w:unhideWhenUsed/>
    <w:qFormat/>
    <w:rsid w:val="00E57A33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253A90"/>
    <w:pPr>
      <w:widowControl/>
      <w:tabs>
        <w:tab w:val="left" w:pos="720"/>
        <w:tab w:val="right" w:leader="dot" w:pos="8789"/>
      </w:tabs>
      <w:spacing w:after="100" w:line="360" w:lineRule="exact"/>
      <w:ind w:leftChars="-3" w:left="-7" w:firstLineChars="250" w:firstLine="601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253A90"/>
    <w:pPr>
      <w:widowControl/>
      <w:tabs>
        <w:tab w:val="right" w:leader="dot" w:pos="8789"/>
      </w:tabs>
      <w:spacing w:after="100" w:line="360" w:lineRule="exact"/>
      <w:ind w:leftChars="177" w:left="425"/>
    </w:pPr>
    <w:rPr>
      <w:rFonts w:eastAsia="標楷體" w:cs="Calibri"/>
      <w:b/>
      <w:noProof/>
      <w:kern w:val="0"/>
      <w:szCs w:val="24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57A33"/>
    <w:pPr>
      <w:widowControl/>
      <w:spacing w:after="100" w:line="276" w:lineRule="auto"/>
      <w:ind w:left="440"/>
    </w:pPr>
    <w:rPr>
      <w:kern w:val="0"/>
      <w:sz w:val="22"/>
    </w:rPr>
  </w:style>
  <w:style w:type="character" w:customStyle="1" w:styleId="20">
    <w:name w:val="標題 2 字元"/>
    <w:link w:val="2"/>
    <w:uiPriority w:val="9"/>
    <w:semiHidden/>
    <w:rsid w:val="00E57A33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">
    <w:name w:val="Quote"/>
    <w:basedOn w:val="a"/>
    <w:next w:val="a"/>
    <w:link w:val="af0"/>
    <w:uiPriority w:val="29"/>
    <w:qFormat/>
    <w:rsid w:val="00A45ADB"/>
    <w:pPr>
      <w:spacing w:beforeLines="30" w:before="30"/>
      <w:ind w:firstLineChars="200" w:firstLine="200"/>
    </w:pPr>
    <w:rPr>
      <w:rFonts w:ascii="Times New Roman" w:eastAsia="標楷體" w:hAnsi="Times New Roman"/>
      <w:i/>
      <w:iCs/>
      <w:color w:val="000000"/>
      <w:szCs w:val="24"/>
    </w:rPr>
  </w:style>
  <w:style w:type="character" w:customStyle="1" w:styleId="af0">
    <w:name w:val="引文 字元"/>
    <w:basedOn w:val="a0"/>
    <w:link w:val="af"/>
    <w:uiPriority w:val="29"/>
    <w:rsid w:val="00A45ADB"/>
    <w:rPr>
      <w:rFonts w:ascii="Times New Roman" w:eastAsia="標楷體" w:hAnsi="Times New Roman"/>
      <w:i/>
      <w:iCs/>
      <w:color w:val="000000"/>
      <w:kern w:val="2"/>
      <w:sz w:val="24"/>
      <w:szCs w:val="24"/>
    </w:rPr>
  </w:style>
  <w:style w:type="character" w:styleId="af1">
    <w:name w:val="Subtle Emphasis"/>
    <w:uiPriority w:val="19"/>
    <w:qFormat/>
    <w:rsid w:val="009518AD"/>
    <w:rPr>
      <w:i/>
      <w:iCs/>
      <w:color w:val="F07F0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13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E57A33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A3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973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4">
    <w:name w:val="註解方塊文字 字元"/>
    <w:link w:val="a3"/>
    <w:uiPriority w:val="99"/>
    <w:semiHidden/>
    <w:rsid w:val="00E30973"/>
    <w:rPr>
      <w:rFonts w:ascii="Cambria" w:eastAsia="新細明體" w:hAnsi="Cambria" w:cs="Times New Roman"/>
      <w:sz w:val="18"/>
      <w:szCs w:val="18"/>
    </w:rPr>
  </w:style>
  <w:style w:type="character" w:styleId="a5">
    <w:name w:val="Hyperlink"/>
    <w:uiPriority w:val="99"/>
    <w:unhideWhenUsed/>
    <w:rsid w:val="00216438"/>
    <w:rPr>
      <w:color w:val="0000FF"/>
      <w:u w:val="single"/>
    </w:rPr>
  </w:style>
  <w:style w:type="character" w:styleId="a6">
    <w:name w:val="Emphasis"/>
    <w:uiPriority w:val="20"/>
    <w:qFormat/>
    <w:rsid w:val="00841E3B"/>
    <w:rPr>
      <w:i/>
      <w:iCs/>
    </w:rPr>
  </w:style>
  <w:style w:type="paragraph" w:styleId="a7">
    <w:name w:val="header"/>
    <w:basedOn w:val="a"/>
    <w:link w:val="a8"/>
    <w:uiPriority w:val="99"/>
    <w:unhideWhenUsed/>
    <w:rsid w:val="005C30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5C301E"/>
    <w:rPr>
      <w:kern w:val="2"/>
    </w:rPr>
  </w:style>
  <w:style w:type="paragraph" w:styleId="a9">
    <w:name w:val="footer"/>
    <w:basedOn w:val="a"/>
    <w:link w:val="aa"/>
    <w:uiPriority w:val="99"/>
    <w:unhideWhenUsed/>
    <w:rsid w:val="005C30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5C301E"/>
    <w:rPr>
      <w:kern w:val="2"/>
    </w:rPr>
  </w:style>
  <w:style w:type="paragraph" w:customStyle="1" w:styleId="title1">
    <w:name w:val="title1"/>
    <w:basedOn w:val="ab"/>
    <w:link w:val="title10"/>
    <w:qFormat/>
    <w:rsid w:val="000A1965"/>
    <w:pPr>
      <w:numPr>
        <w:numId w:val="1"/>
      </w:numPr>
      <w:tabs>
        <w:tab w:val="left" w:pos="480"/>
      </w:tabs>
      <w:ind w:leftChars="0" w:left="655" w:hangingChars="234" w:hanging="655"/>
      <w:outlineLvl w:val="0"/>
    </w:pPr>
    <w:rPr>
      <w:rFonts w:ascii="Times New Roman" w:eastAsia="標楷體" w:hAnsi="Times New Roman"/>
      <w:color w:val="000000"/>
      <w:sz w:val="28"/>
      <w:szCs w:val="24"/>
      <w:lang w:val="x-none" w:eastAsia="x-none"/>
    </w:rPr>
  </w:style>
  <w:style w:type="paragraph" w:customStyle="1" w:styleId="title2">
    <w:name w:val="title2"/>
    <w:basedOn w:val="ab"/>
    <w:link w:val="title20"/>
    <w:qFormat/>
    <w:rsid w:val="000A1965"/>
    <w:pPr>
      <w:numPr>
        <w:numId w:val="2"/>
      </w:numPr>
      <w:tabs>
        <w:tab w:val="left" w:pos="851"/>
      </w:tabs>
      <w:ind w:leftChars="0" w:left="0" w:firstLine="0"/>
      <w:outlineLvl w:val="1"/>
    </w:pPr>
    <w:rPr>
      <w:rFonts w:ascii="Times New Roman" w:eastAsia="標楷體" w:hAnsi="Times New Roman"/>
      <w:color w:val="000000"/>
      <w:sz w:val="26"/>
      <w:szCs w:val="24"/>
      <w:lang w:val="x-none" w:eastAsia="x-none"/>
    </w:rPr>
  </w:style>
  <w:style w:type="character" w:customStyle="1" w:styleId="title10">
    <w:name w:val="title1 字元"/>
    <w:link w:val="title1"/>
    <w:rsid w:val="000A1965"/>
    <w:rPr>
      <w:rFonts w:ascii="Times New Roman" w:eastAsia="標楷體" w:hAnsi="Times New Roman" w:cs="Times New Roman"/>
      <w:color w:val="000000"/>
      <w:kern w:val="2"/>
      <w:sz w:val="28"/>
      <w:szCs w:val="24"/>
    </w:rPr>
  </w:style>
  <w:style w:type="character" w:customStyle="1" w:styleId="title20">
    <w:name w:val="title2 字元"/>
    <w:link w:val="title2"/>
    <w:rsid w:val="000A1965"/>
    <w:rPr>
      <w:rFonts w:ascii="Times New Roman" w:eastAsia="標楷體" w:hAnsi="Times New Roman" w:cs="Times New Roman"/>
      <w:color w:val="000000"/>
      <w:kern w:val="2"/>
      <w:sz w:val="26"/>
      <w:szCs w:val="24"/>
    </w:rPr>
  </w:style>
  <w:style w:type="paragraph" w:customStyle="1" w:styleId="ac">
    <w:name w:val="圖片"/>
    <w:basedOn w:val="a"/>
    <w:link w:val="ad"/>
    <w:qFormat/>
    <w:rsid w:val="000A1965"/>
    <w:pPr>
      <w:jc w:val="center"/>
    </w:pPr>
    <w:rPr>
      <w:rFonts w:ascii="Times New Roman" w:eastAsia="標楷體" w:hAnsi="Times New Roman"/>
      <w:color w:val="808080"/>
      <w:szCs w:val="24"/>
      <w:lang w:val="x-none" w:eastAsia="x-none"/>
    </w:rPr>
  </w:style>
  <w:style w:type="character" w:customStyle="1" w:styleId="ad">
    <w:name w:val="圖片 字元"/>
    <w:link w:val="ac"/>
    <w:rsid w:val="000A1965"/>
    <w:rPr>
      <w:rFonts w:ascii="Times New Roman" w:eastAsia="標楷體" w:hAnsi="Times New Roman" w:cs="Times New Roman"/>
      <w:color w:val="808080"/>
      <w:kern w:val="2"/>
      <w:sz w:val="24"/>
      <w:szCs w:val="24"/>
    </w:rPr>
  </w:style>
  <w:style w:type="paragraph" w:customStyle="1" w:styleId="notenote">
    <w:name w:val="notenote"/>
    <w:basedOn w:val="a"/>
    <w:link w:val="notenote0"/>
    <w:qFormat/>
    <w:rsid w:val="000A1965"/>
    <w:pPr>
      <w:spacing w:beforeLines="30"/>
      <w:ind w:firstLine="482"/>
    </w:pPr>
    <w:rPr>
      <w:rFonts w:ascii="Times New Roman" w:eastAsia="標楷體" w:hAnsi="Times New Roman"/>
      <w:color w:val="808080"/>
      <w:szCs w:val="24"/>
      <w:lang w:val="x-none" w:eastAsia="x-none"/>
    </w:rPr>
  </w:style>
  <w:style w:type="character" w:customStyle="1" w:styleId="notenote0">
    <w:name w:val="notenote 字元"/>
    <w:link w:val="notenote"/>
    <w:rsid w:val="000A1965"/>
    <w:rPr>
      <w:rFonts w:ascii="Times New Roman" w:eastAsia="標楷體" w:hAnsi="Times New Roman" w:cs="Times New Roman"/>
      <w:color w:val="808080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0A1965"/>
    <w:pPr>
      <w:ind w:leftChars="200" w:left="480"/>
    </w:pPr>
  </w:style>
  <w:style w:type="character" w:customStyle="1" w:styleId="10">
    <w:name w:val="標題 1 字元"/>
    <w:link w:val="1"/>
    <w:uiPriority w:val="9"/>
    <w:rsid w:val="00E57A33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semiHidden/>
    <w:unhideWhenUsed/>
    <w:qFormat/>
    <w:rsid w:val="00E57A33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253A90"/>
    <w:pPr>
      <w:widowControl/>
      <w:tabs>
        <w:tab w:val="left" w:pos="720"/>
        <w:tab w:val="right" w:leader="dot" w:pos="8789"/>
      </w:tabs>
      <w:spacing w:after="100" w:line="360" w:lineRule="exact"/>
      <w:ind w:leftChars="-3" w:left="-7" w:firstLineChars="250" w:firstLine="601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253A90"/>
    <w:pPr>
      <w:widowControl/>
      <w:tabs>
        <w:tab w:val="right" w:leader="dot" w:pos="8789"/>
      </w:tabs>
      <w:spacing w:after="100" w:line="360" w:lineRule="exact"/>
      <w:ind w:leftChars="177" w:left="425"/>
    </w:pPr>
    <w:rPr>
      <w:rFonts w:eastAsia="標楷體" w:cs="Calibri"/>
      <w:b/>
      <w:noProof/>
      <w:kern w:val="0"/>
      <w:szCs w:val="24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57A33"/>
    <w:pPr>
      <w:widowControl/>
      <w:spacing w:after="100" w:line="276" w:lineRule="auto"/>
      <w:ind w:left="440"/>
    </w:pPr>
    <w:rPr>
      <w:kern w:val="0"/>
      <w:sz w:val="22"/>
    </w:rPr>
  </w:style>
  <w:style w:type="character" w:customStyle="1" w:styleId="20">
    <w:name w:val="標題 2 字元"/>
    <w:link w:val="2"/>
    <w:uiPriority w:val="9"/>
    <w:semiHidden/>
    <w:rsid w:val="00E57A33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">
    <w:name w:val="Quote"/>
    <w:basedOn w:val="a"/>
    <w:next w:val="a"/>
    <w:link w:val="af0"/>
    <w:uiPriority w:val="29"/>
    <w:qFormat/>
    <w:rsid w:val="00A45ADB"/>
    <w:pPr>
      <w:spacing w:beforeLines="30" w:before="30"/>
      <w:ind w:firstLineChars="200" w:firstLine="200"/>
    </w:pPr>
    <w:rPr>
      <w:rFonts w:ascii="Times New Roman" w:eastAsia="標楷體" w:hAnsi="Times New Roman"/>
      <w:i/>
      <w:iCs/>
      <w:color w:val="000000"/>
      <w:szCs w:val="24"/>
    </w:rPr>
  </w:style>
  <w:style w:type="character" w:customStyle="1" w:styleId="af0">
    <w:name w:val="引文 字元"/>
    <w:basedOn w:val="a0"/>
    <w:link w:val="af"/>
    <w:uiPriority w:val="29"/>
    <w:rsid w:val="00A45ADB"/>
    <w:rPr>
      <w:rFonts w:ascii="Times New Roman" w:eastAsia="標楷體" w:hAnsi="Times New Roman"/>
      <w:i/>
      <w:iCs/>
      <w:color w:val="000000"/>
      <w:kern w:val="2"/>
      <w:sz w:val="24"/>
      <w:szCs w:val="24"/>
    </w:rPr>
  </w:style>
  <w:style w:type="character" w:styleId="af1">
    <w:name w:val="Subtle Emphasis"/>
    <w:uiPriority w:val="19"/>
    <w:qFormat/>
    <w:rsid w:val="009518AD"/>
    <w:rPr>
      <w:i/>
      <w:iCs/>
      <w:color w:val="F07F0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8.png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hyperlink" Target="http://zh.wikipedia.org/wiki/%E5%AC%B0%E5%85%92" TargetMode="External"/><Relationship Id="rId10" Type="http://schemas.openxmlformats.org/officeDocument/2006/relationships/footer" Target="footer1.xml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佈景主題">
  <a:themeElements>
    <a:clrScheme name="自訂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E97B31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DBED5-019E-438D-B1C6-4F5FFDFE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26</Pages>
  <Words>814</Words>
  <Characters>4646</Characters>
  <Application>Microsoft Office Word</Application>
  <DocSecurity>0</DocSecurity>
  <Lines>38</Lines>
  <Paragraphs>10</Paragraphs>
  <ScaleCrop>false</ScaleCrop>
  <Company>DOH</Company>
  <LinksUpToDate>false</LinksUpToDate>
  <CharactersWithSpaces>5450</CharactersWithSpaces>
  <SharedDoc>false</SharedDoc>
  <HLinks>
    <vt:vector size="120" baseType="variant">
      <vt:variant>
        <vt:i4>2621567</vt:i4>
      </vt:variant>
      <vt:variant>
        <vt:i4>126</vt:i4>
      </vt:variant>
      <vt:variant>
        <vt:i4>0</vt:i4>
      </vt:variant>
      <vt:variant>
        <vt:i4>5</vt:i4>
      </vt:variant>
      <vt:variant>
        <vt:lpwstr>http://zh.wikipedia.org/wiki/%E5%AC%B0%E5%85%92</vt:lpwstr>
      </vt:variant>
      <vt:variant>
        <vt:lpwstr/>
      </vt:variant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_Toc379466152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_Toc379466151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_Toc379466150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_Toc379466149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_Toc379466148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_Toc379466147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_Toc379466146</vt:lpwstr>
      </vt:variant>
      <vt:variant>
        <vt:i4>1441853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_Toc379466145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_Toc379466144</vt:lpwstr>
      </vt:variant>
      <vt:variant>
        <vt:i4>1441853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_Toc379466143</vt:lpwstr>
      </vt:variant>
      <vt:variant>
        <vt:i4>1441853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_Toc379466142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_Toc379466141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_Toc379466140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_Toc379466139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_Toc379466138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_Toc379466137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_Toc379466136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_Toc379466135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_Toc379466134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統計處胡美佳</dc:creator>
  <cp:lastModifiedBy>統計室黃惠芬</cp:lastModifiedBy>
  <cp:revision>5</cp:revision>
  <cp:lastPrinted>2014-05-09T03:07:00Z</cp:lastPrinted>
  <dcterms:created xsi:type="dcterms:W3CDTF">2014-05-09T02:52:00Z</dcterms:created>
  <dcterms:modified xsi:type="dcterms:W3CDTF">2014-05-09T03:53:00Z</dcterms:modified>
</cp:coreProperties>
</file>