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37" w:rsidRPr="00DF4A47" w:rsidRDefault="00510037" w:rsidP="0051003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4"/>
      <w:bookmarkStart w:id="2" w:name="OLE_LINK6"/>
      <w:bookmarkStart w:id="3" w:name="OLE_LINK1"/>
      <w:bookmarkStart w:id="4" w:name="OLE_LINK14"/>
      <w:bookmarkStart w:id="5" w:name="OLE_LINK16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r w:rsidRPr="0072540D">
        <w:rPr>
          <w:rFonts w:ascii="標楷體" w:eastAsia="標楷體" w:hAnsi="標楷體"/>
          <w:sz w:val="40"/>
        </w:rPr>
        <w:t>直轄市、縣(市)兒童少年保護執行</w:t>
      </w:r>
      <w:r w:rsidR="005F498A" w:rsidRPr="005F498A">
        <w:rPr>
          <w:rFonts w:ascii="標楷體" w:eastAsia="標楷體" w:hAnsi="標楷體" w:hint="eastAsia"/>
          <w:sz w:val="40"/>
        </w:rPr>
        <w:t>(四)-</w:t>
      </w:r>
      <w:r w:rsidR="00C2450C" w:rsidRPr="000632E4">
        <w:rPr>
          <w:rFonts w:ascii="標楷體" w:eastAsia="標楷體" w:hAnsi="標楷體" w:hint="eastAsia"/>
          <w:color w:val="FF0000"/>
          <w:sz w:val="40"/>
          <w:u w:val="single"/>
        </w:rPr>
        <w:t>兒少保護個案處遇及結案情形</w:t>
      </w:r>
      <w:r w:rsidRPr="00DF4A47">
        <w:rPr>
          <w:rFonts w:ascii="標楷體" w:eastAsia="標楷體" w:hAnsi="標楷體"/>
          <w:sz w:val="40"/>
        </w:rPr>
        <w:t>編製說明</w:t>
      </w:r>
    </w:p>
    <w:p w:rsidR="001D19B0" w:rsidRPr="00DF4A47" w:rsidRDefault="0051003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一、統計範圍及對象：</w:t>
      </w:r>
      <w:r w:rsidR="00911A41">
        <w:rPr>
          <w:rFonts w:ascii="標楷體" w:eastAsia="標楷體" w:hAnsi="標楷體" w:hint="eastAsia"/>
        </w:rPr>
        <w:t>凡</w:t>
      </w:r>
      <w:r w:rsidR="00D1740B" w:rsidRPr="00D1740B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="00911A41">
        <w:rPr>
          <w:rFonts w:ascii="標楷體" w:eastAsia="標楷體" w:hAnsi="標楷體" w:hint="eastAsia"/>
        </w:rPr>
        <w:t>依</w:t>
      </w:r>
      <w:r w:rsidR="00911A41" w:rsidRPr="00EE074F">
        <w:rPr>
          <w:rFonts w:ascii="標楷體" w:eastAsia="標楷體" w:hAnsi="標楷體" w:hint="eastAsia"/>
          <w:color w:val="FF0000"/>
          <w:u w:val="single"/>
        </w:rPr>
        <w:t>兒童及少年福利與權益保障法第53條</w:t>
      </w:r>
      <w:r w:rsidR="00911A41">
        <w:rPr>
          <w:rFonts w:ascii="標楷體" w:eastAsia="標楷體" w:hAnsi="標楷體" w:hint="eastAsia"/>
          <w:color w:val="FF0000"/>
          <w:u w:val="single"/>
        </w:rPr>
        <w:t>所通報之兒少保護案件，經社工人員調查決定開案個案，包含本季新案及在案中舊案</w:t>
      </w:r>
      <w:r w:rsidR="00911A41" w:rsidRPr="00EF6076">
        <w:rPr>
          <w:rFonts w:ascii="標楷體" w:eastAsia="標楷體" w:hAnsi="標楷體" w:hint="eastAsia"/>
        </w:rPr>
        <w:t>均為統計對象。</w:t>
      </w:r>
    </w:p>
    <w:p w:rsidR="00510037" w:rsidRPr="00DF4A47" w:rsidRDefault="0051003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F0268C" w:rsidRPr="00DF4A47" w:rsidRDefault="0051003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三、分類標準：</w:t>
      </w:r>
    </w:p>
    <w:p w:rsidR="008A3509" w:rsidRPr="00DF4A47" w:rsidRDefault="008A3509" w:rsidP="00317EBD">
      <w:pPr>
        <w:snapToGrid w:val="0"/>
        <w:spacing w:line="440" w:lineRule="atLeast"/>
        <w:ind w:leftChars="100" w:left="720" w:hangingChars="200" w:hanging="480"/>
        <w:rPr>
          <w:rFonts w:ascii="新細明體" w:hAnsi="新細明體" w:cs="新細明體"/>
          <w:kern w:val="0"/>
          <w:szCs w:val="24"/>
        </w:rPr>
      </w:pPr>
      <w:r w:rsidRPr="00DF4A47">
        <w:rPr>
          <w:rFonts w:ascii="標楷體" w:eastAsia="標楷體" w:hAnsi="標楷體" w:hint="eastAsia"/>
        </w:rPr>
        <w:t>(一)處遇計畫類型：按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家庭維繫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家庭重整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返家計畫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安置後追蹤輔導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停止親權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改定監護權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自立生活方案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長期安置輔導計畫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收出養服務分。</w:t>
      </w:r>
    </w:p>
    <w:p w:rsidR="008A3509" w:rsidRPr="00DF4A47" w:rsidRDefault="008A3509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F4A47">
        <w:rPr>
          <w:rFonts w:ascii="標楷體" w:eastAsia="標楷體" w:hAnsi="標楷體" w:hint="eastAsia"/>
        </w:rPr>
        <w:t>(二)處遇中服務量：按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訪談服務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家外安置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安置期間探視服務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網絡資源連結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聲請保護令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法律服務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以證人身分出庭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陪同服務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驗傷診療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就學輔導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hint="eastAsia"/>
        </w:rPr>
        <w:t>強制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性親職教育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一般性親職教育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自殺防治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藥癮戒治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酒癮戒治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精神疾病治療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心理輔導及治療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提供家庭福利服務方案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就業服務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提供經濟扶助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相關經費補助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少年自立生活方案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結案後追蹤輔導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提出獨立告訴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通譯服務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早期療育</w:t>
      </w:r>
      <w:r w:rsidRPr="00DF4A47">
        <w:rPr>
          <w:rFonts w:ascii="標楷體" w:eastAsia="標楷體" w:hAnsi="標楷體" w:cs="新細明體"/>
          <w:kern w:val="0"/>
          <w:szCs w:val="24"/>
        </w:rPr>
        <w:t>、</w:t>
      </w:r>
      <w:r w:rsidRPr="00DF4A47">
        <w:rPr>
          <w:rFonts w:ascii="標楷體" w:eastAsia="標楷體" w:hAnsi="標楷體" w:cs="新細明體" w:hint="eastAsia"/>
          <w:kern w:val="0"/>
          <w:szCs w:val="24"/>
        </w:rPr>
        <w:t>其他服務分。</w:t>
      </w:r>
      <w:bookmarkStart w:id="6" w:name="_GoBack"/>
      <w:bookmarkEnd w:id="6"/>
    </w:p>
    <w:p w:rsidR="008A3509" w:rsidRPr="00DF4A47" w:rsidRDefault="008A3509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 w:cs="新細明體" w:hint="eastAsia"/>
          <w:kern w:val="0"/>
          <w:szCs w:val="24"/>
        </w:rPr>
        <w:t>(三)</w:t>
      </w:r>
      <w:r w:rsidR="00AD60D9" w:rsidRPr="00DF4A47">
        <w:rPr>
          <w:rFonts w:ascii="標楷體" w:eastAsia="標楷體" w:hAnsi="標楷體" w:cs="新細明體" w:hint="eastAsia"/>
          <w:kern w:val="0"/>
          <w:szCs w:val="24"/>
        </w:rPr>
        <w:t>結(轉)案情形：按本季結(轉)案人數</w:t>
      </w:r>
      <w:r w:rsidR="00AD60D9" w:rsidRPr="00DF4A47">
        <w:rPr>
          <w:rFonts w:ascii="標楷體" w:eastAsia="標楷體" w:hAnsi="標楷體" w:cs="新細明體"/>
          <w:kern w:val="0"/>
          <w:szCs w:val="24"/>
        </w:rPr>
        <w:t>、</w:t>
      </w:r>
      <w:r w:rsidR="00AD60D9" w:rsidRPr="00DF4A47">
        <w:rPr>
          <w:rFonts w:ascii="標楷體" w:eastAsia="標楷體" w:hAnsi="標楷體" w:cs="新細明體" w:hint="eastAsia"/>
          <w:kern w:val="0"/>
          <w:szCs w:val="24"/>
        </w:rPr>
        <w:t>結(轉)案原因分。</w:t>
      </w:r>
    </w:p>
    <w:p w:rsidR="00510037" w:rsidRPr="00DF4A47" w:rsidRDefault="0051003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四、統計項目定義：</w:t>
      </w:r>
    </w:p>
    <w:p w:rsidR="00F0268C" w:rsidRPr="00DF4A47" w:rsidRDefault="00F0268C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/>
        </w:rPr>
        <w:t>(</w:t>
      </w:r>
      <w:r w:rsidRPr="00DF4A47">
        <w:rPr>
          <w:rFonts w:ascii="標楷體" w:eastAsia="標楷體" w:hAnsi="標楷體" w:hint="eastAsia"/>
        </w:rPr>
        <w:t>一</w:t>
      </w:r>
      <w:r w:rsidRPr="00DF4A47">
        <w:rPr>
          <w:rFonts w:ascii="標楷體" w:eastAsia="標楷體" w:hAnsi="標楷體"/>
        </w:rPr>
        <w:t>)</w:t>
      </w:r>
      <w:r w:rsidRPr="00DF4A47">
        <w:rPr>
          <w:rFonts w:ascii="標楷體" w:eastAsia="標楷體" w:hAnsi="標楷體" w:hint="eastAsia"/>
        </w:rPr>
        <w:t>處遇計畫類型：依兒童及少年福利與權益保障法第64條規定列保護個案之個案人數。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1.家庭維繫：統計期間均留置家內，從未予家外安置者。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2.家庭重整：統計期間凡有移出家外安置，且無停止親權或改定監護權，及未改行少年自立生活方案者，期間縱有返家者亦屬之。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3.返家計畫：統計期間兒少將結束或已結束安置，為返回原生家庭進行準備計畫。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4.安置後追蹤輔導：統計期間兒少已結束安置返回原生家庭，主管機關為保障返家兒少安全，續予追蹤輔導至少一年。</w:t>
      </w:r>
    </w:p>
    <w:p w:rsidR="00F0268C" w:rsidRPr="00DF4A47" w:rsidRDefault="00317EBD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5</w:t>
      </w:r>
      <w:r w:rsidR="00F0268C" w:rsidRPr="00DF4A47">
        <w:rPr>
          <w:rFonts w:ascii="標楷體" w:eastAsia="標楷體" w:hAnsi="標楷體" w:hint="eastAsia"/>
        </w:rPr>
        <w:t>.停止親權、改定監護：統計期間已停止親權及改定監護權者。</w:t>
      </w:r>
    </w:p>
    <w:bookmarkEnd w:id="0"/>
    <w:p w:rsidR="00F0268C" w:rsidRPr="00DF4A47" w:rsidRDefault="00317EBD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6</w:t>
      </w:r>
      <w:r w:rsidR="00F0268C" w:rsidRPr="00DF4A47">
        <w:rPr>
          <w:rFonts w:ascii="標楷體" w:eastAsia="標楷體" w:hAnsi="標楷體" w:hint="eastAsia"/>
        </w:rPr>
        <w:t>.少年自立生活方案：統計期間執行少年自立生活方案，無接受家庭維繫及家庭重整者，已停止親權及改定監護權者可重複計算。</w:t>
      </w:r>
    </w:p>
    <w:p w:rsidR="00F0268C" w:rsidRPr="00DF4A47" w:rsidRDefault="00317EBD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bookmarkStart w:id="7" w:name="OLE_LINK7"/>
      <w:bookmarkStart w:id="8" w:name="OLE_LINK5"/>
      <w:bookmarkEnd w:id="1"/>
      <w:bookmarkEnd w:id="2"/>
      <w:r w:rsidRPr="00DF4A47">
        <w:rPr>
          <w:rFonts w:ascii="標楷體" w:eastAsia="標楷體" w:hAnsi="標楷體" w:hint="eastAsia"/>
        </w:rPr>
        <w:lastRenderedPageBreak/>
        <w:t>7</w:t>
      </w:r>
      <w:r w:rsidR="00F0268C" w:rsidRPr="00DF4A47">
        <w:rPr>
          <w:rFonts w:ascii="標楷體" w:eastAsia="標楷體" w:hAnsi="標楷體" w:hint="eastAsia"/>
        </w:rPr>
        <w:t>.長期安置輔導計畫：依兒少法第65條辦理之長期安置輔導計畫。</w:t>
      </w:r>
    </w:p>
    <w:p w:rsidR="00F0268C" w:rsidRPr="00DF4A47" w:rsidRDefault="00317EBD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8</w:t>
      </w:r>
      <w:r w:rsidR="00F0268C" w:rsidRPr="00DF4A47">
        <w:rPr>
          <w:rFonts w:ascii="標楷體" w:eastAsia="標楷體" w:hAnsi="標楷體" w:hint="eastAsia"/>
        </w:rPr>
        <w:t>.收出養服務：兒少已不適合待在原生家庭，故媒合收出養機構將兒少出養。</w:t>
      </w:r>
    </w:p>
    <w:p w:rsidR="00F0268C" w:rsidRPr="00DF4A47" w:rsidRDefault="00F0268C" w:rsidP="00317EBD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(二)處遇中服務量：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1.訪談服務：社工員至案家、寄養家庭、安置機構、案主就讀學校、其他處所等進行訪談及電話訪問之案次。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2.</w:t>
      </w:r>
      <w:r w:rsidRPr="00DF4A47">
        <w:rPr>
          <w:rFonts w:ascii="標楷體" w:eastAsia="標楷體" w:hAnsi="標楷體"/>
        </w:rPr>
        <w:t>安</w:t>
      </w:r>
      <w:r w:rsidRPr="00DF4A47">
        <w:rPr>
          <w:rFonts w:ascii="標楷體" w:eastAsia="標楷體" w:hAnsi="標楷體" w:hint="eastAsia"/>
        </w:rPr>
        <w:t>置期間探視服務</w:t>
      </w:r>
      <w:r w:rsidRPr="00DF4A47">
        <w:rPr>
          <w:rFonts w:ascii="標楷體" w:eastAsia="標楷體" w:hAnsi="標楷體"/>
        </w:rPr>
        <w:t>：</w:t>
      </w:r>
      <w:r w:rsidRPr="00DF4A47">
        <w:rPr>
          <w:rFonts w:ascii="標楷體" w:eastAsia="標楷體" w:hAnsi="標楷體" w:hint="eastAsia"/>
        </w:rPr>
        <w:t>兒少家外安置期間，安排父母、原監護人、親友等約定時間地點探視兒少。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3.陪同服務：社工員實施陪同就醫、偵訊、出庭等服務之案次。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4.強制性</w:t>
      </w:r>
      <w:r w:rsidRPr="00DF4A47">
        <w:rPr>
          <w:rFonts w:ascii="標楷體" w:eastAsia="標楷體" w:hAnsi="標楷體"/>
        </w:rPr>
        <w:t>親職教育、</w:t>
      </w:r>
      <w:r w:rsidRPr="00DF4A47">
        <w:rPr>
          <w:rFonts w:ascii="標楷體" w:eastAsia="標楷體" w:hAnsi="標楷體" w:hint="eastAsia"/>
        </w:rPr>
        <w:t>一般性親職教育</w:t>
      </w:r>
      <w:r w:rsidRPr="00DF4A47">
        <w:rPr>
          <w:rFonts w:ascii="標楷體" w:eastAsia="標楷體" w:hAnsi="標楷體"/>
        </w:rPr>
        <w:t>：對於保護個案之父母、監護權人實施之親職教育輔導，</w:t>
      </w:r>
      <w:r w:rsidRPr="00DF4A47">
        <w:rPr>
          <w:rFonts w:ascii="標楷體" w:eastAsia="標楷體" w:hAnsi="標楷體" w:hint="eastAsia"/>
        </w:rPr>
        <w:t>強制性係依兒少法第102條裁處，一般性</w:t>
      </w:r>
      <w:bookmarkStart w:id="9" w:name="OLE_LINK2"/>
      <w:bookmarkStart w:id="10" w:name="OLE_LINK15"/>
      <w:bookmarkStart w:id="11" w:name="OLE_LINK17"/>
      <w:bookmarkEnd w:id="3"/>
      <w:bookmarkEnd w:id="4"/>
      <w:bookmarkEnd w:id="5"/>
      <w:r w:rsidRPr="00DF4A47">
        <w:rPr>
          <w:rFonts w:ascii="標楷體" w:eastAsia="標楷體" w:hAnsi="標楷體" w:hint="eastAsia"/>
        </w:rPr>
        <w:t>係併同兒少法第64條家庭處遇執行</w:t>
      </w:r>
      <w:r w:rsidRPr="00DF4A47">
        <w:rPr>
          <w:rFonts w:ascii="標楷體" w:eastAsia="標楷體" w:hAnsi="標楷體"/>
        </w:rPr>
        <w:t>。</w:t>
      </w:r>
    </w:p>
    <w:p w:rsidR="00F0268C" w:rsidRPr="00DF4A47" w:rsidRDefault="00F0268C" w:rsidP="00317EBD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(三) 結(轉)案情形：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1.</w:t>
      </w:r>
      <w:r w:rsidRPr="00DF4A47">
        <w:rPr>
          <w:rFonts w:hint="eastAsia"/>
        </w:rPr>
        <w:t xml:space="preserve"> </w:t>
      </w:r>
      <w:r w:rsidRPr="00DF4A47">
        <w:rPr>
          <w:rFonts w:ascii="標楷體" w:eastAsia="標楷體" w:hAnsi="標楷體" w:hint="eastAsia"/>
        </w:rPr>
        <w:t>本季結(轉)案人數：本年度個案於本季結案人數+以前年度個案於本季結案人數。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2.結(轉)案原因：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(1)</w:t>
      </w:r>
      <w:r w:rsidRPr="00DF4A47">
        <w:rPr>
          <w:rFonts w:ascii="標楷體" w:eastAsia="標楷體" w:hAnsi="標楷體"/>
        </w:rPr>
        <w:t>受</w:t>
      </w:r>
      <w:r w:rsidRPr="00DF4A47">
        <w:rPr>
          <w:rFonts w:ascii="標楷體" w:eastAsia="標楷體" w:hAnsi="標楷體" w:hint="eastAsia"/>
        </w:rPr>
        <w:t>虐原因消失：個案自實施家庭處遇計畫後，超過3個月以上未再受虐或遭疏忽，或經社工員評估案家功能正常穩定，可提供兒少健全發展之環境。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(2)</w:t>
      </w:r>
      <w:r w:rsidRPr="00DF4A47">
        <w:rPr>
          <w:rFonts w:ascii="標楷體" w:eastAsia="標楷體" w:hAnsi="標楷體"/>
        </w:rPr>
        <w:t>結</w:t>
      </w:r>
      <w:r w:rsidRPr="00DF4A47">
        <w:rPr>
          <w:rFonts w:ascii="標楷體" w:eastAsia="標楷體" w:hAnsi="標楷體" w:hint="eastAsia"/>
        </w:rPr>
        <w:t>束安置返家：安置中個案之案家因接受家庭重整服務而問題改善，適合兒少重返家中，或安置個案已被列入後續追蹤輔導計畫中。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(3)案家搬遷/案件屬他轄：案家移民國外，或因案家搬離原轄或具須轉轄之情事，移由他轄區續處，原轄區即結案處理。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(4)個案死亡：個案於開案後提供後續處遇期間死亡。</w:t>
      </w:r>
    </w:p>
    <w:p w:rsidR="00F0268C" w:rsidRPr="00DF4A47" w:rsidRDefault="00F0268C" w:rsidP="00317EBD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911A41" w:rsidRDefault="00F0268C" w:rsidP="00911A41">
      <w:pPr>
        <w:snapToGrid w:val="0"/>
        <w:spacing w:line="440" w:lineRule="atLeast"/>
        <w:ind w:leftChars="200" w:left="720" w:hangingChars="100" w:hanging="24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(6)其他：不包含以上五種原因之結案因素。</w:t>
      </w:r>
    </w:p>
    <w:p w:rsidR="00911A41" w:rsidRPr="00AD5D4D" w:rsidRDefault="00911A41" w:rsidP="00CB3C57">
      <w:pPr>
        <w:snapToGrid w:val="0"/>
        <w:spacing w:line="440" w:lineRule="atLeast"/>
        <w:ind w:leftChars="105" w:left="641" w:hangingChars="162" w:hanging="389"/>
        <w:rPr>
          <w:rFonts w:ascii="標楷體" w:eastAsia="標楷體" w:hAnsi="標楷體"/>
          <w:color w:val="FF0000"/>
          <w:u w:val="single"/>
        </w:rPr>
      </w:pPr>
      <w:r w:rsidRPr="00AD5D4D">
        <w:rPr>
          <w:rFonts w:ascii="標楷體" w:eastAsia="標楷體" w:hAnsi="標楷體" w:hint="eastAsia"/>
          <w:color w:val="FF0000"/>
          <w:u w:val="single"/>
        </w:rPr>
        <w:t>(四)家內事件：第1類事件，因兒童及少年之父母、監護人、其他實際照顧兒童及少年之人或其他家庭成員（以下簡稱照顧人），未盡力禁止或故意，致兒童及少年有「兒童及少年保護通報與分級分類處理及調查辦法」第2條第1項各款情形之一者。</w:t>
      </w:r>
    </w:p>
    <w:p w:rsidR="00911A41" w:rsidRPr="00E94AC2" w:rsidRDefault="00911A41" w:rsidP="00CB3C57">
      <w:pPr>
        <w:snapToGrid w:val="0"/>
        <w:spacing w:line="440" w:lineRule="atLeast"/>
        <w:ind w:leftChars="99" w:left="641" w:hangingChars="168" w:hanging="403"/>
        <w:rPr>
          <w:rFonts w:ascii="標楷體" w:eastAsia="標楷體" w:hAnsi="標楷體"/>
          <w:color w:val="FF0000"/>
        </w:rPr>
      </w:pPr>
      <w:r w:rsidRPr="00AD5D4D">
        <w:rPr>
          <w:rFonts w:ascii="標楷體" w:eastAsia="標楷體" w:hAnsi="標楷體" w:hint="eastAsia"/>
          <w:color w:val="FF0000"/>
          <w:u w:val="single"/>
        </w:rPr>
        <w:t>(五)家外事件：第2類事件，因兒童及少年本人或照顧人以外之人故意，致兒童及少年有「兒童及少年保護通報與分級分類處理及調查</w:t>
      </w:r>
      <w:bookmarkStart w:id="12" w:name="OLE_LINK8"/>
      <w:bookmarkEnd w:id="7"/>
      <w:r w:rsidRPr="00AD5D4D">
        <w:rPr>
          <w:rFonts w:ascii="標楷體" w:eastAsia="標楷體" w:hAnsi="標楷體" w:hint="eastAsia"/>
          <w:color w:val="FF0000"/>
          <w:u w:val="single"/>
        </w:rPr>
        <w:lastRenderedPageBreak/>
        <w:t>辦法」第2條第一項各款情形之一者。</w:t>
      </w:r>
    </w:p>
    <w:p w:rsidR="00510037" w:rsidRPr="00DF4A47" w:rsidRDefault="0051003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F4A47">
        <w:rPr>
          <w:rFonts w:ascii="標楷體" w:eastAsia="標楷體" w:hAnsi="標楷體" w:hint="eastAsia"/>
        </w:rPr>
        <w:t>五、資料蒐集方法及編製程序：依據登記之兒童少年保護案件資料統計彙編。</w:t>
      </w:r>
    </w:p>
    <w:p w:rsidR="00727533" w:rsidRPr="00DF4A47" w:rsidRDefault="00510037" w:rsidP="00317EBD">
      <w:pPr>
        <w:snapToGrid w:val="0"/>
        <w:spacing w:line="440" w:lineRule="atLeast"/>
        <w:ind w:left="480" w:hangingChars="200" w:hanging="480"/>
      </w:pPr>
      <w:r w:rsidRPr="00DF4A47">
        <w:rPr>
          <w:rFonts w:ascii="標楷體" w:eastAsia="標楷體" w:hAnsi="標楷體" w:hint="eastAsia"/>
        </w:rPr>
        <w:t>六、編送對象：本表編製2份</w:t>
      </w:r>
      <w:r w:rsidR="004B1F7D" w:rsidRPr="004B1F7D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DF4A47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8"/>
      <w:bookmarkEnd w:id="9"/>
      <w:bookmarkEnd w:id="10"/>
      <w:bookmarkEnd w:id="11"/>
      <w:bookmarkEnd w:id="12"/>
    </w:p>
    <w:sectPr w:rsidR="00727533" w:rsidRPr="00DF4A47" w:rsidSect="008D1612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5B4" w:rsidRDefault="003475B4" w:rsidP="00C2450C">
      <w:r>
        <w:separator/>
      </w:r>
    </w:p>
  </w:endnote>
  <w:endnote w:type="continuationSeparator" w:id="0">
    <w:p w:rsidR="003475B4" w:rsidRDefault="003475B4" w:rsidP="00C2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5B4" w:rsidRDefault="003475B4" w:rsidP="00C2450C">
      <w:r>
        <w:separator/>
      </w:r>
    </w:p>
  </w:footnote>
  <w:footnote w:type="continuationSeparator" w:id="0">
    <w:p w:rsidR="003475B4" w:rsidRDefault="003475B4" w:rsidP="00C2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05AEC"/>
    <w:rsid w:val="0002098E"/>
    <w:rsid w:val="000632E4"/>
    <w:rsid w:val="00102E76"/>
    <w:rsid w:val="00116753"/>
    <w:rsid w:val="001931F3"/>
    <w:rsid w:val="001D19B0"/>
    <w:rsid w:val="0021027E"/>
    <w:rsid w:val="00245BE0"/>
    <w:rsid w:val="00293D1D"/>
    <w:rsid w:val="002A2D67"/>
    <w:rsid w:val="00317EBD"/>
    <w:rsid w:val="003475B4"/>
    <w:rsid w:val="00352A94"/>
    <w:rsid w:val="003868DC"/>
    <w:rsid w:val="003E430A"/>
    <w:rsid w:val="004B1F7D"/>
    <w:rsid w:val="004D209D"/>
    <w:rsid w:val="00510037"/>
    <w:rsid w:val="00517A45"/>
    <w:rsid w:val="00574E6C"/>
    <w:rsid w:val="005F498A"/>
    <w:rsid w:val="005F66F0"/>
    <w:rsid w:val="00621A3B"/>
    <w:rsid w:val="00630117"/>
    <w:rsid w:val="0070511C"/>
    <w:rsid w:val="00727533"/>
    <w:rsid w:val="00852F9A"/>
    <w:rsid w:val="008A3509"/>
    <w:rsid w:val="008B04E6"/>
    <w:rsid w:val="008D1612"/>
    <w:rsid w:val="008F5906"/>
    <w:rsid w:val="00911870"/>
    <w:rsid w:val="00911A41"/>
    <w:rsid w:val="009D7B63"/>
    <w:rsid w:val="009E2D73"/>
    <w:rsid w:val="00AC22C2"/>
    <w:rsid w:val="00AD5D4D"/>
    <w:rsid w:val="00AD60D9"/>
    <w:rsid w:val="00AE379E"/>
    <w:rsid w:val="00C2450C"/>
    <w:rsid w:val="00C47F35"/>
    <w:rsid w:val="00CA6B75"/>
    <w:rsid w:val="00CB3C57"/>
    <w:rsid w:val="00D1740B"/>
    <w:rsid w:val="00D32A75"/>
    <w:rsid w:val="00D36B45"/>
    <w:rsid w:val="00D4619D"/>
    <w:rsid w:val="00D62325"/>
    <w:rsid w:val="00DF4A47"/>
    <w:rsid w:val="00EB564B"/>
    <w:rsid w:val="00F0268C"/>
    <w:rsid w:val="00F505BB"/>
    <w:rsid w:val="00F541E2"/>
    <w:rsid w:val="00F92E68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9F2BD0-1502-48AA-9C35-58B9E531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2450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9C714-AF77-4D58-9FE6-EB5E626F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2019-01-16T01:26:00Z</dcterms:created>
  <dcterms:modified xsi:type="dcterms:W3CDTF">2019-01-16T01:30:00Z</dcterms:modified>
</cp:coreProperties>
</file>