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D30" w:rsidRPr="00655575" w:rsidRDefault="00344D30" w:rsidP="00344D30">
      <w:pPr>
        <w:pageBreakBefore/>
        <w:snapToGrid w:val="0"/>
        <w:spacing w:line="480" w:lineRule="exact"/>
        <w:jc w:val="center"/>
        <w:rPr>
          <w:rFonts w:ascii="標楷體" w:eastAsia="標楷體" w:hAnsi="標楷體"/>
          <w:sz w:val="40"/>
        </w:rPr>
      </w:pPr>
      <w:bookmarkStart w:id="0" w:name="OLE_LINK10"/>
      <w:r w:rsidRPr="00655575">
        <w:rPr>
          <w:rFonts w:ascii="標楷體" w:eastAsia="標楷體" w:hAnsi="標楷體" w:hint="eastAsia"/>
          <w:sz w:val="40"/>
          <w:u w:val="single"/>
        </w:rPr>
        <w:t xml:space="preserve">       </w:t>
      </w:r>
      <w:bookmarkStart w:id="1" w:name="OLE_LINK12"/>
      <w:bookmarkStart w:id="2" w:name="OLE_LINK34"/>
      <w:bookmarkStart w:id="3" w:name="OLE_LINK14"/>
      <w:r w:rsidRPr="00655575">
        <w:rPr>
          <w:rFonts w:ascii="標楷體" w:eastAsia="標楷體" w:hAnsi="標楷體" w:hint="eastAsia"/>
          <w:sz w:val="40"/>
        </w:rPr>
        <w:t>直轄市、縣（市）</w:t>
      </w:r>
      <w:r w:rsidRPr="00063300">
        <w:rPr>
          <w:rFonts w:ascii="標楷體" w:eastAsia="標楷體" w:hAnsi="標楷體" w:hint="eastAsia"/>
          <w:sz w:val="40"/>
        </w:rPr>
        <w:t>性侵害被害人保護扶助金額</w:t>
      </w:r>
      <w:r w:rsidRPr="00655575">
        <w:rPr>
          <w:rFonts w:ascii="標楷體" w:eastAsia="標楷體" w:hAnsi="標楷體" w:hint="eastAsia"/>
          <w:sz w:val="40"/>
        </w:rPr>
        <w:t>編製說明</w:t>
      </w:r>
    </w:p>
    <w:p w:rsidR="00344D30" w:rsidRPr="00655575" w:rsidRDefault="00344D30" w:rsidP="006156E4">
      <w:pPr>
        <w:snapToGrid w:val="0"/>
        <w:spacing w:beforeLines="50" w:before="180" w:line="480" w:lineRule="exact"/>
        <w:ind w:left="480" w:hangingChars="200" w:hanging="480"/>
        <w:rPr>
          <w:rFonts w:ascii="標楷體" w:eastAsia="標楷體" w:hAnsi="標楷體"/>
        </w:rPr>
      </w:pPr>
      <w:r w:rsidRPr="00655575">
        <w:rPr>
          <w:rFonts w:ascii="標楷體" w:eastAsia="標楷體" w:hAnsi="標楷體" w:hint="eastAsia"/>
        </w:rPr>
        <w:t>一、統計範圍及對象：凡</w:t>
      </w:r>
      <w:r w:rsidR="006156E4" w:rsidRPr="00CB7663">
        <w:rPr>
          <w:rFonts w:ascii="標楷體" w:eastAsia="標楷體" w:hAnsi="標楷體" w:hint="eastAsia"/>
        </w:rPr>
        <w:t>本直轄市、縣(市)</w:t>
      </w:r>
      <w:r w:rsidRPr="00655575">
        <w:rPr>
          <w:rFonts w:ascii="標楷體" w:eastAsia="標楷體" w:hAnsi="標楷體" w:hint="eastAsia"/>
        </w:rPr>
        <w:t>依據性侵害犯罪防治法所執行之業務項目（含二線輔導、家庭暴力事件服務處），均為統計範圍及對象。</w:t>
      </w:r>
    </w:p>
    <w:p w:rsidR="00344D30" w:rsidRPr="004328B0" w:rsidRDefault="00344D30" w:rsidP="00344D30">
      <w:pPr>
        <w:snapToGrid w:val="0"/>
        <w:spacing w:line="480" w:lineRule="exact"/>
        <w:ind w:left="480" w:hangingChars="200" w:hanging="480"/>
        <w:rPr>
          <w:rFonts w:ascii="標楷體" w:eastAsia="標楷體" w:hAnsi="標楷體"/>
        </w:rPr>
      </w:pPr>
      <w:r w:rsidRPr="00655575">
        <w:rPr>
          <w:rFonts w:ascii="標楷體" w:eastAsia="標楷體" w:hAnsi="標楷體" w:hint="eastAsia"/>
        </w:rPr>
        <w:t>二、統計標準時間：</w:t>
      </w:r>
      <w:r w:rsidRPr="004328B0">
        <w:rPr>
          <w:rFonts w:ascii="標楷體" w:eastAsia="標楷體" w:hAnsi="標楷體" w:hint="eastAsia"/>
        </w:rPr>
        <w:t>第1季以1至3月、第2季以4至6月、第3季以7至9月、第4季以10至12月之事實為準。</w:t>
      </w:r>
    </w:p>
    <w:bookmarkEnd w:id="1"/>
    <w:bookmarkEnd w:id="2"/>
    <w:p w:rsidR="00344D30" w:rsidRPr="004328B0" w:rsidRDefault="00344D30" w:rsidP="00344D30">
      <w:pPr>
        <w:snapToGrid w:val="0"/>
        <w:spacing w:line="480" w:lineRule="exact"/>
        <w:ind w:left="480" w:hangingChars="200" w:hanging="480"/>
        <w:rPr>
          <w:rFonts w:ascii="標楷體" w:eastAsia="標楷體" w:hAnsi="標楷體"/>
        </w:rPr>
      </w:pPr>
      <w:r w:rsidRPr="004328B0">
        <w:rPr>
          <w:rFonts w:ascii="標楷體" w:eastAsia="標楷體" w:hAnsi="標楷體" w:hint="eastAsia"/>
        </w:rPr>
        <w:t>三、分類標準：橫項依「被害人國籍身分」分；縱項依「被害人保護扶助項目」分。</w:t>
      </w:r>
    </w:p>
    <w:p w:rsidR="00344D30" w:rsidRPr="004328B0" w:rsidRDefault="00344D30" w:rsidP="00344D30">
      <w:pPr>
        <w:snapToGrid w:val="0"/>
        <w:spacing w:line="480" w:lineRule="exact"/>
        <w:ind w:left="480" w:hangingChars="200" w:hanging="480"/>
        <w:rPr>
          <w:rFonts w:ascii="標楷體" w:eastAsia="標楷體" w:hAnsi="標楷體"/>
        </w:rPr>
      </w:pPr>
      <w:r w:rsidRPr="004328B0">
        <w:rPr>
          <w:rFonts w:ascii="標楷體" w:eastAsia="標楷體" w:hAnsi="標楷體" w:hint="eastAsia"/>
        </w:rPr>
        <w:t xml:space="preserve">四、統計項目定義： </w:t>
      </w:r>
    </w:p>
    <w:p w:rsidR="00344D30" w:rsidRPr="004328B0" w:rsidRDefault="00344D30" w:rsidP="00344D30">
      <w:pPr>
        <w:snapToGrid w:val="0"/>
        <w:spacing w:line="480" w:lineRule="exact"/>
        <w:ind w:leftChars="100" w:left="720" w:hangingChars="200" w:hanging="480"/>
        <w:rPr>
          <w:rFonts w:ascii="標楷體" w:eastAsia="標楷體" w:hAnsi="標楷體"/>
        </w:rPr>
      </w:pPr>
      <w:r w:rsidRPr="004328B0">
        <w:rPr>
          <w:rFonts w:ascii="標楷體" w:eastAsia="標楷體" w:hAnsi="標楷體" w:hint="eastAsia"/>
        </w:rPr>
        <w:t>(一)性侵害犯罪：</w:t>
      </w:r>
      <w:r w:rsidRPr="004328B0">
        <w:rPr>
          <w:rFonts w:ascii="標楷體" w:eastAsia="標楷體" w:hAnsi="標楷體"/>
        </w:rPr>
        <w:t>性侵害犯罪防治法所稱性侵害犯罪，係指觸犯刑法第</w:t>
      </w:r>
      <w:r w:rsidRPr="004328B0">
        <w:rPr>
          <w:rFonts w:ascii="標楷體" w:eastAsia="標楷體" w:hAnsi="標楷體" w:hint="eastAsia"/>
        </w:rPr>
        <w:t>221</w:t>
      </w:r>
      <w:r w:rsidRPr="004328B0">
        <w:rPr>
          <w:rFonts w:ascii="標楷體" w:eastAsia="標楷體" w:hAnsi="標楷體"/>
        </w:rPr>
        <w:t>條至第</w:t>
      </w:r>
      <w:r w:rsidRPr="004328B0">
        <w:rPr>
          <w:rFonts w:ascii="標楷體" w:eastAsia="標楷體" w:hAnsi="標楷體" w:hint="eastAsia"/>
        </w:rPr>
        <w:t>227</w:t>
      </w:r>
      <w:r w:rsidRPr="004328B0">
        <w:rPr>
          <w:rFonts w:ascii="標楷體" w:eastAsia="標楷體" w:hAnsi="標楷體"/>
        </w:rPr>
        <w:t>條、第</w:t>
      </w:r>
      <w:r w:rsidRPr="004328B0">
        <w:rPr>
          <w:rFonts w:ascii="標楷體" w:eastAsia="標楷體" w:hAnsi="標楷體" w:hint="eastAsia"/>
        </w:rPr>
        <w:t>228</w:t>
      </w:r>
      <w:r w:rsidRPr="004328B0">
        <w:rPr>
          <w:rFonts w:ascii="標楷體" w:eastAsia="標楷體" w:hAnsi="標楷體"/>
        </w:rPr>
        <w:t>條、第</w:t>
      </w:r>
      <w:r w:rsidRPr="004328B0">
        <w:rPr>
          <w:rFonts w:ascii="標楷體" w:eastAsia="標楷體" w:hAnsi="標楷體" w:hint="eastAsia"/>
        </w:rPr>
        <w:t>229</w:t>
      </w:r>
      <w:r w:rsidRPr="004328B0">
        <w:rPr>
          <w:rFonts w:ascii="標楷體" w:eastAsia="標楷體" w:hAnsi="標楷體"/>
        </w:rPr>
        <w:t>條、第</w:t>
      </w:r>
      <w:r w:rsidRPr="004328B0">
        <w:rPr>
          <w:rFonts w:ascii="標楷體" w:eastAsia="標楷體" w:hAnsi="標楷體" w:hint="eastAsia"/>
        </w:rPr>
        <w:t>332</w:t>
      </w:r>
      <w:r w:rsidRPr="004328B0">
        <w:rPr>
          <w:rFonts w:ascii="標楷體" w:eastAsia="標楷體" w:hAnsi="標楷體"/>
        </w:rPr>
        <w:t>條第</w:t>
      </w:r>
      <w:r w:rsidRPr="004328B0">
        <w:rPr>
          <w:rFonts w:ascii="標楷體" w:eastAsia="標楷體" w:hAnsi="標楷體" w:hint="eastAsia"/>
        </w:rPr>
        <w:t>2</w:t>
      </w:r>
      <w:r w:rsidRPr="004328B0">
        <w:rPr>
          <w:rFonts w:ascii="標楷體" w:eastAsia="標楷體" w:hAnsi="標楷體"/>
        </w:rPr>
        <w:t>項第</w:t>
      </w:r>
      <w:r w:rsidRPr="004328B0">
        <w:rPr>
          <w:rFonts w:ascii="標楷體" w:eastAsia="標楷體" w:hAnsi="標楷體" w:hint="eastAsia"/>
        </w:rPr>
        <w:t>2</w:t>
      </w:r>
      <w:r w:rsidRPr="004328B0">
        <w:rPr>
          <w:rFonts w:ascii="標楷體" w:eastAsia="標楷體" w:hAnsi="標楷體"/>
        </w:rPr>
        <w:t>款、第</w:t>
      </w:r>
      <w:r w:rsidRPr="004328B0">
        <w:rPr>
          <w:rFonts w:ascii="標楷體" w:eastAsia="標楷體" w:hAnsi="標楷體" w:hint="eastAsia"/>
        </w:rPr>
        <w:t>334</w:t>
      </w:r>
      <w:r w:rsidRPr="004328B0">
        <w:rPr>
          <w:rFonts w:ascii="標楷體" w:eastAsia="標楷體" w:hAnsi="標楷體"/>
        </w:rPr>
        <w:t>條第</w:t>
      </w:r>
      <w:r w:rsidRPr="004328B0">
        <w:rPr>
          <w:rFonts w:ascii="標楷體" w:eastAsia="標楷體" w:hAnsi="標楷體" w:hint="eastAsia"/>
        </w:rPr>
        <w:t>2</w:t>
      </w:r>
      <w:r w:rsidRPr="004328B0">
        <w:rPr>
          <w:rFonts w:ascii="標楷體" w:eastAsia="標楷體" w:hAnsi="標楷體"/>
        </w:rPr>
        <w:t>款、第</w:t>
      </w:r>
      <w:r w:rsidRPr="004328B0">
        <w:rPr>
          <w:rFonts w:ascii="標楷體" w:eastAsia="標楷體" w:hAnsi="標楷體" w:hint="eastAsia"/>
        </w:rPr>
        <w:t>348</w:t>
      </w:r>
      <w:r w:rsidRPr="004328B0">
        <w:rPr>
          <w:rFonts w:ascii="標楷體" w:eastAsia="標楷體" w:hAnsi="標楷體"/>
        </w:rPr>
        <w:t>條第</w:t>
      </w:r>
      <w:r w:rsidRPr="004328B0">
        <w:rPr>
          <w:rFonts w:ascii="標楷體" w:eastAsia="標楷體" w:hAnsi="標楷體" w:hint="eastAsia"/>
        </w:rPr>
        <w:t>2</w:t>
      </w:r>
      <w:r w:rsidRPr="004328B0">
        <w:rPr>
          <w:rFonts w:ascii="標楷體" w:eastAsia="標楷體" w:hAnsi="標楷體"/>
        </w:rPr>
        <w:t>項第</w:t>
      </w:r>
      <w:r w:rsidRPr="004328B0">
        <w:rPr>
          <w:rFonts w:ascii="標楷體" w:eastAsia="標楷體" w:hAnsi="標楷體" w:hint="eastAsia"/>
        </w:rPr>
        <w:t>1</w:t>
      </w:r>
      <w:r w:rsidRPr="004328B0">
        <w:rPr>
          <w:rFonts w:ascii="標楷體" w:eastAsia="標楷體" w:hAnsi="標楷體"/>
        </w:rPr>
        <w:t>款及其特別法之罪</w:t>
      </w:r>
      <w:r w:rsidRPr="004328B0">
        <w:rPr>
          <w:rFonts w:ascii="標楷體" w:eastAsia="標楷體" w:hAnsi="標楷體" w:hint="eastAsia"/>
        </w:rPr>
        <w:t>；</w:t>
      </w:r>
      <w:r w:rsidRPr="004328B0">
        <w:rPr>
          <w:rFonts w:ascii="標楷體" w:eastAsia="標楷體" w:hAnsi="標楷體"/>
        </w:rPr>
        <w:t>所稱加害人，係指觸犯前項各罪經判決有罪確定之人</w:t>
      </w:r>
      <w:r w:rsidRPr="004328B0">
        <w:rPr>
          <w:rFonts w:ascii="標楷體" w:eastAsia="標楷體" w:hAnsi="標楷體" w:hint="eastAsia"/>
        </w:rPr>
        <w:t>。</w:t>
      </w:r>
    </w:p>
    <w:p w:rsidR="00344D30" w:rsidRPr="004328B0" w:rsidRDefault="00344D30" w:rsidP="00344D30">
      <w:pPr>
        <w:snapToGrid w:val="0"/>
        <w:spacing w:line="480" w:lineRule="exact"/>
        <w:ind w:leftChars="100" w:left="720" w:hangingChars="200" w:hanging="480"/>
        <w:rPr>
          <w:rFonts w:ascii="標楷體" w:eastAsia="標楷體" w:hAnsi="標楷體"/>
        </w:rPr>
      </w:pPr>
      <w:r w:rsidRPr="004328B0">
        <w:rPr>
          <w:rFonts w:ascii="標楷體" w:eastAsia="標楷體" w:hAnsi="標楷體" w:hint="eastAsia"/>
        </w:rPr>
        <w:t>(二)被害人保護扶助金額：指直轄市、縣（市）政府自行或結合民間資源提供性侵害被</w:t>
      </w:r>
      <w:bookmarkStart w:id="4" w:name="_GoBack"/>
      <w:bookmarkEnd w:id="4"/>
      <w:r w:rsidRPr="004328B0">
        <w:rPr>
          <w:rFonts w:ascii="標楷體" w:eastAsia="標楷體" w:hAnsi="標楷體" w:hint="eastAsia"/>
        </w:rPr>
        <w:t>害人之經濟協助金額。</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1.緊急生活扶助：依特殊境遇婦女家庭扶助條例或相關法令規定提供被害人之緊急生活扶助費用。</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2.生活扶助：依社會救助法相關法令規定，補助被害人維持基本生活之費用。</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3.急難救助：依社會救助法相關法令規定，補助被害人遭逢緊急事故（如疾病、天災、家庭變故等）所需之費用。</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4.租金補助：補助被害人生活所需各式租金（如：房屋租金）。</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5.醫療補助：補助被害人（含子女）有關驗傷、採證及診療等之醫療費用。</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6.庇護安置補助：補助被害人（含子女）庇護安置費用。</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7.心理復健補助：補助被害人（含子女）有關個別心理諮商及輔導等之費用。</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8.律師費用補助：補助被害人有關法律諮詢及聘請律師等之費用。</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9.訴訟費用補助：補助被害人有關民事保護令聲請及各式訴訟等之費用。</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10.民間慈善團體資助：運用及轉介民間資源提供被害人經費捐助。</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bookmarkStart w:id="5" w:name="OLE_LINK11"/>
      <w:bookmarkEnd w:id="0"/>
      <w:r w:rsidRPr="004328B0">
        <w:rPr>
          <w:rFonts w:ascii="標楷體" w:eastAsia="標楷體" w:hAnsi="標楷體" w:hint="eastAsia"/>
          <w:snapToGrid w:val="0"/>
          <w:kern w:val="0"/>
          <w:szCs w:val="24"/>
        </w:rPr>
        <w:lastRenderedPageBreak/>
        <w:t>11.其他補助：前揭各項以外之被害人經濟協助。</w:t>
      </w:r>
    </w:p>
    <w:p w:rsidR="00344D30" w:rsidRPr="004328B0" w:rsidRDefault="00344D30" w:rsidP="00344D30">
      <w:pPr>
        <w:snapToGrid w:val="0"/>
        <w:spacing w:line="480" w:lineRule="exact"/>
        <w:ind w:leftChars="118" w:left="283"/>
        <w:rPr>
          <w:rFonts w:ascii="標楷體" w:eastAsia="標楷體" w:hAnsi="標楷體"/>
          <w:snapToGrid w:val="0"/>
          <w:kern w:val="0"/>
          <w:szCs w:val="24"/>
        </w:rPr>
      </w:pPr>
      <w:r w:rsidRPr="004328B0">
        <w:rPr>
          <w:rFonts w:ascii="標楷體" w:eastAsia="標楷體" w:hAnsi="標楷體" w:hint="eastAsia"/>
          <w:snapToGrid w:val="0"/>
          <w:kern w:val="0"/>
          <w:szCs w:val="24"/>
        </w:rPr>
        <w:t>(三)本國籍、外國籍：係依目前有無取得我國國籍區分。</w:t>
      </w:r>
    </w:p>
    <w:p w:rsidR="00344D30" w:rsidRPr="004328B0" w:rsidRDefault="00344D30" w:rsidP="00344D30">
      <w:pPr>
        <w:snapToGrid w:val="0"/>
        <w:spacing w:line="480" w:lineRule="exact"/>
        <w:ind w:left="480" w:hangingChars="200" w:hanging="480"/>
        <w:rPr>
          <w:rFonts w:ascii="標楷體" w:eastAsia="標楷體" w:hAnsi="標楷體"/>
        </w:rPr>
      </w:pPr>
      <w:r w:rsidRPr="004328B0">
        <w:rPr>
          <w:rFonts w:ascii="標楷體" w:eastAsia="標楷體" w:hAnsi="標楷體" w:hint="eastAsia"/>
        </w:rPr>
        <w:t>五、資料蒐集方法及編製程序：依據直轄市、縣（市）政府家庭暴力及性侵害防治中心（含二線輔導、家庭暴力事件服務處）辦理之各項性侵害服務業務資料彙編。</w:t>
      </w:r>
    </w:p>
    <w:p w:rsidR="00344D30" w:rsidRPr="004328B0" w:rsidRDefault="00344D30" w:rsidP="00344D30">
      <w:pPr>
        <w:snapToGrid w:val="0"/>
        <w:spacing w:line="480" w:lineRule="exact"/>
        <w:ind w:left="490" w:hangingChars="204" w:hanging="490"/>
        <w:rPr>
          <w:rFonts w:ascii="標楷體" w:eastAsia="標楷體" w:hAnsi="標楷體"/>
          <w:snapToGrid w:val="0"/>
          <w:kern w:val="0"/>
          <w:szCs w:val="24"/>
        </w:rPr>
      </w:pPr>
      <w:r w:rsidRPr="004328B0">
        <w:rPr>
          <w:rFonts w:ascii="標楷體" w:eastAsia="標楷體" w:hAnsi="標楷體" w:hint="eastAsia"/>
        </w:rPr>
        <w:t>六、編送對象：本表編製2份，於完成會核程序並經機關首長核章後，1份送主計處（室），1份自存外，應由網際網路線上傳送至衛生福利部統計處資料庫。</w:t>
      </w:r>
    </w:p>
    <w:bookmarkEnd w:id="3"/>
    <w:bookmarkEnd w:id="5"/>
    <w:p w:rsidR="00344D30" w:rsidRPr="004328B0" w:rsidRDefault="00344D30" w:rsidP="00344D30">
      <w:pPr>
        <w:snapToGrid w:val="0"/>
        <w:spacing w:line="480" w:lineRule="exact"/>
        <w:ind w:leftChars="118" w:left="283"/>
        <w:rPr>
          <w:rFonts w:ascii="標楷體" w:eastAsia="標楷體" w:hAnsi="標楷體"/>
          <w:snapToGrid w:val="0"/>
          <w:kern w:val="0"/>
          <w:szCs w:val="24"/>
        </w:rPr>
      </w:pPr>
    </w:p>
    <w:sectPr w:rsidR="00344D30" w:rsidRPr="004328B0" w:rsidSect="00344D30">
      <w:pgSz w:w="16840"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C3E" w:rsidRDefault="00F46C3E" w:rsidP="00F43731">
      <w:r>
        <w:separator/>
      </w:r>
    </w:p>
  </w:endnote>
  <w:endnote w:type="continuationSeparator" w:id="0">
    <w:p w:rsidR="00F46C3E" w:rsidRDefault="00F46C3E"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C3E" w:rsidRDefault="00F46C3E" w:rsidP="00F43731">
      <w:r>
        <w:separator/>
      </w:r>
    </w:p>
  </w:footnote>
  <w:footnote w:type="continuationSeparator" w:id="0">
    <w:p w:rsidR="00F46C3E" w:rsidRDefault="00F46C3E"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96F55"/>
    <w:rsid w:val="000E60F4"/>
    <w:rsid w:val="000F1B02"/>
    <w:rsid w:val="00114369"/>
    <w:rsid w:val="00125C45"/>
    <w:rsid w:val="00155286"/>
    <w:rsid w:val="001752BE"/>
    <w:rsid w:val="00197B9D"/>
    <w:rsid w:val="001A56BC"/>
    <w:rsid w:val="001C6CF9"/>
    <w:rsid w:val="001D25F5"/>
    <w:rsid w:val="001F44E6"/>
    <w:rsid w:val="002360DD"/>
    <w:rsid w:val="00241D27"/>
    <w:rsid w:val="00273018"/>
    <w:rsid w:val="002D3720"/>
    <w:rsid w:val="00344D30"/>
    <w:rsid w:val="003B593E"/>
    <w:rsid w:val="004328B0"/>
    <w:rsid w:val="004E1E0A"/>
    <w:rsid w:val="005B248A"/>
    <w:rsid w:val="005D2389"/>
    <w:rsid w:val="006156E4"/>
    <w:rsid w:val="00616420"/>
    <w:rsid w:val="0062668F"/>
    <w:rsid w:val="006816E9"/>
    <w:rsid w:val="006C7256"/>
    <w:rsid w:val="007149CD"/>
    <w:rsid w:val="00757E02"/>
    <w:rsid w:val="00764865"/>
    <w:rsid w:val="007C1A5D"/>
    <w:rsid w:val="007F12DC"/>
    <w:rsid w:val="0085173F"/>
    <w:rsid w:val="008517C5"/>
    <w:rsid w:val="0085324D"/>
    <w:rsid w:val="00856F55"/>
    <w:rsid w:val="00862F83"/>
    <w:rsid w:val="008763E7"/>
    <w:rsid w:val="00881DA8"/>
    <w:rsid w:val="008C2B02"/>
    <w:rsid w:val="0090513A"/>
    <w:rsid w:val="00915C50"/>
    <w:rsid w:val="009F6757"/>
    <w:rsid w:val="00AA48C3"/>
    <w:rsid w:val="00AA4AD7"/>
    <w:rsid w:val="00AB7277"/>
    <w:rsid w:val="00B12D5A"/>
    <w:rsid w:val="00B12D6B"/>
    <w:rsid w:val="00B657E4"/>
    <w:rsid w:val="00C148BC"/>
    <w:rsid w:val="00C41214"/>
    <w:rsid w:val="00C77DF4"/>
    <w:rsid w:val="00CB7663"/>
    <w:rsid w:val="00D849ED"/>
    <w:rsid w:val="00DE45EE"/>
    <w:rsid w:val="00E13DF5"/>
    <w:rsid w:val="00EA0B1C"/>
    <w:rsid w:val="00EB5627"/>
    <w:rsid w:val="00EF28F3"/>
    <w:rsid w:val="00F15A43"/>
    <w:rsid w:val="00F43731"/>
    <w:rsid w:val="00F46C3E"/>
    <w:rsid w:val="00F6531C"/>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DC0F867-D642-4EA3-894B-D77EDDC1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138</Words>
  <Characters>787</Characters>
  <Application>Microsoft Office Word</Application>
  <DocSecurity>0</DocSecurity>
  <Lines>6</Lines>
  <Paragraphs>1</Paragraphs>
  <ScaleCrop>false</ScaleCrop>
  <Company/>
  <LinksUpToDate>false</LinksUpToDate>
  <CharactersWithSpaces>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4</cp:revision>
  <dcterms:created xsi:type="dcterms:W3CDTF">2018-01-17T06:20:00Z</dcterms:created>
  <dcterms:modified xsi:type="dcterms:W3CDTF">2018-07-18T07:10:00Z</dcterms:modified>
</cp:coreProperties>
</file>