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0EB" w:rsidRPr="00C503DB" w:rsidRDefault="00B360EB" w:rsidP="00B360EB">
      <w:pPr>
        <w:pageBreakBefore/>
        <w:snapToGrid w:val="0"/>
        <w:spacing w:line="360" w:lineRule="auto"/>
        <w:jc w:val="center"/>
        <w:rPr>
          <w:rFonts w:ascii="標楷體" w:eastAsia="標楷體" w:hAnsi="標楷體"/>
          <w:sz w:val="40"/>
        </w:rPr>
      </w:pPr>
      <w:bookmarkStart w:id="0" w:name="OLE_LINK1"/>
      <w:bookmarkStart w:id="1" w:name="OLE_LINK2"/>
      <w:bookmarkStart w:id="2" w:name="OLE_LINK6"/>
      <w:r w:rsidRPr="002E1AEF">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C503DB">
        <w:rPr>
          <w:rFonts w:ascii="標楷體" w:eastAsia="標楷體" w:hAnsi="標楷體" w:hint="eastAsia"/>
          <w:sz w:val="40"/>
        </w:rPr>
        <w:t>性騷擾事件裁罰統計編製說明</w:t>
      </w:r>
    </w:p>
    <w:bookmarkEnd w:id="0"/>
    <w:bookmarkEnd w:id="1"/>
    <w:bookmarkEnd w:id="2"/>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一、統計範圍及對象：凡依據性騷擾防治法所執行之業務項目，均為統計範圍及對象。</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二、統計標準時間：</w:t>
      </w:r>
      <w:r w:rsidR="00D47C61" w:rsidRPr="004A7636">
        <w:rPr>
          <w:rFonts w:ascii="標楷體" w:eastAsia="標楷體" w:hAnsi="標楷體" w:hint="eastAsia"/>
          <w:color w:val="FF0000"/>
          <w:u w:val="single"/>
        </w:rPr>
        <w:t>上半年以1至6月、下半年以7至12月之事實為準。</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三、分類標準：橫項依「裁罰件數」及「裁罰金額」分；縱項依「加害人部分」、「機關、部隊、學校、機構、僱用人部分」及「媒體不當報導部分」分。</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四、統計</w:t>
      </w:r>
      <w:r w:rsidR="00662BC1" w:rsidRPr="00C503DB">
        <w:rPr>
          <w:rFonts w:ascii="標楷體" w:eastAsia="標楷體" w:hAnsi="標楷體" w:hint="eastAsia"/>
        </w:rPr>
        <w:t>項</w:t>
      </w:r>
      <w:r w:rsidRPr="00C503DB">
        <w:rPr>
          <w:rFonts w:ascii="標楷體" w:eastAsia="標楷體" w:hAnsi="標楷體" w:hint="eastAsia"/>
        </w:rPr>
        <w:t>目定義：</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一)性騷擾：係指性侵害犯罪以外，對他人實施違反其意願而與性或性別有關之行為，且有下列情形之一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怖、感受敵意或冒犯之情境，或不當影響其工作、教育、訓練、服務、計畫、活動或正常生活之進行。</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(二)性騷擾事件裁罰統計：</w:t>
      </w:r>
    </w:p>
    <w:p w:rsidR="00B360EB" w:rsidRPr="00C503DB" w:rsidRDefault="00B360EB" w:rsidP="00B360EB">
      <w:pPr>
        <w:spacing w:line="360" w:lineRule="auto"/>
        <w:ind w:leftChars="118" w:left="422" w:hangingChars="58" w:hanging="139"/>
        <w:rPr>
          <w:rFonts w:ascii="標楷體" w:eastAsia="標楷體" w:hAnsi="標楷體"/>
        </w:rPr>
      </w:pPr>
      <w:r w:rsidRPr="00C503DB">
        <w:rPr>
          <w:rFonts w:ascii="標楷體" w:eastAsia="標楷體" w:hAnsi="標楷體" w:hint="eastAsia"/>
        </w:rPr>
        <w:t>1.加害人：加害人違反之法條，除原列性騷擾防治法第20條外，增列第21條加重處罰規定。</w:t>
      </w:r>
    </w:p>
    <w:p w:rsidR="00B360EB" w:rsidRPr="00C503DB" w:rsidRDefault="00B360EB" w:rsidP="00B360EB">
      <w:pPr>
        <w:spacing w:line="360" w:lineRule="auto"/>
        <w:ind w:leftChars="118" w:left="422" w:hangingChars="58" w:hanging="139"/>
        <w:rPr>
          <w:rFonts w:ascii="標楷體" w:eastAsia="標楷體" w:hAnsi="標楷體"/>
        </w:rPr>
      </w:pPr>
      <w:r w:rsidRPr="00C503DB">
        <w:rPr>
          <w:rFonts w:ascii="標楷體" w:eastAsia="標楷體" w:hAnsi="標楷體" w:hint="eastAsia"/>
        </w:rPr>
        <w:t>2.媒體不當報導：考量性騷擾防治法第12條已規定媒體不得報導或記載被害人姓名或其他足資識別被害人身分資訊，新增「媒體不當報導」，以瞭解裁罰情形。</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五、資料蒐集方法及編製程序：依據直轄市、縣（市）政府社會處(局)或家庭暴力及性侵害防治中心辦理之各項性騷擾防治服務業務資料彙編。</w:t>
      </w:r>
      <w:bookmarkStart w:id="3" w:name="_GoBack"/>
      <w:bookmarkEnd w:id="3"/>
    </w:p>
    <w:p w:rsidR="00727533" w:rsidRPr="00C503DB" w:rsidRDefault="00B360EB" w:rsidP="00B13304">
      <w:pPr>
        <w:spacing w:line="360" w:lineRule="auto"/>
        <w:ind w:left="425" w:hangingChars="177" w:hanging="425"/>
      </w:pPr>
      <w:r w:rsidRPr="00C503DB">
        <w:rPr>
          <w:rFonts w:ascii="標楷體" w:eastAsia="標楷體" w:hAnsi="標楷體" w:hint="eastAsia"/>
        </w:rPr>
        <w:t>六、編送對象：本表編製2份</w:t>
      </w:r>
      <w:r w:rsidRPr="00D47C61">
        <w:rPr>
          <w:rFonts w:ascii="標楷體" w:eastAsia="標楷體" w:hAnsi="標楷體" w:hint="eastAsia"/>
          <w:color w:val="FF0000"/>
          <w:u w:val="single"/>
        </w:rPr>
        <w:t>，1份送主計處</w:t>
      </w:r>
      <w:r w:rsidRPr="00C503DB">
        <w:rPr>
          <w:rFonts w:ascii="標楷體" w:eastAsia="標楷體" w:hAnsi="標楷體" w:hint="eastAsia"/>
        </w:rPr>
        <w:t>，1份自存外，應由網際網路線上傳送至衛生福利部統計處資料庫。</w:t>
      </w:r>
    </w:p>
    <w:sectPr w:rsidR="00727533" w:rsidRPr="00C503DB" w:rsidSect="00F33834">
      <w:pgSz w:w="16888"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F7B" w:rsidRDefault="00DC1F7B" w:rsidP="00662BC1">
      <w:r>
        <w:separator/>
      </w:r>
    </w:p>
  </w:endnote>
  <w:endnote w:type="continuationSeparator" w:id="0">
    <w:p w:rsidR="00DC1F7B" w:rsidRDefault="00DC1F7B" w:rsidP="0066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F7B" w:rsidRDefault="00DC1F7B" w:rsidP="00662BC1">
      <w:r>
        <w:separator/>
      </w:r>
    </w:p>
  </w:footnote>
  <w:footnote w:type="continuationSeparator" w:id="0">
    <w:p w:rsidR="00DC1F7B" w:rsidRDefault="00DC1F7B" w:rsidP="00662B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870"/>
    <w:rsid w:val="001A6B88"/>
    <w:rsid w:val="003E430A"/>
    <w:rsid w:val="004F4D37"/>
    <w:rsid w:val="00510037"/>
    <w:rsid w:val="005F66F0"/>
    <w:rsid w:val="00630117"/>
    <w:rsid w:val="00662BC1"/>
    <w:rsid w:val="00727533"/>
    <w:rsid w:val="00852F9A"/>
    <w:rsid w:val="008F5906"/>
    <w:rsid w:val="00911870"/>
    <w:rsid w:val="009E2D73"/>
    <w:rsid w:val="00AE55FE"/>
    <w:rsid w:val="00B13304"/>
    <w:rsid w:val="00B360EB"/>
    <w:rsid w:val="00C24F84"/>
    <w:rsid w:val="00C503DB"/>
    <w:rsid w:val="00D47C61"/>
    <w:rsid w:val="00D60034"/>
    <w:rsid w:val="00DC1F7B"/>
    <w:rsid w:val="00F505BB"/>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9D8E2D-0EB6-4616-8546-93944519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2BC1"/>
    <w:pPr>
      <w:tabs>
        <w:tab w:val="center" w:pos="4153"/>
        <w:tab w:val="right" w:pos="8306"/>
      </w:tabs>
      <w:snapToGrid w:val="0"/>
    </w:pPr>
    <w:rPr>
      <w:sz w:val="20"/>
    </w:rPr>
  </w:style>
  <w:style w:type="character" w:customStyle="1" w:styleId="a4">
    <w:name w:val="頁首 字元"/>
    <w:basedOn w:val="a0"/>
    <w:link w:val="a3"/>
    <w:uiPriority w:val="99"/>
    <w:rsid w:val="00662BC1"/>
    <w:rPr>
      <w:rFonts w:ascii="Times New Roman" w:eastAsia="新細明體" w:hAnsi="Times New Roman" w:cs="Times New Roman"/>
      <w:sz w:val="20"/>
      <w:szCs w:val="20"/>
    </w:rPr>
  </w:style>
  <w:style w:type="paragraph" w:styleId="a5">
    <w:name w:val="footer"/>
    <w:basedOn w:val="a"/>
    <w:link w:val="a6"/>
    <w:uiPriority w:val="99"/>
    <w:unhideWhenUsed/>
    <w:rsid w:val="00662BC1"/>
    <w:pPr>
      <w:tabs>
        <w:tab w:val="center" w:pos="4153"/>
        <w:tab w:val="right" w:pos="8306"/>
      </w:tabs>
      <w:snapToGrid w:val="0"/>
    </w:pPr>
    <w:rPr>
      <w:sz w:val="20"/>
    </w:rPr>
  </w:style>
  <w:style w:type="character" w:customStyle="1" w:styleId="a6">
    <w:name w:val="頁尾 字元"/>
    <w:basedOn w:val="a0"/>
    <w:link w:val="a5"/>
    <w:uiPriority w:val="99"/>
    <w:rsid w:val="00662BC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543</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2015-12-19T14:54:00Z</dcterms:created>
  <dcterms:modified xsi:type="dcterms:W3CDTF">2019-11-14T03:47:00Z</dcterms:modified>
</cp:coreProperties>
</file>