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B2" w:rsidRPr="00D71750" w:rsidRDefault="00A330B2" w:rsidP="00A330B2">
      <w:pPr>
        <w:spacing w:line="480" w:lineRule="exact"/>
        <w:jc w:val="center"/>
        <w:rPr>
          <w:rFonts w:eastAsia="標楷體"/>
          <w:b/>
          <w:bCs/>
          <w:sz w:val="36"/>
          <w:szCs w:val="36"/>
          <w:lang w:eastAsia="zh-TW"/>
        </w:rPr>
      </w:pPr>
      <w:bookmarkStart w:id="0" w:name="_GoBack"/>
      <w:r w:rsidRPr="00D71750">
        <w:rPr>
          <w:rFonts w:eastAsia="標楷體" w:hint="eastAsia"/>
          <w:b/>
          <w:bCs/>
          <w:sz w:val="36"/>
          <w:szCs w:val="36"/>
          <w:lang w:eastAsia="zh-TW"/>
        </w:rPr>
        <w:t>衛生福利部</w:t>
      </w:r>
    </w:p>
    <w:p w:rsidR="00A330B2" w:rsidRPr="00D71750" w:rsidRDefault="00A330B2" w:rsidP="00A330B2">
      <w:pPr>
        <w:spacing w:line="480" w:lineRule="exact"/>
        <w:jc w:val="center"/>
        <w:rPr>
          <w:rFonts w:eastAsia="標楷體" w:hint="eastAsia"/>
          <w:b/>
          <w:bCs/>
          <w:sz w:val="36"/>
          <w:szCs w:val="36"/>
          <w:lang w:eastAsia="zh-TW"/>
        </w:rPr>
      </w:pPr>
      <w:r w:rsidRPr="00D71750">
        <w:rPr>
          <w:rFonts w:eastAsia="標楷體" w:hint="eastAsia"/>
          <w:b/>
          <w:bCs/>
          <w:sz w:val="36"/>
          <w:szCs w:val="36"/>
          <w:lang w:eastAsia="zh-TW"/>
        </w:rPr>
        <w:t>1</w:t>
      </w:r>
      <w:r w:rsidRPr="00D71750">
        <w:rPr>
          <w:rFonts w:eastAsia="標楷體"/>
          <w:b/>
          <w:bCs/>
          <w:sz w:val="36"/>
          <w:szCs w:val="36"/>
          <w:lang w:eastAsia="zh-TW"/>
        </w:rPr>
        <w:t>10</w:t>
      </w:r>
      <w:r w:rsidRPr="00D71750">
        <w:rPr>
          <w:rFonts w:eastAsia="標楷體" w:hint="eastAsia"/>
          <w:b/>
          <w:bCs/>
          <w:sz w:val="36"/>
          <w:szCs w:val="36"/>
          <w:lang w:eastAsia="zh-TW"/>
        </w:rPr>
        <w:t>年度「新南向傳統醫藥管理法規交流計畫」採購案</w:t>
      </w:r>
    </w:p>
    <w:p w:rsidR="00A330B2" w:rsidRPr="00D71750" w:rsidRDefault="00A330B2" w:rsidP="00A330B2">
      <w:pPr>
        <w:spacing w:line="480" w:lineRule="exact"/>
        <w:jc w:val="center"/>
        <w:rPr>
          <w:rFonts w:eastAsia="標楷體" w:hint="eastAsia"/>
          <w:b/>
          <w:bCs/>
          <w:sz w:val="36"/>
          <w:szCs w:val="36"/>
        </w:rPr>
      </w:pPr>
      <w:r w:rsidRPr="00D71750">
        <w:rPr>
          <w:rFonts w:eastAsia="標楷體" w:hint="eastAsia"/>
          <w:b/>
          <w:bCs/>
          <w:sz w:val="36"/>
          <w:szCs w:val="36"/>
        </w:rPr>
        <w:t>需求說明書</w:t>
      </w:r>
    </w:p>
    <w:p w:rsidR="00A330B2" w:rsidRPr="00D71750" w:rsidRDefault="00A330B2" w:rsidP="00A330B2">
      <w:pPr>
        <w:pStyle w:val="2"/>
        <w:spacing w:line="480" w:lineRule="exact"/>
        <w:ind w:left="0"/>
        <w:jc w:val="right"/>
        <w:rPr>
          <w:rFonts w:ascii="新細明體" w:eastAsia="新細明體" w:hAnsi="新細明體" w:hint="eastAsia"/>
          <w:b/>
          <w:bCs/>
          <w:sz w:val="24"/>
        </w:rPr>
      </w:pPr>
      <w:r w:rsidRPr="00D71750">
        <w:rPr>
          <w:rFonts w:ascii="新細明體" w:eastAsia="新細明體" w:hAnsi="新細明體" w:hint="eastAsia"/>
          <w:b/>
          <w:bCs/>
          <w:sz w:val="24"/>
        </w:rPr>
        <w:t>109. 1</w:t>
      </w:r>
      <w:r w:rsidRPr="00D71750">
        <w:rPr>
          <w:rFonts w:ascii="新細明體" w:eastAsia="新細明體" w:hAnsi="新細明體"/>
          <w:b/>
          <w:bCs/>
          <w:sz w:val="24"/>
        </w:rPr>
        <w:t>1</w:t>
      </w:r>
      <w:r w:rsidRPr="00D71750">
        <w:rPr>
          <w:rFonts w:ascii="新細明體" w:eastAsia="新細明體" w:hAnsi="新細明體" w:hint="eastAsia"/>
          <w:b/>
          <w:bCs/>
          <w:sz w:val="24"/>
        </w:rPr>
        <w:t>.</w:t>
      </w:r>
      <w:r w:rsidRPr="00D71750">
        <w:rPr>
          <w:rFonts w:ascii="新細明體" w:eastAsia="新細明體" w:hAnsi="新細明體"/>
          <w:b/>
          <w:bCs/>
          <w:sz w:val="24"/>
        </w:rPr>
        <w:t>2</w:t>
      </w:r>
      <w:r w:rsidRPr="00D71750">
        <w:rPr>
          <w:rFonts w:ascii="新細明體" w:eastAsia="新細明體" w:hAnsi="新細明體" w:hint="eastAsia"/>
          <w:b/>
          <w:bCs/>
          <w:sz w:val="24"/>
        </w:rPr>
        <w:t>版</w:t>
      </w:r>
    </w:p>
    <w:p w:rsidR="00A330B2" w:rsidRPr="00D71750" w:rsidRDefault="00A330B2" w:rsidP="00057CD7">
      <w:pPr>
        <w:pStyle w:val="a5"/>
        <w:numPr>
          <w:ilvl w:val="0"/>
          <w:numId w:val="1"/>
        </w:numPr>
        <w:tabs>
          <w:tab w:val="clear" w:pos="720"/>
          <w:tab w:val="num" w:pos="567"/>
        </w:tabs>
        <w:snapToGrid w:val="0"/>
        <w:spacing w:line="480" w:lineRule="exact"/>
        <w:ind w:left="567" w:hanging="623"/>
        <w:jc w:val="both"/>
        <w:rPr>
          <w:rFonts w:hint="eastAsia"/>
          <w:b/>
          <w:bCs/>
          <w:sz w:val="36"/>
        </w:rPr>
      </w:pPr>
      <w:r w:rsidRPr="00D71750">
        <w:rPr>
          <w:rFonts w:hint="eastAsia"/>
          <w:b/>
          <w:bCs/>
          <w:sz w:val="36"/>
        </w:rPr>
        <w:t>背景說明（</w:t>
      </w:r>
      <w:r w:rsidRPr="00057CD7">
        <w:rPr>
          <w:rFonts w:ascii="標楷體" w:hAnsi="標楷體" w:hint="eastAsia"/>
          <w:b/>
          <w:bCs/>
          <w:sz w:val="36"/>
        </w:rPr>
        <w:t>計畫</w:t>
      </w:r>
      <w:r w:rsidRPr="00D71750">
        <w:rPr>
          <w:rFonts w:hint="eastAsia"/>
          <w:b/>
          <w:bCs/>
          <w:sz w:val="36"/>
        </w:rPr>
        <w:t>緣起）：</w:t>
      </w:r>
      <w:r w:rsidRPr="00D71750">
        <w:rPr>
          <w:rFonts w:hint="eastAsia"/>
          <w:b/>
          <w:bCs/>
          <w:sz w:val="36"/>
        </w:rPr>
        <w:t xml:space="preserve"> </w:t>
      </w:r>
    </w:p>
    <w:p w:rsidR="00A330B2" w:rsidRPr="00D71750" w:rsidRDefault="00A330B2" w:rsidP="00A330B2">
      <w:pPr>
        <w:tabs>
          <w:tab w:val="left" w:pos="1276"/>
          <w:tab w:val="num" w:pos="1701"/>
          <w:tab w:val="num" w:pos="2280"/>
        </w:tabs>
        <w:snapToGrid w:val="0"/>
        <w:spacing w:line="480" w:lineRule="exact"/>
        <w:ind w:left="720" w:firstLineChars="189" w:firstLine="529"/>
        <w:jc w:val="both"/>
        <w:rPr>
          <w:rFonts w:eastAsia="標楷體"/>
          <w:sz w:val="28"/>
          <w:szCs w:val="28"/>
          <w:lang w:eastAsia="zh-TW"/>
        </w:rPr>
      </w:pPr>
      <w:r w:rsidRPr="00D71750">
        <w:rPr>
          <w:rFonts w:eastAsia="標楷體" w:hint="eastAsia"/>
          <w:sz w:val="28"/>
          <w:szCs w:val="28"/>
          <w:lang w:eastAsia="zh-TW"/>
        </w:rPr>
        <w:t>配合「新南向政策」政策綱領及行政院「新南向政策推動計畫」，</w:t>
      </w:r>
      <w:r w:rsidRPr="00D71750">
        <w:rPr>
          <w:rFonts w:eastAsia="標楷體"/>
          <w:sz w:val="28"/>
          <w:szCs w:val="28"/>
          <w:lang w:eastAsia="zh-TW"/>
        </w:rPr>
        <w:t>為協助中藥產業全球策略</w:t>
      </w:r>
      <w:r w:rsidRPr="00D71750">
        <w:rPr>
          <w:rFonts w:eastAsia="標楷體" w:hint="eastAsia"/>
          <w:sz w:val="28"/>
          <w:szCs w:val="28"/>
          <w:lang w:eastAsia="zh-TW"/>
        </w:rPr>
        <w:t>佈</w:t>
      </w:r>
      <w:r w:rsidRPr="00D71750">
        <w:rPr>
          <w:rFonts w:eastAsia="標楷體"/>
          <w:sz w:val="28"/>
          <w:szCs w:val="28"/>
          <w:lang w:eastAsia="zh-TW"/>
        </w:rPr>
        <w:t>局，積極開發新南向市場</w:t>
      </w:r>
      <w:r w:rsidRPr="00D71750">
        <w:rPr>
          <w:rFonts w:eastAsia="標楷體" w:hint="eastAsia"/>
          <w:sz w:val="28"/>
          <w:szCs w:val="28"/>
          <w:lang w:eastAsia="zh-TW"/>
        </w:rPr>
        <w:t>，本部自</w:t>
      </w:r>
      <w:r w:rsidRPr="00D71750">
        <w:rPr>
          <w:rFonts w:eastAsia="標楷體"/>
          <w:sz w:val="28"/>
          <w:szCs w:val="28"/>
          <w:lang w:eastAsia="zh-TW"/>
        </w:rPr>
        <w:t>107</w:t>
      </w:r>
      <w:r w:rsidRPr="00D71750">
        <w:rPr>
          <w:rFonts w:eastAsia="標楷體" w:hint="eastAsia"/>
          <w:sz w:val="28"/>
          <w:szCs w:val="28"/>
          <w:lang w:eastAsia="zh-TW"/>
        </w:rPr>
        <w:t>年</w:t>
      </w:r>
      <w:r w:rsidRPr="00D71750">
        <w:rPr>
          <w:rFonts w:eastAsia="標楷體"/>
          <w:sz w:val="28"/>
          <w:szCs w:val="28"/>
          <w:lang w:eastAsia="zh-TW"/>
        </w:rPr>
        <w:t>開始進行馬來西亞、新加坡、泰國及越南等新南向重點國家之傳統醫藥法規政策制度、發展趨勢及產業市場趨勢研究</w:t>
      </w:r>
      <w:r w:rsidRPr="00D71750">
        <w:rPr>
          <w:rFonts w:eastAsia="標楷體" w:hint="eastAsia"/>
          <w:sz w:val="28"/>
          <w:szCs w:val="28"/>
          <w:lang w:eastAsia="zh-TW"/>
        </w:rPr>
        <w:t>，</w:t>
      </w:r>
      <w:r w:rsidRPr="00D71750">
        <w:rPr>
          <w:rFonts w:eastAsia="標楷體"/>
          <w:sz w:val="28"/>
          <w:szCs w:val="28"/>
          <w:lang w:eastAsia="zh-TW"/>
        </w:rPr>
        <w:t>出版馬來西亞、新加坡及越南等</w:t>
      </w:r>
      <w:r w:rsidRPr="00D71750">
        <w:rPr>
          <w:rFonts w:eastAsia="標楷體"/>
          <w:sz w:val="28"/>
          <w:szCs w:val="28"/>
          <w:lang w:eastAsia="zh-TW"/>
        </w:rPr>
        <w:t>3</w:t>
      </w:r>
      <w:r w:rsidRPr="00D71750">
        <w:rPr>
          <w:rFonts w:eastAsia="標楷體"/>
          <w:sz w:val="28"/>
          <w:szCs w:val="28"/>
          <w:lang w:eastAsia="zh-TW"/>
        </w:rPr>
        <w:t>國申請中藥註冊登記之輔導指引</w:t>
      </w:r>
      <w:r w:rsidRPr="00D71750">
        <w:rPr>
          <w:rFonts w:eastAsia="標楷體" w:hint="eastAsia"/>
          <w:sz w:val="28"/>
          <w:szCs w:val="28"/>
          <w:lang w:eastAsia="zh-TW"/>
        </w:rPr>
        <w:t>，</w:t>
      </w:r>
      <w:r w:rsidRPr="00D71750">
        <w:rPr>
          <w:rFonts w:eastAsia="標楷體"/>
          <w:sz w:val="28"/>
          <w:szCs w:val="28"/>
          <w:lang w:eastAsia="zh-TW"/>
        </w:rPr>
        <w:t>舉辦馬來西亞、新加坡、越南及印尼申請藥品註冊登記之教育訓練，就我國廠商申請註冊登記所遭遇之困難與問題，提供諮詢輔導服務，</w:t>
      </w:r>
      <w:r w:rsidRPr="00D71750">
        <w:rPr>
          <w:rFonts w:eastAsia="標楷體" w:hint="eastAsia"/>
          <w:sz w:val="28"/>
          <w:szCs w:val="28"/>
          <w:lang w:eastAsia="zh-TW"/>
        </w:rPr>
        <w:t>並於越南舉辦「中藥</w:t>
      </w:r>
      <w:r w:rsidRPr="00D71750">
        <w:rPr>
          <w:rFonts w:eastAsia="標楷體"/>
          <w:sz w:val="28"/>
          <w:szCs w:val="28"/>
          <w:lang w:eastAsia="zh-TW"/>
        </w:rPr>
        <w:t>GMP</w:t>
      </w:r>
      <w:r w:rsidRPr="00D71750">
        <w:rPr>
          <w:rFonts w:eastAsia="標楷體" w:hint="eastAsia"/>
          <w:sz w:val="28"/>
          <w:szCs w:val="28"/>
          <w:lang w:eastAsia="zh-TW"/>
        </w:rPr>
        <w:t>工作坊」向該國藥政官員分享我國實務經驗，統計我國中藥廠取得新南向國家藥品許可證數及外銷出口額均逐年成長。</w:t>
      </w:r>
    </w:p>
    <w:p w:rsidR="00A330B2" w:rsidRPr="00D71750" w:rsidRDefault="00A330B2" w:rsidP="00A330B2">
      <w:pPr>
        <w:tabs>
          <w:tab w:val="left" w:pos="1276"/>
          <w:tab w:val="num" w:pos="1701"/>
          <w:tab w:val="num" w:pos="2280"/>
        </w:tabs>
        <w:snapToGrid w:val="0"/>
        <w:spacing w:line="480" w:lineRule="exact"/>
        <w:ind w:left="720" w:firstLineChars="189" w:firstLine="529"/>
        <w:jc w:val="both"/>
        <w:rPr>
          <w:rFonts w:eastAsia="標楷體"/>
          <w:sz w:val="28"/>
          <w:szCs w:val="28"/>
          <w:lang w:eastAsia="zh-TW"/>
        </w:rPr>
      </w:pPr>
      <w:r w:rsidRPr="00D71750">
        <w:rPr>
          <w:rFonts w:eastAsia="標楷體"/>
          <w:sz w:val="28"/>
          <w:szCs w:val="28"/>
          <w:lang w:eastAsia="zh-TW"/>
        </w:rPr>
        <w:t>本</w:t>
      </w:r>
      <w:r w:rsidRPr="00D71750">
        <w:rPr>
          <w:rFonts w:eastAsia="標楷體" w:hint="eastAsia"/>
          <w:sz w:val="28"/>
          <w:szCs w:val="28"/>
          <w:lang w:eastAsia="zh-TW"/>
        </w:rPr>
        <w:t>(110)</w:t>
      </w:r>
      <w:r w:rsidRPr="00D71750">
        <w:rPr>
          <w:rFonts w:eastAsia="標楷體" w:hint="eastAsia"/>
          <w:sz w:val="28"/>
          <w:szCs w:val="28"/>
          <w:lang w:eastAsia="zh-TW"/>
        </w:rPr>
        <w:t>年</w:t>
      </w:r>
      <w:r w:rsidRPr="00D71750">
        <w:rPr>
          <w:rFonts w:eastAsia="標楷體"/>
          <w:sz w:val="28"/>
          <w:szCs w:val="28"/>
          <w:lang w:eastAsia="zh-TW"/>
        </w:rPr>
        <w:t>將持續</w:t>
      </w:r>
      <w:r w:rsidRPr="00D71750">
        <w:rPr>
          <w:rFonts w:eastAsia="標楷體" w:hint="eastAsia"/>
          <w:sz w:val="28"/>
          <w:szCs w:val="28"/>
          <w:lang w:eastAsia="zh-TW"/>
        </w:rPr>
        <w:t>蒐集</w:t>
      </w:r>
      <w:r w:rsidRPr="00D71750">
        <w:rPr>
          <w:rFonts w:eastAsia="標楷體"/>
          <w:sz w:val="28"/>
          <w:szCs w:val="28"/>
          <w:lang w:eastAsia="zh-TW"/>
        </w:rPr>
        <w:t>新南向國家傳統藥品法規動態、</w:t>
      </w:r>
      <w:r w:rsidRPr="00D71750">
        <w:rPr>
          <w:rFonts w:eastAsia="標楷體" w:hint="eastAsia"/>
          <w:sz w:val="28"/>
          <w:szCs w:val="28"/>
          <w:lang w:eastAsia="zh-TW"/>
        </w:rPr>
        <w:t>研析新南向</w:t>
      </w:r>
      <w:r w:rsidRPr="00D71750">
        <w:rPr>
          <w:rFonts w:eastAsia="標楷體"/>
          <w:sz w:val="28"/>
          <w:szCs w:val="28"/>
          <w:lang w:eastAsia="zh-TW"/>
        </w:rPr>
        <w:t>市場發展潛力及區域整合最新情勢，並提供我國中藥</w:t>
      </w:r>
      <w:r w:rsidRPr="00D71750">
        <w:rPr>
          <w:rFonts w:eastAsia="標楷體" w:hint="eastAsia"/>
          <w:sz w:val="28"/>
          <w:szCs w:val="28"/>
          <w:lang w:eastAsia="zh-TW"/>
        </w:rPr>
        <w:t>廠商</w:t>
      </w:r>
      <w:r w:rsidRPr="00D71750">
        <w:rPr>
          <w:rFonts w:eastAsia="標楷體"/>
          <w:sz w:val="28"/>
          <w:szCs w:val="28"/>
          <w:lang w:eastAsia="zh-TW"/>
        </w:rPr>
        <w:t>諮詢輔導服務</w:t>
      </w:r>
      <w:r w:rsidRPr="00D71750">
        <w:rPr>
          <w:rFonts w:eastAsia="標楷體" w:hint="eastAsia"/>
          <w:sz w:val="28"/>
          <w:szCs w:val="28"/>
          <w:lang w:eastAsia="zh-TW"/>
        </w:rPr>
        <w:t>，就廠商於</w:t>
      </w:r>
      <w:r w:rsidRPr="00D71750">
        <w:rPr>
          <w:rFonts w:eastAsia="標楷體"/>
          <w:sz w:val="28"/>
          <w:szCs w:val="28"/>
          <w:lang w:eastAsia="zh-TW"/>
        </w:rPr>
        <w:t>申請</w:t>
      </w:r>
      <w:r w:rsidRPr="00D71750">
        <w:rPr>
          <w:rFonts w:eastAsia="標楷體" w:hint="eastAsia"/>
          <w:sz w:val="28"/>
          <w:szCs w:val="28"/>
          <w:lang w:eastAsia="zh-TW"/>
        </w:rPr>
        <w:t>新南向國家藥品</w:t>
      </w:r>
      <w:r w:rsidRPr="00D71750">
        <w:rPr>
          <w:rFonts w:eastAsia="標楷體"/>
          <w:sz w:val="28"/>
          <w:szCs w:val="28"/>
          <w:lang w:eastAsia="zh-TW"/>
        </w:rPr>
        <w:t>註冊登記</w:t>
      </w:r>
      <w:r w:rsidRPr="00D71750">
        <w:rPr>
          <w:rFonts w:eastAsia="標楷體" w:hint="eastAsia"/>
          <w:sz w:val="28"/>
          <w:szCs w:val="28"/>
          <w:lang w:eastAsia="zh-TW"/>
        </w:rPr>
        <w:t>所</w:t>
      </w:r>
      <w:r w:rsidRPr="00D71750">
        <w:rPr>
          <w:rFonts w:eastAsia="標楷體"/>
          <w:sz w:val="28"/>
          <w:szCs w:val="28"/>
          <w:lang w:eastAsia="zh-TW"/>
        </w:rPr>
        <w:t>遭遇</w:t>
      </w:r>
      <w:r w:rsidRPr="00D71750">
        <w:rPr>
          <w:rFonts w:eastAsia="標楷體" w:hint="eastAsia"/>
          <w:sz w:val="28"/>
          <w:szCs w:val="28"/>
          <w:lang w:eastAsia="zh-TW"/>
        </w:rPr>
        <w:t>之困難，提供解決策略</w:t>
      </w:r>
      <w:r w:rsidRPr="00D71750">
        <w:rPr>
          <w:rFonts w:eastAsia="標楷體"/>
          <w:sz w:val="28"/>
          <w:szCs w:val="28"/>
          <w:lang w:eastAsia="zh-TW"/>
        </w:rPr>
        <w:t>，</w:t>
      </w:r>
      <w:r w:rsidRPr="00D71750">
        <w:rPr>
          <w:rFonts w:eastAsia="標楷體" w:hint="eastAsia"/>
          <w:sz w:val="28"/>
          <w:szCs w:val="28"/>
          <w:lang w:eastAsia="zh-TW"/>
        </w:rPr>
        <w:t>並</w:t>
      </w:r>
      <w:r w:rsidRPr="00D71750">
        <w:rPr>
          <w:rFonts w:eastAsia="標楷體"/>
          <w:sz w:val="28"/>
          <w:szCs w:val="28"/>
          <w:lang w:eastAsia="zh-TW"/>
        </w:rPr>
        <w:t>協助廠商製造之產品符合國外上市審查規範，拓展國際市場，爰辦理本採購案。</w:t>
      </w:r>
    </w:p>
    <w:p w:rsidR="00A330B2" w:rsidRPr="00D71750" w:rsidRDefault="00A330B2" w:rsidP="00A330B2">
      <w:pPr>
        <w:tabs>
          <w:tab w:val="left" w:pos="1276"/>
          <w:tab w:val="num" w:pos="1701"/>
          <w:tab w:val="num" w:pos="2280"/>
        </w:tabs>
        <w:snapToGrid w:val="0"/>
        <w:spacing w:line="480" w:lineRule="exact"/>
        <w:ind w:left="720" w:firstLineChars="189" w:firstLine="529"/>
        <w:jc w:val="both"/>
        <w:rPr>
          <w:rFonts w:eastAsia="標楷體" w:hint="eastAsia"/>
          <w:sz w:val="28"/>
          <w:szCs w:val="28"/>
          <w:lang w:eastAsia="zh-TW"/>
        </w:rPr>
      </w:pPr>
    </w:p>
    <w:p w:rsidR="00A330B2" w:rsidRPr="00D71750" w:rsidRDefault="00A330B2" w:rsidP="00057CD7">
      <w:pPr>
        <w:pStyle w:val="a5"/>
        <w:numPr>
          <w:ilvl w:val="0"/>
          <w:numId w:val="1"/>
        </w:numPr>
        <w:tabs>
          <w:tab w:val="clear" w:pos="720"/>
          <w:tab w:val="num" w:pos="567"/>
        </w:tabs>
        <w:snapToGrid w:val="0"/>
        <w:spacing w:line="480" w:lineRule="exact"/>
        <w:ind w:left="567" w:hanging="623"/>
        <w:jc w:val="both"/>
        <w:rPr>
          <w:rFonts w:ascii="標楷體" w:hAnsi="標楷體" w:hint="eastAsia"/>
          <w:b/>
          <w:bCs/>
          <w:sz w:val="36"/>
        </w:rPr>
      </w:pPr>
      <w:r w:rsidRPr="00D71750">
        <w:rPr>
          <w:rFonts w:ascii="標楷體" w:hAnsi="標楷體" w:hint="eastAsia"/>
          <w:b/>
          <w:bCs/>
          <w:sz w:val="36"/>
        </w:rPr>
        <w:t>計畫執行工作內容（或規格內容說明）：</w:t>
      </w:r>
    </w:p>
    <w:p w:rsidR="00A330B2" w:rsidRPr="00D71750" w:rsidRDefault="00A330B2" w:rsidP="00A330B2">
      <w:pPr>
        <w:pStyle w:val="a5"/>
        <w:numPr>
          <w:ilvl w:val="1"/>
          <w:numId w:val="1"/>
        </w:numPr>
        <w:snapToGrid w:val="0"/>
        <w:spacing w:line="480" w:lineRule="exact"/>
        <w:jc w:val="both"/>
        <w:rPr>
          <w:b/>
          <w:sz w:val="32"/>
          <w:szCs w:val="32"/>
        </w:rPr>
      </w:pPr>
      <w:r w:rsidRPr="00D71750">
        <w:rPr>
          <w:b/>
          <w:sz w:val="32"/>
          <w:szCs w:val="32"/>
        </w:rPr>
        <w:t>計畫執行內容：</w:t>
      </w:r>
    </w:p>
    <w:p w:rsidR="00A330B2" w:rsidRPr="00D71750" w:rsidRDefault="00A330B2" w:rsidP="00A330B2">
      <w:pPr>
        <w:pStyle w:val="a7"/>
        <w:numPr>
          <w:ilvl w:val="2"/>
          <w:numId w:val="3"/>
        </w:numPr>
        <w:spacing w:line="440" w:lineRule="exact"/>
        <w:ind w:leftChars="177" w:left="845" w:hangingChars="150" w:hanging="420"/>
        <w:jc w:val="both"/>
        <w:rPr>
          <w:rFonts w:eastAsia="標楷體"/>
          <w:sz w:val="28"/>
          <w:szCs w:val="28"/>
        </w:rPr>
      </w:pPr>
      <w:r w:rsidRPr="00D71750">
        <w:rPr>
          <w:rFonts w:eastAsia="標楷體"/>
          <w:sz w:val="28"/>
          <w:szCs w:val="28"/>
        </w:rPr>
        <w:t>配合本部新南向政策，研究泰國、馬來西亞、越南、印尼、菲律賓及印度等</w:t>
      </w:r>
      <w:r w:rsidRPr="00D71750">
        <w:rPr>
          <w:rFonts w:eastAsia="標楷體" w:hint="eastAsia"/>
          <w:sz w:val="28"/>
          <w:szCs w:val="28"/>
        </w:rPr>
        <w:t>6</w:t>
      </w:r>
      <w:r w:rsidRPr="00D71750">
        <w:rPr>
          <w:rFonts w:eastAsia="標楷體" w:hint="eastAsia"/>
          <w:sz w:val="28"/>
          <w:szCs w:val="28"/>
        </w:rPr>
        <w:t>個</w:t>
      </w:r>
      <w:r w:rsidRPr="00D71750">
        <w:rPr>
          <w:rFonts w:eastAsia="標楷體"/>
          <w:sz w:val="28"/>
          <w:szCs w:val="28"/>
        </w:rPr>
        <w:t>國家之傳統醫藥發展現況，每</w:t>
      </w:r>
      <w:r w:rsidRPr="00D71750">
        <w:rPr>
          <w:rFonts w:eastAsia="標楷體" w:hint="eastAsia"/>
          <w:sz w:val="28"/>
          <w:szCs w:val="28"/>
        </w:rPr>
        <w:t>半年</w:t>
      </w:r>
      <w:r w:rsidRPr="00D71750">
        <w:rPr>
          <w:rFonts w:eastAsia="標楷體"/>
          <w:sz w:val="28"/>
          <w:szCs w:val="28"/>
        </w:rPr>
        <w:t>提供彙報資料，至少應包含下列議題：</w:t>
      </w:r>
    </w:p>
    <w:p w:rsidR="00A330B2" w:rsidRPr="00D71750" w:rsidRDefault="00A330B2" w:rsidP="00A330B2">
      <w:pPr>
        <w:pStyle w:val="a7"/>
        <w:numPr>
          <w:ilvl w:val="0"/>
          <w:numId w:val="4"/>
        </w:numPr>
        <w:tabs>
          <w:tab w:val="left" w:pos="1276"/>
          <w:tab w:val="left" w:pos="1414"/>
        </w:tabs>
        <w:spacing w:line="440" w:lineRule="exact"/>
        <w:ind w:leftChars="354" w:left="1298" w:hangingChars="160" w:hanging="448"/>
        <w:jc w:val="both"/>
        <w:rPr>
          <w:rFonts w:eastAsia="標楷體"/>
          <w:sz w:val="28"/>
          <w:szCs w:val="28"/>
        </w:rPr>
      </w:pPr>
      <w:r w:rsidRPr="00D71750">
        <w:rPr>
          <w:rFonts w:eastAsia="標楷體"/>
          <w:sz w:val="28"/>
          <w:szCs w:val="28"/>
        </w:rPr>
        <w:t>各國傳統醫藥法規動態、註冊登記規範及產業市場資訊。</w:t>
      </w:r>
    </w:p>
    <w:p w:rsidR="00A330B2" w:rsidRPr="00D71750" w:rsidRDefault="00A330B2" w:rsidP="00A330B2">
      <w:pPr>
        <w:pStyle w:val="a7"/>
        <w:numPr>
          <w:ilvl w:val="0"/>
          <w:numId w:val="4"/>
        </w:numPr>
        <w:tabs>
          <w:tab w:val="left" w:pos="1276"/>
          <w:tab w:val="left" w:pos="1414"/>
        </w:tabs>
        <w:spacing w:line="440" w:lineRule="exact"/>
        <w:ind w:leftChars="354" w:left="1298" w:hangingChars="160" w:hanging="448"/>
        <w:jc w:val="both"/>
        <w:rPr>
          <w:rFonts w:eastAsia="標楷體"/>
          <w:sz w:val="28"/>
          <w:szCs w:val="28"/>
        </w:rPr>
      </w:pPr>
      <w:r w:rsidRPr="00D71750">
        <w:rPr>
          <w:rFonts w:eastAsia="標楷體"/>
          <w:sz w:val="28"/>
          <w:szCs w:val="28"/>
        </w:rPr>
        <w:t>東協共同體</w:t>
      </w:r>
      <w:r w:rsidRPr="00D71750">
        <w:rPr>
          <w:rFonts w:eastAsia="標楷體"/>
          <w:sz w:val="28"/>
          <w:szCs w:val="28"/>
        </w:rPr>
        <w:t>(ASEAN Community)</w:t>
      </w:r>
      <w:r w:rsidRPr="00D71750">
        <w:rPr>
          <w:rFonts w:eastAsia="標楷體"/>
          <w:sz w:val="28"/>
          <w:szCs w:val="28"/>
        </w:rPr>
        <w:t>有關傳統醫藥法規協和化之最新進展，及對產業未來發展之影響。</w:t>
      </w:r>
    </w:p>
    <w:p w:rsidR="00A330B2" w:rsidRPr="00D71750" w:rsidRDefault="00A330B2" w:rsidP="00A330B2">
      <w:pPr>
        <w:pStyle w:val="a7"/>
        <w:numPr>
          <w:ilvl w:val="0"/>
          <w:numId w:val="4"/>
        </w:numPr>
        <w:tabs>
          <w:tab w:val="left" w:pos="1276"/>
          <w:tab w:val="left" w:pos="1414"/>
        </w:tabs>
        <w:spacing w:line="440" w:lineRule="exact"/>
        <w:ind w:leftChars="354" w:left="1298" w:hangingChars="160" w:hanging="448"/>
        <w:jc w:val="both"/>
        <w:rPr>
          <w:rFonts w:eastAsia="標楷體"/>
          <w:sz w:val="28"/>
          <w:szCs w:val="28"/>
        </w:rPr>
      </w:pPr>
      <w:r w:rsidRPr="00D71750">
        <w:rPr>
          <w:rFonts w:eastAsia="標楷體"/>
          <w:sz w:val="28"/>
          <w:szCs w:val="28"/>
        </w:rPr>
        <w:t>上述資料須提供官方原文及中譯本，中譯本需經翻譯及潤稿。</w:t>
      </w:r>
    </w:p>
    <w:p w:rsidR="00A330B2" w:rsidRPr="00D71750" w:rsidRDefault="00A330B2" w:rsidP="00A330B2">
      <w:pPr>
        <w:pStyle w:val="a7"/>
        <w:numPr>
          <w:ilvl w:val="0"/>
          <w:numId w:val="4"/>
        </w:numPr>
        <w:tabs>
          <w:tab w:val="left" w:pos="1276"/>
          <w:tab w:val="left" w:pos="1414"/>
        </w:tabs>
        <w:spacing w:line="440" w:lineRule="exact"/>
        <w:ind w:leftChars="354" w:left="1298" w:hangingChars="160" w:hanging="448"/>
        <w:jc w:val="both"/>
        <w:rPr>
          <w:rFonts w:eastAsia="標楷體"/>
          <w:sz w:val="28"/>
          <w:szCs w:val="28"/>
        </w:rPr>
      </w:pPr>
      <w:r w:rsidRPr="00D71750">
        <w:rPr>
          <w:rFonts w:eastAsia="標楷體"/>
          <w:sz w:val="28"/>
          <w:szCs w:val="28"/>
        </w:rPr>
        <w:t>上述資料應於計畫結案時按國別彙整，並提出與我國現行規範制度之比較研析，規劃具體交流項目及方案。如需以訪談或召開會議等方式進行資料蒐集，應繳交訪談紀錄或會議紀錄。</w:t>
      </w:r>
    </w:p>
    <w:p w:rsidR="00A330B2" w:rsidRPr="00D71750" w:rsidRDefault="00A330B2" w:rsidP="00A330B2">
      <w:pPr>
        <w:pStyle w:val="a7"/>
        <w:numPr>
          <w:ilvl w:val="0"/>
          <w:numId w:val="4"/>
        </w:numPr>
        <w:tabs>
          <w:tab w:val="left" w:pos="1276"/>
          <w:tab w:val="left" w:pos="1414"/>
        </w:tabs>
        <w:spacing w:line="440" w:lineRule="exact"/>
        <w:ind w:leftChars="354" w:left="1298" w:hangingChars="160" w:hanging="448"/>
        <w:jc w:val="both"/>
        <w:rPr>
          <w:rFonts w:eastAsia="標楷體"/>
          <w:sz w:val="28"/>
          <w:szCs w:val="28"/>
        </w:rPr>
      </w:pPr>
      <w:r w:rsidRPr="00D71750">
        <w:rPr>
          <w:rFonts w:eastAsia="標楷體" w:hint="eastAsia"/>
          <w:sz w:val="28"/>
          <w:szCs w:val="28"/>
        </w:rPr>
        <w:t>依馬來西亞及</w:t>
      </w:r>
      <w:r w:rsidRPr="00D71750">
        <w:rPr>
          <w:rFonts w:eastAsia="標楷體"/>
          <w:sz w:val="28"/>
          <w:szCs w:val="28"/>
        </w:rPr>
        <w:t>越南政府</w:t>
      </w:r>
      <w:r w:rsidRPr="00D71750">
        <w:rPr>
          <w:rFonts w:eastAsia="標楷體" w:hint="eastAsia"/>
          <w:sz w:val="28"/>
          <w:szCs w:val="28"/>
        </w:rPr>
        <w:t>公布最新傳統藥品註冊相關規定，修訂更新本部「</w:t>
      </w:r>
      <w:r w:rsidRPr="00D71750">
        <w:rPr>
          <w:rFonts w:eastAsia="標楷體"/>
          <w:sz w:val="28"/>
          <w:szCs w:val="28"/>
        </w:rPr>
        <w:t>馬來西亞中藥註冊登記輔導</w:t>
      </w:r>
      <w:r w:rsidRPr="00D71750">
        <w:rPr>
          <w:rFonts w:eastAsia="標楷體" w:hint="eastAsia"/>
          <w:sz w:val="28"/>
          <w:szCs w:val="28"/>
        </w:rPr>
        <w:t>指引」及「越南傳統醫藥</w:t>
      </w:r>
      <w:r w:rsidRPr="00D71750">
        <w:rPr>
          <w:rFonts w:eastAsia="標楷體"/>
          <w:sz w:val="28"/>
          <w:szCs w:val="28"/>
        </w:rPr>
        <w:t>註冊登記</w:t>
      </w:r>
      <w:r w:rsidRPr="00D71750">
        <w:rPr>
          <w:rFonts w:eastAsia="標楷體" w:hint="eastAsia"/>
          <w:sz w:val="28"/>
          <w:szCs w:val="28"/>
        </w:rPr>
        <w:t>輔導指引」內容。</w:t>
      </w:r>
    </w:p>
    <w:p w:rsidR="00A330B2" w:rsidRPr="00D71750" w:rsidRDefault="00A330B2" w:rsidP="00A330B2">
      <w:pPr>
        <w:pStyle w:val="a7"/>
        <w:numPr>
          <w:ilvl w:val="2"/>
          <w:numId w:val="3"/>
        </w:numPr>
        <w:spacing w:line="440" w:lineRule="exact"/>
        <w:ind w:leftChars="177" w:left="845" w:hangingChars="150" w:hanging="420"/>
        <w:jc w:val="both"/>
        <w:rPr>
          <w:rFonts w:eastAsia="標楷體"/>
          <w:sz w:val="28"/>
          <w:szCs w:val="28"/>
        </w:rPr>
      </w:pPr>
      <w:r w:rsidRPr="00D71750">
        <w:rPr>
          <w:rFonts w:eastAsia="標楷體"/>
          <w:sz w:val="28"/>
          <w:szCs w:val="28"/>
        </w:rPr>
        <w:t>建立諮詢輔導機制，就我國廠商申請註冊登記現況及遭遇困難，提供中藥產業諮詢輔導服務，</w:t>
      </w:r>
      <w:r w:rsidRPr="00D71750">
        <w:rPr>
          <w:rFonts w:eastAsia="標楷體" w:hint="eastAsia"/>
          <w:sz w:val="28"/>
          <w:szCs w:val="28"/>
        </w:rPr>
        <w:t>輔導至少</w:t>
      </w:r>
      <w:r w:rsidRPr="00D71750">
        <w:rPr>
          <w:rFonts w:eastAsia="標楷體" w:hint="eastAsia"/>
          <w:sz w:val="28"/>
          <w:szCs w:val="28"/>
        </w:rPr>
        <w:t>5</w:t>
      </w:r>
      <w:r w:rsidRPr="00D71750">
        <w:rPr>
          <w:rFonts w:eastAsia="標楷體" w:hint="eastAsia"/>
          <w:sz w:val="28"/>
          <w:szCs w:val="28"/>
        </w:rPr>
        <w:t>家廠商，</w:t>
      </w:r>
      <w:r w:rsidRPr="00D71750">
        <w:rPr>
          <w:rFonts w:eastAsia="標楷體"/>
          <w:sz w:val="28"/>
          <w:szCs w:val="28"/>
        </w:rPr>
        <w:t>提出可能解決方向</w:t>
      </w:r>
      <w:r w:rsidRPr="00D71750">
        <w:rPr>
          <w:rFonts w:eastAsia="標楷體" w:hint="eastAsia"/>
          <w:sz w:val="28"/>
          <w:szCs w:val="28"/>
        </w:rPr>
        <w:t>，以協助業者送件申請。</w:t>
      </w:r>
      <w:r w:rsidRPr="00D71750">
        <w:rPr>
          <w:rFonts w:eastAsia="標楷體"/>
          <w:sz w:val="28"/>
          <w:szCs w:val="28"/>
        </w:rPr>
        <w:t>必要時與我國產業代表訪談，或向新南向國家提出法規諮詢，供本部參考。</w:t>
      </w:r>
    </w:p>
    <w:p w:rsidR="00A330B2" w:rsidRPr="00D71750" w:rsidRDefault="00A330B2" w:rsidP="00A330B2">
      <w:pPr>
        <w:pStyle w:val="a7"/>
        <w:numPr>
          <w:ilvl w:val="2"/>
          <w:numId w:val="3"/>
        </w:numPr>
        <w:spacing w:line="440" w:lineRule="exact"/>
        <w:ind w:leftChars="177" w:left="845" w:hangingChars="150" w:hanging="420"/>
        <w:jc w:val="both"/>
        <w:rPr>
          <w:rFonts w:eastAsia="標楷體"/>
          <w:sz w:val="28"/>
          <w:szCs w:val="28"/>
        </w:rPr>
      </w:pPr>
      <w:r w:rsidRPr="00D71750">
        <w:rPr>
          <w:rFonts w:eastAsia="標楷體"/>
          <w:sz w:val="28"/>
          <w:szCs w:val="28"/>
        </w:rPr>
        <w:t>泰國於</w:t>
      </w:r>
      <w:r w:rsidRPr="00D71750">
        <w:rPr>
          <w:rFonts w:eastAsia="標楷體"/>
          <w:sz w:val="28"/>
          <w:szCs w:val="28"/>
        </w:rPr>
        <w:t>2019</w:t>
      </w:r>
      <w:r w:rsidRPr="00D71750">
        <w:rPr>
          <w:rFonts w:eastAsia="標楷體"/>
          <w:sz w:val="28"/>
          <w:szCs w:val="28"/>
        </w:rPr>
        <w:t>年</w:t>
      </w:r>
      <w:r w:rsidRPr="00D71750">
        <w:rPr>
          <w:rFonts w:eastAsia="標楷體"/>
          <w:sz w:val="28"/>
          <w:szCs w:val="28"/>
        </w:rPr>
        <w:t>4</w:t>
      </w:r>
      <w:r w:rsidRPr="00D71750">
        <w:rPr>
          <w:rFonts w:eastAsia="標楷體"/>
          <w:sz w:val="28"/>
          <w:szCs w:val="28"/>
        </w:rPr>
        <w:t>月頒布草藥產品法（</w:t>
      </w:r>
      <w:r w:rsidRPr="00D71750">
        <w:rPr>
          <w:rFonts w:eastAsia="標楷體"/>
          <w:sz w:val="28"/>
          <w:szCs w:val="28"/>
        </w:rPr>
        <w:t>Herbal Product Act</w:t>
      </w:r>
      <w:r w:rsidRPr="00D71750">
        <w:rPr>
          <w:rFonts w:eastAsia="標楷體"/>
          <w:sz w:val="28"/>
          <w:szCs w:val="28"/>
        </w:rPr>
        <w:t>），整理及彙編泰國傳統藥品註冊登記法規概要</w:t>
      </w:r>
      <w:r w:rsidRPr="00D71750">
        <w:rPr>
          <w:rFonts w:eastAsia="標楷體"/>
          <w:sz w:val="28"/>
          <w:szCs w:val="28"/>
        </w:rPr>
        <w:t>1</w:t>
      </w:r>
      <w:r w:rsidRPr="00D71750">
        <w:rPr>
          <w:rFonts w:eastAsia="標楷體"/>
          <w:sz w:val="28"/>
          <w:szCs w:val="28"/>
        </w:rPr>
        <w:t>份，提供我國業者參考。</w:t>
      </w:r>
    </w:p>
    <w:p w:rsidR="00A330B2" w:rsidRPr="00D71750" w:rsidRDefault="00A330B2" w:rsidP="00A330B2">
      <w:pPr>
        <w:pStyle w:val="a7"/>
        <w:numPr>
          <w:ilvl w:val="2"/>
          <w:numId w:val="3"/>
        </w:numPr>
        <w:spacing w:line="440" w:lineRule="exact"/>
        <w:ind w:leftChars="177" w:left="845" w:hangingChars="150" w:hanging="420"/>
        <w:jc w:val="both"/>
        <w:rPr>
          <w:rFonts w:eastAsia="標楷體"/>
          <w:sz w:val="28"/>
          <w:szCs w:val="28"/>
        </w:rPr>
      </w:pPr>
      <w:r w:rsidRPr="00D71750">
        <w:rPr>
          <w:rFonts w:eastAsia="標楷體"/>
          <w:sz w:val="28"/>
          <w:szCs w:val="28"/>
        </w:rPr>
        <w:t>推動傳統醫藥產業合作及經驗交流分享：</w:t>
      </w:r>
    </w:p>
    <w:p w:rsidR="00A330B2" w:rsidRPr="00D71750" w:rsidRDefault="00A330B2" w:rsidP="00A330B2">
      <w:pPr>
        <w:pStyle w:val="a7"/>
        <w:numPr>
          <w:ilvl w:val="0"/>
          <w:numId w:val="5"/>
        </w:numPr>
        <w:tabs>
          <w:tab w:val="left" w:pos="1276"/>
          <w:tab w:val="left" w:pos="1414"/>
        </w:tabs>
        <w:spacing w:line="440" w:lineRule="exact"/>
        <w:ind w:leftChars="354" w:left="1298" w:hangingChars="160" w:hanging="448"/>
        <w:jc w:val="both"/>
        <w:rPr>
          <w:rFonts w:eastAsia="標楷體"/>
          <w:sz w:val="28"/>
          <w:szCs w:val="28"/>
        </w:rPr>
      </w:pPr>
      <w:r w:rsidRPr="00D71750">
        <w:rPr>
          <w:rFonts w:eastAsia="標楷體"/>
          <w:sz w:val="28"/>
          <w:szCs w:val="28"/>
        </w:rPr>
        <w:t>舉辦</w:t>
      </w:r>
      <w:r w:rsidRPr="00D71750">
        <w:rPr>
          <w:rFonts w:eastAsia="標楷體"/>
          <w:sz w:val="28"/>
          <w:szCs w:val="28"/>
        </w:rPr>
        <w:t>1</w:t>
      </w:r>
      <w:r w:rsidRPr="00D71750">
        <w:rPr>
          <w:rFonts w:eastAsia="標楷體"/>
          <w:sz w:val="28"/>
          <w:szCs w:val="28"/>
        </w:rPr>
        <w:t>場傳統醫藥交流線上或實體產業媒合會，需邀請新南向國家產業界</w:t>
      </w:r>
      <w:r w:rsidRPr="00D71750">
        <w:rPr>
          <w:rFonts w:eastAsia="標楷體" w:hint="eastAsia"/>
          <w:sz w:val="28"/>
          <w:szCs w:val="28"/>
        </w:rPr>
        <w:t>（如公會、藥商、代理商或經銷商等）</w:t>
      </w:r>
      <w:r w:rsidRPr="00D71750">
        <w:rPr>
          <w:rFonts w:eastAsia="標楷體"/>
          <w:sz w:val="28"/>
          <w:szCs w:val="28"/>
        </w:rPr>
        <w:t>、官員或專家學者參加，協助我國中藥廠佈局新南向市場。</w:t>
      </w:r>
    </w:p>
    <w:p w:rsidR="00A330B2" w:rsidRPr="00D71750" w:rsidRDefault="00A330B2" w:rsidP="00A330B2">
      <w:pPr>
        <w:pStyle w:val="a7"/>
        <w:numPr>
          <w:ilvl w:val="0"/>
          <w:numId w:val="5"/>
        </w:numPr>
        <w:tabs>
          <w:tab w:val="left" w:pos="1276"/>
          <w:tab w:val="left" w:pos="1414"/>
        </w:tabs>
        <w:spacing w:line="440" w:lineRule="exact"/>
        <w:ind w:leftChars="354" w:left="1298" w:hangingChars="160" w:hanging="448"/>
        <w:jc w:val="both"/>
        <w:rPr>
          <w:rFonts w:eastAsia="標楷體"/>
          <w:sz w:val="28"/>
          <w:szCs w:val="28"/>
        </w:rPr>
      </w:pPr>
      <w:r w:rsidRPr="00D71750">
        <w:rPr>
          <w:rFonts w:eastAsia="標楷體"/>
          <w:sz w:val="28"/>
          <w:szCs w:val="28"/>
        </w:rPr>
        <w:t>前項研討會應全程錄影、錄音、提供專業口譯服務</w:t>
      </w:r>
      <w:r w:rsidRPr="00D71750">
        <w:rPr>
          <w:rFonts w:eastAsia="標楷體"/>
          <w:sz w:val="28"/>
          <w:szCs w:val="28"/>
        </w:rPr>
        <w:t>(</w:t>
      </w:r>
      <w:r w:rsidRPr="00D71750">
        <w:rPr>
          <w:rFonts w:eastAsia="標楷體"/>
          <w:sz w:val="28"/>
          <w:szCs w:val="28"/>
        </w:rPr>
        <w:t>須先取得演講者授權</w:t>
      </w:r>
      <w:r w:rsidRPr="00D71750">
        <w:rPr>
          <w:rFonts w:eastAsia="標楷體"/>
          <w:sz w:val="28"/>
          <w:szCs w:val="28"/>
        </w:rPr>
        <w:t>)</w:t>
      </w:r>
      <w:r w:rsidRPr="00D71750">
        <w:rPr>
          <w:rFonts w:eastAsia="標楷體"/>
          <w:sz w:val="28"/>
          <w:szCs w:val="28"/>
        </w:rPr>
        <w:t>及滿意度問卷調查</w:t>
      </w:r>
      <w:r w:rsidRPr="00D71750">
        <w:rPr>
          <w:rFonts w:eastAsia="標楷體" w:hint="eastAsia"/>
          <w:sz w:val="28"/>
          <w:szCs w:val="28"/>
        </w:rPr>
        <w:t>（</w:t>
      </w:r>
      <w:r w:rsidRPr="00D71750">
        <w:rPr>
          <w:rFonts w:eastAsia="標楷體"/>
          <w:sz w:val="28"/>
          <w:szCs w:val="28"/>
        </w:rPr>
        <w:t>含性別分析及統計分析</w:t>
      </w:r>
      <w:r w:rsidRPr="00D71750">
        <w:rPr>
          <w:rFonts w:eastAsia="標楷體" w:hint="eastAsia"/>
          <w:sz w:val="28"/>
          <w:szCs w:val="28"/>
        </w:rPr>
        <w:t>）</w:t>
      </w:r>
      <w:r w:rsidRPr="00D71750">
        <w:rPr>
          <w:rFonts w:eastAsia="標楷體"/>
          <w:sz w:val="28"/>
          <w:szCs w:val="28"/>
        </w:rPr>
        <w:t>，並繳交本部錄案存檔。</w:t>
      </w:r>
    </w:p>
    <w:p w:rsidR="00A330B2" w:rsidRPr="00D71750" w:rsidRDefault="00A330B2" w:rsidP="00A330B2">
      <w:pPr>
        <w:pStyle w:val="a7"/>
        <w:numPr>
          <w:ilvl w:val="0"/>
          <w:numId w:val="5"/>
        </w:numPr>
        <w:tabs>
          <w:tab w:val="left" w:pos="1276"/>
          <w:tab w:val="left" w:pos="1414"/>
        </w:tabs>
        <w:spacing w:line="440" w:lineRule="exact"/>
        <w:ind w:leftChars="354" w:left="1298" w:hangingChars="160" w:hanging="448"/>
        <w:jc w:val="both"/>
        <w:rPr>
          <w:rFonts w:eastAsia="標楷體"/>
          <w:sz w:val="28"/>
          <w:szCs w:val="28"/>
        </w:rPr>
      </w:pPr>
      <w:r w:rsidRPr="00D71750">
        <w:rPr>
          <w:rFonts w:eastAsia="標楷體" w:hint="eastAsia"/>
          <w:sz w:val="28"/>
          <w:szCs w:val="28"/>
        </w:rPr>
        <w:t>配合本部需求，辦理與特定新南向國家之官方線上或赴該國實體交流活動</w:t>
      </w:r>
      <w:r w:rsidRPr="00D71750">
        <w:rPr>
          <w:rFonts w:eastAsia="標楷體" w:hint="eastAsia"/>
          <w:sz w:val="28"/>
          <w:szCs w:val="28"/>
        </w:rPr>
        <w:t>1</w:t>
      </w:r>
      <w:r w:rsidRPr="00D71750">
        <w:rPr>
          <w:rFonts w:eastAsia="標楷體" w:hint="eastAsia"/>
          <w:sz w:val="28"/>
          <w:szCs w:val="28"/>
        </w:rPr>
        <w:t>場次，持續建立或維持與新南向國家之聯繫管道。</w:t>
      </w:r>
    </w:p>
    <w:p w:rsidR="00A330B2" w:rsidRPr="00D71750" w:rsidRDefault="00A330B2" w:rsidP="00A330B2">
      <w:pPr>
        <w:pStyle w:val="a7"/>
        <w:numPr>
          <w:ilvl w:val="2"/>
          <w:numId w:val="3"/>
        </w:numPr>
        <w:spacing w:line="440" w:lineRule="exact"/>
        <w:ind w:leftChars="177" w:left="845" w:hangingChars="150" w:hanging="420"/>
        <w:jc w:val="both"/>
        <w:rPr>
          <w:rFonts w:eastAsia="標楷體"/>
          <w:sz w:val="28"/>
          <w:szCs w:val="28"/>
        </w:rPr>
      </w:pPr>
      <w:r w:rsidRPr="00D71750">
        <w:rPr>
          <w:rFonts w:eastAsia="標楷體"/>
          <w:sz w:val="28"/>
          <w:szCs w:val="28"/>
        </w:rPr>
        <w:t>召集國內產官學界組成專家小組</w:t>
      </w:r>
      <w:r w:rsidRPr="00D71750">
        <w:rPr>
          <w:rFonts w:eastAsia="標楷體" w:hint="eastAsia"/>
          <w:sz w:val="28"/>
          <w:szCs w:val="28"/>
        </w:rPr>
        <w:t>（</w:t>
      </w:r>
      <w:r w:rsidRPr="00D71750">
        <w:rPr>
          <w:rFonts w:eastAsia="標楷體"/>
          <w:sz w:val="28"/>
          <w:szCs w:val="28"/>
        </w:rPr>
        <w:t>專家名單</w:t>
      </w:r>
      <w:r w:rsidRPr="00D71750">
        <w:rPr>
          <w:rFonts w:eastAsia="標楷體" w:hint="eastAsia"/>
          <w:sz w:val="28"/>
          <w:szCs w:val="28"/>
        </w:rPr>
        <w:t>須於決標後</w:t>
      </w:r>
      <w:r w:rsidRPr="00D71750">
        <w:rPr>
          <w:rFonts w:eastAsia="標楷體" w:hint="eastAsia"/>
          <w:sz w:val="28"/>
          <w:szCs w:val="28"/>
        </w:rPr>
        <w:t>60</w:t>
      </w:r>
      <w:r w:rsidRPr="00D71750">
        <w:rPr>
          <w:rFonts w:eastAsia="標楷體" w:hint="eastAsia"/>
          <w:sz w:val="28"/>
          <w:szCs w:val="28"/>
        </w:rPr>
        <w:t>日曆天內提送本部，經</w:t>
      </w:r>
      <w:r w:rsidRPr="00D71750">
        <w:rPr>
          <w:rFonts w:eastAsia="標楷體"/>
          <w:sz w:val="28"/>
          <w:szCs w:val="28"/>
        </w:rPr>
        <w:t>本部同意</w:t>
      </w:r>
      <w:r w:rsidRPr="00D71750">
        <w:rPr>
          <w:rFonts w:eastAsia="標楷體" w:hint="eastAsia"/>
          <w:sz w:val="28"/>
          <w:szCs w:val="28"/>
        </w:rPr>
        <w:t>使得執行</w:t>
      </w:r>
      <w:r w:rsidRPr="00D71750">
        <w:rPr>
          <w:rFonts w:eastAsia="標楷體"/>
          <w:sz w:val="28"/>
          <w:szCs w:val="28"/>
        </w:rPr>
        <w:t>），至少召開</w:t>
      </w:r>
      <w:r w:rsidRPr="00D71750">
        <w:rPr>
          <w:rFonts w:eastAsia="標楷體"/>
          <w:sz w:val="28"/>
          <w:szCs w:val="28"/>
        </w:rPr>
        <w:t>1</w:t>
      </w:r>
      <w:r w:rsidRPr="00D71750">
        <w:rPr>
          <w:rFonts w:eastAsia="標楷體"/>
          <w:sz w:val="28"/>
          <w:szCs w:val="28"/>
        </w:rPr>
        <w:t>場專家會議，針對新南向重點國家之傳統醫藥法規管理制度、東協傳統醫藥法規協和化及重點佈局等議題進行討論，並擬訂具體可行之</w:t>
      </w:r>
      <w:r w:rsidRPr="00D71750">
        <w:rPr>
          <w:rFonts w:eastAsia="標楷體" w:hint="eastAsia"/>
          <w:sz w:val="28"/>
          <w:szCs w:val="28"/>
        </w:rPr>
        <w:t>交流</w:t>
      </w:r>
      <w:r w:rsidRPr="00D71750">
        <w:rPr>
          <w:rFonts w:eastAsia="標楷體"/>
          <w:sz w:val="28"/>
          <w:szCs w:val="28"/>
        </w:rPr>
        <w:t>策略供本部參考。</w:t>
      </w:r>
    </w:p>
    <w:p w:rsidR="00A330B2" w:rsidRPr="00D71750" w:rsidRDefault="00A330B2" w:rsidP="00A330B2">
      <w:pPr>
        <w:pStyle w:val="a7"/>
        <w:numPr>
          <w:ilvl w:val="2"/>
          <w:numId w:val="3"/>
        </w:numPr>
        <w:spacing w:line="440" w:lineRule="exact"/>
        <w:ind w:leftChars="177" w:left="845" w:hangingChars="150" w:hanging="420"/>
        <w:jc w:val="both"/>
        <w:rPr>
          <w:rFonts w:eastAsia="標楷體"/>
          <w:sz w:val="28"/>
          <w:szCs w:val="28"/>
        </w:rPr>
      </w:pPr>
      <w:r w:rsidRPr="00D71750">
        <w:rPr>
          <w:rFonts w:eastAsia="標楷體" w:hint="eastAsia"/>
          <w:sz w:val="28"/>
          <w:szCs w:val="28"/>
        </w:rPr>
        <w:t>調查中藥廠對於本部</w:t>
      </w:r>
      <w:r w:rsidRPr="00D71750">
        <w:rPr>
          <w:rFonts w:eastAsia="標楷體"/>
          <w:sz w:val="28"/>
          <w:szCs w:val="28"/>
        </w:rPr>
        <w:t>「馬來西亞及新加坡中藥註冊登記輔導指引」</w:t>
      </w:r>
      <w:r w:rsidRPr="00D71750">
        <w:rPr>
          <w:rFonts w:eastAsia="標楷體" w:hint="eastAsia"/>
          <w:sz w:val="28"/>
          <w:szCs w:val="28"/>
        </w:rPr>
        <w:t>及</w:t>
      </w:r>
      <w:r w:rsidRPr="00D71750">
        <w:rPr>
          <w:rFonts w:eastAsia="標楷體"/>
          <w:sz w:val="28"/>
          <w:szCs w:val="28"/>
        </w:rPr>
        <w:t>「越南傳統醫藥註冊登記</w:t>
      </w:r>
      <w:r w:rsidRPr="00D71750">
        <w:rPr>
          <w:rFonts w:eastAsia="標楷體" w:hint="eastAsia"/>
          <w:sz w:val="28"/>
          <w:szCs w:val="28"/>
        </w:rPr>
        <w:t>輔導指引</w:t>
      </w:r>
      <w:r w:rsidRPr="00D71750">
        <w:rPr>
          <w:rFonts w:eastAsia="標楷體"/>
          <w:sz w:val="28"/>
          <w:szCs w:val="28"/>
        </w:rPr>
        <w:t>」</w:t>
      </w:r>
      <w:r w:rsidRPr="00D71750">
        <w:rPr>
          <w:rFonts w:eastAsia="標楷體" w:hint="eastAsia"/>
          <w:sz w:val="28"/>
          <w:szCs w:val="28"/>
        </w:rPr>
        <w:t>之</w:t>
      </w:r>
      <w:r w:rsidRPr="00D71750">
        <w:rPr>
          <w:rFonts w:eastAsia="標楷體"/>
          <w:sz w:val="28"/>
          <w:szCs w:val="28"/>
        </w:rPr>
        <w:t>使用情形</w:t>
      </w:r>
      <w:r w:rsidRPr="00D71750">
        <w:rPr>
          <w:rFonts w:eastAsia="標楷體" w:hint="eastAsia"/>
          <w:sz w:val="28"/>
          <w:szCs w:val="28"/>
        </w:rPr>
        <w:t>、</w:t>
      </w:r>
      <w:r w:rsidRPr="00D71750">
        <w:rPr>
          <w:rFonts w:eastAsia="標楷體"/>
          <w:sz w:val="28"/>
          <w:szCs w:val="28"/>
        </w:rPr>
        <w:t>意見回饋</w:t>
      </w:r>
      <w:r w:rsidRPr="00D71750">
        <w:rPr>
          <w:rFonts w:eastAsia="標楷體" w:hint="eastAsia"/>
          <w:sz w:val="28"/>
          <w:szCs w:val="28"/>
        </w:rPr>
        <w:t>及相關產業界需求，</w:t>
      </w:r>
      <w:r w:rsidRPr="00D71750">
        <w:rPr>
          <w:rFonts w:eastAsia="標楷體"/>
          <w:sz w:val="28"/>
          <w:szCs w:val="28"/>
        </w:rPr>
        <w:t>問卷內容須經本部同意</w:t>
      </w:r>
      <w:r w:rsidRPr="00D71750">
        <w:rPr>
          <w:rFonts w:eastAsia="標楷體" w:hint="eastAsia"/>
          <w:sz w:val="28"/>
          <w:szCs w:val="28"/>
        </w:rPr>
        <w:t>始得施作</w:t>
      </w:r>
      <w:r w:rsidRPr="00D71750">
        <w:rPr>
          <w:rFonts w:eastAsia="標楷體"/>
          <w:sz w:val="28"/>
          <w:szCs w:val="28"/>
        </w:rPr>
        <w:t>，有效問卷份數須達</w:t>
      </w:r>
      <w:r w:rsidRPr="00D71750">
        <w:rPr>
          <w:rFonts w:eastAsia="標楷體"/>
          <w:sz w:val="28"/>
          <w:szCs w:val="28"/>
        </w:rPr>
        <w:t>50</w:t>
      </w:r>
      <w:r w:rsidRPr="00D71750">
        <w:rPr>
          <w:rFonts w:eastAsia="標楷體"/>
          <w:sz w:val="28"/>
          <w:szCs w:val="28"/>
        </w:rPr>
        <w:t>份以上。</w:t>
      </w:r>
    </w:p>
    <w:p w:rsidR="00A330B2" w:rsidRPr="00D71750" w:rsidRDefault="00A330B2" w:rsidP="00A330B2">
      <w:pPr>
        <w:pStyle w:val="a7"/>
        <w:numPr>
          <w:ilvl w:val="2"/>
          <w:numId w:val="3"/>
        </w:numPr>
        <w:spacing w:line="440" w:lineRule="exact"/>
        <w:ind w:leftChars="177" w:left="845" w:hangingChars="150" w:hanging="420"/>
        <w:jc w:val="both"/>
        <w:rPr>
          <w:rFonts w:eastAsia="標楷體"/>
          <w:sz w:val="28"/>
          <w:szCs w:val="28"/>
        </w:rPr>
      </w:pPr>
      <w:r w:rsidRPr="00D71750">
        <w:rPr>
          <w:rFonts w:eastAsia="標楷體"/>
          <w:sz w:val="28"/>
          <w:szCs w:val="28"/>
        </w:rPr>
        <w:t>配合本部相關政策及活動，協助</w:t>
      </w:r>
      <w:r w:rsidRPr="00D71750">
        <w:rPr>
          <w:rFonts w:eastAsia="標楷體" w:hint="eastAsia"/>
          <w:sz w:val="28"/>
          <w:szCs w:val="28"/>
        </w:rPr>
        <w:t>研議與特定新南向國家官方單位資訊交換之可行性（如馬來西亞對附子等中藥材之疑義），並配合辦理相關活動。</w:t>
      </w:r>
    </w:p>
    <w:p w:rsidR="00A330B2" w:rsidRPr="00234332" w:rsidRDefault="00A330B2" w:rsidP="00A330B2">
      <w:pPr>
        <w:pStyle w:val="a7"/>
        <w:spacing w:line="440" w:lineRule="exact"/>
        <w:ind w:leftChars="0" w:left="845"/>
        <w:jc w:val="both"/>
        <w:rPr>
          <w:rFonts w:eastAsia="標楷體"/>
          <w:sz w:val="28"/>
          <w:szCs w:val="28"/>
        </w:rPr>
      </w:pPr>
    </w:p>
    <w:p w:rsidR="00A330B2" w:rsidRPr="00814CF2" w:rsidRDefault="00A330B2" w:rsidP="00A330B2">
      <w:pPr>
        <w:pStyle w:val="a5"/>
        <w:numPr>
          <w:ilvl w:val="1"/>
          <w:numId w:val="1"/>
        </w:numPr>
        <w:snapToGrid w:val="0"/>
        <w:spacing w:line="440" w:lineRule="exact"/>
        <w:jc w:val="both"/>
        <w:rPr>
          <w:rFonts w:ascii="標楷體" w:hint="eastAsia"/>
          <w:b/>
          <w:sz w:val="28"/>
        </w:rPr>
      </w:pPr>
      <w:r w:rsidRPr="00814CF2">
        <w:rPr>
          <w:rFonts w:ascii="標楷體" w:hint="eastAsia"/>
          <w:b/>
          <w:sz w:val="32"/>
          <w:szCs w:val="32"/>
        </w:rPr>
        <w:t>本計畫案（採購標的）執行內容之</w:t>
      </w:r>
      <w:r w:rsidRPr="00814CF2">
        <w:rPr>
          <w:rFonts w:ascii="標楷體" w:hint="eastAsia"/>
          <w:b/>
          <w:sz w:val="32"/>
          <w:szCs w:val="32"/>
          <w:u w:val="single"/>
        </w:rPr>
        <w:t>主要部分</w:t>
      </w:r>
      <w:r w:rsidRPr="00814CF2">
        <w:rPr>
          <w:rFonts w:ascii="標楷體" w:hint="eastAsia"/>
          <w:b/>
          <w:sz w:val="32"/>
          <w:szCs w:val="32"/>
        </w:rPr>
        <w:t>：</w:t>
      </w:r>
      <w:r w:rsidRPr="00814CF2">
        <w:rPr>
          <w:rFonts w:ascii="標楷體" w:hint="eastAsia"/>
          <w:b/>
          <w:sz w:val="28"/>
        </w:rPr>
        <w:t xml:space="preserve"> </w:t>
      </w:r>
    </w:p>
    <w:p w:rsidR="00A330B2" w:rsidRPr="00057CD7" w:rsidRDefault="00A330B2" w:rsidP="00A330B2">
      <w:pPr>
        <w:pStyle w:val="a5"/>
        <w:snapToGrid w:val="0"/>
        <w:spacing w:line="440" w:lineRule="exact"/>
        <w:ind w:leftChars="375" w:left="1438" w:hangingChars="192" w:hanging="538"/>
        <w:jc w:val="both"/>
        <w:rPr>
          <w:rFonts w:ascii="新細明體" w:eastAsia="新細明體" w:hAnsi="新細明體" w:hint="eastAsia"/>
          <w:bCs/>
          <w:sz w:val="24"/>
        </w:rPr>
      </w:pPr>
      <w:r w:rsidRPr="00814CF2">
        <w:rPr>
          <w:rFonts w:ascii="標楷體" w:hint="eastAsia"/>
          <w:sz w:val="28"/>
        </w:rPr>
        <w:t>□</w:t>
      </w:r>
      <w:r w:rsidRPr="00814CF2">
        <w:rPr>
          <w:rFonts w:ascii="標楷體" w:hAnsi="標楷體" w:hint="eastAsia"/>
          <w:sz w:val="28"/>
        </w:rPr>
        <w:t xml:space="preserve"> </w:t>
      </w:r>
      <w:r w:rsidRPr="00814CF2">
        <w:rPr>
          <w:rFonts w:ascii="標楷體" w:hint="eastAsia"/>
          <w:sz w:val="28"/>
        </w:rPr>
        <w:t>本採購標的範圍之全部。</w:t>
      </w:r>
    </w:p>
    <w:p w:rsidR="00A330B2" w:rsidRPr="00057CD7" w:rsidRDefault="00A330B2" w:rsidP="00A330B2">
      <w:pPr>
        <w:spacing w:line="440" w:lineRule="exact"/>
        <w:ind w:leftChars="377" w:left="1314" w:hangingChars="146" w:hanging="409"/>
        <w:jc w:val="both"/>
        <w:textDirection w:val="lrTbV"/>
        <w:rPr>
          <w:rFonts w:ascii="標楷體" w:eastAsia="標楷體" w:hint="eastAsia"/>
          <w:sz w:val="28"/>
          <w:lang w:eastAsia="zh-TW"/>
        </w:rPr>
      </w:pPr>
      <w:r w:rsidRPr="00057CD7">
        <w:rPr>
          <w:rFonts w:ascii="標楷體" w:hAnsi="標楷體" w:hint="eastAsia"/>
          <w:sz w:val="28"/>
          <w:lang w:eastAsia="zh-TW"/>
        </w:rPr>
        <w:t>▇</w:t>
      </w:r>
      <w:r w:rsidRPr="00057CD7">
        <w:rPr>
          <w:rFonts w:ascii="標楷體" w:eastAsia="標楷體" w:hAnsi="標楷體" w:hint="eastAsia"/>
          <w:sz w:val="28"/>
          <w:lang w:eastAsia="zh-TW"/>
        </w:rPr>
        <w:t xml:space="preserve"> </w:t>
      </w:r>
      <w:r w:rsidRPr="00057CD7">
        <w:rPr>
          <w:rFonts w:ascii="標楷體" w:eastAsia="標楷體" w:hint="eastAsia"/>
          <w:sz w:val="28"/>
          <w:lang w:eastAsia="zh-TW"/>
        </w:rPr>
        <w:t>本採購標的範圍之部分：醫療衛生專業部分應由得標廠商自行履行，不得分包。</w:t>
      </w:r>
    </w:p>
    <w:p w:rsidR="00A330B2" w:rsidRPr="00057CD7" w:rsidRDefault="00A330B2" w:rsidP="00A330B2">
      <w:pPr>
        <w:pStyle w:val="a5"/>
        <w:snapToGrid w:val="0"/>
        <w:spacing w:line="440" w:lineRule="exact"/>
        <w:jc w:val="both"/>
        <w:rPr>
          <w:rFonts w:ascii="新細明體" w:eastAsia="新細明體" w:hAnsi="新細明體" w:hint="eastAsia"/>
          <w:b/>
          <w:bCs/>
          <w:sz w:val="28"/>
          <w:szCs w:val="28"/>
        </w:rPr>
      </w:pPr>
      <w:r w:rsidRPr="00057CD7">
        <w:rPr>
          <w:rFonts w:ascii="標楷體" w:hAnsi="標楷體" w:hint="eastAsia"/>
          <w:b/>
          <w:bCs/>
          <w:sz w:val="36"/>
        </w:rPr>
        <w:t>預估經費：</w:t>
      </w:r>
    </w:p>
    <w:p w:rsidR="00A330B2" w:rsidRPr="00057CD7" w:rsidRDefault="00A330B2" w:rsidP="00A330B2">
      <w:pPr>
        <w:pStyle w:val="a5"/>
        <w:snapToGrid w:val="0"/>
        <w:spacing w:line="440" w:lineRule="exact"/>
        <w:ind w:left="2880" w:hanging="2340"/>
        <w:jc w:val="both"/>
        <w:rPr>
          <w:rFonts w:ascii="標楷體" w:hAnsi="標楷體" w:hint="eastAsia"/>
          <w:b/>
          <w:sz w:val="32"/>
          <w:szCs w:val="32"/>
        </w:rPr>
      </w:pPr>
      <w:r w:rsidRPr="00057CD7">
        <w:rPr>
          <w:rFonts w:ascii="標楷體" w:hAnsi="標楷體" w:hint="eastAsia"/>
          <w:b/>
          <w:sz w:val="32"/>
          <w:szCs w:val="32"/>
        </w:rPr>
        <w:t>一、本案採購金額：新臺幣（以下同）290萬元整。</w:t>
      </w:r>
    </w:p>
    <w:p w:rsidR="00A330B2" w:rsidRPr="00057CD7" w:rsidRDefault="00A330B2" w:rsidP="00A330B2">
      <w:pPr>
        <w:pStyle w:val="a5"/>
        <w:snapToGrid w:val="0"/>
        <w:spacing w:line="440" w:lineRule="exact"/>
        <w:ind w:leftChars="450" w:left="1980" w:hangingChars="321" w:hanging="900"/>
        <w:jc w:val="both"/>
        <w:rPr>
          <w:rFonts w:ascii="標楷體" w:hAnsi="標楷體" w:hint="eastAsia"/>
          <w:sz w:val="28"/>
        </w:rPr>
      </w:pPr>
      <w:r w:rsidRPr="00057CD7">
        <w:rPr>
          <w:rFonts w:ascii="標楷體" w:hAnsi="標楷體" w:hint="eastAsia"/>
          <w:b/>
          <w:sz w:val="28"/>
        </w:rPr>
        <w:t>（一）本案</w:t>
      </w:r>
      <w:r w:rsidRPr="00057CD7">
        <w:rPr>
          <w:rFonts w:ascii="標楷體" w:hAnsi="標楷體" w:hint="eastAsia"/>
          <w:b/>
          <w:sz w:val="28"/>
          <w:szCs w:val="28"/>
          <w:u w:val="single"/>
        </w:rPr>
        <w:t>預算金額</w:t>
      </w:r>
      <w:r w:rsidRPr="00057CD7">
        <w:rPr>
          <w:rFonts w:ascii="標楷體" w:hAnsi="標楷體" w:hint="eastAsia"/>
          <w:b/>
          <w:sz w:val="28"/>
          <w:szCs w:val="28"/>
        </w:rPr>
        <w:t>：</w:t>
      </w:r>
      <w:r w:rsidRPr="00057CD7">
        <w:rPr>
          <w:rFonts w:ascii="標楷體" w:hAnsi="標楷體" w:hint="eastAsia"/>
          <w:b/>
          <w:sz w:val="28"/>
          <w:szCs w:val="28"/>
          <w:u w:val="single"/>
        </w:rPr>
        <w:t>290萬元整</w:t>
      </w:r>
      <w:r w:rsidRPr="00057CD7">
        <w:rPr>
          <w:rFonts w:ascii="標楷體" w:hAnsi="標楷體" w:hint="eastAsia"/>
          <w:b/>
          <w:sz w:val="28"/>
          <w:szCs w:val="28"/>
        </w:rPr>
        <w:t>，內容如下：</w:t>
      </w:r>
      <w:r w:rsidRPr="00057CD7">
        <w:rPr>
          <w:rFonts w:ascii="標楷體" w:hAnsi="標楷體" w:hint="eastAsia"/>
          <w:sz w:val="28"/>
        </w:rPr>
        <w:t xml:space="preserve"> </w:t>
      </w:r>
    </w:p>
    <w:p w:rsidR="00A330B2" w:rsidRPr="00057CD7" w:rsidRDefault="00A330B2" w:rsidP="00A330B2">
      <w:pPr>
        <w:pStyle w:val="a5"/>
        <w:snapToGrid w:val="0"/>
        <w:spacing w:line="440" w:lineRule="exact"/>
        <w:ind w:leftChars="674" w:left="1618" w:firstLineChars="129" w:firstLine="310"/>
        <w:jc w:val="both"/>
        <w:rPr>
          <w:rFonts w:ascii="標楷體" w:hAnsi="標楷體" w:hint="eastAsia"/>
          <w:b/>
          <w:sz w:val="28"/>
          <w:szCs w:val="28"/>
        </w:rPr>
      </w:pPr>
      <w:r w:rsidRPr="00057CD7">
        <w:rPr>
          <w:rFonts w:hint="eastAsia"/>
          <w:sz w:val="24"/>
        </w:rPr>
        <w:t>■</w:t>
      </w:r>
      <w:r w:rsidRPr="00057CD7">
        <w:rPr>
          <w:rFonts w:ascii="標楷體" w:hAnsi="標楷體" w:hint="eastAsia"/>
          <w:b/>
          <w:sz w:val="28"/>
          <w:szCs w:val="28"/>
        </w:rPr>
        <w:t xml:space="preserve"> </w:t>
      </w:r>
      <w:r w:rsidRPr="00057CD7">
        <w:rPr>
          <w:rFonts w:hint="eastAsia"/>
          <w:b/>
          <w:sz w:val="28"/>
          <w:szCs w:val="28"/>
        </w:rPr>
        <w:t>委託服務費用</w:t>
      </w:r>
      <w:r w:rsidRPr="00057CD7">
        <w:rPr>
          <w:rFonts w:ascii="標楷體" w:hAnsi="標楷體" w:hint="eastAsia"/>
          <w:b/>
          <w:sz w:val="28"/>
          <w:szCs w:val="28"/>
        </w:rPr>
        <w:t>：</w:t>
      </w:r>
      <w:r w:rsidRPr="00057CD7">
        <w:rPr>
          <w:rFonts w:ascii="標楷體" w:hAnsi="標楷體" w:hint="eastAsia"/>
          <w:b/>
          <w:sz w:val="28"/>
          <w:szCs w:val="28"/>
          <w:u w:val="single"/>
        </w:rPr>
        <w:t>290萬元整</w:t>
      </w:r>
      <w:r w:rsidRPr="00057CD7">
        <w:rPr>
          <w:rFonts w:ascii="標楷體" w:hAnsi="標楷體" w:hint="eastAsia"/>
          <w:b/>
          <w:sz w:val="28"/>
          <w:szCs w:val="28"/>
        </w:rPr>
        <w:t>。</w:t>
      </w:r>
    </w:p>
    <w:bookmarkEnd w:id="0"/>
    <w:p w:rsidR="00C0042A" w:rsidRPr="00A330B2" w:rsidRDefault="00C0042A">
      <w:pPr>
        <w:pStyle w:val="Textbody"/>
        <w:spacing w:line="480" w:lineRule="atLeast"/>
        <w:ind w:left="2880" w:hanging="2340"/>
        <w:jc w:val="both"/>
        <w:rPr>
          <w:rFonts w:ascii="標楷體" w:eastAsia="標楷體" w:hAnsi="標楷體"/>
          <w:lang w:eastAsia="zh-TW"/>
        </w:rPr>
      </w:pPr>
    </w:p>
    <w:sectPr w:rsidR="00C0042A" w:rsidRPr="00A330B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CD" w:rsidRDefault="00C51181">
      <w:r>
        <w:separator/>
      </w:r>
    </w:p>
  </w:endnote>
  <w:endnote w:type="continuationSeparator" w:id="0">
    <w:p w:rsidR="00D363CD" w:rsidRDefault="00C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CD" w:rsidRDefault="00C51181">
      <w:r>
        <w:rPr>
          <w:color w:val="000000"/>
        </w:rPr>
        <w:separator/>
      </w:r>
    </w:p>
  </w:footnote>
  <w:footnote w:type="continuationSeparator" w:id="0">
    <w:p w:rsidR="00D363CD" w:rsidRDefault="00C5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4124"/>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C87D5C"/>
    <w:multiLevelType w:val="hybridMultilevel"/>
    <w:tmpl w:val="163088B8"/>
    <w:lvl w:ilvl="0" w:tplc="70E2EBE8">
      <w:start w:val="1"/>
      <w:numFmt w:val="ideographLegalTraditional"/>
      <w:lvlText w:val="%1、"/>
      <w:lvlJc w:val="left"/>
      <w:pPr>
        <w:tabs>
          <w:tab w:val="num" w:pos="720"/>
        </w:tabs>
        <w:ind w:left="720" w:hanging="720"/>
      </w:pPr>
      <w:rPr>
        <w:rFonts w:ascii="標楷體" w:eastAsia="標楷體" w:hAnsi="標楷體" w:hint="eastAsia"/>
      </w:rPr>
    </w:lvl>
    <w:lvl w:ilvl="1" w:tplc="BD9EF0CC">
      <w:start w:val="1"/>
      <w:numFmt w:val="taiwaneseCountingThousand"/>
      <w:lvlText w:val="%2、"/>
      <w:lvlJc w:val="left"/>
      <w:pPr>
        <w:tabs>
          <w:tab w:val="num" w:pos="1200"/>
        </w:tabs>
        <w:ind w:left="1200" w:hanging="720"/>
      </w:pPr>
      <w:rPr>
        <w:rFonts w:hint="eastAsia"/>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6823951"/>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DB6D54"/>
    <w:multiLevelType w:val="hybridMultilevel"/>
    <w:tmpl w:val="3C5280DA"/>
    <w:lvl w:ilvl="0" w:tplc="0409000F">
      <w:start w:val="1"/>
      <w:numFmt w:val="decimal"/>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C585A3D"/>
    <w:multiLevelType w:val="hybridMultilevel"/>
    <w:tmpl w:val="A01CBC0A"/>
    <w:lvl w:ilvl="0" w:tplc="0409000F">
      <w:start w:val="1"/>
      <w:numFmt w:val="decimal"/>
      <w:lvlText w:val="%1."/>
      <w:lvlJc w:val="left"/>
      <w:pPr>
        <w:ind w:left="622" w:hanging="480"/>
      </w:pPr>
    </w:lvl>
    <w:lvl w:ilvl="1" w:tplc="A86E369C">
      <w:start w:val="1"/>
      <w:numFmt w:val="taiwaneseCountingThousand"/>
      <w:lvlText w:val="(%2)"/>
      <w:lvlJc w:val="left"/>
      <w:pPr>
        <w:ind w:left="1342" w:hanging="720"/>
      </w:pPr>
      <w:rPr>
        <w:rFonts w:hint="default"/>
      </w:rPr>
    </w:lvl>
    <w:lvl w:ilvl="2" w:tplc="4F60AF6A">
      <w:start w:val="1"/>
      <w:numFmt w:val="decimal"/>
      <w:lvlText w:val="%3."/>
      <w:lvlJc w:val="left"/>
      <w:pPr>
        <w:ind w:left="1462" w:hanging="360"/>
      </w:pPr>
      <w:rPr>
        <w:rFonts w:ascii="Times New Roman" w:hAnsi="Times New Roman" w:cs="Times New Roman" w:hint="default"/>
        <w:sz w:val="28"/>
        <w:szCs w:val="28"/>
      </w:rPr>
    </w:lvl>
    <w:lvl w:ilvl="3" w:tplc="04090011">
      <w:start w:val="1"/>
      <w:numFmt w:val="upperLetter"/>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2A"/>
    <w:rsid w:val="00057CD7"/>
    <w:rsid w:val="002E27ED"/>
    <w:rsid w:val="006143EF"/>
    <w:rsid w:val="0090771E"/>
    <w:rsid w:val="00A330B2"/>
    <w:rsid w:val="00C0042A"/>
    <w:rsid w:val="00C51181"/>
    <w:rsid w:val="00D36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6485C-C867-4C12-9A1C-4AE107A3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ody Text"/>
    <w:basedOn w:val="a"/>
    <w:link w:val="a6"/>
    <w:rsid w:val="0090771E"/>
    <w:pPr>
      <w:suppressAutoHyphens w:val="0"/>
      <w:autoSpaceDN/>
      <w:jc w:val="center"/>
      <w:textAlignment w:val="auto"/>
    </w:pPr>
    <w:rPr>
      <w:rFonts w:eastAsia="標楷體" w:cs="Times New Roman"/>
      <w:kern w:val="2"/>
      <w:sz w:val="30"/>
      <w:lang w:eastAsia="zh-TW" w:bidi="ar-SA"/>
    </w:rPr>
  </w:style>
  <w:style w:type="character" w:customStyle="1" w:styleId="a6">
    <w:name w:val="本文 字元"/>
    <w:basedOn w:val="a0"/>
    <w:link w:val="a5"/>
    <w:rsid w:val="0090771E"/>
    <w:rPr>
      <w:rFonts w:eastAsia="標楷體" w:cs="Times New Roman"/>
      <w:kern w:val="2"/>
      <w:sz w:val="30"/>
      <w:lang w:eastAsia="zh-TW" w:bidi="ar-SA"/>
    </w:rPr>
  </w:style>
  <w:style w:type="paragraph" w:styleId="2">
    <w:name w:val="Body Text Indent 2"/>
    <w:basedOn w:val="a"/>
    <w:link w:val="20"/>
    <w:rsid w:val="0090771E"/>
    <w:pPr>
      <w:widowControl/>
      <w:tabs>
        <w:tab w:val="left" w:pos="480"/>
      </w:tabs>
      <w:suppressAutoHyphens w:val="0"/>
      <w:autoSpaceDN/>
      <w:snapToGrid w:val="0"/>
      <w:spacing w:line="360" w:lineRule="auto"/>
      <w:ind w:left="540"/>
      <w:textAlignment w:val="auto"/>
    </w:pPr>
    <w:rPr>
      <w:rFonts w:ascii="標楷體" w:eastAsia="標楷體" w:hAnsi="標楷體" w:cs="Times New Roman"/>
      <w:kern w:val="2"/>
      <w:sz w:val="28"/>
      <w:lang w:eastAsia="zh-TW" w:bidi="ar-SA"/>
    </w:rPr>
  </w:style>
  <w:style w:type="character" w:customStyle="1" w:styleId="20">
    <w:name w:val="本文縮排 2 字元"/>
    <w:basedOn w:val="a0"/>
    <w:link w:val="2"/>
    <w:rsid w:val="0090771E"/>
    <w:rPr>
      <w:rFonts w:ascii="標楷體" w:eastAsia="標楷體" w:hAnsi="標楷體" w:cs="Times New Roman"/>
      <w:kern w:val="2"/>
      <w:sz w:val="28"/>
      <w:lang w:eastAsia="zh-TW" w:bidi="ar-SA"/>
    </w:rPr>
  </w:style>
  <w:style w:type="paragraph" w:styleId="a7">
    <w:name w:val="List Paragraph"/>
    <w:aliases w:val="標題一,標題 (4),List Paragraph,List Paragraph1,卑南壹,詳細說明,Footnote Sam,List Paragraph (numbered (a)),Text,Noise heading,RUS List,Rec para,Dot pt,F5 List Paragraph,No Spacing1,List Paragraph Char Char Char,Indicator Text,Numbered Para 1,Recommendation,L,表名"/>
    <w:basedOn w:val="a"/>
    <w:link w:val="a8"/>
    <w:uiPriority w:val="34"/>
    <w:qFormat/>
    <w:rsid w:val="00A330B2"/>
    <w:pPr>
      <w:widowControl/>
      <w:suppressAutoHyphens w:val="0"/>
      <w:autoSpaceDN/>
      <w:ind w:leftChars="200" w:left="480"/>
      <w:textAlignment w:val="auto"/>
    </w:pPr>
    <w:rPr>
      <w:rFonts w:ascii="Calibri" w:eastAsia="新細明體" w:hAnsi="Calibri" w:cs="新細明體"/>
      <w:kern w:val="0"/>
      <w:lang w:eastAsia="zh-TW" w:bidi="ar-SA"/>
    </w:rPr>
  </w:style>
  <w:style w:type="character" w:customStyle="1" w:styleId="a8">
    <w:name w:val="清單段落 字元"/>
    <w:aliases w:val="標題一 字元,標題 (4) 字元,List Paragraph 字元,List Paragraph1 字元,卑南壹 字元,詳細說明 字元,Footnote Sam 字元,List Paragraph (numbered (a)) 字元,Text 字元,Noise heading 字元,RUS List 字元,Rec para 字元,Dot pt 字元,F5 List Paragraph 字元,No Spacing1 字元,List Paragraph Char Char Char 字元"/>
    <w:link w:val="a7"/>
    <w:uiPriority w:val="34"/>
    <w:qFormat/>
    <w:locked/>
    <w:rsid w:val="00A330B2"/>
    <w:rPr>
      <w:rFonts w:ascii="Calibri" w:eastAsia="新細明體" w:hAnsi="Calibri" w:cs="新細明體"/>
      <w:kern w:val="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243</Words>
  <Characters>1386</Characters>
  <Application>Microsoft Office Word</Application>
  <DocSecurity>0</DocSecurity>
  <Lines>11</Lines>
  <Paragraphs>3</Paragraphs>
  <ScaleCrop>false</ScaleCrop>
  <Company>HP Inc.</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中醫藥司陳穎蓉</dc:creator>
  <cp:lastModifiedBy>中醫藥司陳穎蓉</cp:lastModifiedBy>
  <cp:revision>5</cp:revision>
  <dcterms:created xsi:type="dcterms:W3CDTF">2021-02-04T09:18:00Z</dcterms:created>
  <dcterms:modified xsi:type="dcterms:W3CDTF">2021-02-17T01:22:00Z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