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6381" w:rsidRDefault="00C054A2">
      <w:pPr>
        <w:jc w:val="center"/>
        <w:rPr>
          <w:rFonts w:ascii="標楷體" w:eastAsia="標楷體" w:hAnsi="標楷體"/>
          <w:b/>
          <w:sz w:val="36"/>
        </w:rPr>
      </w:pPr>
      <w:bookmarkStart w:id="0" w:name="_GoBack"/>
      <w:bookmarkEnd w:id="0"/>
      <w:r>
        <w:rPr>
          <w:rFonts w:ascii="標楷體" w:eastAsia="標楷體" w:hAnsi="標楷體"/>
          <w:b/>
          <w:sz w:val="36"/>
        </w:rPr>
        <w:t>附表1、衛生福利部鬆綁成果</w:t>
      </w:r>
    </w:p>
    <w:tbl>
      <w:tblPr>
        <w:tblW w:w="14014" w:type="dxa"/>
        <w:tblLayout w:type="fixed"/>
        <w:tblCellMar>
          <w:left w:w="10" w:type="dxa"/>
          <w:right w:w="10" w:type="dxa"/>
        </w:tblCellMar>
        <w:tblLook w:val="0000" w:firstRow="0" w:lastRow="0" w:firstColumn="0" w:lastColumn="0" w:noHBand="0" w:noVBand="0"/>
      </w:tblPr>
      <w:tblGrid>
        <w:gridCol w:w="584"/>
        <w:gridCol w:w="1560"/>
        <w:gridCol w:w="1982"/>
        <w:gridCol w:w="1951"/>
        <w:gridCol w:w="5400"/>
        <w:gridCol w:w="2537"/>
      </w:tblGrid>
      <w:tr w:rsidR="00596381">
        <w:tblPrEx>
          <w:tblCellMar>
            <w:top w:w="0" w:type="dxa"/>
            <w:bottom w:w="0" w:type="dxa"/>
          </w:tblCellMar>
        </w:tblPrEx>
        <w:tc>
          <w:tcPr>
            <w:tcW w:w="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6381" w:rsidRDefault="00C054A2">
            <w:pPr>
              <w:snapToGrid w:val="0"/>
              <w:spacing w:line="264" w:lineRule="auto"/>
              <w:jc w:val="center"/>
              <w:rPr>
                <w:rFonts w:ascii="標楷體" w:eastAsia="標楷體" w:hAnsi="標楷體"/>
                <w:sz w:val="28"/>
                <w:szCs w:val="32"/>
              </w:rPr>
            </w:pPr>
            <w:r>
              <w:rPr>
                <w:rFonts w:ascii="標楷體" w:eastAsia="標楷體" w:hAnsi="標楷體"/>
                <w:sz w:val="28"/>
                <w:szCs w:val="32"/>
              </w:rPr>
              <w:t>編號</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6381" w:rsidRDefault="00C054A2">
            <w:pPr>
              <w:snapToGrid w:val="0"/>
              <w:spacing w:line="264" w:lineRule="auto"/>
              <w:jc w:val="center"/>
            </w:pPr>
            <w:r>
              <w:rPr>
                <w:rFonts w:ascii="標楷體" w:eastAsia="標楷體" w:hAnsi="標楷體"/>
                <w:sz w:val="28"/>
                <w:szCs w:val="32"/>
              </w:rPr>
              <w:t>修正規定</w:t>
            </w:r>
            <w:r>
              <w:rPr>
                <w:rFonts w:ascii="標楷體" w:eastAsia="標楷體" w:hAnsi="標楷體"/>
                <w:szCs w:val="24"/>
              </w:rPr>
              <w:t>(條號)</w:t>
            </w:r>
          </w:p>
        </w:tc>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6381" w:rsidRDefault="00C054A2">
            <w:pPr>
              <w:snapToGrid w:val="0"/>
              <w:spacing w:line="264" w:lineRule="auto"/>
              <w:jc w:val="center"/>
              <w:rPr>
                <w:rFonts w:ascii="標楷體" w:eastAsia="標楷體" w:hAnsi="標楷體"/>
                <w:sz w:val="28"/>
                <w:szCs w:val="32"/>
              </w:rPr>
            </w:pPr>
            <w:r>
              <w:rPr>
                <w:rFonts w:ascii="標楷體" w:eastAsia="標楷體" w:hAnsi="標楷體"/>
                <w:sz w:val="28"/>
                <w:szCs w:val="32"/>
              </w:rPr>
              <w:t>修正前</w:t>
            </w:r>
          </w:p>
        </w:tc>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6381" w:rsidRDefault="00C054A2">
            <w:pPr>
              <w:snapToGrid w:val="0"/>
              <w:spacing w:line="264" w:lineRule="auto"/>
              <w:jc w:val="center"/>
              <w:rPr>
                <w:rFonts w:ascii="標楷體" w:eastAsia="標楷體" w:hAnsi="標楷體"/>
                <w:sz w:val="28"/>
                <w:szCs w:val="32"/>
              </w:rPr>
            </w:pPr>
            <w:r>
              <w:rPr>
                <w:rFonts w:ascii="標楷體" w:eastAsia="標楷體" w:hAnsi="標楷體"/>
                <w:sz w:val="28"/>
                <w:szCs w:val="32"/>
              </w:rPr>
              <w:t>修正後</w:t>
            </w:r>
          </w:p>
        </w:tc>
        <w:tc>
          <w:tcPr>
            <w:tcW w:w="5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6381" w:rsidRDefault="00C054A2">
            <w:pPr>
              <w:snapToGrid w:val="0"/>
              <w:spacing w:line="264" w:lineRule="auto"/>
              <w:jc w:val="center"/>
              <w:rPr>
                <w:rFonts w:ascii="標楷體" w:eastAsia="標楷體" w:hAnsi="標楷體"/>
                <w:sz w:val="28"/>
                <w:szCs w:val="28"/>
              </w:rPr>
            </w:pPr>
            <w:r>
              <w:rPr>
                <w:rFonts w:ascii="標楷體" w:eastAsia="標楷體" w:hAnsi="標楷體"/>
                <w:sz w:val="28"/>
                <w:szCs w:val="28"/>
              </w:rPr>
              <w:t>鬆綁效益</w:t>
            </w:r>
          </w:p>
          <w:p w:rsidR="00596381" w:rsidRDefault="00C054A2">
            <w:pPr>
              <w:snapToGrid w:val="0"/>
              <w:spacing w:line="264" w:lineRule="auto"/>
              <w:jc w:val="center"/>
              <w:rPr>
                <w:rFonts w:ascii="標楷體" w:eastAsia="標楷體" w:hAnsi="標楷體"/>
                <w:szCs w:val="24"/>
              </w:rPr>
            </w:pPr>
            <w:r>
              <w:rPr>
                <w:rFonts w:ascii="標楷體" w:eastAsia="標楷體" w:hAnsi="標楷體"/>
                <w:szCs w:val="24"/>
              </w:rPr>
              <w:t>(包括修正前之影響對象及修正後之受惠對象)</w:t>
            </w:r>
          </w:p>
        </w:tc>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96381" w:rsidRDefault="00C054A2">
            <w:pPr>
              <w:snapToGrid w:val="0"/>
              <w:spacing w:line="264" w:lineRule="auto"/>
              <w:jc w:val="center"/>
              <w:rPr>
                <w:rFonts w:ascii="標楷體" w:eastAsia="標楷體" w:hAnsi="標楷體"/>
                <w:sz w:val="28"/>
                <w:szCs w:val="32"/>
              </w:rPr>
            </w:pPr>
            <w:r>
              <w:rPr>
                <w:rFonts w:ascii="標楷體" w:eastAsia="標楷體" w:hAnsi="標楷體"/>
                <w:sz w:val="28"/>
                <w:szCs w:val="32"/>
              </w:rPr>
              <w:t>發布日期</w:t>
            </w:r>
          </w:p>
          <w:p w:rsidR="00596381" w:rsidRDefault="00C054A2">
            <w:pPr>
              <w:snapToGrid w:val="0"/>
              <w:spacing w:line="264" w:lineRule="auto"/>
              <w:jc w:val="center"/>
              <w:rPr>
                <w:rFonts w:ascii="標楷體" w:eastAsia="標楷體" w:hAnsi="標楷體"/>
                <w:szCs w:val="24"/>
              </w:rPr>
            </w:pPr>
            <w:r>
              <w:rPr>
                <w:rFonts w:ascii="標楷體" w:eastAsia="標楷體" w:hAnsi="標楷體"/>
                <w:szCs w:val="24"/>
              </w:rPr>
              <w:t>(發布網址)</w:t>
            </w:r>
          </w:p>
        </w:tc>
      </w:tr>
      <w:tr w:rsidR="00596381">
        <w:tblPrEx>
          <w:tblCellMar>
            <w:top w:w="0" w:type="dxa"/>
            <w:bottom w:w="0" w:type="dxa"/>
          </w:tblCellMar>
        </w:tblPrEx>
        <w:tc>
          <w:tcPr>
            <w:tcW w:w="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6381" w:rsidRDefault="00C054A2">
            <w:pPr>
              <w:rPr>
                <w:rFonts w:ascii="標楷體" w:eastAsia="標楷體" w:hAnsi="標楷體"/>
                <w:szCs w:val="24"/>
              </w:rPr>
            </w:pPr>
            <w:r>
              <w:rPr>
                <w:rFonts w:ascii="標楷體" w:eastAsia="標楷體" w:hAnsi="標楷體"/>
                <w:szCs w:val="24"/>
              </w:rPr>
              <w:t>1</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6381" w:rsidRDefault="00C054A2">
            <w:pPr>
              <w:jc w:val="both"/>
              <w:rPr>
                <w:rFonts w:ascii="標楷體" w:eastAsia="標楷體" w:hAnsi="標楷體"/>
                <w:szCs w:val="24"/>
              </w:rPr>
            </w:pPr>
            <w:r>
              <w:rPr>
                <w:rFonts w:ascii="標楷體" w:eastAsia="標楷體" w:hAnsi="標楷體"/>
                <w:szCs w:val="24"/>
              </w:rPr>
              <w:t>修正「包裝維生素礦物質類之錠狀膠囊狀食品營養標示應遵行事項」(第3點、第5點、第7點)</w:t>
            </w:r>
          </w:p>
          <w:p w:rsidR="00596381" w:rsidRDefault="00596381">
            <w:pPr>
              <w:rPr>
                <w:rFonts w:ascii="標楷體" w:eastAsia="標楷體" w:hAnsi="標楷體"/>
                <w:szCs w:val="24"/>
              </w:rPr>
            </w:pPr>
          </w:p>
          <w:p w:rsidR="00596381" w:rsidRDefault="00C054A2">
            <w:pPr>
              <w:jc w:val="both"/>
              <w:rPr>
                <w:rFonts w:ascii="標楷體" w:eastAsia="標楷體" w:hAnsi="標楷體"/>
                <w:szCs w:val="24"/>
              </w:rPr>
            </w:pPr>
            <w:r>
              <w:rPr>
                <w:rFonts w:ascii="標楷體" w:eastAsia="標楷體" w:hAnsi="標楷體"/>
                <w:szCs w:val="24"/>
              </w:rPr>
              <w:t>依據：</w:t>
            </w:r>
          </w:p>
          <w:p w:rsidR="00596381" w:rsidRDefault="00C054A2">
            <w:pPr>
              <w:jc w:val="both"/>
              <w:rPr>
                <w:rFonts w:ascii="標楷體" w:eastAsia="標楷體" w:hAnsi="標楷體"/>
                <w:szCs w:val="24"/>
              </w:rPr>
            </w:pPr>
            <w:r>
              <w:rPr>
                <w:rFonts w:ascii="標楷體" w:eastAsia="標楷體" w:hAnsi="標楷體"/>
                <w:szCs w:val="24"/>
              </w:rPr>
              <w:t>食品安全衛生管理法第22條第3項</w:t>
            </w:r>
          </w:p>
        </w:tc>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6381" w:rsidRDefault="00C054A2">
            <w:pPr>
              <w:jc w:val="both"/>
              <w:rPr>
                <w:rFonts w:ascii="標楷體" w:eastAsia="標楷體" w:hAnsi="標楷體"/>
                <w:szCs w:val="24"/>
              </w:rPr>
            </w:pPr>
            <w:r>
              <w:rPr>
                <w:rFonts w:ascii="標楷體" w:eastAsia="標楷體" w:hAnsi="標楷體"/>
                <w:szCs w:val="24"/>
              </w:rPr>
              <w:t>1、格式規範為強制規定。</w:t>
            </w:r>
          </w:p>
          <w:p w:rsidR="00596381" w:rsidRDefault="00C054A2">
            <w:pPr>
              <w:jc w:val="both"/>
              <w:rPr>
                <w:rFonts w:ascii="標楷體" w:eastAsia="標楷體" w:hAnsi="標楷體"/>
                <w:szCs w:val="24"/>
              </w:rPr>
            </w:pPr>
            <w:r>
              <w:rPr>
                <w:rFonts w:ascii="標楷體" w:eastAsia="標楷體" w:hAnsi="標楷體"/>
                <w:szCs w:val="24"/>
              </w:rPr>
              <w:t>2、不得將營養標示部分做分割標示。</w:t>
            </w:r>
          </w:p>
          <w:p w:rsidR="00596381" w:rsidRDefault="00C054A2">
            <w:pPr>
              <w:jc w:val="both"/>
              <w:rPr>
                <w:rFonts w:ascii="標楷體" w:eastAsia="標楷體" w:hAnsi="標楷體"/>
                <w:szCs w:val="24"/>
              </w:rPr>
            </w:pPr>
            <w:r>
              <w:rPr>
                <w:rFonts w:ascii="標楷體" w:eastAsia="標楷體" w:hAnsi="標楷體"/>
                <w:szCs w:val="24"/>
              </w:rPr>
              <w:t>3、每日參考值百分比應以整數標示。</w:t>
            </w:r>
          </w:p>
          <w:p w:rsidR="00596381" w:rsidRDefault="00C054A2">
            <w:pPr>
              <w:jc w:val="both"/>
              <w:rPr>
                <w:rFonts w:ascii="標楷體" w:eastAsia="標楷體" w:hAnsi="標楷體"/>
                <w:szCs w:val="24"/>
              </w:rPr>
            </w:pPr>
            <w:r>
              <w:rPr>
                <w:rFonts w:ascii="標楷體" w:eastAsia="標楷體" w:hAnsi="標楷體"/>
                <w:szCs w:val="24"/>
              </w:rPr>
              <w:t>4、數據修整方式應比照CNS2925標準。</w:t>
            </w:r>
          </w:p>
        </w:tc>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6381" w:rsidRDefault="00C054A2">
            <w:pPr>
              <w:jc w:val="both"/>
              <w:rPr>
                <w:rFonts w:ascii="標楷體" w:eastAsia="標楷體" w:hAnsi="標楷體"/>
                <w:szCs w:val="24"/>
              </w:rPr>
            </w:pPr>
            <w:r>
              <w:rPr>
                <w:rFonts w:ascii="標楷體" w:eastAsia="標楷體" w:hAnsi="標楷體"/>
                <w:szCs w:val="24"/>
              </w:rPr>
              <w:t>1、格式規範改為參考範例。</w:t>
            </w:r>
          </w:p>
          <w:p w:rsidR="00596381" w:rsidRDefault="00C054A2">
            <w:pPr>
              <w:jc w:val="both"/>
              <w:rPr>
                <w:rFonts w:ascii="標楷體" w:eastAsia="標楷體" w:hAnsi="標楷體"/>
                <w:szCs w:val="24"/>
              </w:rPr>
            </w:pPr>
            <w:r>
              <w:rPr>
                <w:rFonts w:ascii="標楷體" w:eastAsia="標楷體" w:hAnsi="標楷體"/>
                <w:szCs w:val="24"/>
              </w:rPr>
              <w:t>2、每日參考值百分比得以整數或至小數點後1位標示。</w:t>
            </w:r>
          </w:p>
          <w:p w:rsidR="00596381" w:rsidRDefault="00C054A2">
            <w:pPr>
              <w:jc w:val="both"/>
              <w:rPr>
                <w:rFonts w:ascii="標楷體" w:eastAsia="標楷體" w:hAnsi="標楷體"/>
                <w:szCs w:val="24"/>
              </w:rPr>
            </w:pPr>
            <w:r>
              <w:rPr>
                <w:rFonts w:ascii="標楷體" w:eastAsia="標楷體" w:hAnsi="標楷體"/>
                <w:szCs w:val="24"/>
              </w:rPr>
              <w:t>3、增訂切割表格。</w:t>
            </w:r>
          </w:p>
          <w:p w:rsidR="00596381" w:rsidRDefault="00C054A2">
            <w:pPr>
              <w:jc w:val="both"/>
              <w:rPr>
                <w:rFonts w:ascii="標楷體" w:eastAsia="標楷體" w:hAnsi="標楷體"/>
                <w:szCs w:val="24"/>
              </w:rPr>
            </w:pPr>
            <w:r>
              <w:rPr>
                <w:rFonts w:ascii="標楷體" w:eastAsia="標楷體" w:hAnsi="標楷體"/>
                <w:szCs w:val="24"/>
              </w:rPr>
              <w:t>4、增訂四捨五入之數據修整方式。</w:t>
            </w:r>
          </w:p>
          <w:p w:rsidR="00596381" w:rsidRDefault="00C054A2">
            <w:pPr>
              <w:jc w:val="both"/>
              <w:rPr>
                <w:rFonts w:ascii="標楷體" w:eastAsia="標楷體" w:hAnsi="標楷體"/>
                <w:szCs w:val="24"/>
              </w:rPr>
            </w:pPr>
            <w:r>
              <w:rPr>
                <w:rFonts w:ascii="標楷體" w:eastAsia="標楷體" w:hAnsi="標楷體"/>
                <w:szCs w:val="24"/>
              </w:rPr>
              <w:t>5、原格式符合修正前規定者，不用修改。</w:t>
            </w:r>
          </w:p>
        </w:tc>
        <w:tc>
          <w:tcPr>
            <w:tcW w:w="5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6381" w:rsidRDefault="00C054A2">
            <w:pPr>
              <w:rPr>
                <w:rFonts w:ascii="標楷體" w:eastAsia="標楷體" w:hAnsi="標楷體"/>
                <w:szCs w:val="24"/>
              </w:rPr>
            </w:pPr>
            <w:r>
              <w:rPr>
                <w:rFonts w:ascii="標楷體" w:eastAsia="標楷體" w:hAnsi="標楷體"/>
                <w:szCs w:val="24"/>
              </w:rPr>
              <w:t>1、更利於業者實務執行以及落實營養標示制度。</w:t>
            </w:r>
          </w:p>
          <w:p w:rsidR="00596381" w:rsidRDefault="00C054A2">
            <w:pPr>
              <w:rPr>
                <w:rFonts w:ascii="標楷體" w:eastAsia="標楷體" w:hAnsi="標楷體"/>
                <w:szCs w:val="24"/>
              </w:rPr>
            </w:pPr>
            <w:r>
              <w:rPr>
                <w:rFonts w:ascii="標楷體" w:eastAsia="標楷體" w:hAnsi="標楷體"/>
                <w:szCs w:val="24"/>
              </w:rPr>
              <w:t>2、消費者可獲取更明確營養資訊，做為選購之參考。</w:t>
            </w:r>
          </w:p>
          <w:p w:rsidR="00596381" w:rsidRDefault="00C054A2">
            <w:pPr>
              <w:rPr>
                <w:rFonts w:ascii="標楷體" w:eastAsia="標楷體" w:hAnsi="標楷體"/>
                <w:szCs w:val="24"/>
              </w:rPr>
            </w:pPr>
            <w:r>
              <w:rPr>
                <w:rFonts w:ascii="標楷體" w:eastAsia="標楷體" w:hAnsi="標楷體"/>
                <w:szCs w:val="24"/>
              </w:rPr>
              <w:t>3、影響及受惠對象：所有包裝食品業者、消費者及衛生單位。</w:t>
            </w:r>
          </w:p>
        </w:tc>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6381" w:rsidRDefault="00C054A2">
            <w:pPr>
              <w:rPr>
                <w:rFonts w:ascii="標楷體" w:eastAsia="標楷體" w:hAnsi="標楷體"/>
                <w:szCs w:val="24"/>
              </w:rPr>
            </w:pPr>
            <w:r>
              <w:rPr>
                <w:rFonts w:ascii="標楷體" w:eastAsia="標楷體" w:hAnsi="標楷體"/>
                <w:szCs w:val="24"/>
              </w:rPr>
              <w:t>108年11月7日公告生效</w:t>
            </w:r>
          </w:p>
          <w:p w:rsidR="00596381" w:rsidRDefault="00C054A2">
            <w:pPr>
              <w:rPr>
                <w:rFonts w:ascii="標楷體" w:eastAsia="標楷體" w:hAnsi="標楷體"/>
                <w:szCs w:val="24"/>
              </w:rPr>
            </w:pPr>
            <w:r>
              <w:rPr>
                <w:rFonts w:ascii="標楷體" w:eastAsia="標楷體" w:hAnsi="標楷體"/>
                <w:szCs w:val="24"/>
              </w:rPr>
              <w:t>http://www.fda.gov.tw/TC/newsContent.aspx?cid=3&amp;id=25734</w:t>
            </w:r>
          </w:p>
        </w:tc>
      </w:tr>
      <w:tr w:rsidR="00596381">
        <w:tblPrEx>
          <w:tblCellMar>
            <w:top w:w="0" w:type="dxa"/>
            <w:bottom w:w="0" w:type="dxa"/>
          </w:tblCellMar>
        </w:tblPrEx>
        <w:tc>
          <w:tcPr>
            <w:tcW w:w="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6381" w:rsidRDefault="00C054A2">
            <w:pPr>
              <w:rPr>
                <w:rFonts w:ascii="標楷體" w:eastAsia="標楷體" w:hAnsi="標楷體"/>
                <w:szCs w:val="24"/>
              </w:rPr>
            </w:pPr>
            <w:r>
              <w:rPr>
                <w:rFonts w:ascii="標楷體" w:eastAsia="標楷體" w:hAnsi="標楷體"/>
                <w:szCs w:val="24"/>
              </w:rPr>
              <w:t>2</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6381" w:rsidRDefault="00C054A2">
            <w:pPr>
              <w:jc w:val="both"/>
              <w:rPr>
                <w:rFonts w:ascii="標楷體" w:eastAsia="標楷體" w:hAnsi="標楷體"/>
                <w:szCs w:val="24"/>
              </w:rPr>
            </w:pPr>
            <w:r>
              <w:rPr>
                <w:rFonts w:ascii="標楷體" w:eastAsia="標楷體" w:hAnsi="標楷體"/>
                <w:szCs w:val="24"/>
              </w:rPr>
              <w:t>衛生福利部所屬醫療機構醫事人員兼任院長副院長及各級醫事主管之任期及遴用辦法第2條之1、第3條及第10條</w:t>
            </w:r>
          </w:p>
          <w:p w:rsidR="00596381" w:rsidRDefault="00596381">
            <w:pPr>
              <w:jc w:val="both"/>
              <w:rPr>
                <w:rFonts w:ascii="標楷體" w:eastAsia="標楷體" w:hAnsi="標楷體"/>
                <w:szCs w:val="24"/>
              </w:rPr>
            </w:pPr>
          </w:p>
          <w:p w:rsidR="00596381" w:rsidRDefault="00C054A2">
            <w:pPr>
              <w:jc w:val="both"/>
              <w:rPr>
                <w:rFonts w:ascii="標楷體" w:eastAsia="標楷體" w:hAnsi="標楷體"/>
                <w:szCs w:val="24"/>
              </w:rPr>
            </w:pPr>
            <w:r>
              <w:rPr>
                <w:rFonts w:ascii="標楷體" w:eastAsia="標楷體" w:hAnsi="標楷體"/>
                <w:szCs w:val="24"/>
              </w:rPr>
              <w:t>依據：</w:t>
            </w:r>
          </w:p>
          <w:p w:rsidR="00596381" w:rsidRDefault="00C054A2">
            <w:pPr>
              <w:jc w:val="both"/>
              <w:rPr>
                <w:rFonts w:ascii="標楷體" w:eastAsia="標楷體" w:hAnsi="標楷體"/>
                <w:szCs w:val="24"/>
              </w:rPr>
            </w:pPr>
            <w:r>
              <w:rPr>
                <w:rFonts w:ascii="標楷體" w:eastAsia="標楷體" w:hAnsi="標楷體"/>
                <w:szCs w:val="24"/>
              </w:rPr>
              <w:t>醫事人員人事條例第14條第2項</w:t>
            </w:r>
          </w:p>
        </w:tc>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6381" w:rsidRDefault="00C054A2">
            <w:pPr>
              <w:jc w:val="both"/>
              <w:rPr>
                <w:rFonts w:ascii="標楷體" w:eastAsia="標楷體" w:hAnsi="標楷體"/>
                <w:szCs w:val="24"/>
              </w:rPr>
            </w:pPr>
            <w:r>
              <w:rPr>
                <w:rFonts w:ascii="標楷體" w:eastAsia="標楷體" w:hAnsi="標楷體"/>
                <w:szCs w:val="24"/>
              </w:rPr>
              <w:lastRenderedPageBreak/>
              <w:t>(第10條)</w:t>
            </w:r>
          </w:p>
          <w:p w:rsidR="00596381" w:rsidRDefault="00C054A2">
            <w:pPr>
              <w:jc w:val="both"/>
              <w:rPr>
                <w:rFonts w:ascii="標楷體" w:eastAsia="標楷體" w:hAnsi="標楷體"/>
                <w:szCs w:val="24"/>
              </w:rPr>
            </w:pPr>
            <w:r>
              <w:rPr>
                <w:rFonts w:ascii="標楷體" w:eastAsia="標楷體" w:hAnsi="標楷體"/>
                <w:szCs w:val="24"/>
              </w:rPr>
              <w:t>1、醫院院長、副院長任期屆滿，應予免兼，並應間隔1年以上，始得重新參加甄選，再次兼任院長、副院長職務。</w:t>
            </w:r>
          </w:p>
          <w:p w:rsidR="00596381" w:rsidRDefault="00C054A2">
            <w:pPr>
              <w:jc w:val="both"/>
              <w:rPr>
                <w:rFonts w:ascii="標楷體" w:eastAsia="標楷體" w:hAnsi="標楷體"/>
                <w:szCs w:val="24"/>
              </w:rPr>
            </w:pPr>
            <w:r>
              <w:rPr>
                <w:rFonts w:ascii="標楷體" w:eastAsia="標楷體" w:hAnsi="標楷體"/>
                <w:szCs w:val="24"/>
              </w:rPr>
              <w:t>2、醫院院長、</w:t>
            </w:r>
            <w:r>
              <w:rPr>
                <w:rFonts w:ascii="標楷體" w:eastAsia="標楷體" w:hAnsi="標楷體"/>
                <w:szCs w:val="24"/>
              </w:rPr>
              <w:lastRenderedPageBreak/>
              <w:t>副院長於任期中，本部得依業務需要於各醫院間調任，其任期應予合併計算。</w:t>
            </w:r>
          </w:p>
        </w:tc>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6381" w:rsidRDefault="00C054A2">
            <w:pPr>
              <w:rPr>
                <w:rFonts w:ascii="標楷體" w:eastAsia="標楷體" w:hAnsi="標楷體"/>
                <w:szCs w:val="24"/>
              </w:rPr>
            </w:pPr>
            <w:r>
              <w:rPr>
                <w:rFonts w:ascii="標楷體" w:eastAsia="標楷體" w:hAnsi="標楷體"/>
                <w:szCs w:val="24"/>
              </w:rPr>
              <w:lastRenderedPageBreak/>
              <w:t>(修正第2條之1為第5條，並新增第5條第1項第3款及第2項第2款)</w:t>
            </w:r>
          </w:p>
          <w:p w:rsidR="00596381" w:rsidRDefault="00C054A2">
            <w:pPr>
              <w:jc w:val="both"/>
              <w:rPr>
                <w:rFonts w:ascii="標楷體" w:eastAsia="標楷體" w:hAnsi="標楷體"/>
                <w:szCs w:val="24"/>
              </w:rPr>
            </w:pPr>
            <w:r>
              <w:rPr>
                <w:rFonts w:ascii="標楷體" w:eastAsia="標楷體" w:hAnsi="標楷體"/>
                <w:szCs w:val="24"/>
              </w:rPr>
              <w:t>1、增列「具本部附屬醫療及社會福利機構管理會相當簡任副主管以上職務滿3</w:t>
            </w:r>
            <w:r>
              <w:rPr>
                <w:rFonts w:ascii="標楷體" w:eastAsia="標楷體" w:hAnsi="標楷體"/>
                <w:szCs w:val="24"/>
              </w:rPr>
              <w:lastRenderedPageBreak/>
              <w:t xml:space="preserve">年」經歷，得任區域醫院、地區醫院院長。 </w:t>
            </w:r>
          </w:p>
          <w:p w:rsidR="00596381" w:rsidRDefault="00C054A2">
            <w:pPr>
              <w:jc w:val="both"/>
              <w:rPr>
                <w:rFonts w:ascii="標楷體" w:eastAsia="標楷體" w:hAnsi="標楷體"/>
                <w:szCs w:val="24"/>
              </w:rPr>
            </w:pPr>
            <w:r>
              <w:rPr>
                <w:rFonts w:ascii="標楷體" w:eastAsia="標楷體" w:hAnsi="標楷體"/>
                <w:szCs w:val="24"/>
              </w:rPr>
              <w:t>2、增列精神專科醫院院長及依第13條規定由本部派任。得排除適用區域醫院、地區醫院院長經歷規定。</w:t>
            </w:r>
          </w:p>
          <w:p w:rsidR="00596381" w:rsidRDefault="00596381">
            <w:pPr>
              <w:jc w:val="both"/>
              <w:rPr>
                <w:rFonts w:ascii="標楷體" w:eastAsia="標楷體" w:hAnsi="標楷體"/>
                <w:szCs w:val="24"/>
              </w:rPr>
            </w:pPr>
          </w:p>
          <w:p w:rsidR="00596381" w:rsidRDefault="00C054A2">
            <w:pPr>
              <w:jc w:val="both"/>
              <w:rPr>
                <w:rFonts w:ascii="標楷體" w:eastAsia="標楷體" w:hAnsi="標楷體"/>
                <w:szCs w:val="24"/>
              </w:rPr>
            </w:pPr>
            <w:r>
              <w:rPr>
                <w:rFonts w:ascii="標楷體" w:eastAsia="標楷體" w:hAnsi="標楷體"/>
                <w:szCs w:val="24"/>
              </w:rPr>
              <w:t>(新增第6條第1項第4款)</w:t>
            </w:r>
          </w:p>
          <w:p w:rsidR="00596381" w:rsidRDefault="00C054A2">
            <w:pPr>
              <w:jc w:val="both"/>
              <w:rPr>
                <w:rFonts w:ascii="標楷體" w:eastAsia="標楷體" w:hAnsi="標楷體"/>
                <w:szCs w:val="24"/>
              </w:rPr>
            </w:pPr>
            <w:r>
              <w:rPr>
                <w:rFonts w:ascii="標楷體" w:eastAsia="標楷體" w:hAnsi="標楷體"/>
                <w:szCs w:val="24"/>
              </w:rPr>
              <w:t>新增「醫院醫事人員於醫院任職滿10年，並曾於本部所屬之地區醫院服務滿2年或偏遠、離島地區醫院服務滿1年。」之遴用經歷。</w:t>
            </w:r>
          </w:p>
          <w:p w:rsidR="00596381" w:rsidRDefault="00596381">
            <w:pPr>
              <w:rPr>
                <w:rFonts w:ascii="標楷體" w:eastAsia="標楷體" w:hAnsi="標楷體"/>
                <w:szCs w:val="24"/>
              </w:rPr>
            </w:pPr>
          </w:p>
          <w:p w:rsidR="00596381" w:rsidRDefault="00C054A2">
            <w:pPr>
              <w:rPr>
                <w:rFonts w:ascii="標楷體" w:eastAsia="標楷體" w:hAnsi="標楷體"/>
                <w:szCs w:val="24"/>
              </w:rPr>
            </w:pPr>
            <w:r>
              <w:rPr>
                <w:rFonts w:ascii="標楷體" w:eastAsia="標楷體" w:hAnsi="標楷體"/>
                <w:szCs w:val="24"/>
              </w:rPr>
              <w:t>(修正第10條為第14條)</w:t>
            </w:r>
          </w:p>
          <w:p w:rsidR="00596381" w:rsidRDefault="00C054A2">
            <w:pPr>
              <w:jc w:val="both"/>
              <w:rPr>
                <w:rFonts w:ascii="標楷體" w:eastAsia="標楷體" w:hAnsi="標楷體"/>
                <w:szCs w:val="24"/>
              </w:rPr>
            </w:pPr>
            <w:r>
              <w:rPr>
                <w:rFonts w:ascii="標楷體" w:eastAsia="標楷體" w:hAnsi="標楷體"/>
                <w:szCs w:val="24"/>
              </w:rPr>
              <w:t>1、「醫院院長、副院長依前項所定任期遴用屆滿</w:t>
            </w:r>
            <w:r>
              <w:rPr>
                <w:rFonts w:ascii="標楷體" w:eastAsia="標楷體" w:hAnsi="標楷體"/>
                <w:szCs w:val="24"/>
              </w:rPr>
              <w:lastRenderedPageBreak/>
              <w:t>後，應予免兼，並得重新參加原醫院以外其他醫院之次一任院長、副院長遴選。但區域醫院院長及精神專科醫院院長應間隔1年以上，始得重新參加遴選。」放寬不得參與遴選之等待期規定。</w:t>
            </w:r>
          </w:p>
          <w:p w:rsidR="00596381" w:rsidRDefault="00C054A2">
            <w:pPr>
              <w:jc w:val="both"/>
              <w:rPr>
                <w:rFonts w:ascii="標楷體" w:eastAsia="標楷體" w:hAnsi="標楷體"/>
                <w:szCs w:val="24"/>
              </w:rPr>
            </w:pPr>
            <w:r>
              <w:rPr>
                <w:rFonts w:ascii="標楷體" w:eastAsia="標楷體" w:hAnsi="標楷體"/>
                <w:szCs w:val="24"/>
              </w:rPr>
              <w:t>2、增列「1、地區醫院院長於任內遴選為區域醫院院長。2、醫院經醫院評鑑公告升格為區域醫院或醫學中心，原任院長經重新參加遴選。」之情形，任期得重新計算。</w:t>
            </w:r>
          </w:p>
        </w:tc>
        <w:tc>
          <w:tcPr>
            <w:tcW w:w="5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6381" w:rsidRDefault="00C054A2">
            <w:pPr>
              <w:jc w:val="both"/>
              <w:rPr>
                <w:rFonts w:ascii="標楷體" w:eastAsia="標楷體" w:hAnsi="標楷體"/>
                <w:szCs w:val="24"/>
              </w:rPr>
            </w:pPr>
            <w:r>
              <w:rPr>
                <w:rFonts w:ascii="標楷體" w:eastAsia="標楷體" w:hAnsi="標楷體"/>
                <w:szCs w:val="24"/>
              </w:rPr>
              <w:lastRenderedPageBreak/>
              <w:t>(第5條第1項第3款及第2項第2款)</w:t>
            </w:r>
          </w:p>
          <w:p w:rsidR="00596381" w:rsidRDefault="00C054A2">
            <w:pPr>
              <w:jc w:val="both"/>
              <w:rPr>
                <w:rFonts w:ascii="標楷體" w:eastAsia="標楷體" w:hAnsi="標楷體"/>
                <w:szCs w:val="24"/>
              </w:rPr>
            </w:pPr>
            <w:r>
              <w:rPr>
                <w:rFonts w:ascii="標楷體" w:eastAsia="標楷體" w:hAnsi="標楷體"/>
                <w:szCs w:val="24"/>
              </w:rPr>
              <w:t>1、考量本部附屬醫療及社會福利機構管理會直接掌理本部所屬區域及地區醫院各項業務，其相當簡任副主管之行政職務歷練足資採認為院長資歷。</w:t>
            </w:r>
          </w:p>
          <w:p w:rsidR="00596381" w:rsidRDefault="00C054A2">
            <w:pPr>
              <w:jc w:val="both"/>
              <w:rPr>
                <w:rFonts w:ascii="標楷體" w:eastAsia="標楷體" w:hAnsi="標楷體"/>
                <w:szCs w:val="24"/>
              </w:rPr>
            </w:pPr>
            <w:r>
              <w:rPr>
                <w:rFonts w:ascii="標楷體" w:eastAsia="標楷體" w:hAnsi="標楷體"/>
                <w:szCs w:val="24"/>
              </w:rPr>
              <w:t>2、考量精神科醫院係屬特殊醫療及第13條基於業務特殊需要，為避免人才羅致困難，增加用人彈性。</w:t>
            </w:r>
          </w:p>
          <w:p w:rsidR="00596381" w:rsidRDefault="00596381">
            <w:pPr>
              <w:jc w:val="both"/>
              <w:rPr>
                <w:rFonts w:ascii="標楷體" w:eastAsia="標楷體" w:hAnsi="標楷體"/>
                <w:szCs w:val="24"/>
              </w:rPr>
            </w:pPr>
          </w:p>
          <w:p w:rsidR="00596381" w:rsidRDefault="00C054A2">
            <w:pPr>
              <w:jc w:val="both"/>
              <w:rPr>
                <w:rFonts w:ascii="標楷體" w:eastAsia="標楷體" w:hAnsi="標楷體"/>
                <w:szCs w:val="24"/>
              </w:rPr>
            </w:pPr>
            <w:r>
              <w:rPr>
                <w:rFonts w:ascii="標楷體" w:eastAsia="標楷體" w:hAnsi="標楷體"/>
                <w:szCs w:val="24"/>
              </w:rPr>
              <w:t>(增第6條第1項第4款)</w:t>
            </w:r>
          </w:p>
          <w:p w:rsidR="00596381" w:rsidRDefault="00C054A2">
            <w:pPr>
              <w:jc w:val="both"/>
              <w:rPr>
                <w:rFonts w:ascii="標楷體" w:eastAsia="標楷體" w:hAnsi="標楷體"/>
                <w:szCs w:val="24"/>
              </w:rPr>
            </w:pPr>
            <w:r>
              <w:rPr>
                <w:rFonts w:ascii="標楷體" w:eastAsia="標楷體" w:hAnsi="標楷體"/>
                <w:szCs w:val="24"/>
              </w:rPr>
              <w:lastRenderedPageBreak/>
              <w:t>為期醫院副院長具備跨層級醫院之服務經歷，鼓勵醫事人員至地區醫院、偏遠離島醫院服務，增列相關規定。</w:t>
            </w:r>
          </w:p>
          <w:p w:rsidR="00596381" w:rsidRDefault="00596381">
            <w:pPr>
              <w:rPr>
                <w:rFonts w:ascii="標楷體" w:eastAsia="標楷體" w:hAnsi="標楷體"/>
                <w:szCs w:val="24"/>
              </w:rPr>
            </w:pPr>
          </w:p>
          <w:p w:rsidR="00596381" w:rsidRDefault="00C054A2">
            <w:pPr>
              <w:rPr>
                <w:rFonts w:ascii="標楷體" w:eastAsia="標楷體" w:hAnsi="標楷體"/>
                <w:szCs w:val="24"/>
              </w:rPr>
            </w:pPr>
            <w:r>
              <w:rPr>
                <w:rFonts w:ascii="標楷體" w:eastAsia="標楷體" w:hAnsi="標楷體"/>
                <w:szCs w:val="24"/>
              </w:rPr>
              <w:t>(修正第10條為第14條)</w:t>
            </w:r>
          </w:p>
          <w:p w:rsidR="00596381" w:rsidRDefault="00C054A2">
            <w:pPr>
              <w:jc w:val="both"/>
              <w:rPr>
                <w:rFonts w:ascii="標楷體" w:eastAsia="標楷體" w:hAnsi="標楷體"/>
                <w:szCs w:val="24"/>
              </w:rPr>
            </w:pPr>
            <w:r>
              <w:rPr>
                <w:rFonts w:ascii="標楷體" w:eastAsia="標楷體" w:hAnsi="標楷體"/>
                <w:szCs w:val="24"/>
              </w:rPr>
              <w:t>1、放寬區域醫院副院長、地區醫院院長及副院長任用資格，可暢通升遷管道，培育及留任部屬醫院管理人才。</w:t>
            </w:r>
          </w:p>
          <w:p w:rsidR="00596381" w:rsidRDefault="00C054A2">
            <w:pPr>
              <w:jc w:val="both"/>
              <w:rPr>
                <w:rFonts w:ascii="標楷體" w:eastAsia="標楷體" w:hAnsi="標楷體"/>
                <w:szCs w:val="24"/>
              </w:rPr>
            </w:pPr>
            <w:r>
              <w:rPr>
                <w:rFonts w:ascii="標楷體" w:eastAsia="標楷體" w:hAnsi="標楷體"/>
                <w:szCs w:val="24"/>
              </w:rPr>
              <w:t>2、明定各醫院間調任，其任期重新計算之情形，增加部屬醫院人才流動及鼓勵醫院升格。</w:t>
            </w:r>
          </w:p>
        </w:tc>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6381" w:rsidRDefault="00C054A2">
            <w:pPr>
              <w:rPr>
                <w:rFonts w:ascii="標楷體" w:eastAsia="標楷體" w:hAnsi="標楷體"/>
                <w:szCs w:val="24"/>
              </w:rPr>
            </w:pPr>
            <w:r>
              <w:rPr>
                <w:rFonts w:ascii="標楷體" w:eastAsia="標楷體" w:hAnsi="標楷體"/>
                <w:szCs w:val="24"/>
              </w:rPr>
              <w:lastRenderedPageBreak/>
              <w:t>修正預告至108年12月11日，預定於108年12月下旬發布。</w:t>
            </w:r>
          </w:p>
        </w:tc>
      </w:tr>
    </w:tbl>
    <w:p w:rsidR="00596381" w:rsidRDefault="00C054A2">
      <w:pPr>
        <w:spacing w:line="240" w:lineRule="exact"/>
        <w:ind w:left="800" w:hanging="800"/>
        <w:rPr>
          <w:rFonts w:ascii="標楷體" w:eastAsia="標楷體" w:hAnsi="標楷體"/>
          <w:sz w:val="20"/>
          <w:szCs w:val="20"/>
        </w:rPr>
      </w:pPr>
      <w:r>
        <w:rPr>
          <w:rFonts w:ascii="標楷體" w:eastAsia="標楷體" w:hAnsi="標楷體"/>
          <w:sz w:val="20"/>
          <w:szCs w:val="20"/>
        </w:rPr>
        <w:lastRenderedPageBreak/>
        <w:t>備註： 1.鬆綁成果請填列本(108)年10月至12月底完成者。</w:t>
      </w:r>
    </w:p>
    <w:p w:rsidR="00596381" w:rsidRDefault="00C054A2">
      <w:pPr>
        <w:spacing w:line="240" w:lineRule="exact"/>
        <w:ind w:left="920" w:hanging="200"/>
        <w:rPr>
          <w:rFonts w:ascii="標楷體" w:eastAsia="標楷體" w:hAnsi="標楷體"/>
          <w:sz w:val="20"/>
          <w:szCs w:val="20"/>
        </w:rPr>
      </w:pPr>
      <w:r>
        <w:rPr>
          <w:rFonts w:ascii="標楷體" w:eastAsia="標楷體" w:hAnsi="標楷體"/>
          <w:sz w:val="20"/>
          <w:szCs w:val="20"/>
        </w:rPr>
        <w:t>2.鬆綁成果及預定鬆綁事項不重複列計，曾填報之相關成果，請勿再行填列；前經提報為預定鬆綁事項，其後完成鬆綁者，亦毋需再行填報為鬆綁成果。</w:t>
      </w:r>
    </w:p>
    <w:p w:rsidR="00596381" w:rsidRDefault="00C054A2">
      <w:pPr>
        <w:spacing w:line="240" w:lineRule="exact"/>
        <w:ind w:left="920" w:hanging="200"/>
      </w:pPr>
      <w:r>
        <w:rPr>
          <w:rFonts w:ascii="標楷體" w:eastAsia="標楷體" w:hAnsi="標楷體"/>
          <w:sz w:val="20"/>
          <w:szCs w:val="20"/>
        </w:rPr>
        <w:t>3.屬同一法規不同條文之訂(修)者，請併計為1項成果，勿將不同修正條文分列不同成果。</w:t>
      </w:r>
    </w:p>
    <w:sectPr w:rsidR="00596381">
      <w:pgSz w:w="16838" w:h="11906" w:orient="landscape"/>
      <w:pgMar w:top="1418" w:right="1440" w:bottom="1418" w:left="1440" w:header="720" w:footer="720" w:gutter="0"/>
      <w:cols w:space="720"/>
      <w:docGrid w:type="lines" w:linePitch="3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5407" w:rsidRDefault="00855407">
      <w:r>
        <w:separator/>
      </w:r>
    </w:p>
  </w:endnote>
  <w:endnote w:type="continuationSeparator" w:id="0">
    <w:p w:rsidR="00855407" w:rsidRDefault="00855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5407" w:rsidRDefault="00855407">
      <w:r>
        <w:rPr>
          <w:color w:val="000000"/>
        </w:rPr>
        <w:separator/>
      </w:r>
    </w:p>
  </w:footnote>
  <w:footnote w:type="continuationSeparator" w:id="0">
    <w:p w:rsidR="00855407" w:rsidRDefault="008554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5859F7"/>
    <w:multiLevelType w:val="multilevel"/>
    <w:tmpl w:val="3B2C634C"/>
    <w:styleLink w:val="Numbering1"/>
    <w:lvl w:ilvl="0">
      <w:start w:val="1"/>
      <w:numFmt w:val="decimal"/>
      <w:suff w:val="nothing"/>
      <w:lvlText w:val="%1."/>
      <w:lvlJc w:val="left"/>
      <w:pPr>
        <w:ind w:left="850" w:hanging="567"/>
      </w:pPr>
      <w:rPr>
        <w:rFonts w:eastAsia="標楷體"/>
        <w:color w:val="0000FF"/>
        <w:sz w:val="28"/>
      </w:rPr>
    </w:lvl>
    <w:lvl w:ilvl="1">
      <w:start w:val="1"/>
      <w:numFmt w:val="decimal"/>
      <w:suff w:val="nothing"/>
      <w:lvlText w:val="%2."/>
      <w:lvlJc w:val="left"/>
      <w:pPr>
        <w:ind w:left="227" w:hanging="227"/>
      </w:pPr>
      <w:rPr>
        <w:rFonts w:eastAsia="標楷體"/>
        <w:color w:val="0000FF"/>
        <w:sz w:val="28"/>
      </w:rPr>
    </w:lvl>
    <w:lvl w:ilvl="2">
      <w:start w:val="1"/>
      <w:numFmt w:val="decimal"/>
      <w:suff w:val="nothing"/>
      <w:lvlText w:val="%3."/>
      <w:lvlJc w:val="left"/>
      <w:pPr>
        <w:ind w:left="850" w:hanging="567"/>
      </w:pPr>
      <w:rPr>
        <w:rFonts w:eastAsia="標楷體"/>
        <w:color w:val="0000FF"/>
        <w:sz w:val="28"/>
      </w:rPr>
    </w:lvl>
    <w:lvl w:ilvl="3">
      <w:start w:val="1"/>
      <w:numFmt w:val="decimal"/>
      <w:suff w:val="nothing"/>
      <w:lvlText w:val="%4."/>
      <w:lvlJc w:val="left"/>
      <w:pPr>
        <w:ind w:left="850" w:hanging="567"/>
      </w:pPr>
      <w:rPr>
        <w:rFonts w:eastAsia="標楷體"/>
        <w:color w:val="0000FF"/>
        <w:sz w:val="28"/>
      </w:rPr>
    </w:lvl>
    <w:lvl w:ilvl="4">
      <w:start w:val="1"/>
      <w:numFmt w:val="decimal"/>
      <w:suff w:val="nothing"/>
      <w:lvlText w:val="%5."/>
      <w:lvlJc w:val="left"/>
      <w:pPr>
        <w:ind w:left="850" w:hanging="567"/>
      </w:pPr>
      <w:rPr>
        <w:rFonts w:eastAsia="標楷體"/>
        <w:color w:val="0000FF"/>
        <w:sz w:val="28"/>
      </w:rPr>
    </w:lvl>
    <w:lvl w:ilvl="5">
      <w:start w:val="1"/>
      <w:numFmt w:val="decimal"/>
      <w:suff w:val="nothing"/>
      <w:lvlText w:val="%6."/>
      <w:lvlJc w:val="left"/>
      <w:pPr>
        <w:ind w:left="850" w:hanging="567"/>
      </w:pPr>
      <w:rPr>
        <w:rFonts w:eastAsia="標楷體"/>
        <w:color w:val="0000FF"/>
        <w:sz w:val="28"/>
      </w:rPr>
    </w:lvl>
    <w:lvl w:ilvl="6">
      <w:start w:val="1"/>
      <w:numFmt w:val="decimal"/>
      <w:suff w:val="nothing"/>
      <w:lvlText w:val="%7."/>
      <w:lvlJc w:val="left"/>
      <w:pPr>
        <w:ind w:left="850" w:hanging="567"/>
      </w:pPr>
      <w:rPr>
        <w:rFonts w:eastAsia="標楷體"/>
        <w:color w:val="0000FF"/>
        <w:sz w:val="28"/>
      </w:rPr>
    </w:lvl>
    <w:lvl w:ilvl="7">
      <w:start w:val="1"/>
      <w:numFmt w:val="decimal"/>
      <w:suff w:val="nothing"/>
      <w:lvlText w:val="%8."/>
      <w:lvlJc w:val="left"/>
      <w:pPr>
        <w:ind w:left="850" w:hanging="567"/>
      </w:pPr>
      <w:rPr>
        <w:rFonts w:eastAsia="標楷體"/>
        <w:color w:val="0000FF"/>
        <w:sz w:val="28"/>
      </w:rPr>
    </w:lvl>
    <w:lvl w:ilvl="8">
      <w:start w:val="1"/>
      <w:numFmt w:val="decimal"/>
      <w:suff w:val="nothing"/>
      <w:lvlText w:val="%9."/>
      <w:lvlJc w:val="left"/>
      <w:pPr>
        <w:ind w:left="850" w:hanging="567"/>
      </w:pPr>
      <w:rPr>
        <w:rFonts w:eastAsia="標楷體"/>
        <w:color w:val="0000FF"/>
        <w:sz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381"/>
    <w:rsid w:val="00093C42"/>
    <w:rsid w:val="00596381"/>
    <w:rsid w:val="00855407"/>
    <w:rsid w:val="00C054A2"/>
    <w:rsid w:val="00EA41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4BA03D-9700-433A-89BD-FF386B621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autoSpaceDN w:val="0"/>
      <w:textAlignment w:val="baseline"/>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pPr>
      <w:widowControl/>
      <w:spacing w:before="100" w:after="100"/>
    </w:pPr>
    <w:rPr>
      <w:rFonts w:ascii="新細明體" w:hAnsi="新細明體" w:cs="新細明體"/>
      <w:kern w:val="0"/>
      <w:szCs w:val="24"/>
    </w:rPr>
  </w:style>
  <w:style w:type="paragraph" w:styleId="a3">
    <w:name w:val="Balloon Text"/>
    <w:basedOn w:val="a"/>
    <w:rPr>
      <w:rFonts w:ascii="Cambria" w:hAnsi="Cambria"/>
      <w:sz w:val="18"/>
      <w:szCs w:val="18"/>
    </w:rPr>
  </w:style>
  <w:style w:type="character" w:customStyle="1" w:styleId="a4">
    <w:name w:val="註解方塊文字 字元"/>
    <w:rPr>
      <w:rFonts w:ascii="Cambria" w:eastAsia="新細明體" w:hAnsi="Cambria" w:cs="Times New Roman"/>
      <w:sz w:val="18"/>
      <w:szCs w:val="18"/>
    </w:rPr>
  </w:style>
  <w:style w:type="paragraph" w:styleId="a5">
    <w:name w:val="header"/>
    <w:basedOn w:val="a"/>
    <w:pPr>
      <w:tabs>
        <w:tab w:val="center" w:pos="4153"/>
        <w:tab w:val="right" w:pos="8306"/>
      </w:tabs>
      <w:snapToGrid w:val="0"/>
    </w:pPr>
    <w:rPr>
      <w:sz w:val="20"/>
      <w:szCs w:val="20"/>
    </w:rPr>
  </w:style>
  <w:style w:type="character" w:customStyle="1" w:styleId="a6">
    <w:name w:val="頁首 字元"/>
    <w:rPr>
      <w:sz w:val="20"/>
      <w:szCs w:val="20"/>
    </w:rPr>
  </w:style>
  <w:style w:type="paragraph" w:styleId="a7">
    <w:name w:val="footer"/>
    <w:basedOn w:val="a"/>
    <w:pPr>
      <w:tabs>
        <w:tab w:val="center" w:pos="4153"/>
        <w:tab w:val="right" w:pos="8306"/>
      </w:tabs>
      <w:snapToGrid w:val="0"/>
    </w:pPr>
    <w:rPr>
      <w:sz w:val="20"/>
      <w:szCs w:val="20"/>
    </w:rPr>
  </w:style>
  <w:style w:type="character" w:customStyle="1" w:styleId="a8">
    <w:name w:val="頁尾 字元"/>
    <w:rPr>
      <w:sz w:val="20"/>
      <w:szCs w:val="20"/>
    </w:rPr>
  </w:style>
  <w:style w:type="paragraph" w:customStyle="1" w:styleId="Textbody">
    <w:name w:val="Text body"/>
    <w:pPr>
      <w:widowControl w:val="0"/>
      <w:suppressAutoHyphens/>
      <w:autoSpaceDN w:val="0"/>
      <w:textAlignment w:val="baseline"/>
    </w:pPr>
    <w:rPr>
      <w:kern w:val="3"/>
      <w:sz w:val="24"/>
      <w:szCs w:val="22"/>
    </w:rPr>
  </w:style>
  <w:style w:type="paragraph" w:styleId="a9">
    <w:name w:val="Body Text"/>
    <w:pPr>
      <w:keepNext/>
      <w:widowControl w:val="0"/>
      <w:shd w:val="clear" w:color="auto" w:fill="FFFFFF"/>
      <w:suppressAutoHyphens/>
      <w:autoSpaceDN w:val="0"/>
      <w:textAlignment w:val="baseline"/>
    </w:pPr>
    <w:rPr>
      <w:sz w:val="24"/>
      <w:szCs w:val="22"/>
    </w:rPr>
  </w:style>
  <w:style w:type="character" w:customStyle="1" w:styleId="aa">
    <w:name w:val="本文 字元"/>
    <w:rPr>
      <w:kern w:val="0"/>
      <w:shd w:val="clear" w:color="auto" w:fill="FFFFFF"/>
    </w:rPr>
  </w:style>
  <w:style w:type="paragraph" w:styleId="ab">
    <w:name w:val="Block Text"/>
    <w:basedOn w:val="a"/>
    <w:pPr>
      <w:suppressAutoHyphens w:val="0"/>
      <w:spacing w:line="420" w:lineRule="exact"/>
      <w:ind w:left="1078" w:right="-480" w:firstLine="538"/>
      <w:textAlignment w:val="auto"/>
    </w:pPr>
    <w:rPr>
      <w:rFonts w:ascii="Arial" w:eastAsia="標楷體" w:hAnsi="Arial" w:cs="Arial"/>
      <w:sz w:val="28"/>
      <w:szCs w:val="20"/>
    </w:rPr>
  </w:style>
  <w:style w:type="paragraph" w:styleId="ac">
    <w:name w:val="List Paragraph"/>
    <w:basedOn w:val="a"/>
    <w:pPr>
      <w:suppressAutoHyphens w:val="0"/>
      <w:ind w:left="480"/>
      <w:textAlignment w:val="auto"/>
    </w:pPr>
    <w:rPr>
      <w:rFonts w:ascii="Times New Roman" w:hAnsi="Times New Roman"/>
      <w:szCs w:val="24"/>
    </w:rPr>
  </w:style>
  <w:style w:type="paragraph" w:customStyle="1" w:styleId="Standard">
    <w:name w:val="Standard"/>
    <w:pPr>
      <w:autoSpaceDN w:val="0"/>
      <w:textAlignment w:val="baseline"/>
    </w:pPr>
    <w:rPr>
      <w:kern w:val="3"/>
      <w:sz w:val="24"/>
      <w:szCs w:val="22"/>
    </w:rPr>
  </w:style>
  <w:style w:type="numbering" w:customStyle="1" w:styleId="Numbering1">
    <w:name w:val="Numbering 1"/>
    <w:basedOn w:val="a2"/>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226</Words>
  <Characters>1289</Characters>
  <Application>Microsoft Office Word</Application>
  <DocSecurity>0</DocSecurity>
  <Lines>10</Lines>
  <Paragraphs>3</Paragraphs>
  <ScaleCrop>false</ScaleCrop>
  <Company/>
  <LinksUpToDate>false</LinksUpToDate>
  <CharactersWithSpaces>1512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cp:lastModifiedBy>法規會葉信嘉</cp:lastModifiedBy>
  <cp:revision>2</cp:revision>
  <cp:lastPrinted>2018-05-21T03:04:00Z</cp:lastPrinted>
  <dcterms:created xsi:type="dcterms:W3CDTF">2025-05-09T07:25:00Z</dcterms:created>
  <dcterms:modified xsi:type="dcterms:W3CDTF">2025-05-09T07:25:00Z</dcterms:modified>
</cp:coreProperties>
</file>