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959" w:rsidRPr="009E768F" w:rsidRDefault="00D06F23" w:rsidP="009E768F">
      <w:pPr>
        <w:jc w:val="center"/>
        <w:rPr>
          <w:rFonts w:ascii="標楷體" w:eastAsia="標楷體" w:hAnsi="標楷體"/>
          <w:sz w:val="28"/>
          <w:szCs w:val="28"/>
        </w:rPr>
      </w:pPr>
      <w:r w:rsidRPr="009E768F">
        <w:rPr>
          <w:rFonts w:ascii="標楷體" w:eastAsia="標楷體" w:hAnsi="標楷體" w:hint="eastAsia"/>
          <w:sz w:val="28"/>
          <w:szCs w:val="28"/>
        </w:rPr>
        <w:t>藥事法</w:t>
      </w:r>
      <w:r w:rsidR="00964035">
        <w:rPr>
          <w:rFonts w:ascii="標楷體" w:eastAsia="標楷體" w:hAnsi="標楷體" w:hint="eastAsia"/>
          <w:sz w:val="28"/>
          <w:szCs w:val="28"/>
        </w:rPr>
        <w:t>相關管理法規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42"/>
        <w:gridCol w:w="7120"/>
      </w:tblGrid>
      <w:tr w:rsidR="00D06F23" w:rsidRPr="009E768F" w:rsidTr="009E768F">
        <w:tc>
          <w:tcPr>
            <w:tcW w:w="1242" w:type="dxa"/>
          </w:tcPr>
          <w:p w:rsidR="00D06F23" w:rsidRPr="009E768F" w:rsidRDefault="00D06F2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E768F">
              <w:rPr>
                <w:rFonts w:ascii="標楷體" w:eastAsia="標楷體" w:hAnsi="標楷體" w:hint="eastAsia"/>
                <w:sz w:val="28"/>
                <w:szCs w:val="28"/>
              </w:rPr>
              <w:t>第20條</w:t>
            </w:r>
          </w:p>
        </w:tc>
        <w:tc>
          <w:tcPr>
            <w:tcW w:w="7120" w:type="dxa"/>
          </w:tcPr>
          <w:p w:rsidR="00D06F23" w:rsidRPr="009E768F" w:rsidRDefault="00D06F23" w:rsidP="00D06F2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E768F">
              <w:rPr>
                <w:rFonts w:ascii="標楷體" w:eastAsia="標楷體" w:hAnsi="標楷體" w:hint="eastAsia"/>
                <w:sz w:val="28"/>
                <w:szCs w:val="28"/>
              </w:rPr>
              <w:t>本法</w:t>
            </w:r>
            <w:proofErr w:type="gramStart"/>
            <w:r w:rsidRPr="009E768F">
              <w:rPr>
                <w:rFonts w:ascii="標楷體" w:eastAsia="標楷體" w:hAnsi="標楷體" w:hint="eastAsia"/>
                <w:sz w:val="28"/>
                <w:szCs w:val="28"/>
              </w:rPr>
              <w:t>所稱偽藥</w:t>
            </w:r>
            <w:proofErr w:type="gramEnd"/>
            <w:r w:rsidRPr="009E768F">
              <w:rPr>
                <w:rFonts w:ascii="標楷體" w:eastAsia="標楷體" w:hAnsi="標楷體" w:hint="eastAsia"/>
                <w:sz w:val="28"/>
                <w:szCs w:val="28"/>
              </w:rPr>
              <w:t>，係指藥品經稽查或檢驗有左列各款情形之</w:t>
            </w:r>
            <w:proofErr w:type="gramStart"/>
            <w:r w:rsidRPr="009E768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9E768F">
              <w:rPr>
                <w:rFonts w:ascii="標楷體" w:eastAsia="標楷體" w:hAnsi="標楷體" w:hint="eastAsia"/>
                <w:sz w:val="28"/>
                <w:szCs w:val="28"/>
              </w:rPr>
              <w:t>者：</w:t>
            </w:r>
          </w:p>
          <w:p w:rsidR="00D06F23" w:rsidRPr="009E768F" w:rsidRDefault="00D06F23" w:rsidP="00D06F2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E768F">
              <w:rPr>
                <w:rFonts w:ascii="標楷體" w:eastAsia="標楷體" w:hAnsi="標楷體" w:hint="eastAsia"/>
                <w:sz w:val="28"/>
                <w:szCs w:val="28"/>
              </w:rPr>
              <w:t>一、未經核准，擅自製造者。</w:t>
            </w:r>
          </w:p>
          <w:p w:rsidR="00D06F23" w:rsidRPr="009E768F" w:rsidRDefault="00D06F23" w:rsidP="00D06F2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E768F">
              <w:rPr>
                <w:rFonts w:ascii="標楷體" w:eastAsia="標楷體" w:hAnsi="標楷體" w:hint="eastAsia"/>
                <w:sz w:val="28"/>
                <w:szCs w:val="28"/>
              </w:rPr>
              <w:t>二、所含有效成分之名稱，與核准不符者。</w:t>
            </w:r>
          </w:p>
          <w:p w:rsidR="00D06F23" w:rsidRPr="009E768F" w:rsidRDefault="00D06F23" w:rsidP="00D06F2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E768F">
              <w:rPr>
                <w:rFonts w:ascii="標楷體" w:eastAsia="標楷體" w:hAnsi="標楷體" w:hint="eastAsia"/>
                <w:sz w:val="28"/>
                <w:szCs w:val="28"/>
              </w:rPr>
              <w:t>三、將他人產品抽換或摻雜者。</w:t>
            </w:r>
          </w:p>
          <w:p w:rsidR="00D06F23" w:rsidRPr="009E768F" w:rsidRDefault="00D06F23" w:rsidP="00D06F2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E768F">
              <w:rPr>
                <w:rFonts w:ascii="標楷體" w:eastAsia="標楷體" w:hAnsi="標楷體" w:hint="eastAsia"/>
                <w:sz w:val="28"/>
                <w:szCs w:val="28"/>
              </w:rPr>
              <w:t>四、塗改或更換有效期間之標示者。</w:t>
            </w:r>
          </w:p>
        </w:tc>
      </w:tr>
      <w:tr w:rsidR="00D06F23" w:rsidRPr="009E768F" w:rsidTr="009E768F">
        <w:tc>
          <w:tcPr>
            <w:tcW w:w="1242" w:type="dxa"/>
          </w:tcPr>
          <w:p w:rsidR="00D06F23" w:rsidRPr="009E768F" w:rsidRDefault="00D06F2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E768F">
              <w:rPr>
                <w:rFonts w:ascii="標楷體" w:eastAsia="標楷體" w:hAnsi="標楷體" w:hint="eastAsia"/>
                <w:sz w:val="28"/>
                <w:szCs w:val="28"/>
              </w:rPr>
              <w:t>第22條</w:t>
            </w:r>
          </w:p>
        </w:tc>
        <w:tc>
          <w:tcPr>
            <w:tcW w:w="7120" w:type="dxa"/>
          </w:tcPr>
          <w:p w:rsidR="00D06F23" w:rsidRPr="00D06F23" w:rsidRDefault="00D06F23" w:rsidP="00D06F23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15" w:lineRule="atLeast"/>
              <w:rPr>
                <w:rFonts w:ascii="標楷體" w:eastAsia="標楷體" w:hAnsi="標楷體" w:cs="細明體"/>
                <w:color w:val="000000"/>
                <w:kern w:val="0"/>
                <w:sz w:val="28"/>
                <w:szCs w:val="28"/>
              </w:rPr>
            </w:pPr>
            <w:r w:rsidRPr="00D06F23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本法所稱禁藥，係指藥品有左列各款情形之</w:t>
            </w:r>
            <w:proofErr w:type="gramStart"/>
            <w:r w:rsidRPr="00D06F23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一</w:t>
            </w:r>
            <w:proofErr w:type="gramEnd"/>
            <w:r w:rsidRPr="00D06F23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者：</w:t>
            </w:r>
          </w:p>
          <w:p w:rsidR="00D06F23" w:rsidRPr="00D06F23" w:rsidRDefault="00D06F23" w:rsidP="00D06F23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15" w:lineRule="atLeast"/>
              <w:rPr>
                <w:rFonts w:ascii="標楷體" w:eastAsia="標楷體" w:hAnsi="標楷體" w:cs="細明體"/>
                <w:color w:val="000000"/>
                <w:kern w:val="0"/>
                <w:sz w:val="28"/>
                <w:szCs w:val="28"/>
              </w:rPr>
            </w:pPr>
            <w:r w:rsidRPr="00D06F23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一、經中央衛生主管機關明令公告禁止製造、調劑、輸入、輸出、販賣或陳列之毒害藥品。</w:t>
            </w:r>
          </w:p>
          <w:p w:rsidR="00D06F23" w:rsidRPr="00D06F23" w:rsidRDefault="00D06F23" w:rsidP="00D06F23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15" w:lineRule="atLeast"/>
              <w:rPr>
                <w:rFonts w:ascii="標楷體" w:eastAsia="標楷體" w:hAnsi="標楷體" w:cs="細明體"/>
                <w:color w:val="000000"/>
                <w:kern w:val="0"/>
                <w:sz w:val="28"/>
                <w:szCs w:val="28"/>
              </w:rPr>
            </w:pPr>
            <w:r w:rsidRPr="00D06F23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二、未經核准擅自輸入之藥品。但旅客或隨交通工具服務人員攜帶自用藥品進口者，不在此限。</w:t>
            </w:r>
          </w:p>
          <w:p w:rsidR="00D06F23" w:rsidRPr="009E768F" w:rsidRDefault="00D06F23" w:rsidP="00964035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15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D06F23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前項第二款自用藥品之限量，由中央衛生主管機關會同財政部公告之。</w:t>
            </w:r>
          </w:p>
        </w:tc>
      </w:tr>
      <w:tr w:rsidR="00D06F23" w:rsidRPr="009E768F" w:rsidTr="009E768F">
        <w:tc>
          <w:tcPr>
            <w:tcW w:w="1242" w:type="dxa"/>
          </w:tcPr>
          <w:p w:rsidR="00D06F23" w:rsidRPr="009E768F" w:rsidRDefault="00D06F2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E768F">
              <w:rPr>
                <w:rFonts w:ascii="標楷體" w:eastAsia="標楷體" w:hAnsi="標楷體" w:hint="eastAsia"/>
                <w:sz w:val="28"/>
                <w:szCs w:val="28"/>
              </w:rPr>
              <w:t>第39條</w:t>
            </w:r>
          </w:p>
        </w:tc>
        <w:tc>
          <w:tcPr>
            <w:tcW w:w="7120" w:type="dxa"/>
          </w:tcPr>
          <w:p w:rsidR="00D06F23" w:rsidRPr="009E768F" w:rsidRDefault="00D06F23" w:rsidP="00D06F23">
            <w:pPr>
              <w:pStyle w:val="HTML"/>
              <w:shd w:val="clear" w:color="auto" w:fill="FFFFFF"/>
              <w:spacing w:line="315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768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製造、輸入藥品，應將其成分、規格、性能、製法之要旨，檢驗規格與方法及有關資料或證件，連同原文和中文標籤、原文和中文仿單及樣品，並繳納費用，申請中央衛生主管機關查驗登記，經核准發給藥品許可證後，始得製造或輸入。</w:t>
            </w:r>
          </w:p>
          <w:p w:rsidR="00D06F23" w:rsidRPr="009E768F" w:rsidRDefault="00D06F23" w:rsidP="00D06F23">
            <w:pPr>
              <w:pStyle w:val="HTML"/>
              <w:shd w:val="clear" w:color="auto" w:fill="FFFFFF"/>
              <w:spacing w:line="315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768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向中央衛生主管機關申請藥品</w:t>
            </w:r>
            <w:proofErr w:type="gramStart"/>
            <w:r w:rsidRPr="009E768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試製經核准</w:t>
            </w:r>
            <w:proofErr w:type="gramEnd"/>
            <w:r w:rsidRPr="009E768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輸入</w:t>
            </w:r>
            <w:proofErr w:type="gramStart"/>
            <w:r w:rsidRPr="009E768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原料藥者</w:t>
            </w:r>
            <w:proofErr w:type="gramEnd"/>
            <w:r w:rsidRPr="009E768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，不適用前項規定；其申請條件及應繳費用，由中央衛生主管機關定之。</w:t>
            </w:r>
          </w:p>
          <w:p w:rsidR="00D06F23" w:rsidRPr="009E768F" w:rsidRDefault="00D06F23" w:rsidP="00D06F23">
            <w:pPr>
              <w:pStyle w:val="HTML"/>
              <w:shd w:val="clear" w:color="auto" w:fill="FFFFFF"/>
              <w:spacing w:line="315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768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第一項輸入藥品，應由藥品許可證所有人及其授權者輸入。</w:t>
            </w:r>
          </w:p>
          <w:p w:rsidR="00D06F23" w:rsidRPr="009E768F" w:rsidRDefault="00D06F23" w:rsidP="00D06F23">
            <w:pPr>
              <w:pStyle w:val="HTML"/>
              <w:shd w:val="clear" w:color="auto" w:fill="FFFFFF"/>
              <w:spacing w:line="315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9E768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申請第一項藥品查驗登記、依第四十六條規定辦理藥品許可證變更、移轉登記及依第四十七條規定辦理藥品許可證展延登記、換發及補發，其申請條件、審查程序、核准基準及其他應遵行之事項，由中央衛生主管機關以藥品查驗登記審查準則定之。</w:t>
            </w:r>
          </w:p>
        </w:tc>
      </w:tr>
      <w:tr w:rsidR="00D06F23" w:rsidRPr="009E768F" w:rsidTr="009E768F">
        <w:tc>
          <w:tcPr>
            <w:tcW w:w="1242" w:type="dxa"/>
          </w:tcPr>
          <w:p w:rsidR="00D06F23" w:rsidRPr="009E768F" w:rsidRDefault="00D06F23" w:rsidP="00104BFE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E768F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第69條</w:t>
            </w:r>
          </w:p>
        </w:tc>
        <w:tc>
          <w:tcPr>
            <w:tcW w:w="7120" w:type="dxa"/>
          </w:tcPr>
          <w:p w:rsidR="00D06F23" w:rsidRPr="009E768F" w:rsidRDefault="00D06F23" w:rsidP="00D06F23">
            <w:pPr>
              <w:pStyle w:val="HTML"/>
              <w:shd w:val="clear" w:color="auto" w:fill="FFFFFF"/>
              <w:spacing w:line="315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768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非本法所稱之藥物，不得為醫療效能之標示或宣傳。</w:t>
            </w:r>
          </w:p>
        </w:tc>
      </w:tr>
      <w:tr w:rsidR="00D06F23" w:rsidRPr="009E768F" w:rsidTr="009E768F">
        <w:tc>
          <w:tcPr>
            <w:tcW w:w="1242" w:type="dxa"/>
          </w:tcPr>
          <w:p w:rsidR="00D06F23" w:rsidRPr="009E768F" w:rsidRDefault="00D06F2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E768F">
              <w:rPr>
                <w:rFonts w:ascii="標楷體" w:eastAsia="標楷體" w:hAnsi="標楷體" w:hint="eastAsia"/>
                <w:sz w:val="28"/>
                <w:szCs w:val="28"/>
              </w:rPr>
              <w:t>第82條</w:t>
            </w:r>
          </w:p>
        </w:tc>
        <w:tc>
          <w:tcPr>
            <w:tcW w:w="7120" w:type="dxa"/>
          </w:tcPr>
          <w:p w:rsidR="00D06F23" w:rsidRPr="009E768F" w:rsidRDefault="00D06F23" w:rsidP="00D06F23">
            <w:pPr>
              <w:pStyle w:val="HTML"/>
              <w:shd w:val="clear" w:color="auto" w:fill="FFFFFF"/>
              <w:spacing w:line="315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768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製造或輸入偽藥或禁藥者，處十年以下有期徒刑，得</w:t>
            </w:r>
            <w:proofErr w:type="gramStart"/>
            <w:r w:rsidRPr="009E768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併</w:t>
            </w:r>
            <w:proofErr w:type="gramEnd"/>
            <w:r w:rsidRPr="009E768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科新臺幣</w:t>
            </w:r>
            <w:r w:rsidR="00A76567" w:rsidRPr="00A7656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一億元</w:t>
            </w:r>
            <w:r w:rsidRPr="009E768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以下罰金。</w:t>
            </w:r>
          </w:p>
          <w:p w:rsidR="00D06F23" w:rsidRPr="009E768F" w:rsidRDefault="00A76567" w:rsidP="00A76567">
            <w:pPr>
              <w:pStyle w:val="HTML"/>
              <w:shd w:val="clear" w:color="auto" w:fill="FFFFFF"/>
              <w:spacing w:line="315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7656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犯前項之罪，因而致人於死者，處無期徒刑或十年以上有期徒刑，得</w:t>
            </w:r>
            <w:proofErr w:type="gramStart"/>
            <w:r w:rsidRPr="00A7656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併</w:t>
            </w:r>
            <w:proofErr w:type="gramEnd"/>
            <w:r w:rsidRPr="00A7656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科新臺幣二億元以下罰金；致重傷者，處七年以上有期徒刑，得</w:t>
            </w:r>
            <w:proofErr w:type="gramStart"/>
            <w:r w:rsidRPr="00A7656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併</w:t>
            </w:r>
            <w:proofErr w:type="gramEnd"/>
            <w:r w:rsidRPr="00A7656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科新臺幣一億五千萬元以下罰金。</w:t>
            </w:r>
          </w:p>
          <w:p w:rsidR="00D06F23" w:rsidRPr="009E768F" w:rsidRDefault="00A76567" w:rsidP="00A76567">
            <w:pPr>
              <w:pStyle w:val="HTML"/>
              <w:shd w:val="clear" w:color="auto" w:fill="FFFFFF"/>
              <w:spacing w:line="315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7656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因過失犯第一項之罪者，處三年以下有期徒刑、拘役或科新臺幣一千萬元以下罰金。</w:t>
            </w:r>
          </w:p>
          <w:p w:rsidR="00D06F23" w:rsidRPr="009E768F" w:rsidRDefault="00D06F23" w:rsidP="00D06F23">
            <w:pPr>
              <w:pStyle w:val="HTML"/>
              <w:shd w:val="clear" w:color="auto" w:fill="FFFFFF"/>
              <w:spacing w:line="315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9E768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第一項之未遂犯罰之。</w:t>
            </w:r>
          </w:p>
        </w:tc>
      </w:tr>
      <w:tr w:rsidR="00D06F23" w:rsidRPr="009E768F" w:rsidTr="009E768F">
        <w:tc>
          <w:tcPr>
            <w:tcW w:w="1242" w:type="dxa"/>
          </w:tcPr>
          <w:p w:rsidR="00D06F23" w:rsidRPr="009E768F" w:rsidRDefault="00D06F2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E768F">
              <w:rPr>
                <w:rFonts w:ascii="標楷體" w:eastAsia="標楷體" w:hAnsi="標楷體" w:hint="eastAsia"/>
                <w:sz w:val="28"/>
                <w:szCs w:val="28"/>
              </w:rPr>
              <w:t>第83條</w:t>
            </w:r>
          </w:p>
        </w:tc>
        <w:tc>
          <w:tcPr>
            <w:tcW w:w="7120" w:type="dxa"/>
          </w:tcPr>
          <w:p w:rsidR="00A76567" w:rsidRPr="00A76567" w:rsidRDefault="00A76567" w:rsidP="00A76567">
            <w:pPr>
              <w:pStyle w:val="HTML"/>
              <w:shd w:val="clear" w:color="auto" w:fill="FFFFFF"/>
              <w:spacing w:line="315" w:lineRule="atLeas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7656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明知為偽藥或禁藥，而販賣、供應、調劑、運送、寄藏、牙保、轉讓或意圖販賣而陳列者，處七年以下有期徒刑，得</w:t>
            </w:r>
            <w:proofErr w:type="gramStart"/>
            <w:r w:rsidRPr="00A7656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併</w:t>
            </w:r>
            <w:proofErr w:type="gramEnd"/>
            <w:r w:rsidRPr="00A7656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科新臺幣五千萬元以下罰金。</w:t>
            </w:r>
          </w:p>
          <w:p w:rsidR="00A76567" w:rsidRPr="00A76567" w:rsidRDefault="00A76567" w:rsidP="00A76567">
            <w:pPr>
              <w:pStyle w:val="HTML"/>
              <w:shd w:val="clear" w:color="auto" w:fill="FFFFFF"/>
              <w:spacing w:line="315" w:lineRule="atLeas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7656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犯前項之罪，因而致人於死者，處七年以上有期徒刑，得</w:t>
            </w:r>
            <w:proofErr w:type="gramStart"/>
            <w:r w:rsidRPr="00A7656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併</w:t>
            </w:r>
            <w:proofErr w:type="gramEnd"/>
            <w:r w:rsidRPr="00A7656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科新臺幣一億元以下罰金；致重傷者，處三年以上十二年以下有期徒刑，得</w:t>
            </w:r>
            <w:proofErr w:type="gramStart"/>
            <w:r w:rsidRPr="00A7656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併</w:t>
            </w:r>
            <w:proofErr w:type="gramEnd"/>
            <w:r w:rsidRPr="00A7656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科新臺幣七千五百萬元以下罰金。</w:t>
            </w:r>
          </w:p>
          <w:p w:rsidR="00A76567" w:rsidRPr="00A76567" w:rsidRDefault="00A76567" w:rsidP="00A76567">
            <w:pPr>
              <w:pStyle w:val="HTML"/>
              <w:shd w:val="clear" w:color="auto" w:fill="FFFFFF"/>
              <w:spacing w:line="315" w:lineRule="atLeas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7656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因過失犯第一項之罪者，處二年以下有期徒刑、拘役或科新臺幣五百萬元</w:t>
            </w:r>
            <w:bookmarkStart w:id="0" w:name="_GoBack"/>
            <w:bookmarkEnd w:id="0"/>
            <w:r w:rsidRPr="00A7656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以下罰金。</w:t>
            </w:r>
          </w:p>
          <w:p w:rsidR="00D06F23" w:rsidRPr="009E768F" w:rsidRDefault="00A76567" w:rsidP="00A76567">
            <w:pPr>
              <w:pStyle w:val="HTML"/>
              <w:shd w:val="clear" w:color="auto" w:fill="FFFFFF"/>
              <w:spacing w:line="315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A7656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第一項之未遂犯罰之。</w:t>
            </w:r>
          </w:p>
        </w:tc>
      </w:tr>
      <w:tr w:rsidR="009E768F" w:rsidRPr="009E768F" w:rsidTr="009E768F">
        <w:tc>
          <w:tcPr>
            <w:tcW w:w="1242" w:type="dxa"/>
          </w:tcPr>
          <w:p w:rsidR="009E768F" w:rsidRPr="009E768F" w:rsidRDefault="009E768F" w:rsidP="009E768F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E768F">
              <w:rPr>
                <w:rFonts w:ascii="標楷體" w:eastAsia="標楷體" w:hAnsi="標楷體" w:hint="eastAsia"/>
                <w:sz w:val="28"/>
                <w:szCs w:val="28"/>
              </w:rPr>
              <w:t>第91條第2項</w:t>
            </w:r>
          </w:p>
        </w:tc>
        <w:tc>
          <w:tcPr>
            <w:tcW w:w="7120" w:type="dxa"/>
          </w:tcPr>
          <w:p w:rsidR="009E768F" w:rsidRPr="009E768F" w:rsidRDefault="009E768F" w:rsidP="009E768F">
            <w:pPr>
              <w:pStyle w:val="HTML"/>
              <w:shd w:val="clear" w:color="auto" w:fill="FFFFFF"/>
              <w:spacing w:line="315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768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違反第六十九條規定者，處新臺幣六十萬元以上二千五百萬元以下罰鍰，其違法物品沒入銷</w:t>
            </w:r>
            <w:proofErr w:type="gramStart"/>
            <w:r w:rsidRPr="009E768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燬</w:t>
            </w:r>
            <w:proofErr w:type="gramEnd"/>
            <w:r w:rsidRPr="009E768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之。</w:t>
            </w:r>
          </w:p>
        </w:tc>
      </w:tr>
      <w:tr w:rsidR="00D06F23" w:rsidRPr="009E768F" w:rsidTr="009E768F">
        <w:tc>
          <w:tcPr>
            <w:tcW w:w="1242" w:type="dxa"/>
          </w:tcPr>
          <w:p w:rsidR="00D06F23" w:rsidRPr="009E768F" w:rsidRDefault="009E768F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E768F">
              <w:rPr>
                <w:rFonts w:ascii="標楷體" w:eastAsia="標楷體" w:hAnsi="標楷體" w:hint="eastAsia"/>
                <w:sz w:val="28"/>
                <w:szCs w:val="28"/>
              </w:rPr>
              <w:t>第92條第1項</w:t>
            </w:r>
          </w:p>
        </w:tc>
        <w:tc>
          <w:tcPr>
            <w:tcW w:w="7120" w:type="dxa"/>
          </w:tcPr>
          <w:p w:rsidR="00D06F23" w:rsidRPr="009E768F" w:rsidRDefault="009E768F" w:rsidP="009E768F">
            <w:pPr>
              <w:pStyle w:val="HTML"/>
              <w:shd w:val="clear" w:color="auto" w:fill="FFFFFF"/>
              <w:spacing w:line="315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768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違反第二十七條第一項、第三項、第二十九條、第三十一條、第三十六條、第三十七條第二項、第三項、第三十九條第一項、第四十條第一項、第四十四條、第四十五條之一、第四十六條、第四十九條、第五十條第一項、第五十一條至第五十三條、第五十五條第一項、第五十七條第一項、第二項、第四項、第五十七條之一、第五十八條、第五十九條、第六十條、第六十四條、第七十一條第一項、第七十二條、第七十四條、第七十五條規定之</w:t>
            </w:r>
            <w:proofErr w:type="gramStart"/>
            <w:r w:rsidRPr="009E768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  <w:r w:rsidRPr="009E768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者，處新臺幣三萬元以上十五萬元以下罰鍰。</w:t>
            </w:r>
          </w:p>
        </w:tc>
      </w:tr>
    </w:tbl>
    <w:p w:rsidR="00D06F23" w:rsidRPr="009E768F" w:rsidRDefault="00D06F23">
      <w:pPr>
        <w:rPr>
          <w:rFonts w:ascii="標楷體" w:eastAsia="標楷體" w:hAnsi="標楷體"/>
          <w:sz w:val="28"/>
          <w:szCs w:val="28"/>
        </w:rPr>
      </w:pPr>
    </w:p>
    <w:sectPr w:rsidR="00D06F23" w:rsidRPr="009E768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F23"/>
    <w:rsid w:val="00604D0A"/>
    <w:rsid w:val="00964035"/>
    <w:rsid w:val="009E768F"/>
    <w:rsid w:val="00A76567"/>
    <w:rsid w:val="00D06F23"/>
    <w:rsid w:val="00F11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6F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D06F2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D06F23"/>
    <w:rPr>
      <w:rFonts w:ascii="細明體" w:eastAsia="細明體" w:hAnsi="細明體" w:cs="細明體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6F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D06F2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D06F23"/>
    <w:rPr>
      <w:rFonts w:ascii="細明體" w:eastAsia="細明體" w:hAnsi="細明體" w:cs="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92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4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184</Words>
  <Characters>1052</Characters>
  <Application>Microsoft Office Word</Application>
  <DocSecurity>0</DocSecurity>
  <Lines>8</Lines>
  <Paragraphs>2</Paragraphs>
  <ScaleCrop>false</ScaleCrop>
  <Company/>
  <LinksUpToDate>false</LinksUpToDate>
  <CharactersWithSpaces>1234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林煥晴</dc:creator>
  <cp:lastModifiedBy>林煥晴</cp:lastModifiedBy>
  <cp:revision>2</cp:revision>
  <cp:lastPrinted>2015-10-20T01:40:00Z</cp:lastPrinted>
  <dcterms:created xsi:type="dcterms:W3CDTF">2016-03-23T07:35:00Z</dcterms:created>
  <dcterms:modified xsi:type="dcterms:W3CDTF">2016-03-23T07:35:00Z</dcterms:modified>
</cp:coreProperties>
</file>