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44" w:rsidRPr="00F5525F" w:rsidRDefault="001D4344" w:rsidP="001D4344">
      <w:pPr>
        <w:pStyle w:val="a8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 w:rsidRPr="00F5525F">
        <w:rPr>
          <w:rFonts w:hAnsi="Times New Roman"/>
          <w:b/>
          <w:sz w:val="28"/>
          <w:szCs w:val="28"/>
        </w:rPr>
        <w:t>疾病管制署即時疫情監視及預警系統</w:t>
      </w:r>
    </w:p>
    <w:p w:rsidR="00F5525F" w:rsidRPr="00F5525F" w:rsidRDefault="00F5525F" w:rsidP="001D4344">
      <w:pPr>
        <w:pStyle w:val="a8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F5525F">
        <w:rPr>
          <w:rFonts w:hAnsi="Times New Roman"/>
          <w:b/>
          <w:sz w:val="28"/>
          <w:szCs w:val="28"/>
        </w:rPr>
        <w:t>H_CDC_RODS</w:t>
      </w:r>
    </w:p>
    <w:p w:rsidR="001D4344" w:rsidRPr="00F5525F" w:rsidRDefault="001D4344" w:rsidP="001D4344">
      <w:pPr>
        <w:pStyle w:val="a8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F5525F">
        <w:rPr>
          <w:rFonts w:hAnsi="Times New Roman"/>
          <w:b/>
          <w:sz w:val="28"/>
          <w:szCs w:val="28"/>
        </w:rPr>
        <w:t>資料庫使用手冊</w:t>
      </w:r>
    </w:p>
    <w:p w:rsidR="001D4344" w:rsidRPr="00F5525F" w:rsidRDefault="001D4344" w:rsidP="001D4344">
      <w:pPr>
        <w:numPr>
          <w:ilvl w:val="0"/>
          <w:numId w:val="1"/>
        </w:numPr>
        <w:rPr>
          <w:rFonts w:eastAsia="標楷體"/>
          <w:b/>
        </w:rPr>
      </w:pPr>
      <w:r w:rsidRPr="00F5525F">
        <w:rPr>
          <w:rFonts w:eastAsia="標楷體"/>
          <w:b/>
        </w:rPr>
        <w:t>檔案內容說明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2634"/>
        <w:gridCol w:w="1476"/>
        <w:gridCol w:w="820"/>
        <w:gridCol w:w="1214"/>
        <w:gridCol w:w="1310"/>
      </w:tblGrid>
      <w:tr w:rsidR="001D4344" w:rsidRPr="00F5525F" w:rsidTr="008B6960">
        <w:trPr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bookmarkStart w:id="1" w:name="_GoBack"/>
            <w:r w:rsidRPr="00F5525F">
              <w:rPr>
                <w:rFonts w:eastAsia="標楷體"/>
              </w:rPr>
              <w:br w:type="page"/>
            </w:r>
            <w:r w:rsidRPr="00F5525F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1D4344" w:rsidRPr="00F5525F" w:rsidRDefault="00F5525F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H_CDC_</w:t>
            </w:r>
            <w:r w:rsidR="001D4344" w:rsidRPr="00F5525F">
              <w:rPr>
                <w:rFonts w:eastAsia="標楷體"/>
              </w:rPr>
              <w:t xml:space="preserve">RODS 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資料筆數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1D4344" w:rsidRPr="00F5525F" w:rsidRDefault="001D4344" w:rsidP="001D4344">
            <w:pPr>
              <w:spacing w:line="380" w:lineRule="exact"/>
              <w:ind w:rightChars="605" w:right="1452"/>
              <w:rPr>
                <w:rFonts w:eastAsia="標楷體"/>
              </w:rPr>
            </w:pPr>
            <w:r w:rsidRPr="00F5525F">
              <w:rPr>
                <w:rFonts w:eastAsia="標楷體"/>
              </w:rPr>
              <w:t>2820</w:t>
            </w:r>
          </w:p>
        </w:tc>
      </w:tr>
      <w:tr w:rsidR="001D4344" w:rsidRPr="00F5525F" w:rsidTr="008B6960">
        <w:trPr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1D4344" w:rsidRPr="00F5525F" w:rsidRDefault="001D4344" w:rsidP="00756060">
            <w:pPr>
              <w:spacing w:line="380" w:lineRule="exact"/>
              <w:rPr>
                <w:rFonts w:eastAsia="標楷體"/>
              </w:rPr>
            </w:pPr>
            <w:r w:rsidRPr="00F5525F">
              <w:rPr>
                <w:rFonts w:eastAsia="標楷體"/>
              </w:rPr>
              <w:t>即時疫情監視及預警系統防疫資料庫統計資料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英文檔名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1D4344" w:rsidRPr="00F5525F" w:rsidRDefault="001D4344" w:rsidP="00756060">
            <w:pPr>
              <w:spacing w:line="380" w:lineRule="exact"/>
              <w:rPr>
                <w:rFonts w:eastAsia="標楷體"/>
              </w:rPr>
            </w:pPr>
            <w:r w:rsidRPr="00F5525F">
              <w:rPr>
                <w:rFonts w:eastAsia="標楷體"/>
              </w:rPr>
              <w:t>RODS Statistical DATA</w:t>
            </w:r>
          </w:p>
        </w:tc>
      </w:tr>
      <w:tr w:rsidR="001D4344" w:rsidRPr="00F5525F" w:rsidTr="008B6960">
        <w:trPr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1D4344" w:rsidRPr="00F5525F" w:rsidRDefault="00F5525F" w:rsidP="009115FB">
            <w:pPr>
              <w:spacing w:line="380" w:lineRule="exact"/>
              <w:rPr>
                <w:rFonts w:eastAsia="標楷體"/>
              </w:rPr>
            </w:pPr>
            <w:r w:rsidRPr="00F5525F">
              <w:rPr>
                <w:rFonts w:eastAsia="標楷體"/>
              </w:rPr>
              <w:t xml:space="preserve">256 </w:t>
            </w:r>
            <w:r w:rsidR="001D4344" w:rsidRPr="00F5525F">
              <w:rPr>
                <w:rFonts w:eastAsia="標楷體"/>
              </w:rPr>
              <w:t>KB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欄位數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7</w:t>
            </w:r>
          </w:p>
        </w:tc>
      </w:tr>
      <w:tr w:rsidR="00F5525F" w:rsidRPr="00F5525F" w:rsidTr="008B6960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1D4344" w:rsidRPr="00F5525F" w:rsidRDefault="001D4344" w:rsidP="00756060">
            <w:pPr>
              <w:jc w:val="both"/>
              <w:rPr>
                <w:rFonts w:eastAsia="標楷體"/>
              </w:rPr>
            </w:pPr>
            <w:r w:rsidRPr="00F5525F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1D4344" w:rsidRPr="00F5525F" w:rsidRDefault="001D4344" w:rsidP="00756060">
            <w:pPr>
              <w:jc w:val="both"/>
              <w:rPr>
                <w:rFonts w:eastAsia="標楷體"/>
              </w:rPr>
            </w:pPr>
            <w:r w:rsidRPr="00F5525F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D4344" w:rsidRPr="00F5525F" w:rsidRDefault="004A008F" w:rsidP="00756060">
            <w:pPr>
              <w:jc w:val="both"/>
              <w:rPr>
                <w:rFonts w:eastAsia="標楷體"/>
              </w:rPr>
            </w:pPr>
            <w:proofErr w:type="gramStart"/>
            <w:r w:rsidRPr="00F5525F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DBE5F1"/>
            <w:vAlign w:val="center"/>
          </w:tcPr>
          <w:p w:rsidR="001D4344" w:rsidRPr="00F5525F" w:rsidRDefault="001D4344" w:rsidP="00756060">
            <w:pPr>
              <w:jc w:val="both"/>
              <w:rPr>
                <w:rFonts w:eastAsia="標楷體"/>
              </w:rPr>
            </w:pPr>
            <w:r w:rsidRPr="00F5525F">
              <w:rPr>
                <w:rFonts w:eastAsia="標楷體"/>
              </w:rPr>
              <w:t>譯碼簿</w:t>
            </w:r>
          </w:p>
          <w:p w:rsidR="001D4344" w:rsidRPr="00F5525F" w:rsidRDefault="001D4344" w:rsidP="00756060">
            <w:pPr>
              <w:jc w:val="both"/>
              <w:rPr>
                <w:rFonts w:eastAsia="標楷體"/>
              </w:rPr>
            </w:pPr>
            <w:r w:rsidRPr="00F5525F">
              <w:rPr>
                <w:rFonts w:eastAsia="標楷體"/>
              </w:rPr>
              <w:t>更新日期</w:t>
            </w:r>
          </w:p>
        </w:tc>
        <w:tc>
          <w:tcPr>
            <w:tcW w:w="992" w:type="dxa"/>
          </w:tcPr>
          <w:p w:rsidR="001D4344" w:rsidRPr="00F5525F" w:rsidRDefault="00F5525F" w:rsidP="00F5525F">
            <w:pPr>
              <w:spacing w:line="380" w:lineRule="exact"/>
              <w:rPr>
                <w:rFonts w:eastAsia="標楷體"/>
              </w:rPr>
            </w:pPr>
            <w:r w:rsidRPr="00F5525F">
              <w:rPr>
                <w:rFonts w:eastAsia="標楷體"/>
              </w:rPr>
              <w:t>2016/09/13</w:t>
            </w:r>
          </w:p>
        </w:tc>
      </w:tr>
      <w:tr w:rsidR="001D4344" w:rsidRPr="00F5525F" w:rsidTr="008B6960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資料描述</w:t>
            </w:r>
          </w:p>
        </w:tc>
        <w:tc>
          <w:tcPr>
            <w:tcW w:w="7384" w:type="dxa"/>
            <w:gridSpan w:val="5"/>
          </w:tcPr>
          <w:p w:rsidR="001D4344" w:rsidRPr="00F5525F" w:rsidRDefault="001D4344" w:rsidP="00756060">
            <w:pPr>
              <w:pStyle w:val="a9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F5525F">
              <w:rPr>
                <w:rFonts w:eastAsia="標楷體"/>
                <w:sz w:val="24"/>
              </w:rPr>
              <w:t>疾病管制署及時疫情監視及預警系統特定疾病年</w:t>
            </w:r>
            <w:proofErr w:type="gramStart"/>
            <w:r w:rsidRPr="00F5525F">
              <w:rPr>
                <w:rFonts w:eastAsia="標楷體"/>
                <w:sz w:val="24"/>
              </w:rPr>
              <w:t>週</w:t>
            </w:r>
            <w:proofErr w:type="gramEnd"/>
            <w:r w:rsidRPr="00F5525F">
              <w:rPr>
                <w:rFonts w:eastAsia="標楷體"/>
                <w:sz w:val="24"/>
              </w:rPr>
              <w:t>統計資料</w:t>
            </w:r>
          </w:p>
        </w:tc>
      </w:tr>
      <w:tr w:rsidR="001D4344" w:rsidRPr="00F5525F" w:rsidTr="008B6960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注意事項</w:t>
            </w:r>
          </w:p>
        </w:tc>
        <w:tc>
          <w:tcPr>
            <w:tcW w:w="7384" w:type="dxa"/>
            <w:gridSpan w:val="5"/>
          </w:tcPr>
          <w:p w:rsidR="001D4344" w:rsidRPr="00F5525F" w:rsidRDefault="001D4344" w:rsidP="00756060">
            <w:pPr>
              <w:spacing w:line="380" w:lineRule="exact"/>
              <w:rPr>
                <w:rFonts w:eastAsia="標楷體"/>
              </w:rPr>
            </w:pPr>
            <w:r w:rsidRPr="00F5525F">
              <w:rPr>
                <w:rFonts w:eastAsia="標楷體"/>
              </w:rPr>
              <w:t>此為次級統計資料</w:t>
            </w:r>
          </w:p>
        </w:tc>
      </w:tr>
      <w:tr w:rsidR="001D4344" w:rsidRPr="00F5525F" w:rsidTr="008B6960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主鍵與比對欄位</w:t>
            </w:r>
          </w:p>
        </w:tc>
        <w:tc>
          <w:tcPr>
            <w:tcW w:w="7384" w:type="dxa"/>
            <w:gridSpan w:val="5"/>
          </w:tcPr>
          <w:p w:rsidR="001D4344" w:rsidRPr="00F5525F" w:rsidRDefault="001D4344" w:rsidP="00756060">
            <w:pPr>
              <w:pStyle w:val="a9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F5525F">
              <w:rPr>
                <w:rFonts w:eastAsia="標楷體"/>
                <w:sz w:val="24"/>
              </w:rPr>
              <w:t>無</w:t>
            </w:r>
          </w:p>
        </w:tc>
      </w:tr>
      <w:bookmarkEnd w:id="0"/>
      <w:bookmarkEnd w:id="1"/>
    </w:tbl>
    <w:p w:rsidR="001D4344" w:rsidRPr="00F5525F" w:rsidRDefault="001D4344" w:rsidP="001D4344">
      <w:pPr>
        <w:ind w:left="570"/>
        <w:rPr>
          <w:rFonts w:eastAsia="標楷體"/>
        </w:rPr>
      </w:pPr>
    </w:p>
    <w:p w:rsidR="001D4344" w:rsidRPr="00F5525F" w:rsidRDefault="001D4344" w:rsidP="001D4344">
      <w:pPr>
        <w:numPr>
          <w:ilvl w:val="0"/>
          <w:numId w:val="1"/>
        </w:numPr>
        <w:rPr>
          <w:rFonts w:eastAsia="標楷體"/>
        </w:rPr>
      </w:pPr>
      <w:r w:rsidRPr="00F5525F">
        <w:rPr>
          <w:rFonts w:eastAsia="標楷體"/>
        </w:rPr>
        <w:br w:type="page"/>
      </w:r>
      <w:r w:rsidRPr="00F5525F">
        <w:rPr>
          <w:rFonts w:eastAsia="標楷體"/>
        </w:rPr>
        <w:lastRenderedPageBreak/>
        <w:t>檔案格式及資料描述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2227"/>
        <w:gridCol w:w="2341"/>
        <w:gridCol w:w="850"/>
        <w:gridCol w:w="841"/>
        <w:gridCol w:w="3156"/>
      </w:tblGrid>
      <w:tr w:rsidR="001D4344" w:rsidRPr="00F5525F" w:rsidTr="00F5525F">
        <w:trPr>
          <w:trHeight w:val="63"/>
          <w:tblHeader/>
          <w:jc w:val="center"/>
        </w:trPr>
        <w:tc>
          <w:tcPr>
            <w:tcW w:w="819" w:type="dxa"/>
            <w:shd w:val="clear" w:color="auto" w:fill="DBE5F1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中文欄位名稱</w:t>
            </w:r>
          </w:p>
        </w:tc>
        <w:tc>
          <w:tcPr>
            <w:tcW w:w="2341" w:type="dxa"/>
            <w:shd w:val="clear" w:color="auto" w:fill="DBE5F1" w:themeFill="accent1" w:themeFillTint="33"/>
            <w:noWrap/>
            <w:vAlign w:val="center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型態</w:t>
            </w:r>
          </w:p>
        </w:tc>
        <w:tc>
          <w:tcPr>
            <w:tcW w:w="841" w:type="dxa"/>
            <w:shd w:val="clear" w:color="auto" w:fill="DBE5F1"/>
            <w:noWrap/>
            <w:vAlign w:val="center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長度</w:t>
            </w:r>
          </w:p>
        </w:tc>
        <w:tc>
          <w:tcPr>
            <w:tcW w:w="3156" w:type="dxa"/>
            <w:shd w:val="clear" w:color="auto" w:fill="DBE5F1"/>
            <w:vAlign w:val="center"/>
          </w:tcPr>
          <w:p w:rsidR="001D4344" w:rsidRPr="00F5525F" w:rsidRDefault="001D4344" w:rsidP="00756060">
            <w:pPr>
              <w:ind w:leftChars="20" w:left="48"/>
              <w:jc w:val="center"/>
              <w:rPr>
                <w:rFonts w:eastAsia="標楷體"/>
              </w:rPr>
            </w:pPr>
            <w:r w:rsidRPr="00F5525F">
              <w:rPr>
                <w:rFonts w:eastAsia="標楷體"/>
              </w:rPr>
              <w:t>資料描述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通報年</w:t>
            </w:r>
            <w:proofErr w:type="gramStart"/>
            <w:r w:rsidRPr="00F5525F">
              <w:rPr>
                <w:rFonts w:eastAsia="標楷體"/>
                <w:color w:val="000000"/>
              </w:rPr>
              <w:t>週</w:t>
            </w:r>
            <w:proofErr w:type="gramEnd"/>
            <w:r w:rsidRPr="00F5525F">
              <w:rPr>
                <w:rFonts w:eastAsia="標楷體"/>
                <w:color w:val="000000"/>
              </w:rPr>
              <w:t>別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YEARWEEK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7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醫療院所通報日期所在之</w:t>
            </w:r>
            <w:r w:rsidRPr="00F5525F">
              <w:rPr>
                <w:rFonts w:eastAsia="標楷體"/>
                <w:color w:val="000000"/>
              </w:rPr>
              <w:t>WHO</w:t>
            </w:r>
            <w:r w:rsidRPr="00F5525F">
              <w:rPr>
                <w:rFonts w:eastAsia="標楷體"/>
                <w:color w:val="000000"/>
              </w:rPr>
              <w:t>年</w:t>
            </w:r>
            <w:proofErr w:type="gramStart"/>
            <w:r w:rsidRPr="00F5525F">
              <w:rPr>
                <w:rFonts w:eastAsia="標楷體"/>
                <w:color w:val="000000"/>
              </w:rPr>
              <w:t>週</w:t>
            </w:r>
            <w:proofErr w:type="gramEnd"/>
            <w:r w:rsidRPr="00F5525F">
              <w:rPr>
                <w:rFonts w:eastAsia="標楷體"/>
                <w:color w:val="000000"/>
              </w:rPr>
              <w:t>別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通報區別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BRANCH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41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6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依管制署之分區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</w:t>
            </w:r>
            <w:r w:rsidRPr="00F5525F">
              <w:rPr>
                <w:rFonts w:eastAsia="標楷體"/>
                <w:color w:val="000000"/>
              </w:rPr>
              <w:t>類流感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RODSRS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proofErr w:type="spellStart"/>
            <w:r w:rsidRPr="00F5525F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8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</w:t>
            </w:r>
            <w:r w:rsidRPr="00F5525F">
              <w:rPr>
                <w:rFonts w:eastAsia="標楷體"/>
                <w:color w:val="000000"/>
              </w:rPr>
              <w:t>類流感急診就診人次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紅眼症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PINKEYE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proofErr w:type="spellStart"/>
            <w:r w:rsidRPr="00F5525F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8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紅眼症急診就診人次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</w:t>
            </w:r>
            <w:r w:rsidRPr="00F5525F">
              <w:rPr>
                <w:rFonts w:eastAsia="標楷體"/>
                <w:color w:val="000000"/>
              </w:rPr>
              <w:t>腸胃道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RODSGI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proofErr w:type="spellStart"/>
            <w:r w:rsidRPr="00F5525F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8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RODS</w:t>
            </w:r>
            <w:r w:rsidRPr="00F5525F">
              <w:rPr>
                <w:rFonts w:eastAsia="標楷體"/>
                <w:color w:val="000000"/>
              </w:rPr>
              <w:t>腸胃道急診就診人次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腸病毒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EI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proofErr w:type="spellStart"/>
            <w:r w:rsidRPr="00F5525F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8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腸病毒急診就診人次</w:t>
            </w:r>
          </w:p>
        </w:tc>
      </w:tr>
      <w:tr w:rsidR="00DE1039" w:rsidRPr="00F5525F" w:rsidTr="00F5525F">
        <w:trPr>
          <w:trHeight w:val="330"/>
          <w:jc w:val="center"/>
        </w:trPr>
        <w:tc>
          <w:tcPr>
            <w:tcW w:w="819" w:type="dxa"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急診總人次</w:t>
            </w:r>
          </w:p>
        </w:tc>
        <w:tc>
          <w:tcPr>
            <w:tcW w:w="2341" w:type="dxa"/>
            <w:noWrap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TOTAL</w:t>
            </w:r>
          </w:p>
        </w:tc>
        <w:tc>
          <w:tcPr>
            <w:tcW w:w="850" w:type="dxa"/>
            <w:noWrap/>
            <w:vAlign w:val="center"/>
          </w:tcPr>
          <w:p w:rsidR="00DE1039" w:rsidRPr="00F5525F" w:rsidRDefault="00DE1039" w:rsidP="00DE1039">
            <w:pPr>
              <w:jc w:val="center"/>
              <w:rPr>
                <w:rFonts w:eastAsia="標楷體"/>
                <w:color w:val="000000"/>
              </w:rPr>
            </w:pPr>
            <w:proofErr w:type="spellStart"/>
            <w:r w:rsidRPr="00F5525F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841" w:type="dxa"/>
            <w:noWrap/>
            <w:vAlign w:val="center"/>
          </w:tcPr>
          <w:p w:rsidR="00DE1039" w:rsidRPr="00F5525F" w:rsidRDefault="00F5525F" w:rsidP="00DE1039">
            <w:pPr>
              <w:jc w:val="center"/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8</w:t>
            </w:r>
          </w:p>
        </w:tc>
        <w:tc>
          <w:tcPr>
            <w:tcW w:w="3156" w:type="dxa"/>
            <w:vAlign w:val="center"/>
          </w:tcPr>
          <w:p w:rsidR="00DE1039" w:rsidRPr="00F5525F" w:rsidRDefault="00DE1039" w:rsidP="00DE1039">
            <w:pPr>
              <w:rPr>
                <w:rFonts w:eastAsia="標楷體"/>
                <w:color w:val="000000"/>
              </w:rPr>
            </w:pPr>
            <w:r w:rsidRPr="00F5525F">
              <w:rPr>
                <w:rFonts w:eastAsia="標楷體"/>
                <w:color w:val="000000"/>
              </w:rPr>
              <w:t>急診總人次</w:t>
            </w:r>
          </w:p>
        </w:tc>
      </w:tr>
    </w:tbl>
    <w:p w:rsidR="001D4344" w:rsidRPr="00F5525F" w:rsidRDefault="001D4344" w:rsidP="001D4344">
      <w:pPr>
        <w:pStyle w:val="a9"/>
        <w:numPr>
          <w:ilvl w:val="0"/>
          <w:numId w:val="1"/>
        </w:numPr>
        <w:adjustRightInd w:val="0"/>
        <w:snapToGrid w:val="0"/>
        <w:spacing w:line="240" w:lineRule="atLeast"/>
        <w:ind w:leftChars="0"/>
        <w:rPr>
          <w:rFonts w:eastAsia="標楷體"/>
          <w:b/>
          <w:sz w:val="24"/>
        </w:rPr>
      </w:pPr>
      <w:r w:rsidRPr="00F5525F">
        <w:rPr>
          <w:rFonts w:eastAsia="標楷體"/>
        </w:rPr>
        <w:br w:type="page"/>
      </w:r>
      <w:r w:rsidRPr="00F5525F">
        <w:rPr>
          <w:rFonts w:eastAsia="標楷體"/>
          <w:b/>
          <w:sz w:val="24"/>
        </w:rPr>
        <w:lastRenderedPageBreak/>
        <w:t>欄位（變項）譯碼表（</w:t>
      </w:r>
      <w:r w:rsidRPr="00F5525F">
        <w:rPr>
          <w:rFonts w:eastAsia="標楷體"/>
          <w:b/>
          <w:sz w:val="24"/>
        </w:rPr>
        <w:t>coding book</w:t>
      </w:r>
      <w:r w:rsidRPr="00F5525F">
        <w:rPr>
          <w:rFonts w:eastAsia="標楷體"/>
          <w:b/>
          <w:sz w:val="24"/>
        </w:rPr>
        <w:t>）</w:t>
      </w:r>
    </w:p>
    <w:p w:rsidR="001D4344" w:rsidRPr="00F5525F" w:rsidRDefault="001D4344" w:rsidP="001D4344">
      <w:pPr>
        <w:pStyle w:val="a9"/>
        <w:adjustRightInd w:val="0"/>
        <w:snapToGrid w:val="0"/>
        <w:spacing w:line="240" w:lineRule="atLeast"/>
        <w:ind w:leftChars="0" w:left="570"/>
        <w:rPr>
          <w:rFonts w:eastAsia="標楷體"/>
          <w:b/>
        </w:rPr>
      </w:pPr>
    </w:p>
    <w:p w:rsidR="001D4344" w:rsidRPr="00F5525F" w:rsidRDefault="001D4344" w:rsidP="001D4344">
      <w:pPr>
        <w:rPr>
          <w:rFonts w:eastAsia="標楷體"/>
          <w:b/>
        </w:rPr>
      </w:pPr>
      <w:r w:rsidRPr="00F5525F">
        <w:rPr>
          <w:rFonts w:eastAsia="標楷體"/>
          <w:b/>
        </w:rPr>
        <w:t>1.</w:t>
      </w:r>
      <w:r w:rsidRPr="00F5525F">
        <w:rPr>
          <w:rFonts w:eastAsia="標楷體"/>
          <w:b/>
        </w:rPr>
        <w:t>通報區別（</w:t>
      </w:r>
      <w:r w:rsidRPr="00F5525F">
        <w:rPr>
          <w:rFonts w:eastAsia="標楷體"/>
        </w:rPr>
        <w:t>BRANCH</w:t>
      </w:r>
      <w:r w:rsidRPr="00F5525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1059"/>
        <w:gridCol w:w="5890"/>
      </w:tblGrid>
      <w:tr w:rsidR="001D4344" w:rsidRPr="00F5525F" w:rsidTr="00393D4C">
        <w:trPr>
          <w:trHeight w:val="130"/>
          <w:tblHeader/>
        </w:trPr>
        <w:tc>
          <w:tcPr>
            <w:tcW w:w="812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F5525F">
              <w:rPr>
                <w:rFonts w:eastAsia="標楷體"/>
              </w:rPr>
              <w:t>BRANCH</w:t>
            </w:r>
          </w:p>
        </w:tc>
        <w:tc>
          <w:tcPr>
            <w:tcW w:w="638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551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說明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 w:val="restar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通報區別</w:t>
            </w: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台北區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台北市、宜蘭縣、金門縣、基隆市、連江縣、新北市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/>
          </w:tcPr>
          <w:p w:rsidR="001D4344" w:rsidRPr="00F5525F" w:rsidRDefault="001D4344" w:rsidP="00756060">
            <w:pPr>
              <w:rPr>
                <w:rFonts w:eastAsia="標楷體"/>
              </w:rPr>
            </w:pP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北區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苗栗縣、桃園市、新竹市、新竹縣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/>
          </w:tcPr>
          <w:p w:rsidR="001D4344" w:rsidRPr="00F5525F" w:rsidRDefault="001D4344" w:rsidP="00756060">
            <w:pPr>
              <w:rPr>
                <w:rFonts w:eastAsia="標楷體"/>
              </w:rPr>
            </w:pP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中區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台中市、南投縣、彰化縣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/>
          </w:tcPr>
          <w:p w:rsidR="001D4344" w:rsidRPr="00F5525F" w:rsidRDefault="001D4344" w:rsidP="00756060">
            <w:pPr>
              <w:rPr>
                <w:rFonts w:eastAsia="標楷體"/>
              </w:rPr>
            </w:pP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南區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台南市、雲林縣、嘉義市、嘉義縣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/>
          </w:tcPr>
          <w:p w:rsidR="001D4344" w:rsidRPr="00F5525F" w:rsidRDefault="001D4344" w:rsidP="00756060">
            <w:pPr>
              <w:rPr>
                <w:rFonts w:eastAsia="標楷體"/>
              </w:rPr>
            </w:pP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高屏區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台東縣、花蓮縣</w:t>
            </w:r>
          </w:p>
        </w:tc>
      </w:tr>
      <w:tr w:rsidR="001D4344" w:rsidRPr="00F5525F" w:rsidTr="00393D4C">
        <w:trPr>
          <w:trHeight w:val="363"/>
        </w:trPr>
        <w:tc>
          <w:tcPr>
            <w:tcW w:w="812" w:type="pct"/>
            <w:vMerge/>
          </w:tcPr>
          <w:p w:rsidR="001D4344" w:rsidRPr="00F5525F" w:rsidRDefault="001D4344" w:rsidP="00756060">
            <w:pPr>
              <w:rPr>
                <w:rFonts w:eastAsia="標楷體"/>
              </w:rPr>
            </w:pPr>
          </w:p>
        </w:tc>
        <w:tc>
          <w:tcPr>
            <w:tcW w:w="638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東區</w:t>
            </w:r>
          </w:p>
        </w:tc>
        <w:tc>
          <w:tcPr>
            <w:tcW w:w="3551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屏東縣、高雄市、澎湖縣</w:t>
            </w:r>
          </w:p>
        </w:tc>
      </w:tr>
    </w:tbl>
    <w:p w:rsidR="001D4344" w:rsidRPr="00F5525F" w:rsidRDefault="001D4344" w:rsidP="001D4344">
      <w:pPr>
        <w:rPr>
          <w:rFonts w:eastAsia="標楷體"/>
        </w:rPr>
      </w:pPr>
    </w:p>
    <w:p w:rsidR="001D4344" w:rsidRPr="00F5525F" w:rsidRDefault="001D4344" w:rsidP="001D4344">
      <w:pPr>
        <w:rPr>
          <w:rFonts w:eastAsia="標楷體"/>
          <w:b/>
        </w:rPr>
      </w:pPr>
      <w:r w:rsidRPr="00F5525F">
        <w:rPr>
          <w:rFonts w:eastAsia="標楷體"/>
          <w:b/>
        </w:rPr>
        <w:t>2. RODS</w:t>
      </w:r>
      <w:r w:rsidRPr="00F5525F">
        <w:rPr>
          <w:rFonts w:eastAsia="標楷體"/>
          <w:b/>
        </w:rPr>
        <w:t>類流感（</w:t>
      </w:r>
      <w:r w:rsidRPr="00F5525F">
        <w:rPr>
          <w:rFonts w:eastAsia="標楷體"/>
        </w:rPr>
        <w:t>RODSRS</w:t>
      </w:r>
      <w:r w:rsidRPr="00F5525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1195"/>
        <w:gridCol w:w="5100"/>
      </w:tblGrid>
      <w:tr w:rsidR="001D4344" w:rsidRPr="00F5525F" w:rsidTr="00F5525F">
        <w:trPr>
          <w:trHeight w:val="348"/>
          <w:tblHeader/>
        </w:trPr>
        <w:tc>
          <w:tcPr>
            <w:tcW w:w="1206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F5525F">
              <w:rPr>
                <w:rFonts w:eastAsia="標楷體"/>
              </w:rPr>
              <w:t>RODSRS</w:t>
            </w:r>
          </w:p>
        </w:tc>
        <w:tc>
          <w:tcPr>
            <w:tcW w:w="720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75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說明</w:t>
            </w:r>
          </w:p>
        </w:tc>
      </w:tr>
      <w:tr w:rsidR="001D4344" w:rsidRPr="00F5525F" w:rsidTr="00756060">
        <w:trPr>
          <w:trHeight w:val="2228"/>
        </w:trPr>
        <w:tc>
          <w:tcPr>
            <w:tcW w:w="1206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RODS</w:t>
            </w:r>
            <w:r w:rsidRPr="00F5525F">
              <w:rPr>
                <w:rFonts w:eastAsia="標楷體"/>
              </w:rPr>
              <w:t>類流感</w:t>
            </w:r>
          </w:p>
        </w:tc>
        <w:tc>
          <w:tcPr>
            <w:tcW w:w="720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RODS</w:t>
            </w:r>
            <w:r w:rsidRPr="00F5525F">
              <w:rPr>
                <w:rFonts w:eastAsia="標楷體"/>
              </w:rPr>
              <w:t>類流感</w:t>
            </w:r>
          </w:p>
        </w:tc>
        <w:tc>
          <w:tcPr>
            <w:tcW w:w="3075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主診斷碼</w:t>
            </w:r>
            <w:r w:rsidRPr="00F5525F">
              <w:rPr>
                <w:rFonts w:eastAsia="標楷體"/>
              </w:rPr>
              <w:t>(ICD9_1)</w:t>
            </w:r>
            <w:r w:rsidRPr="00F5525F">
              <w:rPr>
                <w:rFonts w:eastAsia="標楷體"/>
              </w:rPr>
              <w:t>為：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'003.22','010','010.0','010.00','010.01','010.02','010.03','010.04','010.05','010.06','010.1','010.10','010.11','010.12','010.13','010.14','010.15','010.16','010.8','010.80','010.81','010.82','010.83','010.84','010.85','010.86','010.9','010.90','010.91','010.92','010.93','010.94','010.95','010.96','011','011.0','011.00','011.01','011.02','011.03','011.04','011.05','011.06','011.1','011.10','011.11','011.12','011.13','011.14','011.15','011.16','011.2','011.20','011.21','011.22','011.23','011.24','011.25','011.26','011.3','011.30','011.31','011.32','011.33','011.34','011.35','011.36','011.4','011.40','011.41','011.42','011.43','011.44','011.45','011.46','011.5','011.50','011.51','011.52','011.53','011.54','011.55','011.56','011.6','011.60','011.61','011.62','011.63','011.64','011.65','011.66','011.7','011.70','011.71','011.72','011.73','011.74','011.75','011.76','011.8','011.80','011.81','011.82','011.83','011.84','011.85','011.86','011.9','011.90','011.91','011.92','011.93','011.94','011.95','011.96','020','020.3','020.4','020.5','020.9','021.2','022','022.1','024','025','032','032.0','032.1','032.2','032.3','032.89','033','033.0','033.1','033.8','033.9','034','034.0','052.1','055.1','073','073.0','074.1','079','079.8','079.81','079.88','0</w:t>
            </w:r>
            <w:r w:rsidRPr="00F5525F">
              <w:rPr>
                <w:rFonts w:eastAsia="標楷體"/>
              </w:rPr>
              <w:lastRenderedPageBreak/>
              <w:t>79.89','079.9','079.98','079.99','083.0','112.4','114.0','114.9','115','115.0','115.00','115.05','115.15','115.9','115.90','115.95','130.4','136.3','460','462','463','464','464.0','464.1','464.10','464.11','464.2','464.20','464.21','464.3','464.30','464.31','464.4','465','465.0','465.8','465.9','466','466.0','466.1','466.11','466.19','480','480.0','480.1','480.2','480.8','480.9','481','482','482.0','482.1','482.2','482.3','482.30','482.31','482.32','482.39','482.4','482.40','482.41','482.49','482.8','482.81','482.82','482.83','482.84','482.89','482.9','483','483.0','483.1','483.8','484','484.1','484.3','484.5','484.6','484.7','484.8','485','486','487','487.0','487.1','490','491','491.0','491.1','491.20','491.21','491.8','491.9','507','507.0','507.1','507.8','511','511.0','511.1','511.8','511.9','513','513.0','513.1','518','518.0','518.4','518.8','518.81','518.82','518.84','518.89','519.2','784.1','786.0','786.00','786.05','786.06','786.07','786.09','786.1','786.2','786.52','795.31','V01.81'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者，計數為</w:t>
            </w:r>
            <w:r w:rsidRPr="00F5525F">
              <w:rPr>
                <w:rFonts w:eastAsia="標楷體"/>
              </w:rPr>
              <w:t>1</w:t>
            </w:r>
            <w:r w:rsidRPr="00F5525F">
              <w:rPr>
                <w:rFonts w:eastAsia="標楷體"/>
              </w:rPr>
              <w:t>。</w:t>
            </w:r>
          </w:p>
        </w:tc>
      </w:tr>
    </w:tbl>
    <w:p w:rsidR="001D4344" w:rsidRPr="00F5525F" w:rsidRDefault="001D4344" w:rsidP="001D4344">
      <w:pPr>
        <w:rPr>
          <w:rFonts w:eastAsia="標楷體"/>
        </w:rPr>
      </w:pPr>
    </w:p>
    <w:p w:rsidR="001D4344" w:rsidRPr="00F5525F" w:rsidRDefault="001D4344" w:rsidP="001D4344">
      <w:pPr>
        <w:rPr>
          <w:rFonts w:eastAsia="標楷體"/>
          <w:b/>
        </w:rPr>
      </w:pPr>
      <w:r w:rsidRPr="00F5525F">
        <w:rPr>
          <w:rFonts w:eastAsia="標楷體"/>
          <w:b/>
        </w:rPr>
        <w:t>3.</w:t>
      </w:r>
      <w:r w:rsidRPr="00F5525F">
        <w:rPr>
          <w:rFonts w:eastAsia="標楷體"/>
          <w:b/>
        </w:rPr>
        <w:t>紅眼症（</w:t>
      </w:r>
      <w:r w:rsidRPr="00F5525F">
        <w:rPr>
          <w:rFonts w:eastAsia="標楷體"/>
        </w:rPr>
        <w:t>PINKEYE</w:t>
      </w:r>
      <w:r w:rsidRPr="00F5525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1195"/>
        <w:gridCol w:w="5100"/>
      </w:tblGrid>
      <w:tr w:rsidR="001D4344" w:rsidRPr="00F5525F" w:rsidTr="00F5525F">
        <w:trPr>
          <w:trHeight w:val="348"/>
          <w:tblHeader/>
        </w:trPr>
        <w:tc>
          <w:tcPr>
            <w:tcW w:w="1206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F5525F">
              <w:rPr>
                <w:rFonts w:eastAsia="標楷體"/>
              </w:rPr>
              <w:t>PINKEYE</w:t>
            </w:r>
          </w:p>
        </w:tc>
        <w:tc>
          <w:tcPr>
            <w:tcW w:w="720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75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說明</w:t>
            </w:r>
          </w:p>
        </w:tc>
      </w:tr>
      <w:tr w:rsidR="001D4344" w:rsidRPr="00F5525F" w:rsidTr="00756060">
        <w:trPr>
          <w:trHeight w:val="2228"/>
        </w:trPr>
        <w:tc>
          <w:tcPr>
            <w:tcW w:w="1206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紅眼症</w:t>
            </w:r>
          </w:p>
        </w:tc>
        <w:tc>
          <w:tcPr>
            <w:tcW w:w="720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紅眼症</w:t>
            </w:r>
          </w:p>
        </w:tc>
        <w:tc>
          <w:tcPr>
            <w:tcW w:w="3075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主次診斷碼</w:t>
            </w:r>
            <w:r w:rsidRPr="00F5525F">
              <w:rPr>
                <w:rFonts w:eastAsia="標楷體"/>
              </w:rPr>
              <w:t>(ICD9_1~4)</w:t>
            </w:r>
            <w:r w:rsidRPr="00F5525F">
              <w:rPr>
                <w:rFonts w:eastAsia="標楷體"/>
              </w:rPr>
              <w:t>為：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'077','077.0','077.1','077.2','077.3','077.4','077.8','077.9','370.4','370.40','372','372.0','372.00','372.71','372.72'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者，計數為</w:t>
            </w:r>
            <w:r w:rsidRPr="00F5525F">
              <w:rPr>
                <w:rFonts w:eastAsia="標楷體"/>
              </w:rPr>
              <w:t>1</w:t>
            </w:r>
            <w:r w:rsidRPr="00F5525F">
              <w:rPr>
                <w:rFonts w:eastAsia="標楷體"/>
              </w:rPr>
              <w:t>。</w:t>
            </w:r>
          </w:p>
        </w:tc>
      </w:tr>
    </w:tbl>
    <w:p w:rsidR="001D4344" w:rsidRPr="00F5525F" w:rsidRDefault="001D4344" w:rsidP="001D4344">
      <w:pPr>
        <w:rPr>
          <w:rFonts w:eastAsia="標楷體"/>
        </w:rPr>
      </w:pPr>
    </w:p>
    <w:p w:rsidR="00F5525F" w:rsidRDefault="00F5525F">
      <w:pPr>
        <w:widowControl/>
        <w:rPr>
          <w:rFonts w:eastAsia="標楷體"/>
          <w:b/>
        </w:rPr>
      </w:pPr>
      <w:r>
        <w:rPr>
          <w:rFonts w:eastAsia="標楷體"/>
          <w:b/>
        </w:rPr>
        <w:br w:type="page"/>
      </w:r>
    </w:p>
    <w:p w:rsidR="001D4344" w:rsidRPr="00F5525F" w:rsidRDefault="001D4344" w:rsidP="001D4344">
      <w:pPr>
        <w:rPr>
          <w:rFonts w:eastAsia="標楷體"/>
          <w:b/>
        </w:rPr>
      </w:pPr>
      <w:r w:rsidRPr="00F5525F">
        <w:rPr>
          <w:rFonts w:eastAsia="標楷體"/>
          <w:b/>
        </w:rPr>
        <w:lastRenderedPageBreak/>
        <w:t>4. RODS</w:t>
      </w:r>
      <w:r w:rsidRPr="00F5525F">
        <w:rPr>
          <w:rFonts w:eastAsia="標楷體"/>
          <w:b/>
        </w:rPr>
        <w:t>腸胃道（</w:t>
      </w:r>
      <w:r w:rsidRPr="00F5525F">
        <w:rPr>
          <w:rFonts w:eastAsia="標楷體"/>
        </w:rPr>
        <w:t>RODSGI</w:t>
      </w:r>
      <w:r w:rsidRPr="00F5525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1195"/>
        <w:gridCol w:w="5100"/>
      </w:tblGrid>
      <w:tr w:rsidR="001D4344" w:rsidRPr="00F5525F" w:rsidTr="00F5525F">
        <w:trPr>
          <w:trHeight w:val="348"/>
          <w:tblHeader/>
        </w:trPr>
        <w:tc>
          <w:tcPr>
            <w:tcW w:w="1206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F5525F">
              <w:rPr>
                <w:rFonts w:eastAsia="標楷體"/>
              </w:rPr>
              <w:t>RODSGI</w:t>
            </w:r>
          </w:p>
        </w:tc>
        <w:tc>
          <w:tcPr>
            <w:tcW w:w="720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75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說明</w:t>
            </w:r>
          </w:p>
        </w:tc>
      </w:tr>
      <w:tr w:rsidR="001D4344" w:rsidRPr="00F5525F" w:rsidTr="00756060">
        <w:trPr>
          <w:trHeight w:val="2228"/>
        </w:trPr>
        <w:tc>
          <w:tcPr>
            <w:tcW w:w="1206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RODS</w:t>
            </w:r>
            <w:r w:rsidRPr="00F5525F">
              <w:rPr>
                <w:rFonts w:eastAsia="標楷體"/>
              </w:rPr>
              <w:t>腸胃道</w:t>
            </w:r>
          </w:p>
        </w:tc>
        <w:tc>
          <w:tcPr>
            <w:tcW w:w="720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RODS</w:t>
            </w:r>
            <w:r w:rsidRPr="00F5525F">
              <w:rPr>
                <w:rFonts w:eastAsia="標楷體"/>
              </w:rPr>
              <w:t>腸胃道</w:t>
            </w:r>
          </w:p>
        </w:tc>
        <w:tc>
          <w:tcPr>
            <w:tcW w:w="3075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主診斷碼</w:t>
            </w:r>
            <w:r w:rsidRPr="00F5525F">
              <w:rPr>
                <w:rFonts w:eastAsia="標楷體"/>
              </w:rPr>
              <w:t>(ICD9_1)</w:t>
            </w:r>
            <w:r w:rsidRPr="00F5525F">
              <w:rPr>
                <w:rFonts w:eastAsia="標楷體"/>
              </w:rPr>
              <w:t>為：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'001','001.0','001.1','001.9','002','002.0','002.1','002.2','002.3','002.9','003.0','004','004.0','004.1','004.2','004.3','004.8','004.9','005','005.0','005.2','005.3','005.4','005.8','005.81','005.89','005.9','006.0','006.1','007','007.0','007.1','007.2','007.3','007.4','007.5','007.8','007.9','008','008.0','008.00','008.01','008.02','008.03','008.04','008.09','008.1','008.2','008.3','008.4','008.41','008.42','008.43','008.44','008.45','008.46','008.47','008.49','008.5','008.6','008.61','008.62','008.63','008.64','008.65','008.66','008.67','008.69','008.8','009','009.0','009.1','009.2','009.3','021.1','022.2','032.83','535.00','535.01','535.41','536.2','555','555.0','555.1','555.2','555.9','556','556.0','556.1','556.2','556.3','556.4','556.5','556.6','556.8','556.9','558','558.1','558.2','558.3','558.9','569.82','578.9','787.0','787.01','787.02','787.03','787.91','789.0','789.00','789.01','789.02','789.03','789.04','789.05','789.06','789.07','789.09','789.4','789.40','789.41','789.42','789.43','789.44','789.45','789.46','789.47','789.49'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者，計數為</w:t>
            </w:r>
            <w:r w:rsidRPr="00F5525F">
              <w:rPr>
                <w:rFonts w:eastAsia="標楷體"/>
              </w:rPr>
              <w:t>1</w:t>
            </w:r>
            <w:r w:rsidRPr="00F5525F">
              <w:rPr>
                <w:rFonts w:eastAsia="標楷體"/>
              </w:rPr>
              <w:t>。</w:t>
            </w:r>
          </w:p>
        </w:tc>
      </w:tr>
    </w:tbl>
    <w:p w:rsidR="001D4344" w:rsidRPr="00F5525F" w:rsidRDefault="001D4344" w:rsidP="001D4344">
      <w:pPr>
        <w:rPr>
          <w:rFonts w:eastAsia="標楷體"/>
        </w:rPr>
      </w:pPr>
    </w:p>
    <w:p w:rsidR="001D4344" w:rsidRPr="00F5525F" w:rsidRDefault="001D4344" w:rsidP="001D4344">
      <w:pPr>
        <w:rPr>
          <w:rFonts w:eastAsia="標楷體"/>
          <w:b/>
        </w:rPr>
      </w:pPr>
      <w:r w:rsidRPr="00F5525F">
        <w:rPr>
          <w:rFonts w:eastAsia="標楷體"/>
          <w:b/>
        </w:rPr>
        <w:t>5.</w:t>
      </w:r>
      <w:r w:rsidRPr="00F5525F">
        <w:rPr>
          <w:rFonts w:eastAsia="標楷體"/>
          <w:b/>
        </w:rPr>
        <w:t>腸病毒（</w:t>
      </w:r>
      <w:r w:rsidRPr="00F5525F">
        <w:rPr>
          <w:rFonts w:eastAsia="標楷體"/>
        </w:rPr>
        <w:t>EI</w:t>
      </w:r>
      <w:r w:rsidRPr="00F5525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1195"/>
        <w:gridCol w:w="5100"/>
      </w:tblGrid>
      <w:tr w:rsidR="001D4344" w:rsidRPr="00F5525F" w:rsidTr="00F5525F">
        <w:trPr>
          <w:trHeight w:val="348"/>
          <w:tblHeader/>
        </w:trPr>
        <w:tc>
          <w:tcPr>
            <w:tcW w:w="1206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F5525F">
              <w:rPr>
                <w:rFonts w:eastAsia="標楷體"/>
              </w:rPr>
              <w:t>EI</w:t>
            </w:r>
          </w:p>
        </w:tc>
        <w:tc>
          <w:tcPr>
            <w:tcW w:w="720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75" w:type="pct"/>
            <w:shd w:val="clear" w:color="auto" w:fill="DBE5F1" w:themeFill="accent1" w:themeFillTint="33"/>
          </w:tcPr>
          <w:p w:rsidR="001D4344" w:rsidRPr="00F5525F" w:rsidRDefault="001D4344" w:rsidP="00756060">
            <w:pPr>
              <w:spacing w:line="360" w:lineRule="auto"/>
              <w:rPr>
                <w:rFonts w:eastAsia="標楷體"/>
                <w:b/>
                <w:bCs/>
              </w:rPr>
            </w:pPr>
            <w:r w:rsidRPr="00F5525F">
              <w:rPr>
                <w:rFonts w:eastAsia="標楷體"/>
                <w:b/>
                <w:bCs/>
              </w:rPr>
              <w:t>說明</w:t>
            </w:r>
          </w:p>
        </w:tc>
      </w:tr>
      <w:tr w:rsidR="001D4344" w:rsidRPr="00F5525F" w:rsidTr="00756060">
        <w:trPr>
          <w:trHeight w:val="2228"/>
        </w:trPr>
        <w:tc>
          <w:tcPr>
            <w:tcW w:w="1206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腸病毒</w:t>
            </w:r>
          </w:p>
        </w:tc>
        <w:tc>
          <w:tcPr>
            <w:tcW w:w="720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腸病毒</w:t>
            </w:r>
          </w:p>
        </w:tc>
        <w:tc>
          <w:tcPr>
            <w:tcW w:w="3075" w:type="pct"/>
          </w:tcPr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主次診斷碼</w:t>
            </w:r>
            <w:r w:rsidRPr="00F5525F">
              <w:rPr>
                <w:rFonts w:eastAsia="標楷體"/>
              </w:rPr>
              <w:t>(ICD9_1~4)</w:t>
            </w:r>
            <w:r w:rsidRPr="00F5525F">
              <w:rPr>
                <w:rFonts w:eastAsia="標楷體"/>
              </w:rPr>
              <w:t>為：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'008.67','047','047.0','047.1','048','074','074.0','074.1','074.2','074.20','074.21','074.22','074.23','074.3','074.8','079.1','079.2'</w:t>
            </w:r>
          </w:p>
          <w:p w:rsidR="001D4344" w:rsidRPr="00F5525F" w:rsidRDefault="001D4344" w:rsidP="00756060">
            <w:pPr>
              <w:rPr>
                <w:rFonts w:eastAsia="標楷體"/>
              </w:rPr>
            </w:pPr>
            <w:r w:rsidRPr="00F5525F">
              <w:rPr>
                <w:rFonts w:eastAsia="標楷體"/>
              </w:rPr>
              <w:t>者，計數為</w:t>
            </w:r>
            <w:r w:rsidRPr="00F5525F">
              <w:rPr>
                <w:rFonts w:eastAsia="標楷體"/>
              </w:rPr>
              <w:t>1</w:t>
            </w:r>
            <w:r w:rsidRPr="00F5525F">
              <w:rPr>
                <w:rFonts w:eastAsia="標楷體"/>
              </w:rPr>
              <w:t>。</w:t>
            </w:r>
          </w:p>
        </w:tc>
      </w:tr>
    </w:tbl>
    <w:p w:rsidR="004D2B81" w:rsidRPr="00F5525F" w:rsidRDefault="004D2B81">
      <w:pPr>
        <w:rPr>
          <w:rFonts w:eastAsia="標楷體"/>
        </w:rPr>
      </w:pPr>
    </w:p>
    <w:sectPr w:rsidR="004D2B81" w:rsidRPr="00F5525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A7" w:rsidRDefault="00FD5DA7">
      <w:r>
        <w:separator/>
      </w:r>
    </w:p>
  </w:endnote>
  <w:endnote w:type="continuationSeparator" w:id="0">
    <w:p w:rsidR="00FD5DA7" w:rsidRDefault="00F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2C2" w:rsidRDefault="001D43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2C2" w:rsidRDefault="00FD5D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2C2" w:rsidRDefault="001D43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6960">
      <w:rPr>
        <w:rStyle w:val="a5"/>
        <w:noProof/>
      </w:rPr>
      <w:t>5</w:t>
    </w:r>
    <w:r>
      <w:rPr>
        <w:rStyle w:val="a5"/>
      </w:rPr>
      <w:fldChar w:fldCharType="end"/>
    </w:r>
  </w:p>
  <w:p w:rsidR="001A22C2" w:rsidRPr="004B63F0" w:rsidRDefault="00FD5DA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A7" w:rsidRDefault="00FD5DA7">
      <w:r>
        <w:separator/>
      </w:r>
    </w:p>
  </w:footnote>
  <w:footnote w:type="continuationSeparator" w:id="0">
    <w:p w:rsidR="00FD5DA7" w:rsidRDefault="00FD5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44"/>
    <w:rsid w:val="001D4344"/>
    <w:rsid w:val="003112FB"/>
    <w:rsid w:val="00393D4C"/>
    <w:rsid w:val="004A008F"/>
    <w:rsid w:val="004D2B81"/>
    <w:rsid w:val="00786A09"/>
    <w:rsid w:val="007C4C83"/>
    <w:rsid w:val="008B6960"/>
    <w:rsid w:val="008D4E66"/>
    <w:rsid w:val="009115FB"/>
    <w:rsid w:val="00CC0957"/>
    <w:rsid w:val="00DE1039"/>
    <w:rsid w:val="00E6292E"/>
    <w:rsid w:val="00E8186C"/>
    <w:rsid w:val="00F5525F"/>
    <w:rsid w:val="00FD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D15881-5E3E-491C-8DAA-4781B38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D434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4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1D434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uiPriority w:val="99"/>
    <w:rsid w:val="001D4344"/>
    <w:rPr>
      <w:rFonts w:cs="Times New Roman"/>
    </w:rPr>
  </w:style>
  <w:style w:type="paragraph" w:styleId="a6">
    <w:name w:val="header"/>
    <w:basedOn w:val="a"/>
    <w:link w:val="a7"/>
    <w:uiPriority w:val="99"/>
    <w:rsid w:val="001D4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D4344"/>
    <w:rPr>
      <w:rFonts w:ascii="Times New Roman" w:eastAsia="新細明體" w:hAnsi="Times New Roman" w:cs="Times New Roman"/>
      <w:sz w:val="20"/>
      <w:szCs w:val="20"/>
    </w:rPr>
  </w:style>
  <w:style w:type="paragraph" w:customStyle="1" w:styleId="a8">
    <w:name w:val="附錄"/>
    <w:basedOn w:val="a"/>
    <w:qFormat/>
    <w:rsid w:val="001D4344"/>
    <w:rPr>
      <w:rFonts w:eastAsia="標楷體" w:hAnsi="標楷體"/>
      <w:szCs w:val="20"/>
    </w:rPr>
  </w:style>
  <w:style w:type="paragraph" w:styleId="a9">
    <w:name w:val="List Paragraph"/>
    <w:basedOn w:val="a"/>
    <w:uiPriority w:val="34"/>
    <w:qFormat/>
    <w:rsid w:val="001D4344"/>
    <w:pPr>
      <w:ind w:leftChars="200" w:left="48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健康服務品質政策辦公室林承萓</dc:creator>
  <cp:lastModifiedBy>Mattiàs Yang</cp:lastModifiedBy>
  <cp:revision>4</cp:revision>
  <dcterms:created xsi:type="dcterms:W3CDTF">2016-10-19T06:10:00Z</dcterms:created>
  <dcterms:modified xsi:type="dcterms:W3CDTF">2016-10-19T06:11:00Z</dcterms:modified>
</cp:coreProperties>
</file>