
<file path=[Content_Types].xml><?xml version="1.0" encoding="utf-8"?>
<Types xmlns="http://schemas.openxmlformats.org/package/2006/content-types">
  <Override PartName="/word/footnotes.xml" ContentType="application/vnd.openxmlformats-officedocument.wordprocessingml.footnotes+xml"/>
  <Override PartName="/word/charts/chart10.xml" ContentType="application/vnd.openxmlformats-officedocument.drawingml.chart+xml"/>
  <Override PartName="/customXml/itemProps1.xml" ContentType="application/vnd.openxmlformats-officedocument.customXmlProperties+xml"/>
  <Override PartName="/word/drawings/drawing8.xml" ContentType="application/vnd.openxmlformats-officedocument.drawingml.chartshapes+xml"/>
  <Override PartName="/word/drawings/drawing6.xml" ContentType="application/vnd.openxmlformats-officedocument.drawingml.chartshapes+xml"/>
  <Override PartName="/word/drawings/drawing18.xml" ContentType="application/vnd.openxmlformats-officedocument.drawingml.chartshapes+xml"/>
  <Override PartName="/word/drawings/drawing29.xml" ContentType="application/vnd.openxmlformats-officedocument.drawingml.chartshap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drawings/drawing4.xml" ContentType="application/vnd.openxmlformats-officedocument.drawingml.chartshapes+xml"/>
  <Override PartName="/word/charts/chart9.xml" ContentType="application/vnd.openxmlformats-officedocument.drawingml.chart+xml"/>
  <Override PartName="/word/drawings/drawing16.xml" ContentType="application/vnd.openxmlformats-officedocument.drawingml.chartshapes+xml"/>
  <Override PartName="/word/charts/chart19.xml" ContentType="application/vnd.openxmlformats-officedocument.drawingml.chart+xml"/>
  <Override PartName="/word/drawings/drawing25.xml" ContentType="application/vnd.openxmlformats-officedocument.drawingml.chartshapes+xml"/>
  <Override PartName="/word/drawings/drawing27.xml" ContentType="application/vnd.openxmlformats-officedocument.drawingml.chartshapes+xml"/>
  <Override PartName="/word/charts/chart28.xml" ContentType="application/vnd.openxmlformats-officedocument.drawingml.chart+xml"/>
  <Override PartName="/word/stylesWithEffects.xml" ContentType="application/vnd.ms-word.stylesWithEffects+xml"/>
  <Override PartName="/word/drawings/drawing2.xml" ContentType="application/vnd.openxmlformats-officedocument.drawingml.chartshapes+xml"/>
  <Override PartName="/word/charts/chart7.xml" ContentType="application/vnd.openxmlformats-officedocument.drawingml.chart+xml"/>
  <Override PartName="/word/drawings/drawing14.xml" ContentType="application/vnd.openxmlformats-officedocument.drawingml.chartshapes+xml"/>
  <Override PartName="/word/charts/chart17.xml" ContentType="application/vnd.openxmlformats-officedocument.drawingml.chart+xml"/>
  <Override PartName="/word/drawings/drawing23.xml" ContentType="application/vnd.openxmlformats-officedocument.drawingml.chartshapes+xml"/>
  <Override PartName="/word/charts/chart26.xml" ContentType="application/vnd.openxmlformats-officedocument.drawingml.chart+xml"/>
  <Override PartName="/word/charts/chart5.xml" ContentType="application/vnd.openxmlformats-officedocument.drawingml.chart+xml"/>
  <Override PartName="/word/drawings/drawing12.xml" ContentType="application/vnd.openxmlformats-officedocument.drawingml.chartshapes+xml"/>
  <Override PartName="/word/charts/chart15.xml" ContentType="application/vnd.openxmlformats-officedocument.drawingml.chart+xml"/>
  <Override PartName="/word/drawings/drawing21.xml" ContentType="application/vnd.openxmlformats-officedocument.drawingml.chartshapes+xml"/>
  <Override PartName="/word/charts/chart24.xml" ContentType="application/vnd.openxmlformats-officedocument.drawingml.chart+xml"/>
  <Override PartName="/word/drawings/drawing32.xml" ContentType="application/vnd.openxmlformats-officedocument.drawingml.chartshapes+xml"/>
  <Override PartName="/word/footer1.xml" ContentType="application/vnd.openxmlformats-officedocument.wordprocessingml.footer+xml"/>
  <Override PartName="/word/charts/chart2.xml" ContentType="application/vnd.openxmlformats-officedocument.drawingml.chart+xml"/>
  <Override PartName="/word/charts/chart3.xml" ContentType="application/vnd.openxmlformats-officedocument.drawingml.chart+xml"/>
  <Override PartName="/word/drawings/drawing10.xml" ContentType="application/vnd.openxmlformats-officedocument.drawingml.chartshapes+xml"/>
  <Override PartName="/word/drawings/drawing11.xml" ContentType="application/vnd.openxmlformats-officedocument.drawingml.chartshapes+xml"/>
  <Override PartName="/word/charts/chart13.xml" ContentType="application/vnd.openxmlformats-officedocument.drawingml.chart+xml"/>
  <Override PartName="/word/charts/chart14.xml" ContentType="application/vnd.openxmlformats-officedocument.drawingml.chart+xml"/>
  <Override PartName="/word/drawings/drawing20.xml" ContentType="application/vnd.openxmlformats-officedocument.drawingml.chartshapes+xml"/>
  <Override PartName="/word/charts/chart22.xml" ContentType="application/vnd.openxmlformats-officedocument.drawingml.chart+xml"/>
  <Override PartName="/word/charts/chart23.xml" ContentType="application/vnd.openxmlformats-officedocument.drawingml.chart+xml"/>
  <Override PartName="/word/drawings/drawing30.xml" ContentType="application/vnd.openxmlformats-officedocument.drawingml.chartshapes+xml"/>
  <Override PartName="/word/charts/chart31.xml" ContentType="application/vnd.openxmlformats-officedocument.drawingml.chart+xml"/>
  <Override PartName="/word/charts/chart32.xml" ContentType="application/vnd.openxmlformats-officedocument.drawingml.chart+xml"/>
  <Override PartName="/word/charts/chart3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30.xml" ContentType="application/vnd.openxmlformats-officedocument.drawingml.chart+xml"/>
  <Override PartName="/docProps/core.xml" ContentType="application/vnd.openxmlformats-package.core-properties+xml"/>
  <Default Extension="png" ContentType="image/png"/>
  <Override PartName="/word/drawings/drawing9.xml" ContentType="application/vnd.openxmlformats-officedocument.drawingml.chartshapes+xml"/>
  <Override PartName="/word/drawings/drawing7.xml" ContentType="application/vnd.openxmlformats-officedocument.drawingml.chartshapes+xml"/>
  <Override PartName="/word/drawings/drawing19.xml" ContentType="application/vnd.openxmlformats-officedocument.drawingml.chartshapes+xml"/>
  <Override PartName="/word/drawings/drawing28.xml" ContentType="application/vnd.openxmlformats-officedocument.drawingml.chartshapes+xml"/>
  <Default Extension="emf" ContentType="image/x-emf"/>
  <Override PartName="/word/numbering.xml" ContentType="application/vnd.openxmlformats-officedocument.wordprocessingml.numbering+xml"/>
  <Override PartName="/word/endnotes.xml" ContentType="application/vnd.openxmlformats-officedocument.wordprocessingml.endnotes+xml"/>
  <Override PartName="/word/drawings/drawing3.xml" ContentType="application/vnd.openxmlformats-officedocument.drawingml.chartshapes+xml"/>
  <Override PartName="/word/drawings/drawing5.xml" ContentType="application/vnd.openxmlformats-officedocument.drawingml.chartshapes+xml"/>
  <Override PartName="/word/charts/chart8.xml" ContentType="application/vnd.openxmlformats-officedocument.drawingml.chart+xml"/>
  <Override PartName="/word/drawings/drawing17.xml" ContentType="application/vnd.openxmlformats-officedocument.drawingml.chartshapes+xml"/>
  <Override PartName="/word/drawings/drawing26.xml" ContentType="application/vnd.openxmlformats-officedocument.drawingml.chartshapes+xml"/>
  <Override PartName="/word/charts/chart2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charts/chart6.xml" ContentType="application/vnd.openxmlformats-officedocument.drawingml.chart+xml"/>
  <Override PartName="/word/drawings/drawing15.xml" ContentType="application/vnd.openxmlformats-officedocument.drawingml.chartshapes+xml"/>
  <Override PartName="/word/charts/chart18.xml" ContentType="application/vnd.openxmlformats-officedocument.drawingml.chart+xml"/>
  <Override PartName="/word/drawings/drawing24.xml" ContentType="application/vnd.openxmlformats-officedocument.drawingml.chartshapes+xml"/>
  <Override PartName="/word/charts/chart27.xml" ContentType="application/vnd.openxmlformats-officedocument.drawingml.chart+xml"/>
  <Override PartName="/word/drawings/drawing33.xml" ContentType="application/vnd.openxmlformats-officedocument.drawingml.chartshapes+xml"/>
  <Override PartName="/word/charts/chart4.xml" ContentType="application/vnd.openxmlformats-officedocument.drawingml.chart+xml"/>
  <Override PartName="/word/drawings/drawing13.xml" ContentType="application/vnd.openxmlformats-officedocument.drawingml.chartshapes+xml"/>
  <Override PartName="/word/charts/chart16.xml" ContentType="application/vnd.openxmlformats-officedocument.drawingml.chart+xml"/>
  <Override PartName="/word/drawings/drawing22.xml" ContentType="application/vnd.openxmlformats-officedocument.drawingml.chartshapes+xml"/>
  <Override PartName="/word/charts/chart25.xml" ContentType="application/vnd.openxmlformats-officedocument.drawingml.chart+xml"/>
  <Override PartName="/word/drawings/drawing31.xml" ContentType="application/vnd.openxmlformats-officedocument.drawingml.chartshapes+xml"/>
  <Override PartName="/word/theme/theme1.xml" ContentType="application/vnd.openxmlformats-officedocument.them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5189" w:rsidRPr="001D2927" w:rsidRDefault="00947656" w:rsidP="00D23FD4">
      <w:pPr>
        <w:autoSpaceDN w:val="0"/>
        <w:spacing w:after="480" w:line="240" w:lineRule="atLeast"/>
        <w:jc w:val="center"/>
        <w:rPr>
          <w:rFonts w:eastAsia="標楷體"/>
          <w:b/>
          <w:sz w:val="30"/>
          <w:szCs w:val="30"/>
        </w:rPr>
      </w:pPr>
      <w:r w:rsidRPr="001D2927">
        <w:rPr>
          <w:rFonts w:eastAsia="標楷體" w:hint="eastAsia"/>
          <w:b/>
          <w:sz w:val="30"/>
          <w:szCs w:val="30"/>
        </w:rPr>
        <w:t>4. Medical Benefit</w:t>
      </w:r>
      <w:r w:rsidR="0084167E">
        <w:rPr>
          <w:rFonts w:eastAsia="標楷體" w:hint="eastAsia"/>
          <w:b/>
          <w:sz w:val="30"/>
          <w:szCs w:val="30"/>
        </w:rPr>
        <w:t>s</w:t>
      </w:r>
    </w:p>
    <w:p w:rsidR="00A75ED0" w:rsidRPr="00AD523B" w:rsidRDefault="00A75ED0" w:rsidP="00730DFA">
      <w:pPr>
        <w:pStyle w:val="a5"/>
        <w:spacing w:beforeLines="50" w:line="340" w:lineRule="exact"/>
        <w:ind w:leftChars="0" w:left="0" w:firstLine="601"/>
        <w:jc w:val="both"/>
        <w:rPr>
          <w:rFonts w:eastAsia="標楷體"/>
          <w:sz w:val="26"/>
          <w:szCs w:val="26"/>
          <w:lang w:val="en-GB"/>
        </w:rPr>
      </w:pPr>
      <w:r w:rsidRPr="009A6377">
        <w:rPr>
          <w:rFonts w:eastAsia="標楷體"/>
          <w:sz w:val="26"/>
          <w:szCs w:val="26"/>
        </w:rPr>
        <w:t xml:space="preserve">The medical benefits under the NHI system are mainly paid on basis of service volume. The system is supported by the global budget payment system to achieve comprehensive control of medical expenses. The global budget payment system was implemented in July 1998 on a staged basis starting from the outpatient services for dentistry, followed by Chinese medicine outpatient services and physician clinics. In July 2002, the hospital global budget payment system was implemented as well. </w:t>
      </w:r>
      <w:r w:rsidRPr="00AD523B">
        <w:rPr>
          <w:rFonts w:eastAsia="標楷體"/>
          <w:sz w:val="26"/>
          <w:szCs w:val="26"/>
        </w:rPr>
        <w:t xml:space="preserve">To effectively control the growth of medical expenses and increase the accountability of the medical service providers, BNHI further enforced in 1997 the “Case Payment” system on certain selected surgery items which were relatively simple and could be easily standardized. Furthermore, to elevate the quality of healthcare services, BNHI also commenced in 2000 the pilot project of the “Pay for Performance” system and gradually introduced the DRG system for inpatient services since 2010. The </w:t>
      </w:r>
      <w:r w:rsidR="00AD523B" w:rsidRPr="00AD523B">
        <w:rPr>
          <w:rFonts w:eastAsia="標楷體" w:hint="eastAsia"/>
          <w:sz w:val="26"/>
          <w:szCs w:val="26"/>
        </w:rPr>
        <w:t>i</w:t>
      </w:r>
      <w:r w:rsidRPr="00AD523B">
        <w:rPr>
          <w:rFonts w:eastAsia="標楷體"/>
          <w:sz w:val="26"/>
          <w:szCs w:val="26"/>
        </w:rPr>
        <w:t xml:space="preserve">ntegrated </w:t>
      </w:r>
      <w:r w:rsidR="00AD523B" w:rsidRPr="00AD523B">
        <w:rPr>
          <w:rFonts w:eastAsia="標楷體" w:hint="eastAsia"/>
          <w:sz w:val="26"/>
          <w:szCs w:val="26"/>
        </w:rPr>
        <w:t>o</w:t>
      </w:r>
      <w:r w:rsidR="00AD523B" w:rsidRPr="00AD523B">
        <w:rPr>
          <w:rFonts w:eastAsia="標楷體"/>
          <w:sz w:val="26"/>
          <w:szCs w:val="26"/>
        </w:rPr>
        <w:t xml:space="preserve">utpatient </w:t>
      </w:r>
      <w:r w:rsidR="00AD523B" w:rsidRPr="00AD523B">
        <w:rPr>
          <w:rFonts w:eastAsia="標楷體" w:hint="eastAsia"/>
          <w:sz w:val="26"/>
          <w:szCs w:val="26"/>
        </w:rPr>
        <w:t>h</w:t>
      </w:r>
      <w:r w:rsidRPr="00AD523B">
        <w:rPr>
          <w:rFonts w:eastAsia="標楷體"/>
          <w:sz w:val="26"/>
          <w:szCs w:val="26"/>
        </w:rPr>
        <w:t xml:space="preserve">ealthcare </w:t>
      </w:r>
      <w:r w:rsidR="00AD523B" w:rsidRPr="00AD523B">
        <w:rPr>
          <w:rFonts w:eastAsia="標楷體" w:hint="eastAsia"/>
          <w:sz w:val="26"/>
          <w:szCs w:val="26"/>
        </w:rPr>
        <w:t>p</w:t>
      </w:r>
      <w:r w:rsidRPr="00AD523B">
        <w:rPr>
          <w:rFonts w:eastAsia="標楷體"/>
          <w:sz w:val="26"/>
          <w:szCs w:val="26"/>
        </w:rPr>
        <w:t>rogram, in the meantime, has been continuously facilitated to improve the effectiveness of the healthcare services.</w:t>
      </w:r>
    </w:p>
    <w:p w:rsidR="00947656" w:rsidRPr="00B313A3" w:rsidRDefault="00947656" w:rsidP="00730DFA">
      <w:pPr>
        <w:pStyle w:val="a5"/>
        <w:spacing w:beforeLines="50" w:line="340" w:lineRule="exact"/>
        <w:ind w:leftChars="0" w:left="0" w:firstLine="601"/>
        <w:jc w:val="both"/>
        <w:rPr>
          <w:rFonts w:eastAsia="標楷體"/>
          <w:spacing w:val="-6"/>
          <w:sz w:val="26"/>
          <w:szCs w:val="26"/>
          <w:lang w:val="en-GB"/>
        </w:rPr>
      </w:pPr>
      <w:r w:rsidRPr="00B313A3">
        <w:rPr>
          <w:rFonts w:eastAsia="標楷體"/>
          <w:spacing w:val="-6"/>
          <w:sz w:val="26"/>
          <w:szCs w:val="26"/>
          <w:lang w:val="en-GB"/>
        </w:rPr>
        <w:t xml:space="preserve">According to the “Regulations Governing Examination of Medical Care Services for National Health Insurance Medical Care Institutions”, applications, complete with relevant documents, for cases serviced by a medical services institution under the NHI in the current month should be submitted in paper or electronic format by the 20th of the following month. Applications in electronic format may be divided in two stages, one from the 1st to the 15th of the month and the other from the 16th to the month end, and submit the relevant documents (summary reports) by the 5th and the 20th of the following month. For </w:t>
      </w:r>
      <w:r w:rsidRPr="00B313A3">
        <w:rPr>
          <w:rFonts w:eastAsia="標楷體" w:hint="eastAsia"/>
          <w:spacing w:val="-6"/>
          <w:sz w:val="26"/>
          <w:szCs w:val="26"/>
          <w:lang w:val="en-GB"/>
        </w:rPr>
        <w:t>fil</w:t>
      </w:r>
      <w:r w:rsidRPr="00B313A3">
        <w:rPr>
          <w:rFonts w:eastAsia="標楷體"/>
          <w:spacing w:val="-6"/>
          <w:sz w:val="26"/>
          <w:szCs w:val="26"/>
          <w:lang w:val="en-GB"/>
        </w:rPr>
        <w:t>ing of inpatient cases, if the insured has not checked out of the hospital at the end of the current month, the expen</w:t>
      </w:r>
      <w:r w:rsidRPr="00B313A3">
        <w:rPr>
          <w:rFonts w:eastAsia="標楷體" w:hint="eastAsia"/>
          <w:spacing w:val="-6"/>
          <w:sz w:val="26"/>
          <w:szCs w:val="26"/>
          <w:lang w:val="en-GB"/>
        </w:rPr>
        <w:t>ses</w:t>
      </w:r>
      <w:r w:rsidRPr="00B313A3">
        <w:rPr>
          <w:rFonts w:eastAsia="標楷體"/>
          <w:spacing w:val="-6"/>
          <w:sz w:val="26"/>
          <w:szCs w:val="26"/>
          <w:lang w:val="en-GB"/>
        </w:rPr>
        <w:t xml:space="preserve"> should be </w:t>
      </w:r>
      <w:r w:rsidRPr="00B313A3">
        <w:rPr>
          <w:rFonts w:eastAsia="標楷體" w:hint="eastAsia"/>
          <w:spacing w:val="-6"/>
          <w:sz w:val="26"/>
          <w:szCs w:val="26"/>
          <w:lang w:val="en-GB"/>
        </w:rPr>
        <w:t>fil</w:t>
      </w:r>
      <w:r w:rsidRPr="00B313A3">
        <w:rPr>
          <w:rFonts w:eastAsia="標楷體"/>
          <w:spacing w:val="-6"/>
          <w:sz w:val="26"/>
          <w:szCs w:val="26"/>
          <w:lang w:val="en-GB"/>
        </w:rPr>
        <w:t xml:space="preserve">ed altogether after the insured has checked out. For chronically hospitalized patients, </w:t>
      </w:r>
      <w:r w:rsidRPr="00B313A3">
        <w:rPr>
          <w:rFonts w:eastAsia="標楷體" w:hint="eastAsia"/>
          <w:spacing w:val="-6"/>
          <w:sz w:val="26"/>
          <w:szCs w:val="26"/>
          <w:lang w:val="en-GB"/>
        </w:rPr>
        <w:t>fil</w:t>
      </w:r>
      <w:r w:rsidRPr="00B313A3">
        <w:rPr>
          <w:rFonts w:eastAsia="標楷體"/>
          <w:spacing w:val="-6"/>
          <w:sz w:val="26"/>
          <w:szCs w:val="26"/>
          <w:lang w:val="en-GB"/>
        </w:rPr>
        <w:t xml:space="preserve">ing may be done every two months. Monthly </w:t>
      </w:r>
      <w:r w:rsidRPr="00B313A3">
        <w:rPr>
          <w:rFonts w:eastAsia="標楷體" w:hint="eastAsia"/>
          <w:spacing w:val="-6"/>
          <w:sz w:val="26"/>
          <w:szCs w:val="26"/>
          <w:lang w:val="en-GB"/>
        </w:rPr>
        <w:t>fil</w:t>
      </w:r>
      <w:r w:rsidRPr="00B313A3">
        <w:rPr>
          <w:rFonts w:eastAsia="標楷體"/>
          <w:spacing w:val="-6"/>
          <w:sz w:val="26"/>
          <w:szCs w:val="26"/>
          <w:lang w:val="en-GB"/>
        </w:rPr>
        <w:t>ing is also allowed if deemed necessary.</w:t>
      </w:r>
    </w:p>
    <w:p w:rsidR="00947656" w:rsidRDefault="00947656" w:rsidP="00730DFA">
      <w:pPr>
        <w:pStyle w:val="a5"/>
        <w:spacing w:beforeLines="50" w:line="320" w:lineRule="exact"/>
        <w:ind w:leftChars="0" w:left="0" w:firstLine="601"/>
        <w:jc w:val="both"/>
        <w:rPr>
          <w:rFonts w:eastAsia="標楷體"/>
          <w:spacing w:val="-6"/>
          <w:sz w:val="26"/>
          <w:szCs w:val="26"/>
          <w:lang w:val="en-GB"/>
        </w:rPr>
      </w:pPr>
      <w:r w:rsidRPr="00B313A3">
        <w:rPr>
          <w:rFonts w:eastAsia="標楷體"/>
          <w:spacing w:val="-6"/>
          <w:sz w:val="26"/>
          <w:szCs w:val="26"/>
          <w:lang w:val="en-GB"/>
        </w:rPr>
        <w:t xml:space="preserve">Medical service institutions under the NHI should finish </w:t>
      </w:r>
      <w:r w:rsidRPr="00B313A3">
        <w:rPr>
          <w:rFonts w:eastAsia="標楷體" w:hint="eastAsia"/>
          <w:spacing w:val="-6"/>
          <w:sz w:val="26"/>
          <w:szCs w:val="26"/>
          <w:lang w:val="en-GB"/>
        </w:rPr>
        <w:t>fil</w:t>
      </w:r>
      <w:r w:rsidRPr="00B313A3">
        <w:rPr>
          <w:rFonts w:eastAsia="標楷體"/>
          <w:spacing w:val="-6"/>
          <w:sz w:val="26"/>
          <w:szCs w:val="26"/>
          <w:lang w:val="en-GB"/>
        </w:rPr>
        <w:t xml:space="preserve">ing within the specified period, leaving no incomplete applications or errors. The insurer should process the provisional payments within the time limit since receiving the documents and </w:t>
      </w:r>
      <w:r w:rsidRPr="00EE7FEA">
        <w:rPr>
          <w:rFonts w:eastAsia="標楷體"/>
          <w:spacing w:val="-6"/>
          <w:sz w:val="26"/>
          <w:szCs w:val="26"/>
          <w:lang w:val="en-GB"/>
        </w:rPr>
        <w:t>should deliver the reviewed results within 60 days</w:t>
      </w:r>
      <w:r w:rsidRPr="00B313A3">
        <w:rPr>
          <w:rFonts w:eastAsia="標楷體"/>
          <w:spacing w:val="-6"/>
          <w:sz w:val="26"/>
          <w:szCs w:val="26"/>
          <w:lang w:val="en-GB"/>
        </w:rPr>
        <w:t xml:space="preserve">. If the results cannot be delivered in time, a provisional payment of the full amount should be made. Any disagreement against the review results of the medical services raised by the medical services institutions under the NHI may be disputed within 60 days </w:t>
      </w:r>
      <w:r>
        <w:rPr>
          <w:rFonts w:eastAsia="標楷體" w:hint="eastAsia"/>
          <w:spacing w:val="-6"/>
          <w:sz w:val="26"/>
          <w:szCs w:val="26"/>
          <w:lang w:val="en-GB"/>
        </w:rPr>
        <w:t>from</w:t>
      </w:r>
      <w:r w:rsidRPr="00B313A3">
        <w:rPr>
          <w:rFonts w:eastAsia="標楷體"/>
          <w:spacing w:val="-6"/>
          <w:sz w:val="26"/>
          <w:szCs w:val="26"/>
          <w:lang w:val="en-GB"/>
        </w:rPr>
        <w:t xml:space="preserve"> the arrival of the notice from the insurer. The insurer should review the dispute</w:t>
      </w:r>
      <w:r>
        <w:rPr>
          <w:rFonts w:eastAsia="標楷體" w:hint="eastAsia"/>
          <w:spacing w:val="-6"/>
          <w:sz w:val="26"/>
          <w:szCs w:val="26"/>
          <w:lang w:val="en-GB"/>
        </w:rPr>
        <w:t>d</w:t>
      </w:r>
      <w:r w:rsidRPr="00B313A3">
        <w:rPr>
          <w:rFonts w:eastAsia="標楷體"/>
          <w:spacing w:val="-6"/>
          <w:sz w:val="26"/>
          <w:szCs w:val="26"/>
          <w:lang w:val="en-GB"/>
        </w:rPr>
        <w:t xml:space="preserve"> cases within 60 days of receiving such complaints. For the </w:t>
      </w:r>
      <w:r w:rsidRPr="00B313A3">
        <w:rPr>
          <w:rFonts w:eastAsia="標楷體" w:hint="eastAsia"/>
          <w:spacing w:val="-6"/>
          <w:sz w:val="26"/>
          <w:szCs w:val="26"/>
          <w:lang w:val="en-GB"/>
        </w:rPr>
        <w:t>sector</w:t>
      </w:r>
      <w:r w:rsidRPr="00B313A3">
        <w:rPr>
          <w:rFonts w:eastAsia="標楷體"/>
          <w:spacing w:val="-6"/>
          <w:sz w:val="26"/>
          <w:szCs w:val="26"/>
          <w:lang w:val="en-GB"/>
        </w:rPr>
        <w:t xml:space="preserve">s operating under the global budget </w:t>
      </w:r>
      <w:r w:rsidRPr="00B313A3">
        <w:rPr>
          <w:rFonts w:eastAsia="標楷體" w:hint="eastAsia"/>
          <w:spacing w:val="-6"/>
          <w:sz w:val="26"/>
          <w:szCs w:val="26"/>
          <w:lang w:val="en-GB"/>
        </w:rPr>
        <w:t xml:space="preserve">payment </w:t>
      </w:r>
      <w:r w:rsidRPr="00B313A3">
        <w:rPr>
          <w:rFonts w:eastAsia="標楷體"/>
          <w:spacing w:val="-6"/>
          <w:sz w:val="26"/>
          <w:szCs w:val="26"/>
          <w:lang w:val="en-GB"/>
        </w:rPr>
        <w:t>system, if a medical services institution under the NHI disagrees with the dispute</w:t>
      </w:r>
      <w:r w:rsidRPr="00B313A3">
        <w:rPr>
          <w:rFonts w:eastAsia="標楷體" w:hint="eastAsia"/>
          <w:spacing w:val="-6"/>
          <w:sz w:val="26"/>
          <w:szCs w:val="26"/>
          <w:lang w:val="en-GB"/>
        </w:rPr>
        <w:t>d</w:t>
      </w:r>
      <w:r w:rsidRPr="00B313A3">
        <w:rPr>
          <w:rFonts w:eastAsia="標楷體"/>
          <w:spacing w:val="-6"/>
          <w:sz w:val="26"/>
          <w:szCs w:val="26"/>
          <w:lang w:val="en-GB"/>
        </w:rPr>
        <w:t xml:space="preserve"> results and is qualified for a second review, it may apply for a one-time second review within 15 days of receiving the dispute</w:t>
      </w:r>
      <w:r w:rsidRPr="00B313A3">
        <w:rPr>
          <w:rFonts w:eastAsia="標楷體" w:hint="eastAsia"/>
          <w:spacing w:val="-6"/>
          <w:sz w:val="26"/>
          <w:szCs w:val="26"/>
          <w:lang w:val="en-GB"/>
        </w:rPr>
        <w:t>d</w:t>
      </w:r>
      <w:r w:rsidRPr="00B313A3">
        <w:rPr>
          <w:rFonts w:eastAsia="標楷體"/>
          <w:spacing w:val="-6"/>
          <w:sz w:val="26"/>
          <w:szCs w:val="26"/>
          <w:lang w:val="en-GB"/>
        </w:rPr>
        <w:t xml:space="preserve"> results. The insurer should deliver the review</w:t>
      </w:r>
      <w:r>
        <w:rPr>
          <w:rFonts w:eastAsia="標楷體" w:hint="eastAsia"/>
          <w:spacing w:val="-6"/>
          <w:sz w:val="26"/>
          <w:szCs w:val="26"/>
          <w:lang w:val="en-GB"/>
        </w:rPr>
        <w:t>ed</w:t>
      </w:r>
      <w:r w:rsidRPr="00B313A3">
        <w:rPr>
          <w:rFonts w:eastAsia="標楷體"/>
          <w:spacing w:val="-6"/>
          <w:sz w:val="26"/>
          <w:szCs w:val="26"/>
          <w:lang w:val="en-GB"/>
        </w:rPr>
        <w:t xml:space="preserve"> results within 45 days of accepting the application for a second review.</w:t>
      </w:r>
    </w:p>
    <w:p w:rsidR="00415189" w:rsidRPr="00947656" w:rsidRDefault="00947656" w:rsidP="00137142">
      <w:pPr>
        <w:spacing w:before="480" w:after="120"/>
        <w:jc w:val="both"/>
        <w:rPr>
          <w:rFonts w:eastAsia="標楷體"/>
          <w:b/>
          <w:sz w:val="26"/>
          <w:szCs w:val="26"/>
        </w:rPr>
      </w:pPr>
      <w:r>
        <w:rPr>
          <w:rFonts w:eastAsia="標楷體" w:hint="eastAsia"/>
          <w:b/>
          <w:sz w:val="26"/>
        </w:rPr>
        <w:lastRenderedPageBreak/>
        <w:t>（</w:t>
      </w:r>
      <w:r w:rsidR="00765E96" w:rsidRPr="00947656">
        <w:rPr>
          <w:rFonts w:eastAsia="標楷體"/>
          <w:b/>
          <w:sz w:val="26"/>
        </w:rPr>
        <w:t>1</w:t>
      </w:r>
      <w:r>
        <w:rPr>
          <w:rFonts w:eastAsia="標楷體" w:hint="eastAsia"/>
          <w:b/>
          <w:sz w:val="26"/>
        </w:rPr>
        <w:t>）</w:t>
      </w:r>
      <w:r>
        <w:rPr>
          <w:rFonts w:eastAsia="標楷體" w:hint="eastAsia"/>
          <w:b/>
          <w:sz w:val="26"/>
        </w:rPr>
        <w:t>Medical Benefit Claims</w:t>
      </w:r>
      <w:r>
        <w:rPr>
          <w:rFonts w:eastAsia="標楷體" w:hint="eastAsia"/>
          <w:b/>
          <w:sz w:val="26"/>
        </w:rPr>
        <w:t>（</w:t>
      </w:r>
      <w:r>
        <w:rPr>
          <w:rFonts w:eastAsia="標楷體" w:hint="eastAsia"/>
          <w:b/>
          <w:sz w:val="26"/>
        </w:rPr>
        <w:t>Copayments Excluded</w:t>
      </w:r>
      <w:r>
        <w:rPr>
          <w:rFonts w:eastAsia="標楷體" w:hint="eastAsia"/>
          <w:b/>
          <w:sz w:val="26"/>
        </w:rPr>
        <w:t>）</w:t>
      </w:r>
    </w:p>
    <w:p w:rsidR="009804EE" w:rsidRPr="00947656" w:rsidRDefault="00A75ED0" w:rsidP="00871FAF">
      <w:pPr>
        <w:pStyle w:val="a5"/>
        <w:spacing w:after="120"/>
        <w:ind w:leftChars="100" w:left="240"/>
        <w:jc w:val="both"/>
        <w:rPr>
          <w:rFonts w:eastAsia="標楷體"/>
          <w:b/>
          <w:spacing w:val="-6"/>
          <w:sz w:val="26"/>
          <w:szCs w:val="26"/>
        </w:rPr>
      </w:pPr>
      <w:r w:rsidRPr="00A75ED0">
        <w:rPr>
          <w:rFonts w:eastAsia="標楷體"/>
          <w:b/>
          <w:bCs/>
          <w:spacing w:val="-6"/>
          <w:sz w:val="26"/>
          <w:szCs w:val="26"/>
        </w:rPr>
        <w:t xml:space="preserve">The average annual </w:t>
      </w:r>
      <w:r w:rsidR="003F3B3B">
        <w:rPr>
          <w:rFonts w:eastAsia="標楷體" w:hint="eastAsia"/>
          <w:b/>
          <w:bCs/>
          <w:spacing w:val="-6"/>
          <w:sz w:val="26"/>
          <w:szCs w:val="26"/>
        </w:rPr>
        <w:t>increase</w:t>
      </w:r>
      <w:r w:rsidRPr="00A75ED0">
        <w:rPr>
          <w:rFonts w:eastAsia="標楷體"/>
          <w:b/>
          <w:bCs/>
          <w:spacing w:val="-6"/>
          <w:sz w:val="26"/>
          <w:szCs w:val="26"/>
        </w:rPr>
        <w:t xml:space="preserve"> </w:t>
      </w:r>
      <w:r w:rsidR="003E29F8">
        <w:rPr>
          <w:rFonts w:eastAsia="標楷體" w:hint="eastAsia"/>
          <w:b/>
          <w:bCs/>
          <w:spacing w:val="-6"/>
          <w:sz w:val="26"/>
          <w:szCs w:val="26"/>
        </w:rPr>
        <w:t>of medical claims</w:t>
      </w:r>
      <w:r w:rsidRPr="00A75ED0">
        <w:rPr>
          <w:rFonts w:eastAsia="標楷體"/>
          <w:b/>
          <w:bCs/>
          <w:spacing w:val="-6"/>
          <w:sz w:val="26"/>
          <w:szCs w:val="26"/>
        </w:rPr>
        <w:t xml:space="preserve"> in the most recent decade was 5.4%.</w:t>
      </w:r>
    </w:p>
    <w:p w:rsidR="003F072C" w:rsidRPr="00A75ED0" w:rsidRDefault="00A75ED0" w:rsidP="009A6377">
      <w:pPr>
        <w:pStyle w:val="a5"/>
        <w:spacing w:after="120" w:line="380" w:lineRule="atLeast"/>
        <w:ind w:leftChars="100" w:left="240" w:firstLineChars="200" w:firstLine="520"/>
        <w:jc w:val="both"/>
        <w:rPr>
          <w:rFonts w:eastAsia="標楷體"/>
          <w:sz w:val="26"/>
          <w:szCs w:val="26"/>
        </w:rPr>
      </w:pPr>
      <w:r w:rsidRPr="00A75ED0">
        <w:rPr>
          <w:sz w:val="26"/>
          <w:szCs w:val="26"/>
        </w:rPr>
        <w:t>The total medical benefit claims in 2011 amounted to 52</w:t>
      </w:r>
      <w:r w:rsidR="0043737A">
        <w:rPr>
          <w:rFonts w:hint="eastAsia"/>
          <w:sz w:val="26"/>
          <w:szCs w:val="26"/>
        </w:rPr>
        <w:t>6</w:t>
      </w:r>
      <w:r w:rsidRPr="00A75ED0">
        <w:rPr>
          <w:sz w:val="26"/>
          <w:szCs w:val="26"/>
        </w:rPr>
        <w:t xml:space="preserve"> billion RVU, ma</w:t>
      </w:r>
      <w:r w:rsidR="003E29F8">
        <w:rPr>
          <w:rFonts w:hint="eastAsia"/>
          <w:sz w:val="26"/>
          <w:szCs w:val="26"/>
        </w:rPr>
        <w:t>r</w:t>
      </w:r>
      <w:r w:rsidRPr="00A75ED0">
        <w:rPr>
          <w:sz w:val="26"/>
          <w:szCs w:val="26"/>
        </w:rPr>
        <w:t xml:space="preserve">king an increase of 5.1% from the previous year and 68.8% from 2001. The average annual </w:t>
      </w:r>
      <w:r w:rsidR="00C565D4">
        <w:rPr>
          <w:rFonts w:hint="eastAsia"/>
          <w:sz w:val="26"/>
          <w:szCs w:val="26"/>
        </w:rPr>
        <w:t>increase</w:t>
      </w:r>
      <w:r w:rsidRPr="00A75ED0">
        <w:rPr>
          <w:sz w:val="26"/>
          <w:szCs w:val="26"/>
        </w:rPr>
        <w:t xml:space="preserve"> in the most recent decade was 5.4%. Total </w:t>
      </w:r>
      <w:r w:rsidRPr="00A75ED0">
        <w:rPr>
          <w:color w:val="000000"/>
          <w:sz w:val="26"/>
          <w:szCs w:val="26"/>
        </w:rPr>
        <w:t xml:space="preserve">378 million claims were filed, an increase of 19.4% from 2001. The average annual </w:t>
      </w:r>
      <w:r w:rsidR="00C565D4">
        <w:rPr>
          <w:rFonts w:hint="eastAsia"/>
          <w:color w:val="000000"/>
          <w:sz w:val="26"/>
          <w:szCs w:val="26"/>
        </w:rPr>
        <w:t>increase</w:t>
      </w:r>
      <w:r w:rsidRPr="00A75ED0">
        <w:rPr>
          <w:color w:val="000000"/>
          <w:sz w:val="26"/>
          <w:szCs w:val="26"/>
        </w:rPr>
        <w:t xml:space="preserve"> was 1.8%.</w:t>
      </w:r>
    </w:p>
    <w:p w:rsidR="000E2D2F" w:rsidRPr="00947656" w:rsidRDefault="00F27BAE" w:rsidP="000E2D2F">
      <w:pPr>
        <w:pStyle w:val="a5"/>
        <w:spacing w:after="120"/>
        <w:ind w:leftChars="60" w:left="144"/>
        <w:jc w:val="both"/>
        <w:rPr>
          <w:rFonts w:eastAsia="標楷體"/>
          <w:b/>
          <w:sz w:val="26"/>
        </w:rPr>
      </w:pPr>
      <w:proofErr w:type="spellStart"/>
      <w:r>
        <w:rPr>
          <w:rFonts w:eastAsia="標楷體" w:hint="eastAsia"/>
          <w:b/>
          <w:sz w:val="26"/>
        </w:rPr>
        <w:t>i</w:t>
      </w:r>
      <w:proofErr w:type="spellEnd"/>
      <w:r>
        <w:rPr>
          <w:rFonts w:eastAsia="標楷體" w:hint="eastAsia"/>
          <w:b/>
          <w:sz w:val="26"/>
        </w:rPr>
        <w:t>. Outpatient Service</w:t>
      </w:r>
    </w:p>
    <w:p w:rsidR="00AB2836" w:rsidRPr="00A75ED0" w:rsidRDefault="00A75ED0" w:rsidP="009A6377">
      <w:pPr>
        <w:pStyle w:val="a5"/>
        <w:spacing w:after="120" w:line="380" w:lineRule="atLeast"/>
        <w:ind w:leftChars="118" w:left="283" w:firstLineChars="200" w:firstLine="520"/>
        <w:jc w:val="both"/>
        <w:rPr>
          <w:rFonts w:eastAsia="標楷體"/>
          <w:color w:val="000000" w:themeColor="text1"/>
          <w:sz w:val="26"/>
        </w:rPr>
      </w:pPr>
      <w:r w:rsidRPr="00A75ED0">
        <w:rPr>
          <w:rFonts w:eastAsia="標楷體"/>
          <w:color w:val="000000" w:themeColor="text1"/>
          <w:sz w:val="26"/>
        </w:rPr>
        <w:t xml:space="preserve">There were a total of 375 million outpatient claims in 2011, an increase of 19.4% from 2001. The average annual </w:t>
      </w:r>
      <w:r w:rsidR="00C565D4">
        <w:rPr>
          <w:rFonts w:eastAsia="標楷體" w:hint="eastAsia"/>
          <w:color w:val="000000" w:themeColor="text1"/>
          <w:sz w:val="26"/>
        </w:rPr>
        <w:t>increase</w:t>
      </w:r>
      <w:r w:rsidRPr="00A75ED0">
        <w:rPr>
          <w:rFonts w:eastAsia="標楷體"/>
          <w:color w:val="000000" w:themeColor="text1"/>
          <w:sz w:val="26"/>
        </w:rPr>
        <w:t xml:space="preserve"> was 1.8%. The total benefit claims were 356 billion RVU, a 72.1% </w:t>
      </w:r>
      <w:r w:rsidR="00314D45">
        <w:rPr>
          <w:rFonts w:eastAsia="標楷體" w:hint="eastAsia"/>
          <w:color w:val="000000" w:themeColor="text1"/>
          <w:sz w:val="26"/>
        </w:rPr>
        <w:t>increase</w:t>
      </w:r>
      <w:r w:rsidRPr="00A75ED0">
        <w:rPr>
          <w:rFonts w:eastAsia="標楷體"/>
          <w:color w:val="000000" w:themeColor="text1"/>
          <w:sz w:val="26"/>
        </w:rPr>
        <w:t xml:space="preserve"> from 2001. The average annual </w:t>
      </w:r>
      <w:r w:rsidR="00314D45">
        <w:rPr>
          <w:rFonts w:eastAsia="標楷體" w:hint="eastAsia"/>
          <w:color w:val="000000" w:themeColor="text1"/>
          <w:sz w:val="26"/>
        </w:rPr>
        <w:t>increase</w:t>
      </w:r>
      <w:r w:rsidRPr="00A75ED0">
        <w:rPr>
          <w:rFonts w:eastAsia="標楷體"/>
          <w:color w:val="000000" w:themeColor="text1"/>
          <w:sz w:val="26"/>
        </w:rPr>
        <w:t xml:space="preserve"> was 5.6%. The average </w:t>
      </w:r>
      <w:r w:rsidR="00314D45">
        <w:rPr>
          <w:rFonts w:eastAsia="標楷體" w:hint="eastAsia"/>
          <w:color w:val="000000" w:themeColor="text1"/>
          <w:sz w:val="26"/>
        </w:rPr>
        <w:t>points per case were 950</w:t>
      </w:r>
      <w:r w:rsidRPr="00A75ED0">
        <w:rPr>
          <w:rFonts w:eastAsia="標楷體"/>
          <w:color w:val="000000" w:themeColor="text1"/>
          <w:sz w:val="26"/>
        </w:rPr>
        <w:t xml:space="preserve"> </w:t>
      </w:r>
      <w:r w:rsidR="00314D45">
        <w:rPr>
          <w:rFonts w:eastAsia="標楷體" w:hint="eastAsia"/>
          <w:color w:val="000000" w:themeColor="text1"/>
          <w:sz w:val="26"/>
        </w:rPr>
        <w:t xml:space="preserve">RVU </w:t>
      </w:r>
      <w:r w:rsidRPr="00A75ED0">
        <w:rPr>
          <w:rFonts w:eastAsia="標楷體"/>
          <w:color w:val="000000" w:themeColor="text1"/>
          <w:sz w:val="26"/>
        </w:rPr>
        <w:t>in 2011.</w:t>
      </w:r>
    </w:p>
    <w:p w:rsidR="006B0FFD" w:rsidRPr="00A75ED0" w:rsidRDefault="006B0FFD" w:rsidP="003E29F8">
      <w:pPr>
        <w:pStyle w:val="a5"/>
        <w:spacing w:after="120"/>
        <w:ind w:leftChars="119" w:left="624" w:hangingChars="130" w:hanging="338"/>
        <w:jc w:val="both"/>
        <w:rPr>
          <w:rFonts w:eastAsia="標楷體"/>
          <w:b/>
          <w:sz w:val="26"/>
        </w:rPr>
      </w:pPr>
      <w:r w:rsidRPr="00947656">
        <w:rPr>
          <w:rFonts w:eastAsia="標楷體"/>
          <w:b/>
          <w:sz w:val="26"/>
        </w:rPr>
        <w:t>a.</w:t>
      </w:r>
      <w:r w:rsidR="00A75ED0" w:rsidRPr="00A75ED0">
        <w:rPr>
          <w:rFonts w:ascii="Calibri" w:hAnsi="Calibri" w:cs="¼Ð·¢Åé"/>
          <w:b/>
          <w:bCs/>
          <w:szCs w:val="24"/>
        </w:rPr>
        <w:t xml:space="preserve"> </w:t>
      </w:r>
      <w:r w:rsidR="00CA2A52" w:rsidRPr="00CA2A52">
        <w:rPr>
          <w:b/>
          <w:bCs/>
          <w:sz w:val="26"/>
          <w:szCs w:val="26"/>
        </w:rPr>
        <w:t>Broken down</w:t>
      </w:r>
      <w:r w:rsidR="00A75ED0" w:rsidRPr="00CA2A52">
        <w:rPr>
          <w:rFonts w:eastAsia="標楷體"/>
          <w:b/>
          <w:bCs/>
          <w:sz w:val="26"/>
          <w:szCs w:val="26"/>
        </w:rPr>
        <w:t xml:space="preserve"> </w:t>
      </w:r>
      <w:r w:rsidR="00A75ED0" w:rsidRPr="00A75ED0">
        <w:rPr>
          <w:rFonts w:eastAsia="標楷體"/>
          <w:b/>
          <w:bCs/>
          <w:sz w:val="26"/>
          <w:szCs w:val="26"/>
        </w:rPr>
        <w:t xml:space="preserve">by </w:t>
      </w:r>
      <w:r w:rsidR="004579A4">
        <w:rPr>
          <w:rFonts w:eastAsia="標楷體" w:hint="eastAsia"/>
          <w:b/>
          <w:bCs/>
          <w:sz w:val="26"/>
          <w:szCs w:val="26"/>
        </w:rPr>
        <w:t>c</w:t>
      </w:r>
      <w:r w:rsidR="00A75ED0" w:rsidRPr="00A75ED0">
        <w:rPr>
          <w:rFonts w:eastAsia="標楷體"/>
          <w:b/>
          <w:bCs/>
          <w:sz w:val="26"/>
          <w:szCs w:val="26"/>
        </w:rPr>
        <w:t>ontract</w:t>
      </w:r>
      <w:r w:rsidR="004579A4">
        <w:rPr>
          <w:rFonts w:eastAsia="標楷體" w:hint="eastAsia"/>
          <w:b/>
          <w:bCs/>
          <w:sz w:val="26"/>
          <w:szCs w:val="26"/>
        </w:rPr>
        <w:t>ed</w:t>
      </w:r>
      <w:r w:rsidR="00A75ED0" w:rsidRPr="00A75ED0">
        <w:rPr>
          <w:rFonts w:eastAsia="標楷體"/>
          <w:b/>
          <w:bCs/>
          <w:sz w:val="26"/>
          <w:szCs w:val="26"/>
        </w:rPr>
        <w:t xml:space="preserve"> category, academic medical centers showed the highest average RVU per case.</w:t>
      </w:r>
    </w:p>
    <w:p w:rsidR="00A75ED0" w:rsidRPr="00A75ED0" w:rsidRDefault="00A75ED0" w:rsidP="009A6377">
      <w:pPr>
        <w:pStyle w:val="a5"/>
        <w:spacing w:after="120" w:line="380" w:lineRule="atLeast"/>
        <w:ind w:leftChars="236" w:left="566" w:firstLineChars="218" w:firstLine="567"/>
        <w:jc w:val="both"/>
        <w:rPr>
          <w:rFonts w:eastAsia="標楷體"/>
          <w:sz w:val="26"/>
          <w:szCs w:val="26"/>
        </w:rPr>
      </w:pPr>
      <w:r w:rsidRPr="00A75ED0">
        <w:rPr>
          <w:rFonts w:eastAsia="標楷體"/>
          <w:sz w:val="26"/>
          <w:szCs w:val="26"/>
        </w:rPr>
        <w:t>B</w:t>
      </w:r>
      <w:r w:rsidR="00CA2A52">
        <w:rPr>
          <w:rFonts w:eastAsia="標楷體" w:hint="eastAsia"/>
          <w:sz w:val="26"/>
          <w:szCs w:val="26"/>
        </w:rPr>
        <w:t xml:space="preserve">roken down by </w:t>
      </w:r>
      <w:r w:rsidRPr="00A75ED0">
        <w:rPr>
          <w:rFonts w:eastAsia="標楷體"/>
          <w:sz w:val="26"/>
          <w:szCs w:val="26"/>
        </w:rPr>
        <w:t>contracted c</w:t>
      </w:r>
      <w:r w:rsidR="00E2769C">
        <w:rPr>
          <w:rFonts w:eastAsia="標楷體"/>
          <w:sz w:val="26"/>
          <w:szCs w:val="26"/>
        </w:rPr>
        <w:t xml:space="preserve">ategory, the </w:t>
      </w:r>
      <w:r w:rsidR="00E2769C">
        <w:rPr>
          <w:rFonts w:eastAsia="標楷體" w:hint="eastAsia"/>
          <w:sz w:val="26"/>
          <w:szCs w:val="26"/>
        </w:rPr>
        <w:t xml:space="preserve">benefit </w:t>
      </w:r>
      <w:r w:rsidR="00E2769C">
        <w:rPr>
          <w:rFonts w:eastAsia="標楷體"/>
          <w:sz w:val="26"/>
          <w:szCs w:val="26"/>
        </w:rPr>
        <w:t>claims</w:t>
      </w:r>
      <w:r w:rsidRPr="00A75ED0">
        <w:rPr>
          <w:rFonts w:eastAsia="標楷體"/>
          <w:sz w:val="26"/>
          <w:szCs w:val="26"/>
        </w:rPr>
        <w:t xml:space="preserve"> for outpatient services rendered in 2011 were, respectively, 14</w:t>
      </w:r>
      <w:r w:rsidR="004579A4">
        <w:rPr>
          <w:rFonts w:eastAsia="標楷體" w:hint="eastAsia"/>
          <w:sz w:val="26"/>
          <w:szCs w:val="26"/>
        </w:rPr>
        <w:t>2</w:t>
      </w:r>
      <w:r w:rsidRPr="00A75ED0">
        <w:rPr>
          <w:rFonts w:eastAsia="標楷體"/>
          <w:sz w:val="26"/>
          <w:szCs w:val="26"/>
        </w:rPr>
        <w:t xml:space="preserve"> billion RVU </w:t>
      </w:r>
      <w:r w:rsidR="00E2769C">
        <w:rPr>
          <w:rFonts w:eastAsia="標楷體" w:hint="eastAsia"/>
          <w:sz w:val="26"/>
          <w:szCs w:val="26"/>
        </w:rPr>
        <w:t xml:space="preserve">or </w:t>
      </w:r>
      <w:r w:rsidR="007E1EC0">
        <w:rPr>
          <w:rFonts w:eastAsia="標楷體" w:hint="eastAsia"/>
          <w:sz w:val="26"/>
          <w:szCs w:val="26"/>
        </w:rPr>
        <w:t>39.8</w:t>
      </w:r>
      <w:r w:rsidRPr="00A75ED0">
        <w:rPr>
          <w:rFonts w:eastAsia="標楷體"/>
          <w:sz w:val="26"/>
          <w:szCs w:val="26"/>
        </w:rPr>
        <w:t xml:space="preserve">% for physician clinics, 76 billion RVU </w:t>
      </w:r>
      <w:r w:rsidR="00E2769C">
        <w:rPr>
          <w:rFonts w:eastAsia="標楷體" w:hint="eastAsia"/>
          <w:sz w:val="26"/>
          <w:szCs w:val="26"/>
        </w:rPr>
        <w:t xml:space="preserve">or </w:t>
      </w:r>
      <w:r w:rsidRPr="00A75ED0">
        <w:rPr>
          <w:rFonts w:eastAsia="標楷體"/>
          <w:sz w:val="26"/>
          <w:szCs w:val="26"/>
        </w:rPr>
        <w:t>2</w:t>
      </w:r>
      <w:r w:rsidR="007E1EC0">
        <w:rPr>
          <w:rFonts w:eastAsia="標楷體" w:hint="eastAsia"/>
          <w:sz w:val="26"/>
          <w:szCs w:val="26"/>
        </w:rPr>
        <w:t>1.4</w:t>
      </w:r>
      <w:r w:rsidRPr="00A75ED0">
        <w:rPr>
          <w:rFonts w:eastAsia="標楷體"/>
          <w:sz w:val="26"/>
          <w:szCs w:val="26"/>
        </w:rPr>
        <w:t>% for metropolitan hospitals, 7</w:t>
      </w:r>
      <w:r w:rsidR="004579A4">
        <w:rPr>
          <w:rFonts w:eastAsia="標楷體" w:hint="eastAsia"/>
          <w:sz w:val="26"/>
          <w:szCs w:val="26"/>
        </w:rPr>
        <w:t>6</w:t>
      </w:r>
      <w:r w:rsidRPr="00A75ED0">
        <w:rPr>
          <w:rFonts w:eastAsia="標楷體"/>
          <w:sz w:val="26"/>
          <w:szCs w:val="26"/>
        </w:rPr>
        <w:t xml:space="preserve"> billion RVU for academic medical centers </w:t>
      </w:r>
      <w:r w:rsidR="00E2769C">
        <w:rPr>
          <w:rFonts w:eastAsia="標楷體" w:hint="eastAsia"/>
          <w:sz w:val="26"/>
          <w:szCs w:val="26"/>
        </w:rPr>
        <w:t xml:space="preserve">or </w:t>
      </w:r>
      <w:r w:rsidRPr="00A75ED0">
        <w:rPr>
          <w:rFonts w:eastAsia="標楷體"/>
          <w:sz w:val="26"/>
          <w:szCs w:val="26"/>
        </w:rPr>
        <w:t>2</w:t>
      </w:r>
      <w:r w:rsidR="007E1EC0">
        <w:rPr>
          <w:rFonts w:eastAsia="標楷體" w:hint="eastAsia"/>
          <w:sz w:val="26"/>
          <w:szCs w:val="26"/>
        </w:rPr>
        <w:t>1.2</w:t>
      </w:r>
      <w:r w:rsidRPr="00A75ED0">
        <w:rPr>
          <w:rFonts w:eastAsia="標楷體"/>
          <w:sz w:val="26"/>
          <w:szCs w:val="26"/>
        </w:rPr>
        <w:t>%, 3</w:t>
      </w:r>
      <w:r w:rsidR="004579A4">
        <w:rPr>
          <w:rFonts w:eastAsia="標楷體" w:hint="eastAsia"/>
          <w:sz w:val="26"/>
          <w:szCs w:val="26"/>
        </w:rPr>
        <w:t>8</w:t>
      </w:r>
      <w:r w:rsidRPr="00A75ED0">
        <w:rPr>
          <w:rFonts w:eastAsia="標楷體"/>
          <w:sz w:val="26"/>
          <w:szCs w:val="26"/>
        </w:rPr>
        <w:t xml:space="preserve"> billion RVU for local community hospitals, 2</w:t>
      </w:r>
      <w:r w:rsidR="004579A4">
        <w:rPr>
          <w:rFonts w:eastAsia="標楷體" w:hint="eastAsia"/>
          <w:sz w:val="26"/>
          <w:szCs w:val="26"/>
        </w:rPr>
        <w:t>4</w:t>
      </w:r>
      <w:r w:rsidRPr="00A75ED0">
        <w:rPr>
          <w:rFonts w:eastAsia="標楷體"/>
          <w:sz w:val="26"/>
          <w:szCs w:val="26"/>
        </w:rPr>
        <w:t xml:space="preserve"> billion RVU for pharmacies and 1 billion RVU for </w:t>
      </w:r>
      <w:r w:rsidR="007E1EC0">
        <w:rPr>
          <w:rFonts w:eastAsia="標楷體" w:hint="eastAsia"/>
          <w:sz w:val="26"/>
          <w:szCs w:val="26"/>
        </w:rPr>
        <w:t xml:space="preserve">other </w:t>
      </w:r>
      <w:r w:rsidRPr="00A75ED0">
        <w:rPr>
          <w:rFonts w:eastAsia="標楷體"/>
          <w:sz w:val="26"/>
          <w:szCs w:val="26"/>
        </w:rPr>
        <w:t xml:space="preserve">medical institutions. </w:t>
      </w:r>
    </w:p>
    <w:p w:rsidR="00622979" w:rsidRPr="00947656" w:rsidRDefault="0093594F" w:rsidP="009A6377">
      <w:pPr>
        <w:pStyle w:val="a5"/>
        <w:spacing w:after="120" w:line="380" w:lineRule="atLeast"/>
        <w:ind w:leftChars="236" w:left="566" w:firstLineChars="218" w:firstLine="567"/>
        <w:jc w:val="both"/>
        <w:rPr>
          <w:rFonts w:eastAsia="標楷體"/>
          <w:sz w:val="26"/>
          <w:szCs w:val="26"/>
        </w:rPr>
      </w:pPr>
      <w:r>
        <w:rPr>
          <w:rFonts w:eastAsia="標楷體" w:hint="eastAsia"/>
          <w:sz w:val="26"/>
          <w:szCs w:val="26"/>
        </w:rPr>
        <w:t>The</w:t>
      </w:r>
      <w:r w:rsidR="00A75ED0" w:rsidRPr="00A75ED0">
        <w:rPr>
          <w:rFonts w:eastAsia="標楷體"/>
          <w:sz w:val="26"/>
          <w:szCs w:val="26"/>
        </w:rPr>
        <w:t xml:space="preserve"> average </w:t>
      </w:r>
      <w:r>
        <w:rPr>
          <w:rFonts w:eastAsia="標楷體" w:hint="eastAsia"/>
          <w:sz w:val="26"/>
          <w:szCs w:val="26"/>
        </w:rPr>
        <w:t>points per</w:t>
      </w:r>
      <w:r>
        <w:rPr>
          <w:rFonts w:eastAsia="標楷體"/>
          <w:sz w:val="26"/>
          <w:szCs w:val="26"/>
        </w:rPr>
        <w:t xml:space="preserve"> outpatient case w</w:t>
      </w:r>
      <w:r>
        <w:rPr>
          <w:rFonts w:eastAsia="標楷體" w:hint="eastAsia"/>
          <w:sz w:val="26"/>
          <w:szCs w:val="26"/>
        </w:rPr>
        <w:t>ere</w:t>
      </w:r>
      <w:r w:rsidR="00A75ED0" w:rsidRPr="00A75ED0">
        <w:rPr>
          <w:rFonts w:eastAsia="標楷體"/>
          <w:sz w:val="26"/>
          <w:szCs w:val="26"/>
        </w:rPr>
        <w:t xml:space="preserve">, in descending order, 2,212 RVU for academic medical centers, 1,649 RVU for metropolitan hospitals, 1,229 RVU for local community hospitals, 537 RVU for physician clinics, 406 RVU for </w:t>
      </w:r>
      <w:r w:rsidR="000E0FDA">
        <w:rPr>
          <w:rFonts w:eastAsia="標楷體" w:hint="eastAsia"/>
          <w:sz w:val="26"/>
          <w:szCs w:val="26"/>
        </w:rPr>
        <w:t xml:space="preserve">other </w:t>
      </w:r>
      <w:r w:rsidR="00A75ED0" w:rsidRPr="00A75ED0">
        <w:rPr>
          <w:rFonts w:eastAsia="標楷體"/>
          <w:sz w:val="26"/>
          <w:szCs w:val="26"/>
        </w:rPr>
        <w:t>medical institutions and 321 RVU for pharmacies.</w:t>
      </w:r>
    </w:p>
    <w:p w:rsidR="005D4809" w:rsidRPr="00947656" w:rsidRDefault="008E36F2" w:rsidP="00730DFA">
      <w:pPr>
        <w:spacing w:beforeLines="50" w:afterLines="50" w:line="180" w:lineRule="atLeast"/>
        <w:jc w:val="center"/>
        <w:rPr>
          <w:rFonts w:eastAsia="標楷體"/>
          <w:color w:val="000000" w:themeColor="text1"/>
          <w:sz w:val="26"/>
        </w:rPr>
      </w:pPr>
      <w:r w:rsidRPr="008E36F2">
        <w:rPr>
          <w:rFonts w:eastAsia="標楷體"/>
          <w:noProof/>
          <w:color w:val="000000" w:themeColor="text1"/>
          <w:sz w:val="26"/>
        </w:rPr>
        <w:drawing>
          <wp:inline distT="0" distB="0" distL="0" distR="0">
            <wp:extent cx="4499610" cy="2529840"/>
            <wp:effectExtent l="19050" t="0" r="0" b="0"/>
            <wp:docPr id="17" name="圖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D4809" w:rsidRPr="00947656" w:rsidRDefault="008E2F06" w:rsidP="00E54D89">
      <w:pPr>
        <w:pStyle w:val="a5"/>
        <w:spacing w:after="120"/>
        <w:ind w:leftChars="119" w:left="624" w:hangingChars="130" w:hanging="338"/>
        <w:jc w:val="both"/>
        <w:rPr>
          <w:rFonts w:eastAsia="標楷體"/>
          <w:b/>
          <w:sz w:val="26"/>
        </w:rPr>
      </w:pPr>
      <w:r w:rsidRPr="00947656">
        <w:rPr>
          <w:rFonts w:eastAsia="標楷體"/>
          <w:b/>
          <w:sz w:val="26"/>
        </w:rPr>
        <w:lastRenderedPageBreak/>
        <w:t>b</w:t>
      </w:r>
      <w:r w:rsidR="001F705B" w:rsidRPr="00947656">
        <w:rPr>
          <w:rFonts w:eastAsia="標楷體"/>
          <w:b/>
          <w:sz w:val="26"/>
        </w:rPr>
        <w:t>.</w:t>
      </w:r>
      <w:r w:rsidR="00A75ED0" w:rsidRPr="00A75ED0">
        <w:rPr>
          <w:b/>
          <w:bCs/>
          <w:sz w:val="26"/>
          <w:szCs w:val="26"/>
        </w:rPr>
        <w:t xml:space="preserve"> </w:t>
      </w:r>
      <w:r w:rsidR="00A75ED0" w:rsidRPr="00A75ED0">
        <w:rPr>
          <w:rFonts w:eastAsia="標楷體"/>
          <w:b/>
          <w:bCs/>
          <w:sz w:val="26"/>
          <w:szCs w:val="26"/>
        </w:rPr>
        <w:t>B</w:t>
      </w:r>
      <w:r w:rsidR="00CA2A52">
        <w:rPr>
          <w:rFonts w:eastAsia="標楷體" w:hint="eastAsia"/>
          <w:b/>
          <w:bCs/>
          <w:sz w:val="26"/>
          <w:szCs w:val="26"/>
        </w:rPr>
        <w:t>roken down by</w:t>
      </w:r>
      <w:r w:rsidR="00A75ED0" w:rsidRPr="00A75ED0">
        <w:rPr>
          <w:rFonts w:eastAsia="標楷體"/>
          <w:b/>
          <w:bCs/>
          <w:sz w:val="26"/>
          <w:szCs w:val="26"/>
        </w:rPr>
        <w:t xml:space="preserve"> the global budget payment system, the average </w:t>
      </w:r>
      <w:r w:rsidR="007648CE">
        <w:rPr>
          <w:rFonts w:eastAsia="標楷體" w:hint="eastAsia"/>
          <w:b/>
          <w:bCs/>
          <w:sz w:val="26"/>
          <w:szCs w:val="26"/>
        </w:rPr>
        <w:t>points</w:t>
      </w:r>
      <w:r w:rsidR="00A75ED0" w:rsidRPr="00A75ED0">
        <w:rPr>
          <w:rFonts w:eastAsia="標楷體"/>
          <w:b/>
          <w:bCs/>
          <w:sz w:val="26"/>
          <w:szCs w:val="26"/>
        </w:rPr>
        <w:t xml:space="preserve"> per dialysis case w</w:t>
      </w:r>
      <w:r w:rsidR="007648CE">
        <w:rPr>
          <w:rFonts w:eastAsia="標楷體" w:hint="eastAsia"/>
          <w:b/>
          <w:bCs/>
          <w:sz w:val="26"/>
          <w:szCs w:val="26"/>
        </w:rPr>
        <w:t>ere</w:t>
      </w:r>
      <w:r w:rsidR="00A75ED0" w:rsidRPr="00A75ED0">
        <w:rPr>
          <w:rFonts w:eastAsia="標楷體"/>
          <w:b/>
          <w:bCs/>
          <w:sz w:val="26"/>
          <w:szCs w:val="26"/>
        </w:rPr>
        <w:t xml:space="preserve"> 47,094 RVU, being the highest of all.</w:t>
      </w:r>
    </w:p>
    <w:p w:rsidR="00A75ED0" w:rsidRPr="009B2815" w:rsidRDefault="00A75ED0" w:rsidP="0078029E">
      <w:pPr>
        <w:pStyle w:val="1"/>
        <w:spacing w:after="120" w:line="420" w:lineRule="atLeast"/>
        <w:ind w:leftChars="236" w:left="566" w:firstLineChars="218" w:firstLine="567"/>
        <w:jc w:val="both"/>
        <w:rPr>
          <w:sz w:val="26"/>
          <w:szCs w:val="26"/>
        </w:rPr>
      </w:pPr>
      <w:r w:rsidRPr="009B2815">
        <w:rPr>
          <w:sz w:val="26"/>
          <w:szCs w:val="26"/>
        </w:rPr>
        <w:t>Broken down by the global budget payment system, the outpatient benefits claimed by hospitals in 2011 were 16</w:t>
      </w:r>
      <w:r w:rsidR="008F4848">
        <w:rPr>
          <w:rFonts w:hint="eastAsia"/>
          <w:sz w:val="26"/>
          <w:szCs w:val="26"/>
        </w:rPr>
        <w:t>9</w:t>
      </w:r>
      <w:r w:rsidRPr="009B2815">
        <w:rPr>
          <w:sz w:val="26"/>
          <w:szCs w:val="26"/>
        </w:rPr>
        <w:t xml:space="preserve"> billion RVU </w:t>
      </w:r>
      <w:r w:rsidR="006409C2">
        <w:rPr>
          <w:rFonts w:hint="eastAsia"/>
          <w:sz w:val="26"/>
          <w:szCs w:val="26"/>
        </w:rPr>
        <w:t>(</w:t>
      </w:r>
      <w:r w:rsidR="0078029E">
        <w:rPr>
          <w:rFonts w:hint="eastAsia"/>
          <w:sz w:val="26"/>
          <w:szCs w:val="26"/>
        </w:rPr>
        <w:t>47.4</w:t>
      </w:r>
      <w:r w:rsidRPr="009B2815">
        <w:rPr>
          <w:sz w:val="26"/>
          <w:szCs w:val="26"/>
        </w:rPr>
        <w:t>%</w:t>
      </w:r>
      <w:r w:rsidR="006409C2">
        <w:rPr>
          <w:rFonts w:hint="eastAsia"/>
          <w:sz w:val="26"/>
          <w:szCs w:val="26"/>
        </w:rPr>
        <w:t>)</w:t>
      </w:r>
      <w:r w:rsidR="0078029E">
        <w:rPr>
          <w:rFonts w:hint="eastAsia"/>
          <w:sz w:val="26"/>
          <w:szCs w:val="26"/>
        </w:rPr>
        <w:t>,</w:t>
      </w:r>
      <w:r w:rsidRPr="009B2815">
        <w:rPr>
          <w:sz w:val="26"/>
          <w:szCs w:val="26"/>
        </w:rPr>
        <w:t xml:space="preserve"> followed by physician clinics </w:t>
      </w:r>
      <w:r w:rsidR="00925F41">
        <w:rPr>
          <w:rFonts w:hint="eastAsia"/>
          <w:sz w:val="26"/>
          <w:szCs w:val="26"/>
        </w:rPr>
        <w:t xml:space="preserve">at </w:t>
      </w:r>
      <w:r w:rsidRPr="009B2815">
        <w:rPr>
          <w:sz w:val="26"/>
          <w:szCs w:val="26"/>
        </w:rPr>
        <w:t xml:space="preserve">88 billion RVU </w:t>
      </w:r>
      <w:r w:rsidR="006409C2">
        <w:rPr>
          <w:rFonts w:hint="eastAsia"/>
          <w:sz w:val="26"/>
          <w:szCs w:val="26"/>
        </w:rPr>
        <w:t>(</w:t>
      </w:r>
      <w:r w:rsidRPr="009B2815">
        <w:rPr>
          <w:sz w:val="26"/>
          <w:szCs w:val="26"/>
        </w:rPr>
        <w:t>2</w:t>
      </w:r>
      <w:r w:rsidR="0078029E">
        <w:rPr>
          <w:rFonts w:hint="eastAsia"/>
          <w:sz w:val="26"/>
          <w:szCs w:val="26"/>
        </w:rPr>
        <w:t>4.8</w:t>
      </w:r>
      <w:r w:rsidRPr="009B2815">
        <w:rPr>
          <w:sz w:val="26"/>
          <w:szCs w:val="26"/>
        </w:rPr>
        <w:t>%</w:t>
      </w:r>
      <w:r w:rsidR="006409C2">
        <w:rPr>
          <w:rFonts w:hint="eastAsia"/>
          <w:sz w:val="26"/>
          <w:szCs w:val="26"/>
        </w:rPr>
        <w:t>)</w:t>
      </w:r>
      <w:r w:rsidRPr="009B2815">
        <w:rPr>
          <w:sz w:val="26"/>
          <w:szCs w:val="26"/>
        </w:rPr>
        <w:t>. The outpatient claims by the Chinese medicine, dentistry and dialysis were, respectively, 1</w:t>
      </w:r>
      <w:r w:rsidR="008F4848">
        <w:rPr>
          <w:rFonts w:hint="eastAsia"/>
          <w:sz w:val="26"/>
          <w:szCs w:val="26"/>
        </w:rPr>
        <w:t>8</w:t>
      </w:r>
      <w:r w:rsidRPr="009B2815">
        <w:rPr>
          <w:sz w:val="26"/>
          <w:szCs w:val="26"/>
        </w:rPr>
        <w:t xml:space="preserve"> billion RVU, 34 billion RVU and 3</w:t>
      </w:r>
      <w:r w:rsidR="008F4848">
        <w:rPr>
          <w:rFonts w:hint="eastAsia"/>
          <w:sz w:val="26"/>
          <w:szCs w:val="26"/>
        </w:rPr>
        <w:t>7</w:t>
      </w:r>
      <w:r w:rsidRPr="009B2815">
        <w:rPr>
          <w:sz w:val="26"/>
          <w:szCs w:val="26"/>
        </w:rPr>
        <w:t xml:space="preserve"> billion RVU, which, on a combined basis, accounted for about 25% of all. </w:t>
      </w:r>
    </w:p>
    <w:p w:rsidR="00286007" w:rsidRPr="00947656" w:rsidRDefault="00A75ED0" w:rsidP="0078029E">
      <w:pPr>
        <w:pStyle w:val="a5"/>
        <w:spacing w:after="240" w:line="420" w:lineRule="atLeast"/>
        <w:ind w:leftChars="236" w:left="566" w:firstLineChars="218" w:firstLine="567"/>
        <w:jc w:val="both"/>
        <w:rPr>
          <w:rFonts w:eastAsia="標楷體"/>
          <w:sz w:val="26"/>
          <w:szCs w:val="26"/>
        </w:rPr>
      </w:pPr>
      <w:r w:rsidRPr="009B2815">
        <w:rPr>
          <w:sz w:val="26"/>
          <w:szCs w:val="26"/>
        </w:rPr>
        <w:t xml:space="preserve">The average </w:t>
      </w:r>
      <w:r w:rsidR="00925F41">
        <w:rPr>
          <w:rFonts w:hint="eastAsia"/>
          <w:sz w:val="26"/>
          <w:szCs w:val="26"/>
        </w:rPr>
        <w:t>points per</w:t>
      </w:r>
      <w:r w:rsidRPr="009B2815">
        <w:rPr>
          <w:sz w:val="26"/>
          <w:szCs w:val="26"/>
        </w:rPr>
        <w:t xml:space="preserve"> case w</w:t>
      </w:r>
      <w:r w:rsidR="00925F41">
        <w:rPr>
          <w:rFonts w:hint="eastAsia"/>
          <w:sz w:val="26"/>
          <w:szCs w:val="26"/>
        </w:rPr>
        <w:t>ere</w:t>
      </w:r>
      <w:r w:rsidRPr="009B2815">
        <w:rPr>
          <w:sz w:val="26"/>
          <w:szCs w:val="26"/>
        </w:rPr>
        <w:t xml:space="preserve"> 47,094 RVU</w:t>
      </w:r>
      <w:r w:rsidR="0078029E">
        <w:rPr>
          <w:rFonts w:hint="eastAsia"/>
          <w:sz w:val="26"/>
          <w:szCs w:val="26"/>
        </w:rPr>
        <w:t xml:space="preserve"> for </w:t>
      </w:r>
      <w:r w:rsidR="0078029E" w:rsidRPr="009B2815">
        <w:rPr>
          <w:sz w:val="26"/>
          <w:szCs w:val="26"/>
        </w:rPr>
        <w:t>dialysis</w:t>
      </w:r>
      <w:r w:rsidRPr="009B2815">
        <w:rPr>
          <w:sz w:val="26"/>
          <w:szCs w:val="26"/>
        </w:rPr>
        <w:t>, being the highest of all</w:t>
      </w:r>
      <w:r w:rsidR="0078029E">
        <w:rPr>
          <w:rFonts w:hint="eastAsia"/>
          <w:sz w:val="26"/>
          <w:szCs w:val="26"/>
        </w:rPr>
        <w:t>.</w:t>
      </w:r>
      <w:r w:rsidRPr="009B2815">
        <w:rPr>
          <w:sz w:val="26"/>
          <w:szCs w:val="26"/>
        </w:rPr>
        <w:t xml:space="preserve"> It was followed by hospitals </w:t>
      </w:r>
      <w:r w:rsidR="00925F41">
        <w:rPr>
          <w:rFonts w:hint="eastAsia"/>
          <w:sz w:val="26"/>
          <w:szCs w:val="26"/>
        </w:rPr>
        <w:t xml:space="preserve">at </w:t>
      </w:r>
      <w:r w:rsidRPr="009B2815">
        <w:rPr>
          <w:sz w:val="26"/>
          <w:szCs w:val="26"/>
        </w:rPr>
        <w:t xml:space="preserve">1,699 RVU, dentistry </w:t>
      </w:r>
      <w:r w:rsidR="00925F41">
        <w:rPr>
          <w:rFonts w:hint="eastAsia"/>
          <w:sz w:val="26"/>
          <w:szCs w:val="26"/>
        </w:rPr>
        <w:t xml:space="preserve">at </w:t>
      </w:r>
      <w:r w:rsidRPr="009B2815">
        <w:rPr>
          <w:sz w:val="26"/>
          <w:szCs w:val="26"/>
        </w:rPr>
        <w:t xml:space="preserve">1,127 RVU, Chinese medicine </w:t>
      </w:r>
      <w:r w:rsidR="00925F41">
        <w:rPr>
          <w:rFonts w:hint="eastAsia"/>
          <w:sz w:val="26"/>
          <w:szCs w:val="26"/>
        </w:rPr>
        <w:t xml:space="preserve">at </w:t>
      </w:r>
      <w:r w:rsidRPr="009B2815">
        <w:rPr>
          <w:sz w:val="26"/>
          <w:szCs w:val="26"/>
        </w:rPr>
        <w:t xml:space="preserve">460 RVU and physician clinics </w:t>
      </w:r>
      <w:r w:rsidR="00925F41">
        <w:rPr>
          <w:rFonts w:hint="eastAsia"/>
          <w:sz w:val="26"/>
          <w:szCs w:val="26"/>
        </w:rPr>
        <w:t xml:space="preserve">at </w:t>
      </w:r>
      <w:r w:rsidRPr="009B2815">
        <w:rPr>
          <w:sz w:val="26"/>
          <w:szCs w:val="26"/>
        </w:rPr>
        <w:t>459 RVU.</w:t>
      </w:r>
    </w:p>
    <w:p w:rsidR="00286007" w:rsidRPr="00947656" w:rsidRDefault="00DB3997" w:rsidP="00DB3997">
      <w:pPr>
        <w:pStyle w:val="a5"/>
        <w:spacing w:after="120" w:line="400" w:lineRule="atLeast"/>
        <w:ind w:leftChars="0" w:left="0"/>
        <w:jc w:val="center"/>
        <w:rPr>
          <w:rFonts w:eastAsia="標楷體"/>
          <w:sz w:val="26"/>
          <w:szCs w:val="26"/>
        </w:rPr>
      </w:pPr>
      <w:r w:rsidRPr="00DB3997">
        <w:rPr>
          <w:rFonts w:eastAsia="標楷體"/>
          <w:noProof/>
          <w:sz w:val="26"/>
          <w:szCs w:val="26"/>
        </w:rPr>
        <w:drawing>
          <wp:inline distT="0" distB="0" distL="0" distR="0">
            <wp:extent cx="4456430" cy="2811780"/>
            <wp:effectExtent l="19050" t="0" r="1270" b="0"/>
            <wp:docPr id="1" name="圖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86007" w:rsidRPr="00947656" w:rsidRDefault="00286007" w:rsidP="00E54D89">
      <w:pPr>
        <w:pStyle w:val="a5"/>
        <w:spacing w:after="120"/>
        <w:ind w:leftChars="95" w:left="540" w:hangingChars="120" w:hanging="312"/>
        <w:jc w:val="both"/>
        <w:rPr>
          <w:rFonts w:eastAsia="標楷體"/>
          <w:b/>
          <w:sz w:val="26"/>
        </w:rPr>
      </w:pPr>
      <w:r w:rsidRPr="00947656">
        <w:rPr>
          <w:rFonts w:eastAsia="標楷體"/>
          <w:b/>
          <w:sz w:val="26"/>
        </w:rPr>
        <w:t>c.</w:t>
      </w:r>
      <w:r w:rsidR="00A75ED0" w:rsidRPr="00A75ED0">
        <w:rPr>
          <w:b/>
          <w:bCs/>
          <w:sz w:val="26"/>
          <w:szCs w:val="26"/>
        </w:rPr>
        <w:t xml:space="preserve"> </w:t>
      </w:r>
      <w:r w:rsidR="00CA2A52">
        <w:rPr>
          <w:rFonts w:hint="eastAsia"/>
          <w:b/>
          <w:bCs/>
          <w:sz w:val="26"/>
          <w:szCs w:val="26"/>
        </w:rPr>
        <w:t>Benefits</w:t>
      </w:r>
      <w:r w:rsidR="00A75ED0" w:rsidRPr="009B2815">
        <w:rPr>
          <w:b/>
          <w:bCs/>
          <w:sz w:val="26"/>
          <w:szCs w:val="26"/>
        </w:rPr>
        <w:t xml:space="preserve"> claimed by females were slightly higher than that </w:t>
      </w:r>
      <w:r w:rsidR="00364859">
        <w:rPr>
          <w:rFonts w:hint="eastAsia"/>
          <w:b/>
          <w:bCs/>
          <w:sz w:val="26"/>
          <w:szCs w:val="26"/>
        </w:rPr>
        <w:t>by</w:t>
      </w:r>
      <w:r w:rsidR="00A75ED0" w:rsidRPr="009B2815">
        <w:rPr>
          <w:b/>
          <w:bCs/>
          <w:sz w:val="26"/>
          <w:szCs w:val="26"/>
        </w:rPr>
        <w:t xml:space="preserve"> males. In terms </w:t>
      </w:r>
      <w:r w:rsidR="00A75ED0" w:rsidRPr="009A6377">
        <w:rPr>
          <w:rFonts w:eastAsia="標楷體"/>
          <w:b/>
          <w:bCs/>
          <w:sz w:val="26"/>
          <w:szCs w:val="26"/>
        </w:rPr>
        <w:t>of</w:t>
      </w:r>
      <w:r w:rsidR="00A75ED0" w:rsidRPr="009B2815">
        <w:rPr>
          <w:b/>
          <w:bCs/>
          <w:sz w:val="26"/>
          <w:szCs w:val="26"/>
        </w:rPr>
        <w:t xml:space="preserve"> the average RVU per case, however, males had a higher amount than females.</w:t>
      </w:r>
    </w:p>
    <w:p w:rsidR="00A75ED0" w:rsidRPr="009B2815" w:rsidRDefault="00A75ED0" w:rsidP="0078029E">
      <w:pPr>
        <w:pStyle w:val="1"/>
        <w:spacing w:after="120" w:line="420" w:lineRule="atLeast"/>
        <w:ind w:leftChars="236" w:left="566" w:firstLineChars="218" w:firstLine="567"/>
        <w:jc w:val="both"/>
        <w:rPr>
          <w:sz w:val="26"/>
          <w:szCs w:val="26"/>
        </w:rPr>
      </w:pPr>
      <w:r w:rsidRPr="009B2815">
        <w:rPr>
          <w:sz w:val="26"/>
          <w:szCs w:val="26"/>
        </w:rPr>
        <w:t xml:space="preserve">In 2011, outpatient claims </w:t>
      </w:r>
      <w:r w:rsidR="0098649D">
        <w:rPr>
          <w:rFonts w:hint="eastAsia"/>
          <w:sz w:val="26"/>
          <w:szCs w:val="26"/>
        </w:rPr>
        <w:t>were</w:t>
      </w:r>
      <w:r w:rsidRPr="009B2815">
        <w:rPr>
          <w:sz w:val="26"/>
          <w:szCs w:val="26"/>
        </w:rPr>
        <w:t xml:space="preserve"> </w:t>
      </w:r>
      <w:r w:rsidR="0098649D" w:rsidRPr="009B2815">
        <w:rPr>
          <w:sz w:val="26"/>
          <w:szCs w:val="26"/>
        </w:rPr>
        <w:t>17</w:t>
      </w:r>
      <w:r w:rsidR="0098649D">
        <w:rPr>
          <w:rFonts w:hint="eastAsia"/>
          <w:sz w:val="26"/>
          <w:szCs w:val="26"/>
        </w:rPr>
        <w:t>4</w:t>
      </w:r>
      <w:r w:rsidR="0098649D" w:rsidRPr="009B2815">
        <w:rPr>
          <w:sz w:val="26"/>
          <w:szCs w:val="26"/>
        </w:rPr>
        <w:t xml:space="preserve"> billion RVU </w:t>
      </w:r>
      <w:r w:rsidR="0098649D">
        <w:rPr>
          <w:rFonts w:hint="eastAsia"/>
          <w:sz w:val="26"/>
          <w:szCs w:val="26"/>
        </w:rPr>
        <w:t>(</w:t>
      </w:r>
      <w:r w:rsidR="0098649D" w:rsidRPr="009B2815">
        <w:rPr>
          <w:sz w:val="26"/>
          <w:szCs w:val="26"/>
        </w:rPr>
        <w:t>48.8%</w:t>
      </w:r>
      <w:r w:rsidR="0098649D">
        <w:rPr>
          <w:rFonts w:hint="eastAsia"/>
          <w:sz w:val="26"/>
          <w:szCs w:val="26"/>
        </w:rPr>
        <w:t xml:space="preserve">) </w:t>
      </w:r>
      <w:r w:rsidRPr="009B2815">
        <w:rPr>
          <w:sz w:val="26"/>
          <w:szCs w:val="26"/>
        </w:rPr>
        <w:t>by males</w:t>
      </w:r>
      <w:r w:rsidR="0098649D">
        <w:rPr>
          <w:rFonts w:hint="eastAsia"/>
          <w:sz w:val="26"/>
          <w:szCs w:val="26"/>
        </w:rPr>
        <w:t xml:space="preserve"> and </w:t>
      </w:r>
      <w:r w:rsidR="0098649D" w:rsidRPr="009B2815">
        <w:rPr>
          <w:sz w:val="26"/>
          <w:szCs w:val="26"/>
        </w:rPr>
        <w:t xml:space="preserve">182 billion RVU </w:t>
      </w:r>
      <w:r w:rsidR="0098649D">
        <w:rPr>
          <w:rFonts w:hint="eastAsia"/>
          <w:sz w:val="26"/>
          <w:szCs w:val="26"/>
        </w:rPr>
        <w:t>(</w:t>
      </w:r>
      <w:r w:rsidR="0098649D" w:rsidRPr="009B2815">
        <w:rPr>
          <w:sz w:val="26"/>
          <w:szCs w:val="26"/>
        </w:rPr>
        <w:t>51.2%</w:t>
      </w:r>
      <w:r w:rsidR="0098649D">
        <w:rPr>
          <w:rFonts w:hint="eastAsia"/>
          <w:sz w:val="26"/>
          <w:szCs w:val="26"/>
        </w:rPr>
        <w:t>) for f</w:t>
      </w:r>
      <w:r w:rsidRPr="009B2815">
        <w:rPr>
          <w:sz w:val="26"/>
          <w:szCs w:val="26"/>
        </w:rPr>
        <w:t>emales. B</w:t>
      </w:r>
      <w:r w:rsidR="00364859">
        <w:rPr>
          <w:rFonts w:hint="eastAsia"/>
          <w:sz w:val="26"/>
          <w:szCs w:val="26"/>
        </w:rPr>
        <w:t>roken down by</w:t>
      </w:r>
      <w:r w:rsidRPr="009B2815">
        <w:rPr>
          <w:sz w:val="26"/>
          <w:szCs w:val="26"/>
        </w:rPr>
        <w:t xml:space="preserve"> the global budget payment system, females have claimed a higher amount than males in all categories except for hospitals. The most significant difference was found in the category of Chinese medicine, where the claims from females were 1.6 times of those from the males. </w:t>
      </w:r>
    </w:p>
    <w:p w:rsidR="00560521" w:rsidRPr="00947656" w:rsidRDefault="00A75ED0" w:rsidP="0078029E">
      <w:pPr>
        <w:pStyle w:val="a5"/>
        <w:spacing w:after="120" w:line="420" w:lineRule="atLeast"/>
        <w:ind w:leftChars="236" w:left="566" w:firstLineChars="218" w:firstLine="567"/>
        <w:jc w:val="both"/>
        <w:rPr>
          <w:rFonts w:eastAsia="標楷體"/>
          <w:sz w:val="26"/>
          <w:szCs w:val="26"/>
        </w:rPr>
      </w:pPr>
      <w:r w:rsidRPr="009B2815">
        <w:rPr>
          <w:sz w:val="26"/>
          <w:szCs w:val="26"/>
        </w:rPr>
        <w:t xml:space="preserve">The average </w:t>
      </w:r>
      <w:r w:rsidR="00E17BF9">
        <w:rPr>
          <w:rFonts w:hint="eastAsia"/>
          <w:sz w:val="26"/>
          <w:szCs w:val="26"/>
        </w:rPr>
        <w:t>points</w:t>
      </w:r>
      <w:r w:rsidRPr="009B2815">
        <w:rPr>
          <w:sz w:val="26"/>
          <w:szCs w:val="26"/>
        </w:rPr>
        <w:t xml:space="preserve"> per outpatient case w</w:t>
      </w:r>
      <w:r w:rsidR="00E17BF9">
        <w:rPr>
          <w:rFonts w:hint="eastAsia"/>
          <w:sz w:val="26"/>
          <w:szCs w:val="26"/>
        </w:rPr>
        <w:t>ere</w:t>
      </w:r>
      <w:r w:rsidRPr="009B2815">
        <w:rPr>
          <w:sz w:val="26"/>
          <w:szCs w:val="26"/>
        </w:rPr>
        <w:t xml:space="preserve"> 1,040 RVU for males and 877 RVU for females.</w:t>
      </w:r>
    </w:p>
    <w:p w:rsidR="00EE568A" w:rsidRPr="00947656" w:rsidRDefault="00C77D1A" w:rsidP="00DB3997">
      <w:pPr>
        <w:pStyle w:val="a5"/>
        <w:spacing w:line="400" w:lineRule="atLeast"/>
        <w:ind w:leftChars="0" w:left="0"/>
        <w:jc w:val="center"/>
        <w:rPr>
          <w:rFonts w:eastAsia="標楷體"/>
          <w:sz w:val="26"/>
          <w:szCs w:val="26"/>
        </w:rPr>
      </w:pPr>
      <w:r w:rsidRPr="00C77D1A">
        <w:rPr>
          <w:rFonts w:eastAsia="標楷體"/>
          <w:noProof/>
          <w:sz w:val="26"/>
          <w:szCs w:val="26"/>
        </w:rPr>
        <w:lastRenderedPageBreak/>
        <w:drawing>
          <wp:inline distT="0" distB="0" distL="0" distR="0">
            <wp:extent cx="4834890" cy="3166110"/>
            <wp:effectExtent l="0" t="0" r="0" b="0"/>
            <wp:docPr id="10" name="圖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D4809" w:rsidRPr="00947656" w:rsidRDefault="00286007" w:rsidP="009A6377">
      <w:pPr>
        <w:pStyle w:val="a5"/>
        <w:spacing w:after="120"/>
        <w:ind w:leftChars="119" w:left="624" w:hangingChars="130" w:hanging="338"/>
        <w:jc w:val="both"/>
        <w:rPr>
          <w:rFonts w:eastAsia="標楷體"/>
          <w:b/>
          <w:sz w:val="26"/>
        </w:rPr>
      </w:pPr>
      <w:r w:rsidRPr="00947656">
        <w:rPr>
          <w:rFonts w:eastAsia="標楷體"/>
          <w:b/>
          <w:sz w:val="26"/>
        </w:rPr>
        <w:t>d</w:t>
      </w:r>
      <w:r w:rsidR="001F705B" w:rsidRPr="00947656">
        <w:rPr>
          <w:rFonts w:eastAsia="標楷體"/>
          <w:b/>
          <w:sz w:val="26"/>
        </w:rPr>
        <w:t>.</w:t>
      </w:r>
      <w:r w:rsidR="005D5B66" w:rsidRPr="00947656">
        <w:t xml:space="preserve"> </w:t>
      </w:r>
      <w:r w:rsidR="00A75ED0" w:rsidRPr="009A6377">
        <w:rPr>
          <w:rFonts w:eastAsia="標楷體"/>
          <w:b/>
          <w:bCs/>
          <w:sz w:val="26"/>
          <w:szCs w:val="26"/>
        </w:rPr>
        <w:t>Average</w:t>
      </w:r>
      <w:r w:rsidR="00A75ED0" w:rsidRPr="009B2815">
        <w:rPr>
          <w:b/>
          <w:bCs/>
          <w:sz w:val="26"/>
          <w:szCs w:val="26"/>
        </w:rPr>
        <w:t xml:space="preserve"> RVU per case increased with age.</w:t>
      </w:r>
    </w:p>
    <w:p w:rsidR="00A75ED0" w:rsidRPr="009B2815" w:rsidRDefault="00A75ED0" w:rsidP="009A6377">
      <w:pPr>
        <w:pStyle w:val="1"/>
        <w:spacing w:after="120" w:line="380" w:lineRule="atLeast"/>
        <w:ind w:leftChars="236" w:left="566" w:firstLineChars="218" w:firstLine="567"/>
        <w:jc w:val="both"/>
        <w:rPr>
          <w:sz w:val="26"/>
          <w:szCs w:val="26"/>
        </w:rPr>
      </w:pPr>
      <w:r w:rsidRPr="009B2815">
        <w:rPr>
          <w:sz w:val="26"/>
          <w:szCs w:val="26"/>
        </w:rPr>
        <w:t>Broken down by age</w:t>
      </w:r>
      <w:r w:rsidR="001F6C61">
        <w:rPr>
          <w:rFonts w:hint="eastAsia"/>
          <w:sz w:val="26"/>
          <w:szCs w:val="26"/>
        </w:rPr>
        <w:t xml:space="preserve"> </w:t>
      </w:r>
      <w:r w:rsidRPr="009B2815">
        <w:rPr>
          <w:sz w:val="26"/>
          <w:szCs w:val="26"/>
        </w:rPr>
        <w:t xml:space="preserve">group, the outpatient claims from the 45–64 </w:t>
      </w:r>
      <w:proofErr w:type="gramStart"/>
      <w:r w:rsidRPr="009B2815">
        <w:rPr>
          <w:sz w:val="26"/>
          <w:szCs w:val="26"/>
        </w:rPr>
        <w:t>group</w:t>
      </w:r>
      <w:proofErr w:type="gramEnd"/>
      <w:r w:rsidRPr="009B2815">
        <w:rPr>
          <w:sz w:val="26"/>
          <w:szCs w:val="26"/>
        </w:rPr>
        <w:t xml:space="preserve"> in 2011 accounted for 35.9% of all, being the highest. It was followed by the group of 65 and above, being 29.0%. The group of 30–44 represented 16.0% of all. The group of 15–29 accounted for 9.7%. The group of 0–14 only accounted for 9.3%, being the lowest of all. </w:t>
      </w:r>
    </w:p>
    <w:p w:rsidR="00CE0498" w:rsidRPr="00947656" w:rsidRDefault="00A75ED0" w:rsidP="009A6377">
      <w:pPr>
        <w:pStyle w:val="a5"/>
        <w:spacing w:after="120" w:line="380" w:lineRule="atLeast"/>
        <w:ind w:leftChars="236" w:left="566" w:firstLineChars="218" w:firstLine="567"/>
        <w:jc w:val="both"/>
        <w:rPr>
          <w:rFonts w:eastAsia="標楷體"/>
          <w:sz w:val="26"/>
          <w:szCs w:val="26"/>
        </w:rPr>
      </w:pPr>
      <w:r w:rsidRPr="009B2815">
        <w:rPr>
          <w:sz w:val="26"/>
          <w:szCs w:val="26"/>
        </w:rPr>
        <w:t xml:space="preserve">The average RVU per outpatient case increased with age. </w:t>
      </w:r>
      <w:r w:rsidR="00061049">
        <w:rPr>
          <w:rFonts w:hint="eastAsia"/>
          <w:sz w:val="26"/>
          <w:szCs w:val="26"/>
        </w:rPr>
        <w:t xml:space="preserve">They were </w:t>
      </w:r>
      <w:r w:rsidR="00061049" w:rsidRPr="009B2815">
        <w:rPr>
          <w:sz w:val="26"/>
          <w:szCs w:val="26"/>
        </w:rPr>
        <w:t xml:space="preserve">561 RVU </w:t>
      </w:r>
      <w:r w:rsidR="00061049">
        <w:rPr>
          <w:rFonts w:hint="eastAsia"/>
          <w:sz w:val="26"/>
          <w:szCs w:val="26"/>
        </w:rPr>
        <w:t>for t</w:t>
      </w:r>
      <w:r w:rsidRPr="009B2815">
        <w:rPr>
          <w:sz w:val="26"/>
          <w:szCs w:val="26"/>
        </w:rPr>
        <w:t>he 0–14 group</w:t>
      </w:r>
      <w:r w:rsidR="00061049">
        <w:rPr>
          <w:rFonts w:hint="eastAsia"/>
          <w:sz w:val="26"/>
          <w:szCs w:val="26"/>
        </w:rPr>
        <w:t>,</w:t>
      </w:r>
      <w:r w:rsidRPr="009B2815">
        <w:rPr>
          <w:sz w:val="26"/>
          <w:szCs w:val="26"/>
        </w:rPr>
        <w:t xml:space="preserve"> </w:t>
      </w:r>
      <w:r w:rsidR="00061049" w:rsidRPr="009B2815">
        <w:rPr>
          <w:sz w:val="26"/>
          <w:szCs w:val="26"/>
        </w:rPr>
        <w:t xml:space="preserve">677 RVU </w:t>
      </w:r>
      <w:r w:rsidR="00061049">
        <w:rPr>
          <w:rFonts w:hint="eastAsia"/>
          <w:sz w:val="26"/>
          <w:szCs w:val="26"/>
        </w:rPr>
        <w:t xml:space="preserve">for the </w:t>
      </w:r>
      <w:r w:rsidRPr="009B2815">
        <w:rPr>
          <w:sz w:val="26"/>
          <w:szCs w:val="26"/>
        </w:rPr>
        <w:t>15–29</w:t>
      </w:r>
      <w:r w:rsidR="00061049">
        <w:rPr>
          <w:rFonts w:hint="eastAsia"/>
          <w:sz w:val="26"/>
          <w:szCs w:val="26"/>
        </w:rPr>
        <w:t xml:space="preserve"> group,</w:t>
      </w:r>
      <w:r w:rsidRPr="009B2815">
        <w:rPr>
          <w:sz w:val="26"/>
          <w:szCs w:val="26"/>
        </w:rPr>
        <w:t xml:space="preserve"> </w:t>
      </w:r>
      <w:r w:rsidR="00061049" w:rsidRPr="009B2815">
        <w:rPr>
          <w:sz w:val="26"/>
          <w:szCs w:val="26"/>
        </w:rPr>
        <w:t xml:space="preserve">790 RVU </w:t>
      </w:r>
      <w:r w:rsidR="00061049">
        <w:rPr>
          <w:rFonts w:hint="eastAsia"/>
          <w:sz w:val="26"/>
          <w:szCs w:val="26"/>
        </w:rPr>
        <w:t xml:space="preserve">for the </w:t>
      </w:r>
      <w:r w:rsidRPr="009B2815">
        <w:rPr>
          <w:sz w:val="26"/>
          <w:szCs w:val="26"/>
        </w:rPr>
        <w:t>30–44</w:t>
      </w:r>
      <w:r w:rsidR="00061049">
        <w:rPr>
          <w:rFonts w:hint="eastAsia"/>
          <w:sz w:val="26"/>
          <w:szCs w:val="26"/>
        </w:rPr>
        <w:t xml:space="preserve"> group, </w:t>
      </w:r>
      <w:r w:rsidR="00061049" w:rsidRPr="009B2815">
        <w:rPr>
          <w:sz w:val="26"/>
          <w:szCs w:val="26"/>
        </w:rPr>
        <w:t xml:space="preserve">1,114 RVU </w:t>
      </w:r>
      <w:r w:rsidR="00061049">
        <w:rPr>
          <w:rFonts w:hint="eastAsia"/>
          <w:sz w:val="26"/>
          <w:szCs w:val="26"/>
        </w:rPr>
        <w:t xml:space="preserve">for the </w:t>
      </w:r>
      <w:r w:rsidRPr="009B2815">
        <w:rPr>
          <w:sz w:val="26"/>
          <w:szCs w:val="26"/>
        </w:rPr>
        <w:t xml:space="preserve">45–64 </w:t>
      </w:r>
      <w:proofErr w:type="gramStart"/>
      <w:r w:rsidR="00061049">
        <w:rPr>
          <w:rFonts w:hint="eastAsia"/>
          <w:sz w:val="26"/>
          <w:szCs w:val="26"/>
        </w:rPr>
        <w:t>group</w:t>
      </w:r>
      <w:proofErr w:type="gramEnd"/>
      <w:r w:rsidR="00061049" w:rsidRPr="009B2815">
        <w:rPr>
          <w:sz w:val="26"/>
          <w:szCs w:val="26"/>
        </w:rPr>
        <w:t xml:space="preserve"> </w:t>
      </w:r>
      <w:r w:rsidRPr="009B2815">
        <w:rPr>
          <w:sz w:val="26"/>
          <w:szCs w:val="26"/>
        </w:rPr>
        <w:t xml:space="preserve">and </w:t>
      </w:r>
      <w:r w:rsidR="00061049" w:rsidRPr="009B2815">
        <w:rPr>
          <w:sz w:val="26"/>
          <w:szCs w:val="26"/>
        </w:rPr>
        <w:t xml:space="preserve">1,331 RVU </w:t>
      </w:r>
      <w:r w:rsidR="00061049">
        <w:rPr>
          <w:rFonts w:hint="eastAsia"/>
          <w:sz w:val="26"/>
          <w:szCs w:val="26"/>
        </w:rPr>
        <w:t xml:space="preserve">for the </w:t>
      </w:r>
      <w:r w:rsidRPr="009B2815">
        <w:rPr>
          <w:sz w:val="26"/>
          <w:szCs w:val="26"/>
        </w:rPr>
        <w:t>65 and above</w:t>
      </w:r>
      <w:r w:rsidR="00061049">
        <w:rPr>
          <w:rFonts w:hint="eastAsia"/>
          <w:sz w:val="26"/>
          <w:szCs w:val="26"/>
        </w:rPr>
        <w:t xml:space="preserve"> group</w:t>
      </w:r>
      <w:r w:rsidRPr="009B2815">
        <w:rPr>
          <w:sz w:val="26"/>
          <w:szCs w:val="26"/>
        </w:rPr>
        <w:t>.</w:t>
      </w:r>
    </w:p>
    <w:p w:rsidR="003F11ED" w:rsidRPr="00947656" w:rsidRDefault="00C77D1A" w:rsidP="00C4581C">
      <w:pPr>
        <w:pStyle w:val="a5"/>
        <w:spacing w:line="400" w:lineRule="atLeast"/>
        <w:ind w:leftChars="177" w:left="425"/>
        <w:jc w:val="center"/>
        <w:rPr>
          <w:rFonts w:eastAsia="標楷體"/>
          <w:sz w:val="26"/>
        </w:rPr>
      </w:pPr>
      <w:r w:rsidRPr="00C77D1A">
        <w:rPr>
          <w:rFonts w:eastAsia="標楷體"/>
          <w:noProof/>
          <w:sz w:val="26"/>
        </w:rPr>
        <w:drawing>
          <wp:inline distT="0" distB="0" distL="0" distR="0">
            <wp:extent cx="4914900" cy="3009900"/>
            <wp:effectExtent l="0" t="0" r="0" b="0"/>
            <wp:docPr id="12" name="圖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E2D2F" w:rsidRPr="00947656" w:rsidRDefault="00286007" w:rsidP="006603F5">
      <w:pPr>
        <w:pStyle w:val="a5"/>
        <w:spacing w:after="120"/>
        <w:ind w:leftChars="118" w:left="564" w:hangingChars="108" w:hanging="281"/>
        <w:jc w:val="both"/>
        <w:rPr>
          <w:rFonts w:eastAsia="標楷體"/>
          <w:sz w:val="26"/>
          <w:szCs w:val="26"/>
        </w:rPr>
      </w:pPr>
      <w:proofErr w:type="gramStart"/>
      <w:r w:rsidRPr="00947656">
        <w:rPr>
          <w:rFonts w:eastAsia="標楷體"/>
          <w:b/>
          <w:sz w:val="26"/>
        </w:rPr>
        <w:lastRenderedPageBreak/>
        <w:t>e</w:t>
      </w:r>
      <w:proofErr w:type="gramEnd"/>
      <w:r w:rsidR="000E2D2F" w:rsidRPr="00947656">
        <w:rPr>
          <w:rFonts w:eastAsia="標楷體"/>
          <w:b/>
          <w:sz w:val="26"/>
        </w:rPr>
        <w:t>.</w:t>
      </w:r>
      <w:r w:rsidR="00A75ED0" w:rsidRPr="00A75ED0">
        <w:rPr>
          <w:b/>
          <w:bCs/>
          <w:sz w:val="26"/>
          <w:szCs w:val="26"/>
        </w:rPr>
        <w:t xml:space="preserve"> </w:t>
      </w:r>
      <w:r w:rsidR="00A75ED0" w:rsidRPr="009B2815">
        <w:rPr>
          <w:b/>
          <w:bCs/>
          <w:sz w:val="26"/>
          <w:szCs w:val="26"/>
        </w:rPr>
        <w:t>In terms of the average RVU per case, males had a higher amount than females in all locales.</w:t>
      </w:r>
    </w:p>
    <w:p w:rsidR="00A75ED0" w:rsidRPr="009B2815" w:rsidRDefault="00A75ED0" w:rsidP="00A04FDD">
      <w:pPr>
        <w:pStyle w:val="1"/>
        <w:spacing w:after="120" w:line="440" w:lineRule="atLeast"/>
        <w:ind w:leftChars="236" w:left="566" w:firstLineChars="218" w:firstLine="567"/>
        <w:jc w:val="both"/>
        <w:rPr>
          <w:sz w:val="26"/>
          <w:szCs w:val="26"/>
        </w:rPr>
      </w:pPr>
      <w:r w:rsidRPr="009B2815">
        <w:rPr>
          <w:sz w:val="26"/>
          <w:szCs w:val="26"/>
        </w:rPr>
        <w:t>In 2011, the total outpatient claims filed in Taipei City amounted for 6</w:t>
      </w:r>
      <w:r w:rsidR="00E54D89">
        <w:rPr>
          <w:rFonts w:hint="eastAsia"/>
          <w:sz w:val="26"/>
          <w:szCs w:val="26"/>
        </w:rPr>
        <w:t>4</w:t>
      </w:r>
      <w:r w:rsidRPr="009B2815">
        <w:rPr>
          <w:sz w:val="26"/>
          <w:szCs w:val="26"/>
        </w:rPr>
        <w:t xml:space="preserve"> billion RVU</w:t>
      </w:r>
      <w:r w:rsidR="00AF4DC1">
        <w:rPr>
          <w:rFonts w:hint="eastAsia"/>
          <w:sz w:val="26"/>
          <w:szCs w:val="26"/>
        </w:rPr>
        <w:t xml:space="preserve"> </w:t>
      </w:r>
      <w:r w:rsidR="006409C2">
        <w:rPr>
          <w:rFonts w:hint="eastAsia"/>
          <w:sz w:val="26"/>
          <w:szCs w:val="26"/>
        </w:rPr>
        <w:t>(</w:t>
      </w:r>
      <w:r w:rsidR="00AF4DC1">
        <w:rPr>
          <w:rFonts w:hint="eastAsia"/>
          <w:sz w:val="26"/>
          <w:szCs w:val="26"/>
        </w:rPr>
        <w:t>17.9%</w:t>
      </w:r>
      <w:r w:rsidR="006409C2">
        <w:rPr>
          <w:rFonts w:hint="eastAsia"/>
          <w:sz w:val="26"/>
          <w:szCs w:val="26"/>
        </w:rPr>
        <w:t>)</w:t>
      </w:r>
      <w:r w:rsidRPr="009B2815">
        <w:rPr>
          <w:sz w:val="26"/>
          <w:szCs w:val="26"/>
        </w:rPr>
        <w:t>, being the highest of all</w:t>
      </w:r>
      <w:r w:rsidR="00AF4DC1">
        <w:rPr>
          <w:rFonts w:hint="eastAsia"/>
          <w:sz w:val="26"/>
          <w:szCs w:val="26"/>
        </w:rPr>
        <w:t>,</w:t>
      </w:r>
      <w:r w:rsidRPr="009B2815">
        <w:rPr>
          <w:sz w:val="26"/>
          <w:szCs w:val="26"/>
        </w:rPr>
        <w:t xml:space="preserve"> </w:t>
      </w:r>
      <w:r w:rsidR="00AF4DC1">
        <w:rPr>
          <w:rFonts w:hint="eastAsia"/>
          <w:sz w:val="26"/>
          <w:szCs w:val="26"/>
        </w:rPr>
        <w:t xml:space="preserve">followed by </w:t>
      </w:r>
      <w:r w:rsidRPr="009B2815">
        <w:rPr>
          <w:sz w:val="26"/>
          <w:szCs w:val="26"/>
        </w:rPr>
        <w:t xml:space="preserve">Taichung City </w:t>
      </w:r>
      <w:r w:rsidR="00AF4DC1">
        <w:rPr>
          <w:rFonts w:hint="eastAsia"/>
          <w:sz w:val="26"/>
          <w:szCs w:val="26"/>
        </w:rPr>
        <w:t>at</w:t>
      </w:r>
      <w:r w:rsidRPr="009B2815">
        <w:rPr>
          <w:sz w:val="26"/>
          <w:szCs w:val="26"/>
        </w:rPr>
        <w:t xml:space="preserve"> 46 billion RVU </w:t>
      </w:r>
      <w:r w:rsidR="006409C2">
        <w:rPr>
          <w:rFonts w:hint="eastAsia"/>
          <w:sz w:val="26"/>
          <w:szCs w:val="26"/>
        </w:rPr>
        <w:t>(</w:t>
      </w:r>
      <w:r w:rsidRPr="009B2815">
        <w:rPr>
          <w:sz w:val="26"/>
          <w:szCs w:val="26"/>
        </w:rPr>
        <w:t>13.0%</w:t>
      </w:r>
      <w:r w:rsidR="006409C2">
        <w:rPr>
          <w:rFonts w:hint="eastAsia"/>
          <w:sz w:val="26"/>
          <w:szCs w:val="26"/>
        </w:rPr>
        <w:t>)</w:t>
      </w:r>
      <w:r w:rsidRPr="009B2815">
        <w:rPr>
          <w:sz w:val="26"/>
          <w:szCs w:val="26"/>
        </w:rPr>
        <w:t>, Kaohsiung City</w:t>
      </w:r>
      <w:r w:rsidR="00AF4DC1">
        <w:rPr>
          <w:rFonts w:hint="eastAsia"/>
          <w:sz w:val="26"/>
          <w:szCs w:val="26"/>
        </w:rPr>
        <w:t xml:space="preserve"> at</w:t>
      </w:r>
      <w:r w:rsidRPr="009B2815">
        <w:rPr>
          <w:sz w:val="26"/>
          <w:szCs w:val="26"/>
        </w:rPr>
        <w:t xml:space="preserve"> 45 billion RVU </w:t>
      </w:r>
      <w:r w:rsidR="006409C2">
        <w:rPr>
          <w:rFonts w:hint="eastAsia"/>
          <w:sz w:val="26"/>
          <w:szCs w:val="26"/>
        </w:rPr>
        <w:t>(</w:t>
      </w:r>
      <w:r w:rsidRPr="009B2815">
        <w:rPr>
          <w:sz w:val="26"/>
          <w:szCs w:val="26"/>
        </w:rPr>
        <w:t>12.7%</w:t>
      </w:r>
      <w:r w:rsidR="006409C2">
        <w:rPr>
          <w:rFonts w:hint="eastAsia"/>
          <w:sz w:val="26"/>
          <w:szCs w:val="26"/>
        </w:rPr>
        <w:t>)</w:t>
      </w:r>
      <w:r w:rsidR="00AF4DC1">
        <w:rPr>
          <w:rFonts w:hint="eastAsia"/>
          <w:sz w:val="26"/>
          <w:szCs w:val="26"/>
        </w:rPr>
        <w:t xml:space="preserve"> and th</w:t>
      </w:r>
      <w:r w:rsidRPr="009B2815">
        <w:rPr>
          <w:sz w:val="26"/>
          <w:szCs w:val="26"/>
        </w:rPr>
        <w:t>e New Taipei City a</w:t>
      </w:r>
      <w:r w:rsidR="005820A2">
        <w:rPr>
          <w:rFonts w:hint="eastAsia"/>
          <w:sz w:val="26"/>
          <w:szCs w:val="26"/>
        </w:rPr>
        <w:t>t</w:t>
      </w:r>
      <w:r w:rsidRPr="009B2815">
        <w:rPr>
          <w:sz w:val="26"/>
          <w:szCs w:val="26"/>
        </w:rPr>
        <w:t xml:space="preserve"> 4</w:t>
      </w:r>
      <w:r w:rsidR="00E54D89">
        <w:rPr>
          <w:rFonts w:hint="eastAsia"/>
          <w:sz w:val="26"/>
          <w:szCs w:val="26"/>
        </w:rPr>
        <w:t>3</w:t>
      </w:r>
      <w:r w:rsidRPr="009B2815">
        <w:rPr>
          <w:sz w:val="26"/>
          <w:szCs w:val="26"/>
        </w:rPr>
        <w:t xml:space="preserve"> billion RVU </w:t>
      </w:r>
      <w:r w:rsidR="006409C2">
        <w:rPr>
          <w:rFonts w:hint="eastAsia"/>
          <w:sz w:val="26"/>
          <w:szCs w:val="26"/>
        </w:rPr>
        <w:t>(</w:t>
      </w:r>
      <w:r w:rsidRPr="009B2815">
        <w:rPr>
          <w:sz w:val="26"/>
          <w:szCs w:val="26"/>
        </w:rPr>
        <w:t>11.9%</w:t>
      </w:r>
      <w:r w:rsidR="006409C2">
        <w:rPr>
          <w:rFonts w:hint="eastAsia"/>
          <w:sz w:val="26"/>
          <w:szCs w:val="26"/>
        </w:rPr>
        <w:t>)</w:t>
      </w:r>
      <w:r w:rsidRPr="009B2815">
        <w:rPr>
          <w:sz w:val="26"/>
          <w:szCs w:val="26"/>
        </w:rPr>
        <w:t xml:space="preserve">. The total medical benefits claimed by the five municipalities and the </w:t>
      </w:r>
      <w:r w:rsidR="001F6C61" w:rsidRPr="009B2815">
        <w:rPr>
          <w:sz w:val="26"/>
          <w:szCs w:val="26"/>
        </w:rPr>
        <w:t>quasi-special municipality</w:t>
      </w:r>
      <w:r w:rsidR="001F6C61">
        <w:rPr>
          <w:rFonts w:hint="eastAsia"/>
          <w:sz w:val="26"/>
          <w:szCs w:val="26"/>
        </w:rPr>
        <w:t>,</w:t>
      </w:r>
      <w:r w:rsidR="001F6C61" w:rsidRPr="009B2815">
        <w:rPr>
          <w:sz w:val="26"/>
          <w:szCs w:val="26"/>
        </w:rPr>
        <w:t xml:space="preserve"> </w:t>
      </w:r>
      <w:proofErr w:type="spellStart"/>
      <w:r w:rsidRPr="009B2815">
        <w:rPr>
          <w:sz w:val="26"/>
          <w:szCs w:val="26"/>
        </w:rPr>
        <w:t>Taoyuan</w:t>
      </w:r>
      <w:proofErr w:type="spellEnd"/>
      <w:r w:rsidRPr="009B2815">
        <w:rPr>
          <w:sz w:val="26"/>
          <w:szCs w:val="26"/>
        </w:rPr>
        <w:t xml:space="preserve"> County, accounted for more than 70% of all the benefit claimed. </w:t>
      </w:r>
    </w:p>
    <w:p w:rsidR="00A75ED0" w:rsidRPr="009B2815" w:rsidRDefault="00A75ED0" w:rsidP="00A04FDD">
      <w:pPr>
        <w:pStyle w:val="1"/>
        <w:spacing w:after="120" w:line="440" w:lineRule="atLeast"/>
        <w:ind w:leftChars="236" w:left="566" w:firstLineChars="218" w:firstLine="567"/>
        <w:jc w:val="both"/>
        <w:rPr>
          <w:sz w:val="26"/>
          <w:szCs w:val="26"/>
        </w:rPr>
      </w:pPr>
      <w:r w:rsidRPr="009B2815">
        <w:rPr>
          <w:sz w:val="26"/>
          <w:szCs w:val="26"/>
        </w:rPr>
        <w:t xml:space="preserve">Analyzed by gender, females claimed a higher amount of outpatient benefits than males. </w:t>
      </w:r>
      <w:proofErr w:type="spellStart"/>
      <w:r w:rsidRPr="009B2815">
        <w:rPr>
          <w:sz w:val="26"/>
          <w:szCs w:val="26"/>
        </w:rPr>
        <w:t>Chiayi</w:t>
      </w:r>
      <w:proofErr w:type="spellEnd"/>
      <w:r w:rsidRPr="009B2815">
        <w:rPr>
          <w:sz w:val="26"/>
          <w:szCs w:val="26"/>
        </w:rPr>
        <w:t xml:space="preserve"> and </w:t>
      </w:r>
      <w:proofErr w:type="spellStart"/>
      <w:r w:rsidRPr="009B2815">
        <w:rPr>
          <w:sz w:val="26"/>
          <w:szCs w:val="26"/>
        </w:rPr>
        <w:t>Kinmen</w:t>
      </w:r>
      <w:proofErr w:type="spellEnd"/>
      <w:r w:rsidRPr="009B2815">
        <w:rPr>
          <w:sz w:val="26"/>
          <w:szCs w:val="26"/>
        </w:rPr>
        <w:t xml:space="preserve"> counties were the only two locales where males claimed a higher RVU than females. In terms of the average RVU per case, males had a higher amount than females in all locales.</w:t>
      </w:r>
    </w:p>
    <w:p w:rsidR="000E2D2F" w:rsidRPr="00947656" w:rsidRDefault="00A75ED0" w:rsidP="00A04FDD">
      <w:pPr>
        <w:pStyle w:val="a5"/>
        <w:spacing w:after="120" w:line="420" w:lineRule="atLeast"/>
        <w:ind w:leftChars="236" w:left="566" w:firstLineChars="218" w:firstLine="567"/>
        <w:jc w:val="both"/>
        <w:rPr>
          <w:rFonts w:eastAsia="標楷體"/>
          <w:sz w:val="26"/>
          <w:szCs w:val="26"/>
        </w:rPr>
      </w:pPr>
      <w:r w:rsidRPr="009B2815">
        <w:rPr>
          <w:sz w:val="26"/>
          <w:szCs w:val="26"/>
        </w:rPr>
        <w:t xml:space="preserve">In terms of age group, the group of 65 and above accounted for the largest proportion of outpatient claims in </w:t>
      </w:r>
      <w:proofErr w:type="spellStart"/>
      <w:r w:rsidRPr="009B2815">
        <w:rPr>
          <w:sz w:val="26"/>
          <w:szCs w:val="26"/>
        </w:rPr>
        <w:t>Ilan</w:t>
      </w:r>
      <w:proofErr w:type="spellEnd"/>
      <w:r w:rsidRPr="009B2815">
        <w:rPr>
          <w:sz w:val="26"/>
          <w:szCs w:val="26"/>
        </w:rPr>
        <w:t xml:space="preserve">, </w:t>
      </w:r>
      <w:proofErr w:type="spellStart"/>
      <w:r w:rsidRPr="009B2815">
        <w:rPr>
          <w:sz w:val="26"/>
          <w:szCs w:val="26"/>
        </w:rPr>
        <w:t>Miaoli</w:t>
      </w:r>
      <w:proofErr w:type="spellEnd"/>
      <w:r w:rsidRPr="009B2815">
        <w:rPr>
          <w:sz w:val="26"/>
          <w:szCs w:val="26"/>
        </w:rPr>
        <w:t xml:space="preserve">, </w:t>
      </w:r>
      <w:proofErr w:type="spellStart"/>
      <w:r w:rsidRPr="009B2815">
        <w:rPr>
          <w:sz w:val="26"/>
          <w:szCs w:val="26"/>
        </w:rPr>
        <w:t>Nantou</w:t>
      </w:r>
      <w:proofErr w:type="spellEnd"/>
      <w:r w:rsidRPr="009B2815">
        <w:rPr>
          <w:sz w:val="26"/>
          <w:szCs w:val="26"/>
        </w:rPr>
        <w:t xml:space="preserve">, </w:t>
      </w:r>
      <w:proofErr w:type="spellStart"/>
      <w:r w:rsidRPr="009B2815">
        <w:rPr>
          <w:sz w:val="26"/>
          <w:szCs w:val="26"/>
        </w:rPr>
        <w:t>Yunlin</w:t>
      </w:r>
      <w:proofErr w:type="spellEnd"/>
      <w:r w:rsidRPr="009B2815">
        <w:rPr>
          <w:sz w:val="26"/>
          <w:szCs w:val="26"/>
        </w:rPr>
        <w:t xml:space="preserve"> and </w:t>
      </w:r>
      <w:proofErr w:type="spellStart"/>
      <w:r w:rsidRPr="009B2815">
        <w:rPr>
          <w:sz w:val="26"/>
          <w:szCs w:val="26"/>
        </w:rPr>
        <w:t>Chiayi</w:t>
      </w:r>
      <w:proofErr w:type="spellEnd"/>
      <w:r w:rsidRPr="009B2815">
        <w:rPr>
          <w:sz w:val="26"/>
          <w:szCs w:val="26"/>
        </w:rPr>
        <w:t xml:space="preserve"> counties. In other locales, it was the group of 45–64 that had the highest claim amount.</w:t>
      </w:r>
    </w:p>
    <w:p w:rsidR="000E2D2F" w:rsidRPr="00947656" w:rsidRDefault="00D1000D" w:rsidP="00DB3997">
      <w:pPr>
        <w:pStyle w:val="a5"/>
        <w:spacing w:after="120" w:line="400" w:lineRule="atLeast"/>
        <w:ind w:leftChars="413" w:left="991" w:firstLine="1"/>
        <w:jc w:val="center"/>
        <w:rPr>
          <w:rFonts w:eastAsia="標楷體"/>
          <w:color w:val="000000" w:themeColor="text1"/>
          <w:sz w:val="26"/>
        </w:rPr>
      </w:pPr>
      <w:r w:rsidRPr="00D1000D">
        <w:rPr>
          <w:rFonts w:eastAsia="標楷體"/>
          <w:noProof/>
          <w:color w:val="000000" w:themeColor="text1"/>
          <w:sz w:val="26"/>
        </w:rPr>
        <w:drawing>
          <wp:inline distT="0" distB="0" distL="0" distR="0">
            <wp:extent cx="5490210" cy="4236720"/>
            <wp:effectExtent l="19050" t="0" r="0" b="0"/>
            <wp:docPr id="29" name="圖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072F88" w:rsidRPr="00947656" w:rsidRDefault="00F27BAE" w:rsidP="00072F88">
      <w:pPr>
        <w:pStyle w:val="a5"/>
        <w:spacing w:after="120"/>
        <w:ind w:leftChars="60" w:left="144"/>
        <w:jc w:val="both"/>
        <w:rPr>
          <w:rFonts w:eastAsia="標楷體"/>
          <w:b/>
          <w:sz w:val="26"/>
        </w:rPr>
      </w:pPr>
      <w:r>
        <w:rPr>
          <w:rFonts w:eastAsia="標楷體" w:hint="eastAsia"/>
          <w:b/>
          <w:sz w:val="26"/>
        </w:rPr>
        <w:lastRenderedPageBreak/>
        <w:t>ii. Inpatient Service</w:t>
      </w:r>
    </w:p>
    <w:p w:rsidR="00A768B6" w:rsidRPr="00947656" w:rsidRDefault="00A75ED0" w:rsidP="009A6377">
      <w:pPr>
        <w:pStyle w:val="a5"/>
        <w:spacing w:after="120"/>
        <w:ind w:leftChars="118" w:left="283" w:firstLineChars="200" w:firstLine="520"/>
        <w:jc w:val="both"/>
        <w:rPr>
          <w:rFonts w:eastAsia="標楷體"/>
          <w:color w:val="000000" w:themeColor="text1"/>
          <w:sz w:val="26"/>
        </w:rPr>
      </w:pPr>
      <w:r w:rsidRPr="009B2815">
        <w:rPr>
          <w:color w:val="000000"/>
          <w:sz w:val="26"/>
          <w:szCs w:val="26"/>
        </w:rPr>
        <w:t xml:space="preserve">A total of 3 million of inpatient claims were filed in 2011, an increase of 16.4% from 2001. The average annual </w:t>
      </w:r>
      <w:r w:rsidR="00625BE5">
        <w:rPr>
          <w:rFonts w:hint="eastAsia"/>
          <w:color w:val="000000"/>
          <w:sz w:val="26"/>
          <w:szCs w:val="26"/>
        </w:rPr>
        <w:t>increase</w:t>
      </w:r>
      <w:r w:rsidRPr="009B2815">
        <w:rPr>
          <w:color w:val="000000"/>
          <w:sz w:val="26"/>
          <w:szCs w:val="26"/>
        </w:rPr>
        <w:t xml:space="preserve"> in the most recent decade was 1.5%. The total benefit claims were 1</w:t>
      </w:r>
      <w:r w:rsidR="00072170">
        <w:rPr>
          <w:rFonts w:hint="eastAsia"/>
          <w:color w:val="000000"/>
          <w:sz w:val="26"/>
          <w:szCs w:val="26"/>
        </w:rPr>
        <w:t>70</w:t>
      </w:r>
      <w:r w:rsidRPr="009B2815">
        <w:rPr>
          <w:color w:val="000000"/>
          <w:sz w:val="26"/>
          <w:szCs w:val="26"/>
        </w:rPr>
        <w:t xml:space="preserve"> billion RVU, a 62.3% </w:t>
      </w:r>
      <w:r w:rsidR="00E86943">
        <w:rPr>
          <w:rFonts w:hint="eastAsia"/>
          <w:color w:val="000000"/>
          <w:sz w:val="26"/>
          <w:szCs w:val="26"/>
        </w:rPr>
        <w:t>increase</w:t>
      </w:r>
      <w:r w:rsidRPr="009B2815">
        <w:rPr>
          <w:color w:val="000000"/>
          <w:sz w:val="26"/>
          <w:szCs w:val="26"/>
        </w:rPr>
        <w:t xml:space="preserve"> from 2001. The average annual </w:t>
      </w:r>
      <w:r w:rsidR="00E86943">
        <w:rPr>
          <w:rFonts w:hint="eastAsia"/>
          <w:color w:val="000000"/>
          <w:sz w:val="26"/>
          <w:szCs w:val="26"/>
        </w:rPr>
        <w:t xml:space="preserve">increase </w:t>
      </w:r>
      <w:r w:rsidRPr="009B2815">
        <w:rPr>
          <w:color w:val="000000"/>
          <w:sz w:val="26"/>
          <w:szCs w:val="26"/>
        </w:rPr>
        <w:t>in the most recent decade was 5</w:t>
      </w:r>
      <w:r w:rsidR="00625BE5">
        <w:rPr>
          <w:rFonts w:hint="eastAsia"/>
          <w:color w:val="000000"/>
          <w:sz w:val="26"/>
          <w:szCs w:val="26"/>
        </w:rPr>
        <w:t>.0</w:t>
      </w:r>
      <w:r w:rsidRPr="009B2815">
        <w:rPr>
          <w:color w:val="000000"/>
          <w:sz w:val="26"/>
          <w:szCs w:val="26"/>
        </w:rPr>
        <w:t xml:space="preserve">%. The average </w:t>
      </w:r>
      <w:r w:rsidR="00E86943">
        <w:rPr>
          <w:rFonts w:hint="eastAsia"/>
          <w:color w:val="000000"/>
          <w:sz w:val="26"/>
          <w:szCs w:val="26"/>
        </w:rPr>
        <w:t xml:space="preserve">points </w:t>
      </w:r>
      <w:r w:rsidRPr="009B2815">
        <w:rPr>
          <w:color w:val="000000"/>
          <w:sz w:val="26"/>
          <w:szCs w:val="26"/>
        </w:rPr>
        <w:t>per case w</w:t>
      </w:r>
      <w:r w:rsidR="00625BE5">
        <w:rPr>
          <w:rFonts w:hint="eastAsia"/>
          <w:color w:val="000000"/>
          <w:sz w:val="26"/>
          <w:szCs w:val="26"/>
        </w:rPr>
        <w:t>ere</w:t>
      </w:r>
      <w:r w:rsidRPr="009B2815">
        <w:rPr>
          <w:color w:val="000000"/>
          <w:sz w:val="26"/>
          <w:szCs w:val="26"/>
        </w:rPr>
        <w:t xml:space="preserve"> 51,809</w:t>
      </w:r>
      <w:r w:rsidR="00E86943">
        <w:rPr>
          <w:rFonts w:hint="eastAsia"/>
          <w:color w:val="000000"/>
          <w:sz w:val="26"/>
          <w:szCs w:val="26"/>
        </w:rPr>
        <w:t xml:space="preserve"> </w:t>
      </w:r>
      <w:r w:rsidR="00E86943" w:rsidRPr="009B2815">
        <w:rPr>
          <w:color w:val="000000"/>
          <w:sz w:val="26"/>
          <w:szCs w:val="26"/>
        </w:rPr>
        <w:t>RVU</w:t>
      </w:r>
      <w:r w:rsidRPr="009B2815">
        <w:rPr>
          <w:color w:val="000000"/>
          <w:sz w:val="26"/>
          <w:szCs w:val="26"/>
        </w:rPr>
        <w:t>.</w:t>
      </w:r>
    </w:p>
    <w:p w:rsidR="006F4083" w:rsidRPr="00947656" w:rsidRDefault="00072F88" w:rsidP="009A6377">
      <w:pPr>
        <w:pStyle w:val="a5"/>
        <w:spacing w:after="120"/>
        <w:ind w:leftChars="119" w:left="624" w:hangingChars="130" w:hanging="338"/>
        <w:jc w:val="both"/>
        <w:rPr>
          <w:rFonts w:eastAsia="標楷體"/>
          <w:b/>
          <w:sz w:val="26"/>
          <w:szCs w:val="26"/>
        </w:rPr>
      </w:pPr>
      <w:r w:rsidRPr="00947656">
        <w:rPr>
          <w:rFonts w:eastAsia="標楷體"/>
          <w:b/>
          <w:sz w:val="26"/>
          <w:szCs w:val="26"/>
        </w:rPr>
        <w:t>a</w:t>
      </w:r>
      <w:r w:rsidR="001F705B" w:rsidRPr="00947656">
        <w:rPr>
          <w:rFonts w:eastAsia="標楷體"/>
          <w:b/>
          <w:sz w:val="26"/>
          <w:szCs w:val="26"/>
        </w:rPr>
        <w:t>.</w:t>
      </w:r>
      <w:r w:rsidR="00A75ED0" w:rsidRPr="00A75ED0">
        <w:rPr>
          <w:b/>
          <w:bCs/>
          <w:sz w:val="26"/>
          <w:szCs w:val="26"/>
        </w:rPr>
        <w:t xml:space="preserve"> </w:t>
      </w:r>
      <w:r w:rsidR="00A75ED0" w:rsidRPr="009B2815">
        <w:rPr>
          <w:b/>
          <w:bCs/>
          <w:sz w:val="26"/>
          <w:szCs w:val="26"/>
        </w:rPr>
        <w:t>Academic medical centers showed the highest average RVU per case.</w:t>
      </w:r>
    </w:p>
    <w:p w:rsidR="00A75ED0" w:rsidRPr="009B2815" w:rsidRDefault="00A75ED0" w:rsidP="00FC5BFE">
      <w:pPr>
        <w:pStyle w:val="1"/>
        <w:spacing w:after="120"/>
        <w:ind w:leftChars="236" w:left="566" w:firstLineChars="218" w:firstLine="567"/>
        <w:jc w:val="both"/>
        <w:rPr>
          <w:sz w:val="26"/>
          <w:szCs w:val="26"/>
        </w:rPr>
      </w:pPr>
      <w:r w:rsidRPr="009B2815">
        <w:rPr>
          <w:sz w:val="26"/>
          <w:szCs w:val="26"/>
        </w:rPr>
        <w:t>Broken down by the contracted category, academic medical centers claimed 72 billion RVU (42.4%) for inpatient services rendered in 2011; metropolitan hospitals 6</w:t>
      </w:r>
      <w:r w:rsidR="00200E17">
        <w:rPr>
          <w:rFonts w:hint="eastAsia"/>
          <w:sz w:val="26"/>
          <w:szCs w:val="26"/>
        </w:rPr>
        <w:t>8</w:t>
      </w:r>
      <w:r w:rsidRPr="009B2815">
        <w:rPr>
          <w:sz w:val="26"/>
          <w:szCs w:val="26"/>
        </w:rPr>
        <w:t xml:space="preserve"> billion RVU (39.8%), local community hospitals 2</w:t>
      </w:r>
      <w:r w:rsidR="00200E17">
        <w:rPr>
          <w:rFonts w:hint="eastAsia"/>
          <w:sz w:val="26"/>
          <w:szCs w:val="26"/>
        </w:rPr>
        <w:t>9</w:t>
      </w:r>
      <w:r w:rsidRPr="009B2815">
        <w:rPr>
          <w:sz w:val="26"/>
          <w:szCs w:val="26"/>
        </w:rPr>
        <w:t xml:space="preserve"> billion RVU (16.8%) and physician clinics </w:t>
      </w:r>
      <w:r w:rsidR="00200E17">
        <w:rPr>
          <w:rFonts w:hint="eastAsia"/>
          <w:sz w:val="26"/>
          <w:szCs w:val="26"/>
        </w:rPr>
        <w:t>2</w:t>
      </w:r>
      <w:r w:rsidRPr="009B2815">
        <w:rPr>
          <w:sz w:val="26"/>
          <w:szCs w:val="26"/>
        </w:rPr>
        <w:t xml:space="preserve"> billion RVU (1.0%) </w:t>
      </w:r>
    </w:p>
    <w:p w:rsidR="009B187F" w:rsidRPr="00947656" w:rsidRDefault="00A75ED0" w:rsidP="00FC5BFE">
      <w:pPr>
        <w:tabs>
          <w:tab w:val="left" w:pos="567"/>
        </w:tabs>
        <w:spacing w:after="120"/>
        <w:ind w:leftChars="236" w:left="566" w:firstLineChars="218" w:firstLine="567"/>
        <w:jc w:val="both"/>
        <w:rPr>
          <w:rFonts w:eastAsia="標楷體"/>
          <w:sz w:val="26"/>
          <w:szCs w:val="26"/>
        </w:rPr>
      </w:pPr>
      <w:r w:rsidRPr="009B2815">
        <w:rPr>
          <w:sz w:val="26"/>
          <w:szCs w:val="26"/>
        </w:rPr>
        <w:t xml:space="preserve">With regard to the average RVU per inpatient case, the highest claim was seen from academic medical centers </w:t>
      </w:r>
      <w:r w:rsidR="00F9692C">
        <w:rPr>
          <w:rFonts w:hint="eastAsia"/>
          <w:sz w:val="26"/>
          <w:szCs w:val="26"/>
        </w:rPr>
        <w:t>at</w:t>
      </w:r>
      <w:r w:rsidRPr="009B2815">
        <w:rPr>
          <w:sz w:val="26"/>
          <w:szCs w:val="26"/>
        </w:rPr>
        <w:t xml:space="preserve"> 67,955 RVU</w:t>
      </w:r>
      <w:r w:rsidR="00F9692C">
        <w:rPr>
          <w:rFonts w:hint="eastAsia"/>
          <w:sz w:val="26"/>
          <w:szCs w:val="26"/>
        </w:rPr>
        <w:t>,</w:t>
      </w:r>
      <w:r w:rsidRPr="009B2815">
        <w:rPr>
          <w:sz w:val="26"/>
          <w:szCs w:val="26"/>
        </w:rPr>
        <w:t xml:space="preserve"> followed by metropolitan hospitals </w:t>
      </w:r>
      <w:r w:rsidR="00EF7190">
        <w:rPr>
          <w:rFonts w:hint="eastAsia"/>
          <w:sz w:val="26"/>
          <w:szCs w:val="26"/>
        </w:rPr>
        <w:t xml:space="preserve">at </w:t>
      </w:r>
      <w:r w:rsidRPr="009B2815">
        <w:rPr>
          <w:sz w:val="26"/>
          <w:szCs w:val="26"/>
        </w:rPr>
        <w:t>45,038 RVU, local community hospitals</w:t>
      </w:r>
      <w:r w:rsidR="00EF7190">
        <w:rPr>
          <w:rFonts w:hint="eastAsia"/>
          <w:sz w:val="26"/>
          <w:szCs w:val="26"/>
        </w:rPr>
        <w:t xml:space="preserve"> at </w:t>
      </w:r>
      <w:r w:rsidRPr="009B2815">
        <w:rPr>
          <w:sz w:val="26"/>
          <w:szCs w:val="26"/>
        </w:rPr>
        <w:t xml:space="preserve">43,383 RVU and physician clinics </w:t>
      </w:r>
      <w:r w:rsidR="00EF7190">
        <w:rPr>
          <w:rFonts w:hint="eastAsia"/>
          <w:sz w:val="26"/>
          <w:szCs w:val="26"/>
        </w:rPr>
        <w:t xml:space="preserve">at </w:t>
      </w:r>
      <w:r w:rsidRPr="009B2815">
        <w:rPr>
          <w:sz w:val="26"/>
          <w:szCs w:val="26"/>
        </w:rPr>
        <w:t>28,618 RVU.</w:t>
      </w:r>
    </w:p>
    <w:p w:rsidR="001D6E50" w:rsidRPr="00947656" w:rsidRDefault="00D1000D" w:rsidP="00730DFA">
      <w:pPr>
        <w:spacing w:beforeLines="50" w:afterLines="50" w:line="180" w:lineRule="atLeast"/>
        <w:jc w:val="center"/>
        <w:rPr>
          <w:rFonts w:eastAsia="標楷體"/>
          <w:sz w:val="26"/>
          <w:szCs w:val="26"/>
        </w:rPr>
      </w:pPr>
      <w:r w:rsidRPr="00D1000D">
        <w:rPr>
          <w:rFonts w:eastAsia="標楷體"/>
          <w:noProof/>
          <w:sz w:val="26"/>
          <w:szCs w:val="26"/>
        </w:rPr>
        <w:drawing>
          <wp:inline distT="0" distB="0" distL="0" distR="0">
            <wp:extent cx="4032885" cy="2286000"/>
            <wp:effectExtent l="19050" t="0" r="5715" b="0"/>
            <wp:docPr id="32" name="圖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F4083" w:rsidRPr="00947656" w:rsidRDefault="00072F88" w:rsidP="001D2927">
      <w:pPr>
        <w:pStyle w:val="a5"/>
        <w:spacing w:after="120"/>
        <w:ind w:leftChars="119" w:left="624" w:hangingChars="130" w:hanging="338"/>
        <w:jc w:val="both"/>
        <w:rPr>
          <w:rFonts w:eastAsia="標楷體"/>
          <w:sz w:val="26"/>
          <w:szCs w:val="26"/>
        </w:rPr>
      </w:pPr>
      <w:r w:rsidRPr="00947656">
        <w:rPr>
          <w:rFonts w:eastAsia="標楷體"/>
          <w:b/>
          <w:sz w:val="26"/>
          <w:szCs w:val="26"/>
        </w:rPr>
        <w:t>b</w:t>
      </w:r>
      <w:r w:rsidR="001F705B" w:rsidRPr="00947656">
        <w:rPr>
          <w:rFonts w:eastAsia="標楷體"/>
          <w:b/>
          <w:sz w:val="26"/>
          <w:szCs w:val="26"/>
        </w:rPr>
        <w:t>.</w:t>
      </w:r>
      <w:r w:rsidR="00A75ED0" w:rsidRPr="00A75ED0">
        <w:rPr>
          <w:b/>
          <w:bCs/>
          <w:sz w:val="26"/>
          <w:szCs w:val="26"/>
        </w:rPr>
        <w:t xml:space="preserve"> </w:t>
      </w:r>
      <w:r w:rsidR="00394341">
        <w:rPr>
          <w:rFonts w:hint="eastAsia"/>
          <w:b/>
          <w:bCs/>
          <w:sz w:val="26"/>
          <w:szCs w:val="26"/>
        </w:rPr>
        <w:t>Medical c</w:t>
      </w:r>
      <w:r w:rsidR="00A75ED0" w:rsidRPr="009B2815">
        <w:rPr>
          <w:b/>
          <w:bCs/>
          <w:sz w:val="26"/>
          <w:szCs w:val="26"/>
        </w:rPr>
        <w:t>laims from general cases represented the largest proportion of all.</w:t>
      </w:r>
    </w:p>
    <w:p w:rsidR="00A75ED0" w:rsidRPr="009B2815" w:rsidRDefault="00A75ED0" w:rsidP="00FC5BFE">
      <w:pPr>
        <w:pStyle w:val="1"/>
        <w:spacing w:after="120"/>
        <w:ind w:leftChars="236" w:left="566" w:firstLineChars="218" w:firstLine="567"/>
        <w:jc w:val="both"/>
        <w:rPr>
          <w:sz w:val="26"/>
          <w:szCs w:val="26"/>
        </w:rPr>
      </w:pPr>
      <w:r w:rsidRPr="009B2815">
        <w:rPr>
          <w:sz w:val="26"/>
          <w:szCs w:val="26"/>
        </w:rPr>
        <w:t xml:space="preserve">Analyzed by case type, the total inpatient claims from general cases in 2011 amounted to 111 billion RVU, being 65.5% and the highest of all. Among the other categories, the highest case type was the </w:t>
      </w:r>
      <w:proofErr w:type="spellStart"/>
      <w:r w:rsidRPr="009B2815">
        <w:rPr>
          <w:sz w:val="26"/>
          <w:szCs w:val="26"/>
        </w:rPr>
        <w:t>Tw</w:t>
      </w:r>
      <w:proofErr w:type="spellEnd"/>
      <w:r w:rsidRPr="009B2815">
        <w:rPr>
          <w:sz w:val="26"/>
          <w:szCs w:val="26"/>
        </w:rPr>
        <w:t>-DRG</w:t>
      </w:r>
      <w:r w:rsidR="00394341">
        <w:rPr>
          <w:rFonts w:hint="eastAsia"/>
          <w:sz w:val="26"/>
          <w:szCs w:val="26"/>
        </w:rPr>
        <w:t>s</w:t>
      </w:r>
      <w:r w:rsidRPr="009B2815">
        <w:rPr>
          <w:sz w:val="26"/>
          <w:szCs w:val="26"/>
        </w:rPr>
        <w:t xml:space="preserve"> w</w:t>
      </w:r>
      <w:r w:rsidR="00ED3C03">
        <w:rPr>
          <w:sz w:val="26"/>
          <w:szCs w:val="26"/>
        </w:rPr>
        <w:t>hich amounted to 24 billion RVU</w:t>
      </w:r>
      <w:r w:rsidR="00ED3C03">
        <w:rPr>
          <w:rFonts w:hint="eastAsia"/>
          <w:sz w:val="26"/>
          <w:szCs w:val="26"/>
        </w:rPr>
        <w:t>,</w:t>
      </w:r>
      <w:r w:rsidRPr="009B2815">
        <w:rPr>
          <w:sz w:val="26"/>
          <w:szCs w:val="26"/>
        </w:rPr>
        <w:t xml:space="preserve"> followed by pilot projects </w:t>
      </w:r>
      <w:r w:rsidR="00284806">
        <w:rPr>
          <w:rFonts w:hint="eastAsia"/>
          <w:sz w:val="26"/>
          <w:szCs w:val="26"/>
        </w:rPr>
        <w:t xml:space="preserve">at </w:t>
      </w:r>
      <w:r w:rsidRPr="009B2815">
        <w:rPr>
          <w:sz w:val="26"/>
          <w:szCs w:val="26"/>
        </w:rPr>
        <w:t>1</w:t>
      </w:r>
      <w:r w:rsidR="00284806">
        <w:rPr>
          <w:rFonts w:hint="eastAsia"/>
          <w:sz w:val="26"/>
          <w:szCs w:val="26"/>
        </w:rPr>
        <w:t>6</w:t>
      </w:r>
      <w:r w:rsidRPr="009B2815">
        <w:rPr>
          <w:sz w:val="26"/>
          <w:szCs w:val="26"/>
        </w:rPr>
        <w:t xml:space="preserve"> billion RVU and special cases </w:t>
      </w:r>
      <w:r w:rsidR="00284806">
        <w:rPr>
          <w:rFonts w:hint="eastAsia"/>
          <w:sz w:val="26"/>
          <w:szCs w:val="26"/>
        </w:rPr>
        <w:t xml:space="preserve">at </w:t>
      </w:r>
      <w:r w:rsidRPr="009B2815">
        <w:rPr>
          <w:sz w:val="26"/>
          <w:szCs w:val="26"/>
        </w:rPr>
        <w:t xml:space="preserve">14 billion RVU. </w:t>
      </w:r>
    </w:p>
    <w:p w:rsidR="00A406CC" w:rsidRPr="00947656" w:rsidRDefault="002F2043" w:rsidP="00FC5BFE">
      <w:pPr>
        <w:pStyle w:val="a5"/>
        <w:spacing w:after="120"/>
        <w:ind w:leftChars="236" w:left="566" w:firstLineChars="218" w:firstLine="567"/>
        <w:jc w:val="both"/>
        <w:rPr>
          <w:rFonts w:eastAsia="標楷體"/>
          <w:sz w:val="26"/>
          <w:szCs w:val="26"/>
        </w:rPr>
      </w:pPr>
      <w:r>
        <w:rPr>
          <w:rFonts w:hint="eastAsia"/>
          <w:sz w:val="26"/>
          <w:szCs w:val="26"/>
        </w:rPr>
        <w:t>The</w:t>
      </w:r>
      <w:r w:rsidR="00A75ED0" w:rsidRPr="009B2815">
        <w:rPr>
          <w:sz w:val="26"/>
          <w:szCs w:val="26"/>
        </w:rPr>
        <w:t xml:space="preserve"> average </w:t>
      </w:r>
      <w:r>
        <w:rPr>
          <w:rFonts w:hint="eastAsia"/>
          <w:sz w:val="26"/>
          <w:szCs w:val="26"/>
        </w:rPr>
        <w:t xml:space="preserve">points per case </w:t>
      </w:r>
      <w:r w:rsidR="0097555A">
        <w:rPr>
          <w:rFonts w:hint="eastAsia"/>
          <w:sz w:val="26"/>
          <w:szCs w:val="26"/>
        </w:rPr>
        <w:t xml:space="preserve">for special case </w:t>
      </w:r>
      <w:r>
        <w:rPr>
          <w:rFonts w:hint="eastAsia"/>
          <w:sz w:val="26"/>
          <w:szCs w:val="26"/>
        </w:rPr>
        <w:t xml:space="preserve">were </w:t>
      </w:r>
      <w:r w:rsidR="00A75ED0" w:rsidRPr="009B2815">
        <w:rPr>
          <w:sz w:val="26"/>
          <w:szCs w:val="26"/>
        </w:rPr>
        <w:t xml:space="preserve">368,623 RVU, being the highest of all. It was followed by pilot projects </w:t>
      </w:r>
      <w:r>
        <w:rPr>
          <w:rFonts w:hint="eastAsia"/>
          <w:sz w:val="26"/>
          <w:szCs w:val="26"/>
        </w:rPr>
        <w:t xml:space="preserve">at </w:t>
      </w:r>
      <w:r w:rsidR="00A75ED0" w:rsidRPr="009B2815">
        <w:rPr>
          <w:sz w:val="26"/>
          <w:szCs w:val="26"/>
        </w:rPr>
        <w:t xml:space="preserve">161,484 RVU, hospice care </w:t>
      </w:r>
      <w:r>
        <w:rPr>
          <w:rFonts w:hint="eastAsia"/>
          <w:sz w:val="26"/>
          <w:szCs w:val="26"/>
        </w:rPr>
        <w:t xml:space="preserve">at </w:t>
      </w:r>
      <w:r w:rsidR="00A75ED0" w:rsidRPr="009B2815">
        <w:rPr>
          <w:sz w:val="26"/>
          <w:szCs w:val="26"/>
        </w:rPr>
        <w:t xml:space="preserve">56,407 RVU, </w:t>
      </w:r>
      <w:proofErr w:type="spellStart"/>
      <w:r w:rsidR="00A75ED0" w:rsidRPr="009B2815">
        <w:rPr>
          <w:sz w:val="26"/>
          <w:szCs w:val="26"/>
        </w:rPr>
        <w:t>Tw</w:t>
      </w:r>
      <w:proofErr w:type="spellEnd"/>
      <w:r w:rsidR="00A75ED0" w:rsidRPr="009B2815">
        <w:rPr>
          <w:sz w:val="26"/>
          <w:szCs w:val="26"/>
        </w:rPr>
        <w:t>-DRG</w:t>
      </w:r>
      <w:r w:rsidR="00394341">
        <w:rPr>
          <w:rFonts w:hint="eastAsia"/>
          <w:sz w:val="26"/>
          <w:szCs w:val="26"/>
        </w:rPr>
        <w:t>s</w:t>
      </w:r>
      <w:r w:rsidR="00A75ED0" w:rsidRPr="009B2815">
        <w:rPr>
          <w:sz w:val="26"/>
          <w:szCs w:val="26"/>
        </w:rPr>
        <w:t xml:space="preserve"> </w:t>
      </w:r>
      <w:r>
        <w:rPr>
          <w:rFonts w:hint="eastAsia"/>
          <w:sz w:val="26"/>
          <w:szCs w:val="26"/>
        </w:rPr>
        <w:t xml:space="preserve">at </w:t>
      </w:r>
      <w:r w:rsidR="00A75ED0" w:rsidRPr="009B2815">
        <w:rPr>
          <w:sz w:val="26"/>
          <w:szCs w:val="26"/>
        </w:rPr>
        <w:t xml:space="preserve">50,545 RVU, general cases </w:t>
      </w:r>
      <w:r>
        <w:rPr>
          <w:rFonts w:hint="eastAsia"/>
          <w:sz w:val="26"/>
          <w:szCs w:val="26"/>
        </w:rPr>
        <w:t xml:space="preserve">at </w:t>
      </w:r>
      <w:r w:rsidR="00A75ED0" w:rsidRPr="009B2815">
        <w:rPr>
          <w:sz w:val="26"/>
          <w:szCs w:val="26"/>
        </w:rPr>
        <w:t xml:space="preserve">44,825 RVU and case payments </w:t>
      </w:r>
      <w:r>
        <w:rPr>
          <w:rFonts w:hint="eastAsia"/>
          <w:sz w:val="26"/>
          <w:szCs w:val="26"/>
        </w:rPr>
        <w:t xml:space="preserve">at </w:t>
      </w:r>
      <w:r w:rsidR="00A75ED0" w:rsidRPr="009B2815">
        <w:rPr>
          <w:sz w:val="26"/>
          <w:szCs w:val="26"/>
        </w:rPr>
        <w:t>29,638 RVU.</w:t>
      </w:r>
    </w:p>
    <w:p w:rsidR="00645486" w:rsidRPr="00947656" w:rsidRDefault="008745D1" w:rsidP="00730DFA">
      <w:pPr>
        <w:spacing w:beforeLines="50" w:line="240" w:lineRule="auto"/>
        <w:ind w:firstLineChars="109" w:firstLine="283"/>
        <w:jc w:val="center"/>
        <w:rPr>
          <w:rFonts w:eastAsia="標楷體"/>
          <w:sz w:val="26"/>
          <w:szCs w:val="26"/>
        </w:rPr>
      </w:pPr>
      <w:r w:rsidRPr="008745D1">
        <w:rPr>
          <w:rFonts w:eastAsia="標楷體"/>
          <w:noProof/>
          <w:sz w:val="26"/>
          <w:szCs w:val="26"/>
        </w:rPr>
        <w:lastRenderedPageBreak/>
        <w:drawing>
          <wp:inline distT="0" distB="0" distL="0" distR="0">
            <wp:extent cx="4050030" cy="2606040"/>
            <wp:effectExtent l="19050" t="0" r="7620" b="0"/>
            <wp:docPr id="6" name="圖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E2D2F" w:rsidRPr="00947656" w:rsidRDefault="00072F88" w:rsidP="001D2927">
      <w:pPr>
        <w:pStyle w:val="a5"/>
        <w:spacing w:after="120"/>
        <w:ind w:leftChars="119" w:left="624" w:hangingChars="130" w:hanging="338"/>
        <w:jc w:val="both"/>
        <w:rPr>
          <w:rFonts w:eastAsia="標楷體"/>
          <w:color w:val="000000" w:themeColor="text1"/>
          <w:sz w:val="26"/>
          <w:szCs w:val="26"/>
        </w:rPr>
      </w:pPr>
      <w:r w:rsidRPr="00947656">
        <w:rPr>
          <w:rFonts w:eastAsia="標楷體"/>
          <w:b/>
          <w:sz w:val="26"/>
          <w:szCs w:val="26"/>
        </w:rPr>
        <w:t>c</w:t>
      </w:r>
      <w:r w:rsidR="001F705B" w:rsidRPr="00947656">
        <w:rPr>
          <w:rFonts w:eastAsia="標楷體"/>
          <w:b/>
          <w:sz w:val="26"/>
          <w:szCs w:val="26"/>
        </w:rPr>
        <w:t>.</w:t>
      </w:r>
      <w:r w:rsidR="00A75ED0" w:rsidRPr="00A75ED0">
        <w:rPr>
          <w:b/>
          <w:bCs/>
          <w:sz w:val="26"/>
          <w:szCs w:val="26"/>
        </w:rPr>
        <w:t xml:space="preserve"> </w:t>
      </w:r>
      <w:r w:rsidR="00394341">
        <w:rPr>
          <w:rFonts w:hint="eastAsia"/>
          <w:b/>
          <w:bCs/>
          <w:sz w:val="26"/>
          <w:szCs w:val="26"/>
        </w:rPr>
        <w:t>Medical c</w:t>
      </w:r>
      <w:r w:rsidR="00A75ED0" w:rsidRPr="009B2815">
        <w:rPr>
          <w:b/>
          <w:bCs/>
          <w:sz w:val="26"/>
          <w:szCs w:val="26"/>
        </w:rPr>
        <w:t>laims from physician</w:t>
      </w:r>
      <w:r w:rsidR="00FC5BFE">
        <w:rPr>
          <w:rFonts w:hint="eastAsia"/>
          <w:b/>
          <w:bCs/>
          <w:sz w:val="26"/>
          <w:szCs w:val="26"/>
        </w:rPr>
        <w:t xml:space="preserve"> </w:t>
      </w:r>
      <w:r w:rsidR="00A75ED0" w:rsidRPr="009B2815">
        <w:rPr>
          <w:b/>
          <w:bCs/>
          <w:sz w:val="26"/>
          <w:szCs w:val="26"/>
        </w:rPr>
        <w:t>clinics represented 90% of the case payments.</w:t>
      </w:r>
    </w:p>
    <w:p w:rsidR="00AB2836" w:rsidRPr="00947656" w:rsidRDefault="00A75ED0" w:rsidP="009A6377">
      <w:pPr>
        <w:pStyle w:val="a5"/>
        <w:spacing w:after="120" w:line="380" w:lineRule="atLeast"/>
        <w:ind w:leftChars="236" w:left="566" w:firstLineChars="218" w:firstLine="567"/>
        <w:jc w:val="both"/>
        <w:rPr>
          <w:rFonts w:eastAsia="標楷體"/>
          <w:color w:val="000000" w:themeColor="text1"/>
          <w:sz w:val="26"/>
        </w:rPr>
      </w:pPr>
      <w:r w:rsidRPr="009B2815">
        <w:rPr>
          <w:color w:val="000000"/>
          <w:sz w:val="26"/>
          <w:szCs w:val="26"/>
        </w:rPr>
        <w:t>B</w:t>
      </w:r>
      <w:r w:rsidR="00476CC1">
        <w:rPr>
          <w:rFonts w:hint="eastAsia"/>
          <w:color w:val="000000"/>
          <w:sz w:val="26"/>
          <w:szCs w:val="26"/>
        </w:rPr>
        <w:t>roken down by</w:t>
      </w:r>
      <w:r w:rsidRPr="009B2815">
        <w:rPr>
          <w:color w:val="000000"/>
          <w:sz w:val="26"/>
          <w:szCs w:val="26"/>
        </w:rPr>
        <w:t xml:space="preserve"> contracted category,</w:t>
      </w:r>
      <w:r w:rsidRPr="009B2815">
        <w:rPr>
          <w:sz w:val="26"/>
          <w:szCs w:val="26"/>
        </w:rPr>
        <w:t xml:space="preserve"> </w:t>
      </w:r>
      <w:r w:rsidRPr="009B2815">
        <w:rPr>
          <w:color w:val="000000"/>
          <w:sz w:val="26"/>
          <w:szCs w:val="26"/>
        </w:rPr>
        <w:t xml:space="preserve">academic medical centers and metropolitan hospitals respectively contributed to about 40% of the general inpatient cases in 2011. Physician clinics represented 90% of the case payments. 70% of the special cases were filed by academic medical centers. With regard to the pilot projects, academic medical centers, metropolitan hospitals and local community hospitals each contributed to one third of the total </w:t>
      </w:r>
      <w:r w:rsidR="00476CC1">
        <w:rPr>
          <w:rFonts w:hint="eastAsia"/>
          <w:color w:val="000000"/>
          <w:sz w:val="26"/>
          <w:szCs w:val="26"/>
        </w:rPr>
        <w:t>claims</w:t>
      </w:r>
      <w:r w:rsidRPr="009B2815">
        <w:rPr>
          <w:color w:val="000000"/>
          <w:sz w:val="26"/>
          <w:szCs w:val="26"/>
        </w:rPr>
        <w:t xml:space="preserve">. Further, academic medical centers and metropolitan hospitals respectively represented about 40% of the </w:t>
      </w:r>
      <w:proofErr w:type="spellStart"/>
      <w:r w:rsidRPr="009B2815">
        <w:rPr>
          <w:color w:val="000000"/>
          <w:sz w:val="26"/>
          <w:szCs w:val="26"/>
        </w:rPr>
        <w:t>Tw</w:t>
      </w:r>
      <w:proofErr w:type="spellEnd"/>
      <w:r w:rsidRPr="009B2815">
        <w:rPr>
          <w:color w:val="000000"/>
          <w:sz w:val="26"/>
          <w:szCs w:val="26"/>
        </w:rPr>
        <w:t>-DRG</w:t>
      </w:r>
      <w:r w:rsidR="00394341">
        <w:rPr>
          <w:rFonts w:hint="eastAsia"/>
          <w:color w:val="000000"/>
          <w:sz w:val="26"/>
          <w:szCs w:val="26"/>
        </w:rPr>
        <w:t>s</w:t>
      </w:r>
      <w:r w:rsidRPr="009B2815">
        <w:rPr>
          <w:color w:val="000000"/>
          <w:sz w:val="26"/>
          <w:szCs w:val="26"/>
        </w:rPr>
        <w:t xml:space="preserve"> cases. In terms of hospice care, </w:t>
      </w:r>
      <w:r w:rsidRPr="009B2815">
        <w:rPr>
          <w:sz w:val="26"/>
          <w:szCs w:val="26"/>
        </w:rPr>
        <w:t>academic medical centers</w:t>
      </w:r>
      <w:r w:rsidRPr="009B2815">
        <w:rPr>
          <w:color w:val="000000"/>
          <w:sz w:val="26"/>
          <w:szCs w:val="26"/>
        </w:rPr>
        <w:t xml:space="preserve"> and metropolitan hospitals each accounted for nearly 50% of the claims.</w:t>
      </w:r>
    </w:p>
    <w:p w:rsidR="00497D8E" w:rsidRPr="00947656" w:rsidRDefault="006670D4" w:rsidP="00730DFA">
      <w:pPr>
        <w:spacing w:afterLines="50" w:line="240" w:lineRule="auto"/>
        <w:ind w:firstLineChars="54" w:firstLine="141"/>
        <w:jc w:val="center"/>
        <w:rPr>
          <w:rFonts w:eastAsia="標楷體"/>
          <w:b/>
          <w:sz w:val="26"/>
        </w:rPr>
      </w:pPr>
      <w:r w:rsidRPr="006670D4">
        <w:rPr>
          <w:rFonts w:eastAsia="標楷體"/>
          <w:b/>
          <w:noProof/>
          <w:sz w:val="26"/>
        </w:rPr>
        <w:drawing>
          <wp:inline distT="0" distB="0" distL="0" distR="0">
            <wp:extent cx="5467350" cy="3162300"/>
            <wp:effectExtent l="0" t="0" r="0" b="0"/>
            <wp:docPr id="8" name="圖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E003F8" w:rsidRPr="00947656" w:rsidRDefault="00072F88" w:rsidP="001D2927">
      <w:pPr>
        <w:pStyle w:val="a5"/>
        <w:spacing w:after="120"/>
        <w:ind w:leftChars="119" w:left="624" w:hangingChars="130" w:hanging="338"/>
        <w:jc w:val="both"/>
        <w:rPr>
          <w:rFonts w:eastAsia="標楷體"/>
          <w:b/>
          <w:sz w:val="26"/>
          <w:szCs w:val="26"/>
        </w:rPr>
      </w:pPr>
      <w:r w:rsidRPr="00947656">
        <w:rPr>
          <w:rFonts w:eastAsia="標楷體"/>
          <w:b/>
          <w:sz w:val="26"/>
          <w:szCs w:val="26"/>
        </w:rPr>
        <w:lastRenderedPageBreak/>
        <w:t>d</w:t>
      </w:r>
      <w:r w:rsidR="001F705B" w:rsidRPr="00947656">
        <w:rPr>
          <w:rFonts w:eastAsia="標楷體"/>
          <w:b/>
          <w:sz w:val="26"/>
          <w:szCs w:val="26"/>
        </w:rPr>
        <w:t>.</w:t>
      </w:r>
      <w:r w:rsidR="00A75ED0" w:rsidRPr="00A75ED0">
        <w:rPr>
          <w:b/>
          <w:bCs/>
          <w:sz w:val="26"/>
          <w:szCs w:val="26"/>
        </w:rPr>
        <w:t xml:space="preserve"> </w:t>
      </w:r>
      <w:r w:rsidR="00394341">
        <w:rPr>
          <w:rFonts w:hint="eastAsia"/>
          <w:b/>
          <w:bCs/>
          <w:sz w:val="26"/>
          <w:szCs w:val="26"/>
        </w:rPr>
        <w:t>Medical</w:t>
      </w:r>
      <w:r w:rsidR="00476CC1">
        <w:rPr>
          <w:rFonts w:hint="eastAsia"/>
          <w:b/>
          <w:bCs/>
          <w:sz w:val="26"/>
          <w:szCs w:val="26"/>
        </w:rPr>
        <w:t xml:space="preserve"> c</w:t>
      </w:r>
      <w:r w:rsidR="00A75ED0" w:rsidRPr="009B2815">
        <w:rPr>
          <w:b/>
          <w:bCs/>
          <w:sz w:val="26"/>
          <w:szCs w:val="26"/>
        </w:rPr>
        <w:t>laim</w:t>
      </w:r>
      <w:r w:rsidR="00476CC1">
        <w:rPr>
          <w:rFonts w:hint="eastAsia"/>
          <w:b/>
          <w:bCs/>
          <w:sz w:val="26"/>
          <w:szCs w:val="26"/>
        </w:rPr>
        <w:t>s</w:t>
      </w:r>
      <w:r w:rsidR="00A75ED0" w:rsidRPr="009B2815">
        <w:rPr>
          <w:b/>
          <w:bCs/>
          <w:sz w:val="26"/>
          <w:szCs w:val="26"/>
        </w:rPr>
        <w:t xml:space="preserve"> increased with age.</w:t>
      </w:r>
    </w:p>
    <w:p w:rsidR="00A717AD" w:rsidRPr="00947656" w:rsidRDefault="00A75ED0" w:rsidP="00FC5BFE">
      <w:pPr>
        <w:pStyle w:val="a5"/>
        <w:spacing w:after="120" w:line="380" w:lineRule="atLeast"/>
        <w:ind w:leftChars="236" w:left="566" w:firstLineChars="218" w:firstLine="567"/>
        <w:jc w:val="both"/>
        <w:rPr>
          <w:rFonts w:eastAsia="標楷體"/>
          <w:sz w:val="26"/>
          <w:szCs w:val="26"/>
        </w:rPr>
      </w:pPr>
      <w:r w:rsidRPr="009B2815">
        <w:rPr>
          <w:sz w:val="26"/>
          <w:szCs w:val="26"/>
        </w:rPr>
        <w:t xml:space="preserve">Analyzed by age group, the inpatient claims in 2011 increased with age. They were, respectively, </w:t>
      </w:r>
      <w:r w:rsidR="00476CC1">
        <w:rPr>
          <w:rFonts w:hint="eastAsia"/>
          <w:sz w:val="26"/>
          <w:szCs w:val="26"/>
        </w:rPr>
        <w:t>8</w:t>
      </w:r>
      <w:r w:rsidRPr="009B2815">
        <w:rPr>
          <w:sz w:val="26"/>
          <w:szCs w:val="26"/>
        </w:rPr>
        <w:t xml:space="preserve"> billion RVU (4.6%) for the 0–14</w:t>
      </w:r>
      <w:r w:rsidR="000F226F">
        <w:rPr>
          <w:rFonts w:hint="eastAsia"/>
          <w:sz w:val="26"/>
          <w:szCs w:val="26"/>
        </w:rPr>
        <w:t xml:space="preserve"> </w:t>
      </w:r>
      <w:r w:rsidR="000F226F" w:rsidRPr="009B2815">
        <w:rPr>
          <w:sz w:val="26"/>
          <w:szCs w:val="26"/>
        </w:rPr>
        <w:t>group</w:t>
      </w:r>
      <w:r w:rsidR="000F226F">
        <w:rPr>
          <w:rFonts w:hint="eastAsia"/>
          <w:sz w:val="26"/>
          <w:szCs w:val="26"/>
        </w:rPr>
        <w:t>,</w:t>
      </w:r>
      <w:r w:rsidRPr="009B2815">
        <w:rPr>
          <w:sz w:val="26"/>
          <w:szCs w:val="26"/>
        </w:rPr>
        <w:t xml:space="preserve"> 12 billion RVU (7.1%) for the 15–29</w:t>
      </w:r>
      <w:r w:rsidR="000F226F">
        <w:rPr>
          <w:rFonts w:hint="eastAsia"/>
          <w:sz w:val="26"/>
          <w:szCs w:val="26"/>
        </w:rPr>
        <w:t xml:space="preserve"> </w:t>
      </w:r>
      <w:r w:rsidR="000F226F" w:rsidRPr="009B2815">
        <w:rPr>
          <w:sz w:val="26"/>
          <w:szCs w:val="26"/>
        </w:rPr>
        <w:t>group</w:t>
      </w:r>
      <w:r w:rsidR="000F226F">
        <w:rPr>
          <w:rFonts w:hint="eastAsia"/>
          <w:sz w:val="26"/>
          <w:szCs w:val="26"/>
        </w:rPr>
        <w:t>,</w:t>
      </w:r>
      <w:r w:rsidRPr="009B2815">
        <w:rPr>
          <w:sz w:val="26"/>
          <w:szCs w:val="26"/>
        </w:rPr>
        <w:t xml:space="preserve"> 25 billion RVU (14.8%) for the 30–44</w:t>
      </w:r>
      <w:r w:rsidR="000F226F">
        <w:rPr>
          <w:rFonts w:hint="eastAsia"/>
          <w:sz w:val="26"/>
          <w:szCs w:val="26"/>
        </w:rPr>
        <w:t xml:space="preserve"> </w:t>
      </w:r>
      <w:r w:rsidR="000F226F" w:rsidRPr="009B2815">
        <w:rPr>
          <w:sz w:val="26"/>
          <w:szCs w:val="26"/>
        </w:rPr>
        <w:t>group</w:t>
      </w:r>
      <w:r w:rsidR="000F226F">
        <w:rPr>
          <w:rFonts w:hint="eastAsia"/>
          <w:sz w:val="26"/>
          <w:szCs w:val="26"/>
        </w:rPr>
        <w:t>,</w:t>
      </w:r>
      <w:r w:rsidRPr="009B2815">
        <w:rPr>
          <w:sz w:val="26"/>
          <w:szCs w:val="26"/>
        </w:rPr>
        <w:t xml:space="preserve"> 52 billion RVU (30.7%) for the 45–64 </w:t>
      </w:r>
      <w:proofErr w:type="gramStart"/>
      <w:r w:rsidR="000F226F" w:rsidRPr="009B2815">
        <w:rPr>
          <w:sz w:val="26"/>
          <w:szCs w:val="26"/>
        </w:rPr>
        <w:t>group</w:t>
      </w:r>
      <w:proofErr w:type="gramEnd"/>
      <w:r w:rsidR="000F226F" w:rsidRPr="009B2815">
        <w:rPr>
          <w:sz w:val="26"/>
          <w:szCs w:val="26"/>
        </w:rPr>
        <w:t xml:space="preserve"> </w:t>
      </w:r>
      <w:r w:rsidRPr="009B2815">
        <w:rPr>
          <w:sz w:val="26"/>
          <w:szCs w:val="26"/>
        </w:rPr>
        <w:t>and 7</w:t>
      </w:r>
      <w:r w:rsidR="000F226F">
        <w:rPr>
          <w:rFonts w:hint="eastAsia"/>
          <w:sz w:val="26"/>
          <w:szCs w:val="26"/>
        </w:rPr>
        <w:t>3</w:t>
      </w:r>
      <w:r w:rsidRPr="009B2815">
        <w:rPr>
          <w:sz w:val="26"/>
          <w:szCs w:val="26"/>
        </w:rPr>
        <w:t xml:space="preserve"> billion RVU (42.8%) for the 65 and above</w:t>
      </w:r>
      <w:r w:rsidR="000F226F">
        <w:rPr>
          <w:rFonts w:hint="eastAsia"/>
          <w:sz w:val="26"/>
          <w:szCs w:val="26"/>
        </w:rPr>
        <w:t xml:space="preserve"> </w:t>
      </w:r>
      <w:r w:rsidR="000F226F" w:rsidRPr="009B2815">
        <w:rPr>
          <w:sz w:val="26"/>
          <w:szCs w:val="26"/>
        </w:rPr>
        <w:t>group</w:t>
      </w:r>
      <w:r w:rsidRPr="009B2815">
        <w:rPr>
          <w:sz w:val="26"/>
          <w:szCs w:val="26"/>
        </w:rPr>
        <w:t>. Males had a higher claim amount in the groups of 0–14, 45–64 and 65 and above; while females were higher in the groups of 15–29 and 30–44.</w:t>
      </w:r>
    </w:p>
    <w:p w:rsidR="00A717AD" w:rsidRPr="00947656" w:rsidRDefault="00D1000D" w:rsidP="006670D4">
      <w:pPr>
        <w:pStyle w:val="a5"/>
        <w:ind w:leftChars="236" w:left="566" w:firstLine="1"/>
        <w:jc w:val="center"/>
        <w:rPr>
          <w:rFonts w:eastAsia="標楷體"/>
          <w:b/>
          <w:sz w:val="26"/>
          <w:szCs w:val="26"/>
        </w:rPr>
      </w:pPr>
      <w:r w:rsidRPr="00D1000D">
        <w:rPr>
          <w:rFonts w:eastAsia="標楷體"/>
          <w:b/>
          <w:noProof/>
          <w:sz w:val="26"/>
          <w:szCs w:val="26"/>
        </w:rPr>
        <w:drawing>
          <wp:inline distT="0" distB="0" distL="0" distR="0">
            <wp:extent cx="4842510" cy="2865120"/>
            <wp:effectExtent l="19050" t="0" r="0" b="0"/>
            <wp:docPr id="44" name="圖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A717AD" w:rsidRPr="00947656" w:rsidRDefault="00A717AD" w:rsidP="009A6377">
      <w:pPr>
        <w:pStyle w:val="a5"/>
        <w:spacing w:after="120"/>
        <w:ind w:leftChars="119" w:left="624" w:hangingChars="130" w:hanging="338"/>
        <w:jc w:val="both"/>
        <w:rPr>
          <w:rFonts w:eastAsia="標楷體"/>
          <w:b/>
          <w:sz w:val="26"/>
          <w:szCs w:val="26"/>
        </w:rPr>
      </w:pPr>
      <w:r w:rsidRPr="00947656">
        <w:rPr>
          <w:rFonts w:eastAsia="標楷體"/>
          <w:b/>
          <w:sz w:val="26"/>
          <w:szCs w:val="26"/>
        </w:rPr>
        <w:t>e.</w:t>
      </w:r>
      <w:r w:rsidR="00A75ED0" w:rsidRPr="00A75ED0">
        <w:rPr>
          <w:b/>
          <w:bCs/>
          <w:sz w:val="26"/>
          <w:szCs w:val="26"/>
        </w:rPr>
        <w:t xml:space="preserve"> </w:t>
      </w:r>
      <w:r w:rsidR="00A75ED0" w:rsidRPr="009B2815">
        <w:rPr>
          <w:b/>
          <w:bCs/>
          <w:sz w:val="26"/>
          <w:szCs w:val="26"/>
        </w:rPr>
        <w:t xml:space="preserve">Males had a higher </w:t>
      </w:r>
      <w:r w:rsidR="00394341">
        <w:rPr>
          <w:rFonts w:hint="eastAsia"/>
          <w:b/>
          <w:bCs/>
          <w:sz w:val="26"/>
          <w:szCs w:val="26"/>
        </w:rPr>
        <w:t xml:space="preserve">medical </w:t>
      </w:r>
      <w:r w:rsidR="00A75ED0" w:rsidRPr="009B2815">
        <w:rPr>
          <w:b/>
          <w:bCs/>
          <w:sz w:val="26"/>
          <w:szCs w:val="26"/>
        </w:rPr>
        <w:t>claim than females both in terms of total RVU and average RVU per case</w:t>
      </w:r>
      <w:r w:rsidR="00A75ED0">
        <w:rPr>
          <w:rFonts w:hint="eastAsia"/>
          <w:b/>
          <w:bCs/>
          <w:sz w:val="26"/>
          <w:szCs w:val="26"/>
        </w:rPr>
        <w:t>.</w:t>
      </w:r>
      <w:r w:rsidR="00ED30B2">
        <w:rPr>
          <w:rFonts w:hint="eastAsia"/>
          <w:b/>
          <w:bCs/>
          <w:sz w:val="26"/>
          <w:szCs w:val="26"/>
        </w:rPr>
        <w:t xml:space="preserve"> </w:t>
      </w:r>
    </w:p>
    <w:p w:rsidR="00A75ED0" w:rsidRPr="009B2815" w:rsidRDefault="00A75ED0" w:rsidP="00FC5BFE">
      <w:pPr>
        <w:pStyle w:val="1"/>
        <w:spacing w:after="120" w:line="380" w:lineRule="atLeast"/>
        <w:ind w:leftChars="236" w:left="566" w:firstLineChars="218" w:firstLine="567"/>
        <w:jc w:val="both"/>
        <w:rPr>
          <w:sz w:val="26"/>
          <w:szCs w:val="26"/>
        </w:rPr>
      </w:pPr>
      <w:r w:rsidRPr="009B2815">
        <w:rPr>
          <w:sz w:val="26"/>
          <w:szCs w:val="26"/>
        </w:rPr>
        <w:t>In 2011, the inpatient claims filed in Taipei City amounted to 3</w:t>
      </w:r>
      <w:r w:rsidR="009424BC">
        <w:rPr>
          <w:rFonts w:hint="eastAsia"/>
          <w:sz w:val="26"/>
          <w:szCs w:val="26"/>
        </w:rPr>
        <w:t>8</w:t>
      </w:r>
      <w:r w:rsidR="00AC3090">
        <w:rPr>
          <w:sz w:val="26"/>
          <w:szCs w:val="26"/>
        </w:rPr>
        <w:t xml:space="preserve"> billion RVU</w:t>
      </w:r>
      <w:r w:rsidR="00AC3090">
        <w:rPr>
          <w:rFonts w:hint="eastAsia"/>
          <w:sz w:val="26"/>
          <w:szCs w:val="26"/>
        </w:rPr>
        <w:t xml:space="preserve"> </w:t>
      </w:r>
      <w:r w:rsidR="006409C2">
        <w:rPr>
          <w:rFonts w:hint="eastAsia"/>
          <w:sz w:val="26"/>
          <w:szCs w:val="26"/>
        </w:rPr>
        <w:t>(</w:t>
      </w:r>
      <w:r w:rsidRPr="009B2815">
        <w:rPr>
          <w:sz w:val="26"/>
          <w:szCs w:val="26"/>
        </w:rPr>
        <w:t>22.1%</w:t>
      </w:r>
      <w:r w:rsidR="006409C2">
        <w:rPr>
          <w:rFonts w:hint="eastAsia"/>
          <w:sz w:val="26"/>
          <w:szCs w:val="26"/>
        </w:rPr>
        <w:t>)</w:t>
      </w:r>
      <w:r w:rsidR="00AC3090">
        <w:rPr>
          <w:rFonts w:hint="eastAsia"/>
          <w:sz w:val="26"/>
          <w:szCs w:val="26"/>
        </w:rPr>
        <w:t>, being</w:t>
      </w:r>
      <w:r w:rsidRPr="009B2815">
        <w:rPr>
          <w:sz w:val="26"/>
          <w:szCs w:val="26"/>
        </w:rPr>
        <w:t xml:space="preserve"> the highest of all</w:t>
      </w:r>
      <w:r w:rsidR="00AC3090">
        <w:rPr>
          <w:rFonts w:hint="eastAsia"/>
          <w:sz w:val="26"/>
          <w:szCs w:val="26"/>
        </w:rPr>
        <w:t xml:space="preserve">, </w:t>
      </w:r>
      <w:r w:rsidR="00AC3090">
        <w:rPr>
          <w:sz w:val="26"/>
          <w:szCs w:val="26"/>
        </w:rPr>
        <w:t>followed</w:t>
      </w:r>
      <w:r w:rsidR="00AC3090">
        <w:rPr>
          <w:rFonts w:hint="eastAsia"/>
          <w:sz w:val="26"/>
          <w:szCs w:val="26"/>
        </w:rPr>
        <w:t xml:space="preserve"> by</w:t>
      </w:r>
      <w:r w:rsidRPr="009B2815">
        <w:rPr>
          <w:sz w:val="26"/>
          <w:szCs w:val="26"/>
        </w:rPr>
        <w:t xml:space="preserve"> Kaohsiung City </w:t>
      </w:r>
      <w:r w:rsidR="00AC3090">
        <w:rPr>
          <w:rFonts w:hint="eastAsia"/>
          <w:sz w:val="26"/>
          <w:szCs w:val="26"/>
        </w:rPr>
        <w:t>at</w:t>
      </w:r>
      <w:r w:rsidRPr="009B2815">
        <w:rPr>
          <w:sz w:val="26"/>
          <w:szCs w:val="26"/>
        </w:rPr>
        <w:t xml:space="preserve"> 23 billion RVU </w:t>
      </w:r>
      <w:r w:rsidR="006409C2">
        <w:rPr>
          <w:rFonts w:hint="eastAsia"/>
          <w:sz w:val="26"/>
          <w:szCs w:val="26"/>
        </w:rPr>
        <w:t>(</w:t>
      </w:r>
      <w:r w:rsidRPr="009B2815">
        <w:rPr>
          <w:sz w:val="26"/>
          <w:szCs w:val="26"/>
        </w:rPr>
        <w:t>13.6%</w:t>
      </w:r>
      <w:r w:rsidR="006409C2">
        <w:rPr>
          <w:rFonts w:hint="eastAsia"/>
          <w:sz w:val="26"/>
          <w:szCs w:val="26"/>
        </w:rPr>
        <w:t>)</w:t>
      </w:r>
      <w:r w:rsidR="00AC3090">
        <w:rPr>
          <w:rFonts w:hint="eastAsia"/>
          <w:sz w:val="26"/>
          <w:szCs w:val="26"/>
        </w:rPr>
        <w:t>,</w:t>
      </w:r>
      <w:r w:rsidRPr="009B2815">
        <w:rPr>
          <w:sz w:val="26"/>
          <w:szCs w:val="26"/>
        </w:rPr>
        <w:t xml:space="preserve"> Taichung City </w:t>
      </w:r>
      <w:r w:rsidR="00AC3090">
        <w:rPr>
          <w:rFonts w:hint="eastAsia"/>
          <w:sz w:val="26"/>
          <w:szCs w:val="26"/>
        </w:rPr>
        <w:t xml:space="preserve">at </w:t>
      </w:r>
      <w:r w:rsidRPr="009B2815">
        <w:rPr>
          <w:sz w:val="26"/>
          <w:szCs w:val="26"/>
        </w:rPr>
        <w:t xml:space="preserve">22 billion RVU </w:t>
      </w:r>
      <w:r w:rsidR="006409C2">
        <w:rPr>
          <w:rFonts w:hint="eastAsia"/>
          <w:sz w:val="26"/>
          <w:szCs w:val="26"/>
        </w:rPr>
        <w:t>(</w:t>
      </w:r>
      <w:r w:rsidRPr="009B2815">
        <w:rPr>
          <w:sz w:val="26"/>
          <w:szCs w:val="26"/>
        </w:rPr>
        <w:t>13.2%</w:t>
      </w:r>
      <w:r w:rsidR="006409C2">
        <w:rPr>
          <w:rFonts w:hint="eastAsia"/>
          <w:sz w:val="26"/>
          <w:szCs w:val="26"/>
        </w:rPr>
        <w:t>)</w:t>
      </w:r>
      <w:r w:rsidRPr="009B2815">
        <w:rPr>
          <w:sz w:val="26"/>
          <w:szCs w:val="26"/>
        </w:rPr>
        <w:t xml:space="preserve"> and </w:t>
      </w:r>
      <w:proofErr w:type="spellStart"/>
      <w:r w:rsidRPr="009B2815">
        <w:rPr>
          <w:sz w:val="26"/>
          <w:szCs w:val="26"/>
        </w:rPr>
        <w:t>Taoyuan</w:t>
      </w:r>
      <w:proofErr w:type="spellEnd"/>
      <w:r w:rsidRPr="009B2815">
        <w:rPr>
          <w:sz w:val="26"/>
          <w:szCs w:val="26"/>
        </w:rPr>
        <w:t xml:space="preserve"> County </w:t>
      </w:r>
      <w:r w:rsidR="00AC3090">
        <w:rPr>
          <w:rFonts w:hint="eastAsia"/>
          <w:sz w:val="26"/>
          <w:szCs w:val="26"/>
        </w:rPr>
        <w:t xml:space="preserve">at </w:t>
      </w:r>
      <w:r w:rsidRPr="009B2815">
        <w:rPr>
          <w:sz w:val="26"/>
          <w:szCs w:val="26"/>
        </w:rPr>
        <w:t>1</w:t>
      </w:r>
      <w:r w:rsidR="009424BC">
        <w:rPr>
          <w:rFonts w:hint="eastAsia"/>
          <w:sz w:val="26"/>
          <w:szCs w:val="26"/>
        </w:rPr>
        <w:t>6</w:t>
      </w:r>
      <w:r w:rsidRPr="009B2815">
        <w:rPr>
          <w:sz w:val="26"/>
          <w:szCs w:val="26"/>
        </w:rPr>
        <w:t xml:space="preserve"> billion RVU </w:t>
      </w:r>
      <w:r w:rsidR="006409C2">
        <w:rPr>
          <w:rFonts w:hint="eastAsia"/>
          <w:sz w:val="26"/>
          <w:szCs w:val="26"/>
        </w:rPr>
        <w:t>(</w:t>
      </w:r>
      <w:r w:rsidRPr="009B2815">
        <w:rPr>
          <w:sz w:val="26"/>
          <w:szCs w:val="26"/>
        </w:rPr>
        <w:t>9.4%</w:t>
      </w:r>
      <w:r w:rsidR="006409C2">
        <w:rPr>
          <w:rFonts w:hint="eastAsia"/>
          <w:sz w:val="26"/>
          <w:szCs w:val="26"/>
        </w:rPr>
        <w:t>)</w:t>
      </w:r>
      <w:r w:rsidR="00AC3090">
        <w:rPr>
          <w:rFonts w:hint="eastAsia"/>
          <w:sz w:val="26"/>
          <w:szCs w:val="26"/>
        </w:rPr>
        <w:t>.</w:t>
      </w:r>
      <w:r w:rsidRPr="009B2815">
        <w:rPr>
          <w:sz w:val="26"/>
          <w:szCs w:val="26"/>
        </w:rPr>
        <w:t xml:space="preserve"> The total medical benefits claimed by the five municipalities and the </w:t>
      </w:r>
      <w:r w:rsidR="00AC3090" w:rsidRPr="009B2815">
        <w:rPr>
          <w:sz w:val="26"/>
          <w:szCs w:val="26"/>
        </w:rPr>
        <w:t>quasi-special municipality</w:t>
      </w:r>
      <w:r w:rsidR="00AC3090">
        <w:rPr>
          <w:rFonts w:hint="eastAsia"/>
          <w:sz w:val="26"/>
          <w:szCs w:val="26"/>
        </w:rPr>
        <w:t>,</w:t>
      </w:r>
      <w:r w:rsidR="00AC3090" w:rsidRPr="009B2815">
        <w:rPr>
          <w:sz w:val="26"/>
          <w:szCs w:val="26"/>
        </w:rPr>
        <w:t xml:space="preserve"> </w:t>
      </w:r>
      <w:proofErr w:type="spellStart"/>
      <w:r w:rsidRPr="009B2815">
        <w:rPr>
          <w:sz w:val="26"/>
          <w:szCs w:val="26"/>
        </w:rPr>
        <w:t>Taoyuan</w:t>
      </w:r>
      <w:proofErr w:type="spellEnd"/>
      <w:r w:rsidRPr="009B2815">
        <w:rPr>
          <w:sz w:val="26"/>
          <w:szCs w:val="26"/>
        </w:rPr>
        <w:t xml:space="preserve"> County, accounted for more than 70% of all the benefit claimed. </w:t>
      </w:r>
    </w:p>
    <w:p w:rsidR="00A75ED0" w:rsidRPr="009B2815" w:rsidRDefault="00A75ED0" w:rsidP="00FC5BFE">
      <w:pPr>
        <w:pStyle w:val="1"/>
        <w:spacing w:after="120" w:line="380" w:lineRule="atLeast"/>
        <w:ind w:leftChars="236" w:left="566" w:firstLineChars="218" w:firstLine="567"/>
        <w:jc w:val="both"/>
        <w:rPr>
          <w:sz w:val="26"/>
          <w:szCs w:val="26"/>
        </w:rPr>
      </w:pPr>
      <w:r w:rsidRPr="009B2815">
        <w:rPr>
          <w:sz w:val="26"/>
          <w:szCs w:val="26"/>
        </w:rPr>
        <w:t xml:space="preserve">Analyzed by gender, males had higher inpatient claims than females. </w:t>
      </w:r>
      <w:proofErr w:type="spellStart"/>
      <w:r w:rsidRPr="009B2815">
        <w:rPr>
          <w:sz w:val="26"/>
          <w:szCs w:val="26"/>
        </w:rPr>
        <w:t>Kinmen</w:t>
      </w:r>
      <w:proofErr w:type="spellEnd"/>
      <w:r w:rsidRPr="009B2815">
        <w:rPr>
          <w:sz w:val="26"/>
          <w:szCs w:val="26"/>
        </w:rPr>
        <w:t xml:space="preserve"> </w:t>
      </w:r>
      <w:proofErr w:type="gramStart"/>
      <w:r w:rsidRPr="009B2815">
        <w:rPr>
          <w:sz w:val="26"/>
          <w:szCs w:val="26"/>
        </w:rPr>
        <w:t>county</w:t>
      </w:r>
      <w:proofErr w:type="gramEnd"/>
      <w:r w:rsidRPr="009B2815">
        <w:rPr>
          <w:sz w:val="26"/>
          <w:szCs w:val="26"/>
        </w:rPr>
        <w:t xml:space="preserve"> was the only locale where females had a higher inpatient claim than males. In terms of the average RVU per case, males had a higher RVU than females in all locales except Penghu County and </w:t>
      </w:r>
      <w:proofErr w:type="spellStart"/>
      <w:r w:rsidRPr="009B2815">
        <w:rPr>
          <w:sz w:val="26"/>
          <w:szCs w:val="26"/>
        </w:rPr>
        <w:t>Kinmen</w:t>
      </w:r>
      <w:proofErr w:type="spellEnd"/>
      <w:r w:rsidRPr="009B2815">
        <w:rPr>
          <w:sz w:val="26"/>
          <w:szCs w:val="26"/>
        </w:rPr>
        <w:t xml:space="preserve"> County. </w:t>
      </w:r>
    </w:p>
    <w:p w:rsidR="00313EFE" w:rsidRPr="00947656" w:rsidRDefault="00A75ED0" w:rsidP="00FC5BFE">
      <w:pPr>
        <w:pStyle w:val="a5"/>
        <w:spacing w:after="120" w:line="380" w:lineRule="atLeast"/>
        <w:ind w:leftChars="236" w:left="566" w:firstLineChars="218" w:firstLine="567"/>
        <w:jc w:val="both"/>
        <w:rPr>
          <w:rFonts w:eastAsia="標楷體"/>
          <w:sz w:val="26"/>
          <w:szCs w:val="26"/>
        </w:rPr>
      </w:pPr>
      <w:r w:rsidRPr="009B2815">
        <w:rPr>
          <w:sz w:val="26"/>
          <w:szCs w:val="26"/>
        </w:rPr>
        <w:t xml:space="preserve">Broken down by age group, the group of 65 and above accounted for the highest inpatient claims in all locales except </w:t>
      </w:r>
      <w:proofErr w:type="spellStart"/>
      <w:r w:rsidRPr="009B2815">
        <w:rPr>
          <w:sz w:val="26"/>
          <w:szCs w:val="26"/>
        </w:rPr>
        <w:t>Lienjiang</w:t>
      </w:r>
      <w:proofErr w:type="spellEnd"/>
      <w:r w:rsidRPr="009B2815">
        <w:rPr>
          <w:sz w:val="26"/>
          <w:szCs w:val="26"/>
        </w:rPr>
        <w:t xml:space="preserve"> County, where the group of 15–29 had the highest claim amount.</w:t>
      </w:r>
    </w:p>
    <w:p w:rsidR="00EE568A" w:rsidRPr="00947656" w:rsidRDefault="00D1000D" w:rsidP="00F465C0">
      <w:pPr>
        <w:spacing w:line="240" w:lineRule="auto"/>
        <w:ind w:leftChars="472" w:left="1133"/>
        <w:jc w:val="center"/>
        <w:rPr>
          <w:rFonts w:eastAsia="標楷體"/>
          <w:b/>
          <w:sz w:val="26"/>
          <w:szCs w:val="26"/>
        </w:rPr>
      </w:pPr>
      <w:r w:rsidRPr="00D1000D">
        <w:rPr>
          <w:rFonts w:eastAsia="標楷體"/>
          <w:b/>
          <w:noProof/>
          <w:sz w:val="26"/>
          <w:szCs w:val="26"/>
        </w:rPr>
        <w:lastRenderedPageBreak/>
        <w:drawing>
          <wp:inline distT="0" distB="0" distL="0" distR="0">
            <wp:extent cx="5490210" cy="3848100"/>
            <wp:effectExtent l="19050" t="0" r="0" b="0"/>
            <wp:docPr id="45" name="圖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C34D44" w:rsidRPr="00947656" w:rsidRDefault="00F27BAE" w:rsidP="00026D00">
      <w:pPr>
        <w:spacing w:before="360" w:after="120"/>
        <w:jc w:val="both"/>
        <w:rPr>
          <w:rFonts w:eastAsia="標楷體"/>
          <w:b/>
          <w:sz w:val="26"/>
          <w:szCs w:val="26"/>
        </w:rPr>
      </w:pPr>
      <w:r>
        <w:rPr>
          <w:rFonts w:eastAsia="標楷體" w:hint="eastAsia"/>
          <w:b/>
          <w:sz w:val="26"/>
          <w:szCs w:val="26"/>
        </w:rPr>
        <w:t>（</w:t>
      </w:r>
      <w:r>
        <w:rPr>
          <w:rFonts w:eastAsia="標楷體" w:hint="eastAsia"/>
          <w:b/>
          <w:sz w:val="26"/>
          <w:szCs w:val="26"/>
        </w:rPr>
        <w:t>2</w:t>
      </w:r>
      <w:r>
        <w:rPr>
          <w:rFonts w:eastAsia="標楷體" w:hint="eastAsia"/>
          <w:b/>
          <w:sz w:val="26"/>
          <w:szCs w:val="26"/>
        </w:rPr>
        <w:t>）</w:t>
      </w:r>
      <w:r>
        <w:rPr>
          <w:rFonts w:eastAsia="標楷體" w:hint="eastAsia"/>
          <w:b/>
          <w:sz w:val="26"/>
          <w:szCs w:val="26"/>
        </w:rPr>
        <w:t>Approved Medical Benefit Claims</w:t>
      </w:r>
    </w:p>
    <w:p w:rsidR="00AF0A86" w:rsidRPr="009B2815" w:rsidRDefault="00AF0A86" w:rsidP="00FC5BFE">
      <w:pPr>
        <w:pStyle w:val="1"/>
        <w:kinsoku w:val="0"/>
        <w:spacing w:line="420" w:lineRule="exact"/>
        <w:ind w:leftChars="100" w:left="240" w:firstLineChars="200" w:firstLine="520"/>
        <w:jc w:val="both"/>
        <w:rPr>
          <w:sz w:val="26"/>
          <w:szCs w:val="26"/>
        </w:rPr>
      </w:pPr>
      <w:r w:rsidRPr="009B2815">
        <w:rPr>
          <w:sz w:val="26"/>
          <w:szCs w:val="26"/>
        </w:rPr>
        <w:t xml:space="preserve">In 2011, the total approved medical claims amounted to 516 billion RVU, a 5.6% increase from the previous year and 72% </w:t>
      </w:r>
      <w:r w:rsidR="00026D00">
        <w:rPr>
          <w:rFonts w:hint="eastAsia"/>
          <w:sz w:val="26"/>
          <w:szCs w:val="26"/>
        </w:rPr>
        <w:t xml:space="preserve">increase </w:t>
      </w:r>
      <w:r w:rsidRPr="009B2815">
        <w:rPr>
          <w:sz w:val="26"/>
          <w:szCs w:val="26"/>
        </w:rPr>
        <w:t xml:space="preserve">from 2001. The average annual </w:t>
      </w:r>
      <w:r w:rsidR="000975C7">
        <w:rPr>
          <w:rFonts w:hint="eastAsia"/>
          <w:sz w:val="26"/>
          <w:szCs w:val="26"/>
        </w:rPr>
        <w:t>increase</w:t>
      </w:r>
      <w:r w:rsidRPr="009B2815">
        <w:rPr>
          <w:sz w:val="26"/>
          <w:szCs w:val="26"/>
        </w:rPr>
        <w:t xml:space="preserve"> in the most recent decade was 5.5%. The average approved </w:t>
      </w:r>
      <w:r w:rsidR="000975C7">
        <w:rPr>
          <w:rFonts w:hint="eastAsia"/>
          <w:sz w:val="26"/>
          <w:szCs w:val="26"/>
        </w:rPr>
        <w:t xml:space="preserve">points per </w:t>
      </w:r>
      <w:r w:rsidRPr="009B2815">
        <w:rPr>
          <w:sz w:val="26"/>
          <w:szCs w:val="26"/>
        </w:rPr>
        <w:t>case w</w:t>
      </w:r>
      <w:r w:rsidR="000975C7">
        <w:rPr>
          <w:rFonts w:hint="eastAsia"/>
          <w:sz w:val="26"/>
          <w:szCs w:val="26"/>
        </w:rPr>
        <w:t>ere</w:t>
      </w:r>
      <w:r w:rsidRPr="009B2815">
        <w:rPr>
          <w:sz w:val="26"/>
          <w:szCs w:val="26"/>
        </w:rPr>
        <w:t xml:space="preserve"> 1,365 RVU. </w:t>
      </w:r>
    </w:p>
    <w:p w:rsidR="00F30BF4" w:rsidRPr="00947656" w:rsidRDefault="00AF0A86" w:rsidP="00FC5BFE">
      <w:pPr>
        <w:pStyle w:val="a5"/>
        <w:spacing w:after="240" w:line="440" w:lineRule="atLeast"/>
        <w:ind w:leftChars="100" w:left="240" w:firstLineChars="200" w:firstLine="520"/>
        <w:jc w:val="both"/>
        <w:rPr>
          <w:rFonts w:eastAsia="標楷體"/>
          <w:sz w:val="26"/>
          <w:szCs w:val="26"/>
        </w:rPr>
      </w:pPr>
      <w:r w:rsidRPr="009B2815">
        <w:rPr>
          <w:sz w:val="26"/>
          <w:szCs w:val="26"/>
        </w:rPr>
        <w:t>The total approved medical expenses in 2011 was NT$47</w:t>
      </w:r>
      <w:r w:rsidR="00B64429">
        <w:rPr>
          <w:rFonts w:hint="eastAsia"/>
          <w:sz w:val="26"/>
          <w:szCs w:val="26"/>
        </w:rPr>
        <w:t>2</w:t>
      </w:r>
      <w:r w:rsidRPr="009B2815">
        <w:rPr>
          <w:sz w:val="26"/>
          <w:szCs w:val="26"/>
        </w:rPr>
        <w:t xml:space="preserve"> billion, a 2.8% increase from the previous year. The average annual </w:t>
      </w:r>
      <w:r w:rsidR="00B64429">
        <w:rPr>
          <w:rFonts w:hint="eastAsia"/>
          <w:sz w:val="26"/>
          <w:szCs w:val="26"/>
        </w:rPr>
        <w:t>increase</w:t>
      </w:r>
      <w:r w:rsidRPr="009B2815">
        <w:rPr>
          <w:sz w:val="26"/>
          <w:szCs w:val="26"/>
        </w:rPr>
        <w:t xml:space="preserve"> in five years was 3.9%. The average payment per case was NT$1,246.</w:t>
      </w:r>
    </w:p>
    <w:p w:rsidR="00B878A4" w:rsidRPr="00947656" w:rsidRDefault="00FC5BFE" w:rsidP="00FC5BFE">
      <w:pPr>
        <w:pStyle w:val="a5"/>
        <w:spacing w:after="120"/>
        <w:ind w:leftChars="60" w:left="144"/>
        <w:jc w:val="both"/>
        <w:rPr>
          <w:rFonts w:eastAsia="標楷體"/>
          <w:b/>
          <w:sz w:val="26"/>
          <w:szCs w:val="26"/>
        </w:rPr>
      </w:pPr>
      <w:proofErr w:type="spellStart"/>
      <w:r>
        <w:rPr>
          <w:rFonts w:eastAsia="標楷體" w:hint="eastAsia"/>
          <w:b/>
          <w:sz w:val="26"/>
          <w:szCs w:val="26"/>
        </w:rPr>
        <w:t>i</w:t>
      </w:r>
      <w:proofErr w:type="spellEnd"/>
      <w:r w:rsidR="00F27BAE">
        <w:rPr>
          <w:rFonts w:eastAsia="標楷體" w:hint="eastAsia"/>
          <w:b/>
          <w:sz w:val="26"/>
          <w:szCs w:val="26"/>
        </w:rPr>
        <w:t xml:space="preserve">. </w:t>
      </w:r>
      <w:r w:rsidR="00F27BAE" w:rsidRPr="00FC5BFE">
        <w:rPr>
          <w:rFonts w:eastAsia="標楷體" w:hint="eastAsia"/>
          <w:b/>
          <w:sz w:val="26"/>
        </w:rPr>
        <w:t>Outpatient</w:t>
      </w:r>
      <w:r w:rsidR="00F27BAE">
        <w:rPr>
          <w:rFonts w:eastAsia="標楷體" w:hint="eastAsia"/>
          <w:b/>
          <w:sz w:val="26"/>
          <w:szCs w:val="26"/>
        </w:rPr>
        <w:t xml:space="preserve"> Service</w:t>
      </w:r>
    </w:p>
    <w:p w:rsidR="00CC0A3E" w:rsidRPr="00947656" w:rsidRDefault="00CC0A3E" w:rsidP="00FC5BFE">
      <w:pPr>
        <w:pStyle w:val="a5"/>
        <w:spacing w:after="120"/>
        <w:ind w:leftChars="119" w:left="624" w:hangingChars="130" w:hanging="338"/>
        <w:jc w:val="both"/>
        <w:rPr>
          <w:rFonts w:eastAsia="標楷體"/>
          <w:b/>
          <w:sz w:val="26"/>
        </w:rPr>
      </w:pPr>
      <w:proofErr w:type="gramStart"/>
      <w:r w:rsidRPr="00947656">
        <w:rPr>
          <w:rFonts w:eastAsia="標楷體"/>
          <w:b/>
          <w:sz w:val="26"/>
        </w:rPr>
        <w:t>a</w:t>
      </w:r>
      <w:proofErr w:type="gramEnd"/>
      <w:r w:rsidRPr="00947656">
        <w:rPr>
          <w:rFonts w:eastAsia="標楷體"/>
          <w:b/>
          <w:sz w:val="26"/>
        </w:rPr>
        <w:t>.</w:t>
      </w:r>
      <w:r w:rsidR="00AF0A86" w:rsidRPr="00AF0A86">
        <w:rPr>
          <w:b/>
          <w:bCs/>
          <w:sz w:val="26"/>
          <w:szCs w:val="26"/>
        </w:rPr>
        <w:t xml:space="preserve"> </w:t>
      </w:r>
      <w:r w:rsidR="00AF0A86" w:rsidRPr="009B2815">
        <w:rPr>
          <w:b/>
          <w:bCs/>
          <w:sz w:val="26"/>
          <w:szCs w:val="26"/>
        </w:rPr>
        <w:t xml:space="preserve">In terms of the approved RVU, the average annual </w:t>
      </w:r>
      <w:r w:rsidR="00B62006">
        <w:rPr>
          <w:rFonts w:hint="eastAsia"/>
          <w:b/>
          <w:bCs/>
          <w:sz w:val="26"/>
          <w:szCs w:val="26"/>
        </w:rPr>
        <w:t>increa</w:t>
      </w:r>
      <w:r w:rsidR="00B516FB">
        <w:rPr>
          <w:rFonts w:hint="eastAsia"/>
          <w:b/>
          <w:bCs/>
          <w:sz w:val="26"/>
          <w:szCs w:val="26"/>
        </w:rPr>
        <w:t>s</w:t>
      </w:r>
      <w:r w:rsidR="00B62006">
        <w:rPr>
          <w:rFonts w:hint="eastAsia"/>
          <w:b/>
          <w:bCs/>
          <w:sz w:val="26"/>
          <w:szCs w:val="26"/>
        </w:rPr>
        <w:t>e</w:t>
      </w:r>
      <w:r w:rsidR="00AF0A86" w:rsidRPr="009B2815">
        <w:rPr>
          <w:b/>
          <w:bCs/>
          <w:sz w:val="26"/>
          <w:szCs w:val="26"/>
        </w:rPr>
        <w:t xml:space="preserve"> in the most recent </w:t>
      </w:r>
      <w:r w:rsidR="00EE1198">
        <w:rPr>
          <w:rFonts w:hint="eastAsia"/>
          <w:b/>
          <w:bCs/>
          <w:sz w:val="26"/>
          <w:szCs w:val="26"/>
        </w:rPr>
        <w:t>five years</w:t>
      </w:r>
      <w:r w:rsidR="00AF0A86" w:rsidRPr="009B2815">
        <w:rPr>
          <w:b/>
          <w:bCs/>
          <w:sz w:val="26"/>
          <w:szCs w:val="26"/>
        </w:rPr>
        <w:t xml:space="preserve"> was 5.</w:t>
      </w:r>
      <w:r w:rsidR="00A56BBE">
        <w:rPr>
          <w:rFonts w:hint="eastAsia"/>
          <w:b/>
          <w:bCs/>
          <w:sz w:val="26"/>
          <w:szCs w:val="26"/>
        </w:rPr>
        <w:t>3</w:t>
      </w:r>
      <w:r w:rsidR="00AF0A86" w:rsidRPr="009B2815">
        <w:rPr>
          <w:b/>
          <w:bCs/>
          <w:sz w:val="26"/>
          <w:szCs w:val="26"/>
        </w:rPr>
        <w:t xml:space="preserve">%. In terms of the approved amount, the average annual </w:t>
      </w:r>
      <w:r w:rsidR="00B62006">
        <w:rPr>
          <w:rFonts w:hint="eastAsia"/>
          <w:b/>
          <w:bCs/>
          <w:sz w:val="26"/>
          <w:szCs w:val="26"/>
        </w:rPr>
        <w:t>increase</w:t>
      </w:r>
      <w:r w:rsidR="00AF0A86" w:rsidRPr="009B2815">
        <w:rPr>
          <w:b/>
          <w:bCs/>
          <w:sz w:val="26"/>
          <w:szCs w:val="26"/>
        </w:rPr>
        <w:t xml:space="preserve"> was 4.5%.</w:t>
      </w:r>
    </w:p>
    <w:p w:rsidR="00AF0A86" w:rsidRPr="009B2815" w:rsidRDefault="00AF0A86" w:rsidP="00FC5BFE">
      <w:pPr>
        <w:pStyle w:val="1"/>
        <w:spacing w:after="120" w:line="420" w:lineRule="atLeast"/>
        <w:ind w:leftChars="236" w:left="566" w:firstLineChars="218" w:firstLine="567"/>
        <w:jc w:val="both"/>
        <w:rPr>
          <w:sz w:val="26"/>
          <w:szCs w:val="26"/>
        </w:rPr>
      </w:pPr>
      <w:r w:rsidRPr="009B2815">
        <w:rPr>
          <w:sz w:val="26"/>
          <w:szCs w:val="26"/>
        </w:rPr>
        <w:t xml:space="preserve">In 2011, the total approved medical claims amounted to 351 billion RVU, a 6.5% increase from the previous year and 74% increase from 2001. The average annual </w:t>
      </w:r>
      <w:r w:rsidR="000D2F47">
        <w:rPr>
          <w:rFonts w:hint="eastAsia"/>
          <w:sz w:val="26"/>
          <w:szCs w:val="26"/>
        </w:rPr>
        <w:t>increase</w:t>
      </w:r>
      <w:r w:rsidRPr="009B2815">
        <w:rPr>
          <w:sz w:val="26"/>
          <w:szCs w:val="26"/>
        </w:rPr>
        <w:t xml:space="preserve"> in the most recent decade was 5.</w:t>
      </w:r>
      <w:r w:rsidR="00A56BBE">
        <w:rPr>
          <w:rFonts w:hint="eastAsia"/>
          <w:sz w:val="26"/>
          <w:szCs w:val="26"/>
        </w:rPr>
        <w:t>3</w:t>
      </w:r>
      <w:r w:rsidRPr="009B2815">
        <w:rPr>
          <w:sz w:val="26"/>
          <w:szCs w:val="26"/>
        </w:rPr>
        <w:t xml:space="preserve">%. The average </w:t>
      </w:r>
      <w:r w:rsidR="000D2F47">
        <w:rPr>
          <w:rFonts w:hint="eastAsia"/>
          <w:sz w:val="26"/>
          <w:szCs w:val="26"/>
        </w:rPr>
        <w:t xml:space="preserve">points </w:t>
      </w:r>
      <w:r w:rsidR="000D2F47">
        <w:rPr>
          <w:sz w:val="26"/>
          <w:szCs w:val="26"/>
        </w:rPr>
        <w:t>per case w</w:t>
      </w:r>
      <w:r w:rsidR="000D2F47">
        <w:rPr>
          <w:rFonts w:hint="eastAsia"/>
          <w:sz w:val="26"/>
          <w:szCs w:val="26"/>
        </w:rPr>
        <w:t>ere</w:t>
      </w:r>
      <w:r w:rsidRPr="009B2815">
        <w:rPr>
          <w:sz w:val="26"/>
          <w:szCs w:val="26"/>
        </w:rPr>
        <w:t xml:space="preserve"> 936</w:t>
      </w:r>
      <w:r w:rsidR="000D2F47">
        <w:rPr>
          <w:rFonts w:hint="eastAsia"/>
          <w:sz w:val="26"/>
          <w:szCs w:val="26"/>
        </w:rPr>
        <w:t xml:space="preserve"> </w:t>
      </w:r>
      <w:r w:rsidR="000D2F47" w:rsidRPr="009B2815">
        <w:rPr>
          <w:sz w:val="26"/>
          <w:szCs w:val="26"/>
        </w:rPr>
        <w:t>RVU</w:t>
      </w:r>
      <w:r w:rsidRPr="009B2815">
        <w:rPr>
          <w:sz w:val="26"/>
          <w:szCs w:val="26"/>
        </w:rPr>
        <w:t xml:space="preserve">, an increase of 22 RVU from the previous year. </w:t>
      </w:r>
    </w:p>
    <w:p w:rsidR="00F30BF4" w:rsidRPr="00947656" w:rsidRDefault="00AF0A86" w:rsidP="00FC5BFE">
      <w:pPr>
        <w:pStyle w:val="a5"/>
        <w:spacing w:after="120" w:line="420" w:lineRule="atLeast"/>
        <w:ind w:leftChars="236" w:left="566" w:firstLineChars="218" w:firstLine="567"/>
        <w:jc w:val="both"/>
        <w:rPr>
          <w:rFonts w:eastAsia="標楷體"/>
          <w:sz w:val="26"/>
        </w:rPr>
      </w:pPr>
      <w:r w:rsidRPr="009B2815">
        <w:rPr>
          <w:sz w:val="26"/>
          <w:szCs w:val="26"/>
        </w:rPr>
        <w:lastRenderedPageBreak/>
        <w:t xml:space="preserve">The total approved outpatient expenses in 2011 was NT$322 billion, a 3.7% increase from the previous year. The average annual </w:t>
      </w:r>
      <w:r w:rsidR="008D1482">
        <w:rPr>
          <w:rFonts w:hint="eastAsia"/>
          <w:sz w:val="26"/>
          <w:szCs w:val="26"/>
        </w:rPr>
        <w:t>increase</w:t>
      </w:r>
      <w:r w:rsidRPr="009B2815">
        <w:rPr>
          <w:sz w:val="26"/>
          <w:szCs w:val="26"/>
        </w:rPr>
        <w:t xml:space="preserve"> in five years was 4.5%. The average amount per approved case was NT$859, a decrease of NT$3 from the previous year.</w:t>
      </w:r>
    </w:p>
    <w:p w:rsidR="00CC0A3E" w:rsidRPr="00947656" w:rsidRDefault="00D347C3" w:rsidP="00730DFA">
      <w:pPr>
        <w:snapToGrid w:val="0"/>
        <w:spacing w:afterLines="50" w:line="240" w:lineRule="auto"/>
        <w:ind w:leftChars="118" w:left="283"/>
        <w:jc w:val="center"/>
        <w:rPr>
          <w:rFonts w:eastAsia="標楷體"/>
          <w:b/>
          <w:sz w:val="26"/>
        </w:rPr>
      </w:pPr>
      <w:r w:rsidRPr="00D347C3">
        <w:rPr>
          <w:rFonts w:eastAsia="標楷體"/>
          <w:b/>
          <w:noProof/>
          <w:sz w:val="26"/>
        </w:rPr>
        <w:drawing>
          <wp:inline distT="0" distB="0" distL="0" distR="0">
            <wp:extent cx="5113020" cy="3307080"/>
            <wp:effectExtent l="0" t="0" r="0" b="0"/>
            <wp:docPr id="5" name="圖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CC0A3E" w:rsidRPr="00947656" w:rsidRDefault="00CC0A3E" w:rsidP="00FC5BFE">
      <w:pPr>
        <w:pStyle w:val="a5"/>
        <w:spacing w:after="120"/>
        <w:ind w:leftChars="119" w:left="624" w:hangingChars="130" w:hanging="338"/>
        <w:jc w:val="both"/>
        <w:rPr>
          <w:rFonts w:eastAsia="標楷體"/>
          <w:b/>
          <w:sz w:val="26"/>
        </w:rPr>
      </w:pPr>
      <w:proofErr w:type="gramStart"/>
      <w:r w:rsidRPr="00947656">
        <w:rPr>
          <w:rFonts w:eastAsia="標楷體"/>
          <w:b/>
          <w:sz w:val="26"/>
        </w:rPr>
        <w:t>b</w:t>
      </w:r>
      <w:proofErr w:type="gramEnd"/>
      <w:r w:rsidRPr="00947656">
        <w:rPr>
          <w:rFonts w:eastAsia="標楷體"/>
          <w:b/>
          <w:sz w:val="26"/>
        </w:rPr>
        <w:t>.</w:t>
      </w:r>
      <w:r w:rsidR="00AF0A86" w:rsidRPr="00AF0A86">
        <w:rPr>
          <w:b/>
          <w:bCs/>
          <w:sz w:val="26"/>
          <w:szCs w:val="26"/>
        </w:rPr>
        <w:t xml:space="preserve"> </w:t>
      </w:r>
      <w:r w:rsidR="00AF0A86" w:rsidRPr="009B2815">
        <w:rPr>
          <w:b/>
          <w:bCs/>
          <w:sz w:val="26"/>
          <w:szCs w:val="26"/>
        </w:rPr>
        <w:t>In terms of approved</w:t>
      </w:r>
      <w:r w:rsidR="00B516FB">
        <w:rPr>
          <w:rFonts w:hint="eastAsia"/>
          <w:b/>
          <w:bCs/>
          <w:sz w:val="26"/>
          <w:szCs w:val="26"/>
        </w:rPr>
        <w:t xml:space="preserve"> RVU</w:t>
      </w:r>
      <w:r w:rsidR="00AF0A86" w:rsidRPr="009B2815">
        <w:rPr>
          <w:b/>
          <w:bCs/>
          <w:sz w:val="26"/>
          <w:szCs w:val="26"/>
        </w:rPr>
        <w:t>, the physician clinics had the highest amount of all. As for the average RVU per case, the highest amount was seen from the academic medical centers.</w:t>
      </w:r>
    </w:p>
    <w:p w:rsidR="00AF0A86" w:rsidRPr="009B2815" w:rsidRDefault="00AF0A86" w:rsidP="00FC5BFE">
      <w:pPr>
        <w:pStyle w:val="1"/>
        <w:spacing w:after="120" w:line="420" w:lineRule="atLeast"/>
        <w:ind w:leftChars="236" w:left="566" w:firstLineChars="218" w:firstLine="567"/>
        <w:jc w:val="both"/>
        <w:rPr>
          <w:sz w:val="26"/>
          <w:szCs w:val="26"/>
        </w:rPr>
      </w:pPr>
      <w:r w:rsidRPr="009B2815">
        <w:rPr>
          <w:sz w:val="26"/>
          <w:szCs w:val="26"/>
        </w:rPr>
        <w:t>Physician clinics had 141 billion RVU of outpatient claims approved in 2011, being the highest of all</w:t>
      </w:r>
      <w:r w:rsidR="002116AE">
        <w:rPr>
          <w:rFonts w:hint="eastAsia"/>
          <w:sz w:val="26"/>
          <w:szCs w:val="26"/>
        </w:rPr>
        <w:t>,</w:t>
      </w:r>
      <w:r w:rsidRPr="009B2815">
        <w:rPr>
          <w:sz w:val="26"/>
          <w:szCs w:val="26"/>
        </w:rPr>
        <w:t xml:space="preserve"> followed by metropolitan hospitals </w:t>
      </w:r>
      <w:r w:rsidR="003F19CC">
        <w:rPr>
          <w:rFonts w:hint="eastAsia"/>
          <w:sz w:val="26"/>
          <w:szCs w:val="26"/>
        </w:rPr>
        <w:t xml:space="preserve">at </w:t>
      </w:r>
      <w:r w:rsidRPr="009B2815">
        <w:rPr>
          <w:sz w:val="26"/>
          <w:szCs w:val="26"/>
        </w:rPr>
        <w:t>7</w:t>
      </w:r>
      <w:r w:rsidR="00E91E1D">
        <w:rPr>
          <w:rFonts w:hint="eastAsia"/>
          <w:sz w:val="26"/>
          <w:szCs w:val="26"/>
        </w:rPr>
        <w:t>5</w:t>
      </w:r>
      <w:r w:rsidRPr="009B2815">
        <w:rPr>
          <w:sz w:val="26"/>
          <w:szCs w:val="26"/>
        </w:rPr>
        <w:t xml:space="preserve"> billion RVU and academic medical centers </w:t>
      </w:r>
      <w:r w:rsidR="003F19CC">
        <w:rPr>
          <w:rFonts w:hint="eastAsia"/>
          <w:sz w:val="26"/>
          <w:szCs w:val="26"/>
        </w:rPr>
        <w:t xml:space="preserve">at </w:t>
      </w:r>
      <w:r w:rsidRPr="009B2815">
        <w:rPr>
          <w:sz w:val="26"/>
          <w:szCs w:val="26"/>
        </w:rPr>
        <w:t xml:space="preserve">74 billion RVU. </w:t>
      </w:r>
      <w:r w:rsidR="003F19CC">
        <w:rPr>
          <w:rFonts w:hint="eastAsia"/>
          <w:sz w:val="26"/>
          <w:szCs w:val="26"/>
        </w:rPr>
        <w:t>As for t</w:t>
      </w:r>
      <w:r w:rsidR="00E91E1D">
        <w:rPr>
          <w:rFonts w:hint="eastAsia"/>
          <w:sz w:val="26"/>
          <w:szCs w:val="26"/>
        </w:rPr>
        <w:t xml:space="preserve">he </w:t>
      </w:r>
      <w:r w:rsidRPr="009B2815">
        <w:rPr>
          <w:sz w:val="26"/>
          <w:szCs w:val="26"/>
        </w:rPr>
        <w:t xml:space="preserve">average RVU per approved case, academic medical centers had the highest amount of 2,169 RVU, followed by metropolitan hospitals </w:t>
      </w:r>
      <w:r w:rsidR="003F19CC">
        <w:rPr>
          <w:rFonts w:hint="eastAsia"/>
          <w:sz w:val="26"/>
          <w:szCs w:val="26"/>
        </w:rPr>
        <w:t xml:space="preserve">at </w:t>
      </w:r>
      <w:r w:rsidRPr="009B2815">
        <w:rPr>
          <w:sz w:val="26"/>
          <w:szCs w:val="26"/>
        </w:rPr>
        <w:t xml:space="preserve">1,610 RVU and local community hospitals </w:t>
      </w:r>
      <w:r w:rsidR="003F19CC">
        <w:rPr>
          <w:rFonts w:hint="eastAsia"/>
          <w:sz w:val="26"/>
          <w:szCs w:val="26"/>
        </w:rPr>
        <w:t xml:space="preserve">at </w:t>
      </w:r>
      <w:r w:rsidRPr="009B2815">
        <w:rPr>
          <w:sz w:val="26"/>
          <w:szCs w:val="26"/>
        </w:rPr>
        <w:t xml:space="preserve">1,202 RVU. </w:t>
      </w:r>
    </w:p>
    <w:p w:rsidR="004A39E6" w:rsidRPr="00947656" w:rsidRDefault="00AF0A86" w:rsidP="00FC5BFE">
      <w:pPr>
        <w:pStyle w:val="a5"/>
        <w:spacing w:after="120" w:line="420" w:lineRule="atLeast"/>
        <w:ind w:leftChars="236" w:left="566" w:firstLineChars="218" w:firstLine="567"/>
        <w:jc w:val="both"/>
        <w:rPr>
          <w:rFonts w:eastAsia="標楷體"/>
          <w:sz w:val="26"/>
          <w:szCs w:val="26"/>
        </w:rPr>
      </w:pPr>
      <w:r w:rsidRPr="009B2815">
        <w:rPr>
          <w:sz w:val="26"/>
          <w:szCs w:val="26"/>
        </w:rPr>
        <w:t xml:space="preserve">Analyzed by dollar amount, total outpatient expenses approved in 2011 for physician clinics </w:t>
      </w:r>
      <w:proofErr w:type="gramStart"/>
      <w:r w:rsidRPr="009B2815">
        <w:rPr>
          <w:sz w:val="26"/>
          <w:szCs w:val="26"/>
        </w:rPr>
        <w:t>w</w:t>
      </w:r>
      <w:r w:rsidR="00341E06">
        <w:rPr>
          <w:rFonts w:hint="eastAsia"/>
          <w:sz w:val="26"/>
          <w:szCs w:val="26"/>
        </w:rPr>
        <w:t>ere</w:t>
      </w:r>
      <w:proofErr w:type="gramEnd"/>
      <w:r w:rsidRPr="009B2815">
        <w:rPr>
          <w:sz w:val="26"/>
          <w:szCs w:val="26"/>
        </w:rPr>
        <w:t xml:space="preserve"> NT$12</w:t>
      </w:r>
      <w:r w:rsidR="00341E06">
        <w:rPr>
          <w:rFonts w:hint="eastAsia"/>
          <w:sz w:val="26"/>
          <w:szCs w:val="26"/>
        </w:rPr>
        <w:t>7</w:t>
      </w:r>
      <w:r w:rsidRPr="009B2815">
        <w:rPr>
          <w:sz w:val="26"/>
          <w:szCs w:val="26"/>
        </w:rPr>
        <w:t xml:space="preserve"> billion, being the highest of all. It was followed by academic medical centers </w:t>
      </w:r>
      <w:r w:rsidR="00341E06">
        <w:rPr>
          <w:rFonts w:hint="eastAsia"/>
          <w:sz w:val="26"/>
          <w:szCs w:val="26"/>
        </w:rPr>
        <w:t xml:space="preserve">at </w:t>
      </w:r>
      <w:r w:rsidRPr="009B2815">
        <w:rPr>
          <w:sz w:val="26"/>
          <w:szCs w:val="26"/>
        </w:rPr>
        <w:t>NT$</w:t>
      </w:r>
      <w:r w:rsidR="00341E06">
        <w:rPr>
          <w:rFonts w:hint="eastAsia"/>
          <w:sz w:val="26"/>
          <w:szCs w:val="26"/>
        </w:rPr>
        <w:t>70</w:t>
      </w:r>
      <w:r w:rsidRPr="009B2815">
        <w:rPr>
          <w:sz w:val="26"/>
          <w:szCs w:val="26"/>
        </w:rPr>
        <w:t xml:space="preserve"> billion and metropolitan hospitals </w:t>
      </w:r>
      <w:r w:rsidR="00341E06">
        <w:rPr>
          <w:rFonts w:hint="eastAsia"/>
          <w:sz w:val="26"/>
          <w:szCs w:val="26"/>
        </w:rPr>
        <w:t xml:space="preserve">at </w:t>
      </w:r>
      <w:r w:rsidRPr="009B2815">
        <w:rPr>
          <w:sz w:val="26"/>
          <w:szCs w:val="26"/>
        </w:rPr>
        <w:t>NT$6</w:t>
      </w:r>
      <w:r w:rsidR="00341E06">
        <w:rPr>
          <w:rFonts w:hint="eastAsia"/>
          <w:sz w:val="26"/>
          <w:szCs w:val="26"/>
        </w:rPr>
        <w:t>9</w:t>
      </w:r>
      <w:r w:rsidRPr="009B2815">
        <w:rPr>
          <w:sz w:val="26"/>
          <w:szCs w:val="26"/>
        </w:rPr>
        <w:t xml:space="preserve"> billion. In terms of average </w:t>
      </w:r>
      <w:r w:rsidR="002116AE">
        <w:rPr>
          <w:rFonts w:hint="eastAsia"/>
          <w:sz w:val="26"/>
          <w:szCs w:val="26"/>
        </w:rPr>
        <w:t xml:space="preserve">amount </w:t>
      </w:r>
      <w:r w:rsidRPr="009B2815">
        <w:rPr>
          <w:sz w:val="26"/>
          <w:szCs w:val="26"/>
        </w:rPr>
        <w:t xml:space="preserve">per approved case, academic medical centers had the highest amount of 2,047 RVU, followed by metropolitan hospitals </w:t>
      </w:r>
      <w:r w:rsidR="00341E06">
        <w:rPr>
          <w:rFonts w:hint="eastAsia"/>
          <w:sz w:val="26"/>
          <w:szCs w:val="26"/>
        </w:rPr>
        <w:t xml:space="preserve">at </w:t>
      </w:r>
      <w:r w:rsidRPr="009B2815">
        <w:rPr>
          <w:sz w:val="26"/>
          <w:szCs w:val="26"/>
        </w:rPr>
        <w:t xml:space="preserve">1,482 RVU and local community hospitals </w:t>
      </w:r>
      <w:r w:rsidR="00341E06">
        <w:rPr>
          <w:rFonts w:hint="eastAsia"/>
          <w:sz w:val="26"/>
          <w:szCs w:val="26"/>
        </w:rPr>
        <w:t xml:space="preserve">at </w:t>
      </w:r>
      <w:r w:rsidRPr="009B2815">
        <w:rPr>
          <w:sz w:val="26"/>
          <w:szCs w:val="26"/>
        </w:rPr>
        <w:t>1,073 RVU.</w:t>
      </w:r>
    </w:p>
    <w:p w:rsidR="00007623" w:rsidRPr="00947656" w:rsidRDefault="000E0FDA" w:rsidP="00730DFA">
      <w:pPr>
        <w:pStyle w:val="a5"/>
        <w:spacing w:beforeLines="25" w:line="240" w:lineRule="auto"/>
        <w:ind w:leftChars="0" w:left="1134"/>
        <w:rPr>
          <w:rFonts w:eastAsia="標楷體"/>
          <w:sz w:val="26"/>
          <w:szCs w:val="26"/>
        </w:rPr>
      </w:pPr>
      <w:r w:rsidRPr="000E0FDA">
        <w:rPr>
          <w:rFonts w:eastAsia="標楷體"/>
          <w:noProof/>
          <w:sz w:val="26"/>
          <w:szCs w:val="26"/>
        </w:rPr>
        <w:lastRenderedPageBreak/>
        <w:drawing>
          <wp:inline distT="0" distB="0" distL="0" distR="0">
            <wp:extent cx="4705350" cy="3505200"/>
            <wp:effectExtent l="19050" t="0" r="0" b="0"/>
            <wp:docPr id="18" name="圖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BD2D68" w:rsidRPr="00947656" w:rsidRDefault="00F27BAE" w:rsidP="00730DFA">
      <w:pPr>
        <w:pStyle w:val="a5"/>
        <w:spacing w:beforeLines="100" w:after="120"/>
        <w:ind w:leftChars="60" w:left="144"/>
        <w:jc w:val="both"/>
        <w:rPr>
          <w:rFonts w:eastAsia="標楷體"/>
          <w:b/>
          <w:sz w:val="26"/>
          <w:szCs w:val="26"/>
        </w:rPr>
      </w:pPr>
      <w:r>
        <w:rPr>
          <w:rFonts w:eastAsia="標楷體" w:hint="eastAsia"/>
          <w:b/>
          <w:sz w:val="26"/>
        </w:rPr>
        <w:t xml:space="preserve">ii. Inpatient </w:t>
      </w:r>
      <w:r w:rsidR="00AE37C8">
        <w:rPr>
          <w:rFonts w:eastAsia="標楷體" w:hint="eastAsia"/>
          <w:b/>
          <w:sz w:val="26"/>
        </w:rPr>
        <w:t>Service</w:t>
      </w:r>
    </w:p>
    <w:p w:rsidR="00230F8D" w:rsidRPr="00947656" w:rsidRDefault="00230F8D" w:rsidP="00FC5BFE">
      <w:pPr>
        <w:pStyle w:val="a5"/>
        <w:spacing w:after="120"/>
        <w:ind w:leftChars="119" w:left="624" w:hangingChars="130" w:hanging="338"/>
        <w:jc w:val="both"/>
        <w:rPr>
          <w:rFonts w:eastAsia="標楷體"/>
          <w:b/>
          <w:sz w:val="26"/>
        </w:rPr>
      </w:pPr>
      <w:proofErr w:type="gramStart"/>
      <w:r>
        <w:rPr>
          <w:rFonts w:hint="eastAsia"/>
          <w:b/>
          <w:bCs/>
          <w:sz w:val="26"/>
          <w:szCs w:val="26"/>
        </w:rPr>
        <w:t>a</w:t>
      </w:r>
      <w:proofErr w:type="gramEnd"/>
      <w:r>
        <w:rPr>
          <w:rFonts w:hint="eastAsia"/>
          <w:b/>
          <w:bCs/>
          <w:sz w:val="26"/>
          <w:szCs w:val="26"/>
        </w:rPr>
        <w:t xml:space="preserve">. </w:t>
      </w:r>
      <w:r w:rsidRPr="009B2815">
        <w:rPr>
          <w:b/>
          <w:bCs/>
          <w:sz w:val="26"/>
          <w:szCs w:val="26"/>
        </w:rPr>
        <w:t xml:space="preserve">In terms of the approved RVU, the average annual </w:t>
      </w:r>
      <w:r>
        <w:rPr>
          <w:rFonts w:hint="eastAsia"/>
          <w:b/>
          <w:bCs/>
          <w:sz w:val="26"/>
          <w:szCs w:val="26"/>
        </w:rPr>
        <w:t>increase</w:t>
      </w:r>
      <w:r w:rsidRPr="009B2815">
        <w:rPr>
          <w:b/>
          <w:bCs/>
          <w:sz w:val="26"/>
          <w:szCs w:val="26"/>
        </w:rPr>
        <w:t xml:space="preserve"> in the most recent </w:t>
      </w:r>
      <w:r w:rsidR="00EE1198" w:rsidRPr="009B2815">
        <w:rPr>
          <w:b/>
          <w:bCs/>
          <w:sz w:val="26"/>
          <w:szCs w:val="26"/>
        </w:rPr>
        <w:t>five years</w:t>
      </w:r>
      <w:r w:rsidRPr="009B2815">
        <w:rPr>
          <w:b/>
          <w:bCs/>
          <w:sz w:val="26"/>
          <w:szCs w:val="26"/>
        </w:rPr>
        <w:t xml:space="preserve"> was </w:t>
      </w:r>
      <w:r w:rsidR="00A56BBE">
        <w:rPr>
          <w:rFonts w:hint="eastAsia"/>
          <w:b/>
          <w:bCs/>
          <w:sz w:val="26"/>
          <w:szCs w:val="26"/>
        </w:rPr>
        <w:t>3</w:t>
      </w:r>
      <w:r w:rsidRPr="009B2815">
        <w:rPr>
          <w:b/>
          <w:bCs/>
          <w:sz w:val="26"/>
          <w:szCs w:val="26"/>
        </w:rPr>
        <w:t>.</w:t>
      </w:r>
      <w:r>
        <w:rPr>
          <w:rFonts w:hint="eastAsia"/>
          <w:b/>
          <w:bCs/>
          <w:sz w:val="26"/>
          <w:szCs w:val="26"/>
        </w:rPr>
        <w:t>2</w:t>
      </w:r>
      <w:r w:rsidRPr="009B2815">
        <w:rPr>
          <w:b/>
          <w:bCs/>
          <w:sz w:val="26"/>
          <w:szCs w:val="26"/>
        </w:rPr>
        <w:t xml:space="preserve">%. In terms of the approved amount, the average annual </w:t>
      </w:r>
      <w:r>
        <w:rPr>
          <w:rFonts w:hint="eastAsia"/>
          <w:b/>
          <w:bCs/>
          <w:sz w:val="26"/>
          <w:szCs w:val="26"/>
        </w:rPr>
        <w:t>increase</w:t>
      </w:r>
      <w:r w:rsidRPr="009B2815">
        <w:rPr>
          <w:b/>
          <w:bCs/>
          <w:sz w:val="26"/>
          <w:szCs w:val="26"/>
        </w:rPr>
        <w:t xml:space="preserve"> was </w:t>
      </w:r>
      <w:r>
        <w:rPr>
          <w:rFonts w:hint="eastAsia"/>
          <w:b/>
          <w:bCs/>
          <w:sz w:val="26"/>
          <w:szCs w:val="26"/>
        </w:rPr>
        <w:t>2.6</w:t>
      </w:r>
      <w:r w:rsidRPr="009B2815">
        <w:rPr>
          <w:b/>
          <w:bCs/>
          <w:sz w:val="26"/>
          <w:szCs w:val="26"/>
        </w:rPr>
        <w:t>%.</w:t>
      </w:r>
    </w:p>
    <w:p w:rsidR="00AF0A86" w:rsidRPr="009B2815" w:rsidRDefault="00AF0A86" w:rsidP="00230F8D">
      <w:pPr>
        <w:pStyle w:val="1"/>
        <w:spacing w:after="120" w:line="460" w:lineRule="atLeast"/>
        <w:ind w:leftChars="236" w:left="566" w:firstLineChars="218" w:firstLine="567"/>
        <w:jc w:val="both"/>
        <w:rPr>
          <w:sz w:val="26"/>
          <w:szCs w:val="26"/>
        </w:rPr>
      </w:pPr>
      <w:r w:rsidRPr="009B2815">
        <w:rPr>
          <w:sz w:val="26"/>
          <w:szCs w:val="26"/>
        </w:rPr>
        <w:t xml:space="preserve">In 2011, the total approved inpatient claims amounted to 165 billion RVU, a 3.9% increase from the previous year and 66% increase from 2001. The average annual </w:t>
      </w:r>
      <w:r w:rsidR="00FC4F9A">
        <w:rPr>
          <w:rFonts w:hint="eastAsia"/>
          <w:sz w:val="26"/>
          <w:szCs w:val="26"/>
        </w:rPr>
        <w:t>increase</w:t>
      </w:r>
      <w:r w:rsidRPr="009B2815">
        <w:rPr>
          <w:sz w:val="26"/>
          <w:szCs w:val="26"/>
        </w:rPr>
        <w:t xml:space="preserve"> in ten years was </w:t>
      </w:r>
      <w:r w:rsidR="00A56BBE">
        <w:rPr>
          <w:rFonts w:hint="eastAsia"/>
          <w:sz w:val="26"/>
          <w:szCs w:val="26"/>
        </w:rPr>
        <w:t>3</w:t>
      </w:r>
      <w:r w:rsidRPr="009B2815">
        <w:rPr>
          <w:sz w:val="26"/>
          <w:szCs w:val="26"/>
        </w:rPr>
        <w:t xml:space="preserve">.2%. The average RVU per approved case was 50,376, an increase of 813 RVU from the previous year. The average length of stay was 10.15 days, a decrease of 0.06 day from the previous year. The average RVU per diem was 4,965, an increase of 110 RVU from the previous year. </w:t>
      </w:r>
    </w:p>
    <w:p w:rsidR="00B20C97" w:rsidRPr="00947656" w:rsidRDefault="00AF0A86" w:rsidP="00230F8D">
      <w:pPr>
        <w:pStyle w:val="a5"/>
        <w:spacing w:after="120" w:line="460" w:lineRule="atLeast"/>
        <w:ind w:leftChars="236" w:left="566" w:firstLineChars="218" w:firstLine="567"/>
        <w:jc w:val="both"/>
        <w:rPr>
          <w:rFonts w:eastAsia="標楷體"/>
          <w:b/>
          <w:sz w:val="26"/>
          <w:szCs w:val="26"/>
        </w:rPr>
      </w:pPr>
      <w:r w:rsidRPr="009B2815">
        <w:rPr>
          <w:sz w:val="26"/>
          <w:szCs w:val="26"/>
        </w:rPr>
        <w:t>The total approved inpatient claims in 2011 amounted to NT$1</w:t>
      </w:r>
      <w:r w:rsidR="00090312">
        <w:rPr>
          <w:rFonts w:hint="eastAsia"/>
          <w:sz w:val="26"/>
          <w:szCs w:val="26"/>
        </w:rPr>
        <w:t>50</w:t>
      </w:r>
      <w:r w:rsidRPr="009B2815">
        <w:rPr>
          <w:sz w:val="26"/>
          <w:szCs w:val="26"/>
        </w:rPr>
        <w:t xml:space="preserve"> billion, a 0.9% increase from the previous year. The average annual </w:t>
      </w:r>
      <w:r w:rsidR="00125003">
        <w:rPr>
          <w:rFonts w:hint="eastAsia"/>
          <w:sz w:val="26"/>
          <w:szCs w:val="26"/>
        </w:rPr>
        <w:t>increase</w:t>
      </w:r>
      <w:r w:rsidRPr="009B2815">
        <w:rPr>
          <w:sz w:val="26"/>
          <w:szCs w:val="26"/>
        </w:rPr>
        <w:t xml:space="preserve"> in the most recent five years was 2.6%. The average amount per approved case was NT$45,598, a decrease of NT$570 from the previous year. The average cost per </w:t>
      </w:r>
      <w:proofErr w:type="gramStart"/>
      <w:r w:rsidRPr="009B2815">
        <w:rPr>
          <w:sz w:val="26"/>
          <w:szCs w:val="26"/>
        </w:rPr>
        <w:t>diem</w:t>
      </w:r>
      <w:proofErr w:type="gramEnd"/>
      <w:r w:rsidRPr="009B2815">
        <w:rPr>
          <w:sz w:val="26"/>
          <w:szCs w:val="26"/>
        </w:rPr>
        <w:t xml:space="preserve"> was NT$4,494, a decrease of NT$28 from the previous year.</w:t>
      </w:r>
    </w:p>
    <w:p w:rsidR="006066CE" w:rsidRPr="00947656" w:rsidRDefault="00D347C3" w:rsidP="00F465C0">
      <w:pPr>
        <w:spacing w:before="120" w:line="240" w:lineRule="auto"/>
        <w:ind w:leftChars="236" w:left="566"/>
        <w:jc w:val="center"/>
        <w:rPr>
          <w:rFonts w:eastAsia="標楷體"/>
          <w:b/>
          <w:sz w:val="26"/>
        </w:rPr>
      </w:pPr>
      <w:r w:rsidRPr="00D347C3">
        <w:rPr>
          <w:rFonts w:eastAsia="標楷體"/>
          <w:b/>
          <w:noProof/>
          <w:sz w:val="26"/>
        </w:rPr>
        <w:lastRenderedPageBreak/>
        <w:drawing>
          <wp:inline distT="0" distB="0" distL="0" distR="0">
            <wp:extent cx="4998720" cy="3474720"/>
            <wp:effectExtent l="38100" t="0" r="0" b="0"/>
            <wp:docPr id="4" name="圖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CC0A3E" w:rsidRPr="00947656" w:rsidRDefault="00CC0A3E" w:rsidP="00FC5BFE">
      <w:pPr>
        <w:pStyle w:val="a5"/>
        <w:spacing w:after="120"/>
        <w:ind w:leftChars="119" w:left="624" w:hangingChars="130" w:hanging="338"/>
        <w:jc w:val="both"/>
        <w:rPr>
          <w:rFonts w:eastAsia="標楷體"/>
          <w:b/>
          <w:sz w:val="26"/>
        </w:rPr>
      </w:pPr>
      <w:r w:rsidRPr="00947656">
        <w:rPr>
          <w:rFonts w:eastAsia="標楷體"/>
          <w:b/>
          <w:sz w:val="26"/>
        </w:rPr>
        <w:t>b.</w:t>
      </w:r>
      <w:r w:rsidR="00AF0A86" w:rsidRPr="00AF0A86">
        <w:rPr>
          <w:b/>
          <w:bCs/>
          <w:sz w:val="26"/>
          <w:szCs w:val="26"/>
        </w:rPr>
        <w:t xml:space="preserve"> </w:t>
      </w:r>
      <w:r w:rsidR="00AF0A86" w:rsidRPr="009B2815">
        <w:rPr>
          <w:b/>
          <w:bCs/>
          <w:sz w:val="26"/>
          <w:szCs w:val="26"/>
        </w:rPr>
        <w:t>Academic medical centers had the highest amount both in total RVU approved and average RVU per case.</w:t>
      </w:r>
    </w:p>
    <w:p w:rsidR="00AF0A86" w:rsidRPr="009B2815" w:rsidRDefault="00AF0A86" w:rsidP="00CF2A21">
      <w:pPr>
        <w:pStyle w:val="1"/>
        <w:spacing w:after="120" w:line="460" w:lineRule="atLeast"/>
        <w:ind w:leftChars="236" w:left="566" w:firstLineChars="218" w:firstLine="567"/>
        <w:jc w:val="both"/>
        <w:rPr>
          <w:sz w:val="26"/>
          <w:szCs w:val="26"/>
        </w:rPr>
      </w:pPr>
      <w:r w:rsidRPr="009B2815">
        <w:rPr>
          <w:sz w:val="26"/>
          <w:szCs w:val="26"/>
        </w:rPr>
        <w:t>In 2011, the inpatient benefit</w:t>
      </w:r>
      <w:r w:rsidR="00CF2A21">
        <w:rPr>
          <w:rFonts w:hint="eastAsia"/>
          <w:sz w:val="26"/>
          <w:szCs w:val="26"/>
        </w:rPr>
        <w:t xml:space="preserve"> claims</w:t>
      </w:r>
      <w:r w:rsidRPr="009B2815">
        <w:rPr>
          <w:sz w:val="26"/>
          <w:szCs w:val="26"/>
        </w:rPr>
        <w:t xml:space="preserve"> </w:t>
      </w:r>
      <w:r w:rsidR="00CF2A21">
        <w:rPr>
          <w:rFonts w:hint="eastAsia"/>
          <w:sz w:val="26"/>
          <w:szCs w:val="26"/>
        </w:rPr>
        <w:t>approved for</w:t>
      </w:r>
      <w:r w:rsidRPr="009B2815">
        <w:rPr>
          <w:sz w:val="26"/>
          <w:szCs w:val="26"/>
        </w:rPr>
        <w:t xml:space="preserve"> academic medical centers amounted to 70 billion RVU</w:t>
      </w:r>
      <w:r w:rsidR="00B545AF">
        <w:rPr>
          <w:rFonts w:hint="eastAsia"/>
          <w:sz w:val="26"/>
          <w:szCs w:val="26"/>
        </w:rPr>
        <w:t xml:space="preserve"> </w:t>
      </w:r>
      <w:r w:rsidR="00D76F55">
        <w:rPr>
          <w:rFonts w:hint="eastAsia"/>
          <w:sz w:val="26"/>
          <w:szCs w:val="26"/>
        </w:rPr>
        <w:t>(</w:t>
      </w:r>
      <w:r w:rsidRPr="009B2815">
        <w:rPr>
          <w:sz w:val="26"/>
          <w:szCs w:val="26"/>
        </w:rPr>
        <w:t>4</w:t>
      </w:r>
      <w:r w:rsidR="00CF2A21">
        <w:rPr>
          <w:rFonts w:hint="eastAsia"/>
          <w:sz w:val="26"/>
          <w:szCs w:val="26"/>
        </w:rPr>
        <w:t>2.7</w:t>
      </w:r>
      <w:r w:rsidRPr="009B2815">
        <w:rPr>
          <w:sz w:val="26"/>
          <w:szCs w:val="26"/>
        </w:rPr>
        <w:t>%</w:t>
      </w:r>
      <w:r w:rsidR="00D76F55">
        <w:rPr>
          <w:rFonts w:hint="eastAsia"/>
          <w:sz w:val="26"/>
          <w:szCs w:val="26"/>
        </w:rPr>
        <w:t>)</w:t>
      </w:r>
      <w:r w:rsidR="00B545AF">
        <w:rPr>
          <w:rFonts w:hint="eastAsia"/>
          <w:sz w:val="26"/>
          <w:szCs w:val="26"/>
        </w:rPr>
        <w:t>,</w:t>
      </w:r>
      <w:r w:rsidRPr="009B2815">
        <w:rPr>
          <w:sz w:val="26"/>
          <w:szCs w:val="26"/>
        </w:rPr>
        <w:t xml:space="preserve"> </w:t>
      </w:r>
      <w:r w:rsidR="00B545AF">
        <w:rPr>
          <w:rFonts w:hint="eastAsia"/>
          <w:sz w:val="26"/>
          <w:szCs w:val="26"/>
        </w:rPr>
        <w:t xml:space="preserve">being </w:t>
      </w:r>
      <w:r w:rsidRPr="009B2815">
        <w:rPr>
          <w:sz w:val="26"/>
          <w:szCs w:val="26"/>
        </w:rPr>
        <w:t xml:space="preserve">the highest of all. It was followed by metropolitan hospitals </w:t>
      </w:r>
      <w:r w:rsidR="00125003">
        <w:rPr>
          <w:rFonts w:hint="eastAsia"/>
          <w:sz w:val="26"/>
          <w:szCs w:val="26"/>
        </w:rPr>
        <w:t xml:space="preserve">at </w:t>
      </w:r>
      <w:r w:rsidRPr="009B2815">
        <w:rPr>
          <w:sz w:val="26"/>
          <w:szCs w:val="26"/>
        </w:rPr>
        <w:t xml:space="preserve">65 billion RVU </w:t>
      </w:r>
      <w:r w:rsidR="00D76F55">
        <w:rPr>
          <w:rFonts w:hint="eastAsia"/>
          <w:sz w:val="26"/>
          <w:szCs w:val="26"/>
        </w:rPr>
        <w:t>(</w:t>
      </w:r>
      <w:r w:rsidR="00CF2A21">
        <w:rPr>
          <w:rFonts w:hint="eastAsia"/>
          <w:sz w:val="26"/>
          <w:szCs w:val="26"/>
        </w:rPr>
        <w:t>39.5</w:t>
      </w:r>
      <w:r w:rsidRPr="009B2815">
        <w:rPr>
          <w:sz w:val="26"/>
          <w:szCs w:val="26"/>
        </w:rPr>
        <w:t>%</w:t>
      </w:r>
      <w:r w:rsidR="00D76F55">
        <w:rPr>
          <w:rFonts w:hint="eastAsia"/>
          <w:sz w:val="26"/>
          <w:szCs w:val="26"/>
        </w:rPr>
        <w:t>)</w:t>
      </w:r>
      <w:r w:rsidRPr="009B2815">
        <w:rPr>
          <w:sz w:val="26"/>
          <w:szCs w:val="26"/>
        </w:rPr>
        <w:t xml:space="preserve">, local community hospitals </w:t>
      </w:r>
      <w:r w:rsidR="00125003">
        <w:rPr>
          <w:rFonts w:hint="eastAsia"/>
          <w:sz w:val="26"/>
          <w:szCs w:val="26"/>
        </w:rPr>
        <w:t xml:space="preserve">at </w:t>
      </w:r>
      <w:r w:rsidRPr="009B2815">
        <w:rPr>
          <w:sz w:val="26"/>
          <w:szCs w:val="26"/>
        </w:rPr>
        <w:t>2</w:t>
      </w:r>
      <w:r w:rsidR="00125003">
        <w:rPr>
          <w:rFonts w:hint="eastAsia"/>
          <w:sz w:val="26"/>
          <w:szCs w:val="26"/>
        </w:rPr>
        <w:t>8</w:t>
      </w:r>
      <w:r w:rsidRPr="009B2815">
        <w:rPr>
          <w:sz w:val="26"/>
          <w:szCs w:val="26"/>
        </w:rPr>
        <w:t xml:space="preserve"> billion RVU and physician clinics </w:t>
      </w:r>
      <w:r w:rsidR="00125003">
        <w:rPr>
          <w:rFonts w:hint="eastAsia"/>
          <w:sz w:val="26"/>
          <w:szCs w:val="26"/>
        </w:rPr>
        <w:t>at 2</w:t>
      </w:r>
      <w:r w:rsidRPr="009B2815">
        <w:rPr>
          <w:sz w:val="26"/>
          <w:szCs w:val="26"/>
        </w:rPr>
        <w:t xml:space="preserve"> billion RVU.</w:t>
      </w:r>
      <w:r w:rsidR="00125003">
        <w:rPr>
          <w:rFonts w:hint="eastAsia"/>
          <w:sz w:val="26"/>
          <w:szCs w:val="26"/>
        </w:rPr>
        <w:t xml:space="preserve"> </w:t>
      </w:r>
      <w:r w:rsidRPr="009B2815">
        <w:rPr>
          <w:sz w:val="26"/>
          <w:szCs w:val="26"/>
        </w:rPr>
        <w:t xml:space="preserve">In terms of average RVU per approved case, academic medical centers had the highest amount of 66,418 RVU, followed by metropolitan hospitals </w:t>
      </w:r>
      <w:r w:rsidR="00125003">
        <w:rPr>
          <w:rFonts w:hint="eastAsia"/>
          <w:sz w:val="26"/>
          <w:szCs w:val="26"/>
        </w:rPr>
        <w:t xml:space="preserve">at </w:t>
      </w:r>
      <w:r w:rsidRPr="009B2815">
        <w:rPr>
          <w:sz w:val="26"/>
          <w:szCs w:val="26"/>
        </w:rPr>
        <w:t>43,632 RVU and local community hospitals</w:t>
      </w:r>
      <w:r w:rsidR="00125003">
        <w:rPr>
          <w:rFonts w:hint="eastAsia"/>
          <w:sz w:val="26"/>
          <w:szCs w:val="26"/>
        </w:rPr>
        <w:t xml:space="preserve"> at </w:t>
      </w:r>
      <w:r w:rsidRPr="009B2815">
        <w:rPr>
          <w:sz w:val="26"/>
          <w:szCs w:val="26"/>
        </w:rPr>
        <w:t xml:space="preserve">41,937 RVU. </w:t>
      </w:r>
    </w:p>
    <w:p w:rsidR="00AF0A86" w:rsidRPr="009B2815" w:rsidRDefault="00AF0A86" w:rsidP="00CF2A21">
      <w:pPr>
        <w:pStyle w:val="1"/>
        <w:spacing w:after="120" w:line="460" w:lineRule="atLeast"/>
        <w:ind w:leftChars="236" w:left="566" w:firstLineChars="218" w:firstLine="567"/>
        <w:jc w:val="both"/>
        <w:rPr>
          <w:b/>
          <w:bCs/>
          <w:sz w:val="26"/>
          <w:szCs w:val="26"/>
        </w:rPr>
      </w:pPr>
      <w:r w:rsidRPr="009B2815">
        <w:rPr>
          <w:sz w:val="26"/>
          <w:szCs w:val="26"/>
        </w:rPr>
        <w:t>Analyzed by dollar amount, the total inpatient claims approved in 2011 for academic medical centers amounted to NT$6</w:t>
      </w:r>
      <w:r w:rsidR="00B545AF">
        <w:rPr>
          <w:rFonts w:hint="eastAsia"/>
          <w:sz w:val="26"/>
          <w:szCs w:val="26"/>
        </w:rPr>
        <w:t>4</w:t>
      </w:r>
      <w:r w:rsidRPr="009B2815">
        <w:rPr>
          <w:sz w:val="26"/>
          <w:szCs w:val="26"/>
        </w:rPr>
        <w:t xml:space="preserve"> billion, being the highest of all. It was followed by metropolitan hospitals </w:t>
      </w:r>
      <w:r w:rsidR="00B545AF">
        <w:rPr>
          <w:rFonts w:hint="eastAsia"/>
          <w:sz w:val="26"/>
          <w:szCs w:val="26"/>
        </w:rPr>
        <w:t xml:space="preserve">at </w:t>
      </w:r>
      <w:r w:rsidRPr="009B2815">
        <w:rPr>
          <w:sz w:val="26"/>
          <w:szCs w:val="26"/>
        </w:rPr>
        <w:t xml:space="preserve">NT$59 billion, local community hospitals </w:t>
      </w:r>
      <w:r w:rsidR="00B545AF">
        <w:rPr>
          <w:rFonts w:hint="eastAsia"/>
          <w:sz w:val="26"/>
          <w:szCs w:val="26"/>
        </w:rPr>
        <w:t xml:space="preserve">at </w:t>
      </w:r>
      <w:r w:rsidRPr="009B2815">
        <w:rPr>
          <w:sz w:val="26"/>
          <w:szCs w:val="26"/>
        </w:rPr>
        <w:t>NT$2</w:t>
      </w:r>
      <w:r w:rsidR="00B545AF">
        <w:rPr>
          <w:rFonts w:hint="eastAsia"/>
          <w:sz w:val="26"/>
          <w:szCs w:val="26"/>
        </w:rPr>
        <w:t>5</w:t>
      </w:r>
      <w:r w:rsidRPr="009B2815">
        <w:rPr>
          <w:sz w:val="26"/>
          <w:szCs w:val="26"/>
        </w:rPr>
        <w:t xml:space="preserve"> billion and physician clinics </w:t>
      </w:r>
      <w:r w:rsidR="00B545AF">
        <w:rPr>
          <w:rFonts w:hint="eastAsia"/>
          <w:sz w:val="26"/>
          <w:szCs w:val="26"/>
        </w:rPr>
        <w:t xml:space="preserve">at </w:t>
      </w:r>
      <w:r w:rsidRPr="009B2815">
        <w:rPr>
          <w:sz w:val="26"/>
          <w:szCs w:val="26"/>
        </w:rPr>
        <w:t>NT$</w:t>
      </w:r>
      <w:r w:rsidR="00B545AF">
        <w:rPr>
          <w:rFonts w:hint="eastAsia"/>
          <w:sz w:val="26"/>
          <w:szCs w:val="26"/>
        </w:rPr>
        <w:t>2</w:t>
      </w:r>
      <w:r w:rsidRPr="009B2815">
        <w:rPr>
          <w:sz w:val="26"/>
          <w:szCs w:val="26"/>
        </w:rPr>
        <w:t xml:space="preserve"> billion. The academic medical centers had the highest average amount per case </w:t>
      </w:r>
      <w:r w:rsidR="00B545AF">
        <w:rPr>
          <w:rFonts w:hint="eastAsia"/>
          <w:sz w:val="26"/>
          <w:szCs w:val="26"/>
        </w:rPr>
        <w:t xml:space="preserve">of </w:t>
      </w:r>
      <w:r w:rsidRPr="009B2815">
        <w:rPr>
          <w:sz w:val="26"/>
          <w:szCs w:val="26"/>
        </w:rPr>
        <w:t>NT$60,292</w:t>
      </w:r>
      <w:r w:rsidR="00B545AF">
        <w:rPr>
          <w:rFonts w:hint="eastAsia"/>
          <w:sz w:val="26"/>
          <w:szCs w:val="26"/>
        </w:rPr>
        <w:t>,</w:t>
      </w:r>
      <w:r w:rsidRPr="009B2815">
        <w:rPr>
          <w:sz w:val="26"/>
          <w:szCs w:val="26"/>
        </w:rPr>
        <w:t xml:space="preserve"> followed by metropolitan hospitals </w:t>
      </w:r>
      <w:r w:rsidR="00B545AF">
        <w:rPr>
          <w:rFonts w:hint="eastAsia"/>
          <w:sz w:val="26"/>
          <w:szCs w:val="26"/>
        </w:rPr>
        <w:t xml:space="preserve">at </w:t>
      </w:r>
      <w:r w:rsidRPr="009B2815">
        <w:rPr>
          <w:sz w:val="26"/>
          <w:szCs w:val="26"/>
        </w:rPr>
        <w:t>NT</w:t>
      </w:r>
      <w:r w:rsidR="00CF2A21">
        <w:rPr>
          <w:rFonts w:hint="eastAsia"/>
          <w:sz w:val="26"/>
          <w:szCs w:val="26"/>
        </w:rPr>
        <w:t>$</w:t>
      </w:r>
      <w:r w:rsidRPr="009B2815">
        <w:rPr>
          <w:sz w:val="26"/>
          <w:szCs w:val="26"/>
        </w:rPr>
        <w:t xml:space="preserve">39,420, local community hospitals </w:t>
      </w:r>
      <w:r w:rsidR="00B545AF">
        <w:rPr>
          <w:rFonts w:hint="eastAsia"/>
          <w:sz w:val="26"/>
          <w:szCs w:val="26"/>
        </w:rPr>
        <w:t xml:space="preserve">at </w:t>
      </w:r>
      <w:r w:rsidRPr="009B2815">
        <w:rPr>
          <w:sz w:val="26"/>
          <w:szCs w:val="26"/>
        </w:rPr>
        <w:t>NT$37,605 and physician</w:t>
      </w:r>
      <w:r w:rsidR="00B545AF">
        <w:rPr>
          <w:rFonts w:hint="eastAsia"/>
          <w:sz w:val="26"/>
          <w:szCs w:val="26"/>
        </w:rPr>
        <w:t xml:space="preserve"> </w:t>
      </w:r>
      <w:r w:rsidRPr="009B2815">
        <w:rPr>
          <w:sz w:val="26"/>
          <w:szCs w:val="26"/>
        </w:rPr>
        <w:t xml:space="preserve">clinics </w:t>
      </w:r>
      <w:r w:rsidR="00B545AF">
        <w:rPr>
          <w:rFonts w:hint="eastAsia"/>
          <w:sz w:val="26"/>
          <w:szCs w:val="26"/>
        </w:rPr>
        <w:t xml:space="preserve">at </w:t>
      </w:r>
      <w:r w:rsidRPr="009B2815">
        <w:rPr>
          <w:sz w:val="26"/>
          <w:szCs w:val="26"/>
        </w:rPr>
        <w:t>NT$28,400.</w:t>
      </w:r>
    </w:p>
    <w:p w:rsidR="007B592A" w:rsidRPr="00AF0A86" w:rsidRDefault="007B592A" w:rsidP="00730DFA">
      <w:pPr>
        <w:spacing w:beforeLines="25" w:line="440" w:lineRule="exact"/>
        <w:jc w:val="both"/>
        <w:rPr>
          <w:rFonts w:eastAsia="標楷體"/>
          <w:b/>
          <w:sz w:val="26"/>
        </w:rPr>
      </w:pPr>
    </w:p>
    <w:p w:rsidR="00CC0A3E" w:rsidRPr="00947656" w:rsidRDefault="00F465C0" w:rsidP="00C5057B">
      <w:pPr>
        <w:spacing w:before="120" w:line="240" w:lineRule="auto"/>
        <w:jc w:val="center"/>
        <w:rPr>
          <w:rFonts w:eastAsia="標楷體"/>
          <w:b/>
          <w:sz w:val="26"/>
        </w:rPr>
      </w:pPr>
      <w:r w:rsidRPr="00F465C0">
        <w:rPr>
          <w:rFonts w:eastAsia="標楷體"/>
          <w:b/>
          <w:noProof/>
          <w:sz w:val="26"/>
        </w:rPr>
        <w:lastRenderedPageBreak/>
        <w:drawing>
          <wp:inline distT="0" distB="0" distL="0" distR="0">
            <wp:extent cx="4705350" cy="3032760"/>
            <wp:effectExtent l="19050" t="0" r="0" b="0"/>
            <wp:docPr id="3" name="圖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415189" w:rsidRPr="00947656" w:rsidRDefault="00AE37C8" w:rsidP="00401F58">
      <w:pPr>
        <w:spacing w:before="480" w:after="120"/>
        <w:jc w:val="both"/>
        <w:rPr>
          <w:rFonts w:eastAsia="標楷體"/>
          <w:b/>
          <w:sz w:val="26"/>
        </w:rPr>
      </w:pPr>
      <w:r>
        <w:rPr>
          <w:rFonts w:eastAsia="標楷體" w:hint="eastAsia"/>
          <w:b/>
          <w:sz w:val="26"/>
        </w:rPr>
        <w:t>（</w:t>
      </w:r>
      <w:r w:rsidR="00765E96" w:rsidRPr="00947656">
        <w:rPr>
          <w:rFonts w:eastAsia="標楷體"/>
          <w:b/>
          <w:sz w:val="26"/>
        </w:rPr>
        <w:t>3</w:t>
      </w:r>
      <w:r>
        <w:rPr>
          <w:rFonts w:eastAsia="標楷體" w:hint="eastAsia"/>
          <w:b/>
          <w:sz w:val="26"/>
        </w:rPr>
        <w:t>）</w:t>
      </w:r>
      <w:r w:rsidRPr="00217334">
        <w:rPr>
          <w:rFonts w:eastAsia="標楷體" w:hint="eastAsia"/>
          <w:b/>
          <w:sz w:val="26"/>
          <w:szCs w:val="26"/>
        </w:rPr>
        <w:t>Medical</w:t>
      </w:r>
      <w:r>
        <w:rPr>
          <w:rFonts w:eastAsia="標楷體" w:hint="eastAsia"/>
          <w:b/>
          <w:sz w:val="26"/>
        </w:rPr>
        <w:t xml:space="preserve"> Expenses</w:t>
      </w:r>
      <w:r w:rsidR="00323271" w:rsidRPr="00947656">
        <w:rPr>
          <w:rFonts w:eastAsia="標楷體" w:hAnsi="標楷體"/>
          <w:b/>
          <w:sz w:val="26"/>
        </w:rPr>
        <w:t>（</w:t>
      </w:r>
      <w:r>
        <w:rPr>
          <w:rFonts w:eastAsia="標楷體" w:hAnsi="標楷體" w:hint="eastAsia"/>
          <w:b/>
          <w:sz w:val="26"/>
        </w:rPr>
        <w:t>Copayments</w:t>
      </w:r>
      <w:r w:rsidR="00E13AD2">
        <w:rPr>
          <w:rFonts w:eastAsia="標楷體" w:hAnsi="標楷體" w:hint="eastAsia"/>
          <w:b/>
          <w:sz w:val="26"/>
        </w:rPr>
        <w:t xml:space="preserve"> Included</w:t>
      </w:r>
      <w:r w:rsidR="00323271" w:rsidRPr="00947656">
        <w:rPr>
          <w:rFonts w:eastAsia="標楷體" w:hAnsi="標楷體"/>
          <w:b/>
          <w:sz w:val="26"/>
        </w:rPr>
        <w:t>）</w:t>
      </w:r>
    </w:p>
    <w:p w:rsidR="0093289A" w:rsidRPr="00947656" w:rsidRDefault="00AF0A86" w:rsidP="00730DFA">
      <w:pPr>
        <w:pStyle w:val="1"/>
        <w:kinsoku w:val="0"/>
        <w:spacing w:afterLines="50" w:line="420" w:lineRule="exact"/>
        <w:ind w:leftChars="100" w:left="240" w:firstLineChars="200" w:firstLine="520"/>
        <w:jc w:val="both"/>
        <w:rPr>
          <w:rFonts w:eastAsia="標楷體"/>
          <w:sz w:val="26"/>
        </w:rPr>
      </w:pPr>
      <w:r w:rsidRPr="009B2815">
        <w:rPr>
          <w:sz w:val="26"/>
          <w:szCs w:val="26"/>
        </w:rPr>
        <w:t>The total medical expenses (copayments</w:t>
      </w:r>
      <w:r w:rsidR="00E13AD2">
        <w:rPr>
          <w:rFonts w:hint="eastAsia"/>
          <w:sz w:val="26"/>
          <w:szCs w:val="26"/>
        </w:rPr>
        <w:t xml:space="preserve"> </w:t>
      </w:r>
      <w:r w:rsidR="00E13AD2">
        <w:rPr>
          <w:sz w:val="26"/>
          <w:szCs w:val="26"/>
        </w:rPr>
        <w:t>includ</w:t>
      </w:r>
      <w:r w:rsidR="00E13AD2">
        <w:rPr>
          <w:rFonts w:hint="eastAsia"/>
          <w:sz w:val="26"/>
          <w:szCs w:val="26"/>
        </w:rPr>
        <w:t>ed</w:t>
      </w:r>
      <w:r w:rsidRPr="009B2815">
        <w:rPr>
          <w:sz w:val="26"/>
          <w:szCs w:val="26"/>
        </w:rPr>
        <w:t>) in 2011 amounted to 55</w:t>
      </w:r>
      <w:r w:rsidR="00E13AD2">
        <w:rPr>
          <w:rFonts w:hint="eastAsia"/>
          <w:sz w:val="26"/>
          <w:szCs w:val="26"/>
        </w:rPr>
        <w:t>9</w:t>
      </w:r>
      <w:r w:rsidRPr="009B2815">
        <w:rPr>
          <w:sz w:val="26"/>
          <w:szCs w:val="26"/>
        </w:rPr>
        <w:t xml:space="preserve"> </w:t>
      </w:r>
      <w:r w:rsidR="008F4EC9">
        <w:rPr>
          <w:rFonts w:hint="eastAsia"/>
          <w:sz w:val="26"/>
          <w:szCs w:val="26"/>
        </w:rPr>
        <w:t xml:space="preserve">billion </w:t>
      </w:r>
      <w:r w:rsidRPr="009B2815">
        <w:rPr>
          <w:sz w:val="26"/>
          <w:szCs w:val="26"/>
        </w:rPr>
        <w:t xml:space="preserve">RVU, of which outpatient </w:t>
      </w:r>
      <w:r w:rsidR="00604653">
        <w:rPr>
          <w:rFonts w:hint="eastAsia"/>
          <w:sz w:val="26"/>
          <w:szCs w:val="26"/>
        </w:rPr>
        <w:t>expenses</w:t>
      </w:r>
      <w:r w:rsidRPr="009B2815">
        <w:rPr>
          <w:sz w:val="26"/>
          <w:szCs w:val="26"/>
        </w:rPr>
        <w:t xml:space="preserve"> accounted for 38</w:t>
      </w:r>
      <w:r w:rsidR="00E13AD2">
        <w:rPr>
          <w:rFonts w:hint="eastAsia"/>
          <w:sz w:val="26"/>
          <w:szCs w:val="26"/>
        </w:rPr>
        <w:t>5</w:t>
      </w:r>
      <w:r w:rsidRPr="009B2815">
        <w:rPr>
          <w:sz w:val="26"/>
          <w:szCs w:val="26"/>
        </w:rPr>
        <w:t xml:space="preserve"> billion RVU </w:t>
      </w:r>
      <w:r w:rsidR="00D76F55">
        <w:rPr>
          <w:rFonts w:hint="eastAsia"/>
          <w:sz w:val="26"/>
          <w:szCs w:val="26"/>
        </w:rPr>
        <w:t>(</w:t>
      </w:r>
      <w:r w:rsidR="00FC2368">
        <w:rPr>
          <w:rFonts w:hint="eastAsia"/>
          <w:sz w:val="26"/>
          <w:szCs w:val="26"/>
        </w:rPr>
        <w:t>68.9</w:t>
      </w:r>
      <w:r w:rsidRPr="009B2815">
        <w:rPr>
          <w:sz w:val="26"/>
          <w:szCs w:val="26"/>
        </w:rPr>
        <w:t>%</w:t>
      </w:r>
      <w:r w:rsidR="00D76F55">
        <w:rPr>
          <w:rFonts w:hint="eastAsia"/>
          <w:sz w:val="26"/>
          <w:szCs w:val="26"/>
        </w:rPr>
        <w:t>)</w:t>
      </w:r>
      <w:r w:rsidRPr="009B2815">
        <w:rPr>
          <w:sz w:val="26"/>
          <w:szCs w:val="26"/>
        </w:rPr>
        <w:t>, mainly used for consultation, treatment and medical supplies</w:t>
      </w:r>
      <w:r w:rsidR="008F4EC9">
        <w:rPr>
          <w:rFonts w:hint="eastAsia"/>
          <w:sz w:val="26"/>
          <w:szCs w:val="26"/>
        </w:rPr>
        <w:t>,</w:t>
      </w:r>
      <w:r w:rsidRPr="009B2815">
        <w:rPr>
          <w:sz w:val="26"/>
          <w:szCs w:val="26"/>
        </w:rPr>
        <w:t xml:space="preserve"> </w:t>
      </w:r>
      <w:r w:rsidR="008F4EC9">
        <w:rPr>
          <w:rFonts w:hint="eastAsia"/>
          <w:sz w:val="26"/>
          <w:szCs w:val="26"/>
        </w:rPr>
        <w:t>followed by d</w:t>
      </w:r>
      <w:r w:rsidRPr="009B2815">
        <w:rPr>
          <w:sz w:val="26"/>
          <w:szCs w:val="26"/>
        </w:rPr>
        <w:t xml:space="preserve">rug fees. </w:t>
      </w:r>
      <w:r w:rsidR="00604653">
        <w:rPr>
          <w:rFonts w:hint="eastAsia"/>
          <w:sz w:val="26"/>
          <w:szCs w:val="26"/>
        </w:rPr>
        <w:t>I</w:t>
      </w:r>
      <w:r w:rsidRPr="009B2815">
        <w:rPr>
          <w:sz w:val="26"/>
          <w:szCs w:val="26"/>
        </w:rPr>
        <w:t xml:space="preserve">npatient </w:t>
      </w:r>
      <w:r w:rsidR="00604653">
        <w:rPr>
          <w:rFonts w:hint="eastAsia"/>
          <w:sz w:val="26"/>
          <w:szCs w:val="26"/>
        </w:rPr>
        <w:t>medical expenses</w:t>
      </w:r>
      <w:r w:rsidRPr="009B2815">
        <w:rPr>
          <w:sz w:val="26"/>
          <w:szCs w:val="26"/>
        </w:rPr>
        <w:t xml:space="preserve"> amounted to 17</w:t>
      </w:r>
      <w:r w:rsidR="00E13AD2">
        <w:rPr>
          <w:rFonts w:hint="eastAsia"/>
          <w:sz w:val="26"/>
          <w:szCs w:val="26"/>
        </w:rPr>
        <w:t>4</w:t>
      </w:r>
      <w:r w:rsidRPr="009B2815">
        <w:rPr>
          <w:sz w:val="26"/>
          <w:szCs w:val="26"/>
        </w:rPr>
        <w:t xml:space="preserve"> billion RVU </w:t>
      </w:r>
      <w:r w:rsidR="00D76F55">
        <w:rPr>
          <w:rFonts w:hint="eastAsia"/>
          <w:sz w:val="26"/>
          <w:szCs w:val="26"/>
        </w:rPr>
        <w:t>(</w:t>
      </w:r>
      <w:r w:rsidRPr="009B2815">
        <w:rPr>
          <w:sz w:val="26"/>
          <w:szCs w:val="26"/>
        </w:rPr>
        <w:t>3</w:t>
      </w:r>
      <w:r w:rsidR="00FC2368">
        <w:rPr>
          <w:rFonts w:hint="eastAsia"/>
          <w:sz w:val="26"/>
          <w:szCs w:val="26"/>
        </w:rPr>
        <w:t>1.1</w:t>
      </w:r>
      <w:r w:rsidRPr="009B2815">
        <w:rPr>
          <w:sz w:val="26"/>
          <w:szCs w:val="26"/>
        </w:rPr>
        <w:t>%</w:t>
      </w:r>
      <w:r w:rsidR="00D76F55">
        <w:rPr>
          <w:rFonts w:hint="eastAsia"/>
          <w:sz w:val="26"/>
          <w:szCs w:val="26"/>
        </w:rPr>
        <w:t>)</w:t>
      </w:r>
      <w:r w:rsidRPr="009B2815">
        <w:rPr>
          <w:sz w:val="26"/>
          <w:szCs w:val="26"/>
        </w:rPr>
        <w:t>. They were mostly for ward fees, followed by drug fees and surgical fees.</w:t>
      </w:r>
    </w:p>
    <w:p w:rsidR="005D4809" w:rsidRPr="00947656" w:rsidRDefault="00AE37C8" w:rsidP="00401F58">
      <w:pPr>
        <w:pStyle w:val="a5"/>
        <w:spacing w:after="120"/>
        <w:ind w:leftChars="60" w:left="144"/>
        <w:jc w:val="both"/>
        <w:rPr>
          <w:rFonts w:eastAsia="標楷體"/>
          <w:b/>
          <w:sz w:val="26"/>
        </w:rPr>
      </w:pPr>
      <w:proofErr w:type="spellStart"/>
      <w:r>
        <w:rPr>
          <w:rFonts w:eastAsia="標楷體" w:hint="eastAsia"/>
          <w:b/>
          <w:sz w:val="26"/>
          <w:szCs w:val="26"/>
        </w:rPr>
        <w:t>i</w:t>
      </w:r>
      <w:proofErr w:type="spellEnd"/>
      <w:r>
        <w:rPr>
          <w:rFonts w:eastAsia="標楷體" w:hint="eastAsia"/>
          <w:b/>
          <w:sz w:val="26"/>
          <w:szCs w:val="26"/>
        </w:rPr>
        <w:t xml:space="preserve">. Outpatient </w:t>
      </w:r>
      <w:r w:rsidRPr="00217334">
        <w:rPr>
          <w:rFonts w:eastAsia="標楷體" w:hint="eastAsia"/>
          <w:b/>
          <w:sz w:val="26"/>
        </w:rPr>
        <w:t>Service</w:t>
      </w:r>
    </w:p>
    <w:p w:rsidR="00BF2112" w:rsidRPr="00947656" w:rsidRDefault="00BF2112" w:rsidP="00A17AC1">
      <w:pPr>
        <w:pStyle w:val="a5"/>
        <w:spacing w:after="120"/>
        <w:ind w:leftChars="118" w:left="595" w:hangingChars="120" w:hanging="312"/>
        <w:jc w:val="both"/>
        <w:rPr>
          <w:rFonts w:eastAsia="標楷體"/>
          <w:b/>
          <w:sz w:val="26"/>
        </w:rPr>
      </w:pPr>
      <w:r w:rsidRPr="00947656">
        <w:rPr>
          <w:rFonts w:eastAsia="標楷體"/>
          <w:b/>
          <w:sz w:val="26"/>
        </w:rPr>
        <w:t>a.</w:t>
      </w:r>
      <w:r w:rsidR="0036322C" w:rsidRPr="00947656">
        <w:rPr>
          <w:rFonts w:eastAsia="標楷體"/>
          <w:b/>
          <w:sz w:val="26"/>
        </w:rPr>
        <w:t xml:space="preserve"> </w:t>
      </w:r>
      <w:r w:rsidR="00AF0A86" w:rsidRPr="00241A33">
        <w:rPr>
          <w:b/>
          <w:bCs/>
          <w:spacing w:val="-2"/>
          <w:sz w:val="26"/>
          <w:szCs w:val="26"/>
        </w:rPr>
        <w:t>Consultation, treatment and medical supplies accounted for the largest proportion of the medical expenses.</w:t>
      </w:r>
    </w:p>
    <w:p w:rsidR="005C6BF7" w:rsidRPr="00947656" w:rsidRDefault="00AF0A86" w:rsidP="00217334">
      <w:pPr>
        <w:pStyle w:val="a5"/>
        <w:spacing w:after="120" w:line="440" w:lineRule="atLeast"/>
        <w:ind w:leftChars="236" w:left="566" w:firstLineChars="218" w:firstLine="567"/>
        <w:jc w:val="both"/>
        <w:rPr>
          <w:rFonts w:eastAsia="標楷體"/>
          <w:b/>
          <w:noProof/>
          <w:sz w:val="26"/>
        </w:rPr>
      </w:pPr>
      <w:r w:rsidRPr="009B2815">
        <w:rPr>
          <w:sz w:val="26"/>
          <w:szCs w:val="26"/>
        </w:rPr>
        <w:t xml:space="preserve">In 2011, the outpatient </w:t>
      </w:r>
      <w:r w:rsidR="00604653">
        <w:rPr>
          <w:rFonts w:hint="eastAsia"/>
          <w:sz w:val="26"/>
          <w:szCs w:val="26"/>
        </w:rPr>
        <w:t>medical expenses</w:t>
      </w:r>
      <w:r w:rsidRPr="009B2815">
        <w:rPr>
          <w:sz w:val="26"/>
          <w:szCs w:val="26"/>
        </w:rPr>
        <w:t xml:space="preserve"> for academic medical centers amounted to 81 billion RVU, of which drug </w:t>
      </w:r>
      <w:r w:rsidR="00F70811">
        <w:rPr>
          <w:rFonts w:hint="eastAsia"/>
          <w:sz w:val="26"/>
          <w:szCs w:val="26"/>
        </w:rPr>
        <w:t>fees</w:t>
      </w:r>
      <w:r w:rsidRPr="009B2815">
        <w:rPr>
          <w:sz w:val="26"/>
          <w:szCs w:val="26"/>
        </w:rPr>
        <w:t xml:space="preserve"> accounted for the largest proportion. It was followed by the consultation, treatment and medical suppl</w:t>
      </w:r>
      <w:r w:rsidR="00F70811">
        <w:rPr>
          <w:rFonts w:hint="eastAsia"/>
          <w:sz w:val="26"/>
          <w:szCs w:val="26"/>
        </w:rPr>
        <w:t>y fees</w:t>
      </w:r>
      <w:r w:rsidRPr="009B2815">
        <w:rPr>
          <w:sz w:val="26"/>
          <w:szCs w:val="26"/>
        </w:rPr>
        <w:t xml:space="preserve">. Metropolitan and local community hospitals respectively had 83 billion RVU and 40 billion RVU. In </w:t>
      </w:r>
      <w:proofErr w:type="gramStart"/>
      <w:r w:rsidRPr="009B2815">
        <w:rPr>
          <w:sz w:val="26"/>
          <w:szCs w:val="26"/>
        </w:rPr>
        <w:t>both cases</w:t>
      </w:r>
      <w:proofErr w:type="gramEnd"/>
      <w:r w:rsidRPr="009B2815">
        <w:rPr>
          <w:sz w:val="26"/>
          <w:szCs w:val="26"/>
        </w:rPr>
        <w:t>, consultation, treatment and medical supplies</w:t>
      </w:r>
      <w:r w:rsidR="00271FA3">
        <w:rPr>
          <w:rFonts w:hint="eastAsia"/>
          <w:sz w:val="26"/>
          <w:szCs w:val="26"/>
        </w:rPr>
        <w:t xml:space="preserve"> was </w:t>
      </w:r>
      <w:r w:rsidR="00271FA3" w:rsidRPr="009B2815">
        <w:rPr>
          <w:sz w:val="26"/>
          <w:szCs w:val="26"/>
        </w:rPr>
        <w:t>the highest cost</w:t>
      </w:r>
      <w:r w:rsidR="00271FA3">
        <w:rPr>
          <w:rFonts w:hint="eastAsia"/>
          <w:sz w:val="26"/>
          <w:szCs w:val="26"/>
        </w:rPr>
        <w:t>, followed by</w:t>
      </w:r>
      <w:r w:rsidRPr="009B2815">
        <w:rPr>
          <w:sz w:val="26"/>
          <w:szCs w:val="26"/>
        </w:rPr>
        <w:t xml:space="preserve"> the drug fees. Physician clinics accounted for 155 billion RVU</w:t>
      </w:r>
      <w:r w:rsidR="00F70811">
        <w:rPr>
          <w:rFonts w:hint="eastAsia"/>
          <w:sz w:val="26"/>
          <w:szCs w:val="26"/>
        </w:rPr>
        <w:t>.</w:t>
      </w:r>
      <w:r w:rsidRPr="009B2815">
        <w:rPr>
          <w:sz w:val="26"/>
          <w:szCs w:val="26"/>
        </w:rPr>
        <w:t xml:space="preserve"> </w:t>
      </w:r>
      <w:proofErr w:type="gramStart"/>
      <w:r w:rsidR="004332F3">
        <w:rPr>
          <w:rFonts w:hint="eastAsia"/>
          <w:sz w:val="26"/>
          <w:szCs w:val="26"/>
        </w:rPr>
        <w:t>D</w:t>
      </w:r>
      <w:r w:rsidR="004332F3" w:rsidRPr="009B2815">
        <w:rPr>
          <w:sz w:val="26"/>
          <w:szCs w:val="26"/>
        </w:rPr>
        <w:t>iagnosis fee</w:t>
      </w:r>
      <w:r w:rsidR="004332F3">
        <w:rPr>
          <w:rFonts w:hint="eastAsia"/>
          <w:sz w:val="26"/>
          <w:szCs w:val="26"/>
        </w:rPr>
        <w:t>s was</w:t>
      </w:r>
      <w:proofErr w:type="gramEnd"/>
      <w:r w:rsidR="004332F3">
        <w:rPr>
          <w:rFonts w:hint="eastAsia"/>
          <w:sz w:val="26"/>
          <w:szCs w:val="26"/>
        </w:rPr>
        <w:t xml:space="preserve"> t</w:t>
      </w:r>
      <w:r w:rsidRPr="009B2815">
        <w:rPr>
          <w:sz w:val="26"/>
          <w:szCs w:val="26"/>
        </w:rPr>
        <w:t>he highest cost</w:t>
      </w:r>
      <w:r w:rsidR="00F70811">
        <w:rPr>
          <w:rFonts w:hint="eastAsia"/>
          <w:sz w:val="26"/>
          <w:szCs w:val="26"/>
        </w:rPr>
        <w:t>,</w:t>
      </w:r>
      <w:r w:rsidRPr="009B2815">
        <w:rPr>
          <w:sz w:val="26"/>
          <w:szCs w:val="26"/>
        </w:rPr>
        <w:t xml:space="preserve"> followed by the expenses for consultation, treatment and medical supplies.</w:t>
      </w:r>
    </w:p>
    <w:p w:rsidR="000527E9" w:rsidRPr="00947656" w:rsidRDefault="000E0FDA" w:rsidP="00730DFA">
      <w:pPr>
        <w:spacing w:beforeLines="50" w:afterLines="50"/>
        <w:ind w:left="479" w:hangingChars="184" w:hanging="479"/>
        <w:jc w:val="center"/>
        <w:rPr>
          <w:rFonts w:eastAsia="標楷體"/>
          <w:b/>
          <w:noProof/>
          <w:sz w:val="26"/>
        </w:rPr>
      </w:pPr>
      <w:r w:rsidRPr="000E0FDA">
        <w:rPr>
          <w:rFonts w:eastAsia="標楷體"/>
          <w:b/>
          <w:noProof/>
          <w:sz w:val="26"/>
        </w:rPr>
        <w:lastRenderedPageBreak/>
        <w:drawing>
          <wp:inline distT="0" distB="0" distL="0" distR="0">
            <wp:extent cx="5486400" cy="2872740"/>
            <wp:effectExtent l="0" t="0" r="0" b="0"/>
            <wp:docPr id="19" name="圖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BF2112" w:rsidRPr="00947656" w:rsidRDefault="00BF2112" w:rsidP="001D2927">
      <w:pPr>
        <w:pStyle w:val="a5"/>
        <w:spacing w:after="120"/>
        <w:ind w:leftChars="119" w:left="624" w:hangingChars="130" w:hanging="338"/>
        <w:jc w:val="both"/>
        <w:rPr>
          <w:rFonts w:eastAsia="標楷體"/>
          <w:b/>
          <w:sz w:val="26"/>
        </w:rPr>
      </w:pPr>
      <w:r w:rsidRPr="00947656">
        <w:rPr>
          <w:rFonts w:eastAsia="標楷體"/>
          <w:b/>
          <w:sz w:val="26"/>
        </w:rPr>
        <w:t>b.</w:t>
      </w:r>
      <w:r w:rsidR="00AF0A86" w:rsidRPr="00AF0A86">
        <w:rPr>
          <w:b/>
          <w:bCs/>
          <w:sz w:val="26"/>
          <w:szCs w:val="26"/>
        </w:rPr>
        <w:t xml:space="preserve"> </w:t>
      </w:r>
      <w:r w:rsidR="00AF0A86" w:rsidRPr="009B2815">
        <w:rPr>
          <w:b/>
          <w:bCs/>
          <w:sz w:val="26"/>
          <w:szCs w:val="26"/>
        </w:rPr>
        <w:t xml:space="preserve">Drug fees represented the largest proportion of expenses in hospitals. Diagnosis fees were the highest in </w:t>
      </w:r>
      <w:r w:rsidR="00067751">
        <w:rPr>
          <w:rFonts w:hint="eastAsia"/>
          <w:b/>
          <w:bCs/>
          <w:sz w:val="26"/>
          <w:szCs w:val="26"/>
        </w:rPr>
        <w:t xml:space="preserve">both </w:t>
      </w:r>
      <w:r w:rsidR="00AF0A86" w:rsidRPr="009B2815">
        <w:rPr>
          <w:b/>
          <w:bCs/>
          <w:sz w:val="26"/>
          <w:szCs w:val="26"/>
        </w:rPr>
        <w:t>physician clinics and Chinese medicine.</w:t>
      </w:r>
    </w:p>
    <w:p w:rsidR="00BF2112" w:rsidRPr="00947656" w:rsidRDefault="00AF0A86" w:rsidP="00293F58">
      <w:pPr>
        <w:pStyle w:val="a5"/>
        <w:tabs>
          <w:tab w:val="left" w:pos="851"/>
        </w:tabs>
        <w:spacing w:line="380" w:lineRule="atLeast"/>
        <w:ind w:leftChars="236" w:left="566" w:firstLineChars="218" w:firstLine="567"/>
        <w:jc w:val="both"/>
        <w:rPr>
          <w:rFonts w:eastAsia="標楷體"/>
          <w:b/>
          <w:sz w:val="26"/>
        </w:rPr>
      </w:pPr>
      <w:r w:rsidRPr="009B2815">
        <w:rPr>
          <w:sz w:val="26"/>
          <w:szCs w:val="26"/>
        </w:rPr>
        <w:t>B</w:t>
      </w:r>
      <w:r w:rsidR="00E45950">
        <w:rPr>
          <w:rFonts w:hint="eastAsia"/>
          <w:sz w:val="26"/>
          <w:szCs w:val="26"/>
        </w:rPr>
        <w:t>roken down by</w:t>
      </w:r>
      <w:r w:rsidRPr="009B2815">
        <w:rPr>
          <w:sz w:val="26"/>
          <w:szCs w:val="26"/>
        </w:rPr>
        <w:t xml:space="preserve"> the global budget payment system, outpatient expense</w:t>
      </w:r>
      <w:r w:rsidR="00A17AC1">
        <w:rPr>
          <w:rFonts w:hint="eastAsia"/>
          <w:sz w:val="26"/>
          <w:szCs w:val="26"/>
        </w:rPr>
        <w:t>s</w:t>
      </w:r>
      <w:r w:rsidRPr="009B2815">
        <w:rPr>
          <w:sz w:val="26"/>
          <w:szCs w:val="26"/>
        </w:rPr>
        <w:t xml:space="preserve"> for hospitals in 2011 w</w:t>
      </w:r>
      <w:r w:rsidR="00A17AC1">
        <w:rPr>
          <w:rFonts w:hint="eastAsia"/>
          <w:sz w:val="26"/>
          <w:szCs w:val="26"/>
        </w:rPr>
        <w:t>ere</w:t>
      </w:r>
      <w:r w:rsidRPr="009B2815">
        <w:rPr>
          <w:sz w:val="26"/>
          <w:szCs w:val="26"/>
        </w:rPr>
        <w:t xml:space="preserve"> 183 billion RVU. </w:t>
      </w:r>
      <w:r w:rsidR="007D7568">
        <w:rPr>
          <w:rFonts w:hint="eastAsia"/>
          <w:sz w:val="26"/>
          <w:szCs w:val="26"/>
        </w:rPr>
        <w:t>D</w:t>
      </w:r>
      <w:r w:rsidR="007D7568" w:rsidRPr="009B2815">
        <w:rPr>
          <w:sz w:val="26"/>
          <w:szCs w:val="26"/>
        </w:rPr>
        <w:t xml:space="preserve">rug fees </w:t>
      </w:r>
      <w:r w:rsidR="007D7568">
        <w:rPr>
          <w:rFonts w:hint="eastAsia"/>
          <w:sz w:val="26"/>
          <w:szCs w:val="26"/>
        </w:rPr>
        <w:t>were t</w:t>
      </w:r>
      <w:r w:rsidRPr="009B2815">
        <w:rPr>
          <w:sz w:val="26"/>
          <w:szCs w:val="26"/>
        </w:rPr>
        <w:t xml:space="preserve">he highest cost, followed by the expenses for consultation, treatment and medical supplies. The physician clinics and Chinese medicine had 98 billion RVU and 20 billion RVU respectively. In both cases, diagnosis fees were the highest cost of all, followed by drug fees. </w:t>
      </w:r>
      <w:r w:rsidR="003779F6">
        <w:rPr>
          <w:rFonts w:hint="eastAsia"/>
          <w:sz w:val="26"/>
          <w:szCs w:val="26"/>
        </w:rPr>
        <w:t>T</w:t>
      </w:r>
      <w:r w:rsidRPr="009B2815">
        <w:rPr>
          <w:sz w:val="26"/>
          <w:szCs w:val="26"/>
        </w:rPr>
        <w:t>he dentistry</w:t>
      </w:r>
      <w:r w:rsidR="003779F6">
        <w:rPr>
          <w:rFonts w:hint="eastAsia"/>
          <w:sz w:val="26"/>
          <w:szCs w:val="26"/>
        </w:rPr>
        <w:t xml:space="preserve"> had </w:t>
      </w:r>
      <w:r w:rsidR="003779F6" w:rsidRPr="009B2815">
        <w:rPr>
          <w:sz w:val="26"/>
          <w:szCs w:val="26"/>
        </w:rPr>
        <w:t>3</w:t>
      </w:r>
      <w:r w:rsidR="003779F6">
        <w:rPr>
          <w:rFonts w:hint="eastAsia"/>
          <w:sz w:val="26"/>
          <w:szCs w:val="26"/>
        </w:rPr>
        <w:t>6</w:t>
      </w:r>
      <w:r w:rsidR="003779F6" w:rsidRPr="009B2815">
        <w:rPr>
          <w:sz w:val="26"/>
          <w:szCs w:val="26"/>
        </w:rPr>
        <w:t xml:space="preserve"> billion RVU</w:t>
      </w:r>
      <w:r w:rsidRPr="009B2815">
        <w:rPr>
          <w:sz w:val="26"/>
          <w:szCs w:val="26"/>
        </w:rPr>
        <w:t xml:space="preserve">. </w:t>
      </w:r>
      <w:r w:rsidR="007D7568">
        <w:rPr>
          <w:rFonts w:hint="eastAsia"/>
          <w:sz w:val="26"/>
          <w:szCs w:val="26"/>
        </w:rPr>
        <w:t>C</w:t>
      </w:r>
      <w:r w:rsidR="007D7568" w:rsidRPr="009B2815">
        <w:rPr>
          <w:sz w:val="26"/>
          <w:szCs w:val="26"/>
        </w:rPr>
        <w:t>onsultation, treatment and medical supplies</w:t>
      </w:r>
      <w:r w:rsidR="007D7568">
        <w:rPr>
          <w:rFonts w:hint="eastAsia"/>
          <w:sz w:val="26"/>
          <w:szCs w:val="26"/>
        </w:rPr>
        <w:t xml:space="preserve"> </w:t>
      </w:r>
      <w:r w:rsidR="00293F58">
        <w:rPr>
          <w:rFonts w:hint="eastAsia"/>
          <w:sz w:val="26"/>
          <w:szCs w:val="26"/>
        </w:rPr>
        <w:t xml:space="preserve">expenses </w:t>
      </w:r>
      <w:r w:rsidR="007D7568">
        <w:rPr>
          <w:rFonts w:hint="eastAsia"/>
          <w:sz w:val="26"/>
          <w:szCs w:val="26"/>
        </w:rPr>
        <w:t>were</w:t>
      </w:r>
      <w:r w:rsidR="007D7568" w:rsidRPr="009B2815">
        <w:rPr>
          <w:sz w:val="26"/>
          <w:szCs w:val="26"/>
        </w:rPr>
        <w:t xml:space="preserve"> </w:t>
      </w:r>
      <w:r w:rsidR="007D7568">
        <w:rPr>
          <w:rFonts w:hint="eastAsia"/>
          <w:sz w:val="26"/>
          <w:szCs w:val="26"/>
        </w:rPr>
        <w:t>t</w:t>
      </w:r>
      <w:r w:rsidRPr="009B2815">
        <w:rPr>
          <w:sz w:val="26"/>
          <w:szCs w:val="26"/>
        </w:rPr>
        <w:t xml:space="preserve">he highest cost, followed by diagnosis fees. </w:t>
      </w:r>
      <w:r w:rsidR="00E45950">
        <w:rPr>
          <w:rFonts w:hint="eastAsia"/>
          <w:sz w:val="26"/>
          <w:szCs w:val="26"/>
        </w:rPr>
        <w:t>D</w:t>
      </w:r>
      <w:r w:rsidRPr="009B2815">
        <w:rPr>
          <w:sz w:val="26"/>
          <w:szCs w:val="26"/>
        </w:rPr>
        <w:t xml:space="preserve">ialysis had a total </w:t>
      </w:r>
      <w:r w:rsidR="003779F6">
        <w:rPr>
          <w:rFonts w:hint="eastAsia"/>
          <w:sz w:val="26"/>
          <w:szCs w:val="26"/>
        </w:rPr>
        <w:t>expense</w:t>
      </w:r>
      <w:r w:rsidRPr="009B2815">
        <w:rPr>
          <w:sz w:val="26"/>
          <w:szCs w:val="26"/>
        </w:rPr>
        <w:t xml:space="preserve"> of 3</w:t>
      </w:r>
      <w:r w:rsidR="00E45950">
        <w:rPr>
          <w:rFonts w:hint="eastAsia"/>
          <w:sz w:val="26"/>
          <w:szCs w:val="26"/>
        </w:rPr>
        <w:t>7</w:t>
      </w:r>
      <w:r w:rsidRPr="009B2815">
        <w:rPr>
          <w:sz w:val="26"/>
          <w:szCs w:val="26"/>
        </w:rPr>
        <w:t xml:space="preserve"> billion RVU, of which the largest proportion was for consultation, treatment and medical supplies.</w:t>
      </w:r>
    </w:p>
    <w:p w:rsidR="00BF2112" w:rsidRPr="00947656" w:rsidRDefault="006C03AE" w:rsidP="00293F58">
      <w:pPr>
        <w:spacing w:line="240" w:lineRule="atLeast"/>
        <w:ind w:leftChars="177" w:left="477" w:hangingChars="20" w:hanging="52"/>
        <w:jc w:val="center"/>
        <w:rPr>
          <w:rFonts w:eastAsia="標楷體"/>
          <w:b/>
          <w:sz w:val="26"/>
        </w:rPr>
      </w:pPr>
      <w:r w:rsidRPr="006C03AE">
        <w:rPr>
          <w:rFonts w:eastAsia="標楷體"/>
          <w:b/>
          <w:noProof/>
          <w:sz w:val="26"/>
        </w:rPr>
        <w:drawing>
          <wp:inline distT="0" distB="0" distL="0" distR="0">
            <wp:extent cx="5341620" cy="2804160"/>
            <wp:effectExtent l="0" t="0" r="0" b="0"/>
            <wp:docPr id="7" name="圖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BF2112" w:rsidRPr="00947656" w:rsidRDefault="00BF2112" w:rsidP="003779F6">
      <w:pPr>
        <w:pStyle w:val="a5"/>
        <w:spacing w:after="120"/>
        <w:ind w:leftChars="119" w:left="598" w:hangingChars="120" w:hanging="312"/>
        <w:jc w:val="both"/>
        <w:rPr>
          <w:rFonts w:eastAsia="標楷體"/>
          <w:b/>
          <w:sz w:val="26"/>
        </w:rPr>
      </w:pPr>
      <w:r w:rsidRPr="00947656">
        <w:rPr>
          <w:rFonts w:eastAsia="標楷體"/>
          <w:b/>
          <w:sz w:val="26"/>
        </w:rPr>
        <w:lastRenderedPageBreak/>
        <w:t>c.</w:t>
      </w:r>
      <w:r w:rsidR="00AF0A86" w:rsidRPr="00AF0A86">
        <w:rPr>
          <w:b/>
          <w:bCs/>
          <w:sz w:val="26"/>
          <w:szCs w:val="26"/>
        </w:rPr>
        <w:t xml:space="preserve"> </w:t>
      </w:r>
      <w:r w:rsidR="00AF0A86" w:rsidRPr="009B2815">
        <w:rPr>
          <w:b/>
          <w:bCs/>
          <w:sz w:val="26"/>
          <w:szCs w:val="26"/>
        </w:rPr>
        <w:t>Females had higher medical expenses than males. For both genders, the largest proportion of the expense was for consultation, treatment and medical supplies.</w:t>
      </w:r>
    </w:p>
    <w:p w:rsidR="00BF2112" w:rsidRPr="00947656" w:rsidRDefault="00D76F55" w:rsidP="00217334">
      <w:pPr>
        <w:pStyle w:val="a5"/>
        <w:tabs>
          <w:tab w:val="left" w:pos="851"/>
        </w:tabs>
        <w:spacing w:after="120" w:line="440" w:lineRule="atLeast"/>
        <w:ind w:leftChars="236" w:left="566" w:firstLineChars="218" w:firstLine="567"/>
        <w:jc w:val="both"/>
        <w:rPr>
          <w:rFonts w:eastAsia="標楷體"/>
          <w:b/>
          <w:sz w:val="26"/>
        </w:rPr>
      </w:pPr>
      <w:r>
        <w:rPr>
          <w:rFonts w:hint="eastAsia"/>
          <w:sz w:val="26"/>
          <w:szCs w:val="26"/>
        </w:rPr>
        <w:t>I</w:t>
      </w:r>
      <w:r w:rsidRPr="009B2815">
        <w:rPr>
          <w:sz w:val="26"/>
          <w:szCs w:val="26"/>
        </w:rPr>
        <w:t>n 2011,</w:t>
      </w:r>
      <w:r>
        <w:rPr>
          <w:rFonts w:hint="eastAsia"/>
          <w:sz w:val="26"/>
          <w:szCs w:val="26"/>
        </w:rPr>
        <w:t xml:space="preserve"> t</w:t>
      </w:r>
      <w:r w:rsidR="00AF0A86" w:rsidRPr="009B2815">
        <w:rPr>
          <w:sz w:val="26"/>
          <w:szCs w:val="26"/>
        </w:rPr>
        <w:t xml:space="preserve">he outpatient </w:t>
      </w:r>
      <w:r>
        <w:rPr>
          <w:rFonts w:hint="eastAsia"/>
          <w:sz w:val="26"/>
          <w:szCs w:val="26"/>
        </w:rPr>
        <w:t xml:space="preserve">medical </w:t>
      </w:r>
      <w:r w:rsidR="00AF0A86" w:rsidRPr="009B2815">
        <w:rPr>
          <w:sz w:val="26"/>
          <w:szCs w:val="26"/>
        </w:rPr>
        <w:t xml:space="preserve">expenses </w:t>
      </w:r>
      <w:r w:rsidRPr="009B2815">
        <w:rPr>
          <w:sz w:val="26"/>
          <w:szCs w:val="26"/>
        </w:rPr>
        <w:t xml:space="preserve">amounted to 186 billion </w:t>
      </w:r>
      <w:r w:rsidR="001D5D7C">
        <w:rPr>
          <w:rFonts w:hint="eastAsia"/>
          <w:sz w:val="26"/>
          <w:szCs w:val="26"/>
        </w:rPr>
        <w:t>by</w:t>
      </w:r>
      <w:r w:rsidR="00AF0A86" w:rsidRPr="009B2815">
        <w:rPr>
          <w:sz w:val="26"/>
          <w:szCs w:val="26"/>
        </w:rPr>
        <w:t xml:space="preserve"> males </w:t>
      </w:r>
      <w:r>
        <w:rPr>
          <w:rFonts w:hint="eastAsia"/>
          <w:sz w:val="26"/>
          <w:szCs w:val="26"/>
        </w:rPr>
        <w:t>(</w:t>
      </w:r>
      <w:r w:rsidR="00AF0A86" w:rsidRPr="009B2815">
        <w:rPr>
          <w:sz w:val="26"/>
          <w:szCs w:val="26"/>
        </w:rPr>
        <w:t>48.4%</w:t>
      </w:r>
      <w:r>
        <w:rPr>
          <w:rFonts w:hint="eastAsia"/>
          <w:sz w:val="26"/>
          <w:szCs w:val="26"/>
        </w:rPr>
        <w:t>) and</w:t>
      </w:r>
      <w:r w:rsidR="00AF0A86" w:rsidRPr="009B2815">
        <w:rPr>
          <w:sz w:val="26"/>
          <w:szCs w:val="26"/>
        </w:rPr>
        <w:t xml:space="preserve"> 19</w:t>
      </w:r>
      <w:r w:rsidR="0035096A">
        <w:rPr>
          <w:rFonts w:hint="eastAsia"/>
          <w:sz w:val="26"/>
          <w:szCs w:val="26"/>
        </w:rPr>
        <w:t>9</w:t>
      </w:r>
      <w:r w:rsidR="00AF0A86" w:rsidRPr="009B2815">
        <w:rPr>
          <w:sz w:val="26"/>
          <w:szCs w:val="26"/>
        </w:rPr>
        <w:t xml:space="preserve"> billion </w:t>
      </w:r>
      <w:r>
        <w:rPr>
          <w:rFonts w:hint="eastAsia"/>
          <w:sz w:val="26"/>
          <w:szCs w:val="26"/>
        </w:rPr>
        <w:t>(</w:t>
      </w:r>
      <w:r w:rsidR="00AF0A86" w:rsidRPr="009B2815">
        <w:rPr>
          <w:sz w:val="26"/>
          <w:szCs w:val="26"/>
        </w:rPr>
        <w:t>51.6%</w:t>
      </w:r>
      <w:r>
        <w:rPr>
          <w:rFonts w:hint="eastAsia"/>
          <w:sz w:val="26"/>
          <w:szCs w:val="26"/>
        </w:rPr>
        <w:t xml:space="preserve">) </w:t>
      </w:r>
      <w:r w:rsidR="001D5D7C">
        <w:rPr>
          <w:rFonts w:hint="eastAsia"/>
          <w:sz w:val="26"/>
          <w:szCs w:val="26"/>
        </w:rPr>
        <w:t>by</w:t>
      </w:r>
      <w:r>
        <w:rPr>
          <w:rFonts w:hint="eastAsia"/>
          <w:sz w:val="26"/>
          <w:szCs w:val="26"/>
        </w:rPr>
        <w:t xml:space="preserve"> female</w:t>
      </w:r>
      <w:r w:rsidR="00AF0A86" w:rsidRPr="009B2815">
        <w:rPr>
          <w:sz w:val="26"/>
          <w:szCs w:val="26"/>
        </w:rPr>
        <w:t>. Consultation, treatment and medical supplies accounted for the largest proportion of the expenses for both genders and drug fees the second.</w:t>
      </w:r>
    </w:p>
    <w:p w:rsidR="00BF2112" w:rsidRPr="00947656" w:rsidRDefault="005C1D9A" w:rsidP="00730DFA">
      <w:pPr>
        <w:spacing w:beforeLines="50"/>
        <w:ind w:leftChars="234" w:left="562" w:firstLineChars="1" w:firstLine="3"/>
        <w:jc w:val="center"/>
        <w:rPr>
          <w:rFonts w:eastAsia="標楷體"/>
          <w:b/>
          <w:sz w:val="26"/>
        </w:rPr>
      </w:pPr>
      <w:r w:rsidRPr="005C1D9A">
        <w:rPr>
          <w:rFonts w:eastAsia="標楷體"/>
          <w:b/>
          <w:noProof/>
          <w:sz w:val="26"/>
        </w:rPr>
        <w:drawing>
          <wp:inline distT="0" distB="0" distL="0" distR="0">
            <wp:extent cx="4914900" cy="3105150"/>
            <wp:effectExtent l="0" t="0" r="0" b="0"/>
            <wp:docPr id="36" name="圖表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BF2112" w:rsidRPr="00947656" w:rsidRDefault="00BF2112" w:rsidP="0035096A">
      <w:pPr>
        <w:pStyle w:val="a5"/>
        <w:spacing w:after="120"/>
        <w:ind w:leftChars="118" w:left="595" w:hangingChars="120" w:hanging="312"/>
        <w:jc w:val="both"/>
        <w:rPr>
          <w:rFonts w:eastAsia="標楷體"/>
          <w:b/>
          <w:sz w:val="26"/>
        </w:rPr>
      </w:pPr>
      <w:r w:rsidRPr="00947656">
        <w:rPr>
          <w:rFonts w:eastAsia="標楷體"/>
          <w:b/>
          <w:sz w:val="26"/>
        </w:rPr>
        <w:t>d.</w:t>
      </w:r>
      <w:r w:rsidR="00AF0A86" w:rsidRPr="00AF0A86">
        <w:rPr>
          <w:b/>
          <w:bCs/>
          <w:sz w:val="26"/>
          <w:szCs w:val="26"/>
        </w:rPr>
        <w:t xml:space="preserve"> </w:t>
      </w:r>
      <w:r w:rsidR="00AF0A86" w:rsidRPr="009B2815">
        <w:rPr>
          <w:b/>
          <w:bCs/>
          <w:sz w:val="26"/>
          <w:szCs w:val="26"/>
        </w:rPr>
        <w:t>Consultation, treatment, and medical supplies represented the largest proportion of medical expenses in all age groups except the 0–14 group.</w:t>
      </w:r>
    </w:p>
    <w:p w:rsidR="00BF2112" w:rsidRPr="00947656" w:rsidRDefault="00AF0A86" w:rsidP="00217334">
      <w:pPr>
        <w:pStyle w:val="a5"/>
        <w:tabs>
          <w:tab w:val="left" w:pos="851"/>
        </w:tabs>
        <w:spacing w:after="120" w:line="440" w:lineRule="atLeast"/>
        <w:ind w:leftChars="236" w:left="566" w:firstLineChars="218" w:firstLine="567"/>
        <w:jc w:val="both"/>
        <w:rPr>
          <w:rFonts w:eastAsia="標楷體"/>
          <w:b/>
          <w:sz w:val="26"/>
        </w:rPr>
      </w:pPr>
      <w:r w:rsidRPr="009B2815">
        <w:rPr>
          <w:sz w:val="26"/>
          <w:szCs w:val="26"/>
        </w:rPr>
        <w:t xml:space="preserve">In 2011, the outpatient </w:t>
      </w:r>
      <w:r w:rsidR="008913FB">
        <w:rPr>
          <w:rFonts w:hint="eastAsia"/>
          <w:sz w:val="26"/>
          <w:szCs w:val="26"/>
        </w:rPr>
        <w:t>expenses</w:t>
      </w:r>
      <w:r w:rsidRPr="009B2815">
        <w:rPr>
          <w:sz w:val="26"/>
          <w:szCs w:val="26"/>
        </w:rPr>
        <w:t xml:space="preserve"> </w:t>
      </w:r>
      <w:r w:rsidR="00293F58">
        <w:rPr>
          <w:rFonts w:hint="eastAsia"/>
          <w:sz w:val="26"/>
          <w:szCs w:val="26"/>
        </w:rPr>
        <w:t xml:space="preserve">were </w:t>
      </w:r>
      <w:r w:rsidR="00293F58" w:rsidRPr="009B2815">
        <w:rPr>
          <w:sz w:val="26"/>
          <w:szCs w:val="26"/>
        </w:rPr>
        <w:t xml:space="preserve">36 billion RVU </w:t>
      </w:r>
      <w:r w:rsidR="00293F58">
        <w:rPr>
          <w:rFonts w:hint="eastAsia"/>
          <w:sz w:val="26"/>
          <w:szCs w:val="26"/>
        </w:rPr>
        <w:t>(</w:t>
      </w:r>
      <w:r w:rsidR="00293F58" w:rsidRPr="009B2815">
        <w:rPr>
          <w:sz w:val="26"/>
          <w:szCs w:val="26"/>
        </w:rPr>
        <w:t>9.5%</w:t>
      </w:r>
      <w:r w:rsidR="00293F58">
        <w:rPr>
          <w:rFonts w:hint="eastAsia"/>
          <w:sz w:val="26"/>
          <w:szCs w:val="26"/>
        </w:rPr>
        <w:t xml:space="preserve">) </w:t>
      </w:r>
      <w:r w:rsidRPr="009B2815">
        <w:rPr>
          <w:sz w:val="26"/>
          <w:szCs w:val="26"/>
        </w:rPr>
        <w:t>for the 0–14 age group</w:t>
      </w:r>
      <w:r w:rsidR="00AA5D08">
        <w:rPr>
          <w:rFonts w:hint="eastAsia"/>
          <w:sz w:val="26"/>
          <w:szCs w:val="26"/>
        </w:rPr>
        <w:t>,</w:t>
      </w:r>
      <w:r w:rsidRPr="009B2815">
        <w:rPr>
          <w:sz w:val="26"/>
          <w:szCs w:val="26"/>
        </w:rPr>
        <w:t xml:space="preserve"> </w:t>
      </w:r>
      <w:r w:rsidR="00AA5D08" w:rsidRPr="009B2815">
        <w:rPr>
          <w:sz w:val="26"/>
          <w:szCs w:val="26"/>
        </w:rPr>
        <w:t>3</w:t>
      </w:r>
      <w:r w:rsidR="00AA5D08">
        <w:rPr>
          <w:rFonts w:hint="eastAsia"/>
          <w:sz w:val="26"/>
          <w:szCs w:val="26"/>
        </w:rPr>
        <w:t>9</w:t>
      </w:r>
      <w:r w:rsidR="00AA5D08" w:rsidRPr="009B2815">
        <w:rPr>
          <w:sz w:val="26"/>
          <w:szCs w:val="26"/>
        </w:rPr>
        <w:t xml:space="preserve"> billion RVU </w:t>
      </w:r>
      <w:r w:rsidR="00AA5D08">
        <w:rPr>
          <w:rFonts w:hint="eastAsia"/>
          <w:sz w:val="26"/>
          <w:szCs w:val="26"/>
        </w:rPr>
        <w:t>(</w:t>
      </w:r>
      <w:r w:rsidR="00AA5D08" w:rsidRPr="009B2815">
        <w:rPr>
          <w:sz w:val="26"/>
          <w:szCs w:val="26"/>
        </w:rPr>
        <w:t>10</w:t>
      </w:r>
      <w:r w:rsidR="00AA5D08">
        <w:rPr>
          <w:rFonts w:hint="eastAsia"/>
          <w:sz w:val="26"/>
          <w:szCs w:val="26"/>
        </w:rPr>
        <w:t>.0</w:t>
      </w:r>
      <w:r w:rsidR="00AA5D08" w:rsidRPr="009B2815">
        <w:rPr>
          <w:sz w:val="26"/>
          <w:szCs w:val="26"/>
        </w:rPr>
        <w:t>%</w:t>
      </w:r>
      <w:r w:rsidR="00AA5D08">
        <w:rPr>
          <w:rFonts w:hint="eastAsia"/>
          <w:sz w:val="26"/>
          <w:szCs w:val="26"/>
        </w:rPr>
        <w:t xml:space="preserve">) for </w:t>
      </w:r>
      <w:r w:rsidRPr="009B2815">
        <w:rPr>
          <w:sz w:val="26"/>
          <w:szCs w:val="26"/>
        </w:rPr>
        <w:t>15–29 group</w:t>
      </w:r>
      <w:r w:rsidR="00AA5D08">
        <w:rPr>
          <w:rFonts w:hint="eastAsia"/>
          <w:sz w:val="26"/>
          <w:szCs w:val="26"/>
        </w:rPr>
        <w:t>,</w:t>
      </w:r>
      <w:r w:rsidRPr="009B2815">
        <w:rPr>
          <w:sz w:val="26"/>
          <w:szCs w:val="26"/>
        </w:rPr>
        <w:t xml:space="preserve"> </w:t>
      </w:r>
      <w:r w:rsidR="00AA5D08" w:rsidRPr="009B2815">
        <w:rPr>
          <w:sz w:val="26"/>
          <w:szCs w:val="26"/>
        </w:rPr>
        <w:t>6</w:t>
      </w:r>
      <w:r w:rsidR="00AA5D08">
        <w:rPr>
          <w:rFonts w:hint="eastAsia"/>
          <w:sz w:val="26"/>
          <w:szCs w:val="26"/>
        </w:rPr>
        <w:t>3</w:t>
      </w:r>
      <w:r w:rsidR="00AA5D08" w:rsidRPr="009B2815">
        <w:rPr>
          <w:sz w:val="26"/>
          <w:szCs w:val="26"/>
        </w:rPr>
        <w:t xml:space="preserve"> billion RVU </w:t>
      </w:r>
      <w:r w:rsidR="00AA5D08">
        <w:rPr>
          <w:rFonts w:hint="eastAsia"/>
          <w:sz w:val="26"/>
          <w:szCs w:val="26"/>
        </w:rPr>
        <w:t>(</w:t>
      </w:r>
      <w:r w:rsidR="00AA5D08" w:rsidRPr="009B2815">
        <w:rPr>
          <w:sz w:val="26"/>
          <w:szCs w:val="26"/>
        </w:rPr>
        <w:t>16.3%</w:t>
      </w:r>
      <w:r w:rsidR="00AA5D08">
        <w:rPr>
          <w:rFonts w:hint="eastAsia"/>
          <w:sz w:val="26"/>
          <w:szCs w:val="26"/>
        </w:rPr>
        <w:t xml:space="preserve">) for </w:t>
      </w:r>
      <w:r w:rsidRPr="009B2815">
        <w:rPr>
          <w:sz w:val="26"/>
          <w:szCs w:val="26"/>
        </w:rPr>
        <w:t>30–44 group</w:t>
      </w:r>
      <w:r w:rsidR="00AA5D08">
        <w:rPr>
          <w:rFonts w:hint="eastAsia"/>
          <w:sz w:val="26"/>
          <w:szCs w:val="26"/>
        </w:rPr>
        <w:t>,</w:t>
      </w:r>
      <w:r w:rsidRPr="009B2815">
        <w:rPr>
          <w:sz w:val="26"/>
          <w:szCs w:val="26"/>
        </w:rPr>
        <w:t xml:space="preserve"> </w:t>
      </w:r>
      <w:r w:rsidR="00AA5D08" w:rsidRPr="009B2815">
        <w:rPr>
          <w:sz w:val="26"/>
          <w:szCs w:val="26"/>
        </w:rPr>
        <w:t>13</w:t>
      </w:r>
      <w:r w:rsidR="00AA5D08">
        <w:rPr>
          <w:rFonts w:hint="eastAsia"/>
          <w:sz w:val="26"/>
          <w:szCs w:val="26"/>
        </w:rPr>
        <w:t>8</w:t>
      </w:r>
      <w:r w:rsidR="00AA5D08" w:rsidRPr="009B2815">
        <w:rPr>
          <w:sz w:val="26"/>
          <w:szCs w:val="26"/>
        </w:rPr>
        <w:t xml:space="preserve"> billion RVU </w:t>
      </w:r>
      <w:r w:rsidR="00AA5D08">
        <w:rPr>
          <w:rFonts w:hint="eastAsia"/>
          <w:sz w:val="26"/>
          <w:szCs w:val="26"/>
        </w:rPr>
        <w:t>(</w:t>
      </w:r>
      <w:r w:rsidR="00AA5D08" w:rsidRPr="009B2815">
        <w:rPr>
          <w:sz w:val="26"/>
          <w:szCs w:val="26"/>
        </w:rPr>
        <w:t>35.7%</w:t>
      </w:r>
      <w:r w:rsidR="00AA5D08">
        <w:rPr>
          <w:rFonts w:hint="eastAsia"/>
          <w:sz w:val="26"/>
          <w:szCs w:val="26"/>
        </w:rPr>
        <w:t xml:space="preserve">) for </w:t>
      </w:r>
      <w:r w:rsidRPr="009B2815">
        <w:rPr>
          <w:sz w:val="26"/>
          <w:szCs w:val="26"/>
        </w:rPr>
        <w:t xml:space="preserve">45–64 </w:t>
      </w:r>
      <w:proofErr w:type="gramStart"/>
      <w:r w:rsidRPr="009B2815">
        <w:rPr>
          <w:sz w:val="26"/>
          <w:szCs w:val="26"/>
        </w:rPr>
        <w:t>group</w:t>
      </w:r>
      <w:proofErr w:type="gramEnd"/>
      <w:r w:rsidRPr="009B2815">
        <w:rPr>
          <w:sz w:val="26"/>
          <w:szCs w:val="26"/>
        </w:rPr>
        <w:t xml:space="preserve"> and </w:t>
      </w:r>
      <w:r w:rsidR="00AA5D08" w:rsidRPr="009B2815">
        <w:rPr>
          <w:sz w:val="26"/>
          <w:szCs w:val="26"/>
        </w:rPr>
        <w:t>1</w:t>
      </w:r>
      <w:r w:rsidR="00AA5D08">
        <w:rPr>
          <w:rFonts w:hint="eastAsia"/>
          <w:sz w:val="26"/>
          <w:szCs w:val="26"/>
        </w:rPr>
        <w:t>10</w:t>
      </w:r>
      <w:r w:rsidR="00AA5D08" w:rsidRPr="009B2815">
        <w:rPr>
          <w:sz w:val="26"/>
          <w:szCs w:val="26"/>
        </w:rPr>
        <w:t xml:space="preserve"> billion RVU </w:t>
      </w:r>
      <w:r w:rsidR="00AA5D08">
        <w:rPr>
          <w:rFonts w:hint="eastAsia"/>
          <w:sz w:val="26"/>
          <w:szCs w:val="26"/>
        </w:rPr>
        <w:t>(</w:t>
      </w:r>
      <w:r w:rsidR="00AA5D08" w:rsidRPr="009B2815">
        <w:rPr>
          <w:sz w:val="26"/>
          <w:szCs w:val="26"/>
        </w:rPr>
        <w:t>28.5%</w:t>
      </w:r>
      <w:r w:rsidR="00AA5D08">
        <w:rPr>
          <w:rFonts w:hint="eastAsia"/>
          <w:sz w:val="26"/>
          <w:szCs w:val="26"/>
        </w:rPr>
        <w:t xml:space="preserve">) for </w:t>
      </w:r>
      <w:r w:rsidRPr="009B2815">
        <w:rPr>
          <w:sz w:val="26"/>
          <w:szCs w:val="26"/>
        </w:rPr>
        <w:t>65 and above</w:t>
      </w:r>
      <w:r w:rsidR="00293F58">
        <w:rPr>
          <w:rFonts w:hint="eastAsia"/>
          <w:sz w:val="26"/>
          <w:szCs w:val="26"/>
        </w:rPr>
        <w:t xml:space="preserve"> group</w:t>
      </w:r>
      <w:r w:rsidRPr="009B2815">
        <w:rPr>
          <w:sz w:val="26"/>
          <w:szCs w:val="26"/>
        </w:rPr>
        <w:t>. For the 0–14 group, diagnosis fees accounted for the largest proportion of expenses</w:t>
      </w:r>
      <w:r w:rsidR="008913FB">
        <w:rPr>
          <w:rFonts w:hint="eastAsia"/>
          <w:sz w:val="26"/>
          <w:szCs w:val="26"/>
        </w:rPr>
        <w:t>,</w:t>
      </w:r>
      <w:r w:rsidRPr="009B2815">
        <w:rPr>
          <w:sz w:val="26"/>
          <w:szCs w:val="26"/>
        </w:rPr>
        <w:t xml:space="preserve"> followed by consultation, treatment and medical supplies expenses. For the 15–29 </w:t>
      </w:r>
      <w:proofErr w:type="gramStart"/>
      <w:r w:rsidRPr="009B2815">
        <w:rPr>
          <w:sz w:val="26"/>
          <w:szCs w:val="26"/>
        </w:rPr>
        <w:t>group</w:t>
      </w:r>
      <w:proofErr w:type="gramEnd"/>
      <w:r w:rsidRPr="009B2815">
        <w:rPr>
          <w:sz w:val="26"/>
          <w:szCs w:val="26"/>
        </w:rPr>
        <w:t>, the consultation, treatment and medical supplies accounted for the highest percent</w:t>
      </w:r>
      <w:r w:rsidR="00CA2AA0">
        <w:rPr>
          <w:sz w:val="26"/>
          <w:szCs w:val="26"/>
        </w:rPr>
        <w:t>age</w:t>
      </w:r>
      <w:r w:rsidR="00CA2AA0">
        <w:rPr>
          <w:rFonts w:hint="eastAsia"/>
          <w:sz w:val="26"/>
          <w:szCs w:val="26"/>
        </w:rPr>
        <w:t xml:space="preserve"> of the expenses</w:t>
      </w:r>
      <w:r w:rsidR="008913FB">
        <w:rPr>
          <w:rFonts w:hint="eastAsia"/>
          <w:sz w:val="26"/>
          <w:szCs w:val="26"/>
        </w:rPr>
        <w:t>,</w:t>
      </w:r>
      <w:r w:rsidRPr="009B2815">
        <w:rPr>
          <w:sz w:val="26"/>
          <w:szCs w:val="26"/>
        </w:rPr>
        <w:t xml:space="preserve"> </w:t>
      </w:r>
      <w:r w:rsidR="008913FB">
        <w:rPr>
          <w:rFonts w:hint="eastAsia"/>
          <w:sz w:val="26"/>
          <w:szCs w:val="26"/>
        </w:rPr>
        <w:t>followed by d</w:t>
      </w:r>
      <w:r w:rsidRPr="009B2815">
        <w:rPr>
          <w:sz w:val="26"/>
          <w:szCs w:val="26"/>
        </w:rPr>
        <w:t>iagnosis fees. In all other age groups, the largest proportion of the expenses was for consultation, treatment and medical supplies</w:t>
      </w:r>
      <w:r w:rsidR="008913FB">
        <w:rPr>
          <w:rFonts w:hint="eastAsia"/>
          <w:sz w:val="26"/>
          <w:szCs w:val="26"/>
        </w:rPr>
        <w:t>,</w:t>
      </w:r>
      <w:r w:rsidRPr="009B2815">
        <w:rPr>
          <w:sz w:val="26"/>
          <w:szCs w:val="26"/>
        </w:rPr>
        <w:t xml:space="preserve"> </w:t>
      </w:r>
      <w:r w:rsidR="008913FB">
        <w:rPr>
          <w:rFonts w:hint="eastAsia"/>
          <w:sz w:val="26"/>
          <w:szCs w:val="26"/>
        </w:rPr>
        <w:t>followed by</w:t>
      </w:r>
      <w:r w:rsidRPr="009B2815">
        <w:rPr>
          <w:sz w:val="26"/>
          <w:szCs w:val="26"/>
        </w:rPr>
        <w:t xml:space="preserve"> drug fees.</w:t>
      </w:r>
    </w:p>
    <w:p w:rsidR="00BF2112" w:rsidRPr="00947656" w:rsidRDefault="00B80825" w:rsidP="00927F1F">
      <w:pPr>
        <w:ind w:leftChars="178" w:left="479" w:hangingChars="20" w:hanging="52"/>
        <w:jc w:val="center"/>
        <w:rPr>
          <w:rFonts w:eastAsia="標楷體"/>
          <w:b/>
          <w:sz w:val="26"/>
        </w:rPr>
      </w:pPr>
      <w:r w:rsidRPr="00B80825">
        <w:rPr>
          <w:rFonts w:eastAsia="標楷體"/>
          <w:b/>
          <w:noProof/>
          <w:sz w:val="26"/>
        </w:rPr>
        <w:lastRenderedPageBreak/>
        <w:drawing>
          <wp:inline distT="0" distB="0" distL="0" distR="0">
            <wp:extent cx="5135880" cy="2705100"/>
            <wp:effectExtent l="0" t="0" r="0" b="0"/>
            <wp:docPr id="53" name="圖表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FD5FC9" w:rsidRPr="00947656" w:rsidRDefault="00AE37C8" w:rsidP="00401F58">
      <w:pPr>
        <w:pStyle w:val="a5"/>
        <w:spacing w:after="120"/>
        <w:ind w:leftChars="60" w:left="144"/>
        <w:jc w:val="both"/>
        <w:rPr>
          <w:rFonts w:eastAsia="標楷體"/>
          <w:b/>
          <w:sz w:val="26"/>
          <w:szCs w:val="26"/>
        </w:rPr>
      </w:pPr>
      <w:r>
        <w:rPr>
          <w:rFonts w:eastAsia="標楷體" w:hint="eastAsia"/>
          <w:b/>
          <w:sz w:val="26"/>
          <w:szCs w:val="26"/>
        </w:rPr>
        <w:t xml:space="preserve">ii. </w:t>
      </w:r>
      <w:r w:rsidRPr="00217334">
        <w:rPr>
          <w:rFonts w:eastAsia="標楷體" w:hint="eastAsia"/>
          <w:b/>
          <w:sz w:val="26"/>
        </w:rPr>
        <w:t>Inpatient</w:t>
      </w:r>
      <w:r>
        <w:rPr>
          <w:rFonts w:eastAsia="標楷體" w:hint="eastAsia"/>
          <w:b/>
          <w:sz w:val="26"/>
          <w:szCs w:val="26"/>
        </w:rPr>
        <w:t xml:space="preserve"> Service</w:t>
      </w:r>
    </w:p>
    <w:p w:rsidR="0093289A" w:rsidRPr="00947656" w:rsidRDefault="0093289A" w:rsidP="00217334">
      <w:pPr>
        <w:pStyle w:val="a5"/>
        <w:spacing w:after="120"/>
        <w:ind w:leftChars="119" w:left="624" w:hangingChars="130" w:hanging="338"/>
        <w:jc w:val="both"/>
        <w:rPr>
          <w:rFonts w:eastAsia="標楷體"/>
          <w:b/>
          <w:sz w:val="26"/>
        </w:rPr>
      </w:pPr>
      <w:r w:rsidRPr="00947656">
        <w:rPr>
          <w:rFonts w:eastAsia="標楷體"/>
          <w:b/>
          <w:sz w:val="26"/>
        </w:rPr>
        <w:t>a.</w:t>
      </w:r>
      <w:r w:rsidR="00AF0A86" w:rsidRPr="00AF0A86">
        <w:rPr>
          <w:b/>
          <w:bCs/>
          <w:sz w:val="26"/>
          <w:szCs w:val="26"/>
        </w:rPr>
        <w:t xml:space="preserve"> </w:t>
      </w:r>
      <w:r w:rsidR="00AF0A86" w:rsidRPr="009B2815">
        <w:rPr>
          <w:b/>
          <w:bCs/>
          <w:sz w:val="26"/>
          <w:szCs w:val="26"/>
        </w:rPr>
        <w:t>Ward fees accounted for the largest portion of inpatient expenses, followed by drug fees.</w:t>
      </w:r>
    </w:p>
    <w:p w:rsidR="0088536B" w:rsidRPr="00947656" w:rsidRDefault="00AF0A86" w:rsidP="00D274A9">
      <w:pPr>
        <w:pStyle w:val="a5"/>
        <w:spacing w:after="120"/>
        <w:ind w:leftChars="236" w:left="566" w:firstLineChars="218" w:firstLine="567"/>
        <w:jc w:val="both"/>
        <w:rPr>
          <w:rFonts w:eastAsia="標楷體"/>
          <w:sz w:val="26"/>
          <w:szCs w:val="26"/>
        </w:rPr>
      </w:pPr>
      <w:r w:rsidRPr="009B2815">
        <w:rPr>
          <w:sz w:val="26"/>
          <w:szCs w:val="26"/>
        </w:rPr>
        <w:t xml:space="preserve">In 2011, inpatient expenses </w:t>
      </w:r>
      <w:r w:rsidR="00EE028D">
        <w:rPr>
          <w:rFonts w:hint="eastAsia"/>
          <w:sz w:val="26"/>
          <w:szCs w:val="26"/>
        </w:rPr>
        <w:t>for</w:t>
      </w:r>
      <w:r w:rsidRPr="009B2815">
        <w:rPr>
          <w:sz w:val="26"/>
          <w:szCs w:val="26"/>
        </w:rPr>
        <w:t xml:space="preserve"> academic medical centers and metropolitan hospitals were 7</w:t>
      </w:r>
      <w:r w:rsidR="00EE028D">
        <w:rPr>
          <w:rFonts w:hint="eastAsia"/>
          <w:sz w:val="26"/>
          <w:szCs w:val="26"/>
        </w:rPr>
        <w:t>4</w:t>
      </w:r>
      <w:r w:rsidRPr="009B2815">
        <w:rPr>
          <w:sz w:val="26"/>
          <w:szCs w:val="26"/>
        </w:rPr>
        <w:t xml:space="preserve"> billion RVU and </w:t>
      </w:r>
      <w:r w:rsidR="00EE028D">
        <w:rPr>
          <w:rFonts w:hint="eastAsia"/>
          <w:sz w:val="26"/>
          <w:szCs w:val="26"/>
        </w:rPr>
        <w:t>70</w:t>
      </w:r>
      <w:r w:rsidRPr="009B2815">
        <w:rPr>
          <w:sz w:val="26"/>
          <w:szCs w:val="26"/>
        </w:rPr>
        <w:t xml:space="preserve"> billion RVU respectively. The highest </w:t>
      </w:r>
      <w:r w:rsidR="00FC168F">
        <w:rPr>
          <w:rFonts w:hint="eastAsia"/>
          <w:sz w:val="26"/>
          <w:szCs w:val="26"/>
        </w:rPr>
        <w:t>cost</w:t>
      </w:r>
      <w:r w:rsidRPr="009B2815">
        <w:rPr>
          <w:sz w:val="26"/>
          <w:szCs w:val="26"/>
        </w:rPr>
        <w:t xml:space="preserve"> in both categories w</w:t>
      </w:r>
      <w:r w:rsidR="00FC168F">
        <w:rPr>
          <w:rFonts w:hint="eastAsia"/>
          <w:sz w:val="26"/>
          <w:szCs w:val="26"/>
        </w:rPr>
        <w:t>as</w:t>
      </w:r>
      <w:r w:rsidRPr="009B2815">
        <w:rPr>
          <w:sz w:val="26"/>
          <w:szCs w:val="26"/>
        </w:rPr>
        <w:t xml:space="preserve"> ward fees, </w:t>
      </w:r>
      <w:r w:rsidR="00EE028D">
        <w:rPr>
          <w:rFonts w:hint="eastAsia"/>
          <w:sz w:val="26"/>
          <w:szCs w:val="26"/>
        </w:rPr>
        <w:t xml:space="preserve">followed by </w:t>
      </w:r>
      <w:r w:rsidRPr="009B2815">
        <w:rPr>
          <w:sz w:val="26"/>
          <w:szCs w:val="26"/>
        </w:rPr>
        <w:t xml:space="preserve">drug fees and surgical fees. The inpatient expenses for local community hospitals amounted to 29 billion RVU. The highest </w:t>
      </w:r>
      <w:r w:rsidR="00FC168F">
        <w:rPr>
          <w:rFonts w:hint="eastAsia"/>
          <w:sz w:val="26"/>
          <w:szCs w:val="26"/>
        </w:rPr>
        <w:t>cost</w:t>
      </w:r>
      <w:r w:rsidRPr="009B2815">
        <w:rPr>
          <w:sz w:val="26"/>
          <w:szCs w:val="26"/>
        </w:rPr>
        <w:t xml:space="preserve"> was ward fees, followed by therapeutic procedure fees and drug fees. For physician clinics, the total expense amounted to 1 billion RVU, of which the highest cost was surgical fees, followed by therapeutic procedure fees and anesthesia fees.</w:t>
      </w:r>
    </w:p>
    <w:p w:rsidR="00FD5FC9" w:rsidRPr="00947656" w:rsidRDefault="008B4E8B" w:rsidP="00730DFA">
      <w:pPr>
        <w:spacing w:afterLines="50" w:line="240" w:lineRule="auto"/>
        <w:ind w:leftChars="177" w:left="425"/>
        <w:jc w:val="center"/>
        <w:rPr>
          <w:rFonts w:eastAsia="標楷體"/>
          <w:color w:val="000000" w:themeColor="text1"/>
          <w:sz w:val="26"/>
        </w:rPr>
      </w:pPr>
      <w:r w:rsidRPr="008B4E8B">
        <w:rPr>
          <w:rFonts w:eastAsia="標楷體"/>
          <w:noProof/>
          <w:color w:val="000000" w:themeColor="text1"/>
          <w:sz w:val="26"/>
        </w:rPr>
        <w:drawing>
          <wp:inline distT="0" distB="0" distL="0" distR="0">
            <wp:extent cx="6073140" cy="3299460"/>
            <wp:effectExtent l="0" t="0" r="0" b="0"/>
            <wp:docPr id="9" name="圖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5D4809" w:rsidRPr="00947656" w:rsidRDefault="0093289A" w:rsidP="00E82108">
      <w:pPr>
        <w:pStyle w:val="a5"/>
        <w:spacing w:after="120"/>
        <w:ind w:leftChars="119" w:left="598" w:hangingChars="120" w:hanging="312"/>
        <w:jc w:val="both"/>
        <w:rPr>
          <w:rFonts w:eastAsia="標楷體"/>
          <w:b/>
          <w:sz w:val="26"/>
          <w:szCs w:val="26"/>
        </w:rPr>
      </w:pPr>
      <w:proofErr w:type="gramStart"/>
      <w:r w:rsidRPr="00947656">
        <w:rPr>
          <w:rFonts w:eastAsia="標楷體"/>
          <w:b/>
          <w:sz w:val="26"/>
        </w:rPr>
        <w:lastRenderedPageBreak/>
        <w:t>b</w:t>
      </w:r>
      <w:proofErr w:type="gramEnd"/>
      <w:r w:rsidRPr="00947656">
        <w:rPr>
          <w:rFonts w:eastAsia="標楷體"/>
          <w:b/>
          <w:sz w:val="26"/>
        </w:rPr>
        <w:t>.</w:t>
      </w:r>
      <w:r w:rsidR="00AF0A86" w:rsidRPr="00AF0A86">
        <w:rPr>
          <w:b/>
          <w:bCs/>
          <w:sz w:val="26"/>
          <w:szCs w:val="26"/>
        </w:rPr>
        <w:t xml:space="preserve"> </w:t>
      </w:r>
      <w:r w:rsidR="00AF0A86" w:rsidRPr="009B2815">
        <w:rPr>
          <w:b/>
          <w:bCs/>
          <w:sz w:val="26"/>
          <w:szCs w:val="26"/>
        </w:rPr>
        <w:t xml:space="preserve">In all types of cases, the top </w:t>
      </w:r>
      <w:r w:rsidR="00BE707D">
        <w:rPr>
          <w:rFonts w:hint="eastAsia"/>
          <w:b/>
          <w:bCs/>
          <w:sz w:val="26"/>
          <w:szCs w:val="26"/>
        </w:rPr>
        <w:t>3</w:t>
      </w:r>
      <w:r w:rsidR="00AF0A86" w:rsidRPr="009B2815">
        <w:rPr>
          <w:b/>
          <w:bCs/>
          <w:sz w:val="26"/>
          <w:szCs w:val="26"/>
        </w:rPr>
        <w:t xml:space="preserve"> </w:t>
      </w:r>
      <w:r w:rsidR="00BE707D">
        <w:rPr>
          <w:rFonts w:hint="eastAsia"/>
          <w:b/>
          <w:bCs/>
          <w:sz w:val="26"/>
          <w:szCs w:val="26"/>
        </w:rPr>
        <w:t xml:space="preserve">medical </w:t>
      </w:r>
      <w:r w:rsidR="00AF0A86" w:rsidRPr="009B2815">
        <w:rPr>
          <w:b/>
          <w:bCs/>
          <w:sz w:val="26"/>
          <w:szCs w:val="26"/>
        </w:rPr>
        <w:t>expense</w:t>
      </w:r>
      <w:r w:rsidR="00BE707D">
        <w:rPr>
          <w:rFonts w:hint="eastAsia"/>
          <w:b/>
          <w:bCs/>
          <w:sz w:val="26"/>
          <w:szCs w:val="26"/>
        </w:rPr>
        <w:t>s</w:t>
      </w:r>
      <w:r w:rsidR="00AF0A86" w:rsidRPr="009B2815">
        <w:rPr>
          <w:b/>
          <w:bCs/>
          <w:sz w:val="26"/>
          <w:szCs w:val="26"/>
        </w:rPr>
        <w:t xml:space="preserve"> contributed to more than 50% of the total.</w:t>
      </w:r>
    </w:p>
    <w:p w:rsidR="00B55FBB" w:rsidRPr="00947656" w:rsidRDefault="002070C1" w:rsidP="00C96D74">
      <w:pPr>
        <w:pStyle w:val="a5"/>
        <w:spacing w:after="360" w:line="460" w:lineRule="atLeast"/>
        <w:ind w:leftChars="236" w:left="566" w:firstLineChars="218" w:firstLine="567"/>
        <w:jc w:val="both"/>
        <w:rPr>
          <w:rFonts w:eastAsia="標楷體"/>
          <w:sz w:val="26"/>
          <w:szCs w:val="26"/>
        </w:rPr>
      </w:pPr>
      <w:r>
        <w:rPr>
          <w:rFonts w:hint="eastAsia"/>
          <w:sz w:val="26"/>
          <w:szCs w:val="26"/>
        </w:rPr>
        <w:t xml:space="preserve">Broken down by </w:t>
      </w:r>
      <w:r w:rsidR="00AF0A86" w:rsidRPr="009B2815">
        <w:rPr>
          <w:sz w:val="26"/>
          <w:szCs w:val="26"/>
        </w:rPr>
        <w:t>type of case, ward fees accounted for the highest percentage for general cases, followed by drug fees and laboratory fees. For case payments, surgical fees showed the highest percentage; therapeutic procedure fees the second and anesthesia fees the third. For special cases, the highest percentage was seen from ward fees. The second and third were, respectively, special material</w:t>
      </w:r>
      <w:r>
        <w:rPr>
          <w:rFonts w:hint="eastAsia"/>
          <w:sz w:val="26"/>
          <w:szCs w:val="26"/>
        </w:rPr>
        <w:t>s</w:t>
      </w:r>
      <w:r w:rsidR="00AF0A86" w:rsidRPr="009B2815">
        <w:rPr>
          <w:sz w:val="26"/>
          <w:szCs w:val="26"/>
        </w:rPr>
        <w:t xml:space="preserve"> fees and drug fees. For pilot projects, therapeutic procedure fees accounted for the largest proportion of expenses, followed by ward fees and drug fees.</w:t>
      </w:r>
      <w:r w:rsidR="002137DB">
        <w:rPr>
          <w:rFonts w:hint="eastAsia"/>
          <w:sz w:val="26"/>
          <w:szCs w:val="26"/>
        </w:rPr>
        <w:t xml:space="preserve"> </w:t>
      </w:r>
      <w:r w:rsidR="00AF0A86" w:rsidRPr="009B2815">
        <w:rPr>
          <w:sz w:val="26"/>
          <w:szCs w:val="26"/>
        </w:rPr>
        <w:t xml:space="preserve">In the category of hospice care, the highest </w:t>
      </w:r>
      <w:r w:rsidR="00DD6AFA">
        <w:rPr>
          <w:rFonts w:hint="eastAsia"/>
          <w:sz w:val="26"/>
          <w:szCs w:val="26"/>
        </w:rPr>
        <w:t>expense</w:t>
      </w:r>
      <w:r w:rsidR="00AF0A86" w:rsidRPr="009B2815">
        <w:rPr>
          <w:sz w:val="26"/>
          <w:szCs w:val="26"/>
        </w:rPr>
        <w:t xml:space="preserve"> was ward fees. Drug fees were the second and therapeutic procedure fees the third. In terms of </w:t>
      </w:r>
      <w:proofErr w:type="spellStart"/>
      <w:r w:rsidR="00AF0A86" w:rsidRPr="009B2815">
        <w:rPr>
          <w:sz w:val="26"/>
          <w:szCs w:val="26"/>
        </w:rPr>
        <w:t>Tw</w:t>
      </w:r>
      <w:proofErr w:type="spellEnd"/>
      <w:r w:rsidR="00AF0A86" w:rsidRPr="009B2815">
        <w:rPr>
          <w:sz w:val="26"/>
          <w:szCs w:val="26"/>
        </w:rPr>
        <w:t>-DRG</w:t>
      </w:r>
      <w:r w:rsidR="00394341">
        <w:rPr>
          <w:rFonts w:hint="eastAsia"/>
          <w:sz w:val="26"/>
          <w:szCs w:val="26"/>
        </w:rPr>
        <w:t>s</w:t>
      </w:r>
      <w:r w:rsidR="00AF0A86" w:rsidRPr="009B2815">
        <w:rPr>
          <w:sz w:val="26"/>
          <w:szCs w:val="26"/>
        </w:rPr>
        <w:t xml:space="preserve"> cases, the highest expense was seen from surgical fees, which was followed by special material</w:t>
      </w:r>
      <w:r>
        <w:rPr>
          <w:rFonts w:hint="eastAsia"/>
          <w:sz w:val="26"/>
          <w:szCs w:val="26"/>
        </w:rPr>
        <w:t>s</w:t>
      </w:r>
      <w:r w:rsidR="00AF0A86" w:rsidRPr="009B2815">
        <w:rPr>
          <w:sz w:val="26"/>
          <w:szCs w:val="26"/>
        </w:rPr>
        <w:t xml:space="preserve"> fees and ward fees. Ward fees ranked the highest in commission cases; surgical fees the second and tube feeding fees the third.</w:t>
      </w:r>
    </w:p>
    <w:tbl>
      <w:tblPr>
        <w:tblW w:w="7949" w:type="dxa"/>
        <w:tblInd w:w="1162" w:type="dxa"/>
        <w:tblCellMar>
          <w:left w:w="28" w:type="dxa"/>
          <w:right w:w="28" w:type="dxa"/>
        </w:tblCellMar>
        <w:tblLook w:val="04A0"/>
      </w:tblPr>
      <w:tblGrid>
        <w:gridCol w:w="1090"/>
        <w:gridCol w:w="1155"/>
        <w:gridCol w:w="1202"/>
        <w:gridCol w:w="1061"/>
        <w:gridCol w:w="1109"/>
        <w:gridCol w:w="1160"/>
        <w:gridCol w:w="1172"/>
      </w:tblGrid>
      <w:tr w:rsidR="00A13414" w:rsidRPr="00947656" w:rsidTr="00F01AFD">
        <w:trPr>
          <w:trHeight w:val="345"/>
        </w:trPr>
        <w:tc>
          <w:tcPr>
            <w:tcW w:w="7949" w:type="dxa"/>
            <w:gridSpan w:val="7"/>
            <w:tcBorders>
              <w:bottom w:val="thinThickSmallGap" w:sz="24" w:space="0" w:color="C2D69B" w:themeColor="accent3" w:themeTint="99"/>
            </w:tcBorders>
            <w:shd w:val="clear" w:color="auto" w:fill="auto"/>
            <w:noWrap/>
            <w:vAlign w:val="center"/>
            <w:hideMark/>
          </w:tcPr>
          <w:p w:rsidR="00A13414" w:rsidRPr="00947656" w:rsidRDefault="00B55FBB" w:rsidP="00B23CDD">
            <w:pPr>
              <w:widowControl/>
              <w:adjustRightInd/>
              <w:spacing w:line="240" w:lineRule="auto"/>
              <w:jc w:val="center"/>
              <w:textAlignment w:val="auto"/>
              <w:rPr>
                <w:rFonts w:eastAsia="標楷體"/>
                <w:sz w:val="20"/>
              </w:rPr>
            </w:pPr>
            <w:r w:rsidRPr="00947656">
              <w:rPr>
                <w:rFonts w:eastAsia="標楷體"/>
                <w:sz w:val="26"/>
                <w:szCs w:val="26"/>
              </w:rPr>
              <w:br w:type="page"/>
            </w:r>
            <w:r w:rsidR="006D0C96" w:rsidRPr="006D0C96">
              <w:rPr>
                <w:rFonts w:eastAsia="標楷體" w:hint="eastAsia"/>
                <w:sz w:val="20"/>
              </w:rPr>
              <w:t>Table</w:t>
            </w:r>
            <w:r w:rsidR="00C63595" w:rsidRPr="00947656">
              <w:rPr>
                <w:rFonts w:eastAsia="標楷體"/>
                <w:sz w:val="20"/>
              </w:rPr>
              <w:t xml:space="preserve">1 </w:t>
            </w:r>
            <w:r w:rsidR="00B23CDD">
              <w:rPr>
                <w:rFonts w:eastAsia="標楷體" w:hint="eastAsia"/>
                <w:sz w:val="20"/>
              </w:rPr>
              <w:t xml:space="preserve"> </w:t>
            </w:r>
            <w:r w:rsidR="006D0C96">
              <w:rPr>
                <w:rFonts w:eastAsia="標楷體" w:hint="eastAsia"/>
                <w:sz w:val="20"/>
              </w:rPr>
              <w:t>Top 5 Detailed Inpatient Medical Expenses by Type of Case in 2011</w:t>
            </w:r>
          </w:p>
        </w:tc>
      </w:tr>
      <w:tr w:rsidR="00090B9F" w:rsidRPr="00947656" w:rsidTr="00C96D74">
        <w:trPr>
          <w:trHeight w:val="992"/>
        </w:trPr>
        <w:tc>
          <w:tcPr>
            <w:tcW w:w="1090" w:type="dxa"/>
            <w:tcBorders>
              <w:top w:val="thinThickSmallGap" w:sz="24" w:space="0" w:color="C2D69B" w:themeColor="accent3" w:themeTint="99"/>
              <w:left w:val="thickThinSmallGap" w:sz="24" w:space="0" w:color="C2D69B" w:themeColor="accent3" w:themeTint="99"/>
              <w:bottom w:val="thinThickSmallGap" w:sz="24" w:space="0" w:color="C2D69B" w:themeColor="accent3" w:themeTint="99"/>
              <w:right w:val="double" w:sz="4" w:space="0" w:color="C2D69B" w:themeColor="accent3" w:themeTint="99"/>
            </w:tcBorders>
            <w:shd w:val="clear" w:color="auto" w:fill="auto"/>
            <w:noWrap/>
            <w:vAlign w:val="center"/>
            <w:hideMark/>
          </w:tcPr>
          <w:p w:rsidR="00090B9F" w:rsidRPr="00947656" w:rsidRDefault="006D0C96" w:rsidP="00090B9F">
            <w:pPr>
              <w:widowControl/>
              <w:adjustRightInd/>
              <w:spacing w:line="240" w:lineRule="exact"/>
              <w:jc w:val="center"/>
              <w:textAlignment w:val="auto"/>
              <w:rPr>
                <w:rFonts w:eastAsia="標楷體"/>
                <w:sz w:val="16"/>
                <w:szCs w:val="16"/>
              </w:rPr>
            </w:pPr>
            <w:r>
              <w:rPr>
                <w:rFonts w:eastAsia="標楷體" w:hint="eastAsia"/>
                <w:sz w:val="16"/>
                <w:szCs w:val="16"/>
              </w:rPr>
              <w:t>General Cases</w:t>
            </w:r>
          </w:p>
          <w:p w:rsidR="00090B9F" w:rsidRPr="00C1206D" w:rsidRDefault="00C1206D" w:rsidP="00C1206D">
            <w:pPr>
              <w:widowControl/>
              <w:adjustRightInd/>
              <w:spacing w:line="240" w:lineRule="exact"/>
              <w:jc w:val="center"/>
              <w:textAlignment w:val="auto"/>
              <w:rPr>
                <w:rFonts w:eastAsia="標楷體"/>
                <w:b/>
                <w:color w:val="76923C" w:themeColor="accent3" w:themeShade="BF"/>
                <w:sz w:val="14"/>
                <w:szCs w:val="14"/>
              </w:rPr>
            </w:pPr>
            <w:r w:rsidRPr="00C1206D">
              <w:rPr>
                <w:rFonts w:eastAsia="標楷體" w:hint="eastAsia"/>
                <w:b/>
                <w:color w:val="76923C" w:themeColor="accent3" w:themeShade="BF"/>
                <w:sz w:val="14"/>
                <w:szCs w:val="14"/>
              </w:rPr>
              <w:t>11</w:t>
            </w:r>
            <w:r>
              <w:rPr>
                <w:rFonts w:eastAsia="標楷體" w:hint="eastAsia"/>
                <w:b/>
                <w:color w:val="76923C" w:themeColor="accent3" w:themeShade="BF"/>
                <w:sz w:val="14"/>
                <w:szCs w:val="14"/>
              </w:rPr>
              <w:t>7</w:t>
            </w:r>
            <w:r w:rsidRPr="00C1206D">
              <w:rPr>
                <w:rFonts w:eastAsia="標楷體" w:hint="eastAsia"/>
                <w:b/>
                <w:color w:val="76923C" w:themeColor="accent3" w:themeShade="BF"/>
                <w:sz w:val="14"/>
                <w:szCs w:val="14"/>
              </w:rPr>
              <w:t xml:space="preserve"> billion RVU</w:t>
            </w:r>
          </w:p>
        </w:tc>
        <w:tc>
          <w:tcPr>
            <w:tcW w:w="1155" w:type="dxa"/>
            <w:tcBorders>
              <w:top w:val="thinThickSmallGap" w:sz="24" w:space="0" w:color="C2D69B" w:themeColor="accent3" w:themeTint="99"/>
              <w:left w:val="double" w:sz="4" w:space="0" w:color="C2D69B" w:themeColor="accent3" w:themeTint="99"/>
              <w:bottom w:val="thinThickSmallGap" w:sz="24" w:space="0" w:color="C2D69B" w:themeColor="accent3" w:themeTint="99"/>
              <w:right w:val="double" w:sz="4" w:space="0" w:color="C2D69B" w:themeColor="accent3" w:themeTint="99"/>
            </w:tcBorders>
            <w:shd w:val="clear" w:color="auto" w:fill="auto"/>
            <w:vAlign w:val="center"/>
          </w:tcPr>
          <w:p w:rsidR="00090B9F" w:rsidRPr="00947656" w:rsidRDefault="006D0C96" w:rsidP="00090B9F">
            <w:pPr>
              <w:widowControl/>
              <w:adjustRightInd/>
              <w:spacing w:line="240" w:lineRule="exact"/>
              <w:jc w:val="center"/>
              <w:textAlignment w:val="auto"/>
              <w:rPr>
                <w:rFonts w:eastAsia="標楷體"/>
                <w:sz w:val="16"/>
                <w:szCs w:val="16"/>
              </w:rPr>
            </w:pPr>
            <w:r>
              <w:rPr>
                <w:rFonts w:eastAsia="標楷體" w:hint="eastAsia"/>
                <w:sz w:val="16"/>
                <w:szCs w:val="16"/>
              </w:rPr>
              <w:t>Case-Payment</w:t>
            </w:r>
          </w:p>
          <w:p w:rsidR="00090B9F" w:rsidRPr="00947656" w:rsidRDefault="00C1206D" w:rsidP="00C178C0">
            <w:pPr>
              <w:widowControl/>
              <w:adjustRightInd/>
              <w:spacing w:line="240" w:lineRule="exact"/>
              <w:jc w:val="center"/>
              <w:textAlignment w:val="auto"/>
              <w:rPr>
                <w:rFonts w:eastAsia="標楷體"/>
                <w:b/>
                <w:color w:val="76923C" w:themeColor="accent3" w:themeShade="BF"/>
                <w:sz w:val="18"/>
                <w:szCs w:val="18"/>
              </w:rPr>
            </w:pPr>
            <w:r>
              <w:rPr>
                <w:rFonts w:eastAsia="標楷體" w:hint="eastAsia"/>
                <w:b/>
                <w:color w:val="76923C" w:themeColor="accent3" w:themeShade="BF"/>
                <w:sz w:val="14"/>
                <w:szCs w:val="14"/>
              </w:rPr>
              <w:t xml:space="preserve">1 </w:t>
            </w:r>
            <w:r w:rsidRPr="00C1206D">
              <w:rPr>
                <w:rFonts w:eastAsia="標楷體" w:hint="eastAsia"/>
                <w:b/>
                <w:color w:val="76923C" w:themeColor="accent3" w:themeShade="BF"/>
                <w:sz w:val="14"/>
                <w:szCs w:val="14"/>
              </w:rPr>
              <w:t>billion RVU</w:t>
            </w:r>
          </w:p>
        </w:tc>
        <w:tc>
          <w:tcPr>
            <w:tcW w:w="1202" w:type="dxa"/>
            <w:tcBorders>
              <w:top w:val="thinThickSmallGap" w:sz="24" w:space="0" w:color="C2D69B" w:themeColor="accent3" w:themeTint="99"/>
              <w:left w:val="double" w:sz="4" w:space="0" w:color="C2D69B" w:themeColor="accent3" w:themeTint="99"/>
              <w:bottom w:val="thinThickSmallGap" w:sz="24" w:space="0" w:color="C2D69B" w:themeColor="accent3" w:themeTint="99"/>
              <w:right w:val="double" w:sz="4" w:space="0" w:color="C2D69B" w:themeColor="accent3" w:themeTint="99"/>
            </w:tcBorders>
            <w:shd w:val="clear" w:color="auto" w:fill="auto"/>
            <w:vAlign w:val="center"/>
          </w:tcPr>
          <w:p w:rsidR="00090B9F" w:rsidRPr="00947656" w:rsidRDefault="006D0C96" w:rsidP="00090B9F">
            <w:pPr>
              <w:widowControl/>
              <w:adjustRightInd/>
              <w:spacing w:line="240" w:lineRule="exact"/>
              <w:ind w:rightChars="-31" w:right="-74"/>
              <w:jc w:val="center"/>
              <w:textAlignment w:val="auto"/>
              <w:rPr>
                <w:rFonts w:eastAsia="標楷體"/>
                <w:sz w:val="16"/>
                <w:szCs w:val="16"/>
              </w:rPr>
            </w:pPr>
            <w:r>
              <w:rPr>
                <w:rFonts w:eastAsia="標楷體" w:hint="eastAsia"/>
                <w:sz w:val="16"/>
                <w:szCs w:val="16"/>
              </w:rPr>
              <w:t>Special Cases</w:t>
            </w:r>
          </w:p>
          <w:p w:rsidR="00090B9F" w:rsidRPr="00947656" w:rsidRDefault="00C1206D" w:rsidP="00C178C0">
            <w:pPr>
              <w:widowControl/>
              <w:adjustRightInd/>
              <w:spacing w:line="240" w:lineRule="exact"/>
              <w:jc w:val="center"/>
              <w:textAlignment w:val="auto"/>
              <w:rPr>
                <w:rFonts w:eastAsia="標楷體"/>
                <w:b/>
                <w:color w:val="76923C" w:themeColor="accent3" w:themeShade="BF"/>
                <w:sz w:val="18"/>
                <w:szCs w:val="18"/>
              </w:rPr>
            </w:pPr>
            <w:r>
              <w:rPr>
                <w:rFonts w:eastAsia="標楷體" w:hint="eastAsia"/>
                <w:b/>
                <w:color w:val="76923C" w:themeColor="accent3" w:themeShade="BF"/>
                <w:sz w:val="14"/>
                <w:szCs w:val="14"/>
              </w:rPr>
              <w:t xml:space="preserve">15 </w:t>
            </w:r>
            <w:r w:rsidRPr="00C1206D">
              <w:rPr>
                <w:rFonts w:eastAsia="標楷體" w:hint="eastAsia"/>
                <w:b/>
                <w:color w:val="76923C" w:themeColor="accent3" w:themeShade="BF"/>
                <w:sz w:val="14"/>
                <w:szCs w:val="14"/>
              </w:rPr>
              <w:t>billion RVU</w:t>
            </w:r>
          </w:p>
        </w:tc>
        <w:tc>
          <w:tcPr>
            <w:tcW w:w="1061" w:type="dxa"/>
            <w:tcBorders>
              <w:top w:val="thinThickSmallGap" w:sz="24" w:space="0" w:color="C2D69B" w:themeColor="accent3" w:themeTint="99"/>
              <w:left w:val="double" w:sz="4" w:space="0" w:color="C2D69B" w:themeColor="accent3" w:themeTint="99"/>
              <w:bottom w:val="thinThickSmallGap" w:sz="24" w:space="0" w:color="C2D69B" w:themeColor="accent3" w:themeTint="99"/>
              <w:right w:val="double" w:sz="4" w:space="0" w:color="C2D69B" w:themeColor="accent3" w:themeTint="99"/>
            </w:tcBorders>
            <w:shd w:val="clear" w:color="auto" w:fill="auto"/>
            <w:vAlign w:val="center"/>
          </w:tcPr>
          <w:p w:rsidR="00090B9F" w:rsidRPr="00947656" w:rsidRDefault="006D0C96" w:rsidP="00090B9F">
            <w:pPr>
              <w:widowControl/>
              <w:adjustRightInd/>
              <w:spacing w:line="240" w:lineRule="exact"/>
              <w:jc w:val="center"/>
              <w:textAlignment w:val="auto"/>
              <w:rPr>
                <w:rFonts w:eastAsia="標楷體"/>
                <w:sz w:val="16"/>
                <w:szCs w:val="16"/>
              </w:rPr>
            </w:pPr>
            <w:r>
              <w:rPr>
                <w:rFonts w:eastAsia="標楷體" w:hint="eastAsia"/>
                <w:sz w:val="16"/>
                <w:szCs w:val="16"/>
              </w:rPr>
              <w:t>Pilot Project</w:t>
            </w:r>
          </w:p>
          <w:p w:rsidR="00090B9F" w:rsidRPr="00947656" w:rsidRDefault="00C1206D" w:rsidP="00C178C0">
            <w:pPr>
              <w:widowControl/>
              <w:adjustRightInd/>
              <w:spacing w:line="240" w:lineRule="exact"/>
              <w:jc w:val="center"/>
              <w:textAlignment w:val="auto"/>
              <w:rPr>
                <w:rFonts w:eastAsia="標楷體"/>
                <w:b/>
                <w:color w:val="76923C" w:themeColor="accent3" w:themeShade="BF"/>
                <w:sz w:val="18"/>
                <w:szCs w:val="18"/>
              </w:rPr>
            </w:pPr>
            <w:r>
              <w:rPr>
                <w:rFonts w:eastAsia="標楷體" w:hint="eastAsia"/>
                <w:b/>
                <w:color w:val="76923C" w:themeColor="accent3" w:themeShade="BF"/>
                <w:sz w:val="14"/>
                <w:szCs w:val="14"/>
              </w:rPr>
              <w:t xml:space="preserve">16 </w:t>
            </w:r>
            <w:r w:rsidRPr="00C1206D">
              <w:rPr>
                <w:rFonts w:eastAsia="標楷體" w:hint="eastAsia"/>
                <w:b/>
                <w:color w:val="76923C" w:themeColor="accent3" w:themeShade="BF"/>
                <w:sz w:val="14"/>
                <w:szCs w:val="14"/>
              </w:rPr>
              <w:t>billion RVU</w:t>
            </w:r>
          </w:p>
        </w:tc>
        <w:tc>
          <w:tcPr>
            <w:tcW w:w="1109" w:type="dxa"/>
            <w:tcBorders>
              <w:top w:val="thinThickSmallGap" w:sz="24" w:space="0" w:color="C2D69B" w:themeColor="accent3" w:themeTint="99"/>
              <w:left w:val="double" w:sz="4" w:space="0" w:color="C2D69B" w:themeColor="accent3" w:themeTint="99"/>
              <w:bottom w:val="thinThickSmallGap" w:sz="24" w:space="0" w:color="C2D69B" w:themeColor="accent3" w:themeTint="99"/>
              <w:right w:val="double" w:sz="4" w:space="0" w:color="C2D69B" w:themeColor="accent3" w:themeTint="99"/>
            </w:tcBorders>
            <w:shd w:val="clear" w:color="auto" w:fill="auto"/>
            <w:noWrap/>
            <w:vAlign w:val="center"/>
            <w:hideMark/>
          </w:tcPr>
          <w:p w:rsidR="00090B9F" w:rsidRPr="00947656" w:rsidRDefault="006D0C96" w:rsidP="00090B9F">
            <w:pPr>
              <w:widowControl/>
              <w:adjustRightInd/>
              <w:spacing w:line="240" w:lineRule="exact"/>
              <w:jc w:val="center"/>
              <w:textAlignment w:val="auto"/>
              <w:rPr>
                <w:rFonts w:eastAsia="標楷體"/>
                <w:sz w:val="16"/>
                <w:szCs w:val="16"/>
              </w:rPr>
            </w:pPr>
            <w:r>
              <w:rPr>
                <w:rFonts w:eastAsia="標楷體" w:hint="eastAsia"/>
                <w:sz w:val="16"/>
                <w:szCs w:val="16"/>
              </w:rPr>
              <w:t>Hospice Care</w:t>
            </w:r>
          </w:p>
          <w:p w:rsidR="00090B9F" w:rsidRPr="00947656" w:rsidRDefault="00C1206D" w:rsidP="00C178C0">
            <w:pPr>
              <w:widowControl/>
              <w:adjustRightInd/>
              <w:spacing w:line="240" w:lineRule="exact"/>
              <w:jc w:val="center"/>
              <w:textAlignment w:val="auto"/>
              <w:rPr>
                <w:rFonts w:eastAsia="標楷體"/>
                <w:b/>
                <w:color w:val="76923C" w:themeColor="accent3" w:themeShade="BF"/>
                <w:sz w:val="18"/>
                <w:szCs w:val="18"/>
              </w:rPr>
            </w:pPr>
            <w:r>
              <w:rPr>
                <w:rFonts w:eastAsia="標楷體" w:hint="eastAsia"/>
                <w:b/>
                <w:color w:val="76923C" w:themeColor="accent3" w:themeShade="BF"/>
                <w:sz w:val="14"/>
                <w:szCs w:val="14"/>
              </w:rPr>
              <w:t xml:space="preserve">0.5 </w:t>
            </w:r>
            <w:r w:rsidRPr="00C1206D">
              <w:rPr>
                <w:rFonts w:eastAsia="標楷體" w:hint="eastAsia"/>
                <w:b/>
                <w:color w:val="76923C" w:themeColor="accent3" w:themeShade="BF"/>
                <w:sz w:val="14"/>
                <w:szCs w:val="14"/>
              </w:rPr>
              <w:t>billion RVU</w:t>
            </w:r>
          </w:p>
        </w:tc>
        <w:tc>
          <w:tcPr>
            <w:tcW w:w="1160" w:type="dxa"/>
            <w:tcBorders>
              <w:top w:val="thinThickSmallGap" w:sz="24" w:space="0" w:color="C2D69B" w:themeColor="accent3" w:themeTint="99"/>
              <w:left w:val="double" w:sz="4" w:space="0" w:color="C2D69B" w:themeColor="accent3" w:themeTint="99"/>
              <w:bottom w:val="thinThickSmallGap" w:sz="24" w:space="0" w:color="C2D69B" w:themeColor="accent3" w:themeTint="99"/>
              <w:right w:val="double" w:sz="4" w:space="0" w:color="C2D69B" w:themeColor="accent3" w:themeTint="99"/>
            </w:tcBorders>
            <w:shd w:val="clear" w:color="auto" w:fill="auto"/>
            <w:vAlign w:val="center"/>
          </w:tcPr>
          <w:p w:rsidR="00090B9F" w:rsidRPr="00947656" w:rsidRDefault="00090B9F" w:rsidP="00090B9F">
            <w:pPr>
              <w:widowControl/>
              <w:adjustRightInd/>
              <w:spacing w:line="240" w:lineRule="exact"/>
              <w:jc w:val="center"/>
              <w:textAlignment w:val="auto"/>
              <w:rPr>
                <w:rFonts w:eastAsia="標楷體"/>
                <w:sz w:val="16"/>
                <w:szCs w:val="16"/>
              </w:rPr>
            </w:pPr>
            <w:proofErr w:type="spellStart"/>
            <w:r w:rsidRPr="00947656">
              <w:rPr>
                <w:rFonts w:eastAsia="標楷體"/>
                <w:sz w:val="16"/>
                <w:szCs w:val="16"/>
              </w:rPr>
              <w:t>T</w:t>
            </w:r>
            <w:r w:rsidR="003E7660" w:rsidRPr="00947656">
              <w:rPr>
                <w:rFonts w:eastAsia="標楷體"/>
                <w:sz w:val="16"/>
                <w:szCs w:val="16"/>
              </w:rPr>
              <w:t>w</w:t>
            </w:r>
            <w:proofErr w:type="spellEnd"/>
            <w:r w:rsidRPr="00947656">
              <w:rPr>
                <w:rFonts w:eastAsia="標楷體"/>
                <w:sz w:val="16"/>
                <w:szCs w:val="16"/>
              </w:rPr>
              <w:t>-DRG</w:t>
            </w:r>
            <w:r w:rsidR="00927F1F">
              <w:rPr>
                <w:rFonts w:eastAsia="標楷體" w:hint="eastAsia"/>
                <w:sz w:val="16"/>
                <w:szCs w:val="16"/>
              </w:rPr>
              <w:t>s</w:t>
            </w:r>
          </w:p>
          <w:p w:rsidR="00090B9F" w:rsidRPr="00947656" w:rsidRDefault="00C1206D" w:rsidP="00C178C0">
            <w:pPr>
              <w:widowControl/>
              <w:adjustRightInd/>
              <w:spacing w:line="240" w:lineRule="exact"/>
              <w:jc w:val="center"/>
              <w:textAlignment w:val="auto"/>
              <w:rPr>
                <w:rFonts w:eastAsia="標楷體"/>
                <w:b/>
                <w:color w:val="76923C" w:themeColor="accent3" w:themeShade="BF"/>
                <w:sz w:val="18"/>
                <w:szCs w:val="18"/>
              </w:rPr>
            </w:pPr>
            <w:r>
              <w:rPr>
                <w:rFonts w:eastAsia="標楷體" w:hint="eastAsia"/>
                <w:b/>
                <w:color w:val="76923C" w:themeColor="accent3" w:themeShade="BF"/>
                <w:sz w:val="14"/>
                <w:szCs w:val="14"/>
              </w:rPr>
              <w:t xml:space="preserve">21 </w:t>
            </w:r>
            <w:r w:rsidRPr="00C1206D">
              <w:rPr>
                <w:rFonts w:eastAsia="標楷體" w:hint="eastAsia"/>
                <w:b/>
                <w:color w:val="76923C" w:themeColor="accent3" w:themeShade="BF"/>
                <w:sz w:val="14"/>
                <w:szCs w:val="14"/>
              </w:rPr>
              <w:t>billion RVU</w:t>
            </w:r>
          </w:p>
        </w:tc>
        <w:tc>
          <w:tcPr>
            <w:tcW w:w="1172" w:type="dxa"/>
            <w:tcBorders>
              <w:top w:val="thinThickSmallGap" w:sz="24" w:space="0" w:color="C2D69B" w:themeColor="accent3" w:themeTint="99"/>
              <w:left w:val="double" w:sz="4" w:space="0" w:color="C2D69B" w:themeColor="accent3" w:themeTint="99"/>
              <w:bottom w:val="thinThickSmallGap" w:sz="24" w:space="0" w:color="C2D69B" w:themeColor="accent3" w:themeTint="99"/>
              <w:right w:val="thinThickSmallGap" w:sz="24" w:space="0" w:color="C2D69B" w:themeColor="accent3" w:themeTint="99"/>
            </w:tcBorders>
            <w:shd w:val="clear" w:color="auto" w:fill="auto"/>
            <w:vAlign w:val="center"/>
          </w:tcPr>
          <w:p w:rsidR="00090B9F" w:rsidRPr="00947656" w:rsidRDefault="006D0C96" w:rsidP="00090B9F">
            <w:pPr>
              <w:widowControl/>
              <w:adjustRightInd/>
              <w:spacing w:line="240" w:lineRule="exact"/>
              <w:jc w:val="center"/>
              <w:textAlignment w:val="auto"/>
              <w:rPr>
                <w:rFonts w:eastAsia="標楷體"/>
                <w:sz w:val="16"/>
                <w:szCs w:val="16"/>
              </w:rPr>
            </w:pPr>
            <w:r>
              <w:rPr>
                <w:rFonts w:eastAsia="標楷體" w:hint="eastAsia"/>
                <w:sz w:val="16"/>
                <w:szCs w:val="16"/>
              </w:rPr>
              <w:t>Commission Cases</w:t>
            </w:r>
          </w:p>
          <w:p w:rsidR="00090B9F" w:rsidRPr="00947656" w:rsidRDefault="00C1206D" w:rsidP="00C178C0">
            <w:pPr>
              <w:widowControl/>
              <w:adjustRightInd/>
              <w:spacing w:line="240" w:lineRule="exact"/>
              <w:jc w:val="center"/>
              <w:textAlignment w:val="auto"/>
              <w:rPr>
                <w:rFonts w:eastAsia="標楷體"/>
                <w:b/>
                <w:color w:val="76923C" w:themeColor="accent3" w:themeShade="BF"/>
                <w:sz w:val="18"/>
                <w:szCs w:val="18"/>
              </w:rPr>
            </w:pPr>
            <w:r>
              <w:rPr>
                <w:rFonts w:eastAsia="標楷體" w:hint="eastAsia"/>
                <w:b/>
                <w:color w:val="76923C" w:themeColor="accent3" w:themeShade="BF"/>
                <w:sz w:val="14"/>
                <w:szCs w:val="14"/>
              </w:rPr>
              <w:t xml:space="preserve">2 </w:t>
            </w:r>
            <w:r w:rsidRPr="00C1206D">
              <w:rPr>
                <w:rFonts w:eastAsia="標楷體" w:hint="eastAsia"/>
                <w:b/>
                <w:color w:val="76923C" w:themeColor="accent3" w:themeShade="BF"/>
                <w:sz w:val="14"/>
                <w:szCs w:val="14"/>
              </w:rPr>
              <w:t>billion RVU</w:t>
            </w:r>
          </w:p>
        </w:tc>
      </w:tr>
      <w:tr w:rsidR="00090B9F" w:rsidRPr="00947656" w:rsidTr="00F01AFD">
        <w:trPr>
          <w:trHeight w:val="340"/>
        </w:trPr>
        <w:tc>
          <w:tcPr>
            <w:tcW w:w="1090" w:type="dxa"/>
            <w:tcBorders>
              <w:top w:val="thinThickSmallGap" w:sz="24" w:space="0" w:color="C2D69B" w:themeColor="accent3" w:themeTint="99"/>
              <w:left w:val="thickThinSmallGap" w:sz="24" w:space="0" w:color="C2D69B" w:themeColor="accent3" w:themeTint="99"/>
              <w:right w:val="double" w:sz="4" w:space="0" w:color="C2D69B" w:themeColor="accent3" w:themeTint="99"/>
            </w:tcBorders>
            <w:shd w:val="clear" w:color="000000" w:fill="EAF1DD" w:themeFill="accent3" w:themeFillTint="33"/>
            <w:noWrap/>
            <w:vAlign w:val="center"/>
            <w:hideMark/>
          </w:tcPr>
          <w:p w:rsidR="00090B9F" w:rsidRPr="00947656" w:rsidRDefault="00C1206D" w:rsidP="00090B9F">
            <w:pPr>
              <w:widowControl/>
              <w:adjustRightInd/>
              <w:spacing w:line="240" w:lineRule="exact"/>
              <w:jc w:val="center"/>
              <w:textAlignment w:val="auto"/>
              <w:rPr>
                <w:rFonts w:eastAsia="標楷體"/>
                <w:sz w:val="16"/>
                <w:szCs w:val="16"/>
              </w:rPr>
            </w:pPr>
            <w:r>
              <w:rPr>
                <w:rFonts w:eastAsia="標楷體"/>
                <w:sz w:val="16"/>
                <w:szCs w:val="16"/>
              </w:rPr>
              <w:t>Ward Fees</w:t>
            </w:r>
          </w:p>
        </w:tc>
        <w:tc>
          <w:tcPr>
            <w:tcW w:w="1155" w:type="dxa"/>
            <w:tcBorders>
              <w:top w:val="thinThickSmallGap" w:sz="2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vAlign w:val="center"/>
          </w:tcPr>
          <w:p w:rsidR="00090B9F" w:rsidRPr="00947656" w:rsidRDefault="00C1206D" w:rsidP="00090B9F">
            <w:pPr>
              <w:widowControl/>
              <w:adjustRightInd/>
              <w:spacing w:line="240" w:lineRule="exact"/>
              <w:jc w:val="center"/>
              <w:textAlignment w:val="auto"/>
              <w:rPr>
                <w:rFonts w:eastAsia="標楷體"/>
                <w:sz w:val="16"/>
                <w:szCs w:val="16"/>
              </w:rPr>
            </w:pPr>
            <w:r>
              <w:rPr>
                <w:rFonts w:eastAsia="標楷體"/>
                <w:sz w:val="16"/>
                <w:szCs w:val="16"/>
              </w:rPr>
              <w:t>Surgical Fees</w:t>
            </w:r>
          </w:p>
        </w:tc>
        <w:tc>
          <w:tcPr>
            <w:tcW w:w="1202" w:type="dxa"/>
            <w:tcBorders>
              <w:top w:val="thinThickSmallGap" w:sz="2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noWrap/>
            <w:tcMar>
              <w:right w:w="284" w:type="dxa"/>
            </w:tcMar>
            <w:vAlign w:val="center"/>
            <w:hideMark/>
          </w:tcPr>
          <w:p w:rsidR="00090B9F" w:rsidRPr="00947656" w:rsidRDefault="00C1206D" w:rsidP="00090B9F">
            <w:pPr>
              <w:widowControl/>
              <w:adjustRightInd/>
              <w:spacing w:line="240" w:lineRule="exact"/>
              <w:ind w:rightChars="-137" w:right="-329"/>
              <w:jc w:val="center"/>
              <w:textAlignment w:val="auto"/>
              <w:rPr>
                <w:rFonts w:eastAsia="標楷體"/>
                <w:sz w:val="16"/>
                <w:szCs w:val="16"/>
              </w:rPr>
            </w:pPr>
            <w:r>
              <w:rPr>
                <w:rFonts w:eastAsia="標楷體"/>
                <w:sz w:val="16"/>
                <w:szCs w:val="16"/>
              </w:rPr>
              <w:t>Ward Fees</w:t>
            </w:r>
          </w:p>
        </w:tc>
        <w:tc>
          <w:tcPr>
            <w:tcW w:w="1061" w:type="dxa"/>
            <w:tcBorders>
              <w:top w:val="thinThickSmallGap" w:sz="2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vAlign w:val="center"/>
          </w:tcPr>
          <w:p w:rsidR="00090B9F" w:rsidRPr="00947656" w:rsidRDefault="00C1206D" w:rsidP="00090B9F">
            <w:pPr>
              <w:widowControl/>
              <w:adjustRightInd/>
              <w:spacing w:line="240" w:lineRule="exact"/>
              <w:jc w:val="center"/>
              <w:textAlignment w:val="auto"/>
              <w:rPr>
                <w:rFonts w:eastAsia="標楷體"/>
                <w:sz w:val="16"/>
                <w:szCs w:val="16"/>
              </w:rPr>
            </w:pPr>
            <w:r>
              <w:rPr>
                <w:rFonts w:eastAsia="標楷體"/>
                <w:sz w:val="16"/>
                <w:szCs w:val="16"/>
              </w:rPr>
              <w:t>Therapeutic Procedure Fees</w:t>
            </w:r>
          </w:p>
        </w:tc>
        <w:tc>
          <w:tcPr>
            <w:tcW w:w="1109" w:type="dxa"/>
            <w:tcBorders>
              <w:top w:val="thinThickSmallGap" w:sz="2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noWrap/>
            <w:vAlign w:val="center"/>
            <w:hideMark/>
          </w:tcPr>
          <w:p w:rsidR="00090B9F" w:rsidRPr="00947656" w:rsidRDefault="00C1206D" w:rsidP="00090B9F">
            <w:pPr>
              <w:widowControl/>
              <w:adjustRightInd/>
              <w:spacing w:line="240" w:lineRule="exact"/>
              <w:jc w:val="center"/>
              <w:textAlignment w:val="auto"/>
              <w:rPr>
                <w:rFonts w:eastAsia="標楷體"/>
                <w:sz w:val="16"/>
                <w:szCs w:val="16"/>
              </w:rPr>
            </w:pPr>
            <w:r>
              <w:rPr>
                <w:rFonts w:eastAsia="標楷體"/>
                <w:sz w:val="16"/>
                <w:szCs w:val="16"/>
              </w:rPr>
              <w:t>Ward Fees</w:t>
            </w:r>
          </w:p>
        </w:tc>
        <w:tc>
          <w:tcPr>
            <w:tcW w:w="1160" w:type="dxa"/>
            <w:tcBorders>
              <w:top w:val="thinThickSmallGap" w:sz="2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vAlign w:val="center"/>
          </w:tcPr>
          <w:p w:rsidR="00090B9F" w:rsidRPr="00947656" w:rsidRDefault="00C1206D" w:rsidP="00090B9F">
            <w:pPr>
              <w:widowControl/>
              <w:adjustRightInd/>
              <w:spacing w:line="240" w:lineRule="exact"/>
              <w:jc w:val="center"/>
              <w:textAlignment w:val="auto"/>
              <w:rPr>
                <w:rFonts w:eastAsia="標楷體"/>
                <w:sz w:val="16"/>
                <w:szCs w:val="16"/>
              </w:rPr>
            </w:pPr>
            <w:r>
              <w:rPr>
                <w:rFonts w:eastAsia="標楷體"/>
                <w:sz w:val="16"/>
                <w:szCs w:val="16"/>
              </w:rPr>
              <w:t>Surgical Fees</w:t>
            </w:r>
          </w:p>
        </w:tc>
        <w:tc>
          <w:tcPr>
            <w:tcW w:w="1172" w:type="dxa"/>
            <w:tcBorders>
              <w:top w:val="thinThickSmallGap" w:sz="24" w:space="0" w:color="C2D69B" w:themeColor="accent3" w:themeTint="99"/>
              <w:left w:val="double" w:sz="4" w:space="0" w:color="C2D69B" w:themeColor="accent3" w:themeTint="99"/>
              <w:right w:val="thinThickSmallGap" w:sz="24" w:space="0" w:color="C2D69B" w:themeColor="accent3" w:themeTint="99"/>
            </w:tcBorders>
            <w:shd w:val="clear" w:color="000000" w:fill="EAF1DD" w:themeFill="accent3" w:themeFillTint="33"/>
            <w:vAlign w:val="center"/>
          </w:tcPr>
          <w:p w:rsidR="00090B9F" w:rsidRPr="00947656" w:rsidRDefault="00C1206D" w:rsidP="00090B9F">
            <w:pPr>
              <w:widowControl/>
              <w:adjustRightInd/>
              <w:spacing w:line="240" w:lineRule="exact"/>
              <w:jc w:val="center"/>
              <w:textAlignment w:val="auto"/>
              <w:rPr>
                <w:rFonts w:eastAsia="標楷體"/>
                <w:sz w:val="16"/>
                <w:szCs w:val="16"/>
              </w:rPr>
            </w:pPr>
            <w:r>
              <w:rPr>
                <w:rFonts w:eastAsia="標楷體"/>
                <w:sz w:val="16"/>
                <w:szCs w:val="16"/>
              </w:rPr>
              <w:t>Ward Fees</w:t>
            </w:r>
          </w:p>
        </w:tc>
      </w:tr>
      <w:tr w:rsidR="00090B9F" w:rsidRPr="00947656" w:rsidTr="00C96D74">
        <w:trPr>
          <w:trHeight w:val="581"/>
        </w:trPr>
        <w:tc>
          <w:tcPr>
            <w:tcW w:w="1090" w:type="dxa"/>
            <w:tcBorders>
              <w:top w:val="nil"/>
              <w:left w:val="thickThinSmallGap" w:sz="2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noWrap/>
            <w:vAlign w:val="center"/>
            <w:hideMark/>
          </w:tcPr>
          <w:p w:rsidR="00090B9F" w:rsidRPr="00947656" w:rsidRDefault="00090B9F" w:rsidP="00C178C0">
            <w:pPr>
              <w:widowControl/>
              <w:adjustRightInd/>
              <w:spacing w:line="240" w:lineRule="exact"/>
              <w:jc w:val="center"/>
              <w:textAlignment w:val="auto"/>
              <w:rPr>
                <w:rFonts w:eastAsia="標楷體"/>
                <w:sz w:val="16"/>
                <w:szCs w:val="16"/>
              </w:rPr>
            </w:pPr>
            <w:r w:rsidRPr="00947656">
              <w:rPr>
                <w:rFonts w:eastAsia="標楷體"/>
                <w:sz w:val="16"/>
                <w:szCs w:val="16"/>
              </w:rPr>
              <w:t>27.0%</w:t>
            </w:r>
          </w:p>
        </w:tc>
        <w:tc>
          <w:tcPr>
            <w:tcW w:w="1155"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vAlign w:val="center"/>
          </w:tcPr>
          <w:p w:rsidR="00090B9F" w:rsidRPr="00947656" w:rsidRDefault="00090B9F" w:rsidP="00C178C0">
            <w:pPr>
              <w:widowControl/>
              <w:adjustRightInd/>
              <w:spacing w:line="240" w:lineRule="exact"/>
              <w:jc w:val="center"/>
              <w:textAlignment w:val="auto"/>
              <w:rPr>
                <w:rFonts w:eastAsia="標楷體"/>
                <w:sz w:val="16"/>
                <w:szCs w:val="16"/>
              </w:rPr>
            </w:pPr>
            <w:r w:rsidRPr="00947656">
              <w:rPr>
                <w:rFonts w:eastAsia="標楷體"/>
                <w:sz w:val="16"/>
                <w:szCs w:val="16"/>
              </w:rPr>
              <w:t>62.8%</w:t>
            </w:r>
          </w:p>
        </w:tc>
        <w:tc>
          <w:tcPr>
            <w:tcW w:w="1202"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noWrap/>
            <w:tcMar>
              <w:right w:w="284" w:type="dxa"/>
            </w:tcMar>
            <w:vAlign w:val="center"/>
            <w:hideMark/>
          </w:tcPr>
          <w:p w:rsidR="00090B9F" w:rsidRPr="00947656" w:rsidRDefault="00090B9F" w:rsidP="00C178C0">
            <w:pPr>
              <w:widowControl/>
              <w:adjustRightInd/>
              <w:spacing w:line="240" w:lineRule="exact"/>
              <w:ind w:rightChars="-137" w:right="-329"/>
              <w:jc w:val="center"/>
              <w:textAlignment w:val="auto"/>
              <w:rPr>
                <w:rFonts w:eastAsia="標楷體"/>
                <w:sz w:val="16"/>
                <w:szCs w:val="16"/>
              </w:rPr>
            </w:pPr>
            <w:r w:rsidRPr="00947656">
              <w:rPr>
                <w:rFonts w:eastAsia="標楷體"/>
                <w:sz w:val="16"/>
                <w:szCs w:val="16"/>
              </w:rPr>
              <w:t>19.8%</w:t>
            </w:r>
          </w:p>
        </w:tc>
        <w:tc>
          <w:tcPr>
            <w:tcW w:w="1061"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vAlign w:val="center"/>
          </w:tcPr>
          <w:p w:rsidR="00090B9F" w:rsidRPr="00947656" w:rsidRDefault="00090B9F" w:rsidP="00C178C0">
            <w:pPr>
              <w:widowControl/>
              <w:adjustRightInd/>
              <w:spacing w:line="240" w:lineRule="exact"/>
              <w:jc w:val="center"/>
              <w:textAlignment w:val="auto"/>
              <w:rPr>
                <w:rFonts w:eastAsia="標楷體"/>
                <w:sz w:val="16"/>
                <w:szCs w:val="16"/>
              </w:rPr>
            </w:pPr>
            <w:r w:rsidRPr="00947656">
              <w:rPr>
                <w:rFonts w:eastAsia="標楷體"/>
                <w:sz w:val="16"/>
                <w:szCs w:val="16"/>
              </w:rPr>
              <w:t>30.8%</w:t>
            </w:r>
          </w:p>
        </w:tc>
        <w:tc>
          <w:tcPr>
            <w:tcW w:w="1109"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noWrap/>
            <w:vAlign w:val="center"/>
            <w:hideMark/>
          </w:tcPr>
          <w:p w:rsidR="00090B9F" w:rsidRPr="00947656" w:rsidRDefault="00090B9F" w:rsidP="00C178C0">
            <w:pPr>
              <w:widowControl/>
              <w:adjustRightInd/>
              <w:spacing w:line="240" w:lineRule="exact"/>
              <w:jc w:val="center"/>
              <w:textAlignment w:val="auto"/>
              <w:rPr>
                <w:rFonts w:eastAsia="標楷體"/>
                <w:sz w:val="16"/>
                <w:szCs w:val="16"/>
              </w:rPr>
            </w:pPr>
            <w:r w:rsidRPr="00947656">
              <w:rPr>
                <w:rFonts w:eastAsia="標楷體"/>
                <w:sz w:val="16"/>
                <w:szCs w:val="16"/>
              </w:rPr>
              <w:t>33.4%</w:t>
            </w:r>
          </w:p>
        </w:tc>
        <w:tc>
          <w:tcPr>
            <w:tcW w:w="1160"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vAlign w:val="center"/>
          </w:tcPr>
          <w:p w:rsidR="00090B9F" w:rsidRPr="00947656" w:rsidRDefault="00090B9F" w:rsidP="00C178C0">
            <w:pPr>
              <w:widowControl/>
              <w:adjustRightInd/>
              <w:spacing w:line="240" w:lineRule="exact"/>
              <w:jc w:val="center"/>
              <w:textAlignment w:val="auto"/>
              <w:rPr>
                <w:rFonts w:eastAsia="標楷體"/>
                <w:sz w:val="16"/>
                <w:szCs w:val="16"/>
              </w:rPr>
            </w:pPr>
            <w:r w:rsidRPr="00947656">
              <w:rPr>
                <w:rFonts w:eastAsia="標楷體"/>
                <w:sz w:val="16"/>
                <w:szCs w:val="16"/>
              </w:rPr>
              <w:t>35.1%</w:t>
            </w:r>
          </w:p>
        </w:tc>
        <w:tc>
          <w:tcPr>
            <w:tcW w:w="1172" w:type="dxa"/>
            <w:tcBorders>
              <w:top w:val="nil"/>
              <w:left w:val="double" w:sz="4" w:space="0" w:color="C2D69B" w:themeColor="accent3" w:themeTint="99"/>
              <w:bottom w:val="single" w:sz="4" w:space="0" w:color="C2D69B" w:themeColor="accent3" w:themeTint="99"/>
              <w:right w:val="thinThickSmallGap" w:sz="24" w:space="0" w:color="C2D69B" w:themeColor="accent3" w:themeTint="99"/>
            </w:tcBorders>
            <w:shd w:val="clear" w:color="000000" w:fill="EAF1DD" w:themeFill="accent3" w:themeFillTint="33"/>
            <w:vAlign w:val="center"/>
          </w:tcPr>
          <w:p w:rsidR="00090B9F" w:rsidRPr="00947656" w:rsidRDefault="00090B9F" w:rsidP="00C178C0">
            <w:pPr>
              <w:widowControl/>
              <w:adjustRightInd/>
              <w:spacing w:line="240" w:lineRule="exact"/>
              <w:jc w:val="center"/>
              <w:textAlignment w:val="auto"/>
              <w:rPr>
                <w:rFonts w:eastAsia="標楷體"/>
                <w:sz w:val="16"/>
                <w:szCs w:val="16"/>
              </w:rPr>
            </w:pPr>
            <w:r w:rsidRPr="00947656">
              <w:rPr>
                <w:rFonts w:eastAsia="標楷體"/>
                <w:sz w:val="16"/>
                <w:szCs w:val="16"/>
              </w:rPr>
              <w:t>26.4%</w:t>
            </w:r>
          </w:p>
        </w:tc>
      </w:tr>
      <w:tr w:rsidR="00090B9F" w:rsidRPr="00947656" w:rsidTr="00F01AFD">
        <w:trPr>
          <w:trHeight w:val="333"/>
        </w:trPr>
        <w:tc>
          <w:tcPr>
            <w:tcW w:w="1090" w:type="dxa"/>
            <w:tcBorders>
              <w:top w:val="single" w:sz="4" w:space="0" w:color="C2D69B" w:themeColor="accent3" w:themeTint="99"/>
              <w:left w:val="thickThinSmallGap" w:sz="24" w:space="0" w:color="C2D69B" w:themeColor="accent3" w:themeTint="99"/>
              <w:right w:val="double" w:sz="4" w:space="0" w:color="C2D69B" w:themeColor="accent3" w:themeTint="99"/>
            </w:tcBorders>
            <w:shd w:val="clear" w:color="000000" w:fill="EAF1DD" w:themeFill="accent3" w:themeFillTint="33"/>
            <w:noWrap/>
            <w:vAlign w:val="center"/>
            <w:hideMark/>
          </w:tcPr>
          <w:p w:rsidR="00090B9F" w:rsidRPr="00947656" w:rsidRDefault="00C1206D" w:rsidP="00090B9F">
            <w:pPr>
              <w:widowControl/>
              <w:adjustRightInd/>
              <w:spacing w:line="240" w:lineRule="exact"/>
              <w:jc w:val="center"/>
              <w:textAlignment w:val="auto"/>
              <w:rPr>
                <w:rFonts w:eastAsia="標楷體"/>
                <w:sz w:val="16"/>
                <w:szCs w:val="16"/>
              </w:rPr>
            </w:pPr>
            <w:r>
              <w:rPr>
                <w:rFonts w:eastAsia="標楷體"/>
                <w:sz w:val="16"/>
                <w:szCs w:val="16"/>
              </w:rPr>
              <w:t>Drug Fees</w:t>
            </w:r>
          </w:p>
        </w:tc>
        <w:tc>
          <w:tcPr>
            <w:tcW w:w="1155"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vAlign w:val="center"/>
          </w:tcPr>
          <w:p w:rsidR="00090B9F" w:rsidRPr="00947656" w:rsidRDefault="00C1206D" w:rsidP="00090B9F">
            <w:pPr>
              <w:widowControl/>
              <w:adjustRightInd/>
              <w:spacing w:line="240" w:lineRule="exact"/>
              <w:jc w:val="center"/>
              <w:textAlignment w:val="auto"/>
              <w:rPr>
                <w:rFonts w:eastAsia="標楷體"/>
                <w:sz w:val="16"/>
                <w:szCs w:val="16"/>
              </w:rPr>
            </w:pPr>
            <w:r>
              <w:rPr>
                <w:rFonts w:eastAsia="標楷體"/>
                <w:sz w:val="16"/>
                <w:szCs w:val="16"/>
              </w:rPr>
              <w:t>Therapeutic Procedure Fees</w:t>
            </w:r>
          </w:p>
        </w:tc>
        <w:tc>
          <w:tcPr>
            <w:tcW w:w="1202"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noWrap/>
            <w:tcMar>
              <w:right w:w="284" w:type="dxa"/>
            </w:tcMar>
            <w:vAlign w:val="center"/>
            <w:hideMark/>
          </w:tcPr>
          <w:p w:rsidR="00090B9F" w:rsidRPr="00947656" w:rsidRDefault="00C1206D" w:rsidP="00090B9F">
            <w:pPr>
              <w:widowControl/>
              <w:adjustRightInd/>
              <w:spacing w:line="240" w:lineRule="exact"/>
              <w:ind w:rightChars="-137" w:right="-329"/>
              <w:jc w:val="center"/>
              <w:textAlignment w:val="auto"/>
              <w:rPr>
                <w:rFonts w:eastAsia="標楷體"/>
                <w:sz w:val="16"/>
                <w:szCs w:val="16"/>
              </w:rPr>
            </w:pPr>
            <w:r>
              <w:rPr>
                <w:rFonts w:eastAsia="標楷體"/>
                <w:sz w:val="16"/>
                <w:szCs w:val="16"/>
              </w:rPr>
              <w:t>Special Materials Fees</w:t>
            </w:r>
          </w:p>
        </w:tc>
        <w:tc>
          <w:tcPr>
            <w:tcW w:w="1061"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vAlign w:val="center"/>
          </w:tcPr>
          <w:p w:rsidR="00090B9F" w:rsidRPr="00947656" w:rsidRDefault="00C1206D" w:rsidP="00090B9F">
            <w:pPr>
              <w:widowControl/>
              <w:adjustRightInd/>
              <w:spacing w:line="240" w:lineRule="exact"/>
              <w:jc w:val="center"/>
              <w:textAlignment w:val="auto"/>
              <w:rPr>
                <w:rFonts w:eastAsia="標楷體"/>
                <w:sz w:val="16"/>
                <w:szCs w:val="16"/>
              </w:rPr>
            </w:pPr>
            <w:r>
              <w:rPr>
                <w:rFonts w:eastAsia="標楷體"/>
                <w:sz w:val="16"/>
                <w:szCs w:val="16"/>
              </w:rPr>
              <w:t>Ward Fees</w:t>
            </w:r>
          </w:p>
        </w:tc>
        <w:tc>
          <w:tcPr>
            <w:tcW w:w="1109"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noWrap/>
            <w:vAlign w:val="center"/>
            <w:hideMark/>
          </w:tcPr>
          <w:p w:rsidR="00090B9F" w:rsidRPr="00947656" w:rsidRDefault="00C1206D" w:rsidP="00090B9F">
            <w:pPr>
              <w:widowControl/>
              <w:adjustRightInd/>
              <w:spacing w:line="240" w:lineRule="exact"/>
              <w:jc w:val="center"/>
              <w:textAlignment w:val="auto"/>
              <w:rPr>
                <w:rFonts w:eastAsia="標楷體"/>
                <w:sz w:val="16"/>
                <w:szCs w:val="16"/>
              </w:rPr>
            </w:pPr>
            <w:r>
              <w:rPr>
                <w:rFonts w:eastAsia="標楷體"/>
                <w:sz w:val="16"/>
                <w:szCs w:val="16"/>
              </w:rPr>
              <w:t>Drug Fees</w:t>
            </w:r>
          </w:p>
        </w:tc>
        <w:tc>
          <w:tcPr>
            <w:tcW w:w="1160"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vAlign w:val="center"/>
          </w:tcPr>
          <w:p w:rsidR="00090B9F" w:rsidRPr="00947656" w:rsidRDefault="00C1206D" w:rsidP="00090B9F">
            <w:pPr>
              <w:widowControl/>
              <w:adjustRightInd/>
              <w:spacing w:line="240" w:lineRule="exact"/>
              <w:jc w:val="center"/>
              <w:textAlignment w:val="auto"/>
              <w:rPr>
                <w:rFonts w:eastAsia="標楷體"/>
                <w:sz w:val="16"/>
                <w:szCs w:val="16"/>
              </w:rPr>
            </w:pPr>
            <w:r>
              <w:rPr>
                <w:rFonts w:eastAsia="標楷體"/>
                <w:sz w:val="16"/>
                <w:szCs w:val="16"/>
              </w:rPr>
              <w:t>Special Materials Fees</w:t>
            </w:r>
          </w:p>
        </w:tc>
        <w:tc>
          <w:tcPr>
            <w:tcW w:w="1172" w:type="dxa"/>
            <w:tcBorders>
              <w:top w:val="single" w:sz="4" w:space="0" w:color="C2D69B" w:themeColor="accent3" w:themeTint="99"/>
              <w:left w:val="double" w:sz="4" w:space="0" w:color="C2D69B" w:themeColor="accent3" w:themeTint="99"/>
              <w:right w:val="thinThickSmallGap" w:sz="24" w:space="0" w:color="C2D69B" w:themeColor="accent3" w:themeTint="99"/>
            </w:tcBorders>
            <w:shd w:val="clear" w:color="000000" w:fill="EAF1DD" w:themeFill="accent3" w:themeFillTint="33"/>
            <w:vAlign w:val="center"/>
          </w:tcPr>
          <w:p w:rsidR="00090B9F" w:rsidRPr="00947656" w:rsidRDefault="00C1206D" w:rsidP="00090B9F">
            <w:pPr>
              <w:widowControl/>
              <w:adjustRightInd/>
              <w:spacing w:line="240" w:lineRule="exact"/>
              <w:jc w:val="center"/>
              <w:textAlignment w:val="auto"/>
              <w:rPr>
                <w:rFonts w:eastAsia="標楷體"/>
                <w:sz w:val="16"/>
                <w:szCs w:val="16"/>
              </w:rPr>
            </w:pPr>
            <w:r>
              <w:rPr>
                <w:rFonts w:eastAsia="標楷體"/>
                <w:sz w:val="16"/>
                <w:szCs w:val="16"/>
              </w:rPr>
              <w:t>Surgical Fees</w:t>
            </w:r>
          </w:p>
        </w:tc>
      </w:tr>
      <w:tr w:rsidR="00090B9F" w:rsidRPr="00947656" w:rsidTr="00C96D74">
        <w:trPr>
          <w:trHeight w:val="495"/>
        </w:trPr>
        <w:tc>
          <w:tcPr>
            <w:tcW w:w="1090" w:type="dxa"/>
            <w:tcBorders>
              <w:top w:val="nil"/>
              <w:left w:val="thickThinSmallGap" w:sz="2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noWrap/>
            <w:vAlign w:val="center"/>
            <w:hideMark/>
          </w:tcPr>
          <w:p w:rsidR="00090B9F" w:rsidRPr="00947656" w:rsidRDefault="00090B9F" w:rsidP="00C178C0">
            <w:pPr>
              <w:widowControl/>
              <w:adjustRightInd/>
              <w:spacing w:line="240" w:lineRule="exact"/>
              <w:jc w:val="center"/>
              <w:textAlignment w:val="auto"/>
              <w:rPr>
                <w:rFonts w:eastAsia="標楷體"/>
                <w:sz w:val="16"/>
                <w:szCs w:val="16"/>
              </w:rPr>
            </w:pPr>
            <w:r w:rsidRPr="00947656">
              <w:rPr>
                <w:rFonts w:eastAsia="標楷體"/>
                <w:sz w:val="16"/>
                <w:szCs w:val="16"/>
              </w:rPr>
              <w:t>15.8%</w:t>
            </w:r>
          </w:p>
        </w:tc>
        <w:tc>
          <w:tcPr>
            <w:tcW w:w="1155"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vAlign w:val="center"/>
          </w:tcPr>
          <w:p w:rsidR="00090B9F" w:rsidRPr="00947656" w:rsidRDefault="00090B9F" w:rsidP="00C178C0">
            <w:pPr>
              <w:widowControl/>
              <w:adjustRightInd/>
              <w:spacing w:line="240" w:lineRule="exact"/>
              <w:jc w:val="center"/>
              <w:textAlignment w:val="auto"/>
              <w:rPr>
                <w:rFonts w:eastAsia="標楷體"/>
                <w:sz w:val="16"/>
                <w:szCs w:val="16"/>
              </w:rPr>
            </w:pPr>
            <w:r w:rsidRPr="00947656">
              <w:rPr>
                <w:rFonts w:eastAsia="標楷體"/>
                <w:sz w:val="16"/>
                <w:szCs w:val="16"/>
              </w:rPr>
              <w:t>13.7%</w:t>
            </w:r>
          </w:p>
        </w:tc>
        <w:tc>
          <w:tcPr>
            <w:tcW w:w="1202"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noWrap/>
            <w:tcMar>
              <w:right w:w="284" w:type="dxa"/>
            </w:tcMar>
            <w:vAlign w:val="center"/>
            <w:hideMark/>
          </w:tcPr>
          <w:p w:rsidR="00090B9F" w:rsidRPr="00947656" w:rsidRDefault="00090B9F" w:rsidP="00C178C0">
            <w:pPr>
              <w:widowControl/>
              <w:adjustRightInd/>
              <w:spacing w:line="240" w:lineRule="exact"/>
              <w:ind w:rightChars="-137" w:right="-329"/>
              <w:jc w:val="center"/>
              <w:textAlignment w:val="auto"/>
              <w:rPr>
                <w:rFonts w:eastAsia="標楷體"/>
                <w:sz w:val="16"/>
                <w:szCs w:val="16"/>
              </w:rPr>
            </w:pPr>
            <w:r w:rsidRPr="00947656">
              <w:rPr>
                <w:rFonts w:eastAsia="標楷體"/>
                <w:sz w:val="16"/>
                <w:szCs w:val="16"/>
              </w:rPr>
              <w:t>19.4%</w:t>
            </w:r>
          </w:p>
        </w:tc>
        <w:tc>
          <w:tcPr>
            <w:tcW w:w="1061"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vAlign w:val="center"/>
          </w:tcPr>
          <w:p w:rsidR="00090B9F" w:rsidRPr="00947656" w:rsidRDefault="00090B9F" w:rsidP="00C178C0">
            <w:pPr>
              <w:widowControl/>
              <w:adjustRightInd/>
              <w:spacing w:line="240" w:lineRule="exact"/>
              <w:jc w:val="center"/>
              <w:textAlignment w:val="auto"/>
              <w:rPr>
                <w:rFonts w:eastAsia="標楷體"/>
                <w:sz w:val="16"/>
                <w:szCs w:val="16"/>
              </w:rPr>
            </w:pPr>
            <w:r w:rsidRPr="00947656">
              <w:rPr>
                <w:rFonts w:eastAsia="標楷體"/>
                <w:sz w:val="16"/>
                <w:szCs w:val="16"/>
              </w:rPr>
              <w:t>26.6%</w:t>
            </w:r>
          </w:p>
        </w:tc>
        <w:tc>
          <w:tcPr>
            <w:tcW w:w="1109"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noWrap/>
            <w:vAlign w:val="center"/>
            <w:hideMark/>
          </w:tcPr>
          <w:p w:rsidR="00090B9F" w:rsidRPr="00947656" w:rsidRDefault="00090B9F" w:rsidP="00C178C0">
            <w:pPr>
              <w:widowControl/>
              <w:adjustRightInd/>
              <w:spacing w:line="240" w:lineRule="exact"/>
              <w:jc w:val="center"/>
              <w:textAlignment w:val="auto"/>
              <w:rPr>
                <w:rFonts w:eastAsia="標楷體"/>
                <w:sz w:val="16"/>
                <w:szCs w:val="16"/>
              </w:rPr>
            </w:pPr>
            <w:r w:rsidRPr="00947656">
              <w:rPr>
                <w:rFonts w:eastAsia="標楷體"/>
                <w:sz w:val="16"/>
                <w:szCs w:val="16"/>
              </w:rPr>
              <w:t>18.9%</w:t>
            </w:r>
          </w:p>
        </w:tc>
        <w:tc>
          <w:tcPr>
            <w:tcW w:w="1160"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vAlign w:val="center"/>
          </w:tcPr>
          <w:p w:rsidR="00090B9F" w:rsidRPr="00947656" w:rsidRDefault="00090B9F" w:rsidP="00C178C0">
            <w:pPr>
              <w:widowControl/>
              <w:adjustRightInd/>
              <w:spacing w:line="240" w:lineRule="exact"/>
              <w:jc w:val="center"/>
              <w:textAlignment w:val="auto"/>
              <w:rPr>
                <w:rFonts w:eastAsia="標楷體"/>
                <w:sz w:val="16"/>
                <w:szCs w:val="16"/>
              </w:rPr>
            </w:pPr>
            <w:r w:rsidRPr="00947656">
              <w:rPr>
                <w:rFonts w:eastAsia="標楷體"/>
                <w:sz w:val="16"/>
                <w:szCs w:val="16"/>
              </w:rPr>
              <w:t>19.4%</w:t>
            </w:r>
          </w:p>
        </w:tc>
        <w:tc>
          <w:tcPr>
            <w:tcW w:w="1172" w:type="dxa"/>
            <w:tcBorders>
              <w:top w:val="nil"/>
              <w:left w:val="double" w:sz="4" w:space="0" w:color="C2D69B" w:themeColor="accent3" w:themeTint="99"/>
              <w:bottom w:val="single" w:sz="4" w:space="0" w:color="C2D69B" w:themeColor="accent3" w:themeTint="99"/>
              <w:right w:val="thinThickSmallGap" w:sz="24" w:space="0" w:color="C2D69B" w:themeColor="accent3" w:themeTint="99"/>
            </w:tcBorders>
            <w:shd w:val="clear" w:color="000000" w:fill="EAF1DD" w:themeFill="accent3" w:themeFillTint="33"/>
            <w:vAlign w:val="center"/>
          </w:tcPr>
          <w:p w:rsidR="00090B9F" w:rsidRPr="00947656" w:rsidRDefault="00090B9F" w:rsidP="00C178C0">
            <w:pPr>
              <w:widowControl/>
              <w:adjustRightInd/>
              <w:spacing w:line="240" w:lineRule="exact"/>
              <w:jc w:val="center"/>
              <w:textAlignment w:val="auto"/>
              <w:rPr>
                <w:rFonts w:eastAsia="標楷體"/>
                <w:sz w:val="16"/>
                <w:szCs w:val="16"/>
              </w:rPr>
            </w:pPr>
            <w:r w:rsidRPr="00947656">
              <w:rPr>
                <w:rFonts w:eastAsia="標楷體"/>
                <w:sz w:val="16"/>
                <w:szCs w:val="16"/>
              </w:rPr>
              <w:t>15.0%</w:t>
            </w:r>
          </w:p>
        </w:tc>
      </w:tr>
      <w:tr w:rsidR="00090B9F" w:rsidRPr="00947656" w:rsidTr="00F01AFD">
        <w:trPr>
          <w:trHeight w:val="343"/>
        </w:trPr>
        <w:tc>
          <w:tcPr>
            <w:tcW w:w="1090" w:type="dxa"/>
            <w:tcBorders>
              <w:top w:val="single" w:sz="4" w:space="0" w:color="C2D69B" w:themeColor="accent3" w:themeTint="99"/>
              <w:left w:val="thickThinSmallGap" w:sz="24" w:space="0" w:color="C2D69B" w:themeColor="accent3" w:themeTint="99"/>
              <w:right w:val="double" w:sz="4" w:space="0" w:color="C2D69B" w:themeColor="accent3" w:themeTint="99"/>
            </w:tcBorders>
            <w:shd w:val="clear" w:color="000000" w:fill="EAF1DD" w:themeFill="accent3" w:themeFillTint="33"/>
            <w:noWrap/>
            <w:vAlign w:val="center"/>
            <w:hideMark/>
          </w:tcPr>
          <w:p w:rsidR="00090B9F" w:rsidRPr="00947656" w:rsidRDefault="00C1206D" w:rsidP="00090B9F">
            <w:pPr>
              <w:widowControl/>
              <w:adjustRightInd/>
              <w:spacing w:line="240" w:lineRule="exact"/>
              <w:jc w:val="center"/>
              <w:textAlignment w:val="auto"/>
              <w:rPr>
                <w:rFonts w:eastAsia="標楷體"/>
                <w:sz w:val="16"/>
                <w:szCs w:val="16"/>
              </w:rPr>
            </w:pPr>
            <w:r>
              <w:rPr>
                <w:rFonts w:eastAsia="標楷體"/>
                <w:sz w:val="16"/>
                <w:szCs w:val="16"/>
              </w:rPr>
              <w:t>Laboratory Fees</w:t>
            </w:r>
          </w:p>
        </w:tc>
        <w:tc>
          <w:tcPr>
            <w:tcW w:w="1155"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vAlign w:val="center"/>
          </w:tcPr>
          <w:p w:rsidR="00090B9F" w:rsidRPr="00947656" w:rsidRDefault="00C1206D" w:rsidP="00090B9F">
            <w:pPr>
              <w:widowControl/>
              <w:adjustRightInd/>
              <w:spacing w:line="240" w:lineRule="exact"/>
              <w:jc w:val="center"/>
              <w:textAlignment w:val="auto"/>
              <w:rPr>
                <w:rFonts w:eastAsia="標楷體"/>
                <w:sz w:val="16"/>
                <w:szCs w:val="16"/>
              </w:rPr>
            </w:pPr>
            <w:r>
              <w:rPr>
                <w:rFonts w:eastAsia="標楷體"/>
                <w:sz w:val="16"/>
                <w:szCs w:val="16"/>
              </w:rPr>
              <w:t>Anesthesia Fees</w:t>
            </w:r>
          </w:p>
        </w:tc>
        <w:tc>
          <w:tcPr>
            <w:tcW w:w="1202"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noWrap/>
            <w:tcMar>
              <w:right w:w="284" w:type="dxa"/>
            </w:tcMar>
            <w:vAlign w:val="center"/>
            <w:hideMark/>
          </w:tcPr>
          <w:p w:rsidR="00090B9F" w:rsidRPr="00947656" w:rsidRDefault="00C1206D" w:rsidP="00090B9F">
            <w:pPr>
              <w:widowControl/>
              <w:adjustRightInd/>
              <w:spacing w:line="240" w:lineRule="exact"/>
              <w:ind w:rightChars="-137" w:right="-329"/>
              <w:jc w:val="center"/>
              <w:textAlignment w:val="auto"/>
              <w:rPr>
                <w:rFonts w:eastAsia="標楷體"/>
                <w:sz w:val="16"/>
                <w:szCs w:val="16"/>
              </w:rPr>
            </w:pPr>
            <w:r>
              <w:rPr>
                <w:rFonts w:eastAsia="標楷體"/>
                <w:sz w:val="16"/>
                <w:szCs w:val="16"/>
              </w:rPr>
              <w:t>Drug Fees</w:t>
            </w:r>
          </w:p>
        </w:tc>
        <w:tc>
          <w:tcPr>
            <w:tcW w:w="1061"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vAlign w:val="center"/>
          </w:tcPr>
          <w:p w:rsidR="00090B9F" w:rsidRPr="00947656" w:rsidRDefault="00C1206D" w:rsidP="00090B9F">
            <w:pPr>
              <w:widowControl/>
              <w:adjustRightInd/>
              <w:spacing w:line="240" w:lineRule="exact"/>
              <w:jc w:val="center"/>
              <w:textAlignment w:val="auto"/>
              <w:rPr>
                <w:rFonts w:eastAsia="標楷體"/>
                <w:sz w:val="16"/>
                <w:szCs w:val="16"/>
              </w:rPr>
            </w:pPr>
            <w:r>
              <w:rPr>
                <w:rFonts w:eastAsia="標楷體"/>
                <w:sz w:val="16"/>
                <w:szCs w:val="16"/>
              </w:rPr>
              <w:t>Drug Fees</w:t>
            </w:r>
          </w:p>
        </w:tc>
        <w:tc>
          <w:tcPr>
            <w:tcW w:w="1109"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noWrap/>
            <w:vAlign w:val="center"/>
            <w:hideMark/>
          </w:tcPr>
          <w:p w:rsidR="00090B9F" w:rsidRPr="00947656" w:rsidRDefault="00C1206D" w:rsidP="00090B9F">
            <w:pPr>
              <w:widowControl/>
              <w:adjustRightInd/>
              <w:spacing w:line="240" w:lineRule="exact"/>
              <w:jc w:val="center"/>
              <w:textAlignment w:val="auto"/>
              <w:rPr>
                <w:rFonts w:eastAsia="標楷體"/>
                <w:sz w:val="16"/>
                <w:szCs w:val="16"/>
              </w:rPr>
            </w:pPr>
            <w:r>
              <w:rPr>
                <w:rFonts w:eastAsia="標楷體"/>
                <w:sz w:val="16"/>
                <w:szCs w:val="16"/>
              </w:rPr>
              <w:t>Therapeutic Procedure Fees</w:t>
            </w:r>
          </w:p>
        </w:tc>
        <w:tc>
          <w:tcPr>
            <w:tcW w:w="1160"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vAlign w:val="center"/>
          </w:tcPr>
          <w:p w:rsidR="00090B9F" w:rsidRPr="00947656" w:rsidRDefault="00C1206D" w:rsidP="00090B9F">
            <w:pPr>
              <w:widowControl/>
              <w:adjustRightInd/>
              <w:spacing w:line="240" w:lineRule="exact"/>
              <w:jc w:val="center"/>
              <w:textAlignment w:val="auto"/>
              <w:rPr>
                <w:rFonts w:eastAsia="標楷體"/>
                <w:sz w:val="16"/>
                <w:szCs w:val="16"/>
              </w:rPr>
            </w:pPr>
            <w:r>
              <w:rPr>
                <w:rFonts w:eastAsia="標楷體"/>
                <w:sz w:val="16"/>
                <w:szCs w:val="16"/>
              </w:rPr>
              <w:t>Ward Fees</w:t>
            </w:r>
          </w:p>
        </w:tc>
        <w:tc>
          <w:tcPr>
            <w:tcW w:w="1172" w:type="dxa"/>
            <w:tcBorders>
              <w:top w:val="single" w:sz="4" w:space="0" w:color="C2D69B" w:themeColor="accent3" w:themeTint="99"/>
              <w:left w:val="double" w:sz="4" w:space="0" w:color="C2D69B" w:themeColor="accent3" w:themeTint="99"/>
              <w:right w:val="thinThickSmallGap" w:sz="24" w:space="0" w:color="C2D69B" w:themeColor="accent3" w:themeTint="99"/>
            </w:tcBorders>
            <w:shd w:val="clear" w:color="000000" w:fill="EAF1DD" w:themeFill="accent3" w:themeFillTint="33"/>
            <w:vAlign w:val="center"/>
          </w:tcPr>
          <w:p w:rsidR="00090B9F" w:rsidRPr="00947656" w:rsidRDefault="00C1206D" w:rsidP="00090B9F">
            <w:pPr>
              <w:widowControl/>
              <w:adjustRightInd/>
              <w:spacing w:line="240" w:lineRule="exact"/>
              <w:jc w:val="center"/>
              <w:textAlignment w:val="auto"/>
              <w:rPr>
                <w:rFonts w:eastAsia="標楷體"/>
                <w:sz w:val="16"/>
                <w:szCs w:val="16"/>
              </w:rPr>
            </w:pPr>
            <w:r>
              <w:rPr>
                <w:rFonts w:eastAsia="標楷體"/>
                <w:sz w:val="16"/>
                <w:szCs w:val="16"/>
              </w:rPr>
              <w:t>Tube Feeding Fees</w:t>
            </w:r>
          </w:p>
        </w:tc>
      </w:tr>
      <w:tr w:rsidR="00090B9F" w:rsidRPr="00947656" w:rsidTr="00C96D74">
        <w:trPr>
          <w:trHeight w:val="507"/>
        </w:trPr>
        <w:tc>
          <w:tcPr>
            <w:tcW w:w="1090" w:type="dxa"/>
            <w:tcBorders>
              <w:top w:val="nil"/>
              <w:left w:val="thickThinSmallGap" w:sz="2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noWrap/>
            <w:vAlign w:val="center"/>
            <w:hideMark/>
          </w:tcPr>
          <w:p w:rsidR="00090B9F" w:rsidRPr="00947656" w:rsidRDefault="00090B9F" w:rsidP="00C178C0">
            <w:pPr>
              <w:widowControl/>
              <w:adjustRightInd/>
              <w:spacing w:line="240" w:lineRule="exact"/>
              <w:jc w:val="center"/>
              <w:textAlignment w:val="auto"/>
              <w:rPr>
                <w:rFonts w:eastAsia="標楷體"/>
                <w:sz w:val="16"/>
                <w:szCs w:val="16"/>
              </w:rPr>
            </w:pPr>
            <w:r w:rsidRPr="00947656">
              <w:rPr>
                <w:rFonts w:eastAsia="標楷體"/>
                <w:sz w:val="16"/>
                <w:szCs w:val="16"/>
              </w:rPr>
              <w:t>9.5%</w:t>
            </w:r>
          </w:p>
        </w:tc>
        <w:tc>
          <w:tcPr>
            <w:tcW w:w="1155"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vAlign w:val="center"/>
          </w:tcPr>
          <w:p w:rsidR="00090B9F" w:rsidRPr="00947656" w:rsidRDefault="00090B9F" w:rsidP="00C178C0">
            <w:pPr>
              <w:widowControl/>
              <w:adjustRightInd/>
              <w:spacing w:line="240" w:lineRule="exact"/>
              <w:jc w:val="center"/>
              <w:textAlignment w:val="auto"/>
              <w:rPr>
                <w:rFonts w:eastAsia="標楷體"/>
                <w:sz w:val="16"/>
                <w:szCs w:val="16"/>
              </w:rPr>
            </w:pPr>
            <w:r w:rsidRPr="00947656">
              <w:rPr>
                <w:rFonts w:eastAsia="標楷體"/>
                <w:sz w:val="16"/>
                <w:szCs w:val="16"/>
              </w:rPr>
              <w:t>6.5%</w:t>
            </w:r>
          </w:p>
        </w:tc>
        <w:tc>
          <w:tcPr>
            <w:tcW w:w="1202"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noWrap/>
            <w:tcMar>
              <w:right w:w="284" w:type="dxa"/>
            </w:tcMar>
            <w:vAlign w:val="center"/>
            <w:hideMark/>
          </w:tcPr>
          <w:p w:rsidR="00090B9F" w:rsidRPr="00947656" w:rsidRDefault="00090B9F" w:rsidP="00C178C0">
            <w:pPr>
              <w:widowControl/>
              <w:adjustRightInd/>
              <w:spacing w:line="240" w:lineRule="exact"/>
              <w:ind w:rightChars="-137" w:right="-329"/>
              <w:jc w:val="center"/>
              <w:textAlignment w:val="auto"/>
              <w:rPr>
                <w:rFonts w:eastAsia="標楷體"/>
                <w:sz w:val="16"/>
                <w:szCs w:val="16"/>
              </w:rPr>
            </w:pPr>
            <w:r w:rsidRPr="00947656">
              <w:rPr>
                <w:rFonts w:eastAsia="標楷體"/>
                <w:sz w:val="16"/>
                <w:szCs w:val="16"/>
              </w:rPr>
              <w:t>17.9%</w:t>
            </w:r>
          </w:p>
        </w:tc>
        <w:tc>
          <w:tcPr>
            <w:tcW w:w="1061"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vAlign w:val="center"/>
          </w:tcPr>
          <w:p w:rsidR="00090B9F" w:rsidRPr="00947656" w:rsidRDefault="00090B9F" w:rsidP="00C178C0">
            <w:pPr>
              <w:widowControl/>
              <w:adjustRightInd/>
              <w:spacing w:line="240" w:lineRule="exact"/>
              <w:jc w:val="center"/>
              <w:textAlignment w:val="auto"/>
              <w:rPr>
                <w:rFonts w:eastAsia="標楷體"/>
                <w:sz w:val="16"/>
                <w:szCs w:val="16"/>
              </w:rPr>
            </w:pPr>
            <w:r w:rsidRPr="00947656">
              <w:rPr>
                <w:rFonts w:eastAsia="標楷體"/>
                <w:sz w:val="16"/>
                <w:szCs w:val="16"/>
              </w:rPr>
              <w:t>14.1%</w:t>
            </w:r>
          </w:p>
        </w:tc>
        <w:tc>
          <w:tcPr>
            <w:tcW w:w="1109"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noWrap/>
            <w:vAlign w:val="center"/>
            <w:hideMark/>
          </w:tcPr>
          <w:p w:rsidR="00090B9F" w:rsidRPr="00947656" w:rsidRDefault="00090B9F" w:rsidP="00C178C0">
            <w:pPr>
              <w:widowControl/>
              <w:adjustRightInd/>
              <w:spacing w:line="240" w:lineRule="exact"/>
              <w:jc w:val="center"/>
              <w:textAlignment w:val="auto"/>
              <w:rPr>
                <w:rFonts w:eastAsia="標楷體"/>
                <w:sz w:val="16"/>
                <w:szCs w:val="16"/>
              </w:rPr>
            </w:pPr>
            <w:r w:rsidRPr="00947656">
              <w:rPr>
                <w:rFonts w:eastAsia="標楷體"/>
                <w:sz w:val="16"/>
                <w:szCs w:val="16"/>
              </w:rPr>
              <w:t>17.4%</w:t>
            </w:r>
          </w:p>
        </w:tc>
        <w:tc>
          <w:tcPr>
            <w:tcW w:w="1160"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vAlign w:val="center"/>
          </w:tcPr>
          <w:p w:rsidR="00090B9F" w:rsidRPr="00947656" w:rsidRDefault="00090B9F" w:rsidP="00C178C0">
            <w:pPr>
              <w:widowControl/>
              <w:adjustRightInd/>
              <w:spacing w:line="240" w:lineRule="exact"/>
              <w:jc w:val="center"/>
              <w:textAlignment w:val="auto"/>
              <w:rPr>
                <w:rFonts w:eastAsia="標楷體"/>
                <w:sz w:val="16"/>
                <w:szCs w:val="16"/>
              </w:rPr>
            </w:pPr>
            <w:r w:rsidRPr="00947656">
              <w:rPr>
                <w:rFonts w:eastAsia="標楷體"/>
                <w:sz w:val="16"/>
                <w:szCs w:val="16"/>
              </w:rPr>
              <w:t>11.1%</w:t>
            </w:r>
          </w:p>
        </w:tc>
        <w:tc>
          <w:tcPr>
            <w:tcW w:w="1172" w:type="dxa"/>
            <w:tcBorders>
              <w:top w:val="nil"/>
              <w:left w:val="double" w:sz="4" w:space="0" w:color="C2D69B" w:themeColor="accent3" w:themeTint="99"/>
              <w:bottom w:val="single" w:sz="4" w:space="0" w:color="C2D69B" w:themeColor="accent3" w:themeTint="99"/>
              <w:right w:val="thinThickSmallGap" w:sz="24" w:space="0" w:color="C2D69B" w:themeColor="accent3" w:themeTint="99"/>
            </w:tcBorders>
            <w:shd w:val="clear" w:color="000000" w:fill="EAF1DD" w:themeFill="accent3" w:themeFillTint="33"/>
            <w:vAlign w:val="center"/>
          </w:tcPr>
          <w:p w:rsidR="00090B9F" w:rsidRPr="00947656" w:rsidRDefault="00090B9F" w:rsidP="00C178C0">
            <w:pPr>
              <w:widowControl/>
              <w:adjustRightInd/>
              <w:spacing w:line="240" w:lineRule="exact"/>
              <w:jc w:val="center"/>
              <w:textAlignment w:val="auto"/>
              <w:rPr>
                <w:rFonts w:eastAsia="標楷體"/>
                <w:sz w:val="16"/>
                <w:szCs w:val="16"/>
              </w:rPr>
            </w:pPr>
            <w:r w:rsidRPr="00947656">
              <w:rPr>
                <w:rFonts w:eastAsia="標楷體"/>
                <w:sz w:val="16"/>
                <w:szCs w:val="16"/>
              </w:rPr>
              <w:t>12.2%</w:t>
            </w:r>
          </w:p>
        </w:tc>
      </w:tr>
      <w:tr w:rsidR="00763C74" w:rsidRPr="00947656" w:rsidTr="00F01AFD">
        <w:trPr>
          <w:trHeight w:val="227"/>
        </w:trPr>
        <w:tc>
          <w:tcPr>
            <w:tcW w:w="1090" w:type="dxa"/>
            <w:tcBorders>
              <w:top w:val="single" w:sz="4" w:space="0" w:color="C2D69B" w:themeColor="accent3" w:themeTint="99"/>
              <w:left w:val="thickThinSmallGap" w:sz="24" w:space="0" w:color="C2D69B" w:themeColor="accent3" w:themeTint="99"/>
              <w:right w:val="double" w:sz="4" w:space="0" w:color="C2D69B" w:themeColor="accent3" w:themeTint="99"/>
            </w:tcBorders>
            <w:shd w:val="clear" w:color="000000" w:fill="EAF1DD" w:themeFill="accent3" w:themeFillTint="33"/>
            <w:noWrap/>
            <w:vAlign w:val="center"/>
            <w:hideMark/>
          </w:tcPr>
          <w:p w:rsidR="00763C74" w:rsidRPr="00947656" w:rsidRDefault="00C1206D" w:rsidP="00A73A01">
            <w:pPr>
              <w:widowControl/>
              <w:adjustRightInd/>
              <w:spacing w:line="240" w:lineRule="exact"/>
              <w:jc w:val="center"/>
              <w:textAlignment w:val="auto"/>
              <w:rPr>
                <w:rFonts w:eastAsia="標楷體"/>
                <w:sz w:val="16"/>
                <w:szCs w:val="16"/>
              </w:rPr>
            </w:pPr>
            <w:r>
              <w:rPr>
                <w:rFonts w:eastAsia="標楷體"/>
                <w:sz w:val="16"/>
                <w:szCs w:val="16"/>
              </w:rPr>
              <w:t>Therapeutic Procedure Fees</w:t>
            </w:r>
          </w:p>
        </w:tc>
        <w:tc>
          <w:tcPr>
            <w:tcW w:w="1155"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vAlign w:val="center"/>
          </w:tcPr>
          <w:p w:rsidR="00763C74" w:rsidRPr="00947656" w:rsidRDefault="00C1206D" w:rsidP="00A73A01">
            <w:pPr>
              <w:widowControl/>
              <w:adjustRightInd/>
              <w:spacing w:line="240" w:lineRule="exact"/>
              <w:jc w:val="center"/>
              <w:textAlignment w:val="auto"/>
              <w:rPr>
                <w:rFonts w:eastAsia="標楷體"/>
                <w:sz w:val="16"/>
                <w:szCs w:val="16"/>
              </w:rPr>
            </w:pPr>
            <w:r>
              <w:rPr>
                <w:rFonts w:eastAsia="標楷體"/>
                <w:sz w:val="16"/>
                <w:szCs w:val="16"/>
              </w:rPr>
              <w:t>Diagnosis Fees</w:t>
            </w:r>
          </w:p>
        </w:tc>
        <w:tc>
          <w:tcPr>
            <w:tcW w:w="1202"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noWrap/>
            <w:tcMar>
              <w:right w:w="284" w:type="dxa"/>
            </w:tcMar>
            <w:vAlign w:val="center"/>
            <w:hideMark/>
          </w:tcPr>
          <w:p w:rsidR="00763C74" w:rsidRPr="00947656" w:rsidRDefault="00351394" w:rsidP="00A73A01">
            <w:pPr>
              <w:widowControl/>
              <w:adjustRightInd/>
              <w:spacing w:line="240" w:lineRule="exact"/>
              <w:ind w:rightChars="-137" w:right="-329"/>
              <w:jc w:val="center"/>
              <w:textAlignment w:val="auto"/>
              <w:rPr>
                <w:rFonts w:eastAsia="標楷體"/>
                <w:sz w:val="16"/>
                <w:szCs w:val="16"/>
              </w:rPr>
            </w:pPr>
            <w:r>
              <w:rPr>
                <w:rFonts w:eastAsia="標楷體" w:hint="eastAsia"/>
                <w:sz w:val="16"/>
                <w:szCs w:val="16"/>
              </w:rPr>
              <w:t>X-Ray Fees</w:t>
            </w:r>
          </w:p>
        </w:tc>
        <w:tc>
          <w:tcPr>
            <w:tcW w:w="1061"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vAlign w:val="center"/>
          </w:tcPr>
          <w:p w:rsidR="00763C74" w:rsidRPr="00947656" w:rsidRDefault="00C1206D" w:rsidP="00A73A01">
            <w:pPr>
              <w:widowControl/>
              <w:adjustRightInd/>
              <w:spacing w:line="240" w:lineRule="exact"/>
              <w:jc w:val="center"/>
              <w:textAlignment w:val="auto"/>
              <w:rPr>
                <w:rFonts w:eastAsia="標楷體"/>
                <w:sz w:val="16"/>
                <w:szCs w:val="16"/>
              </w:rPr>
            </w:pPr>
            <w:r>
              <w:rPr>
                <w:rFonts w:eastAsia="標楷體"/>
                <w:sz w:val="16"/>
                <w:szCs w:val="16"/>
              </w:rPr>
              <w:t>Diagnosis Fees</w:t>
            </w:r>
          </w:p>
        </w:tc>
        <w:tc>
          <w:tcPr>
            <w:tcW w:w="1109"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noWrap/>
            <w:vAlign w:val="center"/>
            <w:hideMark/>
          </w:tcPr>
          <w:p w:rsidR="00763C74" w:rsidRPr="00947656" w:rsidRDefault="00C1206D" w:rsidP="00A73A01">
            <w:pPr>
              <w:widowControl/>
              <w:adjustRightInd/>
              <w:spacing w:line="240" w:lineRule="exact"/>
              <w:jc w:val="center"/>
              <w:textAlignment w:val="auto"/>
              <w:rPr>
                <w:rFonts w:eastAsia="標楷體"/>
                <w:sz w:val="16"/>
                <w:szCs w:val="16"/>
              </w:rPr>
            </w:pPr>
            <w:r>
              <w:rPr>
                <w:rFonts w:eastAsia="標楷體"/>
                <w:sz w:val="16"/>
                <w:szCs w:val="16"/>
              </w:rPr>
              <w:t>Diagnosis Fees</w:t>
            </w:r>
          </w:p>
        </w:tc>
        <w:tc>
          <w:tcPr>
            <w:tcW w:w="1160"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vAlign w:val="center"/>
          </w:tcPr>
          <w:p w:rsidR="00763C74" w:rsidRPr="00947656" w:rsidRDefault="00C1206D" w:rsidP="00A73A01">
            <w:pPr>
              <w:widowControl/>
              <w:adjustRightInd/>
              <w:spacing w:line="240" w:lineRule="exact"/>
              <w:jc w:val="center"/>
              <w:textAlignment w:val="auto"/>
              <w:rPr>
                <w:rFonts w:eastAsia="標楷體"/>
                <w:sz w:val="16"/>
                <w:szCs w:val="16"/>
              </w:rPr>
            </w:pPr>
            <w:r>
              <w:rPr>
                <w:rFonts w:eastAsia="標楷體"/>
                <w:sz w:val="16"/>
                <w:szCs w:val="16"/>
              </w:rPr>
              <w:t>Anesthesia Fees</w:t>
            </w:r>
          </w:p>
        </w:tc>
        <w:tc>
          <w:tcPr>
            <w:tcW w:w="1172" w:type="dxa"/>
            <w:tcBorders>
              <w:top w:val="single" w:sz="4" w:space="0" w:color="C2D69B" w:themeColor="accent3" w:themeTint="99"/>
              <w:left w:val="double" w:sz="4" w:space="0" w:color="C2D69B" w:themeColor="accent3" w:themeTint="99"/>
              <w:right w:val="thinThickSmallGap" w:sz="24" w:space="0" w:color="C2D69B" w:themeColor="accent3" w:themeTint="99"/>
            </w:tcBorders>
            <w:shd w:val="clear" w:color="000000" w:fill="EAF1DD" w:themeFill="accent3" w:themeFillTint="33"/>
            <w:vAlign w:val="center"/>
          </w:tcPr>
          <w:p w:rsidR="00763C74" w:rsidRPr="00947656" w:rsidRDefault="00C1206D" w:rsidP="00A73A01">
            <w:pPr>
              <w:widowControl/>
              <w:adjustRightInd/>
              <w:spacing w:line="240" w:lineRule="exact"/>
              <w:jc w:val="center"/>
              <w:textAlignment w:val="auto"/>
              <w:rPr>
                <w:rFonts w:eastAsia="標楷體"/>
                <w:sz w:val="16"/>
                <w:szCs w:val="16"/>
              </w:rPr>
            </w:pPr>
            <w:r>
              <w:rPr>
                <w:rFonts w:eastAsia="標楷體"/>
                <w:sz w:val="16"/>
                <w:szCs w:val="16"/>
              </w:rPr>
              <w:t>Drug Fees</w:t>
            </w:r>
          </w:p>
        </w:tc>
      </w:tr>
      <w:tr w:rsidR="00763C74" w:rsidRPr="00947656" w:rsidTr="00C96D74">
        <w:trPr>
          <w:trHeight w:val="505"/>
        </w:trPr>
        <w:tc>
          <w:tcPr>
            <w:tcW w:w="1090" w:type="dxa"/>
            <w:tcBorders>
              <w:top w:val="nil"/>
              <w:left w:val="thickThinSmallGap" w:sz="2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noWrap/>
            <w:vAlign w:val="center"/>
            <w:hideMark/>
          </w:tcPr>
          <w:p w:rsidR="00763C74" w:rsidRPr="00947656" w:rsidRDefault="00763C74" w:rsidP="00C178C0">
            <w:pPr>
              <w:widowControl/>
              <w:adjustRightInd/>
              <w:spacing w:line="240" w:lineRule="exact"/>
              <w:jc w:val="center"/>
              <w:textAlignment w:val="auto"/>
              <w:rPr>
                <w:rFonts w:eastAsia="標楷體"/>
                <w:sz w:val="16"/>
                <w:szCs w:val="16"/>
              </w:rPr>
            </w:pPr>
            <w:r w:rsidRPr="00947656">
              <w:rPr>
                <w:rFonts w:eastAsia="標楷體"/>
                <w:sz w:val="16"/>
                <w:szCs w:val="16"/>
              </w:rPr>
              <w:t>9.2%</w:t>
            </w:r>
          </w:p>
        </w:tc>
        <w:tc>
          <w:tcPr>
            <w:tcW w:w="1155"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vAlign w:val="center"/>
          </w:tcPr>
          <w:p w:rsidR="00763C74" w:rsidRPr="00947656" w:rsidRDefault="00763C74" w:rsidP="00C178C0">
            <w:pPr>
              <w:widowControl/>
              <w:adjustRightInd/>
              <w:spacing w:line="240" w:lineRule="exact"/>
              <w:jc w:val="center"/>
              <w:textAlignment w:val="auto"/>
              <w:rPr>
                <w:rFonts w:eastAsia="標楷體"/>
                <w:sz w:val="16"/>
                <w:szCs w:val="16"/>
              </w:rPr>
            </w:pPr>
            <w:r w:rsidRPr="00947656">
              <w:rPr>
                <w:rFonts w:eastAsia="標楷體"/>
                <w:sz w:val="16"/>
                <w:szCs w:val="16"/>
              </w:rPr>
              <w:t>4.9%</w:t>
            </w:r>
          </w:p>
        </w:tc>
        <w:tc>
          <w:tcPr>
            <w:tcW w:w="1202"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noWrap/>
            <w:tcMar>
              <w:right w:w="284" w:type="dxa"/>
            </w:tcMar>
            <w:vAlign w:val="center"/>
            <w:hideMark/>
          </w:tcPr>
          <w:p w:rsidR="00763C74" w:rsidRPr="00947656" w:rsidRDefault="00763C74" w:rsidP="00C178C0">
            <w:pPr>
              <w:widowControl/>
              <w:adjustRightInd/>
              <w:spacing w:line="240" w:lineRule="exact"/>
              <w:ind w:rightChars="-137" w:right="-329"/>
              <w:jc w:val="center"/>
              <w:textAlignment w:val="auto"/>
              <w:rPr>
                <w:rFonts w:eastAsia="標楷體"/>
                <w:sz w:val="16"/>
                <w:szCs w:val="16"/>
              </w:rPr>
            </w:pPr>
            <w:r w:rsidRPr="00947656">
              <w:rPr>
                <w:rFonts w:eastAsia="標楷體"/>
                <w:sz w:val="16"/>
                <w:szCs w:val="16"/>
              </w:rPr>
              <w:t>10.8%</w:t>
            </w:r>
          </w:p>
        </w:tc>
        <w:tc>
          <w:tcPr>
            <w:tcW w:w="1061"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vAlign w:val="center"/>
          </w:tcPr>
          <w:p w:rsidR="00763C74" w:rsidRPr="00947656" w:rsidRDefault="00763C74" w:rsidP="00C178C0">
            <w:pPr>
              <w:widowControl/>
              <w:adjustRightInd/>
              <w:spacing w:line="240" w:lineRule="exact"/>
              <w:jc w:val="center"/>
              <w:textAlignment w:val="auto"/>
              <w:rPr>
                <w:rFonts w:eastAsia="標楷體"/>
                <w:sz w:val="16"/>
                <w:szCs w:val="16"/>
              </w:rPr>
            </w:pPr>
            <w:r w:rsidRPr="00947656">
              <w:rPr>
                <w:rFonts w:eastAsia="標楷體"/>
                <w:sz w:val="16"/>
                <w:szCs w:val="16"/>
              </w:rPr>
              <w:t>5.5%</w:t>
            </w:r>
          </w:p>
        </w:tc>
        <w:tc>
          <w:tcPr>
            <w:tcW w:w="1109"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noWrap/>
            <w:vAlign w:val="center"/>
            <w:hideMark/>
          </w:tcPr>
          <w:p w:rsidR="00763C74" w:rsidRPr="00947656" w:rsidRDefault="00763C74" w:rsidP="00C178C0">
            <w:pPr>
              <w:widowControl/>
              <w:adjustRightInd/>
              <w:spacing w:line="240" w:lineRule="exact"/>
              <w:jc w:val="center"/>
              <w:textAlignment w:val="auto"/>
              <w:rPr>
                <w:rFonts w:eastAsia="標楷體"/>
                <w:sz w:val="16"/>
                <w:szCs w:val="16"/>
              </w:rPr>
            </w:pPr>
            <w:r w:rsidRPr="00947656">
              <w:rPr>
                <w:rFonts w:eastAsia="標楷體"/>
                <w:sz w:val="16"/>
                <w:szCs w:val="16"/>
              </w:rPr>
              <w:t>10.4%</w:t>
            </w:r>
          </w:p>
        </w:tc>
        <w:tc>
          <w:tcPr>
            <w:tcW w:w="1160" w:type="dxa"/>
            <w:tcBorders>
              <w:top w:val="nil"/>
              <w:left w:val="double" w:sz="4" w:space="0" w:color="C2D69B" w:themeColor="accent3" w:themeTint="99"/>
              <w:bottom w:val="single" w:sz="4" w:space="0" w:color="C2D69B" w:themeColor="accent3" w:themeTint="99"/>
              <w:right w:val="double" w:sz="4" w:space="0" w:color="C2D69B" w:themeColor="accent3" w:themeTint="99"/>
            </w:tcBorders>
            <w:shd w:val="clear" w:color="000000" w:fill="EAF1DD" w:themeFill="accent3" w:themeFillTint="33"/>
            <w:vAlign w:val="center"/>
          </w:tcPr>
          <w:p w:rsidR="00763C74" w:rsidRPr="00947656" w:rsidRDefault="00463D15" w:rsidP="00C178C0">
            <w:pPr>
              <w:widowControl/>
              <w:adjustRightInd/>
              <w:spacing w:line="240" w:lineRule="exact"/>
              <w:jc w:val="center"/>
              <w:textAlignment w:val="auto"/>
              <w:rPr>
                <w:rFonts w:eastAsia="標楷體"/>
                <w:sz w:val="16"/>
                <w:szCs w:val="16"/>
              </w:rPr>
            </w:pPr>
            <w:r w:rsidRPr="00947656">
              <w:rPr>
                <w:rFonts w:eastAsia="標楷體"/>
                <w:sz w:val="16"/>
                <w:szCs w:val="16"/>
              </w:rPr>
              <w:t>9</w:t>
            </w:r>
            <w:r w:rsidR="00763C74" w:rsidRPr="00947656">
              <w:rPr>
                <w:rFonts w:eastAsia="標楷體"/>
                <w:sz w:val="16"/>
                <w:szCs w:val="16"/>
              </w:rPr>
              <w:t>.</w:t>
            </w:r>
            <w:r w:rsidRPr="00947656">
              <w:rPr>
                <w:rFonts w:eastAsia="標楷體"/>
                <w:sz w:val="16"/>
                <w:szCs w:val="16"/>
              </w:rPr>
              <w:t>0</w:t>
            </w:r>
            <w:r w:rsidR="00763C74" w:rsidRPr="00947656">
              <w:rPr>
                <w:rFonts w:eastAsia="標楷體"/>
                <w:sz w:val="16"/>
                <w:szCs w:val="16"/>
              </w:rPr>
              <w:t>%</w:t>
            </w:r>
          </w:p>
        </w:tc>
        <w:tc>
          <w:tcPr>
            <w:tcW w:w="1172" w:type="dxa"/>
            <w:tcBorders>
              <w:top w:val="nil"/>
              <w:left w:val="double" w:sz="4" w:space="0" w:color="C2D69B" w:themeColor="accent3" w:themeTint="99"/>
              <w:bottom w:val="single" w:sz="4" w:space="0" w:color="C2D69B" w:themeColor="accent3" w:themeTint="99"/>
              <w:right w:val="thinThickSmallGap" w:sz="24" w:space="0" w:color="C2D69B" w:themeColor="accent3" w:themeTint="99"/>
            </w:tcBorders>
            <w:shd w:val="clear" w:color="000000" w:fill="EAF1DD" w:themeFill="accent3" w:themeFillTint="33"/>
            <w:vAlign w:val="center"/>
          </w:tcPr>
          <w:p w:rsidR="00763C74" w:rsidRPr="00947656" w:rsidRDefault="00763C74" w:rsidP="00C178C0">
            <w:pPr>
              <w:widowControl/>
              <w:adjustRightInd/>
              <w:spacing w:line="240" w:lineRule="exact"/>
              <w:jc w:val="center"/>
              <w:textAlignment w:val="auto"/>
              <w:rPr>
                <w:rFonts w:eastAsia="標楷體"/>
                <w:sz w:val="16"/>
                <w:szCs w:val="16"/>
              </w:rPr>
            </w:pPr>
            <w:r w:rsidRPr="00947656">
              <w:rPr>
                <w:rFonts w:eastAsia="標楷體"/>
                <w:sz w:val="16"/>
                <w:szCs w:val="16"/>
              </w:rPr>
              <w:t>9.3%</w:t>
            </w:r>
          </w:p>
        </w:tc>
      </w:tr>
      <w:tr w:rsidR="00763C74" w:rsidRPr="00947656" w:rsidTr="00F01AFD">
        <w:trPr>
          <w:trHeight w:val="227"/>
        </w:trPr>
        <w:tc>
          <w:tcPr>
            <w:tcW w:w="1090" w:type="dxa"/>
            <w:tcBorders>
              <w:top w:val="single" w:sz="4" w:space="0" w:color="C2D69B" w:themeColor="accent3" w:themeTint="99"/>
              <w:left w:val="thickThinSmallGap" w:sz="24" w:space="0" w:color="C2D69B" w:themeColor="accent3" w:themeTint="99"/>
              <w:right w:val="double" w:sz="4" w:space="0" w:color="C2D69B" w:themeColor="accent3" w:themeTint="99"/>
            </w:tcBorders>
            <w:shd w:val="clear" w:color="000000" w:fill="EAF1DD" w:themeFill="accent3" w:themeFillTint="33"/>
            <w:noWrap/>
            <w:vAlign w:val="center"/>
            <w:hideMark/>
          </w:tcPr>
          <w:p w:rsidR="00763C74" w:rsidRPr="00947656" w:rsidRDefault="00C1206D" w:rsidP="00090B9F">
            <w:pPr>
              <w:widowControl/>
              <w:adjustRightInd/>
              <w:spacing w:line="240" w:lineRule="exact"/>
              <w:jc w:val="center"/>
              <w:textAlignment w:val="auto"/>
              <w:rPr>
                <w:rFonts w:eastAsia="標楷體"/>
                <w:sz w:val="16"/>
                <w:szCs w:val="16"/>
              </w:rPr>
            </w:pPr>
            <w:r>
              <w:rPr>
                <w:rFonts w:eastAsia="標楷體"/>
                <w:sz w:val="16"/>
                <w:szCs w:val="16"/>
              </w:rPr>
              <w:t>Surgical Fees</w:t>
            </w:r>
          </w:p>
        </w:tc>
        <w:tc>
          <w:tcPr>
            <w:tcW w:w="1155"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vAlign w:val="center"/>
          </w:tcPr>
          <w:p w:rsidR="00763C74" w:rsidRPr="00947656" w:rsidRDefault="00C1206D" w:rsidP="00090B9F">
            <w:pPr>
              <w:widowControl/>
              <w:adjustRightInd/>
              <w:spacing w:line="240" w:lineRule="exact"/>
              <w:jc w:val="center"/>
              <w:textAlignment w:val="auto"/>
              <w:rPr>
                <w:rFonts w:eastAsia="標楷體"/>
                <w:sz w:val="16"/>
                <w:szCs w:val="16"/>
              </w:rPr>
            </w:pPr>
            <w:r>
              <w:rPr>
                <w:rFonts w:eastAsia="標楷體"/>
                <w:sz w:val="16"/>
                <w:szCs w:val="16"/>
              </w:rPr>
              <w:t>Ward Fees</w:t>
            </w:r>
          </w:p>
        </w:tc>
        <w:tc>
          <w:tcPr>
            <w:tcW w:w="1202"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noWrap/>
            <w:tcMar>
              <w:right w:w="284" w:type="dxa"/>
            </w:tcMar>
            <w:vAlign w:val="center"/>
            <w:hideMark/>
          </w:tcPr>
          <w:p w:rsidR="00763C74" w:rsidRPr="00947656" w:rsidRDefault="00C1206D" w:rsidP="00090B9F">
            <w:pPr>
              <w:widowControl/>
              <w:adjustRightInd/>
              <w:spacing w:line="240" w:lineRule="exact"/>
              <w:ind w:rightChars="-137" w:right="-329"/>
              <w:jc w:val="center"/>
              <w:textAlignment w:val="auto"/>
              <w:rPr>
                <w:rFonts w:eastAsia="標楷體"/>
                <w:sz w:val="16"/>
                <w:szCs w:val="16"/>
              </w:rPr>
            </w:pPr>
            <w:r>
              <w:rPr>
                <w:rFonts w:eastAsia="標楷體"/>
                <w:sz w:val="16"/>
                <w:szCs w:val="16"/>
              </w:rPr>
              <w:t>Therapeutic Procedure Fees</w:t>
            </w:r>
          </w:p>
        </w:tc>
        <w:tc>
          <w:tcPr>
            <w:tcW w:w="1061"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vAlign w:val="center"/>
          </w:tcPr>
          <w:p w:rsidR="00763C74" w:rsidRPr="00947656" w:rsidRDefault="00C1206D" w:rsidP="00090B9F">
            <w:pPr>
              <w:widowControl/>
              <w:adjustRightInd/>
              <w:spacing w:line="240" w:lineRule="exact"/>
              <w:jc w:val="center"/>
              <w:textAlignment w:val="auto"/>
              <w:rPr>
                <w:rFonts w:eastAsia="標楷體"/>
                <w:sz w:val="16"/>
                <w:szCs w:val="16"/>
              </w:rPr>
            </w:pPr>
            <w:r>
              <w:rPr>
                <w:rFonts w:eastAsia="標楷體"/>
                <w:sz w:val="16"/>
                <w:szCs w:val="16"/>
              </w:rPr>
              <w:t>Tube Feeding Fees</w:t>
            </w:r>
          </w:p>
        </w:tc>
        <w:tc>
          <w:tcPr>
            <w:tcW w:w="1109"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noWrap/>
            <w:vAlign w:val="center"/>
            <w:hideMark/>
          </w:tcPr>
          <w:p w:rsidR="00763C74" w:rsidRPr="00947656" w:rsidRDefault="00351394" w:rsidP="00090B9F">
            <w:pPr>
              <w:widowControl/>
              <w:adjustRightInd/>
              <w:spacing w:line="240" w:lineRule="exact"/>
              <w:jc w:val="center"/>
              <w:textAlignment w:val="auto"/>
              <w:rPr>
                <w:rFonts w:eastAsia="標楷體"/>
                <w:sz w:val="16"/>
                <w:szCs w:val="16"/>
              </w:rPr>
            </w:pPr>
            <w:r>
              <w:rPr>
                <w:rFonts w:eastAsia="標楷體" w:hint="eastAsia"/>
                <w:sz w:val="16"/>
                <w:szCs w:val="16"/>
              </w:rPr>
              <w:t>X-Ray Fees</w:t>
            </w:r>
          </w:p>
        </w:tc>
        <w:tc>
          <w:tcPr>
            <w:tcW w:w="1160" w:type="dxa"/>
            <w:tcBorders>
              <w:top w:val="single" w:sz="4" w:space="0" w:color="C2D69B" w:themeColor="accent3" w:themeTint="99"/>
              <w:left w:val="double" w:sz="4" w:space="0" w:color="C2D69B" w:themeColor="accent3" w:themeTint="99"/>
              <w:right w:val="double" w:sz="4" w:space="0" w:color="C2D69B" w:themeColor="accent3" w:themeTint="99"/>
            </w:tcBorders>
            <w:shd w:val="clear" w:color="000000" w:fill="EAF1DD" w:themeFill="accent3" w:themeFillTint="33"/>
            <w:vAlign w:val="center"/>
          </w:tcPr>
          <w:p w:rsidR="00763C74" w:rsidRPr="00947656" w:rsidRDefault="00C1206D" w:rsidP="00090B9F">
            <w:pPr>
              <w:widowControl/>
              <w:adjustRightInd/>
              <w:spacing w:line="240" w:lineRule="exact"/>
              <w:jc w:val="center"/>
              <w:textAlignment w:val="auto"/>
              <w:rPr>
                <w:rFonts w:eastAsia="標楷體"/>
                <w:sz w:val="16"/>
                <w:szCs w:val="16"/>
              </w:rPr>
            </w:pPr>
            <w:r>
              <w:rPr>
                <w:rFonts w:eastAsia="標楷體"/>
                <w:sz w:val="16"/>
                <w:szCs w:val="16"/>
              </w:rPr>
              <w:t>Laboratory Fees</w:t>
            </w:r>
          </w:p>
        </w:tc>
        <w:tc>
          <w:tcPr>
            <w:tcW w:w="1172" w:type="dxa"/>
            <w:tcBorders>
              <w:top w:val="single" w:sz="4" w:space="0" w:color="C2D69B" w:themeColor="accent3" w:themeTint="99"/>
              <w:left w:val="double" w:sz="4" w:space="0" w:color="C2D69B" w:themeColor="accent3" w:themeTint="99"/>
              <w:right w:val="thinThickSmallGap" w:sz="24" w:space="0" w:color="C2D69B" w:themeColor="accent3" w:themeTint="99"/>
            </w:tcBorders>
            <w:shd w:val="clear" w:color="000000" w:fill="EAF1DD" w:themeFill="accent3" w:themeFillTint="33"/>
            <w:vAlign w:val="center"/>
          </w:tcPr>
          <w:p w:rsidR="00763C74" w:rsidRPr="00947656" w:rsidRDefault="00C1206D" w:rsidP="00090B9F">
            <w:pPr>
              <w:widowControl/>
              <w:adjustRightInd/>
              <w:spacing w:line="240" w:lineRule="exact"/>
              <w:jc w:val="center"/>
              <w:textAlignment w:val="auto"/>
              <w:rPr>
                <w:rFonts w:eastAsia="標楷體"/>
                <w:sz w:val="16"/>
                <w:szCs w:val="16"/>
              </w:rPr>
            </w:pPr>
            <w:r>
              <w:rPr>
                <w:rFonts w:eastAsia="標楷體"/>
                <w:sz w:val="16"/>
                <w:szCs w:val="16"/>
              </w:rPr>
              <w:t>Anesthesia Fees</w:t>
            </w:r>
          </w:p>
        </w:tc>
      </w:tr>
      <w:tr w:rsidR="00763C74" w:rsidRPr="00947656" w:rsidTr="00C96D74">
        <w:trPr>
          <w:trHeight w:val="503"/>
        </w:trPr>
        <w:tc>
          <w:tcPr>
            <w:tcW w:w="1090" w:type="dxa"/>
            <w:tcBorders>
              <w:top w:val="nil"/>
              <w:left w:val="thickThinSmallGap" w:sz="24" w:space="0" w:color="C2D69B" w:themeColor="accent3" w:themeTint="99"/>
              <w:bottom w:val="thinThickSmallGap" w:sz="24" w:space="0" w:color="C2D69B" w:themeColor="accent3" w:themeTint="99"/>
              <w:right w:val="double" w:sz="4" w:space="0" w:color="C2D69B" w:themeColor="accent3" w:themeTint="99"/>
            </w:tcBorders>
            <w:shd w:val="clear" w:color="000000" w:fill="EAF1DD" w:themeFill="accent3" w:themeFillTint="33"/>
            <w:noWrap/>
            <w:vAlign w:val="center"/>
            <w:hideMark/>
          </w:tcPr>
          <w:p w:rsidR="00763C74" w:rsidRPr="00947656" w:rsidRDefault="00763C74" w:rsidP="00C178C0">
            <w:pPr>
              <w:widowControl/>
              <w:adjustRightInd/>
              <w:spacing w:line="240" w:lineRule="exact"/>
              <w:jc w:val="center"/>
              <w:textAlignment w:val="auto"/>
              <w:rPr>
                <w:rFonts w:eastAsia="標楷體"/>
                <w:sz w:val="16"/>
                <w:szCs w:val="16"/>
              </w:rPr>
            </w:pPr>
            <w:r w:rsidRPr="00947656">
              <w:rPr>
                <w:rFonts w:eastAsia="標楷體"/>
                <w:sz w:val="16"/>
                <w:szCs w:val="16"/>
              </w:rPr>
              <w:t>8.6%</w:t>
            </w:r>
          </w:p>
        </w:tc>
        <w:tc>
          <w:tcPr>
            <w:tcW w:w="1155" w:type="dxa"/>
            <w:tcBorders>
              <w:top w:val="nil"/>
              <w:left w:val="double" w:sz="4" w:space="0" w:color="C2D69B" w:themeColor="accent3" w:themeTint="99"/>
              <w:bottom w:val="thinThickSmallGap" w:sz="24" w:space="0" w:color="C2D69B" w:themeColor="accent3" w:themeTint="99"/>
              <w:right w:val="double" w:sz="4" w:space="0" w:color="C2D69B" w:themeColor="accent3" w:themeTint="99"/>
            </w:tcBorders>
            <w:shd w:val="clear" w:color="000000" w:fill="EAF1DD" w:themeFill="accent3" w:themeFillTint="33"/>
            <w:vAlign w:val="center"/>
          </w:tcPr>
          <w:p w:rsidR="00763C74" w:rsidRPr="00947656" w:rsidRDefault="00763C74" w:rsidP="00C178C0">
            <w:pPr>
              <w:widowControl/>
              <w:adjustRightInd/>
              <w:spacing w:line="240" w:lineRule="exact"/>
              <w:jc w:val="center"/>
              <w:textAlignment w:val="auto"/>
              <w:rPr>
                <w:rFonts w:eastAsia="標楷體"/>
                <w:sz w:val="16"/>
                <w:szCs w:val="16"/>
              </w:rPr>
            </w:pPr>
            <w:r w:rsidRPr="00947656">
              <w:rPr>
                <w:rFonts w:eastAsia="標楷體"/>
                <w:sz w:val="16"/>
                <w:szCs w:val="16"/>
              </w:rPr>
              <w:t>4.7%</w:t>
            </w:r>
          </w:p>
        </w:tc>
        <w:tc>
          <w:tcPr>
            <w:tcW w:w="1202" w:type="dxa"/>
            <w:tcBorders>
              <w:top w:val="nil"/>
              <w:left w:val="double" w:sz="4" w:space="0" w:color="C2D69B" w:themeColor="accent3" w:themeTint="99"/>
              <w:bottom w:val="thinThickSmallGap" w:sz="24" w:space="0" w:color="C2D69B" w:themeColor="accent3" w:themeTint="99"/>
              <w:right w:val="double" w:sz="4" w:space="0" w:color="C2D69B" w:themeColor="accent3" w:themeTint="99"/>
            </w:tcBorders>
            <w:shd w:val="clear" w:color="000000" w:fill="EAF1DD" w:themeFill="accent3" w:themeFillTint="33"/>
            <w:noWrap/>
            <w:tcMar>
              <w:right w:w="284" w:type="dxa"/>
            </w:tcMar>
            <w:vAlign w:val="center"/>
            <w:hideMark/>
          </w:tcPr>
          <w:p w:rsidR="00763C74" w:rsidRPr="00947656" w:rsidRDefault="00763C74" w:rsidP="00C178C0">
            <w:pPr>
              <w:widowControl/>
              <w:adjustRightInd/>
              <w:spacing w:line="240" w:lineRule="exact"/>
              <w:ind w:rightChars="-137" w:right="-329"/>
              <w:jc w:val="center"/>
              <w:textAlignment w:val="auto"/>
              <w:rPr>
                <w:rFonts w:eastAsia="標楷體"/>
                <w:sz w:val="16"/>
                <w:szCs w:val="16"/>
              </w:rPr>
            </w:pPr>
            <w:r w:rsidRPr="00947656">
              <w:rPr>
                <w:rFonts w:eastAsia="標楷體"/>
                <w:sz w:val="16"/>
                <w:szCs w:val="16"/>
              </w:rPr>
              <w:t>7.3%</w:t>
            </w:r>
          </w:p>
        </w:tc>
        <w:tc>
          <w:tcPr>
            <w:tcW w:w="1061" w:type="dxa"/>
            <w:tcBorders>
              <w:top w:val="nil"/>
              <w:left w:val="double" w:sz="4" w:space="0" w:color="C2D69B" w:themeColor="accent3" w:themeTint="99"/>
              <w:bottom w:val="thinThickSmallGap" w:sz="24" w:space="0" w:color="C2D69B" w:themeColor="accent3" w:themeTint="99"/>
              <w:right w:val="double" w:sz="4" w:space="0" w:color="C2D69B" w:themeColor="accent3" w:themeTint="99"/>
            </w:tcBorders>
            <w:shd w:val="clear" w:color="000000" w:fill="EAF1DD" w:themeFill="accent3" w:themeFillTint="33"/>
            <w:vAlign w:val="center"/>
          </w:tcPr>
          <w:p w:rsidR="00763C74" w:rsidRPr="00947656" w:rsidRDefault="00763C74" w:rsidP="00C178C0">
            <w:pPr>
              <w:widowControl/>
              <w:adjustRightInd/>
              <w:spacing w:line="240" w:lineRule="exact"/>
              <w:jc w:val="center"/>
              <w:textAlignment w:val="auto"/>
              <w:rPr>
                <w:rFonts w:eastAsia="標楷體"/>
                <w:sz w:val="16"/>
                <w:szCs w:val="16"/>
              </w:rPr>
            </w:pPr>
            <w:r w:rsidRPr="00947656">
              <w:rPr>
                <w:rFonts w:eastAsia="標楷體"/>
                <w:sz w:val="16"/>
                <w:szCs w:val="16"/>
              </w:rPr>
              <w:t>4.9%</w:t>
            </w:r>
          </w:p>
        </w:tc>
        <w:tc>
          <w:tcPr>
            <w:tcW w:w="1109" w:type="dxa"/>
            <w:tcBorders>
              <w:top w:val="nil"/>
              <w:left w:val="double" w:sz="4" w:space="0" w:color="C2D69B" w:themeColor="accent3" w:themeTint="99"/>
              <w:bottom w:val="thinThickSmallGap" w:sz="24" w:space="0" w:color="C2D69B" w:themeColor="accent3" w:themeTint="99"/>
              <w:right w:val="double" w:sz="4" w:space="0" w:color="C2D69B" w:themeColor="accent3" w:themeTint="99"/>
            </w:tcBorders>
            <w:shd w:val="clear" w:color="000000" w:fill="EAF1DD" w:themeFill="accent3" w:themeFillTint="33"/>
            <w:noWrap/>
            <w:vAlign w:val="center"/>
            <w:hideMark/>
          </w:tcPr>
          <w:p w:rsidR="00763C74" w:rsidRPr="00947656" w:rsidRDefault="00463D15" w:rsidP="00C178C0">
            <w:pPr>
              <w:widowControl/>
              <w:adjustRightInd/>
              <w:spacing w:line="240" w:lineRule="exact"/>
              <w:jc w:val="center"/>
              <w:textAlignment w:val="auto"/>
              <w:rPr>
                <w:rFonts w:eastAsia="標楷體"/>
                <w:sz w:val="16"/>
                <w:szCs w:val="16"/>
              </w:rPr>
            </w:pPr>
            <w:r w:rsidRPr="00947656">
              <w:rPr>
                <w:rFonts w:eastAsia="標楷體"/>
                <w:sz w:val="16"/>
                <w:szCs w:val="16"/>
              </w:rPr>
              <w:t>4</w:t>
            </w:r>
            <w:r w:rsidR="00763C74" w:rsidRPr="00947656">
              <w:rPr>
                <w:rFonts w:eastAsia="標楷體"/>
                <w:sz w:val="16"/>
                <w:szCs w:val="16"/>
              </w:rPr>
              <w:t>.</w:t>
            </w:r>
            <w:r w:rsidRPr="00947656">
              <w:rPr>
                <w:rFonts w:eastAsia="標楷體"/>
                <w:sz w:val="16"/>
                <w:szCs w:val="16"/>
              </w:rPr>
              <w:t>3</w:t>
            </w:r>
            <w:r w:rsidR="00763C74" w:rsidRPr="00947656">
              <w:rPr>
                <w:rFonts w:eastAsia="標楷體"/>
                <w:sz w:val="16"/>
                <w:szCs w:val="16"/>
              </w:rPr>
              <w:t>%</w:t>
            </w:r>
          </w:p>
        </w:tc>
        <w:tc>
          <w:tcPr>
            <w:tcW w:w="1160" w:type="dxa"/>
            <w:tcBorders>
              <w:top w:val="nil"/>
              <w:left w:val="double" w:sz="4" w:space="0" w:color="C2D69B" w:themeColor="accent3" w:themeTint="99"/>
              <w:bottom w:val="thinThickSmallGap" w:sz="24" w:space="0" w:color="C2D69B" w:themeColor="accent3" w:themeTint="99"/>
              <w:right w:val="double" w:sz="4" w:space="0" w:color="C2D69B" w:themeColor="accent3" w:themeTint="99"/>
            </w:tcBorders>
            <w:shd w:val="clear" w:color="000000" w:fill="EAF1DD" w:themeFill="accent3" w:themeFillTint="33"/>
            <w:vAlign w:val="center"/>
          </w:tcPr>
          <w:p w:rsidR="00763C74" w:rsidRPr="00947656" w:rsidRDefault="00763C74" w:rsidP="00C178C0">
            <w:pPr>
              <w:widowControl/>
              <w:adjustRightInd/>
              <w:spacing w:line="240" w:lineRule="exact"/>
              <w:jc w:val="center"/>
              <w:textAlignment w:val="auto"/>
              <w:rPr>
                <w:rFonts w:eastAsia="標楷體"/>
                <w:sz w:val="16"/>
                <w:szCs w:val="16"/>
              </w:rPr>
            </w:pPr>
            <w:r w:rsidRPr="00947656">
              <w:rPr>
                <w:rFonts w:eastAsia="標楷體"/>
                <w:sz w:val="16"/>
                <w:szCs w:val="16"/>
              </w:rPr>
              <w:t>8.1%</w:t>
            </w:r>
          </w:p>
        </w:tc>
        <w:tc>
          <w:tcPr>
            <w:tcW w:w="1172" w:type="dxa"/>
            <w:tcBorders>
              <w:top w:val="nil"/>
              <w:left w:val="double" w:sz="4" w:space="0" w:color="C2D69B" w:themeColor="accent3" w:themeTint="99"/>
              <w:bottom w:val="thinThickSmallGap" w:sz="24" w:space="0" w:color="C2D69B" w:themeColor="accent3" w:themeTint="99"/>
              <w:right w:val="thinThickSmallGap" w:sz="24" w:space="0" w:color="C2D69B" w:themeColor="accent3" w:themeTint="99"/>
            </w:tcBorders>
            <w:shd w:val="clear" w:color="000000" w:fill="EAF1DD" w:themeFill="accent3" w:themeFillTint="33"/>
            <w:vAlign w:val="center"/>
          </w:tcPr>
          <w:p w:rsidR="00763C74" w:rsidRPr="00947656" w:rsidRDefault="00463D15" w:rsidP="00C178C0">
            <w:pPr>
              <w:widowControl/>
              <w:adjustRightInd/>
              <w:spacing w:line="240" w:lineRule="exact"/>
              <w:jc w:val="center"/>
              <w:textAlignment w:val="auto"/>
              <w:rPr>
                <w:rFonts w:eastAsia="標楷體"/>
                <w:sz w:val="16"/>
                <w:szCs w:val="16"/>
              </w:rPr>
            </w:pPr>
            <w:r w:rsidRPr="00947656">
              <w:rPr>
                <w:rFonts w:eastAsia="標楷體"/>
                <w:sz w:val="16"/>
                <w:szCs w:val="16"/>
              </w:rPr>
              <w:t>7</w:t>
            </w:r>
            <w:r w:rsidR="00763C74" w:rsidRPr="00947656">
              <w:rPr>
                <w:rFonts w:eastAsia="標楷體"/>
                <w:sz w:val="16"/>
                <w:szCs w:val="16"/>
              </w:rPr>
              <w:t>.3%</w:t>
            </w:r>
          </w:p>
        </w:tc>
      </w:tr>
    </w:tbl>
    <w:p w:rsidR="000F0F71" w:rsidRPr="00947656" w:rsidRDefault="0093289A" w:rsidP="00730DFA">
      <w:pPr>
        <w:pStyle w:val="a5"/>
        <w:spacing w:beforeLines="150" w:after="120"/>
        <w:ind w:leftChars="118" w:left="564" w:hangingChars="108" w:hanging="281"/>
        <w:jc w:val="both"/>
        <w:rPr>
          <w:rFonts w:eastAsia="標楷體"/>
          <w:b/>
          <w:sz w:val="26"/>
          <w:szCs w:val="26"/>
        </w:rPr>
      </w:pPr>
      <w:r w:rsidRPr="00947656">
        <w:rPr>
          <w:rFonts w:eastAsia="標楷體"/>
          <w:b/>
          <w:sz w:val="26"/>
          <w:szCs w:val="26"/>
        </w:rPr>
        <w:lastRenderedPageBreak/>
        <w:t>c.</w:t>
      </w:r>
      <w:r w:rsidR="00AF0A86" w:rsidRPr="00AF0A86">
        <w:rPr>
          <w:b/>
          <w:bCs/>
          <w:sz w:val="26"/>
          <w:szCs w:val="26"/>
        </w:rPr>
        <w:t xml:space="preserve"> </w:t>
      </w:r>
      <w:r w:rsidR="00AF0A86" w:rsidRPr="009B2815">
        <w:rPr>
          <w:b/>
          <w:bCs/>
          <w:sz w:val="26"/>
          <w:szCs w:val="26"/>
        </w:rPr>
        <w:t xml:space="preserve">Males had higher </w:t>
      </w:r>
      <w:r w:rsidR="002E0773">
        <w:rPr>
          <w:rFonts w:hint="eastAsia"/>
          <w:b/>
          <w:bCs/>
          <w:sz w:val="26"/>
          <w:szCs w:val="26"/>
        </w:rPr>
        <w:t xml:space="preserve">medical </w:t>
      </w:r>
      <w:r w:rsidR="00AF0A86" w:rsidRPr="009B2815">
        <w:rPr>
          <w:b/>
          <w:bCs/>
          <w:sz w:val="26"/>
          <w:szCs w:val="26"/>
        </w:rPr>
        <w:t xml:space="preserve">expenses than females. Ward fees </w:t>
      </w:r>
      <w:r w:rsidR="002E0773">
        <w:rPr>
          <w:rFonts w:hint="eastAsia"/>
          <w:b/>
          <w:bCs/>
          <w:sz w:val="26"/>
          <w:szCs w:val="26"/>
        </w:rPr>
        <w:t>were the highest expenses</w:t>
      </w:r>
      <w:r w:rsidR="00AF0A86" w:rsidRPr="009B2815">
        <w:rPr>
          <w:b/>
          <w:bCs/>
          <w:sz w:val="26"/>
          <w:szCs w:val="26"/>
        </w:rPr>
        <w:t xml:space="preserve"> for both genders.</w:t>
      </w:r>
      <w:r w:rsidRPr="00947656">
        <w:rPr>
          <w:rFonts w:eastAsia="標楷體"/>
          <w:b/>
          <w:sz w:val="26"/>
          <w:szCs w:val="26"/>
        </w:rPr>
        <w:t xml:space="preserve"> </w:t>
      </w:r>
    </w:p>
    <w:p w:rsidR="00575E5B" w:rsidRPr="00947656" w:rsidRDefault="00AF0A86" w:rsidP="00D10FE3">
      <w:pPr>
        <w:pStyle w:val="a5"/>
        <w:spacing w:after="120" w:line="440" w:lineRule="atLeast"/>
        <w:ind w:leftChars="236" w:left="566" w:firstLineChars="218" w:firstLine="567"/>
        <w:jc w:val="both"/>
        <w:rPr>
          <w:rFonts w:eastAsia="標楷體"/>
          <w:sz w:val="26"/>
          <w:szCs w:val="26"/>
        </w:rPr>
      </w:pPr>
      <w:r w:rsidRPr="009B2815">
        <w:rPr>
          <w:sz w:val="26"/>
          <w:szCs w:val="26"/>
        </w:rPr>
        <w:t xml:space="preserve">Ward fees accounted for the largest proportion of the inpatient </w:t>
      </w:r>
      <w:r w:rsidR="002E0773">
        <w:rPr>
          <w:rFonts w:hint="eastAsia"/>
          <w:sz w:val="26"/>
          <w:szCs w:val="26"/>
        </w:rPr>
        <w:t xml:space="preserve">expenses </w:t>
      </w:r>
      <w:r w:rsidRPr="009B2815">
        <w:rPr>
          <w:sz w:val="26"/>
          <w:szCs w:val="26"/>
        </w:rPr>
        <w:t>in 2011</w:t>
      </w:r>
      <w:r w:rsidR="00641E5E">
        <w:rPr>
          <w:rFonts w:hint="eastAsia"/>
          <w:sz w:val="26"/>
          <w:szCs w:val="26"/>
        </w:rPr>
        <w:t>,</w:t>
      </w:r>
      <w:r w:rsidRPr="009B2815">
        <w:rPr>
          <w:sz w:val="26"/>
          <w:szCs w:val="26"/>
        </w:rPr>
        <w:t xml:space="preserve"> followed by drug fees and surgical fees. </w:t>
      </w:r>
      <w:r w:rsidR="00DD6AFA">
        <w:rPr>
          <w:rFonts w:hint="eastAsia"/>
          <w:sz w:val="26"/>
          <w:szCs w:val="26"/>
        </w:rPr>
        <w:t>I</w:t>
      </w:r>
      <w:r w:rsidRPr="009B2815">
        <w:rPr>
          <w:sz w:val="26"/>
          <w:szCs w:val="26"/>
        </w:rPr>
        <w:t>npatient expenses amounted to 9</w:t>
      </w:r>
      <w:r w:rsidR="00641E5E">
        <w:rPr>
          <w:rFonts w:hint="eastAsia"/>
          <w:sz w:val="26"/>
          <w:szCs w:val="26"/>
        </w:rPr>
        <w:t>6</w:t>
      </w:r>
      <w:r w:rsidRPr="009B2815">
        <w:rPr>
          <w:sz w:val="26"/>
          <w:szCs w:val="26"/>
        </w:rPr>
        <w:t xml:space="preserve"> billion RVU </w:t>
      </w:r>
      <w:r w:rsidR="001D5D7C">
        <w:rPr>
          <w:rFonts w:hint="eastAsia"/>
          <w:sz w:val="26"/>
          <w:szCs w:val="26"/>
        </w:rPr>
        <w:t>(</w:t>
      </w:r>
      <w:r w:rsidRPr="009B2815">
        <w:rPr>
          <w:sz w:val="26"/>
          <w:szCs w:val="26"/>
        </w:rPr>
        <w:t>55.2%</w:t>
      </w:r>
      <w:r w:rsidR="001D5D7C">
        <w:rPr>
          <w:rFonts w:hint="eastAsia"/>
          <w:sz w:val="26"/>
          <w:szCs w:val="26"/>
        </w:rPr>
        <w:t>)</w:t>
      </w:r>
      <w:r w:rsidR="00641E5E">
        <w:rPr>
          <w:rFonts w:hint="eastAsia"/>
          <w:sz w:val="26"/>
          <w:szCs w:val="26"/>
        </w:rPr>
        <w:t xml:space="preserve"> </w:t>
      </w:r>
      <w:r w:rsidR="00641E5E" w:rsidRPr="009B2815">
        <w:rPr>
          <w:sz w:val="26"/>
          <w:szCs w:val="26"/>
        </w:rPr>
        <w:t>by males</w:t>
      </w:r>
      <w:r w:rsidR="00641E5E">
        <w:rPr>
          <w:rFonts w:hint="eastAsia"/>
          <w:sz w:val="26"/>
          <w:szCs w:val="26"/>
        </w:rPr>
        <w:t>.</w:t>
      </w:r>
      <w:r w:rsidRPr="009B2815">
        <w:rPr>
          <w:sz w:val="26"/>
          <w:szCs w:val="26"/>
        </w:rPr>
        <w:t xml:space="preserve"> </w:t>
      </w:r>
      <w:r w:rsidR="00641E5E">
        <w:rPr>
          <w:rFonts w:hint="eastAsia"/>
          <w:sz w:val="26"/>
          <w:szCs w:val="26"/>
        </w:rPr>
        <w:t>W</w:t>
      </w:r>
      <w:r w:rsidR="00641E5E" w:rsidRPr="009B2815">
        <w:rPr>
          <w:sz w:val="26"/>
          <w:szCs w:val="26"/>
        </w:rPr>
        <w:t>ard fees</w:t>
      </w:r>
      <w:r w:rsidR="00641E5E">
        <w:rPr>
          <w:rFonts w:hint="eastAsia"/>
          <w:sz w:val="26"/>
          <w:szCs w:val="26"/>
        </w:rPr>
        <w:t xml:space="preserve"> were t</w:t>
      </w:r>
      <w:r w:rsidRPr="009B2815">
        <w:rPr>
          <w:sz w:val="26"/>
          <w:szCs w:val="26"/>
        </w:rPr>
        <w:t xml:space="preserve">he highest </w:t>
      </w:r>
      <w:r w:rsidR="00641E5E">
        <w:rPr>
          <w:rFonts w:hint="eastAsia"/>
          <w:sz w:val="26"/>
          <w:szCs w:val="26"/>
        </w:rPr>
        <w:t>expenses</w:t>
      </w:r>
      <w:r w:rsidRPr="009B2815">
        <w:rPr>
          <w:sz w:val="26"/>
          <w:szCs w:val="26"/>
        </w:rPr>
        <w:t xml:space="preserve">, followed by drug fees and therapeutic procedure fees. Inpatient </w:t>
      </w:r>
      <w:r w:rsidR="00641E5E">
        <w:rPr>
          <w:rFonts w:hint="eastAsia"/>
          <w:sz w:val="26"/>
          <w:szCs w:val="26"/>
        </w:rPr>
        <w:t>expenses</w:t>
      </w:r>
      <w:r w:rsidRPr="009B2815">
        <w:rPr>
          <w:sz w:val="26"/>
          <w:szCs w:val="26"/>
        </w:rPr>
        <w:t xml:space="preserve"> amounted to 7</w:t>
      </w:r>
      <w:r w:rsidR="00DD6AFA">
        <w:rPr>
          <w:rFonts w:hint="eastAsia"/>
          <w:sz w:val="26"/>
          <w:szCs w:val="26"/>
        </w:rPr>
        <w:t>8</w:t>
      </w:r>
      <w:r w:rsidRPr="009B2815">
        <w:rPr>
          <w:sz w:val="26"/>
          <w:szCs w:val="26"/>
        </w:rPr>
        <w:t xml:space="preserve"> billion RVU </w:t>
      </w:r>
      <w:r w:rsidR="001D5D7C">
        <w:rPr>
          <w:rFonts w:hint="eastAsia"/>
          <w:sz w:val="26"/>
          <w:szCs w:val="26"/>
        </w:rPr>
        <w:t>(</w:t>
      </w:r>
      <w:r w:rsidRPr="009B2815">
        <w:rPr>
          <w:sz w:val="26"/>
          <w:szCs w:val="26"/>
        </w:rPr>
        <w:t>44.8%</w:t>
      </w:r>
      <w:r w:rsidR="001D5D7C">
        <w:rPr>
          <w:rFonts w:hint="eastAsia"/>
          <w:sz w:val="26"/>
          <w:szCs w:val="26"/>
        </w:rPr>
        <w:t>)</w:t>
      </w:r>
      <w:r w:rsidR="00641E5E">
        <w:rPr>
          <w:rFonts w:hint="eastAsia"/>
          <w:sz w:val="26"/>
          <w:szCs w:val="26"/>
        </w:rPr>
        <w:t xml:space="preserve"> </w:t>
      </w:r>
      <w:r w:rsidR="00641E5E" w:rsidRPr="009B2815">
        <w:rPr>
          <w:sz w:val="26"/>
          <w:szCs w:val="26"/>
        </w:rPr>
        <w:t>by females</w:t>
      </w:r>
      <w:r w:rsidR="00641E5E">
        <w:rPr>
          <w:rFonts w:hint="eastAsia"/>
          <w:sz w:val="26"/>
          <w:szCs w:val="26"/>
        </w:rPr>
        <w:t>.</w:t>
      </w:r>
      <w:r w:rsidRPr="009B2815">
        <w:rPr>
          <w:sz w:val="26"/>
          <w:szCs w:val="26"/>
        </w:rPr>
        <w:t xml:space="preserve"> </w:t>
      </w:r>
      <w:r w:rsidR="00641E5E">
        <w:rPr>
          <w:rFonts w:hint="eastAsia"/>
          <w:sz w:val="26"/>
          <w:szCs w:val="26"/>
        </w:rPr>
        <w:t>W</w:t>
      </w:r>
      <w:r w:rsidR="00641E5E" w:rsidRPr="009B2815">
        <w:rPr>
          <w:sz w:val="26"/>
          <w:szCs w:val="26"/>
        </w:rPr>
        <w:t>ard fees</w:t>
      </w:r>
      <w:r w:rsidRPr="009B2815">
        <w:rPr>
          <w:sz w:val="26"/>
          <w:szCs w:val="26"/>
        </w:rPr>
        <w:t xml:space="preserve"> </w:t>
      </w:r>
      <w:r w:rsidR="00641E5E">
        <w:rPr>
          <w:rFonts w:hint="eastAsia"/>
          <w:sz w:val="26"/>
          <w:szCs w:val="26"/>
        </w:rPr>
        <w:t xml:space="preserve">were </w:t>
      </w:r>
      <w:r w:rsidRPr="009B2815">
        <w:rPr>
          <w:sz w:val="26"/>
          <w:szCs w:val="26"/>
        </w:rPr>
        <w:t xml:space="preserve">the </w:t>
      </w:r>
      <w:r w:rsidR="00641E5E" w:rsidRPr="009B2815">
        <w:rPr>
          <w:sz w:val="26"/>
          <w:szCs w:val="26"/>
        </w:rPr>
        <w:t xml:space="preserve">highest </w:t>
      </w:r>
      <w:r w:rsidR="00641E5E">
        <w:rPr>
          <w:rFonts w:hint="eastAsia"/>
          <w:sz w:val="26"/>
          <w:szCs w:val="26"/>
        </w:rPr>
        <w:t>expenses, followed by</w:t>
      </w:r>
      <w:r w:rsidRPr="009B2815">
        <w:rPr>
          <w:sz w:val="26"/>
          <w:szCs w:val="26"/>
        </w:rPr>
        <w:t xml:space="preserve"> </w:t>
      </w:r>
      <w:r w:rsidR="00641E5E">
        <w:rPr>
          <w:rFonts w:hint="eastAsia"/>
          <w:sz w:val="26"/>
          <w:szCs w:val="26"/>
        </w:rPr>
        <w:t>s</w:t>
      </w:r>
      <w:r w:rsidRPr="009B2815">
        <w:rPr>
          <w:sz w:val="26"/>
          <w:szCs w:val="26"/>
        </w:rPr>
        <w:t xml:space="preserve">urgical fees and drug fees. </w:t>
      </w:r>
      <w:r w:rsidR="00641E5E">
        <w:rPr>
          <w:rFonts w:hint="eastAsia"/>
          <w:sz w:val="26"/>
          <w:szCs w:val="26"/>
        </w:rPr>
        <w:t>The</w:t>
      </w:r>
      <w:r w:rsidRPr="009B2815">
        <w:rPr>
          <w:sz w:val="26"/>
          <w:szCs w:val="26"/>
        </w:rPr>
        <w:t xml:space="preserve"> average </w:t>
      </w:r>
      <w:r w:rsidR="00641E5E">
        <w:rPr>
          <w:rFonts w:hint="eastAsia"/>
          <w:sz w:val="26"/>
          <w:szCs w:val="26"/>
        </w:rPr>
        <w:t>expense</w:t>
      </w:r>
      <w:r w:rsidRPr="009B2815">
        <w:rPr>
          <w:sz w:val="26"/>
          <w:szCs w:val="26"/>
        </w:rPr>
        <w:t xml:space="preserve"> per case was 57,497 RVU</w:t>
      </w:r>
      <w:r w:rsidR="00641E5E">
        <w:rPr>
          <w:rFonts w:hint="eastAsia"/>
          <w:sz w:val="26"/>
          <w:szCs w:val="26"/>
        </w:rPr>
        <w:t xml:space="preserve"> </w:t>
      </w:r>
      <w:r w:rsidRPr="009B2815">
        <w:rPr>
          <w:sz w:val="26"/>
          <w:szCs w:val="26"/>
        </w:rPr>
        <w:t>for males and 48,290 RVU</w:t>
      </w:r>
      <w:r w:rsidR="00641E5E">
        <w:rPr>
          <w:rFonts w:hint="eastAsia"/>
          <w:sz w:val="26"/>
          <w:szCs w:val="26"/>
        </w:rPr>
        <w:t xml:space="preserve"> </w:t>
      </w:r>
      <w:r w:rsidRPr="009B2815">
        <w:rPr>
          <w:sz w:val="26"/>
          <w:szCs w:val="26"/>
        </w:rPr>
        <w:t>for females.</w:t>
      </w:r>
    </w:p>
    <w:p w:rsidR="00575E5B" w:rsidRPr="00947656" w:rsidRDefault="00D7250C" w:rsidP="00730DFA">
      <w:pPr>
        <w:spacing w:afterLines="25" w:line="240" w:lineRule="auto"/>
        <w:ind w:leftChars="295" w:left="708"/>
        <w:jc w:val="center"/>
        <w:rPr>
          <w:rFonts w:eastAsia="標楷體"/>
          <w:sz w:val="26"/>
        </w:rPr>
      </w:pPr>
      <w:r w:rsidRPr="00D7250C">
        <w:rPr>
          <w:rFonts w:eastAsia="標楷體"/>
          <w:noProof/>
          <w:sz w:val="26"/>
        </w:rPr>
        <w:drawing>
          <wp:inline distT="0" distB="0" distL="0" distR="0">
            <wp:extent cx="5200651" cy="2914650"/>
            <wp:effectExtent l="38100" t="0" r="0" b="0"/>
            <wp:docPr id="37" name="圖表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93289A" w:rsidRPr="00947656" w:rsidRDefault="0093289A" w:rsidP="00217334">
      <w:pPr>
        <w:pStyle w:val="a5"/>
        <w:spacing w:after="120"/>
        <w:ind w:leftChars="119" w:left="624" w:hangingChars="130" w:hanging="338"/>
        <w:jc w:val="both"/>
        <w:rPr>
          <w:rFonts w:eastAsia="標楷體"/>
          <w:b/>
          <w:sz w:val="26"/>
        </w:rPr>
      </w:pPr>
      <w:r w:rsidRPr="00947656">
        <w:rPr>
          <w:rFonts w:eastAsia="標楷體"/>
          <w:b/>
          <w:sz w:val="26"/>
        </w:rPr>
        <w:t>d.</w:t>
      </w:r>
      <w:r w:rsidR="00AF0A86" w:rsidRPr="00AF0A86">
        <w:rPr>
          <w:b/>
          <w:bCs/>
          <w:sz w:val="26"/>
          <w:szCs w:val="26"/>
        </w:rPr>
        <w:t xml:space="preserve"> </w:t>
      </w:r>
      <w:r w:rsidR="00AF0A86" w:rsidRPr="009B2815">
        <w:rPr>
          <w:b/>
          <w:bCs/>
          <w:sz w:val="26"/>
          <w:szCs w:val="26"/>
        </w:rPr>
        <w:t>Ward fees accounted for the largest proportion in all age groups.</w:t>
      </w:r>
    </w:p>
    <w:p w:rsidR="000214DD" w:rsidRPr="00947656" w:rsidRDefault="00AF0A86" w:rsidP="00D10FE3">
      <w:pPr>
        <w:pStyle w:val="a5"/>
        <w:spacing w:after="120" w:line="420" w:lineRule="atLeast"/>
        <w:ind w:leftChars="236" w:left="566" w:firstLineChars="218" w:firstLine="567"/>
        <w:jc w:val="both"/>
        <w:rPr>
          <w:rFonts w:eastAsia="標楷體"/>
          <w:sz w:val="26"/>
          <w:szCs w:val="26"/>
        </w:rPr>
      </w:pPr>
      <w:r w:rsidRPr="009B2815">
        <w:rPr>
          <w:sz w:val="26"/>
          <w:szCs w:val="26"/>
        </w:rPr>
        <w:t xml:space="preserve">In 2011, the total inpatient expenses for the age group of 0–14 amounted to 8 billion RVU. The highest expense was ward fees, followed by drug fees. For the group of 15–29, the total </w:t>
      </w:r>
      <w:r w:rsidR="002B6D85">
        <w:rPr>
          <w:rFonts w:hint="eastAsia"/>
          <w:sz w:val="26"/>
          <w:szCs w:val="26"/>
        </w:rPr>
        <w:t>expenses</w:t>
      </w:r>
      <w:r w:rsidRPr="009B2815">
        <w:rPr>
          <w:sz w:val="26"/>
          <w:szCs w:val="26"/>
        </w:rPr>
        <w:t xml:space="preserve"> w</w:t>
      </w:r>
      <w:r w:rsidR="002B6D85">
        <w:rPr>
          <w:rFonts w:hint="eastAsia"/>
          <w:sz w:val="26"/>
          <w:szCs w:val="26"/>
        </w:rPr>
        <w:t>ere</w:t>
      </w:r>
      <w:r w:rsidRPr="009B2815">
        <w:rPr>
          <w:sz w:val="26"/>
          <w:szCs w:val="26"/>
        </w:rPr>
        <w:t xml:space="preserve"> 1</w:t>
      </w:r>
      <w:r w:rsidR="002B6D85">
        <w:rPr>
          <w:rFonts w:hint="eastAsia"/>
          <w:sz w:val="26"/>
          <w:szCs w:val="26"/>
        </w:rPr>
        <w:t>2</w:t>
      </w:r>
      <w:r w:rsidRPr="009B2815">
        <w:rPr>
          <w:sz w:val="26"/>
          <w:szCs w:val="26"/>
        </w:rPr>
        <w:t xml:space="preserve"> </w:t>
      </w:r>
      <w:r w:rsidRPr="002B6D85">
        <w:rPr>
          <w:bCs/>
          <w:sz w:val="26"/>
          <w:szCs w:val="26"/>
        </w:rPr>
        <w:t>billion</w:t>
      </w:r>
      <w:r w:rsidRPr="009B2815">
        <w:rPr>
          <w:sz w:val="26"/>
          <w:szCs w:val="26"/>
        </w:rPr>
        <w:t xml:space="preserve"> RVU. Ward fees accounted for the largest portion of expenses and surgical fees the second. In the group of 30–44, the total </w:t>
      </w:r>
      <w:r w:rsidR="002B6D85">
        <w:rPr>
          <w:rFonts w:hint="eastAsia"/>
          <w:sz w:val="26"/>
          <w:szCs w:val="26"/>
        </w:rPr>
        <w:t>expenses</w:t>
      </w:r>
      <w:r w:rsidR="002B6D85">
        <w:rPr>
          <w:sz w:val="26"/>
          <w:szCs w:val="26"/>
        </w:rPr>
        <w:t xml:space="preserve"> w</w:t>
      </w:r>
      <w:r w:rsidR="002B6D85">
        <w:rPr>
          <w:rFonts w:hint="eastAsia"/>
          <w:sz w:val="26"/>
          <w:szCs w:val="26"/>
        </w:rPr>
        <w:t>ere</w:t>
      </w:r>
      <w:r w:rsidRPr="009B2815">
        <w:rPr>
          <w:sz w:val="26"/>
          <w:szCs w:val="26"/>
        </w:rPr>
        <w:t xml:space="preserve"> 2</w:t>
      </w:r>
      <w:r w:rsidR="002B6D85">
        <w:rPr>
          <w:rFonts w:hint="eastAsia"/>
          <w:sz w:val="26"/>
          <w:szCs w:val="26"/>
        </w:rPr>
        <w:t>5</w:t>
      </w:r>
      <w:r w:rsidRPr="009B2815">
        <w:rPr>
          <w:sz w:val="26"/>
          <w:szCs w:val="26"/>
        </w:rPr>
        <w:t xml:space="preserve"> billion RVU. Ward fees accounted for the largest portion of expenses</w:t>
      </w:r>
      <w:r w:rsidR="002B6D85">
        <w:rPr>
          <w:rFonts w:hint="eastAsia"/>
          <w:sz w:val="26"/>
          <w:szCs w:val="26"/>
        </w:rPr>
        <w:t>, followed by</w:t>
      </w:r>
      <w:r w:rsidRPr="009B2815">
        <w:rPr>
          <w:sz w:val="26"/>
          <w:szCs w:val="26"/>
        </w:rPr>
        <w:t xml:space="preserve"> surgical fee. In the group of 45–64, the total </w:t>
      </w:r>
      <w:r w:rsidR="002B6D85">
        <w:rPr>
          <w:rFonts w:hint="eastAsia"/>
          <w:sz w:val="26"/>
          <w:szCs w:val="26"/>
        </w:rPr>
        <w:t>expenses</w:t>
      </w:r>
      <w:r w:rsidRPr="009B2815">
        <w:rPr>
          <w:sz w:val="26"/>
          <w:szCs w:val="26"/>
        </w:rPr>
        <w:t xml:space="preserve"> w</w:t>
      </w:r>
      <w:r w:rsidR="002B6D85">
        <w:rPr>
          <w:rFonts w:hint="eastAsia"/>
          <w:sz w:val="26"/>
          <w:szCs w:val="26"/>
        </w:rPr>
        <w:t>ere</w:t>
      </w:r>
      <w:r w:rsidRPr="009B2815">
        <w:rPr>
          <w:sz w:val="26"/>
          <w:szCs w:val="26"/>
        </w:rPr>
        <w:t xml:space="preserve"> 5</w:t>
      </w:r>
      <w:r w:rsidR="002B6D85">
        <w:rPr>
          <w:rFonts w:hint="eastAsia"/>
          <w:sz w:val="26"/>
          <w:szCs w:val="26"/>
        </w:rPr>
        <w:t>4</w:t>
      </w:r>
      <w:r w:rsidRPr="009B2815">
        <w:rPr>
          <w:sz w:val="26"/>
          <w:szCs w:val="26"/>
        </w:rPr>
        <w:t xml:space="preserve"> billion RVU. Ward fees also accounted for the largest portion of expenses and drug fees the second. The total </w:t>
      </w:r>
      <w:r w:rsidR="002B6D85">
        <w:rPr>
          <w:rFonts w:hint="eastAsia"/>
          <w:sz w:val="26"/>
          <w:szCs w:val="26"/>
        </w:rPr>
        <w:t>expenses</w:t>
      </w:r>
      <w:r w:rsidRPr="009B2815">
        <w:rPr>
          <w:sz w:val="26"/>
          <w:szCs w:val="26"/>
        </w:rPr>
        <w:t xml:space="preserve"> from the group of 65 and above amounted to 7</w:t>
      </w:r>
      <w:r w:rsidR="002B6D85">
        <w:rPr>
          <w:rFonts w:hint="eastAsia"/>
          <w:sz w:val="26"/>
          <w:szCs w:val="26"/>
        </w:rPr>
        <w:t>6</w:t>
      </w:r>
      <w:r w:rsidRPr="009B2815">
        <w:rPr>
          <w:sz w:val="26"/>
          <w:szCs w:val="26"/>
        </w:rPr>
        <w:t xml:space="preserve"> billion RVU. The highest percentage was from ward fees, followed by therapeutic procedure fees.</w:t>
      </w:r>
    </w:p>
    <w:p w:rsidR="0093289A" w:rsidRPr="00947656" w:rsidRDefault="00996BA3" w:rsidP="00730DFA">
      <w:pPr>
        <w:spacing w:beforeLines="50" w:line="180" w:lineRule="atLeast"/>
        <w:ind w:leftChars="177" w:left="425"/>
        <w:jc w:val="center"/>
        <w:rPr>
          <w:rFonts w:eastAsia="標楷體"/>
          <w:sz w:val="26"/>
        </w:rPr>
      </w:pPr>
      <w:r w:rsidRPr="00996BA3">
        <w:rPr>
          <w:rFonts w:eastAsia="標楷體"/>
          <w:noProof/>
          <w:sz w:val="26"/>
        </w:rPr>
        <w:lastRenderedPageBreak/>
        <w:drawing>
          <wp:inline distT="0" distB="0" distL="0" distR="0">
            <wp:extent cx="5387340" cy="3375660"/>
            <wp:effectExtent l="0" t="0" r="0" b="0"/>
            <wp:docPr id="23" name="圖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A20B6D" w:rsidRPr="00947656" w:rsidRDefault="002179B3" w:rsidP="00B36617">
      <w:pPr>
        <w:spacing w:after="120"/>
        <w:jc w:val="both"/>
        <w:rPr>
          <w:rFonts w:eastAsia="標楷體"/>
          <w:b/>
          <w:sz w:val="26"/>
          <w:szCs w:val="26"/>
        </w:rPr>
      </w:pPr>
      <w:r>
        <w:rPr>
          <w:rFonts w:eastAsia="標楷體" w:hint="eastAsia"/>
          <w:b/>
          <w:sz w:val="26"/>
        </w:rPr>
        <w:t>（</w:t>
      </w:r>
      <w:r w:rsidR="00765E96" w:rsidRPr="00947656">
        <w:rPr>
          <w:rFonts w:eastAsia="標楷體"/>
          <w:b/>
          <w:sz w:val="26"/>
        </w:rPr>
        <w:t>4</w:t>
      </w:r>
      <w:r>
        <w:rPr>
          <w:rFonts w:eastAsia="標楷體" w:hint="eastAsia"/>
          <w:b/>
          <w:sz w:val="26"/>
        </w:rPr>
        <w:t>）</w:t>
      </w:r>
      <w:r>
        <w:rPr>
          <w:rFonts w:eastAsia="標楷體" w:hint="eastAsia"/>
          <w:b/>
          <w:sz w:val="26"/>
        </w:rPr>
        <w:t>Medical Utilization for Major Illness/Injuries</w:t>
      </w:r>
    </w:p>
    <w:p w:rsidR="00A20B6D" w:rsidRPr="00947656" w:rsidRDefault="00AF0A86" w:rsidP="00BB717B">
      <w:pPr>
        <w:pStyle w:val="a5"/>
        <w:spacing w:after="120"/>
        <w:ind w:leftChars="100" w:left="240"/>
        <w:jc w:val="both"/>
        <w:rPr>
          <w:rFonts w:eastAsia="標楷體"/>
          <w:b/>
          <w:sz w:val="26"/>
          <w:szCs w:val="26"/>
        </w:rPr>
      </w:pPr>
      <w:r w:rsidRPr="009B2815">
        <w:rPr>
          <w:b/>
          <w:bCs/>
          <w:sz w:val="26"/>
          <w:szCs w:val="26"/>
        </w:rPr>
        <w:t xml:space="preserve">The </w:t>
      </w:r>
      <w:r w:rsidRPr="00BB717B">
        <w:rPr>
          <w:rFonts w:eastAsia="標楷體"/>
          <w:b/>
          <w:bCs/>
          <w:spacing w:val="-6"/>
          <w:sz w:val="26"/>
          <w:szCs w:val="26"/>
        </w:rPr>
        <w:t>number</w:t>
      </w:r>
      <w:r w:rsidRPr="009B2815">
        <w:rPr>
          <w:b/>
          <w:bCs/>
          <w:sz w:val="26"/>
          <w:szCs w:val="26"/>
        </w:rPr>
        <w:t xml:space="preserve"> of valid Major Illness/Injury Certificates issued </w:t>
      </w:r>
      <w:r w:rsidR="00D00A91">
        <w:rPr>
          <w:rFonts w:hint="eastAsia"/>
          <w:b/>
          <w:bCs/>
          <w:sz w:val="26"/>
          <w:szCs w:val="26"/>
        </w:rPr>
        <w:t xml:space="preserve">in 2011 </w:t>
      </w:r>
      <w:r w:rsidRPr="009B2815">
        <w:rPr>
          <w:b/>
          <w:bCs/>
          <w:sz w:val="26"/>
          <w:szCs w:val="26"/>
        </w:rPr>
        <w:t xml:space="preserve">increased by 90% </w:t>
      </w:r>
      <w:r w:rsidR="00D00A91">
        <w:rPr>
          <w:rFonts w:hint="eastAsia"/>
          <w:b/>
          <w:bCs/>
          <w:sz w:val="26"/>
          <w:szCs w:val="26"/>
        </w:rPr>
        <w:t>from the</w:t>
      </w:r>
      <w:r w:rsidRPr="009B2815">
        <w:rPr>
          <w:b/>
          <w:bCs/>
          <w:sz w:val="26"/>
          <w:szCs w:val="26"/>
        </w:rPr>
        <w:t xml:space="preserve"> end of 2001.</w:t>
      </w:r>
    </w:p>
    <w:p w:rsidR="00A20B6D" w:rsidRPr="00947656" w:rsidRDefault="00AF0A86" w:rsidP="00B36617">
      <w:pPr>
        <w:pStyle w:val="a5"/>
        <w:ind w:leftChars="100" w:left="240" w:firstLineChars="200" w:firstLine="520"/>
        <w:jc w:val="both"/>
        <w:rPr>
          <w:rFonts w:eastAsia="標楷體"/>
          <w:sz w:val="26"/>
          <w:szCs w:val="26"/>
        </w:rPr>
      </w:pPr>
      <w:r w:rsidRPr="009B2815">
        <w:rPr>
          <w:sz w:val="26"/>
          <w:szCs w:val="26"/>
        </w:rPr>
        <w:t>As at the end of 2011, there were 30 major illness/injury categories. The number of valid Major Illness/Injury Certificates issued was 91</w:t>
      </w:r>
      <w:r w:rsidR="00096F51">
        <w:rPr>
          <w:rFonts w:hint="eastAsia"/>
          <w:sz w:val="26"/>
          <w:szCs w:val="26"/>
        </w:rPr>
        <w:t>8</w:t>
      </w:r>
      <w:r w:rsidRPr="009B2815">
        <w:rPr>
          <w:sz w:val="26"/>
          <w:szCs w:val="26"/>
        </w:rPr>
        <w:t>,</w:t>
      </w:r>
      <w:r w:rsidR="00096F51">
        <w:rPr>
          <w:rFonts w:hint="eastAsia"/>
          <w:sz w:val="26"/>
          <w:szCs w:val="26"/>
        </w:rPr>
        <w:t>72</w:t>
      </w:r>
      <w:r w:rsidRPr="009B2815">
        <w:rPr>
          <w:sz w:val="26"/>
          <w:szCs w:val="26"/>
        </w:rPr>
        <w:t>0, showing an increase of 47,263 or 5.4% from the end of the previous year. Cancer patients held the highest number at 432,</w:t>
      </w:r>
      <w:r w:rsidR="00AB0CEF">
        <w:rPr>
          <w:rFonts w:hint="eastAsia"/>
          <w:sz w:val="26"/>
          <w:szCs w:val="26"/>
        </w:rPr>
        <w:t>344</w:t>
      </w:r>
      <w:r w:rsidRPr="009B2815">
        <w:rPr>
          <w:sz w:val="26"/>
          <w:szCs w:val="26"/>
        </w:rPr>
        <w:t xml:space="preserve"> </w:t>
      </w:r>
      <w:r w:rsidR="001D5D7C">
        <w:rPr>
          <w:rFonts w:hint="eastAsia"/>
          <w:sz w:val="26"/>
          <w:szCs w:val="26"/>
        </w:rPr>
        <w:t>(</w:t>
      </w:r>
      <w:r w:rsidRPr="009B2815">
        <w:rPr>
          <w:sz w:val="26"/>
          <w:szCs w:val="26"/>
        </w:rPr>
        <w:t>47.1%</w:t>
      </w:r>
      <w:r w:rsidR="001D5D7C">
        <w:rPr>
          <w:rFonts w:hint="eastAsia"/>
          <w:sz w:val="26"/>
          <w:szCs w:val="26"/>
        </w:rPr>
        <w:t>)</w:t>
      </w:r>
      <w:r w:rsidRPr="009B2815">
        <w:rPr>
          <w:sz w:val="26"/>
          <w:szCs w:val="26"/>
        </w:rPr>
        <w:t xml:space="preserve">, followed by chronic </w:t>
      </w:r>
      <w:r w:rsidR="00AB0CEF" w:rsidRPr="00AB0CEF">
        <w:rPr>
          <w:sz w:val="26"/>
          <w:szCs w:val="26"/>
        </w:rPr>
        <w:t>psychiatric</w:t>
      </w:r>
      <w:r w:rsidRPr="009B2815">
        <w:rPr>
          <w:sz w:val="26"/>
          <w:szCs w:val="26"/>
        </w:rPr>
        <w:t xml:space="preserve"> disorder patients at 208,</w:t>
      </w:r>
      <w:r w:rsidR="00AB0CEF">
        <w:rPr>
          <w:rFonts w:hint="eastAsia"/>
          <w:sz w:val="26"/>
          <w:szCs w:val="26"/>
        </w:rPr>
        <w:t>432</w:t>
      </w:r>
      <w:r w:rsidRPr="009B2815">
        <w:rPr>
          <w:sz w:val="26"/>
          <w:szCs w:val="26"/>
        </w:rPr>
        <w:t xml:space="preserve"> </w:t>
      </w:r>
      <w:r w:rsidR="001D5D7C">
        <w:rPr>
          <w:rFonts w:hint="eastAsia"/>
          <w:sz w:val="26"/>
          <w:szCs w:val="26"/>
        </w:rPr>
        <w:t>(</w:t>
      </w:r>
      <w:r w:rsidRPr="009B2815">
        <w:rPr>
          <w:sz w:val="26"/>
          <w:szCs w:val="26"/>
        </w:rPr>
        <w:t>22.7%</w:t>
      </w:r>
      <w:r w:rsidR="001D5D7C">
        <w:rPr>
          <w:rFonts w:hint="eastAsia"/>
          <w:sz w:val="26"/>
          <w:szCs w:val="26"/>
        </w:rPr>
        <w:t>)</w:t>
      </w:r>
      <w:r w:rsidRPr="009B2815">
        <w:rPr>
          <w:sz w:val="26"/>
          <w:szCs w:val="26"/>
        </w:rPr>
        <w:t xml:space="preserve"> and patients with generalized autoimmune syndrome requiring lifelong treatments at </w:t>
      </w:r>
      <w:r w:rsidR="00AB0CEF">
        <w:rPr>
          <w:rFonts w:hint="eastAsia"/>
          <w:sz w:val="26"/>
          <w:szCs w:val="26"/>
        </w:rPr>
        <w:t>79</w:t>
      </w:r>
      <w:r w:rsidRPr="009B2815">
        <w:rPr>
          <w:sz w:val="26"/>
          <w:szCs w:val="26"/>
        </w:rPr>
        <w:t>,</w:t>
      </w:r>
      <w:r w:rsidR="00AB0CEF">
        <w:rPr>
          <w:rFonts w:hint="eastAsia"/>
          <w:sz w:val="26"/>
          <w:szCs w:val="26"/>
        </w:rPr>
        <w:t>672</w:t>
      </w:r>
      <w:r w:rsidRPr="009B2815">
        <w:rPr>
          <w:sz w:val="26"/>
          <w:szCs w:val="26"/>
        </w:rPr>
        <w:t xml:space="preserve"> </w:t>
      </w:r>
      <w:r w:rsidR="001D5D7C">
        <w:rPr>
          <w:rFonts w:hint="eastAsia"/>
          <w:sz w:val="26"/>
          <w:szCs w:val="26"/>
        </w:rPr>
        <w:t>(</w:t>
      </w:r>
      <w:r w:rsidRPr="009B2815">
        <w:rPr>
          <w:sz w:val="26"/>
          <w:szCs w:val="26"/>
        </w:rPr>
        <w:t>8.7%</w:t>
      </w:r>
      <w:r w:rsidR="001D5D7C">
        <w:rPr>
          <w:rFonts w:hint="eastAsia"/>
          <w:sz w:val="26"/>
          <w:szCs w:val="26"/>
        </w:rPr>
        <w:t>)</w:t>
      </w:r>
      <w:r w:rsidRPr="009B2815">
        <w:rPr>
          <w:sz w:val="26"/>
          <w:szCs w:val="26"/>
        </w:rPr>
        <w:t xml:space="preserve">. </w:t>
      </w:r>
      <w:r w:rsidR="000A6689">
        <w:rPr>
          <w:rFonts w:hint="eastAsia"/>
          <w:sz w:val="26"/>
          <w:szCs w:val="26"/>
        </w:rPr>
        <w:t>T</w:t>
      </w:r>
      <w:r w:rsidRPr="009B2815">
        <w:rPr>
          <w:sz w:val="26"/>
          <w:szCs w:val="26"/>
        </w:rPr>
        <w:t xml:space="preserve">he number of valid Major Illness/Injury Certificates issued </w:t>
      </w:r>
      <w:r w:rsidR="000A6689">
        <w:rPr>
          <w:rFonts w:hint="eastAsia"/>
          <w:sz w:val="26"/>
          <w:szCs w:val="26"/>
        </w:rPr>
        <w:t xml:space="preserve">showed an </w:t>
      </w:r>
      <w:r w:rsidRPr="009B2815">
        <w:rPr>
          <w:sz w:val="26"/>
          <w:szCs w:val="26"/>
        </w:rPr>
        <w:t xml:space="preserve">increase </w:t>
      </w:r>
      <w:r w:rsidR="000A6689">
        <w:rPr>
          <w:rFonts w:hint="eastAsia"/>
          <w:sz w:val="26"/>
          <w:szCs w:val="26"/>
        </w:rPr>
        <w:t>of</w:t>
      </w:r>
      <w:r w:rsidRPr="009B2815">
        <w:rPr>
          <w:sz w:val="26"/>
          <w:szCs w:val="26"/>
        </w:rPr>
        <w:t xml:space="preserve"> 90</w:t>
      </w:r>
      <w:r w:rsidR="00196A55">
        <w:rPr>
          <w:rFonts w:hint="eastAsia"/>
          <w:sz w:val="26"/>
          <w:szCs w:val="26"/>
        </w:rPr>
        <w:t>.1</w:t>
      </w:r>
      <w:r w:rsidRPr="009B2815">
        <w:rPr>
          <w:sz w:val="26"/>
          <w:szCs w:val="26"/>
        </w:rPr>
        <w:t>%</w:t>
      </w:r>
      <w:r w:rsidR="000A6689">
        <w:rPr>
          <w:rFonts w:hint="eastAsia"/>
          <w:sz w:val="26"/>
          <w:szCs w:val="26"/>
        </w:rPr>
        <w:t xml:space="preserve"> from the end of 2001</w:t>
      </w:r>
      <w:r w:rsidRPr="009B2815">
        <w:rPr>
          <w:sz w:val="26"/>
          <w:szCs w:val="26"/>
        </w:rPr>
        <w:t xml:space="preserve">. The average annual </w:t>
      </w:r>
      <w:r w:rsidR="00AB0CEF">
        <w:rPr>
          <w:rFonts w:hint="eastAsia"/>
          <w:sz w:val="26"/>
          <w:szCs w:val="26"/>
        </w:rPr>
        <w:t>increase</w:t>
      </w:r>
      <w:r w:rsidRPr="009B2815">
        <w:rPr>
          <w:sz w:val="26"/>
          <w:szCs w:val="26"/>
        </w:rPr>
        <w:t xml:space="preserve"> in ten years was 6.6%.</w:t>
      </w:r>
    </w:p>
    <w:p w:rsidR="00BB1CC1" w:rsidRPr="00947656" w:rsidRDefault="007C5F96" w:rsidP="00B36617">
      <w:pPr>
        <w:pStyle w:val="a5"/>
        <w:spacing w:line="400" w:lineRule="atLeast"/>
        <w:ind w:leftChars="0" w:left="0" w:firstLineChars="16" w:firstLine="42"/>
        <w:jc w:val="center"/>
        <w:rPr>
          <w:rFonts w:eastAsia="標楷體"/>
          <w:sz w:val="26"/>
          <w:szCs w:val="26"/>
        </w:rPr>
      </w:pPr>
      <w:r w:rsidRPr="007C5F96">
        <w:rPr>
          <w:rFonts w:eastAsia="標楷體"/>
          <w:noProof/>
          <w:sz w:val="26"/>
          <w:szCs w:val="26"/>
        </w:rPr>
        <w:drawing>
          <wp:inline distT="0" distB="0" distL="0" distR="0">
            <wp:extent cx="4537710" cy="2522220"/>
            <wp:effectExtent l="19050" t="0" r="0" b="0"/>
            <wp:docPr id="57" name="圖表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6A5005" w:rsidRPr="00947656" w:rsidRDefault="002179B3" w:rsidP="006A5005">
      <w:pPr>
        <w:pStyle w:val="a5"/>
        <w:spacing w:after="120"/>
        <w:ind w:leftChars="60" w:left="144"/>
        <w:jc w:val="both"/>
        <w:rPr>
          <w:rFonts w:eastAsia="標楷體"/>
          <w:b/>
          <w:sz w:val="26"/>
        </w:rPr>
      </w:pPr>
      <w:proofErr w:type="spellStart"/>
      <w:r>
        <w:rPr>
          <w:rFonts w:eastAsia="標楷體" w:hint="eastAsia"/>
          <w:b/>
          <w:sz w:val="26"/>
        </w:rPr>
        <w:lastRenderedPageBreak/>
        <w:t>i</w:t>
      </w:r>
      <w:proofErr w:type="spellEnd"/>
      <w:r>
        <w:rPr>
          <w:rFonts w:eastAsia="標楷體" w:hint="eastAsia"/>
          <w:b/>
          <w:sz w:val="26"/>
        </w:rPr>
        <w:t xml:space="preserve">. </w:t>
      </w:r>
      <w:r w:rsidRPr="00BB717B">
        <w:rPr>
          <w:rFonts w:eastAsia="標楷體" w:hint="eastAsia"/>
          <w:b/>
          <w:sz w:val="26"/>
          <w:szCs w:val="26"/>
        </w:rPr>
        <w:t>Outpatient</w:t>
      </w:r>
      <w:r>
        <w:rPr>
          <w:rFonts w:eastAsia="標楷體" w:hint="eastAsia"/>
          <w:b/>
          <w:sz w:val="26"/>
        </w:rPr>
        <w:t xml:space="preserve"> Service</w:t>
      </w:r>
    </w:p>
    <w:p w:rsidR="00A20B6D" w:rsidRPr="00947656" w:rsidRDefault="00202FE8" w:rsidP="00BB717B">
      <w:pPr>
        <w:pStyle w:val="a5"/>
        <w:spacing w:after="120"/>
        <w:ind w:leftChars="119" w:left="624" w:hangingChars="130" w:hanging="338"/>
        <w:jc w:val="both"/>
        <w:rPr>
          <w:rFonts w:eastAsia="標楷體"/>
          <w:b/>
          <w:sz w:val="26"/>
          <w:szCs w:val="26"/>
        </w:rPr>
      </w:pPr>
      <w:r w:rsidRPr="00947656">
        <w:rPr>
          <w:rFonts w:eastAsia="標楷體"/>
          <w:b/>
          <w:sz w:val="26"/>
          <w:szCs w:val="26"/>
        </w:rPr>
        <w:t>a.</w:t>
      </w:r>
      <w:r w:rsidR="00AF0A86" w:rsidRPr="00AF0A86">
        <w:rPr>
          <w:b/>
          <w:bCs/>
          <w:sz w:val="26"/>
          <w:szCs w:val="26"/>
        </w:rPr>
        <w:t xml:space="preserve"> </w:t>
      </w:r>
      <w:r w:rsidR="00AF0A86" w:rsidRPr="009B2815">
        <w:rPr>
          <w:b/>
          <w:bCs/>
          <w:sz w:val="26"/>
          <w:szCs w:val="26"/>
        </w:rPr>
        <w:t>Uremia had the highest claim, which accounted for 47.5% of all.</w:t>
      </w:r>
    </w:p>
    <w:p w:rsidR="00A20B6D" w:rsidRPr="00947656" w:rsidRDefault="00AF0A86" w:rsidP="00B20763">
      <w:pPr>
        <w:pStyle w:val="a5"/>
        <w:tabs>
          <w:tab w:val="left" w:pos="851"/>
        </w:tabs>
        <w:spacing w:after="120" w:line="460" w:lineRule="atLeast"/>
        <w:ind w:leftChars="236" w:left="566" w:firstLineChars="218" w:firstLine="567"/>
        <w:jc w:val="both"/>
        <w:rPr>
          <w:rFonts w:eastAsia="標楷體"/>
          <w:sz w:val="26"/>
          <w:szCs w:val="26"/>
        </w:rPr>
      </w:pPr>
      <w:r w:rsidRPr="009B2815">
        <w:rPr>
          <w:sz w:val="26"/>
          <w:szCs w:val="26"/>
        </w:rPr>
        <w:t xml:space="preserve">Total outpatient claims for major illness/injury in 2011 amounted to 80 billion RVU, an increase of 5.5 billion RVU or 7.3% from the previous year. The average annual </w:t>
      </w:r>
      <w:r w:rsidR="001D5D7C">
        <w:rPr>
          <w:rFonts w:hint="eastAsia"/>
          <w:sz w:val="26"/>
          <w:szCs w:val="26"/>
        </w:rPr>
        <w:t>increase</w:t>
      </w:r>
      <w:r w:rsidRPr="009B2815">
        <w:rPr>
          <w:sz w:val="26"/>
          <w:szCs w:val="26"/>
        </w:rPr>
        <w:t xml:space="preserve"> in ten years was 9.6%. The top three diseases were, respectively, uremia, cancer and chronic psych</w:t>
      </w:r>
      <w:r w:rsidR="001D5D7C">
        <w:rPr>
          <w:rFonts w:hint="eastAsia"/>
          <w:sz w:val="26"/>
          <w:szCs w:val="26"/>
        </w:rPr>
        <w:t>ia</w:t>
      </w:r>
      <w:r w:rsidRPr="009B2815">
        <w:rPr>
          <w:sz w:val="26"/>
          <w:szCs w:val="26"/>
        </w:rPr>
        <w:t>t</w:t>
      </w:r>
      <w:r w:rsidR="001D5D7C">
        <w:rPr>
          <w:rFonts w:hint="eastAsia"/>
          <w:sz w:val="26"/>
          <w:szCs w:val="26"/>
        </w:rPr>
        <w:t>r</w:t>
      </w:r>
      <w:r w:rsidRPr="009B2815">
        <w:rPr>
          <w:sz w:val="26"/>
          <w:szCs w:val="26"/>
        </w:rPr>
        <w:t>ic disorders.</w:t>
      </w:r>
    </w:p>
    <w:p w:rsidR="00A20B6D" w:rsidRPr="00947656" w:rsidRDefault="007C5F96" w:rsidP="007C5F96">
      <w:pPr>
        <w:pStyle w:val="a5"/>
        <w:ind w:leftChars="0" w:left="0" w:firstLineChars="218" w:firstLine="567"/>
        <w:jc w:val="center"/>
        <w:rPr>
          <w:rFonts w:eastAsia="標楷體"/>
          <w:b/>
          <w:sz w:val="26"/>
          <w:szCs w:val="26"/>
        </w:rPr>
      </w:pPr>
      <w:r w:rsidRPr="007C5F96">
        <w:rPr>
          <w:rFonts w:eastAsia="標楷體"/>
          <w:b/>
          <w:noProof/>
          <w:sz w:val="26"/>
          <w:szCs w:val="26"/>
        </w:rPr>
        <w:drawing>
          <wp:inline distT="0" distB="0" distL="0" distR="0">
            <wp:extent cx="5486400" cy="3505200"/>
            <wp:effectExtent l="0" t="0" r="0" b="0"/>
            <wp:docPr id="60" name="圖表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A20B6D" w:rsidRPr="00947656" w:rsidRDefault="00202FE8" w:rsidP="00730DFA">
      <w:pPr>
        <w:pStyle w:val="a5"/>
        <w:spacing w:beforeLines="100" w:after="120"/>
        <w:ind w:leftChars="119" w:left="624" w:hangingChars="130" w:hanging="338"/>
        <w:jc w:val="both"/>
        <w:rPr>
          <w:rFonts w:eastAsia="標楷體"/>
          <w:b/>
          <w:sz w:val="26"/>
          <w:szCs w:val="26"/>
        </w:rPr>
      </w:pPr>
      <w:proofErr w:type="gramStart"/>
      <w:r w:rsidRPr="00947656">
        <w:rPr>
          <w:rFonts w:eastAsia="標楷體"/>
          <w:b/>
          <w:sz w:val="26"/>
          <w:szCs w:val="26"/>
        </w:rPr>
        <w:t>b</w:t>
      </w:r>
      <w:proofErr w:type="gramEnd"/>
      <w:r w:rsidRPr="00947656">
        <w:rPr>
          <w:rFonts w:eastAsia="標楷體"/>
          <w:b/>
          <w:sz w:val="26"/>
          <w:szCs w:val="26"/>
        </w:rPr>
        <w:t>.</w:t>
      </w:r>
      <w:r w:rsidR="00AF0A86" w:rsidRPr="00AF0A86">
        <w:rPr>
          <w:b/>
          <w:bCs/>
          <w:sz w:val="26"/>
          <w:szCs w:val="26"/>
        </w:rPr>
        <w:t xml:space="preserve"> </w:t>
      </w:r>
      <w:r w:rsidR="00AF0A86" w:rsidRPr="009B2815">
        <w:rPr>
          <w:b/>
          <w:bCs/>
          <w:sz w:val="26"/>
          <w:szCs w:val="26"/>
        </w:rPr>
        <w:t xml:space="preserve">In terms of average </w:t>
      </w:r>
      <w:r w:rsidR="00CA4821">
        <w:rPr>
          <w:rFonts w:hint="eastAsia"/>
          <w:b/>
          <w:bCs/>
          <w:sz w:val="26"/>
          <w:szCs w:val="26"/>
        </w:rPr>
        <w:t xml:space="preserve">medical </w:t>
      </w:r>
      <w:r w:rsidR="00AF0A86" w:rsidRPr="009B2815">
        <w:rPr>
          <w:b/>
          <w:bCs/>
          <w:sz w:val="26"/>
          <w:szCs w:val="26"/>
        </w:rPr>
        <w:t>claim per capita, congenital coagulation disorders (Hemophilia) ranked the highest.</w:t>
      </w:r>
    </w:p>
    <w:p w:rsidR="00A20B6D" w:rsidRPr="00947656" w:rsidRDefault="00AF0A86" w:rsidP="00B20763">
      <w:pPr>
        <w:pStyle w:val="a5"/>
        <w:spacing w:after="120" w:line="460" w:lineRule="atLeast"/>
        <w:ind w:leftChars="236" w:left="566" w:firstLineChars="218" w:firstLine="567"/>
        <w:jc w:val="both"/>
        <w:rPr>
          <w:rFonts w:eastAsia="標楷體"/>
          <w:sz w:val="26"/>
          <w:szCs w:val="26"/>
        </w:rPr>
      </w:pPr>
      <w:r w:rsidRPr="009B2815">
        <w:rPr>
          <w:sz w:val="26"/>
          <w:szCs w:val="26"/>
        </w:rPr>
        <w:t xml:space="preserve">With regard to the average outpatient claim per capita on major illness/injury in 2011, </w:t>
      </w:r>
      <w:r w:rsidR="00F244DE" w:rsidRPr="009B2815">
        <w:rPr>
          <w:sz w:val="26"/>
          <w:szCs w:val="26"/>
        </w:rPr>
        <w:t>congenital coagulation disorders (Hemophilia)</w:t>
      </w:r>
      <w:r w:rsidR="00F244DE">
        <w:rPr>
          <w:rFonts w:hint="eastAsia"/>
          <w:sz w:val="26"/>
          <w:szCs w:val="26"/>
        </w:rPr>
        <w:t xml:space="preserve"> ranked </w:t>
      </w:r>
      <w:r w:rsidRPr="009B2815">
        <w:rPr>
          <w:sz w:val="26"/>
          <w:szCs w:val="26"/>
        </w:rPr>
        <w:t>the highest</w:t>
      </w:r>
      <w:r w:rsidR="00F244DE">
        <w:rPr>
          <w:rFonts w:hint="eastAsia"/>
          <w:sz w:val="26"/>
          <w:szCs w:val="26"/>
        </w:rPr>
        <w:t xml:space="preserve"> at</w:t>
      </w:r>
      <w:r w:rsidRPr="009B2815">
        <w:rPr>
          <w:sz w:val="26"/>
          <w:szCs w:val="26"/>
        </w:rPr>
        <w:t xml:space="preserve"> 2,738,071 RVU</w:t>
      </w:r>
      <w:r w:rsidR="00F244DE">
        <w:rPr>
          <w:rFonts w:hint="eastAsia"/>
          <w:sz w:val="26"/>
          <w:szCs w:val="26"/>
        </w:rPr>
        <w:t>,</w:t>
      </w:r>
      <w:r w:rsidRPr="009B2815">
        <w:rPr>
          <w:sz w:val="26"/>
          <w:szCs w:val="26"/>
        </w:rPr>
        <w:t xml:space="preserve"> followed by Uremia </w:t>
      </w:r>
      <w:r w:rsidR="00F244DE">
        <w:rPr>
          <w:rFonts w:hint="eastAsia"/>
          <w:sz w:val="26"/>
          <w:szCs w:val="26"/>
        </w:rPr>
        <w:t xml:space="preserve">at </w:t>
      </w:r>
      <w:r w:rsidRPr="009B2815">
        <w:rPr>
          <w:sz w:val="26"/>
          <w:szCs w:val="26"/>
        </w:rPr>
        <w:t xml:space="preserve">534,236 RVU, organ transplants </w:t>
      </w:r>
      <w:r w:rsidR="00F244DE">
        <w:rPr>
          <w:rFonts w:hint="eastAsia"/>
          <w:sz w:val="26"/>
          <w:szCs w:val="26"/>
        </w:rPr>
        <w:t xml:space="preserve">at </w:t>
      </w:r>
      <w:r w:rsidRPr="009B2815">
        <w:rPr>
          <w:sz w:val="26"/>
          <w:szCs w:val="26"/>
        </w:rPr>
        <w:t xml:space="preserve">210,029 RVU, Severe Hemolytic and </w:t>
      </w:r>
      <w:proofErr w:type="spellStart"/>
      <w:r w:rsidRPr="009B2815">
        <w:rPr>
          <w:sz w:val="26"/>
          <w:szCs w:val="26"/>
        </w:rPr>
        <w:t>Hypoplastic</w:t>
      </w:r>
      <w:proofErr w:type="spellEnd"/>
      <w:r w:rsidRPr="009B2815">
        <w:rPr>
          <w:sz w:val="26"/>
          <w:szCs w:val="26"/>
        </w:rPr>
        <w:t xml:space="preserve"> Anemia </w:t>
      </w:r>
      <w:r w:rsidR="00F244DE">
        <w:rPr>
          <w:rFonts w:hint="eastAsia"/>
          <w:sz w:val="26"/>
          <w:szCs w:val="26"/>
        </w:rPr>
        <w:t xml:space="preserve">at </w:t>
      </w:r>
      <w:r w:rsidRPr="009B2815">
        <w:rPr>
          <w:sz w:val="26"/>
          <w:szCs w:val="26"/>
        </w:rPr>
        <w:t xml:space="preserve">191,038 RVU and Multiple Sclerosis </w:t>
      </w:r>
      <w:r w:rsidR="00F244DE">
        <w:rPr>
          <w:rFonts w:hint="eastAsia"/>
          <w:sz w:val="26"/>
          <w:szCs w:val="26"/>
        </w:rPr>
        <w:t xml:space="preserve">at </w:t>
      </w:r>
      <w:r w:rsidRPr="009B2815">
        <w:rPr>
          <w:sz w:val="26"/>
          <w:szCs w:val="26"/>
        </w:rPr>
        <w:t xml:space="preserve">174,218 RVU. The </w:t>
      </w:r>
      <w:r w:rsidR="003D7536">
        <w:rPr>
          <w:rFonts w:hint="eastAsia"/>
          <w:sz w:val="26"/>
          <w:szCs w:val="26"/>
        </w:rPr>
        <w:t>medical claims</w:t>
      </w:r>
      <w:r w:rsidR="007A7B77">
        <w:rPr>
          <w:sz w:val="26"/>
          <w:szCs w:val="26"/>
        </w:rPr>
        <w:t xml:space="preserve"> for these five</w:t>
      </w:r>
      <w:r w:rsidR="007A7B77">
        <w:rPr>
          <w:rFonts w:hint="eastAsia"/>
          <w:sz w:val="26"/>
          <w:szCs w:val="26"/>
        </w:rPr>
        <w:t xml:space="preserve"> diseases</w:t>
      </w:r>
      <w:r w:rsidRPr="009B2815">
        <w:rPr>
          <w:sz w:val="26"/>
          <w:szCs w:val="26"/>
        </w:rPr>
        <w:t xml:space="preserve"> represented, respectively, 26.8, 5.2, 2.1, 1.9 and 1.7 times of the average value, 102,282 RVU.</w:t>
      </w:r>
    </w:p>
    <w:p w:rsidR="00B20763" w:rsidRDefault="00B20763">
      <w:r>
        <w:br w:type="page"/>
      </w:r>
    </w:p>
    <w:tbl>
      <w:tblPr>
        <w:tblW w:w="9409" w:type="dxa"/>
        <w:tblInd w:w="312" w:type="dxa"/>
        <w:tblCellMar>
          <w:left w:w="28" w:type="dxa"/>
          <w:right w:w="28" w:type="dxa"/>
        </w:tblCellMar>
        <w:tblLook w:val="04A0"/>
      </w:tblPr>
      <w:tblGrid>
        <w:gridCol w:w="428"/>
        <w:gridCol w:w="3130"/>
        <w:gridCol w:w="616"/>
        <w:gridCol w:w="473"/>
        <w:gridCol w:w="3153"/>
        <w:gridCol w:w="800"/>
        <w:gridCol w:w="809"/>
      </w:tblGrid>
      <w:tr w:rsidR="00F65BD4" w:rsidRPr="00947656" w:rsidTr="00A64211">
        <w:trPr>
          <w:trHeight w:val="330"/>
        </w:trPr>
        <w:tc>
          <w:tcPr>
            <w:tcW w:w="428" w:type="dxa"/>
            <w:tcBorders>
              <w:top w:val="nil"/>
              <w:left w:val="nil"/>
              <w:bottom w:val="thickThinSmallGap" w:sz="24" w:space="0" w:color="C2D69B" w:themeColor="accent3" w:themeTint="99"/>
              <w:right w:val="nil"/>
            </w:tcBorders>
          </w:tcPr>
          <w:p w:rsidR="00F65BD4" w:rsidRDefault="00F65BD4" w:rsidP="00730DFA">
            <w:pPr>
              <w:widowControl/>
              <w:adjustRightInd/>
              <w:spacing w:beforeLines="50" w:line="240" w:lineRule="auto"/>
              <w:jc w:val="center"/>
              <w:textAlignment w:val="auto"/>
              <w:rPr>
                <w:rFonts w:eastAsia="標楷體"/>
                <w:sz w:val="20"/>
              </w:rPr>
            </w:pPr>
          </w:p>
        </w:tc>
        <w:tc>
          <w:tcPr>
            <w:tcW w:w="8172" w:type="dxa"/>
            <w:gridSpan w:val="5"/>
            <w:tcBorders>
              <w:top w:val="nil"/>
              <w:left w:val="nil"/>
              <w:bottom w:val="thickThinSmallGap" w:sz="24" w:space="0" w:color="C2D69B" w:themeColor="accent3" w:themeTint="99"/>
              <w:right w:val="nil"/>
            </w:tcBorders>
          </w:tcPr>
          <w:p w:rsidR="00F65BD4" w:rsidRPr="00947656" w:rsidRDefault="00F65BD4" w:rsidP="00730DFA">
            <w:pPr>
              <w:widowControl/>
              <w:adjustRightInd/>
              <w:spacing w:afterLines="25" w:line="240" w:lineRule="auto"/>
              <w:jc w:val="center"/>
              <w:textAlignment w:val="auto"/>
              <w:rPr>
                <w:rFonts w:eastAsia="標楷體"/>
                <w:sz w:val="19"/>
                <w:szCs w:val="19"/>
              </w:rPr>
            </w:pPr>
            <w:r>
              <w:rPr>
                <w:rFonts w:eastAsia="標楷體" w:hint="eastAsia"/>
                <w:sz w:val="20"/>
              </w:rPr>
              <w:t xml:space="preserve">Table </w:t>
            </w:r>
            <w:r w:rsidRPr="00947656">
              <w:rPr>
                <w:rFonts w:eastAsia="標楷體"/>
                <w:sz w:val="20"/>
              </w:rPr>
              <w:t>2</w:t>
            </w:r>
            <w:r>
              <w:rPr>
                <w:rFonts w:eastAsia="標楷體" w:hint="eastAsia"/>
                <w:sz w:val="20"/>
              </w:rPr>
              <w:t xml:space="preserve"> </w:t>
            </w:r>
            <w:r w:rsidRPr="00947656">
              <w:rPr>
                <w:rFonts w:eastAsia="標楷體"/>
                <w:sz w:val="20"/>
              </w:rPr>
              <w:t xml:space="preserve"> </w:t>
            </w:r>
            <w:r>
              <w:rPr>
                <w:rFonts w:eastAsia="標楷體" w:hint="eastAsia"/>
                <w:sz w:val="20"/>
              </w:rPr>
              <w:t>Top 10 Outpatient Major Illness/Injury in 2011</w:t>
            </w:r>
          </w:p>
        </w:tc>
        <w:tc>
          <w:tcPr>
            <w:tcW w:w="809" w:type="dxa"/>
            <w:tcBorders>
              <w:top w:val="nil"/>
              <w:left w:val="nil"/>
              <w:bottom w:val="thickThinSmallGap" w:sz="24" w:space="0" w:color="C2D69B" w:themeColor="accent3" w:themeTint="99"/>
              <w:right w:val="nil"/>
            </w:tcBorders>
          </w:tcPr>
          <w:p w:rsidR="00F65BD4" w:rsidRDefault="00F65BD4" w:rsidP="00730DFA">
            <w:pPr>
              <w:widowControl/>
              <w:adjustRightInd/>
              <w:spacing w:beforeLines="50" w:line="240" w:lineRule="auto"/>
              <w:jc w:val="center"/>
              <w:textAlignment w:val="auto"/>
              <w:rPr>
                <w:rFonts w:eastAsia="標楷體"/>
                <w:sz w:val="20"/>
              </w:rPr>
            </w:pPr>
          </w:p>
        </w:tc>
      </w:tr>
      <w:tr w:rsidR="00F65BD4" w:rsidRPr="00947656" w:rsidTr="00A64211">
        <w:trPr>
          <w:trHeight w:val="345"/>
        </w:trPr>
        <w:tc>
          <w:tcPr>
            <w:tcW w:w="4647" w:type="dxa"/>
            <w:gridSpan w:val="4"/>
            <w:tcBorders>
              <w:left w:val="thickThinSmallGap" w:sz="24" w:space="0" w:color="C2D69B" w:themeColor="accent3" w:themeTint="99"/>
              <w:bottom w:val="thickThinSmallGap" w:sz="12" w:space="0" w:color="C2D69B" w:themeColor="accent3" w:themeTint="99"/>
              <w:right w:val="thickThinSmallGap" w:sz="24" w:space="0" w:color="C2D69B" w:themeColor="accent3" w:themeTint="99"/>
            </w:tcBorders>
          </w:tcPr>
          <w:p w:rsidR="00F65BD4" w:rsidRPr="00347E2F" w:rsidRDefault="00F65BD4" w:rsidP="00400B5E">
            <w:pPr>
              <w:widowControl/>
              <w:adjustRightInd/>
              <w:spacing w:line="240" w:lineRule="auto"/>
              <w:jc w:val="center"/>
              <w:textAlignment w:val="auto"/>
              <w:rPr>
                <w:rFonts w:eastAsia="標楷體"/>
                <w:b/>
                <w:color w:val="76923C" w:themeColor="accent3" w:themeShade="BF"/>
                <w:sz w:val="18"/>
                <w:szCs w:val="18"/>
              </w:rPr>
            </w:pPr>
            <w:r w:rsidRPr="00347E2F">
              <w:rPr>
                <w:rFonts w:eastAsia="標楷體" w:hint="eastAsia"/>
                <w:b/>
                <w:color w:val="76923C" w:themeColor="accent3" w:themeShade="BF"/>
                <w:sz w:val="18"/>
                <w:szCs w:val="18"/>
              </w:rPr>
              <w:t>M</w:t>
            </w:r>
            <w:r w:rsidRPr="00347E2F">
              <w:rPr>
                <w:rFonts w:eastAsia="標楷體"/>
                <w:b/>
                <w:color w:val="76923C" w:themeColor="accent3" w:themeShade="BF"/>
                <w:sz w:val="18"/>
                <w:szCs w:val="18"/>
              </w:rPr>
              <w:t xml:space="preserve">edical </w:t>
            </w:r>
            <w:r>
              <w:rPr>
                <w:rFonts w:eastAsia="標楷體" w:hint="eastAsia"/>
                <w:b/>
                <w:color w:val="76923C" w:themeColor="accent3" w:themeShade="BF"/>
                <w:sz w:val="18"/>
                <w:szCs w:val="18"/>
              </w:rPr>
              <w:t>B</w:t>
            </w:r>
            <w:r w:rsidRPr="00347E2F">
              <w:rPr>
                <w:rFonts w:eastAsia="標楷體" w:hint="eastAsia"/>
                <w:b/>
                <w:color w:val="76923C" w:themeColor="accent3" w:themeShade="BF"/>
                <w:sz w:val="18"/>
                <w:szCs w:val="18"/>
              </w:rPr>
              <w:t xml:space="preserve">enefit </w:t>
            </w:r>
            <w:r>
              <w:rPr>
                <w:rFonts w:eastAsia="標楷體" w:hint="eastAsia"/>
                <w:b/>
                <w:color w:val="76923C" w:themeColor="accent3" w:themeShade="BF"/>
                <w:sz w:val="18"/>
                <w:szCs w:val="18"/>
              </w:rPr>
              <w:t>C</w:t>
            </w:r>
            <w:r w:rsidRPr="00347E2F">
              <w:rPr>
                <w:rFonts w:eastAsia="標楷體"/>
                <w:b/>
                <w:color w:val="76923C" w:themeColor="accent3" w:themeShade="BF"/>
                <w:sz w:val="18"/>
                <w:szCs w:val="18"/>
              </w:rPr>
              <w:t>laims</w:t>
            </w:r>
          </w:p>
        </w:tc>
        <w:tc>
          <w:tcPr>
            <w:tcW w:w="4762" w:type="dxa"/>
            <w:gridSpan w:val="3"/>
            <w:tcBorders>
              <w:left w:val="thickThinSmallGap" w:sz="24" w:space="0" w:color="C2D69B" w:themeColor="accent3" w:themeTint="99"/>
              <w:bottom w:val="thickThinSmallGap" w:sz="12" w:space="0" w:color="C2D69B" w:themeColor="accent3" w:themeTint="99"/>
              <w:right w:val="thinThickThinSmallGap" w:sz="24" w:space="0" w:color="C2D69B" w:themeColor="accent3" w:themeTint="99"/>
            </w:tcBorders>
            <w:shd w:val="clear" w:color="auto" w:fill="auto"/>
            <w:noWrap/>
            <w:vAlign w:val="center"/>
            <w:hideMark/>
          </w:tcPr>
          <w:p w:rsidR="00F65BD4" w:rsidRPr="00347E2F" w:rsidRDefault="00F65BD4" w:rsidP="00E36A76">
            <w:pPr>
              <w:widowControl/>
              <w:adjustRightInd/>
              <w:spacing w:line="240" w:lineRule="auto"/>
              <w:jc w:val="center"/>
              <w:textAlignment w:val="auto"/>
              <w:rPr>
                <w:rFonts w:eastAsia="標楷體"/>
                <w:b/>
                <w:color w:val="76923C" w:themeColor="accent3" w:themeShade="BF"/>
                <w:sz w:val="18"/>
                <w:szCs w:val="18"/>
              </w:rPr>
            </w:pPr>
            <w:r w:rsidRPr="00347E2F">
              <w:rPr>
                <w:rFonts w:eastAsia="標楷體" w:hint="eastAsia"/>
                <w:b/>
                <w:color w:val="76923C" w:themeColor="accent3" w:themeShade="BF"/>
                <w:sz w:val="18"/>
                <w:szCs w:val="18"/>
              </w:rPr>
              <w:t>M</w:t>
            </w:r>
            <w:r w:rsidRPr="00347E2F">
              <w:rPr>
                <w:rFonts w:eastAsia="標楷體"/>
                <w:b/>
                <w:color w:val="76923C" w:themeColor="accent3" w:themeShade="BF"/>
                <w:sz w:val="18"/>
                <w:szCs w:val="18"/>
              </w:rPr>
              <w:t>edical</w:t>
            </w:r>
            <w:r w:rsidRPr="00347E2F">
              <w:rPr>
                <w:rFonts w:eastAsia="標楷體" w:hint="eastAsia"/>
                <w:b/>
                <w:color w:val="76923C" w:themeColor="accent3" w:themeShade="BF"/>
                <w:sz w:val="18"/>
                <w:szCs w:val="18"/>
              </w:rPr>
              <w:t xml:space="preserve"> </w:t>
            </w:r>
            <w:r>
              <w:rPr>
                <w:rFonts w:eastAsia="標楷體" w:hint="eastAsia"/>
                <w:b/>
                <w:color w:val="76923C" w:themeColor="accent3" w:themeShade="BF"/>
                <w:sz w:val="18"/>
                <w:szCs w:val="18"/>
              </w:rPr>
              <w:t>B</w:t>
            </w:r>
            <w:r w:rsidRPr="00347E2F">
              <w:rPr>
                <w:rFonts w:eastAsia="標楷體" w:hint="eastAsia"/>
                <w:b/>
                <w:color w:val="76923C" w:themeColor="accent3" w:themeShade="BF"/>
                <w:sz w:val="18"/>
                <w:szCs w:val="18"/>
              </w:rPr>
              <w:t>enefit</w:t>
            </w:r>
            <w:r w:rsidRPr="00347E2F">
              <w:rPr>
                <w:rFonts w:eastAsia="標楷體"/>
                <w:b/>
                <w:color w:val="76923C" w:themeColor="accent3" w:themeShade="BF"/>
                <w:sz w:val="18"/>
                <w:szCs w:val="18"/>
              </w:rPr>
              <w:t xml:space="preserve"> </w:t>
            </w:r>
            <w:r>
              <w:rPr>
                <w:rFonts w:eastAsia="標楷體" w:hint="eastAsia"/>
                <w:b/>
                <w:color w:val="76923C" w:themeColor="accent3" w:themeShade="BF"/>
                <w:sz w:val="18"/>
                <w:szCs w:val="18"/>
              </w:rPr>
              <w:t>C</w:t>
            </w:r>
            <w:r w:rsidRPr="00347E2F">
              <w:rPr>
                <w:rFonts w:eastAsia="標楷體"/>
                <w:b/>
                <w:color w:val="76923C" w:themeColor="accent3" w:themeShade="BF"/>
                <w:sz w:val="18"/>
                <w:szCs w:val="18"/>
              </w:rPr>
              <w:t xml:space="preserve">laims </w:t>
            </w:r>
            <w:r>
              <w:rPr>
                <w:rFonts w:eastAsia="標楷體" w:hint="eastAsia"/>
                <w:b/>
                <w:color w:val="76923C" w:themeColor="accent3" w:themeShade="BF"/>
                <w:sz w:val="18"/>
                <w:szCs w:val="18"/>
              </w:rPr>
              <w:t>P</w:t>
            </w:r>
            <w:r w:rsidRPr="00347E2F">
              <w:rPr>
                <w:rFonts w:eastAsia="標楷體" w:hint="eastAsia"/>
                <w:b/>
                <w:color w:val="76923C" w:themeColor="accent3" w:themeShade="BF"/>
                <w:sz w:val="18"/>
                <w:szCs w:val="18"/>
              </w:rPr>
              <w:t xml:space="preserve">er </w:t>
            </w:r>
            <w:r>
              <w:rPr>
                <w:rFonts w:eastAsia="標楷體" w:hint="eastAsia"/>
                <w:b/>
                <w:color w:val="76923C" w:themeColor="accent3" w:themeShade="BF"/>
                <w:sz w:val="18"/>
                <w:szCs w:val="18"/>
              </w:rPr>
              <w:t>C</w:t>
            </w:r>
            <w:r w:rsidRPr="00347E2F">
              <w:rPr>
                <w:rFonts w:eastAsia="標楷體" w:hint="eastAsia"/>
                <w:b/>
                <w:color w:val="76923C" w:themeColor="accent3" w:themeShade="BF"/>
                <w:sz w:val="18"/>
                <w:szCs w:val="18"/>
              </w:rPr>
              <w:t>apita</w:t>
            </w:r>
          </w:p>
        </w:tc>
      </w:tr>
      <w:tr w:rsidR="00F65BD4" w:rsidRPr="00947656" w:rsidTr="00A64211">
        <w:trPr>
          <w:trHeight w:val="227"/>
        </w:trPr>
        <w:tc>
          <w:tcPr>
            <w:tcW w:w="428" w:type="dxa"/>
            <w:tcBorders>
              <w:top w:val="thickThinSmallGap" w:sz="12" w:space="0" w:color="C2D69B" w:themeColor="accent3" w:themeTint="99"/>
              <w:left w:val="thickThinSmallGap" w:sz="24" w:space="0" w:color="C2D69B" w:themeColor="accent3" w:themeTint="99"/>
              <w:bottom w:val="thinThickSmallGap" w:sz="24" w:space="0" w:color="C2D69B" w:themeColor="accent3" w:themeTint="99"/>
              <w:right w:val="thickThinSmallGap" w:sz="12" w:space="0" w:color="C2D69B" w:themeColor="accent3" w:themeTint="99"/>
            </w:tcBorders>
          </w:tcPr>
          <w:p w:rsidR="00F65BD4" w:rsidRDefault="00F65BD4" w:rsidP="00F60065">
            <w:pPr>
              <w:widowControl/>
              <w:adjustRightInd/>
              <w:spacing w:line="240" w:lineRule="auto"/>
              <w:jc w:val="center"/>
              <w:textAlignment w:val="auto"/>
              <w:rPr>
                <w:color w:val="000000"/>
                <w:sz w:val="16"/>
                <w:szCs w:val="16"/>
              </w:rPr>
            </w:pPr>
            <w:r>
              <w:rPr>
                <w:rFonts w:hint="eastAsia"/>
                <w:color w:val="000000"/>
                <w:sz w:val="16"/>
                <w:szCs w:val="16"/>
              </w:rPr>
              <w:t>Rank</w:t>
            </w:r>
          </w:p>
        </w:tc>
        <w:tc>
          <w:tcPr>
            <w:tcW w:w="3130" w:type="dxa"/>
            <w:tcBorders>
              <w:top w:val="thickThinSmallGap" w:sz="12" w:space="0" w:color="C2D69B" w:themeColor="accent3" w:themeTint="99"/>
              <w:left w:val="thickThinSmallGap" w:sz="24" w:space="0" w:color="C2D69B" w:themeColor="accent3" w:themeTint="99"/>
              <w:bottom w:val="thinThickSmallGap" w:sz="24" w:space="0" w:color="C2D69B" w:themeColor="accent3" w:themeTint="99"/>
              <w:right w:val="thickThinSmallGap" w:sz="12" w:space="0" w:color="C2D69B" w:themeColor="accent3" w:themeTint="99"/>
            </w:tcBorders>
            <w:shd w:val="clear" w:color="auto" w:fill="auto"/>
            <w:noWrap/>
            <w:tcMar>
              <w:left w:w="85" w:type="dxa"/>
            </w:tcMar>
            <w:vAlign w:val="center"/>
            <w:hideMark/>
          </w:tcPr>
          <w:p w:rsidR="00F65BD4" w:rsidRDefault="00F65BD4" w:rsidP="00F60065">
            <w:pPr>
              <w:widowControl/>
              <w:adjustRightInd/>
              <w:spacing w:line="240" w:lineRule="auto"/>
              <w:jc w:val="center"/>
              <w:textAlignment w:val="auto"/>
              <w:rPr>
                <w:color w:val="000000"/>
                <w:sz w:val="16"/>
                <w:szCs w:val="16"/>
              </w:rPr>
            </w:pPr>
            <w:r>
              <w:rPr>
                <w:rFonts w:hint="eastAsia"/>
                <w:color w:val="000000"/>
                <w:sz w:val="16"/>
                <w:szCs w:val="16"/>
              </w:rPr>
              <w:t>Category of Major Illness/Injury</w:t>
            </w:r>
          </w:p>
        </w:tc>
        <w:tc>
          <w:tcPr>
            <w:tcW w:w="616" w:type="dxa"/>
            <w:tcBorders>
              <w:left w:val="thickThinSmallGap" w:sz="12" w:space="0" w:color="C2D69B" w:themeColor="accent3" w:themeTint="99"/>
              <w:bottom w:val="thinThickSmallGap" w:sz="24" w:space="0" w:color="C2D69B" w:themeColor="accent3" w:themeTint="99"/>
              <w:right w:val="thickThinSmallGap" w:sz="12" w:space="0" w:color="C2D69B" w:themeColor="accent3" w:themeTint="99"/>
            </w:tcBorders>
            <w:shd w:val="clear" w:color="auto" w:fill="auto"/>
            <w:noWrap/>
            <w:tcMar>
              <w:left w:w="0" w:type="dxa"/>
              <w:right w:w="0" w:type="dxa"/>
            </w:tcMar>
            <w:vAlign w:val="center"/>
            <w:hideMark/>
          </w:tcPr>
          <w:p w:rsidR="00F65BD4" w:rsidRPr="00E36A76" w:rsidRDefault="00F65BD4" w:rsidP="00F60065">
            <w:pPr>
              <w:widowControl/>
              <w:adjustRightInd/>
              <w:spacing w:line="200" w:lineRule="exact"/>
              <w:jc w:val="center"/>
              <w:textAlignment w:val="auto"/>
              <w:rPr>
                <w:sz w:val="16"/>
                <w:szCs w:val="16"/>
              </w:rPr>
            </w:pPr>
            <w:r w:rsidRPr="00E36A76">
              <w:rPr>
                <w:rFonts w:eastAsia="標楷體"/>
                <w:sz w:val="16"/>
                <w:szCs w:val="16"/>
              </w:rPr>
              <w:t xml:space="preserve">million </w:t>
            </w:r>
            <w:r w:rsidRPr="00E36A76">
              <w:rPr>
                <w:rFonts w:eastAsia="標楷體" w:hint="eastAsia"/>
                <w:sz w:val="16"/>
                <w:szCs w:val="16"/>
              </w:rPr>
              <w:t>RVU</w:t>
            </w:r>
          </w:p>
        </w:tc>
        <w:tc>
          <w:tcPr>
            <w:tcW w:w="473" w:type="dxa"/>
            <w:tcBorders>
              <w:left w:val="thickThinSmallGap" w:sz="12" w:space="0" w:color="C2D69B" w:themeColor="accent3" w:themeTint="99"/>
              <w:bottom w:val="thinThickSmallGap" w:sz="24" w:space="0" w:color="C2D69B" w:themeColor="accent3" w:themeTint="99"/>
              <w:right w:val="thickThinSmallGap" w:sz="24" w:space="0" w:color="C2D69B" w:themeColor="accent3" w:themeTint="99"/>
            </w:tcBorders>
            <w:shd w:val="clear" w:color="auto" w:fill="auto"/>
            <w:vAlign w:val="center"/>
          </w:tcPr>
          <w:p w:rsidR="00F65BD4" w:rsidRDefault="00F65BD4" w:rsidP="00F60065">
            <w:pPr>
              <w:widowControl/>
              <w:adjustRightInd/>
              <w:spacing w:line="240" w:lineRule="auto"/>
              <w:jc w:val="center"/>
              <w:textAlignment w:val="auto"/>
              <w:rPr>
                <w:color w:val="000000"/>
                <w:sz w:val="16"/>
                <w:szCs w:val="16"/>
              </w:rPr>
            </w:pPr>
            <w:r>
              <w:rPr>
                <w:rFonts w:hint="eastAsia"/>
                <w:color w:val="000000"/>
                <w:sz w:val="16"/>
                <w:szCs w:val="16"/>
              </w:rPr>
              <w:t>%</w:t>
            </w:r>
          </w:p>
        </w:tc>
        <w:tc>
          <w:tcPr>
            <w:tcW w:w="3153" w:type="dxa"/>
            <w:tcBorders>
              <w:left w:val="thickThinSmallGap" w:sz="24" w:space="0" w:color="C2D69B" w:themeColor="accent3" w:themeTint="99"/>
              <w:bottom w:val="thinThickSmallGap" w:sz="24" w:space="0" w:color="C2D69B" w:themeColor="accent3" w:themeTint="99"/>
              <w:right w:val="thickThinSmallGap" w:sz="12" w:space="0" w:color="C2D69B" w:themeColor="accent3" w:themeTint="99"/>
            </w:tcBorders>
            <w:shd w:val="clear" w:color="auto" w:fill="auto"/>
            <w:noWrap/>
            <w:tcMar>
              <w:left w:w="85" w:type="dxa"/>
            </w:tcMar>
            <w:vAlign w:val="center"/>
            <w:hideMark/>
          </w:tcPr>
          <w:p w:rsidR="00F65BD4" w:rsidRDefault="00F65BD4" w:rsidP="00F60065">
            <w:pPr>
              <w:widowControl/>
              <w:adjustRightInd/>
              <w:spacing w:line="240" w:lineRule="auto"/>
              <w:jc w:val="center"/>
              <w:textAlignment w:val="auto"/>
              <w:rPr>
                <w:color w:val="000000"/>
                <w:sz w:val="16"/>
                <w:szCs w:val="16"/>
              </w:rPr>
            </w:pPr>
            <w:r>
              <w:rPr>
                <w:rFonts w:hint="eastAsia"/>
                <w:color w:val="000000"/>
                <w:sz w:val="16"/>
                <w:szCs w:val="16"/>
              </w:rPr>
              <w:t>Category of Major Illness/Injury</w:t>
            </w:r>
          </w:p>
        </w:tc>
        <w:tc>
          <w:tcPr>
            <w:tcW w:w="800" w:type="dxa"/>
            <w:tcBorders>
              <w:left w:val="thickThinSmallGap" w:sz="12" w:space="0" w:color="C2D69B" w:themeColor="accent3" w:themeTint="99"/>
              <w:bottom w:val="thinThickSmallGap" w:sz="24" w:space="0" w:color="C2D69B" w:themeColor="accent3" w:themeTint="99"/>
              <w:right w:val="thickThinSmallGap" w:sz="12" w:space="0" w:color="C2D69B" w:themeColor="accent3" w:themeTint="99"/>
            </w:tcBorders>
            <w:shd w:val="clear" w:color="auto" w:fill="auto"/>
            <w:noWrap/>
            <w:tcMar>
              <w:left w:w="0" w:type="dxa"/>
              <w:right w:w="0" w:type="dxa"/>
            </w:tcMar>
            <w:vAlign w:val="center"/>
            <w:hideMark/>
          </w:tcPr>
          <w:p w:rsidR="00F65BD4" w:rsidRDefault="00F65BD4" w:rsidP="00F60065">
            <w:pPr>
              <w:widowControl/>
              <w:adjustRightInd/>
              <w:spacing w:line="240" w:lineRule="auto"/>
              <w:jc w:val="center"/>
              <w:textAlignment w:val="auto"/>
              <w:rPr>
                <w:sz w:val="16"/>
                <w:szCs w:val="16"/>
              </w:rPr>
            </w:pPr>
            <w:r w:rsidRPr="00E36A76">
              <w:rPr>
                <w:rFonts w:eastAsia="標楷體" w:hint="eastAsia"/>
                <w:sz w:val="16"/>
                <w:szCs w:val="16"/>
              </w:rPr>
              <w:t>RVU</w:t>
            </w:r>
          </w:p>
        </w:tc>
        <w:tc>
          <w:tcPr>
            <w:tcW w:w="809" w:type="dxa"/>
            <w:tcBorders>
              <w:left w:val="thickThinSmallGap" w:sz="12" w:space="0" w:color="C2D69B" w:themeColor="accent3" w:themeTint="99"/>
              <w:bottom w:val="thinThickSmallGap" w:sz="24" w:space="0" w:color="C2D69B" w:themeColor="accent3" w:themeTint="99"/>
              <w:right w:val="thinThickThinSmallGap" w:sz="24" w:space="0" w:color="C2D69B" w:themeColor="accent3" w:themeTint="99"/>
            </w:tcBorders>
            <w:shd w:val="clear" w:color="auto" w:fill="auto"/>
          </w:tcPr>
          <w:p w:rsidR="00F65BD4" w:rsidRDefault="00F65BD4" w:rsidP="00F60065">
            <w:pPr>
              <w:widowControl/>
              <w:adjustRightInd/>
              <w:spacing w:line="240" w:lineRule="auto"/>
              <w:jc w:val="center"/>
              <w:textAlignment w:val="auto"/>
              <w:rPr>
                <w:sz w:val="16"/>
                <w:szCs w:val="16"/>
              </w:rPr>
            </w:pPr>
            <w:r>
              <w:rPr>
                <w:rFonts w:hint="eastAsia"/>
                <w:sz w:val="16"/>
                <w:szCs w:val="16"/>
              </w:rPr>
              <w:t>Multiples</w:t>
            </w:r>
          </w:p>
        </w:tc>
      </w:tr>
      <w:tr w:rsidR="00F65BD4" w:rsidRPr="00947656" w:rsidTr="006852DB">
        <w:trPr>
          <w:trHeight w:val="300"/>
        </w:trPr>
        <w:tc>
          <w:tcPr>
            <w:tcW w:w="428" w:type="dxa"/>
            <w:tcBorders>
              <w:top w:val="thinThickSmallGap" w:sz="24" w:space="0" w:color="C2D69B" w:themeColor="accent3" w:themeTint="99"/>
              <w:left w:val="thickThinSmallGap" w:sz="24" w:space="0" w:color="C2D69B" w:themeColor="accent3" w:themeTint="99"/>
              <w:bottom w:val="nil"/>
              <w:right w:val="double" w:sz="6" w:space="0" w:color="C2D69B" w:themeColor="accent3" w:themeTint="99"/>
            </w:tcBorders>
            <w:shd w:val="clear" w:color="000000" w:fill="EAF1DD" w:themeFill="accent3" w:themeFillTint="33"/>
          </w:tcPr>
          <w:p w:rsidR="00F65BD4" w:rsidRDefault="003F0A90" w:rsidP="00F65BD4">
            <w:pPr>
              <w:widowControl/>
              <w:adjustRightInd/>
              <w:spacing w:line="280" w:lineRule="exact"/>
              <w:jc w:val="center"/>
              <w:textAlignment w:val="auto"/>
              <w:rPr>
                <w:color w:val="000000"/>
                <w:sz w:val="16"/>
                <w:szCs w:val="16"/>
              </w:rPr>
            </w:pPr>
            <w:r>
              <w:rPr>
                <w:rFonts w:hint="eastAsia"/>
                <w:color w:val="000000"/>
                <w:sz w:val="16"/>
                <w:szCs w:val="16"/>
              </w:rPr>
              <w:t>-</w:t>
            </w:r>
          </w:p>
        </w:tc>
        <w:tc>
          <w:tcPr>
            <w:tcW w:w="3130" w:type="dxa"/>
            <w:tcBorders>
              <w:top w:val="thinThickSmallGap" w:sz="24" w:space="0" w:color="C2D69B" w:themeColor="accent3" w:themeTint="99"/>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F65BD4" w:rsidRPr="00B23CDD" w:rsidRDefault="00F65BD4" w:rsidP="0027265B">
            <w:pPr>
              <w:widowControl/>
              <w:adjustRightInd/>
              <w:spacing w:line="280" w:lineRule="exact"/>
              <w:textAlignment w:val="auto"/>
              <w:rPr>
                <w:color w:val="000000"/>
                <w:sz w:val="16"/>
                <w:szCs w:val="16"/>
              </w:rPr>
            </w:pPr>
            <w:r>
              <w:rPr>
                <w:rFonts w:hint="eastAsia"/>
                <w:color w:val="000000"/>
                <w:sz w:val="16"/>
                <w:szCs w:val="16"/>
              </w:rPr>
              <w:t>Total</w:t>
            </w:r>
          </w:p>
        </w:tc>
        <w:tc>
          <w:tcPr>
            <w:tcW w:w="616" w:type="dxa"/>
            <w:tcBorders>
              <w:top w:val="thinThickSmallGap" w:sz="24" w:space="0" w:color="C2D69B" w:themeColor="accent3" w:themeTint="99"/>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57" w:type="dxa"/>
            </w:tcMar>
            <w:vAlign w:val="center"/>
            <w:hideMark/>
          </w:tcPr>
          <w:p w:rsidR="00F65BD4" w:rsidRPr="00947656" w:rsidRDefault="00F65BD4" w:rsidP="0027265B">
            <w:pPr>
              <w:widowControl/>
              <w:adjustRightInd/>
              <w:spacing w:line="280" w:lineRule="exact"/>
              <w:jc w:val="right"/>
              <w:textAlignment w:val="auto"/>
              <w:rPr>
                <w:sz w:val="16"/>
                <w:szCs w:val="16"/>
              </w:rPr>
            </w:pPr>
            <w:r>
              <w:rPr>
                <w:rFonts w:hint="eastAsia"/>
                <w:sz w:val="16"/>
                <w:szCs w:val="16"/>
              </w:rPr>
              <w:t>79,976</w:t>
            </w:r>
          </w:p>
        </w:tc>
        <w:tc>
          <w:tcPr>
            <w:tcW w:w="473" w:type="dxa"/>
            <w:tcBorders>
              <w:top w:val="thinThickSmallGap" w:sz="24" w:space="0" w:color="C2D69B" w:themeColor="accent3" w:themeTint="99"/>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85" w:type="dxa"/>
            </w:tcMar>
            <w:vAlign w:val="center"/>
          </w:tcPr>
          <w:p w:rsidR="00F65BD4" w:rsidRDefault="00F65BD4" w:rsidP="0027265B">
            <w:pPr>
              <w:widowControl/>
              <w:adjustRightInd/>
              <w:spacing w:line="280" w:lineRule="exact"/>
              <w:jc w:val="right"/>
              <w:textAlignment w:val="auto"/>
              <w:rPr>
                <w:color w:val="000000"/>
                <w:sz w:val="16"/>
                <w:szCs w:val="16"/>
              </w:rPr>
            </w:pPr>
            <w:r>
              <w:rPr>
                <w:rFonts w:hint="eastAsia"/>
                <w:color w:val="000000"/>
                <w:sz w:val="16"/>
                <w:szCs w:val="16"/>
              </w:rPr>
              <w:t>100</w:t>
            </w:r>
            <w:r w:rsidR="00AA6B70">
              <w:rPr>
                <w:rFonts w:hint="eastAsia"/>
                <w:color w:val="000000"/>
                <w:sz w:val="16"/>
                <w:szCs w:val="16"/>
              </w:rPr>
              <w:t>.0</w:t>
            </w:r>
          </w:p>
        </w:tc>
        <w:tc>
          <w:tcPr>
            <w:tcW w:w="3153" w:type="dxa"/>
            <w:tcBorders>
              <w:top w:val="thinThickSmallGap" w:sz="24" w:space="0" w:color="C2D69B" w:themeColor="accent3" w:themeTint="99"/>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F65BD4" w:rsidRPr="00347E2F" w:rsidRDefault="00F65BD4" w:rsidP="0027265B">
            <w:pPr>
              <w:widowControl/>
              <w:adjustRightInd/>
              <w:spacing w:line="280" w:lineRule="exact"/>
              <w:textAlignment w:val="auto"/>
              <w:rPr>
                <w:color w:val="000000"/>
                <w:sz w:val="16"/>
                <w:szCs w:val="16"/>
              </w:rPr>
            </w:pPr>
            <w:r>
              <w:rPr>
                <w:rFonts w:hint="eastAsia"/>
                <w:color w:val="000000"/>
                <w:sz w:val="16"/>
                <w:szCs w:val="16"/>
              </w:rPr>
              <w:t>Average RVU per capita</w:t>
            </w:r>
          </w:p>
        </w:tc>
        <w:tc>
          <w:tcPr>
            <w:tcW w:w="800" w:type="dxa"/>
            <w:tcBorders>
              <w:top w:val="thinThickSmallGap" w:sz="24" w:space="0" w:color="C2D69B" w:themeColor="accent3" w:themeTint="99"/>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85" w:type="dxa"/>
            </w:tcMar>
            <w:vAlign w:val="center"/>
            <w:hideMark/>
          </w:tcPr>
          <w:p w:rsidR="00F65BD4" w:rsidRPr="00947656" w:rsidRDefault="00F65BD4" w:rsidP="0027265B">
            <w:pPr>
              <w:widowControl/>
              <w:adjustRightInd/>
              <w:spacing w:line="280" w:lineRule="exact"/>
              <w:jc w:val="right"/>
              <w:textAlignment w:val="auto"/>
              <w:rPr>
                <w:sz w:val="16"/>
                <w:szCs w:val="16"/>
              </w:rPr>
            </w:pPr>
            <w:r>
              <w:rPr>
                <w:rFonts w:hint="eastAsia"/>
                <w:sz w:val="16"/>
                <w:szCs w:val="16"/>
              </w:rPr>
              <w:t>102.282</w:t>
            </w:r>
          </w:p>
        </w:tc>
        <w:tc>
          <w:tcPr>
            <w:tcW w:w="809" w:type="dxa"/>
            <w:tcBorders>
              <w:top w:val="thinThickSmallGap" w:sz="24" w:space="0" w:color="C2D69B" w:themeColor="accent3" w:themeTint="99"/>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284" w:type="dxa"/>
            </w:tcMar>
          </w:tcPr>
          <w:p w:rsidR="00F65BD4" w:rsidRDefault="00F65BD4" w:rsidP="0027265B">
            <w:pPr>
              <w:widowControl/>
              <w:adjustRightInd/>
              <w:spacing w:line="280" w:lineRule="exact"/>
              <w:jc w:val="right"/>
              <w:textAlignment w:val="auto"/>
              <w:rPr>
                <w:sz w:val="16"/>
                <w:szCs w:val="16"/>
              </w:rPr>
            </w:pPr>
            <w:r>
              <w:rPr>
                <w:rFonts w:hint="eastAsia"/>
                <w:sz w:val="16"/>
                <w:szCs w:val="16"/>
              </w:rPr>
              <w:t>1</w:t>
            </w:r>
            <w:r w:rsidR="00FE236C">
              <w:rPr>
                <w:rFonts w:hint="eastAsia"/>
                <w:sz w:val="16"/>
                <w:szCs w:val="16"/>
              </w:rPr>
              <w:t>.0</w:t>
            </w:r>
          </w:p>
        </w:tc>
      </w:tr>
      <w:tr w:rsidR="00F65BD4" w:rsidRPr="00947656" w:rsidTr="006852DB">
        <w:trPr>
          <w:trHeight w:val="340"/>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F65BD4" w:rsidRPr="008E5831" w:rsidRDefault="00F65BD4" w:rsidP="00F65BD4">
            <w:pPr>
              <w:widowControl/>
              <w:adjustRightInd/>
              <w:spacing w:line="280" w:lineRule="exact"/>
              <w:jc w:val="center"/>
              <w:textAlignment w:val="auto"/>
              <w:rPr>
                <w:rFonts w:eastAsia="標楷體"/>
                <w:sz w:val="16"/>
                <w:szCs w:val="16"/>
              </w:rPr>
            </w:pPr>
            <w:r w:rsidRPr="008E5831">
              <w:rPr>
                <w:rFonts w:eastAsia="標楷體"/>
                <w:sz w:val="16"/>
                <w:szCs w:val="16"/>
              </w:rPr>
              <w:t>1</w:t>
            </w:r>
          </w:p>
        </w:tc>
        <w:tc>
          <w:tcPr>
            <w:tcW w:w="313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F65BD4" w:rsidRPr="00B23CDD" w:rsidRDefault="00F65BD4" w:rsidP="00F65BD4">
            <w:pPr>
              <w:widowControl/>
              <w:adjustRightInd/>
              <w:spacing w:line="280" w:lineRule="exact"/>
              <w:textAlignment w:val="auto"/>
              <w:rPr>
                <w:color w:val="000000"/>
                <w:sz w:val="16"/>
                <w:szCs w:val="16"/>
              </w:rPr>
            </w:pPr>
            <w:r w:rsidRPr="00B23CDD">
              <w:rPr>
                <w:color w:val="000000"/>
                <w:sz w:val="16"/>
                <w:szCs w:val="16"/>
              </w:rPr>
              <w:t>End-stage renal disease</w:t>
            </w:r>
            <w:r w:rsidR="00B21770">
              <w:rPr>
                <w:rFonts w:hint="eastAsia"/>
                <w:color w:val="000000"/>
                <w:sz w:val="16"/>
                <w:szCs w:val="16"/>
              </w:rPr>
              <w:t xml:space="preserve"> (Uremia)</w:t>
            </w:r>
          </w:p>
        </w:tc>
        <w:tc>
          <w:tcPr>
            <w:tcW w:w="61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57" w:type="dxa"/>
            </w:tcMar>
            <w:vAlign w:val="center"/>
            <w:hideMark/>
          </w:tcPr>
          <w:p w:rsidR="00F65BD4" w:rsidRPr="00947656" w:rsidRDefault="00F65BD4" w:rsidP="0027265B">
            <w:pPr>
              <w:widowControl/>
              <w:adjustRightInd/>
              <w:spacing w:line="280" w:lineRule="exact"/>
              <w:jc w:val="right"/>
              <w:textAlignment w:val="auto"/>
              <w:rPr>
                <w:sz w:val="16"/>
                <w:szCs w:val="16"/>
              </w:rPr>
            </w:pPr>
            <w:r w:rsidRPr="00947656">
              <w:rPr>
                <w:sz w:val="16"/>
                <w:szCs w:val="16"/>
              </w:rPr>
              <w:t>38,006</w:t>
            </w:r>
          </w:p>
        </w:tc>
        <w:tc>
          <w:tcPr>
            <w:tcW w:w="473"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85" w:type="dxa"/>
            </w:tcMar>
            <w:vAlign w:val="center"/>
          </w:tcPr>
          <w:p w:rsidR="00F65BD4" w:rsidRPr="001201A2" w:rsidRDefault="00A64211" w:rsidP="0027265B">
            <w:pPr>
              <w:widowControl/>
              <w:adjustRightInd/>
              <w:spacing w:line="280" w:lineRule="exact"/>
              <w:jc w:val="right"/>
              <w:textAlignment w:val="auto"/>
              <w:rPr>
                <w:color w:val="000000"/>
                <w:sz w:val="16"/>
                <w:szCs w:val="16"/>
              </w:rPr>
            </w:pPr>
            <w:r>
              <w:rPr>
                <w:rFonts w:hint="eastAsia"/>
                <w:color w:val="000000"/>
                <w:sz w:val="16"/>
                <w:szCs w:val="16"/>
              </w:rPr>
              <w:t>47.5</w:t>
            </w:r>
          </w:p>
        </w:tc>
        <w:tc>
          <w:tcPr>
            <w:tcW w:w="3153"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F65BD4" w:rsidRPr="00347E2F" w:rsidRDefault="00F65BD4" w:rsidP="0027265B">
            <w:pPr>
              <w:widowControl/>
              <w:adjustRightInd/>
              <w:spacing w:line="280" w:lineRule="exact"/>
              <w:textAlignment w:val="auto"/>
              <w:rPr>
                <w:color w:val="000000"/>
                <w:sz w:val="16"/>
                <w:szCs w:val="16"/>
              </w:rPr>
            </w:pPr>
            <w:r w:rsidRPr="00347E2F">
              <w:rPr>
                <w:color w:val="000000"/>
                <w:sz w:val="16"/>
                <w:szCs w:val="16"/>
              </w:rPr>
              <w:t>Congenital coagulation disorder</w:t>
            </w:r>
            <w:r w:rsidR="00CD7809">
              <w:rPr>
                <w:rFonts w:hint="eastAsia"/>
                <w:color w:val="000000"/>
                <w:sz w:val="16"/>
                <w:szCs w:val="16"/>
              </w:rPr>
              <w:t xml:space="preserve"> </w:t>
            </w:r>
            <w:r w:rsidR="00CD7809" w:rsidRPr="00CD7809">
              <w:rPr>
                <w:color w:val="000000"/>
                <w:sz w:val="16"/>
                <w:szCs w:val="16"/>
              </w:rPr>
              <w:t>(Hemophilia)</w:t>
            </w:r>
          </w:p>
        </w:tc>
        <w:tc>
          <w:tcPr>
            <w:tcW w:w="800"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85" w:type="dxa"/>
            </w:tcMar>
            <w:vAlign w:val="center"/>
            <w:hideMark/>
          </w:tcPr>
          <w:p w:rsidR="00F65BD4" w:rsidRPr="00947656" w:rsidRDefault="00F65BD4" w:rsidP="0027265B">
            <w:pPr>
              <w:widowControl/>
              <w:adjustRightInd/>
              <w:spacing w:line="280" w:lineRule="exact"/>
              <w:jc w:val="right"/>
              <w:textAlignment w:val="auto"/>
              <w:rPr>
                <w:sz w:val="16"/>
                <w:szCs w:val="16"/>
              </w:rPr>
            </w:pPr>
            <w:r w:rsidRPr="00947656">
              <w:rPr>
                <w:sz w:val="16"/>
                <w:szCs w:val="16"/>
              </w:rPr>
              <w:t>2,738,071</w:t>
            </w:r>
          </w:p>
        </w:tc>
        <w:tc>
          <w:tcPr>
            <w:tcW w:w="809"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284" w:type="dxa"/>
            </w:tcMar>
          </w:tcPr>
          <w:p w:rsidR="00F65BD4" w:rsidRPr="00257F72" w:rsidRDefault="00F65BD4" w:rsidP="0027265B">
            <w:pPr>
              <w:widowControl/>
              <w:adjustRightInd/>
              <w:spacing w:line="280" w:lineRule="exact"/>
              <w:jc w:val="right"/>
              <w:textAlignment w:val="auto"/>
              <w:rPr>
                <w:sz w:val="16"/>
                <w:szCs w:val="16"/>
              </w:rPr>
            </w:pPr>
            <w:r>
              <w:rPr>
                <w:rFonts w:hint="eastAsia"/>
                <w:sz w:val="16"/>
                <w:szCs w:val="16"/>
              </w:rPr>
              <w:t>26.8</w:t>
            </w:r>
          </w:p>
        </w:tc>
      </w:tr>
      <w:tr w:rsidR="00A64211" w:rsidRPr="00947656" w:rsidTr="006852DB">
        <w:trPr>
          <w:trHeight w:val="340"/>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A64211" w:rsidRPr="008E5831" w:rsidRDefault="00A64211" w:rsidP="00F65BD4">
            <w:pPr>
              <w:widowControl/>
              <w:adjustRightInd/>
              <w:spacing w:line="280" w:lineRule="exact"/>
              <w:jc w:val="center"/>
              <w:textAlignment w:val="auto"/>
              <w:rPr>
                <w:rFonts w:eastAsia="標楷體"/>
                <w:sz w:val="16"/>
                <w:szCs w:val="16"/>
              </w:rPr>
            </w:pPr>
            <w:r w:rsidRPr="008E5831">
              <w:rPr>
                <w:rFonts w:eastAsia="標楷體"/>
                <w:sz w:val="16"/>
                <w:szCs w:val="16"/>
              </w:rPr>
              <w:t>2</w:t>
            </w:r>
          </w:p>
        </w:tc>
        <w:tc>
          <w:tcPr>
            <w:tcW w:w="313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A64211" w:rsidRPr="00B23CDD" w:rsidRDefault="00A64211" w:rsidP="0027265B">
            <w:pPr>
              <w:widowControl/>
              <w:adjustRightInd/>
              <w:spacing w:line="280" w:lineRule="exact"/>
              <w:textAlignment w:val="auto"/>
              <w:rPr>
                <w:color w:val="000000"/>
                <w:sz w:val="16"/>
                <w:szCs w:val="16"/>
              </w:rPr>
            </w:pPr>
            <w:r w:rsidRPr="00B23CDD">
              <w:rPr>
                <w:color w:val="000000"/>
                <w:sz w:val="16"/>
                <w:szCs w:val="16"/>
              </w:rPr>
              <w:t>Cancer</w:t>
            </w:r>
          </w:p>
        </w:tc>
        <w:tc>
          <w:tcPr>
            <w:tcW w:w="61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57" w:type="dxa"/>
            </w:tcMar>
            <w:vAlign w:val="center"/>
            <w:hideMark/>
          </w:tcPr>
          <w:p w:rsidR="00A64211" w:rsidRPr="00947656" w:rsidRDefault="00A64211" w:rsidP="0027265B">
            <w:pPr>
              <w:widowControl/>
              <w:adjustRightInd/>
              <w:spacing w:line="280" w:lineRule="exact"/>
              <w:jc w:val="right"/>
              <w:textAlignment w:val="auto"/>
              <w:rPr>
                <w:sz w:val="16"/>
                <w:szCs w:val="16"/>
              </w:rPr>
            </w:pPr>
            <w:r w:rsidRPr="00947656">
              <w:rPr>
                <w:sz w:val="16"/>
                <w:szCs w:val="16"/>
              </w:rPr>
              <w:t>24,840</w:t>
            </w:r>
          </w:p>
        </w:tc>
        <w:tc>
          <w:tcPr>
            <w:tcW w:w="473"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85" w:type="dxa"/>
            </w:tcMar>
            <w:vAlign w:val="center"/>
          </w:tcPr>
          <w:p w:rsidR="00A64211" w:rsidRPr="001201A2" w:rsidRDefault="00A64211" w:rsidP="00A64211">
            <w:pPr>
              <w:widowControl/>
              <w:adjustRightInd/>
              <w:spacing w:line="280" w:lineRule="exact"/>
              <w:jc w:val="right"/>
              <w:textAlignment w:val="auto"/>
              <w:rPr>
                <w:color w:val="000000"/>
                <w:sz w:val="16"/>
                <w:szCs w:val="16"/>
              </w:rPr>
            </w:pPr>
            <w:r w:rsidRPr="001201A2">
              <w:rPr>
                <w:color w:val="000000"/>
                <w:sz w:val="16"/>
                <w:szCs w:val="16"/>
              </w:rPr>
              <w:t>31.1</w:t>
            </w:r>
          </w:p>
        </w:tc>
        <w:tc>
          <w:tcPr>
            <w:tcW w:w="3153"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A64211" w:rsidRPr="00347E2F" w:rsidRDefault="00A64211" w:rsidP="0027265B">
            <w:pPr>
              <w:widowControl/>
              <w:adjustRightInd/>
              <w:spacing w:line="280" w:lineRule="exact"/>
              <w:textAlignment w:val="auto"/>
              <w:rPr>
                <w:color w:val="000000"/>
                <w:sz w:val="16"/>
                <w:szCs w:val="16"/>
              </w:rPr>
            </w:pPr>
            <w:r w:rsidRPr="00347E2F">
              <w:rPr>
                <w:color w:val="000000"/>
                <w:sz w:val="16"/>
                <w:szCs w:val="16"/>
              </w:rPr>
              <w:t>End- stage renal disease</w:t>
            </w:r>
            <w:r>
              <w:rPr>
                <w:rFonts w:hint="eastAsia"/>
                <w:color w:val="000000"/>
                <w:sz w:val="16"/>
                <w:szCs w:val="16"/>
              </w:rPr>
              <w:t xml:space="preserve"> (Uremia)</w:t>
            </w:r>
          </w:p>
        </w:tc>
        <w:tc>
          <w:tcPr>
            <w:tcW w:w="800"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85" w:type="dxa"/>
            </w:tcMar>
            <w:vAlign w:val="center"/>
            <w:hideMark/>
          </w:tcPr>
          <w:p w:rsidR="00A64211" w:rsidRPr="00947656" w:rsidRDefault="00A64211" w:rsidP="0027265B">
            <w:pPr>
              <w:widowControl/>
              <w:adjustRightInd/>
              <w:spacing w:line="280" w:lineRule="exact"/>
              <w:jc w:val="right"/>
              <w:textAlignment w:val="auto"/>
              <w:rPr>
                <w:sz w:val="16"/>
                <w:szCs w:val="16"/>
              </w:rPr>
            </w:pPr>
            <w:r w:rsidRPr="00947656">
              <w:rPr>
                <w:sz w:val="16"/>
                <w:szCs w:val="16"/>
              </w:rPr>
              <w:t>534,236</w:t>
            </w:r>
          </w:p>
        </w:tc>
        <w:tc>
          <w:tcPr>
            <w:tcW w:w="809"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284" w:type="dxa"/>
            </w:tcMar>
          </w:tcPr>
          <w:p w:rsidR="00A64211" w:rsidRPr="00257F72" w:rsidRDefault="00A64211" w:rsidP="0027265B">
            <w:pPr>
              <w:widowControl/>
              <w:adjustRightInd/>
              <w:spacing w:line="280" w:lineRule="exact"/>
              <w:jc w:val="right"/>
              <w:textAlignment w:val="auto"/>
              <w:rPr>
                <w:sz w:val="16"/>
                <w:szCs w:val="16"/>
              </w:rPr>
            </w:pPr>
            <w:r>
              <w:rPr>
                <w:rFonts w:hint="eastAsia"/>
                <w:sz w:val="16"/>
                <w:szCs w:val="16"/>
              </w:rPr>
              <w:t>5.2</w:t>
            </w:r>
            <w:r w:rsidRPr="00257F72">
              <w:rPr>
                <w:sz w:val="16"/>
                <w:szCs w:val="16"/>
              </w:rPr>
              <w:t xml:space="preserve"> </w:t>
            </w:r>
          </w:p>
        </w:tc>
      </w:tr>
      <w:tr w:rsidR="00A64211" w:rsidRPr="00947656" w:rsidTr="006852DB">
        <w:trPr>
          <w:trHeight w:val="340"/>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A64211" w:rsidRPr="008E5831" w:rsidRDefault="00A64211" w:rsidP="00F65BD4">
            <w:pPr>
              <w:widowControl/>
              <w:adjustRightInd/>
              <w:spacing w:line="280" w:lineRule="exact"/>
              <w:jc w:val="center"/>
              <w:textAlignment w:val="auto"/>
              <w:rPr>
                <w:rFonts w:eastAsia="標楷體"/>
                <w:sz w:val="16"/>
                <w:szCs w:val="16"/>
              </w:rPr>
            </w:pPr>
            <w:r w:rsidRPr="008E5831">
              <w:rPr>
                <w:rFonts w:eastAsia="標楷體"/>
                <w:sz w:val="16"/>
                <w:szCs w:val="16"/>
              </w:rPr>
              <w:t>3</w:t>
            </w:r>
          </w:p>
        </w:tc>
        <w:tc>
          <w:tcPr>
            <w:tcW w:w="313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A64211" w:rsidRPr="00B23CDD" w:rsidRDefault="00A64211" w:rsidP="00AB0CEF">
            <w:pPr>
              <w:widowControl/>
              <w:adjustRightInd/>
              <w:spacing w:line="280" w:lineRule="exact"/>
              <w:textAlignment w:val="auto"/>
              <w:rPr>
                <w:color w:val="000000"/>
                <w:sz w:val="16"/>
                <w:szCs w:val="16"/>
              </w:rPr>
            </w:pPr>
            <w:r w:rsidRPr="00B23CDD">
              <w:rPr>
                <w:color w:val="000000"/>
                <w:sz w:val="16"/>
                <w:szCs w:val="16"/>
              </w:rPr>
              <w:t>Chronic psych</w:t>
            </w:r>
            <w:r>
              <w:rPr>
                <w:rFonts w:hint="eastAsia"/>
                <w:color w:val="000000"/>
                <w:sz w:val="16"/>
                <w:szCs w:val="16"/>
              </w:rPr>
              <w:t>ia</w:t>
            </w:r>
            <w:r w:rsidRPr="00B23CDD">
              <w:rPr>
                <w:color w:val="000000"/>
                <w:sz w:val="16"/>
                <w:szCs w:val="16"/>
              </w:rPr>
              <w:t>t</w:t>
            </w:r>
            <w:r>
              <w:rPr>
                <w:rFonts w:hint="eastAsia"/>
                <w:color w:val="000000"/>
                <w:sz w:val="16"/>
                <w:szCs w:val="16"/>
              </w:rPr>
              <w:t>r</w:t>
            </w:r>
            <w:r w:rsidRPr="00B23CDD">
              <w:rPr>
                <w:color w:val="000000"/>
                <w:sz w:val="16"/>
                <w:szCs w:val="16"/>
              </w:rPr>
              <w:t>ic disorder</w:t>
            </w:r>
          </w:p>
        </w:tc>
        <w:tc>
          <w:tcPr>
            <w:tcW w:w="61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57" w:type="dxa"/>
            </w:tcMar>
            <w:vAlign w:val="center"/>
            <w:hideMark/>
          </w:tcPr>
          <w:p w:rsidR="00A64211" w:rsidRPr="00947656" w:rsidRDefault="00A64211" w:rsidP="0027265B">
            <w:pPr>
              <w:widowControl/>
              <w:adjustRightInd/>
              <w:spacing w:line="280" w:lineRule="exact"/>
              <w:jc w:val="right"/>
              <w:textAlignment w:val="auto"/>
              <w:rPr>
                <w:sz w:val="16"/>
                <w:szCs w:val="16"/>
              </w:rPr>
            </w:pPr>
            <w:r w:rsidRPr="00947656">
              <w:rPr>
                <w:sz w:val="16"/>
                <w:szCs w:val="16"/>
              </w:rPr>
              <w:t>4,868</w:t>
            </w:r>
          </w:p>
        </w:tc>
        <w:tc>
          <w:tcPr>
            <w:tcW w:w="473"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85" w:type="dxa"/>
            </w:tcMar>
            <w:vAlign w:val="center"/>
          </w:tcPr>
          <w:p w:rsidR="00A64211" w:rsidRPr="001201A2" w:rsidRDefault="00A64211" w:rsidP="00A64211">
            <w:pPr>
              <w:widowControl/>
              <w:adjustRightInd/>
              <w:spacing w:line="280" w:lineRule="exact"/>
              <w:jc w:val="right"/>
              <w:textAlignment w:val="auto"/>
              <w:rPr>
                <w:color w:val="000000"/>
                <w:sz w:val="16"/>
                <w:szCs w:val="16"/>
              </w:rPr>
            </w:pPr>
            <w:r w:rsidRPr="001201A2">
              <w:rPr>
                <w:color w:val="000000"/>
                <w:sz w:val="16"/>
                <w:szCs w:val="16"/>
              </w:rPr>
              <w:t>6.1</w:t>
            </w:r>
          </w:p>
        </w:tc>
        <w:tc>
          <w:tcPr>
            <w:tcW w:w="3153"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A64211" w:rsidRPr="00347E2F" w:rsidRDefault="00A64211" w:rsidP="0027265B">
            <w:pPr>
              <w:widowControl/>
              <w:adjustRightInd/>
              <w:spacing w:line="280" w:lineRule="exact"/>
              <w:textAlignment w:val="auto"/>
              <w:rPr>
                <w:color w:val="000000"/>
                <w:sz w:val="16"/>
                <w:szCs w:val="16"/>
              </w:rPr>
            </w:pPr>
            <w:r w:rsidRPr="00347E2F">
              <w:rPr>
                <w:color w:val="000000"/>
                <w:sz w:val="16"/>
                <w:szCs w:val="16"/>
              </w:rPr>
              <w:t>Organ transplants</w:t>
            </w:r>
          </w:p>
        </w:tc>
        <w:tc>
          <w:tcPr>
            <w:tcW w:w="800"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85" w:type="dxa"/>
            </w:tcMar>
            <w:vAlign w:val="center"/>
            <w:hideMark/>
          </w:tcPr>
          <w:p w:rsidR="00A64211" w:rsidRPr="00947656" w:rsidRDefault="00A64211" w:rsidP="0027265B">
            <w:pPr>
              <w:widowControl/>
              <w:adjustRightInd/>
              <w:spacing w:line="280" w:lineRule="exact"/>
              <w:jc w:val="right"/>
              <w:textAlignment w:val="auto"/>
              <w:rPr>
                <w:sz w:val="16"/>
                <w:szCs w:val="16"/>
              </w:rPr>
            </w:pPr>
            <w:r w:rsidRPr="00947656">
              <w:rPr>
                <w:sz w:val="16"/>
                <w:szCs w:val="16"/>
              </w:rPr>
              <w:t>210,029</w:t>
            </w:r>
          </w:p>
        </w:tc>
        <w:tc>
          <w:tcPr>
            <w:tcW w:w="809"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284" w:type="dxa"/>
            </w:tcMar>
          </w:tcPr>
          <w:p w:rsidR="00A64211" w:rsidRPr="00257F72" w:rsidRDefault="00A64211" w:rsidP="0027265B">
            <w:pPr>
              <w:widowControl/>
              <w:adjustRightInd/>
              <w:spacing w:line="280" w:lineRule="exact"/>
              <w:jc w:val="right"/>
              <w:textAlignment w:val="auto"/>
              <w:rPr>
                <w:sz w:val="16"/>
                <w:szCs w:val="16"/>
              </w:rPr>
            </w:pPr>
            <w:r>
              <w:rPr>
                <w:rFonts w:hint="eastAsia"/>
                <w:sz w:val="16"/>
                <w:szCs w:val="16"/>
              </w:rPr>
              <w:t>2.1</w:t>
            </w:r>
            <w:r w:rsidRPr="00257F72">
              <w:rPr>
                <w:sz w:val="16"/>
                <w:szCs w:val="16"/>
              </w:rPr>
              <w:t xml:space="preserve"> </w:t>
            </w:r>
          </w:p>
        </w:tc>
      </w:tr>
      <w:tr w:rsidR="00A64211" w:rsidRPr="00947656" w:rsidTr="006852DB">
        <w:trPr>
          <w:trHeight w:val="340"/>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A64211" w:rsidRPr="008E5831" w:rsidRDefault="00A64211" w:rsidP="00F65BD4">
            <w:pPr>
              <w:widowControl/>
              <w:adjustRightInd/>
              <w:spacing w:line="280" w:lineRule="exact"/>
              <w:jc w:val="center"/>
              <w:textAlignment w:val="auto"/>
              <w:rPr>
                <w:rFonts w:eastAsia="標楷體"/>
                <w:sz w:val="16"/>
                <w:szCs w:val="16"/>
              </w:rPr>
            </w:pPr>
            <w:r w:rsidRPr="008E5831">
              <w:rPr>
                <w:rFonts w:eastAsia="標楷體"/>
                <w:sz w:val="16"/>
                <w:szCs w:val="16"/>
              </w:rPr>
              <w:t>4</w:t>
            </w:r>
          </w:p>
        </w:tc>
        <w:tc>
          <w:tcPr>
            <w:tcW w:w="313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A64211" w:rsidRPr="00B23CDD" w:rsidRDefault="00A64211" w:rsidP="0027265B">
            <w:pPr>
              <w:widowControl/>
              <w:adjustRightInd/>
              <w:spacing w:line="280" w:lineRule="exact"/>
              <w:textAlignment w:val="auto"/>
              <w:rPr>
                <w:color w:val="000000"/>
                <w:sz w:val="16"/>
                <w:szCs w:val="16"/>
              </w:rPr>
            </w:pPr>
            <w:r w:rsidRPr="00B23CDD">
              <w:rPr>
                <w:color w:val="000000"/>
                <w:sz w:val="16"/>
                <w:szCs w:val="16"/>
              </w:rPr>
              <w:t xml:space="preserve">Generalized </w:t>
            </w:r>
            <w:r w:rsidRPr="00B23CDD">
              <w:rPr>
                <w:rFonts w:hint="eastAsia"/>
                <w:color w:val="000000"/>
                <w:sz w:val="16"/>
                <w:szCs w:val="16"/>
              </w:rPr>
              <w:t>a</w:t>
            </w:r>
            <w:r w:rsidRPr="00B23CDD">
              <w:rPr>
                <w:color w:val="000000"/>
                <w:sz w:val="16"/>
                <w:szCs w:val="16"/>
              </w:rPr>
              <w:t xml:space="preserve">utoimmune </w:t>
            </w:r>
            <w:r w:rsidRPr="00B23CDD">
              <w:rPr>
                <w:rFonts w:hint="eastAsia"/>
                <w:color w:val="000000"/>
                <w:sz w:val="16"/>
                <w:szCs w:val="16"/>
              </w:rPr>
              <w:t>s</w:t>
            </w:r>
            <w:r w:rsidRPr="00B23CDD">
              <w:rPr>
                <w:color w:val="000000"/>
                <w:sz w:val="16"/>
                <w:szCs w:val="16"/>
              </w:rPr>
              <w:t>yndrome</w:t>
            </w:r>
          </w:p>
        </w:tc>
        <w:tc>
          <w:tcPr>
            <w:tcW w:w="61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57" w:type="dxa"/>
            </w:tcMar>
            <w:vAlign w:val="center"/>
            <w:hideMark/>
          </w:tcPr>
          <w:p w:rsidR="00A64211" w:rsidRPr="00947656" w:rsidRDefault="00A64211" w:rsidP="0027265B">
            <w:pPr>
              <w:widowControl/>
              <w:adjustRightInd/>
              <w:spacing w:line="280" w:lineRule="exact"/>
              <w:jc w:val="right"/>
              <w:textAlignment w:val="auto"/>
              <w:rPr>
                <w:sz w:val="16"/>
                <w:szCs w:val="16"/>
              </w:rPr>
            </w:pPr>
            <w:r w:rsidRPr="00947656">
              <w:rPr>
                <w:sz w:val="16"/>
                <w:szCs w:val="16"/>
              </w:rPr>
              <w:t>2,985</w:t>
            </w:r>
          </w:p>
        </w:tc>
        <w:tc>
          <w:tcPr>
            <w:tcW w:w="473"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85" w:type="dxa"/>
            </w:tcMar>
            <w:vAlign w:val="center"/>
          </w:tcPr>
          <w:p w:rsidR="00A64211" w:rsidRPr="001201A2" w:rsidRDefault="00A64211" w:rsidP="00A64211">
            <w:pPr>
              <w:widowControl/>
              <w:adjustRightInd/>
              <w:spacing w:line="280" w:lineRule="exact"/>
              <w:jc w:val="right"/>
              <w:textAlignment w:val="auto"/>
              <w:rPr>
                <w:color w:val="000000"/>
                <w:sz w:val="16"/>
                <w:szCs w:val="16"/>
              </w:rPr>
            </w:pPr>
            <w:r w:rsidRPr="001201A2">
              <w:rPr>
                <w:color w:val="000000"/>
                <w:sz w:val="16"/>
                <w:szCs w:val="16"/>
              </w:rPr>
              <w:t>3.7</w:t>
            </w:r>
          </w:p>
        </w:tc>
        <w:tc>
          <w:tcPr>
            <w:tcW w:w="3153"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A64211" w:rsidRPr="00347E2F" w:rsidRDefault="00A64211" w:rsidP="0027265B">
            <w:pPr>
              <w:widowControl/>
              <w:adjustRightInd/>
              <w:spacing w:line="280" w:lineRule="exact"/>
              <w:textAlignment w:val="auto"/>
              <w:rPr>
                <w:rFonts w:eastAsia="標楷體"/>
                <w:sz w:val="16"/>
                <w:szCs w:val="16"/>
              </w:rPr>
            </w:pPr>
            <w:r w:rsidRPr="00347E2F">
              <w:rPr>
                <w:rFonts w:hint="eastAsia"/>
                <w:color w:val="000000"/>
                <w:sz w:val="16"/>
                <w:szCs w:val="16"/>
              </w:rPr>
              <w:t>Severe h</w:t>
            </w:r>
            <w:r w:rsidRPr="00347E2F">
              <w:rPr>
                <w:color w:val="000000"/>
                <w:sz w:val="16"/>
                <w:szCs w:val="16"/>
              </w:rPr>
              <w:t xml:space="preserve">emolytic </w:t>
            </w:r>
            <w:r w:rsidRPr="00347E2F">
              <w:rPr>
                <w:rFonts w:hint="eastAsia"/>
                <w:color w:val="000000"/>
                <w:sz w:val="16"/>
                <w:szCs w:val="16"/>
              </w:rPr>
              <w:t xml:space="preserve">and </w:t>
            </w:r>
            <w:proofErr w:type="spellStart"/>
            <w:r w:rsidRPr="00347E2F">
              <w:rPr>
                <w:rFonts w:hint="eastAsia"/>
                <w:color w:val="000000"/>
                <w:sz w:val="16"/>
                <w:szCs w:val="16"/>
              </w:rPr>
              <w:t>hypoplastic</w:t>
            </w:r>
            <w:proofErr w:type="spellEnd"/>
            <w:r w:rsidRPr="00347E2F">
              <w:rPr>
                <w:rFonts w:hint="eastAsia"/>
                <w:color w:val="000000"/>
                <w:sz w:val="16"/>
                <w:szCs w:val="16"/>
              </w:rPr>
              <w:t xml:space="preserve"> anemia</w:t>
            </w:r>
          </w:p>
        </w:tc>
        <w:tc>
          <w:tcPr>
            <w:tcW w:w="800"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85" w:type="dxa"/>
            </w:tcMar>
            <w:vAlign w:val="center"/>
            <w:hideMark/>
          </w:tcPr>
          <w:p w:rsidR="00A64211" w:rsidRPr="00947656" w:rsidRDefault="00A64211" w:rsidP="0027265B">
            <w:pPr>
              <w:widowControl/>
              <w:adjustRightInd/>
              <w:spacing w:line="280" w:lineRule="exact"/>
              <w:jc w:val="right"/>
              <w:textAlignment w:val="auto"/>
              <w:rPr>
                <w:sz w:val="16"/>
                <w:szCs w:val="16"/>
              </w:rPr>
            </w:pPr>
            <w:r w:rsidRPr="00947656">
              <w:rPr>
                <w:sz w:val="16"/>
                <w:szCs w:val="16"/>
              </w:rPr>
              <w:t>191,038</w:t>
            </w:r>
          </w:p>
        </w:tc>
        <w:tc>
          <w:tcPr>
            <w:tcW w:w="809"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284" w:type="dxa"/>
            </w:tcMar>
          </w:tcPr>
          <w:p w:rsidR="00A64211" w:rsidRPr="00257F72" w:rsidRDefault="00A64211" w:rsidP="0027265B">
            <w:pPr>
              <w:widowControl/>
              <w:adjustRightInd/>
              <w:spacing w:line="280" w:lineRule="exact"/>
              <w:jc w:val="right"/>
              <w:textAlignment w:val="auto"/>
              <w:rPr>
                <w:sz w:val="16"/>
                <w:szCs w:val="16"/>
              </w:rPr>
            </w:pPr>
            <w:r>
              <w:rPr>
                <w:rFonts w:hint="eastAsia"/>
                <w:sz w:val="16"/>
                <w:szCs w:val="16"/>
              </w:rPr>
              <w:t>1.9</w:t>
            </w:r>
            <w:r w:rsidRPr="00257F72">
              <w:rPr>
                <w:sz w:val="16"/>
                <w:szCs w:val="16"/>
              </w:rPr>
              <w:t xml:space="preserve"> </w:t>
            </w:r>
          </w:p>
        </w:tc>
      </w:tr>
      <w:tr w:rsidR="00A64211" w:rsidRPr="00947656" w:rsidTr="006852DB">
        <w:trPr>
          <w:trHeight w:val="340"/>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A64211" w:rsidRPr="008E5831" w:rsidRDefault="00A64211" w:rsidP="00F65BD4">
            <w:pPr>
              <w:widowControl/>
              <w:adjustRightInd/>
              <w:spacing w:line="280" w:lineRule="exact"/>
              <w:jc w:val="center"/>
              <w:textAlignment w:val="auto"/>
              <w:rPr>
                <w:rFonts w:eastAsia="標楷體"/>
                <w:sz w:val="16"/>
                <w:szCs w:val="16"/>
              </w:rPr>
            </w:pPr>
            <w:r w:rsidRPr="008E5831">
              <w:rPr>
                <w:rFonts w:eastAsia="標楷體"/>
                <w:sz w:val="16"/>
                <w:szCs w:val="16"/>
              </w:rPr>
              <w:t>5</w:t>
            </w:r>
          </w:p>
        </w:tc>
        <w:tc>
          <w:tcPr>
            <w:tcW w:w="313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A64211" w:rsidRPr="00B23CDD" w:rsidRDefault="00A64211" w:rsidP="0027265B">
            <w:pPr>
              <w:widowControl/>
              <w:adjustRightInd/>
              <w:spacing w:line="280" w:lineRule="exact"/>
              <w:textAlignment w:val="auto"/>
              <w:rPr>
                <w:color w:val="000000"/>
                <w:sz w:val="16"/>
                <w:szCs w:val="16"/>
              </w:rPr>
            </w:pPr>
            <w:r w:rsidRPr="00347E2F">
              <w:rPr>
                <w:color w:val="000000"/>
                <w:sz w:val="16"/>
                <w:szCs w:val="16"/>
              </w:rPr>
              <w:t>Congenital coagulation disorder</w:t>
            </w:r>
            <w:r>
              <w:rPr>
                <w:rFonts w:hint="eastAsia"/>
                <w:color w:val="000000"/>
                <w:sz w:val="16"/>
                <w:szCs w:val="16"/>
              </w:rPr>
              <w:t xml:space="preserve"> </w:t>
            </w:r>
            <w:r w:rsidRPr="00CD7809">
              <w:rPr>
                <w:color w:val="000000"/>
                <w:sz w:val="16"/>
                <w:szCs w:val="16"/>
              </w:rPr>
              <w:t>(Hemophilia)</w:t>
            </w:r>
          </w:p>
        </w:tc>
        <w:tc>
          <w:tcPr>
            <w:tcW w:w="61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57" w:type="dxa"/>
            </w:tcMar>
            <w:vAlign w:val="center"/>
            <w:hideMark/>
          </w:tcPr>
          <w:p w:rsidR="00A64211" w:rsidRPr="00947656" w:rsidRDefault="00A64211" w:rsidP="0027265B">
            <w:pPr>
              <w:widowControl/>
              <w:adjustRightInd/>
              <w:spacing w:line="280" w:lineRule="exact"/>
              <w:jc w:val="right"/>
              <w:textAlignment w:val="auto"/>
              <w:rPr>
                <w:sz w:val="16"/>
                <w:szCs w:val="16"/>
              </w:rPr>
            </w:pPr>
            <w:r w:rsidRPr="00947656">
              <w:rPr>
                <w:sz w:val="16"/>
                <w:szCs w:val="16"/>
              </w:rPr>
              <w:t>2,653</w:t>
            </w:r>
          </w:p>
        </w:tc>
        <w:tc>
          <w:tcPr>
            <w:tcW w:w="473"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85" w:type="dxa"/>
            </w:tcMar>
            <w:vAlign w:val="center"/>
          </w:tcPr>
          <w:p w:rsidR="00A64211" w:rsidRPr="001201A2" w:rsidRDefault="00A64211" w:rsidP="00A64211">
            <w:pPr>
              <w:widowControl/>
              <w:adjustRightInd/>
              <w:spacing w:line="280" w:lineRule="exact"/>
              <w:jc w:val="right"/>
              <w:textAlignment w:val="auto"/>
              <w:rPr>
                <w:color w:val="000000"/>
                <w:sz w:val="16"/>
                <w:szCs w:val="16"/>
              </w:rPr>
            </w:pPr>
            <w:r w:rsidRPr="001201A2">
              <w:rPr>
                <w:color w:val="000000"/>
                <w:sz w:val="16"/>
                <w:szCs w:val="16"/>
              </w:rPr>
              <w:t>3.3</w:t>
            </w:r>
          </w:p>
        </w:tc>
        <w:tc>
          <w:tcPr>
            <w:tcW w:w="3153"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A64211" w:rsidRPr="00947656" w:rsidRDefault="00A64211" w:rsidP="0027265B">
            <w:pPr>
              <w:widowControl/>
              <w:adjustRightInd/>
              <w:spacing w:line="280" w:lineRule="exact"/>
              <w:textAlignment w:val="auto"/>
              <w:rPr>
                <w:rFonts w:eastAsia="標楷體"/>
                <w:sz w:val="16"/>
                <w:szCs w:val="16"/>
              </w:rPr>
            </w:pPr>
            <w:r w:rsidRPr="00400B5E">
              <w:rPr>
                <w:color w:val="000000"/>
                <w:sz w:val="16"/>
                <w:szCs w:val="16"/>
              </w:rPr>
              <w:t>Multiple</w:t>
            </w:r>
            <w:r w:rsidRPr="00347E2F">
              <w:rPr>
                <w:rFonts w:eastAsia="標楷體"/>
                <w:sz w:val="16"/>
                <w:szCs w:val="16"/>
              </w:rPr>
              <w:t xml:space="preserve"> </w:t>
            </w:r>
            <w:r w:rsidRPr="00347E2F">
              <w:rPr>
                <w:rFonts w:eastAsia="標楷體" w:hint="eastAsia"/>
                <w:sz w:val="16"/>
                <w:szCs w:val="16"/>
              </w:rPr>
              <w:t>sclerosis</w:t>
            </w:r>
          </w:p>
        </w:tc>
        <w:tc>
          <w:tcPr>
            <w:tcW w:w="800"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85" w:type="dxa"/>
            </w:tcMar>
            <w:vAlign w:val="center"/>
            <w:hideMark/>
          </w:tcPr>
          <w:p w:rsidR="00A64211" w:rsidRPr="00947656" w:rsidRDefault="00A64211" w:rsidP="0027265B">
            <w:pPr>
              <w:widowControl/>
              <w:adjustRightInd/>
              <w:spacing w:line="280" w:lineRule="exact"/>
              <w:jc w:val="right"/>
              <w:textAlignment w:val="auto"/>
              <w:rPr>
                <w:sz w:val="16"/>
                <w:szCs w:val="16"/>
              </w:rPr>
            </w:pPr>
            <w:r w:rsidRPr="00947656">
              <w:rPr>
                <w:sz w:val="16"/>
                <w:szCs w:val="16"/>
              </w:rPr>
              <w:t>174,218</w:t>
            </w:r>
          </w:p>
        </w:tc>
        <w:tc>
          <w:tcPr>
            <w:tcW w:w="809"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284" w:type="dxa"/>
            </w:tcMar>
          </w:tcPr>
          <w:p w:rsidR="00A64211" w:rsidRPr="00257F72" w:rsidRDefault="00A64211" w:rsidP="0027265B">
            <w:pPr>
              <w:widowControl/>
              <w:adjustRightInd/>
              <w:spacing w:line="280" w:lineRule="exact"/>
              <w:jc w:val="right"/>
              <w:textAlignment w:val="auto"/>
              <w:rPr>
                <w:sz w:val="16"/>
                <w:szCs w:val="16"/>
              </w:rPr>
            </w:pPr>
            <w:r>
              <w:rPr>
                <w:rFonts w:hint="eastAsia"/>
                <w:sz w:val="16"/>
                <w:szCs w:val="16"/>
              </w:rPr>
              <w:t>1.7</w:t>
            </w:r>
            <w:r w:rsidRPr="00257F72">
              <w:rPr>
                <w:sz w:val="16"/>
                <w:szCs w:val="16"/>
              </w:rPr>
              <w:t xml:space="preserve"> </w:t>
            </w:r>
          </w:p>
        </w:tc>
      </w:tr>
      <w:tr w:rsidR="00A64211" w:rsidRPr="00947656" w:rsidTr="006852DB">
        <w:trPr>
          <w:trHeight w:val="340"/>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A64211" w:rsidRPr="008E5831" w:rsidRDefault="00A64211" w:rsidP="00F65BD4">
            <w:pPr>
              <w:widowControl/>
              <w:adjustRightInd/>
              <w:spacing w:line="280" w:lineRule="exact"/>
              <w:jc w:val="center"/>
              <w:textAlignment w:val="auto"/>
              <w:rPr>
                <w:rFonts w:eastAsia="標楷體"/>
                <w:sz w:val="16"/>
                <w:szCs w:val="16"/>
              </w:rPr>
            </w:pPr>
            <w:r w:rsidRPr="008E5831">
              <w:rPr>
                <w:rFonts w:eastAsia="標楷體"/>
                <w:sz w:val="16"/>
                <w:szCs w:val="16"/>
              </w:rPr>
              <w:t>6</w:t>
            </w:r>
          </w:p>
        </w:tc>
        <w:tc>
          <w:tcPr>
            <w:tcW w:w="313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A64211" w:rsidRPr="00B23CDD" w:rsidRDefault="00A64211" w:rsidP="0027265B">
            <w:pPr>
              <w:widowControl/>
              <w:adjustRightInd/>
              <w:spacing w:line="280" w:lineRule="exact"/>
              <w:textAlignment w:val="auto"/>
              <w:rPr>
                <w:color w:val="000000"/>
                <w:sz w:val="16"/>
                <w:szCs w:val="16"/>
              </w:rPr>
            </w:pPr>
            <w:r w:rsidRPr="00B23CDD">
              <w:rPr>
                <w:color w:val="000000"/>
                <w:sz w:val="16"/>
                <w:szCs w:val="16"/>
              </w:rPr>
              <w:t>Organ transplant</w:t>
            </w:r>
            <w:r w:rsidRPr="00B23CDD">
              <w:rPr>
                <w:rFonts w:hint="eastAsia"/>
                <w:color w:val="000000"/>
                <w:sz w:val="16"/>
                <w:szCs w:val="16"/>
              </w:rPr>
              <w:t>s</w:t>
            </w:r>
          </w:p>
        </w:tc>
        <w:tc>
          <w:tcPr>
            <w:tcW w:w="61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57" w:type="dxa"/>
            </w:tcMar>
            <w:vAlign w:val="center"/>
            <w:hideMark/>
          </w:tcPr>
          <w:p w:rsidR="00A64211" w:rsidRPr="00947656" w:rsidRDefault="00A64211" w:rsidP="0027265B">
            <w:pPr>
              <w:widowControl/>
              <w:adjustRightInd/>
              <w:spacing w:line="280" w:lineRule="exact"/>
              <w:jc w:val="right"/>
              <w:textAlignment w:val="auto"/>
              <w:rPr>
                <w:sz w:val="16"/>
                <w:szCs w:val="16"/>
              </w:rPr>
            </w:pPr>
            <w:r w:rsidRPr="00947656">
              <w:rPr>
                <w:sz w:val="16"/>
                <w:szCs w:val="16"/>
              </w:rPr>
              <w:t>1,618</w:t>
            </w:r>
          </w:p>
        </w:tc>
        <w:tc>
          <w:tcPr>
            <w:tcW w:w="473"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85" w:type="dxa"/>
            </w:tcMar>
            <w:vAlign w:val="center"/>
          </w:tcPr>
          <w:p w:rsidR="00A64211" w:rsidRPr="001201A2" w:rsidRDefault="00A64211" w:rsidP="00A64211">
            <w:pPr>
              <w:widowControl/>
              <w:adjustRightInd/>
              <w:spacing w:line="280" w:lineRule="exact"/>
              <w:jc w:val="right"/>
              <w:textAlignment w:val="auto"/>
              <w:rPr>
                <w:color w:val="000000"/>
                <w:sz w:val="16"/>
                <w:szCs w:val="16"/>
              </w:rPr>
            </w:pPr>
            <w:r w:rsidRPr="001201A2">
              <w:rPr>
                <w:color w:val="000000"/>
                <w:sz w:val="16"/>
                <w:szCs w:val="16"/>
              </w:rPr>
              <w:t>2.0</w:t>
            </w:r>
          </w:p>
        </w:tc>
        <w:tc>
          <w:tcPr>
            <w:tcW w:w="3153"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A64211" w:rsidRPr="00947656" w:rsidRDefault="00A64211" w:rsidP="0027265B">
            <w:pPr>
              <w:widowControl/>
              <w:adjustRightInd/>
              <w:spacing w:line="280" w:lineRule="exact"/>
              <w:textAlignment w:val="auto"/>
              <w:rPr>
                <w:rFonts w:eastAsia="標楷體"/>
                <w:sz w:val="16"/>
                <w:szCs w:val="16"/>
              </w:rPr>
            </w:pPr>
            <w:r w:rsidRPr="00347E2F">
              <w:rPr>
                <w:rFonts w:eastAsia="標楷體" w:hint="eastAsia"/>
                <w:sz w:val="16"/>
                <w:szCs w:val="16"/>
              </w:rPr>
              <w:t>Severe m</w:t>
            </w:r>
            <w:r w:rsidRPr="00347E2F">
              <w:rPr>
                <w:rFonts w:eastAsia="標楷體"/>
                <w:sz w:val="16"/>
                <w:szCs w:val="16"/>
              </w:rPr>
              <w:t>alnutrition</w:t>
            </w:r>
          </w:p>
        </w:tc>
        <w:tc>
          <w:tcPr>
            <w:tcW w:w="800"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85" w:type="dxa"/>
            </w:tcMar>
            <w:vAlign w:val="center"/>
            <w:hideMark/>
          </w:tcPr>
          <w:p w:rsidR="00A64211" w:rsidRPr="00947656" w:rsidRDefault="00A64211" w:rsidP="0027265B">
            <w:pPr>
              <w:widowControl/>
              <w:adjustRightInd/>
              <w:spacing w:line="280" w:lineRule="exact"/>
              <w:jc w:val="right"/>
              <w:textAlignment w:val="auto"/>
              <w:rPr>
                <w:sz w:val="16"/>
                <w:szCs w:val="16"/>
              </w:rPr>
            </w:pPr>
            <w:r w:rsidRPr="00947656">
              <w:rPr>
                <w:sz w:val="16"/>
                <w:szCs w:val="16"/>
              </w:rPr>
              <w:t>142,352</w:t>
            </w:r>
          </w:p>
        </w:tc>
        <w:tc>
          <w:tcPr>
            <w:tcW w:w="809"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284" w:type="dxa"/>
            </w:tcMar>
          </w:tcPr>
          <w:p w:rsidR="00A64211" w:rsidRPr="00813771" w:rsidRDefault="00A64211" w:rsidP="0027265B">
            <w:pPr>
              <w:widowControl/>
              <w:adjustRightInd/>
              <w:spacing w:line="280" w:lineRule="exact"/>
              <w:jc w:val="right"/>
              <w:textAlignment w:val="auto"/>
              <w:rPr>
                <w:sz w:val="16"/>
                <w:szCs w:val="16"/>
              </w:rPr>
            </w:pPr>
            <w:r w:rsidRPr="00813771">
              <w:rPr>
                <w:rFonts w:eastAsia="標楷體"/>
                <w:sz w:val="16"/>
                <w:szCs w:val="16"/>
              </w:rPr>
              <w:t>1.4</w:t>
            </w:r>
            <w:r w:rsidRPr="00813771">
              <w:rPr>
                <w:sz w:val="16"/>
                <w:szCs w:val="16"/>
              </w:rPr>
              <w:t xml:space="preserve"> </w:t>
            </w:r>
          </w:p>
        </w:tc>
      </w:tr>
      <w:tr w:rsidR="00A64211" w:rsidRPr="00947656" w:rsidTr="006852DB">
        <w:trPr>
          <w:trHeight w:val="340"/>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A64211" w:rsidRPr="008E5831" w:rsidRDefault="00A64211" w:rsidP="00F65BD4">
            <w:pPr>
              <w:widowControl/>
              <w:adjustRightInd/>
              <w:spacing w:line="280" w:lineRule="exact"/>
              <w:jc w:val="center"/>
              <w:textAlignment w:val="auto"/>
              <w:rPr>
                <w:rFonts w:eastAsia="標楷體"/>
                <w:sz w:val="16"/>
                <w:szCs w:val="16"/>
              </w:rPr>
            </w:pPr>
            <w:r w:rsidRPr="008E5831">
              <w:rPr>
                <w:rFonts w:eastAsia="標楷體"/>
                <w:sz w:val="16"/>
                <w:szCs w:val="16"/>
              </w:rPr>
              <w:t>7</w:t>
            </w:r>
          </w:p>
        </w:tc>
        <w:tc>
          <w:tcPr>
            <w:tcW w:w="313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A64211" w:rsidRPr="00B23CDD" w:rsidRDefault="00A64211" w:rsidP="0027265B">
            <w:pPr>
              <w:widowControl/>
              <w:adjustRightInd/>
              <w:spacing w:line="280" w:lineRule="exact"/>
              <w:textAlignment w:val="auto"/>
              <w:rPr>
                <w:color w:val="000000"/>
                <w:sz w:val="16"/>
                <w:szCs w:val="16"/>
              </w:rPr>
            </w:pPr>
            <w:r w:rsidRPr="00B23CDD">
              <w:rPr>
                <w:rFonts w:hint="eastAsia"/>
                <w:color w:val="000000"/>
                <w:sz w:val="16"/>
                <w:szCs w:val="16"/>
              </w:rPr>
              <w:t>Congenital m</w:t>
            </w:r>
            <w:r w:rsidRPr="00B23CDD">
              <w:rPr>
                <w:color w:val="000000"/>
                <w:sz w:val="16"/>
                <w:szCs w:val="16"/>
              </w:rPr>
              <w:t>etabolic dis</w:t>
            </w:r>
            <w:r w:rsidRPr="00B23CDD">
              <w:rPr>
                <w:rFonts w:hint="eastAsia"/>
                <w:color w:val="000000"/>
                <w:sz w:val="16"/>
                <w:szCs w:val="16"/>
              </w:rPr>
              <w:t>ease</w:t>
            </w:r>
          </w:p>
        </w:tc>
        <w:tc>
          <w:tcPr>
            <w:tcW w:w="61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57" w:type="dxa"/>
            </w:tcMar>
            <w:vAlign w:val="center"/>
            <w:hideMark/>
          </w:tcPr>
          <w:p w:rsidR="00A64211" w:rsidRPr="00947656" w:rsidRDefault="00A64211" w:rsidP="0027265B">
            <w:pPr>
              <w:widowControl/>
              <w:adjustRightInd/>
              <w:spacing w:line="280" w:lineRule="exact"/>
              <w:jc w:val="right"/>
              <w:textAlignment w:val="auto"/>
              <w:rPr>
                <w:sz w:val="16"/>
                <w:szCs w:val="16"/>
              </w:rPr>
            </w:pPr>
            <w:r w:rsidRPr="00947656">
              <w:rPr>
                <w:sz w:val="16"/>
                <w:szCs w:val="16"/>
              </w:rPr>
              <w:t>1,607</w:t>
            </w:r>
          </w:p>
        </w:tc>
        <w:tc>
          <w:tcPr>
            <w:tcW w:w="473"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85" w:type="dxa"/>
            </w:tcMar>
            <w:vAlign w:val="center"/>
          </w:tcPr>
          <w:p w:rsidR="00A64211" w:rsidRPr="001201A2" w:rsidRDefault="00A64211" w:rsidP="00A64211">
            <w:pPr>
              <w:widowControl/>
              <w:adjustRightInd/>
              <w:spacing w:line="280" w:lineRule="exact"/>
              <w:jc w:val="right"/>
              <w:textAlignment w:val="auto"/>
              <w:rPr>
                <w:color w:val="000000"/>
                <w:sz w:val="16"/>
                <w:szCs w:val="16"/>
              </w:rPr>
            </w:pPr>
            <w:r w:rsidRPr="001201A2">
              <w:rPr>
                <w:color w:val="000000"/>
                <w:sz w:val="16"/>
                <w:szCs w:val="16"/>
              </w:rPr>
              <w:t>2.0</w:t>
            </w:r>
          </w:p>
        </w:tc>
        <w:tc>
          <w:tcPr>
            <w:tcW w:w="3153"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A64211" w:rsidRPr="00947656" w:rsidRDefault="00A64211" w:rsidP="0027265B">
            <w:pPr>
              <w:widowControl/>
              <w:adjustRightInd/>
              <w:spacing w:line="280" w:lineRule="exact"/>
              <w:textAlignment w:val="auto"/>
              <w:rPr>
                <w:rFonts w:eastAsia="標楷體"/>
                <w:sz w:val="16"/>
                <w:szCs w:val="16"/>
              </w:rPr>
            </w:pPr>
            <w:r w:rsidRPr="00347E2F">
              <w:rPr>
                <w:rFonts w:eastAsia="標楷體" w:hint="eastAsia"/>
                <w:sz w:val="16"/>
                <w:szCs w:val="16"/>
              </w:rPr>
              <w:t>Congenital m</w:t>
            </w:r>
            <w:r w:rsidRPr="00347E2F">
              <w:rPr>
                <w:rFonts w:eastAsia="標楷體"/>
                <w:sz w:val="16"/>
                <w:szCs w:val="16"/>
              </w:rPr>
              <w:t>etabolic dis</w:t>
            </w:r>
            <w:r w:rsidRPr="00347E2F">
              <w:rPr>
                <w:rFonts w:eastAsia="標楷體" w:hint="eastAsia"/>
                <w:sz w:val="16"/>
                <w:szCs w:val="16"/>
              </w:rPr>
              <w:t>ease</w:t>
            </w:r>
          </w:p>
        </w:tc>
        <w:tc>
          <w:tcPr>
            <w:tcW w:w="800"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85" w:type="dxa"/>
            </w:tcMar>
            <w:vAlign w:val="center"/>
            <w:hideMark/>
          </w:tcPr>
          <w:p w:rsidR="00A64211" w:rsidRPr="00947656" w:rsidRDefault="00A64211" w:rsidP="0027265B">
            <w:pPr>
              <w:widowControl/>
              <w:adjustRightInd/>
              <w:spacing w:line="280" w:lineRule="exact"/>
              <w:jc w:val="right"/>
              <w:textAlignment w:val="auto"/>
              <w:rPr>
                <w:sz w:val="16"/>
                <w:szCs w:val="16"/>
              </w:rPr>
            </w:pPr>
            <w:r w:rsidRPr="00947656">
              <w:rPr>
                <w:sz w:val="16"/>
                <w:szCs w:val="16"/>
              </w:rPr>
              <w:t>131,573</w:t>
            </w:r>
          </w:p>
        </w:tc>
        <w:tc>
          <w:tcPr>
            <w:tcW w:w="809"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284" w:type="dxa"/>
            </w:tcMar>
          </w:tcPr>
          <w:p w:rsidR="00A64211" w:rsidRPr="00813771" w:rsidRDefault="00A64211" w:rsidP="0027265B">
            <w:pPr>
              <w:widowControl/>
              <w:adjustRightInd/>
              <w:spacing w:line="280" w:lineRule="exact"/>
              <w:jc w:val="right"/>
              <w:textAlignment w:val="auto"/>
              <w:rPr>
                <w:sz w:val="16"/>
                <w:szCs w:val="16"/>
              </w:rPr>
            </w:pPr>
            <w:r w:rsidRPr="00813771">
              <w:rPr>
                <w:rFonts w:eastAsia="標楷體"/>
                <w:sz w:val="16"/>
                <w:szCs w:val="16"/>
              </w:rPr>
              <w:t>1.3</w:t>
            </w:r>
            <w:r w:rsidRPr="00813771">
              <w:rPr>
                <w:sz w:val="16"/>
                <w:szCs w:val="16"/>
              </w:rPr>
              <w:t xml:space="preserve"> </w:t>
            </w:r>
          </w:p>
        </w:tc>
      </w:tr>
      <w:tr w:rsidR="00A64211" w:rsidRPr="00947656" w:rsidTr="006852DB">
        <w:trPr>
          <w:trHeight w:val="340"/>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A64211" w:rsidRPr="008E5831" w:rsidRDefault="00A64211" w:rsidP="00F65BD4">
            <w:pPr>
              <w:widowControl/>
              <w:adjustRightInd/>
              <w:spacing w:line="280" w:lineRule="exact"/>
              <w:jc w:val="center"/>
              <w:textAlignment w:val="auto"/>
              <w:rPr>
                <w:rFonts w:eastAsia="標楷體"/>
                <w:sz w:val="16"/>
                <w:szCs w:val="16"/>
              </w:rPr>
            </w:pPr>
            <w:r w:rsidRPr="008E5831">
              <w:rPr>
                <w:rFonts w:eastAsia="標楷體"/>
                <w:sz w:val="16"/>
                <w:szCs w:val="16"/>
              </w:rPr>
              <w:t>8</w:t>
            </w:r>
          </w:p>
        </w:tc>
        <w:tc>
          <w:tcPr>
            <w:tcW w:w="313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A64211" w:rsidRPr="00B23CDD" w:rsidRDefault="00A64211" w:rsidP="0027265B">
            <w:pPr>
              <w:widowControl/>
              <w:adjustRightInd/>
              <w:spacing w:line="280" w:lineRule="exact"/>
              <w:textAlignment w:val="auto"/>
              <w:rPr>
                <w:color w:val="000000"/>
                <w:sz w:val="16"/>
                <w:szCs w:val="16"/>
              </w:rPr>
            </w:pPr>
            <w:r w:rsidRPr="00B23CDD">
              <w:rPr>
                <w:color w:val="000000"/>
                <w:sz w:val="16"/>
                <w:szCs w:val="16"/>
              </w:rPr>
              <w:t>Dependence</w:t>
            </w:r>
            <w:r w:rsidRPr="00B23CDD">
              <w:rPr>
                <w:rFonts w:hint="eastAsia"/>
                <w:color w:val="000000"/>
                <w:sz w:val="16"/>
                <w:szCs w:val="16"/>
              </w:rPr>
              <w:t xml:space="preserve"> on r</w:t>
            </w:r>
            <w:r w:rsidRPr="00B23CDD">
              <w:rPr>
                <w:color w:val="000000"/>
                <w:sz w:val="16"/>
                <w:szCs w:val="16"/>
              </w:rPr>
              <w:t xml:space="preserve">espirator </w:t>
            </w:r>
          </w:p>
        </w:tc>
        <w:tc>
          <w:tcPr>
            <w:tcW w:w="616"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57" w:type="dxa"/>
            </w:tcMar>
            <w:vAlign w:val="center"/>
            <w:hideMark/>
          </w:tcPr>
          <w:p w:rsidR="00A64211" w:rsidRPr="00947656" w:rsidRDefault="00A64211" w:rsidP="0027265B">
            <w:pPr>
              <w:widowControl/>
              <w:adjustRightInd/>
              <w:spacing w:line="280" w:lineRule="exact"/>
              <w:jc w:val="right"/>
              <w:textAlignment w:val="auto"/>
              <w:rPr>
                <w:sz w:val="16"/>
                <w:szCs w:val="16"/>
              </w:rPr>
            </w:pPr>
            <w:r w:rsidRPr="00947656">
              <w:rPr>
                <w:sz w:val="16"/>
                <w:szCs w:val="16"/>
              </w:rPr>
              <w:t>614</w:t>
            </w:r>
          </w:p>
        </w:tc>
        <w:tc>
          <w:tcPr>
            <w:tcW w:w="473"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85" w:type="dxa"/>
            </w:tcMar>
            <w:vAlign w:val="center"/>
          </w:tcPr>
          <w:p w:rsidR="00A64211" w:rsidRPr="001201A2" w:rsidRDefault="00A64211" w:rsidP="00A64211">
            <w:pPr>
              <w:widowControl/>
              <w:adjustRightInd/>
              <w:spacing w:line="280" w:lineRule="exact"/>
              <w:jc w:val="right"/>
              <w:textAlignment w:val="auto"/>
              <w:rPr>
                <w:color w:val="000000"/>
                <w:sz w:val="16"/>
                <w:szCs w:val="16"/>
              </w:rPr>
            </w:pPr>
            <w:r w:rsidRPr="001201A2">
              <w:rPr>
                <w:color w:val="000000"/>
                <w:sz w:val="16"/>
                <w:szCs w:val="16"/>
              </w:rPr>
              <w:t>0.8</w:t>
            </w:r>
          </w:p>
        </w:tc>
        <w:tc>
          <w:tcPr>
            <w:tcW w:w="3153"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tcMar>
            <w:vAlign w:val="center"/>
            <w:hideMark/>
          </w:tcPr>
          <w:p w:rsidR="00A64211" w:rsidRPr="00947656" w:rsidRDefault="00A64211" w:rsidP="0027265B">
            <w:pPr>
              <w:widowControl/>
              <w:adjustRightInd/>
              <w:spacing w:line="280" w:lineRule="exact"/>
              <w:textAlignment w:val="auto"/>
              <w:rPr>
                <w:rFonts w:eastAsia="標楷體"/>
                <w:sz w:val="16"/>
                <w:szCs w:val="16"/>
              </w:rPr>
            </w:pPr>
            <w:r w:rsidRPr="00347E2F">
              <w:rPr>
                <w:rFonts w:eastAsia="標楷體" w:hint="eastAsia"/>
                <w:sz w:val="16"/>
                <w:szCs w:val="16"/>
              </w:rPr>
              <w:t>Congenital immunodeficiency</w:t>
            </w:r>
          </w:p>
        </w:tc>
        <w:tc>
          <w:tcPr>
            <w:tcW w:w="800" w:type="dxa"/>
            <w:tcBorders>
              <w:top w:val="nil"/>
              <w:left w:val="double" w:sz="6" w:space="0" w:color="C2D69B" w:themeColor="accent3" w:themeTint="99"/>
              <w:bottom w:val="nil"/>
              <w:right w:val="thinThickSmallGap" w:sz="12" w:space="0" w:color="C2D69B" w:themeColor="accent3" w:themeTint="99"/>
            </w:tcBorders>
            <w:shd w:val="clear" w:color="000000" w:fill="EAF1DD" w:themeFill="accent3" w:themeFillTint="33"/>
            <w:noWrap/>
            <w:tcMar>
              <w:right w:w="85" w:type="dxa"/>
            </w:tcMar>
            <w:vAlign w:val="center"/>
            <w:hideMark/>
          </w:tcPr>
          <w:p w:rsidR="00A64211" w:rsidRPr="00947656" w:rsidRDefault="00A64211" w:rsidP="0027265B">
            <w:pPr>
              <w:widowControl/>
              <w:adjustRightInd/>
              <w:spacing w:line="280" w:lineRule="exact"/>
              <w:jc w:val="right"/>
              <w:textAlignment w:val="auto"/>
              <w:rPr>
                <w:sz w:val="16"/>
                <w:szCs w:val="16"/>
              </w:rPr>
            </w:pPr>
            <w:r w:rsidRPr="00947656">
              <w:rPr>
                <w:sz w:val="16"/>
                <w:szCs w:val="16"/>
              </w:rPr>
              <w:t>129,196</w:t>
            </w:r>
          </w:p>
        </w:tc>
        <w:tc>
          <w:tcPr>
            <w:tcW w:w="809" w:type="dxa"/>
            <w:tcBorders>
              <w:top w:val="nil"/>
              <w:left w:val="thinThickSmallGap" w:sz="12" w:space="0" w:color="C2D69B" w:themeColor="accent3" w:themeTint="99"/>
              <w:bottom w:val="nil"/>
              <w:right w:val="thinThickThinSmallGap" w:sz="24" w:space="0" w:color="C2D69B" w:themeColor="accent3" w:themeTint="99"/>
            </w:tcBorders>
            <w:shd w:val="clear" w:color="000000" w:fill="EAF1DD" w:themeFill="accent3" w:themeFillTint="33"/>
            <w:tcMar>
              <w:right w:w="284" w:type="dxa"/>
            </w:tcMar>
          </w:tcPr>
          <w:p w:rsidR="00A64211" w:rsidRPr="00813771" w:rsidRDefault="00A64211" w:rsidP="0027265B">
            <w:pPr>
              <w:widowControl/>
              <w:adjustRightInd/>
              <w:spacing w:line="280" w:lineRule="exact"/>
              <w:jc w:val="right"/>
              <w:textAlignment w:val="auto"/>
              <w:rPr>
                <w:sz w:val="16"/>
                <w:szCs w:val="16"/>
              </w:rPr>
            </w:pPr>
            <w:r w:rsidRPr="00813771">
              <w:rPr>
                <w:rFonts w:eastAsia="標楷體"/>
                <w:sz w:val="16"/>
                <w:szCs w:val="16"/>
              </w:rPr>
              <w:t>1.3</w:t>
            </w:r>
            <w:r w:rsidRPr="00813771">
              <w:rPr>
                <w:sz w:val="16"/>
                <w:szCs w:val="16"/>
              </w:rPr>
              <w:t xml:space="preserve"> </w:t>
            </w:r>
          </w:p>
        </w:tc>
      </w:tr>
      <w:tr w:rsidR="00A64211" w:rsidRPr="00947656" w:rsidTr="006852DB">
        <w:trPr>
          <w:trHeight w:val="340"/>
        </w:trPr>
        <w:tc>
          <w:tcPr>
            <w:tcW w:w="428" w:type="dxa"/>
            <w:tcBorders>
              <w:top w:val="nil"/>
              <w:left w:val="thickThinSmallGap" w:sz="24" w:space="0" w:color="C2D69B" w:themeColor="accent3" w:themeTint="99"/>
              <w:right w:val="double" w:sz="6" w:space="0" w:color="C2D69B" w:themeColor="accent3" w:themeTint="99"/>
            </w:tcBorders>
            <w:shd w:val="clear" w:color="000000" w:fill="EAF1DD" w:themeFill="accent3" w:themeFillTint="33"/>
            <w:vAlign w:val="center"/>
          </w:tcPr>
          <w:p w:rsidR="00A64211" w:rsidRPr="008E5831" w:rsidRDefault="00A64211" w:rsidP="00F65BD4">
            <w:pPr>
              <w:widowControl/>
              <w:adjustRightInd/>
              <w:spacing w:line="280" w:lineRule="exact"/>
              <w:jc w:val="center"/>
              <w:textAlignment w:val="auto"/>
              <w:rPr>
                <w:rFonts w:eastAsia="標楷體"/>
                <w:sz w:val="16"/>
                <w:szCs w:val="16"/>
              </w:rPr>
            </w:pPr>
            <w:r w:rsidRPr="008E5831">
              <w:rPr>
                <w:rFonts w:eastAsia="標楷體"/>
                <w:sz w:val="16"/>
                <w:szCs w:val="16"/>
              </w:rPr>
              <w:t>9</w:t>
            </w:r>
          </w:p>
        </w:tc>
        <w:tc>
          <w:tcPr>
            <w:tcW w:w="3130" w:type="dxa"/>
            <w:tcBorders>
              <w:top w:val="nil"/>
              <w:left w:val="thickThinSmallGap" w:sz="24" w:space="0" w:color="C2D69B" w:themeColor="accent3" w:themeTint="99"/>
              <w:right w:val="double" w:sz="6" w:space="0" w:color="C2D69B" w:themeColor="accent3" w:themeTint="99"/>
            </w:tcBorders>
            <w:shd w:val="clear" w:color="000000" w:fill="EAF1DD" w:themeFill="accent3" w:themeFillTint="33"/>
            <w:noWrap/>
            <w:tcMar>
              <w:left w:w="85" w:type="dxa"/>
            </w:tcMar>
            <w:vAlign w:val="center"/>
            <w:hideMark/>
          </w:tcPr>
          <w:p w:rsidR="00A64211" w:rsidRPr="00B23CDD" w:rsidRDefault="00A64211" w:rsidP="0027265B">
            <w:pPr>
              <w:widowControl/>
              <w:adjustRightInd/>
              <w:spacing w:line="280" w:lineRule="exact"/>
              <w:textAlignment w:val="auto"/>
              <w:rPr>
                <w:color w:val="000000"/>
                <w:sz w:val="16"/>
                <w:szCs w:val="16"/>
              </w:rPr>
            </w:pPr>
            <w:r w:rsidRPr="00B23CDD">
              <w:rPr>
                <w:rFonts w:hint="eastAsia"/>
                <w:color w:val="000000"/>
                <w:sz w:val="16"/>
                <w:szCs w:val="16"/>
              </w:rPr>
              <w:t>M</w:t>
            </w:r>
            <w:r w:rsidRPr="00B23CDD">
              <w:rPr>
                <w:color w:val="000000"/>
                <w:sz w:val="16"/>
                <w:szCs w:val="16"/>
              </w:rPr>
              <w:t>alformation</w:t>
            </w:r>
            <w:r w:rsidRPr="00B23CDD">
              <w:rPr>
                <w:rFonts w:hint="eastAsia"/>
                <w:color w:val="000000"/>
                <w:sz w:val="16"/>
                <w:szCs w:val="16"/>
              </w:rPr>
              <w:t xml:space="preserve"> and chromosomal abnormalities</w:t>
            </w:r>
          </w:p>
        </w:tc>
        <w:tc>
          <w:tcPr>
            <w:tcW w:w="616" w:type="dxa"/>
            <w:tcBorders>
              <w:top w:val="nil"/>
              <w:left w:val="double" w:sz="6" w:space="0" w:color="C2D69B" w:themeColor="accent3" w:themeTint="99"/>
              <w:right w:val="thinThickSmallGap" w:sz="12" w:space="0" w:color="C2D69B" w:themeColor="accent3" w:themeTint="99"/>
            </w:tcBorders>
            <w:shd w:val="clear" w:color="000000" w:fill="EAF1DD" w:themeFill="accent3" w:themeFillTint="33"/>
            <w:noWrap/>
            <w:tcMar>
              <w:right w:w="57" w:type="dxa"/>
            </w:tcMar>
            <w:vAlign w:val="center"/>
            <w:hideMark/>
          </w:tcPr>
          <w:p w:rsidR="00A64211" w:rsidRPr="00947656" w:rsidRDefault="00A64211" w:rsidP="0027265B">
            <w:pPr>
              <w:widowControl/>
              <w:adjustRightInd/>
              <w:spacing w:line="280" w:lineRule="exact"/>
              <w:jc w:val="right"/>
              <w:textAlignment w:val="auto"/>
              <w:rPr>
                <w:sz w:val="16"/>
                <w:szCs w:val="16"/>
              </w:rPr>
            </w:pPr>
            <w:r w:rsidRPr="00947656">
              <w:rPr>
                <w:sz w:val="16"/>
                <w:szCs w:val="16"/>
              </w:rPr>
              <w:t>409</w:t>
            </w:r>
          </w:p>
        </w:tc>
        <w:tc>
          <w:tcPr>
            <w:tcW w:w="473" w:type="dxa"/>
            <w:tcBorders>
              <w:top w:val="nil"/>
              <w:left w:val="thinThickSmallGap" w:sz="12" w:space="0" w:color="C2D69B" w:themeColor="accent3" w:themeTint="99"/>
              <w:right w:val="thinThickThinSmallGap" w:sz="24" w:space="0" w:color="C2D69B" w:themeColor="accent3" w:themeTint="99"/>
            </w:tcBorders>
            <w:shd w:val="clear" w:color="000000" w:fill="EAF1DD" w:themeFill="accent3" w:themeFillTint="33"/>
            <w:tcMar>
              <w:right w:w="85" w:type="dxa"/>
            </w:tcMar>
            <w:vAlign w:val="center"/>
          </w:tcPr>
          <w:p w:rsidR="00A64211" w:rsidRPr="001201A2" w:rsidRDefault="00A64211" w:rsidP="00A64211">
            <w:pPr>
              <w:widowControl/>
              <w:adjustRightInd/>
              <w:spacing w:line="280" w:lineRule="exact"/>
              <w:jc w:val="right"/>
              <w:textAlignment w:val="auto"/>
              <w:rPr>
                <w:color w:val="000000"/>
                <w:sz w:val="16"/>
                <w:szCs w:val="16"/>
              </w:rPr>
            </w:pPr>
            <w:r w:rsidRPr="001201A2">
              <w:rPr>
                <w:color w:val="000000"/>
                <w:sz w:val="16"/>
                <w:szCs w:val="16"/>
              </w:rPr>
              <w:t>0.5</w:t>
            </w:r>
          </w:p>
        </w:tc>
        <w:tc>
          <w:tcPr>
            <w:tcW w:w="3153" w:type="dxa"/>
            <w:tcBorders>
              <w:top w:val="nil"/>
              <w:left w:val="thinThickThinSmallGap" w:sz="24" w:space="0" w:color="C2D69B" w:themeColor="accent3" w:themeTint="99"/>
              <w:right w:val="double" w:sz="6" w:space="0" w:color="C2D69B" w:themeColor="accent3" w:themeTint="99"/>
            </w:tcBorders>
            <w:shd w:val="clear" w:color="000000" w:fill="EAF1DD" w:themeFill="accent3" w:themeFillTint="33"/>
            <w:noWrap/>
            <w:tcMar>
              <w:left w:w="85" w:type="dxa"/>
            </w:tcMar>
            <w:vAlign w:val="center"/>
            <w:hideMark/>
          </w:tcPr>
          <w:p w:rsidR="00A64211" w:rsidRPr="00947656" w:rsidRDefault="00A64211" w:rsidP="0027265B">
            <w:pPr>
              <w:widowControl/>
              <w:adjustRightInd/>
              <w:spacing w:line="280" w:lineRule="exact"/>
              <w:textAlignment w:val="auto"/>
              <w:rPr>
                <w:rFonts w:eastAsia="標楷體"/>
                <w:sz w:val="16"/>
                <w:szCs w:val="16"/>
              </w:rPr>
            </w:pPr>
            <w:r w:rsidRPr="00347E2F">
              <w:rPr>
                <w:rFonts w:eastAsia="標楷體" w:hint="eastAsia"/>
                <w:sz w:val="16"/>
                <w:szCs w:val="16"/>
              </w:rPr>
              <w:t>Dependence on r</w:t>
            </w:r>
            <w:r w:rsidRPr="00347E2F">
              <w:rPr>
                <w:rFonts w:eastAsia="標楷體"/>
                <w:sz w:val="16"/>
                <w:szCs w:val="16"/>
              </w:rPr>
              <w:t>espirator</w:t>
            </w:r>
          </w:p>
        </w:tc>
        <w:tc>
          <w:tcPr>
            <w:tcW w:w="800" w:type="dxa"/>
            <w:tcBorders>
              <w:top w:val="nil"/>
              <w:left w:val="double" w:sz="6" w:space="0" w:color="C2D69B" w:themeColor="accent3" w:themeTint="99"/>
              <w:right w:val="thinThickSmallGap" w:sz="12" w:space="0" w:color="C2D69B" w:themeColor="accent3" w:themeTint="99"/>
            </w:tcBorders>
            <w:shd w:val="clear" w:color="000000" w:fill="EAF1DD" w:themeFill="accent3" w:themeFillTint="33"/>
            <w:noWrap/>
            <w:tcMar>
              <w:right w:w="85" w:type="dxa"/>
            </w:tcMar>
            <w:vAlign w:val="center"/>
            <w:hideMark/>
          </w:tcPr>
          <w:p w:rsidR="00A64211" w:rsidRPr="00947656" w:rsidRDefault="00A64211" w:rsidP="0027265B">
            <w:pPr>
              <w:widowControl/>
              <w:adjustRightInd/>
              <w:spacing w:line="280" w:lineRule="exact"/>
              <w:jc w:val="right"/>
              <w:textAlignment w:val="auto"/>
              <w:rPr>
                <w:sz w:val="16"/>
                <w:szCs w:val="16"/>
              </w:rPr>
            </w:pPr>
            <w:r w:rsidRPr="00947656">
              <w:rPr>
                <w:sz w:val="16"/>
                <w:szCs w:val="16"/>
              </w:rPr>
              <w:t>123,048</w:t>
            </w:r>
          </w:p>
        </w:tc>
        <w:tc>
          <w:tcPr>
            <w:tcW w:w="809" w:type="dxa"/>
            <w:tcBorders>
              <w:top w:val="nil"/>
              <w:left w:val="thinThickSmallGap" w:sz="12" w:space="0" w:color="C2D69B" w:themeColor="accent3" w:themeTint="99"/>
              <w:right w:val="thinThickThinSmallGap" w:sz="24" w:space="0" w:color="C2D69B" w:themeColor="accent3" w:themeTint="99"/>
            </w:tcBorders>
            <w:shd w:val="clear" w:color="000000" w:fill="EAF1DD" w:themeFill="accent3" w:themeFillTint="33"/>
            <w:tcMar>
              <w:right w:w="284" w:type="dxa"/>
            </w:tcMar>
          </w:tcPr>
          <w:p w:rsidR="00A64211" w:rsidRPr="00813771" w:rsidRDefault="00A64211" w:rsidP="0027265B">
            <w:pPr>
              <w:widowControl/>
              <w:adjustRightInd/>
              <w:spacing w:line="280" w:lineRule="exact"/>
              <w:jc w:val="right"/>
              <w:textAlignment w:val="auto"/>
              <w:rPr>
                <w:sz w:val="16"/>
                <w:szCs w:val="16"/>
              </w:rPr>
            </w:pPr>
            <w:r w:rsidRPr="00813771">
              <w:rPr>
                <w:rFonts w:eastAsia="標楷體"/>
                <w:sz w:val="16"/>
                <w:szCs w:val="16"/>
              </w:rPr>
              <w:t>1.2</w:t>
            </w:r>
            <w:r w:rsidRPr="00813771">
              <w:rPr>
                <w:sz w:val="16"/>
                <w:szCs w:val="16"/>
              </w:rPr>
              <w:t xml:space="preserve"> </w:t>
            </w:r>
          </w:p>
        </w:tc>
      </w:tr>
      <w:tr w:rsidR="00A64211" w:rsidRPr="00947656" w:rsidTr="006852DB">
        <w:trPr>
          <w:trHeight w:val="340"/>
        </w:trPr>
        <w:tc>
          <w:tcPr>
            <w:tcW w:w="428" w:type="dxa"/>
            <w:tcBorders>
              <w:top w:val="nil"/>
              <w:left w:val="thickThinSmallGap" w:sz="24" w:space="0" w:color="C2D69B" w:themeColor="accent3" w:themeTint="99"/>
              <w:bottom w:val="thinThickSmallGap" w:sz="24" w:space="0" w:color="C2D69B" w:themeColor="accent3" w:themeTint="99"/>
              <w:right w:val="double" w:sz="6" w:space="0" w:color="C2D69B" w:themeColor="accent3" w:themeTint="99"/>
            </w:tcBorders>
            <w:shd w:val="clear" w:color="000000" w:fill="EAF1DD" w:themeFill="accent3" w:themeFillTint="33"/>
            <w:vAlign w:val="center"/>
          </w:tcPr>
          <w:p w:rsidR="00A64211" w:rsidRPr="008E5831" w:rsidRDefault="00A64211" w:rsidP="00F65BD4">
            <w:pPr>
              <w:widowControl/>
              <w:adjustRightInd/>
              <w:spacing w:line="280" w:lineRule="exact"/>
              <w:jc w:val="center"/>
              <w:textAlignment w:val="auto"/>
              <w:rPr>
                <w:rFonts w:eastAsia="標楷體"/>
                <w:sz w:val="16"/>
                <w:szCs w:val="16"/>
              </w:rPr>
            </w:pPr>
            <w:r w:rsidRPr="008E5831">
              <w:rPr>
                <w:rFonts w:eastAsia="標楷體"/>
                <w:sz w:val="16"/>
                <w:szCs w:val="16"/>
              </w:rPr>
              <w:t>10</w:t>
            </w:r>
          </w:p>
        </w:tc>
        <w:tc>
          <w:tcPr>
            <w:tcW w:w="3130" w:type="dxa"/>
            <w:tcBorders>
              <w:top w:val="nil"/>
              <w:left w:val="thickThinSmallGap" w:sz="24" w:space="0" w:color="C2D69B" w:themeColor="accent3" w:themeTint="99"/>
              <w:bottom w:val="thinThickSmallGap" w:sz="24" w:space="0" w:color="C2D69B" w:themeColor="accent3" w:themeTint="99"/>
              <w:right w:val="double" w:sz="6" w:space="0" w:color="C2D69B" w:themeColor="accent3" w:themeTint="99"/>
            </w:tcBorders>
            <w:shd w:val="clear" w:color="000000" w:fill="EAF1DD" w:themeFill="accent3" w:themeFillTint="33"/>
            <w:noWrap/>
            <w:tcMar>
              <w:left w:w="85" w:type="dxa"/>
            </w:tcMar>
            <w:vAlign w:val="center"/>
            <w:hideMark/>
          </w:tcPr>
          <w:p w:rsidR="00A64211" w:rsidRPr="00B23CDD" w:rsidRDefault="00A64211" w:rsidP="0027265B">
            <w:pPr>
              <w:widowControl/>
              <w:adjustRightInd/>
              <w:spacing w:line="280" w:lineRule="exact"/>
              <w:textAlignment w:val="auto"/>
              <w:rPr>
                <w:color w:val="000000"/>
                <w:sz w:val="16"/>
                <w:szCs w:val="16"/>
              </w:rPr>
            </w:pPr>
            <w:r w:rsidRPr="00B23CDD">
              <w:rPr>
                <w:rFonts w:hint="eastAsia"/>
                <w:color w:val="000000"/>
                <w:sz w:val="16"/>
                <w:szCs w:val="16"/>
              </w:rPr>
              <w:t>C</w:t>
            </w:r>
            <w:r w:rsidRPr="00B23CDD">
              <w:rPr>
                <w:color w:val="000000"/>
                <w:sz w:val="16"/>
                <w:szCs w:val="16"/>
              </w:rPr>
              <w:t>irrhosis</w:t>
            </w:r>
            <w:r w:rsidRPr="00B23CDD">
              <w:rPr>
                <w:rFonts w:hint="eastAsia"/>
                <w:color w:val="000000"/>
                <w:sz w:val="16"/>
                <w:szCs w:val="16"/>
              </w:rPr>
              <w:t xml:space="preserve"> of liver</w:t>
            </w:r>
          </w:p>
        </w:tc>
        <w:tc>
          <w:tcPr>
            <w:tcW w:w="616" w:type="dxa"/>
            <w:tcBorders>
              <w:top w:val="nil"/>
              <w:left w:val="double" w:sz="6" w:space="0" w:color="C2D69B" w:themeColor="accent3" w:themeTint="99"/>
              <w:bottom w:val="thinThickSmallGap" w:sz="24" w:space="0" w:color="C2D69B" w:themeColor="accent3" w:themeTint="99"/>
              <w:right w:val="thinThickSmallGap" w:sz="12" w:space="0" w:color="C2D69B" w:themeColor="accent3" w:themeTint="99"/>
            </w:tcBorders>
            <w:shd w:val="clear" w:color="000000" w:fill="EAF1DD" w:themeFill="accent3" w:themeFillTint="33"/>
            <w:noWrap/>
            <w:tcMar>
              <w:right w:w="57" w:type="dxa"/>
            </w:tcMar>
            <w:vAlign w:val="center"/>
            <w:hideMark/>
          </w:tcPr>
          <w:p w:rsidR="00A64211" w:rsidRPr="00947656" w:rsidRDefault="00A64211" w:rsidP="0027265B">
            <w:pPr>
              <w:widowControl/>
              <w:adjustRightInd/>
              <w:spacing w:line="280" w:lineRule="exact"/>
              <w:jc w:val="right"/>
              <w:textAlignment w:val="auto"/>
              <w:rPr>
                <w:sz w:val="16"/>
                <w:szCs w:val="16"/>
              </w:rPr>
            </w:pPr>
            <w:r w:rsidRPr="00947656">
              <w:rPr>
                <w:sz w:val="16"/>
                <w:szCs w:val="16"/>
              </w:rPr>
              <w:t>379</w:t>
            </w:r>
          </w:p>
        </w:tc>
        <w:tc>
          <w:tcPr>
            <w:tcW w:w="473" w:type="dxa"/>
            <w:tcBorders>
              <w:top w:val="nil"/>
              <w:left w:val="thinThickSmallGap" w:sz="12" w:space="0" w:color="C2D69B" w:themeColor="accent3" w:themeTint="99"/>
              <w:bottom w:val="thinThickSmallGap" w:sz="24" w:space="0" w:color="C2D69B" w:themeColor="accent3" w:themeTint="99"/>
              <w:right w:val="thinThickThinSmallGap" w:sz="24" w:space="0" w:color="C2D69B" w:themeColor="accent3" w:themeTint="99"/>
            </w:tcBorders>
            <w:shd w:val="clear" w:color="000000" w:fill="EAF1DD" w:themeFill="accent3" w:themeFillTint="33"/>
            <w:tcMar>
              <w:right w:w="85" w:type="dxa"/>
            </w:tcMar>
            <w:vAlign w:val="center"/>
          </w:tcPr>
          <w:p w:rsidR="00A64211" w:rsidRPr="001201A2" w:rsidRDefault="00A64211" w:rsidP="00A64211">
            <w:pPr>
              <w:widowControl/>
              <w:adjustRightInd/>
              <w:spacing w:line="280" w:lineRule="exact"/>
              <w:jc w:val="right"/>
              <w:textAlignment w:val="auto"/>
              <w:rPr>
                <w:color w:val="000000"/>
                <w:sz w:val="16"/>
                <w:szCs w:val="16"/>
              </w:rPr>
            </w:pPr>
            <w:r w:rsidRPr="001201A2">
              <w:rPr>
                <w:color w:val="000000"/>
                <w:sz w:val="16"/>
                <w:szCs w:val="16"/>
              </w:rPr>
              <w:t>0.5</w:t>
            </w:r>
          </w:p>
        </w:tc>
        <w:tc>
          <w:tcPr>
            <w:tcW w:w="3153" w:type="dxa"/>
            <w:tcBorders>
              <w:top w:val="nil"/>
              <w:left w:val="thinThickThinSmallGap" w:sz="24" w:space="0" w:color="C2D69B" w:themeColor="accent3" w:themeTint="99"/>
              <w:bottom w:val="thinThickSmallGap" w:sz="24" w:space="0" w:color="C2D69B" w:themeColor="accent3" w:themeTint="99"/>
              <w:right w:val="double" w:sz="6" w:space="0" w:color="C2D69B" w:themeColor="accent3" w:themeTint="99"/>
            </w:tcBorders>
            <w:shd w:val="clear" w:color="000000" w:fill="EAF1DD" w:themeFill="accent3" w:themeFillTint="33"/>
            <w:noWrap/>
            <w:tcMar>
              <w:left w:w="85" w:type="dxa"/>
            </w:tcMar>
            <w:vAlign w:val="center"/>
            <w:hideMark/>
          </w:tcPr>
          <w:p w:rsidR="00A64211" w:rsidRPr="00947656" w:rsidRDefault="00A64211" w:rsidP="0027265B">
            <w:pPr>
              <w:widowControl/>
              <w:adjustRightInd/>
              <w:spacing w:line="280" w:lineRule="exact"/>
              <w:textAlignment w:val="auto"/>
              <w:rPr>
                <w:rFonts w:eastAsia="標楷體"/>
                <w:sz w:val="16"/>
                <w:szCs w:val="16"/>
              </w:rPr>
            </w:pPr>
            <w:r w:rsidRPr="00347E2F">
              <w:rPr>
                <w:rFonts w:eastAsia="標楷體"/>
                <w:sz w:val="16"/>
                <w:szCs w:val="16"/>
              </w:rPr>
              <w:t>Rare diseases</w:t>
            </w:r>
          </w:p>
        </w:tc>
        <w:tc>
          <w:tcPr>
            <w:tcW w:w="800" w:type="dxa"/>
            <w:tcBorders>
              <w:top w:val="nil"/>
              <w:left w:val="double" w:sz="6" w:space="0" w:color="C2D69B" w:themeColor="accent3" w:themeTint="99"/>
              <w:bottom w:val="thinThickSmallGap" w:sz="24" w:space="0" w:color="C2D69B" w:themeColor="accent3" w:themeTint="99"/>
              <w:right w:val="thinThickSmallGap" w:sz="12" w:space="0" w:color="C2D69B" w:themeColor="accent3" w:themeTint="99"/>
            </w:tcBorders>
            <w:shd w:val="clear" w:color="000000" w:fill="EAF1DD" w:themeFill="accent3" w:themeFillTint="33"/>
            <w:noWrap/>
            <w:tcMar>
              <w:right w:w="85" w:type="dxa"/>
            </w:tcMar>
            <w:vAlign w:val="center"/>
            <w:hideMark/>
          </w:tcPr>
          <w:p w:rsidR="00A64211" w:rsidRPr="00947656" w:rsidRDefault="00A64211" w:rsidP="0027265B">
            <w:pPr>
              <w:widowControl/>
              <w:adjustRightInd/>
              <w:spacing w:line="280" w:lineRule="exact"/>
              <w:jc w:val="right"/>
              <w:textAlignment w:val="auto"/>
              <w:rPr>
                <w:sz w:val="16"/>
                <w:szCs w:val="16"/>
              </w:rPr>
            </w:pPr>
            <w:r w:rsidRPr="00947656">
              <w:rPr>
                <w:sz w:val="16"/>
                <w:szCs w:val="16"/>
              </w:rPr>
              <w:t>105,074</w:t>
            </w:r>
          </w:p>
        </w:tc>
        <w:tc>
          <w:tcPr>
            <w:tcW w:w="809" w:type="dxa"/>
            <w:tcBorders>
              <w:top w:val="nil"/>
              <w:left w:val="thinThickSmallGap" w:sz="12" w:space="0" w:color="C2D69B" w:themeColor="accent3" w:themeTint="99"/>
              <w:bottom w:val="thinThickSmallGap" w:sz="24" w:space="0" w:color="C2D69B" w:themeColor="accent3" w:themeTint="99"/>
              <w:right w:val="thinThickThinSmallGap" w:sz="24" w:space="0" w:color="C2D69B" w:themeColor="accent3" w:themeTint="99"/>
            </w:tcBorders>
            <w:shd w:val="clear" w:color="000000" w:fill="EAF1DD" w:themeFill="accent3" w:themeFillTint="33"/>
            <w:tcMar>
              <w:right w:w="284" w:type="dxa"/>
            </w:tcMar>
            <w:vAlign w:val="center"/>
          </w:tcPr>
          <w:p w:rsidR="00A64211" w:rsidRPr="00813771" w:rsidRDefault="00A64211" w:rsidP="0027265B">
            <w:pPr>
              <w:widowControl/>
              <w:adjustRightInd/>
              <w:spacing w:line="280" w:lineRule="exact"/>
              <w:jc w:val="right"/>
              <w:textAlignment w:val="auto"/>
              <w:rPr>
                <w:sz w:val="16"/>
                <w:szCs w:val="16"/>
              </w:rPr>
            </w:pPr>
            <w:r w:rsidRPr="00813771">
              <w:rPr>
                <w:rFonts w:eastAsia="標楷體"/>
                <w:sz w:val="16"/>
                <w:szCs w:val="16"/>
              </w:rPr>
              <w:t>1.0</w:t>
            </w:r>
            <w:r w:rsidRPr="00813771">
              <w:rPr>
                <w:sz w:val="16"/>
                <w:szCs w:val="16"/>
              </w:rPr>
              <w:t xml:space="preserve"> </w:t>
            </w:r>
          </w:p>
        </w:tc>
      </w:tr>
    </w:tbl>
    <w:p w:rsidR="009E651D" w:rsidRPr="00947656" w:rsidRDefault="009E651D" w:rsidP="00730DFA">
      <w:pPr>
        <w:pStyle w:val="a5"/>
        <w:spacing w:beforeLines="100" w:after="120"/>
        <w:ind w:leftChars="119" w:left="624" w:hangingChars="130" w:hanging="338"/>
        <w:jc w:val="both"/>
        <w:rPr>
          <w:rFonts w:eastAsia="標楷體"/>
          <w:b/>
          <w:sz w:val="26"/>
          <w:szCs w:val="26"/>
        </w:rPr>
      </w:pPr>
      <w:r w:rsidRPr="00947656">
        <w:rPr>
          <w:rFonts w:eastAsia="標楷體"/>
          <w:b/>
          <w:sz w:val="26"/>
          <w:szCs w:val="26"/>
        </w:rPr>
        <w:t>c.</w:t>
      </w:r>
      <w:r w:rsidR="00AF0A86" w:rsidRPr="00AF0A86">
        <w:rPr>
          <w:b/>
          <w:bCs/>
          <w:sz w:val="26"/>
          <w:szCs w:val="26"/>
        </w:rPr>
        <w:t xml:space="preserve"> </w:t>
      </w:r>
      <w:r w:rsidR="004114E3">
        <w:rPr>
          <w:rFonts w:hint="eastAsia"/>
          <w:b/>
          <w:bCs/>
          <w:sz w:val="26"/>
          <w:szCs w:val="26"/>
        </w:rPr>
        <w:t>Medical c</w:t>
      </w:r>
      <w:r w:rsidR="00AF0A86" w:rsidRPr="009B2815">
        <w:rPr>
          <w:b/>
          <w:bCs/>
          <w:sz w:val="26"/>
          <w:szCs w:val="26"/>
        </w:rPr>
        <w:t>laims by males were slightly higher than those by females.</w:t>
      </w:r>
    </w:p>
    <w:p w:rsidR="009E651D" w:rsidRPr="00947656" w:rsidRDefault="00AF0A86" w:rsidP="00950363">
      <w:pPr>
        <w:pStyle w:val="a5"/>
        <w:spacing w:after="240" w:line="380" w:lineRule="atLeast"/>
        <w:ind w:leftChars="236" w:left="566" w:firstLineChars="218" w:firstLine="567"/>
        <w:jc w:val="both"/>
        <w:rPr>
          <w:rFonts w:eastAsia="標楷體"/>
          <w:sz w:val="26"/>
          <w:szCs w:val="26"/>
        </w:rPr>
      </w:pPr>
      <w:r w:rsidRPr="009B2815">
        <w:rPr>
          <w:sz w:val="26"/>
          <w:szCs w:val="26"/>
        </w:rPr>
        <w:t xml:space="preserve">In 2011, the total outpatient claims on major illness/injury filed by males amounted to 40 billion RVU, a 7.8% increase from the previous year. The claims from females amounted to </w:t>
      </w:r>
      <w:r w:rsidR="004114E3">
        <w:rPr>
          <w:rFonts w:hint="eastAsia"/>
          <w:sz w:val="26"/>
          <w:szCs w:val="26"/>
        </w:rPr>
        <w:t>40</w:t>
      </w:r>
      <w:r w:rsidRPr="009B2815">
        <w:rPr>
          <w:sz w:val="26"/>
          <w:szCs w:val="26"/>
        </w:rPr>
        <w:t xml:space="preserve"> billion RVU, an increase of 6.9% from the previous year. Uremia accounted for the largest proportion of claims for both genders</w:t>
      </w:r>
      <w:r w:rsidR="004114E3">
        <w:rPr>
          <w:rFonts w:hint="eastAsia"/>
          <w:sz w:val="26"/>
          <w:szCs w:val="26"/>
        </w:rPr>
        <w:t xml:space="preserve"> (</w:t>
      </w:r>
      <w:r w:rsidRPr="009B2815">
        <w:rPr>
          <w:sz w:val="26"/>
          <w:szCs w:val="26"/>
        </w:rPr>
        <w:t>45.5% and 49.6% respectively</w:t>
      </w:r>
      <w:r w:rsidR="004114E3">
        <w:rPr>
          <w:rFonts w:hint="eastAsia"/>
          <w:sz w:val="26"/>
          <w:szCs w:val="26"/>
        </w:rPr>
        <w:t>)</w:t>
      </w:r>
      <w:r w:rsidRPr="009B2815">
        <w:rPr>
          <w:sz w:val="26"/>
          <w:szCs w:val="26"/>
        </w:rPr>
        <w:t>. Cancers requiring active or lifelong treatments ranked the second in both genders</w:t>
      </w:r>
      <w:r w:rsidR="004114E3">
        <w:rPr>
          <w:rFonts w:hint="eastAsia"/>
          <w:sz w:val="26"/>
          <w:szCs w:val="26"/>
        </w:rPr>
        <w:t xml:space="preserve"> (</w:t>
      </w:r>
      <w:r w:rsidRPr="009B2815">
        <w:rPr>
          <w:sz w:val="26"/>
          <w:szCs w:val="26"/>
        </w:rPr>
        <w:t>31.0% and 31.2% respectively</w:t>
      </w:r>
      <w:r w:rsidR="004114E3">
        <w:rPr>
          <w:rFonts w:hint="eastAsia"/>
          <w:sz w:val="26"/>
          <w:szCs w:val="26"/>
        </w:rPr>
        <w:t>)</w:t>
      </w:r>
      <w:r w:rsidRPr="009B2815">
        <w:rPr>
          <w:sz w:val="26"/>
          <w:szCs w:val="26"/>
        </w:rPr>
        <w:t xml:space="preserve">. </w:t>
      </w:r>
      <w:r w:rsidR="004114E3">
        <w:rPr>
          <w:rFonts w:hint="eastAsia"/>
          <w:sz w:val="26"/>
          <w:szCs w:val="26"/>
        </w:rPr>
        <w:t>C</w:t>
      </w:r>
      <w:r w:rsidRPr="009B2815">
        <w:rPr>
          <w:sz w:val="26"/>
          <w:szCs w:val="26"/>
        </w:rPr>
        <w:t xml:space="preserve">ongenital coagulation disorders (Hemophilia) </w:t>
      </w:r>
      <w:r w:rsidR="004114E3">
        <w:rPr>
          <w:rFonts w:hint="eastAsia"/>
          <w:sz w:val="26"/>
          <w:szCs w:val="26"/>
        </w:rPr>
        <w:t xml:space="preserve">and </w:t>
      </w:r>
      <w:r w:rsidR="004114E3" w:rsidRPr="009B2815">
        <w:rPr>
          <w:sz w:val="26"/>
          <w:szCs w:val="26"/>
        </w:rPr>
        <w:t xml:space="preserve">autoimmune diseases </w:t>
      </w:r>
      <w:r w:rsidRPr="009B2815">
        <w:rPr>
          <w:sz w:val="26"/>
          <w:szCs w:val="26"/>
        </w:rPr>
        <w:t xml:space="preserve">ranked the third </w:t>
      </w:r>
      <w:r w:rsidR="004114E3">
        <w:rPr>
          <w:rFonts w:hint="eastAsia"/>
          <w:sz w:val="26"/>
          <w:szCs w:val="26"/>
        </w:rPr>
        <w:t xml:space="preserve">for male </w:t>
      </w:r>
      <w:r w:rsidR="004114E3" w:rsidRPr="009B2815">
        <w:rPr>
          <w:sz w:val="26"/>
          <w:szCs w:val="26"/>
        </w:rPr>
        <w:t>(6.5%)</w:t>
      </w:r>
      <w:r w:rsidR="004114E3">
        <w:rPr>
          <w:rFonts w:hint="eastAsia"/>
          <w:sz w:val="26"/>
          <w:szCs w:val="26"/>
        </w:rPr>
        <w:t xml:space="preserve"> and </w:t>
      </w:r>
      <w:r w:rsidR="00C87550">
        <w:rPr>
          <w:rFonts w:hint="eastAsia"/>
          <w:sz w:val="26"/>
          <w:szCs w:val="26"/>
        </w:rPr>
        <w:t xml:space="preserve">for </w:t>
      </w:r>
      <w:r w:rsidR="004114E3">
        <w:rPr>
          <w:rFonts w:hint="eastAsia"/>
          <w:sz w:val="26"/>
          <w:szCs w:val="26"/>
        </w:rPr>
        <w:t xml:space="preserve">female </w:t>
      </w:r>
      <w:r w:rsidR="004114E3">
        <w:rPr>
          <w:sz w:val="26"/>
          <w:szCs w:val="26"/>
        </w:rPr>
        <w:t>(6.</w:t>
      </w:r>
      <w:r w:rsidR="004114E3">
        <w:rPr>
          <w:rFonts w:hint="eastAsia"/>
          <w:sz w:val="26"/>
          <w:szCs w:val="26"/>
        </w:rPr>
        <w:t>2</w:t>
      </w:r>
      <w:r w:rsidR="004114E3" w:rsidRPr="009B2815">
        <w:rPr>
          <w:sz w:val="26"/>
          <w:szCs w:val="26"/>
        </w:rPr>
        <w:t>%)</w:t>
      </w:r>
      <w:r w:rsidR="004114E3">
        <w:rPr>
          <w:rFonts w:hint="eastAsia"/>
          <w:sz w:val="26"/>
          <w:szCs w:val="26"/>
        </w:rPr>
        <w:t xml:space="preserve"> respectively</w:t>
      </w:r>
      <w:r w:rsidRPr="009B2815">
        <w:rPr>
          <w:sz w:val="26"/>
          <w:szCs w:val="26"/>
        </w:rPr>
        <w:t xml:space="preserve">. </w:t>
      </w:r>
    </w:p>
    <w:tbl>
      <w:tblPr>
        <w:tblW w:w="8606" w:type="dxa"/>
        <w:tblInd w:w="737" w:type="dxa"/>
        <w:tblCellMar>
          <w:left w:w="28" w:type="dxa"/>
          <w:right w:w="28" w:type="dxa"/>
        </w:tblCellMar>
        <w:tblLook w:val="04A0"/>
      </w:tblPr>
      <w:tblGrid>
        <w:gridCol w:w="3323"/>
        <w:gridCol w:w="1048"/>
        <w:gridCol w:w="3169"/>
        <w:gridCol w:w="1066"/>
      </w:tblGrid>
      <w:tr w:rsidR="009E651D" w:rsidRPr="00947656" w:rsidTr="0027265B">
        <w:trPr>
          <w:trHeight w:val="330"/>
        </w:trPr>
        <w:tc>
          <w:tcPr>
            <w:tcW w:w="8606" w:type="dxa"/>
            <w:gridSpan w:val="4"/>
            <w:tcBorders>
              <w:top w:val="nil"/>
              <w:left w:val="nil"/>
              <w:bottom w:val="nil"/>
              <w:right w:val="nil"/>
            </w:tcBorders>
            <w:shd w:val="clear" w:color="auto" w:fill="auto"/>
            <w:noWrap/>
            <w:vAlign w:val="bottom"/>
            <w:hideMark/>
          </w:tcPr>
          <w:p w:rsidR="009E651D" w:rsidRPr="00947656" w:rsidRDefault="00B23CDD" w:rsidP="00730DFA">
            <w:pPr>
              <w:widowControl/>
              <w:adjustRightInd/>
              <w:spacing w:afterLines="25" w:line="240" w:lineRule="auto"/>
              <w:jc w:val="center"/>
              <w:textAlignment w:val="auto"/>
              <w:rPr>
                <w:rFonts w:eastAsia="標楷體"/>
                <w:sz w:val="20"/>
              </w:rPr>
            </w:pPr>
            <w:r>
              <w:rPr>
                <w:rFonts w:eastAsia="標楷體" w:hint="eastAsia"/>
                <w:sz w:val="20"/>
              </w:rPr>
              <w:t xml:space="preserve">Table </w:t>
            </w:r>
            <w:r w:rsidR="00C63595" w:rsidRPr="00947656">
              <w:rPr>
                <w:rFonts w:eastAsia="標楷體"/>
                <w:sz w:val="20"/>
              </w:rPr>
              <w:t>3</w:t>
            </w:r>
            <w:r>
              <w:rPr>
                <w:rFonts w:eastAsia="標楷體" w:hint="eastAsia"/>
                <w:sz w:val="20"/>
              </w:rPr>
              <w:t xml:space="preserve"> </w:t>
            </w:r>
            <w:r w:rsidR="00C63595" w:rsidRPr="00947656">
              <w:rPr>
                <w:rFonts w:eastAsia="標楷體"/>
                <w:sz w:val="20"/>
              </w:rPr>
              <w:t xml:space="preserve"> </w:t>
            </w:r>
            <w:r>
              <w:rPr>
                <w:rFonts w:eastAsia="標楷體" w:hint="eastAsia"/>
                <w:sz w:val="20"/>
              </w:rPr>
              <w:t>Top 10 Outpatient Major Illness/Injury in 2011 by Gender</w:t>
            </w:r>
          </w:p>
        </w:tc>
      </w:tr>
      <w:tr w:rsidR="009E651D" w:rsidRPr="00947656" w:rsidTr="00950363">
        <w:trPr>
          <w:trHeight w:val="283"/>
        </w:trPr>
        <w:tc>
          <w:tcPr>
            <w:tcW w:w="3323" w:type="dxa"/>
            <w:tcBorders>
              <w:top w:val="thickThinSmallGap" w:sz="24" w:space="0" w:color="C2D69B" w:themeColor="accent3" w:themeTint="99"/>
              <w:left w:val="thickThinSmallGap" w:sz="24" w:space="0" w:color="C2D69B" w:themeColor="accent3" w:themeTint="99"/>
              <w:bottom w:val="thinThickSmallGap" w:sz="24" w:space="0" w:color="C2D69B" w:themeColor="accent3" w:themeTint="99"/>
              <w:right w:val="double" w:sz="6" w:space="0" w:color="C2D69B" w:themeColor="accent3" w:themeTint="99"/>
            </w:tcBorders>
            <w:shd w:val="clear" w:color="auto" w:fill="E9F0DC"/>
            <w:noWrap/>
            <w:vAlign w:val="center"/>
            <w:hideMark/>
          </w:tcPr>
          <w:p w:rsidR="009E651D" w:rsidRPr="00947656" w:rsidRDefault="00AD0491" w:rsidP="00B4522F">
            <w:pPr>
              <w:widowControl/>
              <w:adjustRightInd/>
              <w:spacing w:line="240" w:lineRule="auto"/>
              <w:jc w:val="center"/>
              <w:textAlignment w:val="auto"/>
              <w:rPr>
                <w:rFonts w:eastAsia="標楷體"/>
                <w:sz w:val="18"/>
                <w:szCs w:val="18"/>
              </w:rPr>
            </w:pPr>
            <w:r>
              <w:rPr>
                <w:rFonts w:eastAsia="標楷體" w:hint="eastAsia"/>
                <w:sz w:val="18"/>
                <w:szCs w:val="18"/>
              </w:rPr>
              <w:t>Male</w:t>
            </w:r>
          </w:p>
        </w:tc>
        <w:tc>
          <w:tcPr>
            <w:tcW w:w="1048" w:type="dxa"/>
            <w:tcBorders>
              <w:top w:val="thickThinSmallGap" w:sz="24" w:space="0" w:color="C2D69B" w:themeColor="accent3" w:themeTint="99"/>
              <w:left w:val="double" w:sz="6" w:space="0" w:color="C2D69B" w:themeColor="accent3" w:themeTint="99"/>
              <w:bottom w:val="thinThickSmallGap" w:sz="24" w:space="0" w:color="C2D69B" w:themeColor="accent3" w:themeTint="99"/>
            </w:tcBorders>
            <w:shd w:val="clear" w:color="auto" w:fill="E9F0DC"/>
            <w:noWrap/>
            <w:vAlign w:val="center"/>
            <w:hideMark/>
          </w:tcPr>
          <w:p w:rsidR="009E651D" w:rsidRPr="00947656" w:rsidRDefault="00AD0491" w:rsidP="00B4522F">
            <w:pPr>
              <w:widowControl/>
              <w:adjustRightInd/>
              <w:spacing w:line="240" w:lineRule="auto"/>
              <w:jc w:val="center"/>
              <w:textAlignment w:val="auto"/>
              <w:rPr>
                <w:rFonts w:eastAsia="標楷體"/>
                <w:sz w:val="18"/>
                <w:szCs w:val="18"/>
              </w:rPr>
            </w:pPr>
            <w:r>
              <w:rPr>
                <w:rFonts w:eastAsia="標楷體" w:hint="eastAsia"/>
                <w:sz w:val="18"/>
                <w:szCs w:val="18"/>
              </w:rPr>
              <w:t>%</w:t>
            </w:r>
          </w:p>
        </w:tc>
        <w:tc>
          <w:tcPr>
            <w:tcW w:w="3169" w:type="dxa"/>
            <w:tcBorders>
              <w:top w:val="thickThinSmallGap" w:sz="24" w:space="0" w:color="FFE265"/>
              <w:left w:val="nil"/>
              <w:bottom w:val="thinThickSmallGap" w:sz="24" w:space="0" w:color="FFE265"/>
              <w:right w:val="double" w:sz="6" w:space="0" w:color="FFE265"/>
            </w:tcBorders>
            <w:shd w:val="clear" w:color="auto" w:fill="FFFFC9"/>
            <w:noWrap/>
            <w:vAlign w:val="center"/>
            <w:hideMark/>
          </w:tcPr>
          <w:p w:rsidR="009E651D" w:rsidRPr="00947656" w:rsidRDefault="00AD0491" w:rsidP="00B4522F">
            <w:pPr>
              <w:widowControl/>
              <w:adjustRightInd/>
              <w:spacing w:line="240" w:lineRule="auto"/>
              <w:jc w:val="center"/>
              <w:textAlignment w:val="auto"/>
              <w:rPr>
                <w:rFonts w:eastAsia="標楷體"/>
                <w:sz w:val="18"/>
                <w:szCs w:val="18"/>
              </w:rPr>
            </w:pPr>
            <w:r>
              <w:rPr>
                <w:rFonts w:eastAsia="標楷體" w:hint="eastAsia"/>
                <w:sz w:val="18"/>
                <w:szCs w:val="18"/>
              </w:rPr>
              <w:t>Female</w:t>
            </w:r>
          </w:p>
        </w:tc>
        <w:tc>
          <w:tcPr>
            <w:tcW w:w="1066" w:type="dxa"/>
            <w:tcBorders>
              <w:top w:val="thickThinSmallGap" w:sz="24" w:space="0" w:color="FFE265"/>
              <w:left w:val="double" w:sz="6" w:space="0" w:color="FFE265"/>
              <w:bottom w:val="thinThickSmallGap" w:sz="24" w:space="0" w:color="FFE265"/>
              <w:right w:val="thinThickSmallGap" w:sz="24" w:space="0" w:color="FFE265"/>
            </w:tcBorders>
            <w:shd w:val="clear" w:color="auto" w:fill="FFFFC9"/>
            <w:noWrap/>
            <w:vAlign w:val="center"/>
            <w:hideMark/>
          </w:tcPr>
          <w:p w:rsidR="009E651D" w:rsidRPr="00947656" w:rsidRDefault="00AD0491" w:rsidP="00B4522F">
            <w:pPr>
              <w:widowControl/>
              <w:adjustRightInd/>
              <w:spacing w:line="240" w:lineRule="auto"/>
              <w:jc w:val="center"/>
              <w:textAlignment w:val="auto"/>
              <w:rPr>
                <w:rFonts w:eastAsia="標楷體"/>
                <w:sz w:val="18"/>
                <w:szCs w:val="18"/>
              </w:rPr>
            </w:pPr>
            <w:r>
              <w:rPr>
                <w:rFonts w:eastAsia="標楷體" w:hint="eastAsia"/>
                <w:sz w:val="18"/>
                <w:szCs w:val="18"/>
              </w:rPr>
              <w:t>%</w:t>
            </w:r>
          </w:p>
        </w:tc>
      </w:tr>
      <w:tr w:rsidR="00FB20EA" w:rsidRPr="00947656" w:rsidTr="00A64211">
        <w:trPr>
          <w:trHeight w:hRule="exact" w:val="312"/>
        </w:trPr>
        <w:tc>
          <w:tcPr>
            <w:tcW w:w="3323" w:type="dxa"/>
            <w:tcBorders>
              <w:top w:val="thinThickSmallGap" w:sz="24" w:space="0" w:color="C2D69B" w:themeColor="accent3" w:themeTint="99"/>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FB20EA" w:rsidRPr="00AD0491" w:rsidRDefault="00FB20EA" w:rsidP="00AD0491">
            <w:pPr>
              <w:widowControl/>
              <w:adjustRightInd/>
              <w:snapToGrid w:val="0"/>
              <w:spacing w:line="240" w:lineRule="auto"/>
              <w:textAlignment w:val="auto"/>
              <w:rPr>
                <w:color w:val="000000"/>
                <w:sz w:val="16"/>
                <w:szCs w:val="16"/>
              </w:rPr>
            </w:pPr>
            <w:r w:rsidRPr="00AD0491">
              <w:rPr>
                <w:color w:val="000000"/>
                <w:sz w:val="16"/>
                <w:szCs w:val="16"/>
              </w:rPr>
              <w:t>End-stage renal disease</w:t>
            </w:r>
            <w:r w:rsidR="00B21770">
              <w:rPr>
                <w:rFonts w:hint="eastAsia"/>
                <w:color w:val="000000"/>
                <w:sz w:val="16"/>
                <w:szCs w:val="16"/>
              </w:rPr>
              <w:t xml:space="preserve"> (Uremia)</w:t>
            </w:r>
          </w:p>
        </w:tc>
        <w:tc>
          <w:tcPr>
            <w:tcW w:w="1048" w:type="dxa"/>
            <w:tcBorders>
              <w:top w:val="thinThickSmallGap" w:sz="24" w:space="0" w:color="C2D69B" w:themeColor="accent3" w:themeTint="99"/>
              <w:left w:val="double" w:sz="6" w:space="0" w:color="C2D69B" w:themeColor="accent3" w:themeTint="99"/>
              <w:bottom w:val="nil"/>
            </w:tcBorders>
            <w:shd w:val="clear" w:color="auto" w:fill="E9F0DC"/>
            <w:noWrap/>
            <w:tcMar>
              <w:right w:w="369" w:type="dxa"/>
            </w:tcMar>
            <w:vAlign w:val="center"/>
            <w:hideMark/>
          </w:tcPr>
          <w:p w:rsidR="00FB20EA" w:rsidRPr="00947656" w:rsidRDefault="00FB20EA" w:rsidP="00BF08B4">
            <w:pPr>
              <w:widowControl/>
              <w:adjustRightInd/>
              <w:spacing w:line="200" w:lineRule="exact"/>
              <w:jc w:val="right"/>
              <w:textAlignment w:val="auto"/>
              <w:rPr>
                <w:sz w:val="16"/>
                <w:szCs w:val="16"/>
              </w:rPr>
            </w:pPr>
            <w:r w:rsidRPr="00947656">
              <w:rPr>
                <w:sz w:val="16"/>
                <w:szCs w:val="16"/>
              </w:rPr>
              <w:t xml:space="preserve">45.5 </w:t>
            </w:r>
          </w:p>
        </w:tc>
        <w:tc>
          <w:tcPr>
            <w:tcW w:w="3169" w:type="dxa"/>
            <w:tcBorders>
              <w:top w:val="nil"/>
              <w:left w:val="nil"/>
              <w:bottom w:val="nil"/>
              <w:right w:val="double" w:sz="6" w:space="0" w:color="FFE265"/>
            </w:tcBorders>
            <w:shd w:val="clear" w:color="auto" w:fill="FFFFC9"/>
            <w:noWrap/>
            <w:tcMar>
              <w:left w:w="85" w:type="dxa"/>
              <w:right w:w="85" w:type="dxa"/>
            </w:tcMar>
            <w:vAlign w:val="center"/>
            <w:hideMark/>
          </w:tcPr>
          <w:p w:rsidR="00FB20EA" w:rsidRPr="00AD0491" w:rsidRDefault="00FB20EA" w:rsidP="00FB20EA">
            <w:pPr>
              <w:widowControl/>
              <w:adjustRightInd/>
              <w:snapToGrid w:val="0"/>
              <w:spacing w:line="240" w:lineRule="auto"/>
              <w:textAlignment w:val="auto"/>
              <w:rPr>
                <w:color w:val="000000"/>
                <w:sz w:val="16"/>
                <w:szCs w:val="16"/>
              </w:rPr>
            </w:pPr>
            <w:r w:rsidRPr="00AD0491">
              <w:rPr>
                <w:color w:val="000000"/>
                <w:sz w:val="16"/>
                <w:szCs w:val="16"/>
              </w:rPr>
              <w:t>End-stage renal disease</w:t>
            </w:r>
            <w:r w:rsidR="00B21770">
              <w:rPr>
                <w:rFonts w:hint="eastAsia"/>
                <w:color w:val="000000"/>
                <w:sz w:val="16"/>
                <w:szCs w:val="16"/>
              </w:rPr>
              <w:t xml:space="preserve"> (Uremia)</w:t>
            </w:r>
          </w:p>
        </w:tc>
        <w:tc>
          <w:tcPr>
            <w:tcW w:w="1066" w:type="dxa"/>
            <w:tcBorders>
              <w:top w:val="nil"/>
              <w:left w:val="double" w:sz="6" w:space="0" w:color="FFE265"/>
              <w:bottom w:val="nil"/>
              <w:right w:val="thinThickSmallGap" w:sz="24" w:space="0" w:color="FFE265"/>
            </w:tcBorders>
            <w:shd w:val="clear" w:color="auto" w:fill="FFFFC9"/>
            <w:noWrap/>
            <w:tcMar>
              <w:right w:w="369" w:type="dxa"/>
            </w:tcMar>
            <w:vAlign w:val="center"/>
            <w:hideMark/>
          </w:tcPr>
          <w:p w:rsidR="00FB20EA" w:rsidRPr="00947656" w:rsidRDefault="00FB20EA" w:rsidP="00BF08B4">
            <w:pPr>
              <w:widowControl/>
              <w:adjustRightInd/>
              <w:spacing w:line="200" w:lineRule="exact"/>
              <w:jc w:val="right"/>
              <w:textAlignment w:val="auto"/>
              <w:rPr>
                <w:sz w:val="16"/>
                <w:szCs w:val="16"/>
              </w:rPr>
            </w:pPr>
            <w:r w:rsidRPr="00947656">
              <w:rPr>
                <w:sz w:val="16"/>
                <w:szCs w:val="16"/>
              </w:rPr>
              <w:t xml:space="preserve">49.6 </w:t>
            </w:r>
          </w:p>
        </w:tc>
      </w:tr>
      <w:tr w:rsidR="00FB20EA" w:rsidRPr="00947656" w:rsidTr="00A64211">
        <w:trPr>
          <w:trHeight w:hRule="exact" w:val="312"/>
        </w:trPr>
        <w:tc>
          <w:tcPr>
            <w:tcW w:w="3323" w:type="dxa"/>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FB20EA" w:rsidRPr="00AD0491" w:rsidRDefault="00FB20EA" w:rsidP="00AD0491">
            <w:pPr>
              <w:widowControl/>
              <w:adjustRightInd/>
              <w:snapToGrid w:val="0"/>
              <w:spacing w:line="240" w:lineRule="auto"/>
              <w:textAlignment w:val="auto"/>
              <w:rPr>
                <w:color w:val="000000"/>
                <w:sz w:val="16"/>
                <w:szCs w:val="16"/>
              </w:rPr>
            </w:pPr>
            <w:r w:rsidRPr="00AD0491">
              <w:rPr>
                <w:color w:val="000000"/>
                <w:sz w:val="16"/>
                <w:szCs w:val="16"/>
              </w:rPr>
              <w:t>Cancer</w:t>
            </w:r>
          </w:p>
        </w:tc>
        <w:tc>
          <w:tcPr>
            <w:tcW w:w="1048" w:type="dxa"/>
            <w:tcBorders>
              <w:top w:val="nil"/>
              <w:left w:val="double" w:sz="6" w:space="0" w:color="C2D69B" w:themeColor="accent3" w:themeTint="99"/>
              <w:bottom w:val="nil"/>
            </w:tcBorders>
            <w:shd w:val="clear" w:color="auto" w:fill="E9F0DC"/>
            <w:noWrap/>
            <w:tcMar>
              <w:right w:w="369" w:type="dxa"/>
            </w:tcMar>
            <w:vAlign w:val="center"/>
            <w:hideMark/>
          </w:tcPr>
          <w:p w:rsidR="00FB20EA" w:rsidRPr="00947656" w:rsidRDefault="00FB20EA" w:rsidP="00BF08B4">
            <w:pPr>
              <w:widowControl/>
              <w:adjustRightInd/>
              <w:spacing w:line="200" w:lineRule="exact"/>
              <w:jc w:val="right"/>
              <w:textAlignment w:val="auto"/>
              <w:rPr>
                <w:sz w:val="16"/>
                <w:szCs w:val="16"/>
              </w:rPr>
            </w:pPr>
            <w:r w:rsidRPr="00947656">
              <w:rPr>
                <w:sz w:val="16"/>
                <w:szCs w:val="16"/>
              </w:rPr>
              <w:t xml:space="preserve">31.0 </w:t>
            </w:r>
          </w:p>
        </w:tc>
        <w:tc>
          <w:tcPr>
            <w:tcW w:w="3169" w:type="dxa"/>
            <w:tcBorders>
              <w:top w:val="nil"/>
              <w:left w:val="nil"/>
              <w:bottom w:val="nil"/>
              <w:right w:val="double" w:sz="6" w:space="0" w:color="FFE265"/>
            </w:tcBorders>
            <w:shd w:val="clear" w:color="auto" w:fill="FFFFC9"/>
            <w:noWrap/>
            <w:tcMar>
              <w:left w:w="85" w:type="dxa"/>
              <w:right w:w="85" w:type="dxa"/>
            </w:tcMar>
            <w:vAlign w:val="center"/>
            <w:hideMark/>
          </w:tcPr>
          <w:p w:rsidR="00FB20EA" w:rsidRPr="00AD0491" w:rsidRDefault="00FB20EA" w:rsidP="00FB20EA">
            <w:pPr>
              <w:widowControl/>
              <w:adjustRightInd/>
              <w:snapToGrid w:val="0"/>
              <w:spacing w:line="240" w:lineRule="auto"/>
              <w:textAlignment w:val="auto"/>
              <w:rPr>
                <w:color w:val="000000"/>
                <w:sz w:val="16"/>
                <w:szCs w:val="16"/>
              </w:rPr>
            </w:pPr>
            <w:r w:rsidRPr="00AD0491">
              <w:rPr>
                <w:color w:val="000000"/>
                <w:sz w:val="16"/>
                <w:szCs w:val="16"/>
              </w:rPr>
              <w:t>Cancer</w:t>
            </w:r>
          </w:p>
        </w:tc>
        <w:tc>
          <w:tcPr>
            <w:tcW w:w="1066" w:type="dxa"/>
            <w:tcBorders>
              <w:top w:val="nil"/>
              <w:left w:val="double" w:sz="6" w:space="0" w:color="FFE265"/>
              <w:bottom w:val="nil"/>
              <w:right w:val="thinThickSmallGap" w:sz="24" w:space="0" w:color="FFE265"/>
            </w:tcBorders>
            <w:shd w:val="clear" w:color="auto" w:fill="FFFFC9"/>
            <w:noWrap/>
            <w:tcMar>
              <w:right w:w="369" w:type="dxa"/>
            </w:tcMar>
            <w:vAlign w:val="center"/>
            <w:hideMark/>
          </w:tcPr>
          <w:p w:rsidR="00FB20EA" w:rsidRPr="00947656" w:rsidRDefault="00FB20EA" w:rsidP="00BF08B4">
            <w:pPr>
              <w:widowControl/>
              <w:adjustRightInd/>
              <w:spacing w:line="200" w:lineRule="exact"/>
              <w:jc w:val="right"/>
              <w:textAlignment w:val="auto"/>
              <w:rPr>
                <w:sz w:val="16"/>
                <w:szCs w:val="16"/>
              </w:rPr>
            </w:pPr>
            <w:r w:rsidRPr="00947656">
              <w:rPr>
                <w:sz w:val="16"/>
                <w:szCs w:val="16"/>
              </w:rPr>
              <w:t xml:space="preserve">31.2 </w:t>
            </w:r>
          </w:p>
        </w:tc>
      </w:tr>
      <w:tr w:rsidR="00D702ED" w:rsidRPr="00947656" w:rsidTr="00A64211">
        <w:trPr>
          <w:trHeight w:hRule="exact" w:val="312"/>
        </w:trPr>
        <w:tc>
          <w:tcPr>
            <w:tcW w:w="3323" w:type="dxa"/>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D702ED" w:rsidRPr="00947656" w:rsidRDefault="00B21770" w:rsidP="00D702ED">
            <w:pPr>
              <w:widowControl/>
              <w:adjustRightInd/>
              <w:spacing w:line="200" w:lineRule="exact"/>
              <w:jc w:val="both"/>
              <w:textAlignment w:val="auto"/>
              <w:rPr>
                <w:rFonts w:eastAsia="標楷體"/>
                <w:sz w:val="16"/>
                <w:szCs w:val="16"/>
              </w:rPr>
            </w:pPr>
            <w:r w:rsidRPr="00347E2F">
              <w:rPr>
                <w:color w:val="000000"/>
                <w:sz w:val="16"/>
                <w:szCs w:val="16"/>
              </w:rPr>
              <w:t>Congenital coagulation disorder</w:t>
            </w:r>
            <w:r>
              <w:rPr>
                <w:rFonts w:hint="eastAsia"/>
                <w:color w:val="000000"/>
                <w:sz w:val="16"/>
                <w:szCs w:val="16"/>
              </w:rPr>
              <w:t xml:space="preserve"> </w:t>
            </w:r>
            <w:r w:rsidRPr="00CD7809">
              <w:rPr>
                <w:color w:val="000000"/>
                <w:sz w:val="16"/>
                <w:szCs w:val="16"/>
              </w:rPr>
              <w:t>(Hemophilia)</w:t>
            </w:r>
          </w:p>
        </w:tc>
        <w:tc>
          <w:tcPr>
            <w:tcW w:w="1048" w:type="dxa"/>
            <w:tcBorders>
              <w:top w:val="nil"/>
              <w:left w:val="double" w:sz="6" w:space="0" w:color="C2D69B" w:themeColor="accent3" w:themeTint="99"/>
              <w:bottom w:val="nil"/>
            </w:tcBorders>
            <w:shd w:val="clear" w:color="auto" w:fill="E9F0DC"/>
            <w:noWrap/>
            <w:tcMar>
              <w:right w:w="369" w:type="dxa"/>
            </w:tcMar>
            <w:vAlign w:val="center"/>
            <w:hideMark/>
          </w:tcPr>
          <w:p w:rsidR="00D702ED" w:rsidRPr="00947656" w:rsidRDefault="00D702ED" w:rsidP="00BF08B4">
            <w:pPr>
              <w:widowControl/>
              <w:adjustRightInd/>
              <w:spacing w:line="200" w:lineRule="exact"/>
              <w:jc w:val="right"/>
              <w:textAlignment w:val="auto"/>
              <w:rPr>
                <w:sz w:val="16"/>
                <w:szCs w:val="16"/>
              </w:rPr>
            </w:pPr>
            <w:r w:rsidRPr="00947656">
              <w:rPr>
                <w:sz w:val="16"/>
                <w:szCs w:val="16"/>
              </w:rPr>
              <w:t xml:space="preserve">6.5 </w:t>
            </w:r>
          </w:p>
        </w:tc>
        <w:tc>
          <w:tcPr>
            <w:tcW w:w="3169" w:type="dxa"/>
            <w:tcBorders>
              <w:top w:val="nil"/>
              <w:left w:val="nil"/>
              <w:bottom w:val="nil"/>
              <w:right w:val="double" w:sz="6" w:space="0" w:color="FFE265"/>
            </w:tcBorders>
            <w:shd w:val="clear" w:color="auto" w:fill="FFFFC9"/>
            <w:noWrap/>
            <w:tcMar>
              <w:left w:w="85" w:type="dxa"/>
              <w:right w:w="85" w:type="dxa"/>
            </w:tcMar>
            <w:vAlign w:val="center"/>
            <w:hideMark/>
          </w:tcPr>
          <w:p w:rsidR="00D702ED" w:rsidRPr="00947656" w:rsidRDefault="00FB20EA" w:rsidP="00B4522F">
            <w:pPr>
              <w:widowControl/>
              <w:adjustRightInd/>
              <w:spacing w:line="200" w:lineRule="exact"/>
              <w:jc w:val="both"/>
              <w:textAlignment w:val="auto"/>
              <w:rPr>
                <w:rFonts w:eastAsia="標楷體"/>
                <w:sz w:val="16"/>
                <w:szCs w:val="16"/>
              </w:rPr>
            </w:pPr>
            <w:r w:rsidRPr="00FB20EA">
              <w:rPr>
                <w:rFonts w:eastAsia="標楷體"/>
                <w:sz w:val="16"/>
                <w:szCs w:val="16"/>
              </w:rPr>
              <w:t>Generalized autoimmune syndrome</w:t>
            </w:r>
          </w:p>
        </w:tc>
        <w:tc>
          <w:tcPr>
            <w:tcW w:w="1066" w:type="dxa"/>
            <w:tcBorders>
              <w:top w:val="nil"/>
              <w:left w:val="double" w:sz="6" w:space="0" w:color="FFE265"/>
              <w:bottom w:val="nil"/>
              <w:right w:val="thinThickSmallGap" w:sz="24" w:space="0" w:color="FFE265"/>
            </w:tcBorders>
            <w:shd w:val="clear" w:color="auto" w:fill="FFFFC9"/>
            <w:noWrap/>
            <w:tcMar>
              <w:right w:w="369" w:type="dxa"/>
            </w:tcMar>
            <w:vAlign w:val="center"/>
            <w:hideMark/>
          </w:tcPr>
          <w:p w:rsidR="00D702ED" w:rsidRPr="00947656" w:rsidRDefault="00D702ED" w:rsidP="00BF08B4">
            <w:pPr>
              <w:widowControl/>
              <w:adjustRightInd/>
              <w:spacing w:line="200" w:lineRule="exact"/>
              <w:jc w:val="right"/>
              <w:textAlignment w:val="auto"/>
              <w:rPr>
                <w:sz w:val="16"/>
                <w:szCs w:val="16"/>
              </w:rPr>
            </w:pPr>
            <w:r w:rsidRPr="00947656">
              <w:rPr>
                <w:sz w:val="16"/>
                <w:szCs w:val="16"/>
              </w:rPr>
              <w:t xml:space="preserve">6.2 </w:t>
            </w:r>
          </w:p>
        </w:tc>
      </w:tr>
      <w:tr w:rsidR="00D702ED" w:rsidRPr="00947656" w:rsidTr="00A64211">
        <w:trPr>
          <w:trHeight w:hRule="exact" w:val="312"/>
        </w:trPr>
        <w:tc>
          <w:tcPr>
            <w:tcW w:w="3323" w:type="dxa"/>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D702ED" w:rsidRPr="00947656" w:rsidRDefault="00F21FB9" w:rsidP="00D702ED">
            <w:pPr>
              <w:widowControl/>
              <w:adjustRightInd/>
              <w:spacing w:line="200" w:lineRule="exact"/>
              <w:jc w:val="both"/>
              <w:textAlignment w:val="auto"/>
              <w:rPr>
                <w:rFonts w:eastAsia="標楷體"/>
                <w:sz w:val="16"/>
                <w:szCs w:val="16"/>
              </w:rPr>
            </w:pPr>
            <w:r w:rsidRPr="00B23CDD">
              <w:rPr>
                <w:color w:val="000000"/>
                <w:sz w:val="16"/>
                <w:szCs w:val="16"/>
              </w:rPr>
              <w:t>Chronic psych</w:t>
            </w:r>
            <w:r>
              <w:rPr>
                <w:rFonts w:hint="eastAsia"/>
                <w:color w:val="000000"/>
                <w:sz w:val="16"/>
                <w:szCs w:val="16"/>
              </w:rPr>
              <w:t>ia</w:t>
            </w:r>
            <w:r w:rsidRPr="00B23CDD">
              <w:rPr>
                <w:color w:val="000000"/>
                <w:sz w:val="16"/>
                <w:szCs w:val="16"/>
              </w:rPr>
              <w:t>t</w:t>
            </w:r>
            <w:r>
              <w:rPr>
                <w:rFonts w:hint="eastAsia"/>
                <w:color w:val="000000"/>
                <w:sz w:val="16"/>
                <w:szCs w:val="16"/>
              </w:rPr>
              <w:t>r</w:t>
            </w:r>
            <w:r w:rsidRPr="00B23CDD">
              <w:rPr>
                <w:color w:val="000000"/>
                <w:sz w:val="16"/>
                <w:szCs w:val="16"/>
              </w:rPr>
              <w:t>ic disorder</w:t>
            </w:r>
          </w:p>
        </w:tc>
        <w:tc>
          <w:tcPr>
            <w:tcW w:w="1048" w:type="dxa"/>
            <w:tcBorders>
              <w:top w:val="nil"/>
              <w:left w:val="double" w:sz="6" w:space="0" w:color="C2D69B" w:themeColor="accent3" w:themeTint="99"/>
              <w:bottom w:val="nil"/>
            </w:tcBorders>
            <w:shd w:val="clear" w:color="auto" w:fill="E9F0DC"/>
            <w:noWrap/>
            <w:tcMar>
              <w:right w:w="369" w:type="dxa"/>
            </w:tcMar>
            <w:vAlign w:val="center"/>
            <w:hideMark/>
          </w:tcPr>
          <w:p w:rsidR="00D702ED" w:rsidRPr="00947656" w:rsidRDefault="00D702ED" w:rsidP="00BF08B4">
            <w:pPr>
              <w:widowControl/>
              <w:adjustRightInd/>
              <w:spacing w:line="200" w:lineRule="exact"/>
              <w:jc w:val="right"/>
              <w:textAlignment w:val="auto"/>
              <w:rPr>
                <w:sz w:val="16"/>
                <w:szCs w:val="16"/>
              </w:rPr>
            </w:pPr>
            <w:r w:rsidRPr="00947656">
              <w:rPr>
                <w:sz w:val="16"/>
                <w:szCs w:val="16"/>
              </w:rPr>
              <w:t xml:space="preserve">6.1 </w:t>
            </w:r>
          </w:p>
        </w:tc>
        <w:tc>
          <w:tcPr>
            <w:tcW w:w="3169" w:type="dxa"/>
            <w:tcBorders>
              <w:top w:val="nil"/>
              <w:left w:val="nil"/>
              <w:bottom w:val="nil"/>
              <w:right w:val="double" w:sz="6" w:space="0" w:color="FFE265"/>
            </w:tcBorders>
            <w:shd w:val="clear" w:color="auto" w:fill="FFFFC9"/>
            <w:noWrap/>
            <w:tcMar>
              <w:left w:w="85" w:type="dxa"/>
              <w:right w:w="85" w:type="dxa"/>
            </w:tcMar>
            <w:vAlign w:val="center"/>
            <w:hideMark/>
          </w:tcPr>
          <w:p w:rsidR="00D702ED" w:rsidRPr="00947656" w:rsidRDefault="00F21FB9" w:rsidP="00B4522F">
            <w:pPr>
              <w:widowControl/>
              <w:adjustRightInd/>
              <w:spacing w:line="200" w:lineRule="exact"/>
              <w:jc w:val="both"/>
              <w:textAlignment w:val="auto"/>
              <w:rPr>
                <w:rFonts w:eastAsia="標楷體"/>
                <w:sz w:val="16"/>
                <w:szCs w:val="16"/>
              </w:rPr>
            </w:pPr>
            <w:r w:rsidRPr="00B23CDD">
              <w:rPr>
                <w:color w:val="000000"/>
                <w:sz w:val="16"/>
                <w:szCs w:val="16"/>
              </w:rPr>
              <w:t>Chronic psych</w:t>
            </w:r>
            <w:r>
              <w:rPr>
                <w:rFonts w:hint="eastAsia"/>
                <w:color w:val="000000"/>
                <w:sz w:val="16"/>
                <w:szCs w:val="16"/>
              </w:rPr>
              <w:t>ia</w:t>
            </w:r>
            <w:r w:rsidRPr="00B23CDD">
              <w:rPr>
                <w:color w:val="000000"/>
                <w:sz w:val="16"/>
                <w:szCs w:val="16"/>
              </w:rPr>
              <w:t>t</w:t>
            </w:r>
            <w:r>
              <w:rPr>
                <w:rFonts w:hint="eastAsia"/>
                <w:color w:val="000000"/>
                <w:sz w:val="16"/>
                <w:szCs w:val="16"/>
              </w:rPr>
              <w:t>r</w:t>
            </w:r>
            <w:r w:rsidRPr="00B23CDD">
              <w:rPr>
                <w:color w:val="000000"/>
                <w:sz w:val="16"/>
                <w:szCs w:val="16"/>
              </w:rPr>
              <w:t>ic disorder</w:t>
            </w:r>
          </w:p>
        </w:tc>
        <w:tc>
          <w:tcPr>
            <w:tcW w:w="1066" w:type="dxa"/>
            <w:tcBorders>
              <w:top w:val="nil"/>
              <w:left w:val="double" w:sz="6" w:space="0" w:color="FFE265"/>
              <w:bottom w:val="nil"/>
              <w:right w:val="thinThickSmallGap" w:sz="24" w:space="0" w:color="FFE265"/>
            </w:tcBorders>
            <w:shd w:val="clear" w:color="auto" w:fill="FFFFC9"/>
            <w:noWrap/>
            <w:tcMar>
              <w:right w:w="369" w:type="dxa"/>
            </w:tcMar>
            <w:vAlign w:val="center"/>
            <w:hideMark/>
          </w:tcPr>
          <w:p w:rsidR="00D702ED" w:rsidRPr="00947656" w:rsidRDefault="00D702ED" w:rsidP="00BF08B4">
            <w:pPr>
              <w:widowControl/>
              <w:adjustRightInd/>
              <w:spacing w:line="200" w:lineRule="exact"/>
              <w:jc w:val="right"/>
              <w:textAlignment w:val="auto"/>
              <w:rPr>
                <w:sz w:val="16"/>
                <w:szCs w:val="16"/>
              </w:rPr>
            </w:pPr>
            <w:r w:rsidRPr="00947656">
              <w:rPr>
                <w:sz w:val="16"/>
                <w:szCs w:val="16"/>
              </w:rPr>
              <w:t xml:space="preserve">6.1 </w:t>
            </w:r>
          </w:p>
        </w:tc>
      </w:tr>
      <w:tr w:rsidR="00AD0491" w:rsidRPr="00947656" w:rsidTr="00A64211">
        <w:trPr>
          <w:trHeight w:hRule="exact" w:val="312"/>
        </w:trPr>
        <w:tc>
          <w:tcPr>
            <w:tcW w:w="3323" w:type="dxa"/>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AD0491" w:rsidRPr="00AD0491" w:rsidRDefault="00AD0491" w:rsidP="00AD0491">
            <w:pPr>
              <w:widowControl/>
              <w:adjustRightInd/>
              <w:snapToGrid w:val="0"/>
              <w:spacing w:line="240" w:lineRule="auto"/>
              <w:textAlignment w:val="auto"/>
              <w:rPr>
                <w:color w:val="000000"/>
                <w:sz w:val="16"/>
                <w:szCs w:val="16"/>
              </w:rPr>
            </w:pPr>
            <w:r w:rsidRPr="00AD0491">
              <w:rPr>
                <w:color w:val="000000"/>
                <w:sz w:val="16"/>
                <w:szCs w:val="16"/>
              </w:rPr>
              <w:t>Organ transplants</w:t>
            </w:r>
          </w:p>
        </w:tc>
        <w:tc>
          <w:tcPr>
            <w:tcW w:w="1048" w:type="dxa"/>
            <w:tcBorders>
              <w:top w:val="nil"/>
              <w:left w:val="double" w:sz="6" w:space="0" w:color="C2D69B" w:themeColor="accent3" w:themeTint="99"/>
              <w:bottom w:val="nil"/>
            </w:tcBorders>
            <w:shd w:val="clear" w:color="auto" w:fill="E9F0DC"/>
            <w:noWrap/>
            <w:tcMar>
              <w:right w:w="369" w:type="dxa"/>
            </w:tcMar>
            <w:vAlign w:val="center"/>
            <w:hideMark/>
          </w:tcPr>
          <w:p w:rsidR="00AD0491" w:rsidRPr="00947656" w:rsidRDefault="00AD0491" w:rsidP="00BF08B4">
            <w:pPr>
              <w:widowControl/>
              <w:adjustRightInd/>
              <w:spacing w:line="200" w:lineRule="exact"/>
              <w:jc w:val="right"/>
              <w:textAlignment w:val="auto"/>
              <w:rPr>
                <w:sz w:val="16"/>
                <w:szCs w:val="16"/>
              </w:rPr>
            </w:pPr>
            <w:r w:rsidRPr="00947656">
              <w:rPr>
                <w:sz w:val="16"/>
                <w:szCs w:val="16"/>
              </w:rPr>
              <w:t xml:space="preserve">2.6 </w:t>
            </w:r>
          </w:p>
        </w:tc>
        <w:tc>
          <w:tcPr>
            <w:tcW w:w="3169" w:type="dxa"/>
            <w:tcBorders>
              <w:top w:val="nil"/>
              <w:left w:val="nil"/>
              <w:bottom w:val="nil"/>
              <w:right w:val="double" w:sz="6" w:space="0" w:color="FFE265"/>
            </w:tcBorders>
            <w:shd w:val="clear" w:color="auto" w:fill="FFFFC9"/>
            <w:noWrap/>
            <w:tcMar>
              <w:left w:w="85" w:type="dxa"/>
              <w:right w:w="85" w:type="dxa"/>
            </w:tcMar>
            <w:vAlign w:val="center"/>
            <w:hideMark/>
          </w:tcPr>
          <w:p w:rsidR="00AD0491" w:rsidRPr="00947656" w:rsidRDefault="00FB20EA" w:rsidP="00B4522F">
            <w:pPr>
              <w:widowControl/>
              <w:adjustRightInd/>
              <w:spacing w:line="200" w:lineRule="exact"/>
              <w:jc w:val="both"/>
              <w:textAlignment w:val="auto"/>
              <w:rPr>
                <w:rFonts w:eastAsia="標楷體"/>
                <w:sz w:val="16"/>
                <w:szCs w:val="16"/>
              </w:rPr>
            </w:pPr>
            <w:r w:rsidRPr="00FB20EA">
              <w:rPr>
                <w:rFonts w:eastAsia="標楷體"/>
                <w:sz w:val="16"/>
                <w:szCs w:val="16"/>
              </w:rPr>
              <w:t>Metabolic disorder</w:t>
            </w:r>
          </w:p>
        </w:tc>
        <w:tc>
          <w:tcPr>
            <w:tcW w:w="1066" w:type="dxa"/>
            <w:tcBorders>
              <w:top w:val="nil"/>
              <w:left w:val="double" w:sz="6" w:space="0" w:color="FFE265"/>
              <w:bottom w:val="nil"/>
              <w:right w:val="thinThickSmallGap" w:sz="24" w:space="0" w:color="FFE265"/>
            </w:tcBorders>
            <w:shd w:val="clear" w:color="auto" w:fill="FFFFC9"/>
            <w:noWrap/>
            <w:tcMar>
              <w:right w:w="369" w:type="dxa"/>
            </w:tcMar>
            <w:vAlign w:val="center"/>
            <w:hideMark/>
          </w:tcPr>
          <w:p w:rsidR="00AD0491" w:rsidRPr="00947656" w:rsidRDefault="00AD0491" w:rsidP="00BF08B4">
            <w:pPr>
              <w:widowControl/>
              <w:adjustRightInd/>
              <w:spacing w:line="200" w:lineRule="exact"/>
              <w:jc w:val="right"/>
              <w:textAlignment w:val="auto"/>
              <w:rPr>
                <w:sz w:val="16"/>
                <w:szCs w:val="16"/>
              </w:rPr>
            </w:pPr>
            <w:r w:rsidRPr="00947656">
              <w:rPr>
                <w:sz w:val="16"/>
                <w:szCs w:val="16"/>
              </w:rPr>
              <w:t xml:space="preserve">1.6 </w:t>
            </w:r>
          </w:p>
        </w:tc>
      </w:tr>
      <w:tr w:rsidR="00AD0491" w:rsidRPr="00947656" w:rsidTr="00A64211">
        <w:trPr>
          <w:trHeight w:hRule="exact" w:val="312"/>
        </w:trPr>
        <w:tc>
          <w:tcPr>
            <w:tcW w:w="3323" w:type="dxa"/>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AD0491" w:rsidRPr="00AD0491" w:rsidRDefault="00AD0491" w:rsidP="00AD0491">
            <w:pPr>
              <w:widowControl/>
              <w:adjustRightInd/>
              <w:snapToGrid w:val="0"/>
              <w:spacing w:line="240" w:lineRule="auto"/>
              <w:textAlignment w:val="auto"/>
              <w:rPr>
                <w:color w:val="000000"/>
                <w:sz w:val="16"/>
                <w:szCs w:val="16"/>
              </w:rPr>
            </w:pPr>
            <w:r w:rsidRPr="00AD0491">
              <w:rPr>
                <w:color w:val="000000"/>
                <w:sz w:val="16"/>
                <w:szCs w:val="16"/>
              </w:rPr>
              <w:t>Congenital metabolic disease</w:t>
            </w:r>
          </w:p>
        </w:tc>
        <w:tc>
          <w:tcPr>
            <w:tcW w:w="1048" w:type="dxa"/>
            <w:tcBorders>
              <w:top w:val="nil"/>
              <w:left w:val="double" w:sz="6" w:space="0" w:color="C2D69B" w:themeColor="accent3" w:themeTint="99"/>
              <w:bottom w:val="nil"/>
            </w:tcBorders>
            <w:shd w:val="clear" w:color="auto" w:fill="E9F0DC"/>
            <w:noWrap/>
            <w:tcMar>
              <w:right w:w="369" w:type="dxa"/>
            </w:tcMar>
            <w:vAlign w:val="center"/>
            <w:hideMark/>
          </w:tcPr>
          <w:p w:rsidR="00AD0491" w:rsidRPr="00947656" w:rsidRDefault="00AD0491" w:rsidP="00BF08B4">
            <w:pPr>
              <w:widowControl/>
              <w:adjustRightInd/>
              <w:spacing w:line="200" w:lineRule="exact"/>
              <w:jc w:val="right"/>
              <w:textAlignment w:val="auto"/>
              <w:rPr>
                <w:sz w:val="16"/>
                <w:szCs w:val="16"/>
              </w:rPr>
            </w:pPr>
            <w:r w:rsidRPr="00947656">
              <w:rPr>
                <w:sz w:val="16"/>
                <w:szCs w:val="16"/>
              </w:rPr>
              <w:t xml:space="preserve">2.5 </w:t>
            </w:r>
          </w:p>
        </w:tc>
        <w:tc>
          <w:tcPr>
            <w:tcW w:w="3169" w:type="dxa"/>
            <w:tcBorders>
              <w:top w:val="nil"/>
              <w:left w:val="nil"/>
              <w:bottom w:val="nil"/>
              <w:right w:val="double" w:sz="6" w:space="0" w:color="FFE265"/>
            </w:tcBorders>
            <w:shd w:val="clear" w:color="auto" w:fill="FFFFC9"/>
            <w:noWrap/>
            <w:tcMar>
              <w:left w:w="85" w:type="dxa"/>
              <w:right w:w="85" w:type="dxa"/>
            </w:tcMar>
            <w:vAlign w:val="center"/>
            <w:hideMark/>
          </w:tcPr>
          <w:p w:rsidR="00AD0491" w:rsidRPr="00947656" w:rsidRDefault="00FB20EA" w:rsidP="00B4522F">
            <w:pPr>
              <w:widowControl/>
              <w:adjustRightInd/>
              <w:spacing w:line="200" w:lineRule="exact"/>
              <w:jc w:val="both"/>
              <w:textAlignment w:val="auto"/>
              <w:rPr>
                <w:rFonts w:eastAsia="標楷體"/>
                <w:sz w:val="16"/>
                <w:szCs w:val="16"/>
              </w:rPr>
            </w:pPr>
            <w:r w:rsidRPr="00FB20EA">
              <w:rPr>
                <w:rFonts w:eastAsia="標楷體"/>
                <w:sz w:val="16"/>
                <w:szCs w:val="16"/>
              </w:rPr>
              <w:t>Organ transplants</w:t>
            </w:r>
          </w:p>
        </w:tc>
        <w:tc>
          <w:tcPr>
            <w:tcW w:w="1066" w:type="dxa"/>
            <w:tcBorders>
              <w:top w:val="nil"/>
              <w:left w:val="double" w:sz="6" w:space="0" w:color="FFE265"/>
              <w:bottom w:val="nil"/>
              <w:right w:val="thinThickSmallGap" w:sz="24" w:space="0" w:color="FFE265"/>
            </w:tcBorders>
            <w:shd w:val="clear" w:color="auto" w:fill="FFFFC9"/>
            <w:noWrap/>
            <w:tcMar>
              <w:right w:w="369" w:type="dxa"/>
            </w:tcMar>
            <w:vAlign w:val="center"/>
            <w:hideMark/>
          </w:tcPr>
          <w:p w:rsidR="00AD0491" w:rsidRPr="00947656" w:rsidRDefault="00AD0491" w:rsidP="00BF08B4">
            <w:pPr>
              <w:widowControl/>
              <w:adjustRightInd/>
              <w:spacing w:line="200" w:lineRule="exact"/>
              <w:jc w:val="right"/>
              <w:textAlignment w:val="auto"/>
              <w:rPr>
                <w:sz w:val="16"/>
                <w:szCs w:val="16"/>
              </w:rPr>
            </w:pPr>
            <w:r w:rsidRPr="00947656">
              <w:rPr>
                <w:sz w:val="16"/>
                <w:szCs w:val="16"/>
              </w:rPr>
              <w:t xml:space="preserve">1.5 </w:t>
            </w:r>
          </w:p>
        </w:tc>
      </w:tr>
      <w:tr w:rsidR="00AD0491" w:rsidRPr="00947656" w:rsidTr="00A64211">
        <w:trPr>
          <w:trHeight w:hRule="exact" w:val="312"/>
        </w:trPr>
        <w:tc>
          <w:tcPr>
            <w:tcW w:w="3323" w:type="dxa"/>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AD0491" w:rsidRPr="00AD0491" w:rsidRDefault="00AD0491" w:rsidP="00AD0491">
            <w:pPr>
              <w:widowControl/>
              <w:adjustRightInd/>
              <w:snapToGrid w:val="0"/>
              <w:spacing w:line="240" w:lineRule="auto"/>
              <w:textAlignment w:val="auto"/>
              <w:rPr>
                <w:color w:val="000000"/>
                <w:sz w:val="16"/>
                <w:szCs w:val="16"/>
              </w:rPr>
            </w:pPr>
            <w:r w:rsidRPr="00AD0491">
              <w:rPr>
                <w:color w:val="000000"/>
                <w:sz w:val="16"/>
                <w:szCs w:val="16"/>
              </w:rPr>
              <w:t>Generalized autoimmune syndrome</w:t>
            </w:r>
          </w:p>
        </w:tc>
        <w:tc>
          <w:tcPr>
            <w:tcW w:w="1048" w:type="dxa"/>
            <w:tcBorders>
              <w:top w:val="nil"/>
              <w:left w:val="double" w:sz="6" w:space="0" w:color="C2D69B" w:themeColor="accent3" w:themeTint="99"/>
              <w:bottom w:val="nil"/>
            </w:tcBorders>
            <w:shd w:val="clear" w:color="auto" w:fill="E9F0DC"/>
            <w:noWrap/>
            <w:tcMar>
              <w:right w:w="369" w:type="dxa"/>
            </w:tcMar>
            <w:vAlign w:val="center"/>
            <w:hideMark/>
          </w:tcPr>
          <w:p w:rsidR="00AD0491" w:rsidRPr="00947656" w:rsidRDefault="00AD0491" w:rsidP="00BF08B4">
            <w:pPr>
              <w:widowControl/>
              <w:adjustRightInd/>
              <w:spacing w:line="200" w:lineRule="exact"/>
              <w:jc w:val="right"/>
              <w:textAlignment w:val="auto"/>
              <w:rPr>
                <w:sz w:val="16"/>
                <w:szCs w:val="16"/>
              </w:rPr>
            </w:pPr>
            <w:r w:rsidRPr="00947656">
              <w:rPr>
                <w:sz w:val="16"/>
                <w:szCs w:val="16"/>
              </w:rPr>
              <w:t xml:space="preserve">1.3 </w:t>
            </w:r>
          </w:p>
        </w:tc>
        <w:tc>
          <w:tcPr>
            <w:tcW w:w="3169" w:type="dxa"/>
            <w:tcBorders>
              <w:top w:val="nil"/>
              <w:left w:val="nil"/>
              <w:bottom w:val="nil"/>
              <w:right w:val="double" w:sz="6" w:space="0" w:color="FFE265"/>
            </w:tcBorders>
            <w:shd w:val="clear" w:color="auto" w:fill="FFFFC9"/>
            <w:noWrap/>
            <w:tcMar>
              <w:left w:w="85" w:type="dxa"/>
              <w:right w:w="85" w:type="dxa"/>
            </w:tcMar>
            <w:vAlign w:val="center"/>
            <w:hideMark/>
          </w:tcPr>
          <w:p w:rsidR="00AD0491" w:rsidRPr="00947656" w:rsidRDefault="00FB20EA" w:rsidP="00B4522F">
            <w:pPr>
              <w:widowControl/>
              <w:adjustRightInd/>
              <w:spacing w:line="200" w:lineRule="exact"/>
              <w:jc w:val="both"/>
              <w:textAlignment w:val="auto"/>
              <w:rPr>
                <w:rFonts w:eastAsia="標楷體"/>
                <w:sz w:val="16"/>
                <w:szCs w:val="16"/>
              </w:rPr>
            </w:pPr>
            <w:r w:rsidRPr="00FB20EA">
              <w:rPr>
                <w:rFonts w:eastAsia="標楷體"/>
                <w:sz w:val="16"/>
                <w:szCs w:val="16"/>
              </w:rPr>
              <w:t>Dependence on respirator</w:t>
            </w:r>
          </w:p>
        </w:tc>
        <w:tc>
          <w:tcPr>
            <w:tcW w:w="1066" w:type="dxa"/>
            <w:tcBorders>
              <w:top w:val="nil"/>
              <w:left w:val="double" w:sz="6" w:space="0" w:color="FFE265"/>
              <w:bottom w:val="nil"/>
              <w:right w:val="thinThickSmallGap" w:sz="24" w:space="0" w:color="FFE265"/>
            </w:tcBorders>
            <w:shd w:val="clear" w:color="auto" w:fill="FFFFC9"/>
            <w:noWrap/>
            <w:tcMar>
              <w:right w:w="369" w:type="dxa"/>
            </w:tcMar>
            <w:vAlign w:val="center"/>
            <w:hideMark/>
          </w:tcPr>
          <w:p w:rsidR="00AD0491" w:rsidRPr="00947656" w:rsidRDefault="00AD0491" w:rsidP="00BF08B4">
            <w:pPr>
              <w:widowControl/>
              <w:adjustRightInd/>
              <w:spacing w:line="200" w:lineRule="exact"/>
              <w:jc w:val="right"/>
              <w:textAlignment w:val="auto"/>
              <w:rPr>
                <w:sz w:val="16"/>
                <w:szCs w:val="16"/>
              </w:rPr>
            </w:pPr>
            <w:r w:rsidRPr="00947656">
              <w:rPr>
                <w:sz w:val="16"/>
                <w:szCs w:val="16"/>
              </w:rPr>
              <w:t xml:space="preserve">0.7 </w:t>
            </w:r>
          </w:p>
        </w:tc>
      </w:tr>
      <w:tr w:rsidR="00D702ED" w:rsidRPr="00947656" w:rsidTr="00A64211">
        <w:trPr>
          <w:trHeight w:hRule="exact" w:val="312"/>
        </w:trPr>
        <w:tc>
          <w:tcPr>
            <w:tcW w:w="3323" w:type="dxa"/>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D702ED" w:rsidRPr="00947656" w:rsidRDefault="00AD0491" w:rsidP="00D702ED">
            <w:pPr>
              <w:widowControl/>
              <w:adjustRightInd/>
              <w:spacing w:line="200" w:lineRule="exact"/>
              <w:jc w:val="both"/>
              <w:textAlignment w:val="auto"/>
              <w:rPr>
                <w:rFonts w:eastAsia="標楷體"/>
                <w:sz w:val="16"/>
                <w:szCs w:val="16"/>
              </w:rPr>
            </w:pPr>
            <w:r w:rsidRPr="00AD0491">
              <w:rPr>
                <w:rFonts w:eastAsia="標楷體"/>
                <w:sz w:val="16"/>
                <w:szCs w:val="16"/>
              </w:rPr>
              <w:t>Dependence on respirator</w:t>
            </w:r>
          </w:p>
        </w:tc>
        <w:tc>
          <w:tcPr>
            <w:tcW w:w="1048" w:type="dxa"/>
            <w:tcBorders>
              <w:top w:val="nil"/>
              <w:left w:val="double" w:sz="6" w:space="0" w:color="C2D69B" w:themeColor="accent3" w:themeTint="99"/>
              <w:bottom w:val="nil"/>
            </w:tcBorders>
            <w:shd w:val="clear" w:color="auto" w:fill="E9F0DC"/>
            <w:noWrap/>
            <w:tcMar>
              <w:right w:w="369" w:type="dxa"/>
            </w:tcMar>
            <w:vAlign w:val="center"/>
            <w:hideMark/>
          </w:tcPr>
          <w:p w:rsidR="00D702ED" w:rsidRPr="00947656" w:rsidRDefault="00D702ED" w:rsidP="00BF08B4">
            <w:pPr>
              <w:widowControl/>
              <w:adjustRightInd/>
              <w:spacing w:line="200" w:lineRule="exact"/>
              <w:jc w:val="right"/>
              <w:textAlignment w:val="auto"/>
              <w:rPr>
                <w:sz w:val="16"/>
                <w:szCs w:val="16"/>
              </w:rPr>
            </w:pPr>
            <w:r w:rsidRPr="00947656">
              <w:rPr>
                <w:sz w:val="16"/>
                <w:szCs w:val="16"/>
              </w:rPr>
              <w:t xml:space="preserve">0.8 </w:t>
            </w:r>
          </w:p>
        </w:tc>
        <w:tc>
          <w:tcPr>
            <w:tcW w:w="3169" w:type="dxa"/>
            <w:tcBorders>
              <w:top w:val="nil"/>
              <w:left w:val="nil"/>
              <w:bottom w:val="nil"/>
              <w:right w:val="double" w:sz="6" w:space="0" w:color="FFE265"/>
            </w:tcBorders>
            <w:shd w:val="clear" w:color="auto" w:fill="FFFFC9"/>
            <w:noWrap/>
            <w:tcMar>
              <w:left w:w="85" w:type="dxa"/>
              <w:right w:w="85" w:type="dxa"/>
            </w:tcMar>
            <w:vAlign w:val="center"/>
            <w:hideMark/>
          </w:tcPr>
          <w:p w:rsidR="00D702ED" w:rsidRPr="00947656" w:rsidRDefault="002A3505" w:rsidP="00FB20EA">
            <w:pPr>
              <w:widowControl/>
              <w:adjustRightInd/>
              <w:spacing w:line="200" w:lineRule="exact"/>
              <w:textAlignment w:val="auto"/>
              <w:rPr>
                <w:rFonts w:eastAsia="標楷體"/>
                <w:sz w:val="16"/>
                <w:szCs w:val="16"/>
              </w:rPr>
            </w:pPr>
            <w:r w:rsidRPr="002A3505">
              <w:rPr>
                <w:rFonts w:eastAsia="標楷體"/>
                <w:sz w:val="16"/>
                <w:szCs w:val="16"/>
              </w:rPr>
              <w:t xml:space="preserve">Malformation and </w:t>
            </w:r>
            <w:r w:rsidRPr="002A3505">
              <w:rPr>
                <w:rFonts w:eastAsia="標楷體" w:hint="eastAsia"/>
                <w:sz w:val="16"/>
                <w:szCs w:val="16"/>
              </w:rPr>
              <w:t>c</w:t>
            </w:r>
            <w:r w:rsidRPr="002A3505">
              <w:rPr>
                <w:rFonts w:eastAsia="標楷體"/>
                <w:sz w:val="16"/>
                <w:szCs w:val="16"/>
              </w:rPr>
              <w:t>hromosomal</w:t>
            </w:r>
            <w:r w:rsidRPr="002A3505">
              <w:rPr>
                <w:rFonts w:eastAsia="標楷體" w:hint="eastAsia"/>
                <w:sz w:val="16"/>
                <w:szCs w:val="16"/>
              </w:rPr>
              <w:t xml:space="preserve"> </w:t>
            </w:r>
            <w:r w:rsidRPr="002A3505">
              <w:rPr>
                <w:rFonts w:eastAsia="標楷體"/>
                <w:sz w:val="16"/>
                <w:szCs w:val="16"/>
              </w:rPr>
              <w:t>abnormalities</w:t>
            </w:r>
          </w:p>
        </w:tc>
        <w:tc>
          <w:tcPr>
            <w:tcW w:w="1066" w:type="dxa"/>
            <w:tcBorders>
              <w:top w:val="nil"/>
              <w:left w:val="double" w:sz="6" w:space="0" w:color="FFE265"/>
              <w:bottom w:val="nil"/>
              <w:right w:val="thinThickSmallGap" w:sz="24" w:space="0" w:color="FFE265"/>
            </w:tcBorders>
            <w:shd w:val="clear" w:color="auto" w:fill="FFFFC9"/>
            <w:noWrap/>
            <w:tcMar>
              <w:right w:w="369" w:type="dxa"/>
            </w:tcMar>
            <w:vAlign w:val="center"/>
            <w:hideMark/>
          </w:tcPr>
          <w:p w:rsidR="00D702ED" w:rsidRPr="00947656" w:rsidRDefault="00D702ED" w:rsidP="00BF08B4">
            <w:pPr>
              <w:widowControl/>
              <w:adjustRightInd/>
              <w:spacing w:line="200" w:lineRule="exact"/>
              <w:jc w:val="right"/>
              <w:textAlignment w:val="auto"/>
              <w:rPr>
                <w:sz w:val="16"/>
                <w:szCs w:val="16"/>
              </w:rPr>
            </w:pPr>
            <w:r w:rsidRPr="00947656">
              <w:rPr>
                <w:sz w:val="16"/>
                <w:szCs w:val="16"/>
              </w:rPr>
              <w:t xml:space="preserve">0.6 </w:t>
            </w:r>
          </w:p>
        </w:tc>
      </w:tr>
      <w:tr w:rsidR="00FB20EA" w:rsidRPr="00947656" w:rsidTr="00A64211">
        <w:trPr>
          <w:trHeight w:hRule="exact" w:val="312"/>
        </w:trPr>
        <w:tc>
          <w:tcPr>
            <w:tcW w:w="3323" w:type="dxa"/>
            <w:tcBorders>
              <w:top w:val="nil"/>
              <w:left w:val="thickThinSmallGap" w:sz="24" w:space="0" w:color="C2D69B" w:themeColor="accent3" w:themeTint="99"/>
              <w:right w:val="double" w:sz="6" w:space="0" w:color="C2D69B" w:themeColor="accent3" w:themeTint="99"/>
            </w:tcBorders>
            <w:shd w:val="clear" w:color="auto" w:fill="E9F0DC"/>
            <w:noWrap/>
            <w:tcMar>
              <w:left w:w="85" w:type="dxa"/>
              <w:right w:w="85" w:type="dxa"/>
            </w:tcMar>
            <w:vAlign w:val="center"/>
            <w:hideMark/>
          </w:tcPr>
          <w:p w:rsidR="00FB20EA" w:rsidRPr="00947656" w:rsidRDefault="00FB20EA" w:rsidP="00D702ED">
            <w:pPr>
              <w:widowControl/>
              <w:adjustRightInd/>
              <w:spacing w:line="200" w:lineRule="exact"/>
              <w:jc w:val="both"/>
              <w:textAlignment w:val="auto"/>
              <w:rPr>
                <w:rFonts w:eastAsia="標楷體"/>
                <w:sz w:val="16"/>
                <w:szCs w:val="16"/>
              </w:rPr>
            </w:pPr>
            <w:r w:rsidRPr="00AD0491">
              <w:rPr>
                <w:rFonts w:eastAsia="標楷體"/>
                <w:sz w:val="16"/>
                <w:szCs w:val="16"/>
              </w:rPr>
              <w:t>Cirrhosis of liver</w:t>
            </w:r>
          </w:p>
        </w:tc>
        <w:tc>
          <w:tcPr>
            <w:tcW w:w="1048" w:type="dxa"/>
            <w:tcBorders>
              <w:top w:val="nil"/>
              <w:left w:val="double" w:sz="6" w:space="0" w:color="C2D69B" w:themeColor="accent3" w:themeTint="99"/>
            </w:tcBorders>
            <w:shd w:val="clear" w:color="auto" w:fill="E9F0DC"/>
            <w:noWrap/>
            <w:tcMar>
              <w:right w:w="369" w:type="dxa"/>
            </w:tcMar>
            <w:vAlign w:val="center"/>
            <w:hideMark/>
          </w:tcPr>
          <w:p w:rsidR="00FB20EA" w:rsidRPr="00947656" w:rsidRDefault="00FB20EA" w:rsidP="00BF08B4">
            <w:pPr>
              <w:widowControl/>
              <w:adjustRightInd/>
              <w:spacing w:line="200" w:lineRule="exact"/>
              <w:jc w:val="right"/>
              <w:textAlignment w:val="auto"/>
              <w:rPr>
                <w:sz w:val="16"/>
                <w:szCs w:val="16"/>
              </w:rPr>
            </w:pPr>
            <w:r w:rsidRPr="00947656">
              <w:rPr>
                <w:sz w:val="16"/>
                <w:szCs w:val="16"/>
              </w:rPr>
              <w:t xml:space="preserve">0.7 </w:t>
            </w:r>
          </w:p>
        </w:tc>
        <w:tc>
          <w:tcPr>
            <w:tcW w:w="3169" w:type="dxa"/>
            <w:tcBorders>
              <w:top w:val="nil"/>
              <w:left w:val="nil"/>
              <w:bottom w:val="nil"/>
              <w:right w:val="double" w:sz="6" w:space="0" w:color="FFE265"/>
            </w:tcBorders>
            <w:shd w:val="clear" w:color="auto" w:fill="FFFFC9"/>
            <w:noWrap/>
            <w:tcMar>
              <w:left w:w="85" w:type="dxa"/>
              <w:right w:w="85" w:type="dxa"/>
            </w:tcMar>
            <w:vAlign w:val="center"/>
            <w:hideMark/>
          </w:tcPr>
          <w:p w:rsidR="00FB20EA" w:rsidRPr="00FB20EA" w:rsidRDefault="00FB20EA" w:rsidP="00FB20EA">
            <w:pPr>
              <w:widowControl/>
              <w:adjustRightInd/>
              <w:snapToGrid w:val="0"/>
              <w:spacing w:line="240" w:lineRule="auto"/>
              <w:textAlignment w:val="auto"/>
              <w:rPr>
                <w:color w:val="000000"/>
                <w:sz w:val="16"/>
                <w:szCs w:val="16"/>
              </w:rPr>
            </w:pPr>
            <w:r w:rsidRPr="00FB20EA">
              <w:rPr>
                <w:color w:val="000000"/>
                <w:sz w:val="16"/>
                <w:szCs w:val="16"/>
              </w:rPr>
              <w:t>Rare disease</w:t>
            </w:r>
          </w:p>
        </w:tc>
        <w:tc>
          <w:tcPr>
            <w:tcW w:w="1066" w:type="dxa"/>
            <w:tcBorders>
              <w:top w:val="nil"/>
              <w:left w:val="double" w:sz="6" w:space="0" w:color="FFE265"/>
              <w:bottom w:val="nil"/>
              <w:right w:val="thinThickSmallGap" w:sz="24" w:space="0" w:color="FFE265"/>
            </w:tcBorders>
            <w:shd w:val="clear" w:color="auto" w:fill="FFFFC9"/>
            <w:noWrap/>
            <w:tcMar>
              <w:right w:w="369" w:type="dxa"/>
            </w:tcMar>
            <w:vAlign w:val="center"/>
            <w:hideMark/>
          </w:tcPr>
          <w:p w:rsidR="00FB20EA" w:rsidRPr="00947656" w:rsidRDefault="00FB20EA" w:rsidP="00BF08B4">
            <w:pPr>
              <w:widowControl/>
              <w:adjustRightInd/>
              <w:spacing w:line="200" w:lineRule="exact"/>
              <w:jc w:val="right"/>
              <w:textAlignment w:val="auto"/>
              <w:rPr>
                <w:sz w:val="16"/>
                <w:szCs w:val="16"/>
              </w:rPr>
            </w:pPr>
            <w:r w:rsidRPr="00947656">
              <w:rPr>
                <w:sz w:val="16"/>
                <w:szCs w:val="16"/>
              </w:rPr>
              <w:t xml:space="preserve">0.5 </w:t>
            </w:r>
          </w:p>
        </w:tc>
      </w:tr>
      <w:tr w:rsidR="00FB20EA" w:rsidRPr="00947656" w:rsidTr="00A64211">
        <w:trPr>
          <w:trHeight w:hRule="exact" w:val="312"/>
        </w:trPr>
        <w:tc>
          <w:tcPr>
            <w:tcW w:w="3323" w:type="dxa"/>
            <w:tcBorders>
              <w:top w:val="nil"/>
              <w:left w:val="thickThinSmallGap" w:sz="24" w:space="0" w:color="C2D69B" w:themeColor="accent3" w:themeTint="99"/>
              <w:bottom w:val="thinThickSmallGap" w:sz="24" w:space="0" w:color="C2D69B" w:themeColor="accent3" w:themeTint="99"/>
              <w:right w:val="double" w:sz="6" w:space="0" w:color="C2D69B" w:themeColor="accent3" w:themeTint="99"/>
            </w:tcBorders>
            <w:shd w:val="clear" w:color="auto" w:fill="E9F0DC"/>
            <w:tcMar>
              <w:left w:w="85" w:type="dxa"/>
              <w:right w:w="85" w:type="dxa"/>
            </w:tcMar>
            <w:vAlign w:val="center"/>
            <w:hideMark/>
          </w:tcPr>
          <w:p w:rsidR="00FB20EA" w:rsidRPr="00947656" w:rsidRDefault="002A3505" w:rsidP="002A3505">
            <w:pPr>
              <w:widowControl/>
              <w:adjustRightInd/>
              <w:spacing w:line="200" w:lineRule="exact"/>
              <w:jc w:val="both"/>
              <w:textAlignment w:val="auto"/>
              <w:rPr>
                <w:rFonts w:eastAsia="標楷體"/>
                <w:sz w:val="16"/>
                <w:szCs w:val="16"/>
              </w:rPr>
            </w:pPr>
            <w:r w:rsidRPr="002A3505">
              <w:rPr>
                <w:rFonts w:eastAsia="標楷體"/>
                <w:sz w:val="16"/>
                <w:szCs w:val="16"/>
              </w:rPr>
              <w:t xml:space="preserve">Malformation and </w:t>
            </w:r>
            <w:r w:rsidRPr="002A3505">
              <w:rPr>
                <w:rFonts w:eastAsia="標楷體" w:hint="eastAsia"/>
                <w:sz w:val="16"/>
                <w:szCs w:val="16"/>
              </w:rPr>
              <w:t>c</w:t>
            </w:r>
            <w:r w:rsidRPr="002A3505">
              <w:rPr>
                <w:rFonts w:eastAsia="標楷體"/>
                <w:sz w:val="16"/>
                <w:szCs w:val="16"/>
              </w:rPr>
              <w:t>hromosomal</w:t>
            </w:r>
            <w:r w:rsidRPr="002A3505">
              <w:rPr>
                <w:rFonts w:eastAsia="標楷體" w:hint="eastAsia"/>
                <w:sz w:val="16"/>
                <w:szCs w:val="16"/>
              </w:rPr>
              <w:t xml:space="preserve"> </w:t>
            </w:r>
            <w:r w:rsidRPr="002A3505">
              <w:rPr>
                <w:rFonts w:eastAsia="標楷體"/>
                <w:sz w:val="16"/>
                <w:szCs w:val="16"/>
              </w:rPr>
              <w:t xml:space="preserve">abnormalities </w:t>
            </w:r>
          </w:p>
        </w:tc>
        <w:tc>
          <w:tcPr>
            <w:tcW w:w="1048" w:type="dxa"/>
            <w:tcBorders>
              <w:top w:val="nil"/>
              <w:left w:val="double" w:sz="6" w:space="0" w:color="C2D69B" w:themeColor="accent3" w:themeTint="99"/>
              <w:bottom w:val="thinThickSmallGap" w:sz="24" w:space="0" w:color="C2D69B" w:themeColor="accent3" w:themeTint="99"/>
            </w:tcBorders>
            <w:shd w:val="clear" w:color="auto" w:fill="E9F0DC"/>
            <w:noWrap/>
            <w:tcMar>
              <w:right w:w="369" w:type="dxa"/>
            </w:tcMar>
            <w:vAlign w:val="center"/>
            <w:hideMark/>
          </w:tcPr>
          <w:p w:rsidR="00FB20EA" w:rsidRPr="00947656" w:rsidRDefault="00FB20EA" w:rsidP="00BF08B4">
            <w:pPr>
              <w:widowControl/>
              <w:adjustRightInd/>
              <w:spacing w:line="200" w:lineRule="exact"/>
              <w:jc w:val="right"/>
              <w:textAlignment w:val="auto"/>
              <w:rPr>
                <w:sz w:val="16"/>
                <w:szCs w:val="16"/>
              </w:rPr>
            </w:pPr>
            <w:r w:rsidRPr="00947656">
              <w:rPr>
                <w:sz w:val="16"/>
                <w:szCs w:val="16"/>
              </w:rPr>
              <w:t xml:space="preserve">0.5 </w:t>
            </w:r>
          </w:p>
        </w:tc>
        <w:tc>
          <w:tcPr>
            <w:tcW w:w="3169" w:type="dxa"/>
            <w:tcBorders>
              <w:top w:val="nil"/>
              <w:left w:val="nil"/>
              <w:bottom w:val="thinThickSmallGap" w:sz="24" w:space="0" w:color="FFE265"/>
              <w:right w:val="double" w:sz="6" w:space="0" w:color="FFE265"/>
            </w:tcBorders>
            <w:shd w:val="clear" w:color="auto" w:fill="FFFFC9"/>
            <w:noWrap/>
            <w:tcMar>
              <w:left w:w="85" w:type="dxa"/>
              <w:right w:w="85" w:type="dxa"/>
            </w:tcMar>
            <w:vAlign w:val="center"/>
            <w:hideMark/>
          </w:tcPr>
          <w:p w:rsidR="00FB20EA" w:rsidRPr="00FB20EA" w:rsidRDefault="00FB20EA" w:rsidP="00FB20EA">
            <w:pPr>
              <w:widowControl/>
              <w:adjustRightInd/>
              <w:snapToGrid w:val="0"/>
              <w:spacing w:line="240" w:lineRule="auto"/>
              <w:textAlignment w:val="auto"/>
              <w:rPr>
                <w:color w:val="000000"/>
                <w:sz w:val="16"/>
                <w:szCs w:val="16"/>
              </w:rPr>
            </w:pPr>
            <w:r w:rsidRPr="00FB20EA">
              <w:rPr>
                <w:color w:val="000000"/>
                <w:sz w:val="16"/>
                <w:szCs w:val="16"/>
              </w:rPr>
              <w:t>Hemolytic disease</w:t>
            </w:r>
          </w:p>
        </w:tc>
        <w:tc>
          <w:tcPr>
            <w:tcW w:w="1066" w:type="dxa"/>
            <w:tcBorders>
              <w:top w:val="nil"/>
              <w:left w:val="double" w:sz="6" w:space="0" w:color="FFE265"/>
              <w:bottom w:val="thinThickSmallGap" w:sz="24" w:space="0" w:color="FFE265"/>
              <w:right w:val="thinThickSmallGap" w:sz="24" w:space="0" w:color="FFE265"/>
            </w:tcBorders>
            <w:shd w:val="clear" w:color="auto" w:fill="FFFFC9"/>
            <w:noWrap/>
            <w:tcMar>
              <w:right w:w="369" w:type="dxa"/>
            </w:tcMar>
            <w:vAlign w:val="center"/>
            <w:hideMark/>
          </w:tcPr>
          <w:p w:rsidR="00FB20EA" w:rsidRPr="00947656" w:rsidRDefault="00FB20EA" w:rsidP="00BF08B4">
            <w:pPr>
              <w:widowControl/>
              <w:adjustRightInd/>
              <w:spacing w:line="200" w:lineRule="exact"/>
              <w:jc w:val="right"/>
              <w:textAlignment w:val="auto"/>
              <w:rPr>
                <w:sz w:val="16"/>
                <w:szCs w:val="16"/>
              </w:rPr>
            </w:pPr>
            <w:r w:rsidRPr="00947656">
              <w:rPr>
                <w:sz w:val="16"/>
                <w:szCs w:val="16"/>
              </w:rPr>
              <w:t xml:space="preserve">0.4 </w:t>
            </w:r>
          </w:p>
        </w:tc>
      </w:tr>
    </w:tbl>
    <w:p w:rsidR="009E651D" w:rsidRPr="00947656" w:rsidRDefault="009E651D" w:rsidP="00730DFA">
      <w:pPr>
        <w:pStyle w:val="a5"/>
        <w:spacing w:beforeLines="100" w:after="120"/>
        <w:ind w:leftChars="119" w:left="624" w:hangingChars="130" w:hanging="338"/>
        <w:jc w:val="both"/>
        <w:rPr>
          <w:rFonts w:eastAsia="標楷體"/>
          <w:b/>
          <w:sz w:val="26"/>
          <w:szCs w:val="26"/>
        </w:rPr>
      </w:pPr>
      <w:r w:rsidRPr="00947656">
        <w:rPr>
          <w:rFonts w:eastAsia="標楷體"/>
          <w:b/>
          <w:sz w:val="26"/>
          <w:szCs w:val="26"/>
        </w:rPr>
        <w:lastRenderedPageBreak/>
        <w:t>d.</w:t>
      </w:r>
      <w:r w:rsidR="00AF0A86" w:rsidRPr="00AF0A86">
        <w:rPr>
          <w:b/>
          <w:bCs/>
          <w:sz w:val="26"/>
          <w:szCs w:val="26"/>
        </w:rPr>
        <w:t xml:space="preserve"> </w:t>
      </w:r>
      <w:r w:rsidR="00AF0A86" w:rsidRPr="009B2815">
        <w:rPr>
          <w:b/>
          <w:bCs/>
          <w:sz w:val="26"/>
          <w:szCs w:val="26"/>
        </w:rPr>
        <w:t xml:space="preserve">The age group of 45–64 had the highest </w:t>
      </w:r>
      <w:r w:rsidR="00E55EC5">
        <w:rPr>
          <w:rFonts w:hint="eastAsia"/>
          <w:b/>
          <w:bCs/>
          <w:sz w:val="26"/>
          <w:szCs w:val="26"/>
        </w:rPr>
        <w:t xml:space="preserve">medical </w:t>
      </w:r>
      <w:r w:rsidR="00AF0A86" w:rsidRPr="009B2815">
        <w:rPr>
          <w:b/>
          <w:bCs/>
          <w:sz w:val="26"/>
          <w:szCs w:val="26"/>
        </w:rPr>
        <w:t>claim</w:t>
      </w:r>
      <w:r w:rsidR="00BC5E75">
        <w:rPr>
          <w:rFonts w:hint="eastAsia"/>
          <w:b/>
          <w:bCs/>
          <w:sz w:val="26"/>
          <w:szCs w:val="26"/>
        </w:rPr>
        <w:t>s</w:t>
      </w:r>
    </w:p>
    <w:p w:rsidR="00AF0A86" w:rsidRPr="009B2815" w:rsidRDefault="00AF0A86" w:rsidP="00DC798C">
      <w:pPr>
        <w:pStyle w:val="1"/>
        <w:spacing w:after="120" w:line="400" w:lineRule="atLeast"/>
        <w:ind w:leftChars="236" w:left="566" w:firstLineChars="218" w:firstLine="567"/>
        <w:jc w:val="both"/>
        <w:rPr>
          <w:sz w:val="26"/>
          <w:szCs w:val="26"/>
        </w:rPr>
      </w:pPr>
      <w:r w:rsidRPr="009B2815">
        <w:rPr>
          <w:sz w:val="26"/>
          <w:szCs w:val="26"/>
        </w:rPr>
        <w:t xml:space="preserve">Broken down by age group, the outpatient claims </w:t>
      </w:r>
      <w:r w:rsidR="00F05914">
        <w:rPr>
          <w:rFonts w:hint="eastAsia"/>
          <w:sz w:val="26"/>
          <w:szCs w:val="26"/>
        </w:rPr>
        <w:t>of</w:t>
      </w:r>
      <w:r w:rsidRPr="009B2815">
        <w:rPr>
          <w:sz w:val="26"/>
          <w:szCs w:val="26"/>
        </w:rPr>
        <w:t xml:space="preserve"> major illness/injury in 2011 were, respectively, </w:t>
      </w:r>
      <w:r w:rsidR="00C87550">
        <w:rPr>
          <w:rFonts w:hint="eastAsia"/>
          <w:sz w:val="26"/>
          <w:szCs w:val="26"/>
        </w:rPr>
        <w:t>2</w:t>
      </w:r>
      <w:r w:rsidRPr="009B2815">
        <w:rPr>
          <w:sz w:val="26"/>
          <w:szCs w:val="26"/>
        </w:rPr>
        <w:t xml:space="preserve"> billion RVU </w:t>
      </w:r>
      <w:r w:rsidR="009E63C3" w:rsidRPr="009B2815">
        <w:rPr>
          <w:sz w:val="26"/>
          <w:szCs w:val="26"/>
        </w:rPr>
        <w:t>(2.2%)</w:t>
      </w:r>
      <w:r w:rsidR="009E63C3">
        <w:rPr>
          <w:rFonts w:hint="eastAsia"/>
          <w:sz w:val="26"/>
          <w:szCs w:val="26"/>
        </w:rPr>
        <w:t xml:space="preserve"> </w:t>
      </w:r>
      <w:r w:rsidRPr="009B2815">
        <w:rPr>
          <w:sz w:val="26"/>
          <w:szCs w:val="26"/>
        </w:rPr>
        <w:t>for the 0–14 group</w:t>
      </w:r>
      <w:r w:rsidR="009E63C3">
        <w:rPr>
          <w:rFonts w:hint="eastAsia"/>
          <w:sz w:val="26"/>
          <w:szCs w:val="26"/>
        </w:rPr>
        <w:t>,</w:t>
      </w:r>
      <w:r w:rsidRPr="009B2815">
        <w:rPr>
          <w:sz w:val="26"/>
          <w:szCs w:val="26"/>
        </w:rPr>
        <w:t xml:space="preserve"> </w:t>
      </w:r>
      <w:r w:rsidR="00C87550">
        <w:rPr>
          <w:rFonts w:hint="eastAsia"/>
          <w:sz w:val="26"/>
          <w:szCs w:val="26"/>
        </w:rPr>
        <w:t>4</w:t>
      </w:r>
      <w:r w:rsidRPr="009B2815">
        <w:rPr>
          <w:sz w:val="26"/>
          <w:szCs w:val="26"/>
        </w:rPr>
        <w:t xml:space="preserve"> billion RVU </w:t>
      </w:r>
      <w:r w:rsidR="009E63C3" w:rsidRPr="009B2815">
        <w:rPr>
          <w:sz w:val="26"/>
          <w:szCs w:val="26"/>
        </w:rPr>
        <w:t>(4.4%)</w:t>
      </w:r>
      <w:r w:rsidR="009E63C3">
        <w:rPr>
          <w:rFonts w:hint="eastAsia"/>
          <w:sz w:val="26"/>
          <w:szCs w:val="26"/>
        </w:rPr>
        <w:t xml:space="preserve"> </w:t>
      </w:r>
      <w:r w:rsidRPr="009B2815">
        <w:rPr>
          <w:sz w:val="26"/>
          <w:szCs w:val="26"/>
        </w:rPr>
        <w:t xml:space="preserve">for the 15–29 group, </w:t>
      </w:r>
      <w:r w:rsidR="00C87550">
        <w:rPr>
          <w:rFonts w:hint="eastAsia"/>
          <w:sz w:val="26"/>
          <w:szCs w:val="26"/>
        </w:rPr>
        <w:t>10</w:t>
      </w:r>
      <w:r w:rsidRPr="009B2815">
        <w:rPr>
          <w:sz w:val="26"/>
          <w:szCs w:val="26"/>
        </w:rPr>
        <w:t xml:space="preserve"> billion RVU </w:t>
      </w:r>
      <w:r w:rsidR="009E63C3" w:rsidRPr="009B2815">
        <w:rPr>
          <w:sz w:val="26"/>
          <w:szCs w:val="26"/>
        </w:rPr>
        <w:t>(12.2%)</w:t>
      </w:r>
      <w:r w:rsidR="009E63C3">
        <w:rPr>
          <w:rFonts w:hint="eastAsia"/>
          <w:sz w:val="26"/>
          <w:szCs w:val="26"/>
        </w:rPr>
        <w:t xml:space="preserve"> </w:t>
      </w:r>
      <w:r w:rsidRPr="009B2815">
        <w:rPr>
          <w:sz w:val="26"/>
          <w:szCs w:val="26"/>
        </w:rPr>
        <w:t>for the 30–44 group</w:t>
      </w:r>
      <w:r w:rsidR="009E63C3">
        <w:rPr>
          <w:rFonts w:hint="eastAsia"/>
          <w:sz w:val="26"/>
          <w:szCs w:val="26"/>
        </w:rPr>
        <w:t>,</w:t>
      </w:r>
      <w:r w:rsidRPr="009B2815">
        <w:rPr>
          <w:sz w:val="26"/>
          <w:szCs w:val="26"/>
        </w:rPr>
        <w:t xml:space="preserve"> 36 billion RVU </w:t>
      </w:r>
      <w:r w:rsidR="009E63C3" w:rsidRPr="009B2815">
        <w:rPr>
          <w:sz w:val="26"/>
          <w:szCs w:val="26"/>
        </w:rPr>
        <w:t xml:space="preserve">(45.1%) </w:t>
      </w:r>
      <w:r w:rsidRPr="009B2815">
        <w:rPr>
          <w:sz w:val="26"/>
          <w:szCs w:val="26"/>
        </w:rPr>
        <w:t xml:space="preserve">for the 45–64 group and 29 billion RVU </w:t>
      </w:r>
      <w:r w:rsidR="009E63C3" w:rsidRPr="009B2815">
        <w:rPr>
          <w:sz w:val="26"/>
          <w:szCs w:val="26"/>
        </w:rPr>
        <w:t>(36.1%)</w:t>
      </w:r>
      <w:r w:rsidR="009E63C3">
        <w:rPr>
          <w:rFonts w:hint="eastAsia"/>
          <w:sz w:val="26"/>
          <w:szCs w:val="26"/>
        </w:rPr>
        <w:t xml:space="preserve"> </w:t>
      </w:r>
      <w:r w:rsidRPr="009B2815">
        <w:rPr>
          <w:sz w:val="26"/>
          <w:szCs w:val="26"/>
        </w:rPr>
        <w:t xml:space="preserve">for the group of 65 and above. For the age groups </w:t>
      </w:r>
      <w:r w:rsidR="00F05914" w:rsidRPr="009B2815">
        <w:rPr>
          <w:sz w:val="26"/>
          <w:szCs w:val="26"/>
        </w:rPr>
        <w:t xml:space="preserve">below </w:t>
      </w:r>
      <w:r w:rsidRPr="009B2815">
        <w:rPr>
          <w:sz w:val="26"/>
          <w:szCs w:val="26"/>
        </w:rPr>
        <w:t xml:space="preserve">45, males had higher </w:t>
      </w:r>
      <w:r w:rsidR="00C87550">
        <w:rPr>
          <w:rFonts w:hint="eastAsia"/>
          <w:sz w:val="26"/>
          <w:szCs w:val="26"/>
        </w:rPr>
        <w:t xml:space="preserve">medical </w:t>
      </w:r>
      <w:r w:rsidRPr="009B2815">
        <w:rPr>
          <w:sz w:val="26"/>
          <w:szCs w:val="26"/>
        </w:rPr>
        <w:t xml:space="preserve">claim than females. For the age groups above 45, females had higher claim than males. </w:t>
      </w:r>
    </w:p>
    <w:p w:rsidR="00DC798C" w:rsidRPr="00DC798C" w:rsidRDefault="00AF0A86" w:rsidP="00DC798C">
      <w:pPr>
        <w:pStyle w:val="a5"/>
        <w:spacing w:after="120" w:line="400" w:lineRule="atLeast"/>
        <w:ind w:leftChars="236" w:left="566" w:firstLineChars="218" w:firstLine="567"/>
        <w:jc w:val="both"/>
        <w:rPr>
          <w:sz w:val="26"/>
          <w:szCs w:val="26"/>
        </w:rPr>
      </w:pPr>
      <w:r w:rsidRPr="009B2815">
        <w:rPr>
          <w:sz w:val="26"/>
          <w:szCs w:val="26"/>
        </w:rPr>
        <w:t xml:space="preserve">In terms of the average RVU per outpatient case </w:t>
      </w:r>
      <w:r w:rsidR="00F05914">
        <w:rPr>
          <w:rFonts w:hint="eastAsia"/>
          <w:sz w:val="26"/>
          <w:szCs w:val="26"/>
        </w:rPr>
        <w:t>of</w:t>
      </w:r>
      <w:r w:rsidRPr="009B2815">
        <w:rPr>
          <w:sz w:val="26"/>
          <w:szCs w:val="26"/>
        </w:rPr>
        <w:t xml:space="preserve"> major illness/injury in 2011, females had higher </w:t>
      </w:r>
      <w:r w:rsidR="00C87550">
        <w:rPr>
          <w:rFonts w:hint="eastAsia"/>
          <w:sz w:val="26"/>
          <w:szCs w:val="26"/>
        </w:rPr>
        <w:t xml:space="preserve">claim </w:t>
      </w:r>
      <w:r w:rsidRPr="009B2815">
        <w:rPr>
          <w:sz w:val="26"/>
          <w:szCs w:val="26"/>
        </w:rPr>
        <w:t>amount than males i</w:t>
      </w:r>
      <w:r w:rsidR="00F05914">
        <w:rPr>
          <w:sz w:val="26"/>
          <w:szCs w:val="26"/>
        </w:rPr>
        <w:t>n the age group of 65 and above</w:t>
      </w:r>
      <w:r w:rsidR="00F05914">
        <w:rPr>
          <w:rFonts w:hint="eastAsia"/>
          <w:sz w:val="26"/>
          <w:szCs w:val="26"/>
        </w:rPr>
        <w:t xml:space="preserve"> while m</w:t>
      </w:r>
      <w:r w:rsidRPr="009B2815">
        <w:rPr>
          <w:sz w:val="26"/>
          <w:szCs w:val="26"/>
        </w:rPr>
        <w:t>ales had higher amount than females in all other age groups.</w:t>
      </w:r>
    </w:p>
    <w:p w:rsidR="00A20B6D" w:rsidRPr="00947656" w:rsidRDefault="00856B85" w:rsidP="00730DFA">
      <w:pPr>
        <w:pStyle w:val="a5"/>
        <w:tabs>
          <w:tab w:val="left" w:pos="567"/>
        </w:tabs>
        <w:spacing w:afterLines="150" w:line="240" w:lineRule="auto"/>
        <w:ind w:leftChars="-1" w:left="-2"/>
        <w:jc w:val="center"/>
        <w:rPr>
          <w:rFonts w:eastAsia="標楷體"/>
          <w:sz w:val="26"/>
          <w:szCs w:val="26"/>
        </w:rPr>
      </w:pPr>
      <w:r w:rsidRPr="00856B85">
        <w:rPr>
          <w:rFonts w:eastAsia="標楷體"/>
          <w:noProof/>
          <w:sz w:val="26"/>
          <w:szCs w:val="26"/>
        </w:rPr>
        <w:drawing>
          <wp:inline distT="0" distB="0" distL="0" distR="0">
            <wp:extent cx="5036820" cy="3223260"/>
            <wp:effectExtent l="0" t="0" r="0" b="0"/>
            <wp:docPr id="31" name="圖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6A5005" w:rsidRPr="00947656" w:rsidRDefault="002179B3" w:rsidP="006A5005">
      <w:pPr>
        <w:pStyle w:val="a5"/>
        <w:spacing w:after="120"/>
        <w:ind w:leftChars="60" w:left="144"/>
        <w:jc w:val="both"/>
        <w:rPr>
          <w:rFonts w:eastAsia="標楷體"/>
          <w:b/>
          <w:sz w:val="26"/>
        </w:rPr>
      </w:pPr>
      <w:r>
        <w:rPr>
          <w:rFonts w:eastAsia="標楷體" w:hint="eastAsia"/>
          <w:b/>
          <w:sz w:val="26"/>
        </w:rPr>
        <w:t xml:space="preserve">ii. </w:t>
      </w:r>
      <w:r w:rsidRPr="00BB717B">
        <w:rPr>
          <w:rFonts w:eastAsia="標楷體" w:hint="eastAsia"/>
          <w:b/>
          <w:sz w:val="26"/>
          <w:szCs w:val="26"/>
        </w:rPr>
        <w:t>Inpatient</w:t>
      </w:r>
      <w:r>
        <w:rPr>
          <w:rFonts w:eastAsia="標楷體" w:hint="eastAsia"/>
          <w:b/>
          <w:sz w:val="26"/>
        </w:rPr>
        <w:t xml:space="preserve"> Service</w:t>
      </w:r>
    </w:p>
    <w:p w:rsidR="00FC0D55" w:rsidRPr="00947656" w:rsidRDefault="00FC0D55" w:rsidP="00BB717B">
      <w:pPr>
        <w:pStyle w:val="a5"/>
        <w:spacing w:after="120"/>
        <w:ind w:leftChars="119" w:left="624" w:hangingChars="130" w:hanging="338"/>
        <w:jc w:val="both"/>
        <w:rPr>
          <w:rFonts w:eastAsia="標楷體"/>
          <w:b/>
          <w:sz w:val="26"/>
          <w:szCs w:val="26"/>
        </w:rPr>
      </w:pPr>
      <w:r w:rsidRPr="00947656">
        <w:rPr>
          <w:rFonts w:eastAsia="標楷體"/>
          <w:b/>
          <w:sz w:val="26"/>
          <w:szCs w:val="26"/>
        </w:rPr>
        <w:t>a.</w:t>
      </w:r>
      <w:r w:rsidR="00F8528D" w:rsidRPr="00F8528D">
        <w:rPr>
          <w:b/>
          <w:bCs/>
          <w:sz w:val="26"/>
          <w:szCs w:val="26"/>
        </w:rPr>
        <w:t xml:space="preserve"> </w:t>
      </w:r>
      <w:r w:rsidR="00F8528D" w:rsidRPr="009B2815">
        <w:rPr>
          <w:b/>
          <w:bCs/>
          <w:sz w:val="26"/>
          <w:szCs w:val="26"/>
        </w:rPr>
        <w:t>Cancer accounted for 4</w:t>
      </w:r>
      <w:r w:rsidR="00B76BC8">
        <w:rPr>
          <w:rFonts w:hint="eastAsia"/>
          <w:b/>
          <w:bCs/>
          <w:sz w:val="26"/>
          <w:szCs w:val="26"/>
        </w:rPr>
        <w:t>3.3</w:t>
      </w:r>
      <w:r w:rsidR="00F8528D" w:rsidRPr="009B2815">
        <w:rPr>
          <w:b/>
          <w:bCs/>
          <w:sz w:val="26"/>
          <w:szCs w:val="26"/>
        </w:rPr>
        <w:t xml:space="preserve">% of the total </w:t>
      </w:r>
      <w:r w:rsidR="00F1619D">
        <w:rPr>
          <w:rFonts w:hint="eastAsia"/>
          <w:b/>
          <w:bCs/>
          <w:sz w:val="26"/>
          <w:szCs w:val="26"/>
        </w:rPr>
        <w:t xml:space="preserve">medical </w:t>
      </w:r>
      <w:r w:rsidR="00F8528D" w:rsidRPr="009B2815">
        <w:rPr>
          <w:b/>
          <w:bCs/>
          <w:sz w:val="26"/>
          <w:szCs w:val="26"/>
        </w:rPr>
        <w:t xml:space="preserve">claims </w:t>
      </w:r>
      <w:r w:rsidR="0027648F">
        <w:rPr>
          <w:rFonts w:hint="eastAsia"/>
          <w:b/>
          <w:bCs/>
          <w:sz w:val="26"/>
          <w:szCs w:val="26"/>
        </w:rPr>
        <w:t xml:space="preserve">of major illness/ injury </w:t>
      </w:r>
      <w:r w:rsidR="00F8528D" w:rsidRPr="009B2815">
        <w:rPr>
          <w:b/>
          <w:bCs/>
          <w:sz w:val="26"/>
          <w:szCs w:val="26"/>
        </w:rPr>
        <w:t>and was the highest of all.</w:t>
      </w:r>
    </w:p>
    <w:p w:rsidR="00CB0585" w:rsidRPr="00947656" w:rsidRDefault="00F8528D" w:rsidP="00BB717B">
      <w:pPr>
        <w:pStyle w:val="a5"/>
        <w:tabs>
          <w:tab w:val="left" w:pos="851"/>
        </w:tabs>
        <w:spacing w:after="120" w:line="440" w:lineRule="atLeast"/>
        <w:ind w:leftChars="236" w:left="566" w:firstLineChars="218" w:firstLine="567"/>
        <w:jc w:val="both"/>
        <w:rPr>
          <w:rFonts w:eastAsia="標楷體"/>
          <w:sz w:val="26"/>
          <w:szCs w:val="26"/>
        </w:rPr>
      </w:pPr>
      <w:r w:rsidRPr="009B2815">
        <w:rPr>
          <w:sz w:val="26"/>
          <w:szCs w:val="26"/>
        </w:rPr>
        <w:t xml:space="preserve">Total inpatient claims for major illness/injury in 2011 amounted to 70 billion RVU, an increase of 2 billion RVU or 3.3% from the previous year. The average annual </w:t>
      </w:r>
      <w:r w:rsidR="00F1619D">
        <w:rPr>
          <w:rFonts w:hint="eastAsia"/>
          <w:sz w:val="26"/>
          <w:szCs w:val="26"/>
        </w:rPr>
        <w:t>increase</w:t>
      </w:r>
      <w:r w:rsidRPr="009B2815">
        <w:rPr>
          <w:sz w:val="26"/>
          <w:szCs w:val="26"/>
        </w:rPr>
        <w:t xml:space="preserve"> in ten years was 7.2%. The top three diseases were, respectively, cancer, </w:t>
      </w:r>
      <w:r w:rsidR="00601288">
        <w:rPr>
          <w:rFonts w:hint="eastAsia"/>
          <w:sz w:val="26"/>
          <w:szCs w:val="26"/>
        </w:rPr>
        <w:t>d</w:t>
      </w:r>
      <w:r w:rsidR="00601288" w:rsidRPr="00601288">
        <w:rPr>
          <w:sz w:val="26"/>
          <w:szCs w:val="26"/>
        </w:rPr>
        <w:t>ependence on respirator</w:t>
      </w:r>
      <w:r w:rsidRPr="009B2815">
        <w:rPr>
          <w:sz w:val="26"/>
          <w:szCs w:val="26"/>
        </w:rPr>
        <w:t xml:space="preserve"> and chronic psych</w:t>
      </w:r>
      <w:r w:rsidR="00CB6B9C">
        <w:rPr>
          <w:rFonts w:hint="eastAsia"/>
          <w:sz w:val="26"/>
          <w:szCs w:val="26"/>
        </w:rPr>
        <w:t>ia</w:t>
      </w:r>
      <w:r w:rsidRPr="009B2815">
        <w:rPr>
          <w:sz w:val="26"/>
          <w:szCs w:val="26"/>
        </w:rPr>
        <w:t>t</w:t>
      </w:r>
      <w:r w:rsidR="00CB6B9C">
        <w:rPr>
          <w:rFonts w:hint="eastAsia"/>
          <w:sz w:val="26"/>
          <w:szCs w:val="26"/>
        </w:rPr>
        <w:t>r</w:t>
      </w:r>
      <w:r w:rsidRPr="009B2815">
        <w:rPr>
          <w:sz w:val="26"/>
          <w:szCs w:val="26"/>
        </w:rPr>
        <w:t>ic disorders.</w:t>
      </w:r>
    </w:p>
    <w:p w:rsidR="00CB0585" w:rsidRPr="00947656" w:rsidRDefault="00142078" w:rsidP="00730DFA">
      <w:pPr>
        <w:pStyle w:val="a5"/>
        <w:tabs>
          <w:tab w:val="left" w:pos="851"/>
        </w:tabs>
        <w:spacing w:afterLines="50" w:line="180" w:lineRule="atLeast"/>
        <w:ind w:leftChars="0" w:left="851"/>
        <w:jc w:val="both"/>
        <w:rPr>
          <w:rFonts w:eastAsia="標楷體"/>
          <w:sz w:val="26"/>
          <w:szCs w:val="26"/>
        </w:rPr>
      </w:pPr>
      <w:r w:rsidRPr="00142078">
        <w:rPr>
          <w:rFonts w:eastAsia="標楷體"/>
          <w:noProof/>
          <w:sz w:val="26"/>
          <w:szCs w:val="26"/>
        </w:rPr>
        <w:lastRenderedPageBreak/>
        <w:drawing>
          <wp:inline distT="0" distB="0" distL="0" distR="0">
            <wp:extent cx="5486400" cy="2409190"/>
            <wp:effectExtent l="0" t="0" r="0" b="0"/>
            <wp:docPr id="16" name="圖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FC0D55" w:rsidRPr="00947656" w:rsidRDefault="00FC0D55" w:rsidP="00E55EC5">
      <w:pPr>
        <w:pStyle w:val="a5"/>
        <w:spacing w:after="120"/>
        <w:ind w:leftChars="119" w:left="624" w:hangingChars="130" w:hanging="338"/>
        <w:jc w:val="both"/>
        <w:rPr>
          <w:rFonts w:eastAsia="標楷體"/>
          <w:b/>
          <w:sz w:val="26"/>
          <w:szCs w:val="26"/>
        </w:rPr>
      </w:pPr>
      <w:proofErr w:type="gramStart"/>
      <w:r w:rsidRPr="00947656">
        <w:rPr>
          <w:rFonts w:eastAsia="標楷體"/>
          <w:b/>
          <w:sz w:val="26"/>
          <w:szCs w:val="26"/>
        </w:rPr>
        <w:t>b</w:t>
      </w:r>
      <w:proofErr w:type="gramEnd"/>
      <w:r w:rsidRPr="00947656">
        <w:rPr>
          <w:rFonts w:eastAsia="標楷體"/>
          <w:b/>
          <w:sz w:val="26"/>
          <w:szCs w:val="26"/>
        </w:rPr>
        <w:t>.</w:t>
      </w:r>
      <w:r w:rsidR="00F8528D" w:rsidRPr="00F8528D">
        <w:rPr>
          <w:b/>
          <w:bCs/>
          <w:sz w:val="26"/>
          <w:szCs w:val="26"/>
        </w:rPr>
        <w:t xml:space="preserve"> </w:t>
      </w:r>
      <w:r w:rsidR="00F8528D" w:rsidRPr="009B2815">
        <w:rPr>
          <w:b/>
          <w:bCs/>
          <w:sz w:val="26"/>
          <w:szCs w:val="26"/>
        </w:rPr>
        <w:t xml:space="preserve">In terms of average </w:t>
      </w:r>
      <w:r w:rsidR="00043823">
        <w:rPr>
          <w:rFonts w:hint="eastAsia"/>
          <w:b/>
          <w:bCs/>
          <w:sz w:val="26"/>
          <w:szCs w:val="26"/>
        </w:rPr>
        <w:t xml:space="preserve">medical </w:t>
      </w:r>
      <w:r w:rsidR="00F8528D" w:rsidRPr="009B2815">
        <w:rPr>
          <w:b/>
          <w:bCs/>
          <w:sz w:val="26"/>
          <w:szCs w:val="26"/>
        </w:rPr>
        <w:t>claim per capita, congenital coagulation disorders (Hemophilia) ranked the highest.</w:t>
      </w:r>
    </w:p>
    <w:p w:rsidR="00DC798C" w:rsidRDefault="00F8528D" w:rsidP="00730DFA">
      <w:pPr>
        <w:pStyle w:val="a5"/>
        <w:spacing w:afterLines="50" w:line="440" w:lineRule="atLeast"/>
        <w:ind w:leftChars="236" w:left="566" w:firstLineChars="218" w:firstLine="567"/>
        <w:jc w:val="both"/>
        <w:rPr>
          <w:sz w:val="26"/>
          <w:szCs w:val="26"/>
        </w:rPr>
      </w:pPr>
      <w:r w:rsidRPr="009B2815">
        <w:rPr>
          <w:sz w:val="26"/>
          <w:szCs w:val="26"/>
        </w:rPr>
        <w:t>With regard to the average inpatient claim</w:t>
      </w:r>
      <w:r w:rsidR="0027265B">
        <w:rPr>
          <w:rFonts w:hint="eastAsia"/>
          <w:sz w:val="26"/>
          <w:szCs w:val="26"/>
        </w:rPr>
        <w:t xml:space="preserve"> </w:t>
      </w:r>
      <w:r w:rsidRPr="009B2815">
        <w:rPr>
          <w:sz w:val="26"/>
          <w:szCs w:val="26"/>
        </w:rPr>
        <w:t>per capita for major illness/injury in 2011, congenital coagulation disorders (Hemophilia) had the highest amount of 1,592,866 RVU.</w:t>
      </w:r>
      <w:r w:rsidR="0027265B">
        <w:rPr>
          <w:rFonts w:hint="eastAsia"/>
          <w:sz w:val="26"/>
          <w:szCs w:val="26"/>
        </w:rPr>
        <w:t xml:space="preserve"> </w:t>
      </w:r>
      <w:r w:rsidRPr="009B2815">
        <w:rPr>
          <w:sz w:val="26"/>
          <w:szCs w:val="26"/>
        </w:rPr>
        <w:t xml:space="preserve">It was followed by </w:t>
      </w:r>
      <w:r w:rsidR="00043823">
        <w:rPr>
          <w:rFonts w:hint="eastAsia"/>
          <w:sz w:val="26"/>
          <w:szCs w:val="26"/>
        </w:rPr>
        <w:t>d</w:t>
      </w:r>
      <w:r w:rsidR="00043823" w:rsidRPr="00043823">
        <w:rPr>
          <w:sz w:val="26"/>
          <w:szCs w:val="26"/>
        </w:rPr>
        <w:t xml:space="preserve">ependence on respirator </w:t>
      </w:r>
      <w:r w:rsidRPr="009B2815">
        <w:rPr>
          <w:sz w:val="26"/>
          <w:szCs w:val="26"/>
        </w:rPr>
        <w:t xml:space="preserve">s </w:t>
      </w:r>
      <w:r w:rsidR="00043823">
        <w:rPr>
          <w:rFonts w:hint="eastAsia"/>
          <w:sz w:val="26"/>
          <w:szCs w:val="26"/>
        </w:rPr>
        <w:t xml:space="preserve">at </w:t>
      </w:r>
      <w:r w:rsidRPr="009B2815">
        <w:rPr>
          <w:sz w:val="26"/>
          <w:szCs w:val="26"/>
        </w:rPr>
        <w:t xml:space="preserve">739,754 RVU, burns </w:t>
      </w:r>
      <w:r w:rsidR="00043823">
        <w:rPr>
          <w:rFonts w:hint="eastAsia"/>
          <w:sz w:val="26"/>
          <w:szCs w:val="26"/>
        </w:rPr>
        <w:t xml:space="preserve">at </w:t>
      </w:r>
      <w:r w:rsidRPr="009B2815">
        <w:rPr>
          <w:sz w:val="26"/>
          <w:szCs w:val="26"/>
        </w:rPr>
        <w:t xml:space="preserve">732,732 RVU, malnutrition </w:t>
      </w:r>
      <w:r w:rsidR="00043823">
        <w:rPr>
          <w:rFonts w:hint="eastAsia"/>
          <w:sz w:val="26"/>
          <w:szCs w:val="26"/>
        </w:rPr>
        <w:t xml:space="preserve">at </w:t>
      </w:r>
      <w:r w:rsidRPr="009B2815">
        <w:rPr>
          <w:sz w:val="26"/>
          <w:szCs w:val="26"/>
        </w:rPr>
        <w:t>558,882 RVU and complications in premature inf</w:t>
      </w:r>
      <w:r w:rsidR="00043823">
        <w:rPr>
          <w:sz w:val="26"/>
          <w:szCs w:val="26"/>
        </w:rPr>
        <w:t xml:space="preserve">ants </w:t>
      </w:r>
      <w:r w:rsidR="00043823">
        <w:rPr>
          <w:rFonts w:hint="eastAsia"/>
          <w:sz w:val="26"/>
          <w:szCs w:val="26"/>
        </w:rPr>
        <w:t xml:space="preserve">at </w:t>
      </w:r>
      <w:r w:rsidR="00043823">
        <w:rPr>
          <w:sz w:val="26"/>
          <w:szCs w:val="26"/>
        </w:rPr>
        <w:t>426,146 RVU</w:t>
      </w:r>
      <w:r w:rsidRPr="009B2815">
        <w:rPr>
          <w:sz w:val="26"/>
          <w:szCs w:val="26"/>
        </w:rPr>
        <w:t>. They were, respectively, 6.7</w:t>
      </w:r>
      <w:r w:rsidR="00601288">
        <w:rPr>
          <w:rFonts w:hint="eastAsia"/>
          <w:sz w:val="26"/>
          <w:szCs w:val="26"/>
        </w:rPr>
        <w:t>,</w:t>
      </w:r>
      <w:r w:rsidRPr="009B2815">
        <w:rPr>
          <w:sz w:val="26"/>
          <w:szCs w:val="26"/>
        </w:rPr>
        <w:t xml:space="preserve"> 3.1, 3.1, 2.3 and 1.8 times of the average amount, which was 238,522 RVU.</w:t>
      </w:r>
    </w:p>
    <w:tbl>
      <w:tblPr>
        <w:tblW w:w="9221" w:type="dxa"/>
        <w:tblInd w:w="312" w:type="dxa"/>
        <w:tblCellMar>
          <w:left w:w="28" w:type="dxa"/>
          <w:right w:w="28" w:type="dxa"/>
        </w:tblCellMar>
        <w:tblLook w:val="04A0"/>
      </w:tblPr>
      <w:tblGrid>
        <w:gridCol w:w="428"/>
        <w:gridCol w:w="2640"/>
        <w:gridCol w:w="762"/>
        <w:gridCol w:w="707"/>
        <w:gridCol w:w="3117"/>
        <w:gridCol w:w="808"/>
        <w:gridCol w:w="759"/>
      </w:tblGrid>
      <w:tr w:rsidR="00F65BD4" w:rsidRPr="00947656" w:rsidTr="008A4FB2">
        <w:trPr>
          <w:trHeight w:val="330"/>
        </w:trPr>
        <w:tc>
          <w:tcPr>
            <w:tcW w:w="428" w:type="dxa"/>
            <w:tcBorders>
              <w:top w:val="nil"/>
              <w:left w:val="nil"/>
              <w:bottom w:val="thickThinSmallGap" w:sz="24" w:space="0" w:color="C2D69B" w:themeColor="accent3" w:themeTint="99"/>
              <w:right w:val="nil"/>
            </w:tcBorders>
          </w:tcPr>
          <w:p w:rsidR="00F65BD4" w:rsidRDefault="00DC798C" w:rsidP="00730DFA">
            <w:pPr>
              <w:widowControl/>
              <w:adjustRightInd/>
              <w:spacing w:beforeLines="50" w:line="240" w:lineRule="auto"/>
              <w:jc w:val="center"/>
              <w:textAlignment w:val="auto"/>
              <w:rPr>
                <w:rFonts w:eastAsia="標楷體"/>
                <w:sz w:val="20"/>
              </w:rPr>
            </w:pPr>
            <w:r>
              <w:rPr>
                <w:sz w:val="26"/>
                <w:szCs w:val="26"/>
              </w:rPr>
              <w:br w:type="page"/>
            </w:r>
          </w:p>
        </w:tc>
        <w:tc>
          <w:tcPr>
            <w:tcW w:w="8793" w:type="dxa"/>
            <w:gridSpan w:val="6"/>
            <w:tcBorders>
              <w:top w:val="nil"/>
              <w:left w:val="nil"/>
              <w:bottom w:val="thickThinSmallGap" w:sz="24" w:space="0" w:color="C2D69B" w:themeColor="accent3" w:themeTint="99"/>
              <w:right w:val="nil"/>
            </w:tcBorders>
          </w:tcPr>
          <w:p w:rsidR="00F65BD4" w:rsidRDefault="00F65BD4" w:rsidP="00730DFA">
            <w:pPr>
              <w:widowControl/>
              <w:adjustRightInd/>
              <w:spacing w:beforeLines="50" w:afterLines="25" w:line="240" w:lineRule="auto"/>
              <w:jc w:val="center"/>
              <w:textAlignment w:val="auto"/>
              <w:rPr>
                <w:rFonts w:eastAsia="標楷體"/>
                <w:sz w:val="20"/>
              </w:rPr>
            </w:pPr>
            <w:r>
              <w:rPr>
                <w:rFonts w:eastAsia="標楷體" w:hint="eastAsia"/>
                <w:sz w:val="20"/>
              </w:rPr>
              <w:t xml:space="preserve">Table </w:t>
            </w:r>
            <w:r w:rsidRPr="00947656">
              <w:rPr>
                <w:rFonts w:eastAsia="標楷體"/>
                <w:sz w:val="20"/>
              </w:rPr>
              <w:t xml:space="preserve">4  </w:t>
            </w:r>
            <w:r>
              <w:rPr>
                <w:rFonts w:eastAsia="標楷體" w:hint="eastAsia"/>
                <w:sz w:val="20"/>
              </w:rPr>
              <w:t>Top 10 Inpatient Major Illness/Injury in 2011</w:t>
            </w:r>
          </w:p>
        </w:tc>
      </w:tr>
      <w:tr w:rsidR="00F65BD4" w:rsidRPr="00947656" w:rsidTr="008A4FB2">
        <w:trPr>
          <w:trHeight w:val="345"/>
        </w:trPr>
        <w:tc>
          <w:tcPr>
            <w:tcW w:w="4537" w:type="dxa"/>
            <w:gridSpan w:val="4"/>
            <w:tcBorders>
              <w:left w:val="thickThinSmallGap" w:sz="24" w:space="0" w:color="C2D69B" w:themeColor="accent3" w:themeTint="99"/>
              <w:bottom w:val="thinThickSmallGap" w:sz="12" w:space="0" w:color="C2D69B" w:themeColor="accent3" w:themeTint="99"/>
              <w:right w:val="thinThickThinSmallGap" w:sz="24" w:space="0" w:color="C2D69B" w:themeColor="accent3" w:themeTint="99"/>
            </w:tcBorders>
          </w:tcPr>
          <w:p w:rsidR="00F65BD4" w:rsidRPr="00347E2F" w:rsidRDefault="00F65BD4" w:rsidP="009D3C33">
            <w:pPr>
              <w:widowControl/>
              <w:adjustRightInd/>
              <w:spacing w:line="240" w:lineRule="auto"/>
              <w:jc w:val="center"/>
              <w:textAlignment w:val="auto"/>
              <w:rPr>
                <w:rFonts w:eastAsia="標楷體"/>
                <w:b/>
                <w:color w:val="76923C" w:themeColor="accent3" w:themeShade="BF"/>
                <w:sz w:val="18"/>
                <w:szCs w:val="18"/>
              </w:rPr>
            </w:pPr>
            <w:r w:rsidRPr="00347E2F">
              <w:rPr>
                <w:rFonts w:eastAsia="標楷體" w:hint="eastAsia"/>
                <w:b/>
                <w:color w:val="76923C" w:themeColor="accent3" w:themeShade="BF"/>
                <w:sz w:val="18"/>
                <w:szCs w:val="18"/>
              </w:rPr>
              <w:t>M</w:t>
            </w:r>
            <w:r w:rsidRPr="00347E2F">
              <w:rPr>
                <w:rFonts w:eastAsia="標楷體"/>
                <w:b/>
                <w:color w:val="76923C" w:themeColor="accent3" w:themeShade="BF"/>
                <w:sz w:val="18"/>
                <w:szCs w:val="18"/>
              </w:rPr>
              <w:t xml:space="preserve">edical </w:t>
            </w:r>
            <w:r>
              <w:rPr>
                <w:rFonts w:eastAsia="標楷體" w:hint="eastAsia"/>
                <w:b/>
                <w:color w:val="76923C" w:themeColor="accent3" w:themeShade="BF"/>
                <w:sz w:val="18"/>
                <w:szCs w:val="18"/>
              </w:rPr>
              <w:t>B</w:t>
            </w:r>
            <w:r w:rsidRPr="00347E2F">
              <w:rPr>
                <w:rFonts w:eastAsia="標楷體" w:hint="eastAsia"/>
                <w:b/>
                <w:color w:val="76923C" w:themeColor="accent3" w:themeShade="BF"/>
                <w:sz w:val="18"/>
                <w:szCs w:val="18"/>
              </w:rPr>
              <w:t xml:space="preserve">enefit </w:t>
            </w:r>
            <w:r>
              <w:rPr>
                <w:rFonts w:eastAsia="標楷體" w:hint="eastAsia"/>
                <w:b/>
                <w:color w:val="76923C" w:themeColor="accent3" w:themeShade="BF"/>
                <w:sz w:val="18"/>
                <w:szCs w:val="18"/>
              </w:rPr>
              <w:t>C</w:t>
            </w:r>
            <w:r w:rsidRPr="00347E2F">
              <w:rPr>
                <w:rFonts w:eastAsia="標楷體"/>
                <w:b/>
                <w:color w:val="76923C" w:themeColor="accent3" w:themeShade="BF"/>
                <w:sz w:val="18"/>
                <w:szCs w:val="18"/>
              </w:rPr>
              <w:t>laims</w:t>
            </w:r>
          </w:p>
        </w:tc>
        <w:tc>
          <w:tcPr>
            <w:tcW w:w="4684" w:type="dxa"/>
            <w:gridSpan w:val="3"/>
            <w:tcBorders>
              <w:left w:val="thinThickThinSmallGap" w:sz="24" w:space="0" w:color="C2D69B" w:themeColor="accent3" w:themeTint="99"/>
              <w:bottom w:val="thinThickSmallGap" w:sz="12" w:space="0" w:color="C2D69B" w:themeColor="accent3" w:themeTint="99"/>
              <w:right w:val="thinThickSmallGap" w:sz="24" w:space="0" w:color="C2D69B" w:themeColor="accent3" w:themeTint="99"/>
            </w:tcBorders>
            <w:shd w:val="clear" w:color="auto" w:fill="auto"/>
            <w:noWrap/>
            <w:vAlign w:val="center"/>
            <w:hideMark/>
          </w:tcPr>
          <w:p w:rsidR="00F65BD4" w:rsidRPr="00347E2F" w:rsidRDefault="00F65BD4" w:rsidP="009D3C33">
            <w:pPr>
              <w:widowControl/>
              <w:adjustRightInd/>
              <w:spacing w:line="240" w:lineRule="auto"/>
              <w:jc w:val="center"/>
              <w:textAlignment w:val="auto"/>
              <w:rPr>
                <w:rFonts w:eastAsia="標楷體"/>
                <w:b/>
                <w:color w:val="76923C" w:themeColor="accent3" w:themeShade="BF"/>
                <w:sz w:val="18"/>
                <w:szCs w:val="18"/>
              </w:rPr>
            </w:pPr>
            <w:r w:rsidRPr="00347E2F">
              <w:rPr>
                <w:rFonts w:eastAsia="標楷體" w:hint="eastAsia"/>
                <w:b/>
                <w:color w:val="76923C" w:themeColor="accent3" w:themeShade="BF"/>
                <w:sz w:val="18"/>
                <w:szCs w:val="18"/>
              </w:rPr>
              <w:t>M</w:t>
            </w:r>
            <w:r w:rsidRPr="00347E2F">
              <w:rPr>
                <w:rFonts w:eastAsia="標楷體"/>
                <w:b/>
                <w:color w:val="76923C" w:themeColor="accent3" w:themeShade="BF"/>
                <w:sz w:val="18"/>
                <w:szCs w:val="18"/>
              </w:rPr>
              <w:t>edical</w:t>
            </w:r>
            <w:r w:rsidRPr="00347E2F">
              <w:rPr>
                <w:rFonts w:eastAsia="標楷體" w:hint="eastAsia"/>
                <w:b/>
                <w:color w:val="76923C" w:themeColor="accent3" w:themeShade="BF"/>
                <w:sz w:val="18"/>
                <w:szCs w:val="18"/>
              </w:rPr>
              <w:t xml:space="preserve"> </w:t>
            </w:r>
            <w:r>
              <w:rPr>
                <w:rFonts w:eastAsia="標楷體" w:hint="eastAsia"/>
                <w:b/>
                <w:color w:val="76923C" w:themeColor="accent3" w:themeShade="BF"/>
                <w:sz w:val="18"/>
                <w:szCs w:val="18"/>
              </w:rPr>
              <w:t>B</w:t>
            </w:r>
            <w:r w:rsidRPr="00347E2F">
              <w:rPr>
                <w:rFonts w:eastAsia="標楷體" w:hint="eastAsia"/>
                <w:b/>
                <w:color w:val="76923C" w:themeColor="accent3" w:themeShade="BF"/>
                <w:sz w:val="18"/>
                <w:szCs w:val="18"/>
              </w:rPr>
              <w:t>enefit</w:t>
            </w:r>
            <w:r w:rsidRPr="00347E2F">
              <w:rPr>
                <w:rFonts w:eastAsia="標楷體"/>
                <w:b/>
                <w:color w:val="76923C" w:themeColor="accent3" w:themeShade="BF"/>
                <w:sz w:val="18"/>
                <w:szCs w:val="18"/>
              </w:rPr>
              <w:t xml:space="preserve"> </w:t>
            </w:r>
            <w:r>
              <w:rPr>
                <w:rFonts w:eastAsia="標楷體" w:hint="eastAsia"/>
                <w:b/>
                <w:color w:val="76923C" w:themeColor="accent3" w:themeShade="BF"/>
                <w:sz w:val="18"/>
                <w:szCs w:val="18"/>
              </w:rPr>
              <w:t>C</w:t>
            </w:r>
            <w:r w:rsidRPr="00347E2F">
              <w:rPr>
                <w:rFonts w:eastAsia="標楷體"/>
                <w:b/>
                <w:color w:val="76923C" w:themeColor="accent3" w:themeShade="BF"/>
                <w:sz w:val="18"/>
                <w:szCs w:val="18"/>
              </w:rPr>
              <w:t xml:space="preserve">laims </w:t>
            </w:r>
            <w:r>
              <w:rPr>
                <w:rFonts w:eastAsia="標楷體" w:hint="eastAsia"/>
                <w:b/>
                <w:color w:val="76923C" w:themeColor="accent3" w:themeShade="BF"/>
                <w:sz w:val="18"/>
                <w:szCs w:val="18"/>
              </w:rPr>
              <w:t>P</w:t>
            </w:r>
            <w:r w:rsidRPr="00347E2F">
              <w:rPr>
                <w:rFonts w:eastAsia="標楷體" w:hint="eastAsia"/>
                <w:b/>
                <w:color w:val="76923C" w:themeColor="accent3" w:themeShade="BF"/>
                <w:sz w:val="18"/>
                <w:szCs w:val="18"/>
              </w:rPr>
              <w:t xml:space="preserve">er </w:t>
            </w:r>
            <w:r>
              <w:rPr>
                <w:rFonts w:eastAsia="標楷體" w:hint="eastAsia"/>
                <w:b/>
                <w:color w:val="76923C" w:themeColor="accent3" w:themeShade="BF"/>
                <w:sz w:val="18"/>
                <w:szCs w:val="18"/>
              </w:rPr>
              <w:t>C</w:t>
            </w:r>
            <w:r w:rsidRPr="00347E2F">
              <w:rPr>
                <w:rFonts w:eastAsia="標楷體" w:hint="eastAsia"/>
                <w:b/>
                <w:color w:val="76923C" w:themeColor="accent3" w:themeShade="BF"/>
                <w:sz w:val="18"/>
                <w:szCs w:val="18"/>
              </w:rPr>
              <w:t>apita</w:t>
            </w:r>
          </w:p>
        </w:tc>
      </w:tr>
      <w:tr w:rsidR="00F65BD4" w:rsidRPr="00947656" w:rsidTr="008A4FB2">
        <w:trPr>
          <w:trHeight w:val="237"/>
        </w:trPr>
        <w:tc>
          <w:tcPr>
            <w:tcW w:w="428" w:type="dxa"/>
            <w:tcBorders>
              <w:top w:val="thinThickSmallGap" w:sz="12" w:space="0" w:color="C2D69B" w:themeColor="accent3" w:themeTint="99"/>
              <w:left w:val="thickThinSmallGap" w:sz="24" w:space="0" w:color="C2D69B" w:themeColor="accent3" w:themeTint="99"/>
              <w:bottom w:val="nil"/>
              <w:right w:val="double" w:sz="6" w:space="0" w:color="C2D69B" w:themeColor="accent3" w:themeTint="99"/>
            </w:tcBorders>
          </w:tcPr>
          <w:p w:rsidR="00F65BD4" w:rsidRDefault="00F65BD4" w:rsidP="0099400F">
            <w:pPr>
              <w:widowControl/>
              <w:adjustRightInd/>
              <w:spacing w:line="240" w:lineRule="auto"/>
              <w:jc w:val="center"/>
              <w:textAlignment w:val="auto"/>
              <w:rPr>
                <w:color w:val="000000"/>
                <w:sz w:val="16"/>
                <w:szCs w:val="16"/>
              </w:rPr>
            </w:pPr>
            <w:r>
              <w:rPr>
                <w:rFonts w:hint="eastAsia"/>
                <w:color w:val="000000"/>
                <w:sz w:val="16"/>
                <w:szCs w:val="16"/>
              </w:rPr>
              <w:t>Rank</w:t>
            </w:r>
          </w:p>
        </w:tc>
        <w:tc>
          <w:tcPr>
            <w:tcW w:w="2640" w:type="dxa"/>
            <w:tcBorders>
              <w:top w:val="thinThickSmallGap" w:sz="12" w:space="0" w:color="C2D69B" w:themeColor="accent3" w:themeTint="99"/>
              <w:left w:val="thickThinSmallGap" w:sz="24" w:space="0" w:color="C2D69B" w:themeColor="accent3" w:themeTint="99"/>
              <w:bottom w:val="nil"/>
              <w:right w:val="double" w:sz="6" w:space="0" w:color="C2D69B" w:themeColor="accent3" w:themeTint="99"/>
            </w:tcBorders>
            <w:shd w:val="clear" w:color="auto" w:fill="auto"/>
            <w:noWrap/>
            <w:tcMar>
              <w:left w:w="85" w:type="dxa"/>
              <w:right w:w="85" w:type="dxa"/>
            </w:tcMar>
            <w:vAlign w:val="center"/>
            <w:hideMark/>
          </w:tcPr>
          <w:p w:rsidR="00F65BD4" w:rsidRDefault="00F65BD4" w:rsidP="0099400F">
            <w:pPr>
              <w:widowControl/>
              <w:adjustRightInd/>
              <w:spacing w:line="240" w:lineRule="auto"/>
              <w:jc w:val="center"/>
              <w:textAlignment w:val="auto"/>
              <w:rPr>
                <w:color w:val="000000"/>
                <w:sz w:val="16"/>
                <w:szCs w:val="16"/>
              </w:rPr>
            </w:pPr>
            <w:r>
              <w:rPr>
                <w:rFonts w:hint="eastAsia"/>
                <w:color w:val="000000"/>
                <w:sz w:val="16"/>
                <w:szCs w:val="16"/>
              </w:rPr>
              <w:t>Category of Major Illness/Injury</w:t>
            </w:r>
          </w:p>
        </w:tc>
        <w:tc>
          <w:tcPr>
            <w:tcW w:w="762" w:type="dxa"/>
            <w:tcBorders>
              <w:top w:val="thinThickSmallGap" w:sz="12" w:space="0" w:color="C2D69B" w:themeColor="accent3" w:themeTint="99"/>
              <w:left w:val="double" w:sz="6" w:space="0" w:color="C2D69B" w:themeColor="accent3" w:themeTint="99"/>
              <w:bottom w:val="thinThickSmallGap" w:sz="24" w:space="0" w:color="C2D69B" w:themeColor="accent3" w:themeTint="99"/>
              <w:right w:val="thinThickSmallGap" w:sz="12" w:space="0" w:color="C2D69B" w:themeColor="accent3" w:themeTint="99"/>
            </w:tcBorders>
            <w:shd w:val="clear" w:color="auto" w:fill="auto"/>
            <w:noWrap/>
            <w:tcMar>
              <w:right w:w="85" w:type="dxa"/>
            </w:tcMar>
            <w:vAlign w:val="center"/>
            <w:hideMark/>
          </w:tcPr>
          <w:p w:rsidR="00F65BD4" w:rsidRPr="00E36A76" w:rsidRDefault="00F65BD4" w:rsidP="0099400F">
            <w:pPr>
              <w:widowControl/>
              <w:adjustRightInd/>
              <w:spacing w:line="200" w:lineRule="exact"/>
              <w:jc w:val="center"/>
              <w:textAlignment w:val="auto"/>
              <w:rPr>
                <w:sz w:val="16"/>
                <w:szCs w:val="16"/>
              </w:rPr>
            </w:pPr>
            <w:r w:rsidRPr="00E36A76">
              <w:rPr>
                <w:rFonts w:eastAsia="標楷體"/>
                <w:sz w:val="16"/>
                <w:szCs w:val="16"/>
              </w:rPr>
              <w:t xml:space="preserve">million </w:t>
            </w:r>
            <w:r w:rsidRPr="00E36A76">
              <w:rPr>
                <w:rFonts w:eastAsia="標楷體" w:hint="eastAsia"/>
                <w:sz w:val="16"/>
                <w:szCs w:val="16"/>
              </w:rPr>
              <w:t>RVU</w:t>
            </w:r>
          </w:p>
        </w:tc>
        <w:tc>
          <w:tcPr>
            <w:tcW w:w="707" w:type="dxa"/>
            <w:tcBorders>
              <w:top w:val="thinThickSmallGap" w:sz="12" w:space="0" w:color="C2D69B" w:themeColor="accent3" w:themeTint="99"/>
              <w:left w:val="thinThickSmallGap" w:sz="12" w:space="0" w:color="C2D69B" w:themeColor="accent3" w:themeTint="99"/>
              <w:bottom w:val="thinThickSmallGap" w:sz="24" w:space="0" w:color="C2D69B" w:themeColor="accent3" w:themeTint="99"/>
              <w:right w:val="thinThickThinSmallGap" w:sz="24" w:space="0" w:color="C2D69B" w:themeColor="accent3" w:themeTint="99"/>
            </w:tcBorders>
            <w:shd w:val="clear" w:color="auto" w:fill="auto"/>
            <w:vAlign w:val="center"/>
          </w:tcPr>
          <w:p w:rsidR="00F65BD4" w:rsidRDefault="00F65BD4" w:rsidP="0099400F">
            <w:pPr>
              <w:widowControl/>
              <w:adjustRightInd/>
              <w:spacing w:line="240" w:lineRule="auto"/>
              <w:jc w:val="center"/>
              <w:textAlignment w:val="auto"/>
              <w:rPr>
                <w:color w:val="000000"/>
                <w:sz w:val="16"/>
                <w:szCs w:val="16"/>
              </w:rPr>
            </w:pPr>
            <w:r>
              <w:rPr>
                <w:rFonts w:hint="eastAsia"/>
                <w:color w:val="000000"/>
                <w:sz w:val="16"/>
                <w:szCs w:val="16"/>
              </w:rPr>
              <w:t>%</w:t>
            </w:r>
          </w:p>
        </w:tc>
        <w:tc>
          <w:tcPr>
            <w:tcW w:w="3117" w:type="dxa"/>
            <w:tcBorders>
              <w:top w:val="thinThickSmallGap" w:sz="12" w:space="0" w:color="C2D69B" w:themeColor="accent3" w:themeTint="99"/>
              <w:left w:val="thinThickThinSmallGap" w:sz="24" w:space="0" w:color="C2D69B" w:themeColor="accent3" w:themeTint="99"/>
              <w:bottom w:val="nil"/>
              <w:right w:val="double" w:sz="6" w:space="0" w:color="C2D69B" w:themeColor="accent3" w:themeTint="99"/>
            </w:tcBorders>
            <w:shd w:val="clear" w:color="auto" w:fill="auto"/>
            <w:noWrap/>
            <w:tcMar>
              <w:left w:w="85" w:type="dxa"/>
              <w:right w:w="85" w:type="dxa"/>
            </w:tcMar>
            <w:vAlign w:val="center"/>
            <w:hideMark/>
          </w:tcPr>
          <w:p w:rsidR="00F65BD4" w:rsidRDefault="00F65BD4" w:rsidP="0099400F">
            <w:pPr>
              <w:widowControl/>
              <w:adjustRightInd/>
              <w:spacing w:line="240" w:lineRule="auto"/>
              <w:jc w:val="center"/>
              <w:textAlignment w:val="auto"/>
              <w:rPr>
                <w:color w:val="000000"/>
                <w:sz w:val="16"/>
                <w:szCs w:val="16"/>
              </w:rPr>
            </w:pPr>
            <w:r>
              <w:rPr>
                <w:rFonts w:hint="eastAsia"/>
                <w:color w:val="000000"/>
                <w:sz w:val="16"/>
                <w:szCs w:val="16"/>
              </w:rPr>
              <w:t>Category of Major Illness/Injury</w:t>
            </w:r>
          </w:p>
        </w:tc>
        <w:tc>
          <w:tcPr>
            <w:tcW w:w="808" w:type="dxa"/>
            <w:tcBorders>
              <w:top w:val="thinThickSmallGap" w:sz="12" w:space="0" w:color="C2D69B" w:themeColor="accent3" w:themeTint="99"/>
              <w:left w:val="double" w:sz="6" w:space="0" w:color="C2D69B" w:themeColor="accent3" w:themeTint="99"/>
              <w:bottom w:val="thinThickSmallGap" w:sz="24" w:space="0" w:color="C2D69B" w:themeColor="accent3" w:themeTint="99"/>
              <w:right w:val="thinThickSmallGap" w:sz="12" w:space="0" w:color="C2D69B" w:themeColor="accent3" w:themeTint="99"/>
            </w:tcBorders>
            <w:shd w:val="clear" w:color="auto" w:fill="auto"/>
            <w:noWrap/>
            <w:tcMar>
              <w:right w:w="85" w:type="dxa"/>
            </w:tcMar>
            <w:vAlign w:val="center"/>
            <w:hideMark/>
          </w:tcPr>
          <w:p w:rsidR="00F65BD4" w:rsidRDefault="00F65BD4" w:rsidP="0099400F">
            <w:pPr>
              <w:widowControl/>
              <w:adjustRightInd/>
              <w:spacing w:line="240" w:lineRule="auto"/>
              <w:jc w:val="center"/>
              <w:textAlignment w:val="auto"/>
              <w:rPr>
                <w:sz w:val="16"/>
                <w:szCs w:val="16"/>
              </w:rPr>
            </w:pPr>
            <w:r w:rsidRPr="00E36A76">
              <w:rPr>
                <w:rFonts w:eastAsia="標楷體" w:hint="eastAsia"/>
                <w:sz w:val="16"/>
                <w:szCs w:val="16"/>
              </w:rPr>
              <w:t>RVU</w:t>
            </w:r>
          </w:p>
        </w:tc>
        <w:tc>
          <w:tcPr>
            <w:tcW w:w="759" w:type="dxa"/>
            <w:tcBorders>
              <w:top w:val="thinThickSmallGap" w:sz="12" w:space="0" w:color="C2D69B" w:themeColor="accent3" w:themeTint="99"/>
              <w:left w:val="thinThickSmallGap" w:sz="12" w:space="0" w:color="C2D69B" w:themeColor="accent3" w:themeTint="99"/>
              <w:bottom w:val="thinThickSmallGap" w:sz="24" w:space="0" w:color="C2D69B" w:themeColor="accent3" w:themeTint="99"/>
              <w:right w:val="thinThickSmallGap" w:sz="24" w:space="0" w:color="C2D69B" w:themeColor="accent3" w:themeTint="99"/>
            </w:tcBorders>
            <w:shd w:val="clear" w:color="auto" w:fill="auto"/>
          </w:tcPr>
          <w:p w:rsidR="00F65BD4" w:rsidRDefault="00F65BD4" w:rsidP="0099400F">
            <w:pPr>
              <w:widowControl/>
              <w:adjustRightInd/>
              <w:spacing w:line="240" w:lineRule="auto"/>
              <w:jc w:val="center"/>
              <w:textAlignment w:val="auto"/>
              <w:rPr>
                <w:sz w:val="16"/>
                <w:szCs w:val="16"/>
              </w:rPr>
            </w:pPr>
            <w:r>
              <w:rPr>
                <w:rFonts w:hint="eastAsia"/>
                <w:sz w:val="16"/>
                <w:szCs w:val="16"/>
              </w:rPr>
              <w:t>Multiples</w:t>
            </w:r>
          </w:p>
        </w:tc>
      </w:tr>
      <w:tr w:rsidR="00F65BD4" w:rsidRPr="00947656" w:rsidTr="006852DB">
        <w:trPr>
          <w:trHeight w:val="340"/>
        </w:trPr>
        <w:tc>
          <w:tcPr>
            <w:tcW w:w="428" w:type="dxa"/>
            <w:tcBorders>
              <w:top w:val="thinThickSmallGap" w:sz="24" w:space="0" w:color="C2D69B" w:themeColor="accent3" w:themeTint="99"/>
              <w:left w:val="thickThinSmallGap" w:sz="24" w:space="0" w:color="C2D69B" w:themeColor="accent3" w:themeTint="99"/>
              <w:right w:val="double" w:sz="6" w:space="0" w:color="C2D69B" w:themeColor="accent3" w:themeTint="99"/>
            </w:tcBorders>
            <w:shd w:val="clear" w:color="000000" w:fill="EAF1DD" w:themeFill="accent3" w:themeFillTint="33"/>
          </w:tcPr>
          <w:p w:rsidR="00F65BD4" w:rsidRDefault="009F4B86" w:rsidP="00F65BD4">
            <w:pPr>
              <w:widowControl/>
              <w:adjustRightInd/>
              <w:spacing w:line="320" w:lineRule="exact"/>
              <w:jc w:val="center"/>
              <w:textAlignment w:val="auto"/>
              <w:rPr>
                <w:color w:val="000000"/>
                <w:sz w:val="16"/>
                <w:szCs w:val="16"/>
              </w:rPr>
            </w:pPr>
            <w:r>
              <w:rPr>
                <w:rFonts w:hint="eastAsia"/>
                <w:color w:val="000000"/>
                <w:sz w:val="16"/>
                <w:szCs w:val="16"/>
              </w:rPr>
              <w:t>-</w:t>
            </w:r>
          </w:p>
        </w:tc>
        <w:tc>
          <w:tcPr>
            <w:tcW w:w="2640" w:type="dxa"/>
            <w:tcBorders>
              <w:top w:val="thinThickSmallGap" w:sz="24" w:space="0" w:color="C2D69B" w:themeColor="accent3" w:themeTint="99"/>
              <w:left w:val="thickThinSmallGap" w:sz="24" w:space="0" w:color="C2D69B" w:themeColor="accent3" w:themeTint="99"/>
              <w:right w:val="double" w:sz="6" w:space="0" w:color="C2D69B" w:themeColor="accent3" w:themeTint="99"/>
            </w:tcBorders>
            <w:shd w:val="clear" w:color="000000" w:fill="EAF1DD" w:themeFill="accent3" w:themeFillTint="33"/>
            <w:noWrap/>
            <w:tcMar>
              <w:left w:w="85" w:type="dxa"/>
              <w:right w:w="85" w:type="dxa"/>
            </w:tcMar>
            <w:vAlign w:val="center"/>
            <w:hideMark/>
          </w:tcPr>
          <w:p w:rsidR="00F65BD4" w:rsidRPr="00B23CDD" w:rsidRDefault="00F65BD4" w:rsidP="00F65BD4">
            <w:pPr>
              <w:widowControl/>
              <w:adjustRightInd/>
              <w:spacing w:line="320" w:lineRule="exact"/>
              <w:textAlignment w:val="auto"/>
              <w:rPr>
                <w:color w:val="000000"/>
                <w:sz w:val="16"/>
                <w:szCs w:val="16"/>
              </w:rPr>
            </w:pPr>
            <w:r>
              <w:rPr>
                <w:rFonts w:hint="eastAsia"/>
                <w:color w:val="000000"/>
                <w:sz w:val="16"/>
                <w:szCs w:val="16"/>
              </w:rPr>
              <w:t>Total</w:t>
            </w:r>
          </w:p>
        </w:tc>
        <w:tc>
          <w:tcPr>
            <w:tcW w:w="762" w:type="dxa"/>
            <w:tcBorders>
              <w:top w:val="thinThickSmallGap" w:sz="24" w:space="0" w:color="C2D69B" w:themeColor="accent3" w:themeTint="99"/>
              <w:left w:val="double" w:sz="6" w:space="0" w:color="C2D69B" w:themeColor="accent3" w:themeTint="99"/>
              <w:right w:val="thinThickSmallGap" w:sz="12" w:space="0" w:color="C2D69B" w:themeColor="accent3" w:themeTint="99"/>
            </w:tcBorders>
            <w:shd w:val="clear" w:color="000000" w:fill="EAF1DD" w:themeFill="accent3" w:themeFillTint="33"/>
            <w:noWrap/>
            <w:tcMar>
              <w:right w:w="85" w:type="dxa"/>
            </w:tcMar>
            <w:vAlign w:val="center"/>
            <w:hideMark/>
          </w:tcPr>
          <w:p w:rsidR="00F65BD4" w:rsidRPr="00947656" w:rsidRDefault="00F65BD4" w:rsidP="001E182A">
            <w:pPr>
              <w:widowControl/>
              <w:adjustRightInd/>
              <w:spacing w:line="320" w:lineRule="exact"/>
              <w:jc w:val="right"/>
              <w:textAlignment w:val="auto"/>
              <w:rPr>
                <w:sz w:val="16"/>
                <w:szCs w:val="16"/>
              </w:rPr>
            </w:pPr>
            <w:r>
              <w:rPr>
                <w:rFonts w:hint="eastAsia"/>
                <w:sz w:val="16"/>
                <w:szCs w:val="16"/>
              </w:rPr>
              <w:t>70,423</w:t>
            </w:r>
          </w:p>
        </w:tc>
        <w:tc>
          <w:tcPr>
            <w:tcW w:w="707" w:type="dxa"/>
            <w:tcBorders>
              <w:top w:val="thinThickSmallGap" w:sz="24" w:space="0" w:color="C2D69B" w:themeColor="accent3" w:themeTint="99"/>
              <w:left w:val="thinThickSmallGap" w:sz="12" w:space="0" w:color="C2D69B" w:themeColor="accent3" w:themeTint="99"/>
              <w:right w:val="thinThickThinSmallGap" w:sz="24" w:space="0" w:color="C2D69B" w:themeColor="accent3" w:themeTint="99"/>
            </w:tcBorders>
            <w:shd w:val="clear" w:color="000000" w:fill="EAF1DD" w:themeFill="accent3" w:themeFillTint="33"/>
            <w:tcMar>
              <w:right w:w="113" w:type="dxa"/>
            </w:tcMar>
            <w:vAlign w:val="center"/>
          </w:tcPr>
          <w:p w:rsidR="00F65BD4" w:rsidRDefault="00F65BD4" w:rsidP="001E182A">
            <w:pPr>
              <w:widowControl/>
              <w:adjustRightInd/>
              <w:spacing w:line="320" w:lineRule="exact"/>
              <w:jc w:val="right"/>
              <w:textAlignment w:val="auto"/>
              <w:rPr>
                <w:color w:val="000000"/>
                <w:sz w:val="16"/>
                <w:szCs w:val="16"/>
              </w:rPr>
            </w:pPr>
            <w:r>
              <w:rPr>
                <w:rFonts w:hint="eastAsia"/>
                <w:color w:val="000000"/>
                <w:sz w:val="16"/>
                <w:szCs w:val="16"/>
              </w:rPr>
              <w:t>100</w:t>
            </w:r>
            <w:r w:rsidR="00FE236C">
              <w:rPr>
                <w:rFonts w:hint="eastAsia"/>
                <w:color w:val="000000"/>
                <w:sz w:val="16"/>
                <w:szCs w:val="16"/>
              </w:rPr>
              <w:t>.0</w:t>
            </w:r>
          </w:p>
        </w:tc>
        <w:tc>
          <w:tcPr>
            <w:tcW w:w="3117" w:type="dxa"/>
            <w:tcBorders>
              <w:top w:val="thinThickSmallGap" w:sz="24" w:space="0" w:color="C2D69B" w:themeColor="accent3" w:themeTint="99"/>
              <w:left w:val="thinThickThinSmallGap" w:sz="24" w:space="0" w:color="C2D69B" w:themeColor="accent3" w:themeTint="99"/>
              <w:right w:val="double" w:sz="6" w:space="0" w:color="C2D69B" w:themeColor="accent3" w:themeTint="99"/>
            </w:tcBorders>
            <w:shd w:val="clear" w:color="000000" w:fill="EAF1DD" w:themeFill="accent3" w:themeFillTint="33"/>
            <w:noWrap/>
            <w:tcMar>
              <w:left w:w="85" w:type="dxa"/>
              <w:right w:w="28" w:type="dxa"/>
            </w:tcMar>
            <w:vAlign w:val="center"/>
            <w:hideMark/>
          </w:tcPr>
          <w:p w:rsidR="00F65BD4" w:rsidRPr="00347E2F" w:rsidRDefault="00F65BD4" w:rsidP="001E182A">
            <w:pPr>
              <w:widowControl/>
              <w:adjustRightInd/>
              <w:spacing w:line="320" w:lineRule="exact"/>
              <w:textAlignment w:val="auto"/>
              <w:rPr>
                <w:color w:val="000000"/>
                <w:sz w:val="16"/>
                <w:szCs w:val="16"/>
              </w:rPr>
            </w:pPr>
            <w:r>
              <w:rPr>
                <w:rFonts w:hint="eastAsia"/>
                <w:color w:val="000000"/>
                <w:sz w:val="16"/>
                <w:szCs w:val="16"/>
              </w:rPr>
              <w:t>Average RVU per capita</w:t>
            </w:r>
          </w:p>
        </w:tc>
        <w:tc>
          <w:tcPr>
            <w:tcW w:w="808" w:type="dxa"/>
            <w:tcBorders>
              <w:top w:val="thinThickSmallGap" w:sz="24" w:space="0" w:color="C2D69B" w:themeColor="accent3" w:themeTint="99"/>
              <w:left w:val="double" w:sz="6" w:space="0" w:color="C2D69B" w:themeColor="accent3" w:themeTint="99"/>
              <w:right w:val="thinThickSmallGap" w:sz="12" w:space="0" w:color="C2D69B" w:themeColor="accent3" w:themeTint="99"/>
            </w:tcBorders>
            <w:shd w:val="clear" w:color="000000" w:fill="EAF1DD" w:themeFill="accent3" w:themeFillTint="33"/>
            <w:noWrap/>
            <w:tcMar>
              <w:right w:w="85" w:type="dxa"/>
            </w:tcMar>
            <w:vAlign w:val="center"/>
            <w:hideMark/>
          </w:tcPr>
          <w:p w:rsidR="00F65BD4" w:rsidRPr="00947656" w:rsidRDefault="00F65BD4" w:rsidP="001E182A">
            <w:pPr>
              <w:widowControl/>
              <w:adjustRightInd/>
              <w:spacing w:line="320" w:lineRule="exact"/>
              <w:jc w:val="right"/>
              <w:textAlignment w:val="auto"/>
              <w:rPr>
                <w:sz w:val="16"/>
                <w:szCs w:val="16"/>
              </w:rPr>
            </w:pPr>
            <w:r>
              <w:rPr>
                <w:rFonts w:hint="eastAsia"/>
                <w:sz w:val="16"/>
                <w:szCs w:val="16"/>
              </w:rPr>
              <w:t>238,522</w:t>
            </w:r>
          </w:p>
        </w:tc>
        <w:tc>
          <w:tcPr>
            <w:tcW w:w="759" w:type="dxa"/>
            <w:tcBorders>
              <w:top w:val="thinThickSmallGap" w:sz="24" w:space="0" w:color="C2D69B" w:themeColor="accent3" w:themeTint="99"/>
              <w:left w:val="thinThickSmallGap" w:sz="12" w:space="0" w:color="C2D69B" w:themeColor="accent3" w:themeTint="99"/>
              <w:right w:val="thinThickSmallGap" w:sz="24" w:space="0" w:color="C2D69B" w:themeColor="accent3" w:themeTint="99"/>
            </w:tcBorders>
            <w:shd w:val="clear" w:color="000000" w:fill="EAF1DD" w:themeFill="accent3" w:themeFillTint="33"/>
            <w:tcMar>
              <w:right w:w="0" w:type="dxa"/>
            </w:tcMar>
            <w:vAlign w:val="center"/>
          </w:tcPr>
          <w:p w:rsidR="00F65BD4" w:rsidRPr="00E91ADA" w:rsidRDefault="00F65BD4" w:rsidP="006852DB">
            <w:pPr>
              <w:spacing w:line="320" w:lineRule="exact"/>
              <w:jc w:val="center"/>
              <w:rPr>
                <w:color w:val="000000"/>
                <w:sz w:val="16"/>
                <w:szCs w:val="16"/>
              </w:rPr>
            </w:pPr>
            <w:r>
              <w:rPr>
                <w:rFonts w:hint="eastAsia"/>
                <w:color w:val="000000"/>
                <w:sz w:val="16"/>
                <w:szCs w:val="16"/>
              </w:rPr>
              <w:t>1</w:t>
            </w:r>
            <w:r w:rsidR="00FE236C">
              <w:rPr>
                <w:rFonts w:hint="eastAsia"/>
                <w:color w:val="000000"/>
                <w:sz w:val="16"/>
                <w:szCs w:val="16"/>
              </w:rPr>
              <w:t>.0</w:t>
            </w:r>
          </w:p>
        </w:tc>
      </w:tr>
      <w:tr w:rsidR="00F65BD4" w:rsidRPr="00947656" w:rsidTr="006852DB">
        <w:trPr>
          <w:trHeight w:val="340"/>
        </w:trPr>
        <w:tc>
          <w:tcPr>
            <w:tcW w:w="428" w:type="dxa"/>
            <w:tcBorders>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F65BD4" w:rsidRPr="008E5831" w:rsidRDefault="00F65BD4" w:rsidP="00F65BD4">
            <w:pPr>
              <w:widowControl/>
              <w:adjustRightInd/>
              <w:spacing w:line="320" w:lineRule="exact"/>
              <w:jc w:val="center"/>
              <w:textAlignment w:val="auto"/>
              <w:rPr>
                <w:rFonts w:eastAsia="標楷體"/>
                <w:sz w:val="16"/>
                <w:szCs w:val="16"/>
              </w:rPr>
            </w:pPr>
            <w:r w:rsidRPr="008E5831">
              <w:rPr>
                <w:rFonts w:eastAsia="標楷體"/>
                <w:sz w:val="16"/>
                <w:szCs w:val="16"/>
              </w:rPr>
              <w:t>1</w:t>
            </w:r>
          </w:p>
        </w:tc>
        <w:tc>
          <w:tcPr>
            <w:tcW w:w="2640" w:type="dxa"/>
            <w:tcBorders>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right w:w="85" w:type="dxa"/>
            </w:tcMar>
            <w:vAlign w:val="center"/>
            <w:hideMark/>
          </w:tcPr>
          <w:p w:rsidR="00F65BD4" w:rsidRPr="006F1E9D" w:rsidRDefault="00F65BD4" w:rsidP="001E182A">
            <w:pPr>
              <w:snapToGrid w:val="0"/>
              <w:spacing w:line="320" w:lineRule="exact"/>
              <w:rPr>
                <w:rFonts w:eastAsia="標楷體"/>
                <w:color w:val="000000"/>
                <w:sz w:val="16"/>
                <w:szCs w:val="16"/>
              </w:rPr>
            </w:pPr>
            <w:r w:rsidRPr="006F1E9D">
              <w:rPr>
                <w:rFonts w:eastAsia="標楷體"/>
                <w:color w:val="000000"/>
                <w:sz w:val="16"/>
                <w:szCs w:val="16"/>
              </w:rPr>
              <w:t>Cancer</w:t>
            </w:r>
          </w:p>
        </w:tc>
        <w:tc>
          <w:tcPr>
            <w:tcW w:w="762" w:type="dxa"/>
            <w:tcBorders>
              <w:left w:val="double" w:sz="6" w:space="0" w:color="C2D69B" w:themeColor="accent3" w:themeTint="99"/>
              <w:bottom w:val="nil"/>
              <w:right w:val="double" w:sz="6" w:space="0" w:color="C2D69B" w:themeColor="accent3" w:themeTint="99"/>
            </w:tcBorders>
            <w:shd w:val="clear" w:color="000000" w:fill="EAF1DD" w:themeFill="accent3" w:themeFillTint="33"/>
            <w:noWrap/>
            <w:tcMar>
              <w:right w:w="85" w:type="dxa"/>
            </w:tcMar>
            <w:vAlign w:val="center"/>
            <w:hideMark/>
          </w:tcPr>
          <w:p w:rsidR="00F65BD4" w:rsidRPr="00947656" w:rsidRDefault="00F65BD4" w:rsidP="001E182A">
            <w:pPr>
              <w:widowControl/>
              <w:adjustRightInd/>
              <w:spacing w:line="320" w:lineRule="exact"/>
              <w:jc w:val="right"/>
              <w:textAlignment w:val="auto"/>
              <w:rPr>
                <w:sz w:val="16"/>
                <w:szCs w:val="16"/>
              </w:rPr>
            </w:pPr>
            <w:r w:rsidRPr="00947656">
              <w:rPr>
                <w:sz w:val="16"/>
                <w:szCs w:val="16"/>
              </w:rPr>
              <w:t>30,521</w:t>
            </w:r>
          </w:p>
        </w:tc>
        <w:tc>
          <w:tcPr>
            <w:tcW w:w="707" w:type="dxa"/>
            <w:tcBorders>
              <w:left w:val="double" w:sz="6" w:space="0" w:color="C2D69B" w:themeColor="accent3" w:themeTint="99"/>
              <w:bottom w:val="nil"/>
              <w:right w:val="thinThickThinSmallGap" w:sz="24" w:space="0" w:color="C2D69B" w:themeColor="accent3" w:themeTint="99"/>
            </w:tcBorders>
            <w:shd w:val="clear" w:color="000000" w:fill="EAF1DD" w:themeFill="accent3" w:themeFillTint="33"/>
            <w:tcMar>
              <w:right w:w="113" w:type="dxa"/>
            </w:tcMar>
            <w:vAlign w:val="center"/>
          </w:tcPr>
          <w:p w:rsidR="00F65BD4" w:rsidRPr="00FF0F75" w:rsidRDefault="00F65BD4" w:rsidP="001E182A">
            <w:pPr>
              <w:spacing w:line="320" w:lineRule="exact"/>
              <w:jc w:val="right"/>
              <w:rPr>
                <w:color w:val="000000"/>
                <w:sz w:val="16"/>
                <w:szCs w:val="16"/>
              </w:rPr>
            </w:pPr>
            <w:r w:rsidRPr="00FF0F75">
              <w:rPr>
                <w:color w:val="000000"/>
                <w:sz w:val="16"/>
                <w:szCs w:val="16"/>
              </w:rPr>
              <w:t xml:space="preserve">43.3 </w:t>
            </w:r>
          </w:p>
        </w:tc>
        <w:tc>
          <w:tcPr>
            <w:tcW w:w="3117" w:type="dxa"/>
            <w:tcBorders>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right w:w="28" w:type="dxa"/>
            </w:tcMar>
            <w:vAlign w:val="center"/>
            <w:hideMark/>
          </w:tcPr>
          <w:p w:rsidR="00F65BD4" w:rsidRPr="006F1E9D" w:rsidRDefault="00F65BD4" w:rsidP="001E182A">
            <w:pPr>
              <w:snapToGrid w:val="0"/>
              <w:spacing w:line="320" w:lineRule="exact"/>
              <w:rPr>
                <w:rFonts w:eastAsia="標楷體"/>
                <w:color w:val="000000"/>
                <w:sz w:val="16"/>
                <w:szCs w:val="16"/>
              </w:rPr>
            </w:pPr>
            <w:r w:rsidRPr="006F1E9D">
              <w:rPr>
                <w:rFonts w:eastAsia="標楷體"/>
                <w:color w:val="000000"/>
                <w:sz w:val="16"/>
                <w:szCs w:val="16"/>
              </w:rPr>
              <w:t>Congenital coagulation disorder</w:t>
            </w:r>
            <w:r w:rsidRPr="006F1E9D">
              <w:rPr>
                <w:rFonts w:eastAsia="標楷體" w:hint="eastAsia"/>
                <w:color w:val="000000"/>
                <w:sz w:val="16"/>
                <w:szCs w:val="16"/>
              </w:rPr>
              <w:t>s</w:t>
            </w:r>
            <w:r w:rsidRPr="006F1E9D">
              <w:rPr>
                <w:rFonts w:eastAsia="標楷體"/>
                <w:color w:val="000000"/>
                <w:sz w:val="16"/>
                <w:szCs w:val="16"/>
              </w:rPr>
              <w:t xml:space="preserve"> (hemophilia)</w:t>
            </w:r>
          </w:p>
        </w:tc>
        <w:tc>
          <w:tcPr>
            <w:tcW w:w="808" w:type="dxa"/>
            <w:tcBorders>
              <w:left w:val="double" w:sz="6" w:space="0" w:color="C2D69B" w:themeColor="accent3" w:themeTint="99"/>
              <w:bottom w:val="nil"/>
              <w:right w:val="double" w:sz="6" w:space="0" w:color="C2D69B" w:themeColor="accent3" w:themeTint="99"/>
            </w:tcBorders>
            <w:shd w:val="clear" w:color="000000" w:fill="EAF1DD" w:themeFill="accent3" w:themeFillTint="33"/>
            <w:noWrap/>
            <w:tcMar>
              <w:right w:w="85" w:type="dxa"/>
            </w:tcMar>
            <w:vAlign w:val="center"/>
            <w:hideMark/>
          </w:tcPr>
          <w:p w:rsidR="00F65BD4" w:rsidRPr="00947656" w:rsidRDefault="00F65BD4" w:rsidP="001E182A">
            <w:pPr>
              <w:widowControl/>
              <w:adjustRightInd/>
              <w:spacing w:line="320" w:lineRule="exact"/>
              <w:jc w:val="right"/>
              <w:textAlignment w:val="auto"/>
              <w:rPr>
                <w:sz w:val="16"/>
                <w:szCs w:val="16"/>
              </w:rPr>
            </w:pPr>
            <w:r w:rsidRPr="00947656">
              <w:rPr>
                <w:sz w:val="16"/>
                <w:szCs w:val="16"/>
              </w:rPr>
              <w:t>1,592,866</w:t>
            </w:r>
          </w:p>
        </w:tc>
        <w:tc>
          <w:tcPr>
            <w:tcW w:w="759" w:type="dxa"/>
            <w:tcBorders>
              <w:left w:val="double" w:sz="6" w:space="0" w:color="C2D69B" w:themeColor="accent3" w:themeTint="99"/>
              <w:bottom w:val="nil"/>
              <w:right w:val="thinThickSmallGap" w:sz="24" w:space="0" w:color="C2D69B" w:themeColor="accent3" w:themeTint="99"/>
            </w:tcBorders>
            <w:shd w:val="clear" w:color="000000" w:fill="EAF1DD" w:themeFill="accent3" w:themeFillTint="33"/>
            <w:tcMar>
              <w:right w:w="0" w:type="dxa"/>
            </w:tcMar>
            <w:vAlign w:val="center"/>
          </w:tcPr>
          <w:p w:rsidR="00F65BD4" w:rsidRPr="00E91ADA" w:rsidRDefault="00F65BD4" w:rsidP="006852DB">
            <w:pPr>
              <w:spacing w:line="320" w:lineRule="exact"/>
              <w:jc w:val="center"/>
              <w:rPr>
                <w:color w:val="000000"/>
                <w:sz w:val="16"/>
                <w:szCs w:val="16"/>
              </w:rPr>
            </w:pPr>
            <w:r w:rsidRPr="00E91ADA">
              <w:rPr>
                <w:color w:val="000000"/>
                <w:sz w:val="16"/>
                <w:szCs w:val="16"/>
              </w:rPr>
              <w:t>6.7</w:t>
            </w:r>
          </w:p>
        </w:tc>
      </w:tr>
      <w:tr w:rsidR="00F65BD4" w:rsidRPr="00947656" w:rsidTr="006852DB">
        <w:trPr>
          <w:trHeight w:val="340"/>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F65BD4" w:rsidRPr="008E5831" w:rsidRDefault="00F65BD4" w:rsidP="00F65BD4">
            <w:pPr>
              <w:widowControl/>
              <w:adjustRightInd/>
              <w:spacing w:line="320" w:lineRule="exact"/>
              <w:jc w:val="center"/>
              <w:textAlignment w:val="auto"/>
              <w:rPr>
                <w:rFonts w:eastAsia="標楷體"/>
                <w:sz w:val="16"/>
                <w:szCs w:val="16"/>
              </w:rPr>
            </w:pPr>
            <w:r w:rsidRPr="008E5831">
              <w:rPr>
                <w:rFonts w:eastAsia="標楷體"/>
                <w:sz w:val="16"/>
                <w:szCs w:val="16"/>
              </w:rPr>
              <w:t>2</w:t>
            </w:r>
          </w:p>
        </w:tc>
        <w:tc>
          <w:tcPr>
            <w:tcW w:w="264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right w:w="85" w:type="dxa"/>
            </w:tcMar>
            <w:vAlign w:val="center"/>
            <w:hideMark/>
          </w:tcPr>
          <w:p w:rsidR="00F65BD4" w:rsidRPr="006F1E9D" w:rsidRDefault="00F65BD4" w:rsidP="001E182A">
            <w:pPr>
              <w:snapToGrid w:val="0"/>
              <w:spacing w:line="320" w:lineRule="exact"/>
              <w:rPr>
                <w:rFonts w:eastAsia="標楷體"/>
                <w:color w:val="000000"/>
                <w:sz w:val="16"/>
                <w:szCs w:val="16"/>
              </w:rPr>
            </w:pPr>
            <w:r w:rsidRPr="006F1E9D">
              <w:rPr>
                <w:rFonts w:eastAsia="標楷體" w:hint="eastAsia"/>
                <w:color w:val="000000"/>
                <w:sz w:val="16"/>
                <w:szCs w:val="16"/>
              </w:rPr>
              <w:t>Dependence on r</w:t>
            </w:r>
            <w:r w:rsidRPr="006F1E9D">
              <w:rPr>
                <w:rFonts w:eastAsia="標楷體"/>
                <w:color w:val="000000"/>
                <w:sz w:val="16"/>
                <w:szCs w:val="16"/>
              </w:rPr>
              <w:t>espirator</w:t>
            </w:r>
          </w:p>
        </w:tc>
        <w:tc>
          <w:tcPr>
            <w:tcW w:w="762" w:type="dxa"/>
            <w:tcBorders>
              <w:top w:val="nil"/>
              <w:left w:val="double" w:sz="6" w:space="0" w:color="C2D69B" w:themeColor="accent3" w:themeTint="99"/>
              <w:bottom w:val="nil"/>
              <w:right w:val="double" w:sz="6" w:space="0" w:color="C2D69B" w:themeColor="accent3" w:themeTint="99"/>
            </w:tcBorders>
            <w:shd w:val="clear" w:color="000000" w:fill="EAF1DD" w:themeFill="accent3" w:themeFillTint="33"/>
            <w:noWrap/>
            <w:tcMar>
              <w:right w:w="85" w:type="dxa"/>
            </w:tcMar>
            <w:vAlign w:val="center"/>
            <w:hideMark/>
          </w:tcPr>
          <w:p w:rsidR="00F65BD4" w:rsidRPr="00947656" w:rsidRDefault="00F65BD4" w:rsidP="001E182A">
            <w:pPr>
              <w:widowControl/>
              <w:adjustRightInd/>
              <w:spacing w:line="320" w:lineRule="exact"/>
              <w:jc w:val="right"/>
              <w:textAlignment w:val="auto"/>
              <w:rPr>
                <w:sz w:val="16"/>
                <w:szCs w:val="16"/>
              </w:rPr>
            </w:pPr>
            <w:r w:rsidRPr="00947656">
              <w:rPr>
                <w:sz w:val="16"/>
                <w:szCs w:val="16"/>
              </w:rPr>
              <w:t>15,264</w:t>
            </w:r>
          </w:p>
        </w:tc>
        <w:tc>
          <w:tcPr>
            <w:tcW w:w="707" w:type="dxa"/>
            <w:tcBorders>
              <w:top w:val="nil"/>
              <w:left w:val="double" w:sz="6" w:space="0" w:color="C2D69B" w:themeColor="accent3" w:themeTint="99"/>
              <w:bottom w:val="nil"/>
              <w:right w:val="thinThickThinSmallGap" w:sz="24" w:space="0" w:color="C2D69B" w:themeColor="accent3" w:themeTint="99"/>
            </w:tcBorders>
            <w:shd w:val="clear" w:color="000000" w:fill="EAF1DD" w:themeFill="accent3" w:themeFillTint="33"/>
            <w:tcMar>
              <w:right w:w="113" w:type="dxa"/>
            </w:tcMar>
            <w:vAlign w:val="center"/>
          </w:tcPr>
          <w:p w:rsidR="00F65BD4" w:rsidRPr="00FF0F75" w:rsidRDefault="00F65BD4" w:rsidP="001E182A">
            <w:pPr>
              <w:spacing w:line="320" w:lineRule="exact"/>
              <w:jc w:val="right"/>
              <w:rPr>
                <w:color w:val="000000"/>
                <w:sz w:val="16"/>
                <w:szCs w:val="16"/>
              </w:rPr>
            </w:pPr>
            <w:r w:rsidRPr="00FF0F75">
              <w:rPr>
                <w:color w:val="000000"/>
                <w:sz w:val="16"/>
                <w:szCs w:val="16"/>
              </w:rPr>
              <w:t xml:space="preserve">21.7 </w:t>
            </w:r>
          </w:p>
        </w:tc>
        <w:tc>
          <w:tcPr>
            <w:tcW w:w="3117"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right w:w="28" w:type="dxa"/>
            </w:tcMar>
            <w:vAlign w:val="center"/>
            <w:hideMark/>
          </w:tcPr>
          <w:p w:rsidR="00F65BD4" w:rsidRPr="006F1E9D" w:rsidRDefault="00F65BD4" w:rsidP="001E182A">
            <w:pPr>
              <w:snapToGrid w:val="0"/>
              <w:spacing w:line="320" w:lineRule="exact"/>
              <w:rPr>
                <w:rFonts w:eastAsia="標楷體"/>
                <w:color w:val="000000"/>
                <w:sz w:val="16"/>
                <w:szCs w:val="16"/>
              </w:rPr>
            </w:pPr>
            <w:r w:rsidRPr="006F1E9D">
              <w:rPr>
                <w:rFonts w:eastAsia="標楷體" w:hint="eastAsia"/>
                <w:color w:val="000000"/>
                <w:sz w:val="16"/>
                <w:szCs w:val="16"/>
              </w:rPr>
              <w:t>Dependence on r</w:t>
            </w:r>
            <w:r w:rsidRPr="006F1E9D">
              <w:rPr>
                <w:rFonts w:eastAsia="標楷體"/>
                <w:color w:val="000000"/>
                <w:sz w:val="16"/>
                <w:szCs w:val="16"/>
              </w:rPr>
              <w:t>espirator</w:t>
            </w:r>
          </w:p>
        </w:tc>
        <w:tc>
          <w:tcPr>
            <w:tcW w:w="808" w:type="dxa"/>
            <w:tcBorders>
              <w:top w:val="nil"/>
              <w:left w:val="double" w:sz="6" w:space="0" w:color="C2D69B" w:themeColor="accent3" w:themeTint="99"/>
              <w:bottom w:val="nil"/>
              <w:right w:val="double" w:sz="6" w:space="0" w:color="C2D69B" w:themeColor="accent3" w:themeTint="99"/>
            </w:tcBorders>
            <w:shd w:val="clear" w:color="000000" w:fill="EAF1DD" w:themeFill="accent3" w:themeFillTint="33"/>
            <w:noWrap/>
            <w:tcMar>
              <w:right w:w="85" w:type="dxa"/>
            </w:tcMar>
            <w:vAlign w:val="center"/>
            <w:hideMark/>
          </w:tcPr>
          <w:p w:rsidR="00F65BD4" w:rsidRPr="00947656" w:rsidRDefault="00F65BD4" w:rsidP="001E182A">
            <w:pPr>
              <w:widowControl/>
              <w:adjustRightInd/>
              <w:spacing w:line="320" w:lineRule="exact"/>
              <w:jc w:val="right"/>
              <w:textAlignment w:val="auto"/>
              <w:rPr>
                <w:sz w:val="16"/>
                <w:szCs w:val="16"/>
              </w:rPr>
            </w:pPr>
            <w:r w:rsidRPr="00947656">
              <w:rPr>
                <w:sz w:val="16"/>
                <w:szCs w:val="16"/>
              </w:rPr>
              <w:t>739,754</w:t>
            </w:r>
          </w:p>
        </w:tc>
        <w:tc>
          <w:tcPr>
            <w:tcW w:w="759" w:type="dxa"/>
            <w:tcBorders>
              <w:top w:val="nil"/>
              <w:left w:val="double" w:sz="6" w:space="0" w:color="C2D69B" w:themeColor="accent3" w:themeTint="99"/>
              <w:bottom w:val="nil"/>
              <w:right w:val="thinThickSmallGap" w:sz="24" w:space="0" w:color="C2D69B" w:themeColor="accent3" w:themeTint="99"/>
            </w:tcBorders>
            <w:shd w:val="clear" w:color="000000" w:fill="EAF1DD" w:themeFill="accent3" w:themeFillTint="33"/>
            <w:tcMar>
              <w:right w:w="0" w:type="dxa"/>
            </w:tcMar>
            <w:vAlign w:val="center"/>
          </w:tcPr>
          <w:p w:rsidR="00F65BD4" w:rsidRPr="00E91ADA" w:rsidRDefault="00F65BD4" w:rsidP="006852DB">
            <w:pPr>
              <w:spacing w:line="320" w:lineRule="exact"/>
              <w:jc w:val="center"/>
              <w:rPr>
                <w:color w:val="000000"/>
                <w:sz w:val="16"/>
                <w:szCs w:val="16"/>
              </w:rPr>
            </w:pPr>
            <w:r w:rsidRPr="00E91ADA">
              <w:rPr>
                <w:color w:val="000000"/>
                <w:sz w:val="16"/>
                <w:szCs w:val="16"/>
              </w:rPr>
              <w:t>3.1</w:t>
            </w:r>
          </w:p>
        </w:tc>
      </w:tr>
      <w:tr w:rsidR="00F65BD4" w:rsidRPr="00947656" w:rsidTr="006852DB">
        <w:trPr>
          <w:trHeight w:val="340"/>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F65BD4" w:rsidRPr="008E5831" w:rsidRDefault="00F65BD4" w:rsidP="00F65BD4">
            <w:pPr>
              <w:widowControl/>
              <w:adjustRightInd/>
              <w:spacing w:line="320" w:lineRule="exact"/>
              <w:jc w:val="center"/>
              <w:textAlignment w:val="auto"/>
              <w:rPr>
                <w:rFonts w:eastAsia="標楷體"/>
                <w:sz w:val="16"/>
                <w:szCs w:val="16"/>
              </w:rPr>
            </w:pPr>
            <w:r w:rsidRPr="008E5831">
              <w:rPr>
                <w:rFonts w:eastAsia="標楷體"/>
                <w:sz w:val="16"/>
                <w:szCs w:val="16"/>
              </w:rPr>
              <w:t>3</w:t>
            </w:r>
          </w:p>
        </w:tc>
        <w:tc>
          <w:tcPr>
            <w:tcW w:w="264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right w:w="85" w:type="dxa"/>
            </w:tcMar>
            <w:vAlign w:val="center"/>
            <w:hideMark/>
          </w:tcPr>
          <w:p w:rsidR="00F65BD4" w:rsidRPr="006F1E9D" w:rsidRDefault="00F21FB9" w:rsidP="001E182A">
            <w:pPr>
              <w:snapToGrid w:val="0"/>
              <w:spacing w:line="320" w:lineRule="exact"/>
              <w:rPr>
                <w:rFonts w:eastAsia="標楷體"/>
                <w:color w:val="000000"/>
                <w:sz w:val="16"/>
                <w:szCs w:val="16"/>
              </w:rPr>
            </w:pPr>
            <w:r w:rsidRPr="00B23CDD">
              <w:rPr>
                <w:color w:val="000000"/>
                <w:sz w:val="16"/>
                <w:szCs w:val="16"/>
              </w:rPr>
              <w:t>Chronic psych</w:t>
            </w:r>
            <w:r>
              <w:rPr>
                <w:rFonts w:hint="eastAsia"/>
                <w:color w:val="000000"/>
                <w:sz w:val="16"/>
                <w:szCs w:val="16"/>
              </w:rPr>
              <w:t>ia</w:t>
            </w:r>
            <w:r w:rsidRPr="00B23CDD">
              <w:rPr>
                <w:color w:val="000000"/>
                <w:sz w:val="16"/>
                <w:szCs w:val="16"/>
              </w:rPr>
              <w:t>t</w:t>
            </w:r>
            <w:r>
              <w:rPr>
                <w:rFonts w:hint="eastAsia"/>
                <w:color w:val="000000"/>
                <w:sz w:val="16"/>
                <w:szCs w:val="16"/>
              </w:rPr>
              <w:t>r</w:t>
            </w:r>
            <w:r w:rsidRPr="00B23CDD">
              <w:rPr>
                <w:color w:val="000000"/>
                <w:sz w:val="16"/>
                <w:szCs w:val="16"/>
              </w:rPr>
              <w:t>ic disorder</w:t>
            </w:r>
          </w:p>
        </w:tc>
        <w:tc>
          <w:tcPr>
            <w:tcW w:w="762" w:type="dxa"/>
            <w:tcBorders>
              <w:top w:val="nil"/>
              <w:left w:val="double" w:sz="6" w:space="0" w:color="C2D69B" w:themeColor="accent3" w:themeTint="99"/>
              <w:bottom w:val="nil"/>
              <w:right w:val="double" w:sz="6" w:space="0" w:color="C2D69B" w:themeColor="accent3" w:themeTint="99"/>
            </w:tcBorders>
            <w:shd w:val="clear" w:color="000000" w:fill="EAF1DD" w:themeFill="accent3" w:themeFillTint="33"/>
            <w:noWrap/>
            <w:tcMar>
              <w:right w:w="85" w:type="dxa"/>
            </w:tcMar>
            <w:vAlign w:val="center"/>
            <w:hideMark/>
          </w:tcPr>
          <w:p w:rsidR="00F65BD4" w:rsidRPr="00947656" w:rsidRDefault="00F65BD4" w:rsidP="001E182A">
            <w:pPr>
              <w:widowControl/>
              <w:adjustRightInd/>
              <w:spacing w:line="320" w:lineRule="exact"/>
              <w:jc w:val="right"/>
              <w:textAlignment w:val="auto"/>
              <w:rPr>
                <w:sz w:val="16"/>
                <w:szCs w:val="16"/>
              </w:rPr>
            </w:pPr>
            <w:r w:rsidRPr="00947656">
              <w:rPr>
                <w:sz w:val="16"/>
                <w:szCs w:val="16"/>
              </w:rPr>
              <w:t>8,668</w:t>
            </w:r>
          </w:p>
        </w:tc>
        <w:tc>
          <w:tcPr>
            <w:tcW w:w="707" w:type="dxa"/>
            <w:tcBorders>
              <w:top w:val="nil"/>
              <w:left w:val="double" w:sz="6" w:space="0" w:color="C2D69B" w:themeColor="accent3" w:themeTint="99"/>
              <w:bottom w:val="nil"/>
              <w:right w:val="thinThickThinSmallGap" w:sz="24" w:space="0" w:color="C2D69B" w:themeColor="accent3" w:themeTint="99"/>
            </w:tcBorders>
            <w:shd w:val="clear" w:color="000000" w:fill="EAF1DD" w:themeFill="accent3" w:themeFillTint="33"/>
            <w:tcMar>
              <w:right w:w="113" w:type="dxa"/>
            </w:tcMar>
            <w:vAlign w:val="center"/>
          </w:tcPr>
          <w:p w:rsidR="00F65BD4" w:rsidRPr="00FF0F75" w:rsidRDefault="00F65BD4" w:rsidP="001E182A">
            <w:pPr>
              <w:spacing w:line="320" w:lineRule="exact"/>
              <w:jc w:val="right"/>
              <w:rPr>
                <w:color w:val="000000"/>
                <w:sz w:val="16"/>
                <w:szCs w:val="16"/>
              </w:rPr>
            </w:pPr>
            <w:r w:rsidRPr="00FF0F75">
              <w:rPr>
                <w:color w:val="000000"/>
                <w:sz w:val="16"/>
                <w:szCs w:val="16"/>
              </w:rPr>
              <w:t xml:space="preserve">12.3 </w:t>
            </w:r>
          </w:p>
        </w:tc>
        <w:tc>
          <w:tcPr>
            <w:tcW w:w="3117"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right w:w="28" w:type="dxa"/>
            </w:tcMar>
            <w:vAlign w:val="center"/>
            <w:hideMark/>
          </w:tcPr>
          <w:p w:rsidR="00F65BD4" w:rsidRPr="00947656" w:rsidRDefault="00F65BD4" w:rsidP="001E182A">
            <w:pPr>
              <w:widowControl/>
              <w:adjustRightInd/>
              <w:spacing w:line="320" w:lineRule="exact"/>
              <w:textAlignment w:val="auto"/>
              <w:rPr>
                <w:rFonts w:eastAsia="標楷體"/>
                <w:sz w:val="16"/>
                <w:szCs w:val="16"/>
              </w:rPr>
            </w:pPr>
            <w:r w:rsidRPr="006F1E9D">
              <w:rPr>
                <w:rFonts w:eastAsia="標楷體"/>
                <w:sz w:val="16"/>
                <w:szCs w:val="16"/>
              </w:rPr>
              <w:t>Burns</w:t>
            </w:r>
          </w:p>
        </w:tc>
        <w:tc>
          <w:tcPr>
            <w:tcW w:w="808" w:type="dxa"/>
            <w:tcBorders>
              <w:top w:val="nil"/>
              <w:left w:val="double" w:sz="6" w:space="0" w:color="C2D69B" w:themeColor="accent3" w:themeTint="99"/>
              <w:bottom w:val="nil"/>
              <w:right w:val="double" w:sz="6" w:space="0" w:color="C2D69B" w:themeColor="accent3" w:themeTint="99"/>
            </w:tcBorders>
            <w:shd w:val="clear" w:color="000000" w:fill="EAF1DD" w:themeFill="accent3" w:themeFillTint="33"/>
            <w:noWrap/>
            <w:tcMar>
              <w:right w:w="85" w:type="dxa"/>
            </w:tcMar>
            <w:vAlign w:val="center"/>
            <w:hideMark/>
          </w:tcPr>
          <w:p w:rsidR="00F65BD4" w:rsidRPr="00947656" w:rsidRDefault="00F65BD4" w:rsidP="001E182A">
            <w:pPr>
              <w:widowControl/>
              <w:adjustRightInd/>
              <w:spacing w:line="320" w:lineRule="exact"/>
              <w:jc w:val="right"/>
              <w:textAlignment w:val="auto"/>
              <w:rPr>
                <w:sz w:val="16"/>
                <w:szCs w:val="16"/>
              </w:rPr>
            </w:pPr>
            <w:r w:rsidRPr="00947656">
              <w:rPr>
                <w:sz w:val="16"/>
                <w:szCs w:val="16"/>
              </w:rPr>
              <w:t>732,732</w:t>
            </w:r>
          </w:p>
        </w:tc>
        <w:tc>
          <w:tcPr>
            <w:tcW w:w="759" w:type="dxa"/>
            <w:tcBorders>
              <w:top w:val="nil"/>
              <w:left w:val="double" w:sz="6" w:space="0" w:color="C2D69B" w:themeColor="accent3" w:themeTint="99"/>
              <w:bottom w:val="nil"/>
              <w:right w:val="thinThickSmallGap" w:sz="24" w:space="0" w:color="C2D69B" w:themeColor="accent3" w:themeTint="99"/>
            </w:tcBorders>
            <w:shd w:val="clear" w:color="000000" w:fill="EAF1DD" w:themeFill="accent3" w:themeFillTint="33"/>
            <w:tcMar>
              <w:right w:w="0" w:type="dxa"/>
            </w:tcMar>
            <w:vAlign w:val="center"/>
          </w:tcPr>
          <w:p w:rsidR="00F65BD4" w:rsidRPr="00E91ADA" w:rsidRDefault="00F65BD4" w:rsidP="006852DB">
            <w:pPr>
              <w:spacing w:line="320" w:lineRule="exact"/>
              <w:jc w:val="center"/>
              <w:rPr>
                <w:color w:val="000000"/>
                <w:sz w:val="16"/>
                <w:szCs w:val="16"/>
              </w:rPr>
            </w:pPr>
            <w:r w:rsidRPr="00E91ADA">
              <w:rPr>
                <w:color w:val="000000"/>
                <w:sz w:val="16"/>
                <w:szCs w:val="16"/>
              </w:rPr>
              <w:t>3.1</w:t>
            </w:r>
          </w:p>
        </w:tc>
      </w:tr>
      <w:tr w:rsidR="00F65BD4" w:rsidRPr="00947656" w:rsidTr="006852DB">
        <w:trPr>
          <w:trHeight w:val="340"/>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F65BD4" w:rsidRPr="008E5831" w:rsidRDefault="00F65BD4" w:rsidP="00F65BD4">
            <w:pPr>
              <w:widowControl/>
              <w:adjustRightInd/>
              <w:spacing w:line="320" w:lineRule="exact"/>
              <w:jc w:val="center"/>
              <w:textAlignment w:val="auto"/>
              <w:rPr>
                <w:rFonts w:eastAsia="標楷體"/>
                <w:sz w:val="16"/>
                <w:szCs w:val="16"/>
              </w:rPr>
            </w:pPr>
            <w:r w:rsidRPr="008E5831">
              <w:rPr>
                <w:rFonts w:eastAsia="標楷體"/>
                <w:sz w:val="16"/>
                <w:szCs w:val="16"/>
              </w:rPr>
              <w:t>4</w:t>
            </w:r>
          </w:p>
        </w:tc>
        <w:tc>
          <w:tcPr>
            <w:tcW w:w="264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right w:w="85" w:type="dxa"/>
            </w:tcMar>
            <w:vAlign w:val="center"/>
            <w:hideMark/>
          </w:tcPr>
          <w:p w:rsidR="00F65BD4" w:rsidRPr="00947656" w:rsidRDefault="00F65BD4" w:rsidP="00D01008">
            <w:pPr>
              <w:widowControl/>
              <w:adjustRightInd/>
              <w:spacing w:line="320" w:lineRule="exact"/>
              <w:textAlignment w:val="auto"/>
              <w:rPr>
                <w:rFonts w:eastAsia="標楷體"/>
                <w:sz w:val="16"/>
                <w:szCs w:val="16"/>
              </w:rPr>
            </w:pPr>
            <w:r w:rsidRPr="006F1E9D">
              <w:rPr>
                <w:rFonts w:eastAsia="標楷體"/>
                <w:sz w:val="16"/>
                <w:szCs w:val="16"/>
              </w:rPr>
              <w:t>End-stage renal disease</w:t>
            </w:r>
            <w:r w:rsidR="00D01008">
              <w:rPr>
                <w:rFonts w:hint="eastAsia"/>
                <w:color w:val="000000"/>
                <w:sz w:val="16"/>
                <w:szCs w:val="16"/>
              </w:rPr>
              <w:t xml:space="preserve"> (Uremia)</w:t>
            </w:r>
          </w:p>
        </w:tc>
        <w:tc>
          <w:tcPr>
            <w:tcW w:w="762" w:type="dxa"/>
            <w:tcBorders>
              <w:top w:val="nil"/>
              <w:left w:val="double" w:sz="6" w:space="0" w:color="C2D69B" w:themeColor="accent3" w:themeTint="99"/>
              <w:bottom w:val="nil"/>
              <w:right w:val="double" w:sz="6" w:space="0" w:color="C2D69B" w:themeColor="accent3" w:themeTint="99"/>
            </w:tcBorders>
            <w:shd w:val="clear" w:color="000000" w:fill="EAF1DD" w:themeFill="accent3" w:themeFillTint="33"/>
            <w:noWrap/>
            <w:tcMar>
              <w:right w:w="85" w:type="dxa"/>
            </w:tcMar>
            <w:vAlign w:val="center"/>
            <w:hideMark/>
          </w:tcPr>
          <w:p w:rsidR="00F65BD4" w:rsidRPr="00947656" w:rsidRDefault="00F65BD4" w:rsidP="001E182A">
            <w:pPr>
              <w:widowControl/>
              <w:adjustRightInd/>
              <w:spacing w:line="320" w:lineRule="exact"/>
              <w:jc w:val="right"/>
              <w:textAlignment w:val="auto"/>
              <w:rPr>
                <w:sz w:val="16"/>
                <w:szCs w:val="16"/>
              </w:rPr>
            </w:pPr>
            <w:r w:rsidRPr="00947656">
              <w:rPr>
                <w:sz w:val="16"/>
                <w:szCs w:val="16"/>
              </w:rPr>
              <w:t>5,162</w:t>
            </w:r>
          </w:p>
        </w:tc>
        <w:tc>
          <w:tcPr>
            <w:tcW w:w="707" w:type="dxa"/>
            <w:tcBorders>
              <w:top w:val="nil"/>
              <w:left w:val="double" w:sz="6" w:space="0" w:color="C2D69B" w:themeColor="accent3" w:themeTint="99"/>
              <w:bottom w:val="nil"/>
              <w:right w:val="thinThickThinSmallGap" w:sz="24" w:space="0" w:color="C2D69B" w:themeColor="accent3" w:themeTint="99"/>
            </w:tcBorders>
            <w:shd w:val="clear" w:color="000000" w:fill="EAF1DD" w:themeFill="accent3" w:themeFillTint="33"/>
            <w:tcMar>
              <w:right w:w="113" w:type="dxa"/>
            </w:tcMar>
            <w:vAlign w:val="center"/>
          </w:tcPr>
          <w:p w:rsidR="00F65BD4" w:rsidRPr="00FF0F75" w:rsidRDefault="00F65BD4" w:rsidP="001E182A">
            <w:pPr>
              <w:spacing w:line="320" w:lineRule="exact"/>
              <w:jc w:val="right"/>
              <w:rPr>
                <w:color w:val="000000"/>
                <w:sz w:val="16"/>
                <w:szCs w:val="16"/>
              </w:rPr>
            </w:pPr>
            <w:r w:rsidRPr="00FF0F75">
              <w:rPr>
                <w:color w:val="000000"/>
                <w:sz w:val="16"/>
                <w:szCs w:val="16"/>
              </w:rPr>
              <w:t xml:space="preserve">7.3 </w:t>
            </w:r>
          </w:p>
        </w:tc>
        <w:tc>
          <w:tcPr>
            <w:tcW w:w="3117"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right w:w="28" w:type="dxa"/>
            </w:tcMar>
            <w:vAlign w:val="center"/>
            <w:hideMark/>
          </w:tcPr>
          <w:p w:rsidR="00F65BD4" w:rsidRPr="006F1E9D" w:rsidRDefault="00F65BD4" w:rsidP="001E182A">
            <w:pPr>
              <w:snapToGrid w:val="0"/>
              <w:spacing w:line="320" w:lineRule="exact"/>
              <w:rPr>
                <w:rFonts w:eastAsia="標楷體"/>
                <w:color w:val="000000"/>
                <w:sz w:val="16"/>
                <w:szCs w:val="16"/>
              </w:rPr>
            </w:pPr>
            <w:r w:rsidRPr="006F1E9D">
              <w:rPr>
                <w:rFonts w:eastAsia="標楷體"/>
                <w:color w:val="000000"/>
                <w:sz w:val="16"/>
                <w:szCs w:val="16"/>
              </w:rPr>
              <w:t>Malnutrition</w:t>
            </w:r>
          </w:p>
        </w:tc>
        <w:tc>
          <w:tcPr>
            <w:tcW w:w="808" w:type="dxa"/>
            <w:tcBorders>
              <w:top w:val="nil"/>
              <w:left w:val="double" w:sz="6" w:space="0" w:color="C2D69B" w:themeColor="accent3" w:themeTint="99"/>
              <w:bottom w:val="nil"/>
              <w:right w:val="double" w:sz="6" w:space="0" w:color="C2D69B" w:themeColor="accent3" w:themeTint="99"/>
            </w:tcBorders>
            <w:shd w:val="clear" w:color="000000" w:fill="EAF1DD" w:themeFill="accent3" w:themeFillTint="33"/>
            <w:noWrap/>
            <w:tcMar>
              <w:right w:w="85" w:type="dxa"/>
            </w:tcMar>
            <w:vAlign w:val="center"/>
            <w:hideMark/>
          </w:tcPr>
          <w:p w:rsidR="00F65BD4" w:rsidRPr="00947656" w:rsidRDefault="00F65BD4" w:rsidP="001E182A">
            <w:pPr>
              <w:widowControl/>
              <w:adjustRightInd/>
              <w:spacing w:line="320" w:lineRule="exact"/>
              <w:jc w:val="right"/>
              <w:textAlignment w:val="auto"/>
              <w:rPr>
                <w:sz w:val="16"/>
                <w:szCs w:val="16"/>
              </w:rPr>
            </w:pPr>
            <w:r w:rsidRPr="00947656">
              <w:rPr>
                <w:sz w:val="16"/>
                <w:szCs w:val="16"/>
              </w:rPr>
              <w:t>558,882</w:t>
            </w:r>
          </w:p>
        </w:tc>
        <w:tc>
          <w:tcPr>
            <w:tcW w:w="759" w:type="dxa"/>
            <w:tcBorders>
              <w:top w:val="nil"/>
              <w:left w:val="double" w:sz="6" w:space="0" w:color="C2D69B" w:themeColor="accent3" w:themeTint="99"/>
              <w:bottom w:val="nil"/>
              <w:right w:val="thinThickSmallGap" w:sz="24" w:space="0" w:color="C2D69B" w:themeColor="accent3" w:themeTint="99"/>
            </w:tcBorders>
            <w:shd w:val="clear" w:color="000000" w:fill="EAF1DD" w:themeFill="accent3" w:themeFillTint="33"/>
            <w:tcMar>
              <w:right w:w="0" w:type="dxa"/>
            </w:tcMar>
            <w:vAlign w:val="center"/>
          </w:tcPr>
          <w:p w:rsidR="00F65BD4" w:rsidRPr="00E91ADA" w:rsidRDefault="00F65BD4" w:rsidP="006852DB">
            <w:pPr>
              <w:spacing w:line="320" w:lineRule="exact"/>
              <w:jc w:val="center"/>
              <w:rPr>
                <w:color w:val="000000"/>
                <w:sz w:val="16"/>
                <w:szCs w:val="16"/>
              </w:rPr>
            </w:pPr>
            <w:r w:rsidRPr="00E91ADA">
              <w:rPr>
                <w:color w:val="000000"/>
                <w:sz w:val="16"/>
                <w:szCs w:val="16"/>
              </w:rPr>
              <w:t>2.3</w:t>
            </w:r>
          </w:p>
        </w:tc>
      </w:tr>
      <w:tr w:rsidR="00F65BD4" w:rsidRPr="00947656" w:rsidTr="006852DB">
        <w:trPr>
          <w:trHeight w:val="340"/>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F65BD4" w:rsidRPr="008E5831" w:rsidRDefault="00F65BD4" w:rsidP="00F65BD4">
            <w:pPr>
              <w:widowControl/>
              <w:adjustRightInd/>
              <w:spacing w:line="320" w:lineRule="exact"/>
              <w:jc w:val="center"/>
              <w:textAlignment w:val="auto"/>
              <w:rPr>
                <w:rFonts w:eastAsia="標楷體"/>
                <w:sz w:val="16"/>
                <w:szCs w:val="16"/>
              </w:rPr>
            </w:pPr>
            <w:r w:rsidRPr="008E5831">
              <w:rPr>
                <w:rFonts w:eastAsia="標楷體"/>
                <w:sz w:val="16"/>
                <w:szCs w:val="16"/>
              </w:rPr>
              <w:t>5</w:t>
            </w:r>
          </w:p>
        </w:tc>
        <w:tc>
          <w:tcPr>
            <w:tcW w:w="264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right w:w="85" w:type="dxa"/>
            </w:tcMar>
            <w:vAlign w:val="center"/>
            <w:hideMark/>
          </w:tcPr>
          <w:p w:rsidR="00F65BD4" w:rsidRPr="00947656" w:rsidRDefault="00F65BD4" w:rsidP="001E182A">
            <w:pPr>
              <w:widowControl/>
              <w:adjustRightInd/>
              <w:spacing w:line="320" w:lineRule="exact"/>
              <w:textAlignment w:val="auto"/>
              <w:rPr>
                <w:rFonts w:eastAsia="標楷體"/>
                <w:sz w:val="16"/>
                <w:szCs w:val="16"/>
              </w:rPr>
            </w:pPr>
            <w:r w:rsidRPr="006F1E9D">
              <w:rPr>
                <w:rFonts w:eastAsia="標楷體"/>
                <w:sz w:val="16"/>
                <w:szCs w:val="16"/>
              </w:rPr>
              <w:t xml:space="preserve">Acute </w:t>
            </w:r>
            <w:proofErr w:type="spellStart"/>
            <w:r w:rsidRPr="006F1E9D">
              <w:rPr>
                <w:rFonts w:eastAsia="標楷體"/>
                <w:sz w:val="16"/>
                <w:szCs w:val="16"/>
              </w:rPr>
              <w:t>cerebr</w:t>
            </w:r>
            <w:r w:rsidRPr="006F1E9D">
              <w:rPr>
                <w:rFonts w:eastAsia="標楷體" w:hint="eastAsia"/>
                <w:sz w:val="16"/>
                <w:szCs w:val="16"/>
              </w:rPr>
              <w:t>o</w:t>
            </w:r>
            <w:r w:rsidRPr="006F1E9D">
              <w:rPr>
                <w:rFonts w:eastAsia="標楷體"/>
                <w:sz w:val="16"/>
                <w:szCs w:val="16"/>
              </w:rPr>
              <w:t>vascular</w:t>
            </w:r>
            <w:proofErr w:type="spellEnd"/>
            <w:r w:rsidRPr="006F1E9D">
              <w:rPr>
                <w:rFonts w:eastAsia="標楷體"/>
                <w:sz w:val="16"/>
                <w:szCs w:val="16"/>
              </w:rPr>
              <w:t xml:space="preserve"> disease</w:t>
            </w:r>
          </w:p>
        </w:tc>
        <w:tc>
          <w:tcPr>
            <w:tcW w:w="762" w:type="dxa"/>
            <w:tcBorders>
              <w:top w:val="nil"/>
              <w:left w:val="double" w:sz="6" w:space="0" w:color="C2D69B" w:themeColor="accent3" w:themeTint="99"/>
              <w:bottom w:val="nil"/>
              <w:right w:val="double" w:sz="6" w:space="0" w:color="C2D69B" w:themeColor="accent3" w:themeTint="99"/>
            </w:tcBorders>
            <w:shd w:val="clear" w:color="000000" w:fill="EAF1DD" w:themeFill="accent3" w:themeFillTint="33"/>
            <w:noWrap/>
            <w:tcMar>
              <w:right w:w="85" w:type="dxa"/>
            </w:tcMar>
            <w:vAlign w:val="center"/>
            <w:hideMark/>
          </w:tcPr>
          <w:p w:rsidR="00F65BD4" w:rsidRPr="00947656" w:rsidRDefault="00F65BD4" w:rsidP="001E182A">
            <w:pPr>
              <w:widowControl/>
              <w:adjustRightInd/>
              <w:spacing w:line="320" w:lineRule="exact"/>
              <w:jc w:val="right"/>
              <w:textAlignment w:val="auto"/>
              <w:rPr>
                <w:sz w:val="16"/>
                <w:szCs w:val="16"/>
              </w:rPr>
            </w:pPr>
            <w:r w:rsidRPr="00947656">
              <w:rPr>
                <w:sz w:val="16"/>
                <w:szCs w:val="16"/>
              </w:rPr>
              <w:t>3,449</w:t>
            </w:r>
          </w:p>
        </w:tc>
        <w:tc>
          <w:tcPr>
            <w:tcW w:w="707" w:type="dxa"/>
            <w:tcBorders>
              <w:top w:val="nil"/>
              <w:left w:val="double" w:sz="6" w:space="0" w:color="C2D69B" w:themeColor="accent3" w:themeTint="99"/>
              <w:bottom w:val="nil"/>
              <w:right w:val="thinThickThinSmallGap" w:sz="24" w:space="0" w:color="C2D69B" w:themeColor="accent3" w:themeTint="99"/>
            </w:tcBorders>
            <w:shd w:val="clear" w:color="000000" w:fill="EAF1DD" w:themeFill="accent3" w:themeFillTint="33"/>
            <w:tcMar>
              <w:right w:w="113" w:type="dxa"/>
            </w:tcMar>
            <w:vAlign w:val="center"/>
          </w:tcPr>
          <w:p w:rsidR="00F65BD4" w:rsidRPr="00FF0F75" w:rsidRDefault="00F65BD4" w:rsidP="001E182A">
            <w:pPr>
              <w:spacing w:line="320" w:lineRule="exact"/>
              <w:jc w:val="right"/>
              <w:rPr>
                <w:color w:val="000000"/>
                <w:sz w:val="16"/>
                <w:szCs w:val="16"/>
              </w:rPr>
            </w:pPr>
            <w:r w:rsidRPr="00FF0F75">
              <w:rPr>
                <w:color w:val="000000"/>
                <w:sz w:val="16"/>
                <w:szCs w:val="16"/>
              </w:rPr>
              <w:t xml:space="preserve">4.9 </w:t>
            </w:r>
          </w:p>
        </w:tc>
        <w:tc>
          <w:tcPr>
            <w:tcW w:w="3117"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right w:w="28" w:type="dxa"/>
            </w:tcMar>
            <w:vAlign w:val="center"/>
            <w:hideMark/>
          </w:tcPr>
          <w:p w:rsidR="00F65BD4" w:rsidRPr="00947656" w:rsidRDefault="00F65BD4" w:rsidP="001E182A">
            <w:pPr>
              <w:widowControl/>
              <w:adjustRightInd/>
              <w:spacing w:line="320" w:lineRule="exact"/>
              <w:textAlignment w:val="auto"/>
              <w:rPr>
                <w:rFonts w:eastAsia="標楷體"/>
                <w:sz w:val="16"/>
                <w:szCs w:val="16"/>
              </w:rPr>
            </w:pPr>
            <w:r w:rsidRPr="006F1E9D">
              <w:rPr>
                <w:rFonts w:eastAsia="標楷體" w:hint="eastAsia"/>
                <w:sz w:val="16"/>
                <w:szCs w:val="16"/>
              </w:rPr>
              <w:t>C</w:t>
            </w:r>
            <w:r w:rsidRPr="006F1E9D">
              <w:rPr>
                <w:rFonts w:eastAsia="標楷體"/>
                <w:sz w:val="16"/>
                <w:szCs w:val="16"/>
              </w:rPr>
              <w:t>omplications</w:t>
            </w:r>
            <w:r w:rsidRPr="006F1E9D">
              <w:rPr>
                <w:rFonts w:eastAsia="標楷體" w:hint="eastAsia"/>
                <w:sz w:val="16"/>
                <w:szCs w:val="16"/>
              </w:rPr>
              <w:t xml:space="preserve"> of p</w:t>
            </w:r>
            <w:r w:rsidRPr="006F1E9D">
              <w:rPr>
                <w:rFonts w:eastAsia="標楷體"/>
                <w:sz w:val="16"/>
                <w:szCs w:val="16"/>
              </w:rPr>
              <w:t xml:space="preserve">remature </w:t>
            </w:r>
            <w:r w:rsidRPr="006F1E9D">
              <w:rPr>
                <w:rFonts w:eastAsia="標楷體" w:hint="eastAsia"/>
                <w:sz w:val="16"/>
                <w:szCs w:val="16"/>
              </w:rPr>
              <w:t>infants</w:t>
            </w:r>
          </w:p>
        </w:tc>
        <w:tc>
          <w:tcPr>
            <w:tcW w:w="808" w:type="dxa"/>
            <w:tcBorders>
              <w:top w:val="nil"/>
              <w:left w:val="double" w:sz="6" w:space="0" w:color="C2D69B" w:themeColor="accent3" w:themeTint="99"/>
              <w:bottom w:val="nil"/>
              <w:right w:val="double" w:sz="6" w:space="0" w:color="C2D69B" w:themeColor="accent3" w:themeTint="99"/>
            </w:tcBorders>
            <w:shd w:val="clear" w:color="000000" w:fill="EAF1DD" w:themeFill="accent3" w:themeFillTint="33"/>
            <w:noWrap/>
            <w:tcMar>
              <w:right w:w="85" w:type="dxa"/>
            </w:tcMar>
            <w:vAlign w:val="center"/>
            <w:hideMark/>
          </w:tcPr>
          <w:p w:rsidR="00F65BD4" w:rsidRPr="00947656" w:rsidRDefault="00F65BD4" w:rsidP="001E182A">
            <w:pPr>
              <w:widowControl/>
              <w:adjustRightInd/>
              <w:spacing w:line="320" w:lineRule="exact"/>
              <w:jc w:val="right"/>
              <w:textAlignment w:val="auto"/>
              <w:rPr>
                <w:sz w:val="16"/>
                <w:szCs w:val="16"/>
              </w:rPr>
            </w:pPr>
            <w:r w:rsidRPr="00947656">
              <w:rPr>
                <w:sz w:val="16"/>
                <w:szCs w:val="16"/>
              </w:rPr>
              <w:t>426,146</w:t>
            </w:r>
          </w:p>
        </w:tc>
        <w:tc>
          <w:tcPr>
            <w:tcW w:w="759" w:type="dxa"/>
            <w:tcBorders>
              <w:top w:val="nil"/>
              <w:left w:val="double" w:sz="6" w:space="0" w:color="C2D69B" w:themeColor="accent3" w:themeTint="99"/>
              <w:bottom w:val="nil"/>
              <w:right w:val="thinThickSmallGap" w:sz="24" w:space="0" w:color="C2D69B" w:themeColor="accent3" w:themeTint="99"/>
            </w:tcBorders>
            <w:shd w:val="clear" w:color="000000" w:fill="EAF1DD" w:themeFill="accent3" w:themeFillTint="33"/>
            <w:tcMar>
              <w:right w:w="0" w:type="dxa"/>
            </w:tcMar>
            <w:vAlign w:val="center"/>
          </w:tcPr>
          <w:p w:rsidR="00F65BD4" w:rsidRPr="00E91ADA" w:rsidRDefault="00F65BD4" w:rsidP="006852DB">
            <w:pPr>
              <w:spacing w:line="320" w:lineRule="exact"/>
              <w:jc w:val="center"/>
              <w:rPr>
                <w:color w:val="000000"/>
                <w:sz w:val="16"/>
                <w:szCs w:val="16"/>
              </w:rPr>
            </w:pPr>
            <w:r w:rsidRPr="00E91ADA">
              <w:rPr>
                <w:color w:val="000000"/>
                <w:sz w:val="16"/>
                <w:szCs w:val="16"/>
              </w:rPr>
              <w:t>1.8</w:t>
            </w:r>
          </w:p>
        </w:tc>
      </w:tr>
      <w:tr w:rsidR="00F65BD4" w:rsidRPr="00947656" w:rsidTr="006852DB">
        <w:trPr>
          <w:trHeight w:val="340"/>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F65BD4" w:rsidRPr="008E5831" w:rsidRDefault="00F65BD4" w:rsidP="00F65BD4">
            <w:pPr>
              <w:widowControl/>
              <w:adjustRightInd/>
              <w:spacing w:line="320" w:lineRule="exact"/>
              <w:jc w:val="center"/>
              <w:textAlignment w:val="auto"/>
              <w:rPr>
                <w:rFonts w:eastAsia="標楷體"/>
                <w:sz w:val="16"/>
                <w:szCs w:val="16"/>
              </w:rPr>
            </w:pPr>
            <w:r w:rsidRPr="008E5831">
              <w:rPr>
                <w:rFonts w:eastAsia="標楷體"/>
                <w:sz w:val="16"/>
                <w:szCs w:val="16"/>
              </w:rPr>
              <w:t>6</w:t>
            </w:r>
          </w:p>
        </w:tc>
        <w:tc>
          <w:tcPr>
            <w:tcW w:w="264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right w:w="85" w:type="dxa"/>
            </w:tcMar>
            <w:vAlign w:val="center"/>
            <w:hideMark/>
          </w:tcPr>
          <w:p w:rsidR="00F65BD4" w:rsidRPr="006F1E9D" w:rsidRDefault="00F65BD4" w:rsidP="001E182A">
            <w:pPr>
              <w:snapToGrid w:val="0"/>
              <w:spacing w:line="320" w:lineRule="exact"/>
              <w:rPr>
                <w:rFonts w:eastAsia="標楷體"/>
                <w:color w:val="000000"/>
                <w:sz w:val="16"/>
                <w:szCs w:val="16"/>
              </w:rPr>
            </w:pPr>
            <w:r w:rsidRPr="006F1E9D">
              <w:rPr>
                <w:rFonts w:eastAsia="標楷體" w:hint="eastAsia"/>
                <w:color w:val="000000"/>
                <w:sz w:val="16"/>
                <w:szCs w:val="16"/>
              </w:rPr>
              <w:t>C</w:t>
            </w:r>
            <w:r w:rsidRPr="006F1E9D">
              <w:rPr>
                <w:rFonts w:eastAsia="標楷體"/>
                <w:color w:val="000000"/>
                <w:sz w:val="16"/>
                <w:szCs w:val="16"/>
              </w:rPr>
              <w:t>irrhosis</w:t>
            </w:r>
            <w:r w:rsidRPr="006F1E9D">
              <w:rPr>
                <w:rFonts w:eastAsia="標楷體" w:hint="eastAsia"/>
                <w:color w:val="000000"/>
                <w:sz w:val="16"/>
                <w:szCs w:val="16"/>
              </w:rPr>
              <w:t xml:space="preserve"> of l</w:t>
            </w:r>
            <w:r w:rsidRPr="006F1E9D">
              <w:rPr>
                <w:rFonts w:eastAsia="標楷體"/>
                <w:color w:val="000000"/>
                <w:sz w:val="16"/>
                <w:szCs w:val="16"/>
              </w:rPr>
              <w:t>iver</w:t>
            </w:r>
          </w:p>
        </w:tc>
        <w:tc>
          <w:tcPr>
            <w:tcW w:w="762" w:type="dxa"/>
            <w:tcBorders>
              <w:top w:val="nil"/>
              <w:left w:val="double" w:sz="6" w:space="0" w:color="C2D69B" w:themeColor="accent3" w:themeTint="99"/>
              <w:bottom w:val="nil"/>
              <w:right w:val="double" w:sz="6" w:space="0" w:color="C2D69B" w:themeColor="accent3" w:themeTint="99"/>
            </w:tcBorders>
            <w:shd w:val="clear" w:color="000000" w:fill="EAF1DD" w:themeFill="accent3" w:themeFillTint="33"/>
            <w:noWrap/>
            <w:tcMar>
              <w:right w:w="85" w:type="dxa"/>
            </w:tcMar>
            <w:vAlign w:val="center"/>
            <w:hideMark/>
          </w:tcPr>
          <w:p w:rsidR="00F65BD4" w:rsidRPr="00947656" w:rsidRDefault="00F65BD4" w:rsidP="001E182A">
            <w:pPr>
              <w:widowControl/>
              <w:adjustRightInd/>
              <w:spacing w:line="320" w:lineRule="exact"/>
              <w:jc w:val="right"/>
              <w:textAlignment w:val="auto"/>
              <w:rPr>
                <w:sz w:val="16"/>
                <w:szCs w:val="16"/>
              </w:rPr>
            </w:pPr>
            <w:r w:rsidRPr="00947656">
              <w:rPr>
                <w:sz w:val="16"/>
                <w:szCs w:val="16"/>
              </w:rPr>
              <w:t>1,504</w:t>
            </w:r>
          </w:p>
        </w:tc>
        <w:tc>
          <w:tcPr>
            <w:tcW w:w="707" w:type="dxa"/>
            <w:tcBorders>
              <w:top w:val="nil"/>
              <w:left w:val="double" w:sz="6" w:space="0" w:color="C2D69B" w:themeColor="accent3" w:themeTint="99"/>
              <w:bottom w:val="nil"/>
              <w:right w:val="thinThickThinSmallGap" w:sz="24" w:space="0" w:color="C2D69B" w:themeColor="accent3" w:themeTint="99"/>
            </w:tcBorders>
            <w:shd w:val="clear" w:color="000000" w:fill="EAF1DD" w:themeFill="accent3" w:themeFillTint="33"/>
            <w:tcMar>
              <w:right w:w="113" w:type="dxa"/>
            </w:tcMar>
            <w:vAlign w:val="center"/>
          </w:tcPr>
          <w:p w:rsidR="00F65BD4" w:rsidRPr="00FF0F75" w:rsidRDefault="00F65BD4" w:rsidP="001E182A">
            <w:pPr>
              <w:spacing w:line="320" w:lineRule="exact"/>
              <w:jc w:val="right"/>
              <w:rPr>
                <w:color w:val="000000"/>
                <w:sz w:val="16"/>
                <w:szCs w:val="16"/>
              </w:rPr>
            </w:pPr>
            <w:r w:rsidRPr="00FF0F75">
              <w:rPr>
                <w:color w:val="000000"/>
                <w:sz w:val="16"/>
                <w:szCs w:val="16"/>
              </w:rPr>
              <w:t xml:space="preserve">2.1 </w:t>
            </w:r>
          </w:p>
        </w:tc>
        <w:tc>
          <w:tcPr>
            <w:tcW w:w="3117"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right w:w="28" w:type="dxa"/>
            </w:tcMar>
            <w:vAlign w:val="center"/>
            <w:hideMark/>
          </w:tcPr>
          <w:p w:rsidR="00F65BD4" w:rsidRPr="00947656" w:rsidRDefault="00F65BD4" w:rsidP="001E182A">
            <w:pPr>
              <w:widowControl/>
              <w:adjustRightInd/>
              <w:spacing w:line="320" w:lineRule="exact"/>
              <w:textAlignment w:val="auto"/>
              <w:rPr>
                <w:rFonts w:eastAsia="標楷體"/>
                <w:sz w:val="16"/>
                <w:szCs w:val="16"/>
              </w:rPr>
            </w:pPr>
            <w:r w:rsidRPr="006F1E9D">
              <w:rPr>
                <w:rFonts w:eastAsia="標楷體"/>
                <w:sz w:val="16"/>
                <w:szCs w:val="16"/>
              </w:rPr>
              <w:t>Hemolytic disease</w:t>
            </w:r>
          </w:p>
        </w:tc>
        <w:tc>
          <w:tcPr>
            <w:tcW w:w="808" w:type="dxa"/>
            <w:tcBorders>
              <w:top w:val="nil"/>
              <w:left w:val="double" w:sz="6" w:space="0" w:color="C2D69B" w:themeColor="accent3" w:themeTint="99"/>
              <w:bottom w:val="nil"/>
              <w:right w:val="double" w:sz="6" w:space="0" w:color="C2D69B" w:themeColor="accent3" w:themeTint="99"/>
            </w:tcBorders>
            <w:shd w:val="clear" w:color="000000" w:fill="EAF1DD" w:themeFill="accent3" w:themeFillTint="33"/>
            <w:noWrap/>
            <w:tcMar>
              <w:right w:w="85" w:type="dxa"/>
            </w:tcMar>
            <w:vAlign w:val="center"/>
            <w:hideMark/>
          </w:tcPr>
          <w:p w:rsidR="00F65BD4" w:rsidRPr="00947656" w:rsidRDefault="00F65BD4" w:rsidP="001E182A">
            <w:pPr>
              <w:widowControl/>
              <w:adjustRightInd/>
              <w:spacing w:line="320" w:lineRule="exact"/>
              <w:jc w:val="right"/>
              <w:textAlignment w:val="auto"/>
              <w:rPr>
                <w:sz w:val="16"/>
                <w:szCs w:val="16"/>
              </w:rPr>
            </w:pPr>
            <w:r w:rsidRPr="00947656">
              <w:rPr>
                <w:sz w:val="16"/>
                <w:szCs w:val="16"/>
              </w:rPr>
              <w:t>335,490</w:t>
            </w:r>
          </w:p>
        </w:tc>
        <w:tc>
          <w:tcPr>
            <w:tcW w:w="759" w:type="dxa"/>
            <w:tcBorders>
              <w:top w:val="nil"/>
              <w:left w:val="double" w:sz="6" w:space="0" w:color="C2D69B" w:themeColor="accent3" w:themeTint="99"/>
              <w:bottom w:val="nil"/>
              <w:right w:val="thinThickSmallGap" w:sz="24" w:space="0" w:color="C2D69B" w:themeColor="accent3" w:themeTint="99"/>
            </w:tcBorders>
            <w:shd w:val="clear" w:color="000000" w:fill="EAF1DD" w:themeFill="accent3" w:themeFillTint="33"/>
            <w:tcMar>
              <w:right w:w="0" w:type="dxa"/>
            </w:tcMar>
            <w:vAlign w:val="center"/>
          </w:tcPr>
          <w:p w:rsidR="00F65BD4" w:rsidRPr="00E91ADA" w:rsidRDefault="00F65BD4" w:rsidP="006852DB">
            <w:pPr>
              <w:spacing w:line="320" w:lineRule="exact"/>
              <w:jc w:val="center"/>
              <w:rPr>
                <w:color w:val="000000"/>
                <w:sz w:val="16"/>
                <w:szCs w:val="16"/>
              </w:rPr>
            </w:pPr>
            <w:r w:rsidRPr="00E91ADA">
              <w:rPr>
                <w:color w:val="000000"/>
                <w:sz w:val="16"/>
                <w:szCs w:val="16"/>
              </w:rPr>
              <w:t>1.4</w:t>
            </w:r>
          </w:p>
        </w:tc>
      </w:tr>
      <w:tr w:rsidR="00F65BD4" w:rsidRPr="00947656" w:rsidTr="006852DB">
        <w:trPr>
          <w:trHeight w:val="340"/>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F65BD4" w:rsidRPr="008E5831" w:rsidRDefault="00F65BD4" w:rsidP="00F65BD4">
            <w:pPr>
              <w:widowControl/>
              <w:adjustRightInd/>
              <w:spacing w:line="320" w:lineRule="exact"/>
              <w:jc w:val="center"/>
              <w:textAlignment w:val="auto"/>
              <w:rPr>
                <w:rFonts w:eastAsia="標楷體"/>
                <w:sz w:val="16"/>
                <w:szCs w:val="16"/>
              </w:rPr>
            </w:pPr>
            <w:r w:rsidRPr="008E5831">
              <w:rPr>
                <w:rFonts w:eastAsia="標楷體"/>
                <w:sz w:val="16"/>
                <w:szCs w:val="16"/>
              </w:rPr>
              <w:t>7</w:t>
            </w:r>
          </w:p>
        </w:tc>
        <w:tc>
          <w:tcPr>
            <w:tcW w:w="264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right w:w="85" w:type="dxa"/>
            </w:tcMar>
            <w:vAlign w:val="center"/>
            <w:hideMark/>
          </w:tcPr>
          <w:p w:rsidR="00F65BD4" w:rsidRPr="006F1E9D" w:rsidRDefault="00F65BD4" w:rsidP="001E182A">
            <w:pPr>
              <w:snapToGrid w:val="0"/>
              <w:spacing w:line="320" w:lineRule="exact"/>
              <w:rPr>
                <w:rFonts w:eastAsia="標楷體"/>
                <w:color w:val="000000"/>
                <w:sz w:val="16"/>
                <w:szCs w:val="16"/>
              </w:rPr>
            </w:pPr>
            <w:r w:rsidRPr="006F1E9D">
              <w:rPr>
                <w:rFonts w:eastAsia="標楷體"/>
                <w:color w:val="000000"/>
                <w:sz w:val="16"/>
                <w:szCs w:val="16"/>
              </w:rPr>
              <w:t>Major trauma</w:t>
            </w:r>
          </w:p>
        </w:tc>
        <w:tc>
          <w:tcPr>
            <w:tcW w:w="762" w:type="dxa"/>
            <w:tcBorders>
              <w:top w:val="nil"/>
              <w:left w:val="double" w:sz="6" w:space="0" w:color="C2D69B" w:themeColor="accent3" w:themeTint="99"/>
              <w:bottom w:val="nil"/>
              <w:right w:val="double" w:sz="6" w:space="0" w:color="C2D69B" w:themeColor="accent3" w:themeTint="99"/>
            </w:tcBorders>
            <w:shd w:val="clear" w:color="000000" w:fill="EAF1DD" w:themeFill="accent3" w:themeFillTint="33"/>
            <w:noWrap/>
            <w:tcMar>
              <w:right w:w="85" w:type="dxa"/>
            </w:tcMar>
            <w:vAlign w:val="center"/>
            <w:hideMark/>
          </w:tcPr>
          <w:p w:rsidR="00F65BD4" w:rsidRPr="00947656" w:rsidRDefault="00F65BD4" w:rsidP="001E182A">
            <w:pPr>
              <w:widowControl/>
              <w:adjustRightInd/>
              <w:spacing w:line="320" w:lineRule="exact"/>
              <w:jc w:val="right"/>
              <w:textAlignment w:val="auto"/>
              <w:rPr>
                <w:sz w:val="16"/>
                <w:szCs w:val="16"/>
              </w:rPr>
            </w:pPr>
            <w:r w:rsidRPr="00947656">
              <w:rPr>
                <w:sz w:val="16"/>
                <w:szCs w:val="16"/>
              </w:rPr>
              <w:t>1,211</w:t>
            </w:r>
          </w:p>
        </w:tc>
        <w:tc>
          <w:tcPr>
            <w:tcW w:w="707" w:type="dxa"/>
            <w:tcBorders>
              <w:top w:val="nil"/>
              <w:left w:val="double" w:sz="6" w:space="0" w:color="C2D69B" w:themeColor="accent3" w:themeTint="99"/>
              <w:bottom w:val="nil"/>
              <w:right w:val="thinThickThinSmallGap" w:sz="24" w:space="0" w:color="C2D69B" w:themeColor="accent3" w:themeTint="99"/>
            </w:tcBorders>
            <w:shd w:val="clear" w:color="000000" w:fill="EAF1DD" w:themeFill="accent3" w:themeFillTint="33"/>
            <w:tcMar>
              <w:right w:w="113" w:type="dxa"/>
            </w:tcMar>
            <w:vAlign w:val="center"/>
          </w:tcPr>
          <w:p w:rsidR="00F65BD4" w:rsidRPr="00FF0F75" w:rsidRDefault="00F65BD4" w:rsidP="001E182A">
            <w:pPr>
              <w:spacing w:line="320" w:lineRule="exact"/>
              <w:jc w:val="right"/>
              <w:rPr>
                <w:color w:val="000000"/>
                <w:sz w:val="16"/>
                <w:szCs w:val="16"/>
              </w:rPr>
            </w:pPr>
            <w:r w:rsidRPr="00FF0F75">
              <w:rPr>
                <w:color w:val="000000"/>
                <w:sz w:val="16"/>
                <w:szCs w:val="16"/>
              </w:rPr>
              <w:t xml:space="preserve">1.7 </w:t>
            </w:r>
          </w:p>
        </w:tc>
        <w:tc>
          <w:tcPr>
            <w:tcW w:w="3117"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right w:w="28" w:type="dxa"/>
            </w:tcMar>
            <w:vAlign w:val="center"/>
            <w:hideMark/>
          </w:tcPr>
          <w:p w:rsidR="00F65BD4" w:rsidRPr="00947656" w:rsidRDefault="00F65BD4" w:rsidP="001E182A">
            <w:pPr>
              <w:widowControl/>
              <w:adjustRightInd/>
              <w:spacing w:line="320" w:lineRule="exact"/>
              <w:textAlignment w:val="auto"/>
              <w:rPr>
                <w:rFonts w:eastAsia="標楷體"/>
                <w:sz w:val="16"/>
                <w:szCs w:val="16"/>
              </w:rPr>
            </w:pPr>
            <w:r w:rsidRPr="006F1E9D">
              <w:rPr>
                <w:rFonts w:eastAsia="標楷體"/>
                <w:sz w:val="16"/>
                <w:szCs w:val="16"/>
              </w:rPr>
              <w:t>Motor</w:t>
            </w:r>
            <w:r w:rsidRPr="006F1E9D">
              <w:rPr>
                <w:rFonts w:eastAsia="標楷體" w:hint="eastAsia"/>
                <w:sz w:val="16"/>
                <w:szCs w:val="16"/>
              </w:rPr>
              <w:t xml:space="preserve"> </w:t>
            </w:r>
            <w:r w:rsidRPr="006F1E9D">
              <w:rPr>
                <w:rFonts w:eastAsia="標楷體"/>
                <w:sz w:val="16"/>
                <w:szCs w:val="16"/>
              </w:rPr>
              <w:t>neuron disease</w:t>
            </w:r>
          </w:p>
        </w:tc>
        <w:tc>
          <w:tcPr>
            <w:tcW w:w="808" w:type="dxa"/>
            <w:tcBorders>
              <w:top w:val="nil"/>
              <w:left w:val="double" w:sz="6" w:space="0" w:color="C2D69B" w:themeColor="accent3" w:themeTint="99"/>
              <w:bottom w:val="nil"/>
              <w:right w:val="double" w:sz="6" w:space="0" w:color="C2D69B" w:themeColor="accent3" w:themeTint="99"/>
            </w:tcBorders>
            <w:shd w:val="clear" w:color="000000" w:fill="EAF1DD" w:themeFill="accent3" w:themeFillTint="33"/>
            <w:noWrap/>
            <w:tcMar>
              <w:right w:w="85" w:type="dxa"/>
            </w:tcMar>
            <w:vAlign w:val="center"/>
            <w:hideMark/>
          </w:tcPr>
          <w:p w:rsidR="00F65BD4" w:rsidRPr="00947656" w:rsidRDefault="00F65BD4" w:rsidP="001E182A">
            <w:pPr>
              <w:widowControl/>
              <w:adjustRightInd/>
              <w:spacing w:line="320" w:lineRule="exact"/>
              <w:jc w:val="right"/>
              <w:textAlignment w:val="auto"/>
              <w:rPr>
                <w:sz w:val="16"/>
                <w:szCs w:val="16"/>
              </w:rPr>
            </w:pPr>
            <w:r w:rsidRPr="00947656">
              <w:rPr>
                <w:sz w:val="16"/>
                <w:szCs w:val="16"/>
              </w:rPr>
              <w:t>330,069</w:t>
            </w:r>
          </w:p>
        </w:tc>
        <w:tc>
          <w:tcPr>
            <w:tcW w:w="759" w:type="dxa"/>
            <w:tcBorders>
              <w:top w:val="nil"/>
              <w:left w:val="double" w:sz="6" w:space="0" w:color="C2D69B" w:themeColor="accent3" w:themeTint="99"/>
              <w:bottom w:val="nil"/>
              <w:right w:val="thinThickSmallGap" w:sz="24" w:space="0" w:color="C2D69B" w:themeColor="accent3" w:themeTint="99"/>
            </w:tcBorders>
            <w:shd w:val="clear" w:color="000000" w:fill="EAF1DD" w:themeFill="accent3" w:themeFillTint="33"/>
            <w:tcMar>
              <w:right w:w="0" w:type="dxa"/>
            </w:tcMar>
            <w:vAlign w:val="center"/>
          </w:tcPr>
          <w:p w:rsidR="00F65BD4" w:rsidRPr="00E91ADA" w:rsidRDefault="00F65BD4" w:rsidP="006852DB">
            <w:pPr>
              <w:spacing w:line="320" w:lineRule="exact"/>
              <w:jc w:val="center"/>
              <w:rPr>
                <w:color w:val="000000"/>
                <w:sz w:val="16"/>
                <w:szCs w:val="16"/>
              </w:rPr>
            </w:pPr>
            <w:r w:rsidRPr="00E91ADA">
              <w:rPr>
                <w:color w:val="000000"/>
                <w:sz w:val="16"/>
                <w:szCs w:val="16"/>
              </w:rPr>
              <w:t>1.4</w:t>
            </w:r>
          </w:p>
        </w:tc>
      </w:tr>
      <w:tr w:rsidR="00F65BD4" w:rsidRPr="00947656" w:rsidTr="006852DB">
        <w:trPr>
          <w:trHeight w:val="340"/>
        </w:trPr>
        <w:tc>
          <w:tcPr>
            <w:tcW w:w="428"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vAlign w:val="center"/>
          </w:tcPr>
          <w:p w:rsidR="00F65BD4" w:rsidRPr="008E5831" w:rsidRDefault="00F65BD4" w:rsidP="00F65BD4">
            <w:pPr>
              <w:widowControl/>
              <w:adjustRightInd/>
              <w:spacing w:line="320" w:lineRule="exact"/>
              <w:jc w:val="center"/>
              <w:textAlignment w:val="auto"/>
              <w:rPr>
                <w:rFonts w:eastAsia="標楷體"/>
                <w:sz w:val="16"/>
                <w:szCs w:val="16"/>
              </w:rPr>
            </w:pPr>
            <w:r w:rsidRPr="008E5831">
              <w:rPr>
                <w:rFonts w:eastAsia="標楷體"/>
                <w:sz w:val="16"/>
                <w:szCs w:val="16"/>
              </w:rPr>
              <w:t>8</w:t>
            </w:r>
          </w:p>
        </w:tc>
        <w:tc>
          <w:tcPr>
            <w:tcW w:w="2640" w:type="dxa"/>
            <w:tcBorders>
              <w:top w:val="nil"/>
              <w:left w:val="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right w:w="85" w:type="dxa"/>
            </w:tcMar>
            <w:vAlign w:val="center"/>
            <w:hideMark/>
          </w:tcPr>
          <w:p w:rsidR="00F65BD4" w:rsidRPr="006F1E9D" w:rsidRDefault="00F65BD4" w:rsidP="001E182A">
            <w:pPr>
              <w:snapToGrid w:val="0"/>
              <w:spacing w:line="320" w:lineRule="exact"/>
              <w:rPr>
                <w:rFonts w:eastAsia="標楷體"/>
                <w:color w:val="000000"/>
                <w:sz w:val="16"/>
                <w:szCs w:val="16"/>
              </w:rPr>
            </w:pPr>
            <w:r w:rsidRPr="006F1E9D">
              <w:rPr>
                <w:rFonts w:eastAsia="標楷體"/>
                <w:color w:val="000000"/>
                <w:sz w:val="16"/>
                <w:szCs w:val="16"/>
              </w:rPr>
              <w:t>Generalized Autoimmune Syndrome</w:t>
            </w:r>
          </w:p>
        </w:tc>
        <w:tc>
          <w:tcPr>
            <w:tcW w:w="762" w:type="dxa"/>
            <w:tcBorders>
              <w:top w:val="nil"/>
              <w:left w:val="double" w:sz="6" w:space="0" w:color="C2D69B" w:themeColor="accent3" w:themeTint="99"/>
              <w:bottom w:val="nil"/>
              <w:right w:val="double" w:sz="6" w:space="0" w:color="C2D69B" w:themeColor="accent3" w:themeTint="99"/>
            </w:tcBorders>
            <w:shd w:val="clear" w:color="000000" w:fill="EAF1DD" w:themeFill="accent3" w:themeFillTint="33"/>
            <w:noWrap/>
            <w:tcMar>
              <w:right w:w="85" w:type="dxa"/>
            </w:tcMar>
            <w:vAlign w:val="center"/>
            <w:hideMark/>
          </w:tcPr>
          <w:p w:rsidR="00F65BD4" w:rsidRPr="00947656" w:rsidRDefault="00F65BD4" w:rsidP="001E182A">
            <w:pPr>
              <w:widowControl/>
              <w:adjustRightInd/>
              <w:spacing w:line="320" w:lineRule="exact"/>
              <w:jc w:val="right"/>
              <w:textAlignment w:val="auto"/>
              <w:rPr>
                <w:sz w:val="16"/>
                <w:szCs w:val="16"/>
              </w:rPr>
            </w:pPr>
            <w:r w:rsidRPr="00947656">
              <w:rPr>
                <w:sz w:val="16"/>
                <w:szCs w:val="16"/>
              </w:rPr>
              <w:t>998</w:t>
            </w:r>
          </w:p>
        </w:tc>
        <w:tc>
          <w:tcPr>
            <w:tcW w:w="707" w:type="dxa"/>
            <w:tcBorders>
              <w:top w:val="nil"/>
              <w:left w:val="double" w:sz="6" w:space="0" w:color="C2D69B" w:themeColor="accent3" w:themeTint="99"/>
              <w:bottom w:val="nil"/>
              <w:right w:val="thinThickThinSmallGap" w:sz="24" w:space="0" w:color="C2D69B" w:themeColor="accent3" w:themeTint="99"/>
            </w:tcBorders>
            <w:shd w:val="clear" w:color="000000" w:fill="EAF1DD" w:themeFill="accent3" w:themeFillTint="33"/>
            <w:tcMar>
              <w:right w:w="113" w:type="dxa"/>
            </w:tcMar>
            <w:vAlign w:val="center"/>
          </w:tcPr>
          <w:p w:rsidR="00F65BD4" w:rsidRPr="00FF0F75" w:rsidRDefault="00F65BD4" w:rsidP="001E182A">
            <w:pPr>
              <w:spacing w:line="320" w:lineRule="exact"/>
              <w:jc w:val="right"/>
              <w:rPr>
                <w:color w:val="000000"/>
                <w:sz w:val="16"/>
                <w:szCs w:val="16"/>
              </w:rPr>
            </w:pPr>
            <w:r w:rsidRPr="00FF0F75">
              <w:rPr>
                <w:color w:val="000000"/>
                <w:sz w:val="16"/>
                <w:szCs w:val="16"/>
              </w:rPr>
              <w:t xml:space="preserve">1.4 </w:t>
            </w:r>
          </w:p>
        </w:tc>
        <w:tc>
          <w:tcPr>
            <w:tcW w:w="3117" w:type="dxa"/>
            <w:tcBorders>
              <w:top w:val="nil"/>
              <w:left w:val="thinThickThinSmallGap" w:sz="24" w:space="0" w:color="C2D69B" w:themeColor="accent3" w:themeTint="99"/>
              <w:bottom w:val="nil"/>
              <w:right w:val="double" w:sz="6" w:space="0" w:color="C2D69B" w:themeColor="accent3" w:themeTint="99"/>
            </w:tcBorders>
            <w:shd w:val="clear" w:color="000000" w:fill="EAF1DD" w:themeFill="accent3" w:themeFillTint="33"/>
            <w:noWrap/>
            <w:tcMar>
              <w:left w:w="85" w:type="dxa"/>
              <w:right w:w="28" w:type="dxa"/>
            </w:tcMar>
            <w:vAlign w:val="center"/>
            <w:hideMark/>
          </w:tcPr>
          <w:p w:rsidR="00F65BD4" w:rsidRPr="00947656" w:rsidRDefault="00F65BD4" w:rsidP="001E182A">
            <w:pPr>
              <w:widowControl/>
              <w:adjustRightInd/>
              <w:spacing w:line="320" w:lineRule="exact"/>
              <w:textAlignment w:val="auto"/>
              <w:rPr>
                <w:rFonts w:eastAsia="標楷體"/>
                <w:sz w:val="16"/>
                <w:szCs w:val="16"/>
              </w:rPr>
            </w:pPr>
            <w:r w:rsidRPr="006F1E9D">
              <w:rPr>
                <w:rFonts w:eastAsia="標楷體"/>
                <w:sz w:val="16"/>
                <w:szCs w:val="16"/>
              </w:rPr>
              <w:t>Generalized Autoimmune Syndrome</w:t>
            </w:r>
          </w:p>
        </w:tc>
        <w:tc>
          <w:tcPr>
            <w:tcW w:w="808" w:type="dxa"/>
            <w:tcBorders>
              <w:top w:val="nil"/>
              <w:left w:val="double" w:sz="6" w:space="0" w:color="C2D69B" w:themeColor="accent3" w:themeTint="99"/>
              <w:bottom w:val="nil"/>
              <w:right w:val="double" w:sz="6" w:space="0" w:color="C2D69B" w:themeColor="accent3" w:themeTint="99"/>
            </w:tcBorders>
            <w:shd w:val="clear" w:color="000000" w:fill="EAF1DD" w:themeFill="accent3" w:themeFillTint="33"/>
            <w:noWrap/>
            <w:tcMar>
              <w:right w:w="85" w:type="dxa"/>
            </w:tcMar>
            <w:vAlign w:val="center"/>
            <w:hideMark/>
          </w:tcPr>
          <w:p w:rsidR="00F65BD4" w:rsidRPr="00947656" w:rsidRDefault="00F65BD4" w:rsidP="001E182A">
            <w:pPr>
              <w:widowControl/>
              <w:adjustRightInd/>
              <w:spacing w:line="320" w:lineRule="exact"/>
              <w:jc w:val="right"/>
              <w:textAlignment w:val="auto"/>
              <w:rPr>
                <w:sz w:val="16"/>
                <w:szCs w:val="16"/>
              </w:rPr>
            </w:pPr>
            <w:r w:rsidRPr="00947656">
              <w:rPr>
                <w:sz w:val="16"/>
                <w:szCs w:val="16"/>
              </w:rPr>
              <w:t>300,880</w:t>
            </w:r>
          </w:p>
        </w:tc>
        <w:tc>
          <w:tcPr>
            <w:tcW w:w="759" w:type="dxa"/>
            <w:tcBorders>
              <w:top w:val="nil"/>
              <w:left w:val="double" w:sz="6" w:space="0" w:color="C2D69B" w:themeColor="accent3" w:themeTint="99"/>
              <w:bottom w:val="nil"/>
              <w:right w:val="thinThickSmallGap" w:sz="24" w:space="0" w:color="C2D69B" w:themeColor="accent3" w:themeTint="99"/>
            </w:tcBorders>
            <w:shd w:val="clear" w:color="000000" w:fill="EAF1DD" w:themeFill="accent3" w:themeFillTint="33"/>
            <w:tcMar>
              <w:right w:w="0" w:type="dxa"/>
            </w:tcMar>
            <w:vAlign w:val="center"/>
          </w:tcPr>
          <w:p w:rsidR="00F65BD4" w:rsidRPr="00E91ADA" w:rsidRDefault="00F65BD4" w:rsidP="006852DB">
            <w:pPr>
              <w:spacing w:line="320" w:lineRule="exact"/>
              <w:jc w:val="center"/>
              <w:rPr>
                <w:color w:val="000000"/>
                <w:sz w:val="16"/>
                <w:szCs w:val="16"/>
              </w:rPr>
            </w:pPr>
            <w:r w:rsidRPr="00E91ADA">
              <w:rPr>
                <w:color w:val="000000"/>
                <w:sz w:val="16"/>
                <w:szCs w:val="16"/>
              </w:rPr>
              <w:t>1.3</w:t>
            </w:r>
          </w:p>
        </w:tc>
      </w:tr>
      <w:tr w:rsidR="00F65BD4" w:rsidRPr="00947656" w:rsidTr="006852DB">
        <w:trPr>
          <w:trHeight w:val="567"/>
        </w:trPr>
        <w:tc>
          <w:tcPr>
            <w:tcW w:w="428" w:type="dxa"/>
            <w:tcBorders>
              <w:top w:val="nil"/>
              <w:left w:val="thickThinSmallGap" w:sz="24" w:space="0" w:color="C2D69B" w:themeColor="accent3" w:themeTint="99"/>
              <w:right w:val="double" w:sz="6" w:space="0" w:color="C2D69B" w:themeColor="accent3" w:themeTint="99"/>
            </w:tcBorders>
            <w:shd w:val="clear" w:color="000000" w:fill="EAF1DD" w:themeFill="accent3" w:themeFillTint="33"/>
            <w:vAlign w:val="center"/>
          </w:tcPr>
          <w:p w:rsidR="00F65BD4" w:rsidRPr="008E5831" w:rsidRDefault="00F65BD4" w:rsidP="00F65BD4">
            <w:pPr>
              <w:widowControl/>
              <w:adjustRightInd/>
              <w:spacing w:line="320" w:lineRule="exact"/>
              <w:jc w:val="center"/>
              <w:textAlignment w:val="auto"/>
              <w:rPr>
                <w:rFonts w:eastAsia="標楷體"/>
                <w:sz w:val="16"/>
                <w:szCs w:val="16"/>
              </w:rPr>
            </w:pPr>
            <w:r w:rsidRPr="008E5831">
              <w:rPr>
                <w:rFonts w:eastAsia="標楷體"/>
                <w:sz w:val="16"/>
                <w:szCs w:val="16"/>
              </w:rPr>
              <w:t>9</w:t>
            </w:r>
          </w:p>
        </w:tc>
        <w:tc>
          <w:tcPr>
            <w:tcW w:w="2640" w:type="dxa"/>
            <w:tcBorders>
              <w:top w:val="nil"/>
              <w:left w:val="thickThinSmallGap" w:sz="24" w:space="0" w:color="C2D69B" w:themeColor="accent3" w:themeTint="99"/>
              <w:right w:val="double" w:sz="6" w:space="0" w:color="C2D69B" w:themeColor="accent3" w:themeTint="99"/>
            </w:tcBorders>
            <w:shd w:val="clear" w:color="000000" w:fill="EAF1DD" w:themeFill="accent3" w:themeFillTint="33"/>
            <w:noWrap/>
            <w:tcMar>
              <w:left w:w="85" w:type="dxa"/>
              <w:right w:w="85" w:type="dxa"/>
            </w:tcMar>
            <w:vAlign w:val="center"/>
            <w:hideMark/>
          </w:tcPr>
          <w:p w:rsidR="00F65BD4" w:rsidRPr="006F1E9D" w:rsidRDefault="00F65BD4" w:rsidP="00FE236C">
            <w:pPr>
              <w:snapToGrid w:val="0"/>
              <w:spacing w:line="200" w:lineRule="exact"/>
              <w:rPr>
                <w:rFonts w:eastAsia="標楷體"/>
                <w:color w:val="000000"/>
                <w:sz w:val="16"/>
                <w:szCs w:val="16"/>
              </w:rPr>
            </w:pPr>
            <w:r w:rsidRPr="006F1E9D">
              <w:rPr>
                <w:rFonts w:eastAsia="標楷體"/>
                <w:color w:val="000000"/>
                <w:sz w:val="16"/>
                <w:szCs w:val="16"/>
              </w:rPr>
              <w:t xml:space="preserve">Malformation and </w:t>
            </w:r>
            <w:r w:rsidRPr="006F1E9D">
              <w:rPr>
                <w:rFonts w:eastAsia="標楷體" w:hint="eastAsia"/>
                <w:color w:val="000000"/>
                <w:sz w:val="16"/>
                <w:szCs w:val="16"/>
              </w:rPr>
              <w:t>c</w:t>
            </w:r>
            <w:r w:rsidRPr="006F1E9D">
              <w:rPr>
                <w:rFonts w:eastAsia="標楷體"/>
                <w:color w:val="000000"/>
                <w:sz w:val="16"/>
                <w:szCs w:val="16"/>
              </w:rPr>
              <w:t>hromosomal</w:t>
            </w:r>
            <w:r w:rsidRPr="006F1E9D">
              <w:rPr>
                <w:rFonts w:eastAsia="標楷體" w:hint="eastAsia"/>
                <w:color w:val="000000"/>
                <w:sz w:val="16"/>
                <w:szCs w:val="16"/>
              </w:rPr>
              <w:t xml:space="preserve"> </w:t>
            </w:r>
            <w:r w:rsidRPr="006F1E9D">
              <w:rPr>
                <w:rFonts w:eastAsia="標楷體"/>
                <w:color w:val="000000"/>
                <w:sz w:val="16"/>
                <w:szCs w:val="16"/>
              </w:rPr>
              <w:t>abnormalities</w:t>
            </w:r>
          </w:p>
        </w:tc>
        <w:tc>
          <w:tcPr>
            <w:tcW w:w="762" w:type="dxa"/>
            <w:tcBorders>
              <w:top w:val="nil"/>
              <w:left w:val="double" w:sz="6" w:space="0" w:color="C2D69B" w:themeColor="accent3" w:themeTint="99"/>
              <w:right w:val="double" w:sz="6" w:space="0" w:color="C2D69B" w:themeColor="accent3" w:themeTint="99"/>
            </w:tcBorders>
            <w:shd w:val="clear" w:color="000000" w:fill="EAF1DD" w:themeFill="accent3" w:themeFillTint="33"/>
            <w:noWrap/>
            <w:tcMar>
              <w:right w:w="85" w:type="dxa"/>
            </w:tcMar>
            <w:vAlign w:val="center"/>
            <w:hideMark/>
          </w:tcPr>
          <w:p w:rsidR="00F65BD4" w:rsidRPr="00947656" w:rsidRDefault="00F65BD4" w:rsidP="001E182A">
            <w:pPr>
              <w:widowControl/>
              <w:adjustRightInd/>
              <w:spacing w:line="320" w:lineRule="exact"/>
              <w:jc w:val="right"/>
              <w:textAlignment w:val="auto"/>
              <w:rPr>
                <w:sz w:val="16"/>
                <w:szCs w:val="16"/>
              </w:rPr>
            </w:pPr>
            <w:r w:rsidRPr="00947656">
              <w:rPr>
                <w:sz w:val="16"/>
                <w:szCs w:val="16"/>
              </w:rPr>
              <w:t>878</w:t>
            </w:r>
          </w:p>
        </w:tc>
        <w:tc>
          <w:tcPr>
            <w:tcW w:w="707" w:type="dxa"/>
            <w:tcBorders>
              <w:top w:val="nil"/>
              <w:left w:val="double" w:sz="6" w:space="0" w:color="C2D69B" w:themeColor="accent3" w:themeTint="99"/>
              <w:right w:val="thinThickThinSmallGap" w:sz="24" w:space="0" w:color="C2D69B" w:themeColor="accent3" w:themeTint="99"/>
            </w:tcBorders>
            <w:shd w:val="clear" w:color="000000" w:fill="EAF1DD" w:themeFill="accent3" w:themeFillTint="33"/>
            <w:tcMar>
              <w:right w:w="113" w:type="dxa"/>
            </w:tcMar>
            <w:vAlign w:val="center"/>
          </w:tcPr>
          <w:p w:rsidR="00F65BD4" w:rsidRPr="00FF0F75" w:rsidRDefault="00F65BD4" w:rsidP="001E182A">
            <w:pPr>
              <w:spacing w:line="320" w:lineRule="exact"/>
              <w:jc w:val="right"/>
              <w:rPr>
                <w:color w:val="000000"/>
                <w:sz w:val="16"/>
                <w:szCs w:val="16"/>
              </w:rPr>
            </w:pPr>
            <w:r w:rsidRPr="00FF0F75">
              <w:rPr>
                <w:color w:val="000000"/>
                <w:sz w:val="16"/>
                <w:szCs w:val="16"/>
              </w:rPr>
              <w:t xml:space="preserve">1.2 </w:t>
            </w:r>
          </w:p>
        </w:tc>
        <w:tc>
          <w:tcPr>
            <w:tcW w:w="3117" w:type="dxa"/>
            <w:tcBorders>
              <w:top w:val="nil"/>
              <w:left w:val="thinThickThinSmallGap" w:sz="24" w:space="0" w:color="C2D69B" w:themeColor="accent3" w:themeTint="99"/>
              <w:right w:val="double" w:sz="6" w:space="0" w:color="C2D69B" w:themeColor="accent3" w:themeTint="99"/>
            </w:tcBorders>
            <w:shd w:val="clear" w:color="000000" w:fill="EAF1DD" w:themeFill="accent3" w:themeFillTint="33"/>
            <w:noWrap/>
            <w:tcMar>
              <w:left w:w="85" w:type="dxa"/>
              <w:right w:w="28" w:type="dxa"/>
            </w:tcMar>
            <w:vAlign w:val="center"/>
            <w:hideMark/>
          </w:tcPr>
          <w:p w:rsidR="00F65BD4" w:rsidRPr="00947656" w:rsidRDefault="00F65BD4" w:rsidP="001E182A">
            <w:pPr>
              <w:widowControl/>
              <w:adjustRightInd/>
              <w:spacing w:line="320" w:lineRule="exact"/>
              <w:textAlignment w:val="auto"/>
              <w:rPr>
                <w:rFonts w:eastAsia="標楷體"/>
                <w:sz w:val="16"/>
                <w:szCs w:val="16"/>
              </w:rPr>
            </w:pPr>
            <w:proofErr w:type="spellStart"/>
            <w:r w:rsidRPr="006F1E9D">
              <w:rPr>
                <w:rFonts w:eastAsia="標楷體"/>
                <w:sz w:val="16"/>
                <w:szCs w:val="16"/>
              </w:rPr>
              <w:t>Creutzfeldt</w:t>
            </w:r>
            <w:proofErr w:type="spellEnd"/>
            <w:r w:rsidRPr="006F1E9D">
              <w:rPr>
                <w:rFonts w:eastAsia="標楷體" w:hint="eastAsia"/>
                <w:sz w:val="16"/>
                <w:szCs w:val="16"/>
              </w:rPr>
              <w:t xml:space="preserve"> </w:t>
            </w:r>
            <w:proofErr w:type="spellStart"/>
            <w:r w:rsidRPr="006F1E9D">
              <w:rPr>
                <w:rFonts w:eastAsia="標楷體"/>
                <w:sz w:val="16"/>
                <w:szCs w:val="16"/>
              </w:rPr>
              <w:t>Jakob</w:t>
            </w:r>
            <w:proofErr w:type="spellEnd"/>
            <w:r w:rsidRPr="006F1E9D">
              <w:rPr>
                <w:rFonts w:eastAsia="標楷體"/>
                <w:sz w:val="16"/>
                <w:szCs w:val="16"/>
              </w:rPr>
              <w:t xml:space="preserve"> disease</w:t>
            </w:r>
          </w:p>
        </w:tc>
        <w:tc>
          <w:tcPr>
            <w:tcW w:w="808" w:type="dxa"/>
            <w:tcBorders>
              <w:top w:val="nil"/>
              <w:left w:val="double" w:sz="6" w:space="0" w:color="C2D69B" w:themeColor="accent3" w:themeTint="99"/>
              <w:right w:val="double" w:sz="6" w:space="0" w:color="C2D69B" w:themeColor="accent3" w:themeTint="99"/>
            </w:tcBorders>
            <w:shd w:val="clear" w:color="000000" w:fill="EAF1DD" w:themeFill="accent3" w:themeFillTint="33"/>
            <w:noWrap/>
            <w:tcMar>
              <w:right w:w="85" w:type="dxa"/>
            </w:tcMar>
            <w:vAlign w:val="center"/>
            <w:hideMark/>
          </w:tcPr>
          <w:p w:rsidR="00F65BD4" w:rsidRPr="00947656" w:rsidRDefault="00F65BD4" w:rsidP="001E182A">
            <w:pPr>
              <w:widowControl/>
              <w:adjustRightInd/>
              <w:spacing w:line="320" w:lineRule="exact"/>
              <w:jc w:val="right"/>
              <w:textAlignment w:val="auto"/>
              <w:rPr>
                <w:sz w:val="16"/>
                <w:szCs w:val="16"/>
              </w:rPr>
            </w:pPr>
            <w:r w:rsidRPr="00947656">
              <w:rPr>
                <w:sz w:val="16"/>
                <w:szCs w:val="16"/>
              </w:rPr>
              <w:t>293,658</w:t>
            </w:r>
          </w:p>
        </w:tc>
        <w:tc>
          <w:tcPr>
            <w:tcW w:w="759" w:type="dxa"/>
            <w:tcBorders>
              <w:top w:val="nil"/>
              <w:left w:val="double" w:sz="6" w:space="0" w:color="C2D69B" w:themeColor="accent3" w:themeTint="99"/>
              <w:right w:val="thinThickSmallGap" w:sz="24" w:space="0" w:color="C2D69B" w:themeColor="accent3" w:themeTint="99"/>
            </w:tcBorders>
            <w:shd w:val="clear" w:color="000000" w:fill="EAF1DD" w:themeFill="accent3" w:themeFillTint="33"/>
            <w:tcMar>
              <w:right w:w="0" w:type="dxa"/>
            </w:tcMar>
            <w:vAlign w:val="center"/>
          </w:tcPr>
          <w:p w:rsidR="00F65BD4" w:rsidRPr="00E91ADA" w:rsidRDefault="00F65BD4" w:rsidP="006852DB">
            <w:pPr>
              <w:spacing w:line="320" w:lineRule="exact"/>
              <w:jc w:val="center"/>
              <w:rPr>
                <w:color w:val="000000"/>
                <w:sz w:val="16"/>
                <w:szCs w:val="16"/>
              </w:rPr>
            </w:pPr>
            <w:r w:rsidRPr="00E91ADA">
              <w:rPr>
                <w:color w:val="000000"/>
                <w:sz w:val="16"/>
                <w:szCs w:val="16"/>
              </w:rPr>
              <w:t>1.2</w:t>
            </w:r>
          </w:p>
        </w:tc>
      </w:tr>
      <w:tr w:rsidR="00F65BD4" w:rsidRPr="00947656" w:rsidTr="006852DB">
        <w:trPr>
          <w:trHeight w:val="283"/>
        </w:trPr>
        <w:tc>
          <w:tcPr>
            <w:tcW w:w="428" w:type="dxa"/>
            <w:tcBorders>
              <w:top w:val="nil"/>
              <w:left w:val="thickThinSmallGap" w:sz="24" w:space="0" w:color="C2D69B" w:themeColor="accent3" w:themeTint="99"/>
              <w:bottom w:val="thinThickSmallGap" w:sz="24" w:space="0" w:color="C2D69B" w:themeColor="accent3" w:themeTint="99"/>
              <w:right w:val="double" w:sz="6" w:space="0" w:color="C2D69B" w:themeColor="accent3" w:themeTint="99"/>
            </w:tcBorders>
            <w:shd w:val="clear" w:color="000000" w:fill="EAF1DD" w:themeFill="accent3" w:themeFillTint="33"/>
            <w:vAlign w:val="center"/>
          </w:tcPr>
          <w:p w:rsidR="00F65BD4" w:rsidRPr="008E5831" w:rsidRDefault="00F65BD4" w:rsidP="00F65BD4">
            <w:pPr>
              <w:widowControl/>
              <w:adjustRightInd/>
              <w:spacing w:line="320" w:lineRule="exact"/>
              <w:jc w:val="center"/>
              <w:textAlignment w:val="auto"/>
              <w:rPr>
                <w:rFonts w:eastAsia="標楷體"/>
                <w:sz w:val="16"/>
                <w:szCs w:val="16"/>
              </w:rPr>
            </w:pPr>
            <w:r w:rsidRPr="008E5831">
              <w:rPr>
                <w:rFonts w:eastAsia="標楷體"/>
                <w:sz w:val="16"/>
                <w:szCs w:val="16"/>
              </w:rPr>
              <w:t>10</w:t>
            </w:r>
          </w:p>
        </w:tc>
        <w:tc>
          <w:tcPr>
            <w:tcW w:w="2640" w:type="dxa"/>
            <w:tcBorders>
              <w:top w:val="nil"/>
              <w:left w:val="thickThinSmallGap" w:sz="24" w:space="0" w:color="C2D69B" w:themeColor="accent3" w:themeTint="99"/>
              <w:bottom w:val="thinThickSmallGap" w:sz="24" w:space="0" w:color="C2D69B" w:themeColor="accent3" w:themeTint="99"/>
              <w:right w:val="double" w:sz="6" w:space="0" w:color="C2D69B" w:themeColor="accent3" w:themeTint="99"/>
            </w:tcBorders>
            <w:shd w:val="clear" w:color="000000" w:fill="EAF1DD" w:themeFill="accent3" w:themeFillTint="33"/>
            <w:noWrap/>
            <w:tcMar>
              <w:left w:w="85" w:type="dxa"/>
              <w:right w:w="85" w:type="dxa"/>
            </w:tcMar>
            <w:vAlign w:val="center"/>
            <w:hideMark/>
          </w:tcPr>
          <w:p w:rsidR="00F65BD4" w:rsidRPr="006F1E9D" w:rsidRDefault="00F65BD4" w:rsidP="001E182A">
            <w:pPr>
              <w:snapToGrid w:val="0"/>
              <w:spacing w:line="320" w:lineRule="exact"/>
              <w:rPr>
                <w:rFonts w:eastAsia="標楷體"/>
                <w:color w:val="000000"/>
                <w:sz w:val="16"/>
                <w:szCs w:val="16"/>
              </w:rPr>
            </w:pPr>
            <w:r w:rsidRPr="006F1E9D">
              <w:rPr>
                <w:rFonts w:eastAsia="標楷體"/>
                <w:color w:val="000000"/>
                <w:sz w:val="16"/>
                <w:szCs w:val="16"/>
              </w:rPr>
              <w:t>Organ transplants</w:t>
            </w:r>
          </w:p>
        </w:tc>
        <w:tc>
          <w:tcPr>
            <w:tcW w:w="762" w:type="dxa"/>
            <w:tcBorders>
              <w:top w:val="nil"/>
              <w:left w:val="double" w:sz="6" w:space="0" w:color="C2D69B" w:themeColor="accent3" w:themeTint="99"/>
              <w:bottom w:val="thinThickSmallGap" w:sz="24" w:space="0" w:color="C2D69B" w:themeColor="accent3" w:themeTint="99"/>
              <w:right w:val="double" w:sz="6" w:space="0" w:color="C2D69B" w:themeColor="accent3" w:themeTint="99"/>
            </w:tcBorders>
            <w:shd w:val="clear" w:color="000000" w:fill="EAF1DD" w:themeFill="accent3" w:themeFillTint="33"/>
            <w:noWrap/>
            <w:tcMar>
              <w:right w:w="85" w:type="dxa"/>
            </w:tcMar>
            <w:vAlign w:val="center"/>
            <w:hideMark/>
          </w:tcPr>
          <w:p w:rsidR="00F65BD4" w:rsidRPr="00947656" w:rsidRDefault="00F65BD4" w:rsidP="001E182A">
            <w:pPr>
              <w:widowControl/>
              <w:adjustRightInd/>
              <w:spacing w:line="320" w:lineRule="exact"/>
              <w:jc w:val="right"/>
              <w:textAlignment w:val="auto"/>
              <w:rPr>
                <w:sz w:val="16"/>
                <w:szCs w:val="16"/>
              </w:rPr>
            </w:pPr>
            <w:r w:rsidRPr="00947656">
              <w:rPr>
                <w:sz w:val="16"/>
                <w:szCs w:val="16"/>
              </w:rPr>
              <w:t>607</w:t>
            </w:r>
          </w:p>
        </w:tc>
        <w:tc>
          <w:tcPr>
            <w:tcW w:w="707" w:type="dxa"/>
            <w:tcBorders>
              <w:top w:val="nil"/>
              <w:left w:val="double" w:sz="6" w:space="0" w:color="C2D69B" w:themeColor="accent3" w:themeTint="99"/>
              <w:bottom w:val="thinThickSmallGap" w:sz="24" w:space="0" w:color="C2D69B" w:themeColor="accent3" w:themeTint="99"/>
              <w:right w:val="thinThickThinSmallGap" w:sz="24" w:space="0" w:color="C2D69B" w:themeColor="accent3" w:themeTint="99"/>
            </w:tcBorders>
            <w:shd w:val="clear" w:color="000000" w:fill="EAF1DD" w:themeFill="accent3" w:themeFillTint="33"/>
            <w:tcMar>
              <w:right w:w="113" w:type="dxa"/>
            </w:tcMar>
            <w:vAlign w:val="center"/>
          </w:tcPr>
          <w:p w:rsidR="00F65BD4" w:rsidRPr="00FF0F75" w:rsidRDefault="00F65BD4" w:rsidP="001E182A">
            <w:pPr>
              <w:spacing w:line="320" w:lineRule="exact"/>
              <w:jc w:val="right"/>
              <w:rPr>
                <w:color w:val="000000"/>
                <w:sz w:val="16"/>
                <w:szCs w:val="16"/>
              </w:rPr>
            </w:pPr>
            <w:r w:rsidRPr="00FF0F75">
              <w:rPr>
                <w:color w:val="000000"/>
                <w:sz w:val="16"/>
                <w:szCs w:val="16"/>
              </w:rPr>
              <w:t xml:space="preserve">0.9 </w:t>
            </w:r>
          </w:p>
        </w:tc>
        <w:tc>
          <w:tcPr>
            <w:tcW w:w="3117" w:type="dxa"/>
            <w:tcBorders>
              <w:top w:val="nil"/>
              <w:left w:val="thinThickThinSmallGap" w:sz="24" w:space="0" w:color="C2D69B" w:themeColor="accent3" w:themeTint="99"/>
              <w:bottom w:val="thinThickSmallGap" w:sz="24" w:space="0" w:color="C2D69B" w:themeColor="accent3" w:themeTint="99"/>
              <w:right w:val="double" w:sz="6" w:space="0" w:color="C2D69B" w:themeColor="accent3" w:themeTint="99"/>
            </w:tcBorders>
            <w:shd w:val="clear" w:color="000000" w:fill="EAF1DD" w:themeFill="accent3" w:themeFillTint="33"/>
            <w:noWrap/>
            <w:tcMar>
              <w:left w:w="85" w:type="dxa"/>
              <w:right w:w="28" w:type="dxa"/>
            </w:tcMar>
            <w:vAlign w:val="center"/>
            <w:hideMark/>
          </w:tcPr>
          <w:p w:rsidR="00F65BD4" w:rsidRPr="00947656" w:rsidRDefault="00F65BD4" w:rsidP="001E182A">
            <w:pPr>
              <w:widowControl/>
              <w:adjustRightInd/>
              <w:spacing w:line="320" w:lineRule="exact"/>
              <w:textAlignment w:val="auto"/>
              <w:rPr>
                <w:rFonts w:eastAsia="標楷體"/>
                <w:sz w:val="16"/>
                <w:szCs w:val="16"/>
              </w:rPr>
            </w:pPr>
            <w:r>
              <w:rPr>
                <w:rFonts w:eastAsia="標楷體" w:hint="eastAsia"/>
                <w:sz w:val="16"/>
                <w:szCs w:val="16"/>
              </w:rPr>
              <w:t>Leprosy</w:t>
            </w:r>
          </w:p>
        </w:tc>
        <w:tc>
          <w:tcPr>
            <w:tcW w:w="808" w:type="dxa"/>
            <w:tcBorders>
              <w:top w:val="nil"/>
              <w:left w:val="double" w:sz="6" w:space="0" w:color="C2D69B" w:themeColor="accent3" w:themeTint="99"/>
              <w:bottom w:val="thinThickSmallGap" w:sz="24" w:space="0" w:color="C2D69B" w:themeColor="accent3" w:themeTint="99"/>
              <w:right w:val="double" w:sz="6" w:space="0" w:color="C2D69B" w:themeColor="accent3" w:themeTint="99"/>
            </w:tcBorders>
            <w:shd w:val="clear" w:color="000000" w:fill="EAF1DD" w:themeFill="accent3" w:themeFillTint="33"/>
            <w:noWrap/>
            <w:tcMar>
              <w:right w:w="85" w:type="dxa"/>
            </w:tcMar>
            <w:vAlign w:val="center"/>
            <w:hideMark/>
          </w:tcPr>
          <w:p w:rsidR="00F65BD4" w:rsidRPr="00947656" w:rsidRDefault="00F65BD4" w:rsidP="001E182A">
            <w:pPr>
              <w:widowControl/>
              <w:adjustRightInd/>
              <w:spacing w:line="320" w:lineRule="exact"/>
              <w:jc w:val="right"/>
              <w:textAlignment w:val="auto"/>
              <w:rPr>
                <w:sz w:val="16"/>
                <w:szCs w:val="16"/>
              </w:rPr>
            </w:pPr>
            <w:r w:rsidRPr="00947656">
              <w:rPr>
                <w:sz w:val="16"/>
                <w:szCs w:val="16"/>
              </w:rPr>
              <w:t>273,823</w:t>
            </w:r>
          </w:p>
        </w:tc>
        <w:tc>
          <w:tcPr>
            <w:tcW w:w="759" w:type="dxa"/>
            <w:tcBorders>
              <w:top w:val="nil"/>
              <w:left w:val="double" w:sz="6" w:space="0" w:color="C2D69B" w:themeColor="accent3" w:themeTint="99"/>
              <w:bottom w:val="thinThickSmallGap" w:sz="24" w:space="0" w:color="C2D69B" w:themeColor="accent3" w:themeTint="99"/>
              <w:right w:val="thinThickSmallGap" w:sz="24" w:space="0" w:color="C2D69B" w:themeColor="accent3" w:themeTint="99"/>
            </w:tcBorders>
            <w:shd w:val="clear" w:color="000000" w:fill="EAF1DD" w:themeFill="accent3" w:themeFillTint="33"/>
            <w:tcMar>
              <w:right w:w="0" w:type="dxa"/>
            </w:tcMar>
            <w:vAlign w:val="center"/>
          </w:tcPr>
          <w:p w:rsidR="00F65BD4" w:rsidRPr="00E91ADA" w:rsidRDefault="00F65BD4" w:rsidP="006852DB">
            <w:pPr>
              <w:spacing w:line="320" w:lineRule="exact"/>
              <w:jc w:val="center"/>
              <w:rPr>
                <w:color w:val="000000"/>
                <w:sz w:val="16"/>
                <w:szCs w:val="16"/>
              </w:rPr>
            </w:pPr>
            <w:r w:rsidRPr="00E91ADA">
              <w:rPr>
                <w:color w:val="000000"/>
                <w:sz w:val="16"/>
                <w:szCs w:val="16"/>
              </w:rPr>
              <w:t>1.1</w:t>
            </w:r>
          </w:p>
        </w:tc>
      </w:tr>
    </w:tbl>
    <w:p w:rsidR="00FC0D55" w:rsidRPr="00947656" w:rsidRDefault="00FC0D55" w:rsidP="00730DFA">
      <w:pPr>
        <w:pStyle w:val="a5"/>
        <w:spacing w:beforeLines="100" w:after="120"/>
        <w:ind w:leftChars="119" w:left="624" w:hangingChars="130" w:hanging="338"/>
        <w:jc w:val="both"/>
        <w:rPr>
          <w:rFonts w:eastAsia="標楷體"/>
          <w:b/>
          <w:sz w:val="26"/>
          <w:szCs w:val="26"/>
        </w:rPr>
      </w:pPr>
      <w:r w:rsidRPr="00947656">
        <w:rPr>
          <w:rFonts w:eastAsia="標楷體"/>
          <w:b/>
          <w:sz w:val="26"/>
          <w:szCs w:val="26"/>
        </w:rPr>
        <w:lastRenderedPageBreak/>
        <w:t>c.</w:t>
      </w:r>
      <w:r w:rsidR="00F8528D" w:rsidRPr="00F8528D">
        <w:rPr>
          <w:b/>
          <w:bCs/>
          <w:sz w:val="26"/>
          <w:szCs w:val="26"/>
        </w:rPr>
        <w:t xml:space="preserve"> </w:t>
      </w:r>
      <w:r w:rsidR="00E55EC5">
        <w:rPr>
          <w:rFonts w:hint="eastAsia"/>
          <w:b/>
          <w:bCs/>
          <w:sz w:val="26"/>
          <w:szCs w:val="26"/>
        </w:rPr>
        <w:t>Medical c</w:t>
      </w:r>
      <w:r w:rsidR="00F8528D" w:rsidRPr="009B2815">
        <w:rPr>
          <w:b/>
          <w:bCs/>
          <w:sz w:val="26"/>
          <w:szCs w:val="26"/>
        </w:rPr>
        <w:t>laims by males were slightly higher than those by females.</w:t>
      </w:r>
    </w:p>
    <w:p w:rsidR="0027265B" w:rsidRDefault="00F8528D" w:rsidP="007227ED">
      <w:pPr>
        <w:pStyle w:val="a5"/>
        <w:spacing w:after="240" w:line="440" w:lineRule="atLeast"/>
        <w:ind w:leftChars="236" w:left="566" w:firstLineChars="218" w:firstLine="567"/>
        <w:jc w:val="both"/>
        <w:rPr>
          <w:sz w:val="26"/>
          <w:szCs w:val="26"/>
        </w:rPr>
      </w:pPr>
      <w:r w:rsidRPr="009B2815">
        <w:rPr>
          <w:sz w:val="26"/>
          <w:szCs w:val="26"/>
        </w:rPr>
        <w:t xml:space="preserve">In 2011, the total inpatient claims on major illness/injury filed by males amounted to 40 billion RVU, a 3.6% increase from the previous year. The claims from females amounted to 30 billion RVU, an increase of 2.9% from the previous year. Cancer held the highest claims for both genders, respectively accounted for 44.7% and 41.5%. The claims filed by </w:t>
      </w:r>
      <w:r w:rsidR="00F21FB9">
        <w:rPr>
          <w:rFonts w:hint="eastAsia"/>
          <w:sz w:val="26"/>
          <w:szCs w:val="26"/>
        </w:rPr>
        <w:t>d</w:t>
      </w:r>
      <w:r w:rsidR="00F21FB9" w:rsidRPr="00F21FB9">
        <w:rPr>
          <w:sz w:val="26"/>
          <w:szCs w:val="26"/>
        </w:rPr>
        <w:t>ependence on respirator</w:t>
      </w:r>
      <w:r w:rsidRPr="009B2815">
        <w:rPr>
          <w:sz w:val="26"/>
          <w:szCs w:val="26"/>
        </w:rPr>
        <w:t xml:space="preserve"> ranked the second, respectively accounted for 20.9% and 22.7%. The third highest was the </w:t>
      </w:r>
      <w:r w:rsidR="00F21FB9">
        <w:rPr>
          <w:rFonts w:hint="eastAsia"/>
          <w:sz w:val="26"/>
          <w:szCs w:val="26"/>
        </w:rPr>
        <w:t>c</w:t>
      </w:r>
      <w:r w:rsidR="00F21FB9" w:rsidRPr="00F21FB9">
        <w:rPr>
          <w:sz w:val="26"/>
          <w:szCs w:val="26"/>
        </w:rPr>
        <w:t>hronic psychiatric disorder</w:t>
      </w:r>
      <w:r w:rsidRPr="009B2815">
        <w:rPr>
          <w:sz w:val="26"/>
          <w:szCs w:val="26"/>
        </w:rPr>
        <w:t>, representing 11.9% and 12.9% respectively.</w:t>
      </w:r>
    </w:p>
    <w:tbl>
      <w:tblPr>
        <w:tblW w:w="8369" w:type="dxa"/>
        <w:tblInd w:w="879" w:type="dxa"/>
        <w:tblCellMar>
          <w:left w:w="28" w:type="dxa"/>
          <w:right w:w="28" w:type="dxa"/>
        </w:tblCellMar>
        <w:tblLook w:val="04A0"/>
      </w:tblPr>
      <w:tblGrid>
        <w:gridCol w:w="3212"/>
        <w:gridCol w:w="946"/>
        <w:gridCol w:w="3258"/>
        <w:gridCol w:w="953"/>
      </w:tblGrid>
      <w:tr w:rsidR="00C934AF" w:rsidRPr="00947656" w:rsidTr="00DF4978">
        <w:trPr>
          <w:trHeight w:val="330"/>
        </w:trPr>
        <w:tc>
          <w:tcPr>
            <w:tcW w:w="8369" w:type="dxa"/>
            <w:gridSpan w:val="4"/>
            <w:tcBorders>
              <w:top w:val="nil"/>
              <w:left w:val="nil"/>
              <w:bottom w:val="nil"/>
              <w:right w:val="nil"/>
            </w:tcBorders>
            <w:shd w:val="clear" w:color="auto" w:fill="auto"/>
            <w:noWrap/>
            <w:vAlign w:val="bottom"/>
            <w:hideMark/>
          </w:tcPr>
          <w:p w:rsidR="00C934AF" w:rsidRPr="00947656" w:rsidRDefault="0027265B" w:rsidP="00730DFA">
            <w:pPr>
              <w:widowControl/>
              <w:adjustRightInd/>
              <w:spacing w:beforeLines="50" w:afterLines="25" w:line="240" w:lineRule="auto"/>
              <w:jc w:val="center"/>
              <w:textAlignment w:val="auto"/>
              <w:rPr>
                <w:rFonts w:eastAsia="標楷體"/>
                <w:sz w:val="20"/>
              </w:rPr>
            </w:pPr>
            <w:r>
              <w:rPr>
                <w:sz w:val="26"/>
                <w:szCs w:val="26"/>
              </w:rPr>
              <w:br w:type="page"/>
            </w:r>
            <w:r w:rsidR="00B23CDD">
              <w:rPr>
                <w:rFonts w:eastAsia="標楷體" w:hint="eastAsia"/>
                <w:sz w:val="20"/>
              </w:rPr>
              <w:t xml:space="preserve">Table </w:t>
            </w:r>
            <w:r w:rsidR="00C63595" w:rsidRPr="00947656">
              <w:rPr>
                <w:rFonts w:eastAsia="標楷體"/>
                <w:sz w:val="20"/>
              </w:rPr>
              <w:t xml:space="preserve">5  </w:t>
            </w:r>
            <w:r w:rsidR="00B23CDD">
              <w:rPr>
                <w:rFonts w:eastAsia="標楷體" w:hint="eastAsia"/>
                <w:sz w:val="20"/>
              </w:rPr>
              <w:t>Top 10 Inpatient Major Illness/Injury in 2011 by Gender</w:t>
            </w:r>
          </w:p>
        </w:tc>
      </w:tr>
      <w:tr w:rsidR="006F1E9D" w:rsidRPr="00947656" w:rsidTr="00DF4978">
        <w:trPr>
          <w:trHeight w:val="345"/>
        </w:trPr>
        <w:tc>
          <w:tcPr>
            <w:tcW w:w="3212" w:type="dxa"/>
            <w:tcBorders>
              <w:top w:val="thickThinSmallGap" w:sz="24" w:space="0" w:color="C2D69B" w:themeColor="accent3" w:themeTint="99"/>
              <w:left w:val="thickThinSmallGap" w:sz="24" w:space="0" w:color="C2D69B" w:themeColor="accent3" w:themeTint="99"/>
              <w:bottom w:val="thinThickSmallGap" w:sz="24" w:space="0" w:color="C2D69B" w:themeColor="accent3" w:themeTint="99"/>
              <w:right w:val="double" w:sz="6" w:space="0" w:color="C2D69B" w:themeColor="accent3" w:themeTint="99"/>
            </w:tcBorders>
            <w:shd w:val="clear" w:color="auto" w:fill="E9F0DC"/>
            <w:noWrap/>
            <w:vAlign w:val="center"/>
            <w:hideMark/>
          </w:tcPr>
          <w:p w:rsidR="006F1E9D" w:rsidRPr="00947656" w:rsidRDefault="006F1E9D" w:rsidP="006F1E9D">
            <w:pPr>
              <w:widowControl/>
              <w:adjustRightInd/>
              <w:spacing w:line="240" w:lineRule="auto"/>
              <w:jc w:val="center"/>
              <w:textAlignment w:val="auto"/>
              <w:rPr>
                <w:rFonts w:eastAsia="標楷體"/>
                <w:sz w:val="18"/>
                <w:szCs w:val="18"/>
              </w:rPr>
            </w:pPr>
            <w:r>
              <w:rPr>
                <w:rFonts w:eastAsia="標楷體" w:hint="eastAsia"/>
                <w:sz w:val="18"/>
                <w:szCs w:val="18"/>
              </w:rPr>
              <w:t>Male</w:t>
            </w:r>
          </w:p>
        </w:tc>
        <w:tc>
          <w:tcPr>
            <w:tcW w:w="946" w:type="dxa"/>
            <w:tcBorders>
              <w:top w:val="thickThinSmallGap" w:sz="24" w:space="0" w:color="C2D69B" w:themeColor="accent3" w:themeTint="99"/>
              <w:left w:val="double" w:sz="6" w:space="0" w:color="C2D69B" w:themeColor="accent3" w:themeTint="99"/>
              <w:bottom w:val="thinThickSmallGap" w:sz="24" w:space="0" w:color="C2D69B" w:themeColor="accent3" w:themeTint="99"/>
            </w:tcBorders>
            <w:shd w:val="clear" w:color="auto" w:fill="E9F0DC"/>
            <w:noWrap/>
            <w:vAlign w:val="center"/>
            <w:hideMark/>
          </w:tcPr>
          <w:p w:rsidR="006F1E9D" w:rsidRPr="00947656" w:rsidRDefault="006F1E9D" w:rsidP="006F1E9D">
            <w:pPr>
              <w:widowControl/>
              <w:adjustRightInd/>
              <w:spacing w:line="240" w:lineRule="auto"/>
              <w:jc w:val="center"/>
              <w:textAlignment w:val="auto"/>
              <w:rPr>
                <w:rFonts w:eastAsia="標楷體"/>
                <w:sz w:val="18"/>
                <w:szCs w:val="18"/>
              </w:rPr>
            </w:pPr>
            <w:r>
              <w:rPr>
                <w:rFonts w:eastAsia="標楷體" w:hint="eastAsia"/>
                <w:sz w:val="18"/>
                <w:szCs w:val="18"/>
              </w:rPr>
              <w:t>%</w:t>
            </w:r>
          </w:p>
        </w:tc>
        <w:tc>
          <w:tcPr>
            <w:tcW w:w="3258" w:type="dxa"/>
            <w:tcBorders>
              <w:top w:val="thickThinSmallGap" w:sz="24" w:space="0" w:color="FFE265"/>
              <w:left w:val="nil"/>
              <w:bottom w:val="thinThickSmallGap" w:sz="24" w:space="0" w:color="FFE265"/>
              <w:right w:val="double" w:sz="6" w:space="0" w:color="FFE265"/>
            </w:tcBorders>
            <w:shd w:val="clear" w:color="auto" w:fill="FFFFCC"/>
            <w:noWrap/>
            <w:vAlign w:val="center"/>
            <w:hideMark/>
          </w:tcPr>
          <w:p w:rsidR="006F1E9D" w:rsidRPr="00947656" w:rsidRDefault="006F1E9D" w:rsidP="006F1E9D">
            <w:pPr>
              <w:widowControl/>
              <w:adjustRightInd/>
              <w:spacing w:line="240" w:lineRule="auto"/>
              <w:jc w:val="center"/>
              <w:textAlignment w:val="auto"/>
              <w:rPr>
                <w:rFonts w:eastAsia="標楷體"/>
                <w:sz w:val="18"/>
                <w:szCs w:val="18"/>
              </w:rPr>
            </w:pPr>
            <w:r>
              <w:rPr>
                <w:rFonts w:eastAsia="標楷體" w:hint="eastAsia"/>
                <w:sz w:val="18"/>
                <w:szCs w:val="18"/>
              </w:rPr>
              <w:t>Female</w:t>
            </w:r>
          </w:p>
        </w:tc>
        <w:tc>
          <w:tcPr>
            <w:tcW w:w="953" w:type="dxa"/>
            <w:tcBorders>
              <w:top w:val="thickThinSmallGap" w:sz="24" w:space="0" w:color="FFE265"/>
              <w:left w:val="double" w:sz="6" w:space="0" w:color="FFE265"/>
              <w:bottom w:val="thinThickSmallGap" w:sz="24" w:space="0" w:color="FFE265"/>
              <w:right w:val="thinThickSmallGap" w:sz="24" w:space="0" w:color="FFE265"/>
            </w:tcBorders>
            <w:shd w:val="clear" w:color="auto" w:fill="FFFFCC"/>
            <w:noWrap/>
            <w:vAlign w:val="center"/>
            <w:hideMark/>
          </w:tcPr>
          <w:p w:rsidR="006F1E9D" w:rsidRPr="00947656" w:rsidRDefault="006F1E9D" w:rsidP="006F1E9D">
            <w:pPr>
              <w:widowControl/>
              <w:adjustRightInd/>
              <w:spacing w:line="240" w:lineRule="auto"/>
              <w:jc w:val="center"/>
              <w:textAlignment w:val="auto"/>
              <w:rPr>
                <w:rFonts w:eastAsia="標楷體"/>
                <w:sz w:val="18"/>
                <w:szCs w:val="18"/>
              </w:rPr>
            </w:pPr>
            <w:r>
              <w:rPr>
                <w:rFonts w:eastAsia="標楷體" w:hint="eastAsia"/>
                <w:sz w:val="18"/>
                <w:szCs w:val="18"/>
              </w:rPr>
              <w:t>%</w:t>
            </w:r>
          </w:p>
        </w:tc>
      </w:tr>
      <w:tr w:rsidR="00007FC0" w:rsidRPr="00947656" w:rsidTr="00DF4978">
        <w:trPr>
          <w:trHeight w:hRule="exact" w:val="397"/>
        </w:trPr>
        <w:tc>
          <w:tcPr>
            <w:tcW w:w="3212" w:type="dxa"/>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bottom"/>
            <w:hideMark/>
          </w:tcPr>
          <w:p w:rsidR="00007FC0" w:rsidRPr="00007FC0" w:rsidRDefault="00007FC0" w:rsidP="00B1094B">
            <w:pPr>
              <w:widowControl/>
              <w:adjustRightInd/>
              <w:snapToGrid w:val="0"/>
              <w:spacing w:line="280" w:lineRule="exact"/>
              <w:jc w:val="both"/>
              <w:textAlignment w:val="auto"/>
              <w:rPr>
                <w:rFonts w:eastAsia="標楷體"/>
                <w:color w:val="000000"/>
                <w:sz w:val="16"/>
                <w:szCs w:val="16"/>
              </w:rPr>
            </w:pPr>
            <w:r>
              <w:rPr>
                <w:rFonts w:eastAsia="標楷體" w:hint="eastAsia"/>
                <w:color w:val="000000"/>
                <w:sz w:val="16"/>
                <w:szCs w:val="16"/>
              </w:rPr>
              <w:t>Cancer</w:t>
            </w:r>
          </w:p>
        </w:tc>
        <w:tc>
          <w:tcPr>
            <w:tcW w:w="946" w:type="dxa"/>
            <w:tcBorders>
              <w:top w:val="nil"/>
              <w:left w:val="double" w:sz="6" w:space="0" w:color="C2D69B" w:themeColor="accent3" w:themeTint="99"/>
              <w:bottom w:val="nil"/>
            </w:tcBorders>
            <w:shd w:val="clear" w:color="auto" w:fill="E9F0DC"/>
            <w:noWrap/>
            <w:vAlign w:val="center"/>
            <w:hideMark/>
          </w:tcPr>
          <w:p w:rsidR="00007FC0" w:rsidRPr="00007FC0" w:rsidRDefault="00007FC0" w:rsidP="00B1094B">
            <w:pPr>
              <w:widowControl/>
              <w:adjustRightInd/>
              <w:spacing w:line="280" w:lineRule="exact"/>
              <w:jc w:val="center"/>
              <w:textAlignment w:val="auto"/>
              <w:rPr>
                <w:rFonts w:eastAsia="標楷體"/>
                <w:color w:val="000000"/>
                <w:sz w:val="16"/>
                <w:szCs w:val="16"/>
              </w:rPr>
            </w:pPr>
            <w:r w:rsidRPr="00007FC0">
              <w:rPr>
                <w:rFonts w:eastAsia="標楷體"/>
                <w:color w:val="000000"/>
                <w:sz w:val="16"/>
                <w:szCs w:val="16"/>
              </w:rPr>
              <w:t xml:space="preserve">44.7 </w:t>
            </w:r>
          </w:p>
        </w:tc>
        <w:tc>
          <w:tcPr>
            <w:tcW w:w="3258" w:type="dxa"/>
            <w:tcBorders>
              <w:top w:val="nil"/>
              <w:left w:val="nil"/>
              <w:bottom w:val="nil"/>
              <w:right w:val="double" w:sz="6" w:space="0" w:color="FFE265"/>
            </w:tcBorders>
            <w:shd w:val="clear" w:color="auto" w:fill="FFFFCC"/>
            <w:noWrap/>
            <w:tcMar>
              <w:left w:w="85" w:type="dxa"/>
              <w:right w:w="85" w:type="dxa"/>
            </w:tcMar>
            <w:vAlign w:val="center"/>
            <w:hideMark/>
          </w:tcPr>
          <w:p w:rsidR="00007FC0" w:rsidRPr="002A3505" w:rsidRDefault="00007FC0" w:rsidP="009D3C33">
            <w:pPr>
              <w:widowControl/>
              <w:adjustRightInd/>
              <w:snapToGrid w:val="0"/>
              <w:spacing w:line="280" w:lineRule="exact"/>
              <w:jc w:val="both"/>
              <w:textAlignment w:val="auto"/>
              <w:rPr>
                <w:rFonts w:eastAsia="標楷體"/>
                <w:color w:val="000000"/>
                <w:sz w:val="16"/>
                <w:szCs w:val="16"/>
              </w:rPr>
            </w:pPr>
            <w:r w:rsidRPr="002A3505">
              <w:rPr>
                <w:rFonts w:eastAsia="標楷體"/>
                <w:color w:val="000000"/>
                <w:sz w:val="16"/>
                <w:szCs w:val="16"/>
              </w:rPr>
              <w:t>Cancer</w:t>
            </w:r>
          </w:p>
        </w:tc>
        <w:tc>
          <w:tcPr>
            <w:tcW w:w="953" w:type="dxa"/>
            <w:tcBorders>
              <w:top w:val="nil"/>
              <w:left w:val="double" w:sz="6" w:space="0" w:color="FFE265"/>
              <w:bottom w:val="nil"/>
              <w:right w:val="thinThickSmallGap" w:sz="24" w:space="0" w:color="FFE265"/>
            </w:tcBorders>
            <w:shd w:val="clear" w:color="auto" w:fill="FFFFCC"/>
            <w:noWrap/>
            <w:vAlign w:val="center"/>
            <w:hideMark/>
          </w:tcPr>
          <w:p w:rsidR="00007FC0" w:rsidRPr="00007FC0" w:rsidRDefault="00007FC0" w:rsidP="00B1094B">
            <w:pPr>
              <w:widowControl/>
              <w:adjustRightInd/>
              <w:spacing w:line="280" w:lineRule="exact"/>
              <w:jc w:val="center"/>
              <w:textAlignment w:val="auto"/>
              <w:rPr>
                <w:rFonts w:eastAsia="標楷體"/>
                <w:color w:val="000000"/>
                <w:sz w:val="16"/>
                <w:szCs w:val="16"/>
              </w:rPr>
            </w:pPr>
            <w:r w:rsidRPr="00007FC0">
              <w:rPr>
                <w:rFonts w:eastAsia="標楷體"/>
                <w:color w:val="000000"/>
                <w:sz w:val="16"/>
                <w:szCs w:val="16"/>
              </w:rPr>
              <w:t xml:space="preserve">41.5 </w:t>
            </w:r>
          </w:p>
        </w:tc>
      </w:tr>
      <w:tr w:rsidR="00007FC0" w:rsidRPr="00947656" w:rsidTr="00DF4978">
        <w:trPr>
          <w:trHeight w:hRule="exact" w:val="397"/>
        </w:trPr>
        <w:tc>
          <w:tcPr>
            <w:tcW w:w="3212" w:type="dxa"/>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007FC0" w:rsidRPr="002A3505" w:rsidRDefault="00007FC0" w:rsidP="00BC4A0F">
            <w:pPr>
              <w:widowControl/>
              <w:adjustRightInd/>
              <w:snapToGrid w:val="0"/>
              <w:spacing w:line="280" w:lineRule="exact"/>
              <w:jc w:val="both"/>
              <w:textAlignment w:val="auto"/>
              <w:rPr>
                <w:rFonts w:eastAsia="標楷體"/>
                <w:color w:val="000000"/>
                <w:sz w:val="16"/>
                <w:szCs w:val="16"/>
              </w:rPr>
            </w:pPr>
            <w:r w:rsidRPr="002A3505">
              <w:rPr>
                <w:rFonts w:eastAsia="標楷體" w:hint="eastAsia"/>
                <w:color w:val="000000"/>
                <w:sz w:val="16"/>
                <w:szCs w:val="16"/>
              </w:rPr>
              <w:t>Dependence on r</w:t>
            </w:r>
            <w:r w:rsidRPr="002A3505">
              <w:rPr>
                <w:rFonts w:eastAsia="標楷體"/>
                <w:color w:val="000000"/>
                <w:sz w:val="16"/>
                <w:szCs w:val="16"/>
              </w:rPr>
              <w:t>espirator</w:t>
            </w:r>
          </w:p>
        </w:tc>
        <w:tc>
          <w:tcPr>
            <w:tcW w:w="946" w:type="dxa"/>
            <w:tcBorders>
              <w:top w:val="nil"/>
              <w:left w:val="double" w:sz="6" w:space="0" w:color="C2D69B" w:themeColor="accent3" w:themeTint="99"/>
              <w:bottom w:val="nil"/>
            </w:tcBorders>
            <w:shd w:val="clear" w:color="auto" w:fill="E9F0DC"/>
            <w:noWrap/>
            <w:vAlign w:val="center"/>
            <w:hideMark/>
          </w:tcPr>
          <w:p w:rsidR="00007FC0" w:rsidRPr="002A3505" w:rsidRDefault="00007FC0" w:rsidP="00B1094B">
            <w:pPr>
              <w:widowControl/>
              <w:adjustRightInd/>
              <w:spacing w:line="280" w:lineRule="exact"/>
              <w:jc w:val="center"/>
              <w:textAlignment w:val="auto"/>
              <w:rPr>
                <w:sz w:val="16"/>
                <w:szCs w:val="16"/>
              </w:rPr>
            </w:pPr>
            <w:r w:rsidRPr="002A3505">
              <w:rPr>
                <w:sz w:val="16"/>
                <w:szCs w:val="16"/>
              </w:rPr>
              <w:t xml:space="preserve">20.9 </w:t>
            </w:r>
          </w:p>
        </w:tc>
        <w:tc>
          <w:tcPr>
            <w:tcW w:w="3258" w:type="dxa"/>
            <w:tcBorders>
              <w:top w:val="nil"/>
              <w:left w:val="nil"/>
              <w:bottom w:val="nil"/>
              <w:right w:val="double" w:sz="6" w:space="0" w:color="FFE265"/>
            </w:tcBorders>
            <w:shd w:val="clear" w:color="auto" w:fill="FFFFCC"/>
            <w:noWrap/>
            <w:tcMar>
              <w:left w:w="85" w:type="dxa"/>
              <w:right w:w="85" w:type="dxa"/>
            </w:tcMar>
            <w:vAlign w:val="center"/>
            <w:hideMark/>
          </w:tcPr>
          <w:p w:rsidR="00007FC0" w:rsidRPr="002A3505" w:rsidRDefault="00007FC0" w:rsidP="00BC4A0F">
            <w:pPr>
              <w:widowControl/>
              <w:adjustRightInd/>
              <w:snapToGrid w:val="0"/>
              <w:spacing w:line="320" w:lineRule="exact"/>
              <w:textAlignment w:val="auto"/>
              <w:rPr>
                <w:rFonts w:eastAsia="標楷體"/>
                <w:color w:val="000000"/>
                <w:sz w:val="16"/>
                <w:szCs w:val="16"/>
              </w:rPr>
            </w:pPr>
            <w:r w:rsidRPr="002A3505">
              <w:rPr>
                <w:rFonts w:eastAsia="標楷體" w:hint="eastAsia"/>
                <w:color w:val="000000"/>
                <w:sz w:val="16"/>
                <w:szCs w:val="16"/>
              </w:rPr>
              <w:t>Dependence on r</w:t>
            </w:r>
            <w:r w:rsidRPr="002A3505">
              <w:rPr>
                <w:rFonts w:eastAsia="標楷體"/>
                <w:color w:val="000000"/>
                <w:sz w:val="16"/>
                <w:szCs w:val="16"/>
              </w:rPr>
              <w:t>espirator</w:t>
            </w:r>
          </w:p>
        </w:tc>
        <w:tc>
          <w:tcPr>
            <w:tcW w:w="953" w:type="dxa"/>
            <w:tcBorders>
              <w:top w:val="nil"/>
              <w:left w:val="double" w:sz="6" w:space="0" w:color="FFE265"/>
              <w:bottom w:val="nil"/>
              <w:right w:val="thinThickSmallGap" w:sz="24" w:space="0" w:color="FFE265"/>
            </w:tcBorders>
            <w:shd w:val="clear" w:color="auto" w:fill="FFFFCC"/>
            <w:noWrap/>
            <w:vAlign w:val="center"/>
            <w:hideMark/>
          </w:tcPr>
          <w:p w:rsidR="00007FC0" w:rsidRPr="00947656" w:rsidRDefault="00007FC0" w:rsidP="00B1094B">
            <w:pPr>
              <w:widowControl/>
              <w:adjustRightInd/>
              <w:spacing w:line="280" w:lineRule="exact"/>
              <w:jc w:val="center"/>
              <w:textAlignment w:val="auto"/>
              <w:rPr>
                <w:sz w:val="16"/>
                <w:szCs w:val="16"/>
              </w:rPr>
            </w:pPr>
            <w:r w:rsidRPr="00947656">
              <w:rPr>
                <w:sz w:val="16"/>
                <w:szCs w:val="16"/>
              </w:rPr>
              <w:t xml:space="preserve">22.7 </w:t>
            </w:r>
          </w:p>
        </w:tc>
      </w:tr>
      <w:tr w:rsidR="00007FC0" w:rsidRPr="00947656" w:rsidTr="00DF4978">
        <w:trPr>
          <w:trHeight w:val="397"/>
        </w:trPr>
        <w:tc>
          <w:tcPr>
            <w:tcW w:w="3212" w:type="dxa"/>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007FC0" w:rsidRPr="002A3505" w:rsidRDefault="00F21FB9" w:rsidP="00BC4A0F">
            <w:pPr>
              <w:widowControl/>
              <w:adjustRightInd/>
              <w:snapToGrid w:val="0"/>
              <w:spacing w:line="280" w:lineRule="exact"/>
              <w:jc w:val="both"/>
              <w:textAlignment w:val="auto"/>
              <w:rPr>
                <w:rFonts w:eastAsia="標楷體"/>
                <w:color w:val="000000"/>
                <w:sz w:val="16"/>
                <w:szCs w:val="16"/>
              </w:rPr>
            </w:pPr>
            <w:r w:rsidRPr="00B23CDD">
              <w:rPr>
                <w:color w:val="000000"/>
                <w:sz w:val="16"/>
                <w:szCs w:val="16"/>
              </w:rPr>
              <w:t>Chronic psych</w:t>
            </w:r>
            <w:r>
              <w:rPr>
                <w:rFonts w:hint="eastAsia"/>
                <w:color w:val="000000"/>
                <w:sz w:val="16"/>
                <w:szCs w:val="16"/>
              </w:rPr>
              <w:t>ia</w:t>
            </w:r>
            <w:r w:rsidRPr="00B23CDD">
              <w:rPr>
                <w:color w:val="000000"/>
                <w:sz w:val="16"/>
                <w:szCs w:val="16"/>
              </w:rPr>
              <w:t>t</w:t>
            </w:r>
            <w:r>
              <w:rPr>
                <w:rFonts w:hint="eastAsia"/>
                <w:color w:val="000000"/>
                <w:sz w:val="16"/>
                <w:szCs w:val="16"/>
              </w:rPr>
              <w:t>r</w:t>
            </w:r>
            <w:r w:rsidRPr="00B23CDD">
              <w:rPr>
                <w:color w:val="000000"/>
                <w:sz w:val="16"/>
                <w:szCs w:val="16"/>
              </w:rPr>
              <w:t>ic disorder</w:t>
            </w:r>
          </w:p>
        </w:tc>
        <w:tc>
          <w:tcPr>
            <w:tcW w:w="946" w:type="dxa"/>
            <w:tcBorders>
              <w:top w:val="nil"/>
              <w:left w:val="double" w:sz="6" w:space="0" w:color="C2D69B" w:themeColor="accent3" w:themeTint="99"/>
              <w:bottom w:val="nil"/>
            </w:tcBorders>
            <w:shd w:val="clear" w:color="auto" w:fill="E9F0DC"/>
            <w:noWrap/>
            <w:vAlign w:val="center"/>
            <w:hideMark/>
          </w:tcPr>
          <w:p w:rsidR="00007FC0" w:rsidRPr="002A3505" w:rsidRDefault="00007FC0" w:rsidP="00B1094B">
            <w:pPr>
              <w:widowControl/>
              <w:adjustRightInd/>
              <w:spacing w:line="280" w:lineRule="exact"/>
              <w:jc w:val="center"/>
              <w:textAlignment w:val="auto"/>
              <w:rPr>
                <w:sz w:val="16"/>
                <w:szCs w:val="16"/>
              </w:rPr>
            </w:pPr>
            <w:r w:rsidRPr="002A3505">
              <w:rPr>
                <w:sz w:val="16"/>
                <w:szCs w:val="16"/>
              </w:rPr>
              <w:t xml:space="preserve">11.9 </w:t>
            </w:r>
          </w:p>
        </w:tc>
        <w:tc>
          <w:tcPr>
            <w:tcW w:w="3258" w:type="dxa"/>
            <w:tcBorders>
              <w:top w:val="nil"/>
              <w:left w:val="nil"/>
              <w:bottom w:val="nil"/>
              <w:right w:val="double" w:sz="6" w:space="0" w:color="FFE265"/>
            </w:tcBorders>
            <w:shd w:val="clear" w:color="auto" w:fill="FFFFCC"/>
            <w:noWrap/>
            <w:tcMar>
              <w:left w:w="85" w:type="dxa"/>
              <w:right w:w="85" w:type="dxa"/>
            </w:tcMar>
            <w:vAlign w:val="center"/>
            <w:hideMark/>
          </w:tcPr>
          <w:p w:rsidR="00007FC0" w:rsidRPr="002A3505" w:rsidRDefault="00F21FB9" w:rsidP="00BC4A0F">
            <w:pPr>
              <w:widowControl/>
              <w:adjustRightInd/>
              <w:snapToGrid w:val="0"/>
              <w:spacing w:line="320" w:lineRule="exact"/>
              <w:textAlignment w:val="auto"/>
              <w:rPr>
                <w:rFonts w:eastAsia="標楷體"/>
                <w:color w:val="000000"/>
                <w:sz w:val="16"/>
                <w:szCs w:val="16"/>
              </w:rPr>
            </w:pPr>
            <w:r w:rsidRPr="00B23CDD">
              <w:rPr>
                <w:color w:val="000000"/>
                <w:sz w:val="16"/>
                <w:szCs w:val="16"/>
              </w:rPr>
              <w:t>Chronic psych</w:t>
            </w:r>
            <w:r>
              <w:rPr>
                <w:rFonts w:hint="eastAsia"/>
                <w:color w:val="000000"/>
                <w:sz w:val="16"/>
                <w:szCs w:val="16"/>
              </w:rPr>
              <w:t>ia</w:t>
            </w:r>
            <w:r w:rsidRPr="00B23CDD">
              <w:rPr>
                <w:color w:val="000000"/>
                <w:sz w:val="16"/>
                <w:szCs w:val="16"/>
              </w:rPr>
              <w:t>t</w:t>
            </w:r>
            <w:r>
              <w:rPr>
                <w:rFonts w:hint="eastAsia"/>
                <w:color w:val="000000"/>
                <w:sz w:val="16"/>
                <w:szCs w:val="16"/>
              </w:rPr>
              <w:t>r</w:t>
            </w:r>
            <w:r w:rsidRPr="00B23CDD">
              <w:rPr>
                <w:color w:val="000000"/>
                <w:sz w:val="16"/>
                <w:szCs w:val="16"/>
              </w:rPr>
              <w:t>ic disorder</w:t>
            </w:r>
          </w:p>
        </w:tc>
        <w:tc>
          <w:tcPr>
            <w:tcW w:w="953" w:type="dxa"/>
            <w:tcBorders>
              <w:top w:val="nil"/>
              <w:left w:val="double" w:sz="6" w:space="0" w:color="FFE265"/>
              <w:bottom w:val="nil"/>
              <w:right w:val="thinThickSmallGap" w:sz="24" w:space="0" w:color="FFE265"/>
            </w:tcBorders>
            <w:shd w:val="clear" w:color="auto" w:fill="FFFFCC"/>
            <w:noWrap/>
            <w:vAlign w:val="center"/>
            <w:hideMark/>
          </w:tcPr>
          <w:p w:rsidR="00007FC0" w:rsidRPr="00947656" w:rsidRDefault="00007FC0" w:rsidP="00B1094B">
            <w:pPr>
              <w:widowControl/>
              <w:adjustRightInd/>
              <w:spacing w:line="280" w:lineRule="exact"/>
              <w:jc w:val="center"/>
              <w:textAlignment w:val="auto"/>
              <w:rPr>
                <w:sz w:val="16"/>
                <w:szCs w:val="16"/>
              </w:rPr>
            </w:pPr>
            <w:r w:rsidRPr="00947656">
              <w:rPr>
                <w:sz w:val="16"/>
                <w:szCs w:val="16"/>
              </w:rPr>
              <w:t xml:space="preserve">12.9 </w:t>
            </w:r>
          </w:p>
        </w:tc>
      </w:tr>
      <w:tr w:rsidR="00007FC0" w:rsidRPr="00947656" w:rsidTr="00DF4978">
        <w:trPr>
          <w:trHeight w:val="397"/>
        </w:trPr>
        <w:tc>
          <w:tcPr>
            <w:tcW w:w="3212" w:type="dxa"/>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007FC0" w:rsidRPr="002A3505" w:rsidRDefault="00007FC0" w:rsidP="00BC4A0F">
            <w:pPr>
              <w:widowControl/>
              <w:adjustRightInd/>
              <w:spacing w:line="280" w:lineRule="exact"/>
              <w:jc w:val="both"/>
              <w:textAlignment w:val="auto"/>
              <w:rPr>
                <w:rFonts w:eastAsia="標楷體"/>
                <w:sz w:val="16"/>
                <w:szCs w:val="16"/>
              </w:rPr>
            </w:pPr>
            <w:r w:rsidRPr="002A3505">
              <w:rPr>
                <w:rFonts w:eastAsia="標楷體"/>
                <w:sz w:val="16"/>
                <w:szCs w:val="16"/>
              </w:rPr>
              <w:t>End-stage renal disease</w:t>
            </w:r>
            <w:r w:rsidR="00D01008">
              <w:rPr>
                <w:rFonts w:hint="eastAsia"/>
                <w:color w:val="000000"/>
                <w:sz w:val="16"/>
                <w:szCs w:val="16"/>
              </w:rPr>
              <w:t xml:space="preserve"> (Uremia)</w:t>
            </w:r>
          </w:p>
        </w:tc>
        <w:tc>
          <w:tcPr>
            <w:tcW w:w="946" w:type="dxa"/>
            <w:tcBorders>
              <w:top w:val="nil"/>
              <w:left w:val="double" w:sz="6" w:space="0" w:color="C2D69B" w:themeColor="accent3" w:themeTint="99"/>
              <w:bottom w:val="nil"/>
            </w:tcBorders>
            <w:shd w:val="clear" w:color="auto" w:fill="E9F0DC"/>
            <w:noWrap/>
            <w:vAlign w:val="center"/>
            <w:hideMark/>
          </w:tcPr>
          <w:p w:rsidR="00007FC0" w:rsidRPr="002A3505" w:rsidRDefault="00007FC0" w:rsidP="00B1094B">
            <w:pPr>
              <w:widowControl/>
              <w:adjustRightInd/>
              <w:spacing w:line="280" w:lineRule="exact"/>
              <w:jc w:val="center"/>
              <w:textAlignment w:val="auto"/>
              <w:rPr>
                <w:sz w:val="16"/>
                <w:szCs w:val="16"/>
              </w:rPr>
            </w:pPr>
            <w:r w:rsidRPr="002A3505">
              <w:rPr>
                <w:sz w:val="16"/>
                <w:szCs w:val="16"/>
              </w:rPr>
              <w:t xml:space="preserve">6.2 </w:t>
            </w:r>
          </w:p>
        </w:tc>
        <w:tc>
          <w:tcPr>
            <w:tcW w:w="3258" w:type="dxa"/>
            <w:tcBorders>
              <w:top w:val="nil"/>
              <w:left w:val="nil"/>
              <w:bottom w:val="nil"/>
              <w:right w:val="double" w:sz="6" w:space="0" w:color="FFE265"/>
            </w:tcBorders>
            <w:shd w:val="clear" w:color="auto" w:fill="FFFFCC"/>
            <w:noWrap/>
            <w:tcMar>
              <w:left w:w="85" w:type="dxa"/>
              <w:right w:w="85" w:type="dxa"/>
            </w:tcMar>
            <w:vAlign w:val="center"/>
            <w:hideMark/>
          </w:tcPr>
          <w:p w:rsidR="00007FC0" w:rsidRPr="002A3505" w:rsidRDefault="00007FC0" w:rsidP="00BC4A0F">
            <w:pPr>
              <w:widowControl/>
              <w:adjustRightInd/>
              <w:spacing w:line="320" w:lineRule="exact"/>
              <w:textAlignment w:val="auto"/>
              <w:rPr>
                <w:rFonts w:eastAsia="標楷體"/>
                <w:sz w:val="16"/>
                <w:szCs w:val="16"/>
              </w:rPr>
            </w:pPr>
            <w:r w:rsidRPr="002A3505">
              <w:rPr>
                <w:rFonts w:eastAsia="標楷體"/>
                <w:sz w:val="16"/>
                <w:szCs w:val="16"/>
              </w:rPr>
              <w:t>End-stage renal disease</w:t>
            </w:r>
            <w:r w:rsidR="00D01008">
              <w:rPr>
                <w:rFonts w:hint="eastAsia"/>
                <w:color w:val="000000"/>
                <w:sz w:val="16"/>
                <w:szCs w:val="16"/>
              </w:rPr>
              <w:t xml:space="preserve"> (Uremia)</w:t>
            </w:r>
          </w:p>
        </w:tc>
        <w:tc>
          <w:tcPr>
            <w:tcW w:w="953" w:type="dxa"/>
            <w:tcBorders>
              <w:top w:val="nil"/>
              <w:left w:val="double" w:sz="6" w:space="0" w:color="FFE265"/>
              <w:bottom w:val="nil"/>
              <w:right w:val="thinThickSmallGap" w:sz="24" w:space="0" w:color="FFE265"/>
            </w:tcBorders>
            <w:shd w:val="clear" w:color="auto" w:fill="FFFFCC"/>
            <w:noWrap/>
            <w:vAlign w:val="center"/>
            <w:hideMark/>
          </w:tcPr>
          <w:p w:rsidR="00007FC0" w:rsidRPr="00947656" w:rsidRDefault="00007FC0" w:rsidP="00B1094B">
            <w:pPr>
              <w:widowControl/>
              <w:adjustRightInd/>
              <w:spacing w:line="280" w:lineRule="exact"/>
              <w:jc w:val="center"/>
              <w:textAlignment w:val="auto"/>
              <w:rPr>
                <w:sz w:val="16"/>
                <w:szCs w:val="16"/>
              </w:rPr>
            </w:pPr>
            <w:r w:rsidRPr="00947656">
              <w:rPr>
                <w:sz w:val="16"/>
                <w:szCs w:val="16"/>
              </w:rPr>
              <w:t xml:space="preserve">8.8 </w:t>
            </w:r>
          </w:p>
        </w:tc>
      </w:tr>
      <w:tr w:rsidR="00007FC0" w:rsidRPr="00947656" w:rsidTr="00DF4978">
        <w:trPr>
          <w:trHeight w:val="397"/>
        </w:trPr>
        <w:tc>
          <w:tcPr>
            <w:tcW w:w="3212" w:type="dxa"/>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007FC0" w:rsidRPr="002A3505" w:rsidRDefault="00007FC0" w:rsidP="00BC4A0F">
            <w:pPr>
              <w:widowControl/>
              <w:adjustRightInd/>
              <w:spacing w:line="280" w:lineRule="exact"/>
              <w:jc w:val="both"/>
              <w:textAlignment w:val="auto"/>
              <w:rPr>
                <w:rFonts w:eastAsia="標楷體"/>
                <w:sz w:val="16"/>
                <w:szCs w:val="16"/>
              </w:rPr>
            </w:pPr>
            <w:r w:rsidRPr="002A3505">
              <w:rPr>
                <w:rFonts w:eastAsia="標楷體"/>
                <w:color w:val="000000"/>
                <w:sz w:val="16"/>
                <w:szCs w:val="16"/>
              </w:rPr>
              <w:t xml:space="preserve">Acute </w:t>
            </w:r>
            <w:proofErr w:type="spellStart"/>
            <w:r w:rsidRPr="002A3505">
              <w:rPr>
                <w:rFonts w:eastAsia="標楷體"/>
                <w:color w:val="000000"/>
                <w:sz w:val="16"/>
                <w:szCs w:val="16"/>
              </w:rPr>
              <w:t>cerebr</w:t>
            </w:r>
            <w:r w:rsidRPr="002A3505">
              <w:rPr>
                <w:rFonts w:eastAsia="標楷體" w:hint="eastAsia"/>
                <w:color w:val="000000"/>
                <w:sz w:val="16"/>
                <w:szCs w:val="16"/>
              </w:rPr>
              <w:t>o</w:t>
            </w:r>
            <w:r w:rsidRPr="002A3505">
              <w:rPr>
                <w:rFonts w:eastAsia="標楷體"/>
                <w:color w:val="000000"/>
                <w:sz w:val="16"/>
                <w:szCs w:val="16"/>
              </w:rPr>
              <w:t>vascular</w:t>
            </w:r>
            <w:proofErr w:type="spellEnd"/>
            <w:r w:rsidRPr="002A3505">
              <w:rPr>
                <w:rFonts w:eastAsia="標楷體"/>
                <w:color w:val="000000"/>
                <w:sz w:val="16"/>
                <w:szCs w:val="16"/>
              </w:rPr>
              <w:t xml:space="preserve"> disease</w:t>
            </w:r>
          </w:p>
        </w:tc>
        <w:tc>
          <w:tcPr>
            <w:tcW w:w="946" w:type="dxa"/>
            <w:tcBorders>
              <w:top w:val="nil"/>
              <w:left w:val="double" w:sz="6" w:space="0" w:color="C2D69B" w:themeColor="accent3" w:themeTint="99"/>
              <w:bottom w:val="nil"/>
            </w:tcBorders>
            <w:shd w:val="clear" w:color="auto" w:fill="E9F0DC"/>
            <w:noWrap/>
            <w:vAlign w:val="center"/>
            <w:hideMark/>
          </w:tcPr>
          <w:p w:rsidR="00007FC0" w:rsidRPr="002A3505" w:rsidRDefault="00007FC0" w:rsidP="00B1094B">
            <w:pPr>
              <w:widowControl/>
              <w:adjustRightInd/>
              <w:spacing w:line="280" w:lineRule="exact"/>
              <w:jc w:val="center"/>
              <w:textAlignment w:val="auto"/>
              <w:rPr>
                <w:sz w:val="16"/>
                <w:szCs w:val="16"/>
              </w:rPr>
            </w:pPr>
            <w:r w:rsidRPr="002A3505">
              <w:rPr>
                <w:sz w:val="16"/>
                <w:szCs w:val="16"/>
              </w:rPr>
              <w:t xml:space="preserve">5.0 </w:t>
            </w:r>
          </w:p>
        </w:tc>
        <w:tc>
          <w:tcPr>
            <w:tcW w:w="3258" w:type="dxa"/>
            <w:tcBorders>
              <w:top w:val="nil"/>
              <w:left w:val="nil"/>
              <w:bottom w:val="nil"/>
              <w:right w:val="double" w:sz="6" w:space="0" w:color="FFE265"/>
            </w:tcBorders>
            <w:shd w:val="clear" w:color="auto" w:fill="FFFFCC"/>
            <w:noWrap/>
            <w:tcMar>
              <w:left w:w="85" w:type="dxa"/>
              <w:right w:w="85" w:type="dxa"/>
            </w:tcMar>
            <w:vAlign w:val="center"/>
            <w:hideMark/>
          </w:tcPr>
          <w:p w:rsidR="00007FC0" w:rsidRPr="002A3505" w:rsidRDefault="00007FC0" w:rsidP="00BC4A0F">
            <w:pPr>
              <w:widowControl/>
              <w:adjustRightInd/>
              <w:spacing w:line="320" w:lineRule="exact"/>
              <w:textAlignment w:val="auto"/>
              <w:rPr>
                <w:rFonts w:eastAsia="標楷體"/>
                <w:sz w:val="16"/>
                <w:szCs w:val="16"/>
              </w:rPr>
            </w:pPr>
            <w:r w:rsidRPr="002A3505">
              <w:rPr>
                <w:rFonts w:eastAsia="標楷體"/>
                <w:color w:val="000000"/>
                <w:sz w:val="16"/>
                <w:szCs w:val="16"/>
              </w:rPr>
              <w:t xml:space="preserve">Acute </w:t>
            </w:r>
            <w:proofErr w:type="spellStart"/>
            <w:r w:rsidRPr="002A3505">
              <w:rPr>
                <w:rFonts w:eastAsia="標楷體"/>
                <w:color w:val="000000"/>
                <w:sz w:val="16"/>
                <w:szCs w:val="16"/>
              </w:rPr>
              <w:t>cerebr</w:t>
            </w:r>
            <w:r w:rsidRPr="002A3505">
              <w:rPr>
                <w:rFonts w:eastAsia="標楷體" w:hint="eastAsia"/>
                <w:color w:val="000000"/>
                <w:sz w:val="16"/>
                <w:szCs w:val="16"/>
              </w:rPr>
              <w:t>o</w:t>
            </w:r>
            <w:r w:rsidRPr="002A3505">
              <w:rPr>
                <w:rFonts w:eastAsia="標楷體"/>
                <w:color w:val="000000"/>
                <w:sz w:val="16"/>
                <w:szCs w:val="16"/>
              </w:rPr>
              <w:t>vascular</w:t>
            </w:r>
            <w:proofErr w:type="spellEnd"/>
            <w:r w:rsidRPr="002A3505">
              <w:rPr>
                <w:rFonts w:eastAsia="標楷體"/>
                <w:color w:val="000000"/>
                <w:sz w:val="16"/>
                <w:szCs w:val="16"/>
              </w:rPr>
              <w:t xml:space="preserve"> disease</w:t>
            </w:r>
          </w:p>
        </w:tc>
        <w:tc>
          <w:tcPr>
            <w:tcW w:w="953" w:type="dxa"/>
            <w:tcBorders>
              <w:top w:val="nil"/>
              <w:left w:val="double" w:sz="6" w:space="0" w:color="FFE265"/>
              <w:bottom w:val="nil"/>
              <w:right w:val="thinThickSmallGap" w:sz="24" w:space="0" w:color="FFE265"/>
            </w:tcBorders>
            <w:shd w:val="clear" w:color="auto" w:fill="FFFFCC"/>
            <w:noWrap/>
            <w:vAlign w:val="center"/>
            <w:hideMark/>
          </w:tcPr>
          <w:p w:rsidR="00007FC0" w:rsidRPr="00947656" w:rsidRDefault="00007FC0" w:rsidP="00B1094B">
            <w:pPr>
              <w:widowControl/>
              <w:adjustRightInd/>
              <w:spacing w:line="280" w:lineRule="exact"/>
              <w:jc w:val="center"/>
              <w:textAlignment w:val="auto"/>
              <w:rPr>
                <w:sz w:val="16"/>
                <w:szCs w:val="16"/>
              </w:rPr>
            </w:pPr>
            <w:r w:rsidRPr="00947656">
              <w:rPr>
                <w:sz w:val="16"/>
                <w:szCs w:val="16"/>
              </w:rPr>
              <w:t xml:space="preserve">4.8 </w:t>
            </w:r>
          </w:p>
        </w:tc>
      </w:tr>
      <w:tr w:rsidR="00007FC0" w:rsidRPr="00947656" w:rsidTr="00DF4978">
        <w:trPr>
          <w:trHeight w:val="397"/>
        </w:trPr>
        <w:tc>
          <w:tcPr>
            <w:tcW w:w="3212" w:type="dxa"/>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007FC0" w:rsidRPr="002A3505" w:rsidRDefault="00007FC0" w:rsidP="00BC4A0F">
            <w:pPr>
              <w:widowControl/>
              <w:adjustRightInd/>
              <w:spacing w:line="280" w:lineRule="exact"/>
              <w:jc w:val="both"/>
              <w:textAlignment w:val="auto"/>
              <w:rPr>
                <w:rFonts w:eastAsia="標楷體"/>
                <w:sz w:val="16"/>
                <w:szCs w:val="16"/>
              </w:rPr>
            </w:pPr>
            <w:r w:rsidRPr="002A3505">
              <w:rPr>
                <w:rFonts w:eastAsia="標楷體" w:hint="eastAsia"/>
                <w:color w:val="000000"/>
                <w:sz w:val="16"/>
                <w:szCs w:val="16"/>
              </w:rPr>
              <w:t>C</w:t>
            </w:r>
            <w:r w:rsidRPr="002A3505">
              <w:rPr>
                <w:rFonts w:eastAsia="標楷體"/>
                <w:color w:val="000000"/>
                <w:sz w:val="16"/>
                <w:szCs w:val="16"/>
              </w:rPr>
              <w:t>irrhosis</w:t>
            </w:r>
            <w:r w:rsidRPr="002A3505">
              <w:rPr>
                <w:rFonts w:eastAsia="標楷體" w:hint="eastAsia"/>
                <w:color w:val="000000"/>
                <w:sz w:val="16"/>
                <w:szCs w:val="16"/>
              </w:rPr>
              <w:t xml:space="preserve"> of l</w:t>
            </w:r>
            <w:r w:rsidRPr="002A3505">
              <w:rPr>
                <w:rFonts w:eastAsia="標楷體"/>
                <w:color w:val="000000"/>
                <w:sz w:val="16"/>
                <w:szCs w:val="16"/>
              </w:rPr>
              <w:t>iver</w:t>
            </w:r>
          </w:p>
        </w:tc>
        <w:tc>
          <w:tcPr>
            <w:tcW w:w="946" w:type="dxa"/>
            <w:tcBorders>
              <w:top w:val="nil"/>
              <w:left w:val="double" w:sz="6" w:space="0" w:color="C2D69B" w:themeColor="accent3" w:themeTint="99"/>
              <w:bottom w:val="nil"/>
            </w:tcBorders>
            <w:shd w:val="clear" w:color="auto" w:fill="E9F0DC"/>
            <w:noWrap/>
            <w:vAlign w:val="center"/>
            <w:hideMark/>
          </w:tcPr>
          <w:p w:rsidR="00007FC0" w:rsidRPr="002A3505" w:rsidRDefault="00007FC0" w:rsidP="00B1094B">
            <w:pPr>
              <w:widowControl/>
              <w:adjustRightInd/>
              <w:spacing w:line="280" w:lineRule="exact"/>
              <w:jc w:val="center"/>
              <w:textAlignment w:val="auto"/>
              <w:rPr>
                <w:sz w:val="16"/>
                <w:szCs w:val="16"/>
              </w:rPr>
            </w:pPr>
            <w:r w:rsidRPr="002A3505">
              <w:rPr>
                <w:sz w:val="16"/>
                <w:szCs w:val="16"/>
              </w:rPr>
              <w:t xml:space="preserve">2.7 </w:t>
            </w:r>
          </w:p>
        </w:tc>
        <w:tc>
          <w:tcPr>
            <w:tcW w:w="3258" w:type="dxa"/>
            <w:tcBorders>
              <w:top w:val="nil"/>
              <w:left w:val="nil"/>
              <w:bottom w:val="nil"/>
              <w:right w:val="double" w:sz="6" w:space="0" w:color="FFE265"/>
            </w:tcBorders>
            <w:shd w:val="clear" w:color="auto" w:fill="FFFFCC"/>
            <w:noWrap/>
            <w:tcMar>
              <w:left w:w="85" w:type="dxa"/>
              <w:right w:w="85" w:type="dxa"/>
            </w:tcMar>
            <w:vAlign w:val="center"/>
            <w:hideMark/>
          </w:tcPr>
          <w:p w:rsidR="00007FC0" w:rsidRPr="002A3505" w:rsidRDefault="00007FC0" w:rsidP="00BC4A0F">
            <w:pPr>
              <w:widowControl/>
              <w:adjustRightInd/>
              <w:spacing w:line="320" w:lineRule="exact"/>
              <w:textAlignment w:val="auto"/>
              <w:rPr>
                <w:rFonts w:eastAsia="標楷體"/>
                <w:sz w:val="16"/>
                <w:szCs w:val="16"/>
              </w:rPr>
            </w:pPr>
            <w:r w:rsidRPr="002A3505">
              <w:rPr>
                <w:rFonts w:eastAsia="標楷體"/>
                <w:sz w:val="16"/>
                <w:szCs w:val="16"/>
              </w:rPr>
              <w:t>Generalized autoimmune syndrome</w:t>
            </w:r>
          </w:p>
        </w:tc>
        <w:tc>
          <w:tcPr>
            <w:tcW w:w="953" w:type="dxa"/>
            <w:tcBorders>
              <w:top w:val="nil"/>
              <w:left w:val="double" w:sz="6" w:space="0" w:color="FFE265"/>
              <w:bottom w:val="nil"/>
              <w:right w:val="thinThickSmallGap" w:sz="24" w:space="0" w:color="FFE265"/>
            </w:tcBorders>
            <w:shd w:val="clear" w:color="auto" w:fill="FFFFCC"/>
            <w:noWrap/>
            <w:vAlign w:val="center"/>
            <w:hideMark/>
          </w:tcPr>
          <w:p w:rsidR="00007FC0" w:rsidRPr="00947656" w:rsidRDefault="00007FC0" w:rsidP="00B1094B">
            <w:pPr>
              <w:widowControl/>
              <w:adjustRightInd/>
              <w:spacing w:line="280" w:lineRule="exact"/>
              <w:jc w:val="center"/>
              <w:textAlignment w:val="auto"/>
              <w:rPr>
                <w:sz w:val="16"/>
                <w:szCs w:val="16"/>
              </w:rPr>
            </w:pPr>
            <w:r w:rsidRPr="00947656">
              <w:rPr>
                <w:sz w:val="16"/>
                <w:szCs w:val="16"/>
              </w:rPr>
              <w:t xml:space="preserve">2.6 </w:t>
            </w:r>
          </w:p>
        </w:tc>
      </w:tr>
      <w:tr w:rsidR="00007FC0" w:rsidRPr="00947656" w:rsidTr="00DF4978">
        <w:trPr>
          <w:trHeight w:val="397"/>
        </w:trPr>
        <w:tc>
          <w:tcPr>
            <w:tcW w:w="3212" w:type="dxa"/>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007FC0" w:rsidRPr="002A3505" w:rsidRDefault="00007FC0" w:rsidP="00BC4A0F">
            <w:pPr>
              <w:widowControl/>
              <w:adjustRightInd/>
              <w:spacing w:line="280" w:lineRule="exact"/>
              <w:jc w:val="both"/>
              <w:textAlignment w:val="auto"/>
              <w:rPr>
                <w:rFonts w:eastAsia="標楷體"/>
                <w:sz w:val="16"/>
                <w:szCs w:val="16"/>
              </w:rPr>
            </w:pPr>
            <w:r w:rsidRPr="002A3505">
              <w:rPr>
                <w:rFonts w:eastAsia="標楷體"/>
                <w:color w:val="000000"/>
                <w:sz w:val="16"/>
                <w:szCs w:val="16"/>
              </w:rPr>
              <w:t>Major traum</w:t>
            </w:r>
            <w:r w:rsidR="00186BB4">
              <w:rPr>
                <w:rFonts w:eastAsia="標楷體" w:hint="eastAsia"/>
                <w:color w:val="000000"/>
                <w:sz w:val="16"/>
                <w:szCs w:val="16"/>
              </w:rPr>
              <w:t>a</w:t>
            </w:r>
          </w:p>
        </w:tc>
        <w:tc>
          <w:tcPr>
            <w:tcW w:w="946" w:type="dxa"/>
            <w:tcBorders>
              <w:top w:val="nil"/>
              <w:left w:val="double" w:sz="6" w:space="0" w:color="C2D69B" w:themeColor="accent3" w:themeTint="99"/>
              <w:bottom w:val="nil"/>
            </w:tcBorders>
            <w:shd w:val="clear" w:color="auto" w:fill="E9F0DC"/>
            <w:noWrap/>
            <w:vAlign w:val="center"/>
            <w:hideMark/>
          </w:tcPr>
          <w:p w:rsidR="00007FC0" w:rsidRPr="002A3505" w:rsidRDefault="00007FC0" w:rsidP="00B1094B">
            <w:pPr>
              <w:widowControl/>
              <w:adjustRightInd/>
              <w:spacing w:line="280" w:lineRule="exact"/>
              <w:jc w:val="center"/>
              <w:textAlignment w:val="auto"/>
              <w:rPr>
                <w:sz w:val="16"/>
                <w:szCs w:val="16"/>
              </w:rPr>
            </w:pPr>
            <w:r w:rsidRPr="002A3505">
              <w:rPr>
                <w:sz w:val="16"/>
                <w:szCs w:val="16"/>
              </w:rPr>
              <w:t xml:space="preserve">2.2 </w:t>
            </w:r>
          </w:p>
        </w:tc>
        <w:tc>
          <w:tcPr>
            <w:tcW w:w="3258" w:type="dxa"/>
            <w:tcBorders>
              <w:top w:val="nil"/>
              <w:left w:val="nil"/>
              <w:bottom w:val="nil"/>
              <w:right w:val="double" w:sz="6" w:space="0" w:color="FFE265"/>
            </w:tcBorders>
            <w:shd w:val="clear" w:color="auto" w:fill="FFFFCC"/>
            <w:noWrap/>
            <w:tcMar>
              <w:left w:w="85" w:type="dxa"/>
              <w:right w:w="85" w:type="dxa"/>
            </w:tcMar>
            <w:vAlign w:val="center"/>
            <w:hideMark/>
          </w:tcPr>
          <w:p w:rsidR="00007FC0" w:rsidRPr="002A3505" w:rsidRDefault="00007FC0" w:rsidP="00BC4A0F">
            <w:pPr>
              <w:widowControl/>
              <w:adjustRightInd/>
              <w:spacing w:line="320" w:lineRule="exact"/>
              <w:textAlignment w:val="auto"/>
              <w:rPr>
                <w:rFonts w:eastAsia="標楷體"/>
                <w:sz w:val="16"/>
                <w:szCs w:val="16"/>
              </w:rPr>
            </w:pPr>
            <w:r w:rsidRPr="002A3505">
              <w:rPr>
                <w:rFonts w:eastAsia="標楷體"/>
                <w:color w:val="000000"/>
                <w:sz w:val="16"/>
                <w:szCs w:val="16"/>
              </w:rPr>
              <w:t xml:space="preserve">Malformation and </w:t>
            </w:r>
            <w:r w:rsidRPr="002A3505">
              <w:rPr>
                <w:rFonts w:eastAsia="標楷體" w:hint="eastAsia"/>
                <w:color w:val="000000"/>
                <w:sz w:val="16"/>
                <w:szCs w:val="16"/>
              </w:rPr>
              <w:t>c</w:t>
            </w:r>
            <w:r w:rsidRPr="002A3505">
              <w:rPr>
                <w:rFonts w:eastAsia="標楷體"/>
                <w:color w:val="000000"/>
                <w:sz w:val="16"/>
                <w:szCs w:val="16"/>
              </w:rPr>
              <w:t>hromosomal</w:t>
            </w:r>
            <w:r w:rsidRPr="002A3505">
              <w:rPr>
                <w:rFonts w:eastAsia="標楷體" w:hint="eastAsia"/>
                <w:color w:val="000000"/>
                <w:sz w:val="16"/>
                <w:szCs w:val="16"/>
              </w:rPr>
              <w:t xml:space="preserve"> </w:t>
            </w:r>
            <w:r w:rsidRPr="002A3505">
              <w:rPr>
                <w:rFonts w:eastAsia="標楷體"/>
                <w:color w:val="000000"/>
                <w:sz w:val="16"/>
                <w:szCs w:val="16"/>
              </w:rPr>
              <w:t>abnormalities</w:t>
            </w:r>
          </w:p>
        </w:tc>
        <w:tc>
          <w:tcPr>
            <w:tcW w:w="953" w:type="dxa"/>
            <w:tcBorders>
              <w:top w:val="nil"/>
              <w:left w:val="double" w:sz="6" w:space="0" w:color="FFE265"/>
              <w:bottom w:val="nil"/>
              <w:right w:val="thinThickSmallGap" w:sz="24" w:space="0" w:color="FFE265"/>
            </w:tcBorders>
            <w:shd w:val="clear" w:color="auto" w:fill="FFFFCC"/>
            <w:noWrap/>
            <w:vAlign w:val="center"/>
            <w:hideMark/>
          </w:tcPr>
          <w:p w:rsidR="00007FC0" w:rsidRPr="00947656" w:rsidRDefault="00007FC0" w:rsidP="00B1094B">
            <w:pPr>
              <w:widowControl/>
              <w:adjustRightInd/>
              <w:spacing w:line="280" w:lineRule="exact"/>
              <w:jc w:val="center"/>
              <w:textAlignment w:val="auto"/>
              <w:rPr>
                <w:sz w:val="16"/>
                <w:szCs w:val="16"/>
              </w:rPr>
            </w:pPr>
            <w:r w:rsidRPr="00947656">
              <w:rPr>
                <w:sz w:val="16"/>
                <w:szCs w:val="16"/>
              </w:rPr>
              <w:t xml:space="preserve">1.4 </w:t>
            </w:r>
          </w:p>
        </w:tc>
      </w:tr>
      <w:tr w:rsidR="00007FC0" w:rsidRPr="00947656" w:rsidTr="00DF4978">
        <w:trPr>
          <w:trHeight w:val="397"/>
        </w:trPr>
        <w:tc>
          <w:tcPr>
            <w:tcW w:w="3212" w:type="dxa"/>
            <w:tcBorders>
              <w:top w:val="nil"/>
              <w:left w:val="thickThinSmallGap" w:sz="24" w:space="0" w:color="C2D69B" w:themeColor="accent3" w:themeTint="99"/>
              <w:bottom w:val="nil"/>
              <w:right w:val="double" w:sz="6" w:space="0" w:color="C2D69B" w:themeColor="accent3" w:themeTint="99"/>
            </w:tcBorders>
            <w:shd w:val="clear" w:color="auto" w:fill="E9F0DC"/>
            <w:noWrap/>
            <w:tcMar>
              <w:left w:w="85" w:type="dxa"/>
              <w:right w:w="85" w:type="dxa"/>
            </w:tcMar>
            <w:vAlign w:val="center"/>
            <w:hideMark/>
          </w:tcPr>
          <w:p w:rsidR="00007FC0" w:rsidRPr="002A3505" w:rsidRDefault="00007FC0" w:rsidP="00BC4A0F">
            <w:pPr>
              <w:widowControl/>
              <w:adjustRightInd/>
              <w:spacing w:line="280" w:lineRule="exact"/>
              <w:jc w:val="both"/>
              <w:textAlignment w:val="auto"/>
              <w:rPr>
                <w:rFonts w:eastAsia="標楷體"/>
                <w:sz w:val="16"/>
                <w:szCs w:val="16"/>
              </w:rPr>
            </w:pPr>
            <w:r w:rsidRPr="002A3505">
              <w:rPr>
                <w:rFonts w:eastAsia="標楷體"/>
                <w:color w:val="000000"/>
                <w:sz w:val="16"/>
                <w:szCs w:val="16"/>
              </w:rPr>
              <w:t xml:space="preserve">Malformation and </w:t>
            </w:r>
            <w:r w:rsidRPr="002A3505">
              <w:rPr>
                <w:rFonts w:eastAsia="標楷體" w:hint="eastAsia"/>
                <w:color w:val="000000"/>
                <w:sz w:val="16"/>
                <w:szCs w:val="16"/>
              </w:rPr>
              <w:t>c</w:t>
            </w:r>
            <w:r w:rsidRPr="002A3505">
              <w:rPr>
                <w:rFonts w:eastAsia="標楷體"/>
                <w:color w:val="000000"/>
                <w:sz w:val="16"/>
                <w:szCs w:val="16"/>
              </w:rPr>
              <w:t>hromosomal</w:t>
            </w:r>
            <w:r w:rsidRPr="002A3505">
              <w:rPr>
                <w:rFonts w:eastAsia="標楷體" w:hint="eastAsia"/>
                <w:color w:val="000000"/>
                <w:sz w:val="16"/>
                <w:szCs w:val="16"/>
              </w:rPr>
              <w:t xml:space="preserve"> </w:t>
            </w:r>
            <w:r w:rsidRPr="002A3505">
              <w:rPr>
                <w:rFonts w:eastAsia="標楷體"/>
                <w:color w:val="000000"/>
                <w:sz w:val="16"/>
                <w:szCs w:val="16"/>
              </w:rPr>
              <w:t>abnormalities</w:t>
            </w:r>
          </w:p>
        </w:tc>
        <w:tc>
          <w:tcPr>
            <w:tcW w:w="946" w:type="dxa"/>
            <w:tcBorders>
              <w:top w:val="nil"/>
              <w:left w:val="double" w:sz="6" w:space="0" w:color="C2D69B" w:themeColor="accent3" w:themeTint="99"/>
              <w:bottom w:val="nil"/>
            </w:tcBorders>
            <w:shd w:val="clear" w:color="auto" w:fill="E9F0DC"/>
            <w:noWrap/>
            <w:vAlign w:val="center"/>
            <w:hideMark/>
          </w:tcPr>
          <w:p w:rsidR="00007FC0" w:rsidRPr="002A3505" w:rsidRDefault="00007FC0" w:rsidP="00B1094B">
            <w:pPr>
              <w:widowControl/>
              <w:adjustRightInd/>
              <w:spacing w:line="280" w:lineRule="exact"/>
              <w:jc w:val="center"/>
              <w:textAlignment w:val="auto"/>
              <w:rPr>
                <w:sz w:val="16"/>
                <w:szCs w:val="16"/>
              </w:rPr>
            </w:pPr>
            <w:r w:rsidRPr="002A3505">
              <w:rPr>
                <w:sz w:val="16"/>
                <w:szCs w:val="16"/>
              </w:rPr>
              <w:t xml:space="preserve">1.1 </w:t>
            </w:r>
          </w:p>
        </w:tc>
        <w:tc>
          <w:tcPr>
            <w:tcW w:w="3258" w:type="dxa"/>
            <w:tcBorders>
              <w:top w:val="nil"/>
              <w:left w:val="nil"/>
              <w:bottom w:val="nil"/>
              <w:right w:val="double" w:sz="6" w:space="0" w:color="FFE265"/>
            </w:tcBorders>
            <w:shd w:val="clear" w:color="auto" w:fill="FFFFCC"/>
            <w:noWrap/>
            <w:tcMar>
              <w:left w:w="85" w:type="dxa"/>
              <w:right w:w="85" w:type="dxa"/>
            </w:tcMar>
            <w:vAlign w:val="center"/>
            <w:hideMark/>
          </w:tcPr>
          <w:p w:rsidR="00007FC0" w:rsidRPr="002A3505" w:rsidRDefault="00007FC0" w:rsidP="00BC4A0F">
            <w:pPr>
              <w:widowControl/>
              <w:adjustRightInd/>
              <w:spacing w:line="320" w:lineRule="exact"/>
              <w:textAlignment w:val="auto"/>
              <w:rPr>
                <w:rFonts w:eastAsia="標楷體"/>
                <w:sz w:val="16"/>
                <w:szCs w:val="16"/>
              </w:rPr>
            </w:pPr>
            <w:r w:rsidRPr="002A3505">
              <w:rPr>
                <w:rFonts w:eastAsia="標楷體" w:hint="eastAsia"/>
                <w:color w:val="000000"/>
                <w:sz w:val="16"/>
                <w:szCs w:val="16"/>
              </w:rPr>
              <w:t>C</w:t>
            </w:r>
            <w:r w:rsidRPr="002A3505">
              <w:rPr>
                <w:rFonts w:eastAsia="標楷體"/>
                <w:color w:val="000000"/>
                <w:sz w:val="16"/>
                <w:szCs w:val="16"/>
              </w:rPr>
              <w:t>irrhosis</w:t>
            </w:r>
            <w:r w:rsidRPr="002A3505">
              <w:rPr>
                <w:rFonts w:eastAsia="標楷體" w:hint="eastAsia"/>
                <w:color w:val="000000"/>
                <w:sz w:val="16"/>
                <w:szCs w:val="16"/>
              </w:rPr>
              <w:t xml:space="preserve"> of l</w:t>
            </w:r>
            <w:r w:rsidRPr="002A3505">
              <w:rPr>
                <w:rFonts w:eastAsia="標楷體"/>
                <w:color w:val="000000"/>
                <w:sz w:val="16"/>
                <w:szCs w:val="16"/>
              </w:rPr>
              <w:t>iver</w:t>
            </w:r>
          </w:p>
        </w:tc>
        <w:tc>
          <w:tcPr>
            <w:tcW w:w="953" w:type="dxa"/>
            <w:tcBorders>
              <w:top w:val="nil"/>
              <w:left w:val="double" w:sz="6" w:space="0" w:color="FFE265"/>
              <w:bottom w:val="nil"/>
              <w:right w:val="thinThickSmallGap" w:sz="24" w:space="0" w:color="FFE265"/>
            </w:tcBorders>
            <w:shd w:val="clear" w:color="auto" w:fill="FFFFCC"/>
            <w:noWrap/>
            <w:vAlign w:val="center"/>
            <w:hideMark/>
          </w:tcPr>
          <w:p w:rsidR="00007FC0" w:rsidRPr="00947656" w:rsidRDefault="00007FC0" w:rsidP="00B1094B">
            <w:pPr>
              <w:widowControl/>
              <w:adjustRightInd/>
              <w:spacing w:line="280" w:lineRule="exact"/>
              <w:jc w:val="center"/>
              <w:textAlignment w:val="auto"/>
              <w:rPr>
                <w:sz w:val="16"/>
                <w:szCs w:val="16"/>
              </w:rPr>
            </w:pPr>
            <w:r w:rsidRPr="00947656">
              <w:rPr>
                <w:sz w:val="16"/>
                <w:szCs w:val="16"/>
              </w:rPr>
              <w:t xml:space="preserve">1.3 </w:t>
            </w:r>
          </w:p>
        </w:tc>
      </w:tr>
      <w:tr w:rsidR="00007FC0" w:rsidRPr="00947656" w:rsidTr="00DF4978">
        <w:trPr>
          <w:trHeight w:val="397"/>
        </w:trPr>
        <w:tc>
          <w:tcPr>
            <w:tcW w:w="3212" w:type="dxa"/>
            <w:tcBorders>
              <w:top w:val="nil"/>
              <w:left w:val="thickThinSmallGap" w:sz="24" w:space="0" w:color="C2D69B" w:themeColor="accent3" w:themeTint="99"/>
              <w:right w:val="double" w:sz="6" w:space="0" w:color="C2D69B" w:themeColor="accent3" w:themeTint="99"/>
            </w:tcBorders>
            <w:shd w:val="clear" w:color="auto" w:fill="E9F0DC"/>
            <w:noWrap/>
            <w:tcMar>
              <w:left w:w="85" w:type="dxa"/>
              <w:right w:w="85" w:type="dxa"/>
            </w:tcMar>
            <w:vAlign w:val="center"/>
            <w:hideMark/>
          </w:tcPr>
          <w:p w:rsidR="00007FC0" w:rsidRPr="002A3505" w:rsidRDefault="00007FC0" w:rsidP="00BC4A0F">
            <w:pPr>
              <w:widowControl/>
              <w:adjustRightInd/>
              <w:spacing w:line="280" w:lineRule="exact"/>
              <w:jc w:val="both"/>
              <w:textAlignment w:val="auto"/>
              <w:rPr>
                <w:rFonts w:eastAsia="標楷體"/>
                <w:sz w:val="16"/>
                <w:szCs w:val="16"/>
              </w:rPr>
            </w:pPr>
            <w:r w:rsidRPr="002A3505">
              <w:rPr>
                <w:rFonts w:eastAsia="標楷體"/>
                <w:sz w:val="16"/>
                <w:szCs w:val="16"/>
              </w:rPr>
              <w:t>Organ transplants</w:t>
            </w:r>
          </w:p>
        </w:tc>
        <w:tc>
          <w:tcPr>
            <w:tcW w:w="946" w:type="dxa"/>
            <w:tcBorders>
              <w:top w:val="nil"/>
              <w:left w:val="double" w:sz="6" w:space="0" w:color="C2D69B" w:themeColor="accent3" w:themeTint="99"/>
            </w:tcBorders>
            <w:shd w:val="clear" w:color="auto" w:fill="E9F0DC"/>
            <w:noWrap/>
            <w:vAlign w:val="center"/>
            <w:hideMark/>
          </w:tcPr>
          <w:p w:rsidR="00007FC0" w:rsidRPr="002A3505" w:rsidRDefault="00007FC0" w:rsidP="00B1094B">
            <w:pPr>
              <w:widowControl/>
              <w:adjustRightInd/>
              <w:spacing w:line="280" w:lineRule="exact"/>
              <w:jc w:val="center"/>
              <w:textAlignment w:val="auto"/>
              <w:rPr>
                <w:sz w:val="16"/>
                <w:szCs w:val="16"/>
              </w:rPr>
            </w:pPr>
            <w:r w:rsidRPr="002A3505">
              <w:rPr>
                <w:sz w:val="16"/>
                <w:szCs w:val="16"/>
              </w:rPr>
              <w:t xml:space="preserve">1.1 </w:t>
            </w:r>
          </w:p>
        </w:tc>
        <w:tc>
          <w:tcPr>
            <w:tcW w:w="3258" w:type="dxa"/>
            <w:tcBorders>
              <w:top w:val="nil"/>
              <w:left w:val="nil"/>
              <w:bottom w:val="nil"/>
              <w:right w:val="double" w:sz="6" w:space="0" w:color="FFE265"/>
            </w:tcBorders>
            <w:shd w:val="clear" w:color="auto" w:fill="FFFFCC"/>
            <w:noWrap/>
            <w:tcMar>
              <w:left w:w="85" w:type="dxa"/>
              <w:right w:w="85" w:type="dxa"/>
            </w:tcMar>
            <w:vAlign w:val="center"/>
            <w:hideMark/>
          </w:tcPr>
          <w:p w:rsidR="00007FC0" w:rsidRPr="002A3505" w:rsidRDefault="00007FC0" w:rsidP="00BC4A0F">
            <w:pPr>
              <w:widowControl/>
              <w:adjustRightInd/>
              <w:spacing w:line="320" w:lineRule="exact"/>
              <w:textAlignment w:val="auto"/>
              <w:rPr>
                <w:rFonts w:eastAsia="標楷體"/>
                <w:sz w:val="16"/>
                <w:szCs w:val="16"/>
              </w:rPr>
            </w:pPr>
            <w:r w:rsidRPr="002A3505">
              <w:rPr>
                <w:rFonts w:eastAsia="標楷體"/>
                <w:color w:val="000000"/>
                <w:sz w:val="16"/>
                <w:szCs w:val="16"/>
              </w:rPr>
              <w:t>Major traum</w:t>
            </w:r>
            <w:r w:rsidR="00186BB4">
              <w:rPr>
                <w:rFonts w:eastAsia="標楷體" w:hint="eastAsia"/>
                <w:color w:val="000000"/>
                <w:sz w:val="16"/>
                <w:szCs w:val="16"/>
              </w:rPr>
              <w:t>a</w:t>
            </w:r>
          </w:p>
        </w:tc>
        <w:tc>
          <w:tcPr>
            <w:tcW w:w="953" w:type="dxa"/>
            <w:tcBorders>
              <w:top w:val="nil"/>
              <w:left w:val="double" w:sz="6" w:space="0" w:color="FFE265"/>
              <w:bottom w:val="nil"/>
              <w:right w:val="thinThickSmallGap" w:sz="24" w:space="0" w:color="FFE265"/>
            </w:tcBorders>
            <w:shd w:val="clear" w:color="auto" w:fill="FFFFCC"/>
            <w:noWrap/>
            <w:vAlign w:val="center"/>
            <w:hideMark/>
          </w:tcPr>
          <w:p w:rsidR="00007FC0" w:rsidRPr="00947656" w:rsidRDefault="00007FC0" w:rsidP="00B1094B">
            <w:pPr>
              <w:widowControl/>
              <w:adjustRightInd/>
              <w:spacing w:line="280" w:lineRule="exact"/>
              <w:jc w:val="center"/>
              <w:textAlignment w:val="auto"/>
              <w:rPr>
                <w:sz w:val="16"/>
                <w:szCs w:val="16"/>
              </w:rPr>
            </w:pPr>
            <w:r w:rsidRPr="00947656">
              <w:rPr>
                <w:sz w:val="16"/>
                <w:szCs w:val="16"/>
              </w:rPr>
              <w:t xml:space="preserve">1.1 </w:t>
            </w:r>
          </w:p>
        </w:tc>
      </w:tr>
      <w:tr w:rsidR="00007FC0" w:rsidRPr="00947656" w:rsidTr="00DF4978">
        <w:trPr>
          <w:trHeight w:val="397"/>
        </w:trPr>
        <w:tc>
          <w:tcPr>
            <w:tcW w:w="3212" w:type="dxa"/>
            <w:tcBorders>
              <w:top w:val="nil"/>
              <w:left w:val="thickThinSmallGap" w:sz="24" w:space="0" w:color="C2D69B" w:themeColor="accent3" w:themeTint="99"/>
              <w:bottom w:val="thinThickSmallGap" w:sz="24" w:space="0" w:color="C2D69B" w:themeColor="accent3" w:themeTint="99"/>
              <w:right w:val="double" w:sz="6" w:space="0" w:color="C2D69B" w:themeColor="accent3" w:themeTint="99"/>
            </w:tcBorders>
            <w:shd w:val="clear" w:color="auto" w:fill="E9F0DC"/>
            <w:tcMar>
              <w:left w:w="85" w:type="dxa"/>
              <w:right w:w="85" w:type="dxa"/>
            </w:tcMar>
            <w:vAlign w:val="center"/>
            <w:hideMark/>
          </w:tcPr>
          <w:p w:rsidR="00007FC0" w:rsidRPr="002A3505" w:rsidRDefault="00007FC0" w:rsidP="00BC4A0F">
            <w:pPr>
              <w:widowControl/>
              <w:adjustRightInd/>
              <w:spacing w:line="280" w:lineRule="exact"/>
              <w:jc w:val="both"/>
              <w:textAlignment w:val="auto"/>
              <w:rPr>
                <w:rFonts w:eastAsia="標楷體"/>
                <w:sz w:val="16"/>
                <w:szCs w:val="16"/>
              </w:rPr>
            </w:pPr>
            <w:r w:rsidRPr="002A3505">
              <w:rPr>
                <w:rFonts w:eastAsia="標楷體"/>
                <w:sz w:val="16"/>
                <w:szCs w:val="16"/>
              </w:rPr>
              <w:t>Spinal injury</w:t>
            </w:r>
            <w:r w:rsidRPr="002A3505">
              <w:rPr>
                <w:rFonts w:eastAsia="標楷體" w:hint="eastAsia"/>
                <w:sz w:val="16"/>
                <w:szCs w:val="16"/>
              </w:rPr>
              <w:t xml:space="preserve"> or </w:t>
            </w:r>
            <w:proofErr w:type="spellStart"/>
            <w:r w:rsidRPr="002A3505">
              <w:rPr>
                <w:rFonts w:eastAsia="標楷體" w:hint="eastAsia"/>
                <w:sz w:val="16"/>
                <w:szCs w:val="16"/>
              </w:rPr>
              <w:t>myeleterosis</w:t>
            </w:r>
            <w:proofErr w:type="spellEnd"/>
          </w:p>
        </w:tc>
        <w:tc>
          <w:tcPr>
            <w:tcW w:w="946" w:type="dxa"/>
            <w:tcBorders>
              <w:top w:val="nil"/>
              <w:left w:val="double" w:sz="6" w:space="0" w:color="C2D69B" w:themeColor="accent3" w:themeTint="99"/>
              <w:bottom w:val="thinThickSmallGap" w:sz="24" w:space="0" w:color="C2D69B" w:themeColor="accent3" w:themeTint="99"/>
            </w:tcBorders>
            <w:shd w:val="clear" w:color="auto" w:fill="E9F0DC"/>
            <w:noWrap/>
            <w:vAlign w:val="center"/>
            <w:hideMark/>
          </w:tcPr>
          <w:p w:rsidR="00007FC0" w:rsidRPr="002A3505" w:rsidRDefault="00007FC0" w:rsidP="00B1094B">
            <w:pPr>
              <w:widowControl/>
              <w:adjustRightInd/>
              <w:spacing w:line="280" w:lineRule="exact"/>
              <w:jc w:val="center"/>
              <w:textAlignment w:val="auto"/>
              <w:rPr>
                <w:sz w:val="16"/>
                <w:szCs w:val="16"/>
              </w:rPr>
            </w:pPr>
            <w:r w:rsidRPr="002A3505">
              <w:rPr>
                <w:sz w:val="16"/>
                <w:szCs w:val="16"/>
              </w:rPr>
              <w:t xml:space="preserve">0.7 </w:t>
            </w:r>
          </w:p>
        </w:tc>
        <w:tc>
          <w:tcPr>
            <w:tcW w:w="3258" w:type="dxa"/>
            <w:tcBorders>
              <w:top w:val="nil"/>
              <w:left w:val="nil"/>
              <w:bottom w:val="thinThickSmallGap" w:sz="24" w:space="0" w:color="FFE265"/>
              <w:right w:val="double" w:sz="6" w:space="0" w:color="FFE265"/>
            </w:tcBorders>
            <w:shd w:val="clear" w:color="auto" w:fill="FFFFCC"/>
            <w:noWrap/>
            <w:tcMar>
              <w:left w:w="85" w:type="dxa"/>
              <w:right w:w="85" w:type="dxa"/>
            </w:tcMar>
            <w:vAlign w:val="center"/>
            <w:hideMark/>
          </w:tcPr>
          <w:p w:rsidR="00007FC0" w:rsidRPr="002A3505" w:rsidRDefault="00007FC0" w:rsidP="00BC4A0F">
            <w:pPr>
              <w:widowControl/>
              <w:adjustRightInd/>
              <w:spacing w:line="320" w:lineRule="exact"/>
              <w:textAlignment w:val="auto"/>
              <w:rPr>
                <w:rFonts w:eastAsia="標楷體"/>
                <w:sz w:val="16"/>
                <w:szCs w:val="16"/>
              </w:rPr>
            </w:pPr>
            <w:r w:rsidRPr="002A3505">
              <w:rPr>
                <w:rFonts w:eastAsia="標楷體"/>
                <w:sz w:val="16"/>
                <w:szCs w:val="16"/>
              </w:rPr>
              <w:t>Organ transplants</w:t>
            </w:r>
          </w:p>
        </w:tc>
        <w:tc>
          <w:tcPr>
            <w:tcW w:w="953" w:type="dxa"/>
            <w:tcBorders>
              <w:top w:val="nil"/>
              <w:left w:val="double" w:sz="6" w:space="0" w:color="FFE265"/>
              <w:bottom w:val="thinThickSmallGap" w:sz="24" w:space="0" w:color="FFE265"/>
              <w:right w:val="thinThickSmallGap" w:sz="24" w:space="0" w:color="FFE265"/>
            </w:tcBorders>
            <w:shd w:val="clear" w:color="auto" w:fill="FFFFCC"/>
            <w:noWrap/>
            <w:vAlign w:val="center"/>
            <w:hideMark/>
          </w:tcPr>
          <w:p w:rsidR="00007FC0" w:rsidRPr="00947656" w:rsidRDefault="00007FC0" w:rsidP="00B1094B">
            <w:pPr>
              <w:widowControl/>
              <w:adjustRightInd/>
              <w:spacing w:line="280" w:lineRule="exact"/>
              <w:jc w:val="center"/>
              <w:textAlignment w:val="auto"/>
              <w:rPr>
                <w:sz w:val="16"/>
                <w:szCs w:val="16"/>
              </w:rPr>
            </w:pPr>
            <w:r w:rsidRPr="00947656">
              <w:rPr>
                <w:sz w:val="16"/>
                <w:szCs w:val="16"/>
              </w:rPr>
              <w:t xml:space="preserve">0.6 </w:t>
            </w:r>
          </w:p>
        </w:tc>
      </w:tr>
    </w:tbl>
    <w:p w:rsidR="00FC0D55" w:rsidRPr="00947656" w:rsidRDefault="00FC0D55" w:rsidP="00730DFA">
      <w:pPr>
        <w:spacing w:beforeLines="150" w:after="120"/>
        <w:ind w:leftChars="119" w:left="624" w:hangingChars="130" w:hanging="338"/>
        <w:jc w:val="both"/>
        <w:rPr>
          <w:rFonts w:eastAsia="標楷體"/>
          <w:b/>
          <w:sz w:val="26"/>
          <w:szCs w:val="26"/>
        </w:rPr>
      </w:pPr>
      <w:r w:rsidRPr="00947656">
        <w:rPr>
          <w:rFonts w:eastAsia="標楷體"/>
          <w:b/>
          <w:sz w:val="26"/>
          <w:szCs w:val="26"/>
        </w:rPr>
        <w:t>d.</w:t>
      </w:r>
      <w:r w:rsidR="00F8528D" w:rsidRPr="00F8528D">
        <w:rPr>
          <w:b/>
          <w:bCs/>
          <w:sz w:val="26"/>
          <w:szCs w:val="26"/>
        </w:rPr>
        <w:t xml:space="preserve"> </w:t>
      </w:r>
      <w:r w:rsidR="00F8528D" w:rsidRPr="009B2815">
        <w:rPr>
          <w:b/>
          <w:bCs/>
          <w:sz w:val="26"/>
          <w:szCs w:val="26"/>
        </w:rPr>
        <w:t xml:space="preserve">The age group of 65 and above had the highest </w:t>
      </w:r>
      <w:r w:rsidR="00E55EC5">
        <w:rPr>
          <w:rFonts w:hint="eastAsia"/>
          <w:b/>
          <w:bCs/>
          <w:sz w:val="26"/>
          <w:szCs w:val="26"/>
        </w:rPr>
        <w:t xml:space="preserve">medical </w:t>
      </w:r>
      <w:r w:rsidR="00F8528D" w:rsidRPr="009B2815">
        <w:rPr>
          <w:b/>
          <w:bCs/>
          <w:sz w:val="26"/>
          <w:szCs w:val="26"/>
        </w:rPr>
        <w:t>claim</w:t>
      </w:r>
      <w:r w:rsidR="00BC5E75">
        <w:rPr>
          <w:rFonts w:hint="eastAsia"/>
          <w:b/>
          <w:bCs/>
          <w:sz w:val="26"/>
          <w:szCs w:val="26"/>
        </w:rPr>
        <w:t>s</w:t>
      </w:r>
    </w:p>
    <w:p w:rsidR="00F8528D" w:rsidRPr="009B2815" w:rsidRDefault="00F8528D" w:rsidP="00E55EC5">
      <w:pPr>
        <w:pStyle w:val="1"/>
        <w:spacing w:after="120" w:line="440" w:lineRule="atLeast"/>
        <w:ind w:leftChars="236" w:left="566" w:firstLineChars="218" w:firstLine="567"/>
        <w:jc w:val="both"/>
        <w:rPr>
          <w:sz w:val="26"/>
          <w:szCs w:val="26"/>
        </w:rPr>
      </w:pPr>
      <w:r w:rsidRPr="009B2815">
        <w:rPr>
          <w:sz w:val="26"/>
          <w:szCs w:val="26"/>
        </w:rPr>
        <w:t xml:space="preserve">Broken down by age group, the claims </w:t>
      </w:r>
      <w:r w:rsidR="00CB3105">
        <w:rPr>
          <w:rFonts w:hint="eastAsia"/>
          <w:sz w:val="26"/>
          <w:szCs w:val="26"/>
        </w:rPr>
        <w:t>of</w:t>
      </w:r>
      <w:r w:rsidRPr="009B2815">
        <w:rPr>
          <w:sz w:val="26"/>
          <w:szCs w:val="26"/>
        </w:rPr>
        <w:t xml:space="preserve"> major illness/injury in 2011 were, respectively, </w:t>
      </w:r>
      <w:r w:rsidR="0027648F">
        <w:rPr>
          <w:rFonts w:hint="eastAsia"/>
          <w:sz w:val="26"/>
          <w:szCs w:val="26"/>
        </w:rPr>
        <w:t>2</w:t>
      </w:r>
      <w:r w:rsidRPr="009B2815">
        <w:rPr>
          <w:sz w:val="26"/>
          <w:szCs w:val="26"/>
        </w:rPr>
        <w:t xml:space="preserve"> billion RVU</w:t>
      </w:r>
      <w:r w:rsidR="00CB3105" w:rsidRPr="009B2815">
        <w:rPr>
          <w:sz w:val="26"/>
          <w:szCs w:val="26"/>
        </w:rPr>
        <w:t xml:space="preserve"> (2.4%)</w:t>
      </w:r>
      <w:r w:rsidR="00CB3105">
        <w:rPr>
          <w:rFonts w:hint="eastAsia"/>
          <w:sz w:val="26"/>
          <w:szCs w:val="26"/>
        </w:rPr>
        <w:t xml:space="preserve"> </w:t>
      </w:r>
      <w:r w:rsidRPr="009B2815">
        <w:rPr>
          <w:sz w:val="26"/>
          <w:szCs w:val="26"/>
        </w:rPr>
        <w:t>for the 0–14 group</w:t>
      </w:r>
      <w:r w:rsidR="00CB3105">
        <w:rPr>
          <w:rFonts w:hint="eastAsia"/>
          <w:sz w:val="26"/>
          <w:szCs w:val="26"/>
        </w:rPr>
        <w:t>,</w:t>
      </w:r>
      <w:r w:rsidRPr="009B2815">
        <w:rPr>
          <w:sz w:val="26"/>
          <w:szCs w:val="26"/>
        </w:rPr>
        <w:t xml:space="preserve"> </w:t>
      </w:r>
      <w:r w:rsidR="0027648F">
        <w:rPr>
          <w:rFonts w:hint="eastAsia"/>
          <w:sz w:val="26"/>
          <w:szCs w:val="26"/>
        </w:rPr>
        <w:t>3</w:t>
      </w:r>
      <w:r w:rsidRPr="009B2815">
        <w:rPr>
          <w:sz w:val="26"/>
          <w:szCs w:val="26"/>
        </w:rPr>
        <w:t xml:space="preserve"> billion RVU </w:t>
      </w:r>
      <w:r w:rsidR="00CB3105" w:rsidRPr="009B2815">
        <w:rPr>
          <w:sz w:val="26"/>
          <w:szCs w:val="26"/>
        </w:rPr>
        <w:t>(4.2%)</w:t>
      </w:r>
      <w:r w:rsidR="00CB3105">
        <w:rPr>
          <w:rFonts w:hint="eastAsia"/>
          <w:sz w:val="26"/>
          <w:szCs w:val="26"/>
        </w:rPr>
        <w:t xml:space="preserve"> </w:t>
      </w:r>
      <w:r w:rsidRPr="009B2815">
        <w:rPr>
          <w:sz w:val="26"/>
          <w:szCs w:val="26"/>
        </w:rPr>
        <w:t xml:space="preserve">for the 15–29 group, </w:t>
      </w:r>
      <w:r w:rsidR="0027648F">
        <w:rPr>
          <w:rFonts w:hint="eastAsia"/>
          <w:sz w:val="26"/>
          <w:szCs w:val="26"/>
        </w:rPr>
        <w:t>9</w:t>
      </w:r>
      <w:r w:rsidRPr="009B2815">
        <w:rPr>
          <w:sz w:val="26"/>
          <w:szCs w:val="26"/>
        </w:rPr>
        <w:t xml:space="preserve"> billion RVU </w:t>
      </w:r>
      <w:r w:rsidR="00CB3105" w:rsidRPr="009B2815">
        <w:rPr>
          <w:sz w:val="26"/>
          <w:szCs w:val="26"/>
        </w:rPr>
        <w:t>(12.1%)</w:t>
      </w:r>
      <w:r w:rsidR="00CB3105">
        <w:rPr>
          <w:rFonts w:hint="eastAsia"/>
          <w:sz w:val="26"/>
          <w:szCs w:val="26"/>
        </w:rPr>
        <w:t xml:space="preserve"> </w:t>
      </w:r>
      <w:r w:rsidRPr="009B2815">
        <w:rPr>
          <w:sz w:val="26"/>
          <w:szCs w:val="26"/>
        </w:rPr>
        <w:t>for the 30–44 group</w:t>
      </w:r>
      <w:r w:rsidR="00CB3105">
        <w:rPr>
          <w:rFonts w:hint="eastAsia"/>
          <w:sz w:val="26"/>
          <w:szCs w:val="26"/>
        </w:rPr>
        <w:t>,</w:t>
      </w:r>
      <w:r w:rsidRPr="009B2815">
        <w:rPr>
          <w:sz w:val="26"/>
          <w:szCs w:val="26"/>
        </w:rPr>
        <w:t xml:space="preserve"> 2</w:t>
      </w:r>
      <w:r w:rsidR="0027648F">
        <w:rPr>
          <w:rFonts w:hint="eastAsia"/>
          <w:sz w:val="26"/>
          <w:szCs w:val="26"/>
        </w:rPr>
        <w:t>7</w:t>
      </w:r>
      <w:r w:rsidRPr="009B2815">
        <w:rPr>
          <w:sz w:val="26"/>
          <w:szCs w:val="26"/>
        </w:rPr>
        <w:t xml:space="preserve"> billion RVU </w:t>
      </w:r>
      <w:r w:rsidR="00CB3105" w:rsidRPr="009B2815">
        <w:rPr>
          <w:sz w:val="26"/>
          <w:szCs w:val="26"/>
        </w:rPr>
        <w:t>(37.6%)</w:t>
      </w:r>
      <w:r w:rsidR="00CB3105">
        <w:rPr>
          <w:rFonts w:hint="eastAsia"/>
          <w:sz w:val="26"/>
          <w:szCs w:val="26"/>
        </w:rPr>
        <w:t xml:space="preserve"> </w:t>
      </w:r>
      <w:r w:rsidRPr="009B2815">
        <w:rPr>
          <w:sz w:val="26"/>
          <w:szCs w:val="26"/>
        </w:rPr>
        <w:t>for the 45–64 group and 3</w:t>
      </w:r>
      <w:r w:rsidR="0027648F">
        <w:rPr>
          <w:rFonts w:hint="eastAsia"/>
          <w:sz w:val="26"/>
          <w:szCs w:val="26"/>
        </w:rPr>
        <w:t>1</w:t>
      </w:r>
      <w:r w:rsidRPr="009B2815">
        <w:rPr>
          <w:sz w:val="26"/>
          <w:szCs w:val="26"/>
        </w:rPr>
        <w:t xml:space="preserve"> billion RVU </w:t>
      </w:r>
      <w:r w:rsidR="00CB3105" w:rsidRPr="009B2815">
        <w:rPr>
          <w:sz w:val="26"/>
          <w:szCs w:val="26"/>
        </w:rPr>
        <w:t>(43.8%)</w:t>
      </w:r>
      <w:r w:rsidR="00CB3105">
        <w:rPr>
          <w:rFonts w:hint="eastAsia"/>
          <w:sz w:val="26"/>
          <w:szCs w:val="26"/>
        </w:rPr>
        <w:t xml:space="preserve"> </w:t>
      </w:r>
      <w:r w:rsidRPr="009B2815">
        <w:rPr>
          <w:sz w:val="26"/>
          <w:szCs w:val="26"/>
        </w:rPr>
        <w:t xml:space="preserve">for the group of 65 and above. Males had higher claim amount than females in all age groups. </w:t>
      </w:r>
    </w:p>
    <w:p w:rsidR="00B14147" w:rsidRPr="00947656" w:rsidRDefault="00F8528D" w:rsidP="00BB717B">
      <w:pPr>
        <w:pStyle w:val="a5"/>
        <w:spacing w:after="120" w:line="440" w:lineRule="atLeast"/>
        <w:ind w:leftChars="236" w:left="566" w:firstLineChars="218" w:firstLine="567"/>
        <w:jc w:val="both"/>
        <w:rPr>
          <w:rFonts w:eastAsia="標楷體"/>
          <w:sz w:val="26"/>
          <w:szCs w:val="26"/>
        </w:rPr>
      </w:pPr>
      <w:r w:rsidRPr="009B2815">
        <w:rPr>
          <w:sz w:val="26"/>
          <w:szCs w:val="26"/>
        </w:rPr>
        <w:t>In terms of the average RVU per case for major illness/injury in 2011, males had higher claims than females in all age groups.</w:t>
      </w:r>
    </w:p>
    <w:p w:rsidR="00B14147" w:rsidRPr="00947656" w:rsidRDefault="00856B85" w:rsidP="00730DFA">
      <w:pPr>
        <w:pStyle w:val="a5"/>
        <w:spacing w:beforeLines="50" w:after="240"/>
        <w:ind w:leftChars="177" w:left="425"/>
        <w:jc w:val="center"/>
        <w:rPr>
          <w:rFonts w:eastAsia="標楷體"/>
          <w:b/>
          <w:sz w:val="26"/>
          <w:szCs w:val="26"/>
        </w:rPr>
      </w:pPr>
      <w:r w:rsidRPr="00856B85">
        <w:rPr>
          <w:rFonts w:eastAsia="標楷體"/>
          <w:b/>
          <w:noProof/>
          <w:sz w:val="26"/>
          <w:szCs w:val="26"/>
        </w:rPr>
        <w:lastRenderedPageBreak/>
        <w:drawing>
          <wp:inline distT="0" distB="0" distL="0" distR="0">
            <wp:extent cx="5086350" cy="3305175"/>
            <wp:effectExtent l="0" t="0" r="0" b="0"/>
            <wp:docPr id="30" name="圖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A20B6D" w:rsidRPr="00947656" w:rsidRDefault="002179B3" w:rsidP="00BC5E75">
      <w:pPr>
        <w:spacing w:before="120" w:after="120"/>
        <w:jc w:val="both"/>
        <w:rPr>
          <w:rFonts w:eastAsia="標楷體"/>
          <w:b/>
          <w:sz w:val="26"/>
          <w:szCs w:val="26"/>
        </w:rPr>
      </w:pPr>
      <w:r>
        <w:rPr>
          <w:rFonts w:eastAsia="標楷體" w:hint="eastAsia"/>
          <w:b/>
          <w:sz w:val="26"/>
        </w:rPr>
        <w:t>（</w:t>
      </w:r>
      <w:r w:rsidR="00765E96" w:rsidRPr="00947656">
        <w:rPr>
          <w:rFonts w:eastAsia="標楷體"/>
          <w:b/>
          <w:sz w:val="26"/>
        </w:rPr>
        <w:t>5</w:t>
      </w:r>
      <w:r>
        <w:rPr>
          <w:rFonts w:eastAsia="標楷體" w:hint="eastAsia"/>
          <w:b/>
          <w:sz w:val="26"/>
        </w:rPr>
        <w:t>）</w:t>
      </w:r>
      <w:r>
        <w:rPr>
          <w:rFonts w:eastAsia="標楷體" w:hint="eastAsia"/>
          <w:b/>
          <w:sz w:val="26"/>
        </w:rPr>
        <w:t>Medical Expense Copayments</w:t>
      </w:r>
    </w:p>
    <w:p w:rsidR="00F54EC5" w:rsidRPr="00947656" w:rsidRDefault="007F65CD" w:rsidP="00DF4978">
      <w:pPr>
        <w:pStyle w:val="a5"/>
        <w:spacing w:after="360" w:line="460" w:lineRule="atLeast"/>
        <w:ind w:leftChars="100" w:left="240" w:firstLineChars="200" w:firstLine="520"/>
        <w:jc w:val="both"/>
        <w:rPr>
          <w:rFonts w:eastAsia="標楷體"/>
          <w:sz w:val="26"/>
          <w:szCs w:val="26"/>
        </w:rPr>
      </w:pPr>
      <w:r w:rsidRPr="009B2815">
        <w:rPr>
          <w:sz w:val="26"/>
          <w:szCs w:val="26"/>
        </w:rPr>
        <w:t>Medical expense copayments totaled NT$36 billion in 2011, being 6.5% of the total medical expenses and a 3.6% increase from the previous year. Outpatient copayments amounted to NT$2</w:t>
      </w:r>
      <w:r w:rsidR="0027648F">
        <w:rPr>
          <w:rFonts w:hint="eastAsia"/>
          <w:sz w:val="26"/>
          <w:szCs w:val="26"/>
        </w:rPr>
        <w:t>9</w:t>
      </w:r>
      <w:r w:rsidRPr="009B2815">
        <w:rPr>
          <w:sz w:val="26"/>
          <w:szCs w:val="26"/>
        </w:rPr>
        <w:t xml:space="preserve"> billion, </w:t>
      </w:r>
      <w:r w:rsidR="00C975D8">
        <w:rPr>
          <w:rFonts w:hint="eastAsia"/>
          <w:sz w:val="26"/>
          <w:szCs w:val="26"/>
        </w:rPr>
        <w:t xml:space="preserve">showing a </w:t>
      </w:r>
      <w:r w:rsidRPr="009B2815">
        <w:rPr>
          <w:sz w:val="26"/>
          <w:szCs w:val="26"/>
        </w:rPr>
        <w:t xml:space="preserve">3.9% </w:t>
      </w:r>
      <w:r w:rsidR="00C975D8">
        <w:rPr>
          <w:sz w:val="26"/>
          <w:szCs w:val="26"/>
        </w:rPr>
        <w:t>increase</w:t>
      </w:r>
      <w:r w:rsidR="00C975D8">
        <w:rPr>
          <w:rFonts w:hint="eastAsia"/>
          <w:sz w:val="26"/>
          <w:szCs w:val="26"/>
        </w:rPr>
        <w:t xml:space="preserve"> from</w:t>
      </w:r>
      <w:r w:rsidRPr="009B2815">
        <w:rPr>
          <w:sz w:val="26"/>
          <w:szCs w:val="26"/>
        </w:rPr>
        <w:t xml:space="preserve"> the previous year. Inpatient copayments were NT$7 billion, </w:t>
      </w:r>
      <w:r w:rsidR="00C975D8">
        <w:rPr>
          <w:rFonts w:hint="eastAsia"/>
          <w:sz w:val="26"/>
          <w:szCs w:val="26"/>
        </w:rPr>
        <w:t xml:space="preserve">showing </w:t>
      </w:r>
      <w:r w:rsidRPr="009B2815">
        <w:rPr>
          <w:sz w:val="26"/>
          <w:szCs w:val="26"/>
        </w:rPr>
        <w:t>a 2.1% increase from the previous year.</w:t>
      </w:r>
    </w:p>
    <w:p w:rsidR="00F54EC5" w:rsidRPr="00947656" w:rsidRDefault="002179B3" w:rsidP="00BC5E75">
      <w:pPr>
        <w:pStyle w:val="a5"/>
        <w:spacing w:after="120"/>
        <w:ind w:leftChars="60" w:left="144"/>
        <w:jc w:val="both"/>
        <w:rPr>
          <w:rFonts w:eastAsia="標楷體"/>
          <w:b/>
          <w:sz w:val="26"/>
        </w:rPr>
      </w:pPr>
      <w:proofErr w:type="spellStart"/>
      <w:r>
        <w:rPr>
          <w:rFonts w:eastAsia="標楷體" w:hint="eastAsia"/>
          <w:b/>
          <w:sz w:val="26"/>
        </w:rPr>
        <w:t>i</w:t>
      </w:r>
      <w:proofErr w:type="spellEnd"/>
      <w:r>
        <w:rPr>
          <w:rFonts w:eastAsia="標楷體" w:hint="eastAsia"/>
          <w:b/>
          <w:sz w:val="26"/>
        </w:rPr>
        <w:t xml:space="preserve">. </w:t>
      </w:r>
      <w:r w:rsidRPr="00BB717B">
        <w:rPr>
          <w:rFonts w:eastAsia="標楷體" w:hint="eastAsia"/>
          <w:b/>
          <w:sz w:val="26"/>
          <w:szCs w:val="26"/>
        </w:rPr>
        <w:t>Outpatient</w:t>
      </w:r>
      <w:r>
        <w:rPr>
          <w:rFonts w:eastAsia="標楷體" w:hint="eastAsia"/>
          <w:b/>
          <w:sz w:val="26"/>
        </w:rPr>
        <w:t xml:space="preserve"> Service</w:t>
      </w:r>
    </w:p>
    <w:p w:rsidR="003E65E8" w:rsidRPr="00947656" w:rsidRDefault="003E65E8" w:rsidP="00BB717B">
      <w:pPr>
        <w:pStyle w:val="a5"/>
        <w:spacing w:after="120"/>
        <w:ind w:leftChars="119" w:left="624" w:hangingChars="130" w:hanging="338"/>
        <w:jc w:val="both"/>
        <w:rPr>
          <w:rFonts w:eastAsia="標楷體"/>
          <w:b/>
          <w:sz w:val="26"/>
          <w:szCs w:val="26"/>
        </w:rPr>
      </w:pPr>
      <w:r>
        <w:rPr>
          <w:rFonts w:hint="eastAsia"/>
          <w:b/>
          <w:bCs/>
          <w:sz w:val="26"/>
          <w:szCs w:val="26"/>
        </w:rPr>
        <w:t xml:space="preserve">a. </w:t>
      </w:r>
      <w:r w:rsidRPr="009B2815">
        <w:rPr>
          <w:b/>
          <w:bCs/>
          <w:sz w:val="26"/>
          <w:szCs w:val="26"/>
        </w:rPr>
        <w:t xml:space="preserve">The highest copayment was seen from </w:t>
      </w:r>
      <w:r>
        <w:rPr>
          <w:rFonts w:hint="eastAsia"/>
          <w:b/>
          <w:bCs/>
          <w:sz w:val="26"/>
          <w:szCs w:val="26"/>
        </w:rPr>
        <w:t>beneficiarie</w:t>
      </w:r>
      <w:r w:rsidRPr="009B2815">
        <w:rPr>
          <w:b/>
          <w:bCs/>
          <w:sz w:val="26"/>
          <w:szCs w:val="26"/>
        </w:rPr>
        <w:t xml:space="preserve">s visiting </w:t>
      </w:r>
      <w:r>
        <w:rPr>
          <w:rFonts w:hint="eastAsia"/>
          <w:b/>
          <w:bCs/>
          <w:sz w:val="26"/>
          <w:szCs w:val="26"/>
        </w:rPr>
        <w:t>p</w:t>
      </w:r>
      <w:r w:rsidRPr="009B2815">
        <w:rPr>
          <w:b/>
          <w:bCs/>
          <w:sz w:val="26"/>
          <w:szCs w:val="26"/>
        </w:rPr>
        <w:t>hysician clinics.</w:t>
      </w:r>
    </w:p>
    <w:p w:rsidR="00A20B6D" w:rsidRPr="00947656" w:rsidRDefault="00E504CC" w:rsidP="00DF4978">
      <w:pPr>
        <w:pStyle w:val="a5"/>
        <w:tabs>
          <w:tab w:val="left" w:pos="851"/>
        </w:tabs>
        <w:spacing w:after="120" w:line="460" w:lineRule="atLeast"/>
        <w:ind w:leftChars="236" w:left="566" w:firstLineChars="218" w:firstLine="567"/>
        <w:jc w:val="both"/>
        <w:rPr>
          <w:rFonts w:eastAsia="標楷體"/>
          <w:sz w:val="26"/>
          <w:szCs w:val="26"/>
        </w:rPr>
      </w:pPr>
      <w:r>
        <w:rPr>
          <w:rFonts w:hint="eastAsia"/>
          <w:sz w:val="26"/>
          <w:szCs w:val="26"/>
        </w:rPr>
        <w:t>Beneficiaries visiting p</w:t>
      </w:r>
      <w:r w:rsidR="00BC5E75">
        <w:rPr>
          <w:sz w:val="26"/>
          <w:szCs w:val="26"/>
        </w:rPr>
        <w:t>hysician</w:t>
      </w:r>
      <w:r w:rsidR="007F65CD" w:rsidRPr="009B2815">
        <w:rPr>
          <w:sz w:val="26"/>
          <w:szCs w:val="26"/>
        </w:rPr>
        <w:t xml:space="preserve"> clinics </w:t>
      </w:r>
      <w:r w:rsidRPr="009B2815">
        <w:rPr>
          <w:sz w:val="26"/>
          <w:szCs w:val="26"/>
        </w:rPr>
        <w:t xml:space="preserve">accounted for the largest proportion of </w:t>
      </w:r>
      <w:r>
        <w:rPr>
          <w:rFonts w:hint="eastAsia"/>
          <w:sz w:val="26"/>
          <w:szCs w:val="26"/>
        </w:rPr>
        <w:t>out</w:t>
      </w:r>
      <w:r w:rsidRPr="009B2815">
        <w:rPr>
          <w:sz w:val="26"/>
          <w:szCs w:val="26"/>
        </w:rPr>
        <w:t>patient copayments in 2011,</w:t>
      </w:r>
      <w:r>
        <w:rPr>
          <w:sz w:val="26"/>
          <w:szCs w:val="26"/>
        </w:rPr>
        <w:t xml:space="preserve"> </w:t>
      </w:r>
      <w:r>
        <w:rPr>
          <w:rFonts w:hint="eastAsia"/>
          <w:sz w:val="26"/>
          <w:szCs w:val="26"/>
        </w:rPr>
        <w:t xml:space="preserve">being </w:t>
      </w:r>
      <w:r w:rsidR="007F65CD" w:rsidRPr="009B2815">
        <w:rPr>
          <w:sz w:val="26"/>
          <w:szCs w:val="26"/>
        </w:rPr>
        <w:t>47.4%</w:t>
      </w:r>
      <w:r>
        <w:rPr>
          <w:rFonts w:hint="eastAsia"/>
          <w:sz w:val="26"/>
          <w:szCs w:val="26"/>
        </w:rPr>
        <w:t xml:space="preserve"> of all</w:t>
      </w:r>
      <w:r w:rsidR="007F65CD" w:rsidRPr="009B2815">
        <w:rPr>
          <w:sz w:val="26"/>
          <w:szCs w:val="26"/>
        </w:rPr>
        <w:t xml:space="preserve"> </w:t>
      </w:r>
      <w:r>
        <w:rPr>
          <w:rFonts w:hint="eastAsia"/>
          <w:sz w:val="26"/>
          <w:szCs w:val="26"/>
        </w:rPr>
        <w:t>and</w:t>
      </w:r>
      <w:r w:rsidR="00C80ABF">
        <w:rPr>
          <w:rFonts w:hint="eastAsia"/>
          <w:sz w:val="26"/>
          <w:szCs w:val="26"/>
        </w:rPr>
        <w:t xml:space="preserve"> </w:t>
      </w:r>
      <w:r w:rsidR="007F65CD" w:rsidRPr="009B2815">
        <w:rPr>
          <w:sz w:val="26"/>
          <w:szCs w:val="26"/>
        </w:rPr>
        <w:t>a 4.9% increase from the previous year</w:t>
      </w:r>
      <w:r w:rsidR="00C80ABF">
        <w:rPr>
          <w:rFonts w:hint="eastAsia"/>
          <w:sz w:val="26"/>
          <w:szCs w:val="26"/>
        </w:rPr>
        <w:t xml:space="preserve">. </w:t>
      </w:r>
      <w:r w:rsidR="00C80ABF">
        <w:rPr>
          <w:sz w:val="26"/>
          <w:szCs w:val="26"/>
        </w:rPr>
        <w:t>This was followed by metropolitan hospitals (23.4%), a 3.8% increase from the previous year, and academic medical centers (20.0%), a 2.6% increase from the previous year.</w:t>
      </w:r>
      <w:r w:rsidR="007F65CD" w:rsidRPr="009B2815">
        <w:rPr>
          <w:sz w:val="26"/>
          <w:szCs w:val="26"/>
        </w:rPr>
        <w:t xml:space="preserve"> In terms of average copayment per case, academic medical centers had the highest amount of NT$334, followed by metropolitan hospitals </w:t>
      </w:r>
      <w:r w:rsidR="00A525E6">
        <w:rPr>
          <w:rFonts w:hint="eastAsia"/>
          <w:sz w:val="26"/>
          <w:szCs w:val="26"/>
        </w:rPr>
        <w:t xml:space="preserve">at </w:t>
      </w:r>
      <w:r w:rsidR="007F65CD" w:rsidRPr="009B2815">
        <w:rPr>
          <w:sz w:val="26"/>
          <w:szCs w:val="26"/>
        </w:rPr>
        <w:t xml:space="preserve">NT$241 and </w:t>
      </w:r>
      <w:r w:rsidR="00E61DA3">
        <w:rPr>
          <w:rFonts w:hint="eastAsia"/>
          <w:sz w:val="26"/>
          <w:szCs w:val="26"/>
        </w:rPr>
        <w:t xml:space="preserve">other </w:t>
      </w:r>
      <w:r w:rsidR="007F65CD" w:rsidRPr="009B2815">
        <w:rPr>
          <w:sz w:val="26"/>
          <w:szCs w:val="26"/>
        </w:rPr>
        <w:t xml:space="preserve">medical institutions </w:t>
      </w:r>
      <w:r w:rsidR="00A525E6">
        <w:rPr>
          <w:rFonts w:hint="eastAsia"/>
          <w:sz w:val="26"/>
          <w:szCs w:val="26"/>
        </w:rPr>
        <w:t xml:space="preserve">at </w:t>
      </w:r>
      <w:r w:rsidR="007F65CD" w:rsidRPr="009B2815">
        <w:rPr>
          <w:sz w:val="26"/>
          <w:szCs w:val="26"/>
        </w:rPr>
        <w:t>NT$196.</w:t>
      </w:r>
    </w:p>
    <w:p w:rsidR="00156A39" w:rsidRPr="00947656" w:rsidRDefault="00F25E29" w:rsidP="00730DFA">
      <w:pPr>
        <w:tabs>
          <w:tab w:val="left" w:pos="567"/>
        </w:tabs>
        <w:spacing w:afterLines="150" w:line="180" w:lineRule="atLeast"/>
        <w:ind w:leftChars="177" w:left="425"/>
        <w:jc w:val="center"/>
        <w:rPr>
          <w:rFonts w:eastAsia="標楷體"/>
          <w:sz w:val="26"/>
          <w:szCs w:val="26"/>
        </w:rPr>
      </w:pPr>
      <w:r w:rsidRPr="00F25E29">
        <w:rPr>
          <w:rFonts w:eastAsia="標楷體"/>
          <w:noProof/>
          <w:sz w:val="26"/>
          <w:szCs w:val="26"/>
        </w:rPr>
        <w:lastRenderedPageBreak/>
        <w:drawing>
          <wp:inline distT="0" distB="0" distL="0" distR="0">
            <wp:extent cx="5364480" cy="3192780"/>
            <wp:effectExtent l="0" t="0" r="0" b="0"/>
            <wp:docPr id="20" name="圖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603CD7" w:rsidRPr="00947656" w:rsidRDefault="00603CD7" w:rsidP="00BB717B">
      <w:pPr>
        <w:pStyle w:val="a5"/>
        <w:spacing w:after="120"/>
        <w:ind w:leftChars="119" w:left="624" w:hangingChars="130" w:hanging="338"/>
        <w:jc w:val="both"/>
        <w:rPr>
          <w:rFonts w:eastAsia="標楷體"/>
          <w:b/>
          <w:sz w:val="26"/>
          <w:szCs w:val="26"/>
        </w:rPr>
      </w:pPr>
      <w:r w:rsidRPr="00947656">
        <w:rPr>
          <w:rFonts w:eastAsia="標楷體"/>
          <w:b/>
          <w:sz w:val="26"/>
          <w:szCs w:val="26"/>
        </w:rPr>
        <w:t>b.</w:t>
      </w:r>
      <w:r w:rsidR="007F65CD" w:rsidRPr="007F65CD">
        <w:rPr>
          <w:b/>
          <w:bCs/>
          <w:sz w:val="26"/>
          <w:szCs w:val="26"/>
        </w:rPr>
        <w:t xml:space="preserve"> </w:t>
      </w:r>
      <w:r w:rsidR="007F65CD" w:rsidRPr="009B2815">
        <w:rPr>
          <w:b/>
          <w:bCs/>
          <w:sz w:val="26"/>
          <w:szCs w:val="26"/>
        </w:rPr>
        <w:t>Females had higher copayments than males.</w:t>
      </w:r>
    </w:p>
    <w:p w:rsidR="00B177BB" w:rsidRPr="00947656" w:rsidRDefault="007F65CD" w:rsidP="00DF4978">
      <w:pPr>
        <w:pStyle w:val="a5"/>
        <w:tabs>
          <w:tab w:val="left" w:pos="851"/>
        </w:tabs>
        <w:spacing w:after="120" w:line="440" w:lineRule="atLeast"/>
        <w:ind w:leftChars="236" w:left="566" w:firstLineChars="218" w:firstLine="567"/>
        <w:jc w:val="both"/>
        <w:rPr>
          <w:rFonts w:eastAsia="標楷體"/>
          <w:sz w:val="26"/>
          <w:szCs w:val="26"/>
        </w:rPr>
      </w:pPr>
      <w:r w:rsidRPr="009B2815">
        <w:rPr>
          <w:sz w:val="26"/>
          <w:szCs w:val="26"/>
        </w:rPr>
        <w:t>In 2011, outpatient copayments filed by males amounted to NT$1</w:t>
      </w:r>
      <w:r w:rsidR="0027648F">
        <w:rPr>
          <w:rFonts w:hint="eastAsia"/>
          <w:sz w:val="26"/>
          <w:szCs w:val="26"/>
        </w:rPr>
        <w:t>3</w:t>
      </w:r>
      <w:r w:rsidRPr="009B2815">
        <w:rPr>
          <w:sz w:val="26"/>
          <w:szCs w:val="26"/>
        </w:rPr>
        <w:t xml:space="preserve"> billion or 44.1% of all. Females had NT$16 billion or 55.9%. With regard to age group, the </w:t>
      </w:r>
      <w:r w:rsidR="0013078F">
        <w:rPr>
          <w:rFonts w:hint="eastAsia"/>
          <w:sz w:val="26"/>
          <w:szCs w:val="26"/>
        </w:rPr>
        <w:t xml:space="preserve">group of </w:t>
      </w:r>
      <w:r w:rsidRPr="009B2815">
        <w:rPr>
          <w:sz w:val="26"/>
          <w:szCs w:val="26"/>
        </w:rPr>
        <w:t>45–64 had the highest copayment for both males and females</w:t>
      </w:r>
      <w:r w:rsidR="00676A8B">
        <w:rPr>
          <w:rFonts w:hint="eastAsia"/>
          <w:sz w:val="26"/>
          <w:szCs w:val="26"/>
        </w:rPr>
        <w:t>,</w:t>
      </w:r>
      <w:r w:rsidRPr="009B2815">
        <w:rPr>
          <w:sz w:val="26"/>
          <w:szCs w:val="26"/>
        </w:rPr>
        <w:t xml:space="preserve"> followed by the </w:t>
      </w:r>
      <w:r w:rsidR="0013078F">
        <w:rPr>
          <w:rFonts w:hint="eastAsia"/>
          <w:sz w:val="26"/>
          <w:szCs w:val="26"/>
        </w:rPr>
        <w:t xml:space="preserve">group of </w:t>
      </w:r>
      <w:r w:rsidRPr="009B2815">
        <w:rPr>
          <w:sz w:val="26"/>
          <w:szCs w:val="26"/>
        </w:rPr>
        <w:t xml:space="preserve">65 and above and the </w:t>
      </w:r>
      <w:r w:rsidR="0013078F">
        <w:rPr>
          <w:rFonts w:hint="eastAsia"/>
          <w:sz w:val="26"/>
          <w:szCs w:val="26"/>
        </w:rPr>
        <w:t xml:space="preserve">group of </w:t>
      </w:r>
      <w:r w:rsidRPr="009B2815">
        <w:rPr>
          <w:sz w:val="26"/>
          <w:szCs w:val="26"/>
        </w:rPr>
        <w:t xml:space="preserve">30–44. The </w:t>
      </w:r>
      <w:r w:rsidR="0013078F">
        <w:rPr>
          <w:rFonts w:hint="eastAsia"/>
          <w:sz w:val="26"/>
          <w:szCs w:val="26"/>
        </w:rPr>
        <w:t xml:space="preserve">group of </w:t>
      </w:r>
      <w:r w:rsidRPr="009B2815">
        <w:rPr>
          <w:sz w:val="26"/>
          <w:szCs w:val="26"/>
        </w:rPr>
        <w:t>0–14 had the lowest copayment amount.</w:t>
      </w:r>
    </w:p>
    <w:p w:rsidR="008E5E86" w:rsidRPr="00947656" w:rsidRDefault="004E3FD4" w:rsidP="00730DFA">
      <w:pPr>
        <w:pStyle w:val="a5"/>
        <w:tabs>
          <w:tab w:val="left" w:pos="851"/>
        </w:tabs>
        <w:spacing w:beforeLines="50" w:line="180" w:lineRule="atLeast"/>
        <w:ind w:leftChars="0" w:left="851" w:firstLineChars="218" w:firstLine="567"/>
        <w:jc w:val="both"/>
        <w:rPr>
          <w:rFonts w:eastAsia="標楷體"/>
          <w:sz w:val="26"/>
          <w:szCs w:val="26"/>
        </w:rPr>
      </w:pPr>
      <w:r w:rsidRPr="004E3FD4">
        <w:rPr>
          <w:rFonts w:eastAsia="標楷體"/>
          <w:noProof/>
          <w:sz w:val="26"/>
          <w:szCs w:val="26"/>
        </w:rPr>
        <w:drawing>
          <wp:inline distT="0" distB="0" distL="0" distR="0">
            <wp:extent cx="4575810" cy="3093720"/>
            <wp:effectExtent l="19050" t="0" r="0" b="0"/>
            <wp:docPr id="33" name="圖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6D7266" w:rsidRPr="00947656" w:rsidRDefault="006D7266" w:rsidP="00BB717B">
      <w:pPr>
        <w:pStyle w:val="a5"/>
        <w:spacing w:after="120"/>
        <w:ind w:leftChars="119" w:left="624" w:hangingChars="130" w:hanging="338"/>
        <w:jc w:val="both"/>
        <w:rPr>
          <w:rFonts w:eastAsia="標楷體"/>
          <w:b/>
          <w:sz w:val="26"/>
          <w:szCs w:val="26"/>
        </w:rPr>
      </w:pPr>
      <w:r w:rsidRPr="00947656">
        <w:rPr>
          <w:rFonts w:eastAsia="標楷體"/>
          <w:b/>
          <w:sz w:val="26"/>
          <w:szCs w:val="26"/>
        </w:rPr>
        <w:lastRenderedPageBreak/>
        <w:t>c.</w:t>
      </w:r>
      <w:r w:rsidR="007F65CD" w:rsidRPr="007F65CD">
        <w:rPr>
          <w:b/>
          <w:bCs/>
          <w:sz w:val="26"/>
          <w:szCs w:val="26"/>
        </w:rPr>
        <w:t xml:space="preserve"> </w:t>
      </w:r>
      <w:r w:rsidR="007F65CD" w:rsidRPr="009B2815">
        <w:rPr>
          <w:b/>
          <w:bCs/>
          <w:sz w:val="26"/>
          <w:szCs w:val="26"/>
        </w:rPr>
        <w:t xml:space="preserve">The average copayment </w:t>
      </w:r>
      <w:r w:rsidR="00BC43CC">
        <w:rPr>
          <w:rFonts w:hint="eastAsia"/>
          <w:b/>
          <w:bCs/>
          <w:sz w:val="26"/>
          <w:szCs w:val="26"/>
        </w:rPr>
        <w:t>per</w:t>
      </w:r>
      <w:r w:rsidR="007F65CD" w:rsidRPr="009B2815">
        <w:rPr>
          <w:b/>
          <w:bCs/>
          <w:sz w:val="26"/>
          <w:szCs w:val="26"/>
        </w:rPr>
        <w:t xml:space="preserve"> case increased with age.</w:t>
      </w:r>
    </w:p>
    <w:p w:rsidR="005B4086" w:rsidRPr="00947656" w:rsidRDefault="007F65CD" w:rsidP="00BB717B">
      <w:pPr>
        <w:pStyle w:val="a5"/>
        <w:tabs>
          <w:tab w:val="left" w:pos="851"/>
        </w:tabs>
        <w:spacing w:after="120" w:line="440" w:lineRule="atLeast"/>
        <w:ind w:leftChars="236" w:left="566" w:firstLineChars="218" w:firstLine="567"/>
        <w:jc w:val="both"/>
        <w:rPr>
          <w:rFonts w:eastAsia="標楷體"/>
          <w:sz w:val="26"/>
          <w:szCs w:val="26"/>
        </w:rPr>
      </w:pPr>
      <w:r w:rsidRPr="009B2815">
        <w:rPr>
          <w:sz w:val="26"/>
          <w:szCs w:val="26"/>
        </w:rPr>
        <w:t xml:space="preserve">The average outpatient copayment </w:t>
      </w:r>
      <w:r w:rsidR="00BC43CC">
        <w:rPr>
          <w:rFonts w:hint="eastAsia"/>
          <w:sz w:val="26"/>
          <w:szCs w:val="26"/>
        </w:rPr>
        <w:t xml:space="preserve">per case </w:t>
      </w:r>
      <w:r w:rsidRPr="009B2815">
        <w:rPr>
          <w:sz w:val="26"/>
          <w:szCs w:val="26"/>
        </w:rPr>
        <w:t>increased with age.</w:t>
      </w:r>
      <w:r>
        <w:rPr>
          <w:rFonts w:hint="eastAsia"/>
          <w:sz w:val="26"/>
          <w:szCs w:val="26"/>
        </w:rPr>
        <w:t xml:space="preserve"> </w:t>
      </w:r>
      <w:r w:rsidR="002A3E7D">
        <w:rPr>
          <w:rFonts w:hint="eastAsia"/>
          <w:sz w:val="26"/>
          <w:szCs w:val="26"/>
        </w:rPr>
        <w:t>M</w:t>
      </w:r>
      <w:r w:rsidR="002A3E7D" w:rsidRPr="009B2815">
        <w:rPr>
          <w:sz w:val="26"/>
          <w:szCs w:val="26"/>
        </w:rPr>
        <w:t>ales showed higher amount than females</w:t>
      </w:r>
      <w:r w:rsidR="002A3E7D">
        <w:rPr>
          <w:rFonts w:hint="eastAsia"/>
          <w:sz w:val="26"/>
          <w:szCs w:val="26"/>
        </w:rPr>
        <w:t xml:space="preserve"> i</w:t>
      </w:r>
      <w:r w:rsidR="002A3E7D" w:rsidRPr="009B2815">
        <w:rPr>
          <w:sz w:val="26"/>
          <w:szCs w:val="26"/>
        </w:rPr>
        <w:t>n all age groups.</w:t>
      </w:r>
    </w:p>
    <w:p w:rsidR="005B4086" w:rsidRPr="00947656" w:rsidRDefault="000B4380" w:rsidP="00730DFA">
      <w:pPr>
        <w:pStyle w:val="a5"/>
        <w:tabs>
          <w:tab w:val="left" w:pos="851"/>
        </w:tabs>
        <w:spacing w:beforeLines="25" w:afterLines="100" w:line="180" w:lineRule="atLeast"/>
        <w:ind w:leftChars="0" w:left="851" w:firstLineChars="218" w:firstLine="567"/>
        <w:jc w:val="both"/>
        <w:rPr>
          <w:rFonts w:eastAsia="標楷體"/>
          <w:sz w:val="26"/>
          <w:szCs w:val="26"/>
        </w:rPr>
      </w:pPr>
      <w:r w:rsidRPr="000B4380">
        <w:rPr>
          <w:rFonts w:eastAsia="標楷體"/>
          <w:noProof/>
          <w:sz w:val="26"/>
          <w:szCs w:val="26"/>
        </w:rPr>
        <w:drawing>
          <wp:inline distT="0" distB="0" distL="0" distR="0">
            <wp:extent cx="4575810" cy="3291840"/>
            <wp:effectExtent l="19050" t="0" r="0" b="0"/>
            <wp:docPr id="63" name="圖表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550A52" w:rsidRPr="00947656" w:rsidRDefault="002179B3" w:rsidP="00FC259D">
      <w:pPr>
        <w:pStyle w:val="a5"/>
        <w:spacing w:after="120"/>
        <w:ind w:leftChars="60" w:left="821" w:hangingChars="260" w:hanging="677"/>
        <w:jc w:val="both"/>
        <w:rPr>
          <w:rFonts w:eastAsia="標楷體"/>
          <w:b/>
          <w:sz w:val="26"/>
        </w:rPr>
      </w:pPr>
      <w:r>
        <w:rPr>
          <w:rFonts w:eastAsia="標楷體" w:hint="eastAsia"/>
          <w:b/>
          <w:sz w:val="26"/>
        </w:rPr>
        <w:t>ii. Inpatient Service</w:t>
      </w:r>
    </w:p>
    <w:p w:rsidR="00A20B6D" w:rsidRPr="00947656" w:rsidRDefault="00AB174C" w:rsidP="003E65E8">
      <w:pPr>
        <w:pStyle w:val="a5"/>
        <w:spacing w:after="120"/>
        <w:ind w:leftChars="119" w:left="624" w:hangingChars="130" w:hanging="338"/>
        <w:jc w:val="both"/>
        <w:rPr>
          <w:rFonts w:eastAsia="標楷體"/>
          <w:b/>
          <w:sz w:val="26"/>
          <w:szCs w:val="26"/>
        </w:rPr>
      </w:pPr>
      <w:r w:rsidRPr="00947656">
        <w:rPr>
          <w:rFonts w:eastAsia="標楷體"/>
          <w:b/>
          <w:sz w:val="26"/>
          <w:szCs w:val="26"/>
        </w:rPr>
        <w:t>a.</w:t>
      </w:r>
      <w:r w:rsidR="007F65CD" w:rsidRPr="007F65CD">
        <w:rPr>
          <w:b/>
          <w:bCs/>
          <w:sz w:val="26"/>
          <w:szCs w:val="26"/>
        </w:rPr>
        <w:t xml:space="preserve"> </w:t>
      </w:r>
      <w:r w:rsidR="007F65CD" w:rsidRPr="00E504CC">
        <w:rPr>
          <w:b/>
          <w:bCs/>
          <w:spacing w:val="-2"/>
          <w:sz w:val="26"/>
          <w:szCs w:val="26"/>
        </w:rPr>
        <w:t xml:space="preserve">The highest copayment was seen from </w:t>
      </w:r>
      <w:r w:rsidR="00E36466" w:rsidRPr="00E504CC">
        <w:rPr>
          <w:rFonts w:hint="eastAsia"/>
          <w:b/>
          <w:bCs/>
          <w:spacing w:val="-2"/>
          <w:sz w:val="26"/>
          <w:szCs w:val="26"/>
        </w:rPr>
        <w:t>beneficiarie</w:t>
      </w:r>
      <w:r w:rsidR="007F65CD" w:rsidRPr="00E504CC">
        <w:rPr>
          <w:b/>
          <w:bCs/>
          <w:spacing w:val="-2"/>
          <w:sz w:val="26"/>
          <w:szCs w:val="26"/>
        </w:rPr>
        <w:t xml:space="preserve">s visiting </w:t>
      </w:r>
      <w:r w:rsidR="00E36466" w:rsidRPr="00E504CC">
        <w:rPr>
          <w:rFonts w:hint="eastAsia"/>
          <w:b/>
          <w:bCs/>
          <w:spacing w:val="-2"/>
          <w:sz w:val="26"/>
          <w:szCs w:val="26"/>
        </w:rPr>
        <w:t>metropolitan</w:t>
      </w:r>
      <w:r w:rsidR="007F65CD" w:rsidRPr="00E504CC">
        <w:rPr>
          <w:b/>
          <w:bCs/>
          <w:spacing w:val="-2"/>
          <w:sz w:val="26"/>
          <w:szCs w:val="26"/>
        </w:rPr>
        <w:t xml:space="preserve"> hospitals.</w:t>
      </w:r>
    </w:p>
    <w:p w:rsidR="00550A52" w:rsidRPr="00947656" w:rsidRDefault="00E36466" w:rsidP="007C348E">
      <w:pPr>
        <w:pStyle w:val="a5"/>
        <w:spacing w:after="120" w:line="460" w:lineRule="atLeast"/>
        <w:ind w:leftChars="236" w:left="566" w:firstLineChars="218" w:firstLine="567"/>
        <w:jc w:val="both"/>
        <w:rPr>
          <w:rFonts w:eastAsia="標楷體"/>
          <w:sz w:val="26"/>
          <w:szCs w:val="26"/>
        </w:rPr>
      </w:pPr>
      <w:r>
        <w:rPr>
          <w:rFonts w:hint="eastAsia"/>
          <w:sz w:val="26"/>
          <w:szCs w:val="26"/>
        </w:rPr>
        <w:t>Beneficiaries</w:t>
      </w:r>
      <w:r w:rsidR="007F65CD" w:rsidRPr="009B2815">
        <w:rPr>
          <w:sz w:val="26"/>
          <w:szCs w:val="26"/>
        </w:rPr>
        <w:t xml:space="preserve"> visiting metropolitan hospitals accounted for the largest proportion of inpatient copayments in 2011, being 45.8% of all and a 2.8% increase from the previous year. Academic medical centers, which ranked the second, accounted for 40.7% of all and marked an increase of 1.2% from the previous year. Local community hospitals ranked the third, being 13.4% of all and marked an increase of 3.0% from the previous year. In terms of the average copayment per inpatient case, academic medical centers had the highest expense of NT$5,606, which was followed by metropolitan hospitals </w:t>
      </w:r>
      <w:r w:rsidR="00BE3219">
        <w:rPr>
          <w:rFonts w:hint="eastAsia"/>
          <w:sz w:val="26"/>
          <w:szCs w:val="26"/>
        </w:rPr>
        <w:t xml:space="preserve">at </w:t>
      </w:r>
      <w:r w:rsidR="007F65CD" w:rsidRPr="009B2815">
        <w:rPr>
          <w:sz w:val="26"/>
          <w:szCs w:val="26"/>
        </w:rPr>
        <w:t xml:space="preserve">NT$4,010 and local community hospitals </w:t>
      </w:r>
      <w:r w:rsidR="00BE3219">
        <w:rPr>
          <w:rFonts w:hint="eastAsia"/>
          <w:sz w:val="26"/>
          <w:szCs w:val="26"/>
        </w:rPr>
        <w:t xml:space="preserve">at </w:t>
      </w:r>
      <w:r w:rsidR="007F65CD" w:rsidRPr="009B2815">
        <w:rPr>
          <w:sz w:val="26"/>
          <w:szCs w:val="26"/>
        </w:rPr>
        <w:t>NT$3,142.</w:t>
      </w:r>
    </w:p>
    <w:p w:rsidR="00245561" w:rsidRPr="00947656" w:rsidRDefault="0048603B" w:rsidP="00385102">
      <w:pPr>
        <w:pStyle w:val="a5"/>
        <w:spacing w:after="120" w:line="400" w:lineRule="atLeast"/>
        <w:ind w:leftChars="118" w:left="283" w:firstLine="1"/>
        <w:jc w:val="center"/>
        <w:rPr>
          <w:rFonts w:eastAsia="標楷體"/>
          <w:sz w:val="26"/>
          <w:szCs w:val="26"/>
        </w:rPr>
      </w:pPr>
      <w:r w:rsidRPr="0048603B">
        <w:rPr>
          <w:rFonts w:eastAsia="標楷體"/>
          <w:noProof/>
          <w:sz w:val="26"/>
          <w:szCs w:val="26"/>
        </w:rPr>
        <w:lastRenderedPageBreak/>
        <w:drawing>
          <wp:inline distT="0" distB="0" distL="0" distR="0">
            <wp:extent cx="5059680" cy="3307080"/>
            <wp:effectExtent l="0" t="0" r="0" b="0"/>
            <wp:docPr id="13" name="圖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AB174C" w:rsidRPr="00947656" w:rsidRDefault="00AB174C" w:rsidP="00BB717B">
      <w:pPr>
        <w:pStyle w:val="a5"/>
        <w:spacing w:after="120"/>
        <w:ind w:leftChars="119" w:left="624" w:hangingChars="130" w:hanging="338"/>
        <w:jc w:val="both"/>
        <w:rPr>
          <w:rFonts w:eastAsia="標楷體"/>
          <w:b/>
          <w:sz w:val="26"/>
          <w:szCs w:val="26"/>
        </w:rPr>
      </w:pPr>
      <w:r w:rsidRPr="00947656">
        <w:rPr>
          <w:rFonts w:eastAsia="標楷體"/>
          <w:b/>
          <w:sz w:val="26"/>
          <w:szCs w:val="26"/>
        </w:rPr>
        <w:t>b.</w:t>
      </w:r>
      <w:r w:rsidR="007F65CD" w:rsidRPr="007F65CD">
        <w:rPr>
          <w:b/>
          <w:bCs/>
          <w:sz w:val="26"/>
          <w:szCs w:val="26"/>
        </w:rPr>
        <w:t xml:space="preserve"> </w:t>
      </w:r>
      <w:r w:rsidR="007F65CD" w:rsidRPr="009B2815">
        <w:rPr>
          <w:b/>
          <w:bCs/>
          <w:sz w:val="26"/>
          <w:szCs w:val="26"/>
        </w:rPr>
        <w:t>Males had higher copayment amount than females.</w:t>
      </w:r>
    </w:p>
    <w:p w:rsidR="00AB174C" w:rsidRPr="00947656" w:rsidRDefault="007F65CD" w:rsidP="00BB717B">
      <w:pPr>
        <w:pStyle w:val="a5"/>
        <w:tabs>
          <w:tab w:val="left" w:pos="851"/>
        </w:tabs>
        <w:spacing w:after="120" w:line="440" w:lineRule="atLeast"/>
        <w:ind w:leftChars="236" w:left="566" w:firstLineChars="218" w:firstLine="567"/>
        <w:jc w:val="both"/>
        <w:rPr>
          <w:rFonts w:eastAsia="標楷體"/>
          <w:sz w:val="26"/>
          <w:szCs w:val="26"/>
        </w:rPr>
      </w:pPr>
      <w:r w:rsidRPr="009B2815">
        <w:rPr>
          <w:sz w:val="26"/>
          <w:szCs w:val="26"/>
        </w:rPr>
        <w:t>In 2011, inpatient copayments filed by males amounted to NT$</w:t>
      </w:r>
      <w:r w:rsidR="0027648F">
        <w:rPr>
          <w:rFonts w:hint="eastAsia"/>
          <w:sz w:val="26"/>
          <w:szCs w:val="26"/>
        </w:rPr>
        <w:t>4</w:t>
      </w:r>
      <w:r w:rsidRPr="009B2815">
        <w:rPr>
          <w:sz w:val="26"/>
          <w:szCs w:val="26"/>
        </w:rPr>
        <w:t xml:space="preserve"> billion or 53.2% of all. Females had NT$3 billion or 46.8%. With regard to age group, the group of 65 and above had the highest copayment for both males and females</w:t>
      </w:r>
      <w:r w:rsidR="00BE3219">
        <w:rPr>
          <w:rFonts w:hint="eastAsia"/>
          <w:sz w:val="26"/>
          <w:szCs w:val="26"/>
        </w:rPr>
        <w:t>,</w:t>
      </w:r>
      <w:r w:rsidRPr="009B2815">
        <w:rPr>
          <w:sz w:val="26"/>
          <w:szCs w:val="26"/>
        </w:rPr>
        <w:t xml:space="preserve"> followed by the group of 45–64 and the group of 30–44. The group of 0–14 had the lowest copayment amount.</w:t>
      </w:r>
    </w:p>
    <w:p w:rsidR="00AB174C" w:rsidRPr="00947656" w:rsidRDefault="000B4380" w:rsidP="00385102">
      <w:pPr>
        <w:pStyle w:val="a5"/>
        <w:spacing w:after="120" w:line="400" w:lineRule="atLeast"/>
        <w:ind w:leftChars="236" w:left="566" w:firstLine="1"/>
        <w:jc w:val="center"/>
        <w:rPr>
          <w:rFonts w:eastAsia="標楷體"/>
          <w:sz w:val="26"/>
          <w:szCs w:val="26"/>
        </w:rPr>
      </w:pPr>
      <w:r w:rsidRPr="000B4380">
        <w:rPr>
          <w:rFonts w:eastAsia="標楷體"/>
          <w:noProof/>
          <w:sz w:val="26"/>
          <w:szCs w:val="26"/>
        </w:rPr>
        <w:drawing>
          <wp:inline distT="0" distB="0" distL="0" distR="0">
            <wp:extent cx="4575810" cy="3124200"/>
            <wp:effectExtent l="19050" t="0" r="0" b="0"/>
            <wp:docPr id="64" name="圖表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AB174C" w:rsidRPr="00947656" w:rsidRDefault="00AB174C" w:rsidP="00BB717B">
      <w:pPr>
        <w:pStyle w:val="a5"/>
        <w:spacing w:after="120"/>
        <w:ind w:leftChars="119" w:left="624" w:hangingChars="130" w:hanging="338"/>
        <w:jc w:val="both"/>
        <w:rPr>
          <w:rFonts w:eastAsia="標楷體"/>
          <w:b/>
          <w:sz w:val="26"/>
          <w:szCs w:val="26"/>
        </w:rPr>
      </w:pPr>
      <w:r w:rsidRPr="00947656">
        <w:rPr>
          <w:rFonts w:eastAsia="標楷體"/>
          <w:b/>
          <w:sz w:val="26"/>
          <w:szCs w:val="26"/>
        </w:rPr>
        <w:lastRenderedPageBreak/>
        <w:t>c.</w:t>
      </w:r>
      <w:r w:rsidR="007F65CD" w:rsidRPr="007F65CD">
        <w:rPr>
          <w:b/>
          <w:bCs/>
          <w:sz w:val="26"/>
          <w:szCs w:val="26"/>
        </w:rPr>
        <w:t xml:space="preserve"> </w:t>
      </w:r>
      <w:r w:rsidR="007F65CD" w:rsidRPr="009B2815">
        <w:rPr>
          <w:b/>
          <w:bCs/>
          <w:sz w:val="26"/>
          <w:szCs w:val="26"/>
        </w:rPr>
        <w:t>The average copayment per case increased with age.</w:t>
      </w:r>
    </w:p>
    <w:p w:rsidR="00AB174C" w:rsidRPr="00947656" w:rsidRDefault="007F65CD" w:rsidP="00DF4978">
      <w:pPr>
        <w:pStyle w:val="a5"/>
        <w:tabs>
          <w:tab w:val="left" w:pos="851"/>
        </w:tabs>
        <w:spacing w:after="120" w:line="400" w:lineRule="atLeast"/>
        <w:ind w:leftChars="236" w:left="566" w:firstLineChars="218" w:firstLine="567"/>
        <w:jc w:val="both"/>
        <w:rPr>
          <w:rFonts w:eastAsia="標楷體"/>
          <w:sz w:val="26"/>
          <w:szCs w:val="26"/>
        </w:rPr>
      </w:pPr>
      <w:r w:rsidRPr="009B2815">
        <w:rPr>
          <w:sz w:val="26"/>
          <w:szCs w:val="26"/>
        </w:rPr>
        <w:t xml:space="preserve">In 2011, the average copayment per </w:t>
      </w:r>
      <w:r w:rsidR="00BC43CC">
        <w:rPr>
          <w:rFonts w:hint="eastAsia"/>
          <w:sz w:val="26"/>
          <w:szCs w:val="26"/>
        </w:rPr>
        <w:t>case</w:t>
      </w:r>
      <w:r w:rsidRPr="009B2815">
        <w:rPr>
          <w:sz w:val="26"/>
          <w:szCs w:val="26"/>
        </w:rPr>
        <w:t xml:space="preserve"> increased with age. </w:t>
      </w:r>
      <w:r w:rsidR="002A3E7D">
        <w:rPr>
          <w:rFonts w:hint="eastAsia"/>
          <w:sz w:val="26"/>
          <w:szCs w:val="26"/>
        </w:rPr>
        <w:t>M</w:t>
      </w:r>
      <w:r w:rsidRPr="009B2815">
        <w:rPr>
          <w:sz w:val="26"/>
          <w:szCs w:val="26"/>
        </w:rPr>
        <w:t>ales showed higher amount than females</w:t>
      </w:r>
      <w:r w:rsidR="002A3E7D">
        <w:rPr>
          <w:rFonts w:hint="eastAsia"/>
          <w:sz w:val="26"/>
          <w:szCs w:val="26"/>
        </w:rPr>
        <w:t xml:space="preserve"> i</w:t>
      </w:r>
      <w:r w:rsidR="002A3E7D" w:rsidRPr="009B2815">
        <w:rPr>
          <w:sz w:val="26"/>
          <w:szCs w:val="26"/>
        </w:rPr>
        <w:t>n all age groups</w:t>
      </w:r>
      <w:r w:rsidRPr="009B2815">
        <w:rPr>
          <w:sz w:val="26"/>
          <w:szCs w:val="26"/>
        </w:rPr>
        <w:t>.</w:t>
      </w:r>
    </w:p>
    <w:p w:rsidR="00AB174C" w:rsidRPr="00947656" w:rsidRDefault="000B4380" w:rsidP="00730DFA">
      <w:pPr>
        <w:pStyle w:val="a5"/>
        <w:spacing w:beforeLines="50" w:after="120" w:line="400" w:lineRule="atLeast"/>
        <w:ind w:leftChars="0" w:left="0"/>
        <w:jc w:val="center"/>
        <w:rPr>
          <w:rFonts w:eastAsia="標楷體"/>
          <w:sz w:val="26"/>
          <w:szCs w:val="26"/>
        </w:rPr>
      </w:pPr>
      <w:r w:rsidRPr="000B4380">
        <w:rPr>
          <w:rFonts w:eastAsia="標楷體"/>
          <w:noProof/>
          <w:sz w:val="26"/>
          <w:szCs w:val="26"/>
        </w:rPr>
        <w:drawing>
          <wp:inline distT="0" distB="0" distL="0" distR="0">
            <wp:extent cx="4690110" cy="3139440"/>
            <wp:effectExtent l="19050" t="0" r="0" b="0"/>
            <wp:docPr id="65" name="圖表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A20B6D" w:rsidRPr="00947656" w:rsidRDefault="004720B1" w:rsidP="00BC5E75">
      <w:pPr>
        <w:spacing w:before="120" w:after="120"/>
        <w:jc w:val="both"/>
        <w:rPr>
          <w:rFonts w:eastAsia="標楷體"/>
          <w:b/>
          <w:sz w:val="26"/>
          <w:szCs w:val="26"/>
        </w:rPr>
      </w:pPr>
      <w:r>
        <w:rPr>
          <w:rFonts w:eastAsia="標楷體" w:hint="eastAsia"/>
          <w:b/>
          <w:sz w:val="26"/>
        </w:rPr>
        <w:t>（</w:t>
      </w:r>
      <w:r w:rsidR="00765E96" w:rsidRPr="00947656">
        <w:rPr>
          <w:rFonts w:eastAsia="標楷體"/>
          <w:b/>
          <w:sz w:val="26"/>
        </w:rPr>
        <w:t>6</w:t>
      </w:r>
      <w:r>
        <w:rPr>
          <w:rFonts w:eastAsia="標楷體" w:hint="eastAsia"/>
          <w:b/>
          <w:sz w:val="26"/>
        </w:rPr>
        <w:t>）</w:t>
      </w:r>
      <w:r>
        <w:rPr>
          <w:rFonts w:eastAsia="標楷體" w:hint="eastAsia"/>
          <w:b/>
          <w:sz w:val="26"/>
        </w:rPr>
        <w:t>Reimbursement of Advanced Medical Expenses for Out-of-Plan Services</w:t>
      </w:r>
    </w:p>
    <w:p w:rsidR="00A20B6D" w:rsidRPr="00947656" w:rsidRDefault="004720B1" w:rsidP="00872733">
      <w:pPr>
        <w:pStyle w:val="a5"/>
        <w:spacing w:after="120"/>
        <w:ind w:leftChars="127" w:left="565" w:hangingChars="100" w:hanging="260"/>
        <w:jc w:val="both"/>
        <w:rPr>
          <w:rFonts w:eastAsia="標楷體"/>
          <w:b/>
          <w:sz w:val="26"/>
          <w:szCs w:val="26"/>
        </w:rPr>
      </w:pPr>
      <w:proofErr w:type="spellStart"/>
      <w:r>
        <w:rPr>
          <w:rFonts w:eastAsia="標楷體" w:hint="eastAsia"/>
          <w:b/>
          <w:sz w:val="26"/>
          <w:szCs w:val="26"/>
        </w:rPr>
        <w:t>i</w:t>
      </w:r>
      <w:proofErr w:type="spellEnd"/>
      <w:r>
        <w:rPr>
          <w:rFonts w:eastAsia="標楷體" w:hint="eastAsia"/>
          <w:b/>
          <w:sz w:val="26"/>
          <w:szCs w:val="26"/>
        </w:rPr>
        <w:t xml:space="preserve">. </w:t>
      </w:r>
      <w:r w:rsidR="007F65CD" w:rsidRPr="009B2815">
        <w:rPr>
          <w:b/>
          <w:bCs/>
          <w:sz w:val="26"/>
          <w:szCs w:val="26"/>
        </w:rPr>
        <w:t>Domestic and overseas claims were close in terms of claimed amount. Overseas claims, however, showed a higher approval rat</w:t>
      </w:r>
      <w:r w:rsidR="00B70128">
        <w:rPr>
          <w:rFonts w:hint="eastAsia"/>
          <w:b/>
          <w:bCs/>
          <w:sz w:val="26"/>
          <w:szCs w:val="26"/>
        </w:rPr>
        <w:t>e</w:t>
      </w:r>
      <w:r w:rsidR="007F65CD" w:rsidRPr="009B2815">
        <w:rPr>
          <w:b/>
          <w:bCs/>
          <w:sz w:val="26"/>
          <w:szCs w:val="26"/>
        </w:rPr>
        <w:t>.</w:t>
      </w:r>
    </w:p>
    <w:p w:rsidR="007F65CD" w:rsidRPr="009B2815" w:rsidRDefault="00546D54" w:rsidP="00872733">
      <w:pPr>
        <w:pStyle w:val="1"/>
        <w:kinsoku w:val="0"/>
        <w:spacing w:line="400" w:lineRule="exact"/>
        <w:ind w:leftChars="236" w:left="566" w:firstLineChars="200" w:firstLine="520"/>
        <w:jc w:val="both"/>
        <w:rPr>
          <w:sz w:val="26"/>
          <w:szCs w:val="26"/>
        </w:rPr>
      </w:pPr>
      <w:r>
        <w:rPr>
          <w:rFonts w:hint="eastAsia"/>
          <w:sz w:val="26"/>
          <w:szCs w:val="26"/>
        </w:rPr>
        <w:t xml:space="preserve">The total </w:t>
      </w:r>
      <w:r w:rsidR="000C44BD">
        <w:rPr>
          <w:rFonts w:hint="eastAsia"/>
          <w:sz w:val="26"/>
          <w:szCs w:val="26"/>
        </w:rPr>
        <w:t xml:space="preserve">advanced medical expense </w:t>
      </w:r>
      <w:r>
        <w:rPr>
          <w:rFonts w:hint="eastAsia"/>
          <w:sz w:val="26"/>
          <w:szCs w:val="26"/>
        </w:rPr>
        <w:t xml:space="preserve">claims </w:t>
      </w:r>
      <w:r w:rsidRPr="009B2815">
        <w:rPr>
          <w:sz w:val="26"/>
          <w:szCs w:val="26"/>
        </w:rPr>
        <w:t xml:space="preserve">for out-of-plan services </w:t>
      </w:r>
      <w:r>
        <w:rPr>
          <w:rFonts w:hint="eastAsia"/>
          <w:sz w:val="26"/>
          <w:szCs w:val="26"/>
        </w:rPr>
        <w:t>approved were NT$2 billion in 2011</w:t>
      </w:r>
      <w:r w:rsidR="007F65CD" w:rsidRPr="009B2815">
        <w:rPr>
          <w:sz w:val="26"/>
          <w:szCs w:val="26"/>
        </w:rPr>
        <w:t xml:space="preserve">, an increase of 6.9% from the previous year. The total approved amount was NT$510 million, an increase of 2.6% from the previous year. </w:t>
      </w:r>
      <w:r w:rsidR="00FC1F22">
        <w:rPr>
          <w:rFonts w:hint="eastAsia"/>
          <w:sz w:val="26"/>
          <w:szCs w:val="26"/>
        </w:rPr>
        <w:t xml:space="preserve">The approval rate was </w:t>
      </w:r>
      <w:r w:rsidRPr="009B2815">
        <w:rPr>
          <w:sz w:val="26"/>
          <w:szCs w:val="26"/>
        </w:rPr>
        <w:t>30.8%</w:t>
      </w:r>
      <w:r w:rsidR="007F65CD" w:rsidRPr="009B2815">
        <w:rPr>
          <w:sz w:val="26"/>
          <w:szCs w:val="26"/>
        </w:rPr>
        <w:t xml:space="preserve">. </w:t>
      </w:r>
    </w:p>
    <w:p w:rsidR="005C39D1" w:rsidRPr="00947656" w:rsidRDefault="00B85042" w:rsidP="00872733">
      <w:pPr>
        <w:pStyle w:val="a5"/>
        <w:kinsoku w:val="0"/>
        <w:spacing w:line="400" w:lineRule="exact"/>
        <w:ind w:leftChars="236" w:left="566" w:firstLineChars="200" w:firstLine="520"/>
        <w:jc w:val="both"/>
        <w:rPr>
          <w:rFonts w:eastAsia="標楷體"/>
          <w:sz w:val="26"/>
          <w:szCs w:val="26"/>
        </w:rPr>
      </w:pPr>
      <w:r>
        <w:rPr>
          <w:sz w:val="26"/>
          <w:szCs w:val="26"/>
        </w:rPr>
        <w:t xml:space="preserve">Broken down by </w:t>
      </w:r>
      <w:r>
        <w:rPr>
          <w:rFonts w:hint="eastAsia"/>
          <w:sz w:val="26"/>
          <w:szCs w:val="26"/>
        </w:rPr>
        <w:t>area</w:t>
      </w:r>
      <w:r w:rsidR="007F65CD" w:rsidRPr="009B2815">
        <w:rPr>
          <w:sz w:val="26"/>
          <w:szCs w:val="26"/>
        </w:rPr>
        <w:t xml:space="preserve">, domestic claims accounted for NT$820 million or </w:t>
      </w:r>
      <w:r w:rsidR="00FC1F22">
        <w:rPr>
          <w:rFonts w:hint="eastAsia"/>
          <w:sz w:val="26"/>
          <w:szCs w:val="26"/>
        </w:rPr>
        <w:t>49.2</w:t>
      </w:r>
      <w:r w:rsidR="007F65CD" w:rsidRPr="009B2815">
        <w:rPr>
          <w:sz w:val="26"/>
          <w:szCs w:val="26"/>
        </w:rPr>
        <w:t xml:space="preserve">% of all, showing an increase of 7.7% from the previous year. </w:t>
      </w:r>
      <w:r w:rsidR="00FC1F22">
        <w:rPr>
          <w:rFonts w:hint="eastAsia"/>
          <w:sz w:val="26"/>
          <w:szCs w:val="26"/>
        </w:rPr>
        <w:t>The approval rate</w:t>
      </w:r>
      <w:r w:rsidR="007F65CD" w:rsidRPr="009B2815">
        <w:rPr>
          <w:sz w:val="26"/>
          <w:szCs w:val="26"/>
        </w:rPr>
        <w:t xml:space="preserve"> was 25.4%. O</w:t>
      </w:r>
      <w:r>
        <w:rPr>
          <w:rFonts w:hint="eastAsia"/>
          <w:sz w:val="26"/>
          <w:szCs w:val="26"/>
        </w:rPr>
        <w:t>verseas</w:t>
      </w:r>
      <w:r w:rsidR="007F65CD" w:rsidRPr="009B2815">
        <w:rPr>
          <w:sz w:val="26"/>
          <w:szCs w:val="26"/>
        </w:rPr>
        <w:t xml:space="preserve"> claims amounted to NT$840 million, accounted for 50</w:t>
      </w:r>
      <w:r w:rsidR="00FC1F22">
        <w:rPr>
          <w:rFonts w:hint="eastAsia"/>
          <w:sz w:val="26"/>
          <w:szCs w:val="26"/>
        </w:rPr>
        <w:t>.8</w:t>
      </w:r>
      <w:r w:rsidR="007F65CD" w:rsidRPr="009B2815">
        <w:rPr>
          <w:sz w:val="26"/>
          <w:szCs w:val="26"/>
        </w:rPr>
        <w:t>% of the total claims and showed an increase of 6.1% from the previous year. The approval rat</w:t>
      </w:r>
      <w:r w:rsidR="00B70128">
        <w:rPr>
          <w:rFonts w:hint="eastAsia"/>
          <w:sz w:val="26"/>
          <w:szCs w:val="26"/>
        </w:rPr>
        <w:t>e</w:t>
      </w:r>
      <w:r w:rsidR="007F65CD" w:rsidRPr="009B2815">
        <w:rPr>
          <w:sz w:val="26"/>
          <w:szCs w:val="26"/>
        </w:rPr>
        <w:t xml:space="preserve"> was 36.1%. Advanced medical expenses for services rendered in China amounted to NT$390 million and represents </w:t>
      </w:r>
      <w:r w:rsidR="00FC1F22">
        <w:rPr>
          <w:rFonts w:hint="eastAsia"/>
          <w:sz w:val="26"/>
          <w:szCs w:val="26"/>
        </w:rPr>
        <w:t>46.7</w:t>
      </w:r>
      <w:r w:rsidR="007F65CD" w:rsidRPr="009B2815">
        <w:rPr>
          <w:sz w:val="26"/>
          <w:szCs w:val="26"/>
        </w:rPr>
        <w:t>% of all overseas claims, being the highest of all. The approval rat</w:t>
      </w:r>
      <w:r w:rsidR="00B70128">
        <w:rPr>
          <w:rFonts w:hint="eastAsia"/>
          <w:sz w:val="26"/>
          <w:szCs w:val="26"/>
        </w:rPr>
        <w:t>e</w:t>
      </w:r>
      <w:r w:rsidR="007F65CD" w:rsidRPr="009B2815">
        <w:rPr>
          <w:sz w:val="26"/>
          <w:szCs w:val="26"/>
        </w:rPr>
        <w:t xml:space="preserve"> was 56.6%. The claims for services rendered in the United States amounted to NT$230 million and contributed to </w:t>
      </w:r>
      <w:r w:rsidR="00FC1F22">
        <w:rPr>
          <w:rFonts w:hint="eastAsia"/>
          <w:sz w:val="26"/>
          <w:szCs w:val="26"/>
        </w:rPr>
        <w:t>27.4</w:t>
      </w:r>
      <w:r w:rsidR="007F65CD" w:rsidRPr="009B2815">
        <w:rPr>
          <w:sz w:val="26"/>
          <w:szCs w:val="26"/>
        </w:rPr>
        <w:t>% of the total overseas claims, being the second highest. The approval rat</w:t>
      </w:r>
      <w:r w:rsidR="00B70128">
        <w:rPr>
          <w:rFonts w:hint="eastAsia"/>
          <w:sz w:val="26"/>
          <w:szCs w:val="26"/>
        </w:rPr>
        <w:t>e</w:t>
      </w:r>
      <w:r w:rsidR="007F65CD" w:rsidRPr="009B2815">
        <w:rPr>
          <w:sz w:val="26"/>
          <w:szCs w:val="26"/>
        </w:rPr>
        <w:t xml:space="preserve"> was 8.6%.</w:t>
      </w:r>
    </w:p>
    <w:p w:rsidR="00F969A8" w:rsidRPr="00947656" w:rsidRDefault="007C348E" w:rsidP="007C348E">
      <w:pPr>
        <w:pStyle w:val="a5"/>
        <w:spacing w:line="400" w:lineRule="atLeast"/>
        <w:ind w:leftChars="0" w:left="0"/>
        <w:jc w:val="center"/>
        <w:rPr>
          <w:rFonts w:eastAsia="標楷體"/>
          <w:sz w:val="26"/>
          <w:szCs w:val="26"/>
        </w:rPr>
      </w:pPr>
      <w:r w:rsidRPr="007C348E">
        <w:rPr>
          <w:noProof/>
          <w:szCs w:val="26"/>
        </w:rPr>
        <w:lastRenderedPageBreak/>
        <w:drawing>
          <wp:inline distT="0" distB="0" distL="0" distR="0">
            <wp:extent cx="5021580" cy="2522220"/>
            <wp:effectExtent l="0" t="0" r="7620" b="0"/>
            <wp:docPr id="14"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 cstate="print"/>
                    <a:srcRect/>
                    <a:stretch>
                      <a:fillRect/>
                    </a:stretch>
                  </pic:blipFill>
                  <pic:spPr bwMode="auto">
                    <a:xfrm>
                      <a:off x="0" y="0"/>
                      <a:ext cx="5021580" cy="2522220"/>
                    </a:xfrm>
                    <a:prstGeom prst="rect">
                      <a:avLst/>
                    </a:prstGeom>
                    <a:noFill/>
                    <a:ln w="9525">
                      <a:noFill/>
                      <a:miter lim="800000"/>
                      <a:headEnd/>
                      <a:tailEnd/>
                    </a:ln>
                  </pic:spPr>
                </pic:pic>
              </a:graphicData>
            </a:graphic>
          </wp:inline>
        </w:drawing>
      </w:r>
    </w:p>
    <w:p w:rsidR="00043BF2" w:rsidRPr="00947656" w:rsidRDefault="004720B1" w:rsidP="00730DFA">
      <w:pPr>
        <w:pStyle w:val="a5"/>
        <w:spacing w:beforeLines="25" w:after="120"/>
        <w:ind w:leftChars="106" w:left="566" w:hangingChars="120" w:hanging="312"/>
        <w:jc w:val="both"/>
        <w:rPr>
          <w:rFonts w:eastAsia="標楷體"/>
          <w:b/>
          <w:sz w:val="26"/>
          <w:szCs w:val="26"/>
        </w:rPr>
      </w:pPr>
      <w:r>
        <w:rPr>
          <w:rFonts w:eastAsia="標楷體" w:hint="eastAsia"/>
          <w:b/>
          <w:sz w:val="26"/>
          <w:szCs w:val="26"/>
        </w:rPr>
        <w:t xml:space="preserve">ii. </w:t>
      </w:r>
      <w:r w:rsidR="007F65CD" w:rsidRPr="00BC5E75">
        <w:rPr>
          <w:b/>
          <w:bCs/>
          <w:spacing w:val="-2"/>
          <w:sz w:val="26"/>
          <w:szCs w:val="26"/>
        </w:rPr>
        <w:t>Domestic claims had a higher approval rat</w:t>
      </w:r>
      <w:r w:rsidR="00F939B3">
        <w:rPr>
          <w:rFonts w:hint="eastAsia"/>
          <w:b/>
          <w:bCs/>
          <w:spacing w:val="-2"/>
          <w:sz w:val="26"/>
          <w:szCs w:val="26"/>
        </w:rPr>
        <w:t>e</w:t>
      </w:r>
      <w:r w:rsidR="007F65CD" w:rsidRPr="00BC5E75">
        <w:rPr>
          <w:b/>
          <w:bCs/>
          <w:spacing w:val="-2"/>
          <w:sz w:val="26"/>
          <w:szCs w:val="26"/>
        </w:rPr>
        <w:t xml:space="preserve"> for outpatient services; whilst overseas claims showed a higher approval rat</w:t>
      </w:r>
      <w:r w:rsidR="00F939B3">
        <w:rPr>
          <w:rFonts w:hint="eastAsia"/>
          <w:b/>
          <w:bCs/>
          <w:spacing w:val="-2"/>
          <w:sz w:val="26"/>
          <w:szCs w:val="26"/>
        </w:rPr>
        <w:t>e</w:t>
      </w:r>
      <w:r w:rsidR="007F65CD" w:rsidRPr="00BC5E75">
        <w:rPr>
          <w:b/>
          <w:bCs/>
          <w:spacing w:val="-2"/>
          <w:sz w:val="26"/>
          <w:szCs w:val="26"/>
        </w:rPr>
        <w:t xml:space="preserve"> for inpatient services.</w:t>
      </w:r>
    </w:p>
    <w:p w:rsidR="007F65CD" w:rsidRPr="009B2815" w:rsidRDefault="007F65CD" w:rsidP="00872733">
      <w:pPr>
        <w:pStyle w:val="1"/>
        <w:kinsoku w:val="0"/>
        <w:spacing w:line="400" w:lineRule="exact"/>
        <w:ind w:leftChars="236" w:left="566" w:firstLineChars="200" w:firstLine="520"/>
        <w:jc w:val="both"/>
        <w:rPr>
          <w:sz w:val="26"/>
          <w:szCs w:val="26"/>
        </w:rPr>
      </w:pPr>
      <w:r w:rsidRPr="009B2815">
        <w:rPr>
          <w:sz w:val="26"/>
          <w:szCs w:val="26"/>
        </w:rPr>
        <w:t xml:space="preserve">In 2011, the total outpatient </w:t>
      </w:r>
      <w:r w:rsidR="000C44BD" w:rsidRPr="009B2815">
        <w:rPr>
          <w:sz w:val="26"/>
          <w:szCs w:val="26"/>
        </w:rPr>
        <w:t>advanced expense</w:t>
      </w:r>
      <w:r w:rsidR="000C44BD">
        <w:rPr>
          <w:rFonts w:hint="eastAsia"/>
          <w:sz w:val="26"/>
          <w:szCs w:val="26"/>
        </w:rPr>
        <w:t xml:space="preserve"> </w:t>
      </w:r>
      <w:r w:rsidRPr="009B2815">
        <w:rPr>
          <w:sz w:val="26"/>
          <w:szCs w:val="26"/>
        </w:rPr>
        <w:t xml:space="preserve">claims for out-of-plan services </w:t>
      </w:r>
      <w:r w:rsidR="000C44BD">
        <w:rPr>
          <w:rFonts w:hint="eastAsia"/>
          <w:sz w:val="26"/>
          <w:szCs w:val="26"/>
        </w:rPr>
        <w:t xml:space="preserve">approved </w:t>
      </w:r>
      <w:r w:rsidRPr="009B2815">
        <w:rPr>
          <w:sz w:val="26"/>
          <w:szCs w:val="26"/>
        </w:rPr>
        <w:t>amounted to NT$280 million, showing a 0.4% increase from the previous year. The approval rat</w:t>
      </w:r>
      <w:r w:rsidR="00B70128">
        <w:rPr>
          <w:rFonts w:hint="eastAsia"/>
          <w:sz w:val="26"/>
          <w:szCs w:val="26"/>
        </w:rPr>
        <w:t>e</w:t>
      </w:r>
      <w:r w:rsidRPr="009B2815">
        <w:rPr>
          <w:sz w:val="26"/>
          <w:szCs w:val="26"/>
        </w:rPr>
        <w:t xml:space="preserve"> was 58.7%</w:t>
      </w:r>
      <w:r w:rsidR="000C44BD">
        <w:rPr>
          <w:rFonts w:hint="eastAsia"/>
          <w:sz w:val="26"/>
          <w:szCs w:val="26"/>
        </w:rPr>
        <w:t>,</w:t>
      </w:r>
      <w:r w:rsidRPr="009B2815">
        <w:rPr>
          <w:sz w:val="26"/>
          <w:szCs w:val="26"/>
        </w:rPr>
        <w:t xml:space="preserve"> 66.3% for domestic claims and 57.0% for overseas claims. For overseas claims, the highest approval rat</w:t>
      </w:r>
      <w:r w:rsidR="00F939B3">
        <w:rPr>
          <w:rFonts w:hint="eastAsia"/>
          <w:sz w:val="26"/>
          <w:szCs w:val="26"/>
        </w:rPr>
        <w:t>e</w:t>
      </w:r>
      <w:r w:rsidRPr="009B2815">
        <w:rPr>
          <w:sz w:val="26"/>
          <w:szCs w:val="26"/>
        </w:rPr>
        <w:t xml:space="preserve"> was seen from Asia, being 66.2%</w:t>
      </w:r>
      <w:r w:rsidR="00F939B3">
        <w:rPr>
          <w:rFonts w:hint="eastAsia"/>
          <w:sz w:val="26"/>
          <w:szCs w:val="26"/>
        </w:rPr>
        <w:t xml:space="preserve">, </w:t>
      </w:r>
      <w:r w:rsidRPr="009B2815">
        <w:rPr>
          <w:sz w:val="26"/>
          <w:szCs w:val="26"/>
        </w:rPr>
        <w:t xml:space="preserve">followed by Africa </w:t>
      </w:r>
      <w:r w:rsidR="00F939B3">
        <w:rPr>
          <w:rFonts w:hint="eastAsia"/>
          <w:sz w:val="26"/>
          <w:szCs w:val="26"/>
        </w:rPr>
        <w:t xml:space="preserve">at </w:t>
      </w:r>
      <w:r w:rsidRPr="009B2815">
        <w:rPr>
          <w:sz w:val="26"/>
          <w:szCs w:val="26"/>
        </w:rPr>
        <w:t>32</w:t>
      </w:r>
      <w:r w:rsidR="00F939B3">
        <w:rPr>
          <w:sz w:val="26"/>
          <w:szCs w:val="26"/>
        </w:rPr>
        <w:t>.2%</w:t>
      </w:r>
      <w:r w:rsidRPr="009B2815">
        <w:rPr>
          <w:sz w:val="26"/>
          <w:szCs w:val="26"/>
        </w:rPr>
        <w:t xml:space="preserve"> and North America </w:t>
      </w:r>
      <w:r w:rsidR="00F939B3">
        <w:rPr>
          <w:rFonts w:hint="eastAsia"/>
          <w:sz w:val="26"/>
          <w:szCs w:val="26"/>
        </w:rPr>
        <w:t xml:space="preserve">at </w:t>
      </w:r>
      <w:r w:rsidRPr="009B2815">
        <w:rPr>
          <w:sz w:val="26"/>
          <w:szCs w:val="26"/>
        </w:rPr>
        <w:t xml:space="preserve">17.9%. </w:t>
      </w:r>
    </w:p>
    <w:p w:rsidR="005C39D1" w:rsidRPr="00947656" w:rsidRDefault="007F65CD" w:rsidP="00872733">
      <w:pPr>
        <w:pStyle w:val="a5"/>
        <w:kinsoku w:val="0"/>
        <w:spacing w:line="400" w:lineRule="exact"/>
        <w:ind w:leftChars="236" w:left="566" w:firstLineChars="200" w:firstLine="520"/>
        <w:jc w:val="both"/>
        <w:rPr>
          <w:rFonts w:eastAsia="標楷體"/>
          <w:sz w:val="26"/>
          <w:szCs w:val="26"/>
        </w:rPr>
      </w:pPr>
      <w:r w:rsidRPr="009B2815">
        <w:rPr>
          <w:sz w:val="26"/>
          <w:szCs w:val="26"/>
        </w:rPr>
        <w:t xml:space="preserve">The total inpatient claims </w:t>
      </w:r>
      <w:r w:rsidR="000C44BD" w:rsidRPr="009B2815">
        <w:rPr>
          <w:sz w:val="26"/>
          <w:szCs w:val="26"/>
        </w:rPr>
        <w:t xml:space="preserve">for out-of-plan services </w:t>
      </w:r>
      <w:r w:rsidR="000C44BD">
        <w:rPr>
          <w:rFonts w:hint="eastAsia"/>
          <w:sz w:val="26"/>
          <w:szCs w:val="26"/>
        </w:rPr>
        <w:t>approved</w:t>
      </w:r>
      <w:r w:rsidR="000C44BD" w:rsidRPr="009B2815">
        <w:rPr>
          <w:sz w:val="26"/>
          <w:szCs w:val="26"/>
        </w:rPr>
        <w:t xml:space="preserve"> </w:t>
      </w:r>
      <w:r w:rsidRPr="009B2815">
        <w:rPr>
          <w:sz w:val="26"/>
          <w:szCs w:val="26"/>
        </w:rPr>
        <w:t>amounted to NT$1 billion, an increase of 8.3% from the previous year. The approval rat</w:t>
      </w:r>
      <w:r w:rsidR="00B70128">
        <w:rPr>
          <w:rFonts w:hint="eastAsia"/>
          <w:sz w:val="26"/>
          <w:szCs w:val="26"/>
        </w:rPr>
        <w:t>e</w:t>
      </w:r>
      <w:r w:rsidRPr="009B2815">
        <w:rPr>
          <w:sz w:val="26"/>
          <w:szCs w:val="26"/>
        </w:rPr>
        <w:t xml:space="preserve"> was 25.3%</w:t>
      </w:r>
      <w:r w:rsidR="000C44BD">
        <w:rPr>
          <w:rFonts w:hint="eastAsia"/>
          <w:sz w:val="26"/>
          <w:szCs w:val="26"/>
        </w:rPr>
        <w:t>,</w:t>
      </w:r>
      <w:r w:rsidRPr="009B2815">
        <w:rPr>
          <w:sz w:val="26"/>
          <w:szCs w:val="26"/>
        </w:rPr>
        <w:t xml:space="preserve"> 22.8% for domestic claims and 28.4% for overseas claims. For overseas claims, the highest approval rat</w:t>
      </w:r>
      <w:r w:rsidR="00F939B3">
        <w:rPr>
          <w:rFonts w:hint="eastAsia"/>
          <w:sz w:val="26"/>
          <w:szCs w:val="26"/>
        </w:rPr>
        <w:t>e</w:t>
      </w:r>
      <w:r w:rsidRPr="009B2815">
        <w:rPr>
          <w:sz w:val="26"/>
          <w:szCs w:val="26"/>
        </w:rPr>
        <w:t xml:space="preserve"> was seen from Asia, being 39.9%</w:t>
      </w:r>
      <w:r w:rsidR="00F939B3">
        <w:rPr>
          <w:rFonts w:hint="eastAsia"/>
          <w:sz w:val="26"/>
          <w:szCs w:val="26"/>
        </w:rPr>
        <w:t>,</w:t>
      </w:r>
      <w:r w:rsidRPr="009B2815">
        <w:rPr>
          <w:sz w:val="26"/>
          <w:szCs w:val="26"/>
        </w:rPr>
        <w:t xml:space="preserve"> followed by Europe </w:t>
      </w:r>
      <w:r w:rsidR="00F939B3">
        <w:rPr>
          <w:rFonts w:hint="eastAsia"/>
          <w:sz w:val="26"/>
          <w:szCs w:val="26"/>
        </w:rPr>
        <w:t xml:space="preserve">at </w:t>
      </w:r>
      <w:r w:rsidRPr="009B2815">
        <w:rPr>
          <w:sz w:val="26"/>
          <w:szCs w:val="26"/>
        </w:rPr>
        <w:t>20.0%</w:t>
      </w:r>
      <w:r w:rsidR="00F939B3">
        <w:rPr>
          <w:sz w:val="26"/>
          <w:szCs w:val="26"/>
        </w:rPr>
        <w:t xml:space="preserve"> and the North America </w:t>
      </w:r>
      <w:r w:rsidR="00F939B3">
        <w:rPr>
          <w:rFonts w:hint="eastAsia"/>
          <w:sz w:val="26"/>
          <w:szCs w:val="26"/>
        </w:rPr>
        <w:t xml:space="preserve">at </w:t>
      </w:r>
      <w:r w:rsidR="00F939B3">
        <w:rPr>
          <w:sz w:val="26"/>
          <w:szCs w:val="26"/>
        </w:rPr>
        <w:t>7.6%</w:t>
      </w:r>
      <w:r w:rsidRPr="009B2815">
        <w:rPr>
          <w:sz w:val="26"/>
          <w:szCs w:val="26"/>
        </w:rPr>
        <w:t>.</w:t>
      </w:r>
    </w:p>
    <w:p w:rsidR="005C39D1" w:rsidRPr="00947656" w:rsidRDefault="00D44C53" w:rsidP="00730DFA">
      <w:pPr>
        <w:pStyle w:val="a5"/>
        <w:spacing w:beforeLines="50" w:afterLines="50"/>
        <w:ind w:leftChars="0" w:left="0"/>
        <w:jc w:val="center"/>
        <w:rPr>
          <w:rFonts w:eastAsia="標楷體"/>
          <w:sz w:val="26"/>
          <w:szCs w:val="26"/>
        </w:rPr>
      </w:pPr>
      <w:r w:rsidRPr="00D44C53">
        <w:rPr>
          <w:rFonts w:eastAsia="標楷體"/>
          <w:noProof/>
          <w:sz w:val="26"/>
          <w:szCs w:val="26"/>
        </w:rPr>
        <w:drawing>
          <wp:inline distT="0" distB="0" distL="0" distR="0">
            <wp:extent cx="4425950" cy="2673350"/>
            <wp:effectExtent l="19050" t="0" r="0" b="0"/>
            <wp:docPr id="35" name="圖表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200A46" w:rsidRPr="00E2497E" w:rsidRDefault="00200A46" w:rsidP="00730DFA">
      <w:pPr>
        <w:pStyle w:val="a5"/>
        <w:tabs>
          <w:tab w:val="left" w:pos="851"/>
        </w:tabs>
        <w:spacing w:beforeLines="100" w:afterLines="50"/>
        <w:ind w:leftChars="0" w:left="0"/>
        <w:jc w:val="both"/>
        <w:rPr>
          <w:rFonts w:eastAsia="標楷體" w:hAnsi="標楷體"/>
          <w:sz w:val="26"/>
          <w:szCs w:val="26"/>
        </w:rPr>
      </w:pPr>
      <w:r w:rsidRPr="00E2497E">
        <w:rPr>
          <w:rFonts w:eastAsia="標楷體" w:hAnsi="標楷體"/>
          <w:sz w:val="26"/>
          <w:szCs w:val="26"/>
        </w:rPr>
        <w:lastRenderedPageBreak/>
        <w:t>Note</w:t>
      </w:r>
      <w:r w:rsidRPr="00E2497E">
        <w:rPr>
          <w:rFonts w:eastAsia="標楷體" w:hAnsi="標楷體" w:hint="eastAsia"/>
          <w:sz w:val="26"/>
          <w:szCs w:val="26"/>
        </w:rPr>
        <w:t>s</w:t>
      </w:r>
      <w:r w:rsidRPr="00E2497E">
        <w:rPr>
          <w:rFonts w:eastAsia="標楷體" w:hAnsi="標楷體"/>
          <w:sz w:val="26"/>
          <w:szCs w:val="26"/>
        </w:rPr>
        <w:t>:</w:t>
      </w:r>
    </w:p>
    <w:p w:rsidR="00200A46" w:rsidRPr="00E2497E" w:rsidRDefault="00200A46" w:rsidP="00200A46">
      <w:pPr>
        <w:pStyle w:val="a5"/>
        <w:numPr>
          <w:ilvl w:val="0"/>
          <w:numId w:val="3"/>
        </w:numPr>
        <w:tabs>
          <w:tab w:val="left" w:pos="284"/>
        </w:tabs>
        <w:adjustRightInd/>
        <w:spacing w:line="240" w:lineRule="auto"/>
        <w:ind w:leftChars="0"/>
        <w:jc w:val="both"/>
        <w:textAlignment w:val="auto"/>
        <w:rPr>
          <w:rFonts w:eastAsia="標楷體" w:hAnsi="標楷體"/>
          <w:sz w:val="26"/>
          <w:szCs w:val="26"/>
        </w:rPr>
      </w:pPr>
      <w:r w:rsidRPr="00E2497E">
        <w:rPr>
          <w:rFonts w:eastAsia="標楷體" w:hAnsi="標楷體" w:hint="eastAsia"/>
          <w:sz w:val="26"/>
          <w:szCs w:val="26"/>
        </w:rPr>
        <w:t>Data</w:t>
      </w:r>
      <w:r w:rsidRPr="00E2497E">
        <w:rPr>
          <w:rFonts w:eastAsia="標楷體" w:hAnsi="標楷體"/>
          <w:sz w:val="26"/>
          <w:szCs w:val="26"/>
        </w:rPr>
        <w:t xml:space="preserve"> in this chapter was last updated on </w:t>
      </w:r>
      <w:r w:rsidRPr="00E2497E">
        <w:rPr>
          <w:rFonts w:eastAsia="標楷體" w:hAnsi="標楷體" w:hint="eastAsia"/>
          <w:sz w:val="26"/>
          <w:szCs w:val="26"/>
        </w:rPr>
        <w:t>June</w:t>
      </w:r>
      <w:r w:rsidRPr="00E2497E">
        <w:rPr>
          <w:rFonts w:eastAsia="標楷體" w:hAnsi="標楷體"/>
          <w:sz w:val="26"/>
          <w:szCs w:val="26"/>
        </w:rPr>
        <w:t xml:space="preserve"> </w:t>
      </w:r>
      <w:r w:rsidRPr="00E2497E">
        <w:rPr>
          <w:rFonts w:eastAsia="標楷體" w:hAnsi="標楷體" w:hint="eastAsia"/>
          <w:sz w:val="26"/>
          <w:szCs w:val="26"/>
        </w:rPr>
        <w:t>30</w:t>
      </w:r>
      <w:r w:rsidRPr="00E2497E">
        <w:rPr>
          <w:rFonts w:eastAsia="標楷體" w:hAnsi="標楷體"/>
          <w:sz w:val="26"/>
          <w:szCs w:val="26"/>
        </w:rPr>
        <w:t>, 20</w:t>
      </w:r>
      <w:r w:rsidRPr="00E2497E">
        <w:rPr>
          <w:rFonts w:eastAsia="標楷體" w:hAnsi="標楷體" w:hint="eastAsia"/>
          <w:sz w:val="26"/>
          <w:szCs w:val="26"/>
        </w:rPr>
        <w:t>1</w:t>
      </w:r>
      <w:r w:rsidR="00E37E98">
        <w:rPr>
          <w:rFonts w:eastAsia="標楷體" w:hAnsi="標楷體" w:hint="eastAsia"/>
          <w:sz w:val="26"/>
          <w:szCs w:val="26"/>
        </w:rPr>
        <w:t>2</w:t>
      </w:r>
      <w:r w:rsidRPr="00E2497E">
        <w:rPr>
          <w:rFonts w:eastAsia="標楷體" w:hAnsi="標楷體"/>
          <w:sz w:val="26"/>
          <w:szCs w:val="26"/>
        </w:rPr>
        <w:t>.</w:t>
      </w:r>
    </w:p>
    <w:p w:rsidR="00200A46" w:rsidRPr="00E2497E" w:rsidRDefault="00200A46" w:rsidP="00200A46">
      <w:pPr>
        <w:pStyle w:val="a5"/>
        <w:numPr>
          <w:ilvl w:val="0"/>
          <w:numId w:val="3"/>
        </w:numPr>
        <w:tabs>
          <w:tab w:val="left" w:pos="284"/>
        </w:tabs>
        <w:adjustRightInd/>
        <w:spacing w:line="240" w:lineRule="auto"/>
        <w:ind w:leftChars="0"/>
        <w:jc w:val="both"/>
        <w:textAlignment w:val="auto"/>
        <w:rPr>
          <w:rFonts w:eastAsia="標楷體" w:hAnsi="標楷體"/>
          <w:sz w:val="26"/>
          <w:szCs w:val="26"/>
        </w:rPr>
      </w:pPr>
      <w:r w:rsidRPr="00E2497E">
        <w:rPr>
          <w:rFonts w:eastAsia="標楷體" w:hAnsi="標楷體" w:hint="eastAsia"/>
          <w:sz w:val="26"/>
          <w:szCs w:val="26"/>
        </w:rPr>
        <w:t xml:space="preserve">The </w:t>
      </w:r>
      <w:r w:rsidRPr="00E2497E">
        <w:rPr>
          <w:rFonts w:eastAsia="標楷體" w:hAnsi="標楷體"/>
          <w:sz w:val="26"/>
          <w:szCs w:val="26"/>
        </w:rPr>
        <w:t xml:space="preserve">medical </w:t>
      </w:r>
      <w:r w:rsidRPr="00E2497E">
        <w:rPr>
          <w:rFonts w:eastAsia="標楷體" w:hAnsi="標楷體" w:hint="eastAsia"/>
          <w:sz w:val="26"/>
          <w:szCs w:val="26"/>
        </w:rPr>
        <w:t xml:space="preserve">benefit claims in this chapter </w:t>
      </w:r>
      <w:r w:rsidRPr="00E2497E">
        <w:rPr>
          <w:rFonts w:eastAsia="標楷體" w:hAnsi="標楷體"/>
          <w:sz w:val="26"/>
          <w:szCs w:val="26"/>
        </w:rPr>
        <w:t>d</w:t>
      </w:r>
      <w:r w:rsidRPr="00E2497E">
        <w:rPr>
          <w:rFonts w:eastAsia="標楷體" w:hAnsi="標楷體" w:hint="eastAsia"/>
          <w:sz w:val="26"/>
          <w:szCs w:val="26"/>
        </w:rPr>
        <w:t>o</w:t>
      </w:r>
      <w:r w:rsidRPr="00E2497E">
        <w:rPr>
          <w:rFonts w:eastAsia="標楷體" w:hAnsi="標楷體"/>
          <w:sz w:val="26"/>
          <w:szCs w:val="26"/>
        </w:rPr>
        <w:t xml:space="preserve"> not include</w:t>
      </w:r>
      <w:r w:rsidRPr="00E2497E">
        <w:rPr>
          <w:rFonts w:eastAsia="標楷體" w:hAnsi="標楷體" w:hint="eastAsia"/>
          <w:sz w:val="26"/>
          <w:szCs w:val="26"/>
        </w:rPr>
        <w:t xml:space="preserve"> copayment</w:t>
      </w:r>
      <w:r w:rsidR="00117750">
        <w:rPr>
          <w:rFonts w:eastAsia="標楷體" w:hAnsi="標楷體" w:hint="eastAsia"/>
          <w:sz w:val="26"/>
          <w:szCs w:val="26"/>
        </w:rPr>
        <w:t>s.</w:t>
      </w:r>
    </w:p>
    <w:p w:rsidR="00200A46" w:rsidRPr="00E2497E" w:rsidRDefault="00200A46" w:rsidP="00BC5E75">
      <w:pPr>
        <w:pStyle w:val="a5"/>
        <w:numPr>
          <w:ilvl w:val="0"/>
          <w:numId w:val="3"/>
        </w:numPr>
        <w:tabs>
          <w:tab w:val="left" w:pos="284"/>
        </w:tabs>
        <w:adjustRightInd/>
        <w:spacing w:line="240" w:lineRule="auto"/>
        <w:ind w:leftChars="0" w:left="284" w:hanging="284"/>
        <w:jc w:val="both"/>
        <w:textAlignment w:val="auto"/>
        <w:rPr>
          <w:rFonts w:eastAsia="標楷體" w:hAnsi="標楷體"/>
          <w:sz w:val="26"/>
          <w:szCs w:val="26"/>
        </w:rPr>
      </w:pPr>
      <w:r w:rsidRPr="00E2497E">
        <w:rPr>
          <w:rFonts w:eastAsia="標楷體" w:hAnsi="標楷體" w:hint="eastAsia"/>
          <w:sz w:val="26"/>
          <w:szCs w:val="26"/>
        </w:rPr>
        <w:t>T</w:t>
      </w:r>
      <w:r w:rsidRPr="00E2497E">
        <w:rPr>
          <w:rFonts w:eastAsia="標楷體" w:hAnsi="標楷體"/>
          <w:sz w:val="26"/>
          <w:szCs w:val="26"/>
        </w:rPr>
        <w:t xml:space="preserve">he </w:t>
      </w:r>
      <w:r w:rsidRPr="00E2497E">
        <w:rPr>
          <w:rFonts w:eastAsia="標楷體" w:hAnsi="標楷體" w:hint="eastAsia"/>
          <w:sz w:val="26"/>
          <w:szCs w:val="26"/>
        </w:rPr>
        <w:t xml:space="preserve">detailed </w:t>
      </w:r>
      <w:r w:rsidRPr="00E2497E">
        <w:rPr>
          <w:rFonts w:eastAsia="標楷體" w:hAnsi="標楷體"/>
          <w:sz w:val="26"/>
          <w:szCs w:val="26"/>
        </w:rPr>
        <w:t>medical expen</w:t>
      </w:r>
      <w:r w:rsidRPr="00E2497E">
        <w:rPr>
          <w:rFonts w:eastAsia="標楷體" w:hAnsi="標楷體" w:hint="eastAsia"/>
          <w:sz w:val="26"/>
          <w:szCs w:val="26"/>
        </w:rPr>
        <w:t>s</w:t>
      </w:r>
      <w:r w:rsidRPr="00E2497E">
        <w:rPr>
          <w:rFonts w:eastAsia="標楷體" w:hAnsi="標楷體"/>
          <w:sz w:val="26"/>
          <w:szCs w:val="26"/>
        </w:rPr>
        <w:t xml:space="preserve">es </w:t>
      </w:r>
      <w:r w:rsidRPr="00E2497E">
        <w:rPr>
          <w:rFonts w:eastAsia="標楷體" w:hAnsi="標楷體" w:hint="eastAsia"/>
          <w:sz w:val="26"/>
          <w:szCs w:val="26"/>
        </w:rPr>
        <w:t xml:space="preserve">in this chapter </w:t>
      </w:r>
      <w:r w:rsidRPr="00E2497E">
        <w:rPr>
          <w:rFonts w:eastAsia="標楷體" w:hAnsi="標楷體"/>
          <w:sz w:val="26"/>
          <w:szCs w:val="26"/>
        </w:rPr>
        <w:t xml:space="preserve">include </w:t>
      </w:r>
      <w:r w:rsidRPr="00E2497E">
        <w:rPr>
          <w:rFonts w:eastAsia="標楷體" w:hAnsi="標楷體" w:hint="eastAsia"/>
          <w:sz w:val="26"/>
          <w:szCs w:val="26"/>
        </w:rPr>
        <w:t>the medical benefit claims</w:t>
      </w:r>
      <w:r w:rsidRPr="00E2497E">
        <w:rPr>
          <w:rFonts w:eastAsia="標楷體" w:hAnsi="標楷體"/>
          <w:sz w:val="26"/>
          <w:szCs w:val="26"/>
        </w:rPr>
        <w:t xml:space="preserve"> and </w:t>
      </w:r>
      <w:r w:rsidRPr="00E2497E">
        <w:rPr>
          <w:rFonts w:eastAsia="標楷體" w:hAnsi="標楷體" w:hint="eastAsia"/>
          <w:sz w:val="26"/>
          <w:szCs w:val="26"/>
        </w:rPr>
        <w:t>copayment</w:t>
      </w:r>
      <w:r w:rsidR="00460764">
        <w:rPr>
          <w:rFonts w:eastAsia="標楷體" w:hAnsi="標楷體" w:hint="eastAsia"/>
          <w:sz w:val="26"/>
          <w:szCs w:val="26"/>
        </w:rPr>
        <w:t>s</w:t>
      </w:r>
      <w:r w:rsidRPr="00E2497E">
        <w:rPr>
          <w:rFonts w:eastAsia="標楷體" w:hAnsi="標楷體"/>
          <w:sz w:val="26"/>
          <w:szCs w:val="26"/>
        </w:rPr>
        <w:t>.</w:t>
      </w:r>
    </w:p>
    <w:p w:rsidR="00200A46" w:rsidRPr="00E2497E" w:rsidRDefault="00200A46" w:rsidP="00200A46">
      <w:pPr>
        <w:pStyle w:val="a5"/>
        <w:numPr>
          <w:ilvl w:val="0"/>
          <w:numId w:val="3"/>
        </w:numPr>
        <w:tabs>
          <w:tab w:val="left" w:pos="284"/>
        </w:tabs>
        <w:adjustRightInd/>
        <w:spacing w:line="240" w:lineRule="auto"/>
        <w:ind w:leftChars="0"/>
        <w:jc w:val="both"/>
        <w:textAlignment w:val="auto"/>
        <w:rPr>
          <w:rFonts w:eastAsia="標楷體" w:hAnsi="標楷體"/>
          <w:sz w:val="26"/>
          <w:szCs w:val="26"/>
        </w:rPr>
      </w:pPr>
      <w:r w:rsidRPr="00E2497E">
        <w:rPr>
          <w:rFonts w:eastAsia="標楷體" w:hAnsi="標楷體" w:hint="eastAsia"/>
          <w:sz w:val="26"/>
          <w:szCs w:val="26"/>
        </w:rPr>
        <w:t>Patients</w:t>
      </w:r>
      <w:r w:rsidR="00843BC7">
        <w:rPr>
          <w:rFonts w:eastAsia="標楷體"/>
          <w:sz w:val="26"/>
          <w:szCs w:val="26"/>
        </w:rPr>
        <w:t>’</w:t>
      </w:r>
      <w:r w:rsidRPr="00E2497E">
        <w:rPr>
          <w:rFonts w:eastAsia="標楷體" w:hAnsi="標楷體" w:hint="eastAsia"/>
          <w:sz w:val="26"/>
          <w:szCs w:val="26"/>
        </w:rPr>
        <w:t xml:space="preserve"> copayment </w:t>
      </w:r>
      <w:r w:rsidRPr="00E2497E">
        <w:rPr>
          <w:rFonts w:eastAsia="標楷體" w:hAnsi="標楷體"/>
          <w:sz w:val="26"/>
          <w:szCs w:val="26"/>
        </w:rPr>
        <w:t>d</w:t>
      </w:r>
      <w:r w:rsidRPr="00E2497E">
        <w:rPr>
          <w:rFonts w:eastAsia="標楷體" w:hAnsi="標楷體" w:hint="eastAsia"/>
          <w:sz w:val="26"/>
          <w:szCs w:val="26"/>
        </w:rPr>
        <w:t>oes</w:t>
      </w:r>
      <w:r w:rsidRPr="00E2497E">
        <w:rPr>
          <w:rFonts w:eastAsia="標楷體" w:hAnsi="標楷體"/>
          <w:sz w:val="26"/>
          <w:szCs w:val="26"/>
        </w:rPr>
        <w:t xml:space="preserve"> not include registration fees.</w:t>
      </w:r>
    </w:p>
    <w:p w:rsidR="00200A46" w:rsidRPr="00E2497E" w:rsidRDefault="00200A46" w:rsidP="00BC5E75">
      <w:pPr>
        <w:pStyle w:val="a5"/>
        <w:numPr>
          <w:ilvl w:val="0"/>
          <w:numId w:val="3"/>
        </w:numPr>
        <w:tabs>
          <w:tab w:val="left" w:pos="284"/>
        </w:tabs>
        <w:adjustRightInd/>
        <w:spacing w:line="240" w:lineRule="auto"/>
        <w:ind w:leftChars="0" w:left="284" w:hanging="284"/>
        <w:jc w:val="both"/>
        <w:textAlignment w:val="auto"/>
        <w:rPr>
          <w:rFonts w:eastAsia="標楷體" w:hAnsi="標楷體"/>
          <w:sz w:val="26"/>
          <w:szCs w:val="26"/>
        </w:rPr>
      </w:pPr>
      <w:r w:rsidRPr="00E2497E">
        <w:rPr>
          <w:rFonts w:eastAsia="標楷體" w:hAnsi="標楷體"/>
          <w:sz w:val="26"/>
          <w:szCs w:val="26"/>
        </w:rPr>
        <w:t xml:space="preserve">Prior to the implementation of the global budget </w:t>
      </w:r>
      <w:r w:rsidRPr="00E2497E">
        <w:rPr>
          <w:rFonts w:eastAsia="標楷體" w:hAnsi="標楷體" w:hint="eastAsia"/>
          <w:sz w:val="26"/>
          <w:szCs w:val="26"/>
        </w:rPr>
        <w:t xml:space="preserve">payment </w:t>
      </w:r>
      <w:r w:rsidRPr="00E2497E">
        <w:rPr>
          <w:rFonts w:eastAsia="標楷體" w:hAnsi="標楷體"/>
          <w:sz w:val="26"/>
          <w:szCs w:val="26"/>
        </w:rPr>
        <w:t xml:space="preserve">system, </w:t>
      </w:r>
      <w:r w:rsidRPr="00E2497E">
        <w:rPr>
          <w:rFonts w:eastAsia="標楷體" w:hAnsi="標楷體" w:hint="eastAsia"/>
          <w:sz w:val="26"/>
          <w:szCs w:val="26"/>
        </w:rPr>
        <w:t>1</w:t>
      </w:r>
      <w:r w:rsidRPr="00E2497E">
        <w:rPr>
          <w:rFonts w:eastAsia="標楷體" w:hAnsi="標楷體"/>
          <w:sz w:val="26"/>
          <w:szCs w:val="26"/>
        </w:rPr>
        <w:t xml:space="preserve"> </w:t>
      </w:r>
      <w:r w:rsidRPr="00E2497E">
        <w:rPr>
          <w:rFonts w:eastAsia="標楷體" w:hAnsi="標楷體" w:hint="eastAsia"/>
          <w:sz w:val="26"/>
          <w:szCs w:val="26"/>
        </w:rPr>
        <w:t>RVU</w:t>
      </w:r>
      <w:r w:rsidRPr="00E2497E">
        <w:rPr>
          <w:rFonts w:eastAsia="標楷體" w:hAnsi="標楷體"/>
          <w:sz w:val="26"/>
          <w:szCs w:val="26"/>
        </w:rPr>
        <w:t xml:space="preserve"> was </w:t>
      </w:r>
      <w:r w:rsidRPr="00E2497E">
        <w:rPr>
          <w:rFonts w:eastAsia="標楷體" w:hAnsi="標楷體" w:hint="eastAsia"/>
          <w:sz w:val="26"/>
          <w:szCs w:val="26"/>
        </w:rPr>
        <w:t>equal to NT$ 1</w:t>
      </w:r>
      <w:r w:rsidRPr="00E2497E">
        <w:rPr>
          <w:rFonts w:eastAsia="標楷體" w:hAnsi="標楷體"/>
          <w:sz w:val="26"/>
          <w:szCs w:val="26"/>
        </w:rPr>
        <w:t xml:space="preserve">. After the global budget </w:t>
      </w:r>
      <w:r w:rsidRPr="00E2497E">
        <w:rPr>
          <w:rFonts w:eastAsia="標楷體" w:hAnsi="標楷體" w:hint="eastAsia"/>
          <w:sz w:val="26"/>
          <w:szCs w:val="26"/>
        </w:rPr>
        <w:t xml:space="preserve">payment </w:t>
      </w:r>
      <w:r w:rsidRPr="00E2497E">
        <w:rPr>
          <w:rFonts w:eastAsia="標楷體" w:hAnsi="標楷體"/>
          <w:sz w:val="26"/>
          <w:szCs w:val="26"/>
        </w:rPr>
        <w:t xml:space="preserve">system was implemented, </w:t>
      </w:r>
      <w:r w:rsidRPr="00E2497E">
        <w:rPr>
          <w:rFonts w:eastAsia="標楷體" w:hAnsi="標楷體" w:hint="eastAsia"/>
          <w:sz w:val="26"/>
          <w:szCs w:val="26"/>
        </w:rPr>
        <w:t>1 RVU</w:t>
      </w:r>
      <w:r w:rsidRPr="00E2497E">
        <w:rPr>
          <w:rFonts w:eastAsia="標楷體" w:hAnsi="標楷體"/>
          <w:sz w:val="26"/>
          <w:szCs w:val="26"/>
        </w:rPr>
        <w:t xml:space="preserve"> for any item under general services should be calculated according to the </w:t>
      </w:r>
      <w:r w:rsidRPr="00E2497E">
        <w:rPr>
          <w:rFonts w:eastAsia="標楷體" w:hAnsi="標楷體" w:hint="eastAsia"/>
          <w:sz w:val="26"/>
          <w:szCs w:val="26"/>
        </w:rPr>
        <w:t>Point Value</w:t>
      </w:r>
      <w:r w:rsidRPr="00E2497E">
        <w:rPr>
          <w:rFonts w:eastAsia="標楷體" w:hAnsi="標楷體"/>
          <w:sz w:val="26"/>
          <w:szCs w:val="26"/>
        </w:rPr>
        <w:t xml:space="preserve"> of Global Budget Payment System in this chapter. </w:t>
      </w:r>
      <w:r w:rsidRPr="00E2497E">
        <w:rPr>
          <w:rFonts w:eastAsia="標楷體" w:hAnsi="標楷體" w:hint="eastAsia"/>
          <w:sz w:val="26"/>
          <w:szCs w:val="26"/>
        </w:rPr>
        <w:t>F</w:t>
      </w:r>
      <w:r w:rsidRPr="00E2497E">
        <w:rPr>
          <w:rFonts w:eastAsia="標楷體" w:hAnsi="標楷體"/>
          <w:sz w:val="26"/>
          <w:szCs w:val="26"/>
        </w:rPr>
        <w:t xml:space="preserve">or other </w:t>
      </w:r>
      <w:r w:rsidRPr="00E2497E">
        <w:rPr>
          <w:rFonts w:eastAsia="標楷體" w:hAnsi="標楷體" w:hint="eastAsia"/>
          <w:sz w:val="26"/>
          <w:szCs w:val="26"/>
        </w:rPr>
        <w:t>item</w:t>
      </w:r>
      <w:r w:rsidRPr="00E2497E">
        <w:rPr>
          <w:rFonts w:eastAsia="標楷體" w:hAnsi="標楷體"/>
          <w:sz w:val="26"/>
          <w:szCs w:val="26"/>
        </w:rPr>
        <w:t>s</w:t>
      </w:r>
      <w:r w:rsidRPr="00E2497E">
        <w:rPr>
          <w:rFonts w:eastAsia="標楷體" w:hAnsi="標楷體" w:hint="eastAsia"/>
          <w:sz w:val="26"/>
          <w:szCs w:val="26"/>
        </w:rPr>
        <w:t>, 1 RVU</w:t>
      </w:r>
      <w:r w:rsidRPr="00E2497E">
        <w:rPr>
          <w:rFonts w:eastAsia="標楷體" w:hAnsi="標楷體"/>
          <w:sz w:val="26"/>
          <w:szCs w:val="26"/>
        </w:rPr>
        <w:t xml:space="preserve"> </w:t>
      </w:r>
      <w:r w:rsidRPr="00E2497E">
        <w:rPr>
          <w:rFonts w:eastAsia="標楷體" w:hAnsi="標楷體" w:hint="eastAsia"/>
          <w:sz w:val="26"/>
          <w:szCs w:val="26"/>
        </w:rPr>
        <w:t>was equal to</w:t>
      </w:r>
      <w:r w:rsidRPr="00E2497E">
        <w:rPr>
          <w:rFonts w:eastAsia="標楷體" w:hAnsi="標楷體"/>
          <w:sz w:val="26"/>
          <w:szCs w:val="26"/>
        </w:rPr>
        <w:t xml:space="preserve"> </w:t>
      </w:r>
      <w:r w:rsidRPr="00E2497E">
        <w:rPr>
          <w:rFonts w:eastAsia="標楷體" w:hAnsi="標楷體" w:hint="eastAsia"/>
          <w:sz w:val="26"/>
          <w:szCs w:val="26"/>
        </w:rPr>
        <w:t>NT$ 1</w:t>
      </w:r>
      <w:r w:rsidRPr="00E2497E">
        <w:rPr>
          <w:rFonts w:eastAsia="標楷體" w:hAnsi="標楷體"/>
          <w:sz w:val="26"/>
          <w:szCs w:val="26"/>
        </w:rPr>
        <w:t xml:space="preserve"> in </w:t>
      </w:r>
      <w:r w:rsidRPr="00E2497E">
        <w:rPr>
          <w:rFonts w:eastAsia="標楷體" w:hAnsi="標楷體" w:hint="eastAsia"/>
          <w:sz w:val="26"/>
          <w:szCs w:val="26"/>
        </w:rPr>
        <w:t>principle</w:t>
      </w:r>
      <w:r w:rsidRPr="00E2497E">
        <w:rPr>
          <w:rFonts w:eastAsia="標楷體" w:hAnsi="標楷體"/>
          <w:sz w:val="26"/>
          <w:szCs w:val="26"/>
        </w:rPr>
        <w:t>.</w:t>
      </w:r>
    </w:p>
    <w:p w:rsidR="00EE74A9" w:rsidRPr="0027265B" w:rsidRDefault="00200A46" w:rsidP="00BC5E75">
      <w:pPr>
        <w:pStyle w:val="a5"/>
        <w:numPr>
          <w:ilvl w:val="0"/>
          <w:numId w:val="3"/>
        </w:numPr>
        <w:tabs>
          <w:tab w:val="left" w:pos="284"/>
        </w:tabs>
        <w:adjustRightInd/>
        <w:spacing w:line="240" w:lineRule="auto"/>
        <w:ind w:leftChars="0" w:left="284" w:hanging="284"/>
        <w:jc w:val="both"/>
        <w:textAlignment w:val="auto"/>
        <w:rPr>
          <w:rFonts w:eastAsia="標楷體"/>
          <w:sz w:val="26"/>
          <w:szCs w:val="26"/>
        </w:rPr>
      </w:pPr>
      <w:r w:rsidRPr="00E2497E">
        <w:rPr>
          <w:rFonts w:eastAsia="標楷體" w:hAnsi="標楷體" w:hint="eastAsia"/>
          <w:sz w:val="26"/>
          <w:szCs w:val="26"/>
        </w:rPr>
        <w:t xml:space="preserve">For </w:t>
      </w:r>
      <w:r w:rsidRPr="00E2497E">
        <w:rPr>
          <w:rFonts w:eastAsia="標楷體" w:hAnsi="標楷體"/>
          <w:sz w:val="26"/>
          <w:szCs w:val="26"/>
        </w:rPr>
        <w:t xml:space="preserve">reimbursement </w:t>
      </w:r>
      <w:r w:rsidRPr="00E2497E">
        <w:rPr>
          <w:rFonts w:eastAsia="標楷體" w:hAnsi="標楷體" w:hint="eastAsia"/>
          <w:sz w:val="26"/>
          <w:szCs w:val="26"/>
        </w:rPr>
        <w:t xml:space="preserve">of advance medical expenses </w:t>
      </w:r>
      <w:r w:rsidRPr="00E2497E">
        <w:rPr>
          <w:rFonts w:eastAsia="標楷體" w:hAnsi="標楷體"/>
          <w:sz w:val="26"/>
          <w:szCs w:val="26"/>
        </w:rPr>
        <w:t xml:space="preserve">for </w:t>
      </w:r>
      <w:r w:rsidRPr="00E2497E">
        <w:rPr>
          <w:rFonts w:eastAsia="標楷體" w:hAnsi="標楷體" w:hint="eastAsia"/>
          <w:sz w:val="26"/>
          <w:szCs w:val="26"/>
        </w:rPr>
        <w:t>o</w:t>
      </w:r>
      <w:r w:rsidRPr="00E2497E">
        <w:rPr>
          <w:rFonts w:eastAsia="標楷體" w:hAnsi="標楷體"/>
          <w:sz w:val="26"/>
          <w:szCs w:val="26"/>
        </w:rPr>
        <w:t>ut-of-</w:t>
      </w:r>
      <w:r w:rsidRPr="00E2497E">
        <w:rPr>
          <w:rFonts w:eastAsia="標楷體" w:hAnsi="標楷體" w:hint="eastAsia"/>
          <w:sz w:val="26"/>
          <w:szCs w:val="26"/>
        </w:rPr>
        <w:t>p</w:t>
      </w:r>
      <w:r w:rsidRPr="00E2497E">
        <w:rPr>
          <w:rFonts w:eastAsia="標楷體" w:hAnsi="標楷體"/>
          <w:sz w:val="26"/>
          <w:szCs w:val="26"/>
        </w:rPr>
        <w:t xml:space="preserve">lan </w:t>
      </w:r>
      <w:r w:rsidRPr="00E2497E">
        <w:rPr>
          <w:rFonts w:eastAsia="標楷體" w:hAnsi="標楷體" w:hint="eastAsia"/>
          <w:sz w:val="26"/>
          <w:szCs w:val="26"/>
        </w:rPr>
        <w:t>s</w:t>
      </w:r>
      <w:r w:rsidRPr="00E2497E">
        <w:rPr>
          <w:rFonts w:eastAsia="標楷體" w:hAnsi="標楷體"/>
          <w:sz w:val="26"/>
          <w:szCs w:val="26"/>
        </w:rPr>
        <w:t xml:space="preserve">ervices, </w:t>
      </w:r>
      <w:r w:rsidRPr="00E2497E">
        <w:rPr>
          <w:rFonts w:eastAsia="標楷體" w:hAnsi="標楷體" w:hint="eastAsia"/>
          <w:sz w:val="26"/>
          <w:szCs w:val="26"/>
        </w:rPr>
        <w:t>only cases whose</w:t>
      </w:r>
      <w:r w:rsidRPr="00E2497E">
        <w:rPr>
          <w:rFonts w:eastAsia="標楷體" w:hAnsi="標楷體"/>
          <w:sz w:val="26"/>
          <w:szCs w:val="26"/>
        </w:rPr>
        <w:t xml:space="preserve"> amount approved </w:t>
      </w:r>
      <w:r w:rsidRPr="00E2497E">
        <w:rPr>
          <w:rFonts w:eastAsia="標楷體" w:hAnsi="標楷體" w:hint="eastAsia"/>
          <w:sz w:val="26"/>
          <w:szCs w:val="26"/>
        </w:rPr>
        <w:t>were</w:t>
      </w:r>
      <w:r w:rsidRPr="00E2497E">
        <w:rPr>
          <w:rFonts w:eastAsia="標楷體" w:hAnsi="標楷體"/>
          <w:sz w:val="26"/>
          <w:szCs w:val="26"/>
        </w:rPr>
        <w:t xml:space="preserve"> larger than </w:t>
      </w:r>
      <w:r w:rsidRPr="00E2497E">
        <w:rPr>
          <w:rFonts w:eastAsia="標楷體" w:hAnsi="標楷體" w:hint="eastAsia"/>
          <w:sz w:val="26"/>
          <w:szCs w:val="26"/>
        </w:rPr>
        <w:t>zero were accumulated for the figures of approved cases</w:t>
      </w:r>
      <w:r w:rsidRPr="00E2497E">
        <w:rPr>
          <w:rFonts w:eastAsia="標楷體" w:hAnsi="標楷體"/>
          <w:sz w:val="26"/>
          <w:szCs w:val="26"/>
        </w:rPr>
        <w:t>.</w:t>
      </w:r>
    </w:p>
    <w:sectPr w:rsidR="00EE74A9" w:rsidRPr="0027265B" w:rsidSect="00DF30E4">
      <w:footerReference w:type="default" r:id="rId42"/>
      <w:pgSz w:w="11906" w:h="16838" w:code="9"/>
      <w:pgMar w:top="1701" w:right="1134" w:bottom="1304" w:left="1134" w:header="567" w:footer="737" w:gutter="0"/>
      <w:pgNumType w:start="77"/>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053E" w:rsidRDefault="006D053E">
      <w:pPr>
        <w:spacing w:line="240" w:lineRule="auto"/>
      </w:pPr>
      <w:r>
        <w:separator/>
      </w:r>
    </w:p>
  </w:endnote>
  <w:endnote w:type="continuationSeparator" w:id="0">
    <w:p w:rsidR="006D053E" w:rsidRDefault="006D053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¼Ð·¢Åé">
    <w:altName w:val="Kristen ITC"/>
    <w:panose1 w:val="00000000000000000000"/>
    <w:charset w:val="00"/>
    <w:family w:val="script"/>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27376"/>
      <w:docPartObj>
        <w:docPartGallery w:val="Page Numbers (Bottom of Page)"/>
        <w:docPartUnique/>
      </w:docPartObj>
    </w:sdtPr>
    <w:sdtEndPr>
      <w:rPr>
        <w:sz w:val="24"/>
        <w:szCs w:val="24"/>
      </w:rPr>
    </w:sdtEndPr>
    <w:sdtContent>
      <w:p w:rsidR="00460764" w:rsidRDefault="00460764">
        <w:pPr>
          <w:pStyle w:val="a8"/>
          <w:jc w:val="center"/>
        </w:pPr>
        <w:r>
          <w:rPr>
            <w:rFonts w:hint="eastAsia"/>
          </w:rPr>
          <w:t xml:space="preserve">- </w:t>
        </w:r>
        <w:r w:rsidR="00730DFA" w:rsidRPr="00CD1CF8">
          <w:rPr>
            <w:sz w:val="24"/>
            <w:szCs w:val="24"/>
          </w:rPr>
          <w:fldChar w:fldCharType="begin"/>
        </w:r>
        <w:r w:rsidRPr="00CD1CF8">
          <w:rPr>
            <w:sz w:val="24"/>
            <w:szCs w:val="24"/>
          </w:rPr>
          <w:instrText xml:space="preserve"> PAGE   \* MERGEFORMAT </w:instrText>
        </w:r>
        <w:r w:rsidR="00730DFA" w:rsidRPr="00CD1CF8">
          <w:rPr>
            <w:sz w:val="24"/>
            <w:szCs w:val="24"/>
          </w:rPr>
          <w:fldChar w:fldCharType="separate"/>
        </w:r>
        <w:r w:rsidR="007E1CD5" w:rsidRPr="007E1CD5">
          <w:rPr>
            <w:noProof/>
            <w:sz w:val="24"/>
            <w:szCs w:val="24"/>
            <w:lang w:val="zh-TW"/>
          </w:rPr>
          <w:t>107</w:t>
        </w:r>
        <w:r w:rsidR="00730DFA" w:rsidRPr="00CD1CF8">
          <w:rPr>
            <w:sz w:val="24"/>
            <w:szCs w:val="24"/>
          </w:rPr>
          <w:fldChar w:fldCharType="end"/>
        </w:r>
        <w:r>
          <w:rPr>
            <w:rFonts w:hint="eastAsia"/>
            <w:sz w:val="24"/>
            <w:szCs w:val="24"/>
          </w:rPr>
          <w:t xml:space="preserve"> -</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053E" w:rsidRDefault="006D053E">
      <w:pPr>
        <w:spacing w:line="240" w:lineRule="auto"/>
      </w:pPr>
      <w:r>
        <w:separator/>
      </w:r>
    </w:p>
  </w:footnote>
  <w:footnote w:type="continuationSeparator" w:id="0">
    <w:p w:rsidR="006D053E" w:rsidRDefault="006D053E">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pt;height:1.8pt;visibility:visible;mso-wrap-style:square" o:bullet="t">
        <v:imagedata r:id="rId1" o:title=""/>
      </v:shape>
    </w:pict>
  </w:numPicBullet>
  <w:abstractNum w:abstractNumId="0">
    <w:nsid w:val="028C580D"/>
    <w:multiLevelType w:val="hybridMultilevel"/>
    <w:tmpl w:val="DBCCD9C4"/>
    <w:lvl w:ilvl="0" w:tplc="D89449BA">
      <w:start w:val="1"/>
      <w:numFmt w:val="taiwaneseCountingThousand"/>
      <w:lvlText w:val="%1、"/>
      <w:lvlJc w:val="left"/>
      <w:pPr>
        <w:ind w:left="720" w:hanging="720"/>
      </w:pPr>
      <w:rPr>
        <w:rFonts w:ascii="標楷體" w:hAnsi="標楷體"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7E16E4C"/>
    <w:multiLevelType w:val="hybridMultilevel"/>
    <w:tmpl w:val="C5026480"/>
    <w:lvl w:ilvl="0" w:tplc="16A89A3C">
      <w:start w:val="4"/>
      <w:numFmt w:val="taiwaneseCountingThousand"/>
      <w:lvlText w:val="%1、"/>
      <w:lvlJc w:val="left"/>
      <w:pPr>
        <w:ind w:left="720" w:hanging="720"/>
      </w:pPr>
      <w:rPr>
        <w:rFonts w:hAnsi="標楷體" w:hint="default"/>
        <w:lang w:val="en-US"/>
      </w:rPr>
    </w:lvl>
    <w:lvl w:ilvl="1" w:tplc="AEAA57AC">
      <w:start w:val="2"/>
      <w:numFmt w:val="taiwaneseCountingThousand"/>
      <w:lvlText w:val="（%2）"/>
      <w:lvlJc w:val="left"/>
      <w:pPr>
        <w:ind w:left="1290" w:hanging="810"/>
      </w:pPr>
      <w:rPr>
        <w:rFonts w:hAnsi="標楷體"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9D7286E"/>
    <w:multiLevelType w:val="hybridMultilevel"/>
    <w:tmpl w:val="1A823E42"/>
    <w:lvl w:ilvl="0" w:tplc="12AE1ED4">
      <w:start w:val="1"/>
      <w:numFmt w:val="decimal"/>
      <w:lvlText w:val="%1."/>
      <w:lvlJc w:val="left"/>
      <w:pPr>
        <w:ind w:left="358" w:hanging="360"/>
      </w:pPr>
      <w:rPr>
        <w:rFonts w:hint="default"/>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
    <w:nsid w:val="3FB1314C"/>
    <w:multiLevelType w:val="hybridMultilevel"/>
    <w:tmpl w:val="9DD8D65C"/>
    <w:lvl w:ilvl="0" w:tplc="CD1AE8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55A06"/>
    <w:rsid w:val="0000058B"/>
    <w:rsid w:val="000028C1"/>
    <w:rsid w:val="0000533E"/>
    <w:rsid w:val="00005C8D"/>
    <w:rsid w:val="00006269"/>
    <w:rsid w:val="0000675B"/>
    <w:rsid w:val="00007623"/>
    <w:rsid w:val="00007975"/>
    <w:rsid w:val="00007FC0"/>
    <w:rsid w:val="00011537"/>
    <w:rsid w:val="00011875"/>
    <w:rsid w:val="000123FF"/>
    <w:rsid w:val="000214DD"/>
    <w:rsid w:val="00023EF5"/>
    <w:rsid w:val="00024D8C"/>
    <w:rsid w:val="00025984"/>
    <w:rsid w:val="00026D00"/>
    <w:rsid w:val="00030387"/>
    <w:rsid w:val="00030CEF"/>
    <w:rsid w:val="00030FC1"/>
    <w:rsid w:val="00032278"/>
    <w:rsid w:val="0003314E"/>
    <w:rsid w:val="00034C46"/>
    <w:rsid w:val="000355AD"/>
    <w:rsid w:val="00036C7C"/>
    <w:rsid w:val="00041305"/>
    <w:rsid w:val="0004187C"/>
    <w:rsid w:val="00043338"/>
    <w:rsid w:val="00043823"/>
    <w:rsid w:val="00043BF2"/>
    <w:rsid w:val="00046C94"/>
    <w:rsid w:val="00050CC8"/>
    <w:rsid w:val="00051DD8"/>
    <w:rsid w:val="0005257C"/>
    <w:rsid w:val="000527E9"/>
    <w:rsid w:val="00053B2D"/>
    <w:rsid w:val="00056436"/>
    <w:rsid w:val="000577D7"/>
    <w:rsid w:val="000607FB"/>
    <w:rsid w:val="00061049"/>
    <w:rsid w:val="0006467B"/>
    <w:rsid w:val="0006648B"/>
    <w:rsid w:val="00066DD9"/>
    <w:rsid w:val="00067199"/>
    <w:rsid w:val="0006755E"/>
    <w:rsid w:val="000676F6"/>
    <w:rsid w:val="00067751"/>
    <w:rsid w:val="00067969"/>
    <w:rsid w:val="00070755"/>
    <w:rsid w:val="00070960"/>
    <w:rsid w:val="00071063"/>
    <w:rsid w:val="00072170"/>
    <w:rsid w:val="00072362"/>
    <w:rsid w:val="0007254D"/>
    <w:rsid w:val="000726E1"/>
    <w:rsid w:val="0007274E"/>
    <w:rsid w:val="00072F88"/>
    <w:rsid w:val="00073C65"/>
    <w:rsid w:val="00074293"/>
    <w:rsid w:val="00074D7A"/>
    <w:rsid w:val="00075EC5"/>
    <w:rsid w:val="000760AB"/>
    <w:rsid w:val="0007652E"/>
    <w:rsid w:val="00077346"/>
    <w:rsid w:val="0008082B"/>
    <w:rsid w:val="00080A48"/>
    <w:rsid w:val="000827CE"/>
    <w:rsid w:val="00082D0F"/>
    <w:rsid w:val="000837F4"/>
    <w:rsid w:val="000848B9"/>
    <w:rsid w:val="00084A62"/>
    <w:rsid w:val="00084BD1"/>
    <w:rsid w:val="00090312"/>
    <w:rsid w:val="00090B9F"/>
    <w:rsid w:val="000948FE"/>
    <w:rsid w:val="00095713"/>
    <w:rsid w:val="000968CF"/>
    <w:rsid w:val="00096E9E"/>
    <w:rsid w:val="00096F51"/>
    <w:rsid w:val="00096F54"/>
    <w:rsid w:val="000974DE"/>
    <w:rsid w:val="000975C7"/>
    <w:rsid w:val="0009771C"/>
    <w:rsid w:val="00097F6B"/>
    <w:rsid w:val="000A144B"/>
    <w:rsid w:val="000A1AC9"/>
    <w:rsid w:val="000A2AAC"/>
    <w:rsid w:val="000A3889"/>
    <w:rsid w:val="000A3D8A"/>
    <w:rsid w:val="000A3E6B"/>
    <w:rsid w:val="000A3EAB"/>
    <w:rsid w:val="000A42F8"/>
    <w:rsid w:val="000A4B29"/>
    <w:rsid w:val="000A5C96"/>
    <w:rsid w:val="000A6474"/>
    <w:rsid w:val="000A6689"/>
    <w:rsid w:val="000A777B"/>
    <w:rsid w:val="000B28BC"/>
    <w:rsid w:val="000B3138"/>
    <w:rsid w:val="000B4380"/>
    <w:rsid w:val="000B4B80"/>
    <w:rsid w:val="000B5727"/>
    <w:rsid w:val="000C151E"/>
    <w:rsid w:val="000C22C4"/>
    <w:rsid w:val="000C268F"/>
    <w:rsid w:val="000C350B"/>
    <w:rsid w:val="000C44BD"/>
    <w:rsid w:val="000C5E04"/>
    <w:rsid w:val="000C6A6F"/>
    <w:rsid w:val="000C793E"/>
    <w:rsid w:val="000D025E"/>
    <w:rsid w:val="000D0F7D"/>
    <w:rsid w:val="000D1FA2"/>
    <w:rsid w:val="000D2063"/>
    <w:rsid w:val="000D2F47"/>
    <w:rsid w:val="000D366F"/>
    <w:rsid w:val="000D36EF"/>
    <w:rsid w:val="000D50B6"/>
    <w:rsid w:val="000D7199"/>
    <w:rsid w:val="000E0313"/>
    <w:rsid w:val="000E0FDA"/>
    <w:rsid w:val="000E1BDC"/>
    <w:rsid w:val="000E1D7C"/>
    <w:rsid w:val="000E23FD"/>
    <w:rsid w:val="000E2D2F"/>
    <w:rsid w:val="000E4124"/>
    <w:rsid w:val="000E45F3"/>
    <w:rsid w:val="000E48E8"/>
    <w:rsid w:val="000E5197"/>
    <w:rsid w:val="000E61AC"/>
    <w:rsid w:val="000E6D43"/>
    <w:rsid w:val="000E7CDF"/>
    <w:rsid w:val="000F0CE9"/>
    <w:rsid w:val="000F0F71"/>
    <w:rsid w:val="000F226F"/>
    <w:rsid w:val="000F2BF2"/>
    <w:rsid w:val="000F3734"/>
    <w:rsid w:val="00101424"/>
    <w:rsid w:val="001015DA"/>
    <w:rsid w:val="00102936"/>
    <w:rsid w:val="00103589"/>
    <w:rsid w:val="00106719"/>
    <w:rsid w:val="0010760E"/>
    <w:rsid w:val="001110F9"/>
    <w:rsid w:val="00112016"/>
    <w:rsid w:val="001148C1"/>
    <w:rsid w:val="00116DFF"/>
    <w:rsid w:val="00117750"/>
    <w:rsid w:val="00120BF1"/>
    <w:rsid w:val="00122207"/>
    <w:rsid w:val="00122E7D"/>
    <w:rsid w:val="00123A21"/>
    <w:rsid w:val="00124996"/>
    <w:rsid w:val="00125003"/>
    <w:rsid w:val="0012501C"/>
    <w:rsid w:val="001252CA"/>
    <w:rsid w:val="00125B4E"/>
    <w:rsid w:val="00126268"/>
    <w:rsid w:val="0013078F"/>
    <w:rsid w:val="00131B32"/>
    <w:rsid w:val="00133828"/>
    <w:rsid w:val="00137142"/>
    <w:rsid w:val="00140F50"/>
    <w:rsid w:val="00141A85"/>
    <w:rsid w:val="00141CD4"/>
    <w:rsid w:val="00142078"/>
    <w:rsid w:val="00144108"/>
    <w:rsid w:val="001448E7"/>
    <w:rsid w:val="001511F7"/>
    <w:rsid w:val="001530CD"/>
    <w:rsid w:val="00153CB2"/>
    <w:rsid w:val="001549C3"/>
    <w:rsid w:val="00154DCB"/>
    <w:rsid w:val="00156A39"/>
    <w:rsid w:val="00157C15"/>
    <w:rsid w:val="001601BE"/>
    <w:rsid w:val="00161B9A"/>
    <w:rsid w:val="001645BE"/>
    <w:rsid w:val="00165A25"/>
    <w:rsid w:val="00167677"/>
    <w:rsid w:val="00167BD2"/>
    <w:rsid w:val="00170906"/>
    <w:rsid w:val="001714EA"/>
    <w:rsid w:val="00173265"/>
    <w:rsid w:val="001737F6"/>
    <w:rsid w:val="00174542"/>
    <w:rsid w:val="001746E0"/>
    <w:rsid w:val="00175A57"/>
    <w:rsid w:val="00176F3D"/>
    <w:rsid w:val="00181364"/>
    <w:rsid w:val="00182699"/>
    <w:rsid w:val="00182C42"/>
    <w:rsid w:val="00183B96"/>
    <w:rsid w:val="00184C14"/>
    <w:rsid w:val="00184F21"/>
    <w:rsid w:val="00186BB4"/>
    <w:rsid w:val="001879CA"/>
    <w:rsid w:val="0019005A"/>
    <w:rsid w:val="0019252A"/>
    <w:rsid w:val="001939ED"/>
    <w:rsid w:val="00195273"/>
    <w:rsid w:val="00195D76"/>
    <w:rsid w:val="00196A55"/>
    <w:rsid w:val="00196EB6"/>
    <w:rsid w:val="001A0979"/>
    <w:rsid w:val="001A1B69"/>
    <w:rsid w:val="001A3C8D"/>
    <w:rsid w:val="001A6FC1"/>
    <w:rsid w:val="001A7CAA"/>
    <w:rsid w:val="001B0540"/>
    <w:rsid w:val="001B28E7"/>
    <w:rsid w:val="001B7036"/>
    <w:rsid w:val="001B762E"/>
    <w:rsid w:val="001B7979"/>
    <w:rsid w:val="001B7988"/>
    <w:rsid w:val="001C01A2"/>
    <w:rsid w:val="001C046A"/>
    <w:rsid w:val="001C27BC"/>
    <w:rsid w:val="001C27BF"/>
    <w:rsid w:val="001C3B9B"/>
    <w:rsid w:val="001C3D34"/>
    <w:rsid w:val="001C531F"/>
    <w:rsid w:val="001D03C3"/>
    <w:rsid w:val="001D06A5"/>
    <w:rsid w:val="001D1C93"/>
    <w:rsid w:val="001D2575"/>
    <w:rsid w:val="001D2927"/>
    <w:rsid w:val="001D2D9E"/>
    <w:rsid w:val="001D2DE4"/>
    <w:rsid w:val="001D3409"/>
    <w:rsid w:val="001D4BBA"/>
    <w:rsid w:val="001D5D7C"/>
    <w:rsid w:val="001D6E50"/>
    <w:rsid w:val="001D7637"/>
    <w:rsid w:val="001E040B"/>
    <w:rsid w:val="001E0D4A"/>
    <w:rsid w:val="001E182A"/>
    <w:rsid w:val="001E1A8A"/>
    <w:rsid w:val="001E2F2B"/>
    <w:rsid w:val="001E309A"/>
    <w:rsid w:val="001E3A5F"/>
    <w:rsid w:val="001E3D99"/>
    <w:rsid w:val="001E3E30"/>
    <w:rsid w:val="001E777F"/>
    <w:rsid w:val="001E77F9"/>
    <w:rsid w:val="001F221E"/>
    <w:rsid w:val="001F28DB"/>
    <w:rsid w:val="001F593E"/>
    <w:rsid w:val="001F5C3C"/>
    <w:rsid w:val="001F6132"/>
    <w:rsid w:val="001F638F"/>
    <w:rsid w:val="001F644A"/>
    <w:rsid w:val="001F6C61"/>
    <w:rsid w:val="001F705B"/>
    <w:rsid w:val="00200959"/>
    <w:rsid w:val="00200A46"/>
    <w:rsid w:val="00200E17"/>
    <w:rsid w:val="002028FA"/>
    <w:rsid w:val="00202FE8"/>
    <w:rsid w:val="00203687"/>
    <w:rsid w:val="00203AB2"/>
    <w:rsid w:val="00204D63"/>
    <w:rsid w:val="00205ABF"/>
    <w:rsid w:val="00205FBF"/>
    <w:rsid w:val="002070C1"/>
    <w:rsid w:val="00207BC7"/>
    <w:rsid w:val="00210C24"/>
    <w:rsid w:val="002116AE"/>
    <w:rsid w:val="00212B5B"/>
    <w:rsid w:val="00212F4A"/>
    <w:rsid w:val="00213437"/>
    <w:rsid w:val="002137DB"/>
    <w:rsid w:val="00213F97"/>
    <w:rsid w:val="00214E39"/>
    <w:rsid w:val="0021538D"/>
    <w:rsid w:val="002155C4"/>
    <w:rsid w:val="00217334"/>
    <w:rsid w:val="002179B3"/>
    <w:rsid w:val="00220A9E"/>
    <w:rsid w:val="00221BD0"/>
    <w:rsid w:val="00222A6F"/>
    <w:rsid w:val="00223EDB"/>
    <w:rsid w:val="002267F9"/>
    <w:rsid w:val="00226DCB"/>
    <w:rsid w:val="002277F7"/>
    <w:rsid w:val="00227DF1"/>
    <w:rsid w:val="002303F5"/>
    <w:rsid w:val="00230F8D"/>
    <w:rsid w:val="00230F96"/>
    <w:rsid w:val="00231C90"/>
    <w:rsid w:val="002331AE"/>
    <w:rsid w:val="00240B9E"/>
    <w:rsid w:val="0024171E"/>
    <w:rsid w:val="00241A33"/>
    <w:rsid w:val="00241B26"/>
    <w:rsid w:val="0024282E"/>
    <w:rsid w:val="00243DAC"/>
    <w:rsid w:val="00245561"/>
    <w:rsid w:val="0025019B"/>
    <w:rsid w:val="002523FE"/>
    <w:rsid w:val="00253706"/>
    <w:rsid w:val="00253862"/>
    <w:rsid w:val="00254124"/>
    <w:rsid w:val="0025694D"/>
    <w:rsid w:val="00257603"/>
    <w:rsid w:val="00257F72"/>
    <w:rsid w:val="00260DBD"/>
    <w:rsid w:val="002612AD"/>
    <w:rsid w:val="002632BB"/>
    <w:rsid w:val="00263A42"/>
    <w:rsid w:val="0026414A"/>
    <w:rsid w:val="00264CCA"/>
    <w:rsid w:val="002668A6"/>
    <w:rsid w:val="00266F8E"/>
    <w:rsid w:val="00270F49"/>
    <w:rsid w:val="00271106"/>
    <w:rsid w:val="00271357"/>
    <w:rsid w:val="00271FA3"/>
    <w:rsid w:val="0027265B"/>
    <w:rsid w:val="0027294F"/>
    <w:rsid w:val="002733D5"/>
    <w:rsid w:val="00274262"/>
    <w:rsid w:val="0027648F"/>
    <w:rsid w:val="00282291"/>
    <w:rsid w:val="00284793"/>
    <w:rsid w:val="00284806"/>
    <w:rsid w:val="00286007"/>
    <w:rsid w:val="00286725"/>
    <w:rsid w:val="00287346"/>
    <w:rsid w:val="00287D25"/>
    <w:rsid w:val="00291E65"/>
    <w:rsid w:val="002923AD"/>
    <w:rsid w:val="0029253A"/>
    <w:rsid w:val="00292ED0"/>
    <w:rsid w:val="002934D6"/>
    <w:rsid w:val="00293F58"/>
    <w:rsid w:val="00297CD9"/>
    <w:rsid w:val="00297E5E"/>
    <w:rsid w:val="002A01C4"/>
    <w:rsid w:val="002A1510"/>
    <w:rsid w:val="002A27B9"/>
    <w:rsid w:val="002A3505"/>
    <w:rsid w:val="002A3BDC"/>
    <w:rsid w:val="002A3E7D"/>
    <w:rsid w:val="002A415C"/>
    <w:rsid w:val="002A4BF7"/>
    <w:rsid w:val="002A5BD9"/>
    <w:rsid w:val="002A6EAC"/>
    <w:rsid w:val="002B1213"/>
    <w:rsid w:val="002B1D63"/>
    <w:rsid w:val="002B4CC0"/>
    <w:rsid w:val="002B4D6E"/>
    <w:rsid w:val="002B6D85"/>
    <w:rsid w:val="002B6DA7"/>
    <w:rsid w:val="002B7A4F"/>
    <w:rsid w:val="002B7E2E"/>
    <w:rsid w:val="002C042A"/>
    <w:rsid w:val="002C0BBF"/>
    <w:rsid w:val="002C0D48"/>
    <w:rsid w:val="002C1909"/>
    <w:rsid w:val="002C410C"/>
    <w:rsid w:val="002C63D8"/>
    <w:rsid w:val="002C6A39"/>
    <w:rsid w:val="002C7A1D"/>
    <w:rsid w:val="002D0DDB"/>
    <w:rsid w:val="002D0F69"/>
    <w:rsid w:val="002D101D"/>
    <w:rsid w:val="002D45D1"/>
    <w:rsid w:val="002D6400"/>
    <w:rsid w:val="002D7299"/>
    <w:rsid w:val="002E0773"/>
    <w:rsid w:val="002E1794"/>
    <w:rsid w:val="002E1C53"/>
    <w:rsid w:val="002E1EA6"/>
    <w:rsid w:val="002E3DE6"/>
    <w:rsid w:val="002E49A9"/>
    <w:rsid w:val="002E583B"/>
    <w:rsid w:val="002E6E59"/>
    <w:rsid w:val="002E70E8"/>
    <w:rsid w:val="002E7CC4"/>
    <w:rsid w:val="002F024D"/>
    <w:rsid w:val="002F1AA3"/>
    <w:rsid w:val="002F2043"/>
    <w:rsid w:val="002F444F"/>
    <w:rsid w:val="002F5B26"/>
    <w:rsid w:val="002F63C8"/>
    <w:rsid w:val="002F682C"/>
    <w:rsid w:val="00300219"/>
    <w:rsid w:val="00302A67"/>
    <w:rsid w:val="00303EBE"/>
    <w:rsid w:val="00304225"/>
    <w:rsid w:val="003055C0"/>
    <w:rsid w:val="00305BF5"/>
    <w:rsid w:val="00306670"/>
    <w:rsid w:val="00307CFD"/>
    <w:rsid w:val="003103A8"/>
    <w:rsid w:val="00311584"/>
    <w:rsid w:val="00312D81"/>
    <w:rsid w:val="003135CC"/>
    <w:rsid w:val="00313EFE"/>
    <w:rsid w:val="00314D45"/>
    <w:rsid w:val="00316B5A"/>
    <w:rsid w:val="00316E7F"/>
    <w:rsid w:val="00321686"/>
    <w:rsid w:val="00322670"/>
    <w:rsid w:val="003231E9"/>
    <w:rsid w:val="00323271"/>
    <w:rsid w:val="00323730"/>
    <w:rsid w:val="00323E15"/>
    <w:rsid w:val="003249D2"/>
    <w:rsid w:val="00325456"/>
    <w:rsid w:val="003270C7"/>
    <w:rsid w:val="00327322"/>
    <w:rsid w:val="00330E15"/>
    <w:rsid w:val="00331175"/>
    <w:rsid w:val="00331187"/>
    <w:rsid w:val="003317C7"/>
    <w:rsid w:val="00334397"/>
    <w:rsid w:val="00334A31"/>
    <w:rsid w:val="00335C89"/>
    <w:rsid w:val="00335F79"/>
    <w:rsid w:val="00337948"/>
    <w:rsid w:val="00340C49"/>
    <w:rsid w:val="00340E1E"/>
    <w:rsid w:val="00341542"/>
    <w:rsid w:val="00341D29"/>
    <w:rsid w:val="00341E06"/>
    <w:rsid w:val="003444B8"/>
    <w:rsid w:val="00344FFF"/>
    <w:rsid w:val="00345544"/>
    <w:rsid w:val="00345EF6"/>
    <w:rsid w:val="00346AD9"/>
    <w:rsid w:val="003476DC"/>
    <w:rsid w:val="00347E2F"/>
    <w:rsid w:val="0035096A"/>
    <w:rsid w:val="00351394"/>
    <w:rsid w:val="003515DF"/>
    <w:rsid w:val="00351652"/>
    <w:rsid w:val="003519EB"/>
    <w:rsid w:val="00351DB3"/>
    <w:rsid w:val="00352621"/>
    <w:rsid w:val="003530D9"/>
    <w:rsid w:val="00353161"/>
    <w:rsid w:val="00354094"/>
    <w:rsid w:val="0035410A"/>
    <w:rsid w:val="00354386"/>
    <w:rsid w:val="00356812"/>
    <w:rsid w:val="003574F3"/>
    <w:rsid w:val="003607F8"/>
    <w:rsid w:val="00360908"/>
    <w:rsid w:val="00360D92"/>
    <w:rsid w:val="00361E78"/>
    <w:rsid w:val="0036203C"/>
    <w:rsid w:val="00362E90"/>
    <w:rsid w:val="00362EE7"/>
    <w:rsid w:val="0036322C"/>
    <w:rsid w:val="00363A58"/>
    <w:rsid w:val="00364859"/>
    <w:rsid w:val="00367242"/>
    <w:rsid w:val="003700B5"/>
    <w:rsid w:val="003705F8"/>
    <w:rsid w:val="0037060F"/>
    <w:rsid w:val="00370675"/>
    <w:rsid w:val="003706A1"/>
    <w:rsid w:val="00376298"/>
    <w:rsid w:val="0037654C"/>
    <w:rsid w:val="0037665B"/>
    <w:rsid w:val="003779F6"/>
    <w:rsid w:val="00377AEF"/>
    <w:rsid w:val="00380C01"/>
    <w:rsid w:val="003810D5"/>
    <w:rsid w:val="00381183"/>
    <w:rsid w:val="00381974"/>
    <w:rsid w:val="00381BCB"/>
    <w:rsid w:val="00382129"/>
    <w:rsid w:val="00382B14"/>
    <w:rsid w:val="00383836"/>
    <w:rsid w:val="003838AE"/>
    <w:rsid w:val="00385102"/>
    <w:rsid w:val="00385FD8"/>
    <w:rsid w:val="00386C66"/>
    <w:rsid w:val="00387988"/>
    <w:rsid w:val="003904E8"/>
    <w:rsid w:val="003909C1"/>
    <w:rsid w:val="00390B94"/>
    <w:rsid w:val="0039191C"/>
    <w:rsid w:val="00391A25"/>
    <w:rsid w:val="00391DC3"/>
    <w:rsid w:val="00391FE8"/>
    <w:rsid w:val="00392277"/>
    <w:rsid w:val="0039318E"/>
    <w:rsid w:val="0039396C"/>
    <w:rsid w:val="00394341"/>
    <w:rsid w:val="00394FDE"/>
    <w:rsid w:val="00395741"/>
    <w:rsid w:val="003A262A"/>
    <w:rsid w:val="003A3236"/>
    <w:rsid w:val="003A392C"/>
    <w:rsid w:val="003A4378"/>
    <w:rsid w:val="003A7A04"/>
    <w:rsid w:val="003B0619"/>
    <w:rsid w:val="003B11A5"/>
    <w:rsid w:val="003B1714"/>
    <w:rsid w:val="003B19F7"/>
    <w:rsid w:val="003B2BBB"/>
    <w:rsid w:val="003B37F9"/>
    <w:rsid w:val="003B3CFF"/>
    <w:rsid w:val="003B3EE0"/>
    <w:rsid w:val="003B48C5"/>
    <w:rsid w:val="003B4DC0"/>
    <w:rsid w:val="003B5089"/>
    <w:rsid w:val="003B6819"/>
    <w:rsid w:val="003B7235"/>
    <w:rsid w:val="003B73A9"/>
    <w:rsid w:val="003B774E"/>
    <w:rsid w:val="003C014F"/>
    <w:rsid w:val="003C0239"/>
    <w:rsid w:val="003C057B"/>
    <w:rsid w:val="003C06BB"/>
    <w:rsid w:val="003C0B09"/>
    <w:rsid w:val="003C61AE"/>
    <w:rsid w:val="003C7CD9"/>
    <w:rsid w:val="003D0AEB"/>
    <w:rsid w:val="003D0FEC"/>
    <w:rsid w:val="003D1373"/>
    <w:rsid w:val="003D1598"/>
    <w:rsid w:val="003D24BB"/>
    <w:rsid w:val="003D250C"/>
    <w:rsid w:val="003D272D"/>
    <w:rsid w:val="003D3E60"/>
    <w:rsid w:val="003D4607"/>
    <w:rsid w:val="003D583C"/>
    <w:rsid w:val="003D7536"/>
    <w:rsid w:val="003D7EFD"/>
    <w:rsid w:val="003E01A4"/>
    <w:rsid w:val="003E0B3D"/>
    <w:rsid w:val="003E0FC8"/>
    <w:rsid w:val="003E10CC"/>
    <w:rsid w:val="003E2742"/>
    <w:rsid w:val="003E29F8"/>
    <w:rsid w:val="003E2C8B"/>
    <w:rsid w:val="003E40EF"/>
    <w:rsid w:val="003E65E8"/>
    <w:rsid w:val="003E7660"/>
    <w:rsid w:val="003E7802"/>
    <w:rsid w:val="003F072C"/>
    <w:rsid w:val="003F0A90"/>
    <w:rsid w:val="003F0FC0"/>
    <w:rsid w:val="003F11ED"/>
    <w:rsid w:val="003F19CC"/>
    <w:rsid w:val="003F242A"/>
    <w:rsid w:val="003F3295"/>
    <w:rsid w:val="003F3904"/>
    <w:rsid w:val="003F3B3B"/>
    <w:rsid w:val="003F42E6"/>
    <w:rsid w:val="003F4D9E"/>
    <w:rsid w:val="003F6F0B"/>
    <w:rsid w:val="003F7754"/>
    <w:rsid w:val="003F7D8A"/>
    <w:rsid w:val="00400662"/>
    <w:rsid w:val="00400B5E"/>
    <w:rsid w:val="00400ED2"/>
    <w:rsid w:val="00401F58"/>
    <w:rsid w:val="004022E7"/>
    <w:rsid w:val="00405C96"/>
    <w:rsid w:val="00410187"/>
    <w:rsid w:val="0041024A"/>
    <w:rsid w:val="004114E3"/>
    <w:rsid w:val="0041159C"/>
    <w:rsid w:val="00411F05"/>
    <w:rsid w:val="00411F5F"/>
    <w:rsid w:val="00412C26"/>
    <w:rsid w:val="00413ACC"/>
    <w:rsid w:val="00414F1F"/>
    <w:rsid w:val="00415189"/>
    <w:rsid w:val="004158FE"/>
    <w:rsid w:val="00415D6D"/>
    <w:rsid w:val="00420999"/>
    <w:rsid w:val="00420CAC"/>
    <w:rsid w:val="00421140"/>
    <w:rsid w:val="004220F4"/>
    <w:rsid w:val="00422B67"/>
    <w:rsid w:val="004231E8"/>
    <w:rsid w:val="00423A4B"/>
    <w:rsid w:val="00424F2B"/>
    <w:rsid w:val="0042516B"/>
    <w:rsid w:val="0042635A"/>
    <w:rsid w:val="004267F5"/>
    <w:rsid w:val="00426C99"/>
    <w:rsid w:val="00427484"/>
    <w:rsid w:val="004302F0"/>
    <w:rsid w:val="00432377"/>
    <w:rsid w:val="00432B49"/>
    <w:rsid w:val="0043321C"/>
    <w:rsid w:val="004332F3"/>
    <w:rsid w:val="00434D9B"/>
    <w:rsid w:val="0043737A"/>
    <w:rsid w:val="0043763A"/>
    <w:rsid w:val="00437EB0"/>
    <w:rsid w:val="004417A8"/>
    <w:rsid w:val="004421DE"/>
    <w:rsid w:val="004426BB"/>
    <w:rsid w:val="00444495"/>
    <w:rsid w:val="00444611"/>
    <w:rsid w:val="0044566E"/>
    <w:rsid w:val="00445A1A"/>
    <w:rsid w:val="0044631F"/>
    <w:rsid w:val="00450CCB"/>
    <w:rsid w:val="004520DE"/>
    <w:rsid w:val="0045279E"/>
    <w:rsid w:val="00452DD3"/>
    <w:rsid w:val="00453D43"/>
    <w:rsid w:val="00454647"/>
    <w:rsid w:val="00455A06"/>
    <w:rsid w:val="00456FC6"/>
    <w:rsid w:val="0045794A"/>
    <w:rsid w:val="004579A4"/>
    <w:rsid w:val="004600D3"/>
    <w:rsid w:val="00460764"/>
    <w:rsid w:val="004622F3"/>
    <w:rsid w:val="004629E6"/>
    <w:rsid w:val="00463D15"/>
    <w:rsid w:val="0046428A"/>
    <w:rsid w:val="00464B3D"/>
    <w:rsid w:val="00466169"/>
    <w:rsid w:val="004668CD"/>
    <w:rsid w:val="00467A3A"/>
    <w:rsid w:val="00470004"/>
    <w:rsid w:val="0047062B"/>
    <w:rsid w:val="004711DD"/>
    <w:rsid w:val="00471543"/>
    <w:rsid w:val="004720B1"/>
    <w:rsid w:val="0047328E"/>
    <w:rsid w:val="00473E8A"/>
    <w:rsid w:val="00474F07"/>
    <w:rsid w:val="00474F4A"/>
    <w:rsid w:val="00476BEF"/>
    <w:rsid w:val="00476CC1"/>
    <w:rsid w:val="00480E87"/>
    <w:rsid w:val="00481780"/>
    <w:rsid w:val="004838F2"/>
    <w:rsid w:val="00484C6B"/>
    <w:rsid w:val="00484DBC"/>
    <w:rsid w:val="0048603B"/>
    <w:rsid w:val="004866E6"/>
    <w:rsid w:val="00491773"/>
    <w:rsid w:val="004932F7"/>
    <w:rsid w:val="0049540E"/>
    <w:rsid w:val="00496A7C"/>
    <w:rsid w:val="00497D8E"/>
    <w:rsid w:val="00497E56"/>
    <w:rsid w:val="004A06A9"/>
    <w:rsid w:val="004A110A"/>
    <w:rsid w:val="004A1DD1"/>
    <w:rsid w:val="004A29B8"/>
    <w:rsid w:val="004A39E6"/>
    <w:rsid w:val="004B0B28"/>
    <w:rsid w:val="004B0FCB"/>
    <w:rsid w:val="004B1BC3"/>
    <w:rsid w:val="004B26D8"/>
    <w:rsid w:val="004B4772"/>
    <w:rsid w:val="004C044F"/>
    <w:rsid w:val="004C0683"/>
    <w:rsid w:val="004C0797"/>
    <w:rsid w:val="004C07A4"/>
    <w:rsid w:val="004C0F49"/>
    <w:rsid w:val="004C1025"/>
    <w:rsid w:val="004C1789"/>
    <w:rsid w:val="004C1D27"/>
    <w:rsid w:val="004C49D1"/>
    <w:rsid w:val="004C4B11"/>
    <w:rsid w:val="004C4C49"/>
    <w:rsid w:val="004C4E8D"/>
    <w:rsid w:val="004C5340"/>
    <w:rsid w:val="004D040D"/>
    <w:rsid w:val="004D0456"/>
    <w:rsid w:val="004D09C7"/>
    <w:rsid w:val="004D0A6E"/>
    <w:rsid w:val="004D0EBF"/>
    <w:rsid w:val="004D439C"/>
    <w:rsid w:val="004D5465"/>
    <w:rsid w:val="004D7AEC"/>
    <w:rsid w:val="004E0F94"/>
    <w:rsid w:val="004E2118"/>
    <w:rsid w:val="004E28B9"/>
    <w:rsid w:val="004E3FD4"/>
    <w:rsid w:val="004E72AA"/>
    <w:rsid w:val="004E7DD4"/>
    <w:rsid w:val="004F0B40"/>
    <w:rsid w:val="004F0C25"/>
    <w:rsid w:val="004F3DD2"/>
    <w:rsid w:val="004F4DC0"/>
    <w:rsid w:val="004F61B0"/>
    <w:rsid w:val="004F6964"/>
    <w:rsid w:val="004F7080"/>
    <w:rsid w:val="0050040B"/>
    <w:rsid w:val="00501011"/>
    <w:rsid w:val="005023AA"/>
    <w:rsid w:val="00506085"/>
    <w:rsid w:val="005060CF"/>
    <w:rsid w:val="005061B4"/>
    <w:rsid w:val="005112DB"/>
    <w:rsid w:val="00511866"/>
    <w:rsid w:val="00512A0F"/>
    <w:rsid w:val="00513C35"/>
    <w:rsid w:val="00514A0F"/>
    <w:rsid w:val="00515AE2"/>
    <w:rsid w:val="00515CEB"/>
    <w:rsid w:val="00516854"/>
    <w:rsid w:val="0051757B"/>
    <w:rsid w:val="0052029E"/>
    <w:rsid w:val="005208B4"/>
    <w:rsid w:val="00524E8F"/>
    <w:rsid w:val="0052645C"/>
    <w:rsid w:val="005273D4"/>
    <w:rsid w:val="0053011B"/>
    <w:rsid w:val="005307B8"/>
    <w:rsid w:val="005315D8"/>
    <w:rsid w:val="00533CC5"/>
    <w:rsid w:val="00534694"/>
    <w:rsid w:val="00535BCD"/>
    <w:rsid w:val="0053776E"/>
    <w:rsid w:val="00540329"/>
    <w:rsid w:val="005437D0"/>
    <w:rsid w:val="00546D54"/>
    <w:rsid w:val="00547CA1"/>
    <w:rsid w:val="00547D50"/>
    <w:rsid w:val="00550A52"/>
    <w:rsid w:val="0055149B"/>
    <w:rsid w:val="0055248D"/>
    <w:rsid w:val="00554BBF"/>
    <w:rsid w:val="00555C9B"/>
    <w:rsid w:val="00556A6E"/>
    <w:rsid w:val="00557929"/>
    <w:rsid w:val="00557CDF"/>
    <w:rsid w:val="00560521"/>
    <w:rsid w:val="00560560"/>
    <w:rsid w:val="00561648"/>
    <w:rsid w:val="005631FB"/>
    <w:rsid w:val="0056335A"/>
    <w:rsid w:val="00563832"/>
    <w:rsid w:val="00563BEF"/>
    <w:rsid w:val="00563F6B"/>
    <w:rsid w:val="00567F16"/>
    <w:rsid w:val="00571252"/>
    <w:rsid w:val="00571625"/>
    <w:rsid w:val="00573B71"/>
    <w:rsid w:val="005749EC"/>
    <w:rsid w:val="00575027"/>
    <w:rsid w:val="00575327"/>
    <w:rsid w:val="00575E5B"/>
    <w:rsid w:val="00577DA8"/>
    <w:rsid w:val="00580588"/>
    <w:rsid w:val="00581199"/>
    <w:rsid w:val="00581424"/>
    <w:rsid w:val="00581637"/>
    <w:rsid w:val="005820A2"/>
    <w:rsid w:val="005838FD"/>
    <w:rsid w:val="0058461A"/>
    <w:rsid w:val="00584FDE"/>
    <w:rsid w:val="00586978"/>
    <w:rsid w:val="0059485F"/>
    <w:rsid w:val="00594D11"/>
    <w:rsid w:val="0059540E"/>
    <w:rsid w:val="00595584"/>
    <w:rsid w:val="00595CD8"/>
    <w:rsid w:val="005974C0"/>
    <w:rsid w:val="005976F8"/>
    <w:rsid w:val="005A0996"/>
    <w:rsid w:val="005A11C2"/>
    <w:rsid w:val="005A1315"/>
    <w:rsid w:val="005A2369"/>
    <w:rsid w:val="005A53A4"/>
    <w:rsid w:val="005A5EDC"/>
    <w:rsid w:val="005A6BF9"/>
    <w:rsid w:val="005B4086"/>
    <w:rsid w:val="005B4B6F"/>
    <w:rsid w:val="005B5673"/>
    <w:rsid w:val="005B612B"/>
    <w:rsid w:val="005B6DBC"/>
    <w:rsid w:val="005B796A"/>
    <w:rsid w:val="005C096B"/>
    <w:rsid w:val="005C128E"/>
    <w:rsid w:val="005C1925"/>
    <w:rsid w:val="005C1D9A"/>
    <w:rsid w:val="005C2A20"/>
    <w:rsid w:val="005C2DCD"/>
    <w:rsid w:val="005C39D1"/>
    <w:rsid w:val="005C4E33"/>
    <w:rsid w:val="005C6A4D"/>
    <w:rsid w:val="005C6BF7"/>
    <w:rsid w:val="005C7B61"/>
    <w:rsid w:val="005C7BBB"/>
    <w:rsid w:val="005D3CED"/>
    <w:rsid w:val="005D4756"/>
    <w:rsid w:val="005D4809"/>
    <w:rsid w:val="005D5B66"/>
    <w:rsid w:val="005D619D"/>
    <w:rsid w:val="005D6684"/>
    <w:rsid w:val="005E06EA"/>
    <w:rsid w:val="005E1F5E"/>
    <w:rsid w:val="005E213B"/>
    <w:rsid w:val="005E26C9"/>
    <w:rsid w:val="005E2ACB"/>
    <w:rsid w:val="005E32E8"/>
    <w:rsid w:val="005E414B"/>
    <w:rsid w:val="005E47B4"/>
    <w:rsid w:val="005E4A8E"/>
    <w:rsid w:val="005F0750"/>
    <w:rsid w:val="005F0CA9"/>
    <w:rsid w:val="005F2495"/>
    <w:rsid w:val="005F338D"/>
    <w:rsid w:val="005F6E6F"/>
    <w:rsid w:val="00601288"/>
    <w:rsid w:val="00602035"/>
    <w:rsid w:val="00603CD7"/>
    <w:rsid w:val="00604653"/>
    <w:rsid w:val="00604DBB"/>
    <w:rsid w:val="00605065"/>
    <w:rsid w:val="006066CE"/>
    <w:rsid w:val="0060677A"/>
    <w:rsid w:val="0060779C"/>
    <w:rsid w:val="006140FE"/>
    <w:rsid w:val="00614489"/>
    <w:rsid w:val="00620036"/>
    <w:rsid w:val="006204A6"/>
    <w:rsid w:val="00622979"/>
    <w:rsid w:val="00624D39"/>
    <w:rsid w:val="00625BE5"/>
    <w:rsid w:val="006262B3"/>
    <w:rsid w:val="00627564"/>
    <w:rsid w:val="00627D68"/>
    <w:rsid w:val="00627DDA"/>
    <w:rsid w:val="00636390"/>
    <w:rsid w:val="006373F2"/>
    <w:rsid w:val="006409C2"/>
    <w:rsid w:val="00641E5E"/>
    <w:rsid w:val="0064245A"/>
    <w:rsid w:val="00643B45"/>
    <w:rsid w:val="0064427E"/>
    <w:rsid w:val="00645486"/>
    <w:rsid w:val="006502ED"/>
    <w:rsid w:val="00654C03"/>
    <w:rsid w:val="00654D14"/>
    <w:rsid w:val="00655384"/>
    <w:rsid w:val="006603F5"/>
    <w:rsid w:val="006609B8"/>
    <w:rsid w:val="00662DAA"/>
    <w:rsid w:val="00665904"/>
    <w:rsid w:val="006670D4"/>
    <w:rsid w:val="006670F8"/>
    <w:rsid w:val="00670A5D"/>
    <w:rsid w:val="006713F7"/>
    <w:rsid w:val="006754A5"/>
    <w:rsid w:val="006761E7"/>
    <w:rsid w:val="00676A8B"/>
    <w:rsid w:val="006813AA"/>
    <w:rsid w:val="0068212F"/>
    <w:rsid w:val="0068244F"/>
    <w:rsid w:val="00683075"/>
    <w:rsid w:val="00683392"/>
    <w:rsid w:val="006835C0"/>
    <w:rsid w:val="00684A87"/>
    <w:rsid w:val="00685156"/>
    <w:rsid w:val="006852DB"/>
    <w:rsid w:val="00686292"/>
    <w:rsid w:val="00691530"/>
    <w:rsid w:val="00691618"/>
    <w:rsid w:val="0069332D"/>
    <w:rsid w:val="00695C16"/>
    <w:rsid w:val="00697303"/>
    <w:rsid w:val="0069756C"/>
    <w:rsid w:val="00697BF2"/>
    <w:rsid w:val="006A0346"/>
    <w:rsid w:val="006A04E5"/>
    <w:rsid w:val="006A13CA"/>
    <w:rsid w:val="006A2C40"/>
    <w:rsid w:val="006A2E78"/>
    <w:rsid w:val="006A36B3"/>
    <w:rsid w:val="006A3715"/>
    <w:rsid w:val="006A5005"/>
    <w:rsid w:val="006A6F77"/>
    <w:rsid w:val="006A738E"/>
    <w:rsid w:val="006B0649"/>
    <w:rsid w:val="006B0939"/>
    <w:rsid w:val="006B0EF3"/>
    <w:rsid w:val="006B0FFD"/>
    <w:rsid w:val="006B2003"/>
    <w:rsid w:val="006B25AF"/>
    <w:rsid w:val="006B2859"/>
    <w:rsid w:val="006B3A21"/>
    <w:rsid w:val="006B568D"/>
    <w:rsid w:val="006B5C4F"/>
    <w:rsid w:val="006B61DF"/>
    <w:rsid w:val="006B698E"/>
    <w:rsid w:val="006B74FD"/>
    <w:rsid w:val="006B7D03"/>
    <w:rsid w:val="006C03AE"/>
    <w:rsid w:val="006C35FD"/>
    <w:rsid w:val="006C43A7"/>
    <w:rsid w:val="006C571B"/>
    <w:rsid w:val="006C7E25"/>
    <w:rsid w:val="006D053E"/>
    <w:rsid w:val="006D0C96"/>
    <w:rsid w:val="006D0FEB"/>
    <w:rsid w:val="006D1145"/>
    <w:rsid w:val="006D2344"/>
    <w:rsid w:val="006D29AD"/>
    <w:rsid w:val="006D3545"/>
    <w:rsid w:val="006D455D"/>
    <w:rsid w:val="006D6A54"/>
    <w:rsid w:val="006D7266"/>
    <w:rsid w:val="006E0855"/>
    <w:rsid w:val="006E456A"/>
    <w:rsid w:val="006E52AF"/>
    <w:rsid w:val="006E553E"/>
    <w:rsid w:val="006E736E"/>
    <w:rsid w:val="006F0E53"/>
    <w:rsid w:val="006F1E9D"/>
    <w:rsid w:val="006F33C6"/>
    <w:rsid w:val="006F35C3"/>
    <w:rsid w:val="006F4083"/>
    <w:rsid w:val="006F5541"/>
    <w:rsid w:val="006F6305"/>
    <w:rsid w:val="006F7997"/>
    <w:rsid w:val="007014CA"/>
    <w:rsid w:val="00701B06"/>
    <w:rsid w:val="0070549E"/>
    <w:rsid w:val="0070595F"/>
    <w:rsid w:val="00705FC4"/>
    <w:rsid w:val="00707C54"/>
    <w:rsid w:val="00710845"/>
    <w:rsid w:val="007138AD"/>
    <w:rsid w:val="00716F9A"/>
    <w:rsid w:val="0071724B"/>
    <w:rsid w:val="00717CA3"/>
    <w:rsid w:val="0072215F"/>
    <w:rsid w:val="007227ED"/>
    <w:rsid w:val="00724000"/>
    <w:rsid w:val="0072514B"/>
    <w:rsid w:val="00725B5D"/>
    <w:rsid w:val="00730782"/>
    <w:rsid w:val="00730DFA"/>
    <w:rsid w:val="00730F59"/>
    <w:rsid w:val="007316DD"/>
    <w:rsid w:val="00734663"/>
    <w:rsid w:val="00735033"/>
    <w:rsid w:val="0073563A"/>
    <w:rsid w:val="00736677"/>
    <w:rsid w:val="00736CE0"/>
    <w:rsid w:val="0074158D"/>
    <w:rsid w:val="00742686"/>
    <w:rsid w:val="00742D1A"/>
    <w:rsid w:val="007431FF"/>
    <w:rsid w:val="007432F9"/>
    <w:rsid w:val="0074460D"/>
    <w:rsid w:val="00744B43"/>
    <w:rsid w:val="007471E4"/>
    <w:rsid w:val="007472A9"/>
    <w:rsid w:val="00750E06"/>
    <w:rsid w:val="00751A7A"/>
    <w:rsid w:val="007568EC"/>
    <w:rsid w:val="0075715C"/>
    <w:rsid w:val="00761E89"/>
    <w:rsid w:val="0076202C"/>
    <w:rsid w:val="00763C74"/>
    <w:rsid w:val="007646D4"/>
    <w:rsid w:val="007648CE"/>
    <w:rsid w:val="00765E96"/>
    <w:rsid w:val="00766FEF"/>
    <w:rsid w:val="00767AF6"/>
    <w:rsid w:val="00771156"/>
    <w:rsid w:val="0077262B"/>
    <w:rsid w:val="0077430F"/>
    <w:rsid w:val="00775E47"/>
    <w:rsid w:val="00776090"/>
    <w:rsid w:val="00777019"/>
    <w:rsid w:val="00777B20"/>
    <w:rsid w:val="0078029E"/>
    <w:rsid w:val="00781B9A"/>
    <w:rsid w:val="00782FFE"/>
    <w:rsid w:val="007831D3"/>
    <w:rsid w:val="00783911"/>
    <w:rsid w:val="00784F56"/>
    <w:rsid w:val="00786C3F"/>
    <w:rsid w:val="0078713C"/>
    <w:rsid w:val="00787408"/>
    <w:rsid w:val="0079062D"/>
    <w:rsid w:val="00790EEC"/>
    <w:rsid w:val="00793393"/>
    <w:rsid w:val="007934F1"/>
    <w:rsid w:val="00794EB8"/>
    <w:rsid w:val="00794EDC"/>
    <w:rsid w:val="0079529A"/>
    <w:rsid w:val="00795AB4"/>
    <w:rsid w:val="007A05E7"/>
    <w:rsid w:val="007A1039"/>
    <w:rsid w:val="007A10F2"/>
    <w:rsid w:val="007A1A8F"/>
    <w:rsid w:val="007A2832"/>
    <w:rsid w:val="007A33BE"/>
    <w:rsid w:val="007A36E0"/>
    <w:rsid w:val="007A3A0E"/>
    <w:rsid w:val="007A62C6"/>
    <w:rsid w:val="007A7B77"/>
    <w:rsid w:val="007B00D7"/>
    <w:rsid w:val="007B02AF"/>
    <w:rsid w:val="007B3C22"/>
    <w:rsid w:val="007B592A"/>
    <w:rsid w:val="007B5D40"/>
    <w:rsid w:val="007B629E"/>
    <w:rsid w:val="007B6F39"/>
    <w:rsid w:val="007C06EF"/>
    <w:rsid w:val="007C348E"/>
    <w:rsid w:val="007C41D5"/>
    <w:rsid w:val="007C4E4E"/>
    <w:rsid w:val="007C5F96"/>
    <w:rsid w:val="007C6060"/>
    <w:rsid w:val="007C63A4"/>
    <w:rsid w:val="007C6BD9"/>
    <w:rsid w:val="007D0154"/>
    <w:rsid w:val="007D0605"/>
    <w:rsid w:val="007D079C"/>
    <w:rsid w:val="007D169A"/>
    <w:rsid w:val="007D18ED"/>
    <w:rsid w:val="007D24E1"/>
    <w:rsid w:val="007D316B"/>
    <w:rsid w:val="007D4754"/>
    <w:rsid w:val="007D4966"/>
    <w:rsid w:val="007D7568"/>
    <w:rsid w:val="007E0503"/>
    <w:rsid w:val="007E1569"/>
    <w:rsid w:val="007E1CD5"/>
    <w:rsid w:val="007E1EC0"/>
    <w:rsid w:val="007E2499"/>
    <w:rsid w:val="007E4930"/>
    <w:rsid w:val="007E5474"/>
    <w:rsid w:val="007E5CAA"/>
    <w:rsid w:val="007E77BA"/>
    <w:rsid w:val="007F03A1"/>
    <w:rsid w:val="007F152F"/>
    <w:rsid w:val="007F3EAC"/>
    <w:rsid w:val="007F3FE5"/>
    <w:rsid w:val="007F5CEB"/>
    <w:rsid w:val="007F5E40"/>
    <w:rsid w:val="007F603A"/>
    <w:rsid w:val="007F65CD"/>
    <w:rsid w:val="007F6DF1"/>
    <w:rsid w:val="008006EA"/>
    <w:rsid w:val="00800CF2"/>
    <w:rsid w:val="0080143F"/>
    <w:rsid w:val="00801E2C"/>
    <w:rsid w:val="00802C84"/>
    <w:rsid w:val="00803513"/>
    <w:rsid w:val="0080451E"/>
    <w:rsid w:val="008050FA"/>
    <w:rsid w:val="00805F96"/>
    <w:rsid w:val="008061B1"/>
    <w:rsid w:val="008068D6"/>
    <w:rsid w:val="00810771"/>
    <w:rsid w:val="00811C0D"/>
    <w:rsid w:val="00812C48"/>
    <w:rsid w:val="008142F6"/>
    <w:rsid w:val="00817A96"/>
    <w:rsid w:val="00823340"/>
    <w:rsid w:val="00824215"/>
    <w:rsid w:val="00827303"/>
    <w:rsid w:val="00830EAC"/>
    <w:rsid w:val="00832324"/>
    <w:rsid w:val="008331AD"/>
    <w:rsid w:val="008350F9"/>
    <w:rsid w:val="0083629B"/>
    <w:rsid w:val="008365BC"/>
    <w:rsid w:val="00837171"/>
    <w:rsid w:val="00837EFB"/>
    <w:rsid w:val="00840734"/>
    <w:rsid w:val="0084167E"/>
    <w:rsid w:val="0084379E"/>
    <w:rsid w:val="00843805"/>
    <w:rsid w:val="00843BC7"/>
    <w:rsid w:val="008461AC"/>
    <w:rsid w:val="00846A4D"/>
    <w:rsid w:val="00846C38"/>
    <w:rsid w:val="0085155F"/>
    <w:rsid w:val="00851E12"/>
    <w:rsid w:val="0085261A"/>
    <w:rsid w:val="008526A8"/>
    <w:rsid w:val="00852837"/>
    <w:rsid w:val="00856B85"/>
    <w:rsid w:val="008614BE"/>
    <w:rsid w:val="008616B2"/>
    <w:rsid w:val="0086329D"/>
    <w:rsid w:val="00863425"/>
    <w:rsid w:val="008679BC"/>
    <w:rsid w:val="0087033C"/>
    <w:rsid w:val="0087099C"/>
    <w:rsid w:val="008718BD"/>
    <w:rsid w:val="00871FAF"/>
    <w:rsid w:val="00872578"/>
    <w:rsid w:val="00872733"/>
    <w:rsid w:val="00872950"/>
    <w:rsid w:val="00872971"/>
    <w:rsid w:val="008745D1"/>
    <w:rsid w:val="00875A63"/>
    <w:rsid w:val="00875D24"/>
    <w:rsid w:val="00880D32"/>
    <w:rsid w:val="00882373"/>
    <w:rsid w:val="00882E01"/>
    <w:rsid w:val="00883DEF"/>
    <w:rsid w:val="0088536B"/>
    <w:rsid w:val="0088583E"/>
    <w:rsid w:val="00886143"/>
    <w:rsid w:val="008913FB"/>
    <w:rsid w:val="00892387"/>
    <w:rsid w:val="00894586"/>
    <w:rsid w:val="00895582"/>
    <w:rsid w:val="00896D23"/>
    <w:rsid w:val="008A1D6C"/>
    <w:rsid w:val="008A3D06"/>
    <w:rsid w:val="008A462E"/>
    <w:rsid w:val="008A4FB2"/>
    <w:rsid w:val="008B2C27"/>
    <w:rsid w:val="008B4544"/>
    <w:rsid w:val="008B4E8B"/>
    <w:rsid w:val="008B6BE1"/>
    <w:rsid w:val="008C1418"/>
    <w:rsid w:val="008C1D80"/>
    <w:rsid w:val="008C1F0C"/>
    <w:rsid w:val="008C61E5"/>
    <w:rsid w:val="008C687B"/>
    <w:rsid w:val="008D06F4"/>
    <w:rsid w:val="008D0F13"/>
    <w:rsid w:val="008D121E"/>
    <w:rsid w:val="008D1482"/>
    <w:rsid w:val="008D188C"/>
    <w:rsid w:val="008D193A"/>
    <w:rsid w:val="008D6933"/>
    <w:rsid w:val="008D7135"/>
    <w:rsid w:val="008D75E4"/>
    <w:rsid w:val="008D7960"/>
    <w:rsid w:val="008E2F06"/>
    <w:rsid w:val="008E36F2"/>
    <w:rsid w:val="008E3D31"/>
    <w:rsid w:val="008E5E86"/>
    <w:rsid w:val="008E6D40"/>
    <w:rsid w:val="008F0900"/>
    <w:rsid w:val="008F1661"/>
    <w:rsid w:val="008F3310"/>
    <w:rsid w:val="008F3E06"/>
    <w:rsid w:val="008F4848"/>
    <w:rsid w:val="008F4EC9"/>
    <w:rsid w:val="009001B3"/>
    <w:rsid w:val="009029B1"/>
    <w:rsid w:val="00902E1A"/>
    <w:rsid w:val="00903413"/>
    <w:rsid w:val="00903B35"/>
    <w:rsid w:val="009040B4"/>
    <w:rsid w:val="00906A41"/>
    <w:rsid w:val="009076E0"/>
    <w:rsid w:val="009117D8"/>
    <w:rsid w:val="00911C2D"/>
    <w:rsid w:val="0091219A"/>
    <w:rsid w:val="0091314E"/>
    <w:rsid w:val="00913232"/>
    <w:rsid w:val="00913555"/>
    <w:rsid w:val="00913699"/>
    <w:rsid w:val="009146B7"/>
    <w:rsid w:val="00915310"/>
    <w:rsid w:val="0091559B"/>
    <w:rsid w:val="00917702"/>
    <w:rsid w:val="00920935"/>
    <w:rsid w:val="00920CF3"/>
    <w:rsid w:val="009214EB"/>
    <w:rsid w:val="00921779"/>
    <w:rsid w:val="009231AA"/>
    <w:rsid w:val="00923BD1"/>
    <w:rsid w:val="00925F41"/>
    <w:rsid w:val="009276FA"/>
    <w:rsid w:val="00927A5E"/>
    <w:rsid w:val="00927E13"/>
    <w:rsid w:val="00927F1F"/>
    <w:rsid w:val="009323A6"/>
    <w:rsid w:val="0093289A"/>
    <w:rsid w:val="009332DD"/>
    <w:rsid w:val="0093594F"/>
    <w:rsid w:val="00937344"/>
    <w:rsid w:val="00941BDC"/>
    <w:rsid w:val="009424BC"/>
    <w:rsid w:val="0094483B"/>
    <w:rsid w:val="00945612"/>
    <w:rsid w:val="009473DE"/>
    <w:rsid w:val="00947656"/>
    <w:rsid w:val="00947C15"/>
    <w:rsid w:val="00950363"/>
    <w:rsid w:val="00950FF3"/>
    <w:rsid w:val="00951E3B"/>
    <w:rsid w:val="00951F57"/>
    <w:rsid w:val="0095226F"/>
    <w:rsid w:val="009535CA"/>
    <w:rsid w:val="00955A37"/>
    <w:rsid w:val="00956EDF"/>
    <w:rsid w:val="00957D39"/>
    <w:rsid w:val="009627AF"/>
    <w:rsid w:val="00963BBC"/>
    <w:rsid w:val="00963FB0"/>
    <w:rsid w:val="009641B4"/>
    <w:rsid w:val="009652BB"/>
    <w:rsid w:val="009669B2"/>
    <w:rsid w:val="00970BCE"/>
    <w:rsid w:val="009717AD"/>
    <w:rsid w:val="009721FC"/>
    <w:rsid w:val="00974D67"/>
    <w:rsid w:val="0097555A"/>
    <w:rsid w:val="00975BD2"/>
    <w:rsid w:val="00976D08"/>
    <w:rsid w:val="00977088"/>
    <w:rsid w:val="0097769D"/>
    <w:rsid w:val="009804EE"/>
    <w:rsid w:val="00981F0E"/>
    <w:rsid w:val="00984188"/>
    <w:rsid w:val="00984434"/>
    <w:rsid w:val="009845D4"/>
    <w:rsid w:val="00985EB9"/>
    <w:rsid w:val="00985F75"/>
    <w:rsid w:val="0098649D"/>
    <w:rsid w:val="009877E6"/>
    <w:rsid w:val="00990F7D"/>
    <w:rsid w:val="009916EC"/>
    <w:rsid w:val="0099200A"/>
    <w:rsid w:val="0099225D"/>
    <w:rsid w:val="00993B3E"/>
    <w:rsid w:val="0099400F"/>
    <w:rsid w:val="00995534"/>
    <w:rsid w:val="0099676D"/>
    <w:rsid w:val="00996BA3"/>
    <w:rsid w:val="00997BC5"/>
    <w:rsid w:val="00997CFE"/>
    <w:rsid w:val="009A0304"/>
    <w:rsid w:val="009A1B48"/>
    <w:rsid w:val="009A20C5"/>
    <w:rsid w:val="009A45AE"/>
    <w:rsid w:val="009A5DE4"/>
    <w:rsid w:val="009A6377"/>
    <w:rsid w:val="009B14BC"/>
    <w:rsid w:val="009B187F"/>
    <w:rsid w:val="009B1DD0"/>
    <w:rsid w:val="009B24AA"/>
    <w:rsid w:val="009B3707"/>
    <w:rsid w:val="009B3B1C"/>
    <w:rsid w:val="009B416E"/>
    <w:rsid w:val="009B61B0"/>
    <w:rsid w:val="009B62FC"/>
    <w:rsid w:val="009C0DE3"/>
    <w:rsid w:val="009C3B5B"/>
    <w:rsid w:val="009C4C25"/>
    <w:rsid w:val="009C65ED"/>
    <w:rsid w:val="009C6919"/>
    <w:rsid w:val="009C6FBD"/>
    <w:rsid w:val="009D3C33"/>
    <w:rsid w:val="009D42A7"/>
    <w:rsid w:val="009D4A6B"/>
    <w:rsid w:val="009D5387"/>
    <w:rsid w:val="009D54BF"/>
    <w:rsid w:val="009D5F71"/>
    <w:rsid w:val="009E07C7"/>
    <w:rsid w:val="009E63C3"/>
    <w:rsid w:val="009E651D"/>
    <w:rsid w:val="009E6E5A"/>
    <w:rsid w:val="009F2E1F"/>
    <w:rsid w:val="009F49C3"/>
    <w:rsid w:val="009F4B86"/>
    <w:rsid w:val="009F5C2E"/>
    <w:rsid w:val="009F7F1F"/>
    <w:rsid w:val="00A006D7"/>
    <w:rsid w:val="00A011C2"/>
    <w:rsid w:val="00A03601"/>
    <w:rsid w:val="00A03B51"/>
    <w:rsid w:val="00A043CE"/>
    <w:rsid w:val="00A04FDD"/>
    <w:rsid w:val="00A05CB5"/>
    <w:rsid w:val="00A07661"/>
    <w:rsid w:val="00A07740"/>
    <w:rsid w:val="00A0784D"/>
    <w:rsid w:val="00A10556"/>
    <w:rsid w:val="00A10DC3"/>
    <w:rsid w:val="00A1211D"/>
    <w:rsid w:val="00A12F21"/>
    <w:rsid w:val="00A13331"/>
    <w:rsid w:val="00A13414"/>
    <w:rsid w:val="00A137B6"/>
    <w:rsid w:val="00A1412B"/>
    <w:rsid w:val="00A155DD"/>
    <w:rsid w:val="00A15998"/>
    <w:rsid w:val="00A15D5B"/>
    <w:rsid w:val="00A17AC1"/>
    <w:rsid w:val="00A206F0"/>
    <w:rsid w:val="00A20B6D"/>
    <w:rsid w:val="00A2130F"/>
    <w:rsid w:val="00A216D2"/>
    <w:rsid w:val="00A2460D"/>
    <w:rsid w:val="00A251BA"/>
    <w:rsid w:val="00A2778D"/>
    <w:rsid w:val="00A322FF"/>
    <w:rsid w:val="00A32835"/>
    <w:rsid w:val="00A34044"/>
    <w:rsid w:val="00A35CB7"/>
    <w:rsid w:val="00A360F9"/>
    <w:rsid w:val="00A36B45"/>
    <w:rsid w:val="00A36DD0"/>
    <w:rsid w:val="00A406CC"/>
    <w:rsid w:val="00A4071B"/>
    <w:rsid w:val="00A40A79"/>
    <w:rsid w:val="00A410CB"/>
    <w:rsid w:val="00A44447"/>
    <w:rsid w:val="00A45491"/>
    <w:rsid w:val="00A462F4"/>
    <w:rsid w:val="00A463F4"/>
    <w:rsid w:val="00A4725C"/>
    <w:rsid w:val="00A50222"/>
    <w:rsid w:val="00A513C0"/>
    <w:rsid w:val="00A525E6"/>
    <w:rsid w:val="00A52690"/>
    <w:rsid w:val="00A53A31"/>
    <w:rsid w:val="00A55E16"/>
    <w:rsid w:val="00A56BBE"/>
    <w:rsid w:val="00A61247"/>
    <w:rsid w:val="00A620B7"/>
    <w:rsid w:val="00A62796"/>
    <w:rsid w:val="00A637E3"/>
    <w:rsid w:val="00A641DE"/>
    <w:rsid w:val="00A64211"/>
    <w:rsid w:val="00A66FAF"/>
    <w:rsid w:val="00A67B28"/>
    <w:rsid w:val="00A67C86"/>
    <w:rsid w:val="00A67EB3"/>
    <w:rsid w:val="00A67F4C"/>
    <w:rsid w:val="00A70F74"/>
    <w:rsid w:val="00A717AD"/>
    <w:rsid w:val="00A71B31"/>
    <w:rsid w:val="00A735CD"/>
    <w:rsid w:val="00A73A01"/>
    <w:rsid w:val="00A75ED0"/>
    <w:rsid w:val="00A76319"/>
    <w:rsid w:val="00A76506"/>
    <w:rsid w:val="00A768B6"/>
    <w:rsid w:val="00A7788B"/>
    <w:rsid w:val="00A77CFF"/>
    <w:rsid w:val="00A802E0"/>
    <w:rsid w:val="00A81324"/>
    <w:rsid w:val="00A86282"/>
    <w:rsid w:val="00A86494"/>
    <w:rsid w:val="00A9058E"/>
    <w:rsid w:val="00A90621"/>
    <w:rsid w:val="00A906C7"/>
    <w:rsid w:val="00A90ADF"/>
    <w:rsid w:val="00A91E7A"/>
    <w:rsid w:val="00A946E2"/>
    <w:rsid w:val="00A94D3C"/>
    <w:rsid w:val="00A963A7"/>
    <w:rsid w:val="00A96FE7"/>
    <w:rsid w:val="00AA0304"/>
    <w:rsid w:val="00AA13C0"/>
    <w:rsid w:val="00AA16CB"/>
    <w:rsid w:val="00AA5D08"/>
    <w:rsid w:val="00AA6147"/>
    <w:rsid w:val="00AA6394"/>
    <w:rsid w:val="00AA6409"/>
    <w:rsid w:val="00AA6B49"/>
    <w:rsid w:val="00AA6B70"/>
    <w:rsid w:val="00AB0CEF"/>
    <w:rsid w:val="00AB0F60"/>
    <w:rsid w:val="00AB1200"/>
    <w:rsid w:val="00AB174C"/>
    <w:rsid w:val="00AB1C95"/>
    <w:rsid w:val="00AB2836"/>
    <w:rsid w:val="00AB515B"/>
    <w:rsid w:val="00AB52FE"/>
    <w:rsid w:val="00AB58B9"/>
    <w:rsid w:val="00AB618B"/>
    <w:rsid w:val="00AC0687"/>
    <w:rsid w:val="00AC0E8E"/>
    <w:rsid w:val="00AC11AA"/>
    <w:rsid w:val="00AC17F6"/>
    <w:rsid w:val="00AC1BCB"/>
    <w:rsid w:val="00AC216F"/>
    <w:rsid w:val="00AC28FF"/>
    <w:rsid w:val="00AC2960"/>
    <w:rsid w:val="00AC2FD2"/>
    <w:rsid w:val="00AC3090"/>
    <w:rsid w:val="00AC5BD9"/>
    <w:rsid w:val="00AC5CDD"/>
    <w:rsid w:val="00AC7164"/>
    <w:rsid w:val="00AC7DBC"/>
    <w:rsid w:val="00AD0491"/>
    <w:rsid w:val="00AD27D6"/>
    <w:rsid w:val="00AD3372"/>
    <w:rsid w:val="00AD523B"/>
    <w:rsid w:val="00AD59F6"/>
    <w:rsid w:val="00AD5CF6"/>
    <w:rsid w:val="00AD62FC"/>
    <w:rsid w:val="00AD6999"/>
    <w:rsid w:val="00AE0B0B"/>
    <w:rsid w:val="00AE0FC1"/>
    <w:rsid w:val="00AE29FA"/>
    <w:rsid w:val="00AE37C8"/>
    <w:rsid w:val="00AE4420"/>
    <w:rsid w:val="00AE4FD2"/>
    <w:rsid w:val="00AE7414"/>
    <w:rsid w:val="00AE7F48"/>
    <w:rsid w:val="00AF0A86"/>
    <w:rsid w:val="00AF0DDB"/>
    <w:rsid w:val="00AF15D8"/>
    <w:rsid w:val="00AF22C2"/>
    <w:rsid w:val="00AF26B3"/>
    <w:rsid w:val="00AF31B1"/>
    <w:rsid w:val="00AF35A7"/>
    <w:rsid w:val="00AF3C17"/>
    <w:rsid w:val="00AF3D7C"/>
    <w:rsid w:val="00AF4242"/>
    <w:rsid w:val="00AF465D"/>
    <w:rsid w:val="00AF4DC1"/>
    <w:rsid w:val="00AF54E0"/>
    <w:rsid w:val="00B029A0"/>
    <w:rsid w:val="00B055F7"/>
    <w:rsid w:val="00B0782F"/>
    <w:rsid w:val="00B0794B"/>
    <w:rsid w:val="00B1030D"/>
    <w:rsid w:val="00B1094B"/>
    <w:rsid w:val="00B10954"/>
    <w:rsid w:val="00B11818"/>
    <w:rsid w:val="00B11D5E"/>
    <w:rsid w:val="00B1280F"/>
    <w:rsid w:val="00B12AF1"/>
    <w:rsid w:val="00B12CD4"/>
    <w:rsid w:val="00B14147"/>
    <w:rsid w:val="00B14289"/>
    <w:rsid w:val="00B15A03"/>
    <w:rsid w:val="00B15B33"/>
    <w:rsid w:val="00B15E7D"/>
    <w:rsid w:val="00B1778E"/>
    <w:rsid w:val="00B177BB"/>
    <w:rsid w:val="00B20763"/>
    <w:rsid w:val="00B20997"/>
    <w:rsid w:val="00B20C97"/>
    <w:rsid w:val="00B21132"/>
    <w:rsid w:val="00B21770"/>
    <w:rsid w:val="00B2240C"/>
    <w:rsid w:val="00B23334"/>
    <w:rsid w:val="00B23B65"/>
    <w:rsid w:val="00B23CDD"/>
    <w:rsid w:val="00B267E3"/>
    <w:rsid w:val="00B26814"/>
    <w:rsid w:val="00B274F2"/>
    <w:rsid w:val="00B31E9F"/>
    <w:rsid w:val="00B35479"/>
    <w:rsid w:val="00B36617"/>
    <w:rsid w:val="00B37122"/>
    <w:rsid w:val="00B41267"/>
    <w:rsid w:val="00B4154F"/>
    <w:rsid w:val="00B42A87"/>
    <w:rsid w:val="00B443E6"/>
    <w:rsid w:val="00B444E4"/>
    <w:rsid w:val="00B44894"/>
    <w:rsid w:val="00B44D43"/>
    <w:rsid w:val="00B4522F"/>
    <w:rsid w:val="00B47D6A"/>
    <w:rsid w:val="00B512DB"/>
    <w:rsid w:val="00B513C8"/>
    <w:rsid w:val="00B516FB"/>
    <w:rsid w:val="00B531AA"/>
    <w:rsid w:val="00B545AF"/>
    <w:rsid w:val="00B54C4C"/>
    <w:rsid w:val="00B55FBB"/>
    <w:rsid w:val="00B57885"/>
    <w:rsid w:val="00B62006"/>
    <w:rsid w:val="00B62A7A"/>
    <w:rsid w:val="00B62F53"/>
    <w:rsid w:val="00B62F8F"/>
    <w:rsid w:val="00B63591"/>
    <w:rsid w:val="00B63D3C"/>
    <w:rsid w:val="00B63F77"/>
    <w:rsid w:val="00B64429"/>
    <w:rsid w:val="00B70128"/>
    <w:rsid w:val="00B73E02"/>
    <w:rsid w:val="00B745DB"/>
    <w:rsid w:val="00B7616C"/>
    <w:rsid w:val="00B76BC8"/>
    <w:rsid w:val="00B80825"/>
    <w:rsid w:val="00B81D21"/>
    <w:rsid w:val="00B81EA2"/>
    <w:rsid w:val="00B830D1"/>
    <w:rsid w:val="00B85042"/>
    <w:rsid w:val="00B86D6E"/>
    <w:rsid w:val="00B878A4"/>
    <w:rsid w:val="00B87E40"/>
    <w:rsid w:val="00B87F4F"/>
    <w:rsid w:val="00B91799"/>
    <w:rsid w:val="00B92A02"/>
    <w:rsid w:val="00B930BF"/>
    <w:rsid w:val="00B9591B"/>
    <w:rsid w:val="00B95EB7"/>
    <w:rsid w:val="00B96032"/>
    <w:rsid w:val="00B97715"/>
    <w:rsid w:val="00B97AED"/>
    <w:rsid w:val="00BA06E8"/>
    <w:rsid w:val="00BA08E1"/>
    <w:rsid w:val="00BA1864"/>
    <w:rsid w:val="00BA1D69"/>
    <w:rsid w:val="00BA373C"/>
    <w:rsid w:val="00BA4687"/>
    <w:rsid w:val="00BA4C89"/>
    <w:rsid w:val="00BA5702"/>
    <w:rsid w:val="00BB1ABF"/>
    <w:rsid w:val="00BB1CC1"/>
    <w:rsid w:val="00BB1CCF"/>
    <w:rsid w:val="00BB48D5"/>
    <w:rsid w:val="00BB6750"/>
    <w:rsid w:val="00BB6922"/>
    <w:rsid w:val="00BB6E6D"/>
    <w:rsid w:val="00BB717B"/>
    <w:rsid w:val="00BB79A4"/>
    <w:rsid w:val="00BB7CC8"/>
    <w:rsid w:val="00BC25D0"/>
    <w:rsid w:val="00BC2691"/>
    <w:rsid w:val="00BC2C3F"/>
    <w:rsid w:val="00BC3F69"/>
    <w:rsid w:val="00BC43CC"/>
    <w:rsid w:val="00BC4729"/>
    <w:rsid w:val="00BC4A0F"/>
    <w:rsid w:val="00BC5E75"/>
    <w:rsid w:val="00BC6011"/>
    <w:rsid w:val="00BC602B"/>
    <w:rsid w:val="00BC6A65"/>
    <w:rsid w:val="00BC6DF7"/>
    <w:rsid w:val="00BD1239"/>
    <w:rsid w:val="00BD147D"/>
    <w:rsid w:val="00BD22BC"/>
    <w:rsid w:val="00BD2797"/>
    <w:rsid w:val="00BD2C64"/>
    <w:rsid w:val="00BD2D15"/>
    <w:rsid w:val="00BD2D68"/>
    <w:rsid w:val="00BD3745"/>
    <w:rsid w:val="00BD43F1"/>
    <w:rsid w:val="00BD5CBE"/>
    <w:rsid w:val="00BD6DDF"/>
    <w:rsid w:val="00BE0407"/>
    <w:rsid w:val="00BE0619"/>
    <w:rsid w:val="00BE1BD5"/>
    <w:rsid w:val="00BE207B"/>
    <w:rsid w:val="00BE3219"/>
    <w:rsid w:val="00BE707D"/>
    <w:rsid w:val="00BF08B4"/>
    <w:rsid w:val="00BF2112"/>
    <w:rsid w:val="00BF3909"/>
    <w:rsid w:val="00BF45C0"/>
    <w:rsid w:val="00BF58C4"/>
    <w:rsid w:val="00BF58F0"/>
    <w:rsid w:val="00BF5AA0"/>
    <w:rsid w:val="00BF5D1B"/>
    <w:rsid w:val="00BF64EC"/>
    <w:rsid w:val="00BF7C3B"/>
    <w:rsid w:val="00C01A9B"/>
    <w:rsid w:val="00C01F70"/>
    <w:rsid w:val="00C02ECE"/>
    <w:rsid w:val="00C044C5"/>
    <w:rsid w:val="00C048D2"/>
    <w:rsid w:val="00C10E38"/>
    <w:rsid w:val="00C1206D"/>
    <w:rsid w:val="00C12C76"/>
    <w:rsid w:val="00C132B0"/>
    <w:rsid w:val="00C13AB4"/>
    <w:rsid w:val="00C14B63"/>
    <w:rsid w:val="00C161F2"/>
    <w:rsid w:val="00C1703D"/>
    <w:rsid w:val="00C178C0"/>
    <w:rsid w:val="00C17972"/>
    <w:rsid w:val="00C205F4"/>
    <w:rsid w:val="00C21E5B"/>
    <w:rsid w:val="00C22EBF"/>
    <w:rsid w:val="00C248B6"/>
    <w:rsid w:val="00C25043"/>
    <w:rsid w:val="00C251B5"/>
    <w:rsid w:val="00C26ADB"/>
    <w:rsid w:val="00C30A8B"/>
    <w:rsid w:val="00C3136D"/>
    <w:rsid w:val="00C32D14"/>
    <w:rsid w:val="00C33F46"/>
    <w:rsid w:val="00C3466E"/>
    <w:rsid w:val="00C34D44"/>
    <w:rsid w:val="00C35B6C"/>
    <w:rsid w:val="00C379CA"/>
    <w:rsid w:val="00C40B6F"/>
    <w:rsid w:val="00C40C42"/>
    <w:rsid w:val="00C417BA"/>
    <w:rsid w:val="00C41FDF"/>
    <w:rsid w:val="00C42767"/>
    <w:rsid w:val="00C4581C"/>
    <w:rsid w:val="00C467DB"/>
    <w:rsid w:val="00C46B30"/>
    <w:rsid w:val="00C5057B"/>
    <w:rsid w:val="00C51D2E"/>
    <w:rsid w:val="00C54C2F"/>
    <w:rsid w:val="00C54DC2"/>
    <w:rsid w:val="00C54E5D"/>
    <w:rsid w:val="00C565D4"/>
    <w:rsid w:val="00C56CB1"/>
    <w:rsid w:val="00C576C4"/>
    <w:rsid w:val="00C57C3E"/>
    <w:rsid w:val="00C57C6F"/>
    <w:rsid w:val="00C63595"/>
    <w:rsid w:val="00C63EC6"/>
    <w:rsid w:val="00C64181"/>
    <w:rsid w:val="00C65856"/>
    <w:rsid w:val="00C66B27"/>
    <w:rsid w:val="00C7028E"/>
    <w:rsid w:val="00C710A8"/>
    <w:rsid w:val="00C71B29"/>
    <w:rsid w:val="00C7594E"/>
    <w:rsid w:val="00C7633A"/>
    <w:rsid w:val="00C77BEA"/>
    <w:rsid w:val="00C77D1A"/>
    <w:rsid w:val="00C80ABF"/>
    <w:rsid w:val="00C8171B"/>
    <w:rsid w:val="00C81C5C"/>
    <w:rsid w:val="00C84864"/>
    <w:rsid w:val="00C856FB"/>
    <w:rsid w:val="00C85D23"/>
    <w:rsid w:val="00C8687F"/>
    <w:rsid w:val="00C87550"/>
    <w:rsid w:val="00C934AF"/>
    <w:rsid w:val="00C9354A"/>
    <w:rsid w:val="00C9642B"/>
    <w:rsid w:val="00C96D74"/>
    <w:rsid w:val="00C975D8"/>
    <w:rsid w:val="00CA1F51"/>
    <w:rsid w:val="00CA2A52"/>
    <w:rsid w:val="00CA2AA0"/>
    <w:rsid w:val="00CA3D0F"/>
    <w:rsid w:val="00CA458C"/>
    <w:rsid w:val="00CA4821"/>
    <w:rsid w:val="00CA48B5"/>
    <w:rsid w:val="00CA569B"/>
    <w:rsid w:val="00CA59D7"/>
    <w:rsid w:val="00CA73FA"/>
    <w:rsid w:val="00CA7860"/>
    <w:rsid w:val="00CB002E"/>
    <w:rsid w:val="00CB0585"/>
    <w:rsid w:val="00CB118D"/>
    <w:rsid w:val="00CB13D5"/>
    <w:rsid w:val="00CB1DC9"/>
    <w:rsid w:val="00CB2252"/>
    <w:rsid w:val="00CB250F"/>
    <w:rsid w:val="00CB3105"/>
    <w:rsid w:val="00CB325E"/>
    <w:rsid w:val="00CB3748"/>
    <w:rsid w:val="00CB44E8"/>
    <w:rsid w:val="00CB5AB4"/>
    <w:rsid w:val="00CB6B9C"/>
    <w:rsid w:val="00CC0A3E"/>
    <w:rsid w:val="00CC27D6"/>
    <w:rsid w:val="00CC27FB"/>
    <w:rsid w:val="00CC2D5E"/>
    <w:rsid w:val="00CC36AE"/>
    <w:rsid w:val="00CC4380"/>
    <w:rsid w:val="00CC66F0"/>
    <w:rsid w:val="00CC68F4"/>
    <w:rsid w:val="00CC74A7"/>
    <w:rsid w:val="00CD0494"/>
    <w:rsid w:val="00CD0932"/>
    <w:rsid w:val="00CD0E4F"/>
    <w:rsid w:val="00CD187B"/>
    <w:rsid w:val="00CD1CF8"/>
    <w:rsid w:val="00CD22FB"/>
    <w:rsid w:val="00CD27D8"/>
    <w:rsid w:val="00CD3748"/>
    <w:rsid w:val="00CD3A7F"/>
    <w:rsid w:val="00CD3CB0"/>
    <w:rsid w:val="00CD5DCF"/>
    <w:rsid w:val="00CD63A7"/>
    <w:rsid w:val="00CD6B3E"/>
    <w:rsid w:val="00CD758A"/>
    <w:rsid w:val="00CD7809"/>
    <w:rsid w:val="00CE0498"/>
    <w:rsid w:val="00CE0793"/>
    <w:rsid w:val="00CE0E2E"/>
    <w:rsid w:val="00CE0EC2"/>
    <w:rsid w:val="00CE48B5"/>
    <w:rsid w:val="00CE4B90"/>
    <w:rsid w:val="00CE57AF"/>
    <w:rsid w:val="00CE69CB"/>
    <w:rsid w:val="00CE77DD"/>
    <w:rsid w:val="00CF0101"/>
    <w:rsid w:val="00CF1315"/>
    <w:rsid w:val="00CF1E65"/>
    <w:rsid w:val="00CF2A21"/>
    <w:rsid w:val="00CF33A4"/>
    <w:rsid w:val="00CF495E"/>
    <w:rsid w:val="00D00A91"/>
    <w:rsid w:val="00D01008"/>
    <w:rsid w:val="00D044E1"/>
    <w:rsid w:val="00D04B63"/>
    <w:rsid w:val="00D04C7B"/>
    <w:rsid w:val="00D05682"/>
    <w:rsid w:val="00D05CE5"/>
    <w:rsid w:val="00D060C3"/>
    <w:rsid w:val="00D06606"/>
    <w:rsid w:val="00D1000D"/>
    <w:rsid w:val="00D10C0E"/>
    <w:rsid w:val="00D10C3F"/>
    <w:rsid w:val="00D10FE3"/>
    <w:rsid w:val="00D11848"/>
    <w:rsid w:val="00D126FC"/>
    <w:rsid w:val="00D13487"/>
    <w:rsid w:val="00D13AFB"/>
    <w:rsid w:val="00D15AA0"/>
    <w:rsid w:val="00D15CA9"/>
    <w:rsid w:val="00D16551"/>
    <w:rsid w:val="00D16E7E"/>
    <w:rsid w:val="00D209B4"/>
    <w:rsid w:val="00D23FD4"/>
    <w:rsid w:val="00D24046"/>
    <w:rsid w:val="00D24B17"/>
    <w:rsid w:val="00D25FB5"/>
    <w:rsid w:val="00D26279"/>
    <w:rsid w:val="00D26694"/>
    <w:rsid w:val="00D271A5"/>
    <w:rsid w:val="00D274A9"/>
    <w:rsid w:val="00D27D53"/>
    <w:rsid w:val="00D3017C"/>
    <w:rsid w:val="00D345C3"/>
    <w:rsid w:val="00D347C3"/>
    <w:rsid w:val="00D3494F"/>
    <w:rsid w:val="00D357F9"/>
    <w:rsid w:val="00D36EA3"/>
    <w:rsid w:val="00D40B07"/>
    <w:rsid w:val="00D41AE4"/>
    <w:rsid w:val="00D41C00"/>
    <w:rsid w:val="00D44C53"/>
    <w:rsid w:val="00D452D4"/>
    <w:rsid w:val="00D5643B"/>
    <w:rsid w:val="00D5787B"/>
    <w:rsid w:val="00D6145E"/>
    <w:rsid w:val="00D618F3"/>
    <w:rsid w:val="00D61FD1"/>
    <w:rsid w:val="00D62A35"/>
    <w:rsid w:val="00D65742"/>
    <w:rsid w:val="00D662CA"/>
    <w:rsid w:val="00D675F9"/>
    <w:rsid w:val="00D702ED"/>
    <w:rsid w:val="00D70758"/>
    <w:rsid w:val="00D71CD3"/>
    <w:rsid w:val="00D7250C"/>
    <w:rsid w:val="00D7351E"/>
    <w:rsid w:val="00D739FE"/>
    <w:rsid w:val="00D75CD5"/>
    <w:rsid w:val="00D766EA"/>
    <w:rsid w:val="00D76F55"/>
    <w:rsid w:val="00D77096"/>
    <w:rsid w:val="00D772B2"/>
    <w:rsid w:val="00D8136F"/>
    <w:rsid w:val="00D81F79"/>
    <w:rsid w:val="00D82DC4"/>
    <w:rsid w:val="00D84B6A"/>
    <w:rsid w:val="00D85BD6"/>
    <w:rsid w:val="00D90458"/>
    <w:rsid w:val="00D90897"/>
    <w:rsid w:val="00D90B8C"/>
    <w:rsid w:val="00D91729"/>
    <w:rsid w:val="00D93818"/>
    <w:rsid w:val="00D940F6"/>
    <w:rsid w:val="00D94314"/>
    <w:rsid w:val="00D959B6"/>
    <w:rsid w:val="00DA00D4"/>
    <w:rsid w:val="00DA0662"/>
    <w:rsid w:val="00DA0673"/>
    <w:rsid w:val="00DA0B55"/>
    <w:rsid w:val="00DA0FF4"/>
    <w:rsid w:val="00DA1842"/>
    <w:rsid w:val="00DA3564"/>
    <w:rsid w:val="00DA3806"/>
    <w:rsid w:val="00DA4C50"/>
    <w:rsid w:val="00DA4FD5"/>
    <w:rsid w:val="00DA70D0"/>
    <w:rsid w:val="00DB0055"/>
    <w:rsid w:val="00DB20CD"/>
    <w:rsid w:val="00DB2D68"/>
    <w:rsid w:val="00DB2FCF"/>
    <w:rsid w:val="00DB3997"/>
    <w:rsid w:val="00DB3A02"/>
    <w:rsid w:val="00DB4F09"/>
    <w:rsid w:val="00DB5392"/>
    <w:rsid w:val="00DB6BCD"/>
    <w:rsid w:val="00DB7730"/>
    <w:rsid w:val="00DC1E33"/>
    <w:rsid w:val="00DC2E75"/>
    <w:rsid w:val="00DC5ED9"/>
    <w:rsid w:val="00DC64EF"/>
    <w:rsid w:val="00DC7358"/>
    <w:rsid w:val="00DC798C"/>
    <w:rsid w:val="00DD1DD5"/>
    <w:rsid w:val="00DD23C3"/>
    <w:rsid w:val="00DD5F97"/>
    <w:rsid w:val="00DD6AFA"/>
    <w:rsid w:val="00DD751C"/>
    <w:rsid w:val="00DE1019"/>
    <w:rsid w:val="00DE1DEC"/>
    <w:rsid w:val="00DE1DF1"/>
    <w:rsid w:val="00DE2012"/>
    <w:rsid w:val="00DE4856"/>
    <w:rsid w:val="00DE50B2"/>
    <w:rsid w:val="00DE5D29"/>
    <w:rsid w:val="00DF30E4"/>
    <w:rsid w:val="00DF3406"/>
    <w:rsid w:val="00DF3ED9"/>
    <w:rsid w:val="00DF3F14"/>
    <w:rsid w:val="00DF4263"/>
    <w:rsid w:val="00DF4978"/>
    <w:rsid w:val="00DF54DC"/>
    <w:rsid w:val="00DF7CDA"/>
    <w:rsid w:val="00E003F8"/>
    <w:rsid w:val="00E018C1"/>
    <w:rsid w:val="00E03FFD"/>
    <w:rsid w:val="00E04D6F"/>
    <w:rsid w:val="00E05B4C"/>
    <w:rsid w:val="00E05E2C"/>
    <w:rsid w:val="00E07491"/>
    <w:rsid w:val="00E078D4"/>
    <w:rsid w:val="00E13AD2"/>
    <w:rsid w:val="00E13E97"/>
    <w:rsid w:val="00E16191"/>
    <w:rsid w:val="00E169CF"/>
    <w:rsid w:val="00E17BF9"/>
    <w:rsid w:val="00E20F76"/>
    <w:rsid w:val="00E20FAF"/>
    <w:rsid w:val="00E21360"/>
    <w:rsid w:val="00E21690"/>
    <w:rsid w:val="00E22185"/>
    <w:rsid w:val="00E233E1"/>
    <w:rsid w:val="00E265B1"/>
    <w:rsid w:val="00E2769C"/>
    <w:rsid w:val="00E277D1"/>
    <w:rsid w:val="00E30A35"/>
    <w:rsid w:val="00E31195"/>
    <w:rsid w:val="00E325AD"/>
    <w:rsid w:val="00E330BC"/>
    <w:rsid w:val="00E33C2B"/>
    <w:rsid w:val="00E3460B"/>
    <w:rsid w:val="00E34800"/>
    <w:rsid w:val="00E35A0B"/>
    <w:rsid w:val="00E36466"/>
    <w:rsid w:val="00E36A76"/>
    <w:rsid w:val="00E37E98"/>
    <w:rsid w:val="00E407C5"/>
    <w:rsid w:val="00E43824"/>
    <w:rsid w:val="00E44384"/>
    <w:rsid w:val="00E4479C"/>
    <w:rsid w:val="00E44A65"/>
    <w:rsid w:val="00E45950"/>
    <w:rsid w:val="00E45C24"/>
    <w:rsid w:val="00E4602B"/>
    <w:rsid w:val="00E4750E"/>
    <w:rsid w:val="00E5041F"/>
    <w:rsid w:val="00E504CC"/>
    <w:rsid w:val="00E5109B"/>
    <w:rsid w:val="00E51AE5"/>
    <w:rsid w:val="00E53456"/>
    <w:rsid w:val="00E53E43"/>
    <w:rsid w:val="00E54D89"/>
    <w:rsid w:val="00E54FF0"/>
    <w:rsid w:val="00E5548B"/>
    <w:rsid w:val="00E55C5C"/>
    <w:rsid w:val="00E55EC5"/>
    <w:rsid w:val="00E563B1"/>
    <w:rsid w:val="00E567CE"/>
    <w:rsid w:val="00E60A81"/>
    <w:rsid w:val="00E61DA3"/>
    <w:rsid w:val="00E62954"/>
    <w:rsid w:val="00E63570"/>
    <w:rsid w:val="00E64E27"/>
    <w:rsid w:val="00E665A9"/>
    <w:rsid w:val="00E66EDD"/>
    <w:rsid w:val="00E731D9"/>
    <w:rsid w:val="00E736F4"/>
    <w:rsid w:val="00E743B9"/>
    <w:rsid w:val="00E776B1"/>
    <w:rsid w:val="00E777F6"/>
    <w:rsid w:val="00E82108"/>
    <w:rsid w:val="00E83096"/>
    <w:rsid w:val="00E8535C"/>
    <w:rsid w:val="00E855A5"/>
    <w:rsid w:val="00E86943"/>
    <w:rsid w:val="00E87CDA"/>
    <w:rsid w:val="00E90DC5"/>
    <w:rsid w:val="00E90FFC"/>
    <w:rsid w:val="00E91E1D"/>
    <w:rsid w:val="00E9402C"/>
    <w:rsid w:val="00E951F0"/>
    <w:rsid w:val="00E957A5"/>
    <w:rsid w:val="00E95EE6"/>
    <w:rsid w:val="00EA0100"/>
    <w:rsid w:val="00EA27CA"/>
    <w:rsid w:val="00EA3699"/>
    <w:rsid w:val="00EA5F07"/>
    <w:rsid w:val="00EA6EFE"/>
    <w:rsid w:val="00EA7476"/>
    <w:rsid w:val="00EA774D"/>
    <w:rsid w:val="00EB3001"/>
    <w:rsid w:val="00EB38EA"/>
    <w:rsid w:val="00EB589F"/>
    <w:rsid w:val="00EB77EF"/>
    <w:rsid w:val="00EC0654"/>
    <w:rsid w:val="00EC0D4C"/>
    <w:rsid w:val="00EC0FD5"/>
    <w:rsid w:val="00EC18D1"/>
    <w:rsid w:val="00EC34AF"/>
    <w:rsid w:val="00EC3B06"/>
    <w:rsid w:val="00ED0AEB"/>
    <w:rsid w:val="00ED1377"/>
    <w:rsid w:val="00ED1818"/>
    <w:rsid w:val="00ED29EF"/>
    <w:rsid w:val="00ED30B2"/>
    <w:rsid w:val="00ED3438"/>
    <w:rsid w:val="00ED3C03"/>
    <w:rsid w:val="00ED5D97"/>
    <w:rsid w:val="00ED7656"/>
    <w:rsid w:val="00ED78B1"/>
    <w:rsid w:val="00ED7F5D"/>
    <w:rsid w:val="00EE0115"/>
    <w:rsid w:val="00EE028D"/>
    <w:rsid w:val="00EE1198"/>
    <w:rsid w:val="00EE297A"/>
    <w:rsid w:val="00EE3D51"/>
    <w:rsid w:val="00EE568A"/>
    <w:rsid w:val="00EE5A61"/>
    <w:rsid w:val="00EE604D"/>
    <w:rsid w:val="00EE63EE"/>
    <w:rsid w:val="00EE74A9"/>
    <w:rsid w:val="00EF4E36"/>
    <w:rsid w:val="00EF52BD"/>
    <w:rsid w:val="00EF566A"/>
    <w:rsid w:val="00EF7190"/>
    <w:rsid w:val="00EF78CB"/>
    <w:rsid w:val="00EF7E3A"/>
    <w:rsid w:val="00F00948"/>
    <w:rsid w:val="00F00F2A"/>
    <w:rsid w:val="00F0165F"/>
    <w:rsid w:val="00F01AFD"/>
    <w:rsid w:val="00F05914"/>
    <w:rsid w:val="00F1287B"/>
    <w:rsid w:val="00F12C24"/>
    <w:rsid w:val="00F134E3"/>
    <w:rsid w:val="00F144DE"/>
    <w:rsid w:val="00F14960"/>
    <w:rsid w:val="00F1619D"/>
    <w:rsid w:val="00F16FEA"/>
    <w:rsid w:val="00F172B3"/>
    <w:rsid w:val="00F21D1B"/>
    <w:rsid w:val="00F21FB9"/>
    <w:rsid w:val="00F2277B"/>
    <w:rsid w:val="00F22B68"/>
    <w:rsid w:val="00F23B5C"/>
    <w:rsid w:val="00F244DE"/>
    <w:rsid w:val="00F24A77"/>
    <w:rsid w:val="00F25E29"/>
    <w:rsid w:val="00F26719"/>
    <w:rsid w:val="00F277E6"/>
    <w:rsid w:val="00F27880"/>
    <w:rsid w:val="00F27BAE"/>
    <w:rsid w:val="00F30BF4"/>
    <w:rsid w:val="00F30CDF"/>
    <w:rsid w:val="00F31416"/>
    <w:rsid w:val="00F32E71"/>
    <w:rsid w:val="00F33AEC"/>
    <w:rsid w:val="00F3563A"/>
    <w:rsid w:val="00F409FB"/>
    <w:rsid w:val="00F40B04"/>
    <w:rsid w:val="00F4286E"/>
    <w:rsid w:val="00F43112"/>
    <w:rsid w:val="00F43E77"/>
    <w:rsid w:val="00F44DE8"/>
    <w:rsid w:val="00F464C0"/>
    <w:rsid w:val="00F465B1"/>
    <w:rsid w:val="00F465C0"/>
    <w:rsid w:val="00F46D05"/>
    <w:rsid w:val="00F47865"/>
    <w:rsid w:val="00F504D3"/>
    <w:rsid w:val="00F520FD"/>
    <w:rsid w:val="00F52850"/>
    <w:rsid w:val="00F52D4A"/>
    <w:rsid w:val="00F54EC5"/>
    <w:rsid w:val="00F55E69"/>
    <w:rsid w:val="00F56D82"/>
    <w:rsid w:val="00F57E25"/>
    <w:rsid w:val="00F60065"/>
    <w:rsid w:val="00F6029C"/>
    <w:rsid w:val="00F602A8"/>
    <w:rsid w:val="00F607C1"/>
    <w:rsid w:val="00F60EA5"/>
    <w:rsid w:val="00F61009"/>
    <w:rsid w:val="00F61396"/>
    <w:rsid w:val="00F62EA7"/>
    <w:rsid w:val="00F65BD4"/>
    <w:rsid w:val="00F704D6"/>
    <w:rsid w:val="00F70811"/>
    <w:rsid w:val="00F714B1"/>
    <w:rsid w:val="00F73227"/>
    <w:rsid w:val="00F75B69"/>
    <w:rsid w:val="00F75E50"/>
    <w:rsid w:val="00F768F1"/>
    <w:rsid w:val="00F8111E"/>
    <w:rsid w:val="00F81C9F"/>
    <w:rsid w:val="00F826D9"/>
    <w:rsid w:val="00F82DE7"/>
    <w:rsid w:val="00F82E6F"/>
    <w:rsid w:val="00F83070"/>
    <w:rsid w:val="00F83A23"/>
    <w:rsid w:val="00F84F27"/>
    <w:rsid w:val="00F8528D"/>
    <w:rsid w:val="00F85875"/>
    <w:rsid w:val="00F85E1F"/>
    <w:rsid w:val="00F873B2"/>
    <w:rsid w:val="00F939B3"/>
    <w:rsid w:val="00F953D6"/>
    <w:rsid w:val="00F95483"/>
    <w:rsid w:val="00F9563F"/>
    <w:rsid w:val="00F95D22"/>
    <w:rsid w:val="00F9640E"/>
    <w:rsid w:val="00F9692C"/>
    <w:rsid w:val="00F969A8"/>
    <w:rsid w:val="00FA1F40"/>
    <w:rsid w:val="00FA2282"/>
    <w:rsid w:val="00FA3003"/>
    <w:rsid w:val="00FA3006"/>
    <w:rsid w:val="00FA32A5"/>
    <w:rsid w:val="00FA580D"/>
    <w:rsid w:val="00FA6E42"/>
    <w:rsid w:val="00FA761A"/>
    <w:rsid w:val="00FB0E8F"/>
    <w:rsid w:val="00FB20EA"/>
    <w:rsid w:val="00FB3802"/>
    <w:rsid w:val="00FB4DF3"/>
    <w:rsid w:val="00FB5153"/>
    <w:rsid w:val="00FB5DB1"/>
    <w:rsid w:val="00FC0D55"/>
    <w:rsid w:val="00FC168F"/>
    <w:rsid w:val="00FC1E59"/>
    <w:rsid w:val="00FC1F22"/>
    <w:rsid w:val="00FC2368"/>
    <w:rsid w:val="00FC259D"/>
    <w:rsid w:val="00FC4F72"/>
    <w:rsid w:val="00FC4F9A"/>
    <w:rsid w:val="00FC5BFE"/>
    <w:rsid w:val="00FC7131"/>
    <w:rsid w:val="00FC753B"/>
    <w:rsid w:val="00FC7854"/>
    <w:rsid w:val="00FD04FA"/>
    <w:rsid w:val="00FD1387"/>
    <w:rsid w:val="00FD309C"/>
    <w:rsid w:val="00FD446E"/>
    <w:rsid w:val="00FD5FC9"/>
    <w:rsid w:val="00FD6074"/>
    <w:rsid w:val="00FD752E"/>
    <w:rsid w:val="00FD7A8F"/>
    <w:rsid w:val="00FD7A94"/>
    <w:rsid w:val="00FE0534"/>
    <w:rsid w:val="00FE1130"/>
    <w:rsid w:val="00FE1E5B"/>
    <w:rsid w:val="00FE236C"/>
    <w:rsid w:val="00FE2783"/>
    <w:rsid w:val="00FE2795"/>
    <w:rsid w:val="00FE31F5"/>
    <w:rsid w:val="00FE6B2F"/>
    <w:rsid w:val="00FE7277"/>
    <w:rsid w:val="00FF0FC3"/>
    <w:rsid w:val="00FF2C2E"/>
    <w:rsid w:val="00FF40BF"/>
    <w:rsid w:val="00FF478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5189"/>
    <w:pPr>
      <w:widowControl w:val="0"/>
      <w:adjustRightInd w:val="0"/>
      <w:spacing w:line="360" w:lineRule="atLeast"/>
      <w:textAlignment w:val="baseline"/>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unhideWhenUsed/>
    <w:rsid w:val="00415189"/>
    <w:rPr>
      <w:rFonts w:ascii="Cambria" w:hAnsi="Cambria"/>
      <w:sz w:val="18"/>
      <w:szCs w:val="18"/>
    </w:rPr>
  </w:style>
  <w:style w:type="character" w:customStyle="1" w:styleId="a4">
    <w:name w:val="註解方塊文字 字元"/>
    <w:basedOn w:val="a0"/>
    <w:semiHidden/>
    <w:rsid w:val="00415189"/>
    <w:rPr>
      <w:rFonts w:ascii="Cambria" w:eastAsia="新細明體" w:hAnsi="Cambria" w:cs="Times New Roman"/>
      <w:sz w:val="18"/>
      <w:szCs w:val="18"/>
    </w:rPr>
  </w:style>
  <w:style w:type="paragraph" w:styleId="a5">
    <w:name w:val="List Paragraph"/>
    <w:basedOn w:val="a"/>
    <w:uiPriority w:val="99"/>
    <w:qFormat/>
    <w:rsid w:val="00415189"/>
    <w:pPr>
      <w:ind w:leftChars="200" w:left="480"/>
    </w:pPr>
  </w:style>
  <w:style w:type="paragraph" w:styleId="a6">
    <w:name w:val="header"/>
    <w:basedOn w:val="a"/>
    <w:uiPriority w:val="99"/>
    <w:unhideWhenUsed/>
    <w:rsid w:val="00415189"/>
    <w:pPr>
      <w:tabs>
        <w:tab w:val="center" w:pos="4153"/>
        <w:tab w:val="right" w:pos="8306"/>
      </w:tabs>
      <w:snapToGrid w:val="0"/>
    </w:pPr>
    <w:rPr>
      <w:sz w:val="20"/>
    </w:rPr>
  </w:style>
  <w:style w:type="character" w:customStyle="1" w:styleId="a7">
    <w:name w:val="頁首 字元"/>
    <w:basedOn w:val="a0"/>
    <w:uiPriority w:val="99"/>
    <w:semiHidden/>
    <w:rsid w:val="00415189"/>
    <w:rPr>
      <w:rFonts w:ascii="Times New Roman" w:eastAsia="新細明體" w:hAnsi="Times New Roman" w:cs="Times New Roman"/>
      <w:kern w:val="0"/>
      <w:sz w:val="20"/>
      <w:szCs w:val="20"/>
    </w:rPr>
  </w:style>
  <w:style w:type="paragraph" w:styleId="a8">
    <w:name w:val="footer"/>
    <w:basedOn w:val="a"/>
    <w:uiPriority w:val="99"/>
    <w:unhideWhenUsed/>
    <w:rsid w:val="00415189"/>
    <w:pPr>
      <w:tabs>
        <w:tab w:val="center" w:pos="4153"/>
        <w:tab w:val="right" w:pos="8306"/>
      </w:tabs>
      <w:snapToGrid w:val="0"/>
    </w:pPr>
    <w:rPr>
      <w:sz w:val="20"/>
    </w:rPr>
  </w:style>
  <w:style w:type="character" w:customStyle="1" w:styleId="a9">
    <w:name w:val="頁尾 字元"/>
    <w:basedOn w:val="a0"/>
    <w:uiPriority w:val="99"/>
    <w:rsid w:val="00415189"/>
    <w:rPr>
      <w:rFonts w:ascii="Times New Roman" w:eastAsia="新細明體" w:hAnsi="Times New Roman" w:cs="Times New Roman"/>
      <w:kern w:val="0"/>
      <w:sz w:val="20"/>
      <w:szCs w:val="20"/>
    </w:rPr>
  </w:style>
  <w:style w:type="paragraph" w:styleId="aa">
    <w:name w:val="Date"/>
    <w:basedOn w:val="a"/>
    <w:next w:val="a"/>
    <w:link w:val="ab"/>
    <w:uiPriority w:val="99"/>
    <w:semiHidden/>
    <w:unhideWhenUsed/>
    <w:rsid w:val="006B568D"/>
    <w:pPr>
      <w:jc w:val="right"/>
    </w:pPr>
  </w:style>
  <w:style w:type="character" w:customStyle="1" w:styleId="ab">
    <w:name w:val="日期 字元"/>
    <w:basedOn w:val="a0"/>
    <w:link w:val="aa"/>
    <w:uiPriority w:val="99"/>
    <w:semiHidden/>
    <w:rsid w:val="006B568D"/>
    <w:rPr>
      <w:rFonts w:ascii="Times New Roman" w:hAnsi="Times New Roman"/>
      <w:sz w:val="24"/>
    </w:rPr>
  </w:style>
  <w:style w:type="character" w:styleId="ac">
    <w:name w:val="annotation reference"/>
    <w:basedOn w:val="a0"/>
    <w:uiPriority w:val="99"/>
    <w:semiHidden/>
    <w:unhideWhenUsed/>
    <w:rsid w:val="00B443E6"/>
    <w:rPr>
      <w:sz w:val="18"/>
      <w:szCs w:val="18"/>
    </w:rPr>
  </w:style>
  <w:style w:type="paragraph" w:styleId="ad">
    <w:name w:val="annotation text"/>
    <w:basedOn w:val="a"/>
    <w:link w:val="ae"/>
    <w:uiPriority w:val="99"/>
    <w:semiHidden/>
    <w:unhideWhenUsed/>
    <w:rsid w:val="00B443E6"/>
  </w:style>
  <w:style w:type="character" w:customStyle="1" w:styleId="ae">
    <w:name w:val="註解文字 字元"/>
    <w:basedOn w:val="a0"/>
    <w:link w:val="ad"/>
    <w:uiPriority w:val="99"/>
    <w:semiHidden/>
    <w:rsid w:val="00B443E6"/>
    <w:rPr>
      <w:rFonts w:ascii="Times New Roman" w:hAnsi="Times New Roman"/>
      <w:sz w:val="24"/>
    </w:rPr>
  </w:style>
  <w:style w:type="paragraph" w:styleId="af">
    <w:name w:val="annotation subject"/>
    <w:basedOn w:val="ad"/>
    <w:next w:val="ad"/>
    <w:link w:val="af0"/>
    <w:uiPriority w:val="99"/>
    <w:semiHidden/>
    <w:unhideWhenUsed/>
    <w:rsid w:val="00B443E6"/>
    <w:rPr>
      <w:b/>
      <w:bCs/>
    </w:rPr>
  </w:style>
  <w:style w:type="character" w:customStyle="1" w:styleId="af0">
    <w:name w:val="註解主旨 字元"/>
    <w:basedOn w:val="ae"/>
    <w:link w:val="af"/>
    <w:uiPriority w:val="99"/>
    <w:semiHidden/>
    <w:rsid w:val="00B443E6"/>
    <w:rPr>
      <w:rFonts w:ascii="Times New Roman" w:hAnsi="Times New Roman"/>
      <w:b/>
      <w:bCs/>
      <w:sz w:val="24"/>
    </w:rPr>
  </w:style>
  <w:style w:type="paragraph" w:customStyle="1" w:styleId="1">
    <w:name w:val="清單段落1"/>
    <w:basedOn w:val="a"/>
    <w:rsid w:val="00A75ED0"/>
    <w:pPr>
      <w:ind w:leftChars="200" w:left="480"/>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5189"/>
    <w:pPr>
      <w:widowControl w:val="0"/>
      <w:adjustRightInd w:val="0"/>
      <w:spacing w:line="360" w:lineRule="atLeast"/>
      <w:textAlignment w:val="baseline"/>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unhideWhenUsed/>
    <w:rsid w:val="00415189"/>
    <w:rPr>
      <w:rFonts w:ascii="Cambria" w:hAnsi="Cambria"/>
      <w:sz w:val="18"/>
      <w:szCs w:val="18"/>
    </w:rPr>
  </w:style>
  <w:style w:type="character" w:customStyle="1" w:styleId="a4">
    <w:name w:val="註解方塊文字 字元"/>
    <w:basedOn w:val="a0"/>
    <w:semiHidden/>
    <w:rsid w:val="00415189"/>
    <w:rPr>
      <w:rFonts w:ascii="Cambria" w:eastAsia="新細明體" w:hAnsi="Cambria" w:cs="Times New Roman"/>
      <w:sz w:val="18"/>
      <w:szCs w:val="18"/>
    </w:rPr>
  </w:style>
  <w:style w:type="paragraph" w:styleId="a5">
    <w:name w:val="List Paragraph"/>
    <w:basedOn w:val="a"/>
    <w:uiPriority w:val="34"/>
    <w:qFormat/>
    <w:rsid w:val="00415189"/>
    <w:pPr>
      <w:ind w:leftChars="200" w:left="480"/>
    </w:pPr>
  </w:style>
  <w:style w:type="paragraph" w:styleId="a6">
    <w:name w:val="header"/>
    <w:basedOn w:val="a"/>
    <w:uiPriority w:val="99"/>
    <w:unhideWhenUsed/>
    <w:rsid w:val="00415189"/>
    <w:pPr>
      <w:tabs>
        <w:tab w:val="center" w:pos="4153"/>
        <w:tab w:val="right" w:pos="8306"/>
      </w:tabs>
      <w:snapToGrid w:val="0"/>
    </w:pPr>
    <w:rPr>
      <w:sz w:val="20"/>
    </w:rPr>
  </w:style>
  <w:style w:type="character" w:customStyle="1" w:styleId="a7">
    <w:name w:val="頁首 字元"/>
    <w:basedOn w:val="a0"/>
    <w:uiPriority w:val="99"/>
    <w:semiHidden/>
    <w:rsid w:val="00415189"/>
    <w:rPr>
      <w:rFonts w:ascii="Times New Roman" w:eastAsia="新細明體" w:hAnsi="Times New Roman" w:cs="Times New Roman"/>
      <w:kern w:val="0"/>
      <w:sz w:val="20"/>
      <w:szCs w:val="20"/>
    </w:rPr>
  </w:style>
  <w:style w:type="paragraph" w:styleId="a8">
    <w:name w:val="footer"/>
    <w:basedOn w:val="a"/>
    <w:uiPriority w:val="99"/>
    <w:unhideWhenUsed/>
    <w:rsid w:val="00415189"/>
    <w:pPr>
      <w:tabs>
        <w:tab w:val="center" w:pos="4153"/>
        <w:tab w:val="right" w:pos="8306"/>
      </w:tabs>
      <w:snapToGrid w:val="0"/>
    </w:pPr>
    <w:rPr>
      <w:sz w:val="20"/>
    </w:rPr>
  </w:style>
  <w:style w:type="character" w:customStyle="1" w:styleId="a9">
    <w:name w:val="頁尾 字元"/>
    <w:basedOn w:val="a0"/>
    <w:uiPriority w:val="99"/>
    <w:rsid w:val="00415189"/>
    <w:rPr>
      <w:rFonts w:ascii="Times New Roman" w:eastAsia="新細明體" w:hAnsi="Times New Roman" w:cs="Times New Roman"/>
      <w:kern w:val="0"/>
      <w:sz w:val="20"/>
      <w:szCs w:val="20"/>
    </w:rPr>
  </w:style>
  <w:style w:type="paragraph" w:styleId="aa">
    <w:name w:val="Date"/>
    <w:basedOn w:val="a"/>
    <w:next w:val="a"/>
    <w:link w:val="ab"/>
    <w:uiPriority w:val="99"/>
    <w:semiHidden/>
    <w:unhideWhenUsed/>
    <w:rsid w:val="006B568D"/>
    <w:pPr>
      <w:jc w:val="right"/>
    </w:pPr>
  </w:style>
  <w:style w:type="character" w:customStyle="1" w:styleId="ab">
    <w:name w:val="日期 字元"/>
    <w:basedOn w:val="a0"/>
    <w:link w:val="aa"/>
    <w:uiPriority w:val="99"/>
    <w:semiHidden/>
    <w:rsid w:val="006B568D"/>
    <w:rPr>
      <w:rFonts w:ascii="Times New Roman" w:hAnsi="Times New Roman"/>
      <w:sz w:val="24"/>
    </w:rPr>
  </w:style>
  <w:style w:type="character" w:styleId="ac">
    <w:name w:val="annotation reference"/>
    <w:basedOn w:val="a0"/>
    <w:uiPriority w:val="99"/>
    <w:semiHidden/>
    <w:unhideWhenUsed/>
    <w:rsid w:val="00B443E6"/>
    <w:rPr>
      <w:sz w:val="18"/>
      <w:szCs w:val="18"/>
    </w:rPr>
  </w:style>
  <w:style w:type="paragraph" w:styleId="ad">
    <w:name w:val="annotation text"/>
    <w:basedOn w:val="a"/>
    <w:link w:val="ae"/>
    <w:uiPriority w:val="99"/>
    <w:semiHidden/>
    <w:unhideWhenUsed/>
    <w:rsid w:val="00B443E6"/>
  </w:style>
  <w:style w:type="character" w:customStyle="1" w:styleId="ae">
    <w:name w:val="註解文字 字元"/>
    <w:basedOn w:val="a0"/>
    <w:link w:val="ad"/>
    <w:uiPriority w:val="99"/>
    <w:semiHidden/>
    <w:rsid w:val="00B443E6"/>
    <w:rPr>
      <w:rFonts w:ascii="Times New Roman" w:hAnsi="Times New Roman"/>
      <w:sz w:val="24"/>
    </w:rPr>
  </w:style>
  <w:style w:type="paragraph" w:styleId="af">
    <w:name w:val="annotation subject"/>
    <w:basedOn w:val="ad"/>
    <w:next w:val="ad"/>
    <w:link w:val="af0"/>
    <w:uiPriority w:val="99"/>
    <w:semiHidden/>
    <w:unhideWhenUsed/>
    <w:rsid w:val="00B443E6"/>
    <w:rPr>
      <w:b/>
      <w:bCs/>
    </w:rPr>
  </w:style>
  <w:style w:type="character" w:customStyle="1" w:styleId="af0">
    <w:name w:val="註解主旨 字元"/>
    <w:basedOn w:val="ae"/>
    <w:link w:val="af"/>
    <w:uiPriority w:val="99"/>
    <w:semiHidden/>
    <w:rsid w:val="00B443E6"/>
    <w:rPr>
      <w:rFonts w:ascii="Times New Roman" w:hAnsi="Times New Roman"/>
      <w:b/>
      <w:bCs/>
      <w:sz w:val="24"/>
    </w:rPr>
  </w:style>
</w:styles>
</file>

<file path=word/webSettings.xml><?xml version="1.0" encoding="utf-8"?>
<w:webSettings xmlns:r="http://schemas.openxmlformats.org/officeDocument/2006/relationships" xmlns:w="http://schemas.openxmlformats.org/wordprocessingml/2006/main">
  <w:divs>
    <w:div w:id="6370568">
      <w:bodyDiv w:val="1"/>
      <w:marLeft w:val="0"/>
      <w:marRight w:val="0"/>
      <w:marTop w:val="0"/>
      <w:marBottom w:val="0"/>
      <w:divBdr>
        <w:top w:val="none" w:sz="0" w:space="0" w:color="auto"/>
        <w:left w:val="none" w:sz="0" w:space="0" w:color="auto"/>
        <w:bottom w:val="none" w:sz="0" w:space="0" w:color="auto"/>
        <w:right w:val="none" w:sz="0" w:space="0" w:color="auto"/>
      </w:divBdr>
    </w:div>
    <w:div w:id="252125294">
      <w:bodyDiv w:val="1"/>
      <w:marLeft w:val="0"/>
      <w:marRight w:val="0"/>
      <w:marTop w:val="0"/>
      <w:marBottom w:val="0"/>
      <w:divBdr>
        <w:top w:val="none" w:sz="0" w:space="0" w:color="auto"/>
        <w:left w:val="none" w:sz="0" w:space="0" w:color="auto"/>
        <w:bottom w:val="none" w:sz="0" w:space="0" w:color="auto"/>
        <w:right w:val="none" w:sz="0" w:space="0" w:color="auto"/>
      </w:divBdr>
    </w:div>
    <w:div w:id="459570477">
      <w:bodyDiv w:val="1"/>
      <w:marLeft w:val="0"/>
      <w:marRight w:val="0"/>
      <w:marTop w:val="0"/>
      <w:marBottom w:val="0"/>
      <w:divBdr>
        <w:top w:val="none" w:sz="0" w:space="0" w:color="auto"/>
        <w:left w:val="none" w:sz="0" w:space="0" w:color="auto"/>
        <w:bottom w:val="none" w:sz="0" w:space="0" w:color="auto"/>
        <w:right w:val="none" w:sz="0" w:space="0" w:color="auto"/>
      </w:divBdr>
    </w:div>
    <w:div w:id="474763754">
      <w:bodyDiv w:val="1"/>
      <w:marLeft w:val="0"/>
      <w:marRight w:val="0"/>
      <w:marTop w:val="0"/>
      <w:marBottom w:val="0"/>
      <w:divBdr>
        <w:top w:val="none" w:sz="0" w:space="0" w:color="auto"/>
        <w:left w:val="none" w:sz="0" w:space="0" w:color="auto"/>
        <w:bottom w:val="none" w:sz="0" w:space="0" w:color="auto"/>
        <w:right w:val="none" w:sz="0" w:space="0" w:color="auto"/>
      </w:divBdr>
    </w:div>
    <w:div w:id="627275789">
      <w:bodyDiv w:val="1"/>
      <w:marLeft w:val="0"/>
      <w:marRight w:val="0"/>
      <w:marTop w:val="0"/>
      <w:marBottom w:val="0"/>
      <w:divBdr>
        <w:top w:val="none" w:sz="0" w:space="0" w:color="auto"/>
        <w:left w:val="none" w:sz="0" w:space="0" w:color="auto"/>
        <w:bottom w:val="none" w:sz="0" w:space="0" w:color="auto"/>
        <w:right w:val="none" w:sz="0" w:space="0" w:color="auto"/>
      </w:divBdr>
    </w:div>
    <w:div w:id="628902631">
      <w:bodyDiv w:val="1"/>
      <w:marLeft w:val="0"/>
      <w:marRight w:val="0"/>
      <w:marTop w:val="0"/>
      <w:marBottom w:val="0"/>
      <w:divBdr>
        <w:top w:val="none" w:sz="0" w:space="0" w:color="auto"/>
        <w:left w:val="none" w:sz="0" w:space="0" w:color="auto"/>
        <w:bottom w:val="none" w:sz="0" w:space="0" w:color="auto"/>
        <w:right w:val="none" w:sz="0" w:space="0" w:color="auto"/>
      </w:divBdr>
    </w:div>
    <w:div w:id="717629643">
      <w:bodyDiv w:val="1"/>
      <w:marLeft w:val="0"/>
      <w:marRight w:val="0"/>
      <w:marTop w:val="0"/>
      <w:marBottom w:val="0"/>
      <w:divBdr>
        <w:top w:val="none" w:sz="0" w:space="0" w:color="auto"/>
        <w:left w:val="none" w:sz="0" w:space="0" w:color="auto"/>
        <w:bottom w:val="none" w:sz="0" w:space="0" w:color="auto"/>
        <w:right w:val="none" w:sz="0" w:space="0" w:color="auto"/>
      </w:divBdr>
    </w:div>
    <w:div w:id="815952960">
      <w:bodyDiv w:val="1"/>
      <w:marLeft w:val="0"/>
      <w:marRight w:val="0"/>
      <w:marTop w:val="0"/>
      <w:marBottom w:val="0"/>
      <w:divBdr>
        <w:top w:val="none" w:sz="0" w:space="0" w:color="auto"/>
        <w:left w:val="none" w:sz="0" w:space="0" w:color="auto"/>
        <w:bottom w:val="none" w:sz="0" w:space="0" w:color="auto"/>
        <w:right w:val="none" w:sz="0" w:space="0" w:color="auto"/>
      </w:divBdr>
    </w:div>
    <w:div w:id="875119575">
      <w:bodyDiv w:val="1"/>
      <w:marLeft w:val="0"/>
      <w:marRight w:val="0"/>
      <w:marTop w:val="0"/>
      <w:marBottom w:val="0"/>
      <w:divBdr>
        <w:top w:val="none" w:sz="0" w:space="0" w:color="auto"/>
        <w:left w:val="none" w:sz="0" w:space="0" w:color="auto"/>
        <w:bottom w:val="none" w:sz="0" w:space="0" w:color="auto"/>
        <w:right w:val="none" w:sz="0" w:space="0" w:color="auto"/>
      </w:divBdr>
    </w:div>
    <w:div w:id="977422436">
      <w:bodyDiv w:val="1"/>
      <w:marLeft w:val="0"/>
      <w:marRight w:val="0"/>
      <w:marTop w:val="0"/>
      <w:marBottom w:val="0"/>
      <w:divBdr>
        <w:top w:val="none" w:sz="0" w:space="0" w:color="auto"/>
        <w:left w:val="none" w:sz="0" w:space="0" w:color="auto"/>
        <w:bottom w:val="none" w:sz="0" w:space="0" w:color="auto"/>
        <w:right w:val="none" w:sz="0" w:space="0" w:color="auto"/>
      </w:divBdr>
    </w:div>
    <w:div w:id="1264992437">
      <w:bodyDiv w:val="1"/>
      <w:marLeft w:val="0"/>
      <w:marRight w:val="0"/>
      <w:marTop w:val="0"/>
      <w:marBottom w:val="0"/>
      <w:divBdr>
        <w:top w:val="none" w:sz="0" w:space="0" w:color="auto"/>
        <w:left w:val="none" w:sz="0" w:space="0" w:color="auto"/>
        <w:bottom w:val="none" w:sz="0" w:space="0" w:color="auto"/>
        <w:right w:val="none" w:sz="0" w:space="0" w:color="auto"/>
      </w:divBdr>
    </w:div>
    <w:div w:id="1308901600">
      <w:bodyDiv w:val="1"/>
      <w:marLeft w:val="0"/>
      <w:marRight w:val="0"/>
      <w:marTop w:val="0"/>
      <w:marBottom w:val="0"/>
      <w:divBdr>
        <w:top w:val="none" w:sz="0" w:space="0" w:color="auto"/>
        <w:left w:val="none" w:sz="0" w:space="0" w:color="auto"/>
        <w:bottom w:val="none" w:sz="0" w:space="0" w:color="auto"/>
        <w:right w:val="none" w:sz="0" w:space="0" w:color="auto"/>
      </w:divBdr>
    </w:div>
    <w:div w:id="1467355870">
      <w:bodyDiv w:val="1"/>
      <w:marLeft w:val="0"/>
      <w:marRight w:val="0"/>
      <w:marTop w:val="0"/>
      <w:marBottom w:val="0"/>
      <w:divBdr>
        <w:top w:val="none" w:sz="0" w:space="0" w:color="auto"/>
        <w:left w:val="none" w:sz="0" w:space="0" w:color="auto"/>
        <w:bottom w:val="none" w:sz="0" w:space="0" w:color="auto"/>
        <w:right w:val="none" w:sz="0" w:space="0" w:color="auto"/>
      </w:divBdr>
    </w:div>
    <w:div w:id="1495337752">
      <w:bodyDiv w:val="1"/>
      <w:marLeft w:val="0"/>
      <w:marRight w:val="0"/>
      <w:marTop w:val="0"/>
      <w:marBottom w:val="0"/>
      <w:divBdr>
        <w:top w:val="none" w:sz="0" w:space="0" w:color="auto"/>
        <w:left w:val="none" w:sz="0" w:space="0" w:color="auto"/>
        <w:bottom w:val="none" w:sz="0" w:space="0" w:color="auto"/>
        <w:right w:val="none" w:sz="0" w:space="0" w:color="auto"/>
      </w:divBdr>
    </w:div>
    <w:div w:id="1741563440">
      <w:bodyDiv w:val="1"/>
      <w:marLeft w:val="0"/>
      <w:marRight w:val="0"/>
      <w:marTop w:val="0"/>
      <w:marBottom w:val="0"/>
      <w:divBdr>
        <w:top w:val="none" w:sz="0" w:space="0" w:color="auto"/>
        <w:left w:val="none" w:sz="0" w:space="0" w:color="auto"/>
        <w:bottom w:val="none" w:sz="0" w:space="0" w:color="auto"/>
        <w:right w:val="none" w:sz="0" w:space="0" w:color="auto"/>
      </w:divBdr>
    </w:div>
    <w:div w:id="1782645300">
      <w:bodyDiv w:val="1"/>
      <w:marLeft w:val="0"/>
      <w:marRight w:val="0"/>
      <w:marTop w:val="0"/>
      <w:marBottom w:val="0"/>
      <w:divBdr>
        <w:top w:val="none" w:sz="0" w:space="0" w:color="auto"/>
        <w:left w:val="none" w:sz="0" w:space="0" w:color="auto"/>
        <w:bottom w:val="none" w:sz="0" w:space="0" w:color="auto"/>
        <w:right w:val="none" w:sz="0" w:space="0" w:color="auto"/>
      </w:divBdr>
    </w:div>
    <w:div w:id="2049254189">
      <w:bodyDiv w:val="1"/>
      <w:marLeft w:val="0"/>
      <w:marRight w:val="0"/>
      <w:marTop w:val="0"/>
      <w:marBottom w:val="0"/>
      <w:divBdr>
        <w:top w:val="none" w:sz="0" w:space="0" w:color="auto"/>
        <w:left w:val="none" w:sz="0" w:space="0" w:color="auto"/>
        <w:bottom w:val="none" w:sz="0" w:space="0" w:color="auto"/>
        <w:right w:val="none" w:sz="0" w:space="0" w:color="auto"/>
      </w:divBdr>
    </w:div>
    <w:div w:id="2133012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chart" Target="charts/chart19.xml"/><Relationship Id="rId39" Type="http://schemas.openxmlformats.org/officeDocument/2006/relationships/chart" Target="charts/chart32.xml"/><Relationship Id="rId3" Type="http://schemas.openxmlformats.org/officeDocument/2006/relationships/styles" Target="styles.xml"/><Relationship Id="rId21" Type="http://schemas.openxmlformats.org/officeDocument/2006/relationships/chart" Target="charts/chart14.xml"/><Relationship Id="rId34" Type="http://schemas.openxmlformats.org/officeDocument/2006/relationships/chart" Target="charts/chart27.xm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chart" Target="charts/chart18.xml"/><Relationship Id="rId33" Type="http://schemas.openxmlformats.org/officeDocument/2006/relationships/chart" Target="charts/chart26.xml"/><Relationship Id="rId38" Type="http://schemas.openxmlformats.org/officeDocument/2006/relationships/chart" Target="charts/chart31.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29" Type="http://schemas.openxmlformats.org/officeDocument/2006/relationships/chart" Target="charts/chart22.xml"/><Relationship Id="rId41" Type="http://schemas.openxmlformats.org/officeDocument/2006/relationships/chart" Target="charts/chart3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chart" Target="charts/chart17.xml"/><Relationship Id="rId32" Type="http://schemas.openxmlformats.org/officeDocument/2006/relationships/chart" Target="charts/chart25.xml"/><Relationship Id="rId37" Type="http://schemas.openxmlformats.org/officeDocument/2006/relationships/chart" Target="charts/chart30.xml"/><Relationship Id="rId40" Type="http://schemas.openxmlformats.org/officeDocument/2006/relationships/image" Target="media/image3.emf"/><Relationship Id="rId45"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chart" Target="charts/chart16.xml"/><Relationship Id="rId28" Type="http://schemas.openxmlformats.org/officeDocument/2006/relationships/chart" Target="charts/chart21.xml"/><Relationship Id="rId36" Type="http://schemas.openxmlformats.org/officeDocument/2006/relationships/chart" Target="charts/chart29.xml"/><Relationship Id="rId10" Type="http://schemas.openxmlformats.org/officeDocument/2006/relationships/chart" Target="charts/chart3.xml"/><Relationship Id="rId19" Type="http://schemas.openxmlformats.org/officeDocument/2006/relationships/chart" Target="charts/chart12.xml"/><Relationship Id="rId31" Type="http://schemas.openxmlformats.org/officeDocument/2006/relationships/chart" Target="charts/chart24.xm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chart" Target="charts/chart15.xml"/><Relationship Id="rId27" Type="http://schemas.openxmlformats.org/officeDocument/2006/relationships/chart" Target="charts/chart20.xml"/><Relationship Id="rId30" Type="http://schemas.openxmlformats.org/officeDocument/2006/relationships/chart" Target="charts/chart23.xml"/><Relationship Id="rId35" Type="http://schemas.openxmlformats.org/officeDocument/2006/relationships/chart" Target="charts/chart28.xml"/><Relationship Id="rId43"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NHIHFS11\L00A\&#26371;&#35336;&#23460;&#20849;&#21516;&#27284;&#26696;\&#31532;&#20116;&#31185;\&#24180;&#22577;\100\Analysis\Excel\100&#37291;&#30274;-en.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D:\STAT\yearbook\100\&#37291;&#30274;\Analysis\100&#37291;&#30274;-en.xlsx" TargetMode="External"/></Relationships>
</file>

<file path=word/charts/_rels/chart3.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NHIHFS11\L00A\&#26371;&#35336;&#23460;&#20849;&#21516;&#27284;&#26696;\&#31532;&#20116;&#31185;\&#24180;&#22577;\100\Analysis\Excel\100&#37291;&#30274;-en.xlsx" TargetMode="External"/></Relationships>
</file>

<file path=word/charts/_rels/chart4.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file:///\\NHIHFS11\L00A\&#26371;&#35336;&#23460;&#20849;&#21516;&#27284;&#26696;\&#31532;&#20116;&#31185;\&#24180;&#22577;\100\Analysis\Excel\100&#37291;&#30274;-en.xlsx" TargetMode="External"/></Relationships>
</file>

<file path=word/charts/_rels/chart5.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oleObject" Target="file:///D:\STAT\yearbook\100\&#37291;&#30274;\Analysis\100&#37291;&#30274;-en.xlsx" TargetMode="External"/></Relationships>
</file>

<file path=word/charts/_rels/chart6.xml.rels><?xml version="1.0" encoding="UTF-8" standalone="yes"?>
<Relationships xmlns="http://schemas.openxmlformats.org/package/2006/relationships"><Relationship Id="rId2" Type="http://schemas.openxmlformats.org/officeDocument/2006/relationships/chartUserShapes" Target="../drawings/drawing6.xml"/><Relationship Id="rId1" Type="http://schemas.openxmlformats.org/officeDocument/2006/relationships/oleObject" Target="file:///D:\STAT\yearbook\100\&#37291;&#30274;\Analysis\100&#37291;&#30274;-en.xlsx" TargetMode="External"/></Relationships>
</file>

<file path=word/charts/_rels/chart7.xml.rels><?xml version="1.0" encoding="UTF-8" standalone="yes"?>
<Relationships xmlns="http://schemas.openxmlformats.org/package/2006/relationships"><Relationship Id="rId2" Type="http://schemas.openxmlformats.org/officeDocument/2006/relationships/chartUserShapes" Target="../drawings/drawing7.xml"/><Relationship Id="rId1" Type="http://schemas.openxmlformats.org/officeDocument/2006/relationships/oleObject" Target="file:///\\NHIHFS11\L00A\&#26371;&#35336;&#23460;&#20849;&#21516;&#27284;&#26696;\&#31532;&#20116;&#31185;\&#24180;&#22577;\100\Analysis\Excel\100&#37291;&#30274;-en.xlsx" TargetMode="External"/></Relationships>
</file>

<file path=word/charts/_rels/chart8.xml.rels><?xml version="1.0" encoding="UTF-8" standalone="yes"?>
<Relationships xmlns="http://schemas.openxmlformats.org/package/2006/relationships"><Relationship Id="rId2" Type="http://schemas.openxmlformats.org/officeDocument/2006/relationships/chartUserShapes" Target="../drawings/drawing8.xml"/><Relationship Id="rId1" Type="http://schemas.openxmlformats.org/officeDocument/2006/relationships/oleObject" Target="file:///\\NHIHFS11\L00A\&#26371;&#35336;&#23460;&#20849;&#21516;&#27284;&#26696;\&#31532;&#20116;&#31185;\&#24180;&#22577;\100\Analysis\Excel\100&#37291;&#30274;-en.xlsx" TargetMode="External"/></Relationships>
</file>

<file path=word/charts/_rels/chart9.xml.rels><?xml version="1.0" encoding="UTF-8" standalone="yes"?>
<Relationships xmlns="http://schemas.openxmlformats.org/package/2006/relationships"><Relationship Id="rId2" Type="http://schemas.openxmlformats.org/officeDocument/2006/relationships/chartUserShapes" Target="../drawings/drawing9.xml"/><Relationship Id="rId1" Type="http://schemas.openxmlformats.org/officeDocument/2006/relationships/oleObject" Target="file:///D:\STAT\yearbook\100\&#37291;&#30274;\Analysis\100&#37291;&#30274;-en.xlsx" TargetMode="External"/></Relationships>
</file>

<file path=word/charts/_rels/chart10.xml.rels><?xml version="1.0" encoding="UTF-8" standalone="yes"?>
<Relationships xmlns="http://schemas.openxmlformats.org/package/2006/relationships"><Relationship Id="rId2" Type="http://schemas.openxmlformats.org/officeDocument/2006/relationships/chartUserShapes" Target="../drawings/drawing10.xml"/><Relationship Id="rId1" Type="http://schemas.openxmlformats.org/officeDocument/2006/relationships/oleObject" Target="file:///D:\STAT\yearbook\100\&#37291;&#30274;\Analysis\100&#37291;&#30274;-en.xlsx" TargetMode="External"/></Relationships>
</file>

<file path=word/charts/_rels/chart11.xml.rels><?xml version="1.0" encoding="UTF-8" standalone="yes"?>
<Relationships xmlns="http://schemas.openxmlformats.org/package/2006/relationships"><Relationship Id="rId2" Type="http://schemas.openxmlformats.org/officeDocument/2006/relationships/chartUserShapes" Target="../drawings/drawing11.xml"/><Relationship Id="rId1" Type="http://schemas.openxmlformats.org/officeDocument/2006/relationships/oleObject" Target="file:///D:\STAT\yearbook\100\&#37291;&#30274;\Analysis\100&#37291;&#30274;-en.xlsx" TargetMode="External"/></Relationships>
</file>

<file path=word/charts/_rels/chart12.xml.rels><?xml version="1.0" encoding="UTF-8" standalone="yes"?>
<Relationships xmlns="http://schemas.openxmlformats.org/package/2006/relationships"><Relationship Id="rId2" Type="http://schemas.openxmlformats.org/officeDocument/2006/relationships/chartUserShapes" Target="../drawings/drawing12.xml"/><Relationship Id="rId1" Type="http://schemas.openxmlformats.org/officeDocument/2006/relationships/oleObject" Target="file:///\\NHIHFS11\L00A\&#26371;&#35336;&#23460;&#20849;&#21516;&#27284;&#26696;\&#31532;&#20116;&#31185;\&#24180;&#22577;\100\Analysis\Excel\100&#37291;&#30274;-en.xlsx" TargetMode="External"/></Relationships>
</file>

<file path=word/charts/_rels/chart13.xml.rels><?xml version="1.0" encoding="UTF-8" standalone="yes"?>
<Relationships xmlns="http://schemas.openxmlformats.org/package/2006/relationships"><Relationship Id="rId2" Type="http://schemas.openxmlformats.org/officeDocument/2006/relationships/chartUserShapes" Target="../drawings/drawing13.xml"/><Relationship Id="rId1" Type="http://schemas.openxmlformats.org/officeDocument/2006/relationships/oleObject" Target="file:///D:\STAT\yearbook\100\&#37291;&#30274;\Analysis\100&#37291;&#30274;-en.xlsx" TargetMode="External"/></Relationships>
</file>

<file path=word/charts/_rels/chart14.xml.rels><?xml version="1.0" encoding="UTF-8" standalone="yes"?>
<Relationships xmlns="http://schemas.openxmlformats.org/package/2006/relationships"><Relationship Id="rId2" Type="http://schemas.openxmlformats.org/officeDocument/2006/relationships/chartUserShapes" Target="../drawings/drawing14.xml"/><Relationship Id="rId1" Type="http://schemas.openxmlformats.org/officeDocument/2006/relationships/oleObject" Target="file:///D:\STAT\yearbook\100\&#37291;&#30274;\Analysis\100&#37291;&#30274;-en.xlsx" TargetMode="External"/></Relationships>
</file>

<file path=word/charts/_rels/chart15.xml.rels><?xml version="1.0" encoding="UTF-8" standalone="yes"?>
<Relationships xmlns="http://schemas.openxmlformats.org/package/2006/relationships"><Relationship Id="rId2" Type="http://schemas.openxmlformats.org/officeDocument/2006/relationships/chartUserShapes" Target="../drawings/drawing15.xml"/><Relationship Id="rId1" Type="http://schemas.openxmlformats.org/officeDocument/2006/relationships/oleObject" Target="file:///\\NHIHFS11\L00A\&#26371;&#35336;&#23460;&#20849;&#21516;&#27284;&#26696;\&#31532;&#20116;&#31185;\&#24180;&#22577;\100\Analysis\Excel\100&#37291;&#30274;-en.xlsx" TargetMode="External"/></Relationships>
</file>

<file path=word/charts/_rels/chart16.xml.rels><?xml version="1.0" encoding="UTF-8" standalone="yes"?>
<Relationships xmlns="http://schemas.openxmlformats.org/package/2006/relationships"><Relationship Id="rId2" Type="http://schemas.openxmlformats.org/officeDocument/2006/relationships/chartUserShapes" Target="../drawings/drawing16.xml"/><Relationship Id="rId1" Type="http://schemas.openxmlformats.org/officeDocument/2006/relationships/oleObject" Target="file:///D:\STAT\yearbook\100\&#37291;&#30274;\Analysis\100&#37291;&#30274;-en.xlsx" TargetMode="External"/></Relationships>
</file>

<file path=word/charts/_rels/chart17.xml.rels><?xml version="1.0" encoding="UTF-8" standalone="yes"?>
<Relationships xmlns="http://schemas.openxmlformats.org/package/2006/relationships"><Relationship Id="rId2" Type="http://schemas.openxmlformats.org/officeDocument/2006/relationships/chartUserShapes" Target="../drawings/drawing17.xml"/><Relationship Id="rId1" Type="http://schemas.openxmlformats.org/officeDocument/2006/relationships/oleObject" Target="file:///\\NHIHFS11\L00A\&#26371;&#35336;&#23460;&#20849;&#21516;&#27284;&#26696;\&#31532;&#20116;&#31185;\&#24180;&#22577;\100\Analysis\Excel\100&#37291;&#30274;-en.xlsx" TargetMode="External"/></Relationships>
</file>

<file path=word/charts/_rels/chart18.xml.rels><?xml version="1.0" encoding="UTF-8" standalone="yes"?>
<Relationships xmlns="http://schemas.openxmlformats.org/package/2006/relationships"><Relationship Id="rId2" Type="http://schemas.openxmlformats.org/officeDocument/2006/relationships/chartUserShapes" Target="../drawings/drawing18.xml"/><Relationship Id="rId1" Type="http://schemas.openxmlformats.org/officeDocument/2006/relationships/oleObject" Target="file:///D:\STAT\yearbook\100\&#37291;&#30274;\Analysis\100&#37291;&#30274;-en.xlsx" TargetMode="External"/></Relationships>
</file>

<file path=word/charts/_rels/chart19.xml.rels><?xml version="1.0" encoding="UTF-8" standalone="yes"?>
<Relationships xmlns="http://schemas.openxmlformats.org/package/2006/relationships"><Relationship Id="rId2" Type="http://schemas.openxmlformats.org/officeDocument/2006/relationships/chartUserShapes" Target="../drawings/drawing19.xml"/><Relationship Id="rId1" Type="http://schemas.openxmlformats.org/officeDocument/2006/relationships/oleObject" Target="file:///\\NHIHFS11\L00A\&#26371;&#35336;&#23460;&#20849;&#21516;&#27284;&#26696;\&#31532;&#20116;&#31185;\&#24180;&#22577;\100\Analysis\Excel\100&#37291;&#30274;-en.xlsx" TargetMode="External"/></Relationships>
</file>

<file path=word/charts/_rels/chart20.xml.rels><?xml version="1.0" encoding="UTF-8" standalone="yes"?>
<Relationships xmlns="http://schemas.openxmlformats.org/package/2006/relationships"><Relationship Id="rId2" Type="http://schemas.openxmlformats.org/officeDocument/2006/relationships/chartUserShapes" Target="../drawings/drawing20.xml"/><Relationship Id="rId1" Type="http://schemas.openxmlformats.org/officeDocument/2006/relationships/oleObject" Target="file:///\\NHIHFS11\L00A\&#26371;&#35336;&#23460;&#20849;&#21516;&#27284;&#26696;\&#31532;&#20116;&#31185;\&#24180;&#22577;\100\Analysis\Excel\100&#37291;&#30274;-en.xlsx" TargetMode="External"/></Relationships>
</file>

<file path=word/charts/_rels/chart21.xml.rels><?xml version="1.0" encoding="UTF-8" standalone="yes"?>
<Relationships xmlns="http://schemas.openxmlformats.org/package/2006/relationships"><Relationship Id="rId2" Type="http://schemas.openxmlformats.org/officeDocument/2006/relationships/chartUserShapes" Target="../drawings/drawing21.xml"/><Relationship Id="rId1" Type="http://schemas.openxmlformats.org/officeDocument/2006/relationships/oleObject" Target="file:///\\NHIHFS11\L00A\&#26371;&#35336;&#23460;&#20849;&#21516;&#27284;&#26696;\&#31532;&#20116;&#31185;\&#24180;&#22577;\100\Analysis\Excel\100&#37291;&#30274;-en.xlsx" TargetMode="External"/></Relationships>
</file>

<file path=word/charts/_rels/chart22.xml.rels><?xml version="1.0" encoding="UTF-8" standalone="yes"?>
<Relationships xmlns="http://schemas.openxmlformats.org/package/2006/relationships"><Relationship Id="rId2" Type="http://schemas.openxmlformats.org/officeDocument/2006/relationships/chartUserShapes" Target="../drawings/drawing22.xml"/><Relationship Id="rId1" Type="http://schemas.openxmlformats.org/officeDocument/2006/relationships/oleObject" Target="file:///D:\STAT\yearbook\100\&#37291;&#30274;\Analysis\100&#37291;&#30274;-en.xlsx" TargetMode="External"/></Relationships>
</file>

<file path=word/charts/_rels/chart23.xml.rels><?xml version="1.0" encoding="UTF-8" standalone="yes"?>
<Relationships xmlns="http://schemas.openxmlformats.org/package/2006/relationships"><Relationship Id="rId2" Type="http://schemas.openxmlformats.org/officeDocument/2006/relationships/chartUserShapes" Target="../drawings/drawing23.xml"/><Relationship Id="rId1" Type="http://schemas.openxmlformats.org/officeDocument/2006/relationships/oleObject" Target="file:///D:\STAT\yearbook\100\&#37291;&#30274;\Analysis\100&#37291;&#30274;-en.xlsx" TargetMode="External"/></Relationships>
</file>

<file path=word/charts/_rels/chart24.xml.rels><?xml version="1.0" encoding="UTF-8" standalone="yes"?>
<Relationships xmlns="http://schemas.openxmlformats.org/package/2006/relationships"><Relationship Id="rId2" Type="http://schemas.openxmlformats.org/officeDocument/2006/relationships/chartUserShapes" Target="../drawings/drawing24.xml"/><Relationship Id="rId1" Type="http://schemas.openxmlformats.org/officeDocument/2006/relationships/oleObject" Target="file:///\\NHIHFS11\L00A\&#26371;&#35336;&#23460;&#20849;&#21516;&#27284;&#26696;\&#31532;&#20116;&#31185;\&#24180;&#22577;\100\Analysis\Excel\100&#37291;&#30274;-en.xlsx" TargetMode="External"/></Relationships>
</file>

<file path=word/charts/_rels/chart25.xml.rels><?xml version="1.0" encoding="UTF-8" standalone="yes"?>
<Relationships xmlns="http://schemas.openxmlformats.org/package/2006/relationships"><Relationship Id="rId2" Type="http://schemas.openxmlformats.org/officeDocument/2006/relationships/chartUserShapes" Target="../drawings/drawing25.xml"/><Relationship Id="rId1" Type="http://schemas.openxmlformats.org/officeDocument/2006/relationships/oleObject" Target="file:///\\NHIHFS11\L00A\&#26371;&#35336;&#23460;&#20849;&#21516;&#27284;&#26696;\&#31532;&#20116;&#31185;\&#24180;&#22577;\100\Analysis\Excel\100&#37291;&#30274;-en.xlsx" TargetMode="External"/></Relationships>
</file>

<file path=word/charts/_rels/chart26.xml.rels><?xml version="1.0" encoding="UTF-8" standalone="yes"?>
<Relationships xmlns="http://schemas.openxmlformats.org/package/2006/relationships"><Relationship Id="rId2" Type="http://schemas.openxmlformats.org/officeDocument/2006/relationships/chartUserShapes" Target="../drawings/drawing26.xml"/><Relationship Id="rId1" Type="http://schemas.openxmlformats.org/officeDocument/2006/relationships/oleObject" Target="file:///\\NHIHFS11\L00A\&#26371;&#35336;&#23460;&#20849;&#21516;&#27284;&#26696;\&#31532;&#20116;&#31185;\&#24180;&#22577;\100\Analysis\Excel\100&#37291;&#30274;-en.xlsx" TargetMode="External"/></Relationships>
</file>

<file path=word/charts/_rels/chart27.xml.rels><?xml version="1.0" encoding="UTF-8" standalone="yes"?>
<Relationships xmlns="http://schemas.openxmlformats.org/package/2006/relationships"><Relationship Id="rId2" Type="http://schemas.openxmlformats.org/officeDocument/2006/relationships/chartUserShapes" Target="../drawings/drawing27.xml"/><Relationship Id="rId1" Type="http://schemas.openxmlformats.org/officeDocument/2006/relationships/oleObject" Target="file:///\\NHIHFS11\L00A\&#26371;&#35336;&#23460;&#20849;&#21516;&#27284;&#26696;\&#31532;&#20116;&#31185;\&#24180;&#22577;\100\Analysis\Excel\100&#37291;&#30274;-en.xlsx" TargetMode="External"/></Relationships>
</file>

<file path=word/charts/_rels/chart28.xml.rels><?xml version="1.0" encoding="UTF-8" standalone="yes"?>
<Relationships xmlns="http://schemas.openxmlformats.org/package/2006/relationships"><Relationship Id="rId2" Type="http://schemas.openxmlformats.org/officeDocument/2006/relationships/chartUserShapes" Target="../drawings/drawing28.xml"/><Relationship Id="rId1" Type="http://schemas.openxmlformats.org/officeDocument/2006/relationships/oleObject" Target="file:///\\NHIHFS11\L00A\&#26371;&#35336;&#23460;&#20849;&#21516;&#27284;&#26696;\&#31532;&#20116;&#31185;\&#24180;&#22577;\100\Analysis\Excel\100&#37291;&#30274;-en.xlsx" TargetMode="External"/></Relationships>
</file>

<file path=word/charts/_rels/chart29.xml.rels><?xml version="1.0" encoding="UTF-8" standalone="yes"?>
<Relationships xmlns="http://schemas.openxmlformats.org/package/2006/relationships"><Relationship Id="rId2" Type="http://schemas.openxmlformats.org/officeDocument/2006/relationships/chartUserShapes" Target="../drawings/drawing29.xml"/><Relationship Id="rId1" Type="http://schemas.openxmlformats.org/officeDocument/2006/relationships/oleObject" Target="file:///D:\STAT\yearbook\100\&#37291;&#30274;\Analysis\100&#37291;&#30274;-en.xlsx" TargetMode="External"/></Relationships>
</file>

<file path=word/charts/_rels/chart30.xml.rels><?xml version="1.0" encoding="UTF-8" standalone="yes"?>
<Relationships xmlns="http://schemas.openxmlformats.org/package/2006/relationships"><Relationship Id="rId2" Type="http://schemas.openxmlformats.org/officeDocument/2006/relationships/chartUserShapes" Target="../drawings/drawing30.xml"/><Relationship Id="rId1" Type="http://schemas.openxmlformats.org/officeDocument/2006/relationships/oleObject" Target="file:///\\NHIHFS11\L00A\&#26371;&#35336;&#23460;&#20849;&#21516;&#27284;&#26696;\&#31532;&#20116;&#31185;\&#24180;&#22577;\100\Analysis\Excel\100&#37291;&#30274;-en.xlsx" TargetMode="External"/></Relationships>
</file>

<file path=word/charts/_rels/chart31.xml.rels><?xml version="1.0" encoding="UTF-8" standalone="yes"?>
<Relationships xmlns="http://schemas.openxmlformats.org/package/2006/relationships"><Relationship Id="rId2" Type="http://schemas.openxmlformats.org/officeDocument/2006/relationships/chartUserShapes" Target="../drawings/drawing31.xml"/><Relationship Id="rId1" Type="http://schemas.openxmlformats.org/officeDocument/2006/relationships/oleObject" Target="file:///D:\STAT\yearbook\100\&#37291;&#30274;\Analysis\100&#37291;&#30274;-en.xlsx" TargetMode="External"/></Relationships>
</file>

<file path=word/charts/_rels/chart32.xml.rels><?xml version="1.0" encoding="UTF-8" standalone="yes"?>
<Relationships xmlns="http://schemas.openxmlformats.org/package/2006/relationships"><Relationship Id="rId2" Type="http://schemas.openxmlformats.org/officeDocument/2006/relationships/chartUserShapes" Target="../drawings/drawing32.xml"/><Relationship Id="rId1" Type="http://schemas.openxmlformats.org/officeDocument/2006/relationships/oleObject" Target="file:///D:\STAT\yearbook\100\&#37291;&#30274;\Analysis\100&#37291;&#30274;-en.xlsx" TargetMode="External"/></Relationships>
</file>

<file path=word/charts/_rels/chart33.xml.rels><?xml version="1.0" encoding="UTF-8" standalone="yes"?>
<Relationships xmlns="http://schemas.openxmlformats.org/package/2006/relationships"><Relationship Id="rId2" Type="http://schemas.openxmlformats.org/officeDocument/2006/relationships/chartUserShapes" Target="../drawings/drawing33.xml"/><Relationship Id="rId1" Type="http://schemas.openxmlformats.org/officeDocument/2006/relationships/oleObject" Target="file:///\\NHIHFS11\L00A\&#26371;&#35336;&#23460;&#20849;&#21516;&#27284;&#26696;\&#31532;&#20116;&#31185;\&#24180;&#22577;\100\Analysis\Excel\100&#37291;&#30274;-en.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zh-TW"/>
  <c:chart>
    <c:autoTitleDeleted val="1"/>
    <c:view3D>
      <c:rotX val="30"/>
      <c:hPercent val="60"/>
      <c:rotY val="120"/>
      <c:depthPercent val="160"/>
      <c:perspective val="0"/>
    </c:view3D>
    <c:sideWall>
      <c:spPr>
        <a:gradFill>
          <a:gsLst>
            <a:gs pos="0">
              <a:sysClr val="window" lastClr="FFFFFF"/>
            </a:gs>
            <a:gs pos="33000">
              <a:sysClr val="window" lastClr="FFFFFF"/>
            </a:gs>
            <a:gs pos="67000">
              <a:sysClr val="window" lastClr="FFFFFF"/>
            </a:gs>
            <a:gs pos="100000">
              <a:sysClr val="window" lastClr="FFFFFF"/>
            </a:gs>
          </a:gsLst>
          <a:lin ang="2700000" scaled="0"/>
        </a:gradFill>
      </c:spPr>
    </c:sideWall>
    <c:backWall>
      <c:spPr>
        <a:gradFill>
          <a:gsLst>
            <a:gs pos="0">
              <a:sysClr val="window" lastClr="FFFFFF"/>
            </a:gs>
            <a:gs pos="33000">
              <a:sysClr val="window" lastClr="FFFFFF"/>
            </a:gs>
            <a:gs pos="67000">
              <a:sysClr val="window" lastClr="FFFFFF"/>
            </a:gs>
            <a:gs pos="100000">
              <a:sysClr val="window" lastClr="FFFFFF"/>
            </a:gs>
          </a:gsLst>
          <a:lin ang="2700000" scaled="0"/>
        </a:gradFill>
      </c:spPr>
    </c:backWall>
    <c:plotArea>
      <c:layout>
        <c:manualLayout>
          <c:layoutTarget val="inner"/>
          <c:xMode val="edge"/>
          <c:yMode val="edge"/>
          <c:x val="8.5125450420393142E-2"/>
          <c:y val="0.25303223097112654"/>
          <c:w val="0.82358943551674568"/>
          <c:h val="0.54294379070352461"/>
        </c:manualLayout>
      </c:layout>
      <c:pie3DChart>
        <c:varyColors val="1"/>
        <c:ser>
          <c:idx val="0"/>
          <c:order val="0"/>
          <c:spPr>
            <a:ln w="28575">
              <a:solidFill>
                <a:srgbClr val="9780B2"/>
              </a:solidFill>
            </a:ln>
            <a:scene3d>
              <a:camera prst="orthographicFront"/>
              <a:lightRig rig="threePt" dir="t"/>
            </a:scene3d>
            <a:sp3d>
              <a:bevelT w="0" h="0"/>
              <a:contourClr>
                <a:srgbClr val="000000"/>
              </a:contourClr>
            </a:sp3d>
          </c:spPr>
          <c:dPt>
            <c:idx val="0"/>
            <c:spPr>
              <a:solidFill>
                <a:schemeClr val="accent4">
                  <a:lumMod val="40000"/>
                  <a:lumOff val="60000"/>
                </a:schemeClr>
              </a:solidFill>
              <a:ln w="28575">
                <a:noFill/>
              </a:ln>
              <a:scene3d>
                <a:camera prst="orthographicFront"/>
                <a:lightRig rig="threePt" dir="t"/>
              </a:scene3d>
              <a:sp3d>
                <a:bevelT w="0" h="0"/>
                <a:contourClr>
                  <a:srgbClr val="000000"/>
                </a:contourClr>
              </a:sp3d>
            </c:spPr>
          </c:dPt>
          <c:dPt>
            <c:idx val="1"/>
            <c:spPr>
              <a:solidFill>
                <a:schemeClr val="accent6">
                  <a:lumMod val="40000"/>
                  <a:lumOff val="60000"/>
                </a:schemeClr>
              </a:solidFill>
              <a:ln w="28575">
                <a:noFill/>
              </a:ln>
              <a:scene3d>
                <a:camera prst="orthographicFront"/>
                <a:lightRig rig="threePt" dir="t"/>
              </a:scene3d>
              <a:sp3d>
                <a:bevelT w="0" h="0"/>
                <a:contourClr>
                  <a:srgbClr val="000000"/>
                </a:contourClr>
              </a:sp3d>
            </c:spPr>
          </c:dPt>
          <c:dPt>
            <c:idx val="2"/>
            <c:spPr>
              <a:solidFill>
                <a:srgbClr val="FFFFAB"/>
              </a:solidFill>
              <a:ln w="28575">
                <a:noFill/>
              </a:ln>
              <a:scene3d>
                <a:camera prst="orthographicFront"/>
                <a:lightRig rig="threePt" dir="t"/>
              </a:scene3d>
              <a:sp3d>
                <a:bevelT w="0" h="0"/>
                <a:contourClr>
                  <a:srgbClr val="000000"/>
                </a:contourClr>
              </a:sp3d>
            </c:spPr>
          </c:dPt>
          <c:dPt>
            <c:idx val="3"/>
            <c:spPr>
              <a:solidFill>
                <a:schemeClr val="accent3">
                  <a:lumMod val="40000"/>
                  <a:lumOff val="60000"/>
                </a:schemeClr>
              </a:solidFill>
              <a:ln w="28575">
                <a:noFill/>
              </a:ln>
              <a:scene3d>
                <a:camera prst="orthographicFront"/>
                <a:lightRig rig="threePt" dir="t"/>
              </a:scene3d>
              <a:sp3d>
                <a:bevelT w="0" h="0"/>
                <a:contourClr>
                  <a:srgbClr val="000000"/>
                </a:contourClr>
              </a:sp3d>
            </c:spPr>
          </c:dPt>
          <c:dPt>
            <c:idx val="4"/>
            <c:spPr>
              <a:solidFill>
                <a:schemeClr val="accent1">
                  <a:lumMod val="40000"/>
                  <a:lumOff val="60000"/>
                </a:schemeClr>
              </a:solidFill>
              <a:ln w="28575">
                <a:noFill/>
              </a:ln>
              <a:scene3d>
                <a:camera prst="orthographicFront"/>
                <a:lightRig rig="threePt" dir="t"/>
              </a:scene3d>
              <a:sp3d>
                <a:bevelT w="0" h="0"/>
                <a:contourClr>
                  <a:srgbClr val="000000"/>
                </a:contourClr>
              </a:sp3d>
            </c:spPr>
          </c:dPt>
          <c:dPt>
            <c:idx val="5"/>
            <c:spPr>
              <a:solidFill>
                <a:schemeClr val="accent4">
                  <a:lumMod val="75000"/>
                </a:schemeClr>
              </a:solidFill>
              <a:ln w="28575">
                <a:solidFill>
                  <a:srgbClr val="9780B2"/>
                </a:solidFill>
              </a:ln>
              <a:scene3d>
                <a:camera prst="orthographicFront"/>
                <a:lightRig rig="threePt" dir="t"/>
              </a:scene3d>
              <a:sp3d>
                <a:bevelT w="0" h="0"/>
                <a:contourClr>
                  <a:srgbClr val="000000"/>
                </a:contourClr>
              </a:sp3d>
            </c:spPr>
          </c:dPt>
          <c:dLbls>
            <c:dLbl>
              <c:idx val="0"/>
              <c:layout>
                <c:manualLayout>
                  <c:x val="-8.7587970995151046E-2"/>
                  <c:y val="6.5511811023622199E-3"/>
                </c:manualLayout>
              </c:layout>
              <c:dLblPos val="bestFit"/>
              <c:showVal val="1"/>
              <c:showCatName val="1"/>
              <c:showPercent val="1"/>
              <c:separator>
</c:separator>
            </c:dLbl>
            <c:dLbl>
              <c:idx val="1"/>
              <c:layout>
                <c:manualLayout>
                  <c:x val="1.5764713732817407E-2"/>
                  <c:y val="5.8282414698162831E-2"/>
                </c:manualLayout>
              </c:layout>
              <c:dLblPos val="bestFit"/>
              <c:showVal val="1"/>
              <c:showCatName val="1"/>
              <c:showPercent val="1"/>
              <c:separator>
</c:separator>
            </c:dLbl>
            <c:dLbl>
              <c:idx val="2"/>
              <c:layout>
                <c:manualLayout>
                  <c:x val="5.2196049646337027E-2"/>
                  <c:y val="1.2415328083989499E-2"/>
                </c:manualLayout>
              </c:layout>
              <c:dLblPos val="bestFit"/>
              <c:showVal val="1"/>
              <c:showCatName val="1"/>
              <c:showPercent val="1"/>
              <c:separator>
</c:separator>
            </c:dLbl>
            <c:dLbl>
              <c:idx val="3"/>
              <c:layout>
                <c:manualLayout>
                  <c:x val="-0.14191623292851124"/>
                  <c:y val="0.18344272965879271"/>
                </c:manualLayout>
              </c:layout>
              <c:dLblPos val="bestFit"/>
              <c:showVal val="1"/>
              <c:showCatName val="1"/>
              <c:showPercent val="1"/>
              <c:separator>
</c:separator>
            </c:dLbl>
            <c:dLbl>
              <c:idx val="4"/>
              <c:layout>
                <c:manualLayout>
                  <c:x val="7.6615952666934618E-3"/>
                  <c:y val="-6.9135118110236413E-2"/>
                </c:manualLayout>
              </c:layout>
              <c:dLblPos val="bestFit"/>
              <c:showVal val="1"/>
              <c:showCatName val="1"/>
              <c:showPercent val="1"/>
              <c:separator>
</c:separator>
            </c:dLbl>
            <c:dLbl>
              <c:idx val="5"/>
              <c:layout>
                <c:manualLayout>
                  <c:x val="-1.5198629832288005E-3"/>
                  <c:y val="0.11885606299212598"/>
                </c:manualLayout>
              </c:layout>
              <c:dLblPos val="bestFit"/>
              <c:showVal val="1"/>
              <c:showCatName val="1"/>
              <c:showPercent val="1"/>
              <c:separator>
</c:separator>
            </c:dLbl>
            <c:numFmt formatCode="0.0%" sourceLinked="0"/>
            <c:txPr>
              <a:bodyPr/>
              <a:lstStyle/>
              <a:p>
                <a:pPr>
                  <a:defRPr sz="800">
                    <a:latin typeface="Times New Roman" pitchFamily="18" charset="0"/>
                    <a:ea typeface="標楷體" pitchFamily="65" charset="-120"/>
                    <a:cs typeface="Times New Roman" pitchFamily="18" charset="0"/>
                  </a:defRPr>
                </a:pPr>
                <a:endParaRPr lang="zh-TW"/>
              </a:p>
            </c:txPr>
            <c:dLblPos val="outEnd"/>
            <c:showVal val="1"/>
            <c:showCatName val="1"/>
            <c:showPercent val="1"/>
            <c:showLeaderLines val="1"/>
          </c:dLbls>
          <c:cat>
            <c:strRef>
              <c:f>申報特約別!$A$19:$A$24</c:f>
              <c:strCache>
                <c:ptCount val="6"/>
                <c:pt idx="0">
                  <c:v>Academic Medical Centers</c:v>
                </c:pt>
                <c:pt idx="1">
                  <c:v>Metropolitan Hospitals</c:v>
                </c:pt>
                <c:pt idx="2">
                  <c:v>Local Community Hospitals</c:v>
                </c:pt>
                <c:pt idx="3">
                  <c:v>Physician Clinics </c:v>
                </c:pt>
                <c:pt idx="4">
                  <c:v>Pharmacies</c:v>
                </c:pt>
                <c:pt idx="5">
                  <c:v>Other Medical Institutions   </c:v>
                </c:pt>
              </c:strCache>
            </c:strRef>
          </c:cat>
          <c:val>
            <c:numRef>
              <c:f>申報特約別!$D$19:$D$24</c:f>
              <c:numCache>
                <c:formatCode>_-* #,##0_-;\-* #,##0_-;_-* "-"??_-;_-@_-</c:formatCode>
                <c:ptCount val="6"/>
                <c:pt idx="0">
                  <c:v>75.454062035999982</c:v>
                </c:pt>
                <c:pt idx="1">
                  <c:v>76.346593412000004</c:v>
                </c:pt>
                <c:pt idx="2">
                  <c:v>37.623638874000122</c:v>
                </c:pt>
                <c:pt idx="3">
                  <c:v>141.82956026599999</c:v>
                </c:pt>
                <c:pt idx="4">
                  <c:v>23.893360006999988</c:v>
                </c:pt>
                <c:pt idx="5">
                  <c:v>0.98054416899999786</c:v>
                </c:pt>
              </c:numCache>
            </c:numRef>
          </c:val>
        </c:ser>
      </c:pie3DChart>
    </c:plotArea>
    <c:plotVisOnly val="1"/>
    <c:dispBlanksAs val="zero"/>
  </c:chart>
  <c:spPr>
    <a:gradFill>
      <a:gsLst>
        <a:gs pos="0">
          <a:sysClr val="window" lastClr="FFFFFF"/>
        </a:gs>
        <a:gs pos="33000">
          <a:sysClr val="window" lastClr="FFFFFF"/>
        </a:gs>
        <a:gs pos="67000">
          <a:sysClr val="window" lastClr="FFFFFF"/>
        </a:gs>
        <a:gs pos="100000">
          <a:schemeClr val="bg1"/>
        </a:gs>
      </a:gsLst>
      <a:lin ang="2700000" scaled="0"/>
    </a:gradFill>
    <a:ln>
      <a:noFill/>
    </a:ln>
  </c:spPr>
  <c:externalData r:id="rId1"/>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zh-TW"/>
  <c:chart>
    <c:autoTitleDeleted val="1"/>
    <c:view3D>
      <c:rotX val="30"/>
      <c:hPercent val="60"/>
      <c:rotY val="201"/>
      <c:depthPercent val="160"/>
      <c:perspective val="0"/>
    </c:view3D>
    <c:sideWall>
      <c:spPr>
        <a:gradFill>
          <a:gsLst>
            <a:gs pos="0">
              <a:sysClr val="window" lastClr="FFFFFF"/>
            </a:gs>
            <a:gs pos="33000">
              <a:sysClr val="window" lastClr="FFFFFF"/>
            </a:gs>
            <a:gs pos="67000">
              <a:sysClr val="window" lastClr="FFFFFF"/>
            </a:gs>
            <a:gs pos="100000">
              <a:sysClr val="window" lastClr="FFFFFF"/>
            </a:gs>
          </a:gsLst>
          <a:lin ang="2700000" scaled="0"/>
        </a:gradFill>
      </c:spPr>
    </c:sideWall>
    <c:backWall>
      <c:spPr>
        <a:gradFill>
          <a:gsLst>
            <a:gs pos="0">
              <a:sysClr val="window" lastClr="FFFFFF"/>
            </a:gs>
            <a:gs pos="33000">
              <a:sysClr val="window" lastClr="FFFFFF"/>
            </a:gs>
            <a:gs pos="67000">
              <a:sysClr val="window" lastClr="FFFFFF"/>
            </a:gs>
            <a:gs pos="100000">
              <a:sysClr val="window" lastClr="FFFFFF"/>
            </a:gs>
          </a:gsLst>
          <a:lin ang="2700000" scaled="0"/>
        </a:gradFill>
      </c:spPr>
    </c:backWall>
    <c:plotArea>
      <c:layout>
        <c:manualLayout>
          <c:layoutTarget val="inner"/>
          <c:xMode val="edge"/>
          <c:yMode val="edge"/>
          <c:x val="0.14284281364231041"/>
          <c:y val="0.27751317670657022"/>
          <c:w val="0.71332546455346735"/>
          <c:h val="0.47281401816642837"/>
        </c:manualLayout>
      </c:layout>
      <c:pie3DChart>
        <c:varyColors val="1"/>
        <c:ser>
          <c:idx val="0"/>
          <c:order val="0"/>
          <c:tx>
            <c:strRef>
              <c:f>門診申報總額別!$B$93</c:f>
              <c:strCache>
                <c:ptCount val="1"/>
                <c:pt idx="0">
                  <c:v>點數</c:v>
                </c:pt>
              </c:strCache>
            </c:strRef>
          </c:tx>
          <c:spPr>
            <a:ln w="28575">
              <a:solidFill>
                <a:srgbClr val="9780B2"/>
              </a:solidFill>
            </a:ln>
            <a:scene3d>
              <a:camera prst="orthographicFront"/>
              <a:lightRig rig="threePt" dir="t"/>
            </a:scene3d>
            <a:sp3d>
              <a:bevelT w="0" h="0"/>
              <a:contourClr>
                <a:srgbClr val="000000"/>
              </a:contourClr>
            </a:sp3d>
          </c:spPr>
          <c:dPt>
            <c:idx val="0"/>
            <c:spPr>
              <a:solidFill>
                <a:schemeClr val="accent4">
                  <a:lumMod val="40000"/>
                  <a:lumOff val="60000"/>
                </a:schemeClr>
              </a:solidFill>
              <a:ln w="28575">
                <a:noFill/>
              </a:ln>
              <a:scene3d>
                <a:camera prst="orthographicFront"/>
                <a:lightRig rig="threePt" dir="t"/>
              </a:scene3d>
              <a:sp3d>
                <a:bevelT w="0" h="0"/>
                <a:contourClr>
                  <a:srgbClr val="000000"/>
                </a:contourClr>
              </a:sp3d>
            </c:spPr>
          </c:dPt>
          <c:dPt>
            <c:idx val="1"/>
            <c:spPr>
              <a:solidFill>
                <a:schemeClr val="accent6">
                  <a:lumMod val="40000"/>
                  <a:lumOff val="60000"/>
                </a:schemeClr>
              </a:solidFill>
              <a:ln w="28575">
                <a:noFill/>
              </a:ln>
              <a:scene3d>
                <a:camera prst="orthographicFront"/>
                <a:lightRig rig="threePt" dir="t"/>
              </a:scene3d>
              <a:sp3d>
                <a:bevelT w="0" h="0"/>
                <a:contourClr>
                  <a:srgbClr val="000000"/>
                </a:contourClr>
              </a:sp3d>
            </c:spPr>
          </c:dPt>
          <c:dPt>
            <c:idx val="2"/>
            <c:spPr>
              <a:solidFill>
                <a:srgbClr val="FFFFAB"/>
              </a:solidFill>
              <a:ln w="28575">
                <a:noFill/>
              </a:ln>
              <a:scene3d>
                <a:camera prst="orthographicFront"/>
                <a:lightRig rig="threePt" dir="t"/>
              </a:scene3d>
              <a:sp3d>
                <a:bevelT w="0" h="0"/>
                <a:contourClr>
                  <a:srgbClr val="000000"/>
                </a:contourClr>
              </a:sp3d>
            </c:spPr>
          </c:dPt>
          <c:dPt>
            <c:idx val="3"/>
            <c:spPr>
              <a:solidFill>
                <a:schemeClr val="accent3">
                  <a:lumMod val="40000"/>
                  <a:lumOff val="60000"/>
                </a:schemeClr>
              </a:solidFill>
              <a:ln w="28575">
                <a:noFill/>
              </a:ln>
              <a:scene3d>
                <a:camera prst="orthographicFront"/>
                <a:lightRig rig="threePt" dir="t"/>
              </a:scene3d>
              <a:sp3d>
                <a:bevelT w="0" h="0"/>
                <a:contourClr>
                  <a:srgbClr val="000000"/>
                </a:contourClr>
              </a:sp3d>
            </c:spPr>
          </c:dPt>
          <c:dPt>
            <c:idx val="4"/>
            <c:spPr>
              <a:solidFill>
                <a:schemeClr val="accent1">
                  <a:lumMod val="40000"/>
                  <a:lumOff val="60000"/>
                </a:schemeClr>
              </a:solidFill>
              <a:ln w="28575">
                <a:noFill/>
              </a:ln>
              <a:scene3d>
                <a:camera prst="orthographicFront"/>
                <a:lightRig rig="threePt" dir="t"/>
              </a:scene3d>
              <a:sp3d>
                <a:bevelT w="0" h="0"/>
                <a:contourClr>
                  <a:srgbClr val="000000"/>
                </a:contourClr>
              </a:sp3d>
            </c:spPr>
          </c:dPt>
          <c:dPt>
            <c:idx val="5"/>
            <c:spPr>
              <a:solidFill>
                <a:schemeClr val="accent4">
                  <a:lumMod val="75000"/>
                </a:schemeClr>
              </a:solidFill>
              <a:ln w="28575">
                <a:noFill/>
              </a:ln>
              <a:scene3d>
                <a:camera prst="orthographicFront"/>
                <a:lightRig rig="threePt" dir="t"/>
              </a:scene3d>
              <a:sp3d>
                <a:bevelT w="0" h="0"/>
                <a:contourClr>
                  <a:srgbClr val="000000"/>
                </a:contourClr>
              </a:sp3d>
            </c:spPr>
          </c:dPt>
          <c:dLbls>
            <c:dLbl>
              <c:idx val="0"/>
              <c:layout>
                <c:manualLayout>
                  <c:x val="-1.544467736429154E-2"/>
                  <c:y val="0.22020274987730076"/>
                </c:manualLayout>
              </c:layout>
              <c:dLblPos val="bestFit"/>
              <c:showVal val="1"/>
              <c:showCatName val="1"/>
              <c:showPercent val="1"/>
              <c:separator>
</c:separator>
            </c:dLbl>
            <c:dLbl>
              <c:idx val="1"/>
              <c:layout>
                <c:manualLayout>
                  <c:x val="7.6512260306247455E-3"/>
                  <c:y val="2.0792577128597202E-2"/>
                </c:manualLayout>
              </c:layout>
              <c:dLblPos val="bestFit"/>
              <c:showVal val="1"/>
              <c:showCatName val="1"/>
              <c:showPercent val="1"/>
              <c:separator>
</c:separator>
            </c:dLbl>
            <c:dLbl>
              <c:idx val="2"/>
              <c:layout>
                <c:manualLayout>
                  <c:x val="6.4496099075217221E-3"/>
                  <c:y val="-3.2973209780106892E-2"/>
                </c:manualLayout>
              </c:layout>
              <c:dLblPos val="bestFit"/>
              <c:showVal val="1"/>
              <c:showCatName val="1"/>
              <c:showPercent val="1"/>
              <c:separator>
</c:separator>
            </c:dLbl>
            <c:dLbl>
              <c:idx val="3"/>
              <c:layout>
                <c:manualLayout>
                  <c:x val="-6.2745082539427104E-3"/>
                  <c:y val="6.0356626872481986E-2"/>
                </c:manualLayout>
              </c:layout>
              <c:dLblPos val="bestFit"/>
              <c:showVal val="1"/>
              <c:showCatName val="1"/>
              <c:showPercent val="1"/>
              <c:separator>
</c:separator>
            </c:dLbl>
            <c:dLbl>
              <c:idx val="4"/>
              <c:layout>
                <c:manualLayout>
                  <c:x val="-1.2325991275969733E-2"/>
                  <c:y val="-4.7587413308448222E-7"/>
                </c:manualLayout>
              </c:layout>
              <c:dLblPos val="bestFit"/>
              <c:showVal val="1"/>
              <c:showCatName val="1"/>
              <c:showPercent val="1"/>
              <c:separator>
</c:separator>
            </c:dLbl>
            <c:dLbl>
              <c:idx val="5"/>
              <c:layout>
                <c:manualLayout>
                  <c:x val="-1.0208678793285283E-3"/>
                  <c:y val="-2.4432120613019645E-3"/>
                </c:manualLayout>
              </c:layout>
              <c:dLblPos val="bestFit"/>
              <c:showVal val="1"/>
              <c:showCatName val="1"/>
              <c:showPercent val="1"/>
              <c:separator>
</c:separator>
            </c:dLbl>
            <c:numFmt formatCode="0.0%" sourceLinked="0"/>
            <c:txPr>
              <a:bodyPr/>
              <a:lstStyle/>
              <a:p>
                <a:pPr>
                  <a:defRPr sz="800">
                    <a:latin typeface="Times New Roman" pitchFamily="18" charset="0"/>
                    <a:ea typeface="標楷體" pitchFamily="65" charset="-120"/>
                    <a:cs typeface="Times New Roman" pitchFamily="18" charset="0"/>
                  </a:defRPr>
                </a:pPr>
                <a:endParaRPr lang="zh-TW"/>
              </a:p>
            </c:txPr>
            <c:dLblPos val="outEnd"/>
            <c:showVal val="1"/>
            <c:showCatName val="1"/>
            <c:showPercent val="1"/>
          </c:dLbls>
          <c:cat>
            <c:strRef>
              <c:f>門診申報總額別!$A$95:$A$100</c:f>
              <c:strCache>
                <c:ptCount val="6"/>
                <c:pt idx="0">
                  <c:v>Hospitals </c:v>
                </c:pt>
                <c:pt idx="1">
                  <c:v>Physician Clinics</c:v>
                </c:pt>
                <c:pt idx="2">
                  <c:v>Chinese Medicine</c:v>
                </c:pt>
                <c:pt idx="3">
                  <c:v>Dentistry</c:v>
                </c:pt>
                <c:pt idx="4">
                  <c:v>Dialysis</c:v>
                </c:pt>
                <c:pt idx="5">
                  <c:v>Others</c:v>
                </c:pt>
              </c:strCache>
            </c:strRef>
          </c:cat>
          <c:val>
            <c:numRef>
              <c:f>門診申報總額別!$B$95:$B$100</c:f>
              <c:numCache>
                <c:formatCode>#,##0_ </c:formatCode>
                <c:ptCount val="6"/>
                <c:pt idx="0">
                  <c:v>168.77960943199992</c:v>
                </c:pt>
                <c:pt idx="1">
                  <c:v>88.283652756999658</c:v>
                </c:pt>
                <c:pt idx="2">
                  <c:v>17.569193634999866</c:v>
                </c:pt>
                <c:pt idx="3">
                  <c:v>34.369163361000005</c:v>
                </c:pt>
                <c:pt idx="4">
                  <c:v>36.620679667000005</c:v>
                </c:pt>
                <c:pt idx="5">
                  <c:v>10.505459912000125</c:v>
                </c:pt>
              </c:numCache>
            </c:numRef>
          </c:val>
        </c:ser>
      </c:pie3DChart>
    </c:plotArea>
    <c:plotVisOnly val="1"/>
    <c:dispBlanksAs val="zero"/>
  </c:chart>
  <c:spPr>
    <a:gradFill>
      <a:gsLst>
        <a:gs pos="0">
          <a:sysClr val="window" lastClr="FFFFFF"/>
        </a:gs>
        <a:gs pos="33000">
          <a:sysClr val="window" lastClr="FFFFFF"/>
        </a:gs>
        <a:gs pos="67000">
          <a:sysClr val="window" lastClr="FFFFFF"/>
        </a:gs>
        <a:gs pos="100000">
          <a:schemeClr val="bg1"/>
        </a:gs>
      </a:gsLst>
      <a:lin ang="2700000" scaled="0"/>
    </a:gradFill>
    <a:ln>
      <a:noFill/>
    </a:ln>
  </c:spPr>
  <c:externalData r:id="rId1"/>
  <c:userShapes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zh-TW"/>
  <c:chart>
    <c:autoTitleDeleted val="1"/>
    <c:view3D>
      <c:rAngAx val="1"/>
    </c:view3D>
    <c:floor>
      <c:spPr>
        <a:solidFill>
          <a:srgbClr val="E0E0E0">
            <a:alpha val="49000"/>
          </a:srgbClr>
        </a:solidFill>
      </c:spPr>
    </c:floor>
    <c:sideWall>
      <c:spPr>
        <a:solidFill>
          <a:srgbClr val="9BBB59">
            <a:lumMod val="20000"/>
            <a:lumOff val="80000"/>
            <a:alpha val="76000"/>
          </a:srgbClr>
        </a:solidFill>
      </c:spPr>
    </c:sideWall>
    <c:backWall>
      <c:spPr>
        <a:solidFill>
          <a:srgbClr val="9BBB59">
            <a:lumMod val="20000"/>
            <a:lumOff val="80000"/>
            <a:alpha val="76000"/>
          </a:srgbClr>
        </a:solidFill>
      </c:spPr>
    </c:backWall>
    <c:plotArea>
      <c:layout>
        <c:manualLayout>
          <c:layoutTarget val="inner"/>
          <c:xMode val="edge"/>
          <c:yMode val="edge"/>
          <c:x val="0.11929723323591727"/>
          <c:y val="0.20535767866561677"/>
          <c:w val="0.8636835584677216"/>
          <c:h val="0.61559168822309362"/>
        </c:manualLayout>
      </c:layout>
      <c:bar3DChart>
        <c:barDir val="col"/>
        <c:grouping val="stacked"/>
        <c:ser>
          <c:idx val="1"/>
          <c:order val="0"/>
          <c:tx>
            <c:strRef>
              <c:f>門診申報總額別!$O$38</c:f>
              <c:strCache>
                <c:ptCount val="1"/>
                <c:pt idx="0">
                  <c:v>平均每件點數</c:v>
                </c:pt>
              </c:strCache>
            </c:strRef>
          </c:tx>
          <c:spPr>
            <a:solidFill>
              <a:srgbClr val="FFFFAB">
                <a:alpha val="93000"/>
              </a:srgbClr>
            </a:solidFill>
            <a:ln>
              <a:noFill/>
            </a:ln>
            <a:scene3d>
              <a:camera prst="orthographicFront"/>
              <a:lightRig rig="threePt" dir="t"/>
            </a:scene3d>
            <a:sp3d>
              <a:bevelT w="0" h="0"/>
              <a:contourClr>
                <a:srgbClr val="000000"/>
              </a:contourClr>
            </a:sp3d>
          </c:spPr>
          <c:dPt>
            <c:idx val="0"/>
            <c:spPr>
              <a:solidFill>
                <a:srgbClr val="E6FFB3">
                  <a:alpha val="93000"/>
                </a:srgbClr>
              </a:solidFill>
              <a:ln>
                <a:noFill/>
              </a:ln>
              <a:scene3d>
                <a:camera prst="orthographicFront"/>
                <a:lightRig rig="threePt" dir="t"/>
              </a:scene3d>
              <a:sp3d>
                <a:bevelT w="0" h="0"/>
                <a:contourClr>
                  <a:srgbClr val="000000"/>
                </a:contourClr>
              </a:sp3d>
            </c:spPr>
          </c:dPt>
          <c:dPt>
            <c:idx val="1"/>
            <c:spPr>
              <a:solidFill>
                <a:schemeClr val="accent5">
                  <a:lumMod val="40000"/>
                  <a:lumOff val="60000"/>
                  <a:alpha val="93000"/>
                </a:schemeClr>
              </a:solidFill>
              <a:ln>
                <a:noFill/>
              </a:ln>
              <a:scene3d>
                <a:camera prst="orthographicFront"/>
                <a:lightRig rig="threePt" dir="t"/>
              </a:scene3d>
              <a:sp3d>
                <a:bevelT w="0" h="0"/>
                <a:contourClr>
                  <a:srgbClr val="000000"/>
                </a:contourClr>
              </a:sp3d>
            </c:spPr>
          </c:dPt>
          <c:dPt>
            <c:idx val="2"/>
            <c:spPr>
              <a:solidFill>
                <a:srgbClr val="F0B6ED">
                  <a:alpha val="93000"/>
                </a:srgbClr>
              </a:solidFill>
              <a:ln>
                <a:noFill/>
              </a:ln>
              <a:scene3d>
                <a:camera prst="orthographicFront"/>
                <a:lightRig rig="threePt" dir="t"/>
              </a:scene3d>
              <a:sp3d>
                <a:bevelT w="0" h="0"/>
                <a:contourClr>
                  <a:srgbClr val="000000"/>
                </a:contourClr>
              </a:sp3d>
            </c:spPr>
          </c:dPt>
          <c:dLbls>
            <c:dLbl>
              <c:idx val="0"/>
              <c:layout>
                <c:manualLayout>
                  <c:x val="1.9999275238524634E-3"/>
                  <c:y val="0"/>
                </c:manualLayout>
              </c:layout>
              <c:showVal val="1"/>
            </c:dLbl>
            <c:dLbl>
              <c:idx val="1"/>
              <c:layout>
                <c:manualLayout>
                  <c:x val="-4.1994750656167981E-4"/>
                  <c:y val="7.7847649883438186E-17"/>
                </c:manualLayout>
              </c:layout>
              <c:showVal val="1"/>
            </c:dLbl>
            <c:dLbl>
              <c:idx val="2"/>
              <c:layout>
                <c:manualLayout>
                  <c:x val="-6.2992125984252594E-4"/>
                  <c:y val="0"/>
                </c:manualLayout>
              </c:layout>
              <c:showVal val="1"/>
            </c:dLbl>
            <c:dLbl>
              <c:idx val="3"/>
              <c:layout>
                <c:manualLayout>
                  <c:x val="1.9999275238524396E-3"/>
                  <c:y val="-3.34353110319815E-7"/>
                </c:manualLayout>
              </c:layout>
              <c:showVal val="1"/>
            </c:dLbl>
            <c:dLbl>
              <c:idx val="4"/>
              <c:layout>
                <c:manualLayout>
                  <c:x val="2.1614457956069099E-3"/>
                  <c:y val="-3.34353110319815E-7"/>
                </c:manualLayout>
              </c:layout>
              <c:showVal val="1"/>
            </c:dLbl>
            <c:numFmt formatCode="#,##0;[Red]\-#,##0" sourceLinked="0"/>
            <c:txPr>
              <a:bodyPr/>
              <a:lstStyle/>
              <a:p>
                <a:pPr>
                  <a:defRPr sz="800">
                    <a:latin typeface="Times New Roman" pitchFamily="18" charset="0"/>
                    <a:cs typeface="Times New Roman" pitchFamily="18" charset="0"/>
                  </a:defRPr>
                </a:pPr>
                <a:endParaRPr lang="zh-TW"/>
              </a:p>
            </c:txPr>
            <c:showVal val="1"/>
          </c:dLbls>
          <c:cat>
            <c:strRef>
              <c:f>門診申報總額別!$N$39:$N$46</c:f>
              <c:strCache>
                <c:ptCount val="8"/>
                <c:pt idx="0">
                  <c:v>Total</c:v>
                </c:pt>
                <c:pt idx="1">
                  <c:v>Male</c:v>
                </c:pt>
                <c:pt idx="2">
                  <c:v>Female</c:v>
                </c:pt>
                <c:pt idx="3">
                  <c:v>Hospitals </c:v>
                </c:pt>
                <c:pt idx="4">
                  <c:v>Physician Clinics</c:v>
                </c:pt>
                <c:pt idx="5">
                  <c:v>Chinese Medicine</c:v>
                </c:pt>
                <c:pt idx="6">
                  <c:v>Dentistry</c:v>
                </c:pt>
                <c:pt idx="7">
                  <c:v>Dialysis</c:v>
                </c:pt>
              </c:strCache>
            </c:strRef>
          </c:cat>
          <c:val>
            <c:numRef>
              <c:f>門診申報總額別!$O$39:$O$46</c:f>
              <c:numCache>
                <c:formatCode>0</c:formatCode>
                <c:ptCount val="8"/>
                <c:pt idx="0">
                  <c:v>949.65083669583794</c:v>
                </c:pt>
                <c:pt idx="1">
                  <c:v>1040.0558249483227</c:v>
                </c:pt>
                <c:pt idx="2">
                  <c:v>876.98917644448386</c:v>
                </c:pt>
                <c:pt idx="3">
                  <c:v>1699.3571267374778</c:v>
                </c:pt>
                <c:pt idx="4">
                  <c:v>458.97374087378381</c:v>
                </c:pt>
                <c:pt idx="5">
                  <c:v>459.83184810687925</c:v>
                </c:pt>
                <c:pt idx="6">
                  <c:v>1127.3280772500607</c:v>
                </c:pt>
                <c:pt idx="7">
                  <c:v>47094.13207588419</c:v>
                </c:pt>
              </c:numCache>
            </c:numRef>
          </c:val>
        </c:ser>
        <c:shape val="box"/>
        <c:axId val="326761856"/>
        <c:axId val="327181440"/>
        <c:axId val="0"/>
      </c:bar3DChart>
      <c:catAx>
        <c:axId val="326761856"/>
        <c:scaling>
          <c:orientation val="minMax"/>
        </c:scaling>
        <c:axPos val="b"/>
        <c:numFmt formatCode="General" sourceLinked="1"/>
        <c:majorTickMark val="none"/>
        <c:tickLblPos val="nextTo"/>
        <c:txPr>
          <a:bodyPr/>
          <a:lstStyle/>
          <a:p>
            <a:pPr>
              <a:defRPr sz="800">
                <a:latin typeface="Times New Roman" pitchFamily="18" charset="0"/>
                <a:ea typeface="標楷體" pitchFamily="65" charset="-120"/>
                <a:cs typeface="Times New Roman" pitchFamily="18" charset="0"/>
              </a:defRPr>
            </a:pPr>
            <a:endParaRPr lang="zh-TW"/>
          </a:p>
        </c:txPr>
        <c:crossAx val="327181440"/>
        <c:crosses val="autoZero"/>
        <c:auto val="1"/>
        <c:lblAlgn val="ctr"/>
        <c:lblOffset val="100"/>
      </c:catAx>
      <c:valAx>
        <c:axId val="327181440"/>
        <c:scaling>
          <c:logBase val="10"/>
          <c:orientation val="minMax"/>
        </c:scaling>
        <c:axPos val="l"/>
        <c:majorGridlines>
          <c:spPr>
            <a:ln>
              <a:solidFill>
                <a:srgbClr val="8064A2">
                  <a:lumMod val="40000"/>
                  <a:lumOff val="60000"/>
                  <a:alpha val="0"/>
                </a:srgbClr>
              </a:solidFill>
            </a:ln>
          </c:spPr>
        </c:majorGridlines>
        <c:numFmt formatCode="#,##0;[Red]\-#,##0" sourceLinked="0"/>
        <c:majorTickMark val="none"/>
        <c:tickLblPos val="low"/>
        <c:txPr>
          <a:bodyPr/>
          <a:lstStyle/>
          <a:p>
            <a:pPr>
              <a:defRPr sz="800">
                <a:latin typeface="Times New Roman" pitchFamily="18" charset="0"/>
                <a:cs typeface="Times New Roman" pitchFamily="18" charset="0"/>
              </a:defRPr>
            </a:pPr>
            <a:endParaRPr lang="zh-TW"/>
          </a:p>
        </c:txPr>
        <c:crossAx val="326761856"/>
        <c:crosses val="autoZero"/>
        <c:crossBetween val="between"/>
      </c:valAx>
    </c:plotArea>
    <c:plotVisOnly val="1"/>
    <c:dispBlanksAs val="gap"/>
  </c:chart>
  <c:spPr>
    <a:noFill/>
    <a:ln>
      <a:noFill/>
    </a:ln>
  </c:spPr>
  <c:externalData r:id="rId1"/>
  <c:userShapes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zh-TW"/>
  <c:chart>
    <c:autoTitleDeleted val="1"/>
    <c:view3D>
      <c:rAngAx val="1"/>
    </c:view3D>
    <c:floor>
      <c:spPr>
        <a:solidFill>
          <a:srgbClr val="E0E0E0">
            <a:alpha val="49000"/>
          </a:srgbClr>
        </a:solidFill>
      </c:spPr>
    </c:floor>
    <c:sideWall>
      <c:spPr>
        <a:solidFill>
          <a:srgbClr val="9BBB59">
            <a:lumMod val="20000"/>
            <a:lumOff val="80000"/>
            <a:alpha val="76000"/>
          </a:srgbClr>
        </a:solidFill>
      </c:spPr>
    </c:sideWall>
    <c:backWall>
      <c:spPr>
        <a:solidFill>
          <a:srgbClr val="9BBB59">
            <a:lumMod val="20000"/>
            <a:lumOff val="80000"/>
            <a:alpha val="76000"/>
          </a:srgbClr>
        </a:solidFill>
      </c:spPr>
    </c:backWall>
    <c:plotArea>
      <c:layout>
        <c:manualLayout>
          <c:layoutTarget val="inner"/>
          <c:xMode val="edge"/>
          <c:yMode val="edge"/>
          <c:x val="0.1085129469238662"/>
          <c:y val="0.21397480062588331"/>
          <c:w val="0.83028004423121049"/>
          <c:h val="0.60187378751569165"/>
        </c:manualLayout>
      </c:layout>
      <c:bar3DChart>
        <c:barDir val="col"/>
        <c:grouping val="stacked"/>
        <c:ser>
          <c:idx val="1"/>
          <c:order val="0"/>
          <c:tx>
            <c:strRef>
              <c:f>門診申報總額別!$P$80</c:f>
              <c:strCache>
                <c:ptCount val="1"/>
                <c:pt idx="0">
                  <c:v>平均每件點數</c:v>
                </c:pt>
              </c:strCache>
            </c:strRef>
          </c:tx>
          <c:spPr>
            <a:solidFill>
              <a:srgbClr val="FFFFAB">
                <a:alpha val="93000"/>
              </a:srgbClr>
            </a:solidFill>
            <a:ln>
              <a:noFill/>
            </a:ln>
            <a:scene3d>
              <a:camera prst="orthographicFront"/>
              <a:lightRig rig="threePt" dir="t"/>
            </a:scene3d>
            <a:sp3d>
              <a:bevelT w="0" h="0"/>
              <a:contourClr>
                <a:srgbClr val="000000"/>
              </a:contourClr>
            </a:sp3d>
          </c:spPr>
          <c:dPt>
            <c:idx val="0"/>
            <c:spPr>
              <a:solidFill>
                <a:srgbClr val="E6FFB3">
                  <a:alpha val="93000"/>
                </a:srgbClr>
              </a:solidFill>
              <a:ln>
                <a:noFill/>
              </a:ln>
              <a:scene3d>
                <a:camera prst="orthographicFront"/>
                <a:lightRig rig="threePt" dir="t"/>
              </a:scene3d>
              <a:sp3d>
                <a:bevelT w="0" h="0"/>
                <a:contourClr>
                  <a:srgbClr val="000000"/>
                </a:contourClr>
              </a:sp3d>
            </c:spPr>
          </c:dPt>
          <c:dPt>
            <c:idx val="1"/>
            <c:spPr>
              <a:solidFill>
                <a:schemeClr val="accent5">
                  <a:lumMod val="40000"/>
                  <a:lumOff val="60000"/>
                  <a:alpha val="93000"/>
                </a:schemeClr>
              </a:solidFill>
              <a:ln>
                <a:noFill/>
              </a:ln>
              <a:scene3d>
                <a:camera prst="orthographicFront"/>
                <a:lightRig rig="threePt" dir="t"/>
              </a:scene3d>
              <a:sp3d>
                <a:bevelT w="0" h="0"/>
                <a:contourClr>
                  <a:srgbClr val="000000"/>
                </a:contourClr>
              </a:sp3d>
            </c:spPr>
          </c:dPt>
          <c:dPt>
            <c:idx val="2"/>
            <c:spPr>
              <a:solidFill>
                <a:srgbClr val="F0B6ED">
                  <a:alpha val="93000"/>
                </a:srgbClr>
              </a:solidFill>
              <a:ln>
                <a:noFill/>
              </a:ln>
              <a:scene3d>
                <a:camera prst="orthographicFront"/>
                <a:lightRig rig="threePt" dir="t"/>
              </a:scene3d>
              <a:sp3d>
                <a:bevelT w="0" h="0"/>
                <a:contourClr>
                  <a:srgbClr val="000000"/>
                </a:contourClr>
              </a:sp3d>
            </c:spPr>
          </c:dPt>
          <c:dLbls>
            <c:dLbl>
              <c:idx val="0"/>
              <c:layout>
                <c:manualLayout>
                  <c:x val="1.9999275238524634E-3"/>
                  <c:y val="0"/>
                </c:manualLayout>
              </c:layout>
              <c:showVal val="1"/>
            </c:dLbl>
            <c:dLbl>
              <c:idx val="1"/>
              <c:layout>
                <c:manualLayout>
                  <c:x val="-4.1994750656167981E-4"/>
                  <c:y val="7.7847649883438186E-17"/>
                </c:manualLayout>
              </c:layout>
              <c:showVal val="1"/>
            </c:dLbl>
            <c:dLbl>
              <c:idx val="2"/>
              <c:layout>
                <c:manualLayout>
                  <c:x val="-6.2992125984252594E-4"/>
                  <c:y val="0"/>
                </c:manualLayout>
              </c:layout>
              <c:showVal val="1"/>
            </c:dLbl>
            <c:dLbl>
              <c:idx val="3"/>
              <c:layout>
                <c:manualLayout>
                  <c:x val="1.9999275238524396E-3"/>
                  <c:y val="-3.34353110319815E-7"/>
                </c:manualLayout>
              </c:layout>
              <c:showVal val="1"/>
            </c:dLbl>
            <c:dLbl>
              <c:idx val="4"/>
              <c:layout>
                <c:manualLayout>
                  <c:x val="2.1614457956069099E-3"/>
                  <c:y val="-3.34353110319815E-7"/>
                </c:manualLayout>
              </c:layout>
              <c:showVal val="1"/>
            </c:dLbl>
            <c:numFmt formatCode="#,##0;[Red]\-#,##0" sourceLinked="0"/>
            <c:txPr>
              <a:bodyPr/>
              <a:lstStyle/>
              <a:p>
                <a:pPr>
                  <a:defRPr sz="800">
                    <a:latin typeface="Times New Roman" pitchFamily="18" charset="0"/>
                    <a:cs typeface="Times New Roman" pitchFamily="18" charset="0"/>
                  </a:defRPr>
                </a:pPr>
                <a:endParaRPr lang="zh-TW"/>
              </a:p>
            </c:txPr>
            <c:showVal val="1"/>
          </c:dLbls>
          <c:cat>
            <c:strRef>
              <c:f>門診申報總額別!$O$81:$O$88</c:f>
              <c:strCache>
                <c:ptCount val="8"/>
                <c:pt idx="0">
                  <c:v>Total</c:v>
                </c:pt>
                <c:pt idx="1">
                  <c:v>Male</c:v>
                </c:pt>
                <c:pt idx="2">
                  <c:v>Female</c:v>
                </c:pt>
                <c:pt idx="3">
                  <c:v>0-14</c:v>
                </c:pt>
                <c:pt idx="4">
                  <c:v>15-29</c:v>
                </c:pt>
                <c:pt idx="5">
                  <c:v>30-44</c:v>
                </c:pt>
                <c:pt idx="6">
                  <c:v>45-64</c:v>
                </c:pt>
                <c:pt idx="7">
                  <c:v>65 and over</c:v>
                </c:pt>
              </c:strCache>
            </c:strRef>
          </c:cat>
          <c:val>
            <c:numRef>
              <c:f>門診申報總額別!$P$81:$P$88</c:f>
              <c:numCache>
                <c:formatCode>0</c:formatCode>
                <c:ptCount val="8"/>
                <c:pt idx="0">
                  <c:v>949.65083669583794</c:v>
                </c:pt>
                <c:pt idx="1">
                  <c:v>1040.0558249483227</c:v>
                </c:pt>
                <c:pt idx="2">
                  <c:v>876.98917644448386</c:v>
                </c:pt>
                <c:pt idx="3">
                  <c:v>560.81466519798937</c:v>
                </c:pt>
                <c:pt idx="4">
                  <c:v>676.51724668590725</c:v>
                </c:pt>
                <c:pt idx="5">
                  <c:v>790.40962389624246</c:v>
                </c:pt>
                <c:pt idx="6">
                  <c:v>1114.4679617616569</c:v>
                </c:pt>
                <c:pt idx="7">
                  <c:v>1330.9336973485765</c:v>
                </c:pt>
              </c:numCache>
            </c:numRef>
          </c:val>
        </c:ser>
        <c:shape val="box"/>
        <c:axId val="326659072"/>
        <c:axId val="326669056"/>
        <c:axId val="0"/>
      </c:bar3DChart>
      <c:catAx>
        <c:axId val="326659072"/>
        <c:scaling>
          <c:orientation val="minMax"/>
        </c:scaling>
        <c:axPos val="b"/>
        <c:numFmt formatCode="General" sourceLinked="1"/>
        <c:majorTickMark val="none"/>
        <c:tickLblPos val="nextTo"/>
        <c:txPr>
          <a:bodyPr/>
          <a:lstStyle/>
          <a:p>
            <a:pPr>
              <a:defRPr sz="800">
                <a:latin typeface="Times New Roman" pitchFamily="18" charset="0"/>
                <a:ea typeface="標楷體" pitchFamily="65" charset="-120"/>
                <a:cs typeface="Times New Roman" pitchFamily="18" charset="0"/>
              </a:defRPr>
            </a:pPr>
            <a:endParaRPr lang="zh-TW"/>
          </a:p>
        </c:txPr>
        <c:crossAx val="326669056"/>
        <c:crosses val="autoZero"/>
        <c:auto val="1"/>
        <c:lblAlgn val="ctr"/>
        <c:lblOffset val="100"/>
      </c:catAx>
      <c:valAx>
        <c:axId val="326669056"/>
        <c:scaling>
          <c:orientation val="minMax"/>
        </c:scaling>
        <c:axPos val="l"/>
        <c:majorGridlines>
          <c:spPr>
            <a:ln>
              <a:solidFill>
                <a:srgbClr val="8064A2">
                  <a:lumMod val="40000"/>
                  <a:lumOff val="60000"/>
                  <a:alpha val="0"/>
                </a:srgbClr>
              </a:solidFill>
            </a:ln>
          </c:spPr>
        </c:majorGridlines>
        <c:numFmt formatCode="#,##0;[Red]\-#,##0" sourceLinked="0"/>
        <c:majorTickMark val="none"/>
        <c:tickLblPos val="low"/>
        <c:txPr>
          <a:bodyPr/>
          <a:lstStyle/>
          <a:p>
            <a:pPr>
              <a:defRPr sz="800">
                <a:latin typeface="Times New Roman" pitchFamily="18" charset="0"/>
                <a:cs typeface="Times New Roman" pitchFamily="18" charset="0"/>
              </a:defRPr>
            </a:pPr>
            <a:endParaRPr lang="zh-TW"/>
          </a:p>
        </c:txPr>
        <c:crossAx val="326659072"/>
        <c:crosses val="autoZero"/>
        <c:crossBetween val="between"/>
      </c:valAx>
    </c:plotArea>
    <c:plotVisOnly val="1"/>
    <c:dispBlanksAs val="gap"/>
  </c:chart>
  <c:spPr>
    <a:noFill/>
    <a:ln>
      <a:noFill/>
    </a:ln>
  </c:spPr>
  <c:externalData r:id="rId1"/>
  <c:userShapes r:id="rId2"/>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zh-TW"/>
  <c:chart>
    <c:view3D>
      <c:rotX val="30"/>
      <c:rotY val="40"/>
      <c:rAngAx val="1"/>
    </c:view3D>
    <c:sideWall>
      <c:spPr>
        <a:ln>
          <a:noFill/>
        </a:ln>
      </c:spPr>
    </c:sideWall>
    <c:backWall>
      <c:spPr>
        <a:solidFill>
          <a:srgbClr val="9BBB59">
            <a:lumMod val="20000"/>
            <a:lumOff val="80000"/>
            <a:alpha val="40000"/>
          </a:srgbClr>
        </a:solidFill>
        <a:ln>
          <a:noFill/>
        </a:ln>
      </c:spPr>
    </c:backWall>
    <c:plotArea>
      <c:layout>
        <c:manualLayout>
          <c:layoutTarget val="inner"/>
          <c:xMode val="edge"/>
          <c:yMode val="edge"/>
          <c:x val="7.8106920845422048E-2"/>
          <c:y val="0.17306739216899225"/>
          <c:w val="0.86638215051046252"/>
          <c:h val="0.63501978774392331"/>
        </c:manualLayout>
      </c:layout>
      <c:bar3DChart>
        <c:barDir val="col"/>
        <c:grouping val="stacked"/>
        <c:ser>
          <c:idx val="2"/>
          <c:order val="0"/>
          <c:tx>
            <c:strRef>
              <c:f>門診申報縣市!$G$101</c:f>
              <c:strCache>
                <c:ptCount val="1"/>
                <c:pt idx="0">
                  <c:v>Male</c:v>
                </c:pt>
              </c:strCache>
            </c:strRef>
          </c:tx>
          <c:spPr>
            <a:solidFill>
              <a:schemeClr val="accent3">
                <a:lumMod val="60000"/>
                <a:lumOff val="40000"/>
              </a:schemeClr>
            </a:solidFill>
          </c:spPr>
          <c:dLbls>
            <c:dLbl>
              <c:idx val="21"/>
              <c:layout>
                <c:manualLayout>
                  <c:x val="5.6144284047827423E-3"/>
                  <c:y val="-8.9369453487451566E-4"/>
                </c:manualLayout>
              </c:layout>
              <c:showVal val="1"/>
            </c:dLbl>
            <c:txPr>
              <a:bodyPr/>
              <a:lstStyle/>
              <a:p>
                <a:pPr>
                  <a:defRPr sz="800">
                    <a:latin typeface="Times New Roman" pitchFamily="18" charset="0"/>
                    <a:cs typeface="Times New Roman" pitchFamily="18" charset="0"/>
                  </a:defRPr>
                </a:pPr>
                <a:endParaRPr lang="zh-TW"/>
              </a:p>
            </c:txPr>
            <c:showVal val="1"/>
          </c:dLbls>
          <c:cat>
            <c:strRef>
              <c:f>門診申報縣市!$A$73:$A$94</c:f>
              <c:strCache>
                <c:ptCount val="22"/>
                <c:pt idx="0">
                  <c:v>Taipei City</c:v>
                </c:pt>
                <c:pt idx="1">
                  <c:v>Taichung City</c:v>
                </c:pt>
                <c:pt idx="2">
                  <c:v>Kaohsiung City</c:v>
                </c:pt>
                <c:pt idx="3">
                  <c:v>New Taipei City</c:v>
                </c:pt>
                <c:pt idx="4">
                  <c:v>Taoyuan County</c:v>
                </c:pt>
                <c:pt idx="5">
                  <c:v>Tainan City</c:v>
                </c:pt>
                <c:pt idx="6">
                  <c:v>Changhua County</c:v>
                </c:pt>
                <c:pt idx="7">
                  <c:v>Pingtung County</c:v>
                </c:pt>
                <c:pt idx="8">
                  <c:v>Yunlin County</c:v>
                </c:pt>
                <c:pt idx="9">
                  <c:v>Chiayi City</c:v>
                </c:pt>
                <c:pt idx="10">
                  <c:v>Hsinchu City</c:v>
                </c:pt>
                <c:pt idx="11">
                  <c:v>Chiayi County</c:v>
                </c:pt>
                <c:pt idx="12">
                  <c:v>Yilan County</c:v>
                </c:pt>
                <c:pt idx="13">
                  <c:v>Nantou County</c:v>
                </c:pt>
                <c:pt idx="14">
                  <c:v>Miaoli County</c:v>
                </c:pt>
                <c:pt idx="15">
                  <c:v>Hualien County</c:v>
                </c:pt>
                <c:pt idx="16">
                  <c:v>Keelung City</c:v>
                </c:pt>
                <c:pt idx="17">
                  <c:v>Hsinchu County</c:v>
                </c:pt>
                <c:pt idx="18">
                  <c:v>Taitung County</c:v>
                </c:pt>
                <c:pt idx="19">
                  <c:v>Penghu County</c:v>
                </c:pt>
                <c:pt idx="20">
                  <c:v>Kinmen County</c:v>
                </c:pt>
                <c:pt idx="21">
                  <c:v>Lienchiang County</c:v>
                </c:pt>
              </c:strCache>
            </c:strRef>
          </c:cat>
          <c:val>
            <c:numRef>
              <c:f>門診申報縣市!$G$104:$G$125</c:f>
              <c:numCache>
                <c:formatCode>#,##0</c:formatCode>
                <c:ptCount val="22"/>
                <c:pt idx="0">
                  <c:v>3182194507.6999998</c:v>
                </c:pt>
                <c:pt idx="1">
                  <c:v>2243075265.3000002</c:v>
                </c:pt>
                <c:pt idx="2">
                  <c:v>2211615435.3000002</c:v>
                </c:pt>
                <c:pt idx="3">
                  <c:v>2013900749.4000001</c:v>
                </c:pt>
                <c:pt idx="4">
                  <c:v>1564112310</c:v>
                </c:pt>
                <c:pt idx="5">
                  <c:v>1361244669.5</c:v>
                </c:pt>
                <c:pt idx="6">
                  <c:v>939843382.29999995</c:v>
                </c:pt>
                <c:pt idx="7">
                  <c:v>496783753.10000002</c:v>
                </c:pt>
                <c:pt idx="8">
                  <c:v>416275321</c:v>
                </c:pt>
                <c:pt idx="9">
                  <c:v>380210147.69999999</c:v>
                </c:pt>
                <c:pt idx="10">
                  <c:v>327718800.89999974</c:v>
                </c:pt>
                <c:pt idx="11">
                  <c:v>314638119.89999974</c:v>
                </c:pt>
                <c:pt idx="12">
                  <c:v>314086019.69999999</c:v>
                </c:pt>
                <c:pt idx="13">
                  <c:v>312440028.69999999</c:v>
                </c:pt>
                <c:pt idx="14">
                  <c:v>293111111.19999999</c:v>
                </c:pt>
                <c:pt idx="15">
                  <c:v>291453486.19999999</c:v>
                </c:pt>
                <c:pt idx="16">
                  <c:v>270538546.19999999</c:v>
                </c:pt>
                <c:pt idx="17">
                  <c:v>209135329.5</c:v>
                </c:pt>
                <c:pt idx="18">
                  <c:v>133353770.8</c:v>
                </c:pt>
                <c:pt idx="19">
                  <c:v>62597467.700000003</c:v>
                </c:pt>
                <c:pt idx="20">
                  <c:v>35352507</c:v>
                </c:pt>
                <c:pt idx="21">
                  <c:v>5875925.8000000007</c:v>
                </c:pt>
              </c:numCache>
            </c:numRef>
          </c:val>
        </c:ser>
        <c:ser>
          <c:idx val="4"/>
          <c:order val="1"/>
          <c:tx>
            <c:strRef>
              <c:f>門診申報縣市!$H$101</c:f>
              <c:strCache>
                <c:ptCount val="1"/>
                <c:pt idx="0">
                  <c:v>Female</c:v>
                </c:pt>
              </c:strCache>
            </c:strRef>
          </c:tx>
          <c:spPr>
            <a:solidFill>
              <a:srgbClr val="FFFFAB"/>
            </a:solidFill>
          </c:spPr>
          <c:dLbls>
            <c:dLbl>
              <c:idx val="0"/>
              <c:layout>
                <c:manualLayout>
                  <c:x val="5.9504129133644114E-3"/>
                  <c:y val="-0.17851230376141181"/>
                </c:manualLayout>
              </c:layout>
              <c:showVal val="1"/>
            </c:dLbl>
            <c:dLbl>
              <c:idx val="1"/>
              <c:layout>
                <c:manualLayout>
                  <c:x val="1.8181607199803029E-17"/>
                  <c:y val="-0.13884290292554016"/>
                </c:manualLayout>
              </c:layout>
              <c:showVal val="1"/>
            </c:dLbl>
            <c:dLbl>
              <c:idx val="2"/>
              <c:layout>
                <c:manualLayout>
                  <c:x val="0"/>
                  <c:y val="-0.13553711952255124"/>
                </c:manualLayout>
              </c:layout>
              <c:showVal val="1"/>
            </c:dLbl>
            <c:dLbl>
              <c:idx val="3"/>
              <c:layout>
                <c:manualLayout>
                  <c:x val="3.9669419422429441E-3"/>
                  <c:y val="-0.13223133611956372"/>
                </c:manualLayout>
              </c:layout>
              <c:showVal val="1"/>
            </c:dLbl>
            <c:dLbl>
              <c:idx val="4"/>
              <c:layout>
                <c:manualLayout>
                  <c:x val="0"/>
                  <c:y val="-0.10247928549266071"/>
                </c:manualLayout>
              </c:layout>
              <c:showVal val="1"/>
            </c:dLbl>
            <c:dLbl>
              <c:idx val="5"/>
              <c:layout>
                <c:manualLayout>
                  <c:x val="1.9834709711214712E-3"/>
                  <c:y val="-0.11239663570162779"/>
                </c:manualLayout>
              </c:layout>
              <c:showVal val="1"/>
            </c:dLbl>
            <c:dLbl>
              <c:idx val="6"/>
              <c:layout>
                <c:manualLayout>
                  <c:x val="1.9834709711214712E-3"/>
                  <c:y val="-8.2644585074726343E-2"/>
                </c:manualLayout>
              </c:layout>
              <c:showVal val="1"/>
            </c:dLbl>
            <c:dLbl>
              <c:idx val="7"/>
              <c:layout>
                <c:manualLayout>
                  <c:x val="0"/>
                  <c:y val="-5.6198317850814104E-2"/>
                </c:manualLayout>
              </c:layout>
              <c:showVal val="1"/>
            </c:dLbl>
            <c:dLbl>
              <c:idx val="8"/>
              <c:layout>
                <c:manualLayout>
                  <c:x val="0"/>
                  <c:y val="-4.9586751044836952E-2"/>
                </c:manualLayout>
              </c:layout>
              <c:showVal val="1"/>
            </c:dLbl>
            <c:dLbl>
              <c:idx val="9"/>
              <c:layout>
                <c:manualLayout>
                  <c:x val="0"/>
                  <c:y val="-4.6280967641846804E-2"/>
                </c:manualLayout>
              </c:layout>
              <c:showVal val="1"/>
            </c:dLbl>
            <c:dLbl>
              <c:idx val="10"/>
              <c:layout>
                <c:manualLayout>
                  <c:x val="0"/>
                  <c:y val="-3.305783402989055E-2"/>
                </c:manualLayout>
              </c:layout>
              <c:showVal val="1"/>
            </c:dLbl>
            <c:dLbl>
              <c:idx val="11"/>
              <c:layout>
                <c:manualLayout>
                  <c:x val="0"/>
                  <c:y val="-3.9669400835868632E-2"/>
                </c:manualLayout>
              </c:layout>
              <c:showVal val="1"/>
            </c:dLbl>
            <c:dLbl>
              <c:idx val="12"/>
              <c:layout>
                <c:manualLayout>
                  <c:x val="1.9834709711214712E-3"/>
                  <c:y val="-3.9669400835868632E-2"/>
                </c:manualLayout>
              </c:layout>
              <c:showVal val="1"/>
            </c:dLbl>
            <c:dLbl>
              <c:idx val="13"/>
              <c:layout>
                <c:manualLayout>
                  <c:x val="0"/>
                  <c:y val="-3.305783402989055E-2"/>
                </c:manualLayout>
              </c:layout>
              <c:showVal val="1"/>
            </c:dLbl>
            <c:dLbl>
              <c:idx val="14"/>
              <c:layout>
                <c:manualLayout>
                  <c:x val="-7.2726428799211931E-17"/>
                  <c:y val="-3.636361743288001E-2"/>
                </c:manualLayout>
              </c:layout>
              <c:showVal val="1"/>
            </c:dLbl>
            <c:dLbl>
              <c:idx val="15"/>
              <c:layout>
                <c:manualLayout>
                  <c:x val="7.2726428799211931E-17"/>
                  <c:y val="-3.636361743288001E-2"/>
                </c:manualLayout>
              </c:layout>
              <c:showVal val="1"/>
            </c:dLbl>
            <c:dLbl>
              <c:idx val="16"/>
              <c:layout>
                <c:manualLayout>
                  <c:x val="1.9834709711214712E-3"/>
                  <c:y val="-3.636361743288001E-2"/>
                </c:manualLayout>
              </c:layout>
              <c:showVal val="1"/>
            </c:dLbl>
            <c:dLbl>
              <c:idx val="17"/>
              <c:layout>
                <c:manualLayout>
                  <c:x val="0"/>
                  <c:y val="-3.636361743288001E-2"/>
                </c:manualLayout>
              </c:layout>
              <c:showVal val="1"/>
            </c:dLbl>
            <c:dLbl>
              <c:idx val="18"/>
              <c:layout>
                <c:manualLayout>
                  <c:x val="0"/>
                  <c:y val="-3.636361743288001E-2"/>
                </c:manualLayout>
              </c:layout>
              <c:showVal val="1"/>
            </c:dLbl>
            <c:dLbl>
              <c:idx val="19"/>
              <c:layout>
                <c:manualLayout>
                  <c:x val="0"/>
                  <c:y val="-3.9669400835868632E-2"/>
                </c:manualLayout>
              </c:layout>
              <c:showVal val="1"/>
            </c:dLbl>
            <c:dLbl>
              <c:idx val="20"/>
              <c:layout>
                <c:manualLayout>
                  <c:x val="0"/>
                  <c:y val="-3.636361743288001E-2"/>
                </c:manualLayout>
              </c:layout>
              <c:showVal val="1"/>
            </c:dLbl>
            <c:dLbl>
              <c:idx val="21"/>
              <c:layout>
                <c:manualLayout>
                  <c:x val="5.9504129133644114E-3"/>
                  <c:y val="-3.636361743288001E-2"/>
                </c:manualLayout>
              </c:layout>
              <c:showVal val="1"/>
            </c:dLbl>
            <c:txPr>
              <a:bodyPr anchor="ctr" anchorCtr="0"/>
              <a:lstStyle/>
              <a:p>
                <a:pPr>
                  <a:defRPr sz="800">
                    <a:latin typeface="Times New Roman" pitchFamily="18" charset="0"/>
                    <a:cs typeface="Times New Roman" pitchFamily="18" charset="0"/>
                  </a:defRPr>
                </a:pPr>
                <a:endParaRPr lang="zh-TW"/>
              </a:p>
            </c:txPr>
            <c:showVal val="1"/>
          </c:dLbls>
          <c:cat>
            <c:strRef>
              <c:f>門診申報縣市!$A$73:$A$94</c:f>
              <c:strCache>
                <c:ptCount val="22"/>
                <c:pt idx="0">
                  <c:v>Taipei City</c:v>
                </c:pt>
                <c:pt idx="1">
                  <c:v>Taichung City</c:v>
                </c:pt>
                <c:pt idx="2">
                  <c:v>Kaohsiung City</c:v>
                </c:pt>
                <c:pt idx="3">
                  <c:v>New Taipei City</c:v>
                </c:pt>
                <c:pt idx="4">
                  <c:v>Taoyuan County</c:v>
                </c:pt>
                <c:pt idx="5">
                  <c:v>Tainan City</c:v>
                </c:pt>
                <c:pt idx="6">
                  <c:v>Changhua County</c:v>
                </c:pt>
                <c:pt idx="7">
                  <c:v>Pingtung County</c:v>
                </c:pt>
                <c:pt idx="8">
                  <c:v>Yunlin County</c:v>
                </c:pt>
                <c:pt idx="9">
                  <c:v>Chiayi City</c:v>
                </c:pt>
                <c:pt idx="10">
                  <c:v>Hsinchu City</c:v>
                </c:pt>
                <c:pt idx="11">
                  <c:v>Chiayi County</c:v>
                </c:pt>
                <c:pt idx="12">
                  <c:v>Yilan County</c:v>
                </c:pt>
                <c:pt idx="13">
                  <c:v>Nantou County</c:v>
                </c:pt>
                <c:pt idx="14">
                  <c:v>Miaoli County</c:v>
                </c:pt>
                <c:pt idx="15">
                  <c:v>Hualien County</c:v>
                </c:pt>
                <c:pt idx="16">
                  <c:v>Keelung City</c:v>
                </c:pt>
                <c:pt idx="17">
                  <c:v>Hsinchu County</c:v>
                </c:pt>
                <c:pt idx="18">
                  <c:v>Taitung County</c:v>
                </c:pt>
                <c:pt idx="19">
                  <c:v>Penghu County</c:v>
                </c:pt>
                <c:pt idx="20">
                  <c:v>Kinmen County</c:v>
                </c:pt>
                <c:pt idx="21">
                  <c:v>Lienchiang County</c:v>
                </c:pt>
              </c:strCache>
            </c:strRef>
          </c:cat>
          <c:val>
            <c:numRef>
              <c:f>門診申報縣市!$H$104:$H$125</c:f>
              <c:numCache>
                <c:formatCode>#,##0</c:formatCode>
                <c:ptCount val="22"/>
                <c:pt idx="0">
                  <c:v>3205156596.5999999</c:v>
                </c:pt>
                <c:pt idx="1">
                  <c:v>2369757804.4000001</c:v>
                </c:pt>
                <c:pt idx="2">
                  <c:v>2320201354.5999999</c:v>
                </c:pt>
                <c:pt idx="3">
                  <c:v>2238895945.8000002</c:v>
                </c:pt>
                <c:pt idx="4">
                  <c:v>1579668913.0999999</c:v>
                </c:pt>
                <c:pt idx="5">
                  <c:v>1465481347.5999999</c:v>
                </c:pt>
                <c:pt idx="6">
                  <c:v>987616252.79999995</c:v>
                </c:pt>
                <c:pt idx="7">
                  <c:v>534792818.19999999</c:v>
                </c:pt>
                <c:pt idx="8">
                  <c:v>433874092.19999999</c:v>
                </c:pt>
                <c:pt idx="9">
                  <c:v>406816542.19999999</c:v>
                </c:pt>
                <c:pt idx="10">
                  <c:v>347471430.30000001</c:v>
                </c:pt>
                <c:pt idx="11">
                  <c:v>308914414</c:v>
                </c:pt>
                <c:pt idx="12">
                  <c:v>331496089.10000002</c:v>
                </c:pt>
                <c:pt idx="13">
                  <c:v>346501514.19999999</c:v>
                </c:pt>
                <c:pt idx="14">
                  <c:v>312611896.39999974</c:v>
                </c:pt>
                <c:pt idx="15">
                  <c:v>292512327.30000001</c:v>
                </c:pt>
                <c:pt idx="16">
                  <c:v>296381761.89999974</c:v>
                </c:pt>
                <c:pt idx="17">
                  <c:v>215567792.09999999</c:v>
                </c:pt>
                <c:pt idx="18">
                  <c:v>135327613.69999999</c:v>
                </c:pt>
                <c:pt idx="19">
                  <c:v>65813085.200000003</c:v>
                </c:pt>
                <c:pt idx="20">
                  <c:v>35171608.200000003</c:v>
                </c:pt>
                <c:pt idx="21">
                  <c:v>3188021.6</c:v>
                </c:pt>
              </c:numCache>
            </c:numRef>
          </c:val>
        </c:ser>
        <c:shape val="box"/>
        <c:axId val="327163264"/>
        <c:axId val="327184768"/>
        <c:axId val="0"/>
      </c:bar3DChart>
      <c:catAx>
        <c:axId val="327163264"/>
        <c:scaling>
          <c:orientation val="minMax"/>
        </c:scaling>
        <c:axPos val="b"/>
        <c:majorTickMark val="none"/>
        <c:tickLblPos val="nextTo"/>
        <c:txPr>
          <a:bodyPr rot="0" vert="eaVert"/>
          <a:lstStyle/>
          <a:p>
            <a:pPr>
              <a:defRPr sz="800">
                <a:latin typeface="Times New Roman" pitchFamily="18" charset="0"/>
                <a:ea typeface="標楷體" pitchFamily="65" charset="-120"/>
                <a:cs typeface="Times New Roman" pitchFamily="18" charset="0"/>
              </a:defRPr>
            </a:pPr>
            <a:endParaRPr lang="zh-TW"/>
          </a:p>
        </c:txPr>
        <c:crossAx val="327184768"/>
        <c:crosses val="autoZero"/>
        <c:auto val="1"/>
        <c:lblAlgn val="ctr"/>
        <c:lblOffset val="100"/>
      </c:catAx>
      <c:valAx>
        <c:axId val="327184768"/>
        <c:scaling>
          <c:orientation val="minMax"/>
        </c:scaling>
        <c:axPos val="l"/>
        <c:majorGridlines>
          <c:spPr>
            <a:ln>
              <a:solidFill>
                <a:schemeClr val="accent3">
                  <a:lumMod val="20000"/>
                  <a:lumOff val="80000"/>
                </a:schemeClr>
              </a:solidFill>
            </a:ln>
          </c:spPr>
        </c:majorGridlines>
        <c:numFmt formatCode="#,##0;\-#,##0" sourceLinked="0"/>
        <c:majorTickMark val="none"/>
        <c:tickLblPos val="nextTo"/>
        <c:txPr>
          <a:bodyPr/>
          <a:lstStyle/>
          <a:p>
            <a:pPr>
              <a:defRPr sz="800">
                <a:latin typeface="Times New Roman" pitchFamily="18" charset="0"/>
                <a:cs typeface="Times New Roman" pitchFamily="18" charset="0"/>
              </a:defRPr>
            </a:pPr>
            <a:endParaRPr lang="zh-TW"/>
          </a:p>
        </c:txPr>
        <c:crossAx val="327163264"/>
        <c:crosses val="autoZero"/>
        <c:crossBetween val="between"/>
        <c:dispUnits>
          <c:builtInUnit val="hundredMillions"/>
        </c:dispUnits>
      </c:valAx>
    </c:plotArea>
    <c:legend>
      <c:legendPos val="r"/>
      <c:layout>
        <c:manualLayout>
          <c:xMode val="edge"/>
          <c:yMode val="edge"/>
          <c:x val="0.60888003705420068"/>
          <c:y val="0.19707328070069141"/>
          <c:w val="0.17962743694471345"/>
          <c:h val="9.0555600631428285E-2"/>
        </c:manualLayout>
      </c:layout>
      <c:txPr>
        <a:bodyPr/>
        <a:lstStyle/>
        <a:p>
          <a:pPr>
            <a:defRPr sz="800">
              <a:latin typeface="Times New Roman" pitchFamily="18" charset="0"/>
              <a:ea typeface="標楷體" pitchFamily="65" charset="-120"/>
              <a:cs typeface="Times New Roman" pitchFamily="18" charset="0"/>
            </a:defRPr>
          </a:pPr>
          <a:endParaRPr lang="zh-TW"/>
        </a:p>
      </c:txPr>
    </c:legend>
    <c:plotVisOnly val="1"/>
    <c:dispBlanksAs val="gap"/>
  </c:chart>
  <c:spPr>
    <a:ln>
      <a:noFill/>
    </a:ln>
  </c:spPr>
  <c:externalData r:id="rId1"/>
  <c:userShapes r:id="rId2"/>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zh-TW"/>
  <c:chart>
    <c:autoTitleDeleted val="1"/>
    <c:view3D>
      <c:rotX val="30"/>
      <c:hPercent val="60"/>
      <c:rotY val="290"/>
      <c:depthPercent val="160"/>
      <c:perspective val="0"/>
    </c:view3D>
    <c:sideWall>
      <c:spPr>
        <a:gradFill>
          <a:gsLst>
            <a:gs pos="0">
              <a:sysClr val="window" lastClr="FFFFFF"/>
            </a:gs>
            <a:gs pos="33000">
              <a:sysClr val="window" lastClr="FFFFFF"/>
            </a:gs>
            <a:gs pos="67000">
              <a:sysClr val="window" lastClr="FFFFFF"/>
            </a:gs>
            <a:gs pos="100000">
              <a:sysClr val="window" lastClr="FFFFFF"/>
            </a:gs>
          </a:gsLst>
          <a:lin ang="2700000" scaled="0"/>
        </a:gradFill>
      </c:spPr>
    </c:sideWall>
    <c:backWall>
      <c:spPr>
        <a:gradFill>
          <a:gsLst>
            <a:gs pos="0">
              <a:sysClr val="window" lastClr="FFFFFF"/>
            </a:gs>
            <a:gs pos="33000">
              <a:sysClr val="window" lastClr="FFFFFF"/>
            </a:gs>
            <a:gs pos="67000">
              <a:sysClr val="window" lastClr="FFFFFF"/>
            </a:gs>
            <a:gs pos="100000">
              <a:sysClr val="window" lastClr="FFFFFF"/>
            </a:gs>
          </a:gsLst>
          <a:lin ang="2700000" scaled="0"/>
        </a:gradFill>
      </c:spPr>
    </c:backWall>
    <c:plotArea>
      <c:layout>
        <c:manualLayout>
          <c:layoutTarget val="inner"/>
          <c:xMode val="edge"/>
          <c:yMode val="edge"/>
          <c:x val="8.8274523077152278E-2"/>
          <c:y val="0.31681014873140928"/>
          <c:w val="0.82358943551674568"/>
          <c:h val="0.54294379070352461"/>
        </c:manualLayout>
      </c:layout>
      <c:pie3DChart>
        <c:varyColors val="1"/>
        <c:ser>
          <c:idx val="0"/>
          <c:order val="0"/>
          <c:spPr>
            <a:ln w="28575">
              <a:solidFill>
                <a:srgbClr val="9780B2"/>
              </a:solidFill>
            </a:ln>
            <a:scene3d>
              <a:camera prst="orthographicFront"/>
              <a:lightRig rig="threePt" dir="t"/>
            </a:scene3d>
            <a:sp3d>
              <a:bevelT w="0" h="0"/>
              <a:contourClr>
                <a:srgbClr val="000000"/>
              </a:contourClr>
            </a:sp3d>
          </c:spPr>
          <c:dPt>
            <c:idx val="0"/>
            <c:spPr>
              <a:solidFill>
                <a:schemeClr val="accent3">
                  <a:lumMod val="40000"/>
                  <a:lumOff val="60000"/>
                </a:schemeClr>
              </a:solidFill>
              <a:ln w="28575">
                <a:noFill/>
              </a:ln>
              <a:scene3d>
                <a:camera prst="orthographicFront"/>
                <a:lightRig rig="threePt" dir="t"/>
              </a:scene3d>
              <a:sp3d>
                <a:bevelT w="0" h="0"/>
                <a:contourClr>
                  <a:srgbClr val="000000"/>
                </a:contourClr>
              </a:sp3d>
            </c:spPr>
          </c:dPt>
          <c:dPt>
            <c:idx val="1"/>
            <c:spPr>
              <a:solidFill>
                <a:schemeClr val="accent6">
                  <a:lumMod val="40000"/>
                  <a:lumOff val="60000"/>
                </a:schemeClr>
              </a:solidFill>
              <a:ln w="28575">
                <a:noFill/>
              </a:ln>
              <a:scene3d>
                <a:camera prst="orthographicFront"/>
                <a:lightRig rig="threePt" dir="t"/>
              </a:scene3d>
              <a:sp3d>
                <a:bevelT w="0" h="0"/>
                <a:contourClr>
                  <a:srgbClr val="000000"/>
                </a:contourClr>
              </a:sp3d>
            </c:spPr>
          </c:dPt>
          <c:dPt>
            <c:idx val="2"/>
            <c:spPr>
              <a:solidFill>
                <a:srgbClr val="FFFFAB"/>
              </a:solidFill>
              <a:ln w="28575">
                <a:noFill/>
              </a:ln>
              <a:scene3d>
                <a:camera prst="orthographicFront"/>
                <a:lightRig rig="threePt" dir="t"/>
              </a:scene3d>
              <a:sp3d>
                <a:bevelT w="0" h="0"/>
                <a:contourClr>
                  <a:srgbClr val="000000"/>
                </a:contourClr>
              </a:sp3d>
            </c:spPr>
          </c:dPt>
          <c:dPt>
            <c:idx val="3"/>
            <c:spPr>
              <a:solidFill>
                <a:schemeClr val="accent4">
                  <a:lumMod val="50000"/>
                </a:schemeClr>
              </a:solidFill>
              <a:ln w="28575">
                <a:noFill/>
              </a:ln>
              <a:scene3d>
                <a:camera prst="orthographicFront"/>
                <a:lightRig rig="threePt" dir="t"/>
              </a:scene3d>
              <a:sp3d>
                <a:bevelT w="0" h="0"/>
                <a:contourClr>
                  <a:srgbClr val="000000"/>
                </a:contourClr>
              </a:sp3d>
            </c:spPr>
          </c:dPt>
          <c:dLbls>
            <c:dLbl>
              <c:idx val="0"/>
              <c:layout>
                <c:manualLayout>
                  <c:x val="-4.7145064313769226E-2"/>
                  <c:y val="0.23395275590551182"/>
                </c:manualLayout>
              </c:layout>
              <c:dLblPos val="bestFit"/>
              <c:showVal val="1"/>
              <c:showCatName val="1"/>
              <c:showPercent val="1"/>
              <c:separator>
</c:separator>
            </c:dLbl>
            <c:dLbl>
              <c:idx val="1"/>
              <c:layout>
                <c:manualLayout>
                  <c:x val="0.13178803759591501"/>
                  <c:y val="-8.3832020997375564E-2"/>
                </c:manualLayout>
              </c:layout>
              <c:dLblPos val="bestFit"/>
              <c:showVal val="1"/>
              <c:showCatName val="1"/>
              <c:showPercent val="1"/>
              <c:separator>
</c:separator>
            </c:dLbl>
            <c:dLbl>
              <c:idx val="2"/>
              <c:layout>
                <c:manualLayout>
                  <c:x val="1.3836674670985281E-2"/>
                  <c:y val="7.6415328083989487E-2"/>
                </c:manualLayout>
              </c:layout>
              <c:dLblPos val="bestFit"/>
              <c:showVal val="1"/>
              <c:showCatName val="1"/>
              <c:showPercent val="1"/>
              <c:separator>
</c:separator>
            </c:dLbl>
            <c:dLbl>
              <c:idx val="3"/>
              <c:layout>
                <c:manualLayout>
                  <c:x val="3.4153000378498784E-2"/>
                  <c:y val="-1.3890603674540682E-2"/>
                </c:manualLayout>
              </c:layout>
              <c:dLblPos val="bestFit"/>
              <c:showVal val="1"/>
              <c:showCatName val="1"/>
              <c:showPercent val="1"/>
              <c:separator>
</c:separator>
            </c:dLbl>
            <c:dLbl>
              <c:idx val="4"/>
              <c:layout>
                <c:manualLayout>
                  <c:x val="1.2777217561701094E-2"/>
                  <c:y val="8.0198637858586996E-2"/>
                </c:manualLayout>
              </c:layout>
              <c:dLblPos val="bestFit"/>
              <c:showVal val="1"/>
              <c:showCatName val="1"/>
              <c:showPercent val="1"/>
              <c:separator>
</c:separator>
            </c:dLbl>
            <c:dLbl>
              <c:idx val="5"/>
              <c:layout>
                <c:manualLayout>
                  <c:x val="1.632302774142357E-3"/>
                  <c:y val="-5.7143788840130133E-2"/>
                </c:manualLayout>
              </c:layout>
              <c:dLblPos val="bestFit"/>
              <c:showVal val="1"/>
              <c:showCatName val="1"/>
              <c:showPercent val="1"/>
              <c:separator>
</c:separator>
            </c:dLbl>
            <c:numFmt formatCode="0.0%" sourceLinked="0"/>
            <c:txPr>
              <a:bodyPr/>
              <a:lstStyle/>
              <a:p>
                <a:pPr>
                  <a:defRPr sz="800">
                    <a:latin typeface="Times New Roman" pitchFamily="18" charset="0"/>
                    <a:ea typeface="標楷體" pitchFamily="65" charset="-120"/>
                    <a:cs typeface="Times New Roman" pitchFamily="18" charset="0"/>
                  </a:defRPr>
                </a:pPr>
                <a:endParaRPr lang="zh-TW"/>
              </a:p>
            </c:txPr>
            <c:dLblPos val="outEnd"/>
            <c:showVal val="1"/>
            <c:showCatName val="1"/>
            <c:showPercent val="1"/>
          </c:dLbls>
          <c:cat>
            <c:strRef>
              <c:f>申報特約別!$A$19:$A$24</c:f>
              <c:strCache>
                <c:ptCount val="6"/>
                <c:pt idx="0">
                  <c:v>Academic Medical Centers</c:v>
                </c:pt>
                <c:pt idx="1">
                  <c:v>Metropolitan Hospitals</c:v>
                </c:pt>
                <c:pt idx="2">
                  <c:v>Local Community Hospitals</c:v>
                </c:pt>
                <c:pt idx="3">
                  <c:v>Physician Clinics </c:v>
                </c:pt>
                <c:pt idx="4">
                  <c:v>Pharmacies</c:v>
                </c:pt>
                <c:pt idx="5">
                  <c:v>Medical Laboratory Institutions   </c:v>
                </c:pt>
              </c:strCache>
            </c:strRef>
          </c:cat>
          <c:val>
            <c:numRef>
              <c:f>申報特約別!$H$19:$H$22</c:f>
              <c:numCache>
                <c:formatCode>_-* #,##0_-;\-* #,##0_-;_-* "-"??_-;_-@_-</c:formatCode>
                <c:ptCount val="4"/>
                <c:pt idx="0">
                  <c:v>71.976360129</c:v>
                </c:pt>
                <c:pt idx="1">
                  <c:v>67.506909758999981</c:v>
                </c:pt>
                <c:pt idx="2">
                  <c:v>28.580178155999999</c:v>
                </c:pt>
                <c:pt idx="3">
                  <c:v>1.7288749479999914</c:v>
                </c:pt>
              </c:numCache>
            </c:numRef>
          </c:val>
        </c:ser>
      </c:pie3DChart>
    </c:plotArea>
    <c:plotVisOnly val="1"/>
    <c:dispBlanksAs val="zero"/>
  </c:chart>
  <c:spPr>
    <a:gradFill>
      <a:gsLst>
        <a:gs pos="0">
          <a:sysClr val="window" lastClr="FFFFFF"/>
        </a:gs>
        <a:gs pos="33000">
          <a:sysClr val="window" lastClr="FFFFFF"/>
        </a:gs>
        <a:gs pos="67000">
          <a:sysClr val="window" lastClr="FFFFFF"/>
        </a:gs>
        <a:gs pos="100000">
          <a:schemeClr val="bg1"/>
        </a:gs>
      </a:gsLst>
      <a:lin ang="2700000" scaled="0"/>
    </a:gradFill>
    <a:ln>
      <a:noFill/>
    </a:ln>
  </c:spPr>
  <c:externalData r:id="rId1"/>
  <c:userShapes r:id="rId2"/>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zh-TW"/>
  <c:chart>
    <c:autoTitleDeleted val="1"/>
    <c:view3D>
      <c:rotX val="30"/>
      <c:hPercent val="60"/>
      <c:rotY val="241"/>
      <c:depthPercent val="160"/>
      <c:perspective val="0"/>
    </c:view3D>
    <c:sideWall>
      <c:spPr>
        <a:gradFill>
          <a:gsLst>
            <a:gs pos="0">
              <a:sysClr val="window" lastClr="FFFFFF"/>
            </a:gs>
            <a:gs pos="33000">
              <a:sysClr val="window" lastClr="FFFFFF"/>
            </a:gs>
            <a:gs pos="67000">
              <a:sysClr val="window" lastClr="FFFFFF"/>
            </a:gs>
            <a:gs pos="100000">
              <a:sysClr val="window" lastClr="FFFFFF"/>
            </a:gs>
          </a:gsLst>
          <a:lin ang="2700000" scaled="0"/>
        </a:gradFill>
      </c:spPr>
    </c:sideWall>
    <c:backWall>
      <c:spPr>
        <a:gradFill>
          <a:gsLst>
            <a:gs pos="0">
              <a:sysClr val="window" lastClr="FFFFFF"/>
            </a:gs>
            <a:gs pos="33000">
              <a:sysClr val="window" lastClr="FFFFFF"/>
            </a:gs>
            <a:gs pos="67000">
              <a:sysClr val="window" lastClr="FFFFFF"/>
            </a:gs>
            <a:gs pos="100000">
              <a:sysClr val="window" lastClr="FFFFFF"/>
            </a:gs>
          </a:gsLst>
          <a:lin ang="2700000" scaled="0"/>
        </a:gradFill>
      </c:spPr>
    </c:backWall>
    <c:plotArea>
      <c:layout>
        <c:manualLayout>
          <c:layoutTarget val="inner"/>
          <c:xMode val="edge"/>
          <c:yMode val="edge"/>
          <c:x val="0.12779633731108209"/>
          <c:y val="0.25556516614706132"/>
          <c:w val="0.776743135236037"/>
          <c:h val="0.5155446577949685"/>
        </c:manualLayout>
      </c:layout>
      <c:pie3DChart>
        <c:varyColors val="1"/>
        <c:ser>
          <c:idx val="0"/>
          <c:order val="0"/>
          <c:dPt>
            <c:idx val="0"/>
            <c:spPr>
              <a:solidFill>
                <a:schemeClr val="accent3">
                  <a:lumMod val="40000"/>
                  <a:lumOff val="60000"/>
                </a:schemeClr>
              </a:solidFill>
            </c:spPr>
          </c:dPt>
          <c:dPt>
            <c:idx val="2"/>
            <c:spPr>
              <a:solidFill>
                <a:srgbClr val="FFFFAB"/>
              </a:solidFill>
            </c:spPr>
          </c:dPt>
          <c:dPt>
            <c:idx val="3"/>
            <c:spPr>
              <a:solidFill>
                <a:schemeClr val="accent6">
                  <a:lumMod val="40000"/>
                  <a:lumOff val="60000"/>
                </a:schemeClr>
              </a:solidFill>
            </c:spPr>
          </c:dPt>
          <c:dPt>
            <c:idx val="4"/>
            <c:spPr>
              <a:solidFill>
                <a:schemeClr val="accent5">
                  <a:lumMod val="40000"/>
                  <a:lumOff val="60000"/>
                </a:schemeClr>
              </a:solidFill>
            </c:spPr>
          </c:dPt>
          <c:dPt>
            <c:idx val="5"/>
            <c:spPr>
              <a:solidFill>
                <a:schemeClr val="accent2">
                  <a:lumMod val="50000"/>
                </a:schemeClr>
              </a:solidFill>
            </c:spPr>
          </c:dPt>
          <c:dPt>
            <c:idx val="6"/>
            <c:spPr>
              <a:solidFill>
                <a:schemeClr val="accent4">
                  <a:lumMod val="60000"/>
                  <a:lumOff val="40000"/>
                </a:schemeClr>
              </a:solidFill>
            </c:spPr>
          </c:dPt>
          <c:dLbls>
            <c:dLbl>
              <c:idx val="0"/>
              <c:layout>
                <c:manualLayout>
                  <c:x val="9.5239410863115683E-3"/>
                  <c:y val="0.21102698723221891"/>
                </c:manualLayout>
              </c:layout>
              <c:showVal val="1"/>
              <c:showCatName val="1"/>
              <c:showPercent val="1"/>
              <c:separator>
</c:separator>
            </c:dLbl>
            <c:dLbl>
              <c:idx val="1"/>
              <c:layout>
                <c:manualLayout>
                  <c:x val="4.9280418895007012E-2"/>
                  <c:y val="-5.4088092160291992E-2"/>
                </c:manualLayout>
              </c:layout>
              <c:showVal val="1"/>
              <c:showCatName val="1"/>
              <c:showPercent val="1"/>
              <c:separator>
</c:separator>
            </c:dLbl>
            <c:dLbl>
              <c:idx val="2"/>
              <c:layout>
                <c:manualLayout>
                  <c:x val="-2.1637671761618092E-2"/>
                  <c:y val="4.2985522195733872E-2"/>
                </c:manualLayout>
              </c:layout>
              <c:showVal val="1"/>
              <c:showCatName val="1"/>
              <c:showPercent val="1"/>
              <c:separator>
</c:separator>
            </c:dLbl>
            <c:dLbl>
              <c:idx val="3"/>
              <c:layout>
                <c:manualLayout>
                  <c:x val="-4.7002120971943596E-2"/>
                  <c:y val="-1.9508526346487486E-3"/>
                </c:manualLayout>
              </c:layout>
              <c:showVal val="1"/>
              <c:showCatName val="1"/>
              <c:showPercent val="1"/>
              <c:separator>
</c:separator>
            </c:dLbl>
            <c:dLbl>
              <c:idx val="4"/>
              <c:layout>
                <c:manualLayout>
                  <c:x val="0.10159900050123113"/>
                  <c:y val="3.5690165922242181E-2"/>
                </c:manualLayout>
              </c:layout>
              <c:showVal val="1"/>
              <c:showCatName val="1"/>
              <c:showPercent val="1"/>
              <c:separator>
</c:separator>
            </c:dLbl>
            <c:dLbl>
              <c:idx val="5"/>
              <c:layout>
                <c:manualLayout>
                  <c:x val="1.2794979574921556E-2"/>
                  <c:y val="0.1310326383752359"/>
                </c:manualLayout>
              </c:layout>
              <c:showVal val="1"/>
              <c:showCatName val="1"/>
              <c:showPercent val="1"/>
              <c:separator>
</c:separator>
            </c:dLbl>
            <c:dLbl>
              <c:idx val="6"/>
              <c:layout>
                <c:manualLayout>
                  <c:x val="-6.4257231004019533E-2"/>
                  <c:y val="-8.2596121276640067E-2"/>
                </c:manualLayout>
              </c:layout>
              <c:showVal val="1"/>
              <c:showCatName val="1"/>
              <c:showPercent val="1"/>
              <c:separator>
</c:separator>
            </c:dLbl>
            <c:numFmt formatCode="0.0%" sourceLinked="0"/>
            <c:txPr>
              <a:bodyPr/>
              <a:lstStyle/>
              <a:p>
                <a:pPr>
                  <a:defRPr sz="800">
                    <a:latin typeface="Times New Roman" pitchFamily="18" charset="0"/>
                    <a:ea typeface="標楷體" pitchFamily="65" charset="-120"/>
                    <a:cs typeface="Times New Roman" pitchFamily="18" charset="0"/>
                  </a:defRPr>
                </a:pPr>
                <a:endParaRPr lang="zh-TW"/>
              </a:p>
            </c:txPr>
            <c:showVal val="1"/>
            <c:showCatName val="1"/>
            <c:showPercent val="1"/>
            <c:separator>
</c:separator>
            <c:showLeaderLines val="1"/>
          </c:dLbls>
          <c:cat>
            <c:strRef>
              <c:f>(住院申報案件別!$H$3,住院申報案件別!$N$3,住院申報案件別!$T$3,住院申報案件別!$Z$3,住院申報案件別!$AF$3,住院申報案件別!$AL$3,住院申報案件別!$AR$3)</c:f>
              <c:strCache>
                <c:ptCount val="7"/>
                <c:pt idx="0">
                  <c:v>General Cases</c:v>
                </c:pt>
                <c:pt idx="1">
                  <c:v>Case-payment Cases</c:v>
                </c:pt>
                <c:pt idx="2">
                  <c:v>Special Cases</c:v>
                </c:pt>
                <c:pt idx="3">
                  <c:v>Pilot Project</c:v>
                </c:pt>
                <c:pt idx="4">
                  <c:v>Tw-DRGs</c:v>
                </c:pt>
                <c:pt idx="5">
                  <c:v>Hospice Care</c:v>
                </c:pt>
                <c:pt idx="6">
                  <c:v>Commission Cases</c:v>
                </c:pt>
              </c:strCache>
            </c:strRef>
          </c:cat>
          <c:val>
            <c:numRef>
              <c:f>住院申報案件別!$J$19:$J$25</c:f>
              <c:numCache>
                <c:formatCode>_-* #,##0_-;\-* #,##0_-;_-* "-"??_-;_-@_-</c:formatCode>
                <c:ptCount val="7"/>
                <c:pt idx="0">
                  <c:v>111.13137265799963</c:v>
                </c:pt>
                <c:pt idx="1">
                  <c:v>1.8984691250000001</c:v>
                </c:pt>
                <c:pt idx="2">
                  <c:v>14.250216760000001</c:v>
                </c:pt>
                <c:pt idx="3">
                  <c:v>15.799087833000026</c:v>
                </c:pt>
                <c:pt idx="4">
                  <c:v>24.007794519000001</c:v>
                </c:pt>
                <c:pt idx="5">
                  <c:v>0.71930041100000064</c:v>
                </c:pt>
                <c:pt idx="6">
                  <c:v>1.9860816859999999</c:v>
                </c:pt>
              </c:numCache>
            </c:numRef>
          </c:val>
        </c:ser>
      </c:pie3DChart>
    </c:plotArea>
    <c:plotVisOnly val="1"/>
    <c:dispBlanksAs val="zero"/>
  </c:chart>
  <c:spPr>
    <a:gradFill>
      <a:gsLst>
        <a:gs pos="0">
          <a:sysClr val="window" lastClr="FFFFFF"/>
        </a:gs>
        <a:gs pos="33000">
          <a:sysClr val="window" lastClr="FFFFFF"/>
        </a:gs>
        <a:gs pos="67000">
          <a:sysClr val="window" lastClr="FFFFFF"/>
        </a:gs>
        <a:gs pos="100000">
          <a:schemeClr val="bg1"/>
        </a:gs>
      </a:gsLst>
      <a:lin ang="2700000" scaled="0"/>
    </a:gradFill>
    <a:ln>
      <a:noFill/>
    </a:ln>
  </c:spPr>
  <c:externalData r:id="rId1"/>
  <c:userShapes r:id="rId2"/>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zh-TW"/>
  <c:chart>
    <c:autoTitleDeleted val="1"/>
    <c:view3D>
      <c:rAngAx val="1"/>
    </c:view3D>
    <c:floor>
      <c:spPr>
        <a:solidFill>
          <a:srgbClr val="E0E0E0">
            <a:alpha val="49000"/>
          </a:srgbClr>
        </a:solidFill>
      </c:spPr>
    </c:floor>
    <c:sideWall>
      <c:spPr>
        <a:solidFill>
          <a:srgbClr val="9BBB59">
            <a:lumMod val="20000"/>
            <a:lumOff val="80000"/>
            <a:alpha val="76000"/>
          </a:srgbClr>
        </a:solidFill>
      </c:spPr>
    </c:sideWall>
    <c:backWall>
      <c:spPr>
        <a:solidFill>
          <a:srgbClr val="9BBB59">
            <a:lumMod val="20000"/>
            <a:lumOff val="80000"/>
            <a:alpha val="76000"/>
          </a:srgbClr>
        </a:solidFill>
      </c:spPr>
    </c:backWall>
    <c:plotArea>
      <c:layout>
        <c:manualLayout>
          <c:layoutTarget val="inner"/>
          <c:xMode val="edge"/>
          <c:yMode val="edge"/>
          <c:x val="0.18298133465024283"/>
          <c:y val="0.18646744458147968"/>
          <c:w val="0.66812148481440092"/>
          <c:h val="0.64767194763305536"/>
        </c:manualLayout>
      </c:layout>
      <c:bar3DChart>
        <c:barDir val="bar"/>
        <c:grouping val="stacked"/>
        <c:ser>
          <c:idx val="2"/>
          <c:order val="0"/>
          <c:tx>
            <c:strRef>
              <c:f>住院申報案件別!$A$13</c:f>
              <c:strCache>
                <c:ptCount val="1"/>
                <c:pt idx="0">
                  <c:v>Academic Medical Centers</c:v>
                </c:pt>
              </c:strCache>
            </c:strRef>
          </c:tx>
          <c:spPr>
            <a:solidFill>
              <a:srgbClr val="CBDCA8"/>
            </a:solidFill>
          </c:spPr>
          <c:dLbls>
            <c:txPr>
              <a:bodyPr/>
              <a:lstStyle/>
              <a:p>
                <a:pPr>
                  <a:defRPr sz="800">
                    <a:latin typeface="Times New Roman" pitchFamily="18" charset="0"/>
                    <a:cs typeface="Times New Roman" pitchFamily="18" charset="0"/>
                  </a:defRPr>
                </a:pPr>
                <a:endParaRPr lang="zh-TW"/>
              </a:p>
            </c:txPr>
            <c:showVal val="1"/>
          </c:dLbls>
          <c:cat>
            <c:strRef>
              <c:f>(住院申報案件別!$H$3,住院申報案件別!$N$3,住院申報案件別!$T$3,住院申報案件別!$Z$3,住院申報案件別!$AF$3,住院申報案件別!$AL$3,住院申報案件別!$AR$3)</c:f>
              <c:strCache>
                <c:ptCount val="7"/>
                <c:pt idx="0">
                  <c:v>General Cases</c:v>
                </c:pt>
                <c:pt idx="1">
                  <c:v>Case-payment Cases</c:v>
                </c:pt>
                <c:pt idx="2">
                  <c:v>Special Cases</c:v>
                </c:pt>
                <c:pt idx="3">
                  <c:v>Pilot Project</c:v>
                </c:pt>
                <c:pt idx="4">
                  <c:v>Tw-DRGs</c:v>
                </c:pt>
                <c:pt idx="5">
                  <c:v>Hospice Care</c:v>
                </c:pt>
                <c:pt idx="6">
                  <c:v>Commission Cases</c:v>
                </c:pt>
              </c:strCache>
            </c:strRef>
          </c:cat>
          <c:val>
            <c:numRef>
              <c:f>(住院申報案件別!$J$13,住院申報案件別!$P$13,住院申報案件別!$V$13,住院申報案件別!$AB$13,住院申報案件別!$AH$13,住院申報案件別!$AN$13,住院申報案件別!$AT$13)</c:f>
              <c:numCache>
                <c:formatCode>0.0_ </c:formatCode>
                <c:ptCount val="7"/>
                <c:pt idx="0">
                  <c:v>40.74813007876601</c:v>
                </c:pt>
                <c:pt idx="1">
                  <c:v>3.6656086255814144</c:v>
                </c:pt>
                <c:pt idx="2">
                  <c:v>70.09739110803531</c:v>
                </c:pt>
                <c:pt idx="3">
                  <c:v>34.406275130934652</c:v>
                </c:pt>
                <c:pt idx="4">
                  <c:v>41.556355112521146</c:v>
                </c:pt>
                <c:pt idx="5">
                  <c:v>47.106798330468429</c:v>
                </c:pt>
                <c:pt idx="6">
                  <c:v>44.42424776480204</c:v>
                </c:pt>
              </c:numCache>
            </c:numRef>
          </c:val>
        </c:ser>
        <c:ser>
          <c:idx val="3"/>
          <c:order val="1"/>
          <c:tx>
            <c:strRef>
              <c:f>住院申報案件別!$A$14</c:f>
              <c:strCache>
                <c:ptCount val="1"/>
                <c:pt idx="0">
                  <c:v>Metropolitan Hospitals</c:v>
                </c:pt>
              </c:strCache>
            </c:strRef>
          </c:tx>
          <c:spPr>
            <a:solidFill>
              <a:srgbClr val="FFFFAB"/>
            </a:solidFill>
          </c:spPr>
          <c:dLbls>
            <c:dLbl>
              <c:idx val="1"/>
              <c:layout>
                <c:manualLayout>
                  <c:x val="2.473716759431057E-3"/>
                  <c:y val="4.0160642570281097E-2"/>
                </c:manualLayout>
              </c:layout>
              <c:showVal val="1"/>
            </c:dLbl>
            <c:txPr>
              <a:bodyPr/>
              <a:lstStyle/>
              <a:p>
                <a:pPr>
                  <a:defRPr sz="800">
                    <a:latin typeface="Times New Roman" pitchFamily="18" charset="0"/>
                    <a:cs typeface="Times New Roman" pitchFamily="18" charset="0"/>
                  </a:defRPr>
                </a:pPr>
                <a:endParaRPr lang="zh-TW"/>
              </a:p>
            </c:txPr>
            <c:showVal val="1"/>
          </c:dLbls>
          <c:cat>
            <c:strRef>
              <c:f>(住院申報案件別!$H$3,住院申報案件別!$N$3,住院申報案件別!$T$3,住院申報案件別!$Z$3,住院申報案件別!$AF$3,住院申報案件別!$AL$3,住院申報案件別!$AR$3)</c:f>
              <c:strCache>
                <c:ptCount val="7"/>
                <c:pt idx="0">
                  <c:v>General Cases</c:v>
                </c:pt>
                <c:pt idx="1">
                  <c:v>Case-payment Cases</c:v>
                </c:pt>
                <c:pt idx="2">
                  <c:v>Special Cases</c:v>
                </c:pt>
                <c:pt idx="3">
                  <c:v>Pilot Project</c:v>
                </c:pt>
                <c:pt idx="4">
                  <c:v>Tw-DRGs</c:v>
                </c:pt>
                <c:pt idx="5">
                  <c:v>Hospice Care</c:v>
                </c:pt>
                <c:pt idx="6">
                  <c:v>Commission Cases</c:v>
                </c:pt>
              </c:strCache>
            </c:strRef>
          </c:cat>
          <c:val>
            <c:numRef>
              <c:f>(住院申報案件別!$J$14,住院申報案件別!$P$14,住院申報案件別!$V$14,住院申報案件別!$AB$14,住院申報案件別!$AH$14,住院申報案件別!$AN$14,住院申報案件別!$AT$14)</c:f>
              <c:numCache>
                <c:formatCode>0.0_ </c:formatCode>
                <c:ptCount val="7"/>
                <c:pt idx="0">
                  <c:v>42.635998459062513</c:v>
                </c:pt>
                <c:pt idx="1">
                  <c:v>4.3826389328296314</c:v>
                </c:pt>
                <c:pt idx="2">
                  <c:v>28.483452808896082</c:v>
                </c:pt>
                <c:pt idx="3">
                  <c:v>32.396987782478135</c:v>
                </c:pt>
                <c:pt idx="4">
                  <c:v>40.422552860154426</c:v>
                </c:pt>
                <c:pt idx="5">
                  <c:v>48.801924568898819</c:v>
                </c:pt>
                <c:pt idx="6">
                  <c:v>40.721295035394625</c:v>
                </c:pt>
              </c:numCache>
            </c:numRef>
          </c:val>
        </c:ser>
        <c:ser>
          <c:idx val="4"/>
          <c:order val="2"/>
          <c:tx>
            <c:strRef>
              <c:f>住院申報案件別!$A$15</c:f>
              <c:strCache>
                <c:ptCount val="1"/>
                <c:pt idx="0">
                  <c:v>Local Community Hospitals</c:v>
                </c:pt>
              </c:strCache>
            </c:strRef>
          </c:tx>
          <c:spPr>
            <a:solidFill>
              <a:schemeClr val="accent6">
                <a:lumMod val="40000"/>
                <a:lumOff val="60000"/>
              </a:schemeClr>
            </a:solidFill>
          </c:spPr>
          <c:dLbls>
            <c:txPr>
              <a:bodyPr/>
              <a:lstStyle/>
              <a:p>
                <a:pPr>
                  <a:defRPr sz="800">
                    <a:latin typeface="Times New Roman" pitchFamily="18" charset="0"/>
                    <a:cs typeface="Times New Roman" pitchFamily="18" charset="0"/>
                  </a:defRPr>
                </a:pPr>
                <a:endParaRPr lang="zh-TW"/>
              </a:p>
            </c:txPr>
            <c:showVal val="1"/>
          </c:dLbls>
          <c:cat>
            <c:strRef>
              <c:f>(住院申報案件別!$H$3,住院申報案件別!$N$3,住院申報案件別!$T$3,住院申報案件別!$Z$3,住院申報案件別!$AF$3,住院申報案件別!$AL$3,住院申報案件別!$AR$3)</c:f>
              <c:strCache>
                <c:ptCount val="7"/>
                <c:pt idx="0">
                  <c:v>General Cases</c:v>
                </c:pt>
                <c:pt idx="1">
                  <c:v>Case-payment Cases</c:v>
                </c:pt>
                <c:pt idx="2">
                  <c:v>Special Cases</c:v>
                </c:pt>
                <c:pt idx="3">
                  <c:v>Pilot Project</c:v>
                </c:pt>
                <c:pt idx="4">
                  <c:v>Tw-DRGs</c:v>
                </c:pt>
                <c:pt idx="5">
                  <c:v>Hospice Care</c:v>
                </c:pt>
                <c:pt idx="6">
                  <c:v>Commission Cases</c:v>
                </c:pt>
              </c:strCache>
            </c:strRef>
          </c:cat>
          <c:val>
            <c:numRef>
              <c:f>(住院申報案件別!$J$15,住院申報案件別!$P$15,住院申報案件別!$V$15,住院申報案件別!$AB$15,住院申報案件別!$AH$15,住院申報案件別!$AN$15,住院申報案件別!$AT$15)</c:f>
              <c:numCache>
                <c:formatCode>0.0_ </c:formatCode>
                <c:ptCount val="7"/>
                <c:pt idx="0">
                  <c:v>16.596313938962489</c:v>
                </c:pt>
                <c:pt idx="1">
                  <c:v>2.082356804196118</c:v>
                </c:pt>
                <c:pt idx="2">
                  <c:v>1.4191560830685919</c:v>
                </c:pt>
                <c:pt idx="3">
                  <c:v>33.196737086587262</c:v>
                </c:pt>
                <c:pt idx="4">
                  <c:v>18.016936397788591</c:v>
                </c:pt>
                <c:pt idx="5">
                  <c:v>4.091277100632726</c:v>
                </c:pt>
                <c:pt idx="6">
                  <c:v>14.85445719980325</c:v>
                </c:pt>
              </c:numCache>
            </c:numRef>
          </c:val>
        </c:ser>
        <c:ser>
          <c:idx val="5"/>
          <c:order val="3"/>
          <c:tx>
            <c:strRef>
              <c:f>住院申報案件別!$A$16</c:f>
              <c:strCache>
                <c:ptCount val="1"/>
                <c:pt idx="0">
                  <c:v>Physician Clinics </c:v>
                </c:pt>
              </c:strCache>
            </c:strRef>
          </c:tx>
          <c:spPr>
            <a:solidFill>
              <a:schemeClr val="accent5">
                <a:lumMod val="40000"/>
                <a:lumOff val="60000"/>
              </a:schemeClr>
            </a:solidFill>
          </c:spPr>
          <c:dLbls>
            <c:dLbl>
              <c:idx val="1"/>
              <c:showVal val="1"/>
            </c:dLbl>
            <c:delete val="1"/>
            <c:txPr>
              <a:bodyPr/>
              <a:lstStyle/>
              <a:p>
                <a:pPr>
                  <a:defRPr sz="800"/>
                </a:pPr>
                <a:endParaRPr lang="zh-TW"/>
              </a:p>
            </c:txPr>
          </c:dLbls>
          <c:cat>
            <c:strRef>
              <c:f>(住院申報案件別!$H$3,住院申報案件別!$N$3,住院申報案件別!$T$3,住院申報案件別!$Z$3,住院申報案件別!$AF$3,住院申報案件別!$AL$3,住院申報案件別!$AR$3)</c:f>
              <c:strCache>
                <c:ptCount val="7"/>
                <c:pt idx="0">
                  <c:v>General Cases</c:v>
                </c:pt>
                <c:pt idx="1">
                  <c:v>Case-payment Cases</c:v>
                </c:pt>
                <c:pt idx="2">
                  <c:v>Special Cases</c:v>
                </c:pt>
                <c:pt idx="3">
                  <c:v>Pilot Project</c:v>
                </c:pt>
                <c:pt idx="4">
                  <c:v>Tw-DRGs</c:v>
                </c:pt>
                <c:pt idx="5">
                  <c:v>Hospice Care</c:v>
                </c:pt>
                <c:pt idx="6">
                  <c:v>Commission Cases</c:v>
                </c:pt>
              </c:strCache>
            </c:strRef>
          </c:cat>
          <c:val>
            <c:numRef>
              <c:f>(住院申報案件別!$J$16,住院申報案件別!$P$16,住院申報案件別!$V$16,住院申報案件別!$AB$16,住院申報案件別!$AH$16,住院申報案件別!$AN$16,住院申報案件別!$AT$16)</c:f>
              <c:numCache>
                <c:formatCode>0.0_ </c:formatCode>
                <c:ptCount val="7"/>
                <c:pt idx="0">
                  <c:v>1.9557523208938311E-2</c:v>
                </c:pt>
                <c:pt idx="1">
                  <c:v>89.869395637392842</c:v>
                </c:pt>
                <c:pt idx="2">
                  <c:v>0</c:v>
                </c:pt>
                <c:pt idx="3">
                  <c:v>0</c:v>
                </c:pt>
                <c:pt idx="4">
                  <c:v>4.1556295361093324E-3</c:v>
                </c:pt>
                <c:pt idx="5">
                  <c:v>0</c:v>
                </c:pt>
                <c:pt idx="6">
                  <c:v>0</c:v>
                </c:pt>
              </c:numCache>
            </c:numRef>
          </c:val>
        </c:ser>
        <c:shape val="box"/>
        <c:axId val="371201920"/>
        <c:axId val="371203456"/>
        <c:axId val="0"/>
      </c:bar3DChart>
      <c:catAx>
        <c:axId val="371201920"/>
        <c:scaling>
          <c:orientation val="maxMin"/>
        </c:scaling>
        <c:axPos val="l"/>
        <c:numFmt formatCode="General" sourceLinked="1"/>
        <c:majorTickMark val="none"/>
        <c:tickLblPos val="nextTo"/>
        <c:txPr>
          <a:bodyPr/>
          <a:lstStyle/>
          <a:p>
            <a:pPr>
              <a:defRPr sz="800">
                <a:latin typeface="Times New Roman" pitchFamily="18" charset="0"/>
                <a:ea typeface="標楷體" pitchFamily="65" charset="-120"/>
                <a:cs typeface="Times New Roman" pitchFamily="18" charset="0"/>
              </a:defRPr>
            </a:pPr>
            <a:endParaRPr lang="zh-TW"/>
          </a:p>
        </c:txPr>
        <c:crossAx val="371203456"/>
        <c:crosses val="autoZero"/>
        <c:auto val="1"/>
        <c:lblAlgn val="ctr"/>
        <c:lblOffset val="100"/>
      </c:catAx>
      <c:valAx>
        <c:axId val="371203456"/>
        <c:scaling>
          <c:orientation val="minMax"/>
        </c:scaling>
        <c:axPos val="t"/>
        <c:majorGridlines>
          <c:spPr>
            <a:ln>
              <a:solidFill>
                <a:srgbClr val="8064A2">
                  <a:lumMod val="40000"/>
                  <a:lumOff val="60000"/>
                  <a:alpha val="0"/>
                </a:srgbClr>
              </a:solidFill>
            </a:ln>
          </c:spPr>
        </c:majorGridlines>
        <c:numFmt formatCode="#,##0;[Red]\-#,##0" sourceLinked="0"/>
        <c:majorTickMark val="none"/>
        <c:tickLblPos val="high"/>
        <c:txPr>
          <a:bodyPr/>
          <a:lstStyle/>
          <a:p>
            <a:pPr>
              <a:defRPr sz="800">
                <a:latin typeface="Times New Roman" pitchFamily="18" charset="0"/>
                <a:cs typeface="Times New Roman" pitchFamily="18" charset="0"/>
              </a:defRPr>
            </a:pPr>
            <a:endParaRPr lang="zh-TW"/>
          </a:p>
        </c:txPr>
        <c:crossAx val="371201920"/>
        <c:crosses val="autoZero"/>
        <c:crossBetween val="between"/>
      </c:valAx>
    </c:plotArea>
    <c:legend>
      <c:legendPos val="r"/>
      <c:layout>
        <c:manualLayout>
          <c:xMode val="edge"/>
          <c:yMode val="edge"/>
          <c:x val="6.7363530778164926E-2"/>
          <c:y val="0.90018910286816567"/>
          <c:w val="0.85937117616395564"/>
          <c:h val="8.0662808715175727E-2"/>
        </c:manualLayout>
      </c:layout>
      <c:txPr>
        <a:bodyPr/>
        <a:lstStyle/>
        <a:p>
          <a:pPr>
            <a:defRPr sz="800">
              <a:latin typeface="Times New Roman" pitchFamily="18" charset="0"/>
              <a:ea typeface="標楷體" pitchFamily="65" charset="-120"/>
              <a:cs typeface="Times New Roman" pitchFamily="18" charset="0"/>
            </a:defRPr>
          </a:pPr>
          <a:endParaRPr lang="zh-TW"/>
        </a:p>
      </c:txPr>
    </c:legend>
    <c:plotVisOnly val="1"/>
    <c:dispBlanksAs val="gap"/>
  </c:chart>
  <c:spPr>
    <a:noFill/>
    <a:ln>
      <a:noFill/>
    </a:ln>
  </c:spPr>
  <c:externalData r:id="rId1"/>
  <c:userShapes r:id="rId2"/>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zh-TW"/>
  <c:chart>
    <c:view3D>
      <c:rotX val="10"/>
      <c:depthPercent val="90"/>
      <c:rAngAx val="1"/>
    </c:view3D>
    <c:sideWall>
      <c:spPr>
        <a:solidFill>
          <a:srgbClr val="9BBB59">
            <a:lumMod val="20000"/>
            <a:lumOff val="80000"/>
            <a:alpha val="50000"/>
          </a:srgbClr>
        </a:solidFill>
      </c:spPr>
    </c:sideWall>
    <c:backWall>
      <c:spPr>
        <a:solidFill>
          <a:srgbClr val="9BBB59">
            <a:lumMod val="20000"/>
            <a:lumOff val="80000"/>
            <a:alpha val="50000"/>
          </a:srgbClr>
        </a:solidFill>
      </c:spPr>
    </c:backWall>
    <c:plotArea>
      <c:layout>
        <c:manualLayout>
          <c:layoutTarget val="inner"/>
          <c:xMode val="edge"/>
          <c:yMode val="edge"/>
          <c:x val="8.6414052584750226E-2"/>
          <c:y val="0.22763683623924047"/>
          <c:w val="0.81509023094601263"/>
          <c:h val="0.68789549091472191"/>
        </c:manualLayout>
      </c:layout>
      <c:bar3DChart>
        <c:barDir val="col"/>
        <c:grouping val="clustered"/>
        <c:ser>
          <c:idx val="10"/>
          <c:order val="0"/>
          <c:tx>
            <c:strRef>
              <c:f>住院申報縣市!$F$101</c:f>
              <c:strCache>
                <c:ptCount val="1"/>
                <c:pt idx="0">
                  <c:v>Male</c:v>
                </c:pt>
              </c:strCache>
            </c:strRef>
          </c:tx>
          <c:spPr>
            <a:solidFill>
              <a:schemeClr val="accent3">
                <a:lumMod val="60000"/>
                <a:lumOff val="40000"/>
              </a:schemeClr>
            </a:solidFill>
          </c:spPr>
          <c:dLbls>
            <c:numFmt formatCode="#,##0;\-#,##0" sourceLinked="0"/>
            <c:txPr>
              <a:bodyPr/>
              <a:lstStyle/>
              <a:p>
                <a:pPr>
                  <a:defRPr sz="900">
                    <a:latin typeface="Times New Roman" pitchFamily="18" charset="0"/>
                    <a:cs typeface="Times New Roman" pitchFamily="18" charset="0"/>
                  </a:defRPr>
                </a:pPr>
                <a:endParaRPr lang="zh-TW"/>
              </a:p>
            </c:txPr>
            <c:showVal val="1"/>
          </c:dLbls>
          <c:cat>
            <c:strRef>
              <c:f>住院申報縣市!$E$102:$E$106</c:f>
              <c:strCache>
                <c:ptCount val="5"/>
                <c:pt idx="0">
                  <c:v>0-14</c:v>
                </c:pt>
                <c:pt idx="1">
                  <c:v>15-29</c:v>
                </c:pt>
                <c:pt idx="2">
                  <c:v>30-44</c:v>
                </c:pt>
                <c:pt idx="3">
                  <c:v>45-64</c:v>
                </c:pt>
                <c:pt idx="4">
                  <c:v>65 and over</c:v>
                </c:pt>
              </c:strCache>
            </c:strRef>
          </c:cat>
          <c:val>
            <c:numRef>
              <c:f>住院申報縣市!$F$102:$F$106</c:f>
              <c:numCache>
                <c:formatCode>General</c:formatCode>
                <c:ptCount val="5"/>
                <c:pt idx="0">
                  <c:v>438930630.80000001</c:v>
                </c:pt>
                <c:pt idx="1">
                  <c:v>538256956.10000002</c:v>
                </c:pt>
                <c:pt idx="2">
                  <c:v>1161571038.3</c:v>
                </c:pt>
                <c:pt idx="3">
                  <c:v>3087998716.5999999</c:v>
                </c:pt>
                <c:pt idx="4">
                  <c:v>4034329665.8000002</c:v>
                </c:pt>
              </c:numCache>
            </c:numRef>
          </c:val>
        </c:ser>
        <c:ser>
          <c:idx val="0"/>
          <c:order val="1"/>
          <c:tx>
            <c:strRef>
              <c:f>住院申報縣市!$G$101</c:f>
              <c:strCache>
                <c:ptCount val="1"/>
                <c:pt idx="0">
                  <c:v>Female</c:v>
                </c:pt>
              </c:strCache>
            </c:strRef>
          </c:tx>
          <c:spPr>
            <a:solidFill>
              <a:srgbClr val="FFFFAB"/>
            </a:solidFill>
          </c:spPr>
          <c:dLbls>
            <c:dLbl>
              <c:idx val="0"/>
              <c:layout>
                <c:manualLayout>
                  <c:x val="6.9097871966903382E-3"/>
                  <c:y val="0"/>
                </c:manualLayout>
              </c:layout>
              <c:showVal val="1"/>
            </c:dLbl>
            <c:dLbl>
              <c:idx val="1"/>
              <c:layout>
                <c:manualLayout>
                  <c:x val="4.6065247977935134E-3"/>
                  <c:y val="0"/>
                </c:manualLayout>
              </c:layout>
              <c:showVal val="1"/>
            </c:dLbl>
            <c:dLbl>
              <c:idx val="2"/>
              <c:layout>
                <c:manualLayout>
                  <c:x val="6.9097871966903382E-3"/>
                  <c:y val="0"/>
                </c:manualLayout>
              </c:layout>
              <c:showVal val="1"/>
            </c:dLbl>
            <c:dLbl>
              <c:idx val="3"/>
              <c:layout>
                <c:manualLayout>
                  <c:x val="1.1516311994483859E-2"/>
                  <c:y val="0"/>
                </c:manualLayout>
              </c:layout>
              <c:showVal val="1"/>
            </c:dLbl>
            <c:dLbl>
              <c:idx val="4"/>
              <c:layout>
                <c:manualLayout>
                  <c:x val="6.9097871966903382E-3"/>
                  <c:y val="0"/>
                </c:manualLayout>
              </c:layout>
              <c:showVal val="1"/>
            </c:dLbl>
            <c:numFmt formatCode="#,##0;\-#,##0" sourceLinked="0"/>
            <c:txPr>
              <a:bodyPr/>
              <a:lstStyle/>
              <a:p>
                <a:pPr>
                  <a:defRPr sz="900">
                    <a:latin typeface="Times New Roman" pitchFamily="18" charset="0"/>
                    <a:cs typeface="Times New Roman" pitchFamily="18" charset="0"/>
                  </a:defRPr>
                </a:pPr>
                <a:endParaRPr lang="zh-TW"/>
              </a:p>
            </c:txPr>
            <c:showVal val="1"/>
          </c:dLbls>
          <c:cat>
            <c:strRef>
              <c:f>住院申報縣市!$E$102:$E$106</c:f>
              <c:strCache>
                <c:ptCount val="5"/>
                <c:pt idx="0">
                  <c:v>0-14</c:v>
                </c:pt>
                <c:pt idx="1">
                  <c:v>15-29</c:v>
                </c:pt>
                <c:pt idx="2">
                  <c:v>30-44</c:v>
                </c:pt>
                <c:pt idx="3">
                  <c:v>45-64</c:v>
                </c:pt>
                <c:pt idx="4">
                  <c:v>65 and over</c:v>
                </c:pt>
              </c:strCache>
            </c:strRef>
          </c:cat>
          <c:val>
            <c:numRef>
              <c:f>住院申報縣市!$G$102:$G$106</c:f>
              <c:numCache>
                <c:formatCode>General</c:formatCode>
                <c:ptCount val="5"/>
                <c:pt idx="0">
                  <c:v>349030592.39999974</c:v>
                </c:pt>
                <c:pt idx="1">
                  <c:v>674398975.29999995</c:v>
                </c:pt>
                <c:pt idx="2">
                  <c:v>1347796116.3</c:v>
                </c:pt>
                <c:pt idx="3">
                  <c:v>2122010052</c:v>
                </c:pt>
                <c:pt idx="4">
                  <c:v>3224909555.5999999</c:v>
                </c:pt>
              </c:numCache>
            </c:numRef>
          </c:val>
        </c:ser>
        <c:shape val="box"/>
        <c:axId val="371229056"/>
        <c:axId val="371230976"/>
        <c:axId val="0"/>
      </c:bar3DChart>
      <c:catAx>
        <c:axId val="371229056"/>
        <c:scaling>
          <c:orientation val="minMax"/>
        </c:scaling>
        <c:axPos val="b"/>
        <c:majorTickMark val="none"/>
        <c:tickLblPos val="nextTo"/>
        <c:txPr>
          <a:bodyPr rot="0" vert="horz"/>
          <a:lstStyle/>
          <a:p>
            <a:pPr>
              <a:defRPr sz="900">
                <a:latin typeface="Times New Roman" pitchFamily="18" charset="0"/>
                <a:ea typeface="標楷體" pitchFamily="65" charset="-120"/>
                <a:cs typeface="Times New Roman" pitchFamily="18" charset="0"/>
              </a:defRPr>
            </a:pPr>
            <a:endParaRPr lang="zh-TW"/>
          </a:p>
        </c:txPr>
        <c:crossAx val="371230976"/>
        <c:crosses val="autoZero"/>
        <c:auto val="1"/>
        <c:lblAlgn val="ctr"/>
        <c:lblOffset val="100"/>
      </c:catAx>
      <c:valAx>
        <c:axId val="371230976"/>
        <c:scaling>
          <c:orientation val="minMax"/>
        </c:scaling>
        <c:axPos val="l"/>
        <c:majorGridlines>
          <c:spPr>
            <a:ln>
              <a:solidFill>
                <a:schemeClr val="bg1">
                  <a:lumMod val="85000"/>
                </a:schemeClr>
              </a:solidFill>
            </a:ln>
          </c:spPr>
        </c:majorGridlines>
        <c:numFmt formatCode="#,##0;\-#,##0" sourceLinked="0"/>
        <c:majorTickMark val="none"/>
        <c:tickLblPos val="nextTo"/>
        <c:txPr>
          <a:bodyPr/>
          <a:lstStyle/>
          <a:p>
            <a:pPr>
              <a:defRPr sz="900">
                <a:latin typeface="Times New Roman" pitchFamily="18" charset="0"/>
                <a:cs typeface="Times New Roman" pitchFamily="18" charset="0"/>
              </a:defRPr>
            </a:pPr>
            <a:endParaRPr lang="zh-TW"/>
          </a:p>
        </c:txPr>
        <c:crossAx val="371229056"/>
        <c:crosses val="autoZero"/>
        <c:crossBetween val="between"/>
        <c:dispUnits>
          <c:builtInUnit val="hundredMillions"/>
        </c:dispUnits>
      </c:valAx>
    </c:plotArea>
    <c:legend>
      <c:legendPos val="r"/>
      <c:layout>
        <c:manualLayout>
          <c:xMode val="edge"/>
          <c:yMode val="edge"/>
          <c:x val="0.89130143030781384"/>
          <c:y val="0.24244641507312598"/>
          <c:w val="9.6260823415955779E-2"/>
          <c:h val="0.15547410446933663"/>
        </c:manualLayout>
      </c:layout>
      <c:txPr>
        <a:bodyPr/>
        <a:lstStyle/>
        <a:p>
          <a:pPr>
            <a:defRPr sz="800">
              <a:latin typeface="Times New Roman" pitchFamily="18" charset="0"/>
              <a:ea typeface="標楷體" pitchFamily="65" charset="-120"/>
              <a:cs typeface="Times New Roman" pitchFamily="18" charset="0"/>
            </a:defRPr>
          </a:pPr>
          <a:endParaRPr lang="zh-TW"/>
        </a:p>
      </c:txPr>
    </c:legend>
    <c:plotVisOnly val="1"/>
    <c:dispBlanksAs val="gap"/>
  </c:chart>
  <c:spPr>
    <a:ln>
      <a:noFill/>
    </a:ln>
  </c:spPr>
  <c:externalData r:id="rId1"/>
  <c:userShapes r:id="rId2"/>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zh-TW"/>
  <c:chart>
    <c:view3D>
      <c:rotX val="30"/>
      <c:rotY val="40"/>
      <c:rAngAx val="1"/>
    </c:view3D>
    <c:sideWall>
      <c:spPr>
        <a:ln>
          <a:noFill/>
        </a:ln>
      </c:spPr>
    </c:sideWall>
    <c:backWall>
      <c:spPr>
        <a:solidFill>
          <a:srgbClr val="9BBB59">
            <a:lumMod val="20000"/>
            <a:lumOff val="80000"/>
            <a:alpha val="40000"/>
          </a:srgbClr>
        </a:solidFill>
        <a:ln>
          <a:noFill/>
        </a:ln>
      </c:spPr>
    </c:backWall>
    <c:plotArea>
      <c:layout>
        <c:manualLayout>
          <c:layoutTarget val="inner"/>
          <c:xMode val="edge"/>
          <c:yMode val="edge"/>
          <c:x val="7.8106920845422104E-2"/>
          <c:y val="0.17306739216899236"/>
          <c:w val="0.86638215051046252"/>
          <c:h val="0.62806309399162097"/>
        </c:manualLayout>
      </c:layout>
      <c:bar3DChart>
        <c:barDir val="col"/>
        <c:grouping val="stacked"/>
        <c:ser>
          <c:idx val="0"/>
          <c:order val="0"/>
          <c:tx>
            <c:strRef>
              <c:f>住院申報縣市!$F$196</c:f>
              <c:strCache>
                <c:ptCount val="1"/>
                <c:pt idx="0">
                  <c:v>Male</c:v>
                </c:pt>
              </c:strCache>
            </c:strRef>
          </c:tx>
          <c:spPr>
            <a:solidFill>
              <a:schemeClr val="accent3">
                <a:lumMod val="60000"/>
                <a:lumOff val="40000"/>
              </a:schemeClr>
            </a:solidFill>
          </c:spPr>
          <c:dLbls>
            <c:numFmt formatCode="#,##0;\-#,##0" sourceLinked="0"/>
            <c:txPr>
              <a:bodyPr/>
              <a:lstStyle/>
              <a:p>
                <a:pPr>
                  <a:defRPr sz="800">
                    <a:latin typeface="Times New Roman" pitchFamily="18" charset="0"/>
                    <a:cs typeface="Times New Roman" pitchFamily="18" charset="0"/>
                  </a:defRPr>
                </a:pPr>
                <a:endParaRPr lang="zh-TW"/>
              </a:p>
            </c:txPr>
            <c:showVal val="1"/>
          </c:dLbls>
          <c:cat>
            <c:strRef>
              <c:f>住院申報縣市!$E$198:$E$219</c:f>
              <c:strCache>
                <c:ptCount val="22"/>
                <c:pt idx="0">
                  <c:v>Taipei City</c:v>
                </c:pt>
                <c:pt idx="1">
                  <c:v>Kaohsiung City</c:v>
                </c:pt>
                <c:pt idx="2">
                  <c:v>Taichung City</c:v>
                </c:pt>
                <c:pt idx="3">
                  <c:v>Taoyuan County</c:v>
                </c:pt>
                <c:pt idx="4">
                  <c:v>Tainan City</c:v>
                </c:pt>
                <c:pt idx="5">
                  <c:v>New Taipei City</c:v>
                </c:pt>
                <c:pt idx="6">
                  <c:v>Changhua County</c:v>
                </c:pt>
                <c:pt idx="7">
                  <c:v>Hualien County</c:v>
                </c:pt>
                <c:pt idx="8">
                  <c:v>Pingtung County</c:v>
                </c:pt>
                <c:pt idx="9">
                  <c:v>Chiayi City</c:v>
                </c:pt>
                <c:pt idx="10">
                  <c:v>Chiayi County</c:v>
                </c:pt>
                <c:pt idx="11">
                  <c:v>Yilan County</c:v>
                </c:pt>
                <c:pt idx="12">
                  <c:v>Yunlin County</c:v>
                </c:pt>
                <c:pt idx="13">
                  <c:v>Keelung City</c:v>
                </c:pt>
                <c:pt idx="14">
                  <c:v>Miaoli County</c:v>
                </c:pt>
                <c:pt idx="15">
                  <c:v>Hsinchu City</c:v>
                </c:pt>
                <c:pt idx="16">
                  <c:v>Nantou County</c:v>
                </c:pt>
                <c:pt idx="17">
                  <c:v>Taitung County</c:v>
                </c:pt>
                <c:pt idx="18">
                  <c:v>Hsinchu County</c:v>
                </c:pt>
                <c:pt idx="19">
                  <c:v>Penghu County</c:v>
                </c:pt>
                <c:pt idx="20">
                  <c:v>Kinmen County</c:v>
                </c:pt>
                <c:pt idx="21">
                  <c:v>Lienchiang County</c:v>
                </c:pt>
              </c:strCache>
            </c:strRef>
          </c:cat>
          <c:val>
            <c:numRef>
              <c:f>住院申報縣市!$F$198:$F$219</c:f>
              <c:numCache>
                <c:formatCode>General</c:formatCode>
                <c:ptCount val="22"/>
                <c:pt idx="0">
                  <c:v>2057073758.7</c:v>
                </c:pt>
                <c:pt idx="1">
                  <c:v>1265997666.8</c:v>
                </c:pt>
                <c:pt idx="2">
                  <c:v>1211993150</c:v>
                </c:pt>
                <c:pt idx="3">
                  <c:v>843110683.60000002</c:v>
                </c:pt>
                <c:pt idx="4">
                  <c:v>704370549</c:v>
                </c:pt>
                <c:pt idx="5">
                  <c:v>694105034.39999998</c:v>
                </c:pt>
                <c:pt idx="6">
                  <c:v>433995298.5</c:v>
                </c:pt>
                <c:pt idx="7">
                  <c:v>259880591.5</c:v>
                </c:pt>
                <c:pt idx="8">
                  <c:v>259868775.90000001</c:v>
                </c:pt>
                <c:pt idx="9">
                  <c:v>227425651.19999999</c:v>
                </c:pt>
                <c:pt idx="10">
                  <c:v>218602265.09999999</c:v>
                </c:pt>
                <c:pt idx="11">
                  <c:v>206773035.69999999</c:v>
                </c:pt>
                <c:pt idx="12">
                  <c:v>172476993</c:v>
                </c:pt>
                <c:pt idx="13">
                  <c:v>138267775.5</c:v>
                </c:pt>
                <c:pt idx="14">
                  <c:v>132608686.5</c:v>
                </c:pt>
                <c:pt idx="15">
                  <c:v>130465066.90000002</c:v>
                </c:pt>
                <c:pt idx="16">
                  <c:v>122814212.7</c:v>
                </c:pt>
                <c:pt idx="17">
                  <c:v>102617041.8</c:v>
                </c:pt>
                <c:pt idx="18">
                  <c:v>77012001.700000003</c:v>
                </c:pt>
                <c:pt idx="19">
                  <c:v>15395648.199999981</c:v>
                </c:pt>
                <c:pt idx="20">
                  <c:v>7156349.4000000004</c:v>
                </c:pt>
                <c:pt idx="21">
                  <c:v>641956.30000000005</c:v>
                </c:pt>
              </c:numCache>
            </c:numRef>
          </c:val>
        </c:ser>
        <c:ser>
          <c:idx val="4"/>
          <c:order val="1"/>
          <c:tx>
            <c:strRef>
              <c:f>住院申報縣市!$G$196</c:f>
              <c:strCache>
                <c:ptCount val="1"/>
                <c:pt idx="0">
                  <c:v>Female</c:v>
                </c:pt>
              </c:strCache>
            </c:strRef>
          </c:tx>
          <c:spPr>
            <a:solidFill>
              <a:srgbClr val="FFFFAB"/>
            </a:solidFill>
          </c:spPr>
          <c:dLbls>
            <c:dLbl>
              <c:idx val="0"/>
              <c:layout>
                <c:manualLayout>
                  <c:x val="5.9503979114910706E-3"/>
                  <c:y val="-0.14153744682394187"/>
                </c:manualLayout>
              </c:layout>
              <c:showVal val="1"/>
            </c:dLbl>
            <c:dLbl>
              <c:idx val="1"/>
              <c:layout>
                <c:manualLayout>
                  <c:x val="0"/>
                  <c:y val="-0.11867475188916776"/>
                </c:manualLayout>
              </c:layout>
              <c:showVal val="1"/>
            </c:dLbl>
            <c:dLbl>
              <c:idx val="2"/>
              <c:layout>
                <c:manualLayout>
                  <c:x val="2.1390374331550803E-3"/>
                  <c:y val="-0.11200764586577228"/>
                </c:manualLayout>
              </c:layout>
              <c:showVal val="1"/>
            </c:dLbl>
            <c:dLbl>
              <c:idx val="3"/>
              <c:layout>
                <c:manualLayout>
                  <c:x val="3.9669880837087876E-3"/>
                  <c:y val="-9.5256508897900244E-2"/>
                </c:manualLayout>
              </c:layout>
              <c:showVal val="1"/>
            </c:dLbl>
            <c:dLbl>
              <c:idx val="4"/>
              <c:layout>
                <c:manualLayout>
                  <c:x val="2.1390374331550803E-3"/>
                  <c:y val="-7.5588413792519279E-2"/>
                </c:manualLayout>
              </c:layout>
              <c:showVal val="1"/>
            </c:dLbl>
            <c:dLbl>
              <c:idx val="5"/>
              <c:layout>
                <c:manualLayout>
                  <c:x val="4.1224472609373355E-3"/>
                  <c:y val="-7.2061120343778123E-2"/>
                </c:manualLayout>
              </c:layout>
              <c:showVal val="1"/>
            </c:dLbl>
            <c:dLbl>
              <c:idx val="6"/>
              <c:layout>
                <c:manualLayout>
                  <c:x val="1.9834709711214725E-3"/>
                  <c:y val="-8.2644585074726343E-2"/>
                </c:manualLayout>
              </c:layout>
              <c:showVal val="1"/>
            </c:dLbl>
            <c:dLbl>
              <c:idx val="7"/>
              <c:layout>
                <c:manualLayout>
                  <c:x val="0"/>
                  <c:y val="-5.6198317850814104E-2"/>
                </c:manualLayout>
              </c:layout>
              <c:showVal val="1"/>
            </c:dLbl>
            <c:dLbl>
              <c:idx val="8"/>
              <c:layout>
                <c:manualLayout>
                  <c:x val="0"/>
                  <c:y val="-4.9586751044836994E-2"/>
                </c:manualLayout>
              </c:layout>
              <c:showVal val="1"/>
            </c:dLbl>
            <c:dLbl>
              <c:idx val="9"/>
              <c:layout>
                <c:manualLayout>
                  <c:x val="0"/>
                  <c:y val="-4.6280967641846804E-2"/>
                </c:manualLayout>
              </c:layout>
              <c:showVal val="1"/>
            </c:dLbl>
            <c:dLbl>
              <c:idx val="10"/>
              <c:layout>
                <c:manualLayout>
                  <c:x val="0"/>
                  <c:y val="-3.305783402989055E-2"/>
                </c:manualLayout>
              </c:layout>
              <c:showVal val="1"/>
            </c:dLbl>
            <c:dLbl>
              <c:idx val="11"/>
              <c:layout>
                <c:manualLayout>
                  <c:x val="0"/>
                  <c:y val="-3.9669400835868632E-2"/>
                </c:manualLayout>
              </c:layout>
              <c:showVal val="1"/>
            </c:dLbl>
            <c:dLbl>
              <c:idx val="12"/>
              <c:layout>
                <c:manualLayout>
                  <c:x val="1.9834709711214725E-3"/>
                  <c:y val="-3.9669400835868632E-2"/>
                </c:manualLayout>
              </c:layout>
              <c:showVal val="1"/>
            </c:dLbl>
            <c:dLbl>
              <c:idx val="13"/>
              <c:layout>
                <c:manualLayout>
                  <c:x val="0"/>
                  <c:y val="-3.305783402989055E-2"/>
                </c:manualLayout>
              </c:layout>
              <c:showVal val="1"/>
            </c:dLbl>
            <c:dLbl>
              <c:idx val="14"/>
              <c:layout>
                <c:manualLayout>
                  <c:x val="-7.2726428799212079E-17"/>
                  <c:y val="-3.636361743288001E-2"/>
                </c:manualLayout>
              </c:layout>
              <c:showVal val="1"/>
            </c:dLbl>
            <c:dLbl>
              <c:idx val="15"/>
              <c:layout>
                <c:manualLayout>
                  <c:x val="7.2726428799212079E-17"/>
                  <c:y val="-3.636361743288001E-2"/>
                </c:manualLayout>
              </c:layout>
              <c:showVal val="1"/>
            </c:dLbl>
            <c:dLbl>
              <c:idx val="16"/>
              <c:layout>
                <c:manualLayout>
                  <c:x val="1.9834709711214725E-3"/>
                  <c:y val="-3.636361743288001E-2"/>
                </c:manualLayout>
              </c:layout>
              <c:showVal val="1"/>
            </c:dLbl>
            <c:dLbl>
              <c:idx val="17"/>
              <c:layout>
                <c:manualLayout>
                  <c:x val="0"/>
                  <c:y val="-3.636361743288001E-2"/>
                </c:manualLayout>
              </c:layout>
              <c:showVal val="1"/>
            </c:dLbl>
            <c:dLbl>
              <c:idx val="18"/>
              <c:layout>
                <c:manualLayout>
                  <c:x val="0"/>
                  <c:y val="-3.636361743288001E-2"/>
                </c:manualLayout>
              </c:layout>
              <c:showVal val="1"/>
            </c:dLbl>
            <c:dLbl>
              <c:idx val="19"/>
              <c:layout>
                <c:manualLayout>
                  <c:x val="0"/>
                  <c:y val="-3.9669400835868632E-2"/>
                </c:manualLayout>
              </c:layout>
              <c:showVal val="1"/>
            </c:dLbl>
            <c:dLbl>
              <c:idx val="20"/>
              <c:layout>
                <c:manualLayout>
                  <c:x val="0"/>
                  <c:y val="-3.636361743288001E-2"/>
                </c:manualLayout>
              </c:layout>
              <c:showVal val="1"/>
            </c:dLbl>
            <c:dLbl>
              <c:idx val="21"/>
              <c:layout>
                <c:manualLayout>
                  <c:x val="-4.6671438797423051E-4"/>
                  <c:y val="-3.3236277843901846E-2"/>
                </c:manualLayout>
              </c:layout>
              <c:showVal val="1"/>
            </c:dLbl>
            <c:numFmt formatCode="#,##0;\-#,##0" sourceLinked="0"/>
            <c:txPr>
              <a:bodyPr anchor="ctr" anchorCtr="0"/>
              <a:lstStyle/>
              <a:p>
                <a:pPr>
                  <a:defRPr sz="800">
                    <a:latin typeface="Times New Roman" pitchFamily="18" charset="0"/>
                    <a:cs typeface="Times New Roman" pitchFamily="18" charset="0"/>
                  </a:defRPr>
                </a:pPr>
                <a:endParaRPr lang="zh-TW"/>
              </a:p>
            </c:txPr>
            <c:showVal val="1"/>
          </c:dLbls>
          <c:cat>
            <c:strRef>
              <c:f>住院申報縣市!$E$198:$E$219</c:f>
              <c:strCache>
                <c:ptCount val="22"/>
                <c:pt idx="0">
                  <c:v>Taipei City</c:v>
                </c:pt>
                <c:pt idx="1">
                  <c:v>Kaohsiung City</c:v>
                </c:pt>
                <c:pt idx="2">
                  <c:v>Taichung City</c:v>
                </c:pt>
                <c:pt idx="3">
                  <c:v>Taoyuan County</c:v>
                </c:pt>
                <c:pt idx="4">
                  <c:v>Tainan City</c:v>
                </c:pt>
                <c:pt idx="5">
                  <c:v>New Taipei City</c:v>
                </c:pt>
                <c:pt idx="6">
                  <c:v>Changhua County</c:v>
                </c:pt>
                <c:pt idx="7">
                  <c:v>Hualien County</c:v>
                </c:pt>
                <c:pt idx="8">
                  <c:v>Pingtung County</c:v>
                </c:pt>
                <c:pt idx="9">
                  <c:v>Chiayi City</c:v>
                </c:pt>
                <c:pt idx="10">
                  <c:v>Chiayi County</c:v>
                </c:pt>
                <c:pt idx="11">
                  <c:v>Yilan County</c:v>
                </c:pt>
                <c:pt idx="12">
                  <c:v>Yunlin County</c:v>
                </c:pt>
                <c:pt idx="13">
                  <c:v>Keelung City</c:v>
                </c:pt>
                <c:pt idx="14">
                  <c:v>Miaoli County</c:v>
                </c:pt>
                <c:pt idx="15">
                  <c:v>Hsinchu City</c:v>
                </c:pt>
                <c:pt idx="16">
                  <c:v>Nantou County</c:v>
                </c:pt>
                <c:pt idx="17">
                  <c:v>Taitung County</c:v>
                </c:pt>
                <c:pt idx="18">
                  <c:v>Hsinchu County</c:v>
                </c:pt>
                <c:pt idx="19">
                  <c:v>Penghu County</c:v>
                </c:pt>
                <c:pt idx="20">
                  <c:v>Kinmen County</c:v>
                </c:pt>
                <c:pt idx="21">
                  <c:v>Lienchiang County</c:v>
                </c:pt>
              </c:strCache>
            </c:strRef>
          </c:cat>
          <c:val>
            <c:numRef>
              <c:f>住院申報縣市!$G$198:$G$219</c:f>
              <c:numCache>
                <c:formatCode>General</c:formatCode>
                <c:ptCount val="22"/>
                <c:pt idx="0">
                  <c:v>1700743047.9000001</c:v>
                </c:pt>
                <c:pt idx="1">
                  <c:v>1046651290.3</c:v>
                </c:pt>
                <c:pt idx="2">
                  <c:v>1027253392.5</c:v>
                </c:pt>
                <c:pt idx="3">
                  <c:v>745395269.70000005</c:v>
                </c:pt>
                <c:pt idx="4">
                  <c:v>587702930.5</c:v>
                </c:pt>
                <c:pt idx="5">
                  <c:v>623430375.89999998</c:v>
                </c:pt>
                <c:pt idx="6">
                  <c:v>379990556.30000001</c:v>
                </c:pt>
                <c:pt idx="7">
                  <c:v>175755890.40000001</c:v>
                </c:pt>
                <c:pt idx="8">
                  <c:v>203387522.69999999</c:v>
                </c:pt>
                <c:pt idx="9">
                  <c:v>190608397</c:v>
                </c:pt>
                <c:pt idx="10">
                  <c:v>158909076.19999999</c:v>
                </c:pt>
                <c:pt idx="11">
                  <c:v>142210293</c:v>
                </c:pt>
                <c:pt idx="12">
                  <c:v>144924815.30000001</c:v>
                </c:pt>
                <c:pt idx="13">
                  <c:v>115400103.2</c:v>
                </c:pt>
                <c:pt idx="14">
                  <c:v>109169468.3</c:v>
                </c:pt>
                <c:pt idx="15">
                  <c:v>133615376.59999999</c:v>
                </c:pt>
                <c:pt idx="16">
                  <c:v>99242796.5</c:v>
                </c:pt>
                <c:pt idx="17">
                  <c:v>83050123.099999994</c:v>
                </c:pt>
                <c:pt idx="18">
                  <c:v>62134268.400000006</c:v>
                </c:pt>
                <c:pt idx="19">
                  <c:v>12510742.699999981</c:v>
                </c:pt>
                <c:pt idx="20">
                  <c:v>7225389.4000000004</c:v>
                </c:pt>
                <c:pt idx="21">
                  <c:v>263539.59999999998</c:v>
                </c:pt>
              </c:numCache>
            </c:numRef>
          </c:val>
        </c:ser>
        <c:shape val="box"/>
        <c:axId val="371885184"/>
        <c:axId val="371886720"/>
        <c:axId val="0"/>
      </c:bar3DChart>
      <c:catAx>
        <c:axId val="371885184"/>
        <c:scaling>
          <c:orientation val="minMax"/>
        </c:scaling>
        <c:axPos val="b"/>
        <c:majorTickMark val="none"/>
        <c:tickLblPos val="nextTo"/>
        <c:txPr>
          <a:bodyPr rot="0" vert="eaVert"/>
          <a:lstStyle/>
          <a:p>
            <a:pPr>
              <a:defRPr sz="800">
                <a:latin typeface="Times New Roman" pitchFamily="18" charset="0"/>
                <a:ea typeface="標楷體" pitchFamily="65" charset="-120"/>
                <a:cs typeface="Times New Roman" pitchFamily="18" charset="0"/>
              </a:defRPr>
            </a:pPr>
            <a:endParaRPr lang="zh-TW"/>
          </a:p>
        </c:txPr>
        <c:crossAx val="371886720"/>
        <c:crosses val="autoZero"/>
        <c:auto val="1"/>
        <c:lblAlgn val="ctr"/>
        <c:lblOffset val="100"/>
      </c:catAx>
      <c:valAx>
        <c:axId val="371886720"/>
        <c:scaling>
          <c:orientation val="minMax"/>
        </c:scaling>
        <c:axPos val="l"/>
        <c:majorGridlines>
          <c:spPr>
            <a:ln>
              <a:solidFill>
                <a:schemeClr val="accent3">
                  <a:lumMod val="20000"/>
                  <a:lumOff val="80000"/>
                </a:schemeClr>
              </a:solidFill>
            </a:ln>
          </c:spPr>
        </c:majorGridlines>
        <c:numFmt formatCode="#,##0;\-#,##0" sourceLinked="0"/>
        <c:majorTickMark val="none"/>
        <c:tickLblPos val="nextTo"/>
        <c:txPr>
          <a:bodyPr/>
          <a:lstStyle/>
          <a:p>
            <a:pPr>
              <a:defRPr sz="800">
                <a:latin typeface="Times New Roman" pitchFamily="18" charset="0"/>
                <a:cs typeface="Times New Roman" pitchFamily="18" charset="0"/>
              </a:defRPr>
            </a:pPr>
            <a:endParaRPr lang="zh-TW"/>
          </a:p>
        </c:txPr>
        <c:crossAx val="371885184"/>
        <c:crosses val="autoZero"/>
        <c:crossBetween val="between"/>
        <c:dispUnits>
          <c:builtInUnit val="hundredMillions"/>
        </c:dispUnits>
      </c:valAx>
    </c:plotArea>
    <c:legend>
      <c:legendPos val="r"/>
      <c:layout>
        <c:manualLayout>
          <c:xMode val="edge"/>
          <c:yMode val="edge"/>
          <c:x val="0.68802442208092962"/>
          <c:y val="0.20904619624265341"/>
          <c:w val="0.10261804707566639"/>
          <c:h val="0.11319134181681872"/>
        </c:manualLayout>
      </c:layout>
      <c:txPr>
        <a:bodyPr/>
        <a:lstStyle/>
        <a:p>
          <a:pPr>
            <a:defRPr sz="800">
              <a:latin typeface="Times New Roman" pitchFamily="18" charset="0"/>
              <a:ea typeface="標楷體" pitchFamily="65" charset="-120"/>
              <a:cs typeface="Times New Roman" pitchFamily="18" charset="0"/>
            </a:defRPr>
          </a:pPr>
          <a:endParaRPr lang="zh-TW"/>
        </a:p>
      </c:txPr>
    </c:legend>
    <c:plotVisOnly val="1"/>
    <c:dispBlanksAs val="gap"/>
  </c:chart>
  <c:spPr>
    <a:ln>
      <a:noFill/>
    </a:ln>
  </c:spPr>
  <c:externalData r:id="rId1"/>
  <c:userShapes r:id="rId2"/>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zh-TW"/>
  <c:chart>
    <c:plotArea>
      <c:layout>
        <c:manualLayout>
          <c:layoutTarget val="inner"/>
          <c:xMode val="edge"/>
          <c:yMode val="edge"/>
          <c:x val="9.0438712582768185E-2"/>
          <c:y val="0.21542161775232768"/>
          <c:w val="0.8280580820488852"/>
          <c:h val="0.68792619104430131"/>
        </c:manualLayout>
      </c:layout>
      <c:barChart>
        <c:barDir val="col"/>
        <c:grouping val="clustered"/>
        <c:ser>
          <c:idx val="0"/>
          <c:order val="0"/>
          <c:tx>
            <c:strRef>
              <c:f>核付_TS!$B$43</c:f>
              <c:strCache>
                <c:ptCount val="1"/>
                <c:pt idx="0">
                  <c:v>RVU</c:v>
                </c:pt>
              </c:strCache>
            </c:strRef>
          </c:tx>
          <c:spPr>
            <a:solidFill>
              <a:schemeClr val="accent3">
                <a:lumMod val="60000"/>
                <a:lumOff val="40000"/>
              </a:schemeClr>
            </a:solidFill>
            <a:ln w="38100">
              <a:noFill/>
            </a:ln>
            <a:scene3d>
              <a:camera prst="orthographicFront"/>
              <a:lightRig rig="threePt" dir="t"/>
            </a:scene3d>
            <a:sp3d>
              <a:bevelT w="0" h="0"/>
            </a:sp3d>
          </c:spPr>
          <c:dLbls>
            <c:dLbl>
              <c:idx val="0"/>
              <c:numFmt formatCode="#,##0;[Red]\-#,##0" sourceLinked="0"/>
              <c:spPr/>
              <c:txPr>
                <a:bodyPr/>
                <a:lstStyle/>
                <a:p>
                  <a:pPr>
                    <a:defRPr sz="800">
                      <a:latin typeface="Times New Roman" pitchFamily="18" charset="0"/>
                      <a:cs typeface="Times New Roman" pitchFamily="18" charset="0"/>
                    </a:defRPr>
                  </a:pPr>
                  <a:endParaRPr lang="zh-TW"/>
                </a:p>
              </c:txPr>
              <c:dLblPos val="ctr"/>
              <c:showVal val="1"/>
            </c:dLbl>
            <c:dLbl>
              <c:idx val="5"/>
              <c:numFmt formatCode="#,##0;[Red]\-#,##0" sourceLinked="0"/>
              <c:spPr/>
              <c:txPr>
                <a:bodyPr/>
                <a:lstStyle/>
                <a:p>
                  <a:pPr>
                    <a:defRPr sz="800">
                      <a:latin typeface="Times New Roman" pitchFamily="18" charset="0"/>
                      <a:cs typeface="Times New Roman" pitchFamily="18" charset="0"/>
                    </a:defRPr>
                  </a:pPr>
                  <a:endParaRPr lang="zh-TW"/>
                </a:p>
              </c:txPr>
              <c:dLblPos val="ctr"/>
              <c:showVal val="1"/>
            </c:dLbl>
            <c:dLbl>
              <c:idx val="10"/>
              <c:numFmt formatCode="#,##0;[Red]\-#,##0" sourceLinked="0"/>
              <c:spPr/>
              <c:txPr>
                <a:bodyPr/>
                <a:lstStyle/>
                <a:p>
                  <a:pPr>
                    <a:defRPr sz="800">
                      <a:latin typeface="Times New Roman" pitchFamily="18" charset="0"/>
                      <a:cs typeface="Times New Roman" pitchFamily="18" charset="0"/>
                    </a:defRPr>
                  </a:pPr>
                  <a:endParaRPr lang="zh-TW"/>
                </a:p>
              </c:txPr>
              <c:dLblPos val="ctr"/>
              <c:showVal val="1"/>
            </c:dLbl>
            <c:delete val="1"/>
          </c:dLbls>
          <c:cat>
            <c:numRef>
              <c:f>核付_TS!$A$44:$A$54</c:f>
              <c:numCache>
                <c:formatCode>General</c:formatCode>
                <c:ptCount val="11"/>
                <c:pt idx="0">
                  <c:v>2001</c:v>
                </c:pt>
                <c:pt idx="1">
                  <c:v>2002</c:v>
                </c:pt>
                <c:pt idx="2">
                  <c:v>2003</c:v>
                </c:pt>
                <c:pt idx="3">
                  <c:v>2004</c:v>
                </c:pt>
                <c:pt idx="4">
                  <c:v>2005</c:v>
                </c:pt>
                <c:pt idx="5">
                  <c:v>2006</c:v>
                </c:pt>
                <c:pt idx="6">
                  <c:v>2007</c:v>
                </c:pt>
                <c:pt idx="7">
                  <c:v>2008</c:v>
                </c:pt>
                <c:pt idx="8">
                  <c:v>2009</c:v>
                </c:pt>
                <c:pt idx="9">
                  <c:v>2010</c:v>
                </c:pt>
                <c:pt idx="10">
                  <c:v>2011</c:v>
                </c:pt>
              </c:numCache>
            </c:numRef>
          </c:cat>
          <c:val>
            <c:numRef>
              <c:f>核付_TS!$B$44:$B$54</c:f>
              <c:numCache>
                <c:formatCode>#,##0</c:formatCode>
                <c:ptCount val="11"/>
                <c:pt idx="0">
                  <c:v>20160819327</c:v>
                </c:pt>
                <c:pt idx="1">
                  <c:v>21899353516.299999</c:v>
                </c:pt>
                <c:pt idx="2">
                  <c:v>23213467704.900005</c:v>
                </c:pt>
                <c:pt idx="3">
                  <c:v>26035385761.700001</c:v>
                </c:pt>
                <c:pt idx="4">
                  <c:v>26740017061.700001</c:v>
                </c:pt>
                <c:pt idx="5">
                  <c:v>27167976566.599998</c:v>
                </c:pt>
                <c:pt idx="6">
                  <c:v>28319973437.900005</c:v>
                </c:pt>
                <c:pt idx="7">
                  <c:v>29559406580.700001</c:v>
                </c:pt>
                <c:pt idx="8">
                  <c:v>31903477071.900005</c:v>
                </c:pt>
                <c:pt idx="9">
                  <c:v>32978301377.400005</c:v>
                </c:pt>
                <c:pt idx="10">
                  <c:v>35110710271.699997</c:v>
                </c:pt>
              </c:numCache>
            </c:numRef>
          </c:val>
        </c:ser>
        <c:gapWidth val="88"/>
        <c:axId val="371918336"/>
        <c:axId val="371919872"/>
      </c:barChart>
      <c:lineChart>
        <c:grouping val="standard"/>
        <c:ser>
          <c:idx val="1"/>
          <c:order val="1"/>
          <c:tx>
            <c:strRef>
              <c:f>核付_TS!$C$43</c:f>
              <c:strCache>
                <c:ptCount val="1"/>
                <c:pt idx="0">
                  <c:v>Average RVU per case</c:v>
                </c:pt>
              </c:strCache>
            </c:strRef>
          </c:tx>
          <c:spPr>
            <a:ln w="25400" cap="flat">
              <a:solidFill>
                <a:schemeClr val="accent3">
                  <a:lumMod val="50000"/>
                </a:schemeClr>
              </a:solidFill>
              <a:prstDash val="dash"/>
            </a:ln>
          </c:spPr>
          <c:marker>
            <c:symbol val="diamond"/>
            <c:size val="7"/>
            <c:spPr>
              <a:solidFill>
                <a:schemeClr val="accent3">
                  <a:lumMod val="75000"/>
                </a:schemeClr>
              </a:solidFill>
              <a:ln>
                <a:noFill/>
              </a:ln>
            </c:spPr>
          </c:marker>
          <c:dLbls>
            <c:dLbl>
              <c:idx val="1"/>
              <c:delete val="1"/>
            </c:dLbl>
            <c:dLbl>
              <c:idx val="2"/>
              <c:delete val="1"/>
            </c:dLbl>
            <c:dLbl>
              <c:idx val="3"/>
              <c:delete val="1"/>
            </c:dLbl>
            <c:dLbl>
              <c:idx val="4"/>
              <c:delete val="1"/>
            </c:dLbl>
            <c:dLbl>
              <c:idx val="6"/>
              <c:delete val="1"/>
            </c:dLbl>
            <c:dLbl>
              <c:idx val="7"/>
              <c:delete val="1"/>
            </c:dLbl>
            <c:dLbl>
              <c:idx val="8"/>
              <c:delete val="1"/>
            </c:dLbl>
            <c:dLbl>
              <c:idx val="9"/>
              <c:delete val="1"/>
            </c:dLbl>
            <c:dLbl>
              <c:idx val="11"/>
              <c:delete val="1"/>
            </c:dLbl>
            <c:dLbl>
              <c:idx val="12"/>
              <c:delete val="1"/>
            </c:dLbl>
            <c:txPr>
              <a:bodyPr/>
              <a:lstStyle/>
              <a:p>
                <a:pPr>
                  <a:defRPr sz="800">
                    <a:latin typeface="Times New Roman" pitchFamily="18" charset="0"/>
                    <a:cs typeface="Times New Roman" pitchFamily="18" charset="0"/>
                  </a:defRPr>
                </a:pPr>
                <a:endParaRPr lang="zh-TW"/>
              </a:p>
            </c:txPr>
            <c:dLblPos val="t"/>
            <c:showVal val="1"/>
          </c:dLbls>
          <c:cat>
            <c:numRef>
              <c:f>核付_TS!$A$44:$A$54</c:f>
              <c:numCache>
                <c:formatCode>General</c:formatCode>
                <c:ptCount val="11"/>
                <c:pt idx="0">
                  <c:v>2001</c:v>
                </c:pt>
                <c:pt idx="1">
                  <c:v>2002</c:v>
                </c:pt>
                <c:pt idx="2">
                  <c:v>2003</c:v>
                </c:pt>
                <c:pt idx="3">
                  <c:v>2004</c:v>
                </c:pt>
                <c:pt idx="4">
                  <c:v>2005</c:v>
                </c:pt>
                <c:pt idx="5">
                  <c:v>2006</c:v>
                </c:pt>
                <c:pt idx="6">
                  <c:v>2007</c:v>
                </c:pt>
                <c:pt idx="7">
                  <c:v>2008</c:v>
                </c:pt>
                <c:pt idx="8">
                  <c:v>2009</c:v>
                </c:pt>
                <c:pt idx="9">
                  <c:v>2010</c:v>
                </c:pt>
                <c:pt idx="10">
                  <c:v>2011</c:v>
                </c:pt>
              </c:numCache>
            </c:numRef>
          </c:cat>
          <c:val>
            <c:numRef>
              <c:f>核付_TS!$C$44:$C$54</c:f>
              <c:numCache>
                <c:formatCode>#,##0</c:formatCode>
                <c:ptCount val="11"/>
                <c:pt idx="0">
                  <c:v>640.57988828975954</c:v>
                </c:pt>
                <c:pt idx="1">
                  <c:v>688.67484175404854</c:v>
                </c:pt>
                <c:pt idx="2">
                  <c:v>737.54941414471796</c:v>
                </c:pt>
                <c:pt idx="3">
                  <c:v>759.42571202113459</c:v>
                </c:pt>
                <c:pt idx="4">
                  <c:v>774.85353326523784</c:v>
                </c:pt>
                <c:pt idx="5">
                  <c:v>823.1400952504315</c:v>
                </c:pt>
                <c:pt idx="6">
                  <c:v>839.02657804641581</c:v>
                </c:pt>
                <c:pt idx="7">
                  <c:v>881.12863554721355</c:v>
                </c:pt>
                <c:pt idx="8">
                  <c:v>894.19052773302656</c:v>
                </c:pt>
                <c:pt idx="9">
                  <c:v>914.4219403127554</c:v>
                </c:pt>
                <c:pt idx="10">
                  <c:v>936.2654588126594</c:v>
                </c:pt>
              </c:numCache>
            </c:numRef>
          </c:val>
        </c:ser>
        <c:marker val="1"/>
        <c:axId val="371972736"/>
        <c:axId val="371971200"/>
      </c:lineChart>
      <c:catAx>
        <c:axId val="371918336"/>
        <c:scaling>
          <c:orientation val="minMax"/>
        </c:scaling>
        <c:axPos val="b"/>
        <c:numFmt formatCode="General" sourceLinked="1"/>
        <c:majorTickMark val="none"/>
        <c:tickLblPos val="low"/>
        <c:txPr>
          <a:bodyPr/>
          <a:lstStyle/>
          <a:p>
            <a:pPr>
              <a:defRPr sz="800">
                <a:latin typeface="Times New Roman" pitchFamily="18" charset="0"/>
                <a:ea typeface="標楷體" pitchFamily="65" charset="-120"/>
                <a:cs typeface="Times New Roman" pitchFamily="18" charset="0"/>
              </a:defRPr>
            </a:pPr>
            <a:endParaRPr lang="zh-TW"/>
          </a:p>
        </c:txPr>
        <c:crossAx val="371919872"/>
        <c:crosses val="autoZero"/>
        <c:auto val="1"/>
        <c:lblAlgn val="ctr"/>
        <c:lblOffset val="10"/>
      </c:catAx>
      <c:valAx>
        <c:axId val="371919872"/>
        <c:scaling>
          <c:orientation val="minMax"/>
          <c:max val="45000000000"/>
        </c:scaling>
        <c:axPos val="l"/>
        <c:majorGridlines>
          <c:spPr>
            <a:ln>
              <a:solidFill>
                <a:schemeClr val="bg1"/>
              </a:solidFill>
            </a:ln>
          </c:spPr>
        </c:majorGridlines>
        <c:numFmt formatCode="#,##0;[Red]\-#,##0" sourceLinked="0"/>
        <c:majorTickMark val="in"/>
        <c:tickLblPos val="nextTo"/>
        <c:txPr>
          <a:bodyPr/>
          <a:lstStyle/>
          <a:p>
            <a:pPr>
              <a:defRPr sz="800">
                <a:latin typeface="Times New Roman" pitchFamily="18" charset="0"/>
                <a:cs typeface="Times New Roman" pitchFamily="18" charset="0"/>
              </a:defRPr>
            </a:pPr>
            <a:endParaRPr lang="zh-TW"/>
          </a:p>
        </c:txPr>
        <c:crossAx val="371918336"/>
        <c:crosses val="autoZero"/>
        <c:crossBetween val="between"/>
        <c:dispUnits>
          <c:builtInUnit val="hundredMillions"/>
        </c:dispUnits>
      </c:valAx>
      <c:valAx>
        <c:axId val="371971200"/>
        <c:scaling>
          <c:orientation val="minMax"/>
          <c:max val="1100"/>
          <c:min val="0"/>
        </c:scaling>
        <c:axPos val="r"/>
        <c:numFmt formatCode="#,##0;\-#,##0" sourceLinked="0"/>
        <c:majorTickMark val="in"/>
        <c:tickLblPos val="nextTo"/>
        <c:txPr>
          <a:bodyPr/>
          <a:lstStyle/>
          <a:p>
            <a:pPr>
              <a:defRPr sz="800">
                <a:latin typeface="Times New Roman" pitchFamily="18" charset="0"/>
                <a:cs typeface="Times New Roman" pitchFamily="18" charset="0"/>
              </a:defRPr>
            </a:pPr>
            <a:endParaRPr lang="zh-TW"/>
          </a:p>
        </c:txPr>
        <c:crossAx val="371972736"/>
        <c:crosses val="max"/>
        <c:crossBetween val="between"/>
      </c:valAx>
      <c:catAx>
        <c:axId val="371972736"/>
        <c:scaling>
          <c:orientation val="minMax"/>
        </c:scaling>
        <c:delete val="1"/>
        <c:axPos val="b"/>
        <c:numFmt formatCode="General" sourceLinked="1"/>
        <c:tickLblPos val="none"/>
        <c:crossAx val="371971200"/>
        <c:crosses val="autoZero"/>
        <c:auto val="1"/>
        <c:lblAlgn val="ctr"/>
        <c:lblOffset val="100"/>
      </c:catAx>
      <c:spPr>
        <a:gradFill>
          <a:gsLst>
            <a:gs pos="0">
              <a:sysClr val="window" lastClr="FFFFFF"/>
            </a:gs>
            <a:gs pos="50000">
              <a:sysClr val="window" lastClr="FFFFFF"/>
            </a:gs>
            <a:gs pos="100000">
              <a:sysClr val="window" lastClr="FFFFFF"/>
            </a:gs>
          </a:gsLst>
          <a:lin ang="5400000" scaled="0"/>
        </a:gradFill>
      </c:spPr>
    </c:plotArea>
    <c:legend>
      <c:legendPos val="t"/>
      <c:layout>
        <c:manualLayout>
          <c:xMode val="edge"/>
          <c:yMode val="edge"/>
          <c:x val="0.11458947873487194"/>
          <c:y val="0.21088558374647748"/>
          <c:w val="0.27105685530315932"/>
          <c:h val="0.10006808239879098"/>
        </c:manualLayout>
      </c:layout>
      <c:txPr>
        <a:bodyPr/>
        <a:lstStyle/>
        <a:p>
          <a:pPr>
            <a:defRPr sz="800">
              <a:latin typeface="Times New Roman" pitchFamily="18" charset="0"/>
              <a:ea typeface="標楷體" pitchFamily="65" charset="-120"/>
              <a:cs typeface="Times New Roman" pitchFamily="18" charset="0"/>
            </a:defRPr>
          </a:pPr>
          <a:endParaRPr lang="zh-TW"/>
        </a:p>
      </c:txPr>
    </c:legend>
    <c:plotVisOnly val="1"/>
    <c:dispBlanksAs val="gap"/>
  </c:chart>
  <c:spPr>
    <a:noFill/>
    <a:ln>
      <a:noFill/>
    </a:ln>
  </c:spPr>
  <c:externalData r:id="rId1"/>
  <c:userShapes r:id="rId2"/>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zh-TW"/>
  <c:chart>
    <c:autoTitleDeleted val="1"/>
    <c:view3D>
      <c:rAngAx val="1"/>
    </c:view3D>
    <c:sideWall>
      <c:spPr>
        <a:solidFill>
          <a:schemeClr val="accent3">
            <a:lumMod val="20000"/>
            <a:lumOff val="80000"/>
          </a:schemeClr>
        </a:solidFill>
        <a:ln>
          <a:noFill/>
        </a:ln>
        <a:scene3d>
          <a:camera prst="orthographicFront"/>
          <a:lightRig rig="threePt" dir="t"/>
        </a:scene3d>
        <a:sp3d>
          <a:bevelT w="19050"/>
        </a:sp3d>
      </c:spPr>
    </c:sideWall>
    <c:backWall>
      <c:spPr>
        <a:solidFill>
          <a:schemeClr val="accent3">
            <a:lumMod val="20000"/>
            <a:lumOff val="80000"/>
          </a:schemeClr>
        </a:solidFill>
        <a:ln>
          <a:noFill/>
        </a:ln>
        <a:scene3d>
          <a:camera prst="orthographicFront"/>
          <a:lightRig rig="threePt" dir="t"/>
        </a:scene3d>
        <a:sp3d>
          <a:bevelT w="19050"/>
        </a:sp3d>
      </c:spPr>
    </c:backWall>
    <c:plotArea>
      <c:layout>
        <c:manualLayout>
          <c:layoutTarget val="inner"/>
          <c:xMode val="edge"/>
          <c:yMode val="edge"/>
          <c:x val="0.10504489570382648"/>
          <c:y val="0.31309112676704887"/>
          <c:w val="0.81688992317255893"/>
          <c:h val="0.52359055118110231"/>
        </c:manualLayout>
      </c:layout>
      <c:bar3DChart>
        <c:barDir val="bar"/>
        <c:grouping val="stacked"/>
        <c:ser>
          <c:idx val="0"/>
          <c:order val="0"/>
          <c:tx>
            <c:strRef>
              <c:f>核付_特約!$B$66</c:f>
              <c:strCache>
                <c:ptCount val="1"/>
                <c:pt idx="0">
                  <c:v>Academic Medical Centers</c:v>
                </c:pt>
              </c:strCache>
            </c:strRef>
          </c:tx>
          <c:spPr>
            <a:solidFill>
              <a:schemeClr val="accent3">
                <a:lumMod val="60000"/>
                <a:lumOff val="40000"/>
              </a:schemeClr>
            </a:solidFill>
            <a:ln>
              <a:noFill/>
            </a:ln>
            <a:scene3d>
              <a:camera prst="orthographicFront"/>
              <a:lightRig rig="threePt" dir="t"/>
            </a:scene3d>
            <a:sp3d>
              <a:bevelT w="0" h="0"/>
            </a:sp3d>
          </c:spPr>
          <c:dLbls>
            <c:txPr>
              <a:bodyPr/>
              <a:lstStyle/>
              <a:p>
                <a:pPr>
                  <a:defRPr sz="800">
                    <a:latin typeface="Times New Roman" pitchFamily="18" charset="0"/>
                    <a:ea typeface="標楷體" pitchFamily="65" charset="-120"/>
                    <a:cs typeface="Times New Roman" pitchFamily="18" charset="0"/>
                  </a:defRPr>
                </a:pPr>
                <a:endParaRPr lang="zh-TW"/>
              </a:p>
            </c:txPr>
            <c:showVal val="1"/>
          </c:dLbls>
          <c:cat>
            <c:strRef>
              <c:f>(核付_特約!$D$15,核付_特約!$D$47)</c:f>
              <c:strCache>
                <c:ptCount val="2"/>
                <c:pt idx="0">
                  <c:v>RVU</c:v>
                </c:pt>
                <c:pt idx="1">
                  <c:v>NT$</c:v>
                </c:pt>
              </c:strCache>
            </c:strRef>
          </c:cat>
          <c:val>
            <c:numRef>
              <c:f>核付_特約!$E$66:$F$66</c:f>
              <c:numCache>
                <c:formatCode>0.0_ </c:formatCode>
                <c:ptCount val="2"/>
                <c:pt idx="0">
                  <c:v>21.680327161924886</c:v>
                </c:pt>
                <c:pt idx="1">
                  <c:v>21.072645656683129</c:v>
                </c:pt>
              </c:numCache>
            </c:numRef>
          </c:val>
        </c:ser>
        <c:ser>
          <c:idx val="1"/>
          <c:order val="1"/>
          <c:tx>
            <c:strRef>
              <c:f>核付_特約!$B$67</c:f>
              <c:strCache>
                <c:ptCount val="1"/>
                <c:pt idx="0">
                  <c:v>Metropolitan Hospitals</c:v>
                </c:pt>
              </c:strCache>
            </c:strRef>
          </c:tx>
          <c:spPr>
            <a:solidFill>
              <a:srgbClr val="FFFFAB"/>
            </a:solidFill>
          </c:spPr>
          <c:dLbls>
            <c:txPr>
              <a:bodyPr/>
              <a:lstStyle/>
              <a:p>
                <a:pPr>
                  <a:defRPr sz="800">
                    <a:latin typeface="Times New Roman" pitchFamily="18" charset="0"/>
                    <a:cs typeface="Times New Roman" pitchFamily="18" charset="0"/>
                  </a:defRPr>
                </a:pPr>
                <a:endParaRPr lang="zh-TW"/>
              </a:p>
            </c:txPr>
            <c:showVal val="1"/>
          </c:dLbls>
          <c:cat>
            <c:strRef>
              <c:f>(核付_特約!$D$15,核付_特約!$D$47)</c:f>
              <c:strCache>
                <c:ptCount val="2"/>
                <c:pt idx="0">
                  <c:v>RVU</c:v>
                </c:pt>
                <c:pt idx="1">
                  <c:v>NT$</c:v>
                </c:pt>
              </c:strCache>
            </c:strRef>
          </c:cat>
          <c:val>
            <c:numRef>
              <c:f>核付_特約!$E$67:$F$67</c:f>
              <c:numCache>
                <c:formatCode>0.0_ </c:formatCode>
                <c:ptCount val="2"/>
                <c:pt idx="0">
                  <c:v>21.296976074969589</c:v>
                </c:pt>
                <c:pt idx="1">
                  <c:v>21.234732141859929</c:v>
                </c:pt>
              </c:numCache>
            </c:numRef>
          </c:val>
        </c:ser>
        <c:ser>
          <c:idx val="2"/>
          <c:order val="2"/>
          <c:tx>
            <c:strRef>
              <c:f>核付_特約!$B$68</c:f>
              <c:strCache>
                <c:ptCount val="1"/>
                <c:pt idx="0">
                  <c:v>Local Community Hospitals</c:v>
                </c:pt>
              </c:strCache>
            </c:strRef>
          </c:tx>
          <c:spPr>
            <a:solidFill>
              <a:schemeClr val="accent6">
                <a:lumMod val="40000"/>
                <a:lumOff val="60000"/>
              </a:schemeClr>
            </a:solidFill>
          </c:spPr>
          <c:dLbls>
            <c:txPr>
              <a:bodyPr/>
              <a:lstStyle/>
              <a:p>
                <a:pPr>
                  <a:defRPr sz="800">
                    <a:latin typeface="Times New Roman" pitchFamily="18" charset="0"/>
                    <a:cs typeface="Times New Roman" pitchFamily="18" charset="0"/>
                  </a:defRPr>
                </a:pPr>
                <a:endParaRPr lang="zh-TW"/>
              </a:p>
            </c:txPr>
            <c:showVal val="1"/>
          </c:dLbls>
          <c:cat>
            <c:strRef>
              <c:f>(核付_特約!$D$15,核付_特約!$D$47)</c:f>
              <c:strCache>
                <c:ptCount val="2"/>
                <c:pt idx="0">
                  <c:v>RVU</c:v>
                </c:pt>
                <c:pt idx="1">
                  <c:v>NT$</c:v>
                </c:pt>
              </c:strCache>
            </c:strRef>
          </c:cat>
          <c:val>
            <c:numRef>
              <c:f>核付_特約!$E$68:$F$68</c:f>
              <c:numCache>
                <c:formatCode>0.0_ </c:formatCode>
                <c:ptCount val="2"/>
                <c:pt idx="0">
                  <c:v>10.200681519346807</c:v>
                </c:pt>
                <c:pt idx="1">
                  <c:v>10.477199479684295</c:v>
                </c:pt>
              </c:numCache>
            </c:numRef>
          </c:val>
        </c:ser>
        <c:ser>
          <c:idx val="3"/>
          <c:order val="3"/>
          <c:tx>
            <c:strRef>
              <c:f>核付_特約!$B$69</c:f>
              <c:strCache>
                <c:ptCount val="1"/>
                <c:pt idx="0">
                  <c:v>Physician Clinics </c:v>
                </c:pt>
              </c:strCache>
            </c:strRef>
          </c:tx>
          <c:spPr>
            <a:solidFill>
              <a:schemeClr val="accent5">
                <a:lumMod val="40000"/>
                <a:lumOff val="60000"/>
              </a:schemeClr>
            </a:solidFill>
          </c:spPr>
          <c:dLbls>
            <c:txPr>
              <a:bodyPr/>
              <a:lstStyle/>
              <a:p>
                <a:pPr>
                  <a:defRPr sz="800">
                    <a:latin typeface="Times New Roman" pitchFamily="18" charset="0"/>
                    <a:ea typeface="標楷體" pitchFamily="65" charset="-120"/>
                    <a:cs typeface="Times New Roman" pitchFamily="18" charset="0"/>
                  </a:defRPr>
                </a:pPr>
                <a:endParaRPr lang="zh-TW"/>
              </a:p>
            </c:txPr>
            <c:showVal val="1"/>
          </c:dLbls>
          <c:cat>
            <c:strRef>
              <c:f>(核付_特約!$D$15,核付_特約!$D$47)</c:f>
              <c:strCache>
                <c:ptCount val="2"/>
                <c:pt idx="0">
                  <c:v>RVU</c:v>
                </c:pt>
                <c:pt idx="1">
                  <c:v>NT$</c:v>
                </c:pt>
              </c:strCache>
            </c:strRef>
          </c:cat>
          <c:val>
            <c:numRef>
              <c:f>核付_特約!$E$69:$F$69</c:f>
              <c:numCache>
                <c:formatCode>0.0_ </c:formatCode>
                <c:ptCount val="2"/>
                <c:pt idx="0">
                  <c:v>39.315638295094644</c:v>
                </c:pt>
                <c:pt idx="1">
                  <c:v>40.153671957651845</c:v>
                </c:pt>
              </c:numCache>
            </c:numRef>
          </c:val>
        </c:ser>
        <c:ser>
          <c:idx val="4"/>
          <c:order val="4"/>
          <c:tx>
            <c:strRef>
              <c:f>核付_特約!$B$70</c:f>
              <c:strCache>
                <c:ptCount val="1"/>
                <c:pt idx="0">
                  <c:v>Pharmacies</c:v>
                </c:pt>
              </c:strCache>
            </c:strRef>
          </c:tx>
          <c:spPr>
            <a:solidFill>
              <a:srgbClr val="F0B6ED"/>
            </a:solidFill>
          </c:spPr>
          <c:dLbls>
            <c:txPr>
              <a:bodyPr/>
              <a:lstStyle/>
              <a:p>
                <a:pPr>
                  <a:defRPr sz="800">
                    <a:latin typeface="Times New Roman" pitchFamily="18" charset="0"/>
                    <a:cs typeface="Times New Roman" pitchFamily="18" charset="0"/>
                  </a:defRPr>
                </a:pPr>
                <a:endParaRPr lang="zh-TW"/>
              </a:p>
            </c:txPr>
            <c:showVal val="1"/>
          </c:dLbls>
          <c:cat>
            <c:strRef>
              <c:f>(核付_特約!$D$15,核付_特約!$D$47)</c:f>
              <c:strCache>
                <c:ptCount val="2"/>
                <c:pt idx="0">
                  <c:v>RVU</c:v>
                </c:pt>
                <c:pt idx="1">
                  <c:v>NT$</c:v>
                </c:pt>
              </c:strCache>
            </c:strRef>
          </c:cat>
          <c:val>
            <c:numRef>
              <c:f>核付_特約!$E$70:$F$70</c:f>
              <c:numCache>
                <c:formatCode>0.0_ </c:formatCode>
                <c:ptCount val="2"/>
                <c:pt idx="0">
                  <c:v>7.2393958540276504</c:v>
                </c:pt>
                <c:pt idx="1">
                  <c:v>6.7829444097562765</c:v>
                </c:pt>
              </c:numCache>
            </c:numRef>
          </c:val>
        </c:ser>
        <c:ser>
          <c:idx val="5"/>
          <c:order val="5"/>
          <c:tx>
            <c:strRef>
              <c:f>核付_特約!$B$71</c:f>
              <c:strCache>
                <c:ptCount val="1"/>
                <c:pt idx="0">
                  <c:v>Other Medical Institutions   </c:v>
                </c:pt>
              </c:strCache>
            </c:strRef>
          </c:tx>
          <c:spPr>
            <a:solidFill>
              <a:schemeClr val="accent4">
                <a:lumMod val="50000"/>
              </a:schemeClr>
            </a:solidFill>
          </c:spPr>
          <c:dLbls>
            <c:dLbl>
              <c:idx val="0"/>
              <c:layout>
                <c:manualLayout>
                  <c:x val="4.2372900205925934E-2"/>
                  <c:y val="0"/>
                </c:manualLayout>
              </c:layout>
              <c:showVal val="1"/>
            </c:dLbl>
            <c:dLbl>
              <c:idx val="1"/>
              <c:layout>
                <c:manualLayout>
                  <c:x val="3.3898320164740599E-2"/>
                  <c:y val="0"/>
                </c:manualLayout>
              </c:layout>
              <c:showVal val="1"/>
            </c:dLbl>
            <c:txPr>
              <a:bodyPr/>
              <a:lstStyle/>
              <a:p>
                <a:pPr>
                  <a:defRPr sz="800">
                    <a:latin typeface="Times New Roman" pitchFamily="18" charset="0"/>
                    <a:cs typeface="Times New Roman" pitchFamily="18" charset="0"/>
                  </a:defRPr>
                </a:pPr>
                <a:endParaRPr lang="zh-TW"/>
              </a:p>
            </c:txPr>
            <c:showVal val="1"/>
          </c:dLbls>
          <c:cat>
            <c:strRef>
              <c:f>(核付_特約!$D$15,核付_特約!$D$47)</c:f>
              <c:strCache>
                <c:ptCount val="2"/>
                <c:pt idx="0">
                  <c:v>RVU</c:v>
                </c:pt>
                <c:pt idx="1">
                  <c:v>NT$</c:v>
                </c:pt>
              </c:strCache>
            </c:strRef>
          </c:cat>
          <c:val>
            <c:numRef>
              <c:f>核付_特約!$E$71:$F$71</c:f>
              <c:numCache>
                <c:formatCode>0.0_ </c:formatCode>
                <c:ptCount val="2"/>
                <c:pt idx="0">
                  <c:v>0.2669810946363641</c:v>
                </c:pt>
                <c:pt idx="1">
                  <c:v>0.27880635436447654</c:v>
                </c:pt>
              </c:numCache>
            </c:numRef>
          </c:val>
        </c:ser>
        <c:gapWidth val="200"/>
        <c:shape val="box"/>
        <c:axId val="372012928"/>
        <c:axId val="372014464"/>
        <c:axId val="0"/>
      </c:bar3DChart>
      <c:catAx>
        <c:axId val="372012928"/>
        <c:scaling>
          <c:orientation val="minMax"/>
        </c:scaling>
        <c:axPos val="l"/>
        <c:numFmt formatCode="General" sourceLinked="1"/>
        <c:majorTickMark val="none"/>
        <c:tickLblPos val="nextTo"/>
        <c:txPr>
          <a:bodyPr/>
          <a:lstStyle/>
          <a:p>
            <a:pPr>
              <a:defRPr sz="800">
                <a:latin typeface="Times New Roman" pitchFamily="18" charset="0"/>
                <a:ea typeface="標楷體" pitchFamily="65" charset="-120"/>
                <a:cs typeface="Times New Roman" pitchFamily="18" charset="0"/>
              </a:defRPr>
            </a:pPr>
            <a:endParaRPr lang="zh-TW"/>
          </a:p>
        </c:txPr>
        <c:crossAx val="372014464"/>
        <c:crosses val="autoZero"/>
        <c:auto val="1"/>
        <c:lblAlgn val="ctr"/>
        <c:lblOffset val="100"/>
      </c:catAx>
      <c:valAx>
        <c:axId val="372014464"/>
        <c:scaling>
          <c:orientation val="minMax"/>
          <c:max val="100"/>
        </c:scaling>
        <c:axPos val="b"/>
        <c:majorGridlines>
          <c:spPr>
            <a:ln>
              <a:solidFill>
                <a:schemeClr val="bg1">
                  <a:lumMod val="95000"/>
                </a:schemeClr>
              </a:solidFill>
            </a:ln>
          </c:spPr>
        </c:majorGridlines>
        <c:numFmt formatCode="General" sourceLinked="0"/>
        <c:majorTickMark val="none"/>
        <c:tickLblPos val="nextTo"/>
        <c:txPr>
          <a:bodyPr/>
          <a:lstStyle/>
          <a:p>
            <a:pPr>
              <a:defRPr sz="800">
                <a:latin typeface="Times New Roman" pitchFamily="18" charset="0"/>
                <a:cs typeface="Times New Roman" pitchFamily="18" charset="0"/>
              </a:defRPr>
            </a:pPr>
            <a:endParaRPr lang="zh-TW"/>
          </a:p>
        </c:txPr>
        <c:crossAx val="372012928"/>
        <c:crosses val="autoZero"/>
        <c:crossBetween val="between"/>
      </c:valAx>
    </c:plotArea>
    <c:legend>
      <c:legendPos val="t"/>
      <c:layout>
        <c:manualLayout>
          <c:xMode val="edge"/>
          <c:yMode val="edge"/>
          <c:x val="8.2388557705590199E-2"/>
          <c:y val="0.19263434175991159"/>
          <c:w val="0.83663978237538428"/>
          <c:h val="9.6527881383248748E-2"/>
        </c:manualLayout>
      </c:layout>
      <c:txPr>
        <a:bodyPr/>
        <a:lstStyle/>
        <a:p>
          <a:pPr>
            <a:defRPr sz="800">
              <a:latin typeface="Times New Roman" pitchFamily="18" charset="0"/>
              <a:ea typeface="標楷體" pitchFamily="65" charset="-120"/>
              <a:cs typeface="Times New Roman" pitchFamily="18" charset="0"/>
            </a:defRPr>
          </a:pPr>
          <a:endParaRPr lang="zh-TW"/>
        </a:p>
      </c:txPr>
    </c:legend>
    <c:plotVisOnly val="1"/>
    <c:dispBlanksAs val="zero"/>
  </c:chart>
  <c:spPr>
    <a:gradFill>
      <a:gsLst>
        <a:gs pos="0">
          <a:sysClr val="window" lastClr="FFFFFF"/>
        </a:gs>
        <a:gs pos="33000">
          <a:sysClr val="window" lastClr="FFFFFF"/>
        </a:gs>
        <a:gs pos="67000">
          <a:sysClr val="window" lastClr="FFFFFF"/>
        </a:gs>
        <a:gs pos="100000">
          <a:schemeClr val="bg1"/>
        </a:gs>
      </a:gsLst>
      <a:lin ang="2700000" scaled="0"/>
    </a:gradFill>
    <a:ln>
      <a:noFill/>
    </a:ln>
  </c:spPr>
  <c:externalData r:id="rId1"/>
  <c:userShapes r:id="rId2"/>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zh-TW"/>
  <c:chart>
    <c:plotArea>
      <c:layout>
        <c:manualLayout>
          <c:layoutTarget val="inner"/>
          <c:xMode val="edge"/>
          <c:yMode val="edge"/>
          <c:x val="9.0165706898578002E-2"/>
          <c:y val="0.22350242583313448"/>
          <c:w val="0.81353860618169005"/>
          <c:h val="0.66522539945664683"/>
        </c:manualLayout>
      </c:layout>
      <c:barChart>
        <c:barDir val="col"/>
        <c:grouping val="clustered"/>
        <c:ser>
          <c:idx val="0"/>
          <c:order val="0"/>
          <c:tx>
            <c:strRef>
              <c:f>核付_TS!$D$43</c:f>
              <c:strCache>
                <c:ptCount val="1"/>
                <c:pt idx="0">
                  <c:v>RVU</c:v>
                </c:pt>
              </c:strCache>
            </c:strRef>
          </c:tx>
          <c:spPr>
            <a:solidFill>
              <a:schemeClr val="accent3">
                <a:lumMod val="60000"/>
                <a:lumOff val="40000"/>
              </a:schemeClr>
            </a:solidFill>
            <a:ln w="38100">
              <a:noFill/>
            </a:ln>
            <a:scene3d>
              <a:camera prst="orthographicFront"/>
              <a:lightRig rig="threePt" dir="t"/>
            </a:scene3d>
            <a:sp3d>
              <a:bevelT w="0" h="0"/>
            </a:sp3d>
          </c:spPr>
          <c:dLbls>
            <c:dLbl>
              <c:idx val="0"/>
              <c:numFmt formatCode="#,##0;[Red]\-#,##0" sourceLinked="0"/>
              <c:spPr/>
              <c:txPr>
                <a:bodyPr/>
                <a:lstStyle/>
                <a:p>
                  <a:pPr>
                    <a:defRPr sz="800">
                      <a:latin typeface="Times New Roman" pitchFamily="18" charset="0"/>
                      <a:cs typeface="Times New Roman" pitchFamily="18" charset="0"/>
                    </a:defRPr>
                  </a:pPr>
                  <a:endParaRPr lang="zh-TW"/>
                </a:p>
              </c:txPr>
            </c:dLbl>
            <c:dLbl>
              <c:idx val="1"/>
              <c:delete val="1"/>
            </c:dLbl>
            <c:dLbl>
              <c:idx val="2"/>
              <c:delete val="1"/>
            </c:dLbl>
            <c:dLbl>
              <c:idx val="3"/>
              <c:delete val="1"/>
            </c:dLbl>
            <c:dLbl>
              <c:idx val="4"/>
              <c:delete val="1"/>
            </c:dLbl>
            <c:dLbl>
              <c:idx val="5"/>
              <c:numFmt formatCode="#,##0;[Red]\-#,##0" sourceLinked="0"/>
              <c:spPr/>
              <c:txPr>
                <a:bodyPr/>
                <a:lstStyle/>
                <a:p>
                  <a:pPr>
                    <a:defRPr sz="800">
                      <a:latin typeface="Times New Roman" pitchFamily="18" charset="0"/>
                      <a:cs typeface="Times New Roman" pitchFamily="18" charset="0"/>
                    </a:defRPr>
                  </a:pPr>
                  <a:endParaRPr lang="zh-TW"/>
                </a:p>
              </c:txPr>
            </c:dLbl>
            <c:dLbl>
              <c:idx val="6"/>
              <c:delete val="1"/>
            </c:dLbl>
            <c:dLbl>
              <c:idx val="7"/>
              <c:delete val="1"/>
            </c:dLbl>
            <c:dLbl>
              <c:idx val="8"/>
              <c:delete val="1"/>
            </c:dLbl>
            <c:dLbl>
              <c:idx val="9"/>
              <c:delete val="1"/>
            </c:dLbl>
            <c:dLbl>
              <c:idx val="10"/>
              <c:numFmt formatCode="#,##0;[Red]\-#,##0" sourceLinked="0"/>
              <c:spPr/>
              <c:txPr>
                <a:bodyPr/>
                <a:lstStyle/>
                <a:p>
                  <a:pPr>
                    <a:defRPr sz="800">
                      <a:latin typeface="Times New Roman" pitchFamily="18" charset="0"/>
                      <a:cs typeface="Times New Roman" pitchFamily="18" charset="0"/>
                    </a:defRPr>
                  </a:pPr>
                  <a:endParaRPr lang="zh-TW"/>
                </a:p>
              </c:txPr>
            </c:dLbl>
            <c:txPr>
              <a:bodyPr/>
              <a:lstStyle/>
              <a:p>
                <a:pPr>
                  <a:defRPr sz="800">
                    <a:latin typeface="Times New Roman" pitchFamily="18" charset="0"/>
                    <a:cs typeface="Times New Roman" pitchFamily="18" charset="0"/>
                  </a:defRPr>
                </a:pPr>
                <a:endParaRPr lang="zh-TW"/>
              </a:p>
            </c:txPr>
            <c:dLblPos val="ctr"/>
            <c:showVal val="1"/>
          </c:dLbls>
          <c:cat>
            <c:numRef>
              <c:f>核付_TS!$A$44:$A$54</c:f>
              <c:numCache>
                <c:formatCode>General</c:formatCode>
                <c:ptCount val="11"/>
                <c:pt idx="0">
                  <c:v>2001</c:v>
                </c:pt>
                <c:pt idx="1">
                  <c:v>2002</c:v>
                </c:pt>
                <c:pt idx="2">
                  <c:v>2003</c:v>
                </c:pt>
                <c:pt idx="3">
                  <c:v>2004</c:v>
                </c:pt>
                <c:pt idx="4">
                  <c:v>2005</c:v>
                </c:pt>
                <c:pt idx="5">
                  <c:v>2006</c:v>
                </c:pt>
                <c:pt idx="6">
                  <c:v>2007</c:v>
                </c:pt>
                <c:pt idx="7">
                  <c:v>2008</c:v>
                </c:pt>
                <c:pt idx="8">
                  <c:v>2009</c:v>
                </c:pt>
                <c:pt idx="9">
                  <c:v>2010</c:v>
                </c:pt>
                <c:pt idx="10">
                  <c:v>2011</c:v>
                </c:pt>
              </c:numCache>
            </c:numRef>
          </c:cat>
          <c:val>
            <c:numRef>
              <c:f>核付_TS!$D$44:$D$54</c:f>
              <c:numCache>
                <c:formatCode>#,##0</c:formatCode>
                <c:ptCount val="11"/>
                <c:pt idx="0">
                  <c:v>9931721548.6000004</c:v>
                </c:pt>
                <c:pt idx="1">
                  <c:v>11021537078.200006</c:v>
                </c:pt>
                <c:pt idx="2">
                  <c:v>11577986234.200006</c:v>
                </c:pt>
                <c:pt idx="3">
                  <c:v>13774123359.4</c:v>
                </c:pt>
                <c:pt idx="4">
                  <c:v>14099998076.800001</c:v>
                </c:pt>
                <c:pt idx="5">
                  <c:v>14098345065.1</c:v>
                </c:pt>
                <c:pt idx="6">
                  <c:v>14498928319.700006</c:v>
                </c:pt>
                <c:pt idx="7">
                  <c:v>14880489490.6</c:v>
                </c:pt>
                <c:pt idx="8">
                  <c:v>15546314227.9</c:v>
                </c:pt>
                <c:pt idx="9">
                  <c:v>15895393173</c:v>
                </c:pt>
                <c:pt idx="10">
                  <c:v>16509536352</c:v>
                </c:pt>
              </c:numCache>
            </c:numRef>
          </c:val>
        </c:ser>
        <c:gapWidth val="74"/>
        <c:axId val="282923776"/>
        <c:axId val="282925312"/>
      </c:barChart>
      <c:lineChart>
        <c:grouping val="standard"/>
        <c:ser>
          <c:idx val="1"/>
          <c:order val="1"/>
          <c:tx>
            <c:strRef>
              <c:f>核付_TS!$E$43</c:f>
              <c:strCache>
                <c:ptCount val="1"/>
                <c:pt idx="0">
                  <c:v>Average RVU per case</c:v>
                </c:pt>
              </c:strCache>
            </c:strRef>
          </c:tx>
          <c:spPr>
            <a:ln w="25400" cap="flat">
              <a:solidFill>
                <a:schemeClr val="accent3">
                  <a:lumMod val="50000"/>
                </a:schemeClr>
              </a:solidFill>
              <a:prstDash val="dash"/>
            </a:ln>
          </c:spPr>
          <c:marker>
            <c:symbol val="diamond"/>
            <c:size val="7"/>
            <c:spPr>
              <a:solidFill>
                <a:schemeClr val="accent3">
                  <a:lumMod val="75000"/>
                </a:schemeClr>
              </a:solidFill>
              <a:ln>
                <a:noFill/>
              </a:ln>
            </c:spPr>
          </c:marker>
          <c:dLbls>
            <c:dLbl>
              <c:idx val="1"/>
              <c:delete val="1"/>
            </c:dLbl>
            <c:dLbl>
              <c:idx val="2"/>
              <c:delete val="1"/>
            </c:dLbl>
            <c:dLbl>
              <c:idx val="3"/>
              <c:delete val="1"/>
            </c:dLbl>
            <c:dLbl>
              <c:idx val="4"/>
              <c:delete val="1"/>
            </c:dLbl>
            <c:dLbl>
              <c:idx val="6"/>
              <c:delete val="1"/>
            </c:dLbl>
            <c:dLbl>
              <c:idx val="7"/>
              <c:delete val="1"/>
            </c:dLbl>
            <c:dLbl>
              <c:idx val="8"/>
              <c:delete val="1"/>
            </c:dLbl>
            <c:dLbl>
              <c:idx val="9"/>
              <c:delete val="1"/>
            </c:dLbl>
            <c:dLbl>
              <c:idx val="11"/>
              <c:delete val="1"/>
            </c:dLbl>
            <c:dLbl>
              <c:idx val="12"/>
              <c:delete val="1"/>
            </c:dLbl>
            <c:txPr>
              <a:bodyPr/>
              <a:lstStyle/>
              <a:p>
                <a:pPr>
                  <a:defRPr sz="800">
                    <a:latin typeface="Times New Roman" pitchFamily="18" charset="0"/>
                    <a:cs typeface="Times New Roman" pitchFamily="18" charset="0"/>
                  </a:defRPr>
                </a:pPr>
                <a:endParaRPr lang="zh-TW"/>
              </a:p>
            </c:txPr>
            <c:dLblPos val="t"/>
            <c:showVal val="1"/>
          </c:dLbls>
          <c:cat>
            <c:numRef>
              <c:f>核付_TS!$A$44:$A$54</c:f>
              <c:numCache>
                <c:formatCode>General</c:formatCode>
                <c:ptCount val="11"/>
                <c:pt idx="0">
                  <c:v>2001</c:v>
                </c:pt>
                <c:pt idx="1">
                  <c:v>2002</c:v>
                </c:pt>
                <c:pt idx="2">
                  <c:v>2003</c:v>
                </c:pt>
                <c:pt idx="3">
                  <c:v>2004</c:v>
                </c:pt>
                <c:pt idx="4">
                  <c:v>2005</c:v>
                </c:pt>
                <c:pt idx="5">
                  <c:v>2006</c:v>
                </c:pt>
                <c:pt idx="6">
                  <c:v>2007</c:v>
                </c:pt>
                <c:pt idx="7">
                  <c:v>2008</c:v>
                </c:pt>
                <c:pt idx="8">
                  <c:v>2009</c:v>
                </c:pt>
                <c:pt idx="9">
                  <c:v>2010</c:v>
                </c:pt>
                <c:pt idx="10">
                  <c:v>2011</c:v>
                </c:pt>
              </c:numCache>
            </c:numRef>
          </c:cat>
          <c:val>
            <c:numRef>
              <c:f>核付_TS!$E$44:$E$54</c:f>
              <c:numCache>
                <c:formatCode>_-* #,##0_-;\-* #,##0_-;_-* "-"_-;_-@_-</c:formatCode>
                <c:ptCount val="11"/>
                <c:pt idx="0">
                  <c:v>35131.527781815836</c:v>
                </c:pt>
                <c:pt idx="1">
                  <c:v>37298.077278824843</c:v>
                </c:pt>
                <c:pt idx="2">
                  <c:v>43733.818823620211</c:v>
                </c:pt>
                <c:pt idx="3">
                  <c:v>47162.562010817775</c:v>
                </c:pt>
                <c:pt idx="4">
                  <c:v>48392.02237427768</c:v>
                </c:pt>
                <c:pt idx="5">
                  <c:v>49249.572212365332</c:v>
                </c:pt>
                <c:pt idx="6">
                  <c:v>49565.579663414581</c:v>
                </c:pt>
                <c:pt idx="7">
                  <c:v>49660.446157065351</c:v>
                </c:pt>
                <c:pt idx="8">
                  <c:v>49451.826884251153</c:v>
                </c:pt>
                <c:pt idx="9">
                  <c:v>49563.104550463315</c:v>
                </c:pt>
                <c:pt idx="10">
                  <c:v>50375.834884673932</c:v>
                </c:pt>
              </c:numCache>
            </c:numRef>
          </c:val>
        </c:ser>
        <c:marker val="1"/>
        <c:axId val="282949504"/>
        <c:axId val="282947968"/>
      </c:lineChart>
      <c:catAx>
        <c:axId val="282923776"/>
        <c:scaling>
          <c:orientation val="minMax"/>
        </c:scaling>
        <c:axPos val="b"/>
        <c:numFmt formatCode="General" sourceLinked="1"/>
        <c:majorTickMark val="none"/>
        <c:tickLblPos val="low"/>
        <c:txPr>
          <a:bodyPr/>
          <a:lstStyle/>
          <a:p>
            <a:pPr>
              <a:defRPr sz="800">
                <a:latin typeface="Times New Roman" pitchFamily="18" charset="0"/>
                <a:ea typeface="標楷體" pitchFamily="65" charset="-120"/>
                <a:cs typeface="Times New Roman" pitchFamily="18" charset="0"/>
              </a:defRPr>
            </a:pPr>
            <a:endParaRPr lang="zh-TW"/>
          </a:p>
        </c:txPr>
        <c:crossAx val="282925312"/>
        <c:crosses val="autoZero"/>
        <c:auto val="1"/>
        <c:lblAlgn val="ctr"/>
        <c:lblOffset val="10"/>
      </c:catAx>
      <c:valAx>
        <c:axId val="282925312"/>
        <c:scaling>
          <c:orientation val="minMax"/>
          <c:max val="20000000000"/>
        </c:scaling>
        <c:axPos val="l"/>
        <c:majorGridlines>
          <c:spPr>
            <a:ln>
              <a:solidFill>
                <a:schemeClr val="bg1"/>
              </a:solidFill>
            </a:ln>
          </c:spPr>
        </c:majorGridlines>
        <c:numFmt formatCode="#,##0;[Red]\-#,##0" sourceLinked="0"/>
        <c:majorTickMark val="in"/>
        <c:tickLblPos val="nextTo"/>
        <c:txPr>
          <a:bodyPr/>
          <a:lstStyle/>
          <a:p>
            <a:pPr>
              <a:defRPr sz="800">
                <a:latin typeface="Times New Roman" pitchFamily="18" charset="0"/>
                <a:cs typeface="Times New Roman" pitchFamily="18" charset="0"/>
              </a:defRPr>
            </a:pPr>
            <a:endParaRPr lang="zh-TW"/>
          </a:p>
        </c:txPr>
        <c:crossAx val="282923776"/>
        <c:crosses val="autoZero"/>
        <c:crossBetween val="between"/>
        <c:dispUnits>
          <c:builtInUnit val="hundredMillions"/>
        </c:dispUnits>
      </c:valAx>
      <c:valAx>
        <c:axId val="282947968"/>
        <c:scaling>
          <c:orientation val="minMax"/>
          <c:max val="65000"/>
          <c:min val="0"/>
        </c:scaling>
        <c:axPos val="r"/>
        <c:numFmt formatCode="#,##0_ " sourceLinked="0"/>
        <c:majorTickMark val="in"/>
        <c:tickLblPos val="nextTo"/>
        <c:txPr>
          <a:bodyPr/>
          <a:lstStyle/>
          <a:p>
            <a:pPr>
              <a:defRPr sz="800">
                <a:latin typeface="Times New Roman" pitchFamily="18" charset="0"/>
                <a:cs typeface="Times New Roman" pitchFamily="18" charset="0"/>
              </a:defRPr>
            </a:pPr>
            <a:endParaRPr lang="zh-TW"/>
          </a:p>
        </c:txPr>
        <c:crossAx val="282949504"/>
        <c:crosses val="max"/>
        <c:crossBetween val="between"/>
      </c:valAx>
      <c:catAx>
        <c:axId val="282949504"/>
        <c:scaling>
          <c:orientation val="minMax"/>
        </c:scaling>
        <c:delete val="1"/>
        <c:axPos val="b"/>
        <c:numFmt formatCode="General" sourceLinked="1"/>
        <c:tickLblPos val="none"/>
        <c:crossAx val="282947968"/>
        <c:crosses val="autoZero"/>
        <c:auto val="1"/>
        <c:lblAlgn val="ctr"/>
        <c:lblOffset val="100"/>
      </c:catAx>
      <c:spPr>
        <a:gradFill>
          <a:gsLst>
            <a:gs pos="0">
              <a:sysClr val="window" lastClr="FFFFFF"/>
            </a:gs>
            <a:gs pos="50000">
              <a:sysClr val="window" lastClr="FFFFFF"/>
            </a:gs>
            <a:gs pos="100000">
              <a:sysClr val="window" lastClr="FFFFFF"/>
            </a:gs>
          </a:gsLst>
          <a:lin ang="5400000" scaled="0"/>
        </a:gradFill>
      </c:spPr>
    </c:plotArea>
    <c:legend>
      <c:legendPos val="t"/>
      <c:layout>
        <c:manualLayout>
          <c:xMode val="edge"/>
          <c:yMode val="edge"/>
          <c:x val="0.11183723033096454"/>
          <c:y val="0.20711740802136633"/>
          <c:w val="0.28976177977752782"/>
          <c:h val="9.7569300547958066E-2"/>
        </c:manualLayout>
      </c:layout>
      <c:txPr>
        <a:bodyPr/>
        <a:lstStyle/>
        <a:p>
          <a:pPr>
            <a:defRPr sz="800">
              <a:latin typeface="Times New Roman" pitchFamily="18" charset="0"/>
              <a:ea typeface="標楷體" pitchFamily="65" charset="-120"/>
              <a:cs typeface="Times New Roman" pitchFamily="18" charset="0"/>
            </a:defRPr>
          </a:pPr>
          <a:endParaRPr lang="zh-TW"/>
        </a:p>
      </c:txPr>
    </c:legend>
    <c:plotVisOnly val="1"/>
    <c:dispBlanksAs val="gap"/>
  </c:chart>
  <c:spPr>
    <a:noFill/>
    <a:ln>
      <a:noFill/>
    </a:ln>
  </c:spPr>
  <c:externalData r:id="rId1"/>
  <c:userShapes r:id="rId2"/>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zh-TW"/>
  <c:chart>
    <c:autoTitleDeleted val="1"/>
    <c:view3D>
      <c:rAngAx val="1"/>
    </c:view3D>
    <c:sideWall>
      <c:spPr>
        <a:solidFill>
          <a:schemeClr val="accent3">
            <a:lumMod val="20000"/>
            <a:lumOff val="80000"/>
          </a:schemeClr>
        </a:solidFill>
        <a:ln>
          <a:noFill/>
        </a:ln>
        <a:scene3d>
          <a:camera prst="orthographicFront"/>
          <a:lightRig rig="threePt" dir="t"/>
        </a:scene3d>
        <a:sp3d>
          <a:bevelT w="19050"/>
        </a:sp3d>
      </c:spPr>
    </c:sideWall>
    <c:backWall>
      <c:spPr>
        <a:solidFill>
          <a:schemeClr val="accent3">
            <a:lumMod val="20000"/>
            <a:lumOff val="80000"/>
          </a:schemeClr>
        </a:solidFill>
        <a:ln>
          <a:noFill/>
        </a:ln>
        <a:scene3d>
          <a:camera prst="orthographicFront"/>
          <a:lightRig rig="threePt" dir="t"/>
        </a:scene3d>
        <a:sp3d>
          <a:bevelT w="19050"/>
        </a:sp3d>
      </c:spPr>
    </c:backWall>
    <c:plotArea>
      <c:layout>
        <c:manualLayout>
          <c:layoutTarget val="inner"/>
          <c:xMode val="edge"/>
          <c:yMode val="edge"/>
          <c:x val="0.12933639367953501"/>
          <c:y val="0.31309112676704887"/>
          <c:w val="0.80609370185002149"/>
          <c:h val="0.52359055118110231"/>
        </c:manualLayout>
      </c:layout>
      <c:bar3DChart>
        <c:barDir val="bar"/>
        <c:grouping val="stacked"/>
        <c:ser>
          <c:idx val="0"/>
          <c:order val="0"/>
          <c:tx>
            <c:strRef>
              <c:f>核付_特約!$B$66</c:f>
              <c:strCache>
                <c:ptCount val="1"/>
                <c:pt idx="0">
                  <c:v>Academic Medical Centers</c:v>
                </c:pt>
              </c:strCache>
            </c:strRef>
          </c:tx>
          <c:spPr>
            <a:solidFill>
              <a:schemeClr val="accent3">
                <a:lumMod val="60000"/>
                <a:lumOff val="40000"/>
              </a:schemeClr>
            </a:solidFill>
            <a:ln>
              <a:noFill/>
            </a:ln>
            <a:scene3d>
              <a:camera prst="orthographicFront"/>
              <a:lightRig rig="threePt" dir="t"/>
            </a:scene3d>
            <a:sp3d>
              <a:bevelT w="0" h="0"/>
            </a:sp3d>
          </c:spPr>
          <c:dLbls>
            <c:txPr>
              <a:bodyPr/>
              <a:lstStyle/>
              <a:p>
                <a:pPr>
                  <a:defRPr sz="800">
                    <a:latin typeface="Times New Roman" pitchFamily="18" charset="0"/>
                    <a:ea typeface="標楷體" pitchFamily="65" charset="-120"/>
                    <a:cs typeface="Times New Roman" pitchFamily="18" charset="0"/>
                  </a:defRPr>
                </a:pPr>
                <a:endParaRPr lang="zh-TW"/>
              </a:p>
            </c:txPr>
            <c:showVal val="1"/>
          </c:dLbls>
          <c:cat>
            <c:strRef>
              <c:f>(核付_特約!$D$15,核付_特約!$D$47)</c:f>
              <c:strCache>
                <c:ptCount val="2"/>
                <c:pt idx="0">
                  <c:v>RVU</c:v>
                </c:pt>
                <c:pt idx="1">
                  <c:v>NT$</c:v>
                </c:pt>
              </c:strCache>
            </c:strRef>
          </c:cat>
          <c:val>
            <c:numRef>
              <c:f>核付_特約!$I$66:$J$66</c:f>
              <c:numCache>
                <c:formatCode>0.0_ </c:formatCode>
                <c:ptCount val="2"/>
                <c:pt idx="0">
                  <c:v>42.733702750053482</c:v>
                </c:pt>
                <c:pt idx="1">
                  <c:v>42.610474721464776</c:v>
                </c:pt>
              </c:numCache>
            </c:numRef>
          </c:val>
        </c:ser>
        <c:ser>
          <c:idx val="1"/>
          <c:order val="1"/>
          <c:tx>
            <c:strRef>
              <c:f>核付_特約!$B$67</c:f>
              <c:strCache>
                <c:ptCount val="1"/>
                <c:pt idx="0">
                  <c:v>Metropolitan Hospitals</c:v>
                </c:pt>
              </c:strCache>
            </c:strRef>
          </c:tx>
          <c:spPr>
            <a:solidFill>
              <a:srgbClr val="FFFFAB"/>
            </a:solidFill>
          </c:spPr>
          <c:dLbls>
            <c:txPr>
              <a:bodyPr/>
              <a:lstStyle/>
              <a:p>
                <a:pPr>
                  <a:defRPr sz="800">
                    <a:latin typeface="Times New Roman" pitchFamily="18" charset="0"/>
                    <a:cs typeface="Times New Roman" pitchFamily="18" charset="0"/>
                  </a:defRPr>
                </a:pPr>
                <a:endParaRPr lang="zh-TW"/>
              </a:p>
            </c:txPr>
            <c:showVal val="1"/>
          </c:dLbls>
          <c:cat>
            <c:strRef>
              <c:f>(核付_特約!$D$15,核付_特約!$D$47)</c:f>
              <c:strCache>
                <c:ptCount val="2"/>
                <c:pt idx="0">
                  <c:v>RVU</c:v>
                </c:pt>
                <c:pt idx="1">
                  <c:v>NT$</c:v>
                </c:pt>
              </c:strCache>
            </c:strRef>
          </c:cat>
          <c:val>
            <c:numRef>
              <c:f>核付_特約!$I$67:$J$67</c:f>
              <c:numCache>
                <c:formatCode>0.0_ </c:formatCode>
                <c:ptCount val="2"/>
                <c:pt idx="0">
                  <c:v>39.539783698782394</c:v>
                </c:pt>
                <c:pt idx="1">
                  <c:v>39.613612387168956</c:v>
                </c:pt>
              </c:numCache>
            </c:numRef>
          </c:val>
        </c:ser>
        <c:ser>
          <c:idx val="2"/>
          <c:order val="2"/>
          <c:tx>
            <c:strRef>
              <c:f>核付_特約!$B$68</c:f>
              <c:strCache>
                <c:ptCount val="1"/>
                <c:pt idx="0">
                  <c:v>Local Community Hospitals</c:v>
                </c:pt>
              </c:strCache>
            </c:strRef>
          </c:tx>
          <c:spPr>
            <a:solidFill>
              <a:schemeClr val="accent6">
                <a:lumMod val="40000"/>
                <a:lumOff val="60000"/>
              </a:schemeClr>
            </a:solidFill>
          </c:spPr>
          <c:dLbls>
            <c:txPr>
              <a:bodyPr/>
              <a:lstStyle/>
              <a:p>
                <a:pPr>
                  <a:defRPr sz="800">
                    <a:latin typeface="Times New Roman" pitchFamily="18" charset="0"/>
                    <a:cs typeface="Times New Roman" pitchFamily="18" charset="0"/>
                  </a:defRPr>
                </a:pPr>
                <a:endParaRPr lang="zh-TW"/>
              </a:p>
            </c:txPr>
            <c:showVal val="1"/>
          </c:dLbls>
          <c:cat>
            <c:strRef>
              <c:f>(核付_特約!$D$15,核付_特約!$D$47)</c:f>
              <c:strCache>
                <c:ptCount val="2"/>
                <c:pt idx="0">
                  <c:v>RVU</c:v>
                </c:pt>
                <c:pt idx="1">
                  <c:v>NT$</c:v>
                </c:pt>
              </c:strCache>
            </c:strRef>
          </c:cat>
          <c:val>
            <c:numRef>
              <c:f>核付_特約!$I$68:$J$68</c:f>
              <c:numCache>
                <c:formatCode>0.0_ </c:formatCode>
                <c:ptCount val="2"/>
                <c:pt idx="0">
                  <c:v>16.5779300891685</c:v>
                </c:pt>
                <c:pt idx="1">
                  <c:v>16.73414716498273</c:v>
                </c:pt>
              </c:numCache>
            </c:numRef>
          </c:val>
        </c:ser>
        <c:ser>
          <c:idx val="3"/>
          <c:order val="3"/>
          <c:tx>
            <c:strRef>
              <c:f>核付_特約!$B$69</c:f>
              <c:strCache>
                <c:ptCount val="1"/>
                <c:pt idx="0">
                  <c:v>Physician Clinics </c:v>
                </c:pt>
              </c:strCache>
            </c:strRef>
          </c:tx>
          <c:spPr>
            <a:solidFill>
              <a:schemeClr val="accent5">
                <a:lumMod val="40000"/>
                <a:lumOff val="60000"/>
              </a:schemeClr>
            </a:solidFill>
          </c:spPr>
          <c:dLbls>
            <c:txPr>
              <a:bodyPr/>
              <a:lstStyle/>
              <a:p>
                <a:pPr>
                  <a:defRPr sz="800">
                    <a:latin typeface="Times New Roman" pitchFamily="18" charset="0"/>
                    <a:ea typeface="標楷體" pitchFamily="65" charset="-120"/>
                    <a:cs typeface="Times New Roman" pitchFamily="18" charset="0"/>
                  </a:defRPr>
                </a:pPr>
                <a:endParaRPr lang="zh-TW"/>
              </a:p>
            </c:txPr>
            <c:showVal val="1"/>
          </c:dLbls>
          <c:cat>
            <c:strRef>
              <c:f>(核付_特約!$D$15,核付_特約!$D$47)</c:f>
              <c:strCache>
                <c:ptCount val="2"/>
                <c:pt idx="0">
                  <c:v>RVU</c:v>
                </c:pt>
                <c:pt idx="1">
                  <c:v>NT$</c:v>
                </c:pt>
              </c:strCache>
            </c:strRef>
          </c:cat>
          <c:val>
            <c:numRef>
              <c:f>核付_特約!$I$69:$J$69</c:f>
              <c:numCache>
                <c:formatCode>0.0_ </c:formatCode>
                <c:ptCount val="2"/>
                <c:pt idx="0">
                  <c:v>1.1485834619955804</c:v>
                </c:pt>
                <c:pt idx="1">
                  <c:v>1.0417657263837381</c:v>
                </c:pt>
              </c:numCache>
            </c:numRef>
          </c:val>
        </c:ser>
        <c:gapWidth val="200"/>
        <c:shape val="box"/>
        <c:axId val="377345152"/>
        <c:axId val="287470336"/>
        <c:axId val="0"/>
      </c:bar3DChart>
      <c:catAx>
        <c:axId val="377345152"/>
        <c:scaling>
          <c:orientation val="minMax"/>
        </c:scaling>
        <c:axPos val="l"/>
        <c:numFmt formatCode="General" sourceLinked="1"/>
        <c:majorTickMark val="none"/>
        <c:tickLblPos val="nextTo"/>
        <c:txPr>
          <a:bodyPr/>
          <a:lstStyle/>
          <a:p>
            <a:pPr>
              <a:defRPr sz="800">
                <a:latin typeface="Times New Roman" pitchFamily="18" charset="0"/>
                <a:ea typeface="標楷體" pitchFamily="65" charset="-120"/>
                <a:cs typeface="Times New Roman" pitchFamily="18" charset="0"/>
              </a:defRPr>
            </a:pPr>
            <a:endParaRPr lang="zh-TW"/>
          </a:p>
        </c:txPr>
        <c:crossAx val="287470336"/>
        <c:crosses val="autoZero"/>
        <c:auto val="1"/>
        <c:lblAlgn val="ctr"/>
        <c:lblOffset val="100"/>
      </c:catAx>
      <c:valAx>
        <c:axId val="287470336"/>
        <c:scaling>
          <c:orientation val="minMax"/>
          <c:max val="100"/>
        </c:scaling>
        <c:axPos val="b"/>
        <c:majorGridlines>
          <c:spPr>
            <a:ln>
              <a:solidFill>
                <a:schemeClr val="bg1">
                  <a:lumMod val="95000"/>
                </a:schemeClr>
              </a:solidFill>
            </a:ln>
          </c:spPr>
        </c:majorGridlines>
        <c:numFmt formatCode="General" sourceLinked="0"/>
        <c:majorTickMark val="none"/>
        <c:tickLblPos val="nextTo"/>
        <c:txPr>
          <a:bodyPr/>
          <a:lstStyle/>
          <a:p>
            <a:pPr>
              <a:defRPr sz="800">
                <a:latin typeface="Times New Roman" pitchFamily="18" charset="0"/>
                <a:cs typeface="Times New Roman" pitchFamily="18" charset="0"/>
              </a:defRPr>
            </a:pPr>
            <a:endParaRPr lang="zh-TW"/>
          </a:p>
        </c:txPr>
        <c:crossAx val="377345152"/>
        <c:crosses val="autoZero"/>
        <c:crossBetween val="between"/>
      </c:valAx>
    </c:plotArea>
    <c:legend>
      <c:legendPos val="t"/>
      <c:layout>
        <c:manualLayout>
          <c:xMode val="edge"/>
          <c:yMode val="edge"/>
          <c:x val="0.20924415824540313"/>
          <c:y val="0.19263450361446213"/>
          <c:w val="0.69089079452113467"/>
          <c:h val="0.11056296910254579"/>
        </c:manualLayout>
      </c:layout>
      <c:txPr>
        <a:bodyPr/>
        <a:lstStyle/>
        <a:p>
          <a:pPr>
            <a:defRPr sz="800">
              <a:latin typeface="Times New Roman" pitchFamily="18" charset="0"/>
              <a:ea typeface="標楷體" pitchFamily="65" charset="-120"/>
              <a:cs typeface="Times New Roman" pitchFamily="18" charset="0"/>
            </a:defRPr>
          </a:pPr>
          <a:endParaRPr lang="zh-TW"/>
        </a:p>
      </c:txPr>
    </c:legend>
    <c:plotVisOnly val="1"/>
    <c:dispBlanksAs val="zero"/>
  </c:chart>
  <c:spPr>
    <a:gradFill>
      <a:gsLst>
        <a:gs pos="0">
          <a:sysClr val="window" lastClr="FFFFFF"/>
        </a:gs>
        <a:gs pos="33000">
          <a:sysClr val="window" lastClr="FFFFFF"/>
        </a:gs>
        <a:gs pos="67000">
          <a:sysClr val="window" lastClr="FFFFFF"/>
        </a:gs>
        <a:gs pos="100000">
          <a:schemeClr val="bg1"/>
        </a:gs>
      </a:gsLst>
      <a:lin ang="2700000" scaled="0"/>
    </a:gradFill>
    <a:ln>
      <a:noFill/>
    </a:ln>
  </c:spPr>
  <c:externalData r:id="rId1"/>
  <c:userShapes r:id="rId2"/>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zh-TW"/>
  <c:chart>
    <c:autoTitleDeleted val="1"/>
    <c:view3D>
      <c:rAngAx val="1"/>
    </c:view3D>
    <c:floor>
      <c:spPr>
        <a:solidFill>
          <a:srgbClr val="E0E0E0">
            <a:alpha val="49000"/>
          </a:srgbClr>
        </a:solidFill>
      </c:spPr>
    </c:floor>
    <c:sideWall>
      <c:spPr>
        <a:solidFill>
          <a:srgbClr val="9BBB59">
            <a:lumMod val="20000"/>
            <a:lumOff val="80000"/>
            <a:alpha val="76000"/>
          </a:srgbClr>
        </a:solidFill>
      </c:spPr>
    </c:sideWall>
    <c:backWall>
      <c:spPr>
        <a:solidFill>
          <a:srgbClr val="9BBB59">
            <a:lumMod val="20000"/>
            <a:lumOff val="80000"/>
            <a:alpha val="76000"/>
          </a:srgbClr>
        </a:solidFill>
      </c:spPr>
    </c:backWall>
    <c:plotArea>
      <c:layout>
        <c:manualLayout>
          <c:layoutTarget val="inner"/>
          <c:xMode val="edge"/>
          <c:yMode val="edge"/>
          <c:x val="0.20320556284631094"/>
          <c:y val="0.19524874045916782"/>
          <c:w val="0.63654709827938383"/>
          <c:h val="0.63577820013878394"/>
        </c:manualLayout>
      </c:layout>
      <c:bar3DChart>
        <c:barDir val="bar"/>
        <c:grouping val="stacked"/>
        <c:ser>
          <c:idx val="0"/>
          <c:order val="0"/>
          <c:tx>
            <c:strRef>
              <c:f>門診明細─特約!$A$49</c:f>
              <c:strCache>
                <c:ptCount val="1"/>
                <c:pt idx="0">
                  <c:v>Drug Fees</c:v>
                </c:pt>
              </c:strCache>
            </c:strRef>
          </c:tx>
          <c:spPr>
            <a:solidFill>
              <a:schemeClr val="accent3">
                <a:lumMod val="40000"/>
                <a:lumOff val="60000"/>
                <a:alpha val="84000"/>
              </a:schemeClr>
            </a:solidFill>
            <a:ln>
              <a:noFill/>
            </a:ln>
            <a:scene3d>
              <a:camera prst="orthographicFront"/>
              <a:lightRig rig="threePt" dir="t"/>
            </a:scene3d>
            <a:sp3d>
              <a:bevelT w="0" h="0"/>
              <a:contourClr>
                <a:srgbClr val="000000"/>
              </a:contourClr>
            </a:sp3d>
          </c:spPr>
          <c:dLbls>
            <c:dLbl>
              <c:idx val="0"/>
              <c:layout>
                <c:manualLayout>
                  <c:x val="7.2595281306717602E-3"/>
                  <c:y val="8.5284488692644028E-3"/>
                </c:manualLayout>
              </c:layout>
              <c:showVal val="1"/>
            </c:dLbl>
            <c:dLbl>
              <c:idx val="1"/>
              <c:layout>
                <c:manualLayout>
                  <c:x val="9.6793708408953426E-3"/>
                  <c:y val="0"/>
                </c:manualLayout>
              </c:layout>
              <c:showVal val="1"/>
            </c:dLbl>
            <c:dLbl>
              <c:idx val="2"/>
              <c:layout>
                <c:manualLayout>
                  <c:x val="7.2595281306717602E-3"/>
                  <c:y val="0"/>
                </c:manualLayout>
              </c:layout>
              <c:showVal val="1"/>
            </c:dLbl>
            <c:dLbl>
              <c:idx val="3"/>
              <c:layout>
                <c:manualLayout>
                  <c:x val="2.4196521714277548E-3"/>
                  <c:y val="0"/>
                </c:manualLayout>
              </c:layout>
              <c:showVal val="1"/>
            </c:dLbl>
            <c:dLbl>
              <c:idx val="5"/>
              <c:delete val="1"/>
            </c:dLbl>
            <c:dLbl>
              <c:idx val="6"/>
              <c:delete val="1"/>
            </c:dLbl>
            <c:numFmt formatCode="#,##0.0_);[Red]\(#,##0.0\)" sourceLinked="0"/>
            <c:txPr>
              <a:bodyPr/>
              <a:lstStyle/>
              <a:p>
                <a:pPr>
                  <a:defRPr sz="800">
                    <a:latin typeface="Times New Roman" pitchFamily="18" charset="0"/>
                    <a:cs typeface="Times New Roman" pitchFamily="18" charset="0"/>
                  </a:defRPr>
                </a:pPr>
                <a:endParaRPr lang="zh-TW"/>
              </a:p>
            </c:txPr>
            <c:showVal val="1"/>
          </c:dLbls>
          <c:cat>
            <c:strRef>
              <c:f>門診明細─特約!$C$47:$H$47</c:f>
              <c:strCache>
                <c:ptCount val="6"/>
                <c:pt idx="0">
                  <c:v>Academic Medical Centers</c:v>
                </c:pt>
                <c:pt idx="1">
                  <c:v>Metropolitan Hospitals</c:v>
                </c:pt>
                <c:pt idx="2">
                  <c:v>Local Community Hospitals</c:v>
                </c:pt>
                <c:pt idx="3">
                  <c:v>Physician Clinics</c:v>
                </c:pt>
                <c:pt idx="4">
                  <c:v>Pharmacies</c:v>
                </c:pt>
                <c:pt idx="5">
                  <c:v>Other Medical Institutions</c:v>
                </c:pt>
              </c:strCache>
            </c:strRef>
          </c:cat>
          <c:val>
            <c:numRef>
              <c:f>門診明細─特約!$C$49:$H$49</c:f>
              <c:numCache>
                <c:formatCode>0.0_ </c:formatCode>
                <c:ptCount val="6"/>
                <c:pt idx="0">
                  <c:v>47.235696879775467</c:v>
                </c:pt>
                <c:pt idx="1">
                  <c:v>35.334263020307944</c:v>
                </c:pt>
                <c:pt idx="2">
                  <c:v>26.042347215194429</c:v>
                </c:pt>
                <c:pt idx="3">
                  <c:v>14.199426093702154</c:v>
                </c:pt>
                <c:pt idx="4">
                  <c:v>84.499213452041076</c:v>
                </c:pt>
                <c:pt idx="5">
                  <c:v>0</c:v>
                </c:pt>
              </c:numCache>
            </c:numRef>
          </c:val>
        </c:ser>
        <c:ser>
          <c:idx val="1"/>
          <c:order val="1"/>
          <c:tx>
            <c:strRef>
              <c:f>門診明細─特約!$A$50</c:f>
              <c:strCache>
                <c:ptCount val="1"/>
                <c:pt idx="0">
                  <c:v>Consultation and Treatment and Medical Supply</c:v>
                </c:pt>
              </c:strCache>
            </c:strRef>
          </c:tx>
          <c:spPr>
            <a:solidFill>
              <a:srgbClr val="FFFFAB">
                <a:alpha val="93000"/>
              </a:srgbClr>
            </a:solidFill>
            <a:ln>
              <a:noFill/>
            </a:ln>
            <a:scene3d>
              <a:camera prst="orthographicFront"/>
              <a:lightRig rig="threePt" dir="t"/>
            </a:scene3d>
            <a:sp3d>
              <a:bevelT w="0" h="0"/>
              <a:contourClr>
                <a:srgbClr val="000000"/>
              </a:contourClr>
            </a:sp3d>
          </c:spPr>
          <c:dLbls>
            <c:dLbl>
              <c:idx val="0"/>
              <c:layout>
                <c:manualLayout>
                  <c:x val="7.2595281306717316E-3"/>
                  <c:y val="0"/>
                </c:manualLayout>
              </c:layout>
              <c:showVal val="1"/>
            </c:dLbl>
            <c:dLbl>
              <c:idx val="1"/>
              <c:layout>
                <c:manualLayout>
                  <c:x val="4.8396854204477034E-3"/>
                  <c:y val="7.8179622804054938E-17"/>
                </c:manualLayout>
              </c:layout>
              <c:showVal val="1"/>
            </c:dLbl>
            <c:dLbl>
              <c:idx val="2"/>
              <c:layout>
                <c:manualLayout>
                  <c:x val="7.2595281306717602E-3"/>
                  <c:y val="0"/>
                </c:manualLayout>
              </c:layout>
              <c:showVal val="1"/>
            </c:dLbl>
            <c:dLbl>
              <c:idx val="3"/>
              <c:layout>
                <c:manualLayout>
                  <c:x val="7.2595281306717602E-3"/>
                  <c:y val="0"/>
                </c:manualLayout>
              </c:layout>
              <c:showVal val="1"/>
            </c:dLbl>
            <c:numFmt formatCode="#,##0.0_);[Red]\(#,##0.0\)" sourceLinked="0"/>
            <c:txPr>
              <a:bodyPr/>
              <a:lstStyle/>
              <a:p>
                <a:pPr>
                  <a:defRPr sz="800">
                    <a:latin typeface="Times New Roman" pitchFamily="18" charset="0"/>
                    <a:cs typeface="Times New Roman" pitchFamily="18" charset="0"/>
                  </a:defRPr>
                </a:pPr>
                <a:endParaRPr lang="zh-TW"/>
              </a:p>
            </c:txPr>
            <c:showVal val="1"/>
          </c:dLbls>
          <c:cat>
            <c:strRef>
              <c:f>門診明細─特約!$C$47:$H$47</c:f>
              <c:strCache>
                <c:ptCount val="6"/>
                <c:pt idx="0">
                  <c:v>Academic Medical Centers</c:v>
                </c:pt>
                <c:pt idx="1">
                  <c:v>Metropolitan Hospitals</c:v>
                </c:pt>
                <c:pt idx="2">
                  <c:v>Local Community Hospitals</c:v>
                </c:pt>
                <c:pt idx="3">
                  <c:v>Physician Clinics</c:v>
                </c:pt>
                <c:pt idx="4">
                  <c:v>Pharmacies</c:v>
                </c:pt>
                <c:pt idx="5">
                  <c:v>Other Medical Institutions</c:v>
                </c:pt>
              </c:strCache>
            </c:strRef>
          </c:cat>
          <c:val>
            <c:numRef>
              <c:f>門診明細─特約!$C$50:$H$50</c:f>
              <c:numCache>
                <c:formatCode>0.0_ </c:formatCode>
                <c:ptCount val="6"/>
                <c:pt idx="0">
                  <c:v>41.242691769366317</c:v>
                </c:pt>
                <c:pt idx="1">
                  <c:v>49.177595130221512</c:v>
                </c:pt>
                <c:pt idx="2">
                  <c:v>53.166520636752011</c:v>
                </c:pt>
                <c:pt idx="3">
                  <c:v>40.016762237409552</c:v>
                </c:pt>
                <c:pt idx="4">
                  <c:v>0.4022155927050855</c:v>
                </c:pt>
                <c:pt idx="5">
                  <c:v>100</c:v>
                </c:pt>
              </c:numCache>
            </c:numRef>
          </c:val>
        </c:ser>
        <c:ser>
          <c:idx val="2"/>
          <c:order val="2"/>
          <c:tx>
            <c:strRef>
              <c:f>門診明細─特約!$A$51</c:f>
              <c:strCache>
                <c:ptCount val="1"/>
                <c:pt idx="0">
                  <c:v>Diagnosis Fees</c:v>
                </c:pt>
              </c:strCache>
            </c:strRef>
          </c:tx>
          <c:spPr>
            <a:solidFill>
              <a:schemeClr val="accent4">
                <a:lumMod val="40000"/>
                <a:lumOff val="60000"/>
              </a:schemeClr>
            </a:solidFill>
            <a:ln>
              <a:noFill/>
            </a:ln>
            <a:scene3d>
              <a:camera prst="orthographicFront"/>
              <a:lightRig rig="threePt" dir="t"/>
            </a:scene3d>
            <a:sp3d>
              <a:bevelT w="0" h="6350"/>
              <a:contourClr>
                <a:srgbClr val="000000"/>
              </a:contourClr>
            </a:sp3d>
          </c:spPr>
          <c:dLbls>
            <c:dLbl>
              <c:idx val="0"/>
              <c:layout>
                <c:manualLayout>
                  <c:x val="7.2595281306717602E-3"/>
                  <c:y val="0"/>
                </c:manualLayout>
              </c:layout>
              <c:showVal val="1"/>
            </c:dLbl>
            <c:dLbl>
              <c:idx val="1"/>
              <c:layout>
                <c:manualLayout>
                  <c:x val="7.2595281306717602E-3"/>
                  <c:y val="0"/>
                </c:manualLayout>
              </c:layout>
              <c:showVal val="1"/>
            </c:dLbl>
            <c:dLbl>
              <c:idx val="2"/>
              <c:layout>
                <c:manualLayout>
                  <c:x val="9.6793708408953426E-3"/>
                  <c:y val="4.2643923240939024E-3"/>
                </c:manualLayout>
              </c:layout>
              <c:showVal val="1"/>
            </c:dLbl>
            <c:dLbl>
              <c:idx val="3"/>
              <c:layout>
                <c:manualLayout>
                  <c:x val="4.8396854204477034E-3"/>
                  <c:y val="0"/>
                </c:manualLayout>
              </c:layout>
              <c:showVal val="1"/>
            </c:dLbl>
            <c:dLbl>
              <c:idx val="4"/>
              <c:delete val="1"/>
            </c:dLbl>
            <c:dLbl>
              <c:idx val="5"/>
              <c:delete val="1"/>
            </c:dLbl>
            <c:dLbl>
              <c:idx val="6"/>
              <c:delete val="1"/>
            </c:dLbl>
            <c:numFmt formatCode="#,##0.0_);[Red]\(#,##0.0\)" sourceLinked="0"/>
            <c:txPr>
              <a:bodyPr/>
              <a:lstStyle/>
              <a:p>
                <a:pPr>
                  <a:defRPr sz="800">
                    <a:latin typeface="Times New Roman" pitchFamily="18" charset="0"/>
                    <a:cs typeface="Times New Roman" pitchFamily="18" charset="0"/>
                  </a:defRPr>
                </a:pPr>
                <a:endParaRPr lang="zh-TW"/>
              </a:p>
            </c:txPr>
            <c:showVal val="1"/>
          </c:dLbls>
          <c:cat>
            <c:strRef>
              <c:f>門診明細─特約!$C$47:$H$47</c:f>
              <c:strCache>
                <c:ptCount val="6"/>
                <c:pt idx="0">
                  <c:v>Academic Medical Centers</c:v>
                </c:pt>
                <c:pt idx="1">
                  <c:v>Metropolitan Hospitals</c:v>
                </c:pt>
                <c:pt idx="2">
                  <c:v>Local Community Hospitals</c:v>
                </c:pt>
                <c:pt idx="3">
                  <c:v>Physician Clinics</c:v>
                </c:pt>
                <c:pt idx="4">
                  <c:v>Pharmacies</c:v>
                </c:pt>
                <c:pt idx="5">
                  <c:v>Other Medical Institutions</c:v>
                </c:pt>
              </c:strCache>
            </c:strRef>
          </c:cat>
          <c:val>
            <c:numRef>
              <c:f>門診明細─特約!$C$51:$H$51</c:f>
              <c:numCache>
                <c:formatCode>0.0_ </c:formatCode>
                <c:ptCount val="6"/>
                <c:pt idx="0">
                  <c:v>9.6482877480714766</c:v>
                </c:pt>
                <c:pt idx="1">
                  <c:v>13.057467408803806</c:v>
                </c:pt>
                <c:pt idx="2">
                  <c:v>17.895776451717389</c:v>
                </c:pt>
                <c:pt idx="3">
                  <c:v>43.420843772250294</c:v>
                </c:pt>
                <c:pt idx="4">
                  <c:v>0</c:v>
                </c:pt>
                <c:pt idx="5">
                  <c:v>0</c:v>
                </c:pt>
              </c:numCache>
            </c:numRef>
          </c:val>
        </c:ser>
        <c:ser>
          <c:idx val="3"/>
          <c:order val="3"/>
          <c:tx>
            <c:strRef>
              <c:f>門診明細─特約!$A$52</c:f>
              <c:strCache>
                <c:ptCount val="1"/>
                <c:pt idx="0">
                  <c:v>Dispensing Service Fees</c:v>
                </c:pt>
              </c:strCache>
            </c:strRef>
          </c:tx>
          <c:spPr>
            <a:solidFill>
              <a:srgbClr val="F0B6ED"/>
            </a:solidFill>
            <a:ln>
              <a:noFill/>
            </a:ln>
            <a:scene3d>
              <a:camera prst="orthographicFront"/>
              <a:lightRig rig="threePt" dir="t"/>
            </a:scene3d>
            <a:sp3d>
              <a:bevelT w="0" h="0"/>
              <a:contourClr>
                <a:srgbClr val="000000"/>
              </a:contourClr>
            </a:sp3d>
          </c:spPr>
          <c:dLbls>
            <c:dLbl>
              <c:idx val="0"/>
              <c:layout>
                <c:manualLayout>
                  <c:x val="2.8197907553222611E-2"/>
                  <c:y val="1.2067457085105845E-6"/>
                </c:manualLayout>
              </c:layout>
              <c:showVal val="1"/>
            </c:dLbl>
            <c:dLbl>
              <c:idx val="1"/>
              <c:layout>
                <c:manualLayout>
                  <c:x val="3.0407735491397012E-2"/>
                  <c:y val="9.050592813829523E-7"/>
                </c:manualLayout>
              </c:layout>
              <c:showVal val="1"/>
            </c:dLbl>
            <c:dLbl>
              <c:idx val="2"/>
              <c:layout>
                <c:manualLayout>
                  <c:x val="3.2827537182852216E-2"/>
                  <c:y val="6.0337285425529511E-7"/>
                </c:manualLayout>
              </c:layout>
              <c:showVal val="1"/>
            </c:dLbl>
            <c:dLbl>
              <c:idx val="3"/>
              <c:layout>
                <c:manualLayout>
                  <c:x val="2.8092920676582093E-2"/>
                  <c:y val="3.0168642705740412E-7"/>
                </c:manualLayout>
              </c:layout>
              <c:showVal val="1"/>
            </c:dLbl>
            <c:dLbl>
              <c:idx val="5"/>
              <c:delete val="1"/>
            </c:dLbl>
            <c:dLbl>
              <c:idx val="6"/>
              <c:delete val="1"/>
            </c:dLbl>
            <c:numFmt formatCode="#,##0.0_);[Red]\(#,##0.0\)" sourceLinked="0"/>
            <c:txPr>
              <a:bodyPr/>
              <a:lstStyle/>
              <a:p>
                <a:pPr>
                  <a:defRPr sz="800">
                    <a:latin typeface="Times New Roman" pitchFamily="18" charset="0"/>
                    <a:cs typeface="Times New Roman" pitchFamily="18" charset="0"/>
                  </a:defRPr>
                </a:pPr>
                <a:endParaRPr lang="zh-TW"/>
              </a:p>
            </c:txPr>
            <c:showVal val="1"/>
          </c:dLbls>
          <c:cat>
            <c:strRef>
              <c:f>門診明細─特約!$C$47:$H$47</c:f>
              <c:strCache>
                <c:ptCount val="6"/>
                <c:pt idx="0">
                  <c:v>Academic Medical Centers</c:v>
                </c:pt>
                <c:pt idx="1">
                  <c:v>Metropolitan Hospitals</c:v>
                </c:pt>
                <c:pt idx="2">
                  <c:v>Local Community Hospitals</c:v>
                </c:pt>
                <c:pt idx="3">
                  <c:v>Physician Clinics</c:v>
                </c:pt>
                <c:pt idx="4">
                  <c:v>Pharmacies</c:v>
                </c:pt>
                <c:pt idx="5">
                  <c:v>Other Medical Institutions</c:v>
                </c:pt>
              </c:strCache>
            </c:strRef>
          </c:cat>
          <c:val>
            <c:numRef>
              <c:f>門診明細─特約!$C$52:$H$52</c:f>
              <c:numCache>
                <c:formatCode>0.0_ </c:formatCode>
                <c:ptCount val="6"/>
                <c:pt idx="0">
                  <c:v>1.873323602786481</c:v>
                </c:pt>
                <c:pt idx="1">
                  <c:v>2.4306744406667318</c:v>
                </c:pt>
                <c:pt idx="2">
                  <c:v>2.8953556963362832</c:v>
                </c:pt>
                <c:pt idx="3">
                  <c:v>2.3629678966379202</c:v>
                </c:pt>
                <c:pt idx="4">
                  <c:v>15.036008589520549</c:v>
                </c:pt>
                <c:pt idx="5">
                  <c:v>0</c:v>
                </c:pt>
              </c:numCache>
            </c:numRef>
          </c:val>
        </c:ser>
        <c:shape val="box"/>
        <c:axId val="288229632"/>
        <c:axId val="288280576"/>
        <c:axId val="0"/>
      </c:bar3DChart>
      <c:catAx>
        <c:axId val="288229632"/>
        <c:scaling>
          <c:orientation val="maxMin"/>
        </c:scaling>
        <c:delete val="1"/>
        <c:axPos val="l"/>
        <c:numFmt formatCode="General" sourceLinked="1"/>
        <c:majorTickMark val="none"/>
        <c:tickLblPos val="none"/>
        <c:crossAx val="288280576"/>
        <c:crosses val="autoZero"/>
        <c:auto val="1"/>
        <c:lblAlgn val="ctr"/>
        <c:lblOffset val="100"/>
      </c:catAx>
      <c:valAx>
        <c:axId val="288280576"/>
        <c:scaling>
          <c:orientation val="minMax"/>
        </c:scaling>
        <c:axPos val="t"/>
        <c:majorGridlines>
          <c:spPr>
            <a:ln>
              <a:solidFill>
                <a:srgbClr val="8064A2">
                  <a:lumMod val="40000"/>
                  <a:lumOff val="60000"/>
                  <a:alpha val="0"/>
                </a:srgbClr>
              </a:solidFill>
            </a:ln>
          </c:spPr>
        </c:majorGridlines>
        <c:numFmt formatCode="#,##0;[Red]\-#,##0" sourceLinked="0"/>
        <c:majorTickMark val="none"/>
        <c:tickLblPos val="high"/>
        <c:txPr>
          <a:bodyPr/>
          <a:lstStyle/>
          <a:p>
            <a:pPr>
              <a:defRPr sz="800">
                <a:latin typeface="Times New Roman" pitchFamily="18" charset="0"/>
                <a:cs typeface="Times New Roman" pitchFamily="18" charset="0"/>
              </a:defRPr>
            </a:pPr>
            <a:endParaRPr lang="zh-TW"/>
          </a:p>
        </c:txPr>
        <c:crossAx val="288229632"/>
        <c:crosses val="autoZero"/>
        <c:crossBetween val="between"/>
      </c:valAx>
    </c:plotArea>
    <c:legend>
      <c:legendPos val="t"/>
      <c:layout>
        <c:manualLayout>
          <c:xMode val="edge"/>
          <c:yMode val="edge"/>
          <c:x val="1.9393955963837962E-2"/>
          <c:y val="0.91187739463601569"/>
          <c:w val="0.95151515151515154"/>
          <c:h val="5.6594865297010286E-2"/>
        </c:manualLayout>
      </c:layout>
      <c:txPr>
        <a:bodyPr/>
        <a:lstStyle/>
        <a:p>
          <a:pPr>
            <a:defRPr sz="800">
              <a:latin typeface="Times New Roman" pitchFamily="18" charset="0"/>
              <a:ea typeface="標楷體" pitchFamily="65" charset="-120"/>
              <a:cs typeface="Times New Roman" pitchFamily="18" charset="0"/>
            </a:defRPr>
          </a:pPr>
          <a:endParaRPr lang="zh-TW"/>
        </a:p>
      </c:txPr>
    </c:legend>
    <c:plotVisOnly val="1"/>
    <c:dispBlanksAs val="gap"/>
  </c:chart>
  <c:spPr>
    <a:noFill/>
    <a:ln>
      <a:noFill/>
    </a:ln>
  </c:spPr>
  <c:externalData r:id="rId1"/>
  <c:userShapes r:id="rId2"/>
</c:chartSpace>
</file>

<file path=word/charts/chart16.xml><?xml version="1.0" encoding="utf-8"?>
<c:chartSpace xmlns:c="http://schemas.openxmlformats.org/drawingml/2006/chart" xmlns:a="http://schemas.openxmlformats.org/drawingml/2006/main" xmlns:r="http://schemas.openxmlformats.org/officeDocument/2006/relationships">
  <c:date1904 val="1"/>
  <c:lang val="zh-TW"/>
  <c:chart>
    <c:autoTitleDeleted val="1"/>
    <c:view3D>
      <c:rAngAx val="1"/>
    </c:view3D>
    <c:floor>
      <c:spPr>
        <a:solidFill>
          <a:srgbClr val="E0E0E0">
            <a:alpha val="49000"/>
          </a:srgbClr>
        </a:solidFill>
      </c:spPr>
    </c:floor>
    <c:sideWall>
      <c:spPr>
        <a:solidFill>
          <a:srgbClr val="9BBB59">
            <a:lumMod val="20000"/>
            <a:lumOff val="80000"/>
            <a:alpha val="76000"/>
          </a:srgbClr>
        </a:solidFill>
      </c:spPr>
    </c:sideWall>
    <c:backWall>
      <c:spPr>
        <a:solidFill>
          <a:srgbClr val="9BBB59">
            <a:lumMod val="20000"/>
            <a:lumOff val="80000"/>
            <a:alpha val="76000"/>
          </a:srgbClr>
        </a:solidFill>
      </c:spPr>
    </c:backWall>
    <c:plotArea>
      <c:layout>
        <c:manualLayout>
          <c:layoutTarget val="inner"/>
          <c:xMode val="edge"/>
          <c:yMode val="edge"/>
          <c:x val="0.16835721737991305"/>
          <c:y val="0.19862559733224835"/>
          <c:w val="0.66243743596221549"/>
          <c:h val="0.63949325483250763"/>
        </c:manualLayout>
      </c:layout>
      <c:bar3DChart>
        <c:barDir val="bar"/>
        <c:grouping val="stacked"/>
        <c:ser>
          <c:idx val="0"/>
          <c:order val="0"/>
          <c:tx>
            <c:strRef>
              <c:f>門診明細─特約!$A$49</c:f>
              <c:strCache>
                <c:ptCount val="1"/>
                <c:pt idx="0">
                  <c:v>Drug Fees</c:v>
                </c:pt>
              </c:strCache>
            </c:strRef>
          </c:tx>
          <c:spPr>
            <a:solidFill>
              <a:schemeClr val="accent3">
                <a:lumMod val="40000"/>
                <a:lumOff val="60000"/>
                <a:alpha val="84000"/>
              </a:schemeClr>
            </a:solidFill>
            <a:ln>
              <a:noFill/>
            </a:ln>
            <a:scene3d>
              <a:camera prst="orthographicFront"/>
              <a:lightRig rig="threePt" dir="t"/>
            </a:scene3d>
            <a:sp3d>
              <a:bevelT w="0" h="0"/>
              <a:contourClr>
                <a:srgbClr val="000000"/>
              </a:contourClr>
            </a:sp3d>
          </c:spPr>
          <c:dLbls>
            <c:dLbl>
              <c:idx val="0"/>
              <c:layout>
                <c:manualLayout>
                  <c:x val="7.2595217655108055E-3"/>
                  <c:y val="4.4761426098334552E-3"/>
                </c:manualLayout>
              </c:layout>
              <c:showVal val="1"/>
            </c:dLbl>
            <c:dLbl>
              <c:idx val="1"/>
              <c:layout>
                <c:manualLayout>
                  <c:x val="9.6793708408953426E-3"/>
                  <c:y val="0"/>
                </c:manualLayout>
              </c:layout>
              <c:showVal val="1"/>
            </c:dLbl>
            <c:dLbl>
              <c:idx val="2"/>
              <c:layout>
                <c:manualLayout>
                  <c:x val="7.259528130671775E-3"/>
                  <c:y val="0"/>
                </c:manualLayout>
              </c:layout>
              <c:showVal val="1"/>
            </c:dLbl>
            <c:dLbl>
              <c:idx val="3"/>
              <c:layout>
                <c:manualLayout>
                  <c:x val="7.3686347664416729E-3"/>
                  <c:y val="3.1910904753927685E-7"/>
                </c:manualLayout>
              </c:layout>
              <c:showVal val="1"/>
            </c:dLbl>
            <c:numFmt formatCode="#,##0.0_);[Red]\(#,##0.0\)" sourceLinked="0"/>
            <c:txPr>
              <a:bodyPr/>
              <a:lstStyle/>
              <a:p>
                <a:pPr>
                  <a:defRPr sz="800">
                    <a:latin typeface="Times New Roman" pitchFamily="18" charset="0"/>
                    <a:cs typeface="Times New Roman" pitchFamily="18" charset="0"/>
                  </a:defRPr>
                </a:pPr>
                <a:endParaRPr lang="zh-TW"/>
              </a:p>
            </c:txPr>
            <c:showVal val="1"/>
          </c:dLbls>
          <c:cat>
            <c:strRef>
              <c:f>(門診明細─特約!$A$53,門診明細─特約!$A$58,門診明細─特約!$A$63,門診明細─特約!$A$68,門診明細─特約!$A$73,門診明細─特約!$A$83,門診明細─特約!$A$78)</c:f>
              <c:strCache>
                <c:ptCount val="7"/>
                <c:pt idx="0">
                  <c:v>Hospitals </c:v>
                </c:pt>
                <c:pt idx="1">
                  <c:v>Physician Clinics</c:v>
                </c:pt>
                <c:pt idx="2">
                  <c:v>Chinese Medicine</c:v>
                </c:pt>
                <c:pt idx="3">
                  <c:v>Dentistry</c:v>
                </c:pt>
                <c:pt idx="4">
                  <c:v>Dialysis</c:v>
                </c:pt>
                <c:pt idx="5">
                  <c:v>Commission Cases</c:v>
                </c:pt>
                <c:pt idx="6">
                  <c:v>Others</c:v>
                </c:pt>
              </c:strCache>
            </c:strRef>
          </c:cat>
          <c:val>
            <c:numRef>
              <c:f>(門診明細─特約!$B$54,門診明細─特約!$B$59,門診明細─特約!$B$64,門診明細─特約!$B$69,門診明細─特約!$B$74,門診明細─特約!$B$84,門診明細─特約!$B$79)</c:f>
              <c:numCache>
                <c:formatCode>0.0_ </c:formatCode>
                <c:ptCount val="7"/>
                <c:pt idx="0">
                  <c:v>45.313789058312977</c:v>
                </c:pt>
                <c:pt idx="1">
                  <c:v>26.342529866351164</c:v>
                </c:pt>
                <c:pt idx="2">
                  <c:v>33.127230830746115</c:v>
                </c:pt>
                <c:pt idx="3">
                  <c:v>0.82821604217169653</c:v>
                </c:pt>
                <c:pt idx="4">
                  <c:v>5.5959727953142924</c:v>
                </c:pt>
                <c:pt idx="5">
                  <c:v>30.480419397689175</c:v>
                </c:pt>
                <c:pt idx="6">
                  <c:v>7.4034928885657214</c:v>
                </c:pt>
              </c:numCache>
            </c:numRef>
          </c:val>
        </c:ser>
        <c:ser>
          <c:idx val="1"/>
          <c:order val="1"/>
          <c:tx>
            <c:strRef>
              <c:f>門診明細─特約!$A$50</c:f>
              <c:strCache>
                <c:ptCount val="1"/>
                <c:pt idx="0">
                  <c:v>Consultation and Treatment and Medical Supply</c:v>
                </c:pt>
              </c:strCache>
            </c:strRef>
          </c:tx>
          <c:spPr>
            <a:solidFill>
              <a:srgbClr val="FFFFAB">
                <a:alpha val="93000"/>
              </a:srgbClr>
            </a:solidFill>
            <a:ln>
              <a:noFill/>
            </a:ln>
            <a:scene3d>
              <a:camera prst="orthographicFront"/>
              <a:lightRig rig="threePt" dir="t"/>
            </a:scene3d>
            <a:sp3d>
              <a:bevelT w="0" h="0"/>
              <a:contourClr>
                <a:srgbClr val="000000"/>
              </a:contourClr>
            </a:sp3d>
          </c:spPr>
          <c:dLbls>
            <c:dLbl>
              <c:idx val="0"/>
              <c:layout>
                <c:manualLayout>
                  <c:x val="7.2595281306717481E-3"/>
                  <c:y val="0"/>
                </c:manualLayout>
              </c:layout>
              <c:showVal val="1"/>
            </c:dLbl>
            <c:dLbl>
              <c:idx val="1"/>
              <c:layout>
                <c:manualLayout>
                  <c:x val="4.8396854204477034E-3"/>
                  <c:y val="7.8179622804055455E-17"/>
                </c:manualLayout>
              </c:layout>
              <c:showVal val="1"/>
            </c:dLbl>
            <c:dLbl>
              <c:idx val="2"/>
              <c:layout>
                <c:manualLayout>
                  <c:x val="7.259528130671775E-3"/>
                  <c:y val="0"/>
                </c:manualLayout>
              </c:layout>
              <c:showVal val="1"/>
            </c:dLbl>
            <c:dLbl>
              <c:idx val="3"/>
              <c:layout>
                <c:manualLayout>
                  <c:x val="7.259528130671775E-3"/>
                  <c:y val="0"/>
                </c:manualLayout>
              </c:layout>
              <c:showVal val="1"/>
            </c:dLbl>
            <c:numFmt formatCode="#,##0.0_);[Red]\(#,##0.0\)" sourceLinked="0"/>
            <c:txPr>
              <a:bodyPr/>
              <a:lstStyle/>
              <a:p>
                <a:pPr>
                  <a:defRPr sz="800">
                    <a:latin typeface="Times New Roman" pitchFamily="18" charset="0"/>
                    <a:cs typeface="Times New Roman" pitchFamily="18" charset="0"/>
                  </a:defRPr>
                </a:pPr>
                <a:endParaRPr lang="zh-TW"/>
              </a:p>
            </c:txPr>
            <c:showVal val="1"/>
          </c:dLbls>
          <c:cat>
            <c:strRef>
              <c:f>(門診明細─特約!$A$53,門診明細─特約!$A$58,門診明細─特約!$A$63,門診明細─特約!$A$68,門診明細─特約!$A$73,門診明細─特約!$A$83,門診明細─特約!$A$78)</c:f>
              <c:strCache>
                <c:ptCount val="7"/>
                <c:pt idx="0">
                  <c:v>Hospitals </c:v>
                </c:pt>
                <c:pt idx="1">
                  <c:v>Physician Clinics</c:v>
                </c:pt>
                <c:pt idx="2">
                  <c:v>Chinese Medicine</c:v>
                </c:pt>
                <c:pt idx="3">
                  <c:v>Dentistry</c:v>
                </c:pt>
                <c:pt idx="4">
                  <c:v>Dialysis</c:v>
                </c:pt>
                <c:pt idx="5">
                  <c:v>Commission Cases</c:v>
                </c:pt>
                <c:pt idx="6">
                  <c:v>Others</c:v>
                </c:pt>
              </c:strCache>
            </c:strRef>
          </c:cat>
          <c:val>
            <c:numRef>
              <c:f>(門診明細─特約!$B$55,門診明細─特約!$B$60,門診明細─特約!$B$65,門診明細─特約!$B$70,門診明細─特約!$B$75,門診明細─特約!$B$85,門診明細─特約!$B$80)</c:f>
              <c:numCache>
                <c:formatCode>0.0_ </c:formatCode>
                <c:ptCount val="7"/>
                <c:pt idx="0">
                  <c:v>38.537303698147525</c:v>
                </c:pt>
                <c:pt idx="1">
                  <c:v>15.38237929141915</c:v>
                </c:pt>
                <c:pt idx="2">
                  <c:v>19.34915369146551</c:v>
                </c:pt>
                <c:pt idx="3">
                  <c:v>76.037519241986161</c:v>
                </c:pt>
                <c:pt idx="4">
                  <c:v>94.393743917548548</c:v>
                </c:pt>
                <c:pt idx="5">
                  <c:v>63.556707303168395</c:v>
                </c:pt>
                <c:pt idx="6">
                  <c:v>90.248571335105481</c:v>
                </c:pt>
              </c:numCache>
            </c:numRef>
          </c:val>
        </c:ser>
        <c:ser>
          <c:idx val="2"/>
          <c:order val="2"/>
          <c:tx>
            <c:strRef>
              <c:f>門診明細─特約!$A$51</c:f>
              <c:strCache>
                <c:ptCount val="1"/>
                <c:pt idx="0">
                  <c:v>Diagnosis Fees</c:v>
                </c:pt>
              </c:strCache>
            </c:strRef>
          </c:tx>
          <c:spPr>
            <a:solidFill>
              <a:schemeClr val="accent4">
                <a:lumMod val="40000"/>
                <a:lumOff val="60000"/>
              </a:schemeClr>
            </a:solidFill>
            <a:ln>
              <a:noFill/>
            </a:ln>
            <a:scene3d>
              <a:camera prst="orthographicFront"/>
              <a:lightRig rig="threePt" dir="t"/>
            </a:scene3d>
            <a:sp3d>
              <a:bevelT w="0" h="6350"/>
              <a:contourClr>
                <a:srgbClr val="000000"/>
              </a:contourClr>
            </a:sp3d>
          </c:spPr>
          <c:dLbls>
            <c:dLbl>
              <c:idx val="0"/>
              <c:layout>
                <c:manualLayout>
                  <c:x val="7.259528130671775E-3"/>
                  <c:y val="0"/>
                </c:manualLayout>
              </c:layout>
              <c:showVal val="1"/>
            </c:dLbl>
            <c:dLbl>
              <c:idx val="1"/>
              <c:layout>
                <c:manualLayout>
                  <c:x val="7.259528130671775E-3"/>
                  <c:y val="0"/>
                </c:manualLayout>
              </c:layout>
              <c:showVal val="1"/>
            </c:dLbl>
            <c:dLbl>
              <c:idx val="2"/>
              <c:layout>
                <c:manualLayout>
                  <c:x val="9.6793708408953426E-3"/>
                  <c:y val="4.2643923240939024E-3"/>
                </c:manualLayout>
              </c:layout>
              <c:showVal val="1"/>
            </c:dLbl>
            <c:dLbl>
              <c:idx val="3"/>
              <c:layout>
                <c:manualLayout>
                  <c:x val="4.8396854204477034E-3"/>
                  <c:y val="0"/>
                </c:manualLayout>
              </c:layout>
              <c:showVal val="1"/>
            </c:dLbl>
            <c:dLbl>
              <c:idx val="4"/>
              <c:delete val="1"/>
            </c:dLbl>
            <c:dLbl>
              <c:idx val="5"/>
              <c:layout>
                <c:manualLayout>
                  <c:x val="-5.2424195638647014E-3"/>
                  <c:y val="6.3821809507854079E-7"/>
                </c:manualLayout>
              </c:layout>
              <c:showVal val="1"/>
            </c:dLbl>
            <c:numFmt formatCode="#,##0.0_);[Red]\(#,##0.0\)" sourceLinked="0"/>
            <c:txPr>
              <a:bodyPr/>
              <a:lstStyle/>
              <a:p>
                <a:pPr>
                  <a:defRPr sz="800">
                    <a:latin typeface="Times New Roman" pitchFamily="18" charset="0"/>
                    <a:cs typeface="Times New Roman" pitchFamily="18" charset="0"/>
                  </a:defRPr>
                </a:pPr>
                <a:endParaRPr lang="zh-TW"/>
              </a:p>
            </c:txPr>
            <c:showVal val="1"/>
          </c:dLbls>
          <c:cat>
            <c:strRef>
              <c:f>(門診明細─特約!$A$53,門診明細─特約!$A$58,門診明細─特約!$A$63,門診明細─特約!$A$68,門診明細─特約!$A$73,門診明細─特約!$A$83,門診明細─特約!$A$78)</c:f>
              <c:strCache>
                <c:ptCount val="7"/>
                <c:pt idx="0">
                  <c:v>Hospitals </c:v>
                </c:pt>
                <c:pt idx="1">
                  <c:v>Physician Clinics</c:v>
                </c:pt>
                <c:pt idx="2">
                  <c:v>Chinese Medicine</c:v>
                </c:pt>
                <c:pt idx="3">
                  <c:v>Dentistry</c:v>
                </c:pt>
                <c:pt idx="4">
                  <c:v>Dialysis</c:v>
                </c:pt>
                <c:pt idx="5">
                  <c:v>Commission Cases</c:v>
                </c:pt>
                <c:pt idx="6">
                  <c:v>Others</c:v>
                </c:pt>
              </c:strCache>
            </c:strRef>
          </c:cat>
          <c:val>
            <c:numRef>
              <c:f>(門診明細─特約!$B$56,門診明細─特約!$B$61,門診明細─特約!$B$66,門診明細─特約!$B$71,門診明細─特約!$B$76,門診明細─特約!$B$86,門診明細─特約!$B$81)</c:f>
              <c:numCache>
                <c:formatCode>0.0_ </c:formatCode>
                <c:ptCount val="7"/>
                <c:pt idx="0">
                  <c:v>13.307857772155304</c:v>
                </c:pt>
                <c:pt idx="1">
                  <c:v>51.797210451441345</c:v>
                </c:pt>
                <c:pt idx="2">
                  <c:v>46.829328330952563</c:v>
                </c:pt>
                <c:pt idx="3">
                  <c:v>22.582715991367245</c:v>
                </c:pt>
                <c:pt idx="4">
                  <c:v>6.0483114138731376E-4</c:v>
                </c:pt>
                <c:pt idx="5">
                  <c:v>5.1298013311480695</c:v>
                </c:pt>
                <c:pt idx="6">
                  <c:v>0.75507495218513365</c:v>
                </c:pt>
              </c:numCache>
            </c:numRef>
          </c:val>
        </c:ser>
        <c:ser>
          <c:idx val="3"/>
          <c:order val="3"/>
          <c:tx>
            <c:strRef>
              <c:f>門診明細─特約!$A$52</c:f>
              <c:strCache>
                <c:ptCount val="1"/>
                <c:pt idx="0">
                  <c:v>Dispensing Service Fees</c:v>
                </c:pt>
              </c:strCache>
            </c:strRef>
          </c:tx>
          <c:spPr>
            <a:solidFill>
              <a:srgbClr val="EDA9EA"/>
            </a:solidFill>
            <a:ln>
              <a:noFill/>
            </a:ln>
            <a:scene3d>
              <a:camera prst="orthographicFront"/>
              <a:lightRig rig="threePt" dir="t"/>
            </a:scene3d>
            <a:sp3d>
              <a:bevelT w="0" h="0"/>
              <a:contourClr>
                <a:srgbClr val="000000"/>
              </a:contourClr>
            </a:sp3d>
          </c:spPr>
          <c:dLbls>
            <c:dLbl>
              <c:idx val="0"/>
              <c:layout>
                <c:manualLayout>
                  <c:x val="3.1069752644555811E-2"/>
                  <c:y val="6.3821809507854079E-7"/>
                </c:manualLayout>
              </c:layout>
              <c:showVal val="1"/>
            </c:dLbl>
            <c:dLbl>
              <c:idx val="1"/>
              <c:layout>
                <c:manualLayout>
                  <c:x val="7.259528130671775E-3"/>
                  <c:y val="0"/>
                </c:manualLayout>
              </c:layout>
              <c:showVal val="1"/>
            </c:dLbl>
            <c:dLbl>
              <c:idx val="2"/>
              <c:layout>
                <c:manualLayout>
                  <c:x val="2.6316336126433401E-2"/>
                  <c:y val="3.1910904753927468E-7"/>
                </c:manualLayout>
              </c:layout>
              <c:showVal val="1"/>
            </c:dLbl>
            <c:dLbl>
              <c:idx val="3"/>
              <c:layout>
                <c:manualLayout>
                  <c:x val="2.8649814495113543E-2"/>
                  <c:y val="-4.0514084675585824E-3"/>
                </c:manualLayout>
              </c:layout>
              <c:showVal val="1"/>
            </c:dLbl>
            <c:dLbl>
              <c:idx val="4"/>
              <c:delete val="1"/>
            </c:dLbl>
            <c:dLbl>
              <c:idx val="5"/>
              <c:layout>
                <c:manualLayout>
                  <c:x val="2.9694323824784801E-2"/>
                  <c:y val="0"/>
                </c:manualLayout>
              </c:layout>
              <c:showVal val="1"/>
            </c:dLbl>
            <c:dLbl>
              <c:idx val="6"/>
              <c:layout>
                <c:manualLayout>
                  <c:x val="2.9694323824784801E-2"/>
                  <c:y val="0"/>
                </c:manualLayout>
              </c:layout>
              <c:showVal val="1"/>
            </c:dLbl>
            <c:numFmt formatCode="#,##0.0_);[Red]\(#,##0.0\)" sourceLinked="0"/>
            <c:txPr>
              <a:bodyPr/>
              <a:lstStyle/>
              <a:p>
                <a:pPr>
                  <a:defRPr sz="800">
                    <a:latin typeface="Times New Roman" pitchFamily="18" charset="0"/>
                    <a:cs typeface="Times New Roman" pitchFamily="18" charset="0"/>
                  </a:defRPr>
                </a:pPr>
                <a:endParaRPr lang="zh-TW"/>
              </a:p>
            </c:txPr>
            <c:showVal val="1"/>
          </c:dLbls>
          <c:cat>
            <c:strRef>
              <c:f>(門診明細─特約!$A$53,門診明細─特約!$A$58,門診明細─特約!$A$63,門診明細─特約!$A$68,門診明細─特約!$A$73,門診明細─特約!$A$83,門診明細─特約!$A$78)</c:f>
              <c:strCache>
                <c:ptCount val="7"/>
                <c:pt idx="0">
                  <c:v>Hospitals </c:v>
                </c:pt>
                <c:pt idx="1">
                  <c:v>Physician Clinics</c:v>
                </c:pt>
                <c:pt idx="2">
                  <c:v>Chinese Medicine</c:v>
                </c:pt>
                <c:pt idx="3">
                  <c:v>Dentistry</c:v>
                </c:pt>
                <c:pt idx="4">
                  <c:v>Dialysis</c:v>
                </c:pt>
                <c:pt idx="5">
                  <c:v>Commission Cases</c:v>
                </c:pt>
                <c:pt idx="6">
                  <c:v>Others</c:v>
                </c:pt>
              </c:strCache>
            </c:strRef>
          </c:cat>
          <c:val>
            <c:numRef>
              <c:f>(門診明細─特約!$B$57,門診明細─特約!$B$62,門診明細─特約!$B$67,門診明細─特約!$B$72,門診明細─特約!$B$77,門診明細─特約!$B$87,門診明細─特約!$B$82)</c:f>
              <c:numCache>
                <c:formatCode>0.0_ </c:formatCode>
                <c:ptCount val="7"/>
                <c:pt idx="0">
                  <c:v>2.8410494713836671</c:v>
                </c:pt>
                <c:pt idx="1">
                  <c:v>6.4778803907881173</c:v>
                </c:pt>
                <c:pt idx="2">
                  <c:v>0.69428714683588089</c:v>
                </c:pt>
                <c:pt idx="3">
                  <c:v>0.55154872447520154</c:v>
                </c:pt>
                <c:pt idx="4">
                  <c:v>9.6784559957605598E-3</c:v>
                </c:pt>
                <c:pt idx="5">
                  <c:v>0.63961188432833971</c:v>
                </c:pt>
                <c:pt idx="6">
                  <c:v>1.5928608241436621</c:v>
                </c:pt>
              </c:numCache>
            </c:numRef>
          </c:val>
        </c:ser>
        <c:shape val="box"/>
        <c:axId val="288357376"/>
        <c:axId val="289239808"/>
        <c:axId val="0"/>
      </c:bar3DChart>
      <c:catAx>
        <c:axId val="288357376"/>
        <c:scaling>
          <c:orientation val="maxMin"/>
        </c:scaling>
        <c:delete val="1"/>
        <c:axPos val="l"/>
        <c:numFmt formatCode="General" sourceLinked="1"/>
        <c:majorTickMark val="none"/>
        <c:tickLblPos val="none"/>
        <c:crossAx val="289239808"/>
        <c:crosses val="autoZero"/>
        <c:auto val="1"/>
        <c:lblAlgn val="ctr"/>
        <c:lblOffset val="100"/>
      </c:catAx>
      <c:valAx>
        <c:axId val="289239808"/>
        <c:scaling>
          <c:orientation val="minMax"/>
        </c:scaling>
        <c:axPos val="t"/>
        <c:majorGridlines>
          <c:spPr>
            <a:ln>
              <a:solidFill>
                <a:srgbClr val="8064A2">
                  <a:lumMod val="40000"/>
                  <a:lumOff val="60000"/>
                  <a:alpha val="0"/>
                </a:srgbClr>
              </a:solidFill>
            </a:ln>
          </c:spPr>
        </c:majorGridlines>
        <c:numFmt formatCode="#,##0;[Red]\-#,##0" sourceLinked="0"/>
        <c:majorTickMark val="none"/>
        <c:tickLblPos val="high"/>
        <c:txPr>
          <a:bodyPr/>
          <a:lstStyle/>
          <a:p>
            <a:pPr>
              <a:defRPr sz="800">
                <a:latin typeface="Times New Roman" pitchFamily="18" charset="0"/>
                <a:cs typeface="Times New Roman" pitchFamily="18" charset="0"/>
              </a:defRPr>
            </a:pPr>
            <a:endParaRPr lang="zh-TW"/>
          </a:p>
        </c:txPr>
        <c:crossAx val="288357376"/>
        <c:crosses val="autoZero"/>
        <c:crossBetween val="between"/>
      </c:valAx>
    </c:plotArea>
    <c:legend>
      <c:legendPos val="r"/>
      <c:layout>
        <c:manualLayout>
          <c:xMode val="edge"/>
          <c:yMode val="edge"/>
          <c:x val="4.6278252651573641E-2"/>
          <c:y val="0.92178318135764337"/>
          <c:w val="0.9109398253490546"/>
          <c:h val="6.0317992165872893E-2"/>
        </c:manualLayout>
      </c:layout>
      <c:txPr>
        <a:bodyPr/>
        <a:lstStyle/>
        <a:p>
          <a:pPr>
            <a:defRPr sz="800">
              <a:latin typeface="Times New Roman" pitchFamily="18" charset="0"/>
              <a:ea typeface="標楷體" pitchFamily="65" charset="-120"/>
              <a:cs typeface="Times New Roman" pitchFamily="18" charset="0"/>
            </a:defRPr>
          </a:pPr>
          <a:endParaRPr lang="zh-TW"/>
        </a:p>
      </c:txPr>
    </c:legend>
    <c:plotVisOnly val="1"/>
    <c:dispBlanksAs val="gap"/>
  </c:chart>
  <c:spPr>
    <a:noFill/>
    <a:ln>
      <a:noFill/>
    </a:ln>
  </c:spPr>
  <c:externalData r:id="rId1"/>
  <c:userShapes r:id="rId2"/>
</c:chartSpace>
</file>

<file path=word/charts/chart17.xml><?xml version="1.0" encoding="utf-8"?>
<c:chartSpace xmlns:c="http://schemas.openxmlformats.org/drawingml/2006/chart" xmlns:a="http://schemas.openxmlformats.org/drawingml/2006/main" xmlns:r="http://schemas.openxmlformats.org/officeDocument/2006/relationships">
  <c:date1904 val="1"/>
  <c:lang val="zh-TW"/>
  <c:chart>
    <c:view3D>
      <c:rAngAx val="1"/>
    </c:view3D>
    <c:floor>
      <c:spPr>
        <a:solidFill>
          <a:sysClr val="window" lastClr="FFFFFF">
            <a:lumMod val="85000"/>
            <a:alpha val="50000"/>
          </a:sysClr>
        </a:solidFill>
      </c:spPr>
    </c:floor>
    <c:sideWall>
      <c:spPr>
        <a:gradFill>
          <a:gsLst>
            <a:gs pos="0">
              <a:sysClr val="window" lastClr="FFFFFF"/>
            </a:gs>
            <a:gs pos="33000">
              <a:sysClr val="window" lastClr="FFFFFF"/>
            </a:gs>
            <a:gs pos="67000">
              <a:sysClr val="window" lastClr="FFFFFF"/>
            </a:gs>
            <a:gs pos="100000">
              <a:sysClr val="window" lastClr="FFFFFF"/>
            </a:gs>
          </a:gsLst>
          <a:lin ang="2700000" scaled="0"/>
        </a:gradFill>
        <a:ln>
          <a:noFill/>
        </a:ln>
      </c:spPr>
    </c:sideWall>
    <c:backWall>
      <c:spPr>
        <a:gradFill>
          <a:gsLst>
            <a:gs pos="0">
              <a:sysClr val="window" lastClr="FFFFFF"/>
            </a:gs>
            <a:gs pos="33000">
              <a:sysClr val="window" lastClr="FFFFFF"/>
            </a:gs>
            <a:gs pos="67000">
              <a:sysClr val="window" lastClr="FFFFFF"/>
            </a:gs>
            <a:gs pos="100000">
              <a:sysClr val="window" lastClr="FFFFFF"/>
            </a:gs>
          </a:gsLst>
          <a:lin ang="2700000" scaled="0"/>
        </a:gradFill>
        <a:ln>
          <a:noFill/>
        </a:ln>
      </c:spPr>
    </c:backWall>
    <c:plotArea>
      <c:layout>
        <c:manualLayout>
          <c:layoutTarget val="inner"/>
          <c:xMode val="edge"/>
          <c:yMode val="edge"/>
          <c:x val="0.10944051911375551"/>
          <c:y val="0.20624800734264206"/>
          <c:w val="0.82743843877831491"/>
          <c:h val="0.64669082008921575"/>
        </c:manualLayout>
      </c:layout>
      <c:bar3DChart>
        <c:barDir val="col"/>
        <c:grouping val="clustered"/>
        <c:ser>
          <c:idx val="0"/>
          <c:order val="0"/>
          <c:tx>
            <c:strRef>
              <c:f>門診明細─性別年齡!$D$156</c:f>
              <c:strCache>
                <c:ptCount val="1"/>
                <c:pt idx="0">
                  <c:v>Consultation and Treatment and Medical Supply</c:v>
                </c:pt>
              </c:strCache>
            </c:strRef>
          </c:tx>
          <c:spPr>
            <a:solidFill>
              <a:srgbClr val="FFFFAB"/>
            </a:solidFill>
            <a:scene3d>
              <a:camera prst="orthographicFront"/>
              <a:lightRig rig="threePt" dir="t"/>
            </a:scene3d>
            <a:sp3d>
              <a:bevelT w="0" h="0"/>
              <a:bevelB w="0" h="0"/>
            </a:sp3d>
          </c:spPr>
          <c:dLbls>
            <c:dLbl>
              <c:idx val="0"/>
              <c:layout>
                <c:manualLayout>
                  <c:x val="-2.0725746037392142E-3"/>
                  <c:y val="8.2244180261780986E-2"/>
                </c:manualLayout>
              </c:layout>
              <c:showVal val="1"/>
            </c:dLbl>
            <c:dLbl>
              <c:idx val="1"/>
              <c:layout>
                <c:manualLayout>
                  <c:x val="9.2060771664322239E-3"/>
                  <c:y val="-7.0804384746024534E-3"/>
                </c:manualLayout>
              </c:layout>
              <c:showVal val="1"/>
            </c:dLbl>
            <c:dLbl>
              <c:idx val="2"/>
              <c:layout>
                <c:manualLayout>
                  <c:x val="9.5169417991128932E-3"/>
                  <c:y val="-4.0852246410375184E-3"/>
                </c:manualLayout>
              </c:layout>
              <c:showVal val="1"/>
            </c:dLbl>
            <c:dLbl>
              <c:idx val="3"/>
              <c:layout>
                <c:manualLayout>
                  <c:x val="1.4698165159760301E-2"/>
                  <c:y val="0"/>
                </c:manualLayout>
              </c:layout>
              <c:showVal val="1"/>
            </c:dLbl>
            <c:numFmt formatCode="#,##0;\-#,##0" sourceLinked="0"/>
            <c:txPr>
              <a:bodyPr/>
              <a:lstStyle/>
              <a:p>
                <a:pPr>
                  <a:defRPr sz="800">
                    <a:latin typeface="Times New Roman" pitchFamily="18" charset="0"/>
                    <a:cs typeface="Times New Roman" pitchFamily="18" charset="0"/>
                  </a:defRPr>
                </a:pPr>
                <a:endParaRPr lang="zh-TW"/>
              </a:p>
            </c:txPr>
            <c:showVal val="1"/>
          </c:dLbls>
          <c:cat>
            <c:strRef>
              <c:f>門診明細─性別年齡!$E$154:$G$154</c:f>
              <c:strCache>
                <c:ptCount val="3"/>
                <c:pt idx="0">
                  <c:v>Total</c:v>
                </c:pt>
                <c:pt idx="1">
                  <c:v>Male</c:v>
                </c:pt>
                <c:pt idx="2">
                  <c:v>Female</c:v>
                </c:pt>
              </c:strCache>
            </c:strRef>
          </c:cat>
          <c:val>
            <c:numRef>
              <c:f>門診明細─性別年齡!$E$156:$G$156</c:f>
              <c:numCache>
                <c:formatCode>_-* #,##0.00_-;\-* #,##0.00_-;_-* "-"??_-;_-@_-</c:formatCode>
                <c:ptCount val="3"/>
                <c:pt idx="0">
                  <c:v>15890278543.5</c:v>
                </c:pt>
                <c:pt idx="1">
                  <c:v>7655692715.1000004</c:v>
                </c:pt>
                <c:pt idx="2">
                  <c:v>8234585828.3999996</c:v>
                </c:pt>
              </c:numCache>
            </c:numRef>
          </c:val>
        </c:ser>
        <c:ser>
          <c:idx val="1"/>
          <c:order val="1"/>
          <c:tx>
            <c:strRef>
              <c:f>門診明細─性別年齡!$D$155</c:f>
              <c:strCache>
                <c:ptCount val="1"/>
                <c:pt idx="0">
                  <c:v>Drug Fees</c:v>
                </c:pt>
              </c:strCache>
            </c:strRef>
          </c:tx>
          <c:spPr>
            <a:solidFill>
              <a:schemeClr val="accent3">
                <a:lumMod val="40000"/>
                <a:lumOff val="60000"/>
              </a:schemeClr>
            </a:solidFill>
            <a:ln>
              <a:noFill/>
            </a:ln>
            <a:scene3d>
              <a:camera prst="orthographicFront"/>
              <a:lightRig rig="threePt" dir="t"/>
            </a:scene3d>
            <a:sp3d>
              <a:bevelT w="0" h="0"/>
              <a:bevelB w="0" h="0"/>
            </a:sp3d>
          </c:spPr>
          <c:dLbls>
            <c:dLbl>
              <c:idx val="0"/>
              <c:layout>
                <c:manualLayout>
                  <c:x val="1.0649592825537465E-3"/>
                  <c:y val="0"/>
                </c:manualLayout>
              </c:layout>
              <c:showVal val="1"/>
            </c:dLbl>
            <c:dLbl>
              <c:idx val="1"/>
              <c:layout>
                <c:manualLayout>
                  <c:x val="1.8281082421165668E-3"/>
                  <c:y val="0"/>
                </c:manualLayout>
              </c:layout>
              <c:showVal val="1"/>
            </c:dLbl>
            <c:dLbl>
              <c:idx val="3"/>
              <c:layout>
                <c:manualLayout>
                  <c:x val="6.4804193656015632E-3"/>
                  <c:y val="0"/>
                </c:manualLayout>
              </c:layout>
              <c:showVal val="1"/>
            </c:dLbl>
            <c:dLbl>
              <c:idx val="4"/>
              <c:layout>
                <c:manualLayout>
                  <c:x val="6.3897774294614882E-3"/>
                  <c:y val="0"/>
                </c:manualLayout>
              </c:layout>
              <c:showVal val="1"/>
            </c:dLbl>
            <c:dLbl>
              <c:idx val="5"/>
              <c:layout>
                <c:manualLayout>
                  <c:x val="6.3897774294614882E-3"/>
                  <c:y val="0"/>
                </c:manualLayout>
              </c:layout>
              <c:showVal val="1"/>
            </c:dLbl>
            <c:dLbl>
              <c:idx val="6"/>
              <c:layout>
                <c:manualLayout>
                  <c:x val="8.5197032392821271E-3"/>
                  <c:y val="0"/>
                </c:manualLayout>
              </c:layout>
              <c:showVal val="1"/>
            </c:dLbl>
            <c:dLbl>
              <c:idx val="7"/>
              <c:layout>
                <c:manualLayout>
                  <c:x val="6.3897774294614882E-3"/>
                  <c:y val="0"/>
                </c:manualLayout>
              </c:layout>
              <c:showVal val="1"/>
            </c:dLbl>
            <c:dLbl>
              <c:idx val="8"/>
              <c:layout>
                <c:manualLayout>
                  <c:x val="1.0649629049102695E-2"/>
                  <c:y val="0"/>
                </c:manualLayout>
              </c:layout>
              <c:showVal val="1"/>
            </c:dLbl>
            <c:numFmt formatCode="#,##0;\-#,##0" sourceLinked="0"/>
            <c:txPr>
              <a:bodyPr/>
              <a:lstStyle/>
              <a:p>
                <a:pPr>
                  <a:defRPr sz="800">
                    <a:latin typeface="Times New Roman" pitchFamily="18" charset="0"/>
                    <a:cs typeface="Times New Roman" pitchFamily="18" charset="0"/>
                  </a:defRPr>
                </a:pPr>
                <a:endParaRPr lang="zh-TW"/>
              </a:p>
            </c:txPr>
            <c:showVal val="1"/>
          </c:dLbls>
          <c:cat>
            <c:strRef>
              <c:f>門診明細─性別年齡!$E$154:$G$154</c:f>
              <c:strCache>
                <c:ptCount val="3"/>
                <c:pt idx="0">
                  <c:v>Total</c:v>
                </c:pt>
                <c:pt idx="1">
                  <c:v>Male</c:v>
                </c:pt>
                <c:pt idx="2">
                  <c:v>Female</c:v>
                </c:pt>
              </c:strCache>
            </c:strRef>
          </c:cat>
          <c:val>
            <c:numRef>
              <c:f>門診明細─性別年齡!$E$155:$G$155</c:f>
              <c:numCache>
                <c:formatCode>_-* #,##0.00_-;\-* #,##0.00_-;_-* "-"??_-;_-@_-</c:formatCode>
                <c:ptCount val="3"/>
                <c:pt idx="0">
                  <c:v>12065456462.9</c:v>
                </c:pt>
                <c:pt idx="1">
                  <c:v>6201746257.8999996</c:v>
                </c:pt>
                <c:pt idx="2">
                  <c:v>5863710205</c:v>
                </c:pt>
              </c:numCache>
            </c:numRef>
          </c:val>
        </c:ser>
        <c:ser>
          <c:idx val="2"/>
          <c:order val="2"/>
          <c:tx>
            <c:strRef>
              <c:f>門診明細─性別年齡!$D$157</c:f>
              <c:strCache>
                <c:ptCount val="1"/>
                <c:pt idx="0">
                  <c:v>Diagnosis Fees</c:v>
                </c:pt>
              </c:strCache>
            </c:strRef>
          </c:tx>
          <c:spPr>
            <a:solidFill>
              <a:schemeClr val="accent4">
                <a:lumMod val="40000"/>
                <a:lumOff val="60000"/>
              </a:schemeClr>
            </a:solidFill>
            <a:scene3d>
              <a:camera prst="orthographicFront"/>
              <a:lightRig rig="threePt" dir="t"/>
            </a:scene3d>
            <a:sp3d>
              <a:bevelT w="0" h="0"/>
            </a:sp3d>
          </c:spPr>
          <c:dLbls>
            <c:dLbl>
              <c:idx val="0"/>
              <c:layout>
                <c:manualLayout>
                  <c:x val="1.66125024926299E-2"/>
                  <c:y val="0"/>
                </c:manualLayout>
              </c:layout>
              <c:showVal val="1"/>
            </c:dLbl>
            <c:dLbl>
              <c:idx val="1"/>
              <c:layout>
                <c:manualLayout>
                  <c:x val="2.0811977558247142E-2"/>
                  <c:y val="7.9882882560128952E-17"/>
                </c:manualLayout>
              </c:layout>
              <c:showVal val="1"/>
            </c:dLbl>
            <c:dLbl>
              <c:idx val="2"/>
              <c:layout>
                <c:manualLayout>
                  <c:x val="1.7408850587721708E-2"/>
                  <c:y val="-3.4309436818583543E-7"/>
                </c:manualLayout>
              </c:layout>
              <c:showVal val="1"/>
            </c:dLbl>
            <c:numFmt formatCode="#,##0;\-#,##0" sourceLinked="0"/>
            <c:txPr>
              <a:bodyPr/>
              <a:lstStyle/>
              <a:p>
                <a:pPr>
                  <a:defRPr sz="800">
                    <a:latin typeface="Times New Roman" pitchFamily="18" charset="0"/>
                    <a:cs typeface="Times New Roman" pitchFamily="18" charset="0"/>
                  </a:defRPr>
                </a:pPr>
                <a:endParaRPr lang="zh-TW"/>
              </a:p>
            </c:txPr>
            <c:showVal val="1"/>
          </c:dLbls>
          <c:cat>
            <c:strRef>
              <c:f>門診明細─性別年齡!$E$154:$G$154</c:f>
              <c:strCache>
                <c:ptCount val="3"/>
                <c:pt idx="0">
                  <c:v>Total</c:v>
                </c:pt>
                <c:pt idx="1">
                  <c:v>Male</c:v>
                </c:pt>
                <c:pt idx="2">
                  <c:v>Female</c:v>
                </c:pt>
              </c:strCache>
            </c:strRef>
          </c:cat>
          <c:val>
            <c:numRef>
              <c:f>門診明細─性別年齡!$E$157:$G$157</c:f>
              <c:numCache>
                <c:formatCode>_-* #,##0.00_-;\-* #,##0.00_-;_-* "-"??_-;_-@_-</c:formatCode>
                <c:ptCount val="3"/>
                <c:pt idx="0">
                  <c:v>9331272705.1000004</c:v>
                </c:pt>
                <c:pt idx="1">
                  <c:v>4221650933.1999998</c:v>
                </c:pt>
                <c:pt idx="2">
                  <c:v>5109621771.8999996</c:v>
                </c:pt>
              </c:numCache>
            </c:numRef>
          </c:val>
        </c:ser>
        <c:ser>
          <c:idx val="3"/>
          <c:order val="3"/>
          <c:tx>
            <c:strRef>
              <c:f>門診明細─性別年齡!$D$158</c:f>
              <c:strCache>
                <c:ptCount val="1"/>
                <c:pt idx="0">
                  <c:v>Dispensing Service Fees</c:v>
                </c:pt>
              </c:strCache>
            </c:strRef>
          </c:tx>
          <c:spPr>
            <a:solidFill>
              <a:srgbClr val="EDA9EA"/>
            </a:solidFill>
            <a:scene3d>
              <a:camera prst="orthographicFront"/>
              <a:lightRig rig="threePt" dir="t"/>
            </a:scene3d>
            <a:sp3d>
              <a:bevelT w="0" h="0"/>
            </a:sp3d>
          </c:spPr>
          <c:dLbls>
            <c:dLbl>
              <c:idx val="0"/>
              <c:layout>
                <c:manualLayout>
                  <c:x val="1.8864654238548901E-2"/>
                  <c:y val="-6.2635307841422457E-3"/>
                </c:manualLayout>
              </c:layout>
              <c:showVal val="1"/>
            </c:dLbl>
            <c:dLbl>
              <c:idx val="1"/>
              <c:layout>
                <c:manualLayout>
                  <c:x val="1.8210156995262721E-2"/>
                  <c:y val="4.0848815466693845E-3"/>
                </c:manualLayout>
              </c:layout>
              <c:showVal val="1"/>
            </c:dLbl>
            <c:dLbl>
              <c:idx val="2"/>
              <c:layout>
                <c:manualLayout>
                  <c:x val="1.6427104722792723E-2"/>
                  <c:y val="3.8128077127614272E-3"/>
                </c:manualLayout>
              </c:layout>
              <c:showVal val="1"/>
            </c:dLbl>
            <c:numFmt formatCode="#,##0;\-#,##0" sourceLinked="0"/>
            <c:txPr>
              <a:bodyPr/>
              <a:lstStyle/>
              <a:p>
                <a:pPr>
                  <a:defRPr sz="800">
                    <a:latin typeface="Times New Roman" pitchFamily="18" charset="0"/>
                    <a:cs typeface="Times New Roman" pitchFamily="18" charset="0"/>
                  </a:defRPr>
                </a:pPr>
                <a:endParaRPr lang="zh-TW"/>
              </a:p>
            </c:txPr>
            <c:showVal val="1"/>
          </c:dLbls>
          <c:cat>
            <c:strRef>
              <c:f>門診明細─性別年齡!$E$154:$G$154</c:f>
              <c:strCache>
                <c:ptCount val="3"/>
                <c:pt idx="0">
                  <c:v>Total</c:v>
                </c:pt>
                <c:pt idx="1">
                  <c:v>Male</c:v>
                </c:pt>
                <c:pt idx="2">
                  <c:v>Female</c:v>
                </c:pt>
              </c:strCache>
            </c:strRef>
          </c:cat>
          <c:val>
            <c:numRef>
              <c:f>門診明細─性別年齡!$E$158:$G$158</c:f>
              <c:numCache>
                <c:formatCode>_-* #,##0.00_-;\-* #,##0.00_-;_-* "-"??_-;_-@_-</c:formatCode>
                <c:ptCount val="3"/>
                <c:pt idx="0">
                  <c:v>1200300698.4000001</c:v>
                </c:pt>
                <c:pt idx="1">
                  <c:v>563200752.10000002</c:v>
                </c:pt>
                <c:pt idx="2">
                  <c:v>637099946.29999995</c:v>
                </c:pt>
              </c:numCache>
            </c:numRef>
          </c:val>
        </c:ser>
        <c:gapWidth val="209"/>
        <c:gapDepth val="69"/>
        <c:shape val="box"/>
        <c:axId val="369799168"/>
        <c:axId val="369800704"/>
        <c:axId val="0"/>
      </c:bar3DChart>
      <c:catAx>
        <c:axId val="369799168"/>
        <c:scaling>
          <c:orientation val="minMax"/>
        </c:scaling>
        <c:axPos val="b"/>
        <c:numFmt formatCode="#,##0;[Red]\-#,##0" sourceLinked="0"/>
        <c:majorTickMark val="in"/>
        <c:tickLblPos val="nextTo"/>
        <c:txPr>
          <a:bodyPr rot="0"/>
          <a:lstStyle/>
          <a:p>
            <a:pPr>
              <a:defRPr sz="800">
                <a:latin typeface="Times New Roman" pitchFamily="18" charset="0"/>
                <a:ea typeface="標楷體" pitchFamily="65" charset="-120"/>
                <a:cs typeface="Times New Roman" pitchFamily="18" charset="0"/>
              </a:defRPr>
            </a:pPr>
            <a:endParaRPr lang="zh-TW"/>
          </a:p>
        </c:txPr>
        <c:crossAx val="369800704"/>
        <c:crosses val="autoZero"/>
        <c:auto val="1"/>
        <c:lblAlgn val="ctr"/>
        <c:lblOffset val="0"/>
        <c:tickLblSkip val="1"/>
      </c:catAx>
      <c:valAx>
        <c:axId val="369800704"/>
        <c:scaling>
          <c:orientation val="minMax"/>
        </c:scaling>
        <c:axPos val="l"/>
        <c:numFmt formatCode="#,##0;\-#,##0" sourceLinked="0"/>
        <c:majorTickMark val="in"/>
        <c:tickLblPos val="nextTo"/>
        <c:txPr>
          <a:bodyPr/>
          <a:lstStyle/>
          <a:p>
            <a:pPr>
              <a:defRPr sz="800">
                <a:latin typeface="Times New Roman" pitchFamily="18" charset="0"/>
                <a:cs typeface="Times New Roman" pitchFamily="18" charset="0"/>
              </a:defRPr>
            </a:pPr>
            <a:endParaRPr lang="zh-TW"/>
          </a:p>
        </c:txPr>
        <c:crossAx val="369799168"/>
        <c:crosses val="autoZero"/>
        <c:crossBetween val="between"/>
        <c:dispUnits>
          <c:builtInUnit val="hundredMillions"/>
        </c:dispUnits>
      </c:valAx>
    </c:plotArea>
    <c:legend>
      <c:legendPos val="r"/>
      <c:layout>
        <c:manualLayout>
          <c:xMode val="edge"/>
          <c:yMode val="edge"/>
          <c:x val="0.49393029359702206"/>
          <c:y val="0.20926364265816474"/>
          <c:w val="0.45180614051150575"/>
          <c:h val="0.20519459607426371"/>
        </c:manualLayout>
      </c:layout>
      <c:txPr>
        <a:bodyPr/>
        <a:lstStyle/>
        <a:p>
          <a:pPr>
            <a:defRPr sz="800">
              <a:latin typeface="Times New Roman" pitchFamily="18" charset="0"/>
              <a:ea typeface="標楷體" pitchFamily="65" charset="-120"/>
              <a:cs typeface="Times New Roman" pitchFamily="18" charset="0"/>
            </a:defRPr>
          </a:pPr>
          <a:endParaRPr lang="zh-TW"/>
        </a:p>
      </c:txPr>
    </c:legend>
    <c:plotVisOnly val="1"/>
    <c:dispBlanksAs val="gap"/>
  </c:chart>
  <c:spPr>
    <a:noFill/>
    <a:ln>
      <a:noFill/>
    </a:ln>
  </c:spPr>
  <c:externalData r:id="rId1"/>
  <c:userShapes r:id="rId2"/>
</c:chartSpace>
</file>

<file path=word/charts/chart18.xml><?xml version="1.0" encoding="utf-8"?>
<c:chartSpace xmlns:c="http://schemas.openxmlformats.org/drawingml/2006/chart" xmlns:a="http://schemas.openxmlformats.org/drawingml/2006/main" xmlns:r="http://schemas.openxmlformats.org/officeDocument/2006/relationships">
  <c:date1904 val="1"/>
  <c:lang val="zh-TW"/>
  <c:chart>
    <c:autoTitleDeleted val="1"/>
    <c:view3D>
      <c:rAngAx val="1"/>
    </c:view3D>
    <c:floor>
      <c:spPr>
        <a:solidFill>
          <a:srgbClr val="E0E0E0">
            <a:alpha val="49000"/>
          </a:srgbClr>
        </a:solidFill>
      </c:spPr>
    </c:floor>
    <c:sideWall>
      <c:spPr>
        <a:solidFill>
          <a:srgbClr val="9BBB59">
            <a:lumMod val="20000"/>
            <a:lumOff val="80000"/>
            <a:alpha val="76000"/>
          </a:srgbClr>
        </a:solidFill>
      </c:spPr>
    </c:sideWall>
    <c:backWall>
      <c:spPr>
        <a:solidFill>
          <a:srgbClr val="9BBB59">
            <a:lumMod val="20000"/>
            <a:lumOff val="80000"/>
            <a:alpha val="76000"/>
          </a:srgbClr>
        </a:solidFill>
      </c:spPr>
    </c:backWall>
    <c:plotArea>
      <c:layout>
        <c:manualLayout>
          <c:layoutTarget val="inner"/>
          <c:xMode val="edge"/>
          <c:yMode val="edge"/>
          <c:x val="0.12307413724619762"/>
          <c:y val="0.19052022752475087"/>
          <c:w val="0.71218038583455956"/>
          <c:h val="0.65570392867928085"/>
        </c:manualLayout>
      </c:layout>
      <c:bar3DChart>
        <c:barDir val="bar"/>
        <c:grouping val="stacked"/>
        <c:ser>
          <c:idx val="0"/>
          <c:order val="0"/>
          <c:tx>
            <c:strRef>
              <c:f>門診明細─性別年齡!$A$95</c:f>
              <c:strCache>
                <c:ptCount val="1"/>
                <c:pt idx="0">
                  <c:v>Drug Fees</c:v>
                </c:pt>
              </c:strCache>
            </c:strRef>
          </c:tx>
          <c:spPr>
            <a:solidFill>
              <a:schemeClr val="accent3">
                <a:lumMod val="40000"/>
                <a:lumOff val="60000"/>
                <a:alpha val="84000"/>
              </a:schemeClr>
            </a:solidFill>
            <a:ln>
              <a:noFill/>
            </a:ln>
            <a:scene3d>
              <a:camera prst="orthographicFront"/>
              <a:lightRig rig="threePt" dir="t"/>
            </a:scene3d>
            <a:sp3d>
              <a:bevelT w="0" h="0"/>
              <a:contourClr>
                <a:srgbClr val="000000"/>
              </a:contourClr>
            </a:sp3d>
          </c:spPr>
          <c:dLbls>
            <c:dLbl>
              <c:idx val="0"/>
              <c:layout>
                <c:manualLayout>
                  <c:x val="7.2595281306717689E-3"/>
                  <c:y val="8.5284488692644028E-3"/>
                </c:manualLayout>
              </c:layout>
              <c:showVal val="1"/>
            </c:dLbl>
            <c:dLbl>
              <c:idx val="1"/>
              <c:layout>
                <c:manualLayout>
                  <c:x val="9.6793708408953426E-3"/>
                  <c:y val="0"/>
                </c:manualLayout>
              </c:layout>
              <c:showVal val="1"/>
            </c:dLbl>
            <c:dLbl>
              <c:idx val="2"/>
              <c:layout>
                <c:manualLayout>
                  <c:x val="7.2595281306717689E-3"/>
                  <c:y val="0"/>
                </c:manualLayout>
              </c:layout>
              <c:showVal val="1"/>
            </c:dLbl>
            <c:dLbl>
              <c:idx val="3"/>
              <c:layout>
                <c:manualLayout>
                  <c:x val="2.4196521714277548E-3"/>
                  <c:y val="0"/>
                </c:manualLayout>
              </c:layout>
              <c:showVal val="1"/>
            </c:dLbl>
            <c:numFmt formatCode="#,##0.0_);[Red]\(#,##0.0\)" sourceLinked="0"/>
            <c:txPr>
              <a:bodyPr/>
              <a:lstStyle/>
              <a:p>
                <a:pPr>
                  <a:defRPr sz="800">
                    <a:latin typeface="Times New Roman" pitchFamily="18" charset="0"/>
                    <a:cs typeface="Times New Roman" pitchFamily="18" charset="0"/>
                  </a:defRPr>
                </a:pPr>
                <a:endParaRPr lang="zh-TW"/>
              </a:p>
            </c:txPr>
            <c:showVal val="1"/>
          </c:dLbls>
          <c:cat>
            <c:strRef>
              <c:f>(門診明細─性別年齡!$F$91,門診明細─性別年齡!$H$91,門診明細─性別年齡!$J$91,門診明細─性別年齡!$L$91,門診明細─性別年齡!$N$91)</c:f>
              <c:strCache>
                <c:ptCount val="5"/>
                <c:pt idx="0">
                  <c:v>0-14</c:v>
                </c:pt>
                <c:pt idx="1">
                  <c:v>15-29</c:v>
                </c:pt>
                <c:pt idx="2">
                  <c:v>30-44</c:v>
                </c:pt>
                <c:pt idx="3">
                  <c:v>45-64</c:v>
                </c:pt>
                <c:pt idx="4">
                  <c:v>65 and over</c:v>
                </c:pt>
              </c:strCache>
            </c:strRef>
          </c:cat>
          <c:val>
            <c:numRef>
              <c:f>(門診明細─性別年齡!$G$95,門診明細─性別年齡!$I$95,門診明細─性別年齡!$K$95,門診明細─性別年齡!$M$95,門診明細─性別年齡!$O$95)</c:f>
              <c:numCache>
                <c:formatCode>_-* #,##0.00_-;\-* #,##0.00_-;_-* "-"_-;_-@_-</c:formatCode>
                <c:ptCount val="5"/>
                <c:pt idx="0">
                  <c:v>18.63689799526983</c:v>
                </c:pt>
                <c:pt idx="1">
                  <c:v>21.702381713155127</c:v>
                </c:pt>
                <c:pt idx="2">
                  <c:v>28.116253335333724</c:v>
                </c:pt>
                <c:pt idx="3">
                  <c:v>33.827793998465452</c:v>
                </c:pt>
                <c:pt idx="4">
                  <c:v>37.689608406734358</c:v>
                </c:pt>
              </c:numCache>
            </c:numRef>
          </c:val>
        </c:ser>
        <c:ser>
          <c:idx val="1"/>
          <c:order val="1"/>
          <c:tx>
            <c:strRef>
              <c:f>門診明細─性別年齡!$A$96</c:f>
              <c:strCache>
                <c:ptCount val="1"/>
                <c:pt idx="0">
                  <c:v>Consultation and Treatment and Medical Supply</c:v>
                </c:pt>
              </c:strCache>
            </c:strRef>
          </c:tx>
          <c:spPr>
            <a:solidFill>
              <a:srgbClr val="FFFFAB">
                <a:alpha val="93000"/>
              </a:srgbClr>
            </a:solidFill>
            <a:ln>
              <a:noFill/>
            </a:ln>
            <a:scene3d>
              <a:camera prst="orthographicFront"/>
              <a:lightRig rig="threePt" dir="t"/>
            </a:scene3d>
            <a:sp3d>
              <a:bevelT w="0" h="0"/>
              <a:contourClr>
                <a:srgbClr val="000000"/>
              </a:contourClr>
            </a:sp3d>
          </c:spPr>
          <c:dLbls>
            <c:dLbl>
              <c:idx val="0"/>
              <c:layout>
                <c:manualLayout>
                  <c:x val="7.259528130671742E-3"/>
                  <c:y val="0"/>
                </c:manualLayout>
              </c:layout>
              <c:showVal val="1"/>
            </c:dLbl>
            <c:dLbl>
              <c:idx val="1"/>
              <c:layout>
                <c:manualLayout>
                  <c:x val="4.8396854204477034E-3"/>
                  <c:y val="7.8179622804055258E-17"/>
                </c:manualLayout>
              </c:layout>
              <c:showVal val="1"/>
            </c:dLbl>
            <c:dLbl>
              <c:idx val="2"/>
              <c:layout>
                <c:manualLayout>
                  <c:x val="7.2595281306717689E-3"/>
                  <c:y val="0"/>
                </c:manualLayout>
              </c:layout>
              <c:showVal val="1"/>
            </c:dLbl>
            <c:dLbl>
              <c:idx val="3"/>
              <c:layout>
                <c:manualLayout>
                  <c:x val="7.2595281306717689E-3"/>
                  <c:y val="0"/>
                </c:manualLayout>
              </c:layout>
              <c:showVal val="1"/>
            </c:dLbl>
            <c:numFmt formatCode="#,##0.0_);[Red]\(#,##0.0\)" sourceLinked="0"/>
            <c:txPr>
              <a:bodyPr/>
              <a:lstStyle/>
              <a:p>
                <a:pPr>
                  <a:defRPr sz="800">
                    <a:latin typeface="Times New Roman" pitchFamily="18" charset="0"/>
                    <a:cs typeface="Times New Roman" pitchFamily="18" charset="0"/>
                  </a:defRPr>
                </a:pPr>
                <a:endParaRPr lang="zh-TW"/>
              </a:p>
            </c:txPr>
            <c:showVal val="1"/>
          </c:dLbls>
          <c:cat>
            <c:strRef>
              <c:f>(門診明細─性別年齡!$F$91,門診明細─性別年齡!$H$91,門診明細─性別年齡!$J$91,門診明細─性別年齡!$L$91,門診明細─性別年齡!$N$91)</c:f>
              <c:strCache>
                <c:ptCount val="5"/>
                <c:pt idx="0">
                  <c:v>0-14</c:v>
                </c:pt>
                <c:pt idx="1">
                  <c:v>15-29</c:v>
                </c:pt>
                <c:pt idx="2">
                  <c:v>30-44</c:v>
                </c:pt>
                <c:pt idx="3">
                  <c:v>45-64</c:v>
                </c:pt>
                <c:pt idx="4">
                  <c:v>65 and over</c:v>
                </c:pt>
              </c:strCache>
            </c:strRef>
          </c:cat>
          <c:val>
            <c:numRef>
              <c:f>(門診明細─性別年齡!$G$96,門診明細─性別年齡!$I$96,門診明細─性別年齡!$K$96,門診明細─性別年齡!$M$96,門診明細─性別年齡!$O$96)</c:f>
              <c:numCache>
                <c:formatCode>_-* #,##0.00_-;\-* #,##0.00_-;_-* "-"_-;_-@_-</c:formatCode>
                <c:ptCount val="5"/>
                <c:pt idx="0">
                  <c:v>28.792355890584382</c:v>
                </c:pt>
                <c:pt idx="1">
                  <c:v>39.696089067857415</c:v>
                </c:pt>
                <c:pt idx="2">
                  <c:v>40.762459522289113</c:v>
                </c:pt>
                <c:pt idx="3">
                  <c:v>43.837912049120163</c:v>
                </c:pt>
                <c:pt idx="4">
                  <c:v>43.089756353399096</c:v>
                </c:pt>
              </c:numCache>
            </c:numRef>
          </c:val>
        </c:ser>
        <c:ser>
          <c:idx val="2"/>
          <c:order val="2"/>
          <c:tx>
            <c:strRef>
              <c:f>門診明細─性別年齡!$A$97</c:f>
              <c:strCache>
                <c:ptCount val="1"/>
                <c:pt idx="0">
                  <c:v>Diagnosis Fees</c:v>
                </c:pt>
              </c:strCache>
            </c:strRef>
          </c:tx>
          <c:spPr>
            <a:solidFill>
              <a:schemeClr val="accent4">
                <a:lumMod val="40000"/>
                <a:lumOff val="60000"/>
              </a:schemeClr>
            </a:solidFill>
            <a:ln>
              <a:noFill/>
            </a:ln>
            <a:scene3d>
              <a:camera prst="orthographicFront"/>
              <a:lightRig rig="threePt" dir="t"/>
            </a:scene3d>
            <a:sp3d>
              <a:bevelT w="0" h="6350"/>
              <a:contourClr>
                <a:srgbClr val="000000"/>
              </a:contourClr>
            </a:sp3d>
          </c:spPr>
          <c:dLbls>
            <c:dLbl>
              <c:idx val="0"/>
              <c:layout>
                <c:manualLayout>
                  <c:x val="7.2595281306717689E-3"/>
                  <c:y val="0"/>
                </c:manualLayout>
              </c:layout>
              <c:showVal val="1"/>
            </c:dLbl>
            <c:dLbl>
              <c:idx val="1"/>
              <c:layout>
                <c:manualLayout>
                  <c:x val="7.2595281306717689E-3"/>
                  <c:y val="0"/>
                </c:manualLayout>
              </c:layout>
              <c:showVal val="1"/>
            </c:dLbl>
            <c:dLbl>
              <c:idx val="2"/>
              <c:layout>
                <c:manualLayout>
                  <c:x val="9.6793708408953426E-3"/>
                  <c:y val="4.2643923240939024E-3"/>
                </c:manualLayout>
              </c:layout>
              <c:showVal val="1"/>
            </c:dLbl>
            <c:dLbl>
              <c:idx val="3"/>
              <c:layout>
                <c:manualLayout>
                  <c:x val="4.8396854204477034E-3"/>
                  <c:y val="0"/>
                </c:manualLayout>
              </c:layout>
              <c:showVal val="1"/>
            </c:dLbl>
            <c:numFmt formatCode="#,##0.0_);[Red]\(#,##0.0\)" sourceLinked="0"/>
            <c:txPr>
              <a:bodyPr/>
              <a:lstStyle/>
              <a:p>
                <a:pPr>
                  <a:defRPr sz="800">
                    <a:latin typeface="Times New Roman" pitchFamily="18" charset="0"/>
                    <a:cs typeface="Times New Roman" pitchFamily="18" charset="0"/>
                  </a:defRPr>
                </a:pPr>
                <a:endParaRPr lang="zh-TW"/>
              </a:p>
            </c:txPr>
            <c:showVal val="1"/>
          </c:dLbls>
          <c:cat>
            <c:strRef>
              <c:f>(門診明細─性別年齡!$F$91,門診明細─性別年齡!$H$91,門診明細─性別年齡!$J$91,門診明細─性別年齡!$L$91,門診明細─性別年齡!$N$91)</c:f>
              <c:strCache>
                <c:ptCount val="5"/>
                <c:pt idx="0">
                  <c:v>0-14</c:v>
                </c:pt>
                <c:pt idx="1">
                  <c:v>15-29</c:v>
                </c:pt>
                <c:pt idx="2">
                  <c:v>30-44</c:v>
                </c:pt>
                <c:pt idx="3">
                  <c:v>45-64</c:v>
                </c:pt>
                <c:pt idx="4">
                  <c:v>65 and over</c:v>
                </c:pt>
              </c:strCache>
            </c:strRef>
          </c:cat>
          <c:val>
            <c:numRef>
              <c:f>(門診明細─性別年齡!$G$97,門診明細─性別年齡!$I$97,門診明細─性別年齡!$K$97,門診明細─性別年齡!$M$97,門診明細─性別年齡!$O$97)</c:f>
              <c:numCache>
                <c:formatCode>_-* #,##0.00_-;\-* #,##0.00_-;_-* "-"_-;_-@_-</c:formatCode>
                <c:ptCount val="5"/>
                <c:pt idx="0">
                  <c:v>47.792166007050561</c:v>
                </c:pt>
                <c:pt idx="1">
                  <c:v>35.337539650704244</c:v>
                </c:pt>
                <c:pt idx="2">
                  <c:v>28.104574708201131</c:v>
                </c:pt>
                <c:pt idx="3">
                  <c:v>19.508895321503044</c:v>
                </c:pt>
                <c:pt idx="4">
                  <c:v>16.264931307475866</c:v>
                </c:pt>
              </c:numCache>
            </c:numRef>
          </c:val>
        </c:ser>
        <c:ser>
          <c:idx val="3"/>
          <c:order val="3"/>
          <c:tx>
            <c:strRef>
              <c:f>門診明細─性別年齡!$A$98</c:f>
              <c:strCache>
                <c:ptCount val="1"/>
                <c:pt idx="0">
                  <c:v>Dispensing Service Fees</c:v>
                </c:pt>
              </c:strCache>
            </c:strRef>
          </c:tx>
          <c:spPr>
            <a:solidFill>
              <a:srgbClr val="EDA9EA"/>
            </a:solidFill>
            <a:ln>
              <a:noFill/>
            </a:ln>
            <a:scene3d>
              <a:camera prst="orthographicFront"/>
              <a:lightRig rig="threePt" dir="t"/>
            </a:scene3d>
            <a:sp3d>
              <a:bevelT w="0" h="0"/>
              <a:contourClr>
                <a:srgbClr val="000000"/>
              </a:contourClr>
            </a:sp3d>
          </c:spPr>
          <c:dLbls>
            <c:dLbl>
              <c:idx val="0"/>
              <c:layout>
                <c:manualLayout>
                  <c:x val="9.6793708408953426E-3"/>
                  <c:y val="0"/>
                </c:manualLayout>
              </c:layout>
              <c:showVal val="1"/>
            </c:dLbl>
            <c:dLbl>
              <c:idx val="1"/>
              <c:layout>
                <c:manualLayout>
                  <c:x val="7.2595281306717689E-3"/>
                  <c:y val="0"/>
                </c:manualLayout>
              </c:layout>
              <c:showVal val="1"/>
            </c:dLbl>
            <c:dLbl>
              <c:idx val="2"/>
              <c:layout>
                <c:manualLayout>
                  <c:x val="9.6793708408953426E-3"/>
                  <c:y val="0"/>
                </c:manualLayout>
              </c:layout>
              <c:showVal val="1"/>
            </c:dLbl>
            <c:dLbl>
              <c:idx val="3"/>
              <c:layout>
                <c:manualLayout>
                  <c:x val="7.2595281306717689E-3"/>
                  <c:y val="0"/>
                </c:manualLayout>
              </c:layout>
              <c:showVal val="1"/>
            </c:dLbl>
            <c:numFmt formatCode="#,##0.0_);[Red]\(#,##0.0\)" sourceLinked="0"/>
            <c:txPr>
              <a:bodyPr/>
              <a:lstStyle/>
              <a:p>
                <a:pPr>
                  <a:defRPr sz="800">
                    <a:latin typeface="Times New Roman" pitchFamily="18" charset="0"/>
                    <a:cs typeface="Times New Roman" pitchFamily="18" charset="0"/>
                  </a:defRPr>
                </a:pPr>
                <a:endParaRPr lang="zh-TW"/>
              </a:p>
            </c:txPr>
            <c:showVal val="1"/>
          </c:dLbls>
          <c:cat>
            <c:strRef>
              <c:f>(門診明細─性別年齡!$F$91,門診明細─性別年齡!$H$91,門診明細─性別年齡!$J$91,門診明細─性別年齡!$L$91,門診明細─性別年齡!$N$91)</c:f>
              <c:strCache>
                <c:ptCount val="5"/>
                <c:pt idx="0">
                  <c:v>0-14</c:v>
                </c:pt>
                <c:pt idx="1">
                  <c:v>15-29</c:v>
                </c:pt>
                <c:pt idx="2">
                  <c:v>30-44</c:v>
                </c:pt>
                <c:pt idx="3">
                  <c:v>45-64</c:v>
                </c:pt>
                <c:pt idx="4">
                  <c:v>65 and over</c:v>
                </c:pt>
              </c:strCache>
            </c:strRef>
          </c:cat>
          <c:val>
            <c:numRef>
              <c:f>(門診明細─性別年齡!$G$98,門診明細─性別年齡!$I$98,門診明細─性別年齡!$K$98,門診明細─性別年齡!$M$98,門診明細─性別年齡!$O$98)</c:f>
              <c:numCache>
                <c:formatCode>_-* #,##0.00_-;\-* #,##0.00_-;_-* "-"_-;_-@_-</c:formatCode>
                <c:ptCount val="5"/>
                <c:pt idx="0">
                  <c:v>4.7785705017281952</c:v>
                </c:pt>
                <c:pt idx="1">
                  <c:v>3.2598188638852768</c:v>
                </c:pt>
                <c:pt idx="2">
                  <c:v>3.0074232638145801</c:v>
                </c:pt>
                <c:pt idx="3">
                  <c:v>2.8209201430351287</c:v>
                </c:pt>
                <c:pt idx="4">
                  <c:v>2.9543129954900667</c:v>
                </c:pt>
              </c:numCache>
            </c:numRef>
          </c:val>
        </c:ser>
        <c:shape val="box"/>
        <c:axId val="369771264"/>
        <c:axId val="289522816"/>
        <c:axId val="0"/>
      </c:bar3DChart>
      <c:catAx>
        <c:axId val="369771264"/>
        <c:scaling>
          <c:orientation val="minMax"/>
        </c:scaling>
        <c:axPos val="l"/>
        <c:numFmt formatCode="General" sourceLinked="1"/>
        <c:majorTickMark val="none"/>
        <c:tickLblPos val="nextTo"/>
        <c:txPr>
          <a:bodyPr/>
          <a:lstStyle/>
          <a:p>
            <a:pPr>
              <a:defRPr sz="800">
                <a:latin typeface="Times New Roman" pitchFamily="18" charset="0"/>
                <a:ea typeface="標楷體" pitchFamily="65" charset="-120"/>
                <a:cs typeface="Times New Roman" pitchFamily="18" charset="0"/>
              </a:defRPr>
            </a:pPr>
            <a:endParaRPr lang="zh-TW"/>
          </a:p>
        </c:txPr>
        <c:crossAx val="289522816"/>
        <c:crosses val="autoZero"/>
        <c:auto val="1"/>
        <c:lblAlgn val="ctr"/>
        <c:lblOffset val="100"/>
      </c:catAx>
      <c:valAx>
        <c:axId val="289522816"/>
        <c:scaling>
          <c:orientation val="minMax"/>
        </c:scaling>
        <c:axPos val="b"/>
        <c:majorGridlines>
          <c:spPr>
            <a:ln>
              <a:solidFill>
                <a:srgbClr val="8064A2">
                  <a:lumMod val="40000"/>
                  <a:lumOff val="60000"/>
                  <a:alpha val="0"/>
                </a:srgbClr>
              </a:solidFill>
            </a:ln>
          </c:spPr>
        </c:majorGridlines>
        <c:numFmt formatCode="#,##0;[Red]\-#,##0" sourceLinked="0"/>
        <c:majorTickMark val="none"/>
        <c:tickLblPos val="nextTo"/>
        <c:txPr>
          <a:bodyPr/>
          <a:lstStyle/>
          <a:p>
            <a:pPr>
              <a:defRPr sz="800">
                <a:latin typeface="Times New Roman" pitchFamily="18" charset="0"/>
                <a:cs typeface="Times New Roman" pitchFamily="18" charset="0"/>
              </a:defRPr>
            </a:pPr>
            <a:endParaRPr lang="zh-TW"/>
          </a:p>
        </c:txPr>
        <c:crossAx val="369771264"/>
        <c:crosses val="autoZero"/>
        <c:crossBetween val="between"/>
      </c:valAx>
    </c:plotArea>
    <c:legend>
      <c:legendPos val="b"/>
      <c:layout>
        <c:manualLayout>
          <c:xMode val="edge"/>
          <c:yMode val="edge"/>
          <c:x val="2.714439196195699E-2"/>
          <c:y val="0.89478655593582657"/>
          <c:w val="0.93828744027524458"/>
          <c:h val="8.0897334641680543E-2"/>
        </c:manualLayout>
      </c:layout>
      <c:txPr>
        <a:bodyPr/>
        <a:lstStyle/>
        <a:p>
          <a:pPr>
            <a:defRPr sz="800">
              <a:latin typeface="Times New Roman" pitchFamily="18" charset="0"/>
              <a:cs typeface="Times New Roman" pitchFamily="18" charset="0"/>
            </a:defRPr>
          </a:pPr>
          <a:endParaRPr lang="zh-TW"/>
        </a:p>
      </c:txPr>
    </c:legend>
    <c:plotVisOnly val="1"/>
    <c:dispBlanksAs val="gap"/>
  </c:chart>
  <c:spPr>
    <a:noFill/>
    <a:ln>
      <a:noFill/>
    </a:ln>
  </c:spPr>
  <c:externalData r:id="rId1"/>
  <c:userShapes r:id="rId2"/>
</c:chartSpace>
</file>

<file path=word/charts/chart19.xml><?xml version="1.0" encoding="utf-8"?>
<c:chartSpace xmlns:c="http://schemas.openxmlformats.org/drawingml/2006/chart" xmlns:a="http://schemas.openxmlformats.org/drawingml/2006/main" xmlns:r="http://schemas.openxmlformats.org/officeDocument/2006/relationships">
  <c:date1904 val="1"/>
  <c:lang val="zh-TW"/>
  <c:chart>
    <c:autoTitleDeleted val="1"/>
    <c:view3D>
      <c:rAngAx val="1"/>
    </c:view3D>
    <c:floor>
      <c:spPr>
        <a:solidFill>
          <a:srgbClr val="E0E0E0">
            <a:alpha val="49000"/>
          </a:srgbClr>
        </a:solidFill>
      </c:spPr>
    </c:floor>
    <c:sideWall>
      <c:spPr>
        <a:solidFill>
          <a:srgbClr val="9BBB59">
            <a:lumMod val="20000"/>
            <a:lumOff val="80000"/>
            <a:alpha val="76000"/>
          </a:srgbClr>
        </a:solidFill>
      </c:spPr>
    </c:sideWall>
    <c:backWall>
      <c:spPr>
        <a:solidFill>
          <a:srgbClr val="9BBB59">
            <a:lumMod val="20000"/>
            <a:lumOff val="80000"/>
            <a:alpha val="76000"/>
          </a:srgbClr>
        </a:solidFill>
      </c:spPr>
    </c:backWall>
    <c:plotArea>
      <c:layout>
        <c:manualLayout>
          <c:layoutTarget val="inner"/>
          <c:xMode val="edge"/>
          <c:yMode val="edge"/>
          <c:x val="0.10175529860569232"/>
          <c:y val="0.17529807362499233"/>
          <c:w val="0.85756465126543868"/>
          <c:h val="0.65570392867927896"/>
        </c:manualLayout>
      </c:layout>
      <c:bar3DChart>
        <c:barDir val="bar"/>
        <c:grouping val="stacked"/>
        <c:ser>
          <c:idx val="0"/>
          <c:order val="0"/>
          <c:spPr>
            <a:solidFill>
              <a:srgbClr val="EFB3EC">
                <a:alpha val="84000"/>
              </a:srgbClr>
            </a:solidFill>
            <a:ln>
              <a:noFill/>
            </a:ln>
            <a:scene3d>
              <a:camera prst="orthographicFront"/>
              <a:lightRig rig="threePt" dir="t"/>
            </a:scene3d>
            <a:sp3d>
              <a:bevelT w="0" h="0"/>
              <a:contourClr>
                <a:srgbClr val="000000"/>
              </a:contourClr>
            </a:sp3d>
          </c:spPr>
          <c:dPt>
            <c:idx val="4"/>
            <c:spPr>
              <a:solidFill>
                <a:schemeClr val="accent6">
                  <a:lumMod val="40000"/>
                  <a:lumOff val="60000"/>
                  <a:alpha val="84000"/>
                </a:schemeClr>
              </a:solidFill>
              <a:ln>
                <a:noFill/>
              </a:ln>
              <a:scene3d>
                <a:camera prst="orthographicFront"/>
                <a:lightRig rig="threePt" dir="t"/>
              </a:scene3d>
              <a:sp3d>
                <a:bevelT w="0" h="0"/>
                <a:contourClr>
                  <a:srgbClr val="000000"/>
                </a:contourClr>
              </a:sp3d>
            </c:spPr>
          </c:dPt>
          <c:dLbls>
            <c:dLbl>
              <c:idx val="0"/>
              <c:layout>
                <c:manualLayout>
                  <c:x val="5.4275534488086613E-2"/>
                  <c:y val="1.0820651584400281E-3"/>
                </c:manualLayout>
              </c:layout>
              <c:showVal val="1"/>
            </c:dLbl>
            <c:dLbl>
              <c:idx val="1"/>
              <c:layout>
                <c:manualLayout>
                  <c:x val="5.6160585626019041E-2"/>
                  <c:y val="0"/>
                </c:manualLayout>
              </c:layout>
              <c:showVal val="1"/>
            </c:dLbl>
            <c:dLbl>
              <c:idx val="2"/>
              <c:layout>
                <c:manualLayout>
                  <c:x val="5.6750061473485353E-2"/>
                  <c:y val="0"/>
                </c:manualLayout>
              </c:layout>
              <c:showVal val="1"/>
            </c:dLbl>
            <c:dLbl>
              <c:idx val="3"/>
              <c:layout>
                <c:manualLayout>
                  <c:x val="4.4486539547423473E-2"/>
                  <c:y val="0"/>
                </c:manualLayout>
              </c:layout>
              <c:showVal val="1"/>
            </c:dLbl>
            <c:dLbl>
              <c:idx val="4"/>
              <c:layout>
                <c:manualLayout>
                  <c:x val="8.1659390518158265E-2"/>
                  <c:y val="-3.4128681565297273E-17"/>
                </c:manualLayout>
              </c:layout>
              <c:showVal val="1"/>
            </c:dLbl>
            <c:numFmt formatCode="#,##0.0_);[Red]\(#,##0.0\)" sourceLinked="0"/>
            <c:txPr>
              <a:bodyPr/>
              <a:lstStyle/>
              <a:p>
                <a:pPr>
                  <a:defRPr sz="800">
                    <a:latin typeface="Times New Roman" pitchFamily="18" charset="0"/>
                    <a:cs typeface="Times New Roman" pitchFamily="18" charset="0"/>
                  </a:defRPr>
                </a:pPr>
                <a:endParaRPr lang="zh-TW"/>
              </a:p>
            </c:txPr>
            <c:showVal val="1"/>
          </c:dLbls>
          <c:cat>
            <c:strRef>
              <c:f>住院明細─案件!$L$27:$P$27</c:f>
              <c:strCache>
                <c:ptCount val="5"/>
                <c:pt idx="0">
                  <c:v>Total</c:v>
                </c:pt>
                <c:pt idx="1">
                  <c:v>Academic Medical Centers</c:v>
                </c:pt>
                <c:pt idx="2">
                  <c:v>Metropolitan Hospitals</c:v>
                </c:pt>
                <c:pt idx="3">
                  <c:v>Local Community Hospitals</c:v>
                </c:pt>
                <c:pt idx="4">
                  <c:v>Physician Clinics </c:v>
                </c:pt>
              </c:strCache>
            </c:strRef>
          </c:cat>
          <c:val>
            <c:numRef>
              <c:f>(住院明細─案件!$L$33,住院明細─案件!$M$33,住院明細─案件!$N$33,住院明細─案件!$O$33,住院明細─案件!$P$38)</c:f>
              <c:numCache>
                <c:formatCode>#,##0.0</c:formatCode>
                <c:ptCount val="5"/>
                <c:pt idx="0">
                  <c:v>24.226245270813273</c:v>
                </c:pt>
                <c:pt idx="1">
                  <c:v>21.299114252660086</c:v>
                </c:pt>
                <c:pt idx="2" formatCode="0.0_ ">
                  <c:v>25.476910204205467</c:v>
                </c:pt>
                <c:pt idx="3" formatCode="0.0_ ">
                  <c:v>29.531327430667126</c:v>
                </c:pt>
                <c:pt idx="4" formatCode="0.0_ ">
                  <c:v>64.446436702641819</c:v>
                </c:pt>
              </c:numCache>
            </c:numRef>
          </c:val>
        </c:ser>
        <c:ser>
          <c:idx val="1"/>
          <c:order val="1"/>
          <c:spPr>
            <a:solidFill>
              <a:srgbClr val="C0504D">
                <a:lumMod val="40000"/>
                <a:lumOff val="60000"/>
                <a:alpha val="93000"/>
              </a:srgbClr>
            </a:solidFill>
            <a:ln>
              <a:noFill/>
            </a:ln>
            <a:scene3d>
              <a:camera prst="orthographicFront"/>
              <a:lightRig rig="threePt" dir="t"/>
            </a:scene3d>
            <a:sp3d>
              <a:bevelT w="0" h="0"/>
              <a:contourClr>
                <a:srgbClr val="000000"/>
              </a:contourClr>
            </a:sp3d>
          </c:spPr>
          <c:dPt>
            <c:idx val="0"/>
            <c:spPr>
              <a:solidFill>
                <a:srgbClr val="B9D7FF">
                  <a:alpha val="93000"/>
                </a:srgbClr>
              </a:solidFill>
              <a:ln>
                <a:noFill/>
              </a:ln>
              <a:scene3d>
                <a:camera prst="orthographicFront"/>
                <a:lightRig rig="threePt" dir="t"/>
              </a:scene3d>
              <a:sp3d>
                <a:bevelT w="0" h="0"/>
                <a:contourClr>
                  <a:srgbClr val="000000"/>
                </a:contourClr>
              </a:sp3d>
            </c:spPr>
          </c:dPt>
          <c:dPt>
            <c:idx val="1"/>
            <c:spPr>
              <a:solidFill>
                <a:srgbClr val="B9D7FF"/>
              </a:solidFill>
              <a:ln>
                <a:noFill/>
              </a:ln>
              <a:scene3d>
                <a:camera prst="orthographicFront"/>
                <a:lightRig rig="threePt" dir="t"/>
              </a:scene3d>
              <a:sp3d>
                <a:bevelT w="0" h="0"/>
                <a:contourClr>
                  <a:srgbClr val="000000"/>
                </a:contourClr>
              </a:sp3d>
            </c:spPr>
          </c:dPt>
          <c:dPt>
            <c:idx val="2"/>
            <c:spPr>
              <a:solidFill>
                <a:srgbClr val="B9D7FF"/>
              </a:solidFill>
              <a:ln>
                <a:noFill/>
              </a:ln>
              <a:scene3d>
                <a:camera prst="orthographicFront"/>
                <a:lightRig rig="threePt" dir="t"/>
              </a:scene3d>
              <a:sp3d>
                <a:bevelT w="0" h="0"/>
                <a:contourClr>
                  <a:srgbClr val="000000"/>
                </a:contourClr>
              </a:sp3d>
            </c:spPr>
          </c:dPt>
          <c:dPt>
            <c:idx val="3"/>
            <c:spPr>
              <a:solidFill>
                <a:srgbClr val="FFFFAB">
                  <a:alpha val="93000"/>
                </a:srgbClr>
              </a:solidFill>
              <a:ln>
                <a:noFill/>
              </a:ln>
              <a:scene3d>
                <a:camera prst="orthographicFront"/>
                <a:lightRig rig="threePt" dir="t"/>
              </a:scene3d>
              <a:sp3d>
                <a:bevelT w="0" h="0"/>
                <a:contourClr>
                  <a:srgbClr val="000000"/>
                </a:contourClr>
              </a:sp3d>
            </c:spPr>
          </c:dPt>
          <c:dPt>
            <c:idx val="4"/>
            <c:spPr>
              <a:solidFill>
                <a:srgbClr val="FFFFAB">
                  <a:alpha val="93000"/>
                </a:srgbClr>
              </a:solidFill>
              <a:ln>
                <a:noFill/>
              </a:ln>
              <a:scene3d>
                <a:camera prst="orthographicFront"/>
                <a:lightRig rig="threePt" dir="t"/>
              </a:scene3d>
              <a:sp3d>
                <a:bevelT w="0" h="0"/>
                <a:contourClr>
                  <a:srgbClr val="000000"/>
                </a:contourClr>
              </a:sp3d>
            </c:spPr>
          </c:dPt>
          <c:dLbls>
            <c:dLbl>
              <c:idx val="0"/>
              <c:layout>
                <c:manualLayout>
                  <c:x val="7.2595281306717203E-3"/>
                  <c:y val="0"/>
                </c:manualLayout>
              </c:layout>
              <c:showVal val="1"/>
            </c:dLbl>
            <c:dLbl>
              <c:idx val="1"/>
              <c:layout>
                <c:manualLayout>
                  <c:x val="4.8396854204477034E-3"/>
                  <c:y val="7.8179622804054555E-17"/>
                </c:manualLayout>
              </c:layout>
              <c:showVal val="1"/>
            </c:dLbl>
            <c:dLbl>
              <c:idx val="2"/>
              <c:layout>
                <c:manualLayout>
                  <c:x val="7.2595281306717515E-3"/>
                  <c:y val="0"/>
                </c:manualLayout>
              </c:layout>
              <c:showVal val="1"/>
            </c:dLbl>
            <c:dLbl>
              <c:idx val="3"/>
              <c:layout>
                <c:manualLayout>
                  <c:x val="7.2595281306717515E-3"/>
                  <c:y val="0"/>
                </c:manualLayout>
              </c:layout>
              <c:showVal val="1"/>
            </c:dLbl>
            <c:numFmt formatCode="#,##0.0_);[Red]\(#,##0.0\)" sourceLinked="0"/>
            <c:txPr>
              <a:bodyPr/>
              <a:lstStyle/>
              <a:p>
                <a:pPr>
                  <a:defRPr sz="800">
                    <a:latin typeface="Times New Roman" pitchFamily="18" charset="0"/>
                    <a:cs typeface="Times New Roman" pitchFamily="18" charset="0"/>
                  </a:defRPr>
                </a:pPr>
                <a:endParaRPr lang="zh-TW"/>
              </a:p>
            </c:txPr>
            <c:showVal val="1"/>
          </c:dLbls>
          <c:cat>
            <c:strRef>
              <c:f>住院明細─案件!$L$27:$P$27</c:f>
              <c:strCache>
                <c:ptCount val="5"/>
                <c:pt idx="0">
                  <c:v>Total</c:v>
                </c:pt>
                <c:pt idx="1">
                  <c:v>Academic Medical Centers</c:v>
                </c:pt>
                <c:pt idx="2">
                  <c:v>Metropolitan Hospitals</c:v>
                </c:pt>
                <c:pt idx="3">
                  <c:v>Local Community Hospitals</c:v>
                </c:pt>
                <c:pt idx="4">
                  <c:v>Physician Clinics </c:v>
                </c:pt>
              </c:strCache>
            </c:strRef>
          </c:cat>
          <c:val>
            <c:numRef>
              <c:f>(住院明細─案件!$L$44,住院明細─案件!$M$44,住院明細─案件!$N$44,住院明細─案件!$O$37,住院明細─案件!$P$37)</c:f>
              <c:numCache>
                <c:formatCode>#,##0.0</c:formatCode>
                <c:ptCount val="5"/>
                <c:pt idx="0">
                  <c:v>14.038410258108936</c:v>
                </c:pt>
                <c:pt idx="1">
                  <c:v>16.52629721359822</c:v>
                </c:pt>
                <c:pt idx="2" formatCode="0.0_ ">
                  <c:v>13.719525942008328</c:v>
                </c:pt>
                <c:pt idx="3" formatCode="0.0_ ">
                  <c:v>22.374948384880703</c:v>
                </c:pt>
                <c:pt idx="4" formatCode="0.0_ ">
                  <c:v>14.649914351782369</c:v>
                </c:pt>
              </c:numCache>
            </c:numRef>
          </c:val>
        </c:ser>
        <c:ser>
          <c:idx val="2"/>
          <c:order val="2"/>
          <c:spPr>
            <a:solidFill>
              <a:schemeClr val="accent6">
                <a:lumMod val="40000"/>
                <a:lumOff val="60000"/>
              </a:schemeClr>
            </a:solidFill>
            <a:ln>
              <a:noFill/>
            </a:ln>
            <a:scene3d>
              <a:camera prst="orthographicFront"/>
              <a:lightRig rig="threePt" dir="t"/>
            </a:scene3d>
            <a:sp3d>
              <a:bevelT w="0" h="6350"/>
              <a:contourClr>
                <a:srgbClr val="000000"/>
              </a:contourClr>
            </a:sp3d>
          </c:spPr>
          <c:dPt>
            <c:idx val="3"/>
            <c:spPr>
              <a:solidFill>
                <a:srgbClr val="B9D7FF"/>
              </a:solidFill>
              <a:ln>
                <a:noFill/>
              </a:ln>
              <a:scene3d>
                <a:camera prst="orthographicFront"/>
                <a:lightRig rig="threePt" dir="t"/>
              </a:scene3d>
              <a:sp3d>
                <a:bevelT w="0" h="6350"/>
                <a:contourClr>
                  <a:srgbClr val="000000"/>
                </a:contourClr>
              </a:sp3d>
            </c:spPr>
          </c:dPt>
          <c:dPt>
            <c:idx val="4"/>
            <c:spPr>
              <a:solidFill>
                <a:srgbClr val="C799DB"/>
              </a:solidFill>
              <a:ln>
                <a:noFill/>
              </a:ln>
              <a:scene3d>
                <a:camera prst="orthographicFront"/>
                <a:lightRig rig="threePt" dir="t"/>
              </a:scene3d>
              <a:sp3d>
                <a:bevelT w="0" h="6350"/>
                <a:contourClr>
                  <a:srgbClr val="000000"/>
                </a:contourClr>
              </a:sp3d>
            </c:spPr>
          </c:dPt>
          <c:dLbls>
            <c:dLbl>
              <c:idx val="0"/>
              <c:layout>
                <c:manualLayout>
                  <c:x val="7.2595281306717515E-3"/>
                  <c:y val="0"/>
                </c:manualLayout>
              </c:layout>
              <c:showVal val="1"/>
            </c:dLbl>
            <c:dLbl>
              <c:idx val="1"/>
              <c:layout>
                <c:manualLayout>
                  <c:x val="7.2595281306717515E-3"/>
                  <c:y val="0"/>
                </c:manualLayout>
              </c:layout>
              <c:showVal val="1"/>
            </c:dLbl>
            <c:dLbl>
              <c:idx val="2"/>
              <c:layout>
                <c:manualLayout>
                  <c:x val="9.6793708408953426E-3"/>
                  <c:y val="4.2643923240939024E-3"/>
                </c:manualLayout>
              </c:layout>
              <c:showVal val="1"/>
            </c:dLbl>
            <c:dLbl>
              <c:idx val="3"/>
              <c:layout>
                <c:manualLayout>
                  <c:x val="4.8396854204477034E-3"/>
                  <c:y val="0"/>
                </c:manualLayout>
              </c:layout>
              <c:showVal val="1"/>
            </c:dLbl>
            <c:numFmt formatCode="#,##0.0_);[Red]\(#,##0.0\)" sourceLinked="0"/>
            <c:txPr>
              <a:bodyPr/>
              <a:lstStyle/>
              <a:p>
                <a:pPr>
                  <a:defRPr sz="800">
                    <a:latin typeface="Times New Roman" pitchFamily="18" charset="0"/>
                    <a:cs typeface="Times New Roman" pitchFamily="18" charset="0"/>
                  </a:defRPr>
                </a:pPr>
                <a:endParaRPr lang="zh-TW"/>
              </a:p>
            </c:txPr>
            <c:showVal val="1"/>
          </c:dLbls>
          <c:cat>
            <c:strRef>
              <c:f>住院明細─案件!$L$27:$P$27</c:f>
              <c:strCache>
                <c:ptCount val="5"/>
                <c:pt idx="0">
                  <c:v>Total</c:v>
                </c:pt>
                <c:pt idx="1">
                  <c:v>Academic Medical Centers</c:v>
                </c:pt>
                <c:pt idx="2">
                  <c:v>Metropolitan Hospitals</c:v>
                </c:pt>
                <c:pt idx="3">
                  <c:v>Local Community Hospitals</c:v>
                </c:pt>
                <c:pt idx="4">
                  <c:v>Physician Clinics </c:v>
                </c:pt>
              </c:strCache>
            </c:strRef>
          </c:cat>
          <c:val>
            <c:numRef>
              <c:f>(住院明細─案件!$L$38,住院明細─案件!$M$38,住院明細─案件!$N$38,住院明細─案件!$O$44,住院明細─案件!$P$42)</c:f>
              <c:numCache>
                <c:formatCode>#,##0.0</c:formatCode>
                <c:ptCount val="5"/>
                <c:pt idx="0">
                  <c:v>11.453670356892626</c:v>
                </c:pt>
                <c:pt idx="1">
                  <c:v>12.190922072200683</c:v>
                </c:pt>
                <c:pt idx="2" formatCode="0.0_ ">
                  <c:v>11.065089704651308</c:v>
                </c:pt>
                <c:pt idx="3" formatCode="0.0_ ">
                  <c:v>9.0895977107749708</c:v>
                </c:pt>
                <c:pt idx="4" formatCode="0.0_ ">
                  <c:v>5.3382723549605799</c:v>
                </c:pt>
              </c:numCache>
            </c:numRef>
          </c:val>
        </c:ser>
        <c:ser>
          <c:idx val="3"/>
          <c:order val="3"/>
          <c:spPr>
            <a:solidFill>
              <a:srgbClr val="FFFFAB"/>
            </a:solidFill>
            <a:ln>
              <a:noFill/>
            </a:ln>
            <a:scene3d>
              <a:camera prst="orthographicFront"/>
              <a:lightRig rig="threePt" dir="t"/>
            </a:scene3d>
            <a:sp3d>
              <a:bevelT w="0" h="0"/>
              <a:contourClr>
                <a:srgbClr val="000000"/>
              </a:contourClr>
            </a:sp3d>
          </c:spPr>
          <c:dPt>
            <c:idx val="1"/>
            <c:spPr>
              <a:solidFill>
                <a:srgbClr val="919CEB"/>
              </a:solidFill>
              <a:ln>
                <a:noFill/>
              </a:ln>
              <a:scene3d>
                <a:camera prst="orthographicFront"/>
                <a:lightRig rig="threePt" dir="t"/>
              </a:scene3d>
              <a:sp3d>
                <a:bevelT w="0" h="0"/>
                <a:contourClr>
                  <a:srgbClr val="000000"/>
                </a:contourClr>
              </a:sp3d>
            </c:spPr>
          </c:dPt>
          <c:dPt>
            <c:idx val="2"/>
            <c:spPr>
              <a:solidFill>
                <a:srgbClr val="E0A9A8"/>
              </a:solidFill>
              <a:ln>
                <a:noFill/>
              </a:ln>
              <a:scene3d>
                <a:camera prst="orthographicFront"/>
                <a:lightRig rig="threePt" dir="t"/>
              </a:scene3d>
              <a:sp3d>
                <a:bevelT w="0" h="0"/>
                <a:contourClr>
                  <a:srgbClr val="000000"/>
                </a:contourClr>
              </a:sp3d>
            </c:spPr>
          </c:dPt>
          <c:dLbls>
            <c:dLbl>
              <c:idx val="0"/>
              <c:layout>
                <c:manualLayout>
                  <c:x val="9.6793708408953426E-3"/>
                  <c:y val="0"/>
                </c:manualLayout>
              </c:layout>
              <c:showVal val="1"/>
            </c:dLbl>
            <c:dLbl>
              <c:idx val="1"/>
              <c:layout>
                <c:manualLayout>
                  <c:x val="7.2595281306717515E-3"/>
                  <c:y val="0"/>
                </c:manualLayout>
              </c:layout>
              <c:showVal val="1"/>
            </c:dLbl>
            <c:dLbl>
              <c:idx val="2"/>
              <c:layout>
                <c:manualLayout>
                  <c:x val="9.6793708408953426E-3"/>
                  <c:y val="0"/>
                </c:manualLayout>
              </c:layout>
              <c:showVal val="1"/>
            </c:dLbl>
            <c:dLbl>
              <c:idx val="3"/>
              <c:layout>
                <c:manualLayout>
                  <c:x val="7.2595281306717515E-3"/>
                  <c:y val="0"/>
                </c:manualLayout>
              </c:layout>
              <c:showVal val="1"/>
            </c:dLbl>
            <c:numFmt formatCode="#,##0.0_);[Red]\(#,##0.0\)" sourceLinked="0"/>
            <c:txPr>
              <a:bodyPr/>
              <a:lstStyle/>
              <a:p>
                <a:pPr>
                  <a:defRPr sz="800">
                    <a:latin typeface="Times New Roman" pitchFamily="18" charset="0"/>
                    <a:cs typeface="Times New Roman" pitchFamily="18" charset="0"/>
                  </a:defRPr>
                </a:pPr>
                <a:endParaRPr lang="zh-TW"/>
              </a:p>
            </c:txPr>
            <c:showVal val="1"/>
          </c:dLbls>
          <c:cat>
            <c:strRef>
              <c:f>住院明細─案件!$L$27:$P$27</c:f>
              <c:strCache>
                <c:ptCount val="5"/>
                <c:pt idx="0">
                  <c:v>Total</c:v>
                </c:pt>
                <c:pt idx="1">
                  <c:v>Academic Medical Centers</c:v>
                </c:pt>
                <c:pt idx="2">
                  <c:v>Metropolitan Hospitals</c:v>
                </c:pt>
                <c:pt idx="3">
                  <c:v>Local Community Hospitals</c:v>
                </c:pt>
                <c:pt idx="4">
                  <c:v>Physician Clinics </c:v>
                </c:pt>
              </c:strCache>
            </c:strRef>
          </c:cat>
          <c:val>
            <c:numRef>
              <c:f>(住院明細─案件!$L$37,住院明細─案件!$M$43,住院明細─案件!$N$35)</c:f>
              <c:numCache>
                <c:formatCode>#,##0.0</c:formatCode>
                <c:ptCount val="3"/>
                <c:pt idx="0">
                  <c:v>10.466211904968819</c:v>
                </c:pt>
                <c:pt idx="1">
                  <c:v>10.194685933178533</c:v>
                </c:pt>
                <c:pt idx="2" formatCode="0.0_ ">
                  <c:v>8.9041180734170613</c:v>
                </c:pt>
              </c:numCache>
            </c:numRef>
          </c:val>
        </c:ser>
        <c:ser>
          <c:idx val="5"/>
          <c:order val="4"/>
          <c:dPt>
            <c:idx val="0"/>
            <c:spPr>
              <a:solidFill>
                <a:srgbClr val="E0A9A8"/>
              </a:solidFill>
            </c:spPr>
          </c:dPt>
          <c:dPt>
            <c:idx val="1"/>
            <c:spPr>
              <a:solidFill>
                <a:srgbClr val="E0A9A8"/>
              </a:solidFill>
            </c:spPr>
          </c:dPt>
          <c:dPt>
            <c:idx val="2"/>
            <c:spPr>
              <a:solidFill>
                <a:srgbClr val="FFFFAB"/>
              </a:solidFill>
            </c:spPr>
          </c:dPt>
          <c:dPt>
            <c:idx val="3"/>
            <c:spPr>
              <a:solidFill>
                <a:schemeClr val="accent6">
                  <a:lumMod val="40000"/>
                  <a:lumOff val="60000"/>
                </a:schemeClr>
              </a:solidFill>
            </c:spPr>
          </c:dPt>
          <c:dLbls>
            <c:txPr>
              <a:bodyPr/>
              <a:lstStyle/>
              <a:p>
                <a:pPr>
                  <a:defRPr sz="800">
                    <a:latin typeface="Times New Roman" pitchFamily="18" charset="0"/>
                    <a:cs typeface="Times New Roman" pitchFamily="18" charset="0"/>
                  </a:defRPr>
                </a:pPr>
                <a:endParaRPr lang="zh-TW"/>
              </a:p>
            </c:txPr>
            <c:showVal val="1"/>
          </c:dLbls>
          <c:cat>
            <c:strRef>
              <c:f>住院明細─案件!$L$27:$P$27</c:f>
              <c:strCache>
                <c:ptCount val="5"/>
                <c:pt idx="0">
                  <c:v>Total</c:v>
                </c:pt>
                <c:pt idx="1">
                  <c:v>Academic Medical Centers</c:v>
                </c:pt>
                <c:pt idx="2">
                  <c:v>Metropolitan Hospitals</c:v>
                </c:pt>
                <c:pt idx="3">
                  <c:v>Local Community Hospitals</c:v>
                </c:pt>
                <c:pt idx="4">
                  <c:v>Physician Clinics </c:v>
                </c:pt>
              </c:strCache>
            </c:strRef>
          </c:cat>
          <c:val>
            <c:numRef>
              <c:f>(住院明細─案件!$L$35,住院明細─案件!$M$35,住院明細─案件!$N$37,住院明細─案件!$O$38)</c:f>
              <c:numCache>
                <c:formatCode>#,##0.0</c:formatCode>
                <c:ptCount val="4"/>
                <c:pt idx="0">
                  <c:v>8.5689521946493965</c:v>
                </c:pt>
                <c:pt idx="1">
                  <c:v>9.2579277803092719</c:v>
                </c:pt>
                <c:pt idx="2" formatCode="0.0_ ">
                  <c:v>8.7195961663576735</c:v>
                </c:pt>
                <c:pt idx="3" formatCode="0.0_ ">
                  <c:v>8.1834909405223328</c:v>
                </c:pt>
              </c:numCache>
            </c:numRef>
          </c:val>
        </c:ser>
        <c:ser>
          <c:idx val="6"/>
          <c:order val="5"/>
          <c:dPt>
            <c:idx val="0"/>
            <c:spPr>
              <a:solidFill>
                <a:srgbClr val="919CEB"/>
              </a:solidFill>
            </c:spPr>
          </c:dPt>
          <c:dPt>
            <c:idx val="1"/>
            <c:spPr>
              <a:solidFill>
                <a:srgbClr val="FFFFAB"/>
              </a:solidFill>
            </c:spPr>
          </c:dPt>
          <c:dPt>
            <c:idx val="2"/>
            <c:spPr>
              <a:solidFill>
                <a:srgbClr val="919CEB"/>
              </a:solidFill>
            </c:spPr>
          </c:dPt>
          <c:dLbls>
            <c:txPr>
              <a:bodyPr/>
              <a:lstStyle/>
              <a:p>
                <a:pPr>
                  <a:defRPr sz="800">
                    <a:latin typeface="Times New Roman" pitchFamily="18" charset="0"/>
                    <a:cs typeface="Times New Roman" pitchFamily="18" charset="0"/>
                  </a:defRPr>
                </a:pPr>
                <a:endParaRPr lang="zh-TW"/>
              </a:p>
            </c:txPr>
            <c:showVal val="1"/>
          </c:dLbls>
          <c:cat>
            <c:strRef>
              <c:f>住院明細─案件!$L$27:$P$27</c:f>
              <c:strCache>
                <c:ptCount val="5"/>
                <c:pt idx="0">
                  <c:v>Total</c:v>
                </c:pt>
                <c:pt idx="1">
                  <c:v>Academic Medical Centers</c:v>
                </c:pt>
                <c:pt idx="2">
                  <c:v>Metropolitan Hospitals</c:v>
                </c:pt>
                <c:pt idx="3">
                  <c:v>Local Community Hospitals</c:v>
                </c:pt>
                <c:pt idx="4">
                  <c:v>Physician Clinics </c:v>
                </c:pt>
              </c:strCache>
            </c:strRef>
          </c:cat>
          <c:val>
            <c:numRef>
              <c:f>(住院明細─案件!$L$43,住院明細─案件!$M$37,住院明細─案件!$N$43,住院明細─案件!$O$32)</c:f>
              <c:numCache>
                <c:formatCode>#,##0.0</c:formatCode>
                <c:ptCount val="4"/>
                <c:pt idx="0">
                  <c:v>8.0718948423184127</c:v>
                </c:pt>
                <c:pt idx="1">
                  <c:v>7.3224656032358908</c:v>
                </c:pt>
                <c:pt idx="2" formatCode="0.0_ ">
                  <c:v>7.7425448060853697</c:v>
                </c:pt>
                <c:pt idx="3" formatCode="0.0_ ">
                  <c:v>6.4123939682411724</c:v>
                </c:pt>
              </c:numCache>
            </c:numRef>
          </c:val>
        </c:ser>
        <c:ser>
          <c:idx val="4"/>
          <c:order val="6"/>
          <c:spPr>
            <a:solidFill>
              <a:srgbClr val="9BBB59">
                <a:lumMod val="40000"/>
                <a:lumOff val="60000"/>
              </a:srgbClr>
            </a:solidFill>
          </c:spPr>
          <c:dLbls>
            <c:dLbl>
              <c:idx val="0"/>
              <c:layout>
                <c:manualLayout>
                  <c:x val="3.2168655965538979E-2"/>
                  <c:y val="0"/>
                </c:manualLayout>
              </c:layout>
              <c:showVal val="1"/>
            </c:dLbl>
            <c:dLbl>
              <c:idx val="1"/>
              <c:layout>
                <c:manualLayout>
                  <c:x val="2.9694323824784881E-2"/>
                  <c:y val="0"/>
                </c:manualLayout>
              </c:layout>
              <c:showVal val="1"/>
            </c:dLbl>
            <c:dLbl>
              <c:idx val="2"/>
              <c:layout>
                <c:manualLayout>
                  <c:x val="3.2168850810183426E-2"/>
                  <c:y val="0"/>
                </c:manualLayout>
              </c:layout>
              <c:showVal val="1"/>
            </c:dLbl>
            <c:dLbl>
              <c:idx val="3"/>
              <c:layout>
                <c:manualLayout>
                  <c:x val="3.1018715195105011E-2"/>
                  <c:y val="0"/>
                </c:manualLayout>
              </c:layout>
              <c:showVal val="1"/>
            </c:dLbl>
            <c:dLbl>
              <c:idx val="4"/>
              <c:layout>
                <c:manualLayout>
                  <c:x val="2.7219796839386048E-2"/>
                  <c:y val="-3.4128681565297273E-17"/>
                </c:manualLayout>
              </c:layout>
              <c:showVal val="1"/>
            </c:dLbl>
            <c:numFmt formatCode="#,##0.0_);\(#,##0.0\)" sourceLinked="0"/>
            <c:txPr>
              <a:bodyPr/>
              <a:lstStyle/>
              <a:p>
                <a:pPr>
                  <a:defRPr sz="800">
                    <a:latin typeface="Times New Roman" pitchFamily="18" charset="0"/>
                    <a:cs typeface="Times New Roman" pitchFamily="18" charset="0"/>
                  </a:defRPr>
                </a:pPr>
                <a:endParaRPr lang="zh-TW"/>
              </a:p>
            </c:txPr>
            <c:showVal val="1"/>
          </c:dLbls>
          <c:cat>
            <c:strRef>
              <c:f>住院明細─案件!$L$27:$P$27</c:f>
              <c:strCache>
                <c:ptCount val="5"/>
                <c:pt idx="0">
                  <c:v>Total</c:v>
                </c:pt>
                <c:pt idx="1">
                  <c:v>Academic Medical Centers</c:v>
                </c:pt>
                <c:pt idx="2">
                  <c:v>Metropolitan Hospitals</c:v>
                </c:pt>
                <c:pt idx="3">
                  <c:v>Local Community Hospitals</c:v>
                </c:pt>
                <c:pt idx="4">
                  <c:v>Physician Clinics </c:v>
                </c:pt>
              </c:strCache>
            </c:strRef>
          </c:cat>
          <c:val>
            <c:numRef>
              <c:f>住院明細─案件!$L$48:$P$48</c:f>
              <c:numCache>
                <c:formatCode>#,##0.0_ </c:formatCode>
                <c:ptCount val="5"/>
                <c:pt idx="0">
                  <c:v>23.174615172248547</c:v>
                </c:pt>
                <c:pt idx="1">
                  <c:v>23.208587144817287</c:v>
                </c:pt>
                <c:pt idx="2" formatCode="0.0_ ">
                  <c:v>24.372215103274801</c:v>
                </c:pt>
                <c:pt idx="3" formatCode="0.0_ ">
                  <c:v>24.408241564913691</c:v>
                </c:pt>
                <c:pt idx="4" formatCode="0.0_ ">
                  <c:v>15.565376590615196</c:v>
                </c:pt>
              </c:numCache>
            </c:numRef>
          </c:val>
        </c:ser>
        <c:shape val="box"/>
        <c:axId val="276245888"/>
        <c:axId val="276255872"/>
        <c:axId val="0"/>
      </c:bar3DChart>
      <c:catAx>
        <c:axId val="276245888"/>
        <c:scaling>
          <c:orientation val="minMax"/>
        </c:scaling>
        <c:delete val="1"/>
        <c:axPos val="l"/>
        <c:numFmt formatCode="General" sourceLinked="1"/>
        <c:majorTickMark val="none"/>
        <c:tickLblPos val="none"/>
        <c:crossAx val="276255872"/>
        <c:crosses val="autoZero"/>
        <c:auto val="1"/>
        <c:lblAlgn val="ctr"/>
        <c:lblOffset val="100"/>
      </c:catAx>
      <c:valAx>
        <c:axId val="276255872"/>
        <c:scaling>
          <c:orientation val="minMax"/>
        </c:scaling>
        <c:axPos val="b"/>
        <c:majorGridlines>
          <c:spPr>
            <a:ln>
              <a:solidFill>
                <a:srgbClr val="8064A2">
                  <a:lumMod val="40000"/>
                  <a:lumOff val="60000"/>
                  <a:alpha val="0"/>
                </a:srgbClr>
              </a:solidFill>
            </a:ln>
          </c:spPr>
        </c:majorGridlines>
        <c:numFmt formatCode="#,##0;[Red]\-#,##0" sourceLinked="0"/>
        <c:majorTickMark val="none"/>
        <c:tickLblPos val="nextTo"/>
        <c:txPr>
          <a:bodyPr/>
          <a:lstStyle/>
          <a:p>
            <a:pPr>
              <a:defRPr sz="800">
                <a:latin typeface="Times New Roman" pitchFamily="18" charset="0"/>
                <a:cs typeface="Times New Roman" pitchFamily="18" charset="0"/>
              </a:defRPr>
            </a:pPr>
            <a:endParaRPr lang="zh-TW"/>
          </a:p>
        </c:txPr>
        <c:crossAx val="276245888"/>
        <c:crosses val="autoZero"/>
        <c:crossBetween val="between"/>
      </c:valAx>
    </c:plotArea>
    <c:plotVisOnly val="1"/>
    <c:dispBlanksAs val="gap"/>
  </c:chart>
  <c:spPr>
    <a:noFill/>
    <a:ln>
      <a:noFill/>
    </a:ln>
  </c:spPr>
  <c:externalData r:id="rId1"/>
  <c:userShapes r:id="rId2"/>
</c:chartSpace>
</file>

<file path=word/charts/chart20.xml><?xml version="1.0" encoding="utf-8"?>
<c:chartSpace xmlns:c="http://schemas.openxmlformats.org/drawingml/2006/chart" xmlns:a="http://schemas.openxmlformats.org/drawingml/2006/main" xmlns:r="http://schemas.openxmlformats.org/officeDocument/2006/relationships">
  <c:date1904 val="1"/>
  <c:lang val="zh-TW"/>
  <c:chart>
    <c:view3D>
      <c:rAngAx val="1"/>
    </c:view3D>
    <c:floor>
      <c:spPr>
        <a:solidFill>
          <a:sysClr val="window" lastClr="FFFFFF">
            <a:lumMod val="85000"/>
            <a:alpha val="50000"/>
          </a:sysClr>
        </a:solidFill>
      </c:spPr>
    </c:floor>
    <c:sideWall>
      <c:spPr>
        <a:gradFill>
          <a:gsLst>
            <a:gs pos="0">
              <a:sysClr val="window" lastClr="FFFFFF"/>
            </a:gs>
            <a:gs pos="33000">
              <a:sysClr val="window" lastClr="FFFFFF"/>
            </a:gs>
            <a:gs pos="67000">
              <a:sysClr val="window" lastClr="FFFFFF"/>
            </a:gs>
            <a:gs pos="100000">
              <a:sysClr val="window" lastClr="FFFFFF"/>
            </a:gs>
          </a:gsLst>
          <a:lin ang="2700000" scaled="0"/>
        </a:gradFill>
        <a:ln>
          <a:noFill/>
        </a:ln>
      </c:spPr>
    </c:sideWall>
    <c:backWall>
      <c:spPr>
        <a:gradFill>
          <a:gsLst>
            <a:gs pos="0">
              <a:sysClr val="window" lastClr="FFFFFF"/>
            </a:gs>
            <a:gs pos="33000">
              <a:sysClr val="window" lastClr="FFFFFF"/>
            </a:gs>
            <a:gs pos="67000">
              <a:sysClr val="window" lastClr="FFFFFF"/>
            </a:gs>
            <a:gs pos="100000">
              <a:sysClr val="window" lastClr="FFFFFF"/>
            </a:gs>
          </a:gsLst>
          <a:lin ang="2700000" scaled="0"/>
        </a:gradFill>
        <a:ln>
          <a:noFill/>
        </a:ln>
      </c:spPr>
    </c:backWall>
    <c:plotArea>
      <c:layout>
        <c:manualLayout>
          <c:layoutTarget val="inner"/>
          <c:xMode val="edge"/>
          <c:yMode val="edge"/>
          <c:x val="6.9776841399278713E-2"/>
          <c:y val="0.20296021820801813"/>
          <c:w val="0.67847640612684978"/>
          <c:h val="0.67123055964952516"/>
        </c:manualLayout>
      </c:layout>
      <c:bar3DChart>
        <c:barDir val="col"/>
        <c:grouping val="clustered"/>
        <c:ser>
          <c:idx val="1"/>
          <c:order val="0"/>
          <c:tx>
            <c:strRef>
              <c:f>住院明細_性別!$I$9</c:f>
              <c:strCache>
                <c:ptCount val="1"/>
                <c:pt idx="0">
                  <c:v>Ward Fees</c:v>
                </c:pt>
              </c:strCache>
            </c:strRef>
          </c:tx>
          <c:spPr>
            <a:solidFill>
              <a:schemeClr val="accent6">
                <a:lumMod val="40000"/>
                <a:lumOff val="60000"/>
              </a:schemeClr>
            </a:solidFill>
            <a:ln>
              <a:noFill/>
            </a:ln>
            <a:scene3d>
              <a:camera prst="orthographicFront"/>
              <a:lightRig rig="threePt" dir="t"/>
            </a:scene3d>
            <a:sp3d>
              <a:bevelT w="0" h="0"/>
              <a:bevelB w="0" h="0"/>
            </a:sp3d>
          </c:spPr>
          <c:dLbls>
            <c:dLbl>
              <c:idx val="0"/>
              <c:layout>
                <c:manualLayout>
                  <c:x val="6.5407661629392289E-3"/>
                  <c:y val="0"/>
                </c:manualLayout>
              </c:layout>
              <c:showVal val="1"/>
            </c:dLbl>
            <c:dLbl>
              <c:idx val="1"/>
              <c:layout>
                <c:manualLayout>
                  <c:x val="1.2779554858922603E-2"/>
                  <c:y val="6.5011069317555938E-17"/>
                </c:manualLayout>
              </c:layout>
              <c:showVal val="1"/>
            </c:dLbl>
            <c:dLbl>
              <c:idx val="3"/>
              <c:layout>
                <c:manualLayout>
                  <c:x val="6.4804193656015589E-3"/>
                  <c:y val="0"/>
                </c:manualLayout>
              </c:layout>
              <c:showVal val="1"/>
            </c:dLbl>
            <c:dLbl>
              <c:idx val="4"/>
              <c:layout>
                <c:manualLayout>
                  <c:x val="6.3897774294614847E-3"/>
                  <c:y val="0"/>
                </c:manualLayout>
              </c:layout>
              <c:showVal val="1"/>
            </c:dLbl>
            <c:dLbl>
              <c:idx val="5"/>
              <c:layout>
                <c:manualLayout>
                  <c:x val="6.3897774294614847E-3"/>
                  <c:y val="0"/>
                </c:manualLayout>
              </c:layout>
              <c:showVal val="1"/>
            </c:dLbl>
            <c:dLbl>
              <c:idx val="6"/>
              <c:layout>
                <c:manualLayout>
                  <c:x val="8.5197032392821219E-3"/>
                  <c:y val="0"/>
                </c:manualLayout>
              </c:layout>
              <c:showVal val="1"/>
            </c:dLbl>
            <c:dLbl>
              <c:idx val="7"/>
              <c:layout>
                <c:manualLayout>
                  <c:x val="6.3897774294614847E-3"/>
                  <c:y val="0"/>
                </c:manualLayout>
              </c:layout>
              <c:showVal val="1"/>
            </c:dLbl>
            <c:dLbl>
              <c:idx val="8"/>
              <c:layout>
                <c:manualLayout>
                  <c:x val="1.0649629049102686E-2"/>
                  <c:y val="0"/>
                </c:manualLayout>
              </c:layout>
              <c:showVal val="1"/>
            </c:dLbl>
            <c:numFmt formatCode="#,##0;\-#,##0" sourceLinked="0"/>
            <c:txPr>
              <a:bodyPr/>
              <a:lstStyle/>
              <a:p>
                <a:pPr>
                  <a:defRPr sz="800">
                    <a:latin typeface="Times New Roman" pitchFamily="18" charset="0"/>
                    <a:cs typeface="Times New Roman" pitchFamily="18" charset="0"/>
                  </a:defRPr>
                </a:pPr>
                <a:endParaRPr lang="zh-TW"/>
              </a:p>
            </c:txPr>
            <c:showVal val="1"/>
          </c:dLbls>
          <c:cat>
            <c:strRef>
              <c:f>住院明細_性別!$G$11:$G$12</c:f>
              <c:strCache>
                <c:ptCount val="2"/>
                <c:pt idx="0">
                  <c:v>Male</c:v>
                </c:pt>
                <c:pt idx="1">
                  <c:v>Female</c:v>
                </c:pt>
              </c:strCache>
            </c:strRef>
          </c:cat>
          <c:val>
            <c:numRef>
              <c:f>住院明細_性別!$I$11:$I$12</c:f>
              <c:numCache>
                <c:formatCode>_-* #,##0_-;\-* #,##0_-;_-* "-"_-;_-@_-</c:formatCode>
                <c:ptCount val="2"/>
                <c:pt idx="0">
                  <c:v>2349339334.0999999</c:v>
                </c:pt>
                <c:pt idx="1">
                  <c:v>1856758402.9000001</c:v>
                </c:pt>
              </c:numCache>
            </c:numRef>
          </c:val>
        </c:ser>
        <c:ser>
          <c:idx val="0"/>
          <c:order val="1"/>
          <c:tx>
            <c:strRef>
              <c:f>住院明細_性別!$J$9</c:f>
              <c:strCache>
                <c:ptCount val="1"/>
                <c:pt idx="0">
                  <c:v>Drug Fees</c:v>
                </c:pt>
              </c:strCache>
            </c:strRef>
          </c:tx>
          <c:spPr>
            <a:solidFill>
              <a:srgbClr val="F3B7E2"/>
            </a:solidFill>
            <a:scene3d>
              <a:camera prst="orthographicFront"/>
              <a:lightRig rig="threePt" dir="t"/>
            </a:scene3d>
            <a:sp3d>
              <a:bevelT w="0" h="0"/>
              <a:bevelB w="0" h="0"/>
            </a:sp3d>
          </c:spPr>
          <c:dLbls>
            <c:dLbl>
              <c:idx val="0"/>
              <c:layout>
                <c:manualLayout>
                  <c:x val="8.2870394494843208E-3"/>
                  <c:y val="-5.4449076218413993E-4"/>
                </c:manualLayout>
              </c:layout>
              <c:showVal val="1"/>
            </c:dLbl>
            <c:dLbl>
              <c:idx val="1"/>
              <c:layout>
                <c:manualLayout>
                  <c:x val="1.1352232633952943E-2"/>
                  <c:y val="1.6341584752886345E-3"/>
                </c:manualLayout>
              </c:layout>
              <c:showVal val="1"/>
            </c:dLbl>
            <c:dLbl>
              <c:idx val="2"/>
              <c:layout>
                <c:manualLayout>
                  <c:x val="1.3032853651914241E-3"/>
                  <c:y val="7.87033678562883E-2"/>
                </c:manualLayout>
              </c:layout>
              <c:showVal val="1"/>
            </c:dLbl>
            <c:dLbl>
              <c:idx val="3"/>
              <c:layout>
                <c:manualLayout>
                  <c:x val="1.4698165159760301E-2"/>
                  <c:y val="0"/>
                </c:manualLayout>
              </c:layout>
              <c:showVal val="1"/>
            </c:dLbl>
            <c:numFmt formatCode="#,##0;\-#,##0" sourceLinked="0"/>
            <c:txPr>
              <a:bodyPr/>
              <a:lstStyle/>
              <a:p>
                <a:pPr>
                  <a:defRPr sz="800">
                    <a:latin typeface="Times New Roman" pitchFamily="18" charset="0"/>
                    <a:cs typeface="Times New Roman" pitchFamily="18" charset="0"/>
                  </a:defRPr>
                </a:pPr>
                <a:endParaRPr lang="zh-TW"/>
              </a:p>
            </c:txPr>
            <c:showVal val="1"/>
          </c:dLbls>
          <c:cat>
            <c:strRef>
              <c:f>住院明細_性別!$G$11:$G$12</c:f>
              <c:strCache>
                <c:ptCount val="2"/>
                <c:pt idx="0">
                  <c:v>Male</c:v>
                </c:pt>
                <c:pt idx="1">
                  <c:v>Female</c:v>
                </c:pt>
              </c:strCache>
            </c:strRef>
          </c:cat>
          <c:val>
            <c:numRef>
              <c:f>住院明細_性別!$J$11:$J$12</c:f>
              <c:numCache>
                <c:formatCode>_-* #,##0_-;\-* #,##0_-;_-* "-"_-;_-@_-</c:formatCode>
                <c:ptCount val="2"/>
                <c:pt idx="0">
                  <c:v>1417499403.3</c:v>
                </c:pt>
                <c:pt idx="1">
                  <c:v>1019812898.2</c:v>
                </c:pt>
              </c:numCache>
            </c:numRef>
          </c:val>
        </c:ser>
        <c:ser>
          <c:idx val="3"/>
          <c:order val="2"/>
          <c:tx>
            <c:strRef>
              <c:f>住院明細_性別!$L$9</c:f>
              <c:strCache>
                <c:ptCount val="1"/>
                <c:pt idx="0">
                  <c:v>Therapeutic Procedure Fees</c:v>
                </c:pt>
              </c:strCache>
            </c:strRef>
          </c:tx>
          <c:spPr>
            <a:solidFill>
              <a:srgbClr val="FFFFAB"/>
            </a:solidFill>
            <a:scene3d>
              <a:camera prst="orthographicFront"/>
              <a:lightRig rig="threePt" dir="t"/>
            </a:scene3d>
            <a:sp3d>
              <a:bevelT w="0" h="0"/>
            </a:sp3d>
          </c:spPr>
          <c:dLbls>
            <c:dLbl>
              <c:idx val="0"/>
              <c:layout>
                <c:manualLayout>
                  <c:x val="1.2205395055349798E-2"/>
                  <c:y val="6.8083646406944401E-3"/>
                </c:manualLayout>
              </c:layout>
              <c:showVal val="1"/>
            </c:dLbl>
            <c:dLbl>
              <c:idx val="1"/>
              <c:layout>
                <c:manualLayout>
                  <c:x val="1.1913893087615428E-3"/>
                  <c:y val="4.0845384523013114E-3"/>
                </c:manualLayout>
              </c:layout>
              <c:showVal val="1"/>
            </c:dLbl>
            <c:dLbl>
              <c:idx val="2"/>
              <c:layout>
                <c:manualLayout>
                  <c:x val="0"/>
                  <c:y val="6.4814838442271594E-2"/>
                </c:manualLayout>
              </c:layout>
              <c:showVal val="1"/>
            </c:dLbl>
            <c:numFmt formatCode="#,##0;\-#,##0" sourceLinked="0"/>
            <c:txPr>
              <a:bodyPr/>
              <a:lstStyle/>
              <a:p>
                <a:pPr>
                  <a:defRPr sz="800">
                    <a:latin typeface="Times New Roman" pitchFamily="18" charset="0"/>
                    <a:cs typeface="Times New Roman" pitchFamily="18" charset="0"/>
                  </a:defRPr>
                </a:pPr>
                <a:endParaRPr lang="zh-TW"/>
              </a:p>
            </c:txPr>
            <c:showVal val="1"/>
          </c:dLbls>
          <c:cat>
            <c:strRef>
              <c:f>住院明細_性別!$G$11:$G$12</c:f>
              <c:strCache>
                <c:ptCount val="2"/>
                <c:pt idx="0">
                  <c:v>Male</c:v>
                </c:pt>
                <c:pt idx="1">
                  <c:v>Female</c:v>
                </c:pt>
              </c:strCache>
            </c:strRef>
          </c:cat>
          <c:val>
            <c:numRef>
              <c:f>住院明細_性別!$L$11:$L$12</c:f>
              <c:numCache>
                <c:formatCode>_-* #,##0_-;\-* #,##0_-;_-* "-"_-;_-@_-</c:formatCode>
                <c:ptCount val="2"/>
                <c:pt idx="0">
                  <c:v>1014451482.7</c:v>
                </c:pt>
                <c:pt idx="1">
                  <c:v>802665025.29999995</c:v>
                </c:pt>
              </c:numCache>
            </c:numRef>
          </c:val>
        </c:ser>
        <c:ser>
          <c:idx val="2"/>
          <c:order val="3"/>
          <c:tx>
            <c:strRef>
              <c:f>住院明細_性別!$K$9</c:f>
              <c:strCache>
                <c:ptCount val="1"/>
                <c:pt idx="0">
                  <c:v>Surgical Fees</c:v>
                </c:pt>
              </c:strCache>
            </c:strRef>
          </c:tx>
          <c:spPr>
            <a:solidFill>
              <a:schemeClr val="accent4">
                <a:lumMod val="40000"/>
                <a:lumOff val="60000"/>
              </a:schemeClr>
            </a:solidFill>
            <a:scene3d>
              <a:camera prst="orthographicFront"/>
              <a:lightRig rig="threePt" dir="t"/>
            </a:scene3d>
            <a:sp3d>
              <a:bevelT w="0" h="0"/>
            </a:sp3d>
          </c:spPr>
          <c:dLbls>
            <c:dLbl>
              <c:idx val="0"/>
              <c:layout>
                <c:manualLayout>
                  <c:x val="8.3989515198630727E-3"/>
                  <c:y val="0"/>
                </c:manualLayout>
              </c:layout>
              <c:showVal val="1"/>
            </c:dLbl>
            <c:dLbl>
              <c:idx val="1"/>
              <c:layout>
                <c:manualLayout>
                  <c:x val="1.2598427279794537E-2"/>
                  <c:y val="0"/>
                </c:manualLayout>
              </c:layout>
              <c:showVal val="1"/>
            </c:dLbl>
            <c:dLbl>
              <c:idx val="2"/>
              <c:layout>
                <c:manualLayout>
                  <c:x val="9.1954022988509736E-3"/>
                  <c:y val="0"/>
                </c:manualLayout>
              </c:layout>
              <c:showVal val="1"/>
            </c:dLbl>
            <c:numFmt formatCode="#,##0;\-#,##0" sourceLinked="0"/>
            <c:txPr>
              <a:bodyPr/>
              <a:lstStyle/>
              <a:p>
                <a:pPr>
                  <a:defRPr sz="800">
                    <a:latin typeface="Times New Roman" pitchFamily="18" charset="0"/>
                    <a:cs typeface="Times New Roman" pitchFamily="18" charset="0"/>
                  </a:defRPr>
                </a:pPr>
                <a:endParaRPr lang="zh-TW"/>
              </a:p>
            </c:txPr>
            <c:showVal val="1"/>
          </c:dLbls>
          <c:cat>
            <c:strRef>
              <c:f>住院明細_性別!$G$11:$G$12</c:f>
              <c:strCache>
                <c:ptCount val="2"/>
                <c:pt idx="0">
                  <c:v>Male</c:v>
                </c:pt>
                <c:pt idx="1">
                  <c:v>Female</c:v>
                </c:pt>
              </c:strCache>
            </c:strRef>
          </c:cat>
          <c:val>
            <c:numRef>
              <c:f>住院明細_性別!$K$11:$K$12</c:f>
              <c:numCache>
                <c:formatCode>_-* #,##0_-;\-* #,##0_-;_-* "-"_-;_-@_-</c:formatCode>
                <c:ptCount val="2"/>
                <c:pt idx="0">
                  <c:v>914901264.10000002</c:v>
                </c:pt>
                <c:pt idx="1">
                  <c:v>1073655213.8</c:v>
                </c:pt>
              </c:numCache>
            </c:numRef>
          </c:val>
        </c:ser>
        <c:ser>
          <c:idx val="5"/>
          <c:order val="4"/>
          <c:tx>
            <c:strRef>
              <c:f>住院明細_性別!$N$9</c:f>
              <c:strCache>
                <c:ptCount val="1"/>
                <c:pt idx="0">
                  <c:v>Laboratory Fees</c:v>
                </c:pt>
              </c:strCache>
            </c:strRef>
          </c:tx>
          <c:spPr>
            <a:solidFill>
              <a:srgbClr val="C799DB"/>
            </a:solidFill>
          </c:spPr>
          <c:dLbls>
            <c:txPr>
              <a:bodyPr/>
              <a:lstStyle/>
              <a:p>
                <a:pPr>
                  <a:defRPr sz="800">
                    <a:latin typeface="Times New Roman" pitchFamily="18" charset="0"/>
                    <a:cs typeface="Times New Roman" pitchFamily="18" charset="0"/>
                  </a:defRPr>
                </a:pPr>
                <a:endParaRPr lang="zh-TW"/>
              </a:p>
            </c:txPr>
            <c:showVal val="1"/>
          </c:dLbls>
          <c:cat>
            <c:strRef>
              <c:f>住院明細_性別!$G$11:$G$12</c:f>
              <c:strCache>
                <c:ptCount val="2"/>
                <c:pt idx="0">
                  <c:v>Male</c:v>
                </c:pt>
                <c:pt idx="1">
                  <c:v>Female</c:v>
                </c:pt>
              </c:strCache>
            </c:strRef>
          </c:cat>
          <c:val>
            <c:numRef>
              <c:f>住院明細_性別!$N$11:$N$12</c:f>
              <c:numCache>
                <c:formatCode>_-* #,##0_-;\-* #,##0_-;_-* "-"_-;_-@_-</c:formatCode>
                <c:ptCount val="2"/>
                <c:pt idx="0">
                  <c:v>818119266.60000002</c:v>
                </c:pt>
                <c:pt idx="1">
                  <c:v>669599941.70000005</c:v>
                </c:pt>
              </c:numCache>
            </c:numRef>
          </c:val>
        </c:ser>
        <c:ser>
          <c:idx val="6"/>
          <c:order val="5"/>
          <c:tx>
            <c:strRef>
              <c:f>住院明細_性別!$O$9</c:f>
              <c:strCache>
                <c:ptCount val="1"/>
                <c:pt idx="0">
                  <c:v>Special Materials Fees</c:v>
                </c:pt>
              </c:strCache>
            </c:strRef>
          </c:tx>
          <c:spPr>
            <a:solidFill>
              <a:srgbClr val="B9D7FF"/>
            </a:solidFill>
          </c:spPr>
          <c:dLbls>
            <c:txPr>
              <a:bodyPr/>
              <a:lstStyle/>
              <a:p>
                <a:pPr>
                  <a:defRPr sz="800">
                    <a:latin typeface="Times New Roman" pitchFamily="18" charset="0"/>
                    <a:cs typeface="Times New Roman" pitchFamily="18" charset="0"/>
                  </a:defRPr>
                </a:pPr>
                <a:endParaRPr lang="zh-TW"/>
              </a:p>
            </c:txPr>
            <c:showVal val="1"/>
          </c:dLbls>
          <c:cat>
            <c:strRef>
              <c:f>住院明細_性別!$G$11:$G$12</c:f>
              <c:strCache>
                <c:ptCount val="2"/>
                <c:pt idx="0">
                  <c:v>Male</c:v>
                </c:pt>
                <c:pt idx="1">
                  <c:v>Female</c:v>
                </c:pt>
              </c:strCache>
            </c:strRef>
          </c:cat>
          <c:val>
            <c:numRef>
              <c:f>住院明細_性別!$O$11:$O$12</c:f>
              <c:numCache>
                <c:formatCode>_-* #,##0_-;\-* #,##0_-;_-* "-"_-;_-@_-</c:formatCode>
                <c:ptCount val="2"/>
                <c:pt idx="0">
                  <c:v>787049065.39999998</c:v>
                </c:pt>
                <c:pt idx="1">
                  <c:v>614372337.29999995</c:v>
                </c:pt>
              </c:numCache>
            </c:numRef>
          </c:val>
        </c:ser>
        <c:ser>
          <c:idx val="8"/>
          <c:order val="6"/>
          <c:tx>
            <c:strRef>
              <c:f>住院明細_性別!$Q$9</c:f>
              <c:strCache>
                <c:ptCount val="1"/>
                <c:pt idx="0">
                  <c:v>X-Ray Fees</c:v>
                </c:pt>
              </c:strCache>
            </c:strRef>
          </c:tx>
          <c:spPr>
            <a:solidFill>
              <a:srgbClr val="FFAFCD"/>
            </a:solidFill>
          </c:spPr>
          <c:dLbls>
            <c:txPr>
              <a:bodyPr/>
              <a:lstStyle/>
              <a:p>
                <a:pPr>
                  <a:defRPr sz="800">
                    <a:latin typeface="Times New Roman" pitchFamily="18" charset="0"/>
                    <a:cs typeface="Times New Roman" pitchFamily="18" charset="0"/>
                  </a:defRPr>
                </a:pPr>
                <a:endParaRPr lang="zh-TW"/>
              </a:p>
            </c:txPr>
            <c:showVal val="1"/>
          </c:dLbls>
          <c:cat>
            <c:strRef>
              <c:f>住院明細_性別!$G$11:$G$12</c:f>
              <c:strCache>
                <c:ptCount val="2"/>
                <c:pt idx="0">
                  <c:v>Male</c:v>
                </c:pt>
                <c:pt idx="1">
                  <c:v>Female</c:v>
                </c:pt>
              </c:strCache>
            </c:strRef>
          </c:cat>
          <c:val>
            <c:numRef>
              <c:f>住院明細_性別!$Q$11:$Q$12</c:f>
              <c:numCache>
                <c:formatCode>_-* #,##0_-;\-* #,##0_-;_-* "-"_-;_-@_-</c:formatCode>
                <c:ptCount val="2"/>
                <c:pt idx="0">
                  <c:v>608674743.39999998</c:v>
                </c:pt>
                <c:pt idx="1">
                  <c:v>367543926.89999974</c:v>
                </c:pt>
              </c:numCache>
            </c:numRef>
          </c:val>
        </c:ser>
        <c:ser>
          <c:idx val="7"/>
          <c:order val="7"/>
          <c:tx>
            <c:strRef>
              <c:f>住院明細_性別!$P$9</c:f>
              <c:strCache>
                <c:ptCount val="1"/>
                <c:pt idx="0">
                  <c:v>Diagnosis Fees</c:v>
                </c:pt>
              </c:strCache>
            </c:strRef>
          </c:tx>
          <c:spPr>
            <a:solidFill>
              <a:srgbClr val="919CEB"/>
            </a:solidFill>
          </c:spPr>
          <c:dLbls>
            <c:txPr>
              <a:bodyPr/>
              <a:lstStyle/>
              <a:p>
                <a:pPr>
                  <a:defRPr sz="800">
                    <a:latin typeface="Times New Roman" pitchFamily="18" charset="0"/>
                    <a:cs typeface="Times New Roman" pitchFamily="18" charset="0"/>
                  </a:defRPr>
                </a:pPr>
                <a:endParaRPr lang="zh-TW"/>
              </a:p>
            </c:txPr>
            <c:showVal val="1"/>
          </c:dLbls>
          <c:cat>
            <c:strRef>
              <c:f>住院明細_性別!$G$11:$G$12</c:f>
              <c:strCache>
                <c:ptCount val="2"/>
                <c:pt idx="0">
                  <c:v>Male</c:v>
                </c:pt>
                <c:pt idx="1">
                  <c:v>Female</c:v>
                </c:pt>
              </c:strCache>
            </c:strRef>
          </c:cat>
          <c:val>
            <c:numRef>
              <c:f>住院明細_性別!$P$11:$P$12</c:f>
              <c:numCache>
                <c:formatCode>_-* #,##0_-;\-* #,##0_-;_-* "-"_-;_-@_-</c:formatCode>
                <c:ptCount val="2"/>
                <c:pt idx="0">
                  <c:v>545292425.89999998</c:v>
                </c:pt>
                <c:pt idx="1">
                  <c:v>457461919.69999999</c:v>
                </c:pt>
              </c:numCache>
            </c:numRef>
          </c:val>
        </c:ser>
        <c:ser>
          <c:idx val="4"/>
          <c:order val="8"/>
          <c:tx>
            <c:strRef>
              <c:f>住院明細_性別!$M$9</c:f>
              <c:strCache>
                <c:ptCount val="1"/>
                <c:pt idx="0">
                  <c:v>Others</c:v>
                </c:pt>
              </c:strCache>
            </c:strRef>
          </c:tx>
          <c:spPr>
            <a:solidFill>
              <a:schemeClr val="accent3">
                <a:lumMod val="40000"/>
                <a:lumOff val="60000"/>
              </a:schemeClr>
            </a:solidFill>
          </c:spPr>
          <c:dLbls>
            <c:dLbl>
              <c:idx val="0"/>
              <c:layout>
                <c:manualLayout>
                  <c:x val="5.507195156914009E-3"/>
                  <c:y val="-2.7241692827612387E-4"/>
                </c:manualLayout>
              </c:layout>
              <c:showVal val="1"/>
            </c:dLbl>
            <c:dLbl>
              <c:idx val="1"/>
              <c:layout>
                <c:manualLayout>
                  <c:x val="4.3113833248953834E-3"/>
                  <c:y val="4.3566122862093324E-3"/>
                </c:manualLayout>
              </c:layout>
              <c:showVal val="1"/>
            </c:dLbl>
            <c:dLbl>
              <c:idx val="2"/>
              <c:layout>
                <c:manualLayout>
                  <c:x val="1.8693813524499139E-3"/>
                  <c:y val="8.3333161786149204E-2"/>
                </c:manualLayout>
              </c:layout>
              <c:showVal val="1"/>
            </c:dLbl>
            <c:txPr>
              <a:bodyPr/>
              <a:lstStyle/>
              <a:p>
                <a:pPr>
                  <a:defRPr sz="800">
                    <a:latin typeface="Times New Roman" pitchFamily="18" charset="0"/>
                    <a:cs typeface="Times New Roman" pitchFamily="18" charset="0"/>
                  </a:defRPr>
                </a:pPr>
                <a:endParaRPr lang="zh-TW"/>
              </a:p>
            </c:txPr>
            <c:showVal val="1"/>
          </c:dLbls>
          <c:cat>
            <c:strRef>
              <c:f>住院明細_性別!$G$11:$G$12</c:f>
              <c:strCache>
                <c:ptCount val="2"/>
                <c:pt idx="0">
                  <c:v>Male</c:v>
                </c:pt>
                <c:pt idx="1">
                  <c:v>Female</c:v>
                </c:pt>
              </c:strCache>
            </c:strRef>
          </c:cat>
          <c:val>
            <c:numRef>
              <c:f>住院明細_性別!$M$11:$M$12</c:f>
              <c:numCache>
                <c:formatCode>_-* #,##0_-;\-* #,##0_-;_-* "-"_-;_-@_-</c:formatCode>
                <c:ptCount val="2"/>
                <c:pt idx="0">
                  <c:v>1135428784.8</c:v>
                </c:pt>
                <c:pt idx="1">
                  <c:v>909114651.89999998</c:v>
                </c:pt>
              </c:numCache>
            </c:numRef>
          </c:val>
        </c:ser>
        <c:gapWidth val="209"/>
        <c:gapDepth val="69"/>
        <c:shape val="box"/>
        <c:axId val="276408576"/>
        <c:axId val="276434944"/>
        <c:axId val="0"/>
      </c:bar3DChart>
      <c:catAx>
        <c:axId val="276408576"/>
        <c:scaling>
          <c:orientation val="minMax"/>
        </c:scaling>
        <c:axPos val="b"/>
        <c:numFmt formatCode="#,##0;[Red]\-#,##0" sourceLinked="0"/>
        <c:majorTickMark val="in"/>
        <c:tickLblPos val="nextTo"/>
        <c:txPr>
          <a:bodyPr rot="0"/>
          <a:lstStyle/>
          <a:p>
            <a:pPr>
              <a:defRPr sz="800">
                <a:latin typeface="Times New Roman" pitchFamily="18" charset="0"/>
                <a:ea typeface="標楷體" pitchFamily="65" charset="-120"/>
                <a:cs typeface="Times New Roman" pitchFamily="18" charset="0"/>
              </a:defRPr>
            </a:pPr>
            <a:endParaRPr lang="zh-TW"/>
          </a:p>
        </c:txPr>
        <c:crossAx val="276434944"/>
        <c:crosses val="autoZero"/>
        <c:auto val="1"/>
        <c:lblAlgn val="ctr"/>
        <c:lblOffset val="0"/>
        <c:tickLblSkip val="1"/>
      </c:catAx>
      <c:valAx>
        <c:axId val="276434944"/>
        <c:scaling>
          <c:orientation val="minMax"/>
        </c:scaling>
        <c:axPos val="l"/>
        <c:numFmt formatCode="#,##0;\-#,##0" sourceLinked="0"/>
        <c:majorTickMark val="in"/>
        <c:tickLblPos val="nextTo"/>
        <c:txPr>
          <a:bodyPr/>
          <a:lstStyle/>
          <a:p>
            <a:pPr>
              <a:defRPr sz="800">
                <a:latin typeface="Times New Roman" pitchFamily="18" charset="0"/>
                <a:cs typeface="Times New Roman" pitchFamily="18" charset="0"/>
              </a:defRPr>
            </a:pPr>
            <a:endParaRPr lang="zh-TW"/>
          </a:p>
        </c:txPr>
        <c:crossAx val="276408576"/>
        <c:crosses val="autoZero"/>
        <c:crossBetween val="between"/>
        <c:dispUnits>
          <c:builtInUnit val="hundredMillions"/>
        </c:dispUnits>
      </c:valAx>
    </c:plotArea>
    <c:legend>
      <c:legendPos val="r"/>
      <c:layout>
        <c:manualLayout>
          <c:xMode val="edge"/>
          <c:yMode val="edge"/>
          <c:x val="0.72255300346052864"/>
          <c:y val="0.24917880362993838"/>
          <c:w val="0.26683505584204747"/>
          <c:h val="0.56619319643868271"/>
        </c:manualLayout>
      </c:layout>
      <c:txPr>
        <a:bodyPr/>
        <a:lstStyle/>
        <a:p>
          <a:pPr>
            <a:defRPr sz="800">
              <a:latin typeface="Times New Roman" pitchFamily="18" charset="0"/>
              <a:ea typeface="標楷體" pitchFamily="65" charset="-120"/>
              <a:cs typeface="Times New Roman" pitchFamily="18" charset="0"/>
            </a:defRPr>
          </a:pPr>
          <a:endParaRPr lang="zh-TW"/>
        </a:p>
      </c:txPr>
    </c:legend>
    <c:plotVisOnly val="1"/>
    <c:dispBlanksAs val="gap"/>
  </c:chart>
  <c:spPr>
    <a:noFill/>
    <a:ln>
      <a:noFill/>
    </a:ln>
  </c:spPr>
  <c:externalData r:id="rId1"/>
  <c:userShapes r:id="rId2"/>
</c:chartSpace>
</file>

<file path=word/charts/chart21.xml><?xml version="1.0" encoding="utf-8"?>
<c:chartSpace xmlns:c="http://schemas.openxmlformats.org/drawingml/2006/chart" xmlns:a="http://schemas.openxmlformats.org/drawingml/2006/main" xmlns:r="http://schemas.openxmlformats.org/officeDocument/2006/relationships">
  <c:date1904 val="1"/>
  <c:lang val="zh-TW"/>
  <c:chart>
    <c:autoTitleDeleted val="1"/>
    <c:view3D>
      <c:rAngAx val="1"/>
    </c:view3D>
    <c:floor>
      <c:spPr>
        <a:solidFill>
          <a:srgbClr val="E0E0E0">
            <a:alpha val="49000"/>
          </a:srgbClr>
        </a:solidFill>
      </c:spPr>
    </c:floor>
    <c:sideWall>
      <c:spPr>
        <a:solidFill>
          <a:srgbClr val="9BBB59">
            <a:lumMod val="20000"/>
            <a:lumOff val="80000"/>
            <a:alpha val="76000"/>
          </a:srgbClr>
        </a:solidFill>
      </c:spPr>
    </c:sideWall>
    <c:backWall>
      <c:spPr>
        <a:solidFill>
          <a:srgbClr val="9BBB59">
            <a:lumMod val="20000"/>
            <a:lumOff val="80000"/>
            <a:alpha val="76000"/>
          </a:srgbClr>
        </a:solidFill>
      </c:spPr>
    </c:backWall>
    <c:plotArea>
      <c:layout>
        <c:manualLayout>
          <c:layoutTarget val="inner"/>
          <c:xMode val="edge"/>
          <c:yMode val="edge"/>
          <c:x val="0.1189895198743719"/>
          <c:y val="0.27652140286815868"/>
          <c:w val="0.73001481250487654"/>
          <c:h val="0.55570999448996661"/>
        </c:manualLayout>
      </c:layout>
      <c:bar3DChart>
        <c:barDir val="bar"/>
        <c:grouping val="stacked"/>
        <c:ser>
          <c:idx val="0"/>
          <c:order val="0"/>
          <c:tx>
            <c:strRef>
              <c:f>住院明細_年齡!$C$50</c:f>
              <c:strCache>
                <c:ptCount val="1"/>
                <c:pt idx="0">
                  <c:v>Ward Fees</c:v>
                </c:pt>
              </c:strCache>
            </c:strRef>
          </c:tx>
          <c:spPr>
            <a:solidFill>
              <a:srgbClr val="EFB3EC">
                <a:alpha val="84000"/>
              </a:srgbClr>
            </a:solidFill>
            <a:ln>
              <a:noFill/>
            </a:ln>
            <a:scene3d>
              <a:camera prst="orthographicFront"/>
              <a:lightRig rig="threePt" dir="t"/>
            </a:scene3d>
            <a:sp3d>
              <a:bevelT w="0" h="0"/>
              <a:contourClr>
                <a:srgbClr val="000000"/>
              </a:contourClr>
            </a:sp3d>
          </c:spPr>
          <c:dLbls>
            <c:dLbl>
              <c:idx val="0"/>
              <c:layout>
                <c:manualLayout>
                  <c:x val="7.2595281306717498E-3"/>
                  <c:y val="8.5284488692644028E-3"/>
                </c:manualLayout>
              </c:layout>
              <c:showVal val="1"/>
            </c:dLbl>
            <c:dLbl>
              <c:idx val="1"/>
              <c:layout>
                <c:manualLayout>
                  <c:x val="9.6793708408953426E-3"/>
                  <c:y val="0"/>
                </c:manualLayout>
              </c:layout>
              <c:showVal val="1"/>
            </c:dLbl>
            <c:dLbl>
              <c:idx val="2"/>
              <c:layout>
                <c:manualLayout>
                  <c:x val="7.2595281306717498E-3"/>
                  <c:y val="0"/>
                </c:manualLayout>
              </c:layout>
              <c:showVal val="1"/>
            </c:dLbl>
            <c:dLbl>
              <c:idx val="3"/>
              <c:layout>
                <c:manualLayout>
                  <c:x val="2.4196521714277548E-3"/>
                  <c:y val="0"/>
                </c:manualLayout>
              </c:layout>
              <c:showVal val="1"/>
            </c:dLbl>
            <c:numFmt formatCode="#,##0.0_);[Red]\(#,##0.0\)" sourceLinked="0"/>
            <c:txPr>
              <a:bodyPr/>
              <a:lstStyle/>
              <a:p>
                <a:pPr>
                  <a:defRPr sz="800">
                    <a:latin typeface="Times New Roman" pitchFamily="18" charset="0"/>
                    <a:cs typeface="Times New Roman" pitchFamily="18" charset="0"/>
                  </a:defRPr>
                </a:pPr>
                <a:endParaRPr lang="zh-TW"/>
              </a:p>
            </c:txPr>
            <c:showVal val="1"/>
          </c:dLbls>
          <c:cat>
            <c:strRef>
              <c:f>(住院明細_年齡!$F$45,住院明細_年齡!$H$45,住院明細_年齡!$J$45,住院明細_年齡!$L$45,住院明細_年齡!$N$45)</c:f>
              <c:strCache>
                <c:ptCount val="5"/>
                <c:pt idx="0">
                  <c:v>0-14</c:v>
                </c:pt>
                <c:pt idx="1">
                  <c:v>15-29</c:v>
                </c:pt>
                <c:pt idx="2">
                  <c:v>30-44</c:v>
                </c:pt>
                <c:pt idx="3">
                  <c:v>45-64</c:v>
                </c:pt>
                <c:pt idx="4">
                  <c:v>65 and over</c:v>
                </c:pt>
              </c:strCache>
            </c:strRef>
          </c:cat>
          <c:val>
            <c:numRef>
              <c:f>(住院明細_年齡!$G$50,住院明細_年齡!$I$50,住院明細_年齡!$K$50,住院明細_年齡!$M$50,住院明細_年齡!$O$50)</c:f>
              <c:numCache>
                <c:formatCode>_-* #,##0.00_-;\-* #,##0.00_-;_-* "-"_-;_-@_-</c:formatCode>
                <c:ptCount val="5"/>
                <c:pt idx="0">
                  <c:v>36.159155561334146</c:v>
                </c:pt>
                <c:pt idx="1">
                  <c:v>24.781117631362878</c:v>
                </c:pt>
                <c:pt idx="2">
                  <c:v>26.881456715760226</c:v>
                </c:pt>
                <c:pt idx="3">
                  <c:v>21.864118039455025</c:v>
                </c:pt>
                <c:pt idx="4">
                  <c:v>23.680707844437016</c:v>
                </c:pt>
              </c:numCache>
            </c:numRef>
          </c:val>
        </c:ser>
        <c:ser>
          <c:idx val="1"/>
          <c:order val="1"/>
          <c:tx>
            <c:strRef>
              <c:f>住院明細_年齡!$C$61</c:f>
              <c:strCache>
                <c:ptCount val="1"/>
                <c:pt idx="0">
                  <c:v>Drug Fees</c:v>
                </c:pt>
              </c:strCache>
            </c:strRef>
          </c:tx>
          <c:spPr>
            <a:solidFill>
              <a:srgbClr val="C0504D">
                <a:lumMod val="40000"/>
                <a:lumOff val="60000"/>
                <a:alpha val="93000"/>
              </a:srgbClr>
            </a:solidFill>
            <a:ln>
              <a:noFill/>
            </a:ln>
            <a:scene3d>
              <a:camera prst="orthographicFront"/>
              <a:lightRig rig="threePt" dir="t"/>
            </a:scene3d>
            <a:sp3d>
              <a:bevelT w="0" h="0"/>
              <a:contourClr>
                <a:srgbClr val="000000"/>
              </a:contourClr>
            </a:sp3d>
          </c:spPr>
          <c:dLbls>
            <c:dLbl>
              <c:idx val="0"/>
              <c:layout>
                <c:manualLayout>
                  <c:x val="7.2595281306717194E-3"/>
                  <c:y val="0"/>
                </c:manualLayout>
              </c:layout>
              <c:showVal val="1"/>
            </c:dLbl>
            <c:dLbl>
              <c:idx val="1"/>
              <c:layout>
                <c:manualLayout>
                  <c:x val="4.8396854204477034E-3"/>
                  <c:y val="7.8179622804054494E-17"/>
                </c:manualLayout>
              </c:layout>
              <c:showVal val="1"/>
            </c:dLbl>
            <c:dLbl>
              <c:idx val="2"/>
              <c:layout>
                <c:manualLayout>
                  <c:x val="7.2595281306717498E-3"/>
                  <c:y val="0"/>
                </c:manualLayout>
              </c:layout>
              <c:showVal val="1"/>
            </c:dLbl>
            <c:dLbl>
              <c:idx val="3"/>
              <c:layout>
                <c:manualLayout>
                  <c:x val="7.2595281306717498E-3"/>
                  <c:y val="0"/>
                </c:manualLayout>
              </c:layout>
              <c:showVal val="1"/>
            </c:dLbl>
            <c:numFmt formatCode="#,##0.0_);[Red]\(#,##0.0\)" sourceLinked="0"/>
            <c:txPr>
              <a:bodyPr/>
              <a:lstStyle/>
              <a:p>
                <a:pPr>
                  <a:defRPr sz="800">
                    <a:latin typeface="Times New Roman" pitchFamily="18" charset="0"/>
                    <a:cs typeface="Times New Roman" pitchFamily="18" charset="0"/>
                  </a:defRPr>
                </a:pPr>
                <a:endParaRPr lang="zh-TW"/>
              </a:p>
            </c:txPr>
            <c:showVal val="1"/>
          </c:dLbls>
          <c:cat>
            <c:strRef>
              <c:f>(住院明細_年齡!$F$45,住院明細_年齡!$H$45,住院明細_年齡!$J$45,住院明細_年齡!$L$45,住院明細_年齡!$N$45)</c:f>
              <c:strCache>
                <c:ptCount val="5"/>
                <c:pt idx="0">
                  <c:v>0-14</c:v>
                </c:pt>
                <c:pt idx="1">
                  <c:v>15-29</c:v>
                </c:pt>
                <c:pt idx="2">
                  <c:v>30-44</c:v>
                </c:pt>
                <c:pt idx="3">
                  <c:v>45-64</c:v>
                </c:pt>
                <c:pt idx="4">
                  <c:v>65 and over</c:v>
                </c:pt>
              </c:strCache>
            </c:strRef>
          </c:cat>
          <c:val>
            <c:numRef>
              <c:f>(住院明細_年齡!$G$61,住院明細_年齡!$I$61,住院明細_年齡!$K$61,住院明細_年齡!$M$61,住院明細_年齡!$O$61)</c:f>
              <c:numCache>
                <c:formatCode>_-* #,##0.00_-;\-* #,##0.00_-;_-* "-"_-;_-@_-</c:formatCode>
                <c:ptCount val="5"/>
                <c:pt idx="0">
                  <c:v>11.185061939619828</c:v>
                </c:pt>
                <c:pt idx="1">
                  <c:v>10.279342184839148</c:v>
                </c:pt>
                <c:pt idx="2">
                  <c:v>12.108658790374839</c:v>
                </c:pt>
                <c:pt idx="3">
                  <c:v>16.049477847554186</c:v>
                </c:pt>
                <c:pt idx="4">
                  <c:v>14.12939224464192</c:v>
                </c:pt>
              </c:numCache>
            </c:numRef>
          </c:val>
        </c:ser>
        <c:ser>
          <c:idx val="2"/>
          <c:order val="2"/>
          <c:tx>
            <c:strRef>
              <c:f>住院明細_年齡!$C$55</c:f>
              <c:strCache>
                <c:ptCount val="1"/>
                <c:pt idx="0">
                  <c:v>Surgical Fees</c:v>
                </c:pt>
              </c:strCache>
            </c:strRef>
          </c:tx>
          <c:spPr>
            <a:solidFill>
              <a:schemeClr val="accent6">
                <a:lumMod val="40000"/>
                <a:lumOff val="60000"/>
              </a:schemeClr>
            </a:solidFill>
            <a:ln>
              <a:noFill/>
            </a:ln>
            <a:scene3d>
              <a:camera prst="orthographicFront"/>
              <a:lightRig rig="threePt" dir="t"/>
            </a:scene3d>
            <a:sp3d>
              <a:bevelT w="0" h="6350"/>
              <a:contourClr>
                <a:srgbClr val="000000"/>
              </a:contourClr>
            </a:sp3d>
          </c:spPr>
          <c:dLbls>
            <c:dLbl>
              <c:idx val="0"/>
              <c:layout>
                <c:manualLayout>
                  <c:x val="7.2595281306717498E-3"/>
                  <c:y val="0"/>
                </c:manualLayout>
              </c:layout>
              <c:showVal val="1"/>
            </c:dLbl>
            <c:dLbl>
              <c:idx val="1"/>
              <c:layout>
                <c:manualLayout>
                  <c:x val="7.2595281306717498E-3"/>
                  <c:y val="0"/>
                </c:manualLayout>
              </c:layout>
              <c:showVal val="1"/>
            </c:dLbl>
            <c:dLbl>
              <c:idx val="2"/>
              <c:layout>
                <c:manualLayout>
                  <c:x val="9.6793708408953426E-3"/>
                  <c:y val="4.2643923240939024E-3"/>
                </c:manualLayout>
              </c:layout>
              <c:showVal val="1"/>
            </c:dLbl>
            <c:dLbl>
              <c:idx val="3"/>
              <c:layout>
                <c:manualLayout>
                  <c:x val="4.8396854204477034E-3"/>
                  <c:y val="0"/>
                </c:manualLayout>
              </c:layout>
              <c:showVal val="1"/>
            </c:dLbl>
            <c:numFmt formatCode="#,##0.0_);[Red]\(#,##0.0\)" sourceLinked="0"/>
            <c:txPr>
              <a:bodyPr/>
              <a:lstStyle/>
              <a:p>
                <a:pPr>
                  <a:defRPr sz="800">
                    <a:latin typeface="Times New Roman" pitchFamily="18" charset="0"/>
                    <a:cs typeface="Times New Roman" pitchFamily="18" charset="0"/>
                  </a:defRPr>
                </a:pPr>
                <a:endParaRPr lang="zh-TW"/>
              </a:p>
            </c:txPr>
            <c:showVal val="1"/>
          </c:dLbls>
          <c:cat>
            <c:strRef>
              <c:f>(住院明細_年齡!$F$45,住院明細_年齡!$H$45,住院明細_年齡!$J$45,住院明細_年齡!$L$45,住院明細_年齡!$N$45)</c:f>
              <c:strCache>
                <c:ptCount val="5"/>
                <c:pt idx="0">
                  <c:v>0-14</c:v>
                </c:pt>
                <c:pt idx="1">
                  <c:v>15-29</c:v>
                </c:pt>
                <c:pt idx="2">
                  <c:v>30-44</c:v>
                </c:pt>
                <c:pt idx="3">
                  <c:v>45-64</c:v>
                </c:pt>
                <c:pt idx="4">
                  <c:v>65 and over</c:v>
                </c:pt>
              </c:strCache>
            </c:strRef>
          </c:cat>
          <c:val>
            <c:numRef>
              <c:f>(住院明細_年齡!$G$55,住院明細_年齡!$I$55,住院明細_年齡!$K$55,住院明細_年齡!$M$55,住院明細_年齡!$O$55)</c:f>
              <c:numCache>
                <c:formatCode>_-* #,##0.00_-;\-* #,##0.00_-;_-* "-"_-;_-@_-</c:formatCode>
                <c:ptCount val="5"/>
                <c:pt idx="0">
                  <c:v>7.9318570267420494</c:v>
                </c:pt>
                <c:pt idx="1">
                  <c:v>23.041689706593488</c:v>
                </c:pt>
                <c:pt idx="2">
                  <c:v>18.73595802367694</c:v>
                </c:pt>
                <c:pt idx="3">
                  <c:v>12.362659356119428</c:v>
                </c:pt>
                <c:pt idx="4">
                  <c:v>7.0186808799397813</c:v>
                </c:pt>
              </c:numCache>
            </c:numRef>
          </c:val>
        </c:ser>
        <c:ser>
          <c:idx val="3"/>
          <c:order val="3"/>
          <c:tx>
            <c:strRef>
              <c:f>住院明細_年齡!$C$54</c:f>
              <c:strCache>
                <c:ptCount val="1"/>
                <c:pt idx="0">
                  <c:v>Therapentic Procedure Fees</c:v>
                </c:pt>
              </c:strCache>
            </c:strRef>
          </c:tx>
          <c:spPr>
            <a:solidFill>
              <a:srgbClr val="FFFFAB"/>
            </a:solidFill>
            <a:ln>
              <a:noFill/>
            </a:ln>
            <a:scene3d>
              <a:camera prst="orthographicFront"/>
              <a:lightRig rig="threePt" dir="t"/>
            </a:scene3d>
            <a:sp3d>
              <a:bevelT w="0" h="0"/>
              <a:contourClr>
                <a:srgbClr val="000000"/>
              </a:contourClr>
            </a:sp3d>
          </c:spPr>
          <c:dLbls>
            <c:dLbl>
              <c:idx val="0"/>
              <c:layout>
                <c:manualLayout>
                  <c:x val="2.6072236020002536E-3"/>
                  <c:y val="0"/>
                </c:manualLayout>
              </c:layout>
              <c:showVal val="1"/>
            </c:dLbl>
            <c:dLbl>
              <c:idx val="1"/>
              <c:layout>
                <c:manualLayout>
                  <c:x val="1.8747656542932197E-4"/>
                  <c:y val="0"/>
                </c:manualLayout>
              </c:layout>
              <c:showVal val="1"/>
            </c:dLbl>
            <c:dLbl>
              <c:idx val="2"/>
              <c:layout>
                <c:manualLayout>
                  <c:x val="4.9646021970026219E-3"/>
                  <c:y val="0"/>
                </c:manualLayout>
              </c:layout>
              <c:showVal val="1"/>
            </c:dLbl>
            <c:dLbl>
              <c:idx val="3"/>
              <c:layout>
                <c:manualLayout>
                  <c:x val="2.5448551604316792E-3"/>
                  <c:y val="0"/>
                </c:manualLayout>
              </c:layout>
              <c:showVal val="1"/>
            </c:dLbl>
            <c:numFmt formatCode="#,##0.0_);[Red]\(#,##0.0\)" sourceLinked="0"/>
            <c:txPr>
              <a:bodyPr/>
              <a:lstStyle/>
              <a:p>
                <a:pPr>
                  <a:defRPr sz="800">
                    <a:latin typeface="Times New Roman" pitchFamily="18" charset="0"/>
                    <a:cs typeface="Times New Roman" pitchFamily="18" charset="0"/>
                  </a:defRPr>
                </a:pPr>
                <a:endParaRPr lang="zh-TW"/>
              </a:p>
            </c:txPr>
            <c:showVal val="1"/>
          </c:dLbls>
          <c:cat>
            <c:strRef>
              <c:f>(住院明細_年齡!$F$45,住院明細_年齡!$H$45,住院明細_年齡!$J$45,住院明細_年齡!$L$45,住院明細_年齡!$N$45)</c:f>
              <c:strCache>
                <c:ptCount val="5"/>
                <c:pt idx="0">
                  <c:v>0-14</c:v>
                </c:pt>
                <c:pt idx="1">
                  <c:v>15-29</c:v>
                </c:pt>
                <c:pt idx="2">
                  <c:v>30-44</c:v>
                </c:pt>
                <c:pt idx="3">
                  <c:v>45-64</c:v>
                </c:pt>
                <c:pt idx="4">
                  <c:v>65 and over</c:v>
                </c:pt>
              </c:strCache>
            </c:strRef>
          </c:cat>
          <c:val>
            <c:numRef>
              <c:f>(住院明細_年齡!$G$54,住院明細_年齡!$I$54,住院明細_年齡!$K$54,住院明細_年齡!$M$54,住院明細_年齡!$O$54)</c:f>
              <c:numCache>
                <c:formatCode>_-* #,##0.00_-;\-* #,##0.00_-;_-* "-"_-;_-@_-</c:formatCode>
                <c:ptCount val="5"/>
                <c:pt idx="0">
                  <c:v>10.589274907227304</c:v>
                </c:pt>
                <c:pt idx="1">
                  <c:v>7.1555673837624694</c:v>
                </c:pt>
                <c:pt idx="2">
                  <c:v>6.7351668383437788</c:v>
                </c:pt>
                <c:pt idx="3">
                  <c:v>6.9906146417752355</c:v>
                </c:pt>
                <c:pt idx="4">
                  <c:v>14.638392636623568</c:v>
                </c:pt>
              </c:numCache>
            </c:numRef>
          </c:val>
        </c:ser>
        <c:ser>
          <c:idx val="5"/>
          <c:order val="4"/>
          <c:tx>
            <c:strRef>
              <c:f>住院明細_年齡!$C$52</c:f>
              <c:strCache>
                <c:ptCount val="1"/>
                <c:pt idx="0">
                  <c:v>Laboratory Fees</c:v>
                </c:pt>
              </c:strCache>
            </c:strRef>
          </c:tx>
          <c:spPr>
            <a:solidFill>
              <a:srgbClr val="FFAFCD"/>
            </a:solidFill>
          </c:spPr>
          <c:dLbls>
            <c:numFmt formatCode="#,##0.0_);\(#,##0.0\)" sourceLinked="0"/>
            <c:txPr>
              <a:bodyPr/>
              <a:lstStyle/>
              <a:p>
                <a:pPr>
                  <a:defRPr sz="800">
                    <a:latin typeface="Times New Roman" pitchFamily="18" charset="0"/>
                    <a:cs typeface="Times New Roman" pitchFamily="18" charset="0"/>
                  </a:defRPr>
                </a:pPr>
                <a:endParaRPr lang="zh-TW"/>
              </a:p>
            </c:txPr>
            <c:showVal val="1"/>
          </c:dLbls>
          <c:cat>
            <c:strRef>
              <c:f>(住院明細_年齡!$F$45,住院明細_年齡!$H$45,住院明細_年齡!$J$45,住院明細_年齡!$L$45,住院明細_年齡!$N$45)</c:f>
              <c:strCache>
                <c:ptCount val="5"/>
                <c:pt idx="0">
                  <c:v>0-14</c:v>
                </c:pt>
                <c:pt idx="1">
                  <c:v>15-29</c:v>
                </c:pt>
                <c:pt idx="2">
                  <c:v>30-44</c:v>
                </c:pt>
                <c:pt idx="3">
                  <c:v>45-64</c:v>
                </c:pt>
                <c:pt idx="4">
                  <c:v>65 and over</c:v>
                </c:pt>
              </c:strCache>
            </c:strRef>
          </c:cat>
          <c:val>
            <c:numRef>
              <c:f>(住院明細_年齡!$G$52,住院明細_年齡!$I$52,住院明細_年齡!$K$52,住院明細_年齡!$M$52,住院明細_年齡!$O$52)</c:f>
              <c:numCache>
                <c:formatCode>_-* #,##0.00_-;\-* #,##0.00_-;_-* "-"_-;_-@_-</c:formatCode>
                <c:ptCount val="5"/>
                <c:pt idx="0">
                  <c:v>8.9512486853555639</c:v>
                </c:pt>
                <c:pt idx="1">
                  <c:v>6.6939495348181559</c:v>
                </c:pt>
                <c:pt idx="2">
                  <c:v>7.3900086933671334</c:v>
                </c:pt>
                <c:pt idx="3">
                  <c:v>8.6929834382442728</c:v>
                </c:pt>
                <c:pt idx="4">
                  <c:v>9.1149376363028249</c:v>
                </c:pt>
              </c:numCache>
            </c:numRef>
          </c:val>
        </c:ser>
        <c:ser>
          <c:idx val="6"/>
          <c:order val="5"/>
          <c:tx>
            <c:strRef>
              <c:f>住院明細_年齡!$C$60</c:f>
              <c:strCache>
                <c:ptCount val="1"/>
                <c:pt idx="0">
                  <c:v>Special Materials Fees</c:v>
                </c:pt>
              </c:strCache>
            </c:strRef>
          </c:tx>
          <c:spPr>
            <a:solidFill>
              <a:srgbClr val="B9D7FF"/>
            </a:solidFill>
          </c:spPr>
          <c:dLbls>
            <c:numFmt formatCode="#,##0.0_);\(#,##0.0\)" sourceLinked="0"/>
            <c:txPr>
              <a:bodyPr/>
              <a:lstStyle/>
              <a:p>
                <a:pPr>
                  <a:defRPr sz="800">
                    <a:latin typeface="Times New Roman" pitchFamily="18" charset="0"/>
                    <a:cs typeface="Times New Roman" pitchFamily="18" charset="0"/>
                  </a:defRPr>
                </a:pPr>
                <a:endParaRPr lang="zh-TW"/>
              </a:p>
            </c:txPr>
            <c:showVal val="1"/>
          </c:dLbls>
          <c:cat>
            <c:strRef>
              <c:f>(住院明細_年齡!$F$45,住院明細_年齡!$H$45,住院明細_年齡!$J$45,住院明細_年齡!$L$45,住院明細_年齡!$N$45)</c:f>
              <c:strCache>
                <c:ptCount val="5"/>
                <c:pt idx="0">
                  <c:v>0-14</c:v>
                </c:pt>
                <c:pt idx="1">
                  <c:v>15-29</c:v>
                </c:pt>
                <c:pt idx="2">
                  <c:v>30-44</c:v>
                </c:pt>
                <c:pt idx="3">
                  <c:v>45-64</c:v>
                </c:pt>
                <c:pt idx="4">
                  <c:v>65 and over</c:v>
                </c:pt>
              </c:strCache>
            </c:strRef>
          </c:cat>
          <c:val>
            <c:numRef>
              <c:f>(住院明細_年齡!$G$60,住院明細_年齡!$I$60,住院明細_年齡!$K$60,住院明細_年齡!$M$60,住院明細_年齡!$O$60)</c:f>
              <c:numCache>
                <c:formatCode>_-* #,##0.00_-;\-* #,##0.00_-;_-* "-"_-;_-@_-</c:formatCode>
                <c:ptCount val="5"/>
                <c:pt idx="0">
                  <c:v>4.034129633330819</c:v>
                </c:pt>
                <c:pt idx="1">
                  <c:v>5.3495823610358375</c:v>
                </c:pt>
                <c:pt idx="2">
                  <c:v>5.0997245655679464</c:v>
                </c:pt>
                <c:pt idx="3">
                  <c:v>9.0607747329063706</c:v>
                </c:pt>
                <c:pt idx="4">
                  <c:v>9.190114543850143</c:v>
                </c:pt>
              </c:numCache>
            </c:numRef>
          </c:val>
        </c:ser>
        <c:ser>
          <c:idx val="4"/>
          <c:order val="6"/>
          <c:tx>
            <c:strRef>
              <c:f>住院明細_年齡!$C$65</c:f>
              <c:strCache>
                <c:ptCount val="1"/>
                <c:pt idx="0">
                  <c:v>Others</c:v>
                </c:pt>
              </c:strCache>
            </c:strRef>
          </c:tx>
          <c:spPr>
            <a:solidFill>
              <a:srgbClr val="9BBB59">
                <a:lumMod val="40000"/>
                <a:lumOff val="60000"/>
              </a:srgbClr>
            </a:solidFill>
          </c:spPr>
          <c:dLbls>
            <c:numFmt formatCode="#,##0.0_);\(#,##0.0\)" sourceLinked="0"/>
            <c:txPr>
              <a:bodyPr/>
              <a:lstStyle/>
              <a:p>
                <a:pPr>
                  <a:defRPr sz="800">
                    <a:latin typeface="Times New Roman" pitchFamily="18" charset="0"/>
                    <a:cs typeface="Times New Roman" pitchFamily="18" charset="0"/>
                  </a:defRPr>
                </a:pPr>
                <a:endParaRPr lang="zh-TW"/>
              </a:p>
            </c:txPr>
            <c:showVal val="1"/>
          </c:dLbls>
          <c:cat>
            <c:strRef>
              <c:f>(住院明細_年齡!$F$45,住院明細_年齡!$H$45,住院明細_年齡!$J$45,住院明細_年齡!$L$45,住院明細_年齡!$N$45)</c:f>
              <c:strCache>
                <c:ptCount val="5"/>
                <c:pt idx="0">
                  <c:v>0-14</c:v>
                </c:pt>
                <c:pt idx="1">
                  <c:v>15-29</c:v>
                </c:pt>
                <c:pt idx="2">
                  <c:v>30-44</c:v>
                </c:pt>
                <c:pt idx="3">
                  <c:v>45-64</c:v>
                </c:pt>
                <c:pt idx="4">
                  <c:v>65 and over</c:v>
                </c:pt>
              </c:strCache>
            </c:strRef>
          </c:cat>
          <c:val>
            <c:numRef>
              <c:f>(住院明細_年齡!$G$65,住院明細_年齡!$I$65,住院明細_年齡!$K$65,住院明細_年齡!$M$65,住院明細_年齡!$O$65)</c:f>
              <c:numCache>
                <c:formatCode>0.00_ </c:formatCode>
                <c:ptCount val="5"/>
                <c:pt idx="0">
                  <c:v>21.149272246390282</c:v>
                </c:pt>
                <c:pt idx="1">
                  <c:v>22.698751197587903</c:v>
                </c:pt>
                <c:pt idx="2">
                  <c:v>23.049026372909076</c:v>
                </c:pt>
                <c:pt idx="3">
                  <c:v>24.979371943945512</c:v>
                </c:pt>
                <c:pt idx="4">
                  <c:v>22.227774214204633</c:v>
                </c:pt>
              </c:numCache>
            </c:numRef>
          </c:val>
        </c:ser>
        <c:shape val="box"/>
        <c:axId val="276752256"/>
        <c:axId val="276753792"/>
        <c:axId val="0"/>
      </c:bar3DChart>
      <c:catAx>
        <c:axId val="276752256"/>
        <c:scaling>
          <c:orientation val="minMax"/>
        </c:scaling>
        <c:axPos val="l"/>
        <c:numFmt formatCode="General" sourceLinked="1"/>
        <c:majorTickMark val="none"/>
        <c:tickLblPos val="nextTo"/>
        <c:txPr>
          <a:bodyPr/>
          <a:lstStyle/>
          <a:p>
            <a:pPr>
              <a:defRPr sz="800">
                <a:latin typeface="Times New Roman" pitchFamily="18" charset="0"/>
                <a:ea typeface="標楷體" pitchFamily="65" charset="-120"/>
                <a:cs typeface="Times New Roman" pitchFamily="18" charset="0"/>
              </a:defRPr>
            </a:pPr>
            <a:endParaRPr lang="zh-TW"/>
          </a:p>
        </c:txPr>
        <c:crossAx val="276753792"/>
        <c:crosses val="autoZero"/>
        <c:auto val="1"/>
        <c:lblAlgn val="ctr"/>
        <c:lblOffset val="100"/>
      </c:catAx>
      <c:valAx>
        <c:axId val="276753792"/>
        <c:scaling>
          <c:orientation val="minMax"/>
        </c:scaling>
        <c:axPos val="b"/>
        <c:majorGridlines>
          <c:spPr>
            <a:ln>
              <a:solidFill>
                <a:srgbClr val="8064A2">
                  <a:lumMod val="40000"/>
                  <a:lumOff val="60000"/>
                  <a:alpha val="0"/>
                </a:srgbClr>
              </a:solidFill>
            </a:ln>
          </c:spPr>
        </c:majorGridlines>
        <c:numFmt formatCode="#,##0;[Red]\-#,##0" sourceLinked="0"/>
        <c:majorTickMark val="none"/>
        <c:tickLblPos val="nextTo"/>
        <c:txPr>
          <a:bodyPr/>
          <a:lstStyle/>
          <a:p>
            <a:pPr>
              <a:defRPr sz="800">
                <a:latin typeface="Times New Roman" pitchFamily="18" charset="0"/>
                <a:cs typeface="Times New Roman" pitchFamily="18" charset="0"/>
              </a:defRPr>
            </a:pPr>
            <a:endParaRPr lang="zh-TW"/>
          </a:p>
        </c:txPr>
        <c:crossAx val="276752256"/>
        <c:crosses val="autoZero"/>
        <c:crossBetween val="between"/>
      </c:valAx>
    </c:plotArea>
    <c:legend>
      <c:legendPos val="b"/>
      <c:layout>
        <c:manualLayout>
          <c:xMode val="edge"/>
          <c:yMode val="edge"/>
          <c:x val="4.3124250557789165E-2"/>
          <c:y val="0.17105869666968818"/>
          <c:w val="0.92081993591502531"/>
          <c:h val="9.1602234822227319E-2"/>
        </c:manualLayout>
      </c:layout>
      <c:txPr>
        <a:bodyPr/>
        <a:lstStyle/>
        <a:p>
          <a:pPr>
            <a:defRPr sz="800">
              <a:latin typeface="Times New Roman" pitchFamily="18" charset="0"/>
              <a:cs typeface="Times New Roman" pitchFamily="18" charset="0"/>
            </a:defRPr>
          </a:pPr>
          <a:endParaRPr lang="zh-TW"/>
        </a:p>
      </c:txPr>
    </c:legend>
    <c:plotVisOnly val="1"/>
    <c:dispBlanksAs val="gap"/>
  </c:chart>
  <c:spPr>
    <a:noFill/>
    <a:ln>
      <a:noFill/>
    </a:ln>
  </c:spPr>
  <c:externalData r:id="rId1"/>
  <c:userShapes r:id="rId2"/>
</c:chartSpace>
</file>

<file path=word/charts/chart22.xml><?xml version="1.0" encoding="utf-8"?>
<c:chartSpace xmlns:c="http://schemas.openxmlformats.org/drawingml/2006/chart" xmlns:a="http://schemas.openxmlformats.org/drawingml/2006/main" xmlns:r="http://schemas.openxmlformats.org/officeDocument/2006/relationships">
  <c:date1904 val="1"/>
  <c:lang val="zh-TW"/>
  <c:chart>
    <c:autoTitleDeleted val="1"/>
    <c:view3D>
      <c:rotX val="35"/>
      <c:hPercent val="100"/>
      <c:rotY val="132"/>
      <c:depthPercent val="90"/>
      <c:rAngAx val="1"/>
    </c:view3D>
    <c:sideWall>
      <c:spPr>
        <a:scene3d>
          <a:camera prst="orthographicFront"/>
          <a:lightRig rig="threePt" dir="t"/>
        </a:scene3d>
        <a:sp3d>
          <a:bevelB w="6350"/>
        </a:sp3d>
      </c:spPr>
    </c:sideWall>
    <c:backWall>
      <c:spPr>
        <a:scene3d>
          <a:camera prst="orthographicFront"/>
          <a:lightRig rig="threePt" dir="t"/>
        </a:scene3d>
        <a:sp3d>
          <a:bevelB w="6350"/>
        </a:sp3d>
      </c:spPr>
    </c:backWall>
    <c:plotArea>
      <c:layout>
        <c:manualLayout>
          <c:layoutTarget val="inner"/>
          <c:xMode val="edge"/>
          <c:yMode val="edge"/>
          <c:x val="0.25908486879946241"/>
          <c:y val="0.26553433086725187"/>
          <c:w val="0.46340665225411082"/>
          <c:h val="0.68262998469602265"/>
        </c:manualLayout>
      </c:layout>
      <c:pie3DChart>
        <c:varyColors val="1"/>
        <c:ser>
          <c:idx val="0"/>
          <c:order val="0"/>
          <c:tx>
            <c:strRef>
              <c:f>發證數!$D$24</c:f>
              <c:strCache>
                <c:ptCount val="1"/>
                <c:pt idx="0">
                  <c:v>實際有效發證數</c:v>
                </c:pt>
              </c:strCache>
            </c:strRef>
          </c:tx>
          <c:spPr>
            <a:scene3d>
              <a:camera prst="orthographicFront"/>
              <a:lightRig rig="threePt" dir="t"/>
            </a:scene3d>
            <a:sp3d prstMaterial="flat">
              <a:bevelT w="0" h="0"/>
            </a:sp3d>
          </c:spPr>
          <c:dPt>
            <c:idx val="0"/>
            <c:spPr>
              <a:solidFill>
                <a:schemeClr val="accent3">
                  <a:lumMod val="40000"/>
                  <a:lumOff val="60000"/>
                </a:schemeClr>
              </a:solidFill>
              <a:scene3d>
                <a:camera prst="orthographicFront"/>
                <a:lightRig rig="threePt" dir="t"/>
              </a:scene3d>
              <a:sp3d prstMaterial="flat">
                <a:bevelT w="0" h="0"/>
              </a:sp3d>
            </c:spPr>
          </c:dPt>
          <c:dPt>
            <c:idx val="1"/>
            <c:spPr>
              <a:solidFill>
                <a:schemeClr val="accent4">
                  <a:lumMod val="40000"/>
                  <a:lumOff val="60000"/>
                </a:schemeClr>
              </a:solidFill>
              <a:ln>
                <a:noFill/>
              </a:ln>
              <a:scene3d>
                <a:camera prst="orthographicFront"/>
                <a:lightRig rig="threePt" dir="t"/>
              </a:scene3d>
              <a:sp3d prstMaterial="flat">
                <a:bevelT w="0" h="0"/>
              </a:sp3d>
            </c:spPr>
          </c:dPt>
          <c:dPt>
            <c:idx val="2"/>
            <c:spPr>
              <a:solidFill>
                <a:schemeClr val="accent6">
                  <a:lumMod val="40000"/>
                  <a:lumOff val="60000"/>
                </a:schemeClr>
              </a:solidFill>
              <a:scene3d>
                <a:camera prst="orthographicFront"/>
                <a:lightRig rig="threePt" dir="t"/>
              </a:scene3d>
              <a:sp3d prstMaterial="flat">
                <a:bevelT w="0" h="0"/>
              </a:sp3d>
            </c:spPr>
          </c:dPt>
          <c:dPt>
            <c:idx val="3"/>
            <c:spPr>
              <a:solidFill>
                <a:srgbClr val="FFFFAB"/>
              </a:solidFill>
              <a:scene3d>
                <a:camera prst="orthographicFront"/>
                <a:lightRig rig="threePt" dir="t"/>
              </a:scene3d>
              <a:sp3d prstMaterial="flat">
                <a:bevelT w="0" h="0"/>
              </a:sp3d>
            </c:spPr>
          </c:dPt>
          <c:dPt>
            <c:idx val="4"/>
            <c:spPr>
              <a:solidFill>
                <a:srgbClr val="C2D8F0"/>
              </a:solidFill>
              <a:scene3d>
                <a:camera prst="orthographicFront"/>
                <a:lightRig rig="threePt" dir="t"/>
              </a:scene3d>
              <a:sp3d prstMaterial="flat">
                <a:bevelT w="0" h="0"/>
              </a:sp3d>
            </c:spPr>
          </c:dPt>
          <c:dPt>
            <c:idx val="5"/>
            <c:spPr>
              <a:solidFill>
                <a:srgbClr val="F3B7E2"/>
              </a:solidFill>
              <a:scene3d>
                <a:camera prst="orthographicFront"/>
                <a:lightRig rig="threePt" dir="t"/>
              </a:scene3d>
              <a:sp3d prstMaterial="flat">
                <a:bevelT w="0" h="0"/>
              </a:sp3d>
            </c:spPr>
          </c:dPt>
          <c:dLbls>
            <c:dLbl>
              <c:idx val="0"/>
              <c:layout>
                <c:manualLayout>
                  <c:x val="-7.9840336092190711E-2"/>
                  <c:y val="-8.0184367198003856E-2"/>
                </c:manualLayout>
              </c:layout>
              <c:dLblPos val="bestFit"/>
              <c:showCatName val="1"/>
              <c:showPercent val="1"/>
            </c:dLbl>
            <c:dLbl>
              <c:idx val="1"/>
              <c:layout>
                <c:manualLayout>
                  <c:x val="-2.0603784728420296E-2"/>
                  <c:y val="5.2660751242952684E-2"/>
                </c:manualLayout>
              </c:layout>
              <c:dLblPos val="bestFit"/>
              <c:showCatName val="1"/>
              <c:showPercent val="1"/>
            </c:dLbl>
            <c:dLbl>
              <c:idx val="2"/>
              <c:layout>
                <c:manualLayout>
                  <c:x val="-3.5696860310597198E-2"/>
                  <c:y val="1.9403541324706096E-3"/>
                </c:manualLayout>
              </c:layout>
              <c:dLblPos val="bestFit"/>
              <c:showCatName val="1"/>
              <c:showPercent val="1"/>
            </c:dLbl>
            <c:dLbl>
              <c:idx val="3"/>
              <c:layout>
                <c:manualLayout>
                  <c:x val="-1.3306932236719681E-2"/>
                  <c:y val="-4.0650406504065054E-3"/>
                </c:manualLayout>
              </c:layout>
              <c:dLblPos val="bestFit"/>
              <c:showCatName val="1"/>
              <c:showPercent val="1"/>
            </c:dLbl>
            <c:dLbl>
              <c:idx val="4"/>
              <c:layout>
                <c:manualLayout>
                  <c:x val="-8.8092892670532611E-3"/>
                  <c:y val="4.8780042978011431E-2"/>
                </c:manualLayout>
              </c:layout>
              <c:dLblPos val="bestFit"/>
              <c:showCatName val="1"/>
              <c:showPercent val="1"/>
            </c:dLbl>
            <c:dLbl>
              <c:idx val="5"/>
              <c:layout>
                <c:manualLayout>
                  <c:x val="9.758150573168863E-17"/>
                  <c:y val="2.8455284552845541E-2"/>
                </c:manualLayout>
              </c:layout>
              <c:dLblPos val="bestFit"/>
              <c:showCatName val="1"/>
              <c:showPercent val="1"/>
            </c:dLbl>
            <c:numFmt formatCode="0.0%" sourceLinked="0"/>
            <c:txPr>
              <a:bodyPr/>
              <a:lstStyle/>
              <a:p>
                <a:pPr>
                  <a:defRPr sz="800">
                    <a:latin typeface="Times New Roman" pitchFamily="18" charset="0"/>
                    <a:ea typeface="標楷體" pitchFamily="65" charset="-120"/>
                    <a:cs typeface="Times New Roman" pitchFamily="18" charset="0"/>
                  </a:defRPr>
                </a:pPr>
                <a:endParaRPr lang="zh-TW"/>
              </a:p>
            </c:txPr>
            <c:dLblPos val="outEnd"/>
            <c:showCatName val="1"/>
            <c:showPercent val="1"/>
          </c:dLbls>
          <c:cat>
            <c:strRef>
              <c:f>(發證數!$A$26,發證數!$A$31,發證數!$A$30,發證數!$A$29,發證數!$A$33,發證數!$A$56)</c:f>
              <c:strCache>
                <c:ptCount val="6"/>
                <c:pt idx="0">
                  <c:v>Cancer</c:v>
                </c:pt>
                <c:pt idx="1">
                  <c:v>Chronic Psychiatric Disorder</c:v>
                </c:pt>
                <c:pt idx="2">
                  <c:v>Generalized Autoimmune Syndrome</c:v>
                </c:pt>
                <c:pt idx="3">
                  <c:v>Uremia</c:v>
                </c:pt>
                <c:pt idx="4">
                  <c:v>Malformation and Chromosomal Abnormalities</c:v>
                </c:pt>
                <c:pt idx="5">
                  <c:v>Others</c:v>
                </c:pt>
              </c:strCache>
            </c:strRef>
          </c:cat>
          <c:val>
            <c:numRef>
              <c:f>(發證數!$E$26,發證數!$E$31,發證數!$E$30,發證數!$E$29,發證數!$E$33,發證數!$E$56)</c:f>
              <c:numCache>
                <c:formatCode>0.00_ </c:formatCode>
                <c:ptCount val="6"/>
                <c:pt idx="0">
                  <c:v>47.059386973180075</c:v>
                </c:pt>
                <c:pt idx="1">
                  <c:v>22.687216997561684</c:v>
                </c:pt>
                <c:pt idx="2">
                  <c:v>8.6720654824103089</c:v>
                </c:pt>
                <c:pt idx="3">
                  <c:v>7.4599442702890855</c:v>
                </c:pt>
                <c:pt idx="4">
                  <c:v>3.9052159526297427</c:v>
                </c:pt>
                <c:pt idx="5">
                  <c:v>10.216170323928944</c:v>
                </c:pt>
              </c:numCache>
            </c:numRef>
          </c:val>
        </c:ser>
        <c:dLbls>
          <c:showCatName val="1"/>
          <c:showPercent val="1"/>
        </c:dLbls>
      </c:pie3DChart>
    </c:plotArea>
    <c:plotVisOnly val="1"/>
    <c:dispBlanksAs val="zero"/>
  </c:chart>
  <c:spPr>
    <a:ln>
      <a:noFill/>
    </a:ln>
  </c:spPr>
  <c:externalData r:id="rId1"/>
  <c:userShapes r:id="rId2"/>
</c:chartSpace>
</file>

<file path=word/charts/chart23.xml><?xml version="1.0" encoding="utf-8"?>
<c:chartSpace xmlns:c="http://schemas.openxmlformats.org/drawingml/2006/chart" xmlns:a="http://schemas.openxmlformats.org/drawingml/2006/main" xmlns:r="http://schemas.openxmlformats.org/officeDocument/2006/relationships">
  <c:date1904 val="1"/>
  <c:lang val="zh-TW"/>
  <c:chart>
    <c:autoTitleDeleted val="1"/>
    <c:plotArea>
      <c:layout>
        <c:manualLayout>
          <c:layoutTarget val="inner"/>
          <c:xMode val="edge"/>
          <c:yMode val="edge"/>
          <c:x val="2.1664107481729832E-2"/>
          <c:y val="0.19084288042193828"/>
          <c:w val="0.52522090988626136"/>
          <c:h val="0.77532684006916264"/>
        </c:manualLayout>
      </c:layout>
      <c:ofPieChart>
        <c:ofPieType val="bar"/>
        <c:varyColors val="1"/>
        <c:ser>
          <c:idx val="1"/>
          <c:order val="0"/>
          <c:spPr>
            <a:ln w="22225" cmpd="dbl">
              <a:noFill/>
              <a:prstDash val="solid"/>
              <a:bevel/>
            </a:ln>
            <a:scene3d>
              <a:camera prst="orthographicFront"/>
              <a:lightRig rig="threePt" dir="t"/>
            </a:scene3d>
            <a:sp3d>
              <a:bevelT w="0" h="0"/>
              <a:bevelB w="0" h="0"/>
            </a:sp3d>
          </c:spPr>
          <c:dPt>
            <c:idx val="0"/>
            <c:spPr>
              <a:solidFill>
                <a:srgbClr val="CCDDAB"/>
              </a:solidFill>
              <a:ln w="22225" cmpd="dbl">
                <a:noFill/>
                <a:prstDash val="solid"/>
                <a:bevel/>
              </a:ln>
              <a:scene3d>
                <a:camera prst="orthographicFront"/>
                <a:lightRig rig="threePt" dir="t"/>
              </a:scene3d>
              <a:sp3d>
                <a:bevelT w="0" h="0"/>
                <a:bevelB w="0" h="0"/>
              </a:sp3d>
            </c:spPr>
          </c:dPt>
          <c:dPt>
            <c:idx val="1"/>
            <c:spPr>
              <a:solidFill>
                <a:schemeClr val="accent6">
                  <a:lumMod val="40000"/>
                  <a:lumOff val="60000"/>
                </a:schemeClr>
              </a:solidFill>
              <a:ln w="22225" cmpd="dbl">
                <a:noFill/>
                <a:prstDash val="solid"/>
                <a:bevel/>
              </a:ln>
              <a:scene3d>
                <a:camera prst="orthographicFront"/>
                <a:lightRig rig="threePt" dir="t"/>
              </a:scene3d>
              <a:sp3d>
                <a:bevelT w="0" h="0"/>
                <a:bevelB w="0" h="0"/>
              </a:sp3d>
            </c:spPr>
          </c:dPt>
          <c:dPt>
            <c:idx val="2"/>
            <c:spPr>
              <a:solidFill>
                <a:schemeClr val="accent2">
                  <a:lumMod val="40000"/>
                  <a:lumOff val="60000"/>
                </a:schemeClr>
              </a:solidFill>
              <a:ln w="22225" cmpd="dbl">
                <a:noFill/>
                <a:prstDash val="solid"/>
                <a:bevel/>
              </a:ln>
              <a:scene3d>
                <a:camera prst="orthographicFront"/>
                <a:lightRig rig="threePt" dir="t"/>
              </a:scene3d>
              <a:sp3d>
                <a:bevelT w="0" h="0"/>
                <a:bevelB w="0" h="0"/>
              </a:sp3d>
            </c:spPr>
          </c:dPt>
          <c:dPt>
            <c:idx val="3"/>
            <c:spPr>
              <a:solidFill>
                <a:schemeClr val="accent4">
                  <a:lumMod val="60000"/>
                  <a:lumOff val="40000"/>
                </a:schemeClr>
              </a:solidFill>
              <a:ln w="22225" cmpd="dbl">
                <a:noFill/>
                <a:prstDash val="solid"/>
                <a:bevel/>
              </a:ln>
              <a:scene3d>
                <a:camera prst="orthographicFront"/>
                <a:lightRig rig="threePt" dir="t"/>
              </a:scene3d>
              <a:sp3d>
                <a:bevelT w="0" h="0"/>
                <a:bevelB w="0" h="0"/>
              </a:sp3d>
            </c:spPr>
          </c:dPt>
          <c:dPt>
            <c:idx val="4"/>
            <c:spPr>
              <a:solidFill>
                <a:srgbClr val="858DD5"/>
              </a:solidFill>
              <a:ln w="22225" cmpd="dbl">
                <a:noFill/>
                <a:prstDash val="solid"/>
                <a:bevel/>
              </a:ln>
              <a:scene3d>
                <a:camera prst="orthographicFront"/>
                <a:lightRig rig="threePt" dir="t"/>
              </a:scene3d>
              <a:sp3d>
                <a:bevelT w="0" h="0"/>
                <a:bevelB w="0" h="0"/>
              </a:sp3d>
            </c:spPr>
          </c:dPt>
          <c:dPt>
            <c:idx val="5"/>
            <c:spPr>
              <a:solidFill>
                <a:schemeClr val="accent3">
                  <a:lumMod val="60000"/>
                  <a:lumOff val="40000"/>
                </a:schemeClr>
              </a:solidFill>
              <a:ln w="22225" cmpd="dbl">
                <a:noFill/>
                <a:prstDash val="solid"/>
                <a:bevel/>
              </a:ln>
              <a:scene3d>
                <a:camera prst="orthographicFront"/>
                <a:lightRig rig="threePt" dir="t"/>
              </a:scene3d>
              <a:sp3d>
                <a:bevelT w="0" h="0"/>
                <a:bevelB w="0" h="0"/>
              </a:sp3d>
            </c:spPr>
          </c:dPt>
          <c:dPt>
            <c:idx val="6"/>
            <c:spPr>
              <a:solidFill>
                <a:schemeClr val="accent2">
                  <a:lumMod val="60000"/>
                  <a:lumOff val="40000"/>
                </a:schemeClr>
              </a:solidFill>
              <a:ln w="22225" cmpd="dbl">
                <a:noFill/>
                <a:prstDash val="solid"/>
                <a:bevel/>
              </a:ln>
              <a:scene3d>
                <a:camera prst="orthographicFront"/>
                <a:lightRig rig="threePt" dir="t"/>
              </a:scene3d>
              <a:sp3d>
                <a:bevelT w="0" h="0"/>
                <a:bevelB w="0" h="0"/>
              </a:sp3d>
            </c:spPr>
          </c:dPt>
          <c:dPt>
            <c:idx val="7"/>
            <c:spPr>
              <a:solidFill>
                <a:srgbClr val="EFB3EC"/>
              </a:solidFill>
              <a:ln w="22225" cmpd="dbl">
                <a:noFill/>
                <a:prstDash val="solid"/>
                <a:bevel/>
              </a:ln>
              <a:scene3d>
                <a:camera prst="orthographicFront"/>
                <a:lightRig rig="threePt" dir="t"/>
              </a:scene3d>
              <a:sp3d>
                <a:bevelT w="0" h="0"/>
                <a:bevelB w="0" h="0"/>
              </a:sp3d>
            </c:spPr>
          </c:dPt>
          <c:dPt>
            <c:idx val="8"/>
            <c:spPr>
              <a:solidFill>
                <a:srgbClr val="FFFFAB"/>
              </a:solidFill>
              <a:ln w="22225" cmpd="dbl">
                <a:noFill/>
                <a:prstDash val="solid"/>
                <a:bevel/>
              </a:ln>
              <a:scene3d>
                <a:camera prst="orthographicFront"/>
                <a:lightRig rig="threePt" dir="t"/>
              </a:scene3d>
              <a:sp3d>
                <a:bevelT w="0" h="0"/>
                <a:bevelB w="0" h="0"/>
              </a:sp3d>
            </c:spPr>
          </c:dPt>
          <c:dLbls>
            <c:dLbl>
              <c:idx val="0"/>
              <c:layout>
                <c:manualLayout>
                  <c:x val="0.1021576990376203"/>
                  <c:y val="-0.17199075659020946"/>
                </c:manualLayout>
              </c:layout>
              <c:dLblPos val="bestFit"/>
              <c:showCatName val="1"/>
              <c:showPercent val="1"/>
              <c:separator> </c:separator>
            </c:dLbl>
            <c:dLbl>
              <c:idx val="1"/>
              <c:layout>
                <c:manualLayout>
                  <c:x val="6.9566200058326477E-2"/>
                  <c:y val="0.15001198219787837"/>
                </c:manualLayout>
              </c:layout>
              <c:dLblPos val="bestFit"/>
              <c:showCatName val="1"/>
              <c:showPercent val="1"/>
              <c:separator> </c:separator>
            </c:dLbl>
            <c:dLbl>
              <c:idx val="2"/>
              <c:layout>
                <c:manualLayout>
                  <c:x val="-2.4242519431796995E-2"/>
                  <c:y val="2.1810361909388426E-2"/>
                </c:manualLayout>
              </c:layout>
              <c:dLblPos val="bestFit"/>
              <c:showCatName val="1"/>
              <c:showPercent val="1"/>
              <c:separator> </c:separator>
            </c:dLbl>
            <c:dLbl>
              <c:idx val="3"/>
              <c:delete val="1"/>
            </c:dLbl>
            <c:dLbl>
              <c:idx val="4"/>
              <c:delete val="1"/>
            </c:dLbl>
            <c:dLbl>
              <c:idx val="5"/>
              <c:delete val="1"/>
            </c:dLbl>
            <c:dLbl>
              <c:idx val="6"/>
              <c:delete val="1"/>
            </c:dLbl>
            <c:dLbl>
              <c:idx val="7"/>
              <c:layout>
                <c:manualLayout>
                  <c:x val="-6.7886045494313409E-3"/>
                  <c:y val="3.8394385484423316E-3"/>
                </c:manualLayout>
              </c:layout>
              <c:dLblPos val="bestFit"/>
              <c:showCatName val="1"/>
              <c:showPercent val="1"/>
              <c:separator> </c:separator>
            </c:dLbl>
            <c:dLbl>
              <c:idx val="8"/>
              <c:delete val="1"/>
            </c:dLbl>
            <c:numFmt formatCode="0.0%" sourceLinked="0"/>
            <c:txPr>
              <a:bodyPr/>
              <a:lstStyle/>
              <a:p>
                <a:pPr>
                  <a:defRPr sz="800">
                    <a:latin typeface="Times New Roman" pitchFamily="18" charset="0"/>
                    <a:ea typeface="標楷體" pitchFamily="65" charset="-120"/>
                    <a:cs typeface="Times New Roman" pitchFamily="18" charset="0"/>
                  </a:defRPr>
                </a:pPr>
                <a:endParaRPr lang="zh-TW"/>
              </a:p>
            </c:txPr>
            <c:dLblPos val="bestFit"/>
            <c:showCatName val="1"/>
            <c:showPercent val="1"/>
            <c:separator> </c:separator>
            <c:showLeaderLines val="1"/>
          </c:dLbls>
          <c:cat>
            <c:strRef>
              <c:f>重大傷病!$G$19:$G$26</c:f>
              <c:strCache>
                <c:ptCount val="8"/>
                <c:pt idx="0">
                  <c:v> Uremia </c:v>
                </c:pt>
                <c:pt idx="1">
                  <c:v> Cancer </c:v>
                </c:pt>
                <c:pt idx="2">
                  <c:v> Chronic Psychiatric Disorder </c:v>
                </c:pt>
                <c:pt idx="3">
                  <c:v> Generalized Autoimmune Syndrome  </c:v>
                </c:pt>
                <c:pt idx="4">
                  <c:v> Hemophilia </c:v>
                </c:pt>
                <c:pt idx="5">
                  <c:v> Congenital Metabolic Disease </c:v>
                </c:pt>
                <c:pt idx="6">
                  <c:v> Follow-up Treatment of Organ Transplants </c:v>
                </c:pt>
                <c:pt idx="7">
                  <c:v>Others</c:v>
                </c:pt>
              </c:strCache>
            </c:strRef>
          </c:cat>
          <c:val>
            <c:numRef>
              <c:f>重大傷病!$H$19:$H$26</c:f>
              <c:numCache>
                <c:formatCode>_-* #,##0_-;\-* #,##0_-;_-* "-"??_-;_-@_-</c:formatCode>
                <c:ptCount val="8"/>
                <c:pt idx="0">
                  <c:v>38005.555919752143</c:v>
                </c:pt>
                <c:pt idx="1">
                  <c:v>24840.142966410971</c:v>
                </c:pt>
                <c:pt idx="2">
                  <c:v>4867.9723689912007</c:v>
                </c:pt>
                <c:pt idx="3">
                  <c:v>2984.8522147632202</c:v>
                </c:pt>
                <c:pt idx="4">
                  <c:v>2653.191010131367</c:v>
                </c:pt>
                <c:pt idx="5">
                  <c:v>1618.480554928778</c:v>
                </c:pt>
                <c:pt idx="6">
                  <c:v>1606.7188742639401</c:v>
                </c:pt>
                <c:pt idx="7">
                  <c:v>3398.7541987582504</c:v>
                </c:pt>
              </c:numCache>
            </c:numRef>
          </c:val>
        </c:ser>
        <c:gapWidth val="100"/>
        <c:splitType val="pos"/>
        <c:splitPos val="5"/>
        <c:secondPieSize val="55"/>
        <c:serLines/>
      </c:ofPieChart>
      <c:spPr>
        <a:scene3d>
          <a:camera prst="orthographicFront"/>
          <a:lightRig rig="threePt" dir="t"/>
        </a:scene3d>
        <a:sp3d>
          <a:bevelT h="6350"/>
        </a:sp3d>
      </c:spPr>
    </c:plotArea>
    <c:plotVisOnly val="1"/>
    <c:dispBlanksAs val="zero"/>
  </c:chart>
  <c:spPr>
    <a:noFill/>
    <a:ln>
      <a:noFill/>
    </a:ln>
  </c:spPr>
  <c:externalData r:id="rId1"/>
  <c:userShapes r:id="rId2"/>
</c:chartSpace>
</file>

<file path=word/charts/chart24.xml><?xml version="1.0" encoding="utf-8"?>
<c:chartSpace xmlns:c="http://schemas.openxmlformats.org/drawingml/2006/chart" xmlns:a="http://schemas.openxmlformats.org/drawingml/2006/main" xmlns:r="http://schemas.openxmlformats.org/officeDocument/2006/relationships">
  <c:date1904 val="1"/>
  <c:lang val="zh-TW"/>
  <c:chart>
    <c:plotArea>
      <c:layout>
        <c:manualLayout>
          <c:layoutTarget val="inner"/>
          <c:xMode val="edge"/>
          <c:yMode val="edge"/>
          <c:x val="0.12532175792055292"/>
          <c:y val="0.22975118764360061"/>
          <c:w val="0.80018524351122777"/>
          <c:h val="0.65829911447985412"/>
        </c:manualLayout>
      </c:layout>
      <c:scatterChart>
        <c:scatterStyle val="lineMarker"/>
        <c:ser>
          <c:idx val="1"/>
          <c:order val="0"/>
          <c:tx>
            <c:v>0-14歲</c:v>
          </c:tx>
          <c:spPr>
            <a:ln w="28575">
              <a:noFill/>
            </a:ln>
          </c:spPr>
          <c:marker>
            <c:symbol val="diamond"/>
            <c:size val="8"/>
            <c:spPr>
              <a:solidFill>
                <a:schemeClr val="accent1">
                  <a:lumMod val="75000"/>
                </a:schemeClr>
              </a:solidFill>
              <a:ln w="15875">
                <a:noFill/>
              </a:ln>
            </c:spPr>
          </c:marker>
          <c:dLbls>
            <c:dLbl>
              <c:idx val="0"/>
              <c:layout>
                <c:manualLayout>
                  <c:x val="-9.5403846077485505E-2"/>
                  <c:y val="-1.3513647673473439E-2"/>
                </c:manualLayout>
              </c:layout>
              <c:tx>
                <c:rich>
                  <a:bodyPr/>
                  <a:lstStyle/>
                  <a:p>
                    <a:r>
                      <a:rPr lang="en-US" altLang="zh-TW" sz="800"/>
                      <a:t>0-14</a:t>
                    </a:r>
                  </a:p>
                  <a:p>
                    <a:r>
                      <a:rPr lang="en-US" altLang="zh-TW" sz="800"/>
                      <a:t>1.6 , 6 </a:t>
                    </a:r>
                  </a:p>
                </c:rich>
              </c:tx>
              <c:showVal val="1"/>
              <c:showCatName val="1"/>
              <c:showSerName val="1"/>
            </c:dLbl>
            <c:numFmt formatCode="#,##0.0_);[Red]\(#,##0.0\)" sourceLinked="0"/>
            <c:txPr>
              <a:bodyPr/>
              <a:lstStyle/>
              <a:p>
                <a:pPr>
                  <a:defRPr sz="800">
                    <a:latin typeface="Times New Roman" pitchFamily="18" charset="0"/>
                    <a:ea typeface="標楷體" pitchFamily="65" charset="-120"/>
                    <a:cs typeface="Times New Roman" pitchFamily="18" charset="0"/>
                  </a:defRPr>
                </a:pPr>
                <a:endParaRPr lang="zh-TW"/>
              </a:p>
            </c:txPr>
            <c:showVal val="1"/>
            <c:showCatName val="1"/>
            <c:showSerName val="1"/>
          </c:dLbls>
          <c:xVal>
            <c:numRef>
              <c:f>門診重大傷病age!$G$76</c:f>
              <c:numCache>
                <c:formatCode>_-* #,##0.0_-;\-* #,##0.0_-;_-* "-"??_-;_-@_-</c:formatCode>
                <c:ptCount val="1"/>
                <c:pt idx="0">
                  <c:v>1.5952233064107257</c:v>
                </c:pt>
              </c:numCache>
            </c:numRef>
          </c:xVal>
          <c:yVal>
            <c:numRef>
              <c:f>門診重大傷病age!$D$80</c:f>
              <c:numCache>
                <c:formatCode>0_ </c:formatCode>
                <c:ptCount val="1"/>
                <c:pt idx="0">
                  <c:v>6299.7084921684591</c:v>
                </c:pt>
              </c:numCache>
            </c:numRef>
          </c:yVal>
        </c:ser>
        <c:ser>
          <c:idx val="0"/>
          <c:order val="1"/>
          <c:tx>
            <c:v>0-14歲</c:v>
          </c:tx>
          <c:spPr>
            <a:ln w="28575">
              <a:noFill/>
            </a:ln>
          </c:spPr>
          <c:marker>
            <c:symbol val="square"/>
            <c:size val="7"/>
            <c:spPr>
              <a:solidFill>
                <a:srgbClr val="E993E5"/>
              </a:solidFill>
              <a:ln w="12700">
                <a:noFill/>
              </a:ln>
            </c:spPr>
          </c:marker>
          <c:dLbls>
            <c:dLbl>
              <c:idx val="0"/>
              <c:layout>
                <c:manualLayout>
                  <c:x val="-4.8037253664018169E-2"/>
                  <c:y val="5.9112203173184913E-2"/>
                </c:manualLayout>
              </c:layout>
              <c:tx>
                <c:rich>
                  <a:bodyPr/>
                  <a:lstStyle/>
                  <a:p>
                    <a:r>
                      <a:rPr lang="en-US" altLang="zh-TW" sz="800"/>
                      <a:t>0-14</a:t>
                    </a:r>
                  </a:p>
                  <a:p>
                    <a:r>
                      <a:rPr lang="en-US" altLang="zh-TW" sz="800"/>
                      <a:t>0.6 , 4 </a:t>
                    </a:r>
                  </a:p>
                </c:rich>
              </c:tx>
              <c:showVal val="1"/>
              <c:showCatName val="1"/>
              <c:showSerName val="1"/>
            </c:dLbl>
            <c:numFmt formatCode="#,##0.0_);[Red]\(#,##0.0\)" sourceLinked="0"/>
            <c:txPr>
              <a:bodyPr/>
              <a:lstStyle/>
              <a:p>
                <a:pPr>
                  <a:defRPr sz="800">
                    <a:latin typeface="Times New Roman" pitchFamily="18" charset="0"/>
                    <a:ea typeface="標楷體" pitchFamily="65" charset="-120"/>
                    <a:cs typeface="Times New Roman" pitchFamily="18" charset="0"/>
                  </a:defRPr>
                </a:pPr>
                <a:endParaRPr lang="zh-TW"/>
              </a:p>
            </c:txPr>
            <c:showVal val="1"/>
            <c:showCatName val="1"/>
            <c:showSerName val="1"/>
          </c:dLbls>
          <c:xVal>
            <c:numRef>
              <c:f>門診重大傷病age!$I$76</c:f>
              <c:numCache>
                <c:formatCode>_-* #,##0.0_-;\-* #,##0.0_-;_-* "-"??_-;_-@_-</c:formatCode>
                <c:ptCount val="1"/>
                <c:pt idx="0">
                  <c:v>0.63783001020238173</c:v>
                </c:pt>
              </c:numCache>
            </c:numRef>
          </c:xVal>
          <c:yVal>
            <c:numRef>
              <c:f>門診重大傷病age!$E$80</c:f>
              <c:numCache>
                <c:formatCode>0_ </c:formatCode>
                <c:ptCount val="1"/>
                <c:pt idx="0">
                  <c:v>3857.1884777954447</c:v>
                </c:pt>
              </c:numCache>
            </c:numRef>
          </c:yVal>
        </c:ser>
        <c:ser>
          <c:idx val="2"/>
          <c:order val="2"/>
          <c:tx>
            <c:v>15-29歲</c:v>
          </c:tx>
          <c:spPr>
            <a:ln w="28575">
              <a:noFill/>
            </a:ln>
          </c:spPr>
          <c:marker>
            <c:symbol val="diamond"/>
            <c:size val="8"/>
            <c:spPr>
              <a:solidFill>
                <a:srgbClr val="4F81BD">
                  <a:lumMod val="75000"/>
                </a:srgbClr>
              </a:solidFill>
              <a:ln w="12700">
                <a:noFill/>
              </a:ln>
            </c:spPr>
          </c:marker>
          <c:dLbls>
            <c:dLbl>
              <c:idx val="0"/>
              <c:layout>
                <c:manualLayout>
                  <c:x val="-5.5243387693028535E-2"/>
                  <c:y val="-6.4756178527329483E-2"/>
                </c:manualLayout>
              </c:layout>
              <c:tx>
                <c:rich>
                  <a:bodyPr/>
                  <a:lstStyle/>
                  <a:p>
                    <a:r>
                      <a:rPr lang="en-US" altLang="zh-TW" sz="800"/>
                      <a:t>15-29</a:t>
                    </a:r>
                  </a:p>
                  <a:p>
                    <a:r>
                      <a:rPr lang="en-US" altLang="zh-TW" sz="800"/>
                      <a:t>2.9 , 10 </a:t>
                    </a:r>
                  </a:p>
                </c:rich>
              </c:tx>
              <c:showVal val="1"/>
              <c:showCatName val="1"/>
              <c:showSerName val="1"/>
            </c:dLbl>
            <c:numFmt formatCode="#,##0;\-#,##0" sourceLinked="0"/>
            <c:txPr>
              <a:bodyPr/>
              <a:lstStyle/>
              <a:p>
                <a:pPr>
                  <a:defRPr sz="800">
                    <a:latin typeface="Times New Roman" pitchFamily="18" charset="0"/>
                    <a:ea typeface="標楷體" pitchFamily="65" charset="-120"/>
                    <a:cs typeface="Times New Roman" pitchFamily="18" charset="0"/>
                  </a:defRPr>
                </a:pPr>
                <a:endParaRPr lang="zh-TW"/>
              </a:p>
            </c:txPr>
            <c:showVal val="1"/>
            <c:showCatName val="1"/>
            <c:showSerName val="1"/>
          </c:dLbls>
          <c:xVal>
            <c:numRef>
              <c:f>門診重大傷病age!$K$76</c:f>
              <c:numCache>
                <c:formatCode>_-* #,##0.0_-;\-* #,##0.0_-;_-* "-"??_-;_-@_-</c:formatCode>
                <c:ptCount val="1"/>
                <c:pt idx="0">
                  <c:v>2.8605394347614506</c:v>
                </c:pt>
              </c:numCache>
            </c:numRef>
          </c:xVal>
          <c:yVal>
            <c:numRef>
              <c:f>門診重大傷病age!$F$80</c:f>
              <c:numCache>
                <c:formatCode>0_ </c:formatCode>
                <c:ptCount val="1"/>
                <c:pt idx="0">
                  <c:v>9908.1734384650026</c:v>
                </c:pt>
              </c:numCache>
            </c:numRef>
          </c:yVal>
        </c:ser>
        <c:ser>
          <c:idx val="3"/>
          <c:order val="3"/>
          <c:tx>
            <c:v>15-29歲</c:v>
          </c:tx>
          <c:spPr>
            <a:ln w="28575">
              <a:noFill/>
            </a:ln>
          </c:spPr>
          <c:marker>
            <c:symbol val="square"/>
            <c:size val="7"/>
            <c:spPr>
              <a:solidFill>
                <a:srgbClr val="E993E5"/>
              </a:solidFill>
              <a:ln w="12700">
                <a:noFill/>
              </a:ln>
            </c:spPr>
          </c:marker>
          <c:dLbls>
            <c:dLbl>
              <c:idx val="0"/>
              <c:layout>
                <c:manualLayout>
                  <c:x val="-4.9972006146735632E-3"/>
                  <c:y val="-1.107574319167552E-3"/>
                </c:manualLayout>
              </c:layout>
              <c:tx>
                <c:rich>
                  <a:bodyPr/>
                  <a:lstStyle/>
                  <a:p>
                    <a:pPr>
                      <a:defRPr sz="800">
                        <a:latin typeface="Times New Roman" pitchFamily="18" charset="0"/>
                        <a:ea typeface="標楷體" pitchFamily="65" charset="-120"/>
                        <a:cs typeface="Times New Roman" pitchFamily="18" charset="0"/>
                      </a:defRPr>
                    </a:pPr>
                    <a:r>
                      <a:rPr lang="en-US" altLang="zh-TW" sz="800"/>
                      <a:t>15-29</a:t>
                    </a:r>
                  </a:p>
                  <a:p>
                    <a:pPr>
                      <a:defRPr sz="800">
                        <a:latin typeface="Times New Roman" pitchFamily="18" charset="0"/>
                        <a:ea typeface="標楷體" pitchFamily="65" charset="-120"/>
                        <a:cs typeface="Times New Roman" pitchFamily="18" charset="0"/>
                      </a:defRPr>
                    </a:pPr>
                    <a:r>
                      <a:rPr lang="en-US" altLang="zh-TW" sz="800"/>
                      <a:t>1.5 , 5 </a:t>
                    </a:r>
                  </a:p>
                </c:rich>
              </c:tx>
              <c:numFmt formatCode="#,##0.0_);[Red]\(#,##0.0\)" sourceLinked="0"/>
              <c:spPr/>
              <c:showVal val="1"/>
              <c:showCatName val="1"/>
              <c:showSerName val="1"/>
            </c:dLbl>
            <c:numFmt formatCode="#,##0.0_);[Red]\(#,##0.0\)" sourceLinked="0"/>
            <c:txPr>
              <a:bodyPr/>
              <a:lstStyle/>
              <a:p>
                <a:pPr>
                  <a:defRPr sz="800"/>
                </a:pPr>
                <a:endParaRPr lang="zh-TW"/>
              </a:p>
            </c:txPr>
            <c:showVal val="1"/>
            <c:showCatName val="1"/>
            <c:showSerName val="1"/>
          </c:dLbls>
          <c:xVal>
            <c:numRef>
              <c:f>門診重大傷病age!$M$76</c:f>
              <c:numCache>
                <c:formatCode>_-* #,##0.0_-;\-* #,##0.0_-;_-* "-"??_-;_-@_-</c:formatCode>
                <c:ptCount val="1"/>
                <c:pt idx="0">
                  <c:v>1.5317178581570594</c:v>
                </c:pt>
              </c:numCache>
            </c:numRef>
          </c:xVal>
          <c:yVal>
            <c:numRef>
              <c:f>門診重大傷病age!$G$80</c:f>
              <c:numCache>
                <c:formatCode>0_ </c:formatCode>
                <c:ptCount val="1"/>
                <c:pt idx="0">
                  <c:v>5340.6582640503266</c:v>
                </c:pt>
              </c:numCache>
            </c:numRef>
          </c:yVal>
        </c:ser>
        <c:ser>
          <c:idx val="4"/>
          <c:order val="4"/>
          <c:tx>
            <c:v>30-44歲</c:v>
          </c:tx>
          <c:spPr>
            <a:ln w="28575">
              <a:noFill/>
            </a:ln>
          </c:spPr>
          <c:marker>
            <c:symbol val="diamond"/>
            <c:size val="8"/>
            <c:spPr>
              <a:solidFill>
                <a:srgbClr val="4F81BD">
                  <a:lumMod val="75000"/>
                </a:srgbClr>
              </a:solidFill>
              <a:ln w="12700">
                <a:noFill/>
              </a:ln>
            </c:spPr>
          </c:marker>
          <c:dLbls>
            <c:dLbl>
              <c:idx val="0"/>
              <c:layout>
                <c:manualLayout>
                  <c:x val="-1.8099547511312222E-2"/>
                  <c:y val="-4.5045045045045043E-2"/>
                </c:manualLayout>
              </c:layout>
              <c:tx>
                <c:rich>
                  <a:bodyPr/>
                  <a:lstStyle/>
                  <a:p>
                    <a:r>
                      <a:rPr lang="en-US" altLang="zh-TW" sz="800"/>
                      <a:t>30-44</a:t>
                    </a:r>
                  </a:p>
                  <a:p>
                    <a:r>
                      <a:rPr lang="en-US" altLang="zh-TW" sz="800"/>
                      <a:t>6.6 , 8 </a:t>
                    </a:r>
                  </a:p>
                </c:rich>
              </c:tx>
              <c:showVal val="1"/>
              <c:showCatName val="1"/>
              <c:showSerName val="1"/>
            </c:dLbl>
            <c:numFmt formatCode="#,##0.0_);[Red]\(#,##0.0\)" sourceLinked="0"/>
            <c:txPr>
              <a:bodyPr/>
              <a:lstStyle/>
              <a:p>
                <a:pPr>
                  <a:defRPr sz="800">
                    <a:latin typeface="Times New Roman" pitchFamily="18" charset="0"/>
                    <a:ea typeface="標楷體" pitchFamily="65" charset="-120"/>
                    <a:cs typeface="Times New Roman" pitchFamily="18" charset="0"/>
                  </a:defRPr>
                </a:pPr>
                <a:endParaRPr lang="zh-TW"/>
              </a:p>
            </c:txPr>
            <c:showVal val="1"/>
            <c:showCatName val="1"/>
            <c:showSerName val="1"/>
          </c:dLbls>
          <c:xVal>
            <c:numRef>
              <c:f>門診重大傷病age!$O$76</c:f>
              <c:numCache>
                <c:formatCode>_-* #,##0.0_-;\-* #,##0.0_-;_-* "-"??_-;_-@_-</c:formatCode>
                <c:ptCount val="1"/>
                <c:pt idx="0">
                  <c:v>6.6379110856808392</c:v>
                </c:pt>
              </c:numCache>
            </c:numRef>
          </c:xVal>
          <c:yVal>
            <c:numRef>
              <c:f>門診重大傷病age!$H$80</c:f>
              <c:numCache>
                <c:formatCode>0_ </c:formatCode>
                <c:ptCount val="1"/>
                <c:pt idx="0">
                  <c:v>7756.7263316659773</c:v>
                </c:pt>
              </c:numCache>
            </c:numRef>
          </c:yVal>
        </c:ser>
        <c:ser>
          <c:idx val="5"/>
          <c:order val="5"/>
          <c:tx>
            <c:v>30-44歲</c:v>
          </c:tx>
          <c:spPr>
            <a:ln w="28575">
              <a:noFill/>
            </a:ln>
          </c:spPr>
          <c:marker>
            <c:symbol val="circle"/>
            <c:size val="7"/>
            <c:spPr>
              <a:solidFill>
                <a:srgbClr val="E993E5"/>
              </a:solidFill>
              <a:ln w="12700">
                <a:noFill/>
              </a:ln>
            </c:spPr>
          </c:marker>
          <c:dPt>
            <c:idx val="0"/>
            <c:marker>
              <c:symbol val="square"/>
              <c:size val="7"/>
            </c:marker>
          </c:dPt>
          <c:dLbls>
            <c:dLbl>
              <c:idx val="0"/>
              <c:layout>
                <c:manualLayout>
                  <c:x val="-6.0331825037707523E-3"/>
                  <c:y val="0"/>
                </c:manualLayout>
              </c:layout>
              <c:tx>
                <c:rich>
                  <a:bodyPr/>
                  <a:lstStyle/>
                  <a:p>
                    <a:r>
                      <a:rPr lang="en-US" altLang="zh-TW" sz="800"/>
                      <a:t>30-44</a:t>
                    </a:r>
                  </a:p>
                  <a:p>
                    <a:r>
                      <a:rPr lang="en-US" altLang="zh-TW" sz="800"/>
                      <a:t>5.6 , 6 </a:t>
                    </a:r>
                  </a:p>
                </c:rich>
              </c:tx>
              <c:showVal val="1"/>
              <c:showCatName val="1"/>
              <c:showSerName val="1"/>
            </c:dLbl>
            <c:numFmt formatCode="#,##0.0_);[Red]\(#,##0.0\)" sourceLinked="0"/>
            <c:txPr>
              <a:bodyPr/>
              <a:lstStyle/>
              <a:p>
                <a:pPr>
                  <a:defRPr sz="800">
                    <a:latin typeface="Times New Roman" pitchFamily="18" charset="0"/>
                    <a:ea typeface="標楷體" pitchFamily="65" charset="-120"/>
                    <a:cs typeface="Times New Roman" pitchFamily="18" charset="0"/>
                  </a:defRPr>
                </a:pPr>
                <a:endParaRPr lang="zh-TW"/>
              </a:p>
            </c:txPr>
            <c:showVal val="1"/>
            <c:showCatName val="1"/>
            <c:showSerName val="1"/>
          </c:dLbls>
          <c:xVal>
            <c:numRef>
              <c:f>門診重大傷病age!$Q$76</c:f>
              <c:numCache>
                <c:formatCode>_-* #,##0.0_-;\-* #,##0.0_-;_-* "-"??_-;_-@_-</c:formatCode>
                <c:ptCount val="1"/>
                <c:pt idx="0">
                  <c:v>5.5678258838410262</c:v>
                </c:pt>
              </c:numCache>
            </c:numRef>
          </c:xVal>
          <c:yVal>
            <c:numRef>
              <c:f>門診重大傷病age!$I$80</c:f>
              <c:numCache>
                <c:formatCode>0_ </c:formatCode>
                <c:ptCount val="1"/>
                <c:pt idx="0">
                  <c:v>5601.8990921495724</c:v>
                </c:pt>
              </c:numCache>
            </c:numRef>
          </c:yVal>
        </c:ser>
        <c:ser>
          <c:idx val="6"/>
          <c:order val="6"/>
          <c:tx>
            <c:v>45-64歲</c:v>
          </c:tx>
          <c:spPr>
            <a:ln w="28575">
              <a:noFill/>
            </a:ln>
          </c:spPr>
          <c:marker>
            <c:symbol val="diamond"/>
            <c:size val="8"/>
            <c:spPr>
              <a:solidFill>
                <a:srgbClr val="4F81BD">
                  <a:lumMod val="75000"/>
                </a:srgbClr>
              </a:solidFill>
              <a:ln w="12700">
                <a:noFill/>
              </a:ln>
            </c:spPr>
          </c:marker>
          <c:dLbls>
            <c:dLbl>
              <c:idx val="0"/>
              <c:layout>
                <c:manualLayout>
                  <c:x val="-3.0165858617142442E-3"/>
                  <c:y val="-6.7620980001613443E-3"/>
                </c:manualLayout>
              </c:layout>
              <c:tx>
                <c:rich>
                  <a:bodyPr/>
                  <a:lstStyle/>
                  <a:p>
                    <a:r>
                      <a:rPr lang="en-US" altLang="zh-TW" sz="800"/>
                      <a:t>45-64</a:t>
                    </a:r>
                  </a:p>
                  <a:p>
                    <a:r>
                      <a:rPr lang="en-US" altLang="zh-TW" sz="800"/>
                      <a:t>22.0 , 9 </a:t>
                    </a:r>
                  </a:p>
                </c:rich>
              </c:tx>
              <c:showVal val="1"/>
              <c:showCatName val="1"/>
              <c:showSerName val="1"/>
            </c:dLbl>
            <c:numFmt formatCode="#,##0.0_);[Red]\(#,##0.0\)" sourceLinked="0"/>
            <c:txPr>
              <a:bodyPr/>
              <a:lstStyle/>
              <a:p>
                <a:pPr>
                  <a:defRPr sz="800">
                    <a:latin typeface="Times New Roman" pitchFamily="18" charset="0"/>
                    <a:ea typeface="標楷體" pitchFamily="65" charset="-120"/>
                    <a:cs typeface="Times New Roman" pitchFamily="18" charset="0"/>
                  </a:defRPr>
                </a:pPr>
                <a:endParaRPr lang="zh-TW"/>
              </a:p>
            </c:txPr>
            <c:showVal val="1"/>
            <c:showCatName val="1"/>
            <c:showSerName val="1"/>
          </c:dLbls>
          <c:xVal>
            <c:numRef>
              <c:f>門診重大傷病age!$S$76</c:f>
              <c:numCache>
                <c:formatCode>_-* #,##0.0_-;\-* #,##0.0_-;_-* "-"??_-;_-@_-</c:formatCode>
                <c:ptCount val="1"/>
                <c:pt idx="0">
                  <c:v>21.99423376648663</c:v>
                </c:pt>
              </c:numCache>
            </c:numRef>
          </c:xVal>
          <c:yVal>
            <c:numRef>
              <c:f>門診重大傷病age!$J$80</c:f>
              <c:numCache>
                <c:formatCode>0_ </c:formatCode>
                <c:ptCount val="1"/>
                <c:pt idx="0">
                  <c:v>8708.3306546243202</c:v>
                </c:pt>
              </c:numCache>
            </c:numRef>
          </c:yVal>
        </c:ser>
        <c:ser>
          <c:idx val="7"/>
          <c:order val="7"/>
          <c:tx>
            <c:v>45-64歲</c:v>
          </c:tx>
          <c:spPr>
            <a:ln w="28575">
              <a:noFill/>
            </a:ln>
          </c:spPr>
          <c:marker>
            <c:symbol val="square"/>
            <c:size val="7"/>
            <c:spPr>
              <a:solidFill>
                <a:srgbClr val="E993E5"/>
              </a:solidFill>
              <a:ln w="12700">
                <a:noFill/>
              </a:ln>
            </c:spPr>
          </c:marker>
          <c:dLbls>
            <c:dLbl>
              <c:idx val="0"/>
              <c:layout>
                <c:manualLayout>
                  <c:x val="-5.5738541381268339E-2"/>
                  <c:y val="6.9260624336851748E-2"/>
                </c:manualLayout>
              </c:layout>
              <c:tx>
                <c:rich>
                  <a:bodyPr/>
                  <a:lstStyle/>
                  <a:p>
                    <a:pPr>
                      <a:defRPr sz="800">
                        <a:latin typeface="Times New Roman" pitchFamily="18" charset="0"/>
                        <a:ea typeface="標楷體" pitchFamily="65" charset="-120"/>
                        <a:cs typeface="Times New Roman" pitchFamily="18" charset="0"/>
                      </a:defRPr>
                    </a:pPr>
                    <a:r>
                      <a:rPr lang="en-US" altLang="zh-TW" sz="800"/>
                      <a:t>45-64</a:t>
                    </a:r>
                  </a:p>
                  <a:p>
                    <a:pPr>
                      <a:defRPr sz="800">
                        <a:latin typeface="Times New Roman" pitchFamily="18" charset="0"/>
                        <a:ea typeface="標楷體" pitchFamily="65" charset="-120"/>
                        <a:cs typeface="Times New Roman" pitchFamily="18" charset="0"/>
                      </a:defRPr>
                    </a:pPr>
                    <a:r>
                      <a:rPr lang="en-US" altLang="zh-TW" sz="800"/>
                      <a:t>23.1 , 8 </a:t>
                    </a:r>
                  </a:p>
                </c:rich>
              </c:tx>
              <c:numFmt formatCode="#,##0.0_);[Red]\(#,##0.0\)" sourceLinked="0"/>
              <c:spPr/>
              <c:showVal val="1"/>
              <c:showCatName val="1"/>
              <c:showSerName val="1"/>
            </c:dLbl>
            <c:numFmt formatCode="#,##0.0_);[Red]\(#,##0.0\)" sourceLinked="0"/>
            <c:txPr>
              <a:bodyPr/>
              <a:lstStyle/>
              <a:p>
                <a:pPr>
                  <a:defRPr sz="900">
                    <a:latin typeface="Times New Roman" pitchFamily="18" charset="0"/>
                    <a:ea typeface="標楷體" pitchFamily="65" charset="-120"/>
                    <a:cs typeface="Times New Roman" pitchFamily="18" charset="0"/>
                  </a:defRPr>
                </a:pPr>
                <a:endParaRPr lang="zh-TW"/>
              </a:p>
            </c:txPr>
            <c:showVal val="1"/>
            <c:showCatName val="1"/>
            <c:showSerName val="1"/>
          </c:dLbls>
          <c:xVal>
            <c:numRef>
              <c:f>門診重大傷病age!$U$76</c:f>
              <c:numCache>
                <c:formatCode>_-* #,##0.0_-;\-* #,##0.0_-;_-* "-"??_-;_-@_-</c:formatCode>
                <c:ptCount val="1"/>
                <c:pt idx="0">
                  <c:v>23.075383523853464</c:v>
                </c:pt>
              </c:numCache>
            </c:numRef>
          </c:xVal>
          <c:yVal>
            <c:numRef>
              <c:f>門診重大傷病age!$K$80</c:f>
              <c:numCache>
                <c:formatCode>0_ </c:formatCode>
                <c:ptCount val="1"/>
                <c:pt idx="0">
                  <c:v>7518.1522051487682</c:v>
                </c:pt>
              </c:numCache>
            </c:numRef>
          </c:yVal>
        </c:ser>
        <c:ser>
          <c:idx val="8"/>
          <c:order val="8"/>
          <c:tx>
            <c:v>65歲以上</c:v>
          </c:tx>
          <c:spPr>
            <a:ln w="28575">
              <a:noFill/>
            </a:ln>
          </c:spPr>
          <c:marker>
            <c:symbol val="diamond"/>
            <c:size val="8"/>
            <c:spPr>
              <a:solidFill>
                <a:srgbClr val="4F81BD">
                  <a:lumMod val="75000"/>
                </a:srgbClr>
              </a:solidFill>
              <a:ln w="12700">
                <a:noFill/>
              </a:ln>
            </c:spPr>
          </c:marker>
          <c:dLbls>
            <c:dLbl>
              <c:idx val="0"/>
              <c:layout>
                <c:manualLayout>
                  <c:x val="-0.13723202337983093"/>
                  <c:y val="-1.3513647673473439E-2"/>
                </c:manualLayout>
              </c:layout>
              <c:tx>
                <c:rich>
                  <a:bodyPr/>
                  <a:lstStyle/>
                  <a:p>
                    <a:r>
                      <a:rPr lang="en-US" altLang="zh-TW"/>
                      <a:t>65 and over</a:t>
                    </a:r>
                  </a:p>
                  <a:p>
                    <a:r>
                      <a:rPr lang="en-US" altLang="zh-TW"/>
                      <a:t>17.3 , 8 </a:t>
                    </a:r>
                  </a:p>
                </c:rich>
              </c:tx>
              <c:showVal val="1"/>
              <c:showCatName val="1"/>
              <c:showSerName val="1"/>
            </c:dLbl>
            <c:numFmt formatCode="#,##0.0_);[Red]\(#,##0.0\)" sourceLinked="0"/>
            <c:txPr>
              <a:bodyPr/>
              <a:lstStyle/>
              <a:p>
                <a:pPr>
                  <a:defRPr sz="800">
                    <a:latin typeface="Times New Roman" pitchFamily="18" charset="0"/>
                    <a:ea typeface="標楷體" pitchFamily="65" charset="-120"/>
                    <a:cs typeface="Times New Roman" pitchFamily="18" charset="0"/>
                  </a:defRPr>
                </a:pPr>
                <a:endParaRPr lang="zh-TW"/>
              </a:p>
            </c:txPr>
            <c:showVal val="1"/>
            <c:showCatName val="1"/>
            <c:showSerName val="1"/>
          </c:dLbls>
          <c:xVal>
            <c:numRef>
              <c:f>門診重大傷病age!$W$76</c:f>
              <c:numCache>
                <c:formatCode>_-* #,##0.0_-;\-* #,##0.0_-;_-* "-"??_-;_-@_-</c:formatCode>
                <c:ptCount val="1"/>
                <c:pt idx="0">
                  <c:v>17.275513554652939</c:v>
                </c:pt>
              </c:numCache>
            </c:numRef>
          </c:xVal>
          <c:yVal>
            <c:numRef>
              <c:f>門診重大傷病age!$L$80</c:f>
              <c:numCache>
                <c:formatCode>0_ </c:formatCode>
                <c:ptCount val="1"/>
                <c:pt idx="0">
                  <c:v>8396.6114570148402</c:v>
                </c:pt>
              </c:numCache>
            </c:numRef>
          </c:yVal>
        </c:ser>
        <c:ser>
          <c:idx val="9"/>
          <c:order val="9"/>
          <c:tx>
            <c:v>65歲以上</c:v>
          </c:tx>
          <c:spPr>
            <a:ln w="9525">
              <a:solidFill>
                <a:schemeClr val="tx1"/>
              </a:solidFill>
            </a:ln>
          </c:spPr>
          <c:marker>
            <c:symbol val="square"/>
            <c:size val="7"/>
            <c:spPr>
              <a:solidFill>
                <a:srgbClr val="E993E5"/>
              </a:solidFill>
              <a:ln w="12700">
                <a:noFill/>
              </a:ln>
            </c:spPr>
          </c:marker>
          <c:dLbls>
            <c:dLbl>
              <c:idx val="0"/>
              <c:layout>
                <c:manualLayout>
                  <c:x val="-7.2398259219110514E-2"/>
                  <c:y val="-5.8004939098924714E-2"/>
                </c:manualLayout>
              </c:layout>
              <c:tx>
                <c:rich>
                  <a:bodyPr/>
                  <a:lstStyle/>
                  <a:p>
                    <a:pPr>
                      <a:defRPr sz="800">
                        <a:latin typeface="Times New Roman" pitchFamily="18" charset="0"/>
                        <a:ea typeface="標楷體" pitchFamily="65" charset="-120"/>
                        <a:cs typeface="Times New Roman" pitchFamily="18" charset="0"/>
                      </a:defRPr>
                    </a:pPr>
                    <a:r>
                      <a:rPr lang="en-US" altLang="zh-TW" sz="800"/>
                      <a:t>65 and over</a:t>
                    </a:r>
                  </a:p>
                  <a:p>
                    <a:pPr>
                      <a:defRPr sz="800">
                        <a:latin typeface="Times New Roman" pitchFamily="18" charset="0"/>
                        <a:ea typeface="標楷體" pitchFamily="65" charset="-120"/>
                        <a:cs typeface="Times New Roman" pitchFamily="18" charset="0"/>
                      </a:defRPr>
                    </a:pPr>
                    <a:r>
                      <a:rPr lang="en-US" altLang="zh-TW" sz="800"/>
                      <a:t>18.8 , 9</a:t>
                    </a:r>
                  </a:p>
                </c:rich>
              </c:tx>
              <c:numFmt formatCode="#,##0.0_);[Red]\(#,##0.0\)" sourceLinked="0"/>
              <c:spPr/>
              <c:showVal val="1"/>
              <c:showCatName val="1"/>
              <c:showSerName val="1"/>
            </c:dLbl>
            <c:numFmt formatCode="#,##0.0_);[Red]\(#,##0.0\)" sourceLinked="0"/>
            <c:txPr>
              <a:bodyPr/>
              <a:lstStyle/>
              <a:p>
                <a:pPr>
                  <a:defRPr sz="800"/>
                </a:pPr>
                <a:endParaRPr lang="zh-TW"/>
              </a:p>
            </c:txPr>
            <c:showVal val="1"/>
            <c:showCatName val="1"/>
            <c:showSerName val="1"/>
          </c:dLbls>
          <c:xVal>
            <c:numRef>
              <c:f>門診重大傷病age!$Y$76</c:f>
              <c:numCache>
                <c:formatCode>_-* #,##0.0_-;\-* #,##0.0_-;_-* "-"??_-;_-@_-</c:formatCode>
                <c:ptCount val="1"/>
                <c:pt idx="0">
                  <c:v>18.823821575953467</c:v>
                </c:pt>
              </c:numCache>
            </c:numRef>
          </c:xVal>
          <c:yVal>
            <c:numRef>
              <c:f>門診重大傷病age!$M$80</c:f>
              <c:numCache>
                <c:formatCode>0_ </c:formatCode>
                <c:ptCount val="1"/>
                <c:pt idx="0">
                  <c:v>9165.6410079115703</c:v>
                </c:pt>
              </c:numCache>
            </c:numRef>
          </c:yVal>
        </c:ser>
        <c:axId val="288497024"/>
        <c:axId val="288507008"/>
      </c:scatterChart>
      <c:valAx>
        <c:axId val="288497024"/>
        <c:scaling>
          <c:orientation val="minMax"/>
          <c:min val="0"/>
        </c:scaling>
        <c:axPos val="b"/>
        <c:numFmt formatCode="#,##0;[Red]\-#,##0" sourceLinked="0"/>
        <c:majorTickMark val="none"/>
        <c:tickLblPos val="none"/>
        <c:txPr>
          <a:bodyPr rot="0"/>
          <a:lstStyle/>
          <a:p>
            <a:pPr>
              <a:defRPr/>
            </a:pPr>
            <a:endParaRPr lang="zh-TW"/>
          </a:p>
        </c:txPr>
        <c:crossAx val="288507008"/>
        <c:crossesAt val="7637"/>
        <c:crossBetween val="midCat"/>
        <c:majorUnit val="15"/>
      </c:valAx>
      <c:valAx>
        <c:axId val="288507008"/>
        <c:scaling>
          <c:orientation val="minMax"/>
          <c:max val="14000"/>
          <c:min val="0"/>
        </c:scaling>
        <c:axPos val="l"/>
        <c:numFmt formatCode="#,##0.00;\-#,##0.00" sourceLinked="0"/>
        <c:majorTickMark val="none"/>
        <c:tickLblPos val="none"/>
        <c:crossAx val="288497024"/>
        <c:crossesAt val="6.1"/>
        <c:crossBetween val="midCat"/>
        <c:majorUnit val="3000"/>
        <c:dispUnits>
          <c:builtInUnit val="thousands"/>
        </c:dispUnits>
      </c:valAx>
    </c:plotArea>
    <c:plotVisOnly val="1"/>
    <c:dispBlanksAs val="gap"/>
  </c:chart>
  <c:spPr>
    <a:ln>
      <a:noFill/>
    </a:ln>
  </c:spPr>
  <c:txPr>
    <a:bodyPr/>
    <a:lstStyle/>
    <a:p>
      <a:pPr>
        <a:defRPr>
          <a:sym typeface="Wingdings"/>
        </a:defRPr>
      </a:pPr>
      <a:endParaRPr lang="zh-TW"/>
    </a:p>
  </c:txPr>
  <c:externalData r:id="rId1"/>
  <c:userShapes r:id="rId2"/>
</c:chartSpace>
</file>

<file path=word/charts/chart25.xml><?xml version="1.0" encoding="utf-8"?>
<c:chartSpace xmlns:c="http://schemas.openxmlformats.org/drawingml/2006/chart" xmlns:a="http://schemas.openxmlformats.org/drawingml/2006/main" xmlns:r="http://schemas.openxmlformats.org/officeDocument/2006/relationships">
  <c:date1904 val="1"/>
  <c:lang val="zh-TW"/>
  <c:chart>
    <c:autoTitleDeleted val="1"/>
    <c:plotArea>
      <c:layout>
        <c:manualLayout>
          <c:layoutTarget val="inner"/>
          <c:xMode val="edge"/>
          <c:yMode val="edge"/>
          <c:x val="2.6385498687664245E-2"/>
          <c:y val="0.19597918793181021"/>
          <c:w val="0.47175817014642718"/>
          <c:h val="0.70379268035706011"/>
        </c:manualLayout>
      </c:layout>
      <c:ofPieChart>
        <c:ofPieType val="bar"/>
        <c:varyColors val="1"/>
        <c:ser>
          <c:idx val="1"/>
          <c:order val="0"/>
          <c:spPr>
            <a:ln w="22225">
              <a:noFill/>
            </a:ln>
            <a:scene3d>
              <a:camera prst="orthographicFront"/>
              <a:lightRig rig="threePt" dir="t"/>
            </a:scene3d>
            <a:sp3d>
              <a:bevelT w="0" h="0"/>
            </a:sp3d>
          </c:spPr>
          <c:dPt>
            <c:idx val="0"/>
            <c:spPr>
              <a:solidFill>
                <a:srgbClr val="CCDDAB"/>
              </a:solidFill>
              <a:ln w="22225">
                <a:noFill/>
              </a:ln>
              <a:scene3d>
                <a:camera prst="orthographicFront"/>
                <a:lightRig rig="threePt" dir="t"/>
              </a:scene3d>
              <a:sp3d>
                <a:bevelT w="0" h="0"/>
              </a:sp3d>
            </c:spPr>
          </c:dPt>
          <c:dPt>
            <c:idx val="1"/>
            <c:spPr>
              <a:solidFill>
                <a:srgbClr val="FBCBA3"/>
              </a:solidFill>
              <a:ln w="22225">
                <a:noFill/>
              </a:ln>
              <a:scene3d>
                <a:camera prst="orthographicFront"/>
                <a:lightRig rig="threePt" dir="t"/>
              </a:scene3d>
              <a:sp3d>
                <a:bevelT w="0" h="0"/>
              </a:sp3d>
            </c:spPr>
          </c:dPt>
          <c:dPt>
            <c:idx val="2"/>
            <c:spPr>
              <a:solidFill>
                <a:schemeClr val="accent2">
                  <a:lumMod val="40000"/>
                  <a:lumOff val="60000"/>
                </a:schemeClr>
              </a:solidFill>
              <a:ln w="22225">
                <a:noFill/>
              </a:ln>
              <a:scene3d>
                <a:camera prst="orthographicFront"/>
                <a:lightRig rig="threePt" dir="t"/>
              </a:scene3d>
              <a:sp3d>
                <a:bevelT w="0" h="0"/>
              </a:sp3d>
            </c:spPr>
          </c:dPt>
          <c:dPt>
            <c:idx val="3"/>
            <c:spPr>
              <a:solidFill>
                <a:schemeClr val="accent4">
                  <a:lumMod val="60000"/>
                  <a:lumOff val="40000"/>
                </a:schemeClr>
              </a:solidFill>
              <a:ln w="22225">
                <a:noFill/>
              </a:ln>
              <a:scene3d>
                <a:camera prst="orthographicFront"/>
                <a:lightRig rig="threePt" dir="t"/>
              </a:scene3d>
              <a:sp3d>
                <a:bevelT w="0" h="0"/>
              </a:sp3d>
            </c:spPr>
          </c:dPt>
          <c:dPt>
            <c:idx val="4"/>
            <c:spPr>
              <a:solidFill>
                <a:srgbClr val="858DD5"/>
              </a:solidFill>
              <a:ln w="22225">
                <a:noFill/>
              </a:ln>
              <a:scene3d>
                <a:camera prst="orthographicFront"/>
                <a:lightRig rig="threePt" dir="t"/>
              </a:scene3d>
              <a:sp3d>
                <a:bevelT w="0" h="0"/>
              </a:sp3d>
            </c:spPr>
          </c:dPt>
          <c:dPt>
            <c:idx val="5"/>
            <c:spPr>
              <a:solidFill>
                <a:srgbClr val="BED395"/>
              </a:solidFill>
              <a:ln w="22225">
                <a:noFill/>
              </a:ln>
              <a:scene3d>
                <a:camera prst="orthographicFront"/>
                <a:lightRig rig="threePt" dir="t"/>
              </a:scene3d>
              <a:sp3d>
                <a:bevelT w="0" h="0"/>
              </a:sp3d>
            </c:spPr>
          </c:dPt>
          <c:dPt>
            <c:idx val="6"/>
            <c:spPr>
              <a:solidFill>
                <a:schemeClr val="accent2">
                  <a:lumMod val="60000"/>
                  <a:lumOff val="40000"/>
                </a:schemeClr>
              </a:solidFill>
              <a:ln w="22225">
                <a:noFill/>
              </a:ln>
              <a:scene3d>
                <a:camera prst="orthographicFront"/>
                <a:lightRig rig="threePt" dir="t"/>
              </a:scene3d>
              <a:sp3d>
                <a:bevelT w="0" h="0"/>
              </a:sp3d>
            </c:spPr>
          </c:dPt>
          <c:dPt>
            <c:idx val="7"/>
            <c:spPr>
              <a:solidFill>
                <a:srgbClr val="EDA9EA"/>
              </a:solidFill>
              <a:ln w="22225">
                <a:noFill/>
              </a:ln>
              <a:scene3d>
                <a:camera prst="orthographicFront"/>
                <a:lightRig rig="threePt" dir="t"/>
              </a:scene3d>
              <a:sp3d>
                <a:bevelT w="0" h="0"/>
              </a:sp3d>
            </c:spPr>
          </c:dPt>
          <c:dPt>
            <c:idx val="8"/>
            <c:spPr>
              <a:solidFill>
                <a:srgbClr val="FFFFAB"/>
              </a:solidFill>
              <a:ln w="22225">
                <a:noFill/>
              </a:ln>
              <a:scene3d>
                <a:camera prst="orthographicFront"/>
                <a:lightRig rig="threePt" dir="t"/>
              </a:scene3d>
              <a:sp3d>
                <a:bevelT w="0" h="0"/>
              </a:sp3d>
            </c:spPr>
          </c:dPt>
          <c:dLbls>
            <c:dLbl>
              <c:idx val="0"/>
              <c:layout>
                <c:manualLayout>
                  <c:x val="8.9530043312488192E-2"/>
                  <c:y val="-0.19911982855375107"/>
                </c:manualLayout>
              </c:layout>
              <c:showCatName val="1"/>
              <c:showPercent val="1"/>
              <c:separator> </c:separator>
            </c:dLbl>
            <c:dLbl>
              <c:idx val="1"/>
              <c:layout>
                <c:manualLayout>
                  <c:x val="5.0068897637795449E-2"/>
                  <c:y val="0.18441467879245788"/>
                </c:manualLayout>
              </c:layout>
              <c:showCatName val="1"/>
              <c:showPercent val="1"/>
              <c:separator> </c:separator>
            </c:dLbl>
            <c:dLbl>
              <c:idx val="2"/>
              <c:layout>
                <c:manualLayout>
                  <c:x val="5.5479002624672299E-3"/>
                  <c:y val="6.4027821159085813E-2"/>
                </c:manualLayout>
              </c:layout>
              <c:showCatName val="1"/>
              <c:showPercent val="1"/>
              <c:separator> </c:separator>
            </c:dLbl>
            <c:dLbl>
              <c:idx val="3"/>
              <c:delete val="1"/>
            </c:dLbl>
            <c:dLbl>
              <c:idx val="4"/>
              <c:delete val="1"/>
            </c:dLbl>
            <c:dLbl>
              <c:idx val="5"/>
              <c:layout>
                <c:manualLayout>
                  <c:x val="1.8289894833104761E-3"/>
                  <c:y val="-4.1718288347124934E-3"/>
                </c:manualLayout>
              </c:layout>
              <c:showCatName val="1"/>
              <c:showPercent val="1"/>
              <c:separator> </c:separator>
            </c:dLbl>
            <c:dLbl>
              <c:idx val="6"/>
              <c:layout>
                <c:manualLayout>
                  <c:x val="3.6579789666209644E-3"/>
                  <c:y val="1.3088244304926838E-2"/>
                </c:manualLayout>
              </c:layout>
              <c:showCatName val="1"/>
              <c:showPercent val="1"/>
              <c:separator> </c:separator>
            </c:dLbl>
            <c:dLbl>
              <c:idx val="7"/>
              <c:layout>
                <c:manualLayout>
                  <c:x val="5.6113675445742476E-3"/>
                  <c:y val="1.2084656424222464E-2"/>
                </c:manualLayout>
              </c:layout>
              <c:showCatName val="1"/>
              <c:showPercent val="1"/>
              <c:separator> </c:separator>
            </c:dLbl>
            <c:dLbl>
              <c:idx val="8"/>
              <c:delete val="1"/>
            </c:dLbl>
            <c:numFmt formatCode="0.0%" sourceLinked="0"/>
            <c:txPr>
              <a:bodyPr/>
              <a:lstStyle/>
              <a:p>
                <a:pPr>
                  <a:defRPr sz="800">
                    <a:latin typeface="Times New Roman" pitchFamily="18" charset="0"/>
                    <a:ea typeface="標楷體" pitchFamily="65" charset="-120"/>
                    <a:cs typeface="Times New Roman" pitchFamily="18" charset="0"/>
                  </a:defRPr>
                </a:pPr>
                <a:endParaRPr lang="zh-TW"/>
              </a:p>
            </c:txPr>
            <c:showCatName val="1"/>
            <c:showPercent val="1"/>
            <c:separator> </c:separator>
          </c:dLbls>
          <c:cat>
            <c:strRef>
              <c:f>重大傷病!$G$27:$G$34</c:f>
              <c:strCache>
                <c:ptCount val="8"/>
                <c:pt idx="0">
                  <c:v> Cancer </c:v>
                </c:pt>
                <c:pt idx="1">
                  <c:v> Dependence on respirator </c:v>
                </c:pt>
                <c:pt idx="2">
                  <c:v> Chronic Psychiatric Disorder </c:v>
                </c:pt>
                <c:pt idx="3">
                  <c:v> Uremia </c:v>
                </c:pt>
                <c:pt idx="4">
                  <c:v> Acute Cerebrovascular Disease </c:v>
                </c:pt>
                <c:pt idx="5">
                  <c:v> Cirrhosis of Liver </c:v>
                </c:pt>
                <c:pt idx="6">
                  <c:v> Major Trauma </c:v>
                </c:pt>
                <c:pt idx="7">
                  <c:v>Others</c:v>
                </c:pt>
              </c:strCache>
            </c:strRef>
          </c:cat>
          <c:val>
            <c:numRef>
              <c:f>重大傷病!$H$27:$H$34</c:f>
              <c:numCache>
                <c:formatCode>_-* #,##0_-;\-* #,##0_-;_-* "-"??_-;_-@_-</c:formatCode>
                <c:ptCount val="8"/>
                <c:pt idx="0">
                  <c:v>30520.913721077392</c:v>
                </c:pt>
                <c:pt idx="1">
                  <c:v>15264.07715133591</c:v>
                </c:pt>
                <c:pt idx="2">
                  <c:v>8668.0829333687634</c:v>
                </c:pt>
                <c:pt idx="3">
                  <c:v>5161.9238939291599</c:v>
                </c:pt>
                <c:pt idx="4">
                  <c:v>3448.5128597902499</c:v>
                </c:pt>
                <c:pt idx="5">
                  <c:v>1503.6350358725699</c:v>
                </c:pt>
                <c:pt idx="6">
                  <c:v>1210.8682658531302</c:v>
                </c:pt>
                <c:pt idx="7">
                  <c:v>4645.2256737727166</c:v>
                </c:pt>
              </c:numCache>
            </c:numRef>
          </c:val>
        </c:ser>
        <c:gapWidth val="97"/>
        <c:splitType val="pos"/>
        <c:splitPos val="5"/>
        <c:secondPieSize val="52"/>
        <c:serLines/>
      </c:ofPieChart>
    </c:plotArea>
    <c:plotVisOnly val="1"/>
    <c:dispBlanksAs val="zero"/>
  </c:chart>
  <c:spPr>
    <a:noFill/>
    <a:ln>
      <a:noFill/>
    </a:ln>
  </c:spPr>
  <c:externalData r:id="rId1"/>
  <c:userShapes r:id="rId2"/>
</c:chartSpace>
</file>

<file path=word/charts/chart26.xml><?xml version="1.0" encoding="utf-8"?>
<c:chartSpace xmlns:c="http://schemas.openxmlformats.org/drawingml/2006/chart" xmlns:a="http://schemas.openxmlformats.org/drawingml/2006/main" xmlns:r="http://schemas.openxmlformats.org/officeDocument/2006/relationships">
  <c:date1904 val="1"/>
  <c:lang val="zh-TW"/>
  <c:chart>
    <c:plotArea>
      <c:layout>
        <c:manualLayout>
          <c:layoutTarget val="inner"/>
          <c:xMode val="edge"/>
          <c:yMode val="edge"/>
          <c:x val="0.10534666312778318"/>
          <c:y val="0.28980432201018108"/>
          <c:w val="0.80018524351122777"/>
          <c:h val="0.58456208824040656"/>
        </c:manualLayout>
      </c:layout>
      <c:scatterChart>
        <c:scatterStyle val="lineMarker"/>
        <c:ser>
          <c:idx val="1"/>
          <c:order val="0"/>
          <c:tx>
            <c:v>0-14歲</c:v>
          </c:tx>
          <c:spPr>
            <a:ln w="28575">
              <a:noFill/>
            </a:ln>
          </c:spPr>
          <c:marker>
            <c:symbol val="diamond"/>
            <c:size val="8"/>
            <c:spPr>
              <a:solidFill>
                <a:schemeClr val="accent1">
                  <a:lumMod val="75000"/>
                </a:schemeClr>
              </a:solidFill>
              <a:ln w="15875">
                <a:noFill/>
              </a:ln>
            </c:spPr>
          </c:marker>
          <c:dLbls>
            <c:dLbl>
              <c:idx val="0"/>
              <c:layout>
                <c:manualLayout>
                  <c:x val="-5.8899407237016935E-2"/>
                  <c:y val="-5.6040300437949567E-2"/>
                </c:manualLayout>
              </c:layout>
              <c:tx>
                <c:rich>
                  <a:bodyPr/>
                  <a:lstStyle/>
                  <a:p>
                    <a:r>
                      <a:rPr lang="en-US" altLang="zh-TW"/>
                      <a:t>0-14</a:t>
                    </a:r>
                  </a:p>
                  <a:p>
                    <a:r>
                      <a:rPr lang="en-US" altLang="zh-TW"/>
                      <a:t>1.4 , 109 </a:t>
                    </a:r>
                  </a:p>
                </c:rich>
              </c:tx>
              <c:showVal val="1"/>
              <c:showCatName val="1"/>
              <c:showSerName val="1"/>
            </c:dLbl>
            <c:numFmt formatCode="#,##0.0_);\(#,##0.0\)" sourceLinked="0"/>
            <c:txPr>
              <a:bodyPr/>
              <a:lstStyle/>
              <a:p>
                <a:pPr>
                  <a:defRPr sz="800">
                    <a:latin typeface="Times New Roman" pitchFamily="18" charset="0"/>
                    <a:ea typeface="標楷體" pitchFamily="65" charset="-120"/>
                    <a:cs typeface="Times New Roman" pitchFamily="18" charset="0"/>
                  </a:defRPr>
                </a:pPr>
                <a:endParaRPr lang="zh-TW"/>
              </a:p>
            </c:txPr>
            <c:showVal val="1"/>
            <c:showCatName val="1"/>
            <c:showSerName val="1"/>
          </c:dLbls>
          <c:xVal>
            <c:numRef>
              <c:f>住院重大傷病age!$G$76</c:f>
              <c:numCache>
                <c:formatCode>_-* #,##0.00_-;\-* #,##0.00_-;_-* "-"??_-;_-@_-</c:formatCode>
                <c:ptCount val="1"/>
                <c:pt idx="0">
                  <c:v>1.4296101608232301</c:v>
                </c:pt>
              </c:numCache>
            </c:numRef>
          </c:xVal>
          <c:yVal>
            <c:numRef>
              <c:f>住院重大傷病age!$D$80</c:f>
              <c:numCache>
                <c:formatCode>0_ </c:formatCode>
                <c:ptCount val="1"/>
                <c:pt idx="0">
                  <c:v>109124.02706766412</c:v>
                </c:pt>
              </c:numCache>
            </c:numRef>
          </c:yVal>
        </c:ser>
        <c:ser>
          <c:idx val="0"/>
          <c:order val="1"/>
          <c:tx>
            <c:v>0-14歲</c:v>
          </c:tx>
          <c:spPr>
            <a:ln w="28575">
              <a:noFill/>
            </a:ln>
          </c:spPr>
          <c:marker>
            <c:symbol val="square"/>
            <c:size val="7"/>
            <c:spPr>
              <a:solidFill>
                <a:srgbClr val="E993E5"/>
              </a:solidFill>
              <a:ln w="12700">
                <a:noFill/>
              </a:ln>
            </c:spPr>
          </c:marker>
          <c:dLbls>
            <c:dLbl>
              <c:idx val="0"/>
              <c:layout>
                <c:manualLayout>
                  <c:x val="-0.10093190598366222"/>
                  <c:y val="4.5044513528028013E-3"/>
                </c:manualLayout>
              </c:layout>
              <c:tx>
                <c:rich>
                  <a:bodyPr/>
                  <a:lstStyle/>
                  <a:p>
                    <a:pPr>
                      <a:defRPr sz="800">
                        <a:latin typeface="Times New Roman" pitchFamily="18" charset="0"/>
                        <a:ea typeface="標楷體" pitchFamily="65" charset="-120"/>
                        <a:cs typeface="Times New Roman" pitchFamily="18" charset="0"/>
                      </a:defRPr>
                    </a:pPr>
                    <a:r>
                      <a:rPr lang="en-US" altLang="zh-TW" sz="800">
                        <a:latin typeface="Times New Roman" pitchFamily="18" charset="0"/>
                        <a:ea typeface="標楷體" pitchFamily="65" charset="-120"/>
                        <a:cs typeface="Times New Roman" pitchFamily="18" charset="0"/>
                      </a:rPr>
                      <a:t>0-14</a:t>
                    </a:r>
                  </a:p>
                  <a:p>
                    <a:pPr>
                      <a:defRPr sz="800">
                        <a:latin typeface="Times New Roman" pitchFamily="18" charset="0"/>
                        <a:ea typeface="標楷體" pitchFamily="65" charset="-120"/>
                        <a:cs typeface="Times New Roman" pitchFamily="18" charset="0"/>
                      </a:defRPr>
                    </a:pPr>
                    <a:r>
                      <a:rPr lang="en-US" altLang="zh-TW" sz="800">
                        <a:latin typeface="Times New Roman" pitchFamily="18" charset="0"/>
                        <a:ea typeface="標楷體" pitchFamily="65" charset="-120"/>
                        <a:cs typeface="Times New Roman" pitchFamily="18" charset="0"/>
                      </a:rPr>
                      <a:t>1.0 , 98 </a:t>
                    </a:r>
                  </a:p>
                </c:rich>
              </c:tx>
              <c:numFmt formatCode="#,##0.0_);\(#,##0.0\)" sourceLinked="0"/>
              <c:spPr/>
              <c:showVal val="1"/>
              <c:showCatName val="1"/>
              <c:showSerName val="1"/>
            </c:dLbl>
            <c:numFmt formatCode="#,##0.0_);\(#,##0.0\)" sourceLinked="0"/>
            <c:txPr>
              <a:bodyPr/>
              <a:lstStyle/>
              <a:p>
                <a:pPr>
                  <a:defRPr sz="800"/>
                </a:pPr>
                <a:endParaRPr lang="zh-TW"/>
              </a:p>
            </c:txPr>
            <c:showVal val="1"/>
            <c:showCatName val="1"/>
            <c:showSerName val="1"/>
          </c:dLbls>
          <c:xVal>
            <c:numRef>
              <c:f>住院重大傷病age!$I$76</c:f>
              <c:numCache>
                <c:formatCode>_-* #,##0.00_-;\-* #,##0.00_-;_-* "-"??_-;_-@_-</c:formatCode>
                <c:ptCount val="1"/>
                <c:pt idx="0">
                  <c:v>0.96404997655637392</c:v>
                </c:pt>
              </c:numCache>
            </c:numRef>
          </c:xVal>
          <c:yVal>
            <c:numRef>
              <c:f>住院重大傷病age!$E$80</c:f>
              <c:numCache>
                <c:formatCode>0_ </c:formatCode>
                <c:ptCount val="1"/>
                <c:pt idx="0">
                  <c:v>98010.041140476373</c:v>
                </c:pt>
              </c:numCache>
            </c:numRef>
          </c:yVal>
        </c:ser>
        <c:ser>
          <c:idx val="2"/>
          <c:order val="2"/>
          <c:tx>
            <c:v>15-29歲</c:v>
          </c:tx>
          <c:spPr>
            <a:ln w="28575">
              <a:noFill/>
            </a:ln>
          </c:spPr>
          <c:marker>
            <c:symbol val="diamond"/>
            <c:size val="8"/>
            <c:spPr>
              <a:solidFill>
                <a:srgbClr val="4F81BD">
                  <a:lumMod val="75000"/>
                </a:srgbClr>
              </a:solidFill>
              <a:ln w="12700">
                <a:noFill/>
              </a:ln>
            </c:spPr>
          </c:marker>
          <c:dLbls>
            <c:dLbl>
              <c:idx val="0"/>
              <c:layout>
                <c:manualLayout>
                  <c:x val="-6.0711512184572431E-3"/>
                  <c:y val="-2.4508535856649038E-2"/>
                </c:manualLayout>
              </c:layout>
              <c:tx>
                <c:rich>
                  <a:bodyPr/>
                  <a:lstStyle/>
                  <a:p>
                    <a:r>
                      <a:rPr lang="en-US" altLang="zh-TW"/>
                      <a:t>15-29</a:t>
                    </a:r>
                  </a:p>
                  <a:p>
                    <a:r>
                      <a:rPr lang="en-US" altLang="zh-TW"/>
                      <a:t>2.5 , 90 </a:t>
                    </a:r>
                  </a:p>
                </c:rich>
              </c:tx>
              <c:showVal val="1"/>
              <c:showCatName val="1"/>
              <c:showSerName val="1"/>
            </c:dLbl>
            <c:numFmt formatCode="#,##0.0_);\(#,##0.0\)" sourceLinked="0"/>
            <c:txPr>
              <a:bodyPr/>
              <a:lstStyle/>
              <a:p>
                <a:pPr>
                  <a:defRPr sz="800">
                    <a:latin typeface="Times New Roman" pitchFamily="18" charset="0"/>
                    <a:ea typeface="標楷體" pitchFamily="65" charset="-120"/>
                    <a:cs typeface="Times New Roman" pitchFamily="18" charset="0"/>
                  </a:defRPr>
                </a:pPr>
                <a:endParaRPr lang="zh-TW"/>
              </a:p>
            </c:txPr>
            <c:showVal val="1"/>
            <c:showCatName val="1"/>
            <c:showSerName val="1"/>
          </c:dLbls>
          <c:xVal>
            <c:numRef>
              <c:f>住院重大傷病age!$K$76</c:f>
              <c:numCache>
                <c:formatCode>_-* #,##0.00_-;\-* #,##0.00_-;_-* "-"??_-;_-@_-</c:formatCode>
                <c:ptCount val="1"/>
                <c:pt idx="0">
                  <c:v>2.5272768424830372</c:v>
                </c:pt>
              </c:numCache>
            </c:numRef>
          </c:xVal>
          <c:yVal>
            <c:numRef>
              <c:f>住院重大傷病age!$F$80</c:f>
              <c:numCache>
                <c:formatCode>0_ </c:formatCode>
                <c:ptCount val="1"/>
                <c:pt idx="0">
                  <c:v>89693.649554153264</c:v>
                </c:pt>
              </c:numCache>
            </c:numRef>
          </c:yVal>
        </c:ser>
        <c:ser>
          <c:idx val="3"/>
          <c:order val="3"/>
          <c:tx>
            <c:v>15-29歲</c:v>
          </c:tx>
          <c:spPr>
            <a:ln w="28575">
              <a:noFill/>
            </a:ln>
          </c:spPr>
          <c:marker>
            <c:symbol val="square"/>
            <c:size val="7"/>
            <c:spPr>
              <a:solidFill>
                <a:srgbClr val="E993E5"/>
              </a:solidFill>
              <a:ln w="12700">
                <a:noFill/>
              </a:ln>
            </c:spPr>
          </c:marker>
          <c:dLbls>
            <c:dLbl>
              <c:idx val="0"/>
              <c:layout>
                <c:manualLayout>
                  <c:x val="-5.6599329578184747E-2"/>
                  <c:y val="7.2072129312366312E-2"/>
                </c:manualLayout>
              </c:layout>
              <c:tx>
                <c:rich>
                  <a:bodyPr/>
                  <a:lstStyle/>
                  <a:p>
                    <a:r>
                      <a:rPr lang="en-US" altLang="zh-TW"/>
                      <a:t>15-29</a:t>
                    </a:r>
                  </a:p>
                  <a:p>
                    <a:r>
                      <a:rPr lang="en-US" altLang="zh-TW"/>
                      <a:t>1.6 , 74 </a:t>
                    </a:r>
                  </a:p>
                </c:rich>
              </c:tx>
              <c:showVal val="1"/>
              <c:showCatName val="1"/>
              <c:showSerName val="1"/>
            </c:dLbl>
            <c:numFmt formatCode="#,##0.0_);\(#,##0.0\)" sourceLinked="0"/>
            <c:txPr>
              <a:bodyPr/>
              <a:lstStyle/>
              <a:p>
                <a:pPr>
                  <a:defRPr sz="800">
                    <a:latin typeface="Times New Roman" pitchFamily="18" charset="0"/>
                    <a:ea typeface="標楷體" pitchFamily="65" charset="-120"/>
                    <a:cs typeface="Times New Roman" pitchFamily="18" charset="0"/>
                  </a:defRPr>
                </a:pPr>
                <a:endParaRPr lang="zh-TW"/>
              </a:p>
            </c:txPr>
            <c:showVal val="1"/>
            <c:showCatName val="1"/>
            <c:showSerName val="1"/>
          </c:dLbls>
          <c:xVal>
            <c:numRef>
              <c:f>住院重大傷病age!$M$76</c:f>
              <c:numCache>
                <c:formatCode>_-* #,##0.00_-;\-* #,##0.00_-;_-* "-"??_-;_-@_-</c:formatCode>
                <c:ptCount val="1"/>
                <c:pt idx="0">
                  <c:v>1.6380796882949158</c:v>
                </c:pt>
              </c:numCache>
            </c:numRef>
          </c:xVal>
          <c:yVal>
            <c:numRef>
              <c:f>住院重大傷病age!$G$80</c:f>
              <c:numCache>
                <c:formatCode>0_ </c:formatCode>
                <c:ptCount val="1"/>
                <c:pt idx="0">
                  <c:v>74128.604437652233</c:v>
                </c:pt>
              </c:numCache>
            </c:numRef>
          </c:yVal>
        </c:ser>
        <c:ser>
          <c:idx val="4"/>
          <c:order val="4"/>
          <c:tx>
            <c:v>30-44歲</c:v>
          </c:tx>
          <c:spPr>
            <a:ln w="28575">
              <a:noFill/>
            </a:ln>
          </c:spPr>
          <c:marker>
            <c:symbol val="diamond"/>
            <c:size val="8"/>
            <c:spPr>
              <a:solidFill>
                <a:srgbClr val="4F81BD">
                  <a:lumMod val="75000"/>
                </a:srgbClr>
              </a:solidFill>
              <a:ln w="12700">
                <a:noFill/>
              </a:ln>
            </c:spPr>
          </c:marker>
          <c:dLbls>
            <c:dLbl>
              <c:idx val="0"/>
              <c:layout>
                <c:manualLayout>
                  <c:x val="-9.9875156054931788E-3"/>
                  <c:y val="-7.0444271076076816E-17"/>
                </c:manualLayout>
              </c:layout>
              <c:tx>
                <c:rich>
                  <a:bodyPr/>
                  <a:lstStyle/>
                  <a:p>
                    <a:r>
                      <a:rPr lang="en-US" altLang="zh-TW"/>
                      <a:t>30-44</a:t>
                    </a:r>
                  </a:p>
                  <a:p>
                    <a:r>
                      <a:rPr lang="en-US" altLang="zh-TW"/>
                      <a:t>7.2 , 69</a:t>
                    </a:r>
                  </a:p>
                </c:rich>
              </c:tx>
              <c:showVal val="1"/>
              <c:showCatName val="1"/>
              <c:showSerName val="1"/>
            </c:dLbl>
            <c:numFmt formatCode="#,##0.0_);\(#,##0.0\)" sourceLinked="0"/>
            <c:txPr>
              <a:bodyPr/>
              <a:lstStyle/>
              <a:p>
                <a:pPr>
                  <a:defRPr sz="800">
                    <a:latin typeface="Times New Roman" pitchFamily="18" charset="0"/>
                    <a:ea typeface="標楷體" pitchFamily="65" charset="-120"/>
                    <a:cs typeface="Times New Roman" pitchFamily="18" charset="0"/>
                  </a:defRPr>
                </a:pPr>
                <a:endParaRPr lang="zh-TW"/>
              </a:p>
            </c:txPr>
            <c:showVal val="1"/>
            <c:showCatName val="1"/>
            <c:showSerName val="1"/>
          </c:dLbls>
          <c:xVal>
            <c:numRef>
              <c:f>住院重大傷病age!$O$76</c:f>
              <c:numCache>
                <c:formatCode>_-* #,##0.00_-;\-* #,##0.00_-;_-* "-"??_-;_-@_-</c:formatCode>
                <c:ptCount val="1"/>
                <c:pt idx="0">
                  <c:v>7.2105276099534485</c:v>
                </c:pt>
              </c:numCache>
            </c:numRef>
          </c:xVal>
          <c:yVal>
            <c:numRef>
              <c:f>住院重大傷病age!$H$80</c:f>
              <c:numCache>
                <c:formatCode>0_ </c:formatCode>
                <c:ptCount val="1"/>
                <c:pt idx="0">
                  <c:v>69352.075258977187</c:v>
                </c:pt>
              </c:numCache>
            </c:numRef>
          </c:yVal>
        </c:ser>
        <c:ser>
          <c:idx val="5"/>
          <c:order val="5"/>
          <c:tx>
            <c:v>30-44歲</c:v>
          </c:tx>
          <c:spPr>
            <a:ln w="28575">
              <a:noFill/>
            </a:ln>
          </c:spPr>
          <c:marker>
            <c:symbol val="circle"/>
            <c:size val="7"/>
            <c:spPr>
              <a:solidFill>
                <a:srgbClr val="E993E5"/>
              </a:solidFill>
              <a:ln w="12700">
                <a:noFill/>
              </a:ln>
            </c:spPr>
          </c:marker>
          <c:dPt>
            <c:idx val="0"/>
            <c:marker>
              <c:symbol val="square"/>
              <c:size val="7"/>
            </c:marker>
          </c:dPt>
          <c:dLbls>
            <c:dLbl>
              <c:idx val="0"/>
              <c:layout>
                <c:manualLayout>
                  <c:x val="-6.1054390673075956E-2"/>
                  <c:y val="6.3062924050920482E-2"/>
                </c:manualLayout>
              </c:layout>
              <c:tx>
                <c:rich>
                  <a:bodyPr/>
                  <a:lstStyle/>
                  <a:p>
                    <a:r>
                      <a:rPr lang="en-US" altLang="zh-TW"/>
                      <a:t>30-44</a:t>
                    </a:r>
                  </a:p>
                  <a:p>
                    <a:r>
                      <a:rPr lang="en-US" altLang="zh-TW"/>
                      <a:t>4.8 , 55</a:t>
                    </a:r>
                  </a:p>
                </c:rich>
              </c:tx>
              <c:showVal val="1"/>
              <c:showCatName val="1"/>
              <c:showSerName val="1"/>
            </c:dLbl>
            <c:numFmt formatCode="#,##0.0_);\(#,##0.0\)" sourceLinked="0"/>
            <c:txPr>
              <a:bodyPr/>
              <a:lstStyle/>
              <a:p>
                <a:pPr>
                  <a:defRPr sz="800">
                    <a:latin typeface="Times New Roman" pitchFamily="18" charset="0"/>
                    <a:ea typeface="標楷體" pitchFamily="65" charset="-120"/>
                    <a:cs typeface="Times New Roman" pitchFamily="18" charset="0"/>
                  </a:defRPr>
                </a:pPr>
                <a:endParaRPr lang="zh-TW"/>
              </a:p>
            </c:txPr>
            <c:showVal val="1"/>
            <c:showCatName val="1"/>
            <c:showSerName val="1"/>
          </c:dLbls>
          <c:xVal>
            <c:numRef>
              <c:f>住院重大傷病age!$Q$76</c:f>
              <c:numCache>
                <c:formatCode>_-* #,##0.00_-;\-* #,##0.00_-;_-* "-"??_-;_-@_-</c:formatCode>
                <c:ptCount val="1"/>
                <c:pt idx="0">
                  <c:v>4.8465635061274845</c:v>
                </c:pt>
              </c:numCache>
            </c:numRef>
          </c:xVal>
          <c:yVal>
            <c:numRef>
              <c:f>住院重大傷病age!$I$80</c:f>
              <c:numCache>
                <c:formatCode>0_ </c:formatCode>
                <c:ptCount val="1"/>
                <c:pt idx="0">
                  <c:v>55099.907730353894</c:v>
                </c:pt>
              </c:numCache>
            </c:numRef>
          </c:yVal>
        </c:ser>
        <c:ser>
          <c:idx val="6"/>
          <c:order val="6"/>
          <c:tx>
            <c:v>45-64歲</c:v>
          </c:tx>
          <c:spPr>
            <a:ln w="28575">
              <a:noFill/>
            </a:ln>
          </c:spPr>
          <c:marker>
            <c:symbol val="diamond"/>
            <c:size val="8"/>
            <c:spPr>
              <a:solidFill>
                <a:srgbClr val="4F81BD">
                  <a:lumMod val="75000"/>
                </a:srgbClr>
              </a:solidFill>
              <a:ln w="12700">
                <a:noFill/>
              </a:ln>
            </c:spPr>
          </c:marker>
          <c:dLbls>
            <c:dLbl>
              <c:idx val="0"/>
              <c:layout>
                <c:manualLayout>
                  <c:x val="-6.0857538035961424E-2"/>
                  <c:y val="6.7567567567567571E-2"/>
                </c:manualLayout>
              </c:layout>
              <c:tx>
                <c:rich>
                  <a:bodyPr/>
                  <a:lstStyle/>
                  <a:p>
                    <a:r>
                      <a:rPr lang="en-US" altLang="zh-TW"/>
                      <a:t>45-64</a:t>
                    </a:r>
                  </a:p>
                  <a:p>
                    <a:r>
                      <a:rPr lang="en-US" altLang="zh-TW"/>
                      <a:t>22.4 , 78</a:t>
                    </a:r>
                  </a:p>
                </c:rich>
              </c:tx>
              <c:showVal val="1"/>
              <c:showCatName val="1"/>
              <c:showSerName val="1"/>
            </c:dLbl>
            <c:numFmt formatCode="#,##0.0_);\(#,##0.0\)" sourceLinked="0"/>
            <c:txPr>
              <a:bodyPr/>
              <a:lstStyle/>
              <a:p>
                <a:pPr>
                  <a:defRPr sz="800">
                    <a:latin typeface="Times New Roman" pitchFamily="18" charset="0"/>
                    <a:ea typeface="標楷體" pitchFamily="65" charset="-120"/>
                    <a:cs typeface="Times New Roman" pitchFamily="18" charset="0"/>
                  </a:defRPr>
                </a:pPr>
                <a:endParaRPr lang="zh-TW"/>
              </a:p>
            </c:txPr>
            <c:showVal val="1"/>
            <c:showCatName val="1"/>
            <c:showSerName val="1"/>
          </c:dLbls>
          <c:xVal>
            <c:numRef>
              <c:f>住院重大傷病age!$S$76</c:f>
              <c:numCache>
                <c:formatCode>_-* #,##0.00_-;\-* #,##0.00_-;_-* "-"??_-;_-@_-</c:formatCode>
                <c:ptCount val="1"/>
                <c:pt idx="0">
                  <c:v>22.354776661867927</c:v>
                </c:pt>
              </c:numCache>
            </c:numRef>
          </c:xVal>
          <c:yVal>
            <c:numRef>
              <c:f>住院重大傷病age!$J$80</c:f>
              <c:numCache>
                <c:formatCode>0_ </c:formatCode>
                <c:ptCount val="1"/>
                <c:pt idx="0">
                  <c:v>77996.86664968991</c:v>
                </c:pt>
              </c:numCache>
            </c:numRef>
          </c:yVal>
        </c:ser>
        <c:ser>
          <c:idx val="7"/>
          <c:order val="7"/>
          <c:tx>
            <c:v>45-64歲</c:v>
          </c:tx>
          <c:spPr>
            <a:ln w="28575">
              <a:noFill/>
            </a:ln>
          </c:spPr>
          <c:marker>
            <c:symbol val="square"/>
            <c:size val="7"/>
            <c:spPr>
              <a:solidFill>
                <a:srgbClr val="E993E5"/>
              </a:solidFill>
              <a:ln w="12700">
                <a:noFill/>
              </a:ln>
            </c:spPr>
          </c:marker>
          <c:dLbls>
            <c:dLbl>
              <c:idx val="0"/>
              <c:layout>
                <c:manualLayout>
                  <c:x val="-6.0857538035961424E-2"/>
                  <c:y val="6.7567567567567571E-2"/>
                </c:manualLayout>
              </c:layout>
              <c:tx>
                <c:rich>
                  <a:bodyPr/>
                  <a:lstStyle/>
                  <a:p>
                    <a:r>
                      <a:rPr lang="en-US" altLang="zh-TW"/>
                      <a:t>45-64</a:t>
                    </a:r>
                  </a:p>
                  <a:p>
                    <a:r>
                      <a:rPr lang="en-US" altLang="zh-TW"/>
                      <a:t>15.3 , 60</a:t>
                    </a:r>
                  </a:p>
                </c:rich>
              </c:tx>
              <c:showVal val="1"/>
              <c:showCatName val="1"/>
              <c:showSerName val="1"/>
            </c:dLbl>
            <c:numFmt formatCode="#,##0.0_);\(#,##0.0\)" sourceLinked="0"/>
            <c:txPr>
              <a:bodyPr/>
              <a:lstStyle/>
              <a:p>
                <a:pPr>
                  <a:defRPr sz="800">
                    <a:latin typeface="Times New Roman" pitchFamily="18" charset="0"/>
                    <a:ea typeface="標楷體" pitchFamily="65" charset="-120"/>
                    <a:cs typeface="Times New Roman" pitchFamily="18" charset="0"/>
                  </a:defRPr>
                </a:pPr>
                <a:endParaRPr lang="zh-TW"/>
              </a:p>
            </c:txPr>
            <c:showVal val="1"/>
            <c:showCatName val="1"/>
            <c:showSerName val="1"/>
          </c:dLbls>
          <c:xVal>
            <c:numRef>
              <c:f>住院重大傷病age!$U$76</c:f>
              <c:numCache>
                <c:formatCode>_-* #,##0.00_-;\-* #,##0.00_-;_-* "-"??_-;_-@_-</c:formatCode>
                <c:ptCount val="1"/>
                <c:pt idx="0">
                  <c:v>15.251651028535321</c:v>
                </c:pt>
              </c:numCache>
            </c:numRef>
          </c:xVal>
          <c:yVal>
            <c:numRef>
              <c:f>住院重大傷病age!$K$80</c:f>
              <c:numCache>
                <c:formatCode>0_ </c:formatCode>
                <c:ptCount val="1"/>
                <c:pt idx="0">
                  <c:v>59868.854395665636</c:v>
                </c:pt>
              </c:numCache>
            </c:numRef>
          </c:yVal>
        </c:ser>
        <c:ser>
          <c:idx val="8"/>
          <c:order val="8"/>
          <c:tx>
            <c:v>65歲以上</c:v>
          </c:tx>
          <c:spPr>
            <a:ln w="28575">
              <a:noFill/>
            </a:ln>
          </c:spPr>
          <c:marker>
            <c:symbol val="diamond"/>
            <c:size val="8"/>
            <c:spPr>
              <a:solidFill>
                <a:srgbClr val="4F81BD">
                  <a:lumMod val="75000"/>
                </a:srgbClr>
              </a:solidFill>
              <a:ln w="12700">
                <a:noFill/>
              </a:ln>
            </c:spPr>
          </c:marker>
          <c:dLbls>
            <c:dLbl>
              <c:idx val="0"/>
              <c:layout>
                <c:manualLayout>
                  <c:x val="-7.4958074060967092E-2"/>
                  <c:y val="-6.1868736148615579E-2"/>
                </c:manualLayout>
              </c:layout>
              <c:tx>
                <c:rich>
                  <a:bodyPr/>
                  <a:lstStyle/>
                  <a:p>
                    <a:r>
                      <a:rPr lang="en-US" altLang="zh-TW"/>
                      <a:t>65 and over</a:t>
                    </a:r>
                  </a:p>
                  <a:p>
                    <a:r>
                      <a:rPr lang="en-US" altLang="zh-TW"/>
                      <a:t>23.8 , 101</a:t>
                    </a:r>
                  </a:p>
                </c:rich>
              </c:tx>
              <c:showVal val="1"/>
              <c:showCatName val="1"/>
              <c:showSerName val="1"/>
            </c:dLbl>
            <c:numFmt formatCode="#,##0.0_);\(#,##0.0\)" sourceLinked="0"/>
            <c:txPr>
              <a:bodyPr/>
              <a:lstStyle/>
              <a:p>
                <a:pPr>
                  <a:defRPr sz="800">
                    <a:latin typeface="Times New Roman" pitchFamily="18" charset="0"/>
                    <a:ea typeface="標楷體" pitchFamily="65" charset="-120"/>
                    <a:cs typeface="Times New Roman" pitchFamily="18" charset="0"/>
                  </a:defRPr>
                </a:pPr>
                <a:endParaRPr lang="zh-TW"/>
              </a:p>
            </c:txPr>
            <c:showVal val="1"/>
            <c:showCatName val="1"/>
            <c:showSerName val="1"/>
          </c:dLbls>
          <c:xVal>
            <c:numRef>
              <c:f>住院重大傷病age!$W$76</c:f>
              <c:numCache>
                <c:formatCode>_-* #,##0.00_-;\-* #,##0.00_-;_-* "-"??_-;_-@_-</c:formatCode>
                <c:ptCount val="1"/>
                <c:pt idx="0">
                  <c:v>23.813296724089131</c:v>
                </c:pt>
              </c:numCache>
            </c:numRef>
          </c:xVal>
          <c:yVal>
            <c:numRef>
              <c:f>住院重大傷病age!$L$80</c:f>
              <c:numCache>
                <c:formatCode>0_ </c:formatCode>
                <c:ptCount val="1"/>
                <c:pt idx="0">
                  <c:v>100604.72327564973</c:v>
                </c:pt>
              </c:numCache>
            </c:numRef>
          </c:yVal>
        </c:ser>
        <c:ser>
          <c:idx val="9"/>
          <c:order val="9"/>
          <c:tx>
            <c:v>65歲以上</c:v>
          </c:tx>
          <c:spPr>
            <a:ln w="9525">
              <a:solidFill>
                <a:schemeClr val="tx1"/>
              </a:solidFill>
            </a:ln>
          </c:spPr>
          <c:marker>
            <c:symbol val="square"/>
            <c:size val="7"/>
            <c:spPr>
              <a:solidFill>
                <a:srgbClr val="E993E5"/>
              </a:solidFill>
              <a:ln w="12700">
                <a:noFill/>
              </a:ln>
            </c:spPr>
          </c:marker>
          <c:dLbls>
            <c:dLbl>
              <c:idx val="0"/>
              <c:layout>
                <c:manualLayout>
                  <c:x val="-0.13385748129798394"/>
                  <c:y val="-1.0995181798240643E-2"/>
                </c:manualLayout>
              </c:layout>
              <c:tx>
                <c:rich>
                  <a:bodyPr/>
                  <a:lstStyle/>
                  <a:p>
                    <a:r>
                      <a:rPr lang="en-US" altLang="zh-TW"/>
                      <a:t>65</a:t>
                    </a:r>
                    <a:r>
                      <a:rPr lang="zh-TW" altLang="en-US" baseline="0"/>
                      <a:t> </a:t>
                    </a:r>
                    <a:r>
                      <a:rPr lang="en-US" altLang="zh-TW" baseline="0"/>
                      <a:t>and over</a:t>
                    </a:r>
                    <a:endParaRPr lang="en-US" altLang="zh-TW"/>
                  </a:p>
                  <a:p>
                    <a:r>
                      <a:rPr lang="en-US" altLang="zh-TW"/>
                      <a:t>20.0 , 97 </a:t>
                    </a:r>
                  </a:p>
                </c:rich>
              </c:tx>
              <c:showVal val="1"/>
              <c:showCatName val="1"/>
              <c:showSerName val="1"/>
            </c:dLbl>
            <c:numFmt formatCode="#,##0.0_);\(#,##0.0\)" sourceLinked="0"/>
            <c:txPr>
              <a:bodyPr/>
              <a:lstStyle/>
              <a:p>
                <a:pPr>
                  <a:defRPr sz="800">
                    <a:latin typeface="Times New Roman" pitchFamily="18" charset="0"/>
                    <a:ea typeface="標楷體" pitchFamily="65" charset="-120"/>
                    <a:cs typeface="Times New Roman" pitchFamily="18" charset="0"/>
                  </a:defRPr>
                </a:pPr>
                <a:endParaRPr lang="zh-TW"/>
              </a:p>
            </c:txPr>
            <c:showVal val="1"/>
            <c:showCatName val="1"/>
            <c:showSerName val="1"/>
          </c:dLbls>
          <c:xVal>
            <c:numRef>
              <c:f>住院重大傷病age!$Y$76</c:f>
              <c:numCache>
                <c:formatCode>_-* #,##0.00_-;\-* #,##0.00_-;_-* "-"??_-;_-@_-</c:formatCode>
                <c:ptCount val="1"/>
                <c:pt idx="0">
                  <c:v>19.96416780126907</c:v>
                </c:pt>
              </c:numCache>
            </c:numRef>
          </c:xVal>
          <c:yVal>
            <c:numRef>
              <c:f>住院重大傷病age!$M$80</c:f>
              <c:numCache>
                <c:formatCode>0_ </c:formatCode>
                <c:ptCount val="1"/>
                <c:pt idx="0">
                  <c:v>97458.221834212949</c:v>
                </c:pt>
              </c:numCache>
            </c:numRef>
          </c:yVal>
        </c:ser>
        <c:axId val="277041152"/>
        <c:axId val="277041920"/>
      </c:scatterChart>
      <c:valAx>
        <c:axId val="277041152"/>
        <c:scaling>
          <c:orientation val="minMax"/>
          <c:max val="28"/>
        </c:scaling>
        <c:axPos val="b"/>
        <c:numFmt formatCode="#,##0;[Red]\-#,##0" sourceLinked="0"/>
        <c:majorTickMark val="none"/>
        <c:tickLblPos val="none"/>
        <c:txPr>
          <a:bodyPr rot="0"/>
          <a:lstStyle/>
          <a:p>
            <a:pPr>
              <a:defRPr/>
            </a:pPr>
            <a:endParaRPr lang="zh-TW"/>
          </a:p>
        </c:txPr>
        <c:crossAx val="277041920"/>
        <c:crossesAt val="83845"/>
        <c:crossBetween val="midCat"/>
      </c:valAx>
      <c:valAx>
        <c:axId val="277041920"/>
        <c:scaling>
          <c:orientation val="minMax"/>
          <c:max val="140000"/>
        </c:scaling>
        <c:axPos val="l"/>
        <c:numFmt formatCode="0_ " sourceLinked="1"/>
        <c:majorTickMark val="none"/>
        <c:tickLblPos val="none"/>
        <c:crossAx val="277041152"/>
        <c:crossesAt val="6.03"/>
        <c:crossBetween val="midCat"/>
        <c:dispUnits>
          <c:builtInUnit val="thousands"/>
        </c:dispUnits>
      </c:valAx>
    </c:plotArea>
    <c:plotVisOnly val="1"/>
    <c:dispBlanksAs val="gap"/>
  </c:chart>
  <c:spPr>
    <a:ln>
      <a:noFill/>
    </a:ln>
  </c:spPr>
  <c:txPr>
    <a:bodyPr/>
    <a:lstStyle/>
    <a:p>
      <a:pPr>
        <a:defRPr>
          <a:sym typeface="Wingdings"/>
        </a:defRPr>
      </a:pPr>
      <a:endParaRPr lang="zh-TW"/>
    </a:p>
  </c:txPr>
  <c:externalData r:id="rId1"/>
  <c:userShapes r:id="rId2"/>
</c:chartSpace>
</file>

<file path=word/charts/chart27.xml><?xml version="1.0" encoding="utf-8"?>
<c:chartSpace xmlns:c="http://schemas.openxmlformats.org/drawingml/2006/chart" xmlns:a="http://schemas.openxmlformats.org/drawingml/2006/main" xmlns:r="http://schemas.openxmlformats.org/officeDocument/2006/relationships">
  <c:date1904 val="1"/>
  <c:lang val="zh-TW"/>
  <c:chart>
    <c:plotArea>
      <c:layout>
        <c:manualLayout>
          <c:layoutTarget val="inner"/>
          <c:xMode val="edge"/>
          <c:yMode val="edge"/>
          <c:x val="6.0555497229513491E-2"/>
          <c:y val="0.24501877138775374"/>
          <c:w val="0.8209259842519685"/>
          <c:h val="0.67595534140322266"/>
        </c:manualLayout>
      </c:layout>
      <c:scatterChart>
        <c:scatterStyle val="lineMarker"/>
        <c:ser>
          <c:idx val="1"/>
          <c:order val="0"/>
          <c:tx>
            <c:strRef>
              <c:f>部分負擔!$B$17</c:f>
              <c:strCache>
                <c:ptCount val="1"/>
                <c:pt idx="0">
                  <c:v>Academic Medical Centers</c:v>
                </c:pt>
              </c:strCache>
            </c:strRef>
          </c:tx>
          <c:spPr>
            <a:ln w="28575">
              <a:noFill/>
            </a:ln>
          </c:spPr>
          <c:marker>
            <c:symbol val="circle"/>
            <c:size val="7"/>
            <c:spPr>
              <a:solidFill>
                <a:srgbClr val="A0BF61"/>
              </a:solidFill>
              <a:ln>
                <a:solidFill>
                  <a:srgbClr val="A0BF61"/>
                </a:solidFill>
              </a:ln>
            </c:spPr>
          </c:marker>
          <c:dLbls>
            <c:dLbl>
              <c:idx val="0"/>
              <c:layout>
                <c:manualLayout>
                  <c:x val="-0.18558536894535921"/>
                  <c:y val="1.0686611667574965E-3"/>
                </c:manualLayout>
              </c:layout>
              <c:showSerName val="1"/>
            </c:dLbl>
            <c:txPr>
              <a:bodyPr/>
              <a:lstStyle/>
              <a:p>
                <a:pPr>
                  <a:defRPr sz="800">
                    <a:latin typeface="Times New Roman" pitchFamily="18" charset="0"/>
                    <a:ea typeface="標楷體" pitchFamily="65" charset="-120"/>
                    <a:cs typeface="Times New Roman" pitchFamily="18" charset="0"/>
                  </a:defRPr>
                </a:pPr>
                <a:endParaRPr lang="zh-TW"/>
              </a:p>
            </c:txPr>
            <c:showVal val="1"/>
          </c:dLbls>
          <c:xVal>
            <c:numRef>
              <c:f>部分負擔!$F$28</c:f>
              <c:numCache>
                <c:formatCode>_-* #,##0.0_-;\-* #,##0.0_-;_-* "-"_-;_-@_-</c:formatCode>
                <c:ptCount val="1"/>
                <c:pt idx="0">
                  <c:v>2.5806471557409782</c:v>
                </c:pt>
              </c:numCache>
            </c:numRef>
          </c:xVal>
          <c:yVal>
            <c:numRef>
              <c:f>部分負擔!$G$5</c:f>
              <c:numCache>
                <c:formatCode>_-* #,##0_-;\-* #,##0_-;_-* "-"_-;_-@_-</c:formatCode>
                <c:ptCount val="1"/>
                <c:pt idx="0">
                  <c:v>334</c:v>
                </c:pt>
              </c:numCache>
            </c:numRef>
          </c:yVal>
        </c:ser>
        <c:ser>
          <c:idx val="0"/>
          <c:order val="1"/>
          <c:tx>
            <c:strRef>
              <c:f>部分負擔!$B$6</c:f>
              <c:strCache>
                <c:ptCount val="1"/>
                <c:pt idx="0">
                  <c:v>Metropolitan Hospitals</c:v>
                </c:pt>
              </c:strCache>
            </c:strRef>
          </c:tx>
          <c:spPr>
            <a:ln w="28575">
              <a:noFill/>
            </a:ln>
          </c:spPr>
          <c:marker>
            <c:symbol val="circle"/>
            <c:size val="7"/>
            <c:spPr>
              <a:solidFill>
                <a:srgbClr val="DF81C6"/>
              </a:solidFill>
              <a:ln>
                <a:solidFill>
                  <a:srgbClr val="DF81C6"/>
                </a:solidFill>
              </a:ln>
            </c:spPr>
          </c:marker>
          <c:dLbls>
            <c:dLbl>
              <c:idx val="0"/>
              <c:layout>
                <c:manualLayout>
                  <c:x val="-4.6297124791219281E-3"/>
                  <c:y val="9.4431811775318056E-4"/>
                </c:manualLayout>
              </c:layout>
              <c:showSerName val="1"/>
            </c:dLbl>
            <c:txPr>
              <a:bodyPr/>
              <a:lstStyle/>
              <a:p>
                <a:pPr>
                  <a:defRPr sz="800">
                    <a:latin typeface="Times New Roman" pitchFamily="18" charset="0"/>
                    <a:ea typeface="標楷體" pitchFamily="65" charset="-120"/>
                    <a:cs typeface="Times New Roman" pitchFamily="18" charset="0"/>
                  </a:defRPr>
                </a:pPr>
                <a:endParaRPr lang="zh-TW"/>
              </a:p>
            </c:txPr>
            <c:showSerName val="1"/>
          </c:dLbls>
          <c:xVal>
            <c:numRef>
              <c:f>部分負擔!$F$29</c:f>
              <c:numCache>
                <c:formatCode>_-* #,##0.0_-;\-* #,##0.0_-;_-* "-"_-;_-@_-</c:formatCode>
                <c:ptCount val="1"/>
                <c:pt idx="0">
                  <c:v>3.8115418575933813</c:v>
                </c:pt>
              </c:numCache>
            </c:numRef>
          </c:xVal>
          <c:yVal>
            <c:numRef>
              <c:f>部分負擔!$G$6</c:f>
              <c:numCache>
                <c:formatCode>_-* #,##0_-;\-* #,##0_-;_-* "-"_-;_-@_-</c:formatCode>
                <c:ptCount val="1"/>
                <c:pt idx="0">
                  <c:v>241</c:v>
                </c:pt>
              </c:numCache>
            </c:numRef>
          </c:yVal>
        </c:ser>
        <c:ser>
          <c:idx val="2"/>
          <c:order val="2"/>
          <c:tx>
            <c:strRef>
              <c:f>部分負擔!$B$7</c:f>
              <c:strCache>
                <c:ptCount val="1"/>
                <c:pt idx="0">
                  <c:v>Local Community Hospitals</c:v>
                </c:pt>
              </c:strCache>
            </c:strRef>
          </c:tx>
          <c:spPr>
            <a:ln w="28575">
              <a:noFill/>
            </a:ln>
          </c:spPr>
          <c:marker>
            <c:symbol val="circle"/>
            <c:size val="7"/>
            <c:spPr>
              <a:gradFill>
                <a:gsLst>
                  <a:gs pos="0">
                    <a:srgbClr val="9BBB59">
                      <a:lumMod val="20000"/>
                      <a:lumOff val="80000"/>
                    </a:srgbClr>
                  </a:gs>
                  <a:gs pos="50000">
                    <a:schemeClr val="accent1">
                      <a:lumMod val="60000"/>
                      <a:lumOff val="40000"/>
                    </a:schemeClr>
                  </a:gs>
                  <a:gs pos="100000">
                    <a:srgbClr val="4F81BD">
                      <a:tint val="23500"/>
                      <a:satMod val="160000"/>
                    </a:srgbClr>
                  </a:gs>
                </a:gsLst>
                <a:lin ang="5400000" scaled="0"/>
              </a:gradFill>
              <a:ln>
                <a:solidFill>
                  <a:schemeClr val="accent1">
                    <a:lumMod val="60000"/>
                    <a:lumOff val="40000"/>
                  </a:schemeClr>
                </a:solidFill>
              </a:ln>
            </c:spPr>
          </c:marker>
          <c:dPt>
            <c:idx val="0"/>
            <c:marker>
              <c:spPr>
                <a:solidFill>
                  <a:srgbClr val="6771CB"/>
                </a:solidFill>
                <a:ln>
                  <a:solidFill>
                    <a:srgbClr val="6771CB"/>
                  </a:solidFill>
                </a:ln>
              </c:spPr>
            </c:marker>
          </c:dPt>
          <c:dLbls>
            <c:dLbl>
              <c:idx val="0"/>
              <c:layout>
                <c:manualLayout>
                  <c:x val="-0.1753851258649487"/>
                  <c:y val="4.5929252876803293E-2"/>
                </c:manualLayout>
              </c:layout>
              <c:spPr/>
              <c:txPr>
                <a:bodyPr/>
                <a:lstStyle/>
                <a:p>
                  <a:pPr>
                    <a:defRPr sz="800">
                      <a:latin typeface="Times New Roman" pitchFamily="18" charset="0"/>
                      <a:ea typeface="標楷體" pitchFamily="65" charset="-120"/>
                      <a:cs typeface="Times New Roman" pitchFamily="18" charset="0"/>
                    </a:defRPr>
                  </a:pPr>
                  <a:endParaRPr lang="zh-TW"/>
                </a:p>
              </c:txPr>
              <c:showSerName val="1"/>
            </c:dLbl>
            <c:txPr>
              <a:bodyPr/>
              <a:lstStyle/>
              <a:p>
                <a:pPr>
                  <a:defRPr sz="800">
                    <a:latin typeface="Times New Roman" pitchFamily="18" charset="0"/>
                    <a:cs typeface="Times New Roman" pitchFamily="18" charset="0"/>
                  </a:defRPr>
                </a:pPr>
                <a:endParaRPr lang="zh-TW"/>
              </a:p>
            </c:txPr>
            <c:showSerName val="1"/>
          </c:dLbls>
          <c:xVal>
            <c:numRef>
              <c:f>部分負擔!$F$30</c:f>
              <c:numCache>
                <c:formatCode>_-* #,##0.0_-;\-* #,##0.0_-;_-* "-"_-;_-@_-</c:formatCode>
                <c:ptCount val="1"/>
                <c:pt idx="0">
                  <c:v>2.0593438470712044</c:v>
                </c:pt>
              </c:numCache>
            </c:numRef>
          </c:xVal>
          <c:yVal>
            <c:numRef>
              <c:f>部分負擔!$G$7</c:f>
              <c:numCache>
                <c:formatCode>_-* #,##0_-;\-* #,##0_-;_-* "-"_-;_-@_-</c:formatCode>
                <c:ptCount val="1"/>
                <c:pt idx="0">
                  <c:v>113</c:v>
                </c:pt>
              </c:numCache>
            </c:numRef>
          </c:yVal>
        </c:ser>
        <c:ser>
          <c:idx val="3"/>
          <c:order val="3"/>
          <c:tx>
            <c:strRef>
              <c:f>部分負擔!$B$8</c:f>
              <c:strCache>
                <c:ptCount val="1"/>
                <c:pt idx="0">
                  <c:v>Physician Clinics </c:v>
                </c:pt>
              </c:strCache>
            </c:strRef>
          </c:tx>
          <c:spPr>
            <a:ln w="28575">
              <a:noFill/>
            </a:ln>
          </c:spPr>
          <c:marker>
            <c:symbol val="circle"/>
            <c:size val="7"/>
            <c:spPr>
              <a:solidFill>
                <a:srgbClr val="957DB1"/>
              </a:solidFill>
              <a:ln>
                <a:solidFill>
                  <a:srgbClr val="957DB1"/>
                </a:solidFill>
              </a:ln>
            </c:spPr>
          </c:marker>
          <c:dLbls>
            <c:dLbl>
              <c:idx val="0"/>
              <c:layout>
                <c:manualLayout>
                  <c:x val="-6.5740682414698173E-2"/>
                  <c:y val="5.0632579155453723E-2"/>
                </c:manualLayout>
              </c:layout>
              <c:showSerName val="1"/>
            </c:dLbl>
            <c:txPr>
              <a:bodyPr/>
              <a:lstStyle/>
              <a:p>
                <a:pPr>
                  <a:defRPr sz="800">
                    <a:latin typeface="Times New Roman" pitchFamily="18" charset="0"/>
                    <a:ea typeface="標楷體" pitchFamily="65" charset="-120"/>
                    <a:cs typeface="Times New Roman" pitchFamily="18" charset="0"/>
                  </a:defRPr>
                </a:pPr>
                <a:endParaRPr lang="zh-TW"/>
              </a:p>
            </c:txPr>
            <c:showVal val="1"/>
          </c:dLbls>
          <c:xVal>
            <c:numRef>
              <c:f>部分負擔!$F$31</c:f>
              <c:numCache>
                <c:formatCode>_-* #,##0.0_-;\-* #,##0.0_-;_-* "-"_-;_-@_-</c:formatCode>
                <c:ptCount val="1"/>
                <c:pt idx="0">
                  <c:v>4.8546433924069774</c:v>
                </c:pt>
              </c:numCache>
            </c:numRef>
          </c:xVal>
          <c:yVal>
            <c:numRef>
              <c:f>部分負擔!$G$8</c:f>
              <c:numCache>
                <c:formatCode>_-* #,##0_-;\-* #,##0_-;_-* "-"_-;_-@_-</c:formatCode>
                <c:ptCount val="1"/>
                <c:pt idx="0">
                  <c:v>59</c:v>
                </c:pt>
              </c:numCache>
            </c:numRef>
          </c:yVal>
        </c:ser>
        <c:ser>
          <c:idx val="4"/>
          <c:order val="4"/>
          <c:tx>
            <c:strRef>
              <c:f>部分負擔!$B$9</c:f>
              <c:strCache>
                <c:ptCount val="1"/>
                <c:pt idx="0">
                  <c:v>Pharmacies</c:v>
                </c:pt>
              </c:strCache>
            </c:strRef>
          </c:tx>
          <c:spPr>
            <a:ln w="28575">
              <a:noFill/>
            </a:ln>
          </c:spPr>
          <c:marker>
            <c:symbol val="circle"/>
            <c:size val="7"/>
            <c:spPr>
              <a:solidFill>
                <a:schemeClr val="bg2">
                  <a:lumMod val="50000"/>
                </a:schemeClr>
              </a:solidFill>
              <a:ln>
                <a:solidFill>
                  <a:schemeClr val="bg1">
                    <a:lumMod val="50000"/>
                  </a:schemeClr>
                </a:solidFill>
              </a:ln>
            </c:spPr>
          </c:marker>
          <c:dLbls>
            <c:dLbl>
              <c:idx val="0"/>
              <c:layout>
                <c:manualLayout>
                  <c:x val="-6.5900888809353381E-2"/>
                  <c:y val="-4.3248830173077825E-2"/>
                </c:manualLayout>
              </c:layout>
              <c:showSerName val="1"/>
            </c:dLbl>
            <c:txPr>
              <a:bodyPr/>
              <a:lstStyle/>
              <a:p>
                <a:pPr>
                  <a:defRPr sz="800">
                    <a:latin typeface="Times New Roman" pitchFamily="18" charset="0"/>
                    <a:ea typeface="標楷體" pitchFamily="65" charset="-120"/>
                    <a:cs typeface="Times New Roman" pitchFamily="18" charset="0"/>
                  </a:defRPr>
                </a:pPr>
                <a:endParaRPr lang="zh-TW"/>
              </a:p>
            </c:txPr>
            <c:showVal val="1"/>
          </c:dLbls>
          <c:xVal>
            <c:numRef>
              <c:f>部分負擔!$F$32</c:f>
              <c:numCache>
                <c:formatCode>_-* #,##0.0_-;\-* #,##0.0_-;_-* "-"_-;_-@_-</c:formatCode>
                <c:ptCount val="1"/>
                <c:pt idx="0">
                  <c:v>8.6634623802535486</c:v>
                </c:pt>
              </c:numCache>
            </c:numRef>
          </c:xVal>
          <c:yVal>
            <c:numRef>
              <c:f>部分負擔!$G$9</c:f>
              <c:numCache>
                <c:formatCode>_-* #,##0_-;\-* #,##0_-;_-* "-"_-;_-@_-</c:formatCode>
                <c:ptCount val="1"/>
                <c:pt idx="0">
                  <c:v>52</c:v>
                </c:pt>
              </c:numCache>
            </c:numRef>
          </c:yVal>
        </c:ser>
        <c:ser>
          <c:idx val="5"/>
          <c:order val="5"/>
          <c:tx>
            <c:strRef>
              <c:f>部分負擔!$B$10</c:f>
              <c:strCache>
                <c:ptCount val="1"/>
                <c:pt idx="0">
                  <c:v>Other Medical Institutions   </c:v>
                </c:pt>
              </c:strCache>
            </c:strRef>
          </c:tx>
          <c:spPr>
            <a:ln w="28575">
              <a:noFill/>
            </a:ln>
          </c:spPr>
          <c:marker>
            <c:spPr>
              <a:solidFill>
                <a:schemeClr val="accent6">
                  <a:lumMod val="60000"/>
                  <a:lumOff val="40000"/>
                </a:schemeClr>
              </a:solidFill>
              <a:ln>
                <a:solidFill>
                  <a:schemeClr val="accent6">
                    <a:lumMod val="60000"/>
                    <a:lumOff val="40000"/>
                  </a:schemeClr>
                </a:solidFill>
              </a:ln>
            </c:spPr>
          </c:marker>
          <c:dLbls>
            <c:dLbl>
              <c:idx val="0"/>
              <c:layout>
                <c:manualLayout>
                  <c:x val="-8.0926017060367464E-2"/>
                  <c:y val="-7.3809971247627504E-2"/>
                </c:manualLayout>
              </c:layout>
              <c:showSerName val="1"/>
            </c:dLbl>
            <c:txPr>
              <a:bodyPr/>
              <a:lstStyle/>
              <a:p>
                <a:pPr>
                  <a:defRPr sz="800">
                    <a:latin typeface="Times New Roman" pitchFamily="18" charset="0"/>
                    <a:ea typeface="標楷體" pitchFamily="65" charset="-120"/>
                    <a:cs typeface="Times New Roman" pitchFamily="18" charset="0"/>
                  </a:defRPr>
                </a:pPr>
                <a:endParaRPr lang="zh-TW"/>
              </a:p>
            </c:txPr>
            <c:showSerName val="1"/>
          </c:dLbls>
          <c:xVal>
            <c:numRef>
              <c:f>部分負擔!$F$33</c:f>
              <c:numCache>
                <c:formatCode>_-* #,##0.0_-;\-* #,##0.0_-;_-* "-"_-;_-@_-</c:formatCode>
                <c:ptCount val="1"/>
                <c:pt idx="0">
                  <c:v>-16.08871793028981</c:v>
                </c:pt>
              </c:numCache>
            </c:numRef>
          </c:xVal>
          <c:yVal>
            <c:numRef>
              <c:f>部分負擔!$G$10</c:f>
              <c:numCache>
                <c:formatCode>_-* #,##0_-;\-* #,##0_-;_-* "-"_-;_-@_-</c:formatCode>
                <c:ptCount val="1"/>
                <c:pt idx="0">
                  <c:v>196</c:v>
                </c:pt>
              </c:numCache>
            </c:numRef>
          </c:yVal>
        </c:ser>
        <c:axId val="326120192"/>
        <c:axId val="326121728"/>
      </c:scatterChart>
      <c:valAx>
        <c:axId val="326120192"/>
        <c:scaling>
          <c:orientation val="minMax"/>
        </c:scaling>
        <c:axPos val="b"/>
        <c:numFmt formatCode="#,##0_ " sourceLinked="0"/>
        <c:majorTickMark val="cross"/>
        <c:tickLblPos val="nextTo"/>
        <c:txPr>
          <a:bodyPr/>
          <a:lstStyle/>
          <a:p>
            <a:pPr>
              <a:defRPr sz="800">
                <a:latin typeface="Times New Roman" pitchFamily="18" charset="0"/>
                <a:cs typeface="Times New Roman" pitchFamily="18" charset="0"/>
              </a:defRPr>
            </a:pPr>
            <a:endParaRPr lang="zh-TW"/>
          </a:p>
        </c:txPr>
        <c:crossAx val="326121728"/>
        <c:crossesAt val="157"/>
        <c:crossBetween val="midCat"/>
      </c:valAx>
      <c:valAx>
        <c:axId val="326121728"/>
        <c:scaling>
          <c:orientation val="minMax"/>
        </c:scaling>
        <c:axPos val="l"/>
        <c:numFmt formatCode="#,##0;[Red]\-#,##0" sourceLinked="0"/>
        <c:majorTickMark val="cross"/>
        <c:tickLblPos val="nextTo"/>
        <c:txPr>
          <a:bodyPr/>
          <a:lstStyle/>
          <a:p>
            <a:pPr>
              <a:defRPr sz="800">
                <a:latin typeface="Times New Roman" pitchFamily="18" charset="0"/>
                <a:cs typeface="Times New Roman" pitchFamily="18" charset="0"/>
              </a:defRPr>
            </a:pPr>
            <a:endParaRPr lang="zh-TW"/>
          </a:p>
        </c:txPr>
        <c:crossAx val="326120192"/>
        <c:crossesAt val="3.1959999999999997"/>
        <c:crossBetween val="midCat"/>
        <c:majorUnit val="200"/>
      </c:valAx>
    </c:plotArea>
    <c:plotVisOnly val="1"/>
    <c:dispBlanksAs val="gap"/>
  </c:chart>
  <c:spPr>
    <a:ln>
      <a:noFill/>
    </a:ln>
  </c:spPr>
  <c:externalData r:id="rId1"/>
  <c:userShapes r:id="rId2"/>
</c:chartSpace>
</file>

<file path=word/charts/chart28.xml><?xml version="1.0" encoding="utf-8"?>
<c:chartSpace xmlns:c="http://schemas.openxmlformats.org/drawingml/2006/chart" xmlns:a="http://schemas.openxmlformats.org/drawingml/2006/main" xmlns:r="http://schemas.openxmlformats.org/officeDocument/2006/relationships">
  <c:date1904 val="1"/>
  <c:lang val="zh-TW"/>
  <c:chart>
    <c:view3D>
      <c:rAngAx val="1"/>
    </c:view3D>
    <c:floor>
      <c:spPr>
        <a:solidFill>
          <a:srgbClr val="9BBB59">
            <a:lumMod val="20000"/>
            <a:lumOff val="80000"/>
            <a:alpha val="33000"/>
          </a:srgbClr>
        </a:solidFill>
      </c:spPr>
    </c:floor>
    <c:sideWall>
      <c:spPr>
        <a:solidFill>
          <a:srgbClr val="9BBB59">
            <a:lumMod val="20000"/>
            <a:lumOff val="80000"/>
            <a:alpha val="38000"/>
          </a:srgbClr>
        </a:solidFill>
      </c:spPr>
    </c:sideWall>
    <c:backWall>
      <c:spPr>
        <a:solidFill>
          <a:srgbClr val="9BBB59">
            <a:lumMod val="20000"/>
            <a:lumOff val="80000"/>
            <a:alpha val="38000"/>
          </a:srgbClr>
        </a:solidFill>
      </c:spPr>
    </c:backWall>
    <c:plotArea>
      <c:layout>
        <c:manualLayout>
          <c:layoutTarget val="inner"/>
          <c:xMode val="edge"/>
          <c:yMode val="edge"/>
          <c:x val="9.6208223972003501E-2"/>
          <c:y val="0.17592592592592593"/>
          <c:w val="0.74923906386701677"/>
          <c:h val="0.65626483786301615"/>
        </c:manualLayout>
      </c:layout>
      <c:bar3DChart>
        <c:barDir val="bar"/>
        <c:grouping val="stacked"/>
        <c:ser>
          <c:idx val="0"/>
          <c:order val="0"/>
          <c:tx>
            <c:strRef>
              <c:f>部分負擔─門診性別!$A$38</c:f>
              <c:strCache>
                <c:ptCount val="1"/>
                <c:pt idx="0">
                  <c:v>0-14</c:v>
                </c:pt>
              </c:strCache>
            </c:strRef>
          </c:tx>
          <c:spPr>
            <a:solidFill>
              <a:schemeClr val="accent1">
                <a:lumMod val="40000"/>
                <a:lumOff val="60000"/>
              </a:schemeClr>
            </a:solidFill>
          </c:spPr>
          <c:dLbls>
            <c:numFmt formatCode="#,##0.0_);\(#,##0.0\)" sourceLinked="0"/>
            <c:txPr>
              <a:bodyPr/>
              <a:lstStyle/>
              <a:p>
                <a:pPr>
                  <a:defRPr sz="800">
                    <a:latin typeface="Times New Roman" pitchFamily="18" charset="0"/>
                    <a:cs typeface="Times New Roman" pitchFamily="18" charset="0"/>
                  </a:defRPr>
                </a:pPr>
                <a:endParaRPr lang="zh-TW"/>
              </a:p>
            </c:txPr>
            <c:showVal val="1"/>
          </c:dLbls>
          <c:cat>
            <c:strRef>
              <c:f>部分負擔─門診性別!$B$36:$D$36</c:f>
              <c:strCache>
                <c:ptCount val="3"/>
                <c:pt idx="0">
                  <c:v>Total</c:v>
                </c:pt>
                <c:pt idx="1">
                  <c:v>Male</c:v>
                </c:pt>
                <c:pt idx="2">
                  <c:v>Female</c:v>
                </c:pt>
              </c:strCache>
            </c:strRef>
          </c:cat>
          <c:val>
            <c:numRef>
              <c:f>部分負擔─門診性別!$B$38:$D$38</c:f>
              <c:numCache>
                <c:formatCode>0_ </c:formatCode>
                <c:ptCount val="3"/>
                <c:pt idx="0">
                  <c:v>10.985854844486708</c:v>
                </c:pt>
                <c:pt idx="1">
                  <c:v>13.691993418458468</c:v>
                </c:pt>
                <c:pt idx="2">
                  <c:v>8.8494376282936642</c:v>
                </c:pt>
              </c:numCache>
            </c:numRef>
          </c:val>
        </c:ser>
        <c:ser>
          <c:idx val="1"/>
          <c:order val="1"/>
          <c:tx>
            <c:strRef>
              <c:f>部分負擔─門診性別!$A$39</c:f>
              <c:strCache>
                <c:ptCount val="1"/>
                <c:pt idx="0">
                  <c:v>15-29</c:v>
                </c:pt>
              </c:strCache>
            </c:strRef>
          </c:tx>
          <c:spPr>
            <a:solidFill>
              <a:srgbClr val="EFB3EC"/>
            </a:solidFill>
          </c:spPr>
          <c:dLbls>
            <c:numFmt formatCode="#,##0.0_);\(#,##0.0\)" sourceLinked="0"/>
            <c:txPr>
              <a:bodyPr/>
              <a:lstStyle/>
              <a:p>
                <a:pPr>
                  <a:defRPr sz="800">
                    <a:latin typeface="Times New Roman" pitchFamily="18" charset="0"/>
                    <a:cs typeface="Times New Roman" pitchFamily="18" charset="0"/>
                  </a:defRPr>
                </a:pPr>
                <a:endParaRPr lang="zh-TW"/>
              </a:p>
            </c:txPr>
            <c:showVal val="1"/>
          </c:dLbls>
          <c:cat>
            <c:strRef>
              <c:f>部分負擔─門診性別!$B$36:$D$36</c:f>
              <c:strCache>
                <c:ptCount val="3"/>
                <c:pt idx="0">
                  <c:v>Total</c:v>
                </c:pt>
                <c:pt idx="1">
                  <c:v>Male</c:v>
                </c:pt>
                <c:pt idx="2">
                  <c:v>Female</c:v>
                </c:pt>
              </c:strCache>
            </c:strRef>
          </c:cat>
          <c:val>
            <c:numRef>
              <c:f>部分負擔─門診性別!$B$39:$D$39</c:f>
              <c:numCache>
                <c:formatCode>0_ </c:formatCode>
                <c:ptCount val="3"/>
                <c:pt idx="0">
                  <c:v>13.523525971775138</c:v>
                </c:pt>
                <c:pt idx="1">
                  <c:v>13.354778268991316</c:v>
                </c:pt>
                <c:pt idx="2">
                  <c:v>13.656747345169677</c:v>
                </c:pt>
              </c:numCache>
            </c:numRef>
          </c:val>
        </c:ser>
        <c:ser>
          <c:idx val="2"/>
          <c:order val="2"/>
          <c:tx>
            <c:strRef>
              <c:f>部分負擔─門診性別!$A$40</c:f>
              <c:strCache>
                <c:ptCount val="1"/>
                <c:pt idx="0">
                  <c:v>30-44</c:v>
                </c:pt>
              </c:strCache>
            </c:strRef>
          </c:tx>
          <c:spPr>
            <a:solidFill>
              <a:schemeClr val="accent6">
                <a:lumMod val="40000"/>
                <a:lumOff val="60000"/>
              </a:schemeClr>
            </a:solidFill>
          </c:spPr>
          <c:dLbls>
            <c:numFmt formatCode="#,##0.0_);\(#,##0.0\)" sourceLinked="0"/>
            <c:txPr>
              <a:bodyPr/>
              <a:lstStyle/>
              <a:p>
                <a:pPr>
                  <a:defRPr sz="800">
                    <a:latin typeface="Times New Roman" pitchFamily="18" charset="0"/>
                    <a:cs typeface="Times New Roman" pitchFamily="18" charset="0"/>
                  </a:defRPr>
                </a:pPr>
                <a:endParaRPr lang="zh-TW"/>
              </a:p>
            </c:txPr>
            <c:showVal val="1"/>
          </c:dLbls>
          <c:cat>
            <c:strRef>
              <c:f>部分負擔─門診性別!$B$36:$D$36</c:f>
              <c:strCache>
                <c:ptCount val="3"/>
                <c:pt idx="0">
                  <c:v>Total</c:v>
                </c:pt>
                <c:pt idx="1">
                  <c:v>Male</c:v>
                </c:pt>
                <c:pt idx="2">
                  <c:v>Female</c:v>
                </c:pt>
              </c:strCache>
            </c:strRef>
          </c:cat>
          <c:val>
            <c:numRef>
              <c:f>部分負擔─門診性別!$B$40:$D$40</c:f>
              <c:numCache>
                <c:formatCode>0_ </c:formatCode>
                <c:ptCount val="3"/>
                <c:pt idx="0">
                  <c:v>19.676108794388295</c:v>
                </c:pt>
                <c:pt idx="1">
                  <c:v>18.194052863365929</c:v>
                </c:pt>
                <c:pt idx="2">
                  <c:v>20.846148583499989</c:v>
                </c:pt>
              </c:numCache>
            </c:numRef>
          </c:val>
        </c:ser>
        <c:ser>
          <c:idx val="3"/>
          <c:order val="3"/>
          <c:tx>
            <c:strRef>
              <c:f>部分負擔─門診性別!$A$41</c:f>
              <c:strCache>
                <c:ptCount val="1"/>
                <c:pt idx="0">
                  <c:v>45-64</c:v>
                </c:pt>
              </c:strCache>
            </c:strRef>
          </c:tx>
          <c:spPr>
            <a:solidFill>
              <a:schemeClr val="accent3">
                <a:lumMod val="40000"/>
                <a:lumOff val="60000"/>
              </a:schemeClr>
            </a:solidFill>
          </c:spPr>
          <c:dLbls>
            <c:numFmt formatCode="#,##0.0_);\(#,##0.0\)" sourceLinked="0"/>
            <c:txPr>
              <a:bodyPr/>
              <a:lstStyle/>
              <a:p>
                <a:pPr>
                  <a:defRPr sz="800">
                    <a:latin typeface="Times New Roman" pitchFamily="18" charset="0"/>
                    <a:cs typeface="Times New Roman" pitchFamily="18" charset="0"/>
                  </a:defRPr>
                </a:pPr>
                <a:endParaRPr lang="zh-TW"/>
              </a:p>
            </c:txPr>
            <c:showVal val="1"/>
          </c:dLbls>
          <c:cat>
            <c:strRef>
              <c:f>部分負擔─門診性別!$B$36:$D$36</c:f>
              <c:strCache>
                <c:ptCount val="3"/>
                <c:pt idx="0">
                  <c:v>Total</c:v>
                </c:pt>
                <c:pt idx="1">
                  <c:v>Male</c:v>
                </c:pt>
                <c:pt idx="2">
                  <c:v>Female</c:v>
                </c:pt>
              </c:strCache>
            </c:strRef>
          </c:cat>
          <c:val>
            <c:numRef>
              <c:f>部分負擔─門診性別!$B$41:$D$41</c:f>
              <c:numCache>
                <c:formatCode>0_ </c:formatCode>
                <c:ptCount val="3"/>
                <c:pt idx="0">
                  <c:v>33.697254302985257</c:v>
                </c:pt>
                <c:pt idx="1">
                  <c:v>33.297276272366851</c:v>
                </c:pt>
                <c:pt idx="2">
                  <c:v>34.013025253863475</c:v>
                </c:pt>
              </c:numCache>
            </c:numRef>
          </c:val>
        </c:ser>
        <c:ser>
          <c:idx val="4"/>
          <c:order val="4"/>
          <c:tx>
            <c:strRef>
              <c:f>部分負擔─門診性別!$A$42</c:f>
              <c:strCache>
                <c:ptCount val="1"/>
                <c:pt idx="0">
                  <c:v>65 and over</c:v>
                </c:pt>
              </c:strCache>
            </c:strRef>
          </c:tx>
          <c:spPr>
            <a:solidFill>
              <a:srgbClr val="FFFFAB"/>
            </a:solidFill>
          </c:spPr>
          <c:dLbls>
            <c:numFmt formatCode="#,##0.0_);\(#,##0.0\)" sourceLinked="0"/>
            <c:txPr>
              <a:bodyPr/>
              <a:lstStyle/>
              <a:p>
                <a:pPr>
                  <a:defRPr sz="800">
                    <a:latin typeface="Times New Roman" pitchFamily="18" charset="0"/>
                    <a:cs typeface="Times New Roman" pitchFamily="18" charset="0"/>
                  </a:defRPr>
                </a:pPr>
                <a:endParaRPr lang="zh-TW"/>
              </a:p>
            </c:txPr>
            <c:showVal val="1"/>
          </c:dLbls>
          <c:cat>
            <c:strRef>
              <c:f>部分負擔─門診性別!$B$36:$D$36</c:f>
              <c:strCache>
                <c:ptCount val="3"/>
                <c:pt idx="0">
                  <c:v>Total</c:v>
                </c:pt>
                <c:pt idx="1">
                  <c:v>Male</c:v>
                </c:pt>
                <c:pt idx="2">
                  <c:v>Female</c:v>
                </c:pt>
              </c:strCache>
            </c:strRef>
          </c:cat>
          <c:val>
            <c:numRef>
              <c:f>部分負擔─門診性別!$B$42:$D$42</c:f>
              <c:numCache>
                <c:formatCode>0_ </c:formatCode>
                <c:ptCount val="3"/>
                <c:pt idx="0">
                  <c:v>22.11725608636473</c:v>
                </c:pt>
                <c:pt idx="1">
                  <c:v>21.461899176817386</c:v>
                </c:pt>
                <c:pt idx="2">
                  <c:v>22.634641189173053</c:v>
                </c:pt>
              </c:numCache>
            </c:numRef>
          </c:val>
        </c:ser>
        <c:shape val="box"/>
        <c:axId val="326085248"/>
        <c:axId val="326099328"/>
        <c:axId val="0"/>
      </c:bar3DChart>
      <c:catAx>
        <c:axId val="326085248"/>
        <c:scaling>
          <c:orientation val="minMax"/>
        </c:scaling>
        <c:axPos val="l"/>
        <c:majorTickMark val="in"/>
        <c:tickLblPos val="nextTo"/>
        <c:txPr>
          <a:bodyPr/>
          <a:lstStyle/>
          <a:p>
            <a:pPr>
              <a:defRPr sz="800">
                <a:latin typeface="Times New Roman" pitchFamily="18" charset="0"/>
                <a:ea typeface="標楷體" pitchFamily="65" charset="-120"/>
                <a:cs typeface="Times New Roman" pitchFamily="18" charset="0"/>
              </a:defRPr>
            </a:pPr>
            <a:endParaRPr lang="zh-TW"/>
          </a:p>
        </c:txPr>
        <c:crossAx val="326099328"/>
        <c:crosses val="autoZero"/>
        <c:auto val="1"/>
        <c:lblAlgn val="ctr"/>
        <c:lblOffset val="100"/>
      </c:catAx>
      <c:valAx>
        <c:axId val="326099328"/>
        <c:scaling>
          <c:orientation val="minMax"/>
        </c:scaling>
        <c:axPos val="b"/>
        <c:majorGridlines/>
        <c:numFmt formatCode="General" sourceLinked="0"/>
        <c:majorTickMark val="none"/>
        <c:tickLblPos val="nextTo"/>
        <c:txPr>
          <a:bodyPr/>
          <a:lstStyle/>
          <a:p>
            <a:pPr>
              <a:defRPr sz="800">
                <a:latin typeface="Times New Roman" pitchFamily="18" charset="0"/>
                <a:cs typeface="Times New Roman" pitchFamily="18" charset="0"/>
              </a:defRPr>
            </a:pPr>
            <a:endParaRPr lang="zh-TW"/>
          </a:p>
        </c:txPr>
        <c:crossAx val="326085248"/>
        <c:crosses val="autoZero"/>
        <c:crossBetween val="between"/>
      </c:valAx>
    </c:plotArea>
    <c:legend>
      <c:legendPos val="r"/>
      <c:layout>
        <c:manualLayout>
          <c:xMode val="edge"/>
          <c:yMode val="edge"/>
          <c:x val="0.84544728783902012"/>
          <c:y val="0.23972906612479891"/>
          <c:w val="0.13510826771653545"/>
          <c:h val="0.38359397783610388"/>
        </c:manualLayout>
      </c:layout>
      <c:txPr>
        <a:bodyPr/>
        <a:lstStyle/>
        <a:p>
          <a:pPr>
            <a:defRPr sz="800">
              <a:latin typeface="Times New Roman" pitchFamily="18" charset="0"/>
              <a:ea typeface="標楷體" pitchFamily="65" charset="-120"/>
              <a:cs typeface="Times New Roman" pitchFamily="18" charset="0"/>
            </a:defRPr>
          </a:pPr>
          <a:endParaRPr lang="zh-TW"/>
        </a:p>
      </c:txPr>
    </c:legend>
    <c:plotVisOnly val="1"/>
    <c:dispBlanksAs val="gap"/>
  </c:chart>
  <c:spPr>
    <a:ln>
      <a:noFill/>
    </a:ln>
  </c:spPr>
  <c:externalData r:id="rId1"/>
  <c:userShapes r:id="rId2"/>
</c:chartSpace>
</file>

<file path=word/charts/chart29.xml><?xml version="1.0" encoding="utf-8"?>
<c:chartSpace xmlns:c="http://schemas.openxmlformats.org/drawingml/2006/chart" xmlns:a="http://schemas.openxmlformats.org/drawingml/2006/main" xmlns:r="http://schemas.openxmlformats.org/officeDocument/2006/relationships">
  <c:date1904 val="1"/>
  <c:lang val="zh-TW"/>
  <c:chart>
    <c:view3D>
      <c:rAngAx val="1"/>
    </c:view3D>
    <c:floor>
      <c:spPr>
        <a:solidFill>
          <a:srgbClr val="9BBB59">
            <a:lumMod val="20000"/>
            <a:lumOff val="80000"/>
            <a:alpha val="33000"/>
          </a:srgbClr>
        </a:solidFill>
      </c:spPr>
    </c:floor>
    <c:sideWall>
      <c:spPr>
        <a:solidFill>
          <a:srgbClr val="9BBB59">
            <a:lumMod val="20000"/>
            <a:lumOff val="80000"/>
            <a:alpha val="38000"/>
          </a:srgbClr>
        </a:solidFill>
      </c:spPr>
    </c:sideWall>
    <c:backWall>
      <c:spPr>
        <a:solidFill>
          <a:srgbClr val="9BBB59">
            <a:lumMod val="20000"/>
            <a:lumOff val="80000"/>
            <a:alpha val="38000"/>
          </a:srgbClr>
        </a:solidFill>
      </c:spPr>
    </c:backWall>
    <c:plotArea>
      <c:layout>
        <c:manualLayout>
          <c:layoutTarget val="inner"/>
          <c:xMode val="edge"/>
          <c:yMode val="edge"/>
          <c:x val="9.3430446194227579E-2"/>
          <c:y val="0.24474303615274245"/>
          <c:w val="0.76590573053369992"/>
          <c:h val="0.65626483786301848"/>
        </c:manualLayout>
      </c:layout>
      <c:bar3DChart>
        <c:barDir val="col"/>
        <c:grouping val="clustered"/>
        <c:ser>
          <c:idx val="0"/>
          <c:order val="0"/>
          <c:tx>
            <c:strRef>
              <c:f>部分負擔─門診性別!$A$47</c:f>
              <c:strCache>
                <c:ptCount val="1"/>
                <c:pt idx="0">
                  <c:v>0-14</c:v>
                </c:pt>
              </c:strCache>
            </c:strRef>
          </c:tx>
          <c:spPr>
            <a:solidFill>
              <a:schemeClr val="accent1">
                <a:lumMod val="40000"/>
                <a:lumOff val="60000"/>
              </a:schemeClr>
            </a:solidFill>
          </c:spPr>
          <c:dLbls>
            <c:numFmt formatCode="#,##0;\-#,##0" sourceLinked="0"/>
            <c:txPr>
              <a:bodyPr/>
              <a:lstStyle/>
              <a:p>
                <a:pPr>
                  <a:defRPr sz="800">
                    <a:latin typeface="Times New Roman" pitchFamily="18" charset="0"/>
                    <a:cs typeface="Times New Roman" pitchFamily="18" charset="0"/>
                  </a:defRPr>
                </a:pPr>
                <a:endParaRPr lang="zh-TW"/>
              </a:p>
            </c:txPr>
            <c:showVal val="1"/>
          </c:dLbls>
          <c:cat>
            <c:strRef>
              <c:f>部分負擔─門診性別!$C$45:$D$45</c:f>
              <c:strCache>
                <c:ptCount val="2"/>
                <c:pt idx="0">
                  <c:v>Male</c:v>
                </c:pt>
                <c:pt idx="1">
                  <c:v>Female</c:v>
                </c:pt>
              </c:strCache>
            </c:strRef>
          </c:cat>
          <c:val>
            <c:numRef>
              <c:f>(部分負擔─門診性別!$G$29,部分負擔─門診性別!$J$29)</c:f>
              <c:numCache>
                <c:formatCode>#,##0</c:formatCode>
                <c:ptCount val="2"/>
                <c:pt idx="0">
                  <c:v>74.223207652722678</c:v>
                </c:pt>
                <c:pt idx="1">
                  <c:v>70.117490428875527</c:v>
                </c:pt>
              </c:numCache>
            </c:numRef>
          </c:val>
        </c:ser>
        <c:ser>
          <c:idx val="1"/>
          <c:order val="1"/>
          <c:tx>
            <c:strRef>
              <c:f>部分負擔─門診性別!$A$48</c:f>
              <c:strCache>
                <c:ptCount val="1"/>
                <c:pt idx="0">
                  <c:v>15-29</c:v>
                </c:pt>
              </c:strCache>
            </c:strRef>
          </c:tx>
          <c:spPr>
            <a:solidFill>
              <a:srgbClr val="EFB3EC"/>
            </a:solidFill>
          </c:spPr>
          <c:dLbls>
            <c:numFmt formatCode="#,##0;\-#,##0" sourceLinked="0"/>
            <c:txPr>
              <a:bodyPr/>
              <a:lstStyle/>
              <a:p>
                <a:pPr>
                  <a:defRPr sz="800">
                    <a:latin typeface="Times New Roman" pitchFamily="18" charset="0"/>
                    <a:cs typeface="Times New Roman" pitchFamily="18" charset="0"/>
                  </a:defRPr>
                </a:pPr>
                <a:endParaRPr lang="zh-TW"/>
              </a:p>
            </c:txPr>
            <c:showVal val="1"/>
          </c:dLbls>
          <c:cat>
            <c:strRef>
              <c:f>部分負擔─門診性別!$C$45:$D$45</c:f>
              <c:strCache>
                <c:ptCount val="2"/>
                <c:pt idx="0">
                  <c:v>Male</c:v>
                </c:pt>
                <c:pt idx="1">
                  <c:v>Female</c:v>
                </c:pt>
              </c:strCache>
            </c:strRef>
          </c:cat>
          <c:val>
            <c:numRef>
              <c:f>(部分負擔─門診性別!$G$30,部分負擔─門診性別!$J$30)</c:f>
              <c:numCache>
                <c:formatCode>#,##0</c:formatCode>
                <c:ptCount val="2"/>
                <c:pt idx="0">
                  <c:v>86.140363239458708</c:v>
                </c:pt>
                <c:pt idx="1">
                  <c:v>80.151977183120579</c:v>
                </c:pt>
              </c:numCache>
            </c:numRef>
          </c:val>
        </c:ser>
        <c:ser>
          <c:idx val="2"/>
          <c:order val="2"/>
          <c:tx>
            <c:strRef>
              <c:f>部分負擔─門診性別!$A$49</c:f>
              <c:strCache>
                <c:ptCount val="1"/>
                <c:pt idx="0">
                  <c:v>30-44</c:v>
                </c:pt>
              </c:strCache>
            </c:strRef>
          </c:tx>
          <c:spPr>
            <a:solidFill>
              <a:schemeClr val="accent6">
                <a:lumMod val="40000"/>
                <a:lumOff val="60000"/>
              </a:schemeClr>
            </a:solidFill>
          </c:spPr>
          <c:dLbls>
            <c:numFmt formatCode="#,##0;\-#,##0" sourceLinked="0"/>
            <c:txPr>
              <a:bodyPr/>
              <a:lstStyle/>
              <a:p>
                <a:pPr>
                  <a:defRPr sz="800">
                    <a:latin typeface="Times New Roman" pitchFamily="18" charset="0"/>
                    <a:cs typeface="Times New Roman" pitchFamily="18" charset="0"/>
                  </a:defRPr>
                </a:pPr>
                <a:endParaRPr lang="zh-TW"/>
              </a:p>
            </c:txPr>
            <c:showVal val="1"/>
          </c:dLbls>
          <c:cat>
            <c:strRef>
              <c:f>部分負擔─門診性別!$C$45:$D$45</c:f>
              <c:strCache>
                <c:ptCount val="2"/>
                <c:pt idx="0">
                  <c:v>Male</c:v>
                </c:pt>
                <c:pt idx="1">
                  <c:v>Female</c:v>
                </c:pt>
              </c:strCache>
            </c:strRef>
          </c:cat>
          <c:val>
            <c:numRef>
              <c:f>(部分負擔─門診性別!$G$31,部分負擔─門診性別!$J$31)</c:f>
              <c:numCache>
                <c:formatCode>#,##0</c:formatCode>
                <c:ptCount val="2"/>
                <c:pt idx="0">
                  <c:v>94.846071727006219</c:v>
                </c:pt>
                <c:pt idx="1">
                  <c:v>88.464340122624193</c:v>
                </c:pt>
              </c:numCache>
            </c:numRef>
          </c:val>
        </c:ser>
        <c:ser>
          <c:idx val="3"/>
          <c:order val="3"/>
          <c:tx>
            <c:strRef>
              <c:f>部分負擔─門診性別!$A$50</c:f>
              <c:strCache>
                <c:ptCount val="1"/>
                <c:pt idx="0">
                  <c:v>45-64</c:v>
                </c:pt>
              </c:strCache>
            </c:strRef>
          </c:tx>
          <c:spPr>
            <a:solidFill>
              <a:schemeClr val="accent3">
                <a:lumMod val="40000"/>
                <a:lumOff val="60000"/>
              </a:schemeClr>
            </a:solidFill>
          </c:spPr>
          <c:dLbls>
            <c:numFmt formatCode="#,##0;\-#,##0" sourceLinked="0"/>
            <c:txPr>
              <a:bodyPr/>
              <a:lstStyle/>
              <a:p>
                <a:pPr>
                  <a:defRPr sz="800">
                    <a:latin typeface="Times New Roman" pitchFamily="18" charset="0"/>
                    <a:cs typeface="Times New Roman" pitchFamily="18" charset="0"/>
                  </a:defRPr>
                </a:pPr>
                <a:endParaRPr lang="zh-TW"/>
              </a:p>
            </c:txPr>
            <c:showVal val="1"/>
          </c:dLbls>
          <c:cat>
            <c:strRef>
              <c:f>部分負擔─門診性別!$C$45:$D$45</c:f>
              <c:strCache>
                <c:ptCount val="2"/>
                <c:pt idx="0">
                  <c:v>Male</c:v>
                </c:pt>
                <c:pt idx="1">
                  <c:v>Female</c:v>
                </c:pt>
              </c:strCache>
            </c:strRef>
          </c:cat>
          <c:val>
            <c:numRef>
              <c:f>(部分負擔─門診性別!$G$32,部分負擔─門診性別!$J$32)</c:f>
              <c:numCache>
                <c:formatCode>#,##0</c:formatCode>
                <c:ptCount val="2"/>
                <c:pt idx="0">
                  <c:v>110.36368849911042</c:v>
                </c:pt>
                <c:pt idx="1">
                  <c:v>104.42091221271764</c:v>
                </c:pt>
              </c:numCache>
            </c:numRef>
          </c:val>
        </c:ser>
        <c:ser>
          <c:idx val="4"/>
          <c:order val="4"/>
          <c:tx>
            <c:strRef>
              <c:f>部分負擔─門診性別!$A$51</c:f>
              <c:strCache>
                <c:ptCount val="1"/>
                <c:pt idx="0">
                  <c:v>65 and over</c:v>
                </c:pt>
              </c:strCache>
            </c:strRef>
          </c:tx>
          <c:spPr>
            <a:solidFill>
              <a:srgbClr val="FFFFAB"/>
            </a:solidFill>
          </c:spPr>
          <c:dLbls>
            <c:numFmt formatCode="#,##0;\-#,##0" sourceLinked="0"/>
            <c:txPr>
              <a:bodyPr/>
              <a:lstStyle/>
              <a:p>
                <a:pPr>
                  <a:defRPr sz="800">
                    <a:latin typeface="Times New Roman" pitchFamily="18" charset="0"/>
                    <a:cs typeface="Times New Roman" pitchFamily="18" charset="0"/>
                  </a:defRPr>
                </a:pPr>
                <a:endParaRPr lang="zh-TW"/>
              </a:p>
            </c:txPr>
            <c:showVal val="1"/>
          </c:dLbls>
          <c:cat>
            <c:strRef>
              <c:f>部分負擔─門診性別!$C$45:$D$45</c:f>
              <c:strCache>
                <c:ptCount val="2"/>
                <c:pt idx="0">
                  <c:v>Male</c:v>
                </c:pt>
                <c:pt idx="1">
                  <c:v>Female</c:v>
                </c:pt>
              </c:strCache>
            </c:strRef>
          </c:cat>
          <c:val>
            <c:numRef>
              <c:f>(部分負擔─門診性別!$G$33,部分負擔─門診性別!$J$33)</c:f>
              <c:numCache>
                <c:formatCode>#,##0</c:formatCode>
                <c:ptCount val="2"/>
                <c:pt idx="0">
                  <c:v>122.80679421397271</c:v>
                </c:pt>
                <c:pt idx="1">
                  <c:v>122.25355258147839</c:v>
                </c:pt>
              </c:numCache>
            </c:numRef>
          </c:val>
        </c:ser>
        <c:gapWidth val="260"/>
        <c:gapDepth val="140"/>
        <c:shape val="box"/>
        <c:axId val="326521984"/>
        <c:axId val="326523520"/>
        <c:axId val="0"/>
      </c:bar3DChart>
      <c:catAx>
        <c:axId val="326521984"/>
        <c:scaling>
          <c:orientation val="minMax"/>
        </c:scaling>
        <c:axPos val="b"/>
        <c:majorTickMark val="in"/>
        <c:tickLblPos val="nextTo"/>
        <c:txPr>
          <a:bodyPr/>
          <a:lstStyle/>
          <a:p>
            <a:pPr>
              <a:defRPr sz="800">
                <a:latin typeface="Times New Roman" pitchFamily="18" charset="0"/>
                <a:ea typeface="標楷體" pitchFamily="65" charset="-120"/>
                <a:cs typeface="Times New Roman" pitchFamily="18" charset="0"/>
              </a:defRPr>
            </a:pPr>
            <a:endParaRPr lang="zh-TW"/>
          </a:p>
        </c:txPr>
        <c:crossAx val="326523520"/>
        <c:crosses val="autoZero"/>
        <c:auto val="1"/>
        <c:lblAlgn val="ctr"/>
        <c:lblOffset val="100"/>
      </c:catAx>
      <c:valAx>
        <c:axId val="326523520"/>
        <c:scaling>
          <c:orientation val="minMax"/>
        </c:scaling>
        <c:axPos val="l"/>
        <c:majorGridlines>
          <c:spPr>
            <a:ln>
              <a:solidFill>
                <a:schemeClr val="accent3">
                  <a:lumMod val="40000"/>
                  <a:lumOff val="60000"/>
                </a:schemeClr>
              </a:solidFill>
            </a:ln>
          </c:spPr>
        </c:majorGridlines>
        <c:numFmt formatCode="General" sourceLinked="0"/>
        <c:majorTickMark val="none"/>
        <c:tickLblPos val="nextTo"/>
        <c:txPr>
          <a:bodyPr/>
          <a:lstStyle/>
          <a:p>
            <a:pPr>
              <a:defRPr sz="800">
                <a:latin typeface="Times New Roman" pitchFamily="18" charset="0"/>
                <a:cs typeface="Times New Roman" pitchFamily="18" charset="0"/>
              </a:defRPr>
            </a:pPr>
            <a:endParaRPr lang="zh-TW"/>
          </a:p>
        </c:txPr>
        <c:crossAx val="326521984"/>
        <c:crosses val="autoZero"/>
        <c:crossBetween val="between"/>
      </c:valAx>
    </c:plotArea>
    <c:legend>
      <c:legendPos val="r"/>
      <c:layout>
        <c:manualLayout>
          <c:xMode val="edge"/>
          <c:yMode val="edge"/>
          <c:x val="0.85100284339458698"/>
          <c:y val="0.28273986585010208"/>
          <c:w val="0.14066382327209098"/>
          <c:h val="0.39938193209720341"/>
        </c:manualLayout>
      </c:layout>
      <c:txPr>
        <a:bodyPr/>
        <a:lstStyle/>
        <a:p>
          <a:pPr>
            <a:defRPr sz="800">
              <a:latin typeface="Times New Roman" pitchFamily="18" charset="0"/>
              <a:ea typeface="標楷體" pitchFamily="65" charset="-120"/>
              <a:cs typeface="Times New Roman" pitchFamily="18" charset="0"/>
            </a:defRPr>
          </a:pPr>
          <a:endParaRPr lang="zh-TW"/>
        </a:p>
      </c:txPr>
    </c:legend>
    <c:plotVisOnly val="1"/>
    <c:dispBlanksAs val="gap"/>
  </c:chart>
  <c:spPr>
    <a:ln>
      <a:noFill/>
    </a:ln>
  </c:spPr>
  <c:externalData r:id="rId1"/>
  <c:userShapes r:id="rId2"/>
</c:chartSpace>
</file>

<file path=word/charts/chart30.xml><?xml version="1.0" encoding="utf-8"?>
<c:chartSpace xmlns:c="http://schemas.openxmlformats.org/drawingml/2006/chart" xmlns:a="http://schemas.openxmlformats.org/drawingml/2006/main" xmlns:r="http://schemas.openxmlformats.org/officeDocument/2006/relationships">
  <c:date1904 val="1"/>
  <c:lang val="zh-TW"/>
  <c:chart>
    <c:plotArea>
      <c:layout>
        <c:manualLayout>
          <c:layoutTarget val="inner"/>
          <c:xMode val="edge"/>
          <c:yMode val="edge"/>
          <c:x val="5.7592534266550123E-2"/>
          <c:y val="0.26611581780125587"/>
          <c:w val="0.8209259842519685"/>
          <c:h val="0.61530176163138162"/>
        </c:manualLayout>
      </c:layout>
      <c:scatterChart>
        <c:scatterStyle val="lineMarker"/>
        <c:ser>
          <c:idx val="1"/>
          <c:order val="0"/>
          <c:tx>
            <c:strRef>
              <c:f>部分負擔!$B$17</c:f>
              <c:strCache>
                <c:ptCount val="1"/>
                <c:pt idx="0">
                  <c:v>Academic Medical Centers</c:v>
                </c:pt>
              </c:strCache>
            </c:strRef>
          </c:tx>
          <c:spPr>
            <a:ln w="28575">
              <a:noFill/>
            </a:ln>
          </c:spPr>
          <c:marker>
            <c:symbol val="circle"/>
            <c:size val="7"/>
            <c:spPr>
              <a:solidFill>
                <a:srgbClr val="A0BF61"/>
              </a:solidFill>
              <a:ln>
                <a:solidFill>
                  <a:srgbClr val="A0BF61"/>
                </a:solidFill>
              </a:ln>
            </c:spPr>
          </c:marker>
          <c:dLbls>
            <c:dLbl>
              <c:idx val="0"/>
              <c:layout>
                <c:manualLayout>
                  <c:x val="-0.17319336400720994"/>
                  <c:y val="5.9657462172067202E-2"/>
                </c:manualLayout>
              </c:layout>
              <c:showSerName val="1"/>
            </c:dLbl>
            <c:txPr>
              <a:bodyPr/>
              <a:lstStyle/>
              <a:p>
                <a:pPr>
                  <a:defRPr sz="800">
                    <a:latin typeface="Times New Roman" pitchFamily="18" charset="0"/>
                    <a:ea typeface="標楷體" pitchFamily="65" charset="-120"/>
                    <a:cs typeface="Times New Roman" pitchFamily="18" charset="0"/>
                  </a:defRPr>
                </a:pPr>
                <a:endParaRPr lang="zh-TW"/>
              </a:p>
            </c:txPr>
            <c:showVal val="1"/>
          </c:dLbls>
          <c:xVal>
            <c:numRef>
              <c:f>部分負擔!$J$28</c:f>
              <c:numCache>
                <c:formatCode>_-* #,##0.0_-;\-* #,##0.0_-;_-* "-"_-;_-@_-</c:formatCode>
                <c:ptCount val="1"/>
                <c:pt idx="0">
                  <c:v>1.1610582885848597</c:v>
                </c:pt>
              </c:numCache>
            </c:numRef>
          </c:xVal>
          <c:yVal>
            <c:numRef>
              <c:f>部分負擔!$K$5</c:f>
              <c:numCache>
                <c:formatCode>_-* #,##0_-;\-* #,##0_-;_-* "-"_-;_-@_-</c:formatCode>
                <c:ptCount val="1"/>
                <c:pt idx="0">
                  <c:v>5606</c:v>
                </c:pt>
              </c:numCache>
            </c:numRef>
          </c:yVal>
        </c:ser>
        <c:ser>
          <c:idx val="0"/>
          <c:order val="1"/>
          <c:tx>
            <c:strRef>
              <c:f>部分負擔!$B$6</c:f>
              <c:strCache>
                <c:ptCount val="1"/>
                <c:pt idx="0">
                  <c:v>Metropolitan Hospitals</c:v>
                </c:pt>
              </c:strCache>
            </c:strRef>
          </c:tx>
          <c:spPr>
            <a:ln w="28575">
              <a:noFill/>
            </a:ln>
          </c:spPr>
          <c:marker>
            <c:symbol val="circle"/>
            <c:size val="7"/>
            <c:spPr>
              <a:solidFill>
                <a:srgbClr val="DF81C6"/>
              </a:solidFill>
              <a:ln>
                <a:solidFill>
                  <a:srgbClr val="DB6FBF"/>
                </a:solidFill>
              </a:ln>
            </c:spPr>
          </c:marker>
          <c:dLbls>
            <c:dLbl>
              <c:idx val="0"/>
              <c:layout>
                <c:manualLayout>
                  <c:x val="-7.5926509186351734E-3"/>
                  <c:y val="-2.0394365261304382E-2"/>
                </c:manualLayout>
              </c:layout>
              <c:showSerName val="1"/>
            </c:dLbl>
            <c:txPr>
              <a:bodyPr/>
              <a:lstStyle/>
              <a:p>
                <a:pPr>
                  <a:defRPr sz="800">
                    <a:latin typeface="Times New Roman" pitchFamily="18" charset="0"/>
                    <a:ea typeface="標楷體" pitchFamily="65" charset="-120"/>
                    <a:cs typeface="Times New Roman" pitchFamily="18" charset="0"/>
                  </a:defRPr>
                </a:pPr>
                <a:endParaRPr lang="zh-TW"/>
              </a:p>
            </c:txPr>
            <c:showSerName val="1"/>
          </c:dLbls>
          <c:xVal>
            <c:numRef>
              <c:f>部分負擔!$J$29</c:f>
              <c:numCache>
                <c:formatCode>_-* #,##0.0_-;\-* #,##0.0_-;_-* "-"_-;_-@_-</c:formatCode>
                <c:ptCount val="1"/>
                <c:pt idx="0">
                  <c:v>2.7585029411209452</c:v>
                </c:pt>
              </c:numCache>
            </c:numRef>
          </c:xVal>
          <c:yVal>
            <c:numRef>
              <c:f>部分負擔!$K$6</c:f>
              <c:numCache>
                <c:formatCode>_-* #,##0_-;\-* #,##0_-;_-* "-"_-;_-@_-</c:formatCode>
                <c:ptCount val="1"/>
                <c:pt idx="0">
                  <c:v>4010</c:v>
                </c:pt>
              </c:numCache>
            </c:numRef>
          </c:yVal>
        </c:ser>
        <c:ser>
          <c:idx val="2"/>
          <c:order val="2"/>
          <c:tx>
            <c:strRef>
              <c:f>部分負擔!$B$7</c:f>
              <c:strCache>
                <c:ptCount val="1"/>
                <c:pt idx="0">
                  <c:v>Local Community Hospitals</c:v>
                </c:pt>
              </c:strCache>
            </c:strRef>
          </c:tx>
          <c:spPr>
            <a:ln w="28575">
              <a:noFill/>
            </a:ln>
          </c:spPr>
          <c:marker>
            <c:symbol val="circle"/>
            <c:size val="7"/>
            <c:spPr>
              <a:solidFill>
                <a:srgbClr val="957DB1"/>
              </a:solidFill>
              <a:ln>
                <a:solidFill>
                  <a:srgbClr val="957DB1"/>
                </a:solidFill>
              </a:ln>
            </c:spPr>
          </c:marker>
          <c:dLbls>
            <c:dLbl>
              <c:idx val="0"/>
              <c:layout>
                <c:manualLayout>
                  <c:x val="-4.7962904636920961E-2"/>
                  <c:y val="6.9795674274893554E-2"/>
                </c:manualLayout>
              </c:layout>
              <c:spPr/>
              <c:txPr>
                <a:bodyPr/>
                <a:lstStyle/>
                <a:p>
                  <a:pPr>
                    <a:defRPr sz="800">
                      <a:latin typeface="Times New Roman" pitchFamily="18" charset="0"/>
                      <a:ea typeface="標楷體" pitchFamily="65" charset="-120"/>
                      <a:cs typeface="Times New Roman" pitchFamily="18" charset="0"/>
                    </a:defRPr>
                  </a:pPr>
                  <a:endParaRPr lang="zh-TW"/>
                </a:p>
              </c:txPr>
              <c:showSerName val="1"/>
            </c:dLbl>
            <c:txPr>
              <a:bodyPr/>
              <a:lstStyle/>
              <a:p>
                <a:pPr>
                  <a:defRPr sz="800">
                    <a:latin typeface="Times New Roman" pitchFamily="18" charset="0"/>
                    <a:cs typeface="Times New Roman" pitchFamily="18" charset="0"/>
                  </a:defRPr>
                </a:pPr>
                <a:endParaRPr lang="zh-TW"/>
              </a:p>
            </c:txPr>
            <c:showSerName val="1"/>
          </c:dLbls>
          <c:xVal>
            <c:numRef>
              <c:f>部分負擔!$J$30</c:f>
              <c:numCache>
                <c:formatCode>_-* #,##0.0_-;\-* #,##0.0_-;_-* "-"_-;_-@_-</c:formatCode>
                <c:ptCount val="1"/>
                <c:pt idx="0">
                  <c:v>3.0487561045631777</c:v>
                </c:pt>
              </c:numCache>
            </c:numRef>
          </c:xVal>
          <c:yVal>
            <c:numRef>
              <c:f>部分負擔!$K$7</c:f>
              <c:numCache>
                <c:formatCode>_-* #,##0_-;\-* #,##0_-;_-* "-"_-;_-@_-</c:formatCode>
                <c:ptCount val="1"/>
                <c:pt idx="0">
                  <c:v>3142</c:v>
                </c:pt>
              </c:numCache>
            </c:numRef>
          </c:yVal>
        </c:ser>
        <c:ser>
          <c:idx val="3"/>
          <c:order val="3"/>
          <c:tx>
            <c:strRef>
              <c:f>部分負擔!$B$8</c:f>
              <c:strCache>
                <c:ptCount val="1"/>
                <c:pt idx="0">
                  <c:v>Physician Clinics </c:v>
                </c:pt>
              </c:strCache>
            </c:strRef>
          </c:tx>
          <c:spPr>
            <a:ln w="28575">
              <a:noFill/>
            </a:ln>
          </c:spPr>
          <c:marker>
            <c:symbol val="circle"/>
            <c:size val="7"/>
            <c:spPr>
              <a:solidFill>
                <a:srgbClr val="6771CB"/>
              </a:solidFill>
              <a:ln>
                <a:solidFill>
                  <a:srgbClr val="6771CB"/>
                </a:solidFill>
              </a:ln>
            </c:spPr>
          </c:marker>
          <c:dLbls>
            <c:dLbl>
              <c:idx val="0"/>
              <c:layout>
                <c:manualLayout>
                  <c:x val="-7.462957130358705E-2"/>
                  <c:y val="5.0632579155453723E-2"/>
                </c:manualLayout>
              </c:layout>
              <c:showSerName val="1"/>
            </c:dLbl>
            <c:txPr>
              <a:bodyPr/>
              <a:lstStyle/>
              <a:p>
                <a:pPr>
                  <a:defRPr sz="800">
                    <a:latin typeface="Times New Roman" pitchFamily="18" charset="0"/>
                    <a:ea typeface="標楷體" pitchFamily="65" charset="-120"/>
                    <a:cs typeface="Times New Roman" pitchFamily="18" charset="0"/>
                  </a:defRPr>
                </a:pPr>
                <a:endParaRPr lang="zh-TW"/>
              </a:p>
            </c:txPr>
            <c:showVal val="1"/>
          </c:dLbls>
          <c:xVal>
            <c:numRef>
              <c:f>部分負擔!$J$31</c:f>
              <c:numCache>
                <c:formatCode>_-* #,##0.0_-;\-* #,##0.0_-;_-* "-"_-;_-@_-</c:formatCode>
                <c:ptCount val="1"/>
                <c:pt idx="0">
                  <c:v>-13.003225443855698</c:v>
                </c:pt>
              </c:numCache>
            </c:numRef>
          </c:xVal>
          <c:yVal>
            <c:numRef>
              <c:f>部分負擔!$K$8</c:f>
              <c:numCache>
                <c:formatCode>_-* #,##0_-;\-* #,##0_-;_-* "-"_-;_-@_-</c:formatCode>
                <c:ptCount val="1"/>
                <c:pt idx="0">
                  <c:v>1554</c:v>
                </c:pt>
              </c:numCache>
            </c:numRef>
          </c:yVal>
        </c:ser>
        <c:axId val="326293760"/>
        <c:axId val="326893568"/>
      </c:scatterChart>
      <c:valAx>
        <c:axId val="326293760"/>
        <c:scaling>
          <c:orientation val="minMax"/>
          <c:max val="8"/>
        </c:scaling>
        <c:axPos val="b"/>
        <c:numFmt formatCode="#,##0_ " sourceLinked="0"/>
        <c:majorTickMark val="cross"/>
        <c:tickLblPos val="nextTo"/>
        <c:txPr>
          <a:bodyPr/>
          <a:lstStyle/>
          <a:p>
            <a:pPr>
              <a:defRPr sz="800">
                <a:latin typeface="Times New Roman" pitchFamily="18" charset="0"/>
                <a:cs typeface="Times New Roman" pitchFamily="18" charset="0"/>
              </a:defRPr>
            </a:pPr>
            <a:endParaRPr lang="zh-TW"/>
          </a:p>
        </c:txPr>
        <c:crossAx val="326893568"/>
        <c:crossesAt val="3522"/>
        <c:crossBetween val="midCat"/>
        <c:majorUnit val="4"/>
      </c:valAx>
      <c:valAx>
        <c:axId val="326893568"/>
        <c:scaling>
          <c:orientation val="minMax"/>
        </c:scaling>
        <c:axPos val="l"/>
        <c:numFmt formatCode="#,##0;[Red]\-#,##0" sourceLinked="0"/>
        <c:majorTickMark val="cross"/>
        <c:tickLblPos val="nextTo"/>
        <c:txPr>
          <a:bodyPr/>
          <a:lstStyle/>
          <a:p>
            <a:pPr>
              <a:defRPr sz="800">
                <a:latin typeface="Times New Roman" pitchFamily="18" charset="0"/>
                <a:cs typeface="Times New Roman" pitchFamily="18" charset="0"/>
              </a:defRPr>
            </a:pPr>
            <a:endParaRPr lang="zh-TW"/>
          </a:p>
        </c:txPr>
        <c:crossAx val="326293760"/>
        <c:crossesAt val="1.9600000000000142"/>
        <c:crossBetween val="midCat"/>
        <c:majorUnit val="2000"/>
      </c:valAx>
    </c:plotArea>
    <c:plotVisOnly val="1"/>
    <c:dispBlanksAs val="gap"/>
  </c:chart>
  <c:spPr>
    <a:ln>
      <a:noFill/>
    </a:ln>
  </c:spPr>
  <c:externalData r:id="rId1"/>
  <c:userShapes r:id="rId2"/>
</c:chartSpace>
</file>

<file path=word/charts/chart31.xml><?xml version="1.0" encoding="utf-8"?>
<c:chartSpace xmlns:c="http://schemas.openxmlformats.org/drawingml/2006/chart" xmlns:a="http://schemas.openxmlformats.org/drawingml/2006/main" xmlns:r="http://schemas.openxmlformats.org/officeDocument/2006/relationships">
  <c:date1904 val="1"/>
  <c:lang val="zh-TW"/>
  <c:chart>
    <c:view3D>
      <c:rAngAx val="1"/>
    </c:view3D>
    <c:floor>
      <c:spPr>
        <a:solidFill>
          <a:srgbClr val="9BBB59">
            <a:lumMod val="20000"/>
            <a:lumOff val="80000"/>
            <a:alpha val="33000"/>
          </a:srgbClr>
        </a:solidFill>
      </c:spPr>
    </c:floor>
    <c:sideWall>
      <c:spPr>
        <a:solidFill>
          <a:srgbClr val="9BBB59">
            <a:lumMod val="20000"/>
            <a:lumOff val="80000"/>
            <a:alpha val="38000"/>
          </a:srgbClr>
        </a:solidFill>
      </c:spPr>
    </c:sideWall>
    <c:backWall>
      <c:spPr>
        <a:solidFill>
          <a:srgbClr val="9BBB59">
            <a:lumMod val="20000"/>
            <a:lumOff val="80000"/>
            <a:alpha val="38000"/>
          </a:srgbClr>
        </a:solidFill>
      </c:spPr>
    </c:backWall>
    <c:plotArea>
      <c:layout>
        <c:manualLayout>
          <c:layoutTarget val="inner"/>
          <c:xMode val="edge"/>
          <c:yMode val="edge"/>
          <c:x val="9.6208223972003501E-2"/>
          <c:y val="0.17592592592592593"/>
          <c:w val="0.74923906386701677"/>
          <c:h val="0.65626483786301792"/>
        </c:manualLayout>
      </c:layout>
      <c:bar3DChart>
        <c:barDir val="bar"/>
        <c:grouping val="stacked"/>
        <c:ser>
          <c:idx val="0"/>
          <c:order val="0"/>
          <c:tx>
            <c:strRef>
              <c:f>部分負擔─住院性別!$A$38</c:f>
              <c:strCache>
                <c:ptCount val="1"/>
                <c:pt idx="0">
                  <c:v>0-14</c:v>
                </c:pt>
              </c:strCache>
            </c:strRef>
          </c:tx>
          <c:spPr>
            <a:solidFill>
              <a:schemeClr val="accent1">
                <a:lumMod val="40000"/>
                <a:lumOff val="60000"/>
              </a:schemeClr>
            </a:solidFill>
          </c:spPr>
          <c:dLbls>
            <c:numFmt formatCode="#,##0.0_);\(#,##0.0\)" sourceLinked="0"/>
            <c:txPr>
              <a:bodyPr/>
              <a:lstStyle/>
              <a:p>
                <a:pPr>
                  <a:defRPr sz="800">
                    <a:latin typeface="Times New Roman" pitchFamily="18" charset="0"/>
                    <a:cs typeface="Times New Roman" pitchFamily="18" charset="0"/>
                  </a:defRPr>
                </a:pPr>
                <a:endParaRPr lang="zh-TW"/>
              </a:p>
            </c:txPr>
            <c:showVal val="1"/>
          </c:dLbls>
          <c:cat>
            <c:strRef>
              <c:f>部分負擔─門診性別!$B$36:$D$36</c:f>
              <c:strCache>
                <c:ptCount val="3"/>
                <c:pt idx="0">
                  <c:v>Total</c:v>
                </c:pt>
                <c:pt idx="1">
                  <c:v>Male</c:v>
                </c:pt>
                <c:pt idx="2">
                  <c:v>Female</c:v>
                </c:pt>
              </c:strCache>
            </c:strRef>
          </c:cat>
          <c:val>
            <c:numRef>
              <c:f>部分負擔─住院性別!$B$38:$D$38</c:f>
              <c:numCache>
                <c:formatCode>0.0_ </c:formatCode>
                <c:ptCount val="3"/>
                <c:pt idx="0">
                  <c:v>3.547183209122974</c:v>
                </c:pt>
                <c:pt idx="1">
                  <c:v>3.7460575256125792</c:v>
                </c:pt>
                <c:pt idx="2">
                  <c:v>3.3209844708638534</c:v>
                </c:pt>
              </c:numCache>
            </c:numRef>
          </c:val>
        </c:ser>
        <c:ser>
          <c:idx val="1"/>
          <c:order val="1"/>
          <c:tx>
            <c:strRef>
              <c:f>部分負擔─住院性別!$A$39</c:f>
              <c:strCache>
                <c:ptCount val="1"/>
                <c:pt idx="0">
                  <c:v>15-29</c:v>
                </c:pt>
              </c:strCache>
            </c:strRef>
          </c:tx>
          <c:spPr>
            <a:solidFill>
              <a:srgbClr val="EFB3EC"/>
            </a:solidFill>
          </c:spPr>
          <c:dLbls>
            <c:numFmt formatCode="#,##0.0_);\(#,##0.0\)" sourceLinked="0"/>
            <c:txPr>
              <a:bodyPr/>
              <a:lstStyle/>
              <a:p>
                <a:pPr>
                  <a:defRPr sz="800">
                    <a:latin typeface="Times New Roman" pitchFamily="18" charset="0"/>
                    <a:cs typeface="Times New Roman" pitchFamily="18" charset="0"/>
                  </a:defRPr>
                </a:pPr>
                <a:endParaRPr lang="zh-TW"/>
              </a:p>
            </c:txPr>
            <c:showVal val="1"/>
          </c:dLbls>
          <c:cat>
            <c:strRef>
              <c:f>部分負擔─門診性別!$B$36:$D$36</c:f>
              <c:strCache>
                <c:ptCount val="3"/>
                <c:pt idx="0">
                  <c:v>Total</c:v>
                </c:pt>
                <c:pt idx="1">
                  <c:v>Male</c:v>
                </c:pt>
                <c:pt idx="2">
                  <c:v>Female</c:v>
                </c:pt>
              </c:strCache>
            </c:strRef>
          </c:cat>
          <c:val>
            <c:numRef>
              <c:f>部分負擔─住院性別!$B$39:$D$39</c:f>
              <c:numCache>
                <c:formatCode>0.0_ </c:formatCode>
                <c:ptCount val="3"/>
                <c:pt idx="0">
                  <c:v>7.2614569705292755</c:v>
                </c:pt>
                <c:pt idx="1">
                  <c:v>8.1817933990225473</c:v>
                </c:pt>
                <c:pt idx="2">
                  <c:v>6.2146705248300149</c:v>
                </c:pt>
              </c:numCache>
            </c:numRef>
          </c:val>
        </c:ser>
        <c:ser>
          <c:idx val="2"/>
          <c:order val="2"/>
          <c:tx>
            <c:strRef>
              <c:f>部分負擔─住院性別!$A$40</c:f>
              <c:strCache>
                <c:ptCount val="1"/>
                <c:pt idx="0">
                  <c:v>30-44</c:v>
                </c:pt>
              </c:strCache>
            </c:strRef>
          </c:tx>
          <c:spPr>
            <a:solidFill>
              <a:schemeClr val="accent6">
                <a:lumMod val="40000"/>
                <a:lumOff val="60000"/>
              </a:schemeClr>
            </a:solidFill>
          </c:spPr>
          <c:dLbls>
            <c:numFmt formatCode="#,##0.0_);\(#,##0.0\)" sourceLinked="0"/>
            <c:txPr>
              <a:bodyPr/>
              <a:lstStyle/>
              <a:p>
                <a:pPr>
                  <a:defRPr sz="800">
                    <a:latin typeface="Times New Roman" pitchFamily="18" charset="0"/>
                    <a:cs typeface="Times New Roman" pitchFamily="18" charset="0"/>
                  </a:defRPr>
                </a:pPr>
                <a:endParaRPr lang="zh-TW"/>
              </a:p>
            </c:txPr>
            <c:showVal val="1"/>
          </c:dLbls>
          <c:cat>
            <c:strRef>
              <c:f>部分負擔─門診性別!$B$36:$D$36</c:f>
              <c:strCache>
                <c:ptCount val="3"/>
                <c:pt idx="0">
                  <c:v>Total</c:v>
                </c:pt>
                <c:pt idx="1">
                  <c:v>Male</c:v>
                </c:pt>
                <c:pt idx="2">
                  <c:v>Female</c:v>
                </c:pt>
              </c:strCache>
            </c:strRef>
          </c:cat>
          <c:val>
            <c:numRef>
              <c:f>部分負擔─住院性別!$B$40:$D$40</c:f>
              <c:numCache>
                <c:formatCode>0.0_ </c:formatCode>
                <c:ptCount val="3"/>
                <c:pt idx="0">
                  <c:v>13.039034102769056</c:v>
                </c:pt>
                <c:pt idx="1">
                  <c:v>13.39964622609936</c:v>
                </c:pt>
                <c:pt idx="2">
                  <c:v>12.628875522525798</c:v>
                </c:pt>
              </c:numCache>
            </c:numRef>
          </c:val>
        </c:ser>
        <c:ser>
          <c:idx val="3"/>
          <c:order val="3"/>
          <c:tx>
            <c:strRef>
              <c:f>部分負擔─住院性別!$A$41</c:f>
              <c:strCache>
                <c:ptCount val="1"/>
                <c:pt idx="0">
                  <c:v>45-64</c:v>
                </c:pt>
              </c:strCache>
            </c:strRef>
          </c:tx>
          <c:spPr>
            <a:solidFill>
              <a:schemeClr val="accent3">
                <a:lumMod val="40000"/>
                <a:lumOff val="60000"/>
              </a:schemeClr>
            </a:solidFill>
          </c:spPr>
          <c:dLbls>
            <c:numFmt formatCode="#,##0.0_);\(#,##0.0\)" sourceLinked="0"/>
            <c:txPr>
              <a:bodyPr/>
              <a:lstStyle/>
              <a:p>
                <a:pPr>
                  <a:defRPr sz="800">
                    <a:latin typeface="Times New Roman" pitchFamily="18" charset="0"/>
                    <a:cs typeface="Times New Roman" pitchFamily="18" charset="0"/>
                  </a:defRPr>
                </a:pPr>
                <a:endParaRPr lang="zh-TW"/>
              </a:p>
            </c:txPr>
            <c:showVal val="1"/>
          </c:dLbls>
          <c:cat>
            <c:strRef>
              <c:f>部分負擔─門診性別!$B$36:$D$36</c:f>
              <c:strCache>
                <c:ptCount val="3"/>
                <c:pt idx="0">
                  <c:v>Total</c:v>
                </c:pt>
                <c:pt idx="1">
                  <c:v>Male</c:v>
                </c:pt>
                <c:pt idx="2">
                  <c:v>Female</c:v>
                </c:pt>
              </c:strCache>
            </c:strRef>
          </c:cat>
          <c:val>
            <c:numRef>
              <c:f>部分負擔─住院性別!$B$41:$D$41</c:f>
              <c:numCache>
                <c:formatCode>0.0_ </c:formatCode>
                <c:ptCount val="3"/>
                <c:pt idx="0">
                  <c:v>30.944908720963127</c:v>
                </c:pt>
                <c:pt idx="1">
                  <c:v>33.264061082390349</c:v>
                </c:pt>
                <c:pt idx="2">
                  <c:v>28.307115428972924</c:v>
                </c:pt>
              </c:numCache>
            </c:numRef>
          </c:val>
        </c:ser>
        <c:ser>
          <c:idx val="4"/>
          <c:order val="4"/>
          <c:tx>
            <c:strRef>
              <c:f>部分負擔─住院性別!$A$42</c:f>
              <c:strCache>
                <c:ptCount val="1"/>
                <c:pt idx="0">
                  <c:v>65 and over</c:v>
                </c:pt>
              </c:strCache>
            </c:strRef>
          </c:tx>
          <c:spPr>
            <a:solidFill>
              <a:srgbClr val="FFFFAB"/>
            </a:solidFill>
          </c:spPr>
          <c:dLbls>
            <c:numFmt formatCode="#,##0.0_);\(#,##0.0\)" sourceLinked="0"/>
            <c:txPr>
              <a:bodyPr/>
              <a:lstStyle/>
              <a:p>
                <a:pPr>
                  <a:defRPr sz="800">
                    <a:latin typeface="Times New Roman" pitchFamily="18" charset="0"/>
                    <a:cs typeface="Times New Roman" pitchFamily="18" charset="0"/>
                  </a:defRPr>
                </a:pPr>
                <a:endParaRPr lang="zh-TW"/>
              </a:p>
            </c:txPr>
            <c:showVal val="1"/>
          </c:dLbls>
          <c:cat>
            <c:strRef>
              <c:f>部分負擔─門診性別!$B$36:$D$36</c:f>
              <c:strCache>
                <c:ptCount val="3"/>
                <c:pt idx="0">
                  <c:v>Total</c:v>
                </c:pt>
                <c:pt idx="1">
                  <c:v>Male</c:v>
                </c:pt>
                <c:pt idx="2">
                  <c:v>Female</c:v>
                </c:pt>
              </c:strCache>
            </c:strRef>
          </c:cat>
          <c:val>
            <c:numRef>
              <c:f>部分負擔─住院性別!$B$42:$D$42</c:f>
              <c:numCache>
                <c:formatCode>0.0_ </c:formatCode>
                <c:ptCount val="3"/>
                <c:pt idx="0">
                  <c:v>45.207416996615578</c:v>
                </c:pt>
                <c:pt idx="1">
                  <c:v>41.408441766875001</c:v>
                </c:pt>
                <c:pt idx="2">
                  <c:v>49.528354052807479</c:v>
                </c:pt>
              </c:numCache>
            </c:numRef>
          </c:val>
        </c:ser>
        <c:shape val="box"/>
        <c:axId val="326596864"/>
        <c:axId val="326610944"/>
        <c:axId val="0"/>
      </c:bar3DChart>
      <c:catAx>
        <c:axId val="326596864"/>
        <c:scaling>
          <c:orientation val="minMax"/>
        </c:scaling>
        <c:axPos val="l"/>
        <c:majorTickMark val="in"/>
        <c:tickLblPos val="nextTo"/>
        <c:txPr>
          <a:bodyPr/>
          <a:lstStyle/>
          <a:p>
            <a:pPr>
              <a:defRPr sz="800">
                <a:latin typeface="Times New Roman" pitchFamily="18" charset="0"/>
                <a:ea typeface="標楷體" pitchFamily="65" charset="-120"/>
                <a:cs typeface="Times New Roman" pitchFamily="18" charset="0"/>
              </a:defRPr>
            </a:pPr>
            <a:endParaRPr lang="zh-TW"/>
          </a:p>
        </c:txPr>
        <c:crossAx val="326610944"/>
        <c:crosses val="autoZero"/>
        <c:auto val="1"/>
        <c:lblAlgn val="ctr"/>
        <c:lblOffset val="100"/>
      </c:catAx>
      <c:valAx>
        <c:axId val="326610944"/>
        <c:scaling>
          <c:orientation val="minMax"/>
        </c:scaling>
        <c:axPos val="b"/>
        <c:majorGridlines/>
        <c:numFmt formatCode="General" sourceLinked="0"/>
        <c:majorTickMark val="none"/>
        <c:tickLblPos val="nextTo"/>
        <c:txPr>
          <a:bodyPr/>
          <a:lstStyle/>
          <a:p>
            <a:pPr>
              <a:defRPr sz="800">
                <a:latin typeface="Times New Roman" pitchFamily="18" charset="0"/>
                <a:cs typeface="Times New Roman" pitchFamily="18" charset="0"/>
              </a:defRPr>
            </a:pPr>
            <a:endParaRPr lang="zh-TW"/>
          </a:p>
        </c:txPr>
        <c:crossAx val="326596864"/>
        <c:crosses val="autoZero"/>
        <c:crossBetween val="between"/>
      </c:valAx>
    </c:plotArea>
    <c:legend>
      <c:legendPos val="r"/>
      <c:layout>
        <c:manualLayout>
          <c:xMode val="edge"/>
          <c:yMode val="edge"/>
          <c:x val="0.83989173228348102"/>
          <c:y val="0.28273986585010208"/>
          <c:w val="0.13233048993875765"/>
          <c:h val="0.38359397783610388"/>
        </c:manualLayout>
      </c:layout>
      <c:txPr>
        <a:bodyPr/>
        <a:lstStyle/>
        <a:p>
          <a:pPr>
            <a:defRPr sz="800">
              <a:latin typeface="Times New Roman" pitchFamily="18" charset="0"/>
              <a:ea typeface="標楷體" pitchFamily="65" charset="-120"/>
              <a:cs typeface="Times New Roman" pitchFamily="18" charset="0"/>
            </a:defRPr>
          </a:pPr>
          <a:endParaRPr lang="zh-TW"/>
        </a:p>
      </c:txPr>
    </c:legend>
    <c:plotVisOnly val="1"/>
    <c:dispBlanksAs val="gap"/>
  </c:chart>
  <c:spPr>
    <a:ln>
      <a:noFill/>
    </a:ln>
  </c:spPr>
  <c:externalData r:id="rId1"/>
  <c:userShapes r:id="rId2"/>
</c:chartSpace>
</file>

<file path=word/charts/chart32.xml><?xml version="1.0" encoding="utf-8"?>
<c:chartSpace xmlns:c="http://schemas.openxmlformats.org/drawingml/2006/chart" xmlns:a="http://schemas.openxmlformats.org/drawingml/2006/main" xmlns:r="http://schemas.openxmlformats.org/officeDocument/2006/relationships">
  <c:date1904 val="1"/>
  <c:lang val="zh-TW"/>
  <c:chart>
    <c:view3D>
      <c:rAngAx val="1"/>
    </c:view3D>
    <c:floor>
      <c:spPr>
        <a:solidFill>
          <a:srgbClr val="9BBB59">
            <a:lumMod val="20000"/>
            <a:lumOff val="80000"/>
            <a:alpha val="33000"/>
          </a:srgbClr>
        </a:solidFill>
      </c:spPr>
    </c:floor>
    <c:sideWall>
      <c:spPr>
        <a:solidFill>
          <a:srgbClr val="9BBB59">
            <a:lumMod val="20000"/>
            <a:lumOff val="80000"/>
            <a:alpha val="38000"/>
          </a:srgbClr>
        </a:solidFill>
      </c:spPr>
    </c:sideWall>
    <c:backWall>
      <c:spPr>
        <a:solidFill>
          <a:srgbClr val="9BBB59">
            <a:lumMod val="20000"/>
            <a:lumOff val="80000"/>
            <a:alpha val="38000"/>
          </a:srgbClr>
        </a:solidFill>
      </c:spPr>
    </c:backWall>
    <c:plotArea>
      <c:layout>
        <c:manualLayout>
          <c:layoutTarget val="inner"/>
          <c:xMode val="edge"/>
          <c:yMode val="edge"/>
          <c:x val="0.10731933508311461"/>
          <c:y val="0.24474303615274307"/>
          <c:w val="0.76590573053370037"/>
          <c:h val="0.65626483786301881"/>
        </c:manualLayout>
      </c:layout>
      <c:bar3DChart>
        <c:barDir val="col"/>
        <c:grouping val="clustered"/>
        <c:ser>
          <c:idx val="0"/>
          <c:order val="0"/>
          <c:tx>
            <c:strRef>
              <c:f>部分負擔─住院性別!$A$47</c:f>
              <c:strCache>
                <c:ptCount val="1"/>
                <c:pt idx="0">
                  <c:v>0-14</c:v>
                </c:pt>
              </c:strCache>
            </c:strRef>
          </c:tx>
          <c:spPr>
            <a:solidFill>
              <a:schemeClr val="accent1">
                <a:lumMod val="40000"/>
                <a:lumOff val="60000"/>
              </a:schemeClr>
            </a:solidFill>
          </c:spPr>
          <c:dLbls>
            <c:numFmt formatCode="#,##0;\-#,##0" sourceLinked="0"/>
            <c:txPr>
              <a:bodyPr/>
              <a:lstStyle/>
              <a:p>
                <a:pPr>
                  <a:defRPr sz="800">
                    <a:latin typeface="Times New Roman" pitchFamily="18" charset="0"/>
                    <a:cs typeface="Times New Roman" pitchFamily="18" charset="0"/>
                  </a:defRPr>
                </a:pPr>
                <a:endParaRPr lang="zh-TW"/>
              </a:p>
            </c:txPr>
            <c:showVal val="1"/>
          </c:dLbls>
          <c:cat>
            <c:strRef>
              <c:f>部分負擔─門診性別!$C$45:$D$45</c:f>
              <c:strCache>
                <c:ptCount val="2"/>
                <c:pt idx="0">
                  <c:v>Male</c:v>
                </c:pt>
                <c:pt idx="1">
                  <c:v>Female</c:v>
                </c:pt>
              </c:strCache>
            </c:strRef>
          </c:cat>
          <c:val>
            <c:numRef>
              <c:f>(部分負擔─住院性別!$G$29,部分負擔─住院性別!$J$29)</c:f>
              <c:numCache>
                <c:formatCode>#,##0</c:formatCode>
                <c:ptCount val="2"/>
                <c:pt idx="0">
                  <c:v>1522.720905411546</c:v>
                </c:pt>
                <c:pt idx="1">
                  <c:v>1504.3826381633578</c:v>
                </c:pt>
              </c:numCache>
            </c:numRef>
          </c:val>
        </c:ser>
        <c:ser>
          <c:idx val="1"/>
          <c:order val="1"/>
          <c:tx>
            <c:strRef>
              <c:f>部分負擔─住院性別!$A$48</c:f>
              <c:strCache>
                <c:ptCount val="1"/>
                <c:pt idx="0">
                  <c:v>15-29</c:v>
                </c:pt>
              </c:strCache>
            </c:strRef>
          </c:tx>
          <c:spPr>
            <a:solidFill>
              <a:srgbClr val="EFB3EC"/>
            </a:solidFill>
          </c:spPr>
          <c:dLbls>
            <c:numFmt formatCode="#,##0;\-#,##0" sourceLinked="0"/>
            <c:txPr>
              <a:bodyPr/>
              <a:lstStyle/>
              <a:p>
                <a:pPr>
                  <a:defRPr sz="800">
                    <a:latin typeface="Times New Roman" pitchFamily="18" charset="0"/>
                    <a:cs typeface="Times New Roman" pitchFamily="18" charset="0"/>
                  </a:defRPr>
                </a:pPr>
                <a:endParaRPr lang="zh-TW"/>
              </a:p>
            </c:txPr>
            <c:showVal val="1"/>
          </c:dLbls>
          <c:cat>
            <c:strRef>
              <c:f>部分負擔─門診性別!$C$45:$D$45</c:f>
              <c:strCache>
                <c:ptCount val="2"/>
                <c:pt idx="0">
                  <c:v>Male</c:v>
                </c:pt>
                <c:pt idx="1">
                  <c:v>Female</c:v>
                </c:pt>
              </c:strCache>
            </c:strRef>
          </c:cat>
          <c:val>
            <c:numRef>
              <c:f>(部分負擔─住院性別!$G$30,部分負擔─住院性別!$J$30)</c:f>
              <c:numCache>
                <c:formatCode>#,##0</c:formatCode>
                <c:ptCount val="2"/>
                <c:pt idx="0">
                  <c:v>3260.9000766728172</c:v>
                </c:pt>
                <c:pt idx="1">
                  <c:v>2857.8450723376623</c:v>
                </c:pt>
              </c:numCache>
            </c:numRef>
          </c:val>
        </c:ser>
        <c:ser>
          <c:idx val="2"/>
          <c:order val="2"/>
          <c:tx>
            <c:strRef>
              <c:f>部分負擔─住院性別!$A$49</c:f>
              <c:strCache>
                <c:ptCount val="1"/>
                <c:pt idx="0">
                  <c:v>30-44</c:v>
                </c:pt>
              </c:strCache>
            </c:strRef>
          </c:tx>
          <c:spPr>
            <a:solidFill>
              <a:schemeClr val="accent6">
                <a:lumMod val="40000"/>
                <a:lumOff val="60000"/>
              </a:schemeClr>
            </a:solidFill>
          </c:spPr>
          <c:dLbls>
            <c:numFmt formatCode="#,##0;\-#,##0" sourceLinked="0"/>
            <c:txPr>
              <a:bodyPr/>
              <a:lstStyle/>
              <a:p>
                <a:pPr>
                  <a:defRPr sz="800">
                    <a:latin typeface="Times New Roman" pitchFamily="18" charset="0"/>
                    <a:cs typeface="Times New Roman" pitchFamily="18" charset="0"/>
                  </a:defRPr>
                </a:pPr>
                <a:endParaRPr lang="zh-TW"/>
              </a:p>
            </c:txPr>
            <c:showVal val="1"/>
          </c:dLbls>
          <c:cat>
            <c:strRef>
              <c:f>部分負擔─門診性別!$C$45:$D$45</c:f>
              <c:strCache>
                <c:ptCount val="2"/>
                <c:pt idx="0">
                  <c:v>Male</c:v>
                </c:pt>
                <c:pt idx="1">
                  <c:v>Female</c:v>
                </c:pt>
              </c:strCache>
            </c:strRef>
          </c:cat>
          <c:val>
            <c:numRef>
              <c:f>(部分負擔─住院性別!$G$31,部分負擔─住院性別!$J$31)</c:f>
              <c:numCache>
                <c:formatCode>#,##0</c:formatCode>
                <c:ptCount val="2"/>
                <c:pt idx="0">
                  <c:v>3705.1424812921837</c:v>
                </c:pt>
                <c:pt idx="1">
                  <c:v>3323.8613030756064</c:v>
                </c:pt>
              </c:numCache>
            </c:numRef>
          </c:val>
        </c:ser>
        <c:ser>
          <c:idx val="3"/>
          <c:order val="3"/>
          <c:tx>
            <c:strRef>
              <c:f>部分負擔─住院性別!$A$50</c:f>
              <c:strCache>
                <c:ptCount val="1"/>
                <c:pt idx="0">
                  <c:v>45-64</c:v>
                </c:pt>
              </c:strCache>
            </c:strRef>
          </c:tx>
          <c:spPr>
            <a:solidFill>
              <a:schemeClr val="accent3">
                <a:lumMod val="40000"/>
                <a:lumOff val="60000"/>
              </a:schemeClr>
            </a:solidFill>
          </c:spPr>
          <c:dLbls>
            <c:numFmt formatCode="#,##0;\-#,##0" sourceLinked="0"/>
            <c:txPr>
              <a:bodyPr/>
              <a:lstStyle/>
              <a:p>
                <a:pPr>
                  <a:defRPr sz="800">
                    <a:latin typeface="Times New Roman" pitchFamily="18" charset="0"/>
                    <a:cs typeface="Times New Roman" pitchFamily="18" charset="0"/>
                  </a:defRPr>
                </a:pPr>
                <a:endParaRPr lang="zh-TW"/>
              </a:p>
            </c:txPr>
            <c:showVal val="1"/>
          </c:dLbls>
          <c:cat>
            <c:strRef>
              <c:f>部分負擔─門診性別!$C$45:$D$45</c:f>
              <c:strCache>
                <c:ptCount val="2"/>
                <c:pt idx="0">
                  <c:v>Male</c:v>
                </c:pt>
                <c:pt idx="1">
                  <c:v>Female</c:v>
                </c:pt>
              </c:strCache>
            </c:strRef>
          </c:cat>
          <c:val>
            <c:numRef>
              <c:f>(部分負擔─住院性別!$G$32,部分負擔─住院性別!$J$32)</c:f>
              <c:numCache>
                <c:formatCode>#,##0</c:formatCode>
                <c:ptCount val="2"/>
                <c:pt idx="0">
                  <c:v>4844.3647522053525</c:v>
                </c:pt>
                <c:pt idx="1">
                  <c:v>4264.920429283623</c:v>
                </c:pt>
              </c:numCache>
            </c:numRef>
          </c:val>
        </c:ser>
        <c:ser>
          <c:idx val="4"/>
          <c:order val="4"/>
          <c:tx>
            <c:strRef>
              <c:f>部分負擔─住院性別!$A$51</c:f>
              <c:strCache>
                <c:ptCount val="1"/>
                <c:pt idx="0">
                  <c:v>65 and over</c:v>
                </c:pt>
              </c:strCache>
            </c:strRef>
          </c:tx>
          <c:spPr>
            <a:solidFill>
              <a:srgbClr val="FFFFAB"/>
            </a:solidFill>
          </c:spPr>
          <c:dLbls>
            <c:numFmt formatCode="#,##0;\-#,##0" sourceLinked="0"/>
            <c:txPr>
              <a:bodyPr/>
              <a:lstStyle/>
              <a:p>
                <a:pPr>
                  <a:defRPr sz="800">
                    <a:latin typeface="Times New Roman" pitchFamily="18" charset="0"/>
                    <a:cs typeface="Times New Roman" pitchFamily="18" charset="0"/>
                  </a:defRPr>
                </a:pPr>
                <a:endParaRPr lang="zh-TW"/>
              </a:p>
            </c:txPr>
            <c:showVal val="1"/>
          </c:dLbls>
          <c:cat>
            <c:strRef>
              <c:f>部分負擔─門診性別!$C$45:$D$45</c:f>
              <c:strCache>
                <c:ptCount val="2"/>
                <c:pt idx="0">
                  <c:v>Male</c:v>
                </c:pt>
                <c:pt idx="1">
                  <c:v>Female</c:v>
                </c:pt>
              </c:strCache>
            </c:strRef>
          </c:cat>
          <c:val>
            <c:numRef>
              <c:f>(部分負擔─住院性別!$G$33,部分負擔─住院性別!$J$33)</c:f>
              <c:numCache>
                <c:formatCode>#,##0</c:formatCode>
                <c:ptCount val="2"/>
                <c:pt idx="0">
                  <c:v>5934.7863801660287</c:v>
                </c:pt>
                <c:pt idx="1">
                  <c:v>5601.0279846316944</c:v>
                </c:pt>
              </c:numCache>
            </c:numRef>
          </c:val>
        </c:ser>
        <c:gapWidth val="260"/>
        <c:gapDepth val="140"/>
        <c:shape val="box"/>
        <c:axId val="326796416"/>
        <c:axId val="326797952"/>
        <c:axId val="0"/>
      </c:bar3DChart>
      <c:catAx>
        <c:axId val="326796416"/>
        <c:scaling>
          <c:orientation val="minMax"/>
        </c:scaling>
        <c:axPos val="b"/>
        <c:majorTickMark val="in"/>
        <c:tickLblPos val="nextTo"/>
        <c:txPr>
          <a:bodyPr/>
          <a:lstStyle/>
          <a:p>
            <a:pPr>
              <a:defRPr sz="800">
                <a:latin typeface="Times New Roman" pitchFamily="18" charset="0"/>
                <a:ea typeface="標楷體" pitchFamily="65" charset="-120"/>
                <a:cs typeface="Times New Roman" pitchFamily="18" charset="0"/>
              </a:defRPr>
            </a:pPr>
            <a:endParaRPr lang="zh-TW"/>
          </a:p>
        </c:txPr>
        <c:crossAx val="326797952"/>
        <c:crosses val="autoZero"/>
        <c:auto val="1"/>
        <c:lblAlgn val="ctr"/>
        <c:lblOffset val="100"/>
      </c:catAx>
      <c:valAx>
        <c:axId val="326797952"/>
        <c:scaling>
          <c:orientation val="minMax"/>
        </c:scaling>
        <c:axPos val="l"/>
        <c:majorGridlines>
          <c:spPr>
            <a:ln>
              <a:solidFill>
                <a:schemeClr val="accent3">
                  <a:lumMod val="40000"/>
                  <a:lumOff val="60000"/>
                </a:schemeClr>
              </a:solidFill>
            </a:ln>
          </c:spPr>
        </c:majorGridlines>
        <c:numFmt formatCode="General" sourceLinked="0"/>
        <c:majorTickMark val="none"/>
        <c:tickLblPos val="nextTo"/>
        <c:txPr>
          <a:bodyPr/>
          <a:lstStyle/>
          <a:p>
            <a:pPr>
              <a:defRPr sz="800">
                <a:latin typeface="Times New Roman" pitchFamily="18" charset="0"/>
                <a:cs typeface="Times New Roman" pitchFamily="18" charset="0"/>
              </a:defRPr>
            </a:pPr>
            <a:endParaRPr lang="zh-TW"/>
          </a:p>
        </c:txPr>
        <c:crossAx val="326796416"/>
        <c:crosses val="autoZero"/>
        <c:crossBetween val="between"/>
      </c:valAx>
    </c:plotArea>
    <c:legend>
      <c:legendPos val="r"/>
      <c:layout>
        <c:manualLayout>
          <c:xMode val="edge"/>
          <c:yMode val="edge"/>
          <c:x val="0.85655839895013119"/>
          <c:y val="0.30424519515706"/>
          <c:w val="0.12677493438320209"/>
          <c:h val="0.39938193209720363"/>
        </c:manualLayout>
      </c:layout>
      <c:txPr>
        <a:bodyPr/>
        <a:lstStyle/>
        <a:p>
          <a:pPr>
            <a:defRPr sz="800">
              <a:latin typeface="Times New Roman" pitchFamily="18" charset="0"/>
              <a:ea typeface="標楷體" pitchFamily="65" charset="-120"/>
              <a:cs typeface="Times New Roman" pitchFamily="18" charset="0"/>
            </a:defRPr>
          </a:pPr>
          <a:endParaRPr lang="zh-TW"/>
        </a:p>
      </c:txPr>
    </c:legend>
    <c:plotVisOnly val="1"/>
    <c:dispBlanksAs val="gap"/>
  </c:chart>
  <c:spPr>
    <a:ln>
      <a:noFill/>
    </a:ln>
  </c:spPr>
  <c:externalData r:id="rId1"/>
  <c:userShapes r:id="rId2"/>
</c:chartSpace>
</file>

<file path=word/charts/chart33.xml><?xml version="1.0" encoding="utf-8"?>
<c:chartSpace xmlns:c="http://schemas.openxmlformats.org/drawingml/2006/chart" xmlns:a="http://schemas.openxmlformats.org/drawingml/2006/main" xmlns:r="http://schemas.openxmlformats.org/officeDocument/2006/relationships">
  <c:date1904 val="1"/>
  <c:lang val="zh-TW"/>
  <c:chart>
    <c:autoTitleDeleted val="1"/>
    <c:plotArea>
      <c:layout>
        <c:manualLayout>
          <c:layoutTarget val="inner"/>
          <c:xMode val="edge"/>
          <c:yMode val="edge"/>
          <c:x val="0.13112891017747624"/>
          <c:y val="0.19069631735462997"/>
          <c:w val="0.76924366520182164"/>
          <c:h val="0.60678773823105869"/>
        </c:manualLayout>
      </c:layout>
      <c:barChart>
        <c:barDir val="col"/>
        <c:grouping val="clustered"/>
        <c:ser>
          <c:idx val="0"/>
          <c:order val="0"/>
          <c:tx>
            <c:strRef>
              <c:f>'自墊-區域'!$M$3</c:f>
              <c:strCache>
                <c:ptCount val="1"/>
                <c:pt idx="0">
                  <c:v>Outpatient</c:v>
                </c:pt>
              </c:strCache>
            </c:strRef>
          </c:tx>
          <c:spPr>
            <a:solidFill>
              <a:schemeClr val="accent3">
                <a:lumMod val="60000"/>
                <a:lumOff val="40000"/>
              </a:schemeClr>
            </a:solidFill>
            <a:ln w="31750" cmpd="sng">
              <a:noFill/>
            </a:ln>
            <a:scene3d>
              <a:camera prst="orthographicFront"/>
              <a:lightRig rig="threePt" dir="t"/>
            </a:scene3d>
            <a:sp3d>
              <a:bevelT w="0" h="0"/>
            </a:sp3d>
          </c:spPr>
          <c:dLbls>
            <c:dLbl>
              <c:idx val="2"/>
              <c:layout>
                <c:manualLayout>
                  <c:x val="-8.6083213773313679E-3"/>
                  <c:y val="0.15343071427235491"/>
                </c:manualLayout>
              </c:layout>
              <c:dLblPos val="outEnd"/>
              <c:showVal val="1"/>
            </c:dLbl>
            <c:numFmt formatCode="#,##0.0_);[Red]\(#,##0.0\)" sourceLinked="0"/>
            <c:txPr>
              <a:bodyPr/>
              <a:lstStyle/>
              <a:p>
                <a:pPr>
                  <a:defRPr sz="800">
                    <a:latin typeface="Times New Roman" pitchFamily="18" charset="0"/>
                    <a:cs typeface="Times New Roman" pitchFamily="18" charset="0"/>
                  </a:defRPr>
                </a:pPr>
                <a:endParaRPr lang="zh-TW"/>
              </a:p>
            </c:txPr>
            <c:dLblPos val="inBase"/>
            <c:showVal val="1"/>
          </c:dLbls>
          <c:cat>
            <c:strRef>
              <c:f>('自墊-區域'!$B$6,'自墊-區域'!$B$8,'自墊-區域'!$B$15,'自墊-區域'!$B$19,'自墊-區域'!$B$20,'自墊-區域'!$B$21)</c:f>
              <c:strCache>
                <c:ptCount val="6"/>
                <c:pt idx="0">
                  <c:v>Domestic</c:v>
                </c:pt>
                <c:pt idx="1">
                  <c:v>Asia</c:v>
                </c:pt>
                <c:pt idx="2">
                  <c:v>America</c:v>
                </c:pt>
                <c:pt idx="3">
                  <c:v>Europe</c:v>
                </c:pt>
                <c:pt idx="4">
                  <c:v>Africa</c:v>
                </c:pt>
                <c:pt idx="5">
                  <c:v>Oceania</c:v>
                </c:pt>
              </c:strCache>
            </c:strRef>
          </c:cat>
          <c:val>
            <c:numRef>
              <c:f>('自墊-區域'!$M$29,'自墊-區域'!$M$31,'自墊-區域'!$M$38,'自墊-區域'!$M$42,'自墊-區域'!$M$43,'自墊-區域'!$M$44)</c:f>
              <c:numCache>
                <c:formatCode>General</c:formatCode>
                <c:ptCount val="6"/>
                <c:pt idx="0">
                  <c:v>66.3</c:v>
                </c:pt>
                <c:pt idx="1">
                  <c:v>66.2</c:v>
                </c:pt>
                <c:pt idx="2">
                  <c:v>17.899999999999999</c:v>
                </c:pt>
                <c:pt idx="3">
                  <c:v>26.9</c:v>
                </c:pt>
                <c:pt idx="4">
                  <c:v>32.200000000000003</c:v>
                </c:pt>
                <c:pt idx="5">
                  <c:v>25.5</c:v>
                </c:pt>
              </c:numCache>
            </c:numRef>
          </c:val>
        </c:ser>
        <c:ser>
          <c:idx val="1"/>
          <c:order val="1"/>
          <c:tx>
            <c:strRef>
              <c:f>'自墊-區域'!$N$3</c:f>
              <c:strCache>
                <c:ptCount val="1"/>
                <c:pt idx="0">
                  <c:v>Inpatient</c:v>
                </c:pt>
              </c:strCache>
            </c:strRef>
          </c:tx>
          <c:spPr>
            <a:solidFill>
              <a:srgbClr val="FFFFAB"/>
            </a:solidFill>
            <a:ln>
              <a:solidFill>
                <a:schemeClr val="accent1">
                  <a:lumMod val="60000"/>
                  <a:lumOff val="40000"/>
                </a:schemeClr>
              </a:solidFill>
            </a:ln>
            <a:scene3d>
              <a:camera prst="orthographicFront"/>
              <a:lightRig rig="threePt" dir="t"/>
            </a:scene3d>
            <a:sp3d>
              <a:bevelT w="0" h="0"/>
            </a:sp3d>
          </c:spPr>
          <c:dLbls>
            <c:dLbl>
              <c:idx val="2"/>
              <c:layout>
                <c:manualLayout>
                  <c:x val="0"/>
                  <c:y val="8.2272055660500859E-2"/>
                </c:manualLayout>
              </c:layout>
              <c:dLblPos val="outEnd"/>
              <c:showVal val="1"/>
            </c:dLbl>
            <c:numFmt formatCode="#,##0.0;[Red]\-#,##0.0" sourceLinked="0"/>
            <c:txPr>
              <a:bodyPr/>
              <a:lstStyle/>
              <a:p>
                <a:pPr>
                  <a:defRPr sz="800">
                    <a:latin typeface="Times New Roman" pitchFamily="18" charset="0"/>
                    <a:cs typeface="Times New Roman" pitchFamily="18" charset="0"/>
                  </a:defRPr>
                </a:pPr>
                <a:endParaRPr lang="zh-TW"/>
              </a:p>
            </c:txPr>
            <c:dLblPos val="ctr"/>
            <c:showVal val="1"/>
          </c:dLbls>
          <c:cat>
            <c:strRef>
              <c:f>('自墊-區域'!$B$6,'自墊-區域'!$B$8,'自墊-區域'!$B$15,'自墊-區域'!$B$19,'自墊-區域'!$B$20,'自墊-區域'!$B$21)</c:f>
              <c:strCache>
                <c:ptCount val="6"/>
                <c:pt idx="0">
                  <c:v>Domestic</c:v>
                </c:pt>
                <c:pt idx="1">
                  <c:v>Asia</c:v>
                </c:pt>
                <c:pt idx="2">
                  <c:v>America</c:v>
                </c:pt>
                <c:pt idx="3">
                  <c:v>Europe</c:v>
                </c:pt>
                <c:pt idx="4">
                  <c:v>Africa</c:v>
                </c:pt>
                <c:pt idx="5">
                  <c:v>Oceania</c:v>
                </c:pt>
              </c:strCache>
            </c:strRef>
          </c:cat>
          <c:val>
            <c:numRef>
              <c:f>('自墊-區域'!$N$29,'自墊-區域'!$N$31,'自墊-區域'!$N$38,'自墊-區域'!$N$42,'自墊-區域'!$N$43,'自墊-區域'!$N$44)</c:f>
              <c:numCache>
                <c:formatCode>General</c:formatCode>
                <c:ptCount val="6"/>
                <c:pt idx="0">
                  <c:v>22.8</c:v>
                </c:pt>
                <c:pt idx="1">
                  <c:v>39.9</c:v>
                </c:pt>
                <c:pt idx="2">
                  <c:v>7.6</c:v>
                </c:pt>
                <c:pt idx="3" formatCode="0.0_ ">
                  <c:v>20</c:v>
                </c:pt>
                <c:pt idx="4">
                  <c:v>17.399999999999999</c:v>
                </c:pt>
                <c:pt idx="5">
                  <c:v>16.8</c:v>
                </c:pt>
              </c:numCache>
            </c:numRef>
          </c:val>
        </c:ser>
        <c:gapWidth val="75"/>
        <c:axId val="342640128"/>
        <c:axId val="342641664"/>
      </c:barChart>
      <c:lineChart>
        <c:grouping val="standard"/>
        <c:ser>
          <c:idx val="2"/>
          <c:order val="2"/>
          <c:tx>
            <c:strRef>
              <c:f>'自墊-區域'!$L$3</c:f>
              <c:strCache>
                <c:ptCount val="1"/>
                <c:pt idx="0">
                  <c:v>Total</c:v>
                </c:pt>
              </c:strCache>
            </c:strRef>
          </c:tx>
          <c:spPr>
            <a:ln w="34925" cmpd="sng">
              <a:solidFill>
                <a:srgbClr val="403B24"/>
              </a:solidFill>
              <a:prstDash val="dash"/>
            </a:ln>
          </c:spPr>
          <c:marker>
            <c:symbol val="diamond"/>
            <c:size val="8"/>
            <c:spPr>
              <a:solidFill>
                <a:schemeClr val="bg2">
                  <a:lumMod val="25000"/>
                </a:schemeClr>
              </a:solidFill>
              <a:ln w="15875">
                <a:solidFill>
                  <a:schemeClr val="bg2">
                    <a:lumMod val="50000"/>
                  </a:schemeClr>
                </a:solidFill>
              </a:ln>
            </c:spPr>
          </c:marker>
          <c:dLbls>
            <c:dLbl>
              <c:idx val="0"/>
              <c:layout>
                <c:manualLayout>
                  <c:x val="2.0202020202020211E-2"/>
                  <c:y val="8.5744908896035268E-3"/>
                </c:manualLayout>
              </c:layout>
              <c:dLblPos val="t"/>
              <c:showVal val="1"/>
            </c:dLbl>
            <c:dLbl>
              <c:idx val="1"/>
              <c:layout>
                <c:manualLayout>
                  <c:x val="-2.0086083213773392E-2"/>
                  <c:y val="-5.7482185273159146E-2"/>
                </c:manualLayout>
              </c:layout>
              <c:dLblPos val="r"/>
              <c:showVal val="1"/>
            </c:dLbl>
            <c:dLbl>
              <c:idx val="2"/>
              <c:layout>
                <c:manualLayout>
                  <c:x val="-2.5824964131994314E-2"/>
                  <c:y val="-6.6983372921615214E-2"/>
                </c:manualLayout>
              </c:layout>
              <c:dLblPos val="r"/>
              <c:showVal val="1"/>
            </c:dLbl>
            <c:dLbl>
              <c:idx val="3"/>
              <c:layout>
                <c:manualLayout>
                  <c:x val="-2.4332177272676305E-2"/>
                  <c:y val="-7.6021097125329729E-2"/>
                </c:manualLayout>
              </c:layout>
              <c:dLblPos val="r"/>
              <c:showVal val="1"/>
            </c:dLbl>
            <c:dLbl>
              <c:idx val="4"/>
              <c:layout>
                <c:manualLayout>
                  <c:x val="-2.4676510127769648E-2"/>
                  <c:y val="-5.2731591448932316E-2"/>
                </c:manualLayout>
              </c:layout>
              <c:numFmt formatCode="#,##0.0_);[Red]\(#,##0.0\)" sourceLinked="0"/>
              <c:spPr/>
              <c:txPr>
                <a:bodyPr/>
                <a:lstStyle/>
                <a:p>
                  <a:pPr>
                    <a:defRPr sz="800">
                      <a:latin typeface="Times New Roman" pitchFamily="18" charset="0"/>
                      <a:cs typeface="Times New Roman" pitchFamily="18" charset="0"/>
                    </a:defRPr>
                  </a:pPr>
                  <a:endParaRPr lang="zh-TW"/>
                </a:p>
              </c:txPr>
              <c:dLblPos val="r"/>
              <c:showVal val="1"/>
            </c:dLbl>
            <c:dLbl>
              <c:idx val="5"/>
              <c:layout>
                <c:manualLayout>
                  <c:x val="-1.4347428235746001E-2"/>
                  <c:y val="-3.3729216152019001E-2"/>
                </c:manualLayout>
              </c:layout>
              <c:dLblPos val="r"/>
              <c:showVal val="1"/>
            </c:dLbl>
            <c:txPr>
              <a:bodyPr/>
              <a:lstStyle/>
              <a:p>
                <a:pPr>
                  <a:defRPr sz="800">
                    <a:latin typeface="Times New Roman" pitchFamily="18" charset="0"/>
                    <a:cs typeface="Times New Roman" pitchFamily="18" charset="0"/>
                  </a:defRPr>
                </a:pPr>
                <a:endParaRPr lang="zh-TW"/>
              </a:p>
            </c:txPr>
            <c:dLblPos val="t"/>
            <c:showVal val="1"/>
          </c:dLbls>
          <c:cat>
            <c:strRef>
              <c:f>('自墊-區域'!$B$6,'自墊-區域'!$B$8,'自墊-區域'!$B$15,'自墊-區域'!$B$19,'自墊-區域'!$B$20,'自墊-區域'!$B$21)</c:f>
              <c:strCache>
                <c:ptCount val="6"/>
                <c:pt idx="0">
                  <c:v>Domestic</c:v>
                </c:pt>
                <c:pt idx="1">
                  <c:v>Asia</c:v>
                </c:pt>
                <c:pt idx="2">
                  <c:v>America</c:v>
                </c:pt>
                <c:pt idx="3">
                  <c:v>Europe</c:v>
                </c:pt>
                <c:pt idx="4">
                  <c:v>Africa</c:v>
                </c:pt>
                <c:pt idx="5">
                  <c:v>Oceania</c:v>
                </c:pt>
              </c:strCache>
            </c:strRef>
          </c:cat>
          <c:val>
            <c:numRef>
              <c:f>('自墊-區域'!$L$29,'自墊-區域'!$L$31,'自墊-區域'!$L$38,'自墊-區域'!$L$42,'自墊-區域'!$L$43,'自墊-區域'!$L$44)</c:f>
              <c:numCache>
                <c:formatCode>General</c:formatCode>
                <c:ptCount val="6"/>
                <c:pt idx="0">
                  <c:v>25.4</c:v>
                </c:pt>
                <c:pt idx="1">
                  <c:v>48.3</c:v>
                </c:pt>
                <c:pt idx="2">
                  <c:v>9.2000000000000011</c:v>
                </c:pt>
                <c:pt idx="3">
                  <c:v>22</c:v>
                </c:pt>
                <c:pt idx="4">
                  <c:v>19.100000000000001</c:v>
                </c:pt>
                <c:pt idx="5">
                  <c:v>19.2</c:v>
                </c:pt>
              </c:numCache>
            </c:numRef>
          </c:val>
        </c:ser>
        <c:marker val="1"/>
        <c:axId val="342640128"/>
        <c:axId val="342641664"/>
      </c:lineChart>
      <c:catAx>
        <c:axId val="342640128"/>
        <c:scaling>
          <c:orientation val="minMax"/>
        </c:scaling>
        <c:axPos val="b"/>
        <c:numFmt formatCode="General" sourceLinked="1"/>
        <c:majorTickMark val="in"/>
        <c:tickLblPos val="nextTo"/>
        <c:txPr>
          <a:bodyPr/>
          <a:lstStyle/>
          <a:p>
            <a:pPr>
              <a:defRPr sz="800">
                <a:latin typeface="Times New Roman" pitchFamily="18" charset="0"/>
                <a:ea typeface="標楷體" pitchFamily="65" charset="-120"/>
                <a:cs typeface="Times New Roman" pitchFamily="18" charset="0"/>
              </a:defRPr>
            </a:pPr>
            <a:endParaRPr lang="zh-TW"/>
          </a:p>
        </c:txPr>
        <c:crossAx val="342641664"/>
        <c:crosses val="autoZero"/>
        <c:auto val="1"/>
        <c:lblAlgn val="ctr"/>
        <c:lblOffset val="100"/>
      </c:catAx>
      <c:valAx>
        <c:axId val="342641664"/>
        <c:scaling>
          <c:orientation val="minMax"/>
        </c:scaling>
        <c:axPos val="l"/>
        <c:numFmt formatCode="#,##0;[Red]\-#,##0" sourceLinked="0"/>
        <c:majorTickMark val="in"/>
        <c:tickLblPos val="nextTo"/>
        <c:txPr>
          <a:bodyPr/>
          <a:lstStyle/>
          <a:p>
            <a:pPr>
              <a:defRPr sz="800">
                <a:latin typeface="Times New Roman" pitchFamily="18" charset="0"/>
                <a:cs typeface="Times New Roman" pitchFamily="18" charset="0"/>
              </a:defRPr>
            </a:pPr>
            <a:endParaRPr lang="zh-TW"/>
          </a:p>
        </c:txPr>
        <c:crossAx val="342640128"/>
        <c:crosses val="autoZero"/>
        <c:crossBetween val="between"/>
      </c:valAx>
      <c:spPr>
        <a:gradFill>
          <a:gsLst>
            <a:gs pos="0">
              <a:sysClr val="window" lastClr="FFFFFF"/>
            </a:gs>
            <a:gs pos="33000">
              <a:sysClr val="window" lastClr="FFFFFF"/>
            </a:gs>
            <a:gs pos="67000">
              <a:sysClr val="window" lastClr="FFFFFF"/>
            </a:gs>
            <a:gs pos="100000">
              <a:sysClr val="window" lastClr="FFFFFF"/>
            </a:gs>
          </a:gsLst>
          <a:lin ang="2700000" scaled="1"/>
        </a:gradFill>
        <a:ln>
          <a:noFill/>
        </a:ln>
      </c:spPr>
    </c:plotArea>
    <c:legend>
      <c:legendPos val="t"/>
      <c:layout>
        <c:manualLayout>
          <c:xMode val="edge"/>
          <c:yMode val="edge"/>
          <c:x val="0.149992656943707"/>
          <c:y val="0.89656835057138051"/>
          <c:w val="0.54210847388696159"/>
          <c:h val="8.7541848242841724E-2"/>
        </c:manualLayout>
      </c:layout>
      <c:txPr>
        <a:bodyPr/>
        <a:lstStyle/>
        <a:p>
          <a:pPr>
            <a:defRPr sz="800">
              <a:latin typeface="Times New Roman" pitchFamily="18" charset="0"/>
              <a:ea typeface="標楷體" pitchFamily="65" charset="-120"/>
              <a:cs typeface="Times New Roman" pitchFamily="18" charset="0"/>
            </a:defRPr>
          </a:pPr>
          <a:endParaRPr lang="zh-TW"/>
        </a:p>
      </c:txPr>
    </c:legend>
    <c:plotVisOnly val="1"/>
    <c:dispBlanksAs val="gap"/>
  </c:chart>
  <c:spPr>
    <a:gradFill flip="none" rotWithShape="1">
      <a:gsLst>
        <a:gs pos="0">
          <a:sysClr val="window" lastClr="FFFFFF"/>
        </a:gs>
        <a:gs pos="33000">
          <a:sysClr val="window" lastClr="FFFFFF"/>
        </a:gs>
        <a:gs pos="67000">
          <a:sysClr val="window" lastClr="FFFFFF"/>
        </a:gs>
        <a:gs pos="100000">
          <a:schemeClr val="bg1"/>
        </a:gs>
      </a:gsLst>
      <a:lin ang="2700000" scaled="1"/>
      <a:tileRect/>
    </a:gradFill>
    <a:ln>
      <a:noFill/>
    </a:ln>
  </c:spPr>
  <c:externalData r:id="rId1"/>
  <c:userShapes r:id="rId2"/>
</c:chartSpace>
</file>

<file path=word/drawings/_rels/drawing26.xml.rels><?xml version="1.0" encoding="UTF-8" standalone="yes"?>
<Relationships xmlns="http://schemas.openxmlformats.org/package/2006/relationships"><Relationship Id="rId1" Type="http://schemas.openxmlformats.org/officeDocument/2006/relationships/image" Target="../media/image2.png"/></Relationships>
</file>

<file path=word/drawings/_rels/drawing30.xml.rels><?xml version="1.0" encoding="UTF-8" standalone="yes"?>
<Relationships xmlns="http://schemas.openxmlformats.org/package/2006/relationships"><Relationship Id="rId1" Type="http://schemas.openxmlformats.org/officeDocument/2006/relationships/image" Target="../media/image2.png"/></Relationships>
</file>

<file path=word/drawings/drawing1.xml><?xml version="1.0" encoding="utf-8"?>
<c:userShapes xmlns:c="http://schemas.openxmlformats.org/drawingml/2006/chart">
  <cdr:relSizeAnchor xmlns:cdr="http://schemas.openxmlformats.org/drawingml/2006/chartDrawing">
    <cdr:from>
      <cdr:x>0.73729</cdr:x>
      <cdr:y>0.21588</cdr:y>
    </cdr:from>
    <cdr:to>
      <cdr:x>0.97458</cdr:x>
      <cdr:y>0.292</cdr:y>
    </cdr:to>
    <cdr:sp macro="" textlink="">
      <cdr:nvSpPr>
        <cdr:cNvPr id="6" name="文字方塊 1"/>
        <cdr:cNvSpPr txBox="1"/>
      </cdr:nvSpPr>
      <cdr:spPr>
        <a:xfrm xmlns:a="http://schemas.openxmlformats.org/drawingml/2006/main">
          <a:off x="3314700" y="514064"/>
          <a:ext cx="1066800" cy="181261"/>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US" altLang="zh-TW" sz="800">
              <a:latin typeface="Times New Roman" pitchFamily="18" charset="0"/>
              <a:ea typeface="標楷體" pitchFamily="65" charset="-120"/>
              <a:cs typeface="Times New Roman" pitchFamily="18" charset="0"/>
            </a:rPr>
            <a:t>Unit</a:t>
          </a:r>
          <a:r>
            <a:rPr lang="zh-TW" altLang="en-US" sz="800">
              <a:latin typeface="Times New Roman" pitchFamily="18" charset="0"/>
              <a:ea typeface="標楷體" pitchFamily="65" charset="-120"/>
              <a:cs typeface="Times New Roman" pitchFamily="18" charset="0"/>
            </a:rPr>
            <a:t>：</a:t>
          </a:r>
          <a:r>
            <a:rPr lang="en-US" altLang="zh-TW" sz="800">
              <a:latin typeface="Times New Roman" pitchFamily="18" charset="0"/>
              <a:ea typeface="標楷體" pitchFamily="65" charset="-120"/>
              <a:cs typeface="Times New Roman" pitchFamily="18" charset="0"/>
            </a:rPr>
            <a:t>Billion RVU</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cdr:x>
      <cdr:y>0</cdr:y>
    </cdr:from>
    <cdr:to>
      <cdr:x>1</cdr:x>
      <cdr:y>0.21384</cdr:y>
    </cdr:to>
    <cdr:sp macro="" textlink="">
      <cdr:nvSpPr>
        <cdr:cNvPr id="7" name="文字方塊 1"/>
        <cdr:cNvSpPr txBox="1"/>
      </cdr:nvSpPr>
      <cdr:spPr>
        <a:xfrm xmlns:a="http://schemas.openxmlformats.org/drawingml/2006/main">
          <a:off x="0" y="0"/>
          <a:ext cx="3495675" cy="45904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1000" b="0" i="0" u="none" strike="noStrike" kern="0" cap="none" spc="0" normalizeH="0" baseline="0">
              <a:ln>
                <a:noFill/>
              </a:ln>
              <a:solidFill>
                <a:sysClr val="windowText" lastClr="000000"/>
              </a:solidFill>
              <a:effectLst/>
              <a:uLnTx/>
              <a:uFillTx/>
              <a:latin typeface="Times New Roman" pitchFamily="18" charset="0"/>
              <a:ea typeface="標楷體" pitchFamily="65" charset="-120"/>
              <a:cs typeface="Times New Roman" pitchFamily="18" charset="0"/>
            </a:rPr>
            <a:t>Figure 30</a:t>
          </a:r>
          <a:r>
            <a:rPr kumimoji="0" lang="zh-TW" altLang="en-US" sz="1000" b="0" i="0" u="none" strike="noStrike" kern="0" cap="none" spc="0" normalizeH="0" baseline="0">
              <a:ln>
                <a:noFill/>
              </a:ln>
              <a:solidFill>
                <a:sysClr val="windowText" lastClr="000000"/>
              </a:solidFill>
              <a:effectLst/>
              <a:uLnTx/>
              <a:uFillTx/>
              <a:latin typeface="Times New Roman" pitchFamily="18" charset="0"/>
              <a:ea typeface="標楷體" pitchFamily="65" charset="-120"/>
              <a:cs typeface="Times New Roman" pitchFamily="18" charset="0"/>
            </a:rPr>
            <a:t>　</a:t>
          </a:r>
          <a:r>
            <a:rPr kumimoji="0" lang="en-US" altLang="zh-TW" sz="1000" b="0" i="0" u="none" strike="noStrike" kern="0" cap="none" spc="0" normalizeH="0" baseline="0">
              <a:ln>
                <a:noFill/>
              </a:ln>
              <a:solidFill>
                <a:sysClr val="windowText" lastClr="000000"/>
              </a:solidFill>
              <a:effectLst/>
              <a:uLnTx/>
              <a:uFillTx/>
              <a:latin typeface="Times New Roman" pitchFamily="18" charset="0"/>
              <a:ea typeface="標楷體" pitchFamily="65" charset="-120"/>
              <a:cs typeface="Times New Roman" pitchFamily="18" charset="0"/>
            </a:rPr>
            <a:t>Outpatient Medical Benefit Claims</a:t>
          </a:r>
          <a:endParaRPr kumimoji="0" lang="en-US" sz="1000" b="0" i="0" u="none" strike="noStrike" kern="0" cap="none" spc="0" normalizeH="0" baseline="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marL="0" marR="0" lvl="0" indent="0" algn="ctr" defTabSz="914400" eaLnBrk="1" fontAlgn="auto" latinLnBrk="0" hangingPunct="1">
            <a:lnSpc>
              <a:spcPts val="700"/>
            </a:lnSpc>
            <a:spcBef>
              <a:spcPts val="0"/>
            </a:spcBef>
            <a:spcAft>
              <a:spcPts val="0"/>
            </a:spcAft>
            <a:buClrTx/>
            <a:buSzTx/>
            <a:buFontTx/>
            <a:buNone/>
            <a:tabLst/>
            <a:defRPr/>
          </a:pPr>
          <a:endParaRPr kumimoji="0" lang="en-US" sz="800" b="0" i="0" u="none" strike="noStrike" kern="0" cap="none" spc="0" normalizeH="0" baseline="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a:ln>
                <a:noFill/>
              </a:ln>
              <a:solidFill>
                <a:sysClr val="windowText" lastClr="000000"/>
              </a:solidFill>
              <a:effectLst/>
              <a:uLnTx/>
              <a:uFillTx/>
              <a:latin typeface="Times New Roman" pitchFamily="18" charset="0"/>
              <a:ea typeface="標楷體" pitchFamily="65" charset="-120"/>
              <a:cs typeface="Times New Roman" pitchFamily="18" charset="0"/>
            </a:rPr>
            <a:t>2011</a:t>
          </a:r>
          <a:endParaRPr lang="en-US" sz="800">
            <a:latin typeface="Times New Roman" pitchFamily="18" charset="0"/>
            <a:ea typeface="標楷體" pitchFamily="65" charset="-120"/>
            <a:cs typeface="Times New Roman" pitchFamily="18" charset="0"/>
          </a:endParaRPr>
        </a:p>
        <a:p xmlns:a="http://schemas.openxmlformats.org/drawingml/2006/main">
          <a:pPr algn="ctr"/>
          <a:endParaRPr lang="zh-TW" altLang="en-US" sz="1100">
            <a:latin typeface="Times New Roman" pitchFamily="18" charset="0"/>
            <a:ea typeface="標楷體" pitchFamily="65" charset="-120"/>
            <a:cs typeface="Times New Roman" pitchFamily="18" charset="0"/>
          </a:endParaRPr>
        </a:p>
      </cdr:txBody>
    </cdr:sp>
  </cdr:relSizeAnchor>
</c:userShapes>
</file>

<file path=word/drawings/drawing2.xml><?xml version="1.0" encoding="utf-8"?>
<c:userShapes xmlns:c="http://schemas.openxmlformats.org/drawingml/2006/chart">
  <cdr:relSizeAnchor xmlns:cdr="http://schemas.openxmlformats.org/drawingml/2006/chartDrawing">
    <cdr:from>
      <cdr:x>0</cdr:x>
      <cdr:y>0</cdr:y>
    </cdr:from>
    <cdr:to>
      <cdr:x>0.99749</cdr:x>
      <cdr:y>0.19833</cdr:y>
    </cdr:to>
    <cdr:sp macro="" textlink="">
      <cdr:nvSpPr>
        <cdr:cNvPr id="3" name="文字方塊 1"/>
        <cdr:cNvSpPr txBox="1"/>
      </cdr:nvSpPr>
      <cdr:spPr>
        <a:xfrm xmlns:a="http://schemas.openxmlformats.org/drawingml/2006/main">
          <a:off x="0" y="0"/>
          <a:ext cx="3790951" cy="45904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1000" b="0" i="0" u="none" strike="noStrike" kern="0" cap="none" spc="0" normalizeH="0" baseline="0">
              <a:ln>
                <a:noFill/>
              </a:ln>
              <a:solidFill>
                <a:sysClr val="windowText" lastClr="000000"/>
              </a:solidFill>
              <a:effectLst/>
              <a:uLnTx/>
              <a:uFillTx/>
              <a:latin typeface="Times New Roman" pitchFamily="18" charset="0"/>
              <a:ea typeface="標楷體" pitchFamily="65" charset="-120"/>
              <a:cs typeface="Times New Roman" pitchFamily="18" charset="0"/>
            </a:rPr>
            <a:t>Figure 31</a:t>
          </a:r>
          <a:r>
            <a:rPr kumimoji="0" lang="zh-TW" altLang="en-US" sz="1000" b="0" i="0" u="none" strike="noStrike" kern="0" cap="none" spc="0" normalizeH="0" baseline="0">
              <a:ln>
                <a:noFill/>
              </a:ln>
              <a:solidFill>
                <a:sysClr val="windowText" lastClr="000000"/>
              </a:solidFill>
              <a:effectLst/>
              <a:uLnTx/>
              <a:uFillTx/>
              <a:latin typeface="Times New Roman" pitchFamily="18" charset="0"/>
              <a:ea typeface="標楷體" pitchFamily="65" charset="-120"/>
              <a:cs typeface="Times New Roman" pitchFamily="18" charset="0"/>
            </a:rPr>
            <a:t>　</a:t>
          </a:r>
          <a:r>
            <a:rPr kumimoji="0" lang="en-US" altLang="zh-TW" sz="1000" b="0" i="0" u="none" strike="noStrike" kern="0" cap="none" spc="0" normalizeH="0" baseline="0">
              <a:ln>
                <a:noFill/>
              </a:ln>
              <a:solidFill>
                <a:sysClr val="windowText" lastClr="000000"/>
              </a:solidFill>
              <a:effectLst/>
              <a:uLnTx/>
              <a:uFillTx/>
              <a:latin typeface="Times New Roman" pitchFamily="18" charset="0"/>
              <a:ea typeface="標楷體" pitchFamily="65" charset="-120"/>
              <a:cs typeface="Times New Roman" pitchFamily="18" charset="0"/>
            </a:rPr>
            <a:t>Outpatient Medical Benefit Claims by Global Budget Payment System</a:t>
          </a:r>
          <a:endParaRPr kumimoji="0" lang="en-US" sz="1000" b="0" i="0" u="none" strike="noStrike" kern="0" cap="none" spc="0" normalizeH="0" baseline="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marL="0" marR="0" lvl="0" indent="0" algn="ctr" defTabSz="914400" eaLnBrk="1" fontAlgn="auto" latinLnBrk="0" hangingPunct="1">
            <a:lnSpc>
              <a:spcPts val="700"/>
            </a:lnSpc>
            <a:spcBef>
              <a:spcPts val="0"/>
            </a:spcBef>
            <a:spcAft>
              <a:spcPts val="0"/>
            </a:spcAft>
            <a:buClrTx/>
            <a:buSzTx/>
            <a:buFontTx/>
            <a:buNone/>
            <a:tabLst/>
            <a:defRPr/>
          </a:pPr>
          <a:endParaRPr kumimoji="0" lang="en-US" sz="800" b="0" i="0" u="none" strike="noStrike" kern="0" cap="none" spc="0" normalizeH="0" baseline="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a:ln>
                <a:noFill/>
              </a:ln>
              <a:solidFill>
                <a:sysClr val="windowText" lastClr="000000"/>
              </a:solidFill>
              <a:effectLst/>
              <a:uLnTx/>
              <a:uFillTx/>
              <a:latin typeface="Times New Roman" pitchFamily="18" charset="0"/>
              <a:ea typeface="標楷體" pitchFamily="65" charset="-120"/>
              <a:cs typeface="Times New Roman" pitchFamily="18" charset="0"/>
            </a:rPr>
            <a:t>2011</a:t>
          </a:r>
          <a:endParaRPr lang="en-US" sz="800">
            <a:latin typeface="Times New Roman" pitchFamily="18" charset="0"/>
            <a:ea typeface="標楷體" pitchFamily="65" charset="-120"/>
            <a:cs typeface="Times New Roman" pitchFamily="18" charset="0"/>
          </a:endParaRPr>
        </a:p>
        <a:p xmlns:a="http://schemas.openxmlformats.org/drawingml/2006/main">
          <a:pPr algn="ctr"/>
          <a:endParaRPr lang="zh-TW" altLang="en-US" sz="11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0.0548</cdr:x>
      <cdr:y>0.26749</cdr:y>
    </cdr:from>
    <cdr:to>
      <cdr:x>0.30421</cdr:x>
      <cdr:y>0.36214</cdr:y>
    </cdr:to>
    <cdr:sp macro="" textlink="">
      <cdr:nvSpPr>
        <cdr:cNvPr id="4" name="文字方塊 1"/>
        <cdr:cNvSpPr txBox="1"/>
      </cdr:nvSpPr>
      <cdr:spPr>
        <a:xfrm xmlns:a="http://schemas.openxmlformats.org/drawingml/2006/main">
          <a:off x="243774" y="619125"/>
          <a:ext cx="1109427" cy="21907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US" altLang="zh-TW" sz="800">
              <a:latin typeface="Times New Roman" pitchFamily="18" charset="0"/>
              <a:ea typeface="標楷體" pitchFamily="65" charset="-120"/>
              <a:cs typeface="Times New Roman" pitchFamily="18" charset="0"/>
            </a:rPr>
            <a:t>Unit</a:t>
          </a:r>
          <a:r>
            <a:rPr lang="zh-TW" altLang="en-US" sz="800">
              <a:latin typeface="Times New Roman" pitchFamily="18" charset="0"/>
              <a:ea typeface="標楷體" pitchFamily="65" charset="-120"/>
              <a:cs typeface="Times New Roman" pitchFamily="18" charset="0"/>
            </a:rPr>
            <a:t>：</a:t>
          </a:r>
          <a:r>
            <a:rPr lang="en-US" altLang="zh-TW" sz="800">
              <a:latin typeface="Times New Roman" pitchFamily="18" charset="0"/>
              <a:ea typeface="標楷體" pitchFamily="65" charset="-120"/>
              <a:cs typeface="Times New Roman" pitchFamily="18" charset="0"/>
            </a:rPr>
            <a:t>Billion RVU</a:t>
          </a:r>
          <a:endParaRPr lang="zh-TW" altLang="en-US" sz="800">
            <a:latin typeface="Times New Roman" pitchFamily="18" charset="0"/>
            <a:ea typeface="標楷體" pitchFamily="65" charset="-120"/>
            <a:cs typeface="Times New Roman" pitchFamily="18" charset="0"/>
          </a:endParaRPr>
        </a:p>
      </cdr:txBody>
    </cdr:sp>
  </cdr:relSizeAnchor>
</c:userShapes>
</file>

<file path=word/drawings/drawing3.xml><?xml version="1.0" encoding="utf-8"?>
<c:userShapes xmlns:c="http://schemas.openxmlformats.org/drawingml/2006/chart">
  <cdr:relSizeAnchor xmlns:cdr="http://schemas.openxmlformats.org/drawingml/2006/chartDrawing">
    <cdr:from>
      <cdr:x>0.04334</cdr:x>
      <cdr:y>0.15374</cdr:y>
    </cdr:from>
    <cdr:to>
      <cdr:x>0.13137</cdr:x>
      <cdr:y>0.21961</cdr:y>
    </cdr:to>
    <cdr:sp macro="" textlink="">
      <cdr:nvSpPr>
        <cdr:cNvPr id="2" name="文字方塊 1"/>
        <cdr:cNvSpPr txBox="1"/>
      </cdr:nvSpPr>
      <cdr:spPr>
        <a:xfrm xmlns:a="http://schemas.openxmlformats.org/drawingml/2006/main">
          <a:off x="209551" y="486768"/>
          <a:ext cx="425610" cy="208557"/>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RVU</a:t>
          </a:r>
          <a:endPar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0.03195</cdr:x>
      <cdr:y>0.18173</cdr:y>
    </cdr:from>
    <cdr:to>
      <cdr:x>0.11413</cdr:x>
      <cdr:y>0.2452</cdr:y>
    </cdr:to>
    <cdr:sp macro="" textlink="">
      <cdr:nvSpPr>
        <cdr:cNvPr id="4" name="文字方塊 1"/>
        <cdr:cNvSpPr txBox="1"/>
      </cdr:nvSpPr>
      <cdr:spPr>
        <a:xfrm xmlns:a="http://schemas.openxmlformats.org/drawingml/2006/main">
          <a:off x="167701" y="541219"/>
          <a:ext cx="431304" cy="189023"/>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endParaRPr kumimoji="0" lang="zh-TW" altLang="en-US" sz="800" b="0" i="0" u="none" strike="noStrike" kern="0" cap="none" spc="0" normalizeH="0" baseline="0" noProof="0">
            <a:ln>
              <a:noFill/>
            </a:ln>
            <a:solidFill>
              <a:sysClr val="windowText" lastClr="000000"/>
            </a:solidFill>
            <a:effectLst/>
            <a:uLnTx/>
            <a:uFillTx/>
            <a:latin typeface="標楷體" pitchFamily="65" charset="-120"/>
            <a:ea typeface="標楷體" pitchFamily="65" charset="-120"/>
            <a:cs typeface="+mn-cs"/>
          </a:endParaRPr>
        </a:p>
      </cdr:txBody>
    </cdr:sp>
  </cdr:relSizeAnchor>
  <cdr:relSizeAnchor xmlns:cdr="http://schemas.openxmlformats.org/drawingml/2006/chartDrawing">
    <cdr:from>
      <cdr:x>0.05002</cdr:x>
      <cdr:y>0.01227</cdr:y>
    </cdr:from>
    <cdr:to>
      <cdr:x>0.95558</cdr:x>
      <cdr:y>0.1544</cdr:y>
    </cdr:to>
    <cdr:sp macro="" textlink="">
      <cdr:nvSpPr>
        <cdr:cNvPr id="7" name="文字方塊 2"/>
        <cdr:cNvSpPr txBox="1"/>
      </cdr:nvSpPr>
      <cdr:spPr>
        <a:xfrm xmlns:a="http://schemas.openxmlformats.org/drawingml/2006/main">
          <a:off x="220980" y="37633"/>
          <a:ext cx="4000500" cy="43592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Figure 32</a:t>
          </a:r>
          <a:r>
            <a:rPr kumimoji="0" lang="zh-TW" altLang="en-US"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　</a:t>
          </a:r>
          <a:r>
            <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Outpatient Medical Benefit Claims per Case</a:t>
          </a:r>
          <a:endParaRPr lang="en-US" altLang="zh-TW" sz="1000" b="0" i="0" baseline="0">
            <a:effectLst/>
            <a:latin typeface="標楷體" pitchFamily="65" charset="-120"/>
            <a:ea typeface="標楷體" pitchFamily="65" charset="-120"/>
            <a:cs typeface="+mn-cs"/>
          </a:endParaRPr>
        </a:p>
        <a:p xmlns:a="http://schemas.openxmlformats.org/drawingml/2006/main">
          <a:pPr marL="0" marR="0" lvl="0" indent="0" algn="l" defTabSz="914400" eaLnBrk="1" fontAlgn="auto" latinLnBrk="0" hangingPunct="1">
            <a:lnSpc>
              <a:spcPct val="100000"/>
            </a:lnSpc>
            <a:spcBef>
              <a:spcPts val="0"/>
            </a:spcBef>
            <a:spcAft>
              <a:spcPts val="0"/>
            </a:spcAft>
            <a:buClrTx/>
            <a:buSzTx/>
            <a:buFontTx/>
            <a:buNone/>
            <a:tabLst/>
            <a:defRPr/>
          </a:pPr>
          <a:r>
            <a:rPr kumimoji="0" lang="zh-TW" altLang="en-US"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                                        </a:t>
          </a:r>
          <a:r>
            <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by Global Budget Payment System and Gender</a:t>
          </a:r>
        </a:p>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endParaRPr kumimoji="0" lang="en-US" altLang="zh-TW" sz="6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2011</a:t>
          </a:r>
          <a:endPar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algn="ct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0.03195</cdr:x>
      <cdr:y>0.18173</cdr:y>
    </cdr:from>
    <cdr:to>
      <cdr:x>0.11413</cdr:x>
      <cdr:y>0.2452</cdr:y>
    </cdr:to>
    <cdr:sp macro="" textlink="">
      <cdr:nvSpPr>
        <cdr:cNvPr id="8" name="文字方塊 1"/>
        <cdr:cNvSpPr txBox="1"/>
      </cdr:nvSpPr>
      <cdr:spPr>
        <a:xfrm xmlns:a="http://schemas.openxmlformats.org/drawingml/2006/main">
          <a:off x="167701" y="541219"/>
          <a:ext cx="431304" cy="189023"/>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endParaRPr kumimoji="0" lang="zh-TW" altLang="en-US" sz="800" b="0" i="0" u="none" strike="noStrike" kern="0" cap="none" spc="0" normalizeH="0" baseline="0" noProof="0">
            <a:ln>
              <a:noFill/>
            </a:ln>
            <a:solidFill>
              <a:sysClr val="windowText" lastClr="000000"/>
            </a:solidFill>
            <a:effectLst/>
            <a:uLnTx/>
            <a:uFillTx/>
            <a:latin typeface="標楷體" pitchFamily="65" charset="-120"/>
            <a:ea typeface="標楷體" pitchFamily="65" charset="-120"/>
            <a:cs typeface="+mn-cs"/>
          </a:endParaRPr>
        </a:p>
      </cdr:txBody>
    </cdr:sp>
  </cdr:relSizeAnchor>
  <cdr:relSizeAnchor xmlns:cdr="http://schemas.openxmlformats.org/drawingml/2006/chartDrawing">
    <cdr:from>
      <cdr:x>0.08077</cdr:x>
      <cdr:y>0.92659</cdr:y>
    </cdr:from>
    <cdr:to>
      <cdr:x>0.98503</cdr:x>
      <cdr:y>0.98676</cdr:y>
    </cdr:to>
    <cdr:sp macro="" textlink="">
      <cdr:nvSpPr>
        <cdr:cNvPr id="10" name="文字方塊 5"/>
        <cdr:cNvSpPr txBox="1"/>
      </cdr:nvSpPr>
      <cdr:spPr>
        <a:xfrm xmlns:a="http://schemas.openxmlformats.org/drawingml/2006/main">
          <a:off x="390526" y="2933700"/>
          <a:ext cx="4371974" cy="190499"/>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r>
            <a:rPr lang="en-US" altLang="zh-TW" sz="800">
              <a:latin typeface="Times New Roman" pitchFamily="18" charset="0"/>
              <a:ea typeface="標楷體" pitchFamily="65" charset="-120"/>
              <a:cs typeface="Times New Roman" pitchFamily="18" charset="0"/>
            </a:rPr>
            <a:t>The outpatient medical claims were 174 billion RVU for male and 182 billion RVU for female </a:t>
          </a:r>
          <a:r>
            <a:rPr lang="zh-TW" altLang="en-US" sz="800">
              <a:latin typeface="Times New Roman" pitchFamily="18" charset="0"/>
              <a:ea typeface="標楷體" pitchFamily="65" charset="-120"/>
              <a:cs typeface="Times New Roman" pitchFamily="18" charset="0"/>
            </a:rPr>
            <a:t> </a:t>
          </a:r>
          <a:r>
            <a:rPr lang="en-US" altLang="zh-TW" sz="800">
              <a:latin typeface="Times New Roman" pitchFamily="18" charset="0"/>
              <a:ea typeface="標楷體" pitchFamily="65" charset="-120"/>
              <a:cs typeface="Times New Roman" pitchFamily="18" charset="0"/>
            </a:rPr>
            <a:t>in 2011.</a:t>
          </a:r>
          <a:endParaRPr lang="zh-TW" altLang="en-US" sz="800">
            <a:latin typeface="Times New Roman" pitchFamily="18" charset="0"/>
            <a:ea typeface="標楷體" pitchFamily="65" charset="-120"/>
            <a:cs typeface="Times New Roman" pitchFamily="18" charset="0"/>
          </a:endParaRPr>
        </a:p>
      </cdr:txBody>
    </cdr:sp>
  </cdr:relSizeAnchor>
</c:userShapes>
</file>

<file path=word/drawings/drawing4.xml><?xml version="1.0" encoding="utf-8"?>
<c:userShapes xmlns:c="http://schemas.openxmlformats.org/drawingml/2006/chart">
  <cdr:relSizeAnchor xmlns:cdr="http://schemas.openxmlformats.org/drawingml/2006/chartDrawing">
    <cdr:from>
      <cdr:x>0.04806</cdr:x>
      <cdr:y>0.16106</cdr:y>
    </cdr:from>
    <cdr:to>
      <cdr:x>0.13018</cdr:x>
      <cdr:y>0.23618</cdr:y>
    </cdr:to>
    <cdr:sp macro="" textlink="">
      <cdr:nvSpPr>
        <cdr:cNvPr id="2" name="文字方塊 1"/>
        <cdr:cNvSpPr txBox="1"/>
      </cdr:nvSpPr>
      <cdr:spPr>
        <a:xfrm xmlns:a="http://schemas.openxmlformats.org/drawingml/2006/main">
          <a:off x="236220" y="484774"/>
          <a:ext cx="403602" cy="226104"/>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RVU</a:t>
          </a:r>
          <a:endPar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0.03195</cdr:x>
      <cdr:y>0.18173</cdr:y>
    </cdr:from>
    <cdr:to>
      <cdr:x>0.11413</cdr:x>
      <cdr:y>0.2452</cdr:y>
    </cdr:to>
    <cdr:sp macro="" textlink="">
      <cdr:nvSpPr>
        <cdr:cNvPr id="4" name="文字方塊 1"/>
        <cdr:cNvSpPr txBox="1"/>
      </cdr:nvSpPr>
      <cdr:spPr>
        <a:xfrm xmlns:a="http://schemas.openxmlformats.org/drawingml/2006/main">
          <a:off x="167701" y="541219"/>
          <a:ext cx="431304" cy="189023"/>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endParaRPr kumimoji="0" lang="zh-TW" altLang="en-US" sz="800" b="0" i="0" u="none" strike="noStrike" kern="0" cap="none" spc="0" normalizeH="0" baseline="0" noProof="0">
            <a:ln>
              <a:noFill/>
            </a:ln>
            <a:solidFill>
              <a:sysClr val="windowText" lastClr="000000"/>
            </a:solidFill>
            <a:effectLst/>
            <a:uLnTx/>
            <a:uFillTx/>
            <a:latin typeface="標楷體" pitchFamily="65" charset="-120"/>
            <a:ea typeface="標楷體" pitchFamily="65" charset="-120"/>
            <a:cs typeface="+mn-cs"/>
          </a:endParaRPr>
        </a:p>
      </cdr:txBody>
    </cdr:sp>
  </cdr:relSizeAnchor>
  <cdr:relSizeAnchor xmlns:cdr="http://schemas.openxmlformats.org/drawingml/2006/chartDrawing">
    <cdr:from>
      <cdr:x>0.074</cdr:x>
      <cdr:y>0.01227</cdr:y>
    </cdr:from>
    <cdr:to>
      <cdr:x>0.93316</cdr:x>
      <cdr:y>0.1544</cdr:y>
    </cdr:to>
    <cdr:sp macro="" textlink="">
      <cdr:nvSpPr>
        <cdr:cNvPr id="7" name="文字方塊 2"/>
        <cdr:cNvSpPr txBox="1"/>
      </cdr:nvSpPr>
      <cdr:spPr>
        <a:xfrm xmlns:a="http://schemas.openxmlformats.org/drawingml/2006/main">
          <a:off x="363855" y="38895"/>
          <a:ext cx="4224311" cy="450541"/>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Figure 33</a:t>
          </a:r>
          <a:r>
            <a:rPr kumimoji="0" lang="zh-TW" altLang="en-US"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　</a:t>
          </a:r>
          <a:r>
            <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Outpatient Medical Benefit Claims per Case by Gender and Age</a:t>
          </a:r>
        </a:p>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endPar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endParaRPr kumimoji="0" lang="en-US" altLang="zh-TW" sz="6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2011</a:t>
          </a:r>
          <a:endPar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algn="ct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0.04747</cdr:x>
      <cdr:y>0.11216</cdr:y>
    </cdr:from>
    <cdr:to>
      <cdr:x>0.12965</cdr:x>
      <cdr:y>0.17563</cdr:y>
    </cdr:to>
    <cdr:sp macro="" textlink="">
      <cdr:nvSpPr>
        <cdr:cNvPr id="8" name="文字方塊 1"/>
        <cdr:cNvSpPr txBox="1"/>
      </cdr:nvSpPr>
      <cdr:spPr>
        <a:xfrm xmlns:a="http://schemas.openxmlformats.org/drawingml/2006/main">
          <a:off x="209725" y="344015"/>
          <a:ext cx="363047" cy="194666"/>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endParaRPr kumimoji="0" lang="zh-TW" altLang="en-US" sz="800" b="0" i="0" u="none" strike="noStrike" kern="0" cap="none" spc="0" normalizeH="0" baseline="0" noProof="0">
            <a:ln>
              <a:noFill/>
            </a:ln>
            <a:solidFill>
              <a:sysClr val="windowText" lastClr="000000"/>
            </a:solidFill>
            <a:effectLst/>
            <a:uLnTx/>
            <a:uFillTx/>
            <a:latin typeface="標楷體" pitchFamily="65" charset="-120"/>
            <a:ea typeface="標楷體" pitchFamily="65" charset="-120"/>
            <a:cs typeface="+mn-cs"/>
          </a:endParaRPr>
        </a:p>
      </cdr:txBody>
    </cdr:sp>
  </cdr:relSizeAnchor>
  <cdr:relSizeAnchor xmlns:cdr="http://schemas.openxmlformats.org/drawingml/2006/chartDrawing">
    <cdr:from>
      <cdr:x>0.04301</cdr:x>
      <cdr:y>0.91046</cdr:y>
    </cdr:from>
    <cdr:to>
      <cdr:x>0.97869</cdr:x>
      <cdr:y>0.96334</cdr:y>
    </cdr:to>
    <cdr:sp macro="" textlink="">
      <cdr:nvSpPr>
        <cdr:cNvPr id="9" name="文字方塊 5"/>
        <cdr:cNvSpPr txBox="1"/>
      </cdr:nvSpPr>
      <cdr:spPr>
        <a:xfrm xmlns:a="http://schemas.openxmlformats.org/drawingml/2006/main">
          <a:off x="211454" y="2886086"/>
          <a:ext cx="4600575" cy="167630"/>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l"/>
          <a:r>
            <a:rPr lang="en-US" altLang="zh-TW" sz="800">
              <a:latin typeface="Times New Roman" pitchFamily="18" charset="0"/>
              <a:ea typeface="標楷體" pitchFamily="65" charset="-120"/>
              <a:cs typeface="Times New Roman" pitchFamily="18" charset="0"/>
            </a:rPr>
            <a:t>The outpatient medical benefit claims were 174 billion RVU for male and 182 billion RVU for female </a:t>
          </a:r>
          <a:r>
            <a:rPr lang="zh-TW" altLang="en-US" sz="800">
              <a:latin typeface="Times New Roman" pitchFamily="18" charset="0"/>
              <a:ea typeface="標楷體" pitchFamily="65" charset="-120"/>
              <a:cs typeface="Times New Roman" pitchFamily="18" charset="0"/>
            </a:rPr>
            <a:t> </a:t>
          </a:r>
          <a:r>
            <a:rPr lang="en-US" altLang="zh-TW" sz="800">
              <a:latin typeface="Times New Roman" pitchFamily="18" charset="0"/>
              <a:ea typeface="標楷體" pitchFamily="65" charset="-120"/>
              <a:cs typeface="Times New Roman" pitchFamily="18" charset="0"/>
            </a:rPr>
            <a:t>in 2011.</a:t>
          </a:r>
          <a:endParaRPr lang="zh-TW" altLang="en-US" sz="800">
            <a:latin typeface="Times New Roman" pitchFamily="18" charset="0"/>
            <a:ea typeface="標楷體" pitchFamily="65" charset="-120"/>
            <a:cs typeface="Times New Roman" pitchFamily="18" charset="0"/>
          </a:endParaRPr>
        </a:p>
      </cdr:txBody>
    </cdr:sp>
  </cdr:relSizeAnchor>
</c:userShapes>
</file>

<file path=word/drawings/drawing5.xml><?xml version="1.0" encoding="utf-8"?>
<c:userShapes xmlns:c="http://schemas.openxmlformats.org/drawingml/2006/chart">
  <cdr:relSizeAnchor xmlns:cdr="http://schemas.openxmlformats.org/drawingml/2006/chartDrawing">
    <cdr:from>
      <cdr:x>0</cdr:x>
      <cdr:y>0.12772</cdr:y>
    </cdr:from>
    <cdr:to>
      <cdr:x>0.1533</cdr:x>
      <cdr:y>0.17935</cdr:y>
    </cdr:to>
    <cdr:sp macro="" textlink="">
      <cdr:nvSpPr>
        <cdr:cNvPr id="2" name="文字方塊 1"/>
        <cdr:cNvSpPr txBox="1"/>
      </cdr:nvSpPr>
      <cdr:spPr>
        <a:xfrm xmlns:a="http://schemas.openxmlformats.org/drawingml/2006/main">
          <a:off x="0" y="497418"/>
          <a:ext cx="910164" cy="201082"/>
        </a:xfrm>
        <a:prstGeom xmlns:a="http://schemas.openxmlformats.org/drawingml/2006/main" prst="rect">
          <a:avLst/>
        </a:prstGeom>
      </cdr:spPr>
      <cdr:txBody>
        <a:bodyPr xmlns:a="http://schemas.openxmlformats.org/drawingml/2006/main" vertOverflow="clip" wrap="square" lIns="36000" rtlCol="0"/>
        <a:lstStyle xmlns:a="http://schemas.openxmlformats.org/drawingml/2006/main"/>
        <a:p xmlns:a="http://schemas.openxmlformats.org/drawingml/2006/main">
          <a:r>
            <a:rPr lang="en-US" altLang="zh-TW" sz="800">
              <a:latin typeface="Times New Roman" pitchFamily="18" charset="0"/>
              <a:ea typeface="標楷體" pitchFamily="65" charset="-120"/>
              <a:cs typeface="Times New Roman" pitchFamily="18" charset="0"/>
            </a:rPr>
            <a:t>Billion</a:t>
          </a:r>
          <a:r>
            <a:rPr lang="en-US" altLang="zh-TW" sz="800" baseline="0">
              <a:latin typeface="Times New Roman" pitchFamily="18" charset="0"/>
              <a:ea typeface="標楷體" pitchFamily="65" charset="-120"/>
              <a:cs typeface="Times New Roman" pitchFamily="18" charset="0"/>
            </a:rPr>
            <a:t> RVU</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0.07931</cdr:x>
      <cdr:y>0.03188</cdr:y>
    </cdr:from>
    <cdr:to>
      <cdr:x>0.85069</cdr:x>
      <cdr:y>0.13774</cdr:y>
    </cdr:to>
    <cdr:sp macro="" textlink="">
      <cdr:nvSpPr>
        <cdr:cNvPr id="3" name="文字方塊 4"/>
        <cdr:cNvSpPr txBox="1"/>
      </cdr:nvSpPr>
      <cdr:spPr>
        <a:xfrm xmlns:a="http://schemas.openxmlformats.org/drawingml/2006/main">
          <a:off x="435127" y="114722"/>
          <a:ext cx="4232124" cy="380942"/>
        </a:xfrm>
        <a:prstGeom xmlns:a="http://schemas.openxmlformats.org/drawingml/2006/main" prst="rect">
          <a:avLst/>
        </a:prstGeom>
        <a:solidFill xmlns:a="http://schemas.openxmlformats.org/drawingml/2006/main">
          <a:sysClr val="window" lastClr="FFFFFF"/>
        </a:solidFill>
        <a:ln xmlns:a="http://schemas.openxmlformats.org/drawingml/2006/main" w="9525" cmpd="sng">
          <a:noFill/>
        </a:ln>
        <a:effectLst xmlns:a="http://schemas.openxmlformats.org/drawingml/2006/mai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pPr marL="0" marR="0" indent="0" algn="ctr" defTabSz="914400" eaLnBrk="1" fontAlgn="auto" latinLnBrk="0" hangingPunct="1">
            <a:lnSpc>
              <a:spcPct val="100000"/>
            </a:lnSpc>
            <a:spcBef>
              <a:spcPts val="0"/>
            </a:spcBef>
            <a:spcAft>
              <a:spcPts val="0"/>
            </a:spcAft>
            <a:buClrTx/>
            <a:buSzTx/>
            <a:buFontTx/>
            <a:buNone/>
            <a:tabLst/>
            <a:defRPr/>
          </a:pPr>
          <a:r>
            <a:rPr lang="en-US" altLang="zh-TW" sz="1000">
              <a:latin typeface="Times New Roman" pitchFamily="18" charset="0"/>
              <a:ea typeface="標楷體" pitchFamily="65" charset="-120"/>
              <a:cs typeface="Times New Roman" pitchFamily="18" charset="0"/>
            </a:rPr>
            <a:t>Figure 34</a:t>
          </a:r>
          <a:r>
            <a:rPr lang="zh-TW" altLang="en-US" sz="1000">
              <a:latin typeface="Times New Roman" pitchFamily="18" charset="0"/>
              <a:ea typeface="標楷體" pitchFamily="65" charset="-120"/>
              <a:cs typeface="Times New Roman" pitchFamily="18" charset="0"/>
            </a:rPr>
            <a:t>  </a:t>
          </a:r>
          <a:r>
            <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Outpatient Medical Benefit Claims by Gender and Locale</a:t>
          </a:r>
          <a:endParaRPr lang="en-US" altLang="zh-TW" sz="1000">
            <a:latin typeface="Times New Roman" pitchFamily="18" charset="0"/>
            <a:ea typeface="標楷體" pitchFamily="65" charset="-120"/>
            <a:cs typeface="Times New Roman" pitchFamily="18" charset="0"/>
          </a:endParaRPr>
        </a:p>
        <a:p xmlns:a="http://schemas.openxmlformats.org/drawingml/2006/main">
          <a:pPr algn="ctr"/>
          <a:endParaRPr lang="en-US" altLang="zh-TW" sz="500">
            <a:latin typeface="Times New Roman" pitchFamily="18" charset="0"/>
            <a:ea typeface="標楷體" pitchFamily="65" charset="-120"/>
            <a:cs typeface="Times New Roman" pitchFamily="18" charset="0"/>
          </a:endParaRPr>
        </a:p>
        <a:p xmlns:a="http://schemas.openxmlformats.org/drawingml/2006/main">
          <a:pPr algn="ctr"/>
          <a:r>
            <a:rPr lang="en-US" altLang="zh-TW" sz="800">
              <a:latin typeface="Times New Roman" pitchFamily="18" charset="0"/>
              <a:ea typeface="標楷體" pitchFamily="65" charset="-120"/>
              <a:cs typeface="Times New Roman" pitchFamily="18" charset="0"/>
            </a:rPr>
            <a:t>2011</a:t>
          </a:r>
          <a:endParaRPr lang="zh-TW" altLang="en-US" sz="800">
            <a:latin typeface="Times New Roman" pitchFamily="18" charset="0"/>
            <a:ea typeface="標楷體" pitchFamily="65" charset="-120"/>
            <a:cs typeface="Times New Roman" pitchFamily="18" charset="0"/>
          </a:endParaRPr>
        </a:p>
      </cdr:txBody>
    </cdr:sp>
  </cdr:relSizeAnchor>
</c:userShapes>
</file>

<file path=word/drawings/drawing6.xml><?xml version="1.0" encoding="utf-8"?>
<c:userShapes xmlns:c="http://schemas.openxmlformats.org/drawingml/2006/chart">
  <cdr:relSizeAnchor xmlns:cdr="http://schemas.openxmlformats.org/drawingml/2006/chartDrawing">
    <cdr:from>
      <cdr:x>0.73286</cdr:x>
      <cdr:y>0.21588</cdr:y>
    </cdr:from>
    <cdr:to>
      <cdr:x>0.9844</cdr:x>
      <cdr:y>0.3008</cdr:y>
    </cdr:to>
    <cdr:sp macro="" textlink="">
      <cdr:nvSpPr>
        <cdr:cNvPr id="6" name="文字方塊 1"/>
        <cdr:cNvSpPr txBox="1"/>
      </cdr:nvSpPr>
      <cdr:spPr>
        <a:xfrm xmlns:a="http://schemas.openxmlformats.org/drawingml/2006/main">
          <a:off x="2952750" y="514064"/>
          <a:ext cx="1013459" cy="202216"/>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Unit</a:t>
          </a:r>
          <a:r>
            <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a:t>
          </a: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Billion RVU</a:t>
          </a:r>
          <a:endPar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cdr:x>
      <cdr:y>0</cdr:y>
    </cdr:from>
    <cdr:to>
      <cdr:x>1</cdr:x>
      <cdr:y>0.21384</cdr:y>
    </cdr:to>
    <cdr:sp macro="" textlink="">
      <cdr:nvSpPr>
        <cdr:cNvPr id="7" name="文字方塊 1"/>
        <cdr:cNvSpPr txBox="1"/>
      </cdr:nvSpPr>
      <cdr:spPr>
        <a:xfrm xmlns:a="http://schemas.openxmlformats.org/drawingml/2006/main">
          <a:off x="0" y="0"/>
          <a:ext cx="3495675" cy="45904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Figure 35</a:t>
          </a:r>
          <a:r>
            <a:rPr kumimoji="0" lang="zh-TW" altLang="en-US"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　</a:t>
          </a:r>
          <a:r>
            <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Inpatient Medical Benefit Claims</a:t>
          </a:r>
        </a:p>
        <a:p xmlns:a="http://schemas.openxmlformats.org/drawingml/2006/main">
          <a:pPr marL="0" marR="0" lvl="0" indent="0" algn="ctr" defTabSz="914400" eaLnBrk="1" fontAlgn="auto" latinLnBrk="0" hangingPunct="1">
            <a:lnSpc>
              <a:spcPts val="700"/>
            </a:lnSpc>
            <a:spcBef>
              <a:spcPts val="0"/>
            </a:spcBef>
            <a:spcAft>
              <a:spcPts val="0"/>
            </a:spcAft>
            <a:buClrTx/>
            <a:buSzTx/>
            <a:buFontTx/>
            <a:buNone/>
            <a:tabLst/>
            <a:defRPr/>
          </a:pPr>
          <a:endPar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2011</a:t>
          </a:r>
          <a:endParaRPr lang="zh-TW" altLang="en-US" sz="1100">
            <a:latin typeface="Times New Roman" pitchFamily="18" charset="0"/>
            <a:ea typeface="標楷體" pitchFamily="65" charset="-120"/>
            <a:cs typeface="Times New Roman" pitchFamily="18" charset="0"/>
          </a:endParaRPr>
        </a:p>
      </cdr:txBody>
    </cdr:sp>
  </cdr:relSizeAnchor>
</c:userShapes>
</file>

<file path=word/drawings/drawing7.xml><?xml version="1.0" encoding="utf-8"?>
<c:userShapes xmlns:c="http://schemas.openxmlformats.org/drawingml/2006/chart">
  <cdr:relSizeAnchor xmlns:cdr="http://schemas.openxmlformats.org/drawingml/2006/chartDrawing">
    <cdr:from>
      <cdr:x>0</cdr:x>
      <cdr:y>0</cdr:y>
    </cdr:from>
    <cdr:to>
      <cdr:x>0.99749</cdr:x>
      <cdr:y>0.19833</cdr:y>
    </cdr:to>
    <cdr:sp macro="" textlink="">
      <cdr:nvSpPr>
        <cdr:cNvPr id="3" name="文字方塊 1"/>
        <cdr:cNvSpPr txBox="1"/>
      </cdr:nvSpPr>
      <cdr:spPr>
        <a:xfrm xmlns:a="http://schemas.openxmlformats.org/drawingml/2006/main">
          <a:off x="0" y="0"/>
          <a:ext cx="3790951" cy="45904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1000" b="0" i="0" u="none" strike="noStrike" kern="0" cap="none" spc="0" normalizeH="0" baseline="0">
              <a:ln>
                <a:noFill/>
              </a:ln>
              <a:solidFill>
                <a:sysClr val="windowText" lastClr="000000"/>
              </a:solidFill>
              <a:effectLst/>
              <a:uLnTx/>
              <a:uFillTx/>
              <a:latin typeface="Times New Roman" pitchFamily="18" charset="0"/>
              <a:ea typeface="標楷體" pitchFamily="65" charset="-120"/>
              <a:cs typeface="Times New Roman" pitchFamily="18" charset="0"/>
            </a:rPr>
            <a:t>Figure 36</a:t>
          </a:r>
          <a:r>
            <a:rPr kumimoji="0" lang="zh-TW" altLang="en-US" sz="1000" b="0" i="0" u="none" strike="noStrike" kern="0" cap="none" spc="0" normalizeH="0" baseline="0">
              <a:ln>
                <a:noFill/>
              </a:ln>
              <a:solidFill>
                <a:sysClr val="windowText" lastClr="000000"/>
              </a:solidFill>
              <a:effectLst/>
              <a:uLnTx/>
              <a:uFillTx/>
              <a:latin typeface="Times New Roman" pitchFamily="18" charset="0"/>
              <a:ea typeface="標楷體" pitchFamily="65" charset="-120"/>
              <a:cs typeface="Times New Roman" pitchFamily="18" charset="0"/>
            </a:rPr>
            <a:t>　</a:t>
          </a:r>
          <a:r>
            <a:rPr kumimoji="0" lang="de-DE" altLang="zh-TW" sz="1000" b="0" i="0" u="none" strike="noStrike" kern="0" cap="none" spc="0" normalizeH="0" baseline="0">
              <a:ln>
                <a:noFill/>
              </a:ln>
              <a:solidFill>
                <a:sysClr val="windowText" lastClr="000000"/>
              </a:solidFill>
              <a:effectLst/>
              <a:uLnTx/>
              <a:uFillTx/>
              <a:latin typeface="Times New Roman" pitchFamily="18" charset="0"/>
              <a:ea typeface="標楷體" pitchFamily="65" charset="-120"/>
              <a:cs typeface="Times New Roman" pitchFamily="18" charset="0"/>
            </a:rPr>
            <a:t>Inpatient Medical Benefit Claims </a:t>
          </a:r>
          <a:r>
            <a:rPr kumimoji="0" lang="en-US" altLang="zh-TW" sz="1000" b="0" i="0" u="none" strike="noStrike" kern="0" cap="none" spc="0" normalizeH="0" baseline="0">
              <a:ln>
                <a:noFill/>
              </a:ln>
              <a:solidFill>
                <a:sysClr val="windowText" lastClr="000000"/>
              </a:solidFill>
              <a:effectLst/>
              <a:uLnTx/>
              <a:uFillTx/>
              <a:latin typeface="Times New Roman" pitchFamily="18" charset="0"/>
              <a:ea typeface="標楷體" pitchFamily="65" charset="-120"/>
              <a:cs typeface="Times New Roman" pitchFamily="18" charset="0"/>
            </a:rPr>
            <a:t>by Type of Case</a:t>
          </a:r>
          <a:endParaRPr kumimoji="0" lang="en-US" sz="1000" b="0" i="0" u="none" strike="noStrike" kern="0" cap="none" spc="0" normalizeH="0" baseline="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marL="0" marR="0" lvl="0" indent="0" algn="ctr" defTabSz="914400" eaLnBrk="1" fontAlgn="auto" latinLnBrk="0" hangingPunct="1">
            <a:lnSpc>
              <a:spcPts val="700"/>
            </a:lnSpc>
            <a:spcBef>
              <a:spcPts val="0"/>
            </a:spcBef>
            <a:spcAft>
              <a:spcPts val="0"/>
            </a:spcAft>
            <a:buClrTx/>
            <a:buSzTx/>
            <a:buFontTx/>
            <a:buNone/>
            <a:tabLst/>
            <a:defRPr/>
          </a:pPr>
          <a:endParaRPr kumimoji="0" lang="en-US" sz="800" b="0" i="0" u="none" strike="noStrike" kern="0" cap="none" spc="0" normalizeH="0" baseline="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lang="en-US" sz="800">
              <a:latin typeface="Times New Roman" pitchFamily="18" charset="0"/>
              <a:ea typeface="標楷體" pitchFamily="65" charset="-120"/>
              <a:cs typeface="Times New Roman" pitchFamily="18" charset="0"/>
            </a:rPr>
            <a:t>2011</a:t>
          </a:r>
        </a:p>
        <a:p xmlns:a="http://schemas.openxmlformats.org/drawingml/2006/main">
          <a:pPr algn="ctr"/>
          <a:endParaRPr lang="zh-TW" altLang="en-US" sz="11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cdr:x>
      <cdr:y>0.23194</cdr:y>
    </cdr:from>
    <cdr:to>
      <cdr:x>0.26588</cdr:x>
      <cdr:y>0.31179</cdr:y>
    </cdr:to>
    <cdr:sp macro="" textlink="">
      <cdr:nvSpPr>
        <cdr:cNvPr id="5" name="文字方塊 1"/>
        <cdr:cNvSpPr txBox="1"/>
      </cdr:nvSpPr>
      <cdr:spPr>
        <a:xfrm xmlns:a="http://schemas.openxmlformats.org/drawingml/2006/main">
          <a:off x="0" y="581027"/>
          <a:ext cx="1076324" cy="200023"/>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Unit</a:t>
          </a:r>
          <a:r>
            <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a:t>
          </a: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Billion RVU</a:t>
          </a:r>
          <a:endPar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cdr:txBody>
    </cdr:sp>
  </cdr:relSizeAnchor>
</c:userShapes>
</file>

<file path=word/drawings/drawing8.xml><?xml version="1.0" encoding="utf-8"?>
<c:userShapes xmlns:c="http://schemas.openxmlformats.org/drawingml/2006/chart">
  <cdr:relSizeAnchor xmlns:cdr="http://schemas.openxmlformats.org/drawingml/2006/chartDrawing">
    <cdr:from>
      <cdr:x>0.84478</cdr:x>
      <cdr:y>0.83133</cdr:y>
    </cdr:from>
    <cdr:to>
      <cdr:x>0.91293</cdr:x>
      <cdr:y>0.88374</cdr:y>
    </cdr:to>
    <cdr:sp macro="" textlink="">
      <cdr:nvSpPr>
        <cdr:cNvPr id="2" name="文字方塊 1"/>
        <cdr:cNvSpPr txBox="1"/>
      </cdr:nvSpPr>
      <cdr:spPr>
        <a:xfrm xmlns:a="http://schemas.openxmlformats.org/drawingml/2006/main">
          <a:off x="4618720" y="2628900"/>
          <a:ext cx="372600" cy="165759"/>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a:t>
          </a:r>
          <a:endPar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0.03195</cdr:x>
      <cdr:y>0.18173</cdr:y>
    </cdr:from>
    <cdr:to>
      <cdr:x>0.11413</cdr:x>
      <cdr:y>0.2452</cdr:y>
    </cdr:to>
    <cdr:sp macro="" textlink="">
      <cdr:nvSpPr>
        <cdr:cNvPr id="4" name="文字方塊 1"/>
        <cdr:cNvSpPr txBox="1"/>
      </cdr:nvSpPr>
      <cdr:spPr>
        <a:xfrm xmlns:a="http://schemas.openxmlformats.org/drawingml/2006/main">
          <a:off x="167701" y="541219"/>
          <a:ext cx="431304" cy="189023"/>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endParaRPr kumimoji="0" lang="zh-TW" altLang="en-US" sz="800" b="0" i="0" u="none" strike="noStrike" kern="0" cap="none" spc="0" normalizeH="0" baseline="0" noProof="0">
            <a:ln>
              <a:noFill/>
            </a:ln>
            <a:solidFill>
              <a:sysClr val="windowText" lastClr="000000"/>
            </a:solidFill>
            <a:effectLst/>
            <a:uLnTx/>
            <a:uFillTx/>
            <a:latin typeface="標楷體" pitchFamily="65" charset="-120"/>
            <a:ea typeface="標楷體" pitchFamily="65" charset="-120"/>
            <a:cs typeface="+mn-cs"/>
          </a:endParaRPr>
        </a:p>
      </cdr:txBody>
    </cdr:sp>
  </cdr:relSizeAnchor>
  <cdr:relSizeAnchor xmlns:cdr="http://schemas.openxmlformats.org/drawingml/2006/chartDrawing">
    <cdr:from>
      <cdr:x>0.03484</cdr:x>
      <cdr:y>0.01227</cdr:y>
    </cdr:from>
    <cdr:to>
      <cdr:x>0.9547</cdr:x>
      <cdr:y>0.1544</cdr:y>
    </cdr:to>
    <cdr:sp macro="" textlink="">
      <cdr:nvSpPr>
        <cdr:cNvPr id="7" name="文字方塊 2"/>
        <cdr:cNvSpPr txBox="1"/>
      </cdr:nvSpPr>
      <cdr:spPr>
        <a:xfrm xmlns:a="http://schemas.openxmlformats.org/drawingml/2006/main">
          <a:off x="190500" y="38801"/>
          <a:ext cx="5029200" cy="449458"/>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Figure 37</a:t>
          </a:r>
          <a:r>
            <a:rPr kumimoji="0" lang="zh-TW" altLang="en-US"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　</a:t>
          </a:r>
          <a:r>
            <a:rPr kumimoji="0" lang="de-DE"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Inpatient Medical Benefit Claims by Type of Case and Contracted Category </a:t>
          </a:r>
          <a:endPar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endParaRPr kumimoji="0" lang="en-US" altLang="zh-TW" sz="6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2011</a:t>
          </a:r>
          <a:endPar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algn="ct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0.03195</cdr:x>
      <cdr:y>0.18173</cdr:y>
    </cdr:from>
    <cdr:to>
      <cdr:x>0.11413</cdr:x>
      <cdr:y>0.2452</cdr:y>
    </cdr:to>
    <cdr:sp macro="" textlink="">
      <cdr:nvSpPr>
        <cdr:cNvPr id="8" name="文字方塊 1"/>
        <cdr:cNvSpPr txBox="1"/>
      </cdr:nvSpPr>
      <cdr:spPr>
        <a:xfrm xmlns:a="http://schemas.openxmlformats.org/drawingml/2006/main">
          <a:off x="167701" y="541219"/>
          <a:ext cx="431304" cy="189023"/>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endParaRPr kumimoji="0" lang="zh-TW" altLang="en-US" sz="800" b="0" i="0" u="none" strike="noStrike" kern="0" cap="none" spc="0" normalizeH="0" baseline="0" noProof="0">
            <a:ln>
              <a:noFill/>
            </a:ln>
            <a:solidFill>
              <a:sysClr val="windowText" lastClr="000000"/>
            </a:solidFill>
            <a:effectLst/>
            <a:uLnTx/>
            <a:uFillTx/>
            <a:latin typeface="標楷體" pitchFamily="65" charset="-120"/>
            <a:ea typeface="標楷體" pitchFamily="65" charset="-120"/>
            <a:cs typeface="+mn-cs"/>
          </a:endParaRPr>
        </a:p>
      </cdr:txBody>
    </cdr:sp>
  </cdr:relSizeAnchor>
  <cdr:relSizeAnchor xmlns:cdr="http://schemas.openxmlformats.org/drawingml/2006/chartDrawing">
    <cdr:from>
      <cdr:x>0.82056</cdr:x>
      <cdr:y>0.21988</cdr:y>
    </cdr:from>
    <cdr:to>
      <cdr:x>0.9784</cdr:x>
      <cdr:y>0.81024</cdr:y>
    </cdr:to>
    <cdr:sp macro="" textlink="">
      <cdr:nvSpPr>
        <cdr:cNvPr id="9" name="文字方塊 1"/>
        <cdr:cNvSpPr txBox="1"/>
      </cdr:nvSpPr>
      <cdr:spPr>
        <a:xfrm xmlns:a="http://schemas.openxmlformats.org/drawingml/2006/main">
          <a:off x="4486310" y="695327"/>
          <a:ext cx="862930" cy="1866895"/>
        </a:xfrm>
        <a:prstGeom xmlns:a="http://schemas.openxmlformats.org/drawingml/2006/main" prst="rect">
          <a:avLst/>
        </a:prstGeom>
      </cdr:spPr>
      <cdr:txBody>
        <a:bodyPr xmlns:a="http://schemas.openxmlformats.org/drawingml/2006/main" wrap="square" lIns="3600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r"/>
          <a:r>
            <a:rPr lang="en-US" altLang="zh-TW" sz="800" baseline="0">
              <a:latin typeface="Times New Roman" pitchFamily="18" charset="0"/>
              <a:cs typeface="Times New Roman" pitchFamily="18" charset="0"/>
            </a:rPr>
            <a:t>111 billion RVU</a:t>
          </a: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endParaRPr lang="en-US" altLang="zh-TW" sz="1100" baseline="0">
            <a:latin typeface="Times New Roman" pitchFamily="18" charset="0"/>
            <a:cs typeface="Times New Roman" pitchFamily="18" charset="0"/>
          </a:endParaRP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r>
            <a:rPr lang="en-US" altLang="zh-TW" sz="800" baseline="0">
              <a:latin typeface="Times New Roman" pitchFamily="18" charset="0"/>
              <a:cs typeface="Times New Roman" pitchFamily="18" charset="0"/>
            </a:rPr>
            <a:t>2 billion RVU</a:t>
          </a: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endParaRPr lang="en-US" altLang="zh-TW" sz="1100" baseline="0">
            <a:latin typeface="Times New Roman" pitchFamily="18" charset="0"/>
            <a:cs typeface="Times New Roman" pitchFamily="18" charset="0"/>
          </a:endParaRP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r>
            <a:rPr lang="en-US" altLang="zh-TW" sz="800" baseline="0">
              <a:latin typeface="Times New Roman" pitchFamily="18" charset="0"/>
              <a:cs typeface="Times New Roman" pitchFamily="18" charset="0"/>
            </a:rPr>
            <a:t>14 billion RVU</a:t>
          </a: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endParaRPr lang="en-US" altLang="zh-TW" sz="1100" baseline="0">
            <a:latin typeface="Times New Roman" pitchFamily="18" charset="0"/>
            <a:cs typeface="Times New Roman" pitchFamily="18" charset="0"/>
          </a:endParaRP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r>
            <a:rPr lang="en-US" altLang="zh-TW" sz="800" baseline="0">
              <a:latin typeface="Times New Roman" pitchFamily="18" charset="0"/>
              <a:cs typeface="Times New Roman" pitchFamily="18" charset="0"/>
            </a:rPr>
            <a:t>16 billion RVU</a:t>
          </a: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endParaRPr lang="en-US" altLang="zh-TW" sz="1100" baseline="0">
            <a:latin typeface="Times New Roman" pitchFamily="18" charset="0"/>
            <a:cs typeface="Times New Roman" pitchFamily="18" charset="0"/>
          </a:endParaRP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r>
            <a:rPr lang="en-US" altLang="zh-TW" sz="800" baseline="0">
              <a:latin typeface="Times New Roman" pitchFamily="18" charset="0"/>
              <a:cs typeface="Times New Roman" pitchFamily="18" charset="0"/>
            </a:rPr>
            <a:t>24 billion RVU</a:t>
          </a: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endParaRPr lang="en-US" altLang="zh-TW" sz="1100" baseline="0">
            <a:latin typeface="Times New Roman" pitchFamily="18" charset="0"/>
            <a:cs typeface="Times New Roman" pitchFamily="18" charset="0"/>
          </a:endParaRP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r>
            <a:rPr lang="en-US" altLang="zh-TW" sz="800" baseline="0">
              <a:latin typeface="Times New Roman" pitchFamily="18" charset="0"/>
              <a:cs typeface="Times New Roman" pitchFamily="18" charset="0"/>
            </a:rPr>
            <a:t>1 billion RVU</a:t>
          </a: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endParaRPr lang="en-US" altLang="zh-TW" sz="1100" baseline="0">
            <a:latin typeface="Times New Roman" pitchFamily="18" charset="0"/>
            <a:cs typeface="Times New Roman" pitchFamily="18" charset="0"/>
          </a:endParaRP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r>
            <a:rPr lang="en-US" altLang="zh-TW" sz="800" baseline="0">
              <a:latin typeface="Times New Roman" pitchFamily="18" charset="0"/>
              <a:cs typeface="Times New Roman" pitchFamily="18" charset="0"/>
            </a:rPr>
            <a:t>2 billion RVU</a:t>
          </a:r>
        </a:p>
      </cdr:txBody>
    </cdr:sp>
  </cdr:relSizeAnchor>
</c:userShapes>
</file>

<file path=word/drawings/drawing9.xml><?xml version="1.0" encoding="utf-8"?>
<c:userShapes xmlns:c="http://schemas.openxmlformats.org/drawingml/2006/chart">
  <cdr:relSizeAnchor xmlns:cdr="http://schemas.openxmlformats.org/drawingml/2006/chartDrawing">
    <cdr:from>
      <cdr:x>0.10966</cdr:x>
      <cdr:y>0.02755</cdr:y>
    </cdr:from>
    <cdr:to>
      <cdr:x>0.8901</cdr:x>
      <cdr:y>0.12816</cdr:y>
    </cdr:to>
    <cdr:sp macro="" textlink="">
      <cdr:nvSpPr>
        <cdr:cNvPr id="2" name="文字方塊 4"/>
        <cdr:cNvSpPr txBox="1"/>
      </cdr:nvSpPr>
      <cdr:spPr>
        <a:xfrm xmlns:a="http://schemas.openxmlformats.org/drawingml/2006/main">
          <a:off x="709084" y="105833"/>
          <a:ext cx="5046663" cy="386521"/>
        </a:xfrm>
        <a:prstGeom xmlns:a="http://schemas.openxmlformats.org/drawingml/2006/main" prst="rect">
          <a:avLst/>
        </a:prstGeom>
        <a:solidFill xmlns:a="http://schemas.openxmlformats.org/drawingml/2006/main">
          <a:sysClr val="window" lastClr="FFFFFF"/>
        </a:solidFill>
        <a:ln xmlns:a="http://schemas.openxmlformats.org/drawingml/2006/main" w="9525" cmpd="sng">
          <a:noFill/>
        </a:ln>
        <a:effectLst xmlns:a="http://schemas.openxmlformats.org/drawingml/2006/mai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pPr marL="0" marR="0" indent="0" algn="ctr" defTabSz="914400" eaLnBrk="1" fontAlgn="auto" latinLnBrk="0" hangingPunct="1">
            <a:lnSpc>
              <a:spcPct val="100000"/>
            </a:lnSpc>
            <a:spcBef>
              <a:spcPts val="0"/>
            </a:spcBef>
            <a:spcAft>
              <a:spcPts val="0"/>
            </a:spcAft>
            <a:buClrTx/>
            <a:buSzTx/>
            <a:buFontTx/>
            <a:buNone/>
            <a:tabLst/>
            <a:defRPr/>
          </a:pPr>
          <a:r>
            <a:rPr lang="en-US" altLang="zh-TW" sz="1000">
              <a:latin typeface="Times New Roman" pitchFamily="18" charset="0"/>
              <a:ea typeface="標楷體" pitchFamily="65" charset="-120"/>
              <a:cs typeface="Times New Roman" pitchFamily="18" charset="0"/>
            </a:rPr>
            <a:t>Figure 38</a:t>
          </a:r>
          <a:r>
            <a:rPr lang="zh-TW" altLang="en-US" sz="1000">
              <a:latin typeface="Times New Roman" pitchFamily="18" charset="0"/>
              <a:ea typeface="標楷體" pitchFamily="65" charset="-120"/>
              <a:cs typeface="Times New Roman" pitchFamily="18" charset="0"/>
            </a:rPr>
            <a:t>  </a:t>
          </a:r>
          <a:r>
            <a:rPr lang="en-US" altLang="zh-TW" sz="1000">
              <a:latin typeface="Times New Roman" pitchFamily="18" charset="0"/>
              <a:ea typeface="標楷體" pitchFamily="65" charset="-120"/>
              <a:cs typeface="Times New Roman" pitchFamily="18" charset="0"/>
            </a:rPr>
            <a:t>In</a:t>
          </a:r>
          <a:r>
            <a:rPr lang="de-DE" altLang="zh-TW" sz="1000">
              <a:latin typeface="Times New Roman" pitchFamily="18" charset="0"/>
              <a:ea typeface="標楷體" pitchFamily="65" charset="-120"/>
              <a:cs typeface="Times New Roman" pitchFamily="18" charset="0"/>
            </a:rPr>
            <a:t>patient Medical Benefit Claims by Gender and Age</a:t>
          </a:r>
          <a:endParaRPr lang="en-US" altLang="zh-TW" sz="1000">
            <a:latin typeface="Times New Roman" pitchFamily="18" charset="0"/>
            <a:ea typeface="標楷體" pitchFamily="65" charset="-120"/>
            <a:cs typeface="Times New Roman" pitchFamily="18" charset="0"/>
          </a:endParaRPr>
        </a:p>
        <a:p xmlns:a="http://schemas.openxmlformats.org/drawingml/2006/main">
          <a:pPr algn="ctr"/>
          <a:endParaRPr lang="en-US" altLang="zh-TW" sz="800">
            <a:latin typeface="Times New Roman" pitchFamily="18" charset="0"/>
            <a:ea typeface="標楷體" pitchFamily="65" charset="-120"/>
            <a:cs typeface="Times New Roman" pitchFamily="18" charset="0"/>
          </a:endParaRPr>
        </a:p>
        <a:p xmlns:a="http://schemas.openxmlformats.org/drawingml/2006/main">
          <a:pPr algn="ctr"/>
          <a:r>
            <a:rPr lang="en-US" altLang="zh-TW" sz="800">
              <a:latin typeface="Times New Roman" pitchFamily="18" charset="0"/>
              <a:ea typeface="標楷體" pitchFamily="65" charset="-120"/>
              <a:cs typeface="Times New Roman" pitchFamily="18" charset="0"/>
            </a:rPr>
            <a:t>2011</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cdr:x>
      <cdr:y>0.15881</cdr:y>
    </cdr:from>
    <cdr:to>
      <cdr:x>0.14587</cdr:x>
      <cdr:y>0.22091</cdr:y>
    </cdr:to>
    <cdr:sp macro="" textlink="">
      <cdr:nvSpPr>
        <cdr:cNvPr id="3" name="文字方塊 1"/>
        <cdr:cNvSpPr txBox="1"/>
      </cdr:nvSpPr>
      <cdr:spPr>
        <a:xfrm xmlns:a="http://schemas.openxmlformats.org/drawingml/2006/main">
          <a:off x="0" y="534491"/>
          <a:ext cx="804333" cy="208997"/>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US" altLang="zh-TW" sz="800">
              <a:latin typeface="Times New Roman" pitchFamily="18" charset="0"/>
              <a:ea typeface="標楷體" pitchFamily="65" charset="-120"/>
              <a:cs typeface="Times New Roman" pitchFamily="18" charset="0"/>
            </a:rPr>
            <a:t>Billion RVU</a:t>
          </a:r>
          <a:endParaRPr lang="zh-TW" altLang="en-US" sz="800">
            <a:latin typeface="Times New Roman" pitchFamily="18" charset="0"/>
            <a:ea typeface="標楷體" pitchFamily="65" charset="-120"/>
            <a:cs typeface="Times New Roman" pitchFamily="18" charset="0"/>
          </a:endParaRPr>
        </a:p>
      </cdr:txBody>
    </cdr:sp>
  </cdr:relSizeAnchor>
</c:userShapes>
</file>

<file path=word/drawings/drawing10.xml><?xml version="1.0" encoding="utf-8"?>
<c:userShapes xmlns:c="http://schemas.openxmlformats.org/drawingml/2006/chart">
  <cdr:relSizeAnchor xmlns:cdr="http://schemas.openxmlformats.org/drawingml/2006/chartDrawing">
    <cdr:from>
      <cdr:x>0.00356</cdr:x>
      <cdr:y>0.11594</cdr:y>
    </cdr:from>
    <cdr:to>
      <cdr:x>0.15475</cdr:x>
      <cdr:y>0.17391</cdr:y>
    </cdr:to>
    <cdr:sp macro="" textlink="">
      <cdr:nvSpPr>
        <cdr:cNvPr id="2" name="文字方塊 1"/>
        <cdr:cNvSpPr txBox="1"/>
      </cdr:nvSpPr>
      <cdr:spPr>
        <a:xfrm xmlns:a="http://schemas.openxmlformats.org/drawingml/2006/main">
          <a:off x="19545" y="446149"/>
          <a:ext cx="830085" cy="22307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altLang="zh-TW" sz="800">
              <a:latin typeface="Times New Roman" pitchFamily="18" charset="0"/>
              <a:ea typeface="標楷體" pitchFamily="65" charset="-120"/>
              <a:cs typeface="Times New Roman" pitchFamily="18" charset="0"/>
            </a:rPr>
            <a:t>Billion RVU</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0.12422</cdr:x>
      <cdr:y>0.03188</cdr:y>
    </cdr:from>
    <cdr:to>
      <cdr:x>0.81462</cdr:x>
      <cdr:y>0.13774</cdr:y>
    </cdr:to>
    <cdr:sp macro="" textlink="">
      <cdr:nvSpPr>
        <cdr:cNvPr id="3" name="文字方塊 4"/>
        <cdr:cNvSpPr txBox="1"/>
      </cdr:nvSpPr>
      <cdr:spPr>
        <a:xfrm xmlns:a="http://schemas.openxmlformats.org/drawingml/2006/main">
          <a:off x="681990" y="122677"/>
          <a:ext cx="3790445" cy="407360"/>
        </a:xfrm>
        <a:prstGeom xmlns:a="http://schemas.openxmlformats.org/drawingml/2006/main" prst="rect">
          <a:avLst/>
        </a:prstGeom>
        <a:solidFill xmlns:a="http://schemas.openxmlformats.org/drawingml/2006/main">
          <a:sysClr val="window" lastClr="FFFFFF"/>
        </a:solidFill>
        <a:ln xmlns:a="http://schemas.openxmlformats.org/drawingml/2006/main" w="9525" cmpd="sng">
          <a:noFill/>
        </a:ln>
        <a:effectLst xmlns:a="http://schemas.openxmlformats.org/drawingml/2006/mai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lstStyle xmlns:a="http://schemas.openxmlformats.org/drawingml/2006/main">
          <a:lvl1pPr marL="0" indent="0">
            <a:defRPr sz="1100">
              <a:solidFill>
                <a:sysClr val="windowText" lastClr="000000"/>
              </a:solidFill>
              <a:latin typeface="Calibri"/>
            </a:defRPr>
          </a:lvl1pPr>
          <a:lvl2pPr marL="457200" indent="0">
            <a:defRPr sz="1100">
              <a:solidFill>
                <a:sysClr val="windowText" lastClr="000000"/>
              </a:solidFill>
              <a:latin typeface="Calibri"/>
            </a:defRPr>
          </a:lvl2pPr>
          <a:lvl3pPr marL="914400" indent="0">
            <a:defRPr sz="1100">
              <a:solidFill>
                <a:sysClr val="windowText" lastClr="000000"/>
              </a:solidFill>
              <a:latin typeface="Calibri"/>
            </a:defRPr>
          </a:lvl3pPr>
          <a:lvl4pPr marL="1371600" indent="0">
            <a:defRPr sz="1100">
              <a:solidFill>
                <a:sysClr val="windowText" lastClr="000000"/>
              </a:solidFill>
              <a:latin typeface="Calibri"/>
            </a:defRPr>
          </a:lvl4pPr>
          <a:lvl5pPr marL="1828800" indent="0">
            <a:defRPr sz="1100">
              <a:solidFill>
                <a:sysClr val="windowText" lastClr="000000"/>
              </a:solidFill>
              <a:latin typeface="Calibri"/>
            </a:defRPr>
          </a:lvl5pPr>
          <a:lvl6pPr marL="2286000" indent="0">
            <a:defRPr sz="1100">
              <a:solidFill>
                <a:sysClr val="windowText" lastClr="000000"/>
              </a:solidFill>
              <a:latin typeface="Calibri"/>
            </a:defRPr>
          </a:lvl6pPr>
          <a:lvl7pPr marL="2743200" indent="0">
            <a:defRPr sz="1100">
              <a:solidFill>
                <a:sysClr val="windowText" lastClr="000000"/>
              </a:solidFill>
              <a:latin typeface="Calibri"/>
            </a:defRPr>
          </a:lvl7pPr>
          <a:lvl8pPr marL="3200400" indent="0">
            <a:defRPr sz="1100">
              <a:solidFill>
                <a:sysClr val="windowText" lastClr="000000"/>
              </a:solidFill>
              <a:latin typeface="Calibri"/>
            </a:defRPr>
          </a:lvl8pPr>
          <a:lvl9pPr marL="3657600" indent="0">
            <a:defRPr sz="1100">
              <a:solidFill>
                <a:sysClr val="windowText" lastClr="000000"/>
              </a:solidFill>
              <a:latin typeface="Calibri"/>
            </a:defRPr>
          </a:lvl9pPr>
        </a:lstStyle>
        <a:p xmlns:a="http://schemas.openxmlformats.org/drawingml/2006/main">
          <a:pPr marL="0" marR="0" indent="0" algn="ctr" defTabSz="914400" eaLnBrk="1" fontAlgn="auto" latinLnBrk="0" hangingPunct="1">
            <a:lnSpc>
              <a:spcPct val="100000"/>
            </a:lnSpc>
            <a:spcBef>
              <a:spcPts val="0"/>
            </a:spcBef>
            <a:spcAft>
              <a:spcPts val="0"/>
            </a:spcAft>
            <a:buClrTx/>
            <a:buSzTx/>
            <a:buFontTx/>
            <a:buNone/>
            <a:tabLst/>
            <a:defRPr/>
          </a:pPr>
          <a:r>
            <a:rPr lang="en-US" altLang="zh-TW" sz="1000">
              <a:latin typeface="Times New Roman" pitchFamily="18" charset="0"/>
              <a:ea typeface="標楷體" pitchFamily="65" charset="-120"/>
              <a:cs typeface="Times New Roman" pitchFamily="18" charset="0"/>
            </a:rPr>
            <a:t>Figure 39</a:t>
          </a:r>
          <a:r>
            <a:rPr lang="zh-TW" altLang="en-US" sz="1000">
              <a:latin typeface="Times New Roman" pitchFamily="18" charset="0"/>
              <a:ea typeface="標楷體" pitchFamily="65" charset="-120"/>
              <a:cs typeface="Times New Roman" pitchFamily="18" charset="0"/>
            </a:rPr>
            <a:t>  </a:t>
          </a:r>
          <a:r>
            <a:rPr lang="en-US" altLang="zh-TW" sz="1000">
              <a:latin typeface="Times New Roman" pitchFamily="18" charset="0"/>
              <a:ea typeface="標楷體" pitchFamily="65" charset="-120"/>
              <a:cs typeface="Times New Roman" pitchFamily="18" charset="0"/>
            </a:rPr>
            <a:t>In</a:t>
          </a:r>
          <a:r>
            <a:rPr lang="de-DE" altLang="zh-TW" sz="1000">
              <a:latin typeface="Times New Roman" pitchFamily="18" charset="0"/>
              <a:ea typeface="標楷體" pitchFamily="65" charset="-120"/>
              <a:cs typeface="Times New Roman" pitchFamily="18" charset="0"/>
            </a:rPr>
            <a:t>patient Medical Benefit Claims by Gender and Locale</a:t>
          </a:r>
          <a:endParaRPr lang="en-US" altLang="zh-TW" sz="1000">
            <a:latin typeface="Times New Roman" pitchFamily="18" charset="0"/>
            <a:ea typeface="標楷體" pitchFamily="65" charset="-120"/>
            <a:cs typeface="Times New Roman" pitchFamily="18" charset="0"/>
          </a:endParaRPr>
        </a:p>
        <a:p xmlns:a="http://schemas.openxmlformats.org/drawingml/2006/main">
          <a:pPr algn="ctr"/>
          <a:endParaRPr lang="en-US" altLang="zh-TW" sz="500">
            <a:latin typeface="Times New Roman" pitchFamily="18" charset="0"/>
            <a:ea typeface="標楷體" pitchFamily="65" charset="-120"/>
            <a:cs typeface="Times New Roman" pitchFamily="18" charset="0"/>
          </a:endParaRPr>
        </a:p>
        <a:p xmlns:a="http://schemas.openxmlformats.org/drawingml/2006/main">
          <a:pPr algn="ctr"/>
          <a:r>
            <a:rPr lang="en-US" altLang="zh-TW" sz="800">
              <a:latin typeface="Times New Roman" pitchFamily="18" charset="0"/>
              <a:ea typeface="標楷體" pitchFamily="65" charset="-120"/>
              <a:cs typeface="Times New Roman" pitchFamily="18" charset="0"/>
            </a:rPr>
            <a:t>2011</a:t>
          </a:r>
          <a:endParaRPr lang="zh-TW" altLang="en-US" sz="800">
            <a:latin typeface="Times New Roman" pitchFamily="18" charset="0"/>
            <a:ea typeface="標楷體" pitchFamily="65" charset="-120"/>
            <a:cs typeface="Times New Roman" pitchFamily="18" charset="0"/>
          </a:endParaRPr>
        </a:p>
      </cdr:txBody>
    </cdr:sp>
  </cdr:relSizeAnchor>
</c:userShapes>
</file>

<file path=word/drawings/drawing11.xml><?xml version="1.0" encoding="utf-8"?>
<c:userShapes xmlns:c="http://schemas.openxmlformats.org/drawingml/2006/chart">
  <cdr:relSizeAnchor xmlns:cdr="http://schemas.openxmlformats.org/drawingml/2006/chartDrawing">
    <cdr:from>
      <cdr:x>0.09636</cdr:x>
      <cdr:y>0.04305</cdr:y>
    </cdr:from>
    <cdr:to>
      <cdr:x>0.91818</cdr:x>
      <cdr:y>0.17629</cdr:y>
    </cdr:to>
    <cdr:sp macro="" textlink="">
      <cdr:nvSpPr>
        <cdr:cNvPr id="2" name="文字方塊 1"/>
        <cdr:cNvSpPr txBox="1"/>
      </cdr:nvSpPr>
      <cdr:spPr>
        <a:xfrm xmlns:a="http://schemas.openxmlformats.org/drawingml/2006/main">
          <a:off x="511231" y="123825"/>
          <a:ext cx="4360104" cy="383282"/>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Figure 40</a:t>
          </a:r>
          <a:r>
            <a:rPr kumimoji="0" lang="zh-TW" altLang="en-US"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　</a:t>
          </a:r>
          <a:r>
            <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Historical Approved Outpatient Medical Payments</a:t>
          </a:r>
        </a:p>
      </cdr:txBody>
    </cdr:sp>
  </cdr:relSizeAnchor>
  <cdr:relSizeAnchor xmlns:cdr="http://schemas.openxmlformats.org/drawingml/2006/chartDrawing">
    <cdr:from>
      <cdr:x>0.00857</cdr:x>
      <cdr:y>0.11879</cdr:y>
    </cdr:from>
    <cdr:to>
      <cdr:x>0.13699</cdr:x>
      <cdr:y>0.17334</cdr:y>
    </cdr:to>
    <cdr:sp macro="" textlink="">
      <cdr:nvSpPr>
        <cdr:cNvPr id="4" name="文字方塊 3"/>
        <cdr:cNvSpPr txBox="1"/>
      </cdr:nvSpPr>
      <cdr:spPr>
        <a:xfrm xmlns:a="http://schemas.openxmlformats.org/drawingml/2006/main">
          <a:off x="43832" y="373379"/>
          <a:ext cx="656859" cy="171461"/>
        </a:xfrm>
        <a:prstGeom xmlns:a="http://schemas.openxmlformats.org/drawingml/2006/main" prst="rect">
          <a:avLst/>
        </a:prstGeom>
      </cdr:spPr>
      <cdr:txBody>
        <a:bodyPr xmlns:a="http://schemas.openxmlformats.org/drawingml/2006/main" wrap="square" lIns="0" rtlCol="0"/>
        <a:lstStyle xmlns:a="http://schemas.openxmlformats.org/drawingml/2006/main"/>
        <a:p xmlns:a="http://schemas.openxmlformats.org/drawingml/2006/main">
          <a:r>
            <a:rPr lang="en-US" altLang="zh-TW" sz="800">
              <a:latin typeface="Times New Roman" pitchFamily="18" charset="0"/>
              <a:ea typeface="標楷體" pitchFamily="65" charset="-120"/>
              <a:cs typeface="Times New Roman" pitchFamily="18" charset="0"/>
            </a:rPr>
            <a:t>Billion RVU</a:t>
          </a:r>
        </a:p>
      </cdr:txBody>
    </cdr:sp>
  </cdr:relSizeAnchor>
  <cdr:relSizeAnchor xmlns:cdr="http://schemas.openxmlformats.org/drawingml/2006/chartDrawing">
    <cdr:from>
      <cdr:x>0.91769</cdr:x>
      <cdr:y>0.12848</cdr:y>
    </cdr:from>
    <cdr:to>
      <cdr:x>0.99963</cdr:x>
      <cdr:y>0.17939</cdr:y>
    </cdr:to>
    <cdr:sp macro="" textlink="">
      <cdr:nvSpPr>
        <cdr:cNvPr id="5" name="文字方塊 1"/>
        <cdr:cNvSpPr txBox="1"/>
      </cdr:nvSpPr>
      <cdr:spPr>
        <a:xfrm xmlns:a="http://schemas.openxmlformats.org/drawingml/2006/main">
          <a:off x="4693920" y="403845"/>
          <a:ext cx="419100" cy="16003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US" altLang="zh-TW" sz="800">
              <a:latin typeface="Times New Roman" pitchFamily="18" charset="0"/>
              <a:ea typeface="標楷體" pitchFamily="65" charset="-120"/>
              <a:cs typeface="Times New Roman" pitchFamily="18" charset="0"/>
            </a:rPr>
            <a:t>RVU</a:t>
          </a:r>
        </a:p>
      </cdr:txBody>
    </cdr:sp>
  </cdr:relSizeAnchor>
</c:userShapes>
</file>

<file path=word/drawings/drawing12.xml><?xml version="1.0" encoding="utf-8"?>
<c:userShapes xmlns:c="http://schemas.openxmlformats.org/drawingml/2006/chart">
  <cdr:relSizeAnchor xmlns:cdr="http://schemas.openxmlformats.org/drawingml/2006/chartDrawing">
    <cdr:from>
      <cdr:x>0.04188</cdr:x>
      <cdr:y>0.0255</cdr:y>
    </cdr:from>
    <cdr:to>
      <cdr:x>0.95812</cdr:x>
      <cdr:y>0.16997</cdr:y>
    </cdr:to>
    <cdr:sp macro="" textlink="">
      <cdr:nvSpPr>
        <cdr:cNvPr id="2" name="文字方塊 1"/>
        <cdr:cNvSpPr txBox="1"/>
      </cdr:nvSpPr>
      <cdr:spPr>
        <a:xfrm xmlns:a="http://schemas.openxmlformats.org/drawingml/2006/main">
          <a:off x="197060" y="85725"/>
          <a:ext cx="4311230" cy="485776"/>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Figure 41</a:t>
          </a:r>
          <a:r>
            <a:rPr kumimoji="0" lang="zh-TW" altLang="en-US"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　</a:t>
          </a:r>
          <a:r>
            <a:rPr kumimoji="0" lang="de-DE"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Approved Outpatient Medical Payments by Contracted Category </a:t>
          </a:r>
          <a:endParaRPr kumimoji="0" lang="en-US"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marL="0" marR="0" lvl="0" indent="0" algn="ctr" defTabSz="914400" eaLnBrk="1" fontAlgn="auto" latinLnBrk="0" hangingPunct="1">
            <a:lnSpc>
              <a:spcPts val="700"/>
            </a:lnSpc>
            <a:spcBef>
              <a:spcPts val="0"/>
            </a:spcBef>
            <a:spcAft>
              <a:spcPts val="0"/>
            </a:spcAft>
            <a:buClrTx/>
            <a:buSzTx/>
            <a:buFontTx/>
            <a:buNone/>
            <a:tabLst/>
            <a:defRPr/>
          </a:pPr>
          <a:endParaRPr kumimoji="0" 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lang="en-US" sz="800">
              <a:latin typeface="Times New Roman" pitchFamily="18" charset="0"/>
              <a:ea typeface="標楷體" pitchFamily="65" charset="-120"/>
              <a:cs typeface="Times New Roman" pitchFamily="18" charset="0"/>
            </a:rPr>
            <a:t>2011</a:t>
          </a:r>
        </a:p>
        <a:p xmlns:a="http://schemas.openxmlformats.org/drawingml/2006/main">
          <a:pPr algn="ctr"/>
          <a:endParaRPr lang="zh-TW" altLang="en-US" sz="11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0.88017</cdr:x>
      <cdr:y>0.8339</cdr:y>
    </cdr:from>
    <cdr:to>
      <cdr:x>0.93077</cdr:x>
      <cdr:y>0.89616</cdr:y>
    </cdr:to>
    <cdr:sp macro="" textlink="">
      <cdr:nvSpPr>
        <cdr:cNvPr id="4" name="文字方塊 3"/>
        <cdr:cNvSpPr txBox="1"/>
      </cdr:nvSpPr>
      <cdr:spPr>
        <a:xfrm xmlns:a="http://schemas.openxmlformats.org/drawingml/2006/main">
          <a:off x="4141505" y="2922995"/>
          <a:ext cx="238091" cy="21823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altLang="zh-TW" sz="800">
              <a:latin typeface="Times New Roman" pitchFamily="18" charset="0"/>
              <a:cs typeface="Times New Roman" pitchFamily="18" charset="0"/>
            </a:rPr>
            <a:t>%</a:t>
          </a:r>
          <a:endParaRPr lang="zh-TW" altLang="en-US" sz="800">
            <a:latin typeface="Times New Roman" pitchFamily="18" charset="0"/>
            <a:cs typeface="Times New Roman" pitchFamily="18" charset="0"/>
          </a:endParaRPr>
        </a:p>
      </cdr:txBody>
    </cdr:sp>
  </cdr:relSizeAnchor>
  <cdr:relSizeAnchor xmlns:cdr="http://schemas.openxmlformats.org/drawingml/2006/chartDrawing">
    <cdr:from>
      <cdr:x>0.09919</cdr:x>
      <cdr:y>0.91228</cdr:y>
    </cdr:from>
    <cdr:to>
      <cdr:x>0.91903</cdr:x>
      <cdr:y>0.97895</cdr:y>
    </cdr:to>
    <cdr:sp macro="" textlink="">
      <cdr:nvSpPr>
        <cdr:cNvPr id="6" name="文字方塊 5"/>
        <cdr:cNvSpPr txBox="1"/>
      </cdr:nvSpPr>
      <cdr:spPr>
        <a:xfrm xmlns:a="http://schemas.openxmlformats.org/drawingml/2006/main">
          <a:off x="466724" y="2476500"/>
          <a:ext cx="3857626" cy="18097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altLang="zh-TW" sz="800">
              <a:latin typeface="Times New Roman" pitchFamily="18" charset="0"/>
              <a:ea typeface="標楷體" pitchFamily="65" charset="-120"/>
              <a:cs typeface="Times New Roman" pitchFamily="18" charset="0"/>
            </a:rPr>
            <a:t>The approved outpatient medical payments were 351 billion RVU or NT$322 billion.</a:t>
          </a:r>
          <a:endParaRPr lang="zh-TW" altLang="en-US" sz="800">
            <a:latin typeface="Times New Roman" pitchFamily="18" charset="0"/>
            <a:ea typeface="標楷體" pitchFamily="65" charset="-120"/>
            <a:cs typeface="Times New Roman" pitchFamily="18" charset="0"/>
          </a:endParaRPr>
        </a:p>
      </cdr:txBody>
    </cdr:sp>
  </cdr:relSizeAnchor>
</c:userShapes>
</file>

<file path=word/drawings/drawing13.xml><?xml version="1.0" encoding="utf-8"?>
<c:userShapes xmlns:c="http://schemas.openxmlformats.org/drawingml/2006/chart">
  <cdr:relSizeAnchor xmlns:cdr="http://schemas.openxmlformats.org/drawingml/2006/chartDrawing">
    <cdr:from>
      <cdr:x>0.09636</cdr:x>
      <cdr:y>0.04305</cdr:y>
    </cdr:from>
    <cdr:to>
      <cdr:x>0.91818</cdr:x>
      <cdr:y>0.13939</cdr:y>
    </cdr:to>
    <cdr:sp macro="" textlink="">
      <cdr:nvSpPr>
        <cdr:cNvPr id="2" name="文字方塊 1"/>
        <cdr:cNvSpPr txBox="1"/>
      </cdr:nvSpPr>
      <cdr:spPr>
        <a:xfrm xmlns:a="http://schemas.openxmlformats.org/drawingml/2006/main">
          <a:off x="547638" y="135317"/>
          <a:ext cx="4670608" cy="302833"/>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Figure 42</a:t>
          </a:r>
          <a:r>
            <a:rPr kumimoji="0" lang="zh-TW" altLang="en-US"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　</a:t>
          </a:r>
          <a:r>
            <a:rPr kumimoji="0" lang="de-DE"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Historical Approved Inpatient Medical Payments</a:t>
          </a:r>
          <a:endPar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0.90396</cdr:x>
      <cdr:y>0.12849</cdr:y>
    </cdr:from>
    <cdr:to>
      <cdr:x>0.99962</cdr:x>
      <cdr:y>0.19818</cdr:y>
    </cdr:to>
    <cdr:sp macro="" textlink="">
      <cdr:nvSpPr>
        <cdr:cNvPr id="5" name="文字方塊 1"/>
        <cdr:cNvSpPr txBox="1"/>
      </cdr:nvSpPr>
      <cdr:spPr>
        <a:xfrm xmlns:a="http://schemas.openxmlformats.org/drawingml/2006/main">
          <a:off x="4518660" y="446467"/>
          <a:ext cx="478161" cy="242153"/>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US" altLang="zh-TW" sz="800">
              <a:latin typeface="Times New Roman" pitchFamily="18" charset="0"/>
              <a:ea typeface="標楷體" pitchFamily="65" charset="-120"/>
              <a:cs typeface="Times New Roman" pitchFamily="18" charset="0"/>
            </a:rPr>
            <a:t>RVU</a:t>
          </a:r>
        </a:p>
      </cdr:txBody>
    </cdr:sp>
  </cdr:relSizeAnchor>
  <cdr:relSizeAnchor xmlns:cdr="http://schemas.openxmlformats.org/drawingml/2006/chartDrawing">
    <cdr:from>
      <cdr:x>0</cdr:x>
      <cdr:y>0.12606</cdr:y>
    </cdr:from>
    <cdr:to>
      <cdr:x>0.1306</cdr:x>
      <cdr:y>0.18182</cdr:y>
    </cdr:to>
    <cdr:sp macro="" textlink="">
      <cdr:nvSpPr>
        <cdr:cNvPr id="6" name="文字方塊 1"/>
        <cdr:cNvSpPr txBox="1"/>
      </cdr:nvSpPr>
      <cdr:spPr>
        <a:xfrm xmlns:a="http://schemas.openxmlformats.org/drawingml/2006/main">
          <a:off x="0" y="396239"/>
          <a:ext cx="653082" cy="175261"/>
        </a:xfrm>
        <a:prstGeom xmlns:a="http://schemas.openxmlformats.org/drawingml/2006/main" prst="rect">
          <a:avLst/>
        </a:prstGeom>
      </cdr:spPr>
      <cdr:txBody>
        <a:bodyPr xmlns:a="http://schemas.openxmlformats.org/drawingml/2006/main" wrap="square" l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US" altLang="zh-TW" sz="800">
              <a:latin typeface="Times New Roman" pitchFamily="18" charset="0"/>
              <a:ea typeface="標楷體" pitchFamily="65" charset="-120"/>
              <a:cs typeface="Times New Roman" pitchFamily="18" charset="0"/>
            </a:rPr>
            <a:t>Billion RVU</a:t>
          </a:r>
        </a:p>
      </cdr:txBody>
    </cdr:sp>
  </cdr:relSizeAnchor>
</c:userShapes>
</file>

<file path=word/drawings/drawing14.xml><?xml version="1.0" encoding="utf-8"?>
<c:userShapes xmlns:c="http://schemas.openxmlformats.org/drawingml/2006/chart">
  <cdr:relSizeAnchor xmlns:cdr="http://schemas.openxmlformats.org/drawingml/2006/chartDrawing">
    <cdr:from>
      <cdr:x>0.04188</cdr:x>
      <cdr:y>0.0255</cdr:y>
    </cdr:from>
    <cdr:to>
      <cdr:x>0.95812</cdr:x>
      <cdr:y>0.16997</cdr:y>
    </cdr:to>
    <cdr:sp macro="" textlink="">
      <cdr:nvSpPr>
        <cdr:cNvPr id="2" name="文字方塊 1"/>
        <cdr:cNvSpPr txBox="1"/>
      </cdr:nvSpPr>
      <cdr:spPr>
        <a:xfrm xmlns:a="http://schemas.openxmlformats.org/drawingml/2006/main">
          <a:off x="197060" y="85725"/>
          <a:ext cx="4311230" cy="485776"/>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Figure 43</a:t>
          </a:r>
          <a:r>
            <a:rPr kumimoji="0" lang="zh-TW" altLang="en-US"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　</a:t>
          </a:r>
          <a:r>
            <a:rPr kumimoji="0" lang="de-DE"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Approved Inpatient Medical Payments by Contracted Category </a:t>
          </a:r>
          <a:endParaRPr kumimoji="0" lang="en-US"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marL="0" marR="0" lvl="0" indent="0" algn="ctr" defTabSz="914400" eaLnBrk="1" fontAlgn="auto" latinLnBrk="0" hangingPunct="1">
            <a:lnSpc>
              <a:spcPts val="700"/>
            </a:lnSpc>
            <a:spcBef>
              <a:spcPts val="0"/>
            </a:spcBef>
            <a:spcAft>
              <a:spcPts val="0"/>
            </a:spcAft>
            <a:buClrTx/>
            <a:buSzTx/>
            <a:buFontTx/>
            <a:buNone/>
            <a:tabLst/>
            <a:defRPr/>
          </a:pPr>
          <a:endParaRPr kumimoji="0" 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lang="en-US" sz="800">
              <a:latin typeface="Times New Roman" pitchFamily="18" charset="0"/>
              <a:ea typeface="標楷體" pitchFamily="65" charset="-120"/>
              <a:cs typeface="Times New Roman" pitchFamily="18" charset="0"/>
            </a:rPr>
            <a:t>2011</a:t>
          </a:r>
        </a:p>
        <a:p xmlns:a="http://schemas.openxmlformats.org/drawingml/2006/main">
          <a:pPr algn="ctr"/>
          <a:endParaRPr lang="zh-TW" altLang="en-US" sz="11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0.90081</cdr:x>
      <cdr:y>0.83222</cdr:y>
    </cdr:from>
    <cdr:to>
      <cdr:x>0.95749</cdr:x>
      <cdr:y>0.89454</cdr:y>
    </cdr:to>
    <cdr:sp macro="" textlink="">
      <cdr:nvSpPr>
        <cdr:cNvPr id="4" name="文字方塊 3"/>
        <cdr:cNvSpPr txBox="1"/>
      </cdr:nvSpPr>
      <cdr:spPr>
        <a:xfrm xmlns:a="http://schemas.openxmlformats.org/drawingml/2006/main">
          <a:off x="4238626" y="2259160"/>
          <a:ext cx="266700" cy="16917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altLang="zh-TW" sz="800">
              <a:latin typeface="Times New Roman" pitchFamily="18" charset="0"/>
              <a:cs typeface="Times New Roman" pitchFamily="18" charset="0"/>
            </a:rPr>
            <a:t>%</a:t>
          </a:r>
          <a:endParaRPr lang="zh-TW" altLang="en-US" sz="800">
            <a:latin typeface="Times New Roman" pitchFamily="18" charset="0"/>
            <a:cs typeface="Times New Roman" pitchFamily="18" charset="0"/>
          </a:endParaRPr>
        </a:p>
      </cdr:txBody>
    </cdr:sp>
  </cdr:relSizeAnchor>
  <cdr:relSizeAnchor xmlns:cdr="http://schemas.openxmlformats.org/drawingml/2006/chartDrawing">
    <cdr:from>
      <cdr:x>0.10931</cdr:x>
      <cdr:y>0.9193</cdr:y>
    </cdr:from>
    <cdr:to>
      <cdr:x>0.92915</cdr:x>
      <cdr:y>0.98596</cdr:y>
    </cdr:to>
    <cdr:sp macro="" textlink="">
      <cdr:nvSpPr>
        <cdr:cNvPr id="5" name="文字方塊 1"/>
        <cdr:cNvSpPr txBox="1"/>
      </cdr:nvSpPr>
      <cdr:spPr>
        <a:xfrm xmlns:a="http://schemas.openxmlformats.org/drawingml/2006/main">
          <a:off x="514350" y="2495550"/>
          <a:ext cx="3857626" cy="18097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US" altLang="zh-TW" sz="800">
              <a:latin typeface="Times New Roman" pitchFamily="18" charset="0"/>
              <a:ea typeface="標楷體" pitchFamily="65" charset="-120"/>
              <a:cs typeface="Times New Roman" pitchFamily="18" charset="0"/>
            </a:rPr>
            <a:t>The approved inpatient medical payments were 165 billion RVU or NT$149 billion.</a:t>
          </a:r>
          <a:endParaRPr lang="zh-TW" altLang="en-US" sz="800">
            <a:latin typeface="Times New Roman" pitchFamily="18" charset="0"/>
            <a:ea typeface="標楷體" pitchFamily="65" charset="-120"/>
            <a:cs typeface="Times New Roman" pitchFamily="18" charset="0"/>
          </a:endParaRPr>
        </a:p>
      </cdr:txBody>
    </cdr:sp>
  </cdr:relSizeAnchor>
</c:userShapes>
</file>

<file path=word/drawings/drawing15.xml><?xml version="1.0" encoding="utf-8"?>
<c:userShapes xmlns:c="http://schemas.openxmlformats.org/drawingml/2006/chart">
  <cdr:relSizeAnchor xmlns:cdr="http://schemas.openxmlformats.org/drawingml/2006/chartDrawing">
    <cdr:from>
      <cdr:x>0.82394</cdr:x>
      <cdr:y>0.82471</cdr:y>
    </cdr:from>
    <cdr:to>
      <cdr:x>0.89209</cdr:x>
      <cdr:y>0.87841</cdr:y>
    </cdr:to>
    <cdr:sp macro="" textlink="">
      <cdr:nvSpPr>
        <cdr:cNvPr id="2" name="文字方塊 1"/>
        <cdr:cNvSpPr txBox="1"/>
      </cdr:nvSpPr>
      <cdr:spPr>
        <a:xfrm xmlns:a="http://schemas.openxmlformats.org/drawingml/2006/main">
          <a:off x="4520480" y="2733675"/>
          <a:ext cx="373898" cy="177998"/>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a:t>
          </a:r>
          <a:endPar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0.03195</cdr:x>
      <cdr:y>0.18173</cdr:y>
    </cdr:from>
    <cdr:to>
      <cdr:x>0.11413</cdr:x>
      <cdr:y>0.2452</cdr:y>
    </cdr:to>
    <cdr:sp macro="" textlink="">
      <cdr:nvSpPr>
        <cdr:cNvPr id="4" name="文字方塊 1"/>
        <cdr:cNvSpPr txBox="1"/>
      </cdr:nvSpPr>
      <cdr:spPr>
        <a:xfrm xmlns:a="http://schemas.openxmlformats.org/drawingml/2006/main">
          <a:off x="167701" y="541219"/>
          <a:ext cx="431304" cy="189023"/>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endParaRPr kumimoji="0" lang="zh-TW" altLang="en-US" sz="800" b="0" i="0" u="none" strike="noStrike" kern="0" cap="none" spc="0" normalizeH="0" baseline="0" noProof="0">
            <a:ln>
              <a:noFill/>
            </a:ln>
            <a:solidFill>
              <a:sysClr val="windowText" lastClr="000000"/>
            </a:solidFill>
            <a:effectLst/>
            <a:uLnTx/>
            <a:uFillTx/>
            <a:latin typeface="標楷體" pitchFamily="65" charset="-120"/>
            <a:ea typeface="標楷體" pitchFamily="65" charset="-120"/>
            <a:cs typeface="+mn-cs"/>
          </a:endParaRPr>
        </a:p>
      </cdr:txBody>
    </cdr:sp>
  </cdr:relSizeAnchor>
  <cdr:relSizeAnchor xmlns:cdr="http://schemas.openxmlformats.org/drawingml/2006/chartDrawing">
    <cdr:from>
      <cdr:x>0.10909</cdr:x>
      <cdr:y>0.01227</cdr:y>
    </cdr:from>
    <cdr:to>
      <cdr:x>0.89455</cdr:x>
      <cdr:y>0.1544</cdr:y>
    </cdr:to>
    <cdr:sp macro="" textlink="">
      <cdr:nvSpPr>
        <cdr:cNvPr id="7" name="文字方塊 2"/>
        <cdr:cNvSpPr txBox="1"/>
      </cdr:nvSpPr>
      <cdr:spPr>
        <a:xfrm xmlns:a="http://schemas.openxmlformats.org/drawingml/2006/main">
          <a:off x="571500" y="40671"/>
          <a:ext cx="4114800" cy="471119"/>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Figure 44</a:t>
          </a:r>
          <a:r>
            <a:rPr kumimoji="0" lang="zh-TW" altLang="en-US"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　</a:t>
          </a:r>
          <a:r>
            <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Detailed Outpatient Medical Expenses by Contracted Category</a:t>
          </a:r>
        </a:p>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endParaRPr kumimoji="0" lang="en-US" altLang="zh-TW" sz="6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2011</a:t>
          </a:r>
          <a:endPar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algn="ct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0.83091</cdr:x>
      <cdr:y>0.24138</cdr:y>
    </cdr:from>
    <cdr:to>
      <cdr:x>1</cdr:x>
      <cdr:y>0.79576</cdr:y>
    </cdr:to>
    <cdr:sp macro="" textlink="">
      <cdr:nvSpPr>
        <cdr:cNvPr id="6" name="文字方塊 1"/>
        <cdr:cNvSpPr txBox="1"/>
      </cdr:nvSpPr>
      <cdr:spPr>
        <a:xfrm xmlns:a="http://schemas.openxmlformats.org/drawingml/2006/main">
          <a:off x="4558705" y="693422"/>
          <a:ext cx="927695" cy="1592578"/>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r"/>
          <a:r>
            <a:rPr lang="en-US" altLang="zh-TW" sz="800" baseline="0">
              <a:latin typeface="Times New Roman" pitchFamily="18" charset="0"/>
              <a:cs typeface="Times New Roman" pitchFamily="18" charset="0"/>
            </a:rPr>
            <a:t>81 billion RVU</a:t>
          </a: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endParaRPr lang="en-US" altLang="zh-TW" sz="1100" baseline="0">
            <a:latin typeface="Times New Roman" pitchFamily="18" charset="0"/>
            <a:cs typeface="Times New Roman" pitchFamily="18" charset="0"/>
          </a:endParaRP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r>
            <a:rPr lang="en-US" altLang="zh-TW" sz="800" baseline="0">
              <a:latin typeface="Times New Roman" pitchFamily="18" charset="0"/>
              <a:cs typeface="Times New Roman" pitchFamily="18" charset="0"/>
            </a:rPr>
            <a:t>83 billion RVU</a:t>
          </a: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endParaRPr lang="en-US" altLang="zh-TW" sz="1100" baseline="0">
            <a:latin typeface="Times New Roman" pitchFamily="18" charset="0"/>
            <a:cs typeface="Times New Roman" pitchFamily="18" charset="0"/>
          </a:endParaRP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r>
            <a:rPr lang="en-US" altLang="zh-TW" sz="800" baseline="0">
              <a:latin typeface="Times New Roman" pitchFamily="18" charset="0"/>
              <a:cs typeface="Times New Roman" pitchFamily="18" charset="0"/>
            </a:rPr>
            <a:t>40 billion RVU</a:t>
          </a: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endParaRPr lang="en-US" altLang="zh-TW" sz="1100" baseline="0">
            <a:latin typeface="Times New Roman" pitchFamily="18" charset="0"/>
            <a:cs typeface="Times New Roman" pitchFamily="18" charset="0"/>
          </a:endParaRP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r>
            <a:rPr lang="en-US" altLang="zh-TW" sz="800" baseline="0">
              <a:latin typeface="Times New Roman" pitchFamily="18" charset="0"/>
              <a:cs typeface="Times New Roman" pitchFamily="18" charset="0"/>
            </a:rPr>
            <a:t>16 billion RVU</a:t>
          </a: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endParaRPr lang="en-US" altLang="zh-TW" sz="1100" baseline="0">
            <a:latin typeface="Times New Roman" pitchFamily="18" charset="0"/>
            <a:cs typeface="Times New Roman" pitchFamily="18" charset="0"/>
          </a:endParaRP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r>
            <a:rPr lang="en-US" altLang="zh-TW" sz="800" baseline="0">
              <a:latin typeface="Times New Roman" pitchFamily="18" charset="0"/>
              <a:cs typeface="Times New Roman" pitchFamily="18" charset="0"/>
            </a:rPr>
            <a:t>24 billion RVU</a:t>
          </a: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endParaRPr lang="en-US" altLang="zh-TW" sz="1100" baseline="0">
            <a:latin typeface="Times New Roman" pitchFamily="18" charset="0"/>
            <a:cs typeface="Times New Roman" pitchFamily="18" charset="0"/>
          </a:endParaRP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r>
            <a:rPr lang="en-US" altLang="zh-TW" sz="800" baseline="0">
              <a:latin typeface="Times New Roman" pitchFamily="18" charset="0"/>
              <a:cs typeface="Times New Roman" pitchFamily="18" charset="0"/>
            </a:rPr>
            <a:t>10 billion RVU</a:t>
          </a:r>
        </a:p>
      </cdr:txBody>
    </cdr:sp>
  </cdr:relSizeAnchor>
  <cdr:relSizeAnchor xmlns:cdr="http://schemas.openxmlformats.org/drawingml/2006/chartDrawing">
    <cdr:from>
      <cdr:x>0.01215</cdr:x>
      <cdr:y>0.20115</cdr:y>
    </cdr:from>
    <cdr:to>
      <cdr:x>0.17188</cdr:x>
      <cdr:y>0.82184</cdr:y>
    </cdr:to>
    <cdr:sp macro="" textlink="">
      <cdr:nvSpPr>
        <cdr:cNvPr id="8" name="文字方塊 7"/>
        <cdr:cNvSpPr txBox="1"/>
      </cdr:nvSpPr>
      <cdr:spPr>
        <a:xfrm xmlns:a="http://schemas.openxmlformats.org/drawingml/2006/main">
          <a:off x="66675" y="666750"/>
          <a:ext cx="876300" cy="20574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zh-TW" altLang="en-US" sz="800">
            <a:latin typeface="Times New Roman" pitchFamily="18" charset="0"/>
            <a:cs typeface="Times New Roman" pitchFamily="18" charset="0"/>
          </a:endParaRPr>
        </a:p>
      </cdr:txBody>
    </cdr:sp>
  </cdr:relSizeAnchor>
  <cdr:relSizeAnchor xmlns:cdr="http://schemas.openxmlformats.org/drawingml/2006/chartDrawing">
    <cdr:from>
      <cdr:x>0.00174</cdr:x>
      <cdr:y>0.22126</cdr:y>
    </cdr:from>
    <cdr:to>
      <cdr:x>0.20417</cdr:x>
      <cdr:y>0.85632</cdr:y>
    </cdr:to>
    <cdr:sp macro="" textlink="">
      <cdr:nvSpPr>
        <cdr:cNvPr id="9" name="文字方塊 8"/>
        <cdr:cNvSpPr txBox="1"/>
      </cdr:nvSpPr>
      <cdr:spPr>
        <a:xfrm xmlns:a="http://schemas.openxmlformats.org/drawingml/2006/main">
          <a:off x="9546" y="635622"/>
          <a:ext cx="1110594" cy="1824363"/>
        </a:xfrm>
        <a:prstGeom xmlns:a="http://schemas.openxmlformats.org/drawingml/2006/main" prst="rect">
          <a:avLst/>
        </a:prstGeom>
      </cdr:spPr>
      <cdr:txBody>
        <a:bodyPr xmlns:a="http://schemas.openxmlformats.org/drawingml/2006/main" vertOverflow="clip" wrap="square" rIns="54000" rtlCol="0"/>
        <a:lstStyle xmlns:a="http://schemas.openxmlformats.org/drawingml/2006/main"/>
        <a:p xmlns:a="http://schemas.openxmlformats.org/drawingml/2006/main">
          <a:pPr algn="r"/>
          <a:r>
            <a:rPr lang="en-US" altLang="zh-TW" sz="800">
              <a:latin typeface="Times New Roman" pitchFamily="18" charset="0"/>
              <a:cs typeface="Times New Roman" pitchFamily="18" charset="0"/>
            </a:rPr>
            <a:t>Academic Medical</a:t>
          </a:r>
          <a:r>
            <a:rPr lang="en-US" altLang="zh-TW" sz="800" baseline="0">
              <a:latin typeface="Times New Roman" pitchFamily="18" charset="0"/>
              <a:cs typeface="Times New Roman" pitchFamily="18" charset="0"/>
            </a:rPr>
            <a:t> Centers</a:t>
          </a:r>
        </a:p>
        <a:p xmlns:a="http://schemas.openxmlformats.org/drawingml/2006/main">
          <a:pPr algn="r"/>
          <a:endParaRPr lang="en-US" altLang="zh-TW" sz="600" baseline="0">
            <a:latin typeface="Times New Roman" pitchFamily="18" charset="0"/>
            <a:cs typeface="Times New Roman" pitchFamily="18" charset="0"/>
          </a:endParaRPr>
        </a:p>
        <a:p xmlns:a="http://schemas.openxmlformats.org/drawingml/2006/main">
          <a:pPr algn="r"/>
          <a:r>
            <a:rPr lang="en-US" altLang="zh-TW" sz="800" baseline="0">
              <a:latin typeface="Times New Roman" pitchFamily="18" charset="0"/>
              <a:cs typeface="Times New Roman" pitchFamily="18" charset="0"/>
            </a:rPr>
            <a:t>Metropolitan Hospitals</a:t>
          </a:r>
        </a:p>
        <a:p xmlns:a="http://schemas.openxmlformats.org/drawingml/2006/main">
          <a:pPr algn="r"/>
          <a:endParaRPr lang="en-US" altLang="zh-TW" sz="800" baseline="0">
            <a:latin typeface="Times New Roman" pitchFamily="18" charset="0"/>
            <a:cs typeface="Times New Roman" pitchFamily="18" charset="0"/>
          </a:endParaRPr>
        </a:p>
        <a:p xmlns:a="http://schemas.openxmlformats.org/drawingml/2006/main">
          <a:pPr algn="r"/>
          <a:r>
            <a:rPr lang="en-US" altLang="zh-TW" sz="800" baseline="0">
              <a:latin typeface="Times New Roman" pitchFamily="18" charset="0"/>
              <a:cs typeface="Times New Roman" pitchFamily="18" charset="0"/>
            </a:rPr>
            <a:t>Local Community Hospitals</a:t>
          </a:r>
        </a:p>
        <a:p xmlns:a="http://schemas.openxmlformats.org/drawingml/2006/main">
          <a:pPr algn="r"/>
          <a:endParaRPr lang="en-US" altLang="zh-TW" sz="800" baseline="0">
            <a:latin typeface="Times New Roman" pitchFamily="18" charset="0"/>
            <a:cs typeface="Times New Roman" pitchFamily="18" charset="0"/>
          </a:endParaRPr>
        </a:p>
        <a:p xmlns:a="http://schemas.openxmlformats.org/drawingml/2006/main">
          <a:pPr algn="r"/>
          <a:r>
            <a:rPr lang="en-US" altLang="zh-TW" sz="800" baseline="0">
              <a:latin typeface="Times New Roman" pitchFamily="18" charset="0"/>
              <a:cs typeface="Times New Roman" pitchFamily="18" charset="0"/>
            </a:rPr>
            <a:t>Physician Clinics</a:t>
          </a:r>
        </a:p>
        <a:p xmlns:a="http://schemas.openxmlformats.org/drawingml/2006/main">
          <a:pPr algn="r"/>
          <a:endParaRPr lang="en-US" altLang="zh-TW" sz="900" baseline="0">
            <a:latin typeface="Times New Roman" pitchFamily="18" charset="0"/>
            <a:cs typeface="Times New Roman" pitchFamily="18" charset="0"/>
          </a:endParaRPr>
        </a:p>
        <a:p xmlns:a="http://schemas.openxmlformats.org/drawingml/2006/main">
          <a:pPr algn="r"/>
          <a:r>
            <a:rPr lang="en-US" altLang="zh-TW" sz="800" baseline="0">
              <a:latin typeface="Times New Roman" pitchFamily="18" charset="0"/>
              <a:cs typeface="Times New Roman" pitchFamily="18" charset="0"/>
            </a:rPr>
            <a:t>Pharmacies</a:t>
          </a:r>
        </a:p>
        <a:p xmlns:a="http://schemas.openxmlformats.org/drawingml/2006/main">
          <a:pPr algn="r"/>
          <a:endParaRPr lang="en-US" altLang="zh-TW" sz="1000" baseline="0">
            <a:latin typeface="Times New Roman" pitchFamily="18" charset="0"/>
            <a:cs typeface="Times New Roman" pitchFamily="18" charset="0"/>
          </a:endParaRPr>
        </a:p>
        <a:p xmlns:a="http://schemas.openxmlformats.org/drawingml/2006/main">
          <a:pPr algn="r"/>
          <a:r>
            <a:rPr lang="en-US" altLang="zh-TW" sz="800" baseline="0">
              <a:latin typeface="Times New Roman" pitchFamily="18" charset="0"/>
              <a:cs typeface="Times New Roman" pitchFamily="18" charset="0"/>
            </a:rPr>
            <a:t>Other Medical Institutions</a:t>
          </a:r>
          <a:endParaRPr lang="zh-TW" altLang="en-US" sz="800">
            <a:latin typeface="Times New Roman" pitchFamily="18" charset="0"/>
            <a:cs typeface="Times New Roman" pitchFamily="18" charset="0"/>
          </a:endParaRPr>
        </a:p>
      </cdr:txBody>
    </cdr:sp>
  </cdr:relSizeAnchor>
</c:userShapes>
</file>

<file path=word/drawings/drawing16.xml><?xml version="1.0" encoding="utf-8"?>
<c:userShapes xmlns:c="http://schemas.openxmlformats.org/drawingml/2006/chart">
  <cdr:relSizeAnchor xmlns:cdr="http://schemas.openxmlformats.org/drawingml/2006/chartDrawing">
    <cdr:from>
      <cdr:x>0.80561</cdr:x>
      <cdr:y>0.83553</cdr:y>
    </cdr:from>
    <cdr:to>
      <cdr:x>0.87376</cdr:x>
      <cdr:y>0.8867</cdr:y>
    </cdr:to>
    <cdr:sp macro="" textlink="">
      <cdr:nvSpPr>
        <cdr:cNvPr id="2" name="文字方塊 1"/>
        <cdr:cNvSpPr txBox="1"/>
      </cdr:nvSpPr>
      <cdr:spPr>
        <a:xfrm xmlns:a="http://schemas.openxmlformats.org/drawingml/2006/main">
          <a:off x="4304780" y="2618324"/>
          <a:ext cx="364162" cy="160353"/>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a:t>
          </a:r>
          <a:endPar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0.02969</cdr:x>
      <cdr:y>0</cdr:y>
    </cdr:from>
    <cdr:to>
      <cdr:x>0.96878</cdr:x>
      <cdr:y>0.14213</cdr:y>
    </cdr:to>
    <cdr:sp macro="" textlink="">
      <cdr:nvSpPr>
        <cdr:cNvPr id="7" name="文字方塊 2"/>
        <cdr:cNvSpPr txBox="1"/>
      </cdr:nvSpPr>
      <cdr:spPr>
        <a:xfrm xmlns:a="http://schemas.openxmlformats.org/drawingml/2006/main">
          <a:off x="158593" y="0"/>
          <a:ext cx="5016262" cy="398555"/>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Figure 45</a:t>
          </a:r>
          <a:r>
            <a:rPr kumimoji="0" lang="zh-TW" altLang="en-US"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　</a:t>
          </a:r>
          <a:r>
            <a:rPr kumimoji="0" lang="de-DE"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Detailed Outpatient Medical Expenses by Global Budget Payment System</a:t>
          </a:r>
          <a:endPar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endParaRPr kumimoji="0" lang="en-US" altLang="zh-TW" sz="6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2011</a:t>
          </a:r>
          <a:endPar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algn="ct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0.83422</cdr:x>
      <cdr:y>0.231</cdr:y>
    </cdr:from>
    <cdr:to>
      <cdr:x>1</cdr:x>
      <cdr:y>0.83891</cdr:y>
    </cdr:to>
    <cdr:sp macro="" textlink="">
      <cdr:nvSpPr>
        <cdr:cNvPr id="5" name="文字方塊 4"/>
        <cdr:cNvSpPr txBox="1"/>
      </cdr:nvSpPr>
      <cdr:spPr>
        <a:xfrm xmlns:a="http://schemas.openxmlformats.org/drawingml/2006/main">
          <a:off x="4457702" y="723898"/>
          <a:ext cx="885823" cy="1905002"/>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r"/>
          <a:r>
            <a:rPr lang="en-US" altLang="zh-TW" sz="800">
              <a:latin typeface="Times New Roman" pitchFamily="18" charset="0"/>
              <a:cs typeface="Times New Roman" pitchFamily="18" charset="0"/>
            </a:rPr>
            <a:t>183</a:t>
          </a:r>
          <a:r>
            <a:rPr lang="en-US" altLang="zh-TW" sz="800" baseline="0">
              <a:latin typeface="Times New Roman" pitchFamily="18" charset="0"/>
              <a:cs typeface="Times New Roman" pitchFamily="18" charset="0"/>
            </a:rPr>
            <a:t> billion RVU</a:t>
          </a: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endParaRPr lang="en-US" altLang="zh-TW" sz="800" baseline="0">
            <a:latin typeface="Times New Roman" pitchFamily="18" charset="0"/>
            <a:cs typeface="Times New Roman" pitchFamily="18" charset="0"/>
          </a:endParaRP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r>
            <a:rPr lang="en-US" altLang="zh-TW" sz="800" baseline="0">
              <a:latin typeface="Times New Roman" pitchFamily="18" charset="0"/>
              <a:cs typeface="Times New Roman" pitchFamily="18" charset="0"/>
            </a:rPr>
            <a:t>98 billion RVU</a:t>
          </a: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endParaRPr lang="en-US" altLang="zh-TW" sz="800" baseline="0">
            <a:latin typeface="Times New Roman" pitchFamily="18" charset="0"/>
            <a:cs typeface="Times New Roman" pitchFamily="18" charset="0"/>
          </a:endParaRP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r>
            <a:rPr lang="en-US" altLang="zh-TW" sz="800" baseline="0">
              <a:latin typeface="Times New Roman" pitchFamily="18" charset="0"/>
              <a:cs typeface="Times New Roman" pitchFamily="18" charset="0"/>
            </a:rPr>
            <a:t>20 billion RVU</a:t>
          </a: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endParaRPr lang="en-US" altLang="zh-TW" sz="800" baseline="0">
            <a:latin typeface="Times New Roman" pitchFamily="18" charset="0"/>
            <a:cs typeface="Times New Roman" pitchFamily="18" charset="0"/>
          </a:endParaRP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r>
            <a:rPr lang="en-US" altLang="zh-TW" sz="800" baseline="0">
              <a:latin typeface="Times New Roman" pitchFamily="18" charset="0"/>
              <a:cs typeface="Times New Roman" pitchFamily="18" charset="0"/>
            </a:rPr>
            <a:t>36 billion RVU</a:t>
          </a: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endParaRPr lang="en-US" altLang="zh-TW" sz="800" baseline="0">
            <a:latin typeface="Times New Roman" pitchFamily="18" charset="0"/>
            <a:cs typeface="Times New Roman" pitchFamily="18" charset="0"/>
          </a:endParaRP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r>
            <a:rPr lang="en-US" altLang="zh-TW" sz="800" baseline="0">
              <a:latin typeface="Times New Roman" pitchFamily="18" charset="0"/>
              <a:cs typeface="Times New Roman" pitchFamily="18" charset="0"/>
            </a:rPr>
            <a:t>37 billion RVU</a:t>
          </a: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endParaRPr lang="en-US" altLang="zh-TW" sz="800" baseline="0">
            <a:latin typeface="Times New Roman" pitchFamily="18" charset="0"/>
            <a:cs typeface="Times New Roman" pitchFamily="18" charset="0"/>
          </a:endParaRP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r>
            <a:rPr lang="en-US" altLang="zh-TW" sz="800" baseline="0">
              <a:latin typeface="Times New Roman" pitchFamily="18" charset="0"/>
              <a:cs typeface="Times New Roman" pitchFamily="18" charset="0"/>
            </a:rPr>
            <a:t>8 billion RVU</a:t>
          </a: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endParaRPr lang="en-US" altLang="zh-TW" sz="1000" baseline="0">
            <a:latin typeface="Times New Roman" pitchFamily="18" charset="0"/>
            <a:cs typeface="Times New Roman" pitchFamily="18" charset="0"/>
          </a:endParaRP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r>
            <a:rPr lang="en-US" altLang="zh-TW" sz="800" baseline="0">
              <a:latin typeface="Times New Roman" pitchFamily="18" charset="0"/>
              <a:cs typeface="Times New Roman" pitchFamily="18" charset="0"/>
            </a:rPr>
            <a:t>3 billion RVU</a:t>
          </a:r>
          <a:endParaRPr lang="zh-TW" altLang="en-US" sz="800">
            <a:latin typeface="Times New Roman" pitchFamily="18" charset="0"/>
            <a:cs typeface="Times New Roman" pitchFamily="18" charset="0"/>
          </a:endParaRPr>
        </a:p>
      </cdr:txBody>
    </cdr:sp>
  </cdr:relSizeAnchor>
  <cdr:relSizeAnchor xmlns:cdr="http://schemas.openxmlformats.org/drawingml/2006/chartDrawing">
    <cdr:from>
      <cdr:x>0.00357</cdr:x>
      <cdr:y>0.23136</cdr:y>
    </cdr:from>
    <cdr:to>
      <cdr:x>0.16399</cdr:x>
      <cdr:y>0.81763</cdr:y>
    </cdr:to>
    <cdr:sp macro="" textlink="">
      <cdr:nvSpPr>
        <cdr:cNvPr id="6" name="文字方塊 5"/>
        <cdr:cNvSpPr txBox="1"/>
      </cdr:nvSpPr>
      <cdr:spPr>
        <a:xfrm xmlns:a="http://schemas.openxmlformats.org/drawingml/2006/main">
          <a:off x="19070" y="685800"/>
          <a:ext cx="856902" cy="1737802"/>
        </a:xfrm>
        <a:prstGeom xmlns:a="http://schemas.openxmlformats.org/drawingml/2006/main" prst="rect">
          <a:avLst/>
        </a:prstGeom>
      </cdr:spPr>
      <cdr:txBody>
        <a:bodyPr xmlns:a="http://schemas.openxmlformats.org/drawingml/2006/main" vertOverflow="clip" wrap="square" lIns="0" rIns="0" rtlCol="0"/>
        <a:lstStyle xmlns:a="http://schemas.openxmlformats.org/drawingml/2006/main"/>
        <a:p xmlns:a="http://schemas.openxmlformats.org/drawingml/2006/main">
          <a:pPr algn="r"/>
          <a:r>
            <a:rPr lang="en-US" altLang="zh-TW" sz="800">
              <a:latin typeface="Times New Roman" pitchFamily="18" charset="0"/>
              <a:cs typeface="Times New Roman" pitchFamily="18" charset="0"/>
            </a:rPr>
            <a:t>Hospitals</a:t>
          </a:r>
        </a:p>
        <a:p xmlns:a="http://schemas.openxmlformats.org/drawingml/2006/main">
          <a:pPr algn="r"/>
          <a:endParaRPr lang="en-US" altLang="zh-TW" sz="800">
            <a:latin typeface="Times New Roman" pitchFamily="18" charset="0"/>
            <a:cs typeface="Times New Roman" pitchFamily="18" charset="0"/>
          </a:endParaRPr>
        </a:p>
        <a:p xmlns:a="http://schemas.openxmlformats.org/drawingml/2006/main">
          <a:pPr algn="r"/>
          <a:r>
            <a:rPr lang="en-US" altLang="zh-TW" sz="800">
              <a:latin typeface="Times New Roman" pitchFamily="18" charset="0"/>
              <a:cs typeface="Times New Roman" pitchFamily="18" charset="0"/>
            </a:rPr>
            <a:t>Physician Clinics</a:t>
          </a:r>
        </a:p>
        <a:p xmlns:a="http://schemas.openxmlformats.org/drawingml/2006/main">
          <a:pPr algn="r"/>
          <a:endParaRPr lang="en-US" altLang="zh-TW" sz="800">
            <a:latin typeface="Times New Roman" pitchFamily="18" charset="0"/>
            <a:cs typeface="Times New Roman" pitchFamily="18" charset="0"/>
          </a:endParaRPr>
        </a:p>
        <a:p xmlns:a="http://schemas.openxmlformats.org/drawingml/2006/main">
          <a:pPr algn="r"/>
          <a:r>
            <a:rPr lang="en-US" altLang="zh-TW" sz="800">
              <a:latin typeface="Times New Roman" pitchFamily="18" charset="0"/>
              <a:cs typeface="Times New Roman" pitchFamily="18" charset="0"/>
            </a:rPr>
            <a:t>Chinese Medicine</a:t>
          </a:r>
        </a:p>
        <a:p xmlns:a="http://schemas.openxmlformats.org/drawingml/2006/main">
          <a:pPr algn="r"/>
          <a:endParaRPr lang="en-US" altLang="zh-TW" sz="800">
            <a:latin typeface="Times New Roman" pitchFamily="18" charset="0"/>
            <a:cs typeface="Times New Roman" pitchFamily="18" charset="0"/>
          </a:endParaRPr>
        </a:p>
        <a:p xmlns:a="http://schemas.openxmlformats.org/drawingml/2006/main">
          <a:pPr algn="r"/>
          <a:r>
            <a:rPr lang="en-US" altLang="zh-TW" sz="800">
              <a:latin typeface="Times New Roman" pitchFamily="18" charset="0"/>
              <a:cs typeface="Times New Roman" pitchFamily="18" charset="0"/>
            </a:rPr>
            <a:t>Dentistry</a:t>
          </a:r>
        </a:p>
        <a:p xmlns:a="http://schemas.openxmlformats.org/drawingml/2006/main">
          <a:pPr algn="r"/>
          <a:endParaRPr lang="en-US" altLang="zh-TW" sz="800">
            <a:latin typeface="Times New Roman" pitchFamily="18" charset="0"/>
            <a:cs typeface="Times New Roman" pitchFamily="18" charset="0"/>
          </a:endParaRPr>
        </a:p>
        <a:p xmlns:a="http://schemas.openxmlformats.org/drawingml/2006/main">
          <a:pPr algn="r"/>
          <a:r>
            <a:rPr lang="en-US" altLang="zh-TW" sz="800">
              <a:latin typeface="Times New Roman" pitchFamily="18" charset="0"/>
              <a:cs typeface="Times New Roman" pitchFamily="18" charset="0"/>
            </a:rPr>
            <a:t>Dialysis</a:t>
          </a:r>
        </a:p>
        <a:p xmlns:a="http://schemas.openxmlformats.org/drawingml/2006/main">
          <a:pPr algn="r"/>
          <a:endParaRPr lang="en-US" altLang="zh-TW" sz="800">
            <a:latin typeface="Times New Roman" pitchFamily="18" charset="0"/>
            <a:cs typeface="Times New Roman" pitchFamily="18" charset="0"/>
          </a:endParaRPr>
        </a:p>
        <a:p xmlns:a="http://schemas.openxmlformats.org/drawingml/2006/main">
          <a:pPr algn="r"/>
          <a:r>
            <a:rPr lang="en-US" altLang="zh-TW" sz="800">
              <a:latin typeface="Times New Roman" pitchFamily="18" charset="0"/>
              <a:cs typeface="Times New Roman" pitchFamily="18" charset="0"/>
            </a:rPr>
            <a:t>Commission</a:t>
          </a:r>
          <a:r>
            <a:rPr lang="en-US" altLang="zh-TW" sz="800" baseline="0">
              <a:latin typeface="Times New Roman" pitchFamily="18" charset="0"/>
              <a:cs typeface="Times New Roman" pitchFamily="18" charset="0"/>
            </a:rPr>
            <a:t> Cases</a:t>
          </a:r>
        </a:p>
        <a:p xmlns:a="http://schemas.openxmlformats.org/drawingml/2006/main">
          <a:pPr algn="r"/>
          <a:endParaRPr lang="en-US" altLang="zh-TW" sz="900" baseline="0">
            <a:latin typeface="Times New Roman" pitchFamily="18" charset="0"/>
            <a:cs typeface="Times New Roman" pitchFamily="18" charset="0"/>
          </a:endParaRPr>
        </a:p>
        <a:p xmlns:a="http://schemas.openxmlformats.org/drawingml/2006/main">
          <a:pPr algn="r"/>
          <a:r>
            <a:rPr lang="en-US" altLang="zh-TW" sz="800" baseline="0">
              <a:latin typeface="Times New Roman" pitchFamily="18" charset="0"/>
              <a:cs typeface="Times New Roman" pitchFamily="18" charset="0"/>
            </a:rPr>
            <a:t>Others</a:t>
          </a:r>
          <a:endParaRPr lang="zh-TW" altLang="en-US" sz="800">
            <a:latin typeface="Times New Roman" pitchFamily="18" charset="0"/>
            <a:cs typeface="Times New Roman" pitchFamily="18" charset="0"/>
          </a:endParaRPr>
        </a:p>
      </cdr:txBody>
    </cdr:sp>
  </cdr:relSizeAnchor>
</c:userShapes>
</file>

<file path=word/drawings/drawing17.xml><?xml version="1.0" encoding="utf-8"?>
<c:userShapes xmlns:c="http://schemas.openxmlformats.org/drawingml/2006/chart">
  <cdr:relSizeAnchor xmlns:cdr="http://schemas.openxmlformats.org/drawingml/2006/chartDrawing">
    <cdr:from>
      <cdr:x>0</cdr:x>
      <cdr:y>0.10325</cdr:y>
    </cdr:from>
    <cdr:to>
      <cdr:x>0</cdr:x>
      <cdr:y>0.10325</cdr:y>
    </cdr:to>
    <cdr:sp macro="" textlink="">
      <cdr:nvSpPr>
        <cdr:cNvPr id="2" name="文字方塊 1"/>
        <cdr:cNvSpPr txBox="1"/>
      </cdr:nvSpPr>
      <cdr:spPr>
        <a:xfrm xmlns:a="http://schemas.openxmlformats.org/drawingml/2006/main">
          <a:off x="0" y="387871"/>
          <a:ext cx="988575" cy="155054"/>
        </a:xfrm>
        <a:prstGeom xmlns:a="http://schemas.openxmlformats.org/drawingml/2006/main" prst="rect">
          <a:avLst/>
        </a:prstGeom>
      </cdr:spPr>
      <cdr:txBody>
        <a:bodyPr xmlns:a="http://schemas.openxmlformats.org/drawingml/2006/main" wrap="square" lIns="0" tIns="0" rIns="0" bIns="0" rtlCol="0"/>
        <a:lstStyle xmlns:a="http://schemas.openxmlformats.org/drawingml/2006/main"/>
        <a:p xmlns:a="http://schemas.openxmlformats.org/drawingml/2006/main">
          <a:r>
            <a:rPr lang="en-US" altLang="zh-TW" sz="800">
              <a:latin typeface="Times New Roman" pitchFamily="18" charset="0"/>
              <a:ea typeface="標楷體" pitchFamily="65" charset="-120"/>
              <a:cs typeface="Times New Roman" pitchFamily="18" charset="0"/>
            </a:rPr>
            <a:t>100 Million RVU</a:t>
          </a:r>
        </a:p>
        <a:p xmlns:a="http://schemas.openxmlformats.org/drawingml/2006/main">
          <a:endParaRPr lang="en-US" altLang="zh-TW"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0.13347</cdr:x>
      <cdr:y>0.02431</cdr:y>
    </cdr:from>
    <cdr:to>
      <cdr:x>0.90554</cdr:x>
      <cdr:y>0.14583</cdr:y>
    </cdr:to>
    <cdr:sp macro="" textlink="">
      <cdr:nvSpPr>
        <cdr:cNvPr id="3" name="文字方塊 2"/>
        <cdr:cNvSpPr txBox="1"/>
      </cdr:nvSpPr>
      <cdr:spPr>
        <a:xfrm xmlns:a="http://schemas.openxmlformats.org/drawingml/2006/main">
          <a:off x="619125" y="75486"/>
          <a:ext cx="3581399" cy="377338"/>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Figure 46</a:t>
          </a:r>
          <a:r>
            <a:rPr kumimoji="0" lang="zh-TW" altLang="en-US"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　</a:t>
          </a:r>
          <a:r>
            <a:rPr kumimoji="0" lang="de-DE"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Detailed Outpatient Medical Expenses by Gender</a:t>
          </a:r>
          <a:endPar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endPar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2011</a:t>
          </a:r>
        </a:p>
        <a:p xmlns:a="http://schemas.openxmlformats.org/drawingml/2006/main">
          <a:pPr algn="ctr"/>
          <a:endParaRPr lang="en-US" altLang="zh-TW" sz="1000">
            <a:latin typeface="Times New Roman" pitchFamily="18" charset="0"/>
            <a:ea typeface="標楷體" pitchFamily="65" charset="-120"/>
            <a:cs typeface="Times New Roman" pitchFamily="18" charset="0"/>
          </a:endParaRPr>
        </a:p>
        <a:p xmlns:a="http://schemas.openxmlformats.org/drawingml/2006/main">
          <a:pPr algn="ctr"/>
          <a:endParaRPr lang="zh-TW" altLang="en-US" sz="10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cdr:x>
      <cdr:y>0.0895</cdr:y>
    </cdr:from>
    <cdr:to>
      <cdr:x>0</cdr:x>
      <cdr:y>0.0895</cdr:y>
    </cdr:to>
    <cdr:sp macro="" textlink="">
      <cdr:nvSpPr>
        <cdr:cNvPr id="4" name="文字方塊 3"/>
        <cdr:cNvSpPr txBox="1"/>
      </cdr:nvSpPr>
      <cdr:spPr>
        <a:xfrm xmlns:a="http://schemas.openxmlformats.org/drawingml/2006/main">
          <a:off x="0" y="342901"/>
          <a:ext cx="1038224" cy="17145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en-US" altLang="zh-TW" sz="800">
              <a:latin typeface="Times New Roman" pitchFamily="18" charset="0"/>
              <a:cs typeface="Times New Roman" pitchFamily="18" charset="0"/>
            </a:rPr>
            <a:t>100 Million RVU</a:t>
          </a:r>
          <a:endParaRPr lang="zh-TW" altLang="en-US" sz="800">
            <a:latin typeface="Times New Roman" pitchFamily="18" charset="0"/>
            <a:cs typeface="Times New Roman" pitchFamily="18" charset="0"/>
          </a:endParaRPr>
        </a:p>
      </cdr:txBody>
    </cdr:sp>
  </cdr:relSizeAnchor>
  <cdr:relSizeAnchor xmlns:cdr="http://schemas.openxmlformats.org/drawingml/2006/chartDrawing">
    <cdr:from>
      <cdr:x>0.02326</cdr:x>
      <cdr:y>0.14417</cdr:y>
    </cdr:from>
    <cdr:to>
      <cdr:x>0.17248</cdr:x>
      <cdr:y>0.19632</cdr:y>
    </cdr:to>
    <cdr:sp macro="" textlink="">
      <cdr:nvSpPr>
        <cdr:cNvPr id="7" name="文字方塊 6"/>
        <cdr:cNvSpPr txBox="1"/>
      </cdr:nvSpPr>
      <cdr:spPr>
        <a:xfrm xmlns:a="http://schemas.openxmlformats.org/drawingml/2006/main">
          <a:off x="114300" y="447669"/>
          <a:ext cx="733425" cy="16193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altLang="zh-TW" sz="800">
              <a:latin typeface="Times New Roman" pitchFamily="18" charset="0"/>
              <a:ea typeface="標楷體" pitchFamily="65" charset="-120"/>
              <a:cs typeface="Times New Roman" pitchFamily="18" charset="0"/>
            </a:rPr>
            <a:t>Billion RVU</a:t>
          </a:r>
          <a:endParaRPr lang="zh-TW" altLang="en-US" sz="800">
            <a:latin typeface="Times New Roman" pitchFamily="18" charset="0"/>
            <a:ea typeface="標楷體" pitchFamily="65" charset="-120"/>
            <a:cs typeface="Times New Roman" pitchFamily="18" charset="0"/>
          </a:endParaRPr>
        </a:p>
      </cdr:txBody>
    </cdr:sp>
  </cdr:relSizeAnchor>
</c:userShapes>
</file>

<file path=word/drawings/drawing18.xml><?xml version="1.0" encoding="utf-8"?>
<c:userShapes xmlns:c="http://schemas.openxmlformats.org/drawingml/2006/chart">
  <cdr:relSizeAnchor xmlns:cdr="http://schemas.openxmlformats.org/drawingml/2006/chartDrawing">
    <cdr:from>
      <cdr:x>0.80407</cdr:x>
      <cdr:y>0.84161</cdr:y>
    </cdr:from>
    <cdr:to>
      <cdr:x>0.87222</cdr:x>
      <cdr:y>0.89278</cdr:y>
    </cdr:to>
    <cdr:sp macro="" textlink="">
      <cdr:nvSpPr>
        <cdr:cNvPr id="2" name="文字方塊 1"/>
        <cdr:cNvSpPr txBox="1"/>
      </cdr:nvSpPr>
      <cdr:spPr>
        <a:xfrm xmlns:a="http://schemas.openxmlformats.org/drawingml/2006/main">
          <a:off x="4126704" y="2637374"/>
          <a:ext cx="349766" cy="160353"/>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a:t>
          </a:r>
          <a:endPar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0.03195</cdr:x>
      <cdr:y>0.18173</cdr:y>
    </cdr:from>
    <cdr:to>
      <cdr:x>0.11413</cdr:x>
      <cdr:y>0.2452</cdr:y>
    </cdr:to>
    <cdr:sp macro="" textlink="">
      <cdr:nvSpPr>
        <cdr:cNvPr id="4" name="文字方塊 1"/>
        <cdr:cNvSpPr txBox="1"/>
      </cdr:nvSpPr>
      <cdr:spPr>
        <a:xfrm xmlns:a="http://schemas.openxmlformats.org/drawingml/2006/main">
          <a:off x="167701" y="541219"/>
          <a:ext cx="431304" cy="189023"/>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endParaRPr kumimoji="0" lang="zh-TW" altLang="en-US" sz="800" b="0" i="0" u="none" strike="noStrike" kern="0" cap="none" spc="0" normalizeH="0" baseline="0" noProof="0">
            <a:ln>
              <a:noFill/>
            </a:ln>
            <a:solidFill>
              <a:sysClr val="windowText" lastClr="000000"/>
            </a:solidFill>
            <a:effectLst/>
            <a:uLnTx/>
            <a:uFillTx/>
            <a:latin typeface="標楷體" pitchFamily="65" charset="-120"/>
            <a:ea typeface="標楷體" pitchFamily="65" charset="-120"/>
            <a:cs typeface="+mn-cs"/>
          </a:endParaRPr>
        </a:p>
      </cdr:txBody>
    </cdr:sp>
  </cdr:relSizeAnchor>
  <cdr:relSizeAnchor xmlns:cdr="http://schemas.openxmlformats.org/drawingml/2006/chartDrawing">
    <cdr:from>
      <cdr:x>0.0631</cdr:x>
      <cdr:y>0.01227</cdr:y>
    </cdr:from>
    <cdr:to>
      <cdr:x>0.86207</cdr:x>
      <cdr:y>0.1544</cdr:y>
    </cdr:to>
    <cdr:sp macro="" textlink="">
      <cdr:nvSpPr>
        <cdr:cNvPr id="7" name="文字方塊 2"/>
        <cdr:cNvSpPr txBox="1"/>
      </cdr:nvSpPr>
      <cdr:spPr>
        <a:xfrm xmlns:a="http://schemas.openxmlformats.org/drawingml/2006/main">
          <a:off x="323850" y="38451"/>
          <a:ext cx="4100547" cy="445396"/>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Figure 47</a:t>
          </a:r>
          <a:r>
            <a:rPr kumimoji="0" lang="zh-TW" altLang="en-US"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　</a:t>
          </a:r>
          <a:r>
            <a:rPr kumimoji="0" lang="de-DE"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Detailed Outpatient Medical Expenses by Age</a:t>
          </a:r>
          <a:endPar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endParaRPr kumimoji="0" lang="en-US" altLang="zh-TW" sz="6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2011</a:t>
          </a:r>
          <a:endPar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algn="ct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0.03195</cdr:x>
      <cdr:y>0.18173</cdr:y>
    </cdr:from>
    <cdr:to>
      <cdr:x>0.11413</cdr:x>
      <cdr:y>0.2452</cdr:y>
    </cdr:to>
    <cdr:sp macro="" textlink="">
      <cdr:nvSpPr>
        <cdr:cNvPr id="8" name="文字方塊 1"/>
        <cdr:cNvSpPr txBox="1"/>
      </cdr:nvSpPr>
      <cdr:spPr>
        <a:xfrm xmlns:a="http://schemas.openxmlformats.org/drawingml/2006/main">
          <a:off x="167701" y="541219"/>
          <a:ext cx="431304" cy="189023"/>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endParaRPr kumimoji="0" lang="zh-TW" altLang="en-US" sz="800" b="0" i="0" u="none" strike="noStrike" kern="0" cap="none" spc="0" normalizeH="0" baseline="0" noProof="0">
            <a:ln>
              <a:noFill/>
            </a:ln>
            <a:solidFill>
              <a:sysClr val="windowText" lastClr="000000"/>
            </a:solidFill>
            <a:effectLst/>
            <a:uLnTx/>
            <a:uFillTx/>
            <a:latin typeface="標楷體" pitchFamily="65" charset="-120"/>
            <a:ea typeface="標楷體" pitchFamily="65" charset="-120"/>
            <a:cs typeface="+mn-cs"/>
          </a:endParaRPr>
        </a:p>
      </cdr:txBody>
    </cdr:sp>
  </cdr:relSizeAnchor>
  <cdr:relSizeAnchor xmlns:cdr="http://schemas.openxmlformats.org/drawingml/2006/chartDrawing">
    <cdr:from>
      <cdr:x>0.81924</cdr:x>
      <cdr:y>0.24789</cdr:y>
    </cdr:from>
    <cdr:to>
      <cdr:x>1</cdr:x>
      <cdr:y>0.81459</cdr:y>
    </cdr:to>
    <cdr:sp macro="" textlink="">
      <cdr:nvSpPr>
        <cdr:cNvPr id="9" name="文字方塊 1"/>
        <cdr:cNvSpPr txBox="1"/>
      </cdr:nvSpPr>
      <cdr:spPr>
        <a:xfrm xmlns:a="http://schemas.openxmlformats.org/drawingml/2006/main">
          <a:off x="4207518" y="670560"/>
          <a:ext cx="928362" cy="1532987"/>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r"/>
          <a:r>
            <a:rPr lang="en-US" altLang="zh-TW" sz="800" baseline="0">
              <a:latin typeface="Times New Roman" pitchFamily="18" charset="0"/>
              <a:cs typeface="Times New Roman" pitchFamily="18" charset="0"/>
            </a:rPr>
            <a:t>110 billion RVU</a:t>
          </a: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endParaRPr lang="en-US" altLang="zh-TW" sz="1400" baseline="0">
            <a:latin typeface="Times New Roman" pitchFamily="18" charset="0"/>
            <a:cs typeface="Times New Roman" pitchFamily="18" charset="0"/>
          </a:endParaRP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r>
            <a:rPr lang="en-US" altLang="zh-TW" sz="800" baseline="0">
              <a:latin typeface="Times New Roman" pitchFamily="18" charset="0"/>
              <a:cs typeface="Times New Roman" pitchFamily="18" charset="0"/>
            </a:rPr>
            <a:t>138 billion RVU</a:t>
          </a: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endParaRPr lang="en-US" altLang="zh-TW" sz="1400" baseline="0">
            <a:latin typeface="Times New Roman" pitchFamily="18" charset="0"/>
            <a:cs typeface="Times New Roman" pitchFamily="18" charset="0"/>
          </a:endParaRP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r>
            <a:rPr lang="en-US" altLang="zh-TW" sz="800" baseline="0">
              <a:latin typeface="Times New Roman" pitchFamily="18" charset="0"/>
              <a:cs typeface="Times New Roman" pitchFamily="18" charset="0"/>
            </a:rPr>
            <a:t>63 billion RVU</a:t>
          </a: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endParaRPr lang="en-US" altLang="zh-TW" sz="1400" baseline="0">
            <a:latin typeface="Times New Roman" pitchFamily="18" charset="0"/>
            <a:cs typeface="Times New Roman" pitchFamily="18" charset="0"/>
          </a:endParaRP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r>
            <a:rPr lang="en-US" altLang="zh-TW" sz="800" baseline="0">
              <a:latin typeface="Times New Roman" pitchFamily="18" charset="0"/>
              <a:cs typeface="Times New Roman" pitchFamily="18" charset="0"/>
            </a:rPr>
            <a:t>39 billion RVU</a:t>
          </a: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endParaRPr lang="en-US" altLang="zh-TW" sz="1400" baseline="0">
            <a:latin typeface="Times New Roman" pitchFamily="18" charset="0"/>
            <a:cs typeface="Times New Roman" pitchFamily="18" charset="0"/>
          </a:endParaRP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r>
            <a:rPr lang="en-US" altLang="zh-TW" sz="800" baseline="0">
              <a:latin typeface="Times New Roman" pitchFamily="18" charset="0"/>
              <a:cs typeface="Times New Roman" pitchFamily="18" charset="0"/>
            </a:rPr>
            <a:t>36 billion RVU</a:t>
          </a:r>
        </a:p>
      </cdr:txBody>
    </cdr:sp>
  </cdr:relSizeAnchor>
</c:userShapes>
</file>

<file path=word/drawings/drawing19.xml><?xml version="1.0" encoding="utf-8"?>
<c:userShapes xmlns:c="http://schemas.openxmlformats.org/drawingml/2006/chart">
  <cdr:relSizeAnchor xmlns:cdr="http://schemas.openxmlformats.org/drawingml/2006/chartDrawing">
    <cdr:from>
      <cdr:x>0.92497</cdr:x>
      <cdr:y>0.82765</cdr:y>
    </cdr:from>
    <cdr:to>
      <cdr:x>0.99312</cdr:x>
      <cdr:y>0.87882</cdr:y>
    </cdr:to>
    <cdr:sp macro="" textlink="">
      <cdr:nvSpPr>
        <cdr:cNvPr id="2" name="文字方塊 1"/>
        <cdr:cNvSpPr txBox="1"/>
      </cdr:nvSpPr>
      <cdr:spPr>
        <a:xfrm xmlns:a="http://schemas.openxmlformats.org/drawingml/2006/main">
          <a:off x="4701202" y="2823180"/>
          <a:ext cx="346375" cy="174545"/>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a:t>
          </a:r>
          <a:endPar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0.03195</cdr:x>
      <cdr:y>0.18173</cdr:y>
    </cdr:from>
    <cdr:to>
      <cdr:x>0.11413</cdr:x>
      <cdr:y>0.2452</cdr:y>
    </cdr:to>
    <cdr:sp macro="" textlink="">
      <cdr:nvSpPr>
        <cdr:cNvPr id="4" name="文字方塊 1"/>
        <cdr:cNvSpPr txBox="1"/>
      </cdr:nvSpPr>
      <cdr:spPr>
        <a:xfrm xmlns:a="http://schemas.openxmlformats.org/drawingml/2006/main">
          <a:off x="167701" y="541219"/>
          <a:ext cx="431304" cy="189023"/>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endParaRPr kumimoji="0" lang="zh-TW" altLang="en-US" sz="800" b="0" i="0" u="none" strike="noStrike" kern="0" cap="none" spc="0" normalizeH="0" baseline="0" noProof="0">
            <a:ln>
              <a:noFill/>
            </a:ln>
            <a:solidFill>
              <a:sysClr val="windowText" lastClr="000000"/>
            </a:solidFill>
            <a:effectLst/>
            <a:uLnTx/>
            <a:uFillTx/>
            <a:latin typeface="標楷體" pitchFamily="65" charset="-120"/>
            <a:ea typeface="標楷體" pitchFamily="65" charset="-120"/>
            <a:cs typeface="+mn-cs"/>
          </a:endParaRPr>
        </a:p>
      </cdr:txBody>
    </cdr:sp>
  </cdr:relSizeAnchor>
  <cdr:relSizeAnchor xmlns:cdr="http://schemas.openxmlformats.org/drawingml/2006/chartDrawing">
    <cdr:from>
      <cdr:x>0.09483</cdr:x>
      <cdr:y>0.01227</cdr:y>
    </cdr:from>
    <cdr:to>
      <cdr:x>0.9063</cdr:x>
      <cdr:y>0.1544</cdr:y>
    </cdr:to>
    <cdr:sp macro="" textlink="">
      <cdr:nvSpPr>
        <cdr:cNvPr id="7" name="文字方塊 2"/>
        <cdr:cNvSpPr txBox="1"/>
      </cdr:nvSpPr>
      <cdr:spPr>
        <a:xfrm xmlns:a="http://schemas.openxmlformats.org/drawingml/2006/main">
          <a:off x="481965" y="41854"/>
          <a:ext cx="4124325" cy="484815"/>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Figure 48</a:t>
          </a:r>
          <a:r>
            <a:rPr kumimoji="0" lang="zh-TW" altLang="en-US"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　</a:t>
          </a:r>
          <a:r>
            <a:rPr kumimoji="0" lang="de-DE"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Detailed Inpatient Medical Expenses by Contracted Category</a:t>
          </a:r>
          <a:endPar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endParaRPr kumimoji="0" lang="en-US" altLang="zh-TW" sz="6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algn="ctr"/>
          <a:r>
            <a:rPr lang="en-US" altLang="zh-TW" sz="800">
              <a:latin typeface="Times New Roman" pitchFamily="18" charset="0"/>
              <a:ea typeface="標楷體" pitchFamily="65" charset="-120"/>
              <a:cs typeface="Times New Roman" pitchFamily="18" charset="0"/>
            </a:rPr>
            <a:t>2011</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0.03195</cdr:x>
      <cdr:y>0.18173</cdr:y>
    </cdr:from>
    <cdr:to>
      <cdr:x>0.11413</cdr:x>
      <cdr:y>0.2452</cdr:y>
    </cdr:to>
    <cdr:sp macro="" textlink="">
      <cdr:nvSpPr>
        <cdr:cNvPr id="8" name="文字方塊 1"/>
        <cdr:cNvSpPr txBox="1"/>
      </cdr:nvSpPr>
      <cdr:spPr>
        <a:xfrm xmlns:a="http://schemas.openxmlformats.org/drawingml/2006/main">
          <a:off x="167701" y="541219"/>
          <a:ext cx="431304" cy="189023"/>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endParaRPr kumimoji="0" lang="zh-TW" altLang="en-US" sz="800" b="0" i="0" u="none" strike="noStrike" kern="0" cap="none" spc="0" normalizeH="0" baseline="0" noProof="0">
            <a:ln>
              <a:noFill/>
            </a:ln>
            <a:solidFill>
              <a:sysClr val="windowText" lastClr="000000"/>
            </a:solidFill>
            <a:effectLst/>
            <a:uLnTx/>
            <a:uFillTx/>
            <a:latin typeface="標楷體" pitchFamily="65" charset="-120"/>
            <a:ea typeface="標楷體" pitchFamily="65" charset="-120"/>
            <a:cs typeface="+mn-cs"/>
          </a:endParaRPr>
        </a:p>
      </cdr:txBody>
    </cdr:sp>
  </cdr:relSizeAnchor>
  <cdr:relSizeAnchor xmlns:cdr="http://schemas.openxmlformats.org/drawingml/2006/chartDrawing">
    <cdr:from>
      <cdr:x>0.03639</cdr:x>
      <cdr:y>0.90417</cdr:y>
    </cdr:from>
    <cdr:to>
      <cdr:x>0.97015</cdr:x>
      <cdr:y>0.98236</cdr:y>
    </cdr:to>
    <cdr:sp macro="" textlink="">
      <cdr:nvSpPr>
        <cdr:cNvPr id="10" name="文字方塊 5"/>
        <cdr:cNvSpPr txBox="1"/>
      </cdr:nvSpPr>
      <cdr:spPr>
        <a:xfrm xmlns:a="http://schemas.openxmlformats.org/drawingml/2006/main">
          <a:off x="220980" y="2983273"/>
          <a:ext cx="5670877" cy="25798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marL="0" marR="0" indent="0" algn="l" defTabSz="914400" eaLnBrk="1" fontAlgn="auto" latinLnBrk="0" hangingPunct="1">
            <a:lnSpc>
              <a:spcPct val="100000"/>
            </a:lnSpc>
            <a:spcBef>
              <a:spcPts val="0"/>
            </a:spcBef>
            <a:spcAft>
              <a:spcPts val="0"/>
            </a:spcAft>
            <a:buClrTx/>
            <a:buSzTx/>
            <a:buFontTx/>
            <a:buNone/>
            <a:tabLst/>
            <a:defRPr/>
          </a:pPr>
          <a:r>
            <a:rPr kumimoji="0" lang="de-DE"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Inpatient medical expenses were 74 billion RVU for academic medical centers, 70 billion RVU for metropolitan hospitals, 29 billion RVU for local community hospitals and 1 billion RVU for physician clinics in 2011.</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0.1617</cdr:x>
      <cdr:y>0.35966</cdr:y>
    </cdr:from>
    <cdr:to>
      <cdr:x>0.26008</cdr:x>
      <cdr:y>0.77796</cdr:y>
    </cdr:to>
    <cdr:grpSp>
      <cdr:nvGrpSpPr>
        <cdr:cNvPr id="31" name="群組 30"/>
        <cdr:cNvGrpSpPr/>
      </cdr:nvGrpSpPr>
      <cdr:grpSpPr>
        <a:xfrm xmlns:a="http://schemas.openxmlformats.org/drawingml/2006/main">
          <a:off x="982027" y="1186684"/>
          <a:ext cx="597475" cy="1380164"/>
          <a:chOff x="916845" y="1226825"/>
          <a:chExt cx="533755" cy="1426851"/>
        </a:xfrm>
      </cdr:grpSpPr>
      <cdr:sp macro="" textlink="">
        <cdr:nvSpPr>
          <cdr:cNvPr id="9" name="文字方塊 8"/>
          <cdr:cNvSpPr txBox="1"/>
        </cdr:nvSpPr>
        <cdr:spPr>
          <a:xfrm xmlns:a="http://schemas.openxmlformats.org/drawingml/2006/main">
            <a:off x="916845" y="1638303"/>
            <a:ext cx="533755" cy="198115"/>
          </a:xfrm>
          <a:prstGeom xmlns:a="http://schemas.openxmlformats.org/drawingml/2006/main" prst="rect">
            <a:avLst/>
          </a:prstGeom>
        </cdr:spPr>
        <cdr:txBody>
          <a:bodyPr xmlns:a="http://schemas.openxmlformats.org/drawingml/2006/main" vertOverflow="clip" wrap="square" lIns="0" rIns="0" rtlCol="0"/>
          <a:lstStyle xmlns:a="http://schemas.openxmlformats.org/drawingml/2006/main"/>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Ward Fees</a:t>
            </a:r>
            <a:endPar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cdr:txBody>
      </cdr:sp>
      <cdr:sp macro="" textlink="">
        <cdr:nvSpPr>
          <cdr:cNvPr id="11" name="文字方塊 1"/>
          <cdr:cNvSpPr txBox="1"/>
        </cdr:nvSpPr>
        <cdr:spPr>
          <a:xfrm xmlns:a="http://schemas.openxmlformats.org/drawingml/2006/main">
            <a:off x="916845" y="1226825"/>
            <a:ext cx="522632" cy="171407"/>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altLang="zh-TW" sz="800">
                <a:latin typeface="Times New Roman" pitchFamily="18" charset="0"/>
                <a:ea typeface="標楷體" pitchFamily="65" charset="-120"/>
                <a:cs typeface="Times New Roman" pitchFamily="18" charset="0"/>
              </a:rPr>
              <a:t>Ward Fees</a:t>
            </a:r>
            <a:endParaRPr lang="zh-TW" altLang="en-US" sz="800">
              <a:latin typeface="Times New Roman" pitchFamily="18" charset="0"/>
              <a:ea typeface="標楷體" pitchFamily="65" charset="-120"/>
              <a:cs typeface="Times New Roman" pitchFamily="18" charset="0"/>
            </a:endParaRPr>
          </a:p>
        </cdr:txBody>
      </cdr:sp>
      <cdr:sp macro="" textlink="">
        <cdr:nvSpPr>
          <cdr:cNvPr id="12" name="文字方塊 1"/>
          <cdr:cNvSpPr txBox="1"/>
        </cdr:nvSpPr>
        <cdr:spPr>
          <a:xfrm xmlns:a="http://schemas.openxmlformats.org/drawingml/2006/main">
            <a:off x="916845" y="2055511"/>
            <a:ext cx="522905" cy="190474"/>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Ward Fees</a:t>
            </a:r>
            <a:endPar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cdr:txBody>
      </cdr:sp>
      <cdr:sp macro="" textlink="">
        <cdr:nvSpPr>
          <cdr:cNvPr id="13" name="文字方塊 1"/>
          <cdr:cNvSpPr txBox="1"/>
        </cdr:nvSpPr>
        <cdr:spPr>
          <a:xfrm xmlns:a="http://schemas.openxmlformats.org/drawingml/2006/main">
            <a:off x="916845" y="2466988"/>
            <a:ext cx="470820" cy="186688"/>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Ward Fees</a:t>
            </a:r>
            <a:endPar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cdr:txBody>
      </cdr:sp>
    </cdr:grpSp>
  </cdr:relSizeAnchor>
  <cdr:relSizeAnchor xmlns:cdr="http://schemas.openxmlformats.org/drawingml/2006/chartDrawing">
    <cdr:from>
      <cdr:x>0.34524</cdr:x>
      <cdr:y>0.66738</cdr:y>
    </cdr:from>
    <cdr:to>
      <cdr:x>0.4341</cdr:x>
      <cdr:y>0.72546</cdr:y>
    </cdr:to>
    <cdr:sp macro="" textlink="">
      <cdr:nvSpPr>
        <cdr:cNvPr id="14" name="文字方塊 1"/>
        <cdr:cNvSpPr txBox="1"/>
      </cdr:nvSpPr>
      <cdr:spPr>
        <a:xfrm xmlns:a="http://schemas.openxmlformats.org/drawingml/2006/main">
          <a:off x="1873087" y="2276480"/>
          <a:ext cx="482076" cy="198115"/>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Drug Fees</a:t>
          </a:r>
          <a:endPar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0.54831</cdr:x>
      <cdr:y>0.27483</cdr:y>
    </cdr:from>
    <cdr:to>
      <cdr:x>0.61104</cdr:x>
      <cdr:y>0.3517</cdr:y>
    </cdr:to>
    <cdr:sp macro="" textlink="">
      <cdr:nvSpPr>
        <cdr:cNvPr id="15" name="文字方塊 1"/>
        <cdr:cNvSpPr txBox="1"/>
      </cdr:nvSpPr>
      <cdr:spPr>
        <a:xfrm xmlns:a="http://schemas.openxmlformats.org/drawingml/2006/main">
          <a:off x="3329940" y="906780"/>
          <a:ext cx="381000" cy="253647"/>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US" altLang="zh-TW" sz="750">
              <a:latin typeface="Times New Roman" pitchFamily="18" charset="0"/>
              <a:ea typeface="標楷體" pitchFamily="65" charset="-120"/>
              <a:cs typeface="Times New Roman" pitchFamily="18" charset="0"/>
            </a:rPr>
            <a:t>Drug </a:t>
          </a:r>
        </a:p>
        <a:p xmlns:a="http://schemas.openxmlformats.org/drawingml/2006/main">
          <a:r>
            <a:rPr lang="en-US" altLang="zh-TW" sz="750">
              <a:latin typeface="Times New Roman" pitchFamily="18" charset="0"/>
              <a:ea typeface="標楷體" pitchFamily="65" charset="-120"/>
              <a:cs typeface="Times New Roman" pitchFamily="18" charset="0"/>
            </a:rPr>
            <a:t>Fees</a:t>
          </a:r>
          <a:endParaRPr lang="zh-TW" altLang="en-US" sz="75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0.34154</cdr:x>
      <cdr:y>0.41886</cdr:y>
    </cdr:from>
    <cdr:to>
      <cdr:x>0.43216</cdr:x>
      <cdr:y>0.47135</cdr:y>
    </cdr:to>
    <cdr:sp macro="" textlink="">
      <cdr:nvSpPr>
        <cdr:cNvPr id="16" name="文字方塊 1"/>
        <cdr:cNvSpPr txBox="1"/>
      </cdr:nvSpPr>
      <cdr:spPr>
        <a:xfrm xmlns:a="http://schemas.openxmlformats.org/drawingml/2006/main">
          <a:off x="1735901" y="1428753"/>
          <a:ext cx="460563" cy="179067"/>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Drug Fees</a:t>
          </a:r>
          <a:endPar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endParaRPr lang="zh-TW" altLang="en-US" sz="800">
            <a:latin typeface="標楷體" pitchFamily="65" charset="-120"/>
            <a:ea typeface="標楷體" pitchFamily="65" charset="-120"/>
          </a:endParaRPr>
        </a:p>
      </cdr:txBody>
    </cdr:sp>
  </cdr:relSizeAnchor>
  <cdr:relSizeAnchor xmlns:cdr="http://schemas.openxmlformats.org/drawingml/2006/chartDrawing">
    <cdr:from>
      <cdr:x>0.33406</cdr:x>
      <cdr:y>0.54172</cdr:y>
    </cdr:from>
    <cdr:to>
      <cdr:x>0.42193</cdr:x>
      <cdr:y>0.5983</cdr:y>
    </cdr:to>
    <cdr:sp macro="" textlink="">
      <cdr:nvSpPr>
        <cdr:cNvPr id="17" name="文字方塊 1"/>
        <cdr:cNvSpPr txBox="1"/>
      </cdr:nvSpPr>
      <cdr:spPr>
        <a:xfrm xmlns:a="http://schemas.openxmlformats.org/drawingml/2006/main">
          <a:off x="1333300" y="1792117"/>
          <a:ext cx="350720" cy="187177"/>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Drug Fees</a:t>
          </a:r>
          <a:endPar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0.43966</cdr:x>
      <cdr:y>0.64434</cdr:y>
    </cdr:from>
    <cdr:to>
      <cdr:x>0.51568</cdr:x>
      <cdr:y>0.72546</cdr:y>
    </cdr:to>
    <cdr:sp macro="" textlink="">
      <cdr:nvSpPr>
        <cdr:cNvPr id="18" name="文字方塊 1"/>
        <cdr:cNvSpPr txBox="1"/>
      </cdr:nvSpPr>
      <cdr:spPr>
        <a:xfrm xmlns:a="http://schemas.openxmlformats.org/drawingml/2006/main">
          <a:off x="2670117" y="2125980"/>
          <a:ext cx="461703" cy="267646"/>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de-DE" altLang="zh-TW" sz="750">
              <a:latin typeface="Times New Roman" pitchFamily="18" charset="0"/>
              <a:ea typeface="標楷體" pitchFamily="65" charset="-120"/>
              <a:cs typeface="Times New Roman" pitchFamily="18" charset="0"/>
            </a:rPr>
            <a:t>Surgical </a:t>
          </a:r>
        </a:p>
        <a:p xmlns:a="http://schemas.openxmlformats.org/drawingml/2006/main">
          <a:r>
            <a:rPr lang="de-DE" altLang="zh-TW" sz="750">
              <a:latin typeface="Times New Roman" pitchFamily="18" charset="0"/>
              <a:ea typeface="標楷體" pitchFamily="65" charset="-120"/>
              <a:cs typeface="Times New Roman" pitchFamily="18" charset="0"/>
            </a:rPr>
            <a:t>Fees</a:t>
          </a:r>
        </a:p>
      </cdr:txBody>
    </cdr:sp>
  </cdr:relSizeAnchor>
  <cdr:relSizeAnchor xmlns:cdr="http://schemas.openxmlformats.org/drawingml/2006/chartDrawing">
    <cdr:from>
      <cdr:x>0.22874</cdr:x>
      <cdr:y>0.23323</cdr:y>
    </cdr:from>
    <cdr:to>
      <cdr:x>0.34175</cdr:x>
      <cdr:y>0.28044</cdr:y>
    </cdr:to>
    <cdr:sp macro="" textlink="">
      <cdr:nvSpPr>
        <cdr:cNvPr id="19" name="文字方塊 1"/>
        <cdr:cNvSpPr txBox="1"/>
      </cdr:nvSpPr>
      <cdr:spPr>
        <a:xfrm xmlns:a="http://schemas.openxmlformats.org/drawingml/2006/main">
          <a:off x="912950" y="771572"/>
          <a:ext cx="451030" cy="156164"/>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US" altLang="zh-TW" sz="800">
              <a:latin typeface="Times New Roman" pitchFamily="18" charset="0"/>
              <a:ea typeface="標楷體" pitchFamily="65" charset="-120"/>
              <a:cs typeface="Times New Roman" pitchFamily="18" charset="0"/>
            </a:rPr>
            <a:t>Surgical</a:t>
          </a:r>
          <a:r>
            <a:rPr lang="en-US" altLang="zh-TW" sz="800" baseline="0">
              <a:latin typeface="Times New Roman" pitchFamily="18" charset="0"/>
              <a:ea typeface="標楷體" pitchFamily="65" charset="-120"/>
              <a:cs typeface="Times New Roman" pitchFamily="18" charset="0"/>
            </a:rPr>
            <a:t> Fees</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0.43995</cdr:x>
      <cdr:y>0.40185</cdr:y>
    </cdr:from>
    <cdr:to>
      <cdr:x>0.52196</cdr:x>
      <cdr:y>0.45727</cdr:y>
    </cdr:to>
    <cdr:sp macro="" textlink="">
      <cdr:nvSpPr>
        <cdr:cNvPr id="20" name="文字方塊 1"/>
        <cdr:cNvSpPr txBox="1"/>
      </cdr:nvSpPr>
      <cdr:spPr>
        <a:xfrm xmlns:a="http://schemas.openxmlformats.org/drawingml/2006/main">
          <a:off x="2671879" y="1325880"/>
          <a:ext cx="498042" cy="182880"/>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de-DE" altLang="zh-TW" sz="75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Surgical </a:t>
          </a:r>
        </a:p>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de-DE" altLang="zh-TW" sz="75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Fees</a:t>
          </a:r>
        </a:p>
      </cdr:txBody>
    </cdr:sp>
  </cdr:relSizeAnchor>
  <cdr:relSizeAnchor xmlns:cdr="http://schemas.openxmlformats.org/drawingml/2006/chartDrawing">
    <cdr:from>
      <cdr:x>0.43684</cdr:x>
      <cdr:y>0.52194</cdr:y>
    </cdr:from>
    <cdr:to>
      <cdr:x>0.51694</cdr:x>
      <cdr:y>0.58594</cdr:y>
    </cdr:to>
    <cdr:sp macro="" textlink="">
      <cdr:nvSpPr>
        <cdr:cNvPr id="21" name="文字方塊 1"/>
        <cdr:cNvSpPr txBox="1"/>
      </cdr:nvSpPr>
      <cdr:spPr>
        <a:xfrm xmlns:a="http://schemas.openxmlformats.org/drawingml/2006/main">
          <a:off x="2653013" y="1722120"/>
          <a:ext cx="486427" cy="211176"/>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de-DE" altLang="zh-TW" sz="750">
              <a:latin typeface="Times New Roman" pitchFamily="18" charset="0"/>
              <a:ea typeface="標楷體" pitchFamily="65" charset="-120"/>
              <a:cs typeface="Times New Roman" pitchFamily="18" charset="0"/>
            </a:rPr>
            <a:t>Surgical </a:t>
          </a:r>
        </a:p>
        <a:p xmlns:a="http://schemas.openxmlformats.org/drawingml/2006/main">
          <a:r>
            <a:rPr lang="de-DE" altLang="zh-TW" sz="750">
              <a:latin typeface="Times New Roman" pitchFamily="18" charset="0"/>
              <a:ea typeface="標楷體" pitchFamily="65" charset="-120"/>
              <a:cs typeface="Times New Roman" pitchFamily="18" charset="0"/>
            </a:rPr>
            <a:t>Fees</a:t>
          </a:r>
        </a:p>
      </cdr:txBody>
    </cdr:sp>
  </cdr:relSizeAnchor>
  <cdr:relSizeAnchor xmlns:cdr="http://schemas.openxmlformats.org/drawingml/2006/chartDrawing">
    <cdr:from>
      <cdr:x>0.51349</cdr:x>
      <cdr:y>0.64203</cdr:y>
    </cdr:from>
    <cdr:to>
      <cdr:x>0.62861</cdr:x>
      <cdr:y>0.70006</cdr:y>
    </cdr:to>
    <cdr:sp macro="" textlink="">
      <cdr:nvSpPr>
        <cdr:cNvPr id="22" name="文字方塊 1"/>
        <cdr:cNvSpPr txBox="1"/>
      </cdr:nvSpPr>
      <cdr:spPr>
        <a:xfrm xmlns:a="http://schemas.openxmlformats.org/drawingml/2006/main">
          <a:off x="3118500" y="2118360"/>
          <a:ext cx="699120" cy="191446"/>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75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Therapeutic </a:t>
          </a:r>
        </a:p>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75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Procedure Fees</a:t>
          </a:r>
          <a:endParaRPr kumimoji="0" lang="zh-TW" altLang="en-US" sz="75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0.76128</cdr:x>
      <cdr:y>0.13695</cdr:y>
    </cdr:from>
    <cdr:to>
      <cdr:x>0.86507</cdr:x>
      <cdr:y>0.23121</cdr:y>
    </cdr:to>
    <cdr:sp macro="" textlink="">
      <cdr:nvSpPr>
        <cdr:cNvPr id="23" name="文字方塊 1"/>
        <cdr:cNvSpPr txBox="1"/>
      </cdr:nvSpPr>
      <cdr:spPr>
        <a:xfrm xmlns:a="http://schemas.openxmlformats.org/drawingml/2006/main">
          <a:off x="4623360" y="403861"/>
          <a:ext cx="630331" cy="277964"/>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US" altLang="zh-TW" sz="800">
              <a:latin typeface="Times New Roman" pitchFamily="18" charset="0"/>
              <a:ea typeface="標楷體" pitchFamily="65" charset="-120"/>
              <a:cs typeface="Times New Roman" pitchFamily="18" charset="0"/>
            </a:rPr>
            <a:t>Anesthesia Fees</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0.62364</cdr:x>
      <cdr:y>0.13695</cdr:y>
    </cdr:from>
    <cdr:to>
      <cdr:x>0.75384</cdr:x>
      <cdr:y>0.21105</cdr:y>
    </cdr:to>
    <cdr:sp macro="" textlink="">
      <cdr:nvSpPr>
        <cdr:cNvPr id="24" name="文字方塊 1"/>
        <cdr:cNvSpPr txBox="1"/>
      </cdr:nvSpPr>
      <cdr:spPr>
        <a:xfrm xmlns:a="http://schemas.openxmlformats.org/drawingml/2006/main">
          <a:off x="3787453" y="403860"/>
          <a:ext cx="790723" cy="218514"/>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altLang="zh-TW" sz="800">
              <a:latin typeface="Times New Roman" pitchFamily="18" charset="0"/>
              <a:ea typeface="標楷體" pitchFamily="65" charset="-120"/>
              <a:cs typeface="Times New Roman" pitchFamily="18" charset="0"/>
            </a:rPr>
            <a:t>Therapeutic Procedure Fees</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0.34165</cdr:x>
      <cdr:y>0.29457</cdr:y>
    </cdr:from>
    <cdr:to>
      <cdr:x>0.53952</cdr:x>
      <cdr:y>0.35128</cdr:y>
    </cdr:to>
    <cdr:sp macro="" textlink="">
      <cdr:nvSpPr>
        <cdr:cNvPr id="25" name="文字方塊 1"/>
        <cdr:cNvSpPr txBox="1"/>
      </cdr:nvSpPr>
      <cdr:spPr>
        <a:xfrm xmlns:a="http://schemas.openxmlformats.org/drawingml/2006/main">
          <a:off x="2074895" y="971934"/>
          <a:ext cx="1201705" cy="187101"/>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Therapeutic Procedure Fees</a:t>
          </a:r>
          <a:endPar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0.51749</cdr:x>
      <cdr:y>0.51963</cdr:y>
    </cdr:from>
    <cdr:to>
      <cdr:x>0.61857</cdr:x>
      <cdr:y>0.59122</cdr:y>
    </cdr:to>
    <cdr:sp macro="" textlink="">
      <cdr:nvSpPr>
        <cdr:cNvPr id="26" name="文字方塊 1"/>
        <cdr:cNvSpPr txBox="1"/>
      </cdr:nvSpPr>
      <cdr:spPr>
        <a:xfrm xmlns:a="http://schemas.openxmlformats.org/drawingml/2006/main">
          <a:off x="3142782" y="1714500"/>
          <a:ext cx="613877" cy="236219"/>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US" altLang="zh-TW" sz="750">
              <a:latin typeface="Times New Roman" pitchFamily="18" charset="0"/>
              <a:ea typeface="標楷體" pitchFamily="65" charset="-120"/>
              <a:cs typeface="Times New Roman" pitchFamily="18" charset="0"/>
            </a:rPr>
            <a:t>Special </a:t>
          </a:r>
        </a:p>
        <a:p xmlns:a="http://schemas.openxmlformats.org/drawingml/2006/main">
          <a:r>
            <a:rPr lang="en-US" altLang="zh-TW" sz="750">
              <a:latin typeface="Times New Roman" pitchFamily="18" charset="0"/>
              <a:ea typeface="標楷體" pitchFamily="65" charset="-120"/>
              <a:cs typeface="Times New Roman" pitchFamily="18" charset="0"/>
            </a:rPr>
            <a:t>Materials Fees</a:t>
          </a:r>
          <a:endParaRPr lang="zh-TW" altLang="en-US" sz="75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0.51182</cdr:x>
      <cdr:y>0.39954</cdr:y>
    </cdr:from>
    <cdr:to>
      <cdr:x>0.601</cdr:x>
      <cdr:y>0.46308</cdr:y>
    </cdr:to>
    <cdr:sp macro="" textlink="">
      <cdr:nvSpPr>
        <cdr:cNvPr id="27" name="文字方塊 1"/>
        <cdr:cNvSpPr txBox="1"/>
      </cdr:nvSpPr>
      <cdr:spPr>
        <a:xfrm xmlns:a="http://schemas.openxmlformats.org/drawingml/2006/main">
          <a:off x="3108358" y="1318260"/>
          <a:ext cx="541622" cy="209664"/>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US" altLang="zh-TW" sz="750">
              <a:latin typeface="Times New Roman" pitchFamily="18" charset="0"/>
              <a:ea typeface="標楷體" pitchFamily="65" charset="-120"/>
              <a:cs typeface="Times New Roman" pitchFamily="18" charset="0"/>
            </a:rPr>
            <a:t>Laboratory </a:t>
          </a:r>
        </a:p>
        <a:p xmlns:a="http://schemas.openxmlformats.org/drawingml/2006/main">
          <a:r>
            <a:rPr lang="en-US" altLang="zh-TW" sz="750">
              <a:latin typeface="Times New Roman" pitchFamily="18" charset="0"/>
              <a:ea typeface="標楷體" pitchFamily="65" charset="-120"/>
              <a:cs typeface="Times New Roman" pitchFamily="18" charset="0"/>
            </a:rPr>
            <a:t>Fees</a:t>
          </a:r>
        </a:p>
      </cdr:txBody>
    </cdr:sp>
  </cdr:relSizeAnchor>
  <cdr:relSizeAnchor xmlns:cdr="http://schemas.openxmlformats.org/drawingml/2006/chartDrawing">
    <cdr:from>
      <cdr:x>0.80946</cdr:x>
      <cdr:y>0.23456</cdr:y>
    </cdr:from>
    <cdr:to>
      <cdr:x>0.87767</cdr:x>
      <cdr:y>0.28504</cdr:y>
    </cdr:to>
    <cdr:sp macro="" textlink="">
      <cdr:nvSpPr>
        <cdr:cNvPr id="33" name="文字方塊 1"/>
        <cdr:cNvSpPr txBox="1"/>
      </cdr:nvSpPr>
      <cdr:spPr>
        <a:xfrm xmlns:a="http://schemas.openxmlformats.org/drawingml/2006/main">
          <a:off x="4114138" y="800101"/>
          <a:ext cx="346680" cy="172190"/>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US" altLang="zh-TW" sz="800">
              <a:latin typeface="Times New Roman" pitchFamily="18" charset="0"/>
              <a:ea typeface="標楷體" pitchFamily="65" charset="-120"/>
              <a:cs typeface="Times New Roman" pitchFamily="18" charset="0"/>
            </a:rPr>
            <a:t>Others</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0.77737</cdr:x>
      <cdr:y>0.35742</cdr:y>
    </cdr:from>
    <cdr:to>
      <cdr:x>0.85511</cdr:x>
      <cdr:y>0.76735</cdr:y>
    </cdr:to>
    <cdr:grpSp>
      <cdr:nvGrpSpPr>
        <cdr:cNvPr id="32" name="群組 31"/>
        <cdr:cNvGrpSpPr/>
      </cdr:nvGrpSpPr>
      <cdr:grpSpPr>
        <a:xfrm xmlns:a="http://schemas.openxmlformats.org/drawingml/2006/main">
          <a:off x="4721077" y="1179293"/>
          <a:ext cx="472126" cy="1352548"/>
          <a:chOff x="3788857" y="1219185"/>
          <a:chExt cx="421774" cy="1398300"/>
        </a:xfrm>
      </cdr:grpSpPr>
      <cdr:sp macro="" textlink="">
        <cdr:nvSpPr>
          <cdr:cNvPr id="28" name="文字方塊 1"/>
          <cdr:cNvSpPr txBox="1"/>
        </cdr:nvSpPr>
        <cdr:spPr>
          <a:xfrm xmlns:a="http://schemas.openxmlformats.org/drawingml/2006/main">
            <a:off x="3788857" y="2465078"/>
            <a:ext cx="370612" cy="152407"/>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n-US" altLang="zh-TW" sz="800">
                <a:latin typeface="Times New Roman" pitchFamily="18" charset="0"/>
                <a:ea typeface="+mn-ea"/>
                <a:cs typeface="Times New Roman" pitchFamily="18" charset="0"/>
              </a:rPr>
              <a:t>Others</a:t>
            </a:r>
            <a:endParaRPr lang="zh-TW" altLang="zh-TW" sz="800">
              <a:latin typeface="Times New Roman" pitchFamily="18" charset="0"/>
              <a:ea typeface="+mn-ea"/>
              <a:cs typeface="Times New Roman" pitchFamily="18" charset="0"/>
            </a:endParaRPr>
          </a:p>
        </cdr:txBody>
      </cdr:sp>
      <cdr:sp macro="" textlink="">
        <cdr:nvSpPr>
          <cdr:cNvPr id="34" name="文字方塊 1"/>
          <cdr:cNvSpPr txBox="1"/>
        </cdr:nvSpPr>
        <cdr:spPr>
          <a:xfrm xmlns:a="http://schemas.openxmlformats.org/drawingml/2006/main">
            <a:off x="3788857" y="1219185"/>
            <a:ext cx="390361" cy="169530"/>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Others</a:t>
            </a:r>
            <a:endPar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cdr:txBody>
      </cdr:sp>
      <cdr:sp macro="" textlink="">
        <cdr:nvSpPr>
          <cdr:cNvPr id="35" name="文字方塊 1"/>
          <cdr:cNvSpPr txBox="1"/>
        </cdr:nvSpPr>
        <cdr:spPr>
          <a:xfrm xmlns:a="http://schemas.openxmlformats.org/drawingml/2006/main">
            <a:off x="3788857" y="1628786"/>
            <a:ext cx="369961" cy="143265"/>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Others</a:t>
            </a:r>
            <a:endPar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cdr:txBody>
      </cdr:sp>
      <cdr:sp macro="" textlink="">
        <cdr:nvSpPr>
          <cdr:cNvPr id="36" name="文字方塊 1"/>
          <cdr:cNvSpPr txBox="1"/>
        </cdr:nvSpPr>
        <cdr:spPr>
          <a:xfrm xmlns:a="http://schemas.openxmlformats.org/drawingml/2006/main">
            <a:off x="3788857" y="2047870"/>
            <a:ext cx="421774" cy="181537"/>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Others</a:t>
            </a:r>
            <a:endPar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cdr:txBody>
      </cdr:sp>
    </cdr:grpSp>
  </cdr:relSizeAnchor>
  <cdr:relSizeAnchor xmlns:cdr="http://schemas.openxmlformats.org/drawingml/2006/chartDrawing">
    <cdr:from>
      <cdr:x>3.29319E-7</cdr:x>
      <cdr:y>0.21725</cdr:y>
    </cdr:from>
    <cdr:to>
      <cdr:x>0.11669</cdr:x>
      <cdr:y>0.79248</cdr:y>
    </cdr:to>
    <cdr:sp macro="" textlink="">
      <cdr:nvSpPr>
        <cdr:cNvPr id="30" name="文字方塊 1"/>
        <cdr:cNvSpPr txBox="1"/>
      </cdr:nvSpPr>
      <cdr:spPr>
        <a:xfrm xmlns:a="http://schemas.openxmlformats.org/drawingml/2006/main">
          <a:off x="2" y="716808"/>
          <a:ext cx="708658" cy="1897948"/>
        </a:xfrm>
        <a:prstGeom xmlns:a="http://schemas.openxmlformats.org/drawingml/2006/main" prst="rect">
          <a:avLst/>
        </a:prstGeom>
      </cdr:spPr>
      <cdr:txBody>
        <a:bodyPr xmlns:a="http://schemas.openxmlformats.org/drawingml/2006/main" wrap="square" rIns="5400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r"/>
          <a:r>
            <a:rPr lang="en-US" altLang="zh-TW" sz="800">
              <a:latin typeface="Times New Roman" pitchFamily="18" charset="0"/>
              <a:cs typeface="Times New Roman" pitchFamily="18" charset="0"/>
            </a:rPr>
            <a:t>Physician Clinics</a:t>
          </a:r>
        </a:p>
        <a:p xmlns:a="http://schemas.openxmlformats.org/drawingml/2006/main">
          <a:pPr algn="r"/>
          <a:endParaRPr lang="en-US" altLang="zh-TW" sz="800">
            <a:latin typeface="Times New Roman" pitchFamily="18" charset="0"/>
            <a:cs typeface="Times New Roman" pitchFamily="18" charset="0"/>
          </a:endParaRPr>
        </a:p>
        <a:p xmlns:a="http://schemas.openxmlformats.org/drawingml/2006/main">
          <a:pPr algn="r"/>
          <a:r>
            <a:rPr lang="en-US" altLang="zh-TW" sz="800">
              <a:latin typeface="Times New Roman" pitchFamily="18" charset="0"/>
              <a:cs typeface="Times New Roman" pitchFamily="18" charset="0"/>
            </a:rPr>
            <a:t>Local Community Hospitals</a:t>
          </a:r>
        </a:p>
        <a:p xmlns:a="http://schemas.openxmlformats.org/drawingml/2006/main">
          <a:pPr algn="r"/>
          <a:endParaRPr lang="en-US" altLang="zh-TW" sz="900">
            <a:latin typeface="Times New Roman" pitchFamily="18" charset="0"/>
            <a:cs typeface="Times New Roman" pitchFamily="18" charset="0"/>
          </a:endParaRPr>
        </a:p>
        <a:p xmlns:a="http://schemas.openxmlformats.org/drawingml/2006/main">
          <a:pPr algn="r"/>
          <a:r>
            <a:rPr lang="en-US" altLang="zh-TW" sz="800">
              <a:latin typeface="Times New Roman" pitchFamily="18" charset="0"/>
              <a:cs typeface="Times New Roman" pitchFamily="18" charset="0"/>
            </a:rPr>
            <a:t>Metropolitan Hospitals</a:t>
          </a:r>
        </a:p>
        <a:p xmlns:a="http://schemas.openxmlformats.org/drawingml/2006/main">
          <a:pPr algn="r"/>
          <a:endParaRPr lang="en-US" altLang="zh-TW" sz="800">
            <a:latin typeface="Times New Roman" pitchFamily="18" charset="0"/>
            <a:cs typeface="Times New Roman" pitchFamily="18" charset="0"/>
          </a:endParaRPr>
        </a:p>
        <a:p xmlns:a="http://schemas.openxmlformats.org/drawingml/2006/main">
          <a:pPr algn="r"/>
          <a:r>
            <a:rPr lang="en-US" altLang="zh-TW" sz="800">
              <a:latin typeface="Times New Roman" pitchFamily="18" charset="0"/>
              <a:cs typeface="Times New Roman" pitchFamily="18" charset="0"/>
            </a:rPr>
            <a:t>Academic Medical</a:t>
          </a:r>
          <a:r>
            <a:rPr lang="en-US" altLang="zh-TW" sz="800" baseline="0">
              <a:latin typeface="Times New Roman" pitchFamily="18" charset="0"/>
              <a:cs typeface="Times New Roman" pitchFamily="18" charset="0"/>
            </a:rPr>
            <a:t> Centers</a:t>
          </a:r>
        </a:p>
        <a:p xmlns:a="http://schemas.openxmlformats.org/drawingml/2006/main">
          <a:pPr algn="r"/>
          <a:endParaRPr lang="en-US" altLang="zh-TW" sz="1200" baseline="0">
            <a:latin typeface="Times New Roman" pitchFamily="18" charset="0"/>
            <a:cs typeface="Times New Roman" pitchFamily="18" charset="0"/>
          </a:endParaRPr>
        </a:p>
        <a:p xmlns:a="http://schemas.openxmlformats.org/drawingml/2006/main">
          <a:pPr algn="r"/>
          <a:r>
            <a:rPr lang="en-US" altLang="zh-TW" sz="800" baseline="0">
              <a:latin typeface="Times New Roman" pitchFamily="18" charset="0"/>
              <a:cs typeface="Times New Roman" pitchFamily="18" charset="0"/>
            </a:rPr>
            <a:t>Total</a:t>
          </a:r>
          <a:endParaRPr lang="en-US" altLang="zh-TW" sz="600" baseline="0">
            <a:latin typeface="Times New Roman" pitchFamily="18" charset="0"/>
            <a:cs typeface="Times New Roman" pitchFamily="18" charset="0"/>
          </a:endParaRPr>
        </a:p>
        <a:p xmlns:a="http://schemas.openxmlformats.org/drawingml/2006/main">
          <a:pPr algn="r"/>
          <a:endParaRPr lang="en-US" altLang="zh-TW" sz="1000" baseline="0">
            <a:latin typeface="Times New Roman" pitchFamily="18" charset="0"/>
            <a:cs typeface="Times New Roman" pitchFamily="18" charset="0"/>
          </a:endParaRPr>
        </a:p>
      </cdr:txBody>
    </cdr:sp>
  </cdr:relSizeAnchor>
  <cdr:relSizeAnchor xmlns:cdr="http://schemas.openxmlformats.org/drawingml/2006/chartDrawing">
    <cdr:from>
      <cdr:x>0.61857</cdr:x>
      <cdr:y>0.64203</cdr:y>
    </cdr:from>
    <cdr:to>
      <cdr:x>0.69887</cdr:x>
      <cdr:y>0.71987</cdr:y>
    </cdr:to>
    <cdr:sp macro="" textlink="">
      <cdr:nvSpPr>
        <cdr:cNvPr id="37" name="文字方塊 1"/>
        <cdr:cNvSpPr txBox="1"/>
      </cdr:nvSpPr>
      <cdr:spPr>
        <a:xfrm xmlns:a="http://schemas.openxmlformats.org/drawingml/2006/main">
          <a:off x="3756661" y="2118360"/>
          <a:ext cx="487679" cy="256822"/>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US" altLang="zh-TW" sz="750">
              <a:latin typeface="Times New Roman" pitchFamily="18" charset="0"/>
              <a:ea typeface="標楷體" pitchFamily="65" charset="-120"/>
              <a:cs typeface="Times New Roman" pitchFamily="18" charset="0"/>
            </a:rPr>
            <a:t>Laboratory </a:t>
          </a:r>
        </a:p>
        <a:p xmlns:a="http://schemas.openxmlformats.org/drawingml/2006/main">
          <a:r>
            <a:rPr lang="en-US" altLang="zh-TW" sz="750">
              <a:latin typeface="Times New Roman" pitchFamily="18" charset="0"/>
              <a:ea typeface="標楷體" pitchFamily="65" charset="-120"/>
              <a:cs typeface="Times New Roman" pitchFamily="18" charset="0"/>
            </a:rPr>
            <a:t>Fees</a:t>
          </a:r>
        </a:p>
      </cdr:txBody>
    </cdr:sp>
  </cdr:relSizeAnchor>
  <cdr:relSizeAnchor xmlns:cdr="http://schemas.openxmlformats.org/drawingml/2006/chartDrawing">
    <cdr:from>
      <cdr:x>0.62162</cdr:x>
      <cdr:y>0.52194</cdr:y>
    </cdr:from>
    <cdr:to>
      <cdr:x>0.71016</cdr:x>
      <cdr:y>0.58315</cdr:y>
    </cdr:to>
    <cdr:sp macro="" textlink="">
      <cdr:nvSpPr>
        <cdr:cNvPr id="38" name="文字方塊 1"/>
        <cdr:cNvSpPr txBox="1"/>
      </cdr:nvSpPr>
      <cdr:spPr>
        <a:xfrm xmlns:a="http://schemas.openxmlformats.org/drawingml/2006/main">
          <a:off x="3775164" y="1722120"/>
          <a:ext cx="537756" cy="201971"/>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altLang="zh-TW" sz="750">
              <a:latin typeface="Times New Roman" pitchFamily="18" charset="0"/>
              <a:ea typeface="標楷體" pitchFamily="65" charset="-120"/>
              <a:cs typeface="Times New Roman" pitchFamily="18" charset="0"/>
            </a:rPr>
            <a:t>Laboratory </a:t>
          </a:r>
        </a:p>
        <a:p xmlns:a="http://schemas.openxmlformats.org/drawingml/2006/main">
          <a:r>
            <a:rPr lang="en-US" altLang="zh-TW" sz="750">
              <a:latin typeface="Times New Roman" pitchFamily="18" charset="0"/>
              <a:ea typeface="標楷體" pitchFamily="65" charset="-120"/>
              <a:cs typeface="Times New Roman" pitchFamily="18" charset="0"/>
            </a:rPr>
            <a:t>Fees</a:t>
          </a:r>
        </a:p>
      </cdr:txBody>
    </cdr:sp>
  </cdr:relSizeAnchor>
  <cdr:relSizeAnchor xmlns:cdr="http://schemas.openxmlformats.org/drawingml/2006/chartDrawing">
    <cdr:from>
      <cdr:x>0.59465</cdr:x>
      <cdr:y>0.39954</cdr:y>
    </cdr:from>
    <cdr:to>
      <cdr:x>0.70013</cdr:x>
      <cdr:y>0.47646</cdr:y>
    </cdr:to>
    <cdr:sp macro="" textlink="">
      <cdr:nvSpPr>
        <cdr:cNvPr id="39" name="文字方塊 1"/>
        <cdr:cNvSpPr txBox="1"/>
      </cdr:nvSpPr>
      <cdr:spPr>
        <a:xfrm xmlns:a="http://schemas.openxmlformats.org/drawingml/2006/main">
          <a:off x="3611400" y="1318260"/>
          <a:ext cx="640560" cy="253799"/>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75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Therapeutic </a:t>
          </a:r>
        </a:p>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75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Procedure Fees</a:t>
          </a:r>
          <a:endParaRPr kumimoji="0" lang="zh-TW" altLang="en-US" sz="75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0.70765</cdr:x>
      <cdr:y>0.63741</cdr:y>
    </cdr:from>
    <cdr:to>
      <cdr:x>0.80928</cdr:x>
      <cdr:y>0.72748</cdr:y>
    </cdr:to>
    <cdr:sp macro="" textlink="">
      <cdr:nvSpPr>
        <cdr:cNvPr id="41" name="文字方塊 1"/>
        <cdr:cNvSpPr txBox="1"/>
      </cdr:nvSpPr>
      <cdr:spPr>
        <a:xfrm xmlns:a="http://schemas.openxmlformats.org/drawingml/2006/main">
          <a:off x="4297680" y="2103120"/>
          <a:ext cx="617220" cy="297180"/>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US" altLang="zh-TW" sz="750">
              <a:latin typeface="Times New Roman" pitchFamily="18" charset="0"/>
              <a:ea typeface="標楷體" pitchFamily="65" charset="-120"/>
              <a:cs typeface="Times New Roman" pitchFamily="18" charset="0"/>
            </a:rPr>
            <a:t>Special </a:t>
          </a:r>
        </a:p>
        <a:p xmlns:a="http://schemas.openxmlformats.org/drawingml/2006/main">
          <a:r>
            <a:rPr lang="en-US" altLang="zh-TW" sz="750">
              <a:latin typeface="Times New Roman" pitchFamily="18" charset="0"/>
              <a:ea typeface="標楷體" pitchFamily="65" charset="-120"/>
              <a:cs typeface="Times New Roman" pitchFamily="18" charset="0"/>
            </a:rPr>
            <a:t>Materials Fees</a:t>
          </a:r>
          <a:endParaRPr lang="zh-TW" altLang="en-US" sz="75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0.70966</cdr:x>
      <cdr:y>0.40038</cdr:y>
    </cdr:from>
    <cdr:to>
      <cdr:x>0.86324</cdr:x>
      <cdr:y>0.45567</cdr:y>
    </cdr:to>
    <cdr:sp macro="" textlink="">
      <cdr:nvSpPr>
        <cdr:cNvPr id="42" name="文字方塊 1"/>
        <cdr:cNvSpPr txBox="1"/>
      </cdr:nvSpPr>
      <cdr:spPr>
        <a:xfrm xmlns:a="http://schemas.openxmlformats.org/drawingml/2006/main">
          <a:off x="4309847" y="1321052"/>
          <a:ext cx="932713" cy="182427"/>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US" altLang="zh-TW" sz="750">
              <a:latin typeface="Times New Roman" pitchFamily="18" charset="0"/>
              <a:ea typeface="標楷體" pitchFamily="65" charset="-120"/>
              <a:cs typeface="Times New Roman" pitchFamily="18" charset="0"/>
            </a:rPr>
            <a:t>Special </a:t>
          </a:r>
        </a:p>
        <a:p xmlns:a="http://schemas.openxmlformats.org/drawingml/2006/main">
          <a:r>
            <a:rPr lang="en-US" altLang="zh-TW" sz="750">
              <a:latin typeface="Times New Roman" pitchFamily="18" charset="0"/>
              <a:ea typeface="標楷體" pitchFamily="65" charset="-120"/>
              <a:cs typeface="Times New Roman" pitchFamily="18" charset="0"/>
            </a:rPr>
            <a:t>Materials Fees</a:t>
          </a:r>
          <a:endParaRPr lang="zh-TW" altLang="en-US" sz="75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0.61632</cdr:x>
      <cdr:y>0.27483</cdr:y>
    </cdr:from>
    <cdr:to>
      <cdr:x>0.71518</cdr:x>
      <cdr:y>0.35401</cdr:y>
    </cdr:to>
    <cdr:sp macro="" textlink="">
      <cdr:nvSpPr>
        <cdr:cNvPr id="43" name="文字方塊 1"/>
        <cdr:cNvSpPr txBox="1"/>
      </cdr:nvSpPr>
      <cdr:spPr>
        <a:xfrm xmlns:a="http://schemas.openxmlformats.org/drawingml/2006/main">
          <a:off x="3742994" y="906780"/>
          <a:ext cx="600406" cy="261246"/>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de-DE" altLang="zh-TW" sz="75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Surgical </a:t>
          </a:r>
        </a:p>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de-DE" altLang="zh-TW" sz="75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Fees</a:t>
          </a:r>
        </a:p>
      </cdr:txBody>
    </cdr:sp>
  </cdr:relSizeAnchor>
  <cdr:relSizeAnchor xmlns:cdr="http://schemas.openxmlformats.org/drawingml/2006/chartDrawing">
    <cdr:from>
      <cdr:x>0.68381</cdr:x>
      <cdr:y>0.27252</cdr:y>
    </cdr:from>
    <cdr:to>
      <cdr:x>0.76663</cdr:x>
      <cdr:y>0.3547</cdr:y>
    </cdr:to>
    <cdr:sp macro="" textlink="">
      <cdr:nvSpPr>
        <cdr:cNvPr id="44" name="文字方塊 1"/>
        <cdr:cNvSpPr txBox="1"/>
      </cdr:nvSpPr>
      <cdr:spPr>
        <a:xfrm xmlns:a="http://schemas.openxmlformats.org/drawingml/2006/main">
          <a:off x="4152901" y="899160"/>
          <a:ext cx="502920" cy="271152"/>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Diagnosis </a:t>
          </a:r>
        </a:p>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Fees</a:t>
          </a:r>
          <a:endPar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endParaRPr lang="zh-TW" altLang="en-US" sz="800">
            <a:latin typeface="標楷體" pitchFamily="65" charset="-120"/>
            <a:ea typeface="標楷體" pitchFamily="65" charset="-120"/>
          </a:endParaRPr>
        </a:p>
      </cdr:txBody>
    </cdr:sp>
  </cdr:relSizeAnchor>
  <cdr:relSizeAnchor xmlns:cdr="http://schemas.openxmlformats.org/drawingml/2006/chartDrawing">
    <cdr:from>
      <cdr:x>0.70263</cdr:x>
      <cdr:y>0.51963</cdr:y>
    </cdr:from>
    <cdr:to>
      <cdr:x>0.80811</cdr:x>
      <cdr:y>0.59655</cdr:y>
    </cdr:to>
    <cdr:sp macro="" textlink="">
      <cdr:nvSpPr>
        <cdr:cNvPr id="40" name="文字方塊 1"/>
        <cdr:cNvSpPr txBox="1"/>
      </cdr:nvSpPr>
      <cdr:spPr>
        <a:xfrm xmlns:a="http://schemas.openxmlformats.org/drawingml/2006/main">
          <a:off x="4267200" y="1714500"/>
          <a:ext cx="640560" cy="253799"/>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75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Therapeutic </a:t>
          </a:r>
        </a:p>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75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Procedure Fees</a:t>
          </a:r>
          <a:endParaRPr kumimoji="0" lang="zh-TW" altLang="en-US" sz="75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cdr:txBody>
    </cdr:sp>
  </cdr:relSizeAnchor>
</c:userShapes>
</file>

<file path=word/drawings/drawing20.xml><?xml version="1.0" encoding="utf-8"?>
<c:userShapes xmlns:c="http://schemas.openxmlformats.org/drawingml/2006/chart">
  <cdr:relSizeAnchor xmlns:cdr="http://schemas.openxmlformats.org/drawingml/2006/chartDrawing">
    <cdr:from>
      <cdr:x>0</cdr:x>
      <cdr:y>0.10325</cdr:y>
    </cdr:from>
    <cdr:to>
      <cdr:x>0</cdr:x>
      <cdr:y>0.10325</cdr:y>
    </cdr:to>
    <cdr:sp macro="" textlink="">
      <cdr:nvSpPr>
        <cdr:cNvPr id="2" name="文字方塊 1"/>
        <cdr:cNvSpPr txBox="1"/>
      </cdr:nvSpPr>
      <cdr:spPr>
        <a:xfrm xmlns:a="http://schemas.openxmlformats.org/drawingml/2006/main">
          <a:off x="0" y="387871"/>
          <a:ext cx="988575" cy="155054"/>
        </a:xfrm>
        <a:prstGeom xmlns:a="http://schemas.openxmlformats.org/drawingml/2006/main" prst="rect">
          <a:avLst/>
        </a:prstGeom>
      </cdr:spPr>
      <cdr:txBody>
        <a:bodyPr xmlns:a="http://schemas.openxmlformats.org/drawingml/2006/main" wrap="square" lIns="0" tIns="0" rIns="0" bIns="0" rtlCol="0"/>
        <a:lstStyle xmlns:a="http://schemas.openxmlformats.org/drawingml/2006/main"/>
        <a:p xmlns:a="http://schemas.openxmlformats.org/drawingml/2006/main">
          <a:r>
            <a:rPr lang="en-US" altLang="zh-TW" sz="800">
              <a:latin typeface="Times New Roman" pitchFamily="18" charset="0"/>
              <a:ea typeface="標楷體" pitchFamily="65" charset="-120"/>
              <a:cs typeface="Times New Roman" pitchFamily="18" charset="0"/>
            </a:rPr>
            <a:t>100 Million RVU</a:t>
          </a:r>
        </a:p>
        <a:p xmlns:a="http://schemas.openxmlformats.org/drawingml/2006/main">
          <a:endParaRPr lang="en-US" altLang="zh-TW"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0.08059</cdr:x>
      <cdr:y>0.0047</cdr:y>
    </cdr:from>
    <cdr:to>
      <cdr:x>0.85359</cdr:x>
      <cdr:y>0.12622</cdr:y>
    </cdr:to>
    <cdr:sp macro="" textlink="">
      <cdr:nvSpPr>
        <cdr:cNvPr id="3" name="文字方塊 2"/>
        <cdr:cNvSpPr txBox="1"/>
      </cdr:nvSpPr>
      <cdr:spPr>
        <a:xfrm xmlns:a="http://schemas.openxmlformats.org/drawingml/2006/main">
          <a:off x="419101" y="13705"/>
          <a:ext cx="4020123" cy="354188"/>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Figure 49</a:t>
          </a:r>
          <a:r>
            <a:rPr kumimoji="0" lang="zh-TW" altLang="en-US"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　</a:t>
          </a:r>
          <a:r>
            <a:rPr kumimoji="0" lang="de-DE"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Detailed Inpatient Medical Expenses  by Gender</a:t>
          </a:r>
          <a:endPar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endPar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2011</a:t>
          </a:r>
        </a:p>
        <a:p xmlns:a="http://schemas.openxmlformats.org/drawingml/2006/main">
          <a:pPr algn="ctr"/>
          <a:endParaRPr lang="en-US" altLang="zh-TW" sz="1000">
            <a:latin typeface="Times New Roman" pitchFamily="18" charset="0"/>
            <a:ea typeface="標楷體" pitchFamily="65" charset="-120"/>
            <a:cs typeface="Times New Roman" pitchFamily="18" charset="0"/>
          </a:endParaRPr>
        </a:p>
        <a:p xmlns:a="http://schemas.openxmlformats.org/drawingml/2006/main">
          <a:pPr algn="ctr"/>
          <a:endParaRPr lang="zh-TW" altLang="en-US" sz="10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cdr:x>
      <cdr:y>0.0895</cdr:y>
    </cdr:from>
    <cdr:to>
      <cdr:x>0</cdr:x>
      <cdr:y>0.0895</cdr:y>
    </cdr:to>
    <cdr:sp macro="" textlink="">
      <cdr:nvSpPr>
        <cdr:cNvPr id="4" name="文字方塊 3"/>
        <cdr:cNvSpPr txBox="1"/>
      </cdr:nvSpPr>
      <cdr:spPr>
        <a:xfrm xmlns:a="http://schemas.openxmlformats.org/drawingml/2006/main">
          <a:off x="0" y="342901"/>
          <a:ext cx="1038224" cy="17145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en-US" altLang="zh-TW" sz="800">
              <a:latin typeface="Times New Roman" pitchFamily="18" charset="0"/>
              <a:cs typeface="Times New Roman" pitchFamily="18" charset="0"/>
            </a:rPr>
            <a:t>100 Million RVU</a:t>
          </a:r>
          <a:endParaRPr lang="zh-TW" altLang="en-US" sz="800">
            <a:latin typeface="Times New Roman" pitchFamily="18" charset="0"/>
            <a:cs typeface="Times New Roman" pitchFamily="18" charset="0"/>
          </a:endParaRPr>
        </a:p>
      </cdr:txBody>
    </cdr:sp>
  </cdr:relSizeAnchor>
  <cdr:relSizeAnchor xmlns:cdr="http://schemas.openxmlformats.org/drawingml/2006/chartDrawing">
    <cdr:from>
      <cdr:x>0</cdr:x>
      <cdr:y>0.92203</cdr:y>
    </cdr:from>
    <cdr:to>
      <cdr:x>1</cdr:x>
      <cdr:y>0.98039</cdr:y>
    </cdr:to>
    <cdr:sp macro="" textlink="">
      <cdr:nvSpPr>
        <cdr:cNvPr id="6" name="文字方塊 5"/>
        <cdr:cNvSpPr txBox="1"/>
      </cdr:nvSpPr>
      <cdr:spPr>
        <a:xfrm xmlns:a="http://schemas.openxmlformats.org/drawingml/2006/main">
          <a:off x="0" y="2687406"/>
          <a:ext cx="5200651" cy="170099"/>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kumimoji="0" lang="de-DE" altLang="zh-TW" sz="9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Inpatient medical expenses were 174 billion RVU , 96 billion RVU for male and </a:t>
          </a:r>
          <a:r>
            <a:rPr lang="en-US" altLang="zh-TW" sz="900">
              <a:latin typeface="Times New Roman" pitchFamily="18" charset="0"/>
              <a:ea typeface="標楷體" pitchFamily="65" charset="-120"/>
              <a:cs typeface="Times New Roman" pitchFamily="18" charset="0"/>
            </a:rPr>
            <a:t>78 billion RVU for female.</a:t>
          </a:r>
          <a:endParaRPr lang="zh-TW" altLang="en-US" sz="9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cdr:x>
      <cdr:y>0.11458</cdr:y>
    </cdr:from>
    <cdr:to>
      <cdr:x>0.14652</cdr:x>
      <cdr:y>0.183</cdr:y>
    </cdr:to>
    <cdr:sp macro="" textlink="">
      <cdr:nvSpPr>
        <cdr:cNvPr id="7" name="文字方塊 6"/>
        <cdr:cNvSpPr txBox="1"/>
      </cdr:nvSpPr>
      <cdr:spPr>
        <a:xfrm xmlns:a="http://schemas.openxmlformats.org/drawingml/2006/main">
          <a:off x="0" y="333967"/>
          <a:ext cx="761999" cy="199420"/>
        </a:xfrm>
        <a:prstGeom xmlns:a="http://schemas.openxmlformats.org/drawingml/2006/main" prst="rect">
          <a:avLst/>
        </a:prstGeom>
      </cdr:spPr>
      <cdr:txBody>
        <a:bodyPr xmlns:a="http://schemas.openxmlformats.org/drawingml/2006/main" vertOverflow="clip" wrap="square" lIns="0" rtlCol="0"/>
        <a:lstStyle xmlns:a="http://schemas.openxmlformats.org/drawingml/2006/main"/>
        <a:p xmlns:a="http://schemas.openxmlformats.org/drawingml/2006/main">
          <a:r>
            <a:rPr lang="en-US" altLang="zh-TW" sz="800">
              <a:latin typeface="Times New Roman" pitchFamily="18" charset="0"/>
              <a:ea typeface="標楷體" pitchFamily="65" charset="-120"/>
              <a:cs typeface="Times New Roman" pitchFamily="18" charset="0"/>
            </a:rPr>
            <a:t>Billion</a:t>
          </a:r>
          <a:r>
            <a:rPr lang="en-US" altLang="zh-TW" sz="800" baseline="0">
              <a:latin typeface="Times New Roman" pitchFamily="18" charset="0"/>
              <a:ea typeface="標楷體" pitchFamily="65" charset="-120"/>
              <a:cs typeface="Times New Roman" pitchFamily="18" charset="0"/>
            </a:rPr>
            <a:t> RVU</a:t>
          </a:r>
          <a:endParaRPr lang="zh-TW" altLang="en-US" sz="800">
            <a:latin typeface="Times New Roman" pitchFamily="18" charset="0"/>
            <a:ea typeface="標楷體" pitchFamily="65" charset="-120"/>
            <a:cs typeface="Times New Roman" pitchFamily="18" charset="0"/>
          </a:endParaRPr>
        </a:p>
      </cdr:txBody>
    </cdr:sp>
  </cdr:relSizeAnchor>
</c:userShapes>
</file>

<file path=word/drawings/drawing21.xml><?xml version="1.0" encoding="utf-8"?>
<c:userShapes xmlns:c="http://schemas.openxmlformats.org/drawingml/2006/chart">
  <cdr:relSizeAnchor xmlns:cdr="http://schemas.openxmlformats.org/drawingml/2006/chartDrawing">
    <cdr:from>
      <cdr:x>0.83284</cdr:x>
      <cdr:y>0.82771</cdr:y>
    </cdr:from>
    <cdr:to>
      <cdr:x>0.90099</cdr:x>
      <cdr:y>0.87888</cdr:y>
    </cdr:to>
    <cdr:sp macro="" textlink="">
      <cdr:nvSpPr>
        <cdr:cNvPr id="2" name="文字方塊 1"/>
        <cdr:cNvSpPr txBox="1"/>
      </cdr:nvSpPr>
      <cdr:spPr>
        <a:xfrm xmlns:a="http://schemas.openxmlformats.org/drawingml/2006/main">
          <a:off x="4486793" y="2794056"/>
          <a:ext cx="367147" cy="172732"/>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a:t>
          </a:r>
          <a:endPar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0.03195</cdr:x>
      <cdr:y>0.18173</cdr:y>
    </cdr:from>
    <cdr:to>
      <cdr:x>0.11413</cdr:x>
      <cdr:y>0.2452</cdr:y>
    </cdr:to>
    <cdr:sp macro="" textlink="">
      <cdr:nvSpPr>
        <cdr:cNvPr id="4" name="文字方塊 1"/>
        <cdr:cNvSpPr txBox="1"/>
      </cdr:nvSpPr>
      <cdr:spPr>
        <a:xfrm xmlns:a="http://schemas.openxmlformats.org/drawingml/2006/main">
          <a:off x="167701" y="541219"/>
          <a:ext cx="431304" cy="189023"/>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endParaRPr kumimoji="0" lang="zh-TW" altLang="en-US" sz="800" b="0" i="0" u="none" strike="noStrike" kern="0" cap="none" spc="0" normalizeH="0" baseline="0" noProof="0">
            <a:ln>
              <a:noFill/>
            </a:ln>
            <a:solidFill>
              <a:sysClr val="windowText" lastClr="000000"/>
            </a:solidFill>
            <a:effectLst/>
            <a:uLnTx/>
            <a:uFillTx/>
            <a:latin typeface="標楷體" pitchFamily="65" charset="-120"/>
            <a:ea typeface="標楷體" pitchFamily="65" charset="-120"/>
            <a:cs typeface="+mn-cs"/>
          </a:endParaRPr>
        </a:p>
      </cdr:txBody>
    </cdr:sp>
  </cdr:relSizeAnchor>
  <cdr:relSizeAnchor xmlns:cdr="http://schemas.openxmlformats.org/drawingml/2006/chartDrawing">
    <cdr:from>
      <cdr:x>0.11435</cdr:x>
      <cdr:y>0.01227</cdr:y>
    </cdr:from>
    <cdr:to>
      <cdr:x>0.83368</cdr:x>
      <cdr:y>0.1544</cdr:y>
    </cdr:to>
    <cdr:sp macro="" textlink="">
      <cdr:nvSpPr>
        <cdr:cNvPr id="7" name="文字方塊 2"/>
        <cdr:cNvSpPr txBox="1"/>
      </cdr:nvSpPr>
      <cdr:spPr>
        <a:xfrm xmlns:a="http://schemas.openxmlformats.org/drawingml/2006/main">
          <a:off x="616325" y="41854"/>
          <a:ext cx="3877235" cy="484815"/>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Figure 50</a:t>
          </a:r>
          <a:r>
            <a:rPr kumimoji="0" lang="zh-TW" altLang="en-US"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　</a:t>
          </a:r>
          <a:r>
            <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Detailed Inpatient Expenses by Age</a:t>
          </a:r>
        </a:p>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endParaRPr kumimoji="0" lang="en-US" altLang="zh-TW" sz="6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2011</a:t>
          </a:r>
          <a:endPar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algn="ct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0.03195</cdr:x>
      <cdr:y>0.18173</cdr:y>
    </cdr:from>
    <cdr:to>
      <cdr:x>0.11413</cdr:x>
      <cdr:y>0.2452</cdr:y>
    </cdr:to>
    <cdr:sp macro="" textlink="">
      <cdr:nvSpPr>
        <cdr:cNvPr id="8" name="文字方塊 1"/>
        <cdr:cNvSpPr txBox="1"/>
      </cdr:nvSpPr>
      <cdr:spPr>
        <a:xfrm xmlns:a="http://schemas.openxmlformats.org/drawingml/2006/main">
          <a:off x="167701" y="541219"/>
          <a:ext cx="431304" cy="189023"/>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endParaRPr kumimoji="0" lang="zh-TW" altLang="en-US" sz="800" b="0" i="0" u="none" strike="noStrike" kern="0" cap="none" spc="0" normalizeH="0" baseline="0" noProof="0">
            <a:ln>
              <a:noFill/>
            </a:ln>
            <a:solidFill>
              <a:sysClr val="windowText" lastClr="000000"/>
            </a:solidFill>
            <a:effectLst/>
            <a:uLnTx/>
            <a:uFillTx/>
            <a:latin typeface="標楷體" pitchFamily="65" charset="-120"/>
            <a:ea typeface="標楷體" pitchFamily="65" charset="-120"/>
            <a:cs typeface="+mn-cs"/>
          </a:endParaRPr>
        </a:p>
      </cdr:txBody>
    </cdr:sp>
  </cdr:relSizeAnchor>
  <cdr:relSizeAnchor xmlns:cdr="http://schemas.openxmlformats.org/drawingml/2006/chartDrawing">
    <cdr:from>
      <cdr:x>0.8309</cdr:x>
      <cdr:y>0.32745</cdr:y>
    </cdr:from>
    <cdr:to>
      <cdr:x>0.98735</cdr:x>
      <cdr:y>0.79233</cdr:y>
    </cdr:to>
    <cdr:sp macro="" textlink="">
      <cdr:nvSpPr>
        <cdr:cNvPr id="9" name="文字方塊 1"/>
        <cdr:cNvSpPr txBox="1"/>
      </cdr:nvSpPr>
      <cdr:spPr>
        <a:xfrm xmlns:a="http://schemas.openxmlformats.org/drawingml/2006/main">
          <a:off x="4476341" y="1105361"/>
          <a:ext cx="842849" cy="1569260"/>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r"/>
          <a:r>
            <a:rPr lang="en-US" altLang="zh-TW" sz="800" baseline="0">
              <a:latin typeface="Times New Roman" pitchFamily="18" charset="0"/>
              <a:cs typeface="Times New Roman" pitchFamily="18" charset="0"/>
            </a:rPr>
            <a:t>76 billion RVU</a:t>
          </a: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endParaRPr lang="en-US" altLang="zh-TW" sz="1500" baseline="0">
            <a:latin typeface="Times New Roman" pitchFamily="18" charset="0"/>
            <a:cs typeface="Times New Roman" pitchFamily="18" charset="0"/>
          </a:endParaRP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r>
            <a:rPr lang="en-US" altLang="zh-TW" sz="800" baseline="0">
              <a:latin typeface="Times New Roman" pitchFamily="18" charset="0"/>
              <a:cs typeface="Times New Roman" pitchFamily="18" charset="0"/>
            </a:rPr>
            <a:t>54 billion RVU</a:t>
          </a: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endParaRPr lang="en-US" altLang="zh-TW" sz="1500" baseline="0">
            <a:latin typeface="Times New Roman" pitchFamily="18" charset="0"/>
            <a:cs typeface="Times New Roman" pitchFamily="18" charset="0"/>
          </a:endParaRP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r>
            <a:rPr lang="en-US" altLang="zh-TW" sz="800" baseline="0">
              <a:latin typeface="Times New Roman" pitchFamily="18" charset="0"/>
              <a:cs typeface="Times New Roman" pitchFamily="18" charset="0"/>
            </a:rPr>
            <a:t>25 billion RVU</a:t>
          </a: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endParaRPr lang="en-US" altLang="zh-TW" sz="1500" baseline="0">
            <a:latin typeface="Times New Roman" pitchFamily="18" charset="0"/>
            <a:cs typeface="Times New Roman" pitchFamily="18" charset="0"/>
          </a:endParaRP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r>
            <a:rPr lang="en-US" altLang="zh-TW" sz="800" baseline="0">
              <a:latin typeface="Times New Roman" pitchFamily="18" charset="0"/>
              <a:cs typeface="Times New Roman" pitchFamily="18" charset="0"/>
            </a:rPr>
            <a:t>12 billion RVU</a:t>
          </a: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endParaRPr lang="en-US" altLang="zh-TW" sz="1500" baseline="0">
            <a:latin typeface="Times New Roman" pitchFamily="18" charset="0"/>
            <a:cs typeface="Times New Roman" pitchFamily="18" charset="0"/>
          </a:endParaRPr>
        </a:p>
        <a:p xmlns:a="http://schemas.openxmlformats.org/drawingml/2006/main">
          <a:pPr marL="0" marR="0" indent="0" algn="r" defTabSz="914400" eaLnBrk="1" fontAlgn="auto" latinLnBrk="0" hangingPunct="1">
            <a:lnSpc>
              <a:spcPct val="100000"/>
            </a:lnSpc>
            <a:spcBef>
              <a:spcPts val="0"/>
            </a:spcBef>
            <a:spcAft>
              <a:spcPts val="0"/>
            </a:spcAft>
            <a:buClrTx/>
            <a:buSzTx/>
            <a:buFontTx/>
            <a:buNone/>
            <a:tabLst/>
            <a:defRPr/>
          </a:pPr>
          <a:r>
            <a:rPr lang="en-US" altLang="zh-TW" sz="800" baseline="0">
              <a:latin typeface="Times New Roman" pitchFamily="18" charset="0"/>
              <a:cs typeface="Times New Roman" pitchFamily="18" charset="0"/>
            </a:rPr>
            <a:t>8 billion RVU</a:t>
          </a:r>
        </a:p>
      </cdr:txBody>
    </cdr:sp>
  </cdr:relSizeAnchor>
  <cdr:relSizeAnchor xmlns:cdr="http://schemas.openxmlformats.org/drawingml/2006/chartDrawing">
    <cdr:from>
      <cdr:x>0.0587</cdr:x>
      <cdr:y>0.92325</cdr:y>
    </cdr:from>
    <cdr:to>
      <cdr:x>0.92645</cdr:x>
      <cdr:y>0.97968</cdr:y>
    </cdr:to>
    <cdr:sp macro="" textlink="">
      <cdr:nvSpPr>
        <cdr:cNvPr id="10" name="文字方塊 9"/>
        <cdr:cNvSpPr txBox="1"/>
      </cdr:nvSpPr>
      <cdr:spPr>
        <a:xfrm xmlns:a="http://schemas.openxmlformats.org/drawingml/2006/main">
          <a:off x="316230" y="3116580"/>
          <a:ext cx="4674870" cy="1905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altLang="zh-TW" sz="800">
              <a:latin typeface="Times New Roman" pitchFamily="18" charset="0"/>
              <a:cs typeface="Times New Roman" pitchFamily="18" charset="0"/>
            </a:rPr>
            <a:t>"Others" includes</a:t>
          </a:r>
          <a:r>
            <a:rPr lang="en-US" altLang="zh-TW" sz="800" baseline="0">
              <a:latin typeface="Times New Roman" pitchFamily="18" charset="0"/>
              <a:cs typeface="Times New Roman" pitchFamily="18" charset="0"/>
            </a:rPr>
            <a:t> 10 other medical fees, such as diagnosis fees, X-Ray Fees and anesthesia fees.</a:t>
          </a:r>
          <a:endParaRPr lang="zh-TW" altLang="en-US" sz="800">
            <a:latin typeface="Times New Roman" pitchFamily="18" charset="0"/>
            <a:cs typeface="Times New Roman" pitchFamily="18" charset="0"/>
          </a:endParaRPr>
        </a:p>
      </cdr:txBody>
    </cdr:sp>
  </cdr:relSizeAnchor>
</c:userShapes>
</file>

<file path=word/drawings/drawing22.xml><?xml version="1.0" encoding="utf-8"?>
<c:userShapes xmlns:c="http://schemas.openxmlformats.org/drawingml/2006/chart">
  <cdr:relSizeAnchor xmlns:cdr="http://schemas.openxmlformats.org/drawingml/2006/chartDrawing">
    <cdr:from>
      <cdr:x>0.03393</cdr:x>
      <cdr:y>0.0184</cdr:y>
    </cdr:from>
    <cdr:to>
      <cdr:x>0.96607</cdr:x>
      <cdr:y>0.12883</cdr:y>
    </cdr:to>
    <cdr:sp macro="" textlink="">
      <cdr:nvSpPr>
        <cdr:cNvPr id="2" name="文字方塊 1"/>
        <cdr:cNvSpPr txBox="1"/>
      </cdr:nvSpPr>
      <cdr:spPr>
        <a:xfrm xmlns:a="http://schemas.openxmlformats.org/drawingml/2006/main">
          <a:off x="161925" y="57485"/>
          <a:ext cx="4448174" cy="345006"/>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Figure 51</a:t>
          </a:r>
          <a:r>
            <a:rPr kumimoji="0" lang="zh-TW" altLang="en-US"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　</a:t>
          </a:r>
          <a:r>
            <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Numbers of Valid Major Illness/ Injury Certificates Issued </a:t>
          </a:r>
        </a:p>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endPar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a:p xmlns:a="http://schemas.openxmlformats.org/drawingml/2006/main">
          <a:pPr marL="0" marR="0" lvl="0" indent="0" algn="ctr" defTabSz="914400" eaLnBrk="1" fontAlgn="auto" latinLnBrk="0" hangingPunct="1">
            <a:lnSpc>
              <a:spcPct val="100000"/>
            </a:lnSpc>
            <a:spcBef>
              <a:spcPts val="0"/>
            </a:spcBef>
            <a:spcAft>
              <a:spcPts val="0"/>
            </a:spcAft>
            <a:buClrTx/>
            <a:buSzTx/>
            <a:buFontTx/>
            <a:buNone/>
            <a:tabLst/>
            <a:defRPr/>
          </a:pPr>
          <a:r>
            <a:rPr lang="en-US" altLang="zh-TW" sz="800">
              <a:latin typeface="Times New Roman" pitchFamily="18" charset="0"/>
              <a:cs typeface="Times New Roman" pitchFamily="18" charset="0"/>
            </a:rPr>
            <a:t>2011</a:t>
          </a:r>
          <a:endParaRPr lang="zh-TW" altLang="en-US" sz="800">
            <a:latin typeface="Times New Roman" pitchFamily="18" charset="0"/>
            <a:cs typeface="Times New Roman" pitchFamily="18" charset="0"/>
          </a:endParaRPr>
        </a:p>
      </cdr:txBody>
    </cdr:sp>
  </cdr:relSizeAnchor>
  <cdr:relSizeAnchor xmlns:cdr="http://schemas.openxmlformats.org/drawingml/2006/chartDrawing">
    <cdr:from>
      <cdr:x>0.06387</cdr:x>
      <cdr:y>0.90244</cdr:y>
    </cdr:from>
    <cdr:to>
      <cdr:x>0.97981</cdr:x>
      <cdr:y>0.96429</cdr:y>
    </cdr:to>
    <cdr:sp macro="" textlink="">
      <cdr:nvSpPr>
        <cdr:cNvPr id="4" name="文字方塊 3"/>
        <cdr:cNvSpPr txBox="1"/>
      </cdr:nvSpPr>
      <cdr:spPr>
        <a:xfrm xmlns:a="http://schemas.openxmlformats.org/drawingml/2006/main">
          <a:off x="289337" y="2503080"/>
          <a:ext cx="4149313" cy="17154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kumimoji="0" lang="en-GB" altLang="zh-TW" sz="800" b="0" i="0" u="none" strike="noStrike" kern="0" cap="none" spc="0" normalizeH="0" baseline="0" noProof="0">
              <a:ln>
                <a:noFill/>
              </a:ln>
              <a:solidFill>
                <a:sysClr val="windowText" lastClr="000000"/>
              </a:solidFill>
              <a:effectLst/>
              <a:uLnTx/>
              <a:uFillTx/>
              <a:latin typeface="Times New Roman" pitchFamily="18" charset="0"/>
              <a:ea typeface="+mn-ea"/>
              <a:cs typeface="Times New Roman" pitchFamily="18" charset="0"/>
            </a:rPr>
            <a:t>At the end of 2011, the number of valid Major Illness/ Injury Certificates issued was </a:t>
          </a:r>
          <a:r>
            <a:rPr lang="en-US" altLang="zh-TW" sz="800">
              <a:latin typeface="Times New Roman" pitchFamily="18" charset="0"/>
              <a:ea typeface="標楷體" pitchFamily="65" charset="-120"/>
              <a:cs typeface="Times New Roman" pitchFamily="18" charset="0"/>
            </a:rPr>
            <a:t>918,720.</a:t>
          </a:r>
          <a:endParaRPr lang="zh-TW" altLang="en-US" sz="800">
            <a:latin typeface="Times New Roman" pitchFamily="18" charset="0"/>
            <a:ea typeface="標楷體" pitchFamily="65" charset="-120"/>
            <a:cs typeface="Times New Roman" pitchFamily="18" charset="0"/>
          </a:endParaRPr>
        </a:p>
      </cdr:txBody>
    </cdr:sp>
  </cdr:relSizeAnchor>
</c:userShapes>
</file>

<file path=word/drawings/drawing23.xml><?xml version="1.0" encoding="utf-8"?>
<c:userShapes xmlns:c="http://schemas.openxmlformats.org/drawingml/2006/chart">
  <cdr:relSizeAnchor xmlns:cdr="http://schemas.openxmlformats.org/drawingml/2006/chartDrawing">
    <cdr:from>
      <cdr:x>0.13721</cdr:x>
      <cdr:y>0.03716</cdr:y>
    </cdr:from>
    <cdr:to>
      <cdr:x>0.88837</cdr:x>
      <cdr:y>0.13176</cdr:y>
    </cdr:to>
    <cdr:sp macro="" textlink="">
      <cdr:nvSpPr>
        <cdr:cNvPr id="6" name="文字方塊 5"/>
        <cdr:cNvSpPr txBox="1"/>
      </cdr:nvSpPr>
      <cdr:spPr>
        <a:xfrm xmlns:a="http://schemas.openxmlformats.org/drawingml/2006/main">
          <a:off x="561975" y="104775"/>
          <a:ext cx="3076575" cy="26670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endParaRPr lang="zh-TW" altLang="en-US" sz="1100"/>
        </a:p>
      </cdr:txBody>
    </cdr:sp>
  </cdr:relSizeAnchor>
  <cdr:relSizeAnchor xmlns:cdr="http://schemas.openxmlformats.org/drawingml/2006/chartDrawing">
    <cdr:from>
      <cdr:x>0.01395</cdr:x>
      <cdr:y>0.02913</cdr:y>
    </cdr:from>
    <cdr:to>
      <cdr:x>0.9907</cdr:x>
      <cdr:y>0.19467</cdr:y>
    </cdr:to>
    <cdr:sp macro="" textlink="">
      <cdr:nvSpPr>
        <cdr:cNvPr id="7" name="文字方塊 1"/>
        <cdr:cNvSpPr txBox="1"/>
      </cdr:nvSpPr>
      <cdr:spPr>
        <a:xfrm xmlns:a="http://schemas.openxmlformats.org/drawingml/2006/main">
          <a:off x="63912" y="85725"/>
          <a:ext cx="4475005" cy="487221"/>
        </a:xfrm>
        <a:prstGeom xmlns:a="http://schemas.openxmlformats.org/drawingml/2006/main" prst="rect">
          <a:avLst/>
        </a:prstGeom>
      </cdr:spPr>
      <cdr:txBody>
        <a:bodyPr xmlns:a="http://schemas.openxmlformats.org/drawingml/2006/main" wrap="square" rtlCol="0" anchor="ct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indent="0" algn="ctr" defTabSz="914400" eaLnBrk="1" fontAlgn="auto" latinLnBrk="0" hangingPunct="1">
            <a:lnSpc>
              <a:spcPct val="100000"/>
            </a:lnSpc>
            <a:spcBef>
              <a:spcPts val="0"/>
            </a:spcBef>
            <a:spcAft>
              <a:spcPts val="0"/>
            </a:spcAft>
            <a:buClrTx/>
            <a:buSzTx/>
            <a:buFontTx/>
            <a:buNone/>
            <a:tabLst/>
            <a:defRPr/>
          </a:pPr>
          <a:r>
            <a:rPr lang="en-US" altLang="zh-TW" sz="1000">
              <a:latin typeface="Times New Roman" pitchFamily="18" charset="0"/>
              <a:ea typeface="標楷體" pitchFamily="65" charset="-120"/>
              <a:cs typeface="Times New Roman" pitchFamily="18" charset="0"/>
            </a:rPr>
            <a:t>Figure 52</a:t>
          </a:r>
          <a:r>
            <a:rPr lang="zh-TW" altLang="en-US" sz="1000">
              <a:latin typeface="Times New Roman" pitchFamily="18" charset="0"/>
              <a:ea typeface="標楷體" pitchFamily="65" charset="-120"/>
              <a:cs typeface="Times New Roman" pitchFamily="18" charset="0"/>
            </a:rPr>
            <a:t>　</a:t>
          </a:r>
          <a:r>
            <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Outpatient Medical Benifit Claims of Major Illness/ Injury </a:t>
          </a:r>
          <a:endParaRPr lang="en-US" altLang="zh-TW" sz="1000">
            <a:latin typeface="Times New Roman" pitchFamily="18" charset="0"/>
            <a:ea typeface="標楷體" pitchFamily="65" charset="-120"/>
            <a:cs typeface="Times New Roman" pitchFamily="18" charset="0"/>
          </a:endParaRPr>
        </a:p>
        <a:p xmlns:a="http://schemas.openxmlformats.org/drawingml/2006/main">
          <a:pPr algn="ctr"/>
          <a:endParaRPr lang="en-US" altLang="zh-TW" sz="800">
            <a:latin typeface="Times New Roman" pitchFamily="18" charset="0"/>
            <a:ea typeface="標楷體" pitchFamily="65" charset="-120"/>
            <a:cs typeface="Times New Roman" pitchFamily="18" charset="0"/>
          </a:endParaRPr>
        </a:p>
        <a:p xmlns:a="http://schemas.openxmlformats.org/drawingml/2006/main">
          <a:pPr algn="ctr"/>
          <a:r>
            <a:rPr lang="en-US" altLang="zh-TW" sz="800">
              <a:latin typeface="Times New Roman" pitchFamily="18" charset="0"/>
              <a:ea typeface="標楷體" pitchFamily="65" charset="-120"/>
              <a:cs typeface="Times New Roman" pitchFamily="18" charset="0"/>
            </a:rPr>
            <a:t>2011</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0.29028</cdr:x>
      <cdr:y>0.89843</cdr:y>
    </cdr:from>
    <cdr:to>
      <cdr:x>0.9952</cdr:x>
      <cdr:y>0.97649</cdr:y>
    </cdr:to>
    <cdr:sp macro="" textlink="">
      <cdr:nvSpPr>
        <cdr:cNvPr id="9" name="文字方塊 8"/>
        <cdr:cNvSpPr txBox="1"/>
      </cdr:nvSpPr>
      <cdr:spPr>
        <a:xfrm xmlns:a="http://schemas.openxmlformats.org/drawingml/2006/main">
          <a:off x="1592580" y="2072640"/>
          <a:ext cx="3867485" cy="180078"/>
        </a:xfrm>
        <a:prstGeom xmlns:a="http://schemas.openxmlformats.org/drawingml/2006/main" prst="rect">
          <a:avLst/>
        </a:prstGeom>
      </cdr:spPr>
      <cdr:txBody>
        <a:bodyPr xmlns:a="http://schemas.openxmlformats.org/drawingml/2006/main" wrap="square" lIns="0" rIns="0" rtlCol="0"/>
        <a:lstStyle xmlns:a="http://schemas.openxmlformats.org/drawingml/2006/main"/>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a:ea typeface="標楷體"/>
              <a:cs typeface="+mn-cs"/>
            </a:rPr>
            <a:t>The outpatient medical benefit claims of major illnesses/ injury were 80 billion RVU in 2011.</a:t>
          </a:r>
          <a:endPar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mn-ea"/>
            <a:cs typeface="Times New Roman" pitchFamily="18" charset="0"/>
          </a:endParaRPr>
        </a:p>
      </cdr:txBody>
    </cdr:sp>
  </cdr:relSizeAnchor>
  <cdr:relSizeAnchor xmlns:cdr="http://schemas.openxmlformats.org/drawingml/2006/chartDrawing">
    <cdr:from>
      <cdr:x>0.23786</cdr:x>
      <cdr:y>0.55599</cdr:y>
    </cdr:from>
    <cdr:to>
      <cdr:x>0.34861</cdr:x>
      <cdr:y>0.61957</cdr:y>
    </cdr:to>
    <cdr:sp macro="" textlink="">
      <cdr:nvSpPr>
        <cdr:cNvPr id="11" name="文字方塊 10"/>
        <cdr:cNvSpPr txBox="1"/>
      </cdr:nvSpPr>
      <cdr:spPr>
        <a:xfrm xmlns:a="http://schemas.openxmlformats.org/drawingml/2006/main">
          <a:off x="1305013" y="1948859"/>
          <a:ext cx="607619" cy="222842"/>
        </a:xfrm>
        <a:prstGeom xmlns:a="http://schemas.openxmlformats.org/drawingml/2006/main" prst="rect">
          <a:avLst/>
        </a:prstGeom>
      </cdr:spPr>
      <cdr:txBody>
        <a:bodyPr xmlns:a="http://schemas.openxmlformats.org/drawingml/2006/main" wrap="square" lIns="0" rIns="0" rtlCol="0"/>
        <a:lstStyle xmlns:a="http://schemas.openxmlformats.org/drawingml/2006/main"/>
        <a:p xmlns:a="http://schemas.openxmlformats.org/drawingml/2006/main">
          <a:r>
            <a:rPr lang="en-US" altLang="zh-TW" sz="800">
              <a:latin typeface="Times New Roman" pitchFamily="18" charset="0"/>
              <a:ea typeface="標楷體" pitchFamily="65" charset="-120"/>
              <a:cs typeface="Times New Roman" pitchFamily="18" charset="0"/>
            </a:rPr>
            <a:t>Others</a:t>
          </a:r>
          <a:r>
            <a:rPr lang="zh-TW" altLang="en-US" sz="800">
              <a:latin typeface="Times New Roman" pitchFamily="18" charset="0"/>
              <a:ea typeface="標楷體" pitchFamily="65" charset="-120"/>
              <a:cs typeface="Times New Roman" pitchFamily="18" charset="0"/>
            </a:rPr>
            <a:t>  </a:t>
          </a:r>
          <a:r>
            <a:rPr lang="en-US" altLang="zh-TW" sz="800">
              <a:latin typeface="Times New Roman" pitchFamily="18" charset="0"/>
              <a:ea typeface="標楷體" pitchFamily="65" charset="-120"/>
              <a:cs typeface="Times New Roman" pitchFamily="18" charset="0"/>
            </a:rPr>
            <a:t>15.3%</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0.5545</cdr:x>
      <cdr:y>0.43696</cdr:y>
    </cdr:from>
    <cdr:to>
      <cdr:x>0.97893</cdr:x>
      <cdr:y>0.69961</cdr:y>
    </cdr:to>
    <cdr:grpSp>
      <cdr:nvGrpSpPr>
        <cdr:cNvPr id="14" name="群組 13"/>
        <cdr:cNvGrpSpPr/>
      </cdr:nvGrpSpPr>
      <cdr:grpSpPr>
        <a:xfrm xmlns:a="http://schemas.openxmlformats.org/drawingml/2006/main">
          <a:off x="3042209" y="1531632"/>
          <a:ext cx="2328593" cy="920641"/>
          <a:chOff x="3616878" y="1066566"/>
          <a:chExt cx="2202937" cy="657466"/>
        </a:xfrm>
      </cdr:grpSpPr>
      <cdr:sp macro="" textlink="">
        <cdr:nvSpPr>
          <cdr:cNvPr id="5" name="文字方塊 4"/>
          <cdr:cNvSpPr txBox="1"/>
        </cdr:nvSpPr>
        <cdr:spPr>
          <a:xfrm xmlns:a="http://schemas.openxmlformats.org/drawingml/2006/main">
            <a:off x="3616878" y="1066566"/>
            <a:ext cx="2160048" cy="114276"/>
          </a:xfrm>
          <a:prstGeom xmlns:a="http://schemas.openxmlformats.org/drawingml/2006/main" prst="rect">
            <a:avLst/>
          </a:prstGeom>
        </cdr:spPr>
        <cdr:txBody>
          <a:bodyPr xmlns:a="http://schemas.openxmlformats.org/drawingml/2006/main" wrap="square" lIns="0" rIns="0" rtlCol="0"/>
          <a:lstStyle xmlns:a="http://schemas.openxmlformats.org/drawingml/2006/main"/>
          <a:p xmlns:a="http://schemas.openxmlformats.org/drawingml/2006/main">
            <a:pPr marL="0" indent="0"/>
            <a:r>
              <a:rPr lang="de-DE" altLang="zh-TW" sz="800">
                <a:latin typeface="Times New Roman" pitchFamily="18" charset="0"/>
                <a:ea typeface="標楷體" pitchFamily="65" charset="-120"/>
                <a:cs typeface="Times New Roman" pitchFamily="18" charset="0"/>
              </a:rPr>
              <a:t>Generalized Autoimmune Syndrome</a:t>
            </a:r>
            <a:r>
              <a:rPr lang="zh-TW" sz="800">
                <a:latin typeface="Times New Roman" pitchFamily="18" charset="0"/>
                <a:ea typeface="標楷體" pitchFamily="65" charset="-120"/>
                <a:cs typeface="Times New Roman" pitchFamily="18" charset="0"/>
              </a:rPr>
              <a:t>  </a:t>
            </a:r>
            <a:r>
              <a:rPr lang="en-US" sz="800">
                <a:latin typeface="Times New Roman" pitchFamily="18" charset="0"/>
                <a:ea typeface="標楷體" pitchFamily="65" charset="-120"/>
                <a:cs typeface="Times New Roman" pitchFamily="18" charset="0"/>
              </a:rPr>
              <a:t>3.</a:t>
            </a:r>
            <a:r>
              <a:rPr lang="en-US" altLang="zh-TW" sz="800">
                <a:latin typeface="Times New Roman" pitchFamily="18" charset="0"/>
                <a:ea typeface="標楷體" pitchFamily="65" charset="-120"/>
                <a:cs typeface="Times New Roman" pitchFamily="18" charset="0"/>
              </a:rPr>
              <a:t>7</a:t>
            </a:r>
            <a:r>
              <a:rPr lang="en-US" sz="800">
                <a:latin typeface="Times New Roman" pitchFamily="18" charset="0"/>
                <a:ea typeface="標楷體" pitchFamily="65" charset="-120"/>
                <a:cs typeface="Times New Roman" pitchFamily="18" charset="0"/>
              </a:rPr>
              <a:t>%</a:t>
            </a:r>
            <a:endParaRPr lang="zh-TW" altLang="en-US" sz="800">
              <a:latin typeface="Times New Roman" pitchFamily="18" charset="0"/>
              <a:ea typeface="標楷體" pitchFamily="65" charset="-120"/>
              <a:cs typeface="Times New Roman" pitchFamily="18" charset="0"/>
            </a:endParaRPr>
          </a:p>
        </cdr:txBody>
      </cdr:sp>
      <cdr:sp macro="" textlink="">
        <cdr:nvSpPr>
          <cdr:cNvPr id="8" name="文字方塊 7"/>
          <cdr:cNvSpPr txBox="1"/>
        </cdr:nvSpPr>
        <cdr:spPr>
          <a:xfrm xmlns:a="http://schemas.openxmlformats.org/drawingml/2006/main">
            <a:off x="3616878" y="1474693"/>
            <a:ext cx="2202937" cy="249339"/>
          </a:xfrm>
          <a:prstGeom xmlns:a="http://schemas.openxmlformats.org/drawingml/2006/main" prst="rect">
            <a:avLst/>
          </a:prstGeom>
        </cdr:spPr>
        <cdr:txBody>
          <a:bodyPr xmlns:a="http://schemas.openxmlformats.org/drawingml/2006/main" wrap="square" lIns="0" rIns="0" rtlCol="0"/>
          <a:lstStyle xmlns:a="http://schemas.openxmlformats.org/drawingml/2006/main"/>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de-DE" altLang="zh-TW" sz="800">
                <a:latin typeface="Times New Roman" pitchFamily="18" charset="0"/>
                <a:ea typeface="標楷體" pitchFamily="65" charset="-120"/>
                <a:cs typeface="Times New Roman" pitchFamily="18" charset="0"/>
              </a:rPr>
              <a:t>Follow-up Treatment of Organ Transplants</a:t>
            </a:r>
            <a:r>
              <a:rPr lang="zh-TW" altLang="en-US" sz="800">
                <a:latin typeface="Times New Roman" pitchFamily="18" charset="0"/>
                <a:ea typeface="標楷體" pitchFamily="65" charset="-120"/>
                <a:cs typeface="Times New Roman" pitchFamily="18" charset="0"/>
              </a:rPr>
              <a:t>  </a:t>
            </a:r>
            <a:r>
              <a:rPr lang="en-US" altLang="zh-TW" sz="800">
                <a:latin typeface="Times New Roman" pitchFamily="18" charset="0"/>
                <a:ea typeface="標楷體" pitchFamily="65" charset="-120"/>
                <a:cs typeface="Times New Roman" pitchFamily="18" charset="0"/>
              </a:rPr>
              <a:t>2.0%</a:t>
            </a:r>
            <a:endParaRPr lang="zh-TW" altLang="en-US" sz="800">
              <a:latin typeface="Times New Roman" pitchFamily="18" charset="0"/>
              <a:ea typeface="標楷體" pitchFamily="65" charset="-120"/>
              <a:cs typeface="Times New Roman" pitchFamily="18" charset="0"/>
            </a:endParaRPr>
          </a:p>
        </cdr:txBody>
      </cdr:sp>
      <cdr:sp macro="" textlink="">
        <cdr:nvSpPr>
          <cdr:cNvPr id="10" name="文字方塊 1"/>
          <cdr:cNvSpPr txBox="1"/>
        </cdr:nvSpPr>
        <cdr:spPr>
          <a:xfrm xmlns:a="http://schemas.openxmlformats.org/drawingml/2006/main">
            <a:off x="3616878" y="1229818"/>
            <a:ext cx="1002748" cy="136042"/>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de-DE" altLang="zh-TW" sz="800">
                <a:latin typeface="Times New Roman" pitchFamily="18" charset="0"/>
                <a:ea typeface="標楷體" pitchFamily="65" charset="-120"/>
                <a:cs typeface="Times New Roman" pitchFamily="18" charset="0"/>
              </a:rPr>
              <a:t>Hemophilia</a:t>
            </a:r>
            <a:r>
              <a:rPr lang="zh-TW" altLang="en-US" sz="800">
                <a:latin typeface="Times New Roman" pitchFamily="18" charset="0"/>
                <a:ea typeface="標楷體" pitchFamily="65" charset="-120"/>
                <a:cs typeface="Times New Roman" pitchFamily="18" charset="0"/>
              </a:rPr>
              <a:t>  </a:t>
            </a:r>
            <a:r>
              <a:rPr lang="en-US" altLang="zh-TW" sz="800">
                <a:latin typeface="Times New Roman" pitchFamily="18" charset="0"/>
                <a:ea typeface="標楷體" pitchFamily="65" charset="-120"/>
                <a:cs typeface="Times New Roman" pitchFamily="18" charset="0"/>
              </a:rPr>
              <a:t>3.3%</a:t>
            </a:r>
            <a:endParaRPr lang="zh-TW" altLang="en-US" sz="800">
              <a:latin typeface="Times New Roman" pitchFamily="18" charset="0"/>
              <a:ea typeface="標楷體" pitchFamily="65" charset="-120"/>
              <a:cs typeface="Times New Roman" pitchFamily="18" charset="0"/>
            </a:endParaRPr>
          </a:p>
        </cdr:txBody>
      </cdr:sp>
      <cdr:sp macro="" textlink="">
        <cdr:nvSpPr>
          <cdr:cNvPr id="12" name="文字方塊 1"/>
          <cdr:cNvSpPr txBox="1"/>
        </cdr:nvSpPr>
        <cdr:spPr>
          <a:xfrm xmlns:a="http://schemas.openxmlformats.org/drawingml/2006/main">
            <a:off x="3616878" y="1349535"/>
            <a:ext cx="1717143" cy="141483"/>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de-DE" altLang="zh-TW" sz="800">
                <a:latin typeface="Times New Roman" pitchFamily="18" charset="0"/>
                <a:ea typeface="標楷體" pitchFamily="65" charset="-120"/>
                <a:cs typeface="Times New Roman" pitchFamily="18" charset="0"/>
              </a:rPr>
              <a:t>Congenital Metabolic Disease</a:t>
            </a:r>
            <a:r>
              <a:rPr lang="zh-TW" altLang="en-US" sz="800">
                <a:latin typeface="Times New Roman" pitchFamily="18" charset="0"/>
                <a:ea typeface="標楷體" pitchFamily="65" charset="-120"/>
                <a:cs typeface="Times New Roman" pitchFamily="18" charset="0"/>
              </a:rPr>
              <a:t>  </a:t>
            </a:r>
            <a:r>
              <a:rPr lang="en-US" altLang="zh-TW" sz="800">
                <a:latin typeface="Times New Roman" pitchFamily="18" charset="0"/>
                <a:ea typeface="標楷體" pitchFamily="65" charset="-120"/>
                <a:cs typeface="Times New Roman" pitchFamily="18" charset="0"/>
              </a:rPr>
              <a:t>2.0%</a:t>
            </a:r>
            <a:endParaRPr lang="zh-TW" altLang="en-US" sz="800">
              <a:latin typeface="Times New Roman" pitchFamily="18" charset="0"/>
              <a:ea typeface="標楷體" pitchFamily="65" charset="-120"/>
              <a:cs typeface="Times New Roman" pitchFamily="18" charset="0"/>
            </a:endParaRPr>
          </a:p>
        </cdr:txBody>
      </cdr:sp>
    </cdr:grpSp>
  </cdr:relSizeAnchor>
</c:userShapes>
</file>

<file path=word/drawings/drawing24.xml><?xml version="1.0" encoding="utf-8"?>
<c:userShapes xmlns:c="http://schemas.openxmlformats.org/drawingml/2006/chart">
  <cdr:relSizeAnchor xmlns:cdr="http://schemas.openxmlformats.org/drawingml/2006/chartDrawing">
    <cdr:from>
      <cdr:x>0.1268</cdr:x>
      <cdr:y>0.14818</cdr:y>
    </cdr:from>
    <cdr:to>
      <cdr:x>0.45537</cdr:x>
      <cdr:y>0.20831</cdr:y>
    </cdr:to>
    <cdr:sp macro="" textlink="">
      <cdr:nvSpPr>
        <cdr:cNvPr id="4" name="Text Box 7"/>
        <cdr:cNvSpPr txBox="1">
          <a:spLocks xmlns:a="http://schemas.openxmlformats.org/drawingml/2006/main" noChangeArrowheads="1"/>
        </cdr:cNvSpPr>
      </cdr:nvSpPr>
      <cdr:spPr bwMode="auto">
        <a:xfrm xmlns:a="http://schemas.openxmlformats.org/drawingml/2006/main">
          <a:off x="638654" y="477618"/>
          <a:ext cx="1654966" cy="193814"/>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wrap="square" lIns="36576" tIns="22860" rIns="36576" bIns="22860" anchor="ctr" upright="1"/>
        <a:lstStyle xmlns:a="http://schemas.openxmlformats.org/drawingml/2006/main">
          <a:lvl1pPr marL="0" indent="0">
            <a:defRPr sz="1100">
              <a:latin typeface="Gill Sans MT"/>
            </a:defRPr>
          </a:lvl1pPr>
          <a:lvl2pPr marL="457200" indent="0">
            <a:defRPr sz="1100">
              <a:latin typeface="Gill Sans MT"/>
            </a:defRPr>
          </a:lvl2pPr>
          <a:lvl3pPr marL="914400" indent="0">
            <a:defRPr sz="1100">
              <a:latin typeface="Gill Sans MT"/>
            </a:defRPr>
          </a:lvl3pPr>
          <a:lvl4pPr marL="1371600" indent="0">
            <a:defRPr sz="1100">
              <a:latin typeface="Gill Sans MT"/>
            </a:defRPr>
          </a:lvl4pPr>
          <a:lvl5pPr marL="1828800" indent="0">
            <a:defRPr sz="1100">
              <a:latin typeface="Gill Sans MT"/>
            </a:defRPr>
          </a:lvl5pPr>
          <a:lvl6pPr marL="2286000" indent="0">
            <a:defRPr sz="1100">
              <a:latin typeface="Gill Sans MT"/>
            </a:defRPr>
          </a:lvl6pPr>
          <a:lvl7pPr marL="2743200" indent="0">
            <a:defRPr sz="1100">
              <a:latin typeface="Gill Sans MT"/>
            </a:defRPr>
          </a:lvl7pPr>
          <a:lvl8pPr marL="3200400" indent="0">
            <a:defRPr sz="1100">
              <a:latin typeface="Gill Sans MT"/>
            </a:defRPr>
          </a:lvl8pPr>
          <a:lvl9pPr marL="3657600" indent="0">
            <a:defRPr sz="1100">
              <a:latin typeface="Gill Sans MT"/>
            </a:defRPr>
          </a:lvl9pPr>
        </a:lstStyle>
        <a:p xmlns:a="http://schemas.openxmlformats.org/drawingml/2006/main">
          <a:pPr algn="ctr" rtl="0">
            <a:defRPr sz="1000"/>
          </a:pPr>
          <a:r>
            <a:rPr lang="en-US" altLang="zh-TW" sz="800" b="0" i="0" strike="noStrike">
              <a:solidFill>
                <a:srgbClr val="000000"/>
              </a:solidFill>
              <a:latin typeface="Times New Roman" pitchFamily="18" charset="0"/>
              <a:ea typeface="標楷體" pitchFamily="65" charset="-120"/>
              <a:cs typeface="Times New Roman" pitchFamily="18" charset="0"/>
            </a:rPr>
            <a:t>Average</a:t>
          </a:r>
          <a:r>
            <a:rPr lang="en-US" altLang="zh-TW" sz="800" b="0" i="0" strike="noStrike" baseline="0">
              <a:solidFill>
                <a:srgbClr val="000000"/>
              </a:solidFill>
              <a:latin typeface="Times New Roman" pitchFamily="18" charset="0"/>
              <a:ea typeface="標楷體" pitchFamily="65" charset="-120"/>
              <a:cs typeface="Times New Roman" pitchFamily="18" charset="0"/>
            </a:rPr>
            <a:t> RVU per case (1,000 RVU)</a:t>
          </a:r>
          <a:endParaRPr lang="zh-TW" altLang="en-US" sz="800" b="0" i="0" strike="noStrike">
            <a:solidFill>
              <a:srgbClr val="000000"/>
            </a:solidFill>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0.93671</cdr:x>
      <cdr:y>0.33108</cdr:y>
    </cdr:from>
    <cdr:to>
      <cdr:x>0.97361</cdr:x>
      <cdr:y>0.84122</cdr:y>
    </cdr:to>
    <cdr:sp macro="" textlink="">
      <cdr:nvSpPr>
        <cdr:cNvPr id="8" name="文字方塊 7"/>
        <cdr:cNvSpPr txBox="1"/>
      </cdr:nvSpPr>
      <cdr:spPr>
        <a:xfrm xmlns:a="http://schemas.openxmlformats.org/drawingml/2006/main">
          <a:off x="4229101" y="933450"/>
          <a:ext cx="166610" cy="1438275"/>
        </a:xfrm>
        <a:prstGeom xmlns:a="http://schemas.openxmlformats.org/drawingml/2006/main" prst="rect">
          <a:avLst/>
        </a:prstGeom>
      </cdr:spPr>
      <cdr:txBody>
        <a:bodyPr xmlns:a="http://schemas.openxmlformats.org/drawingml/2006/main" vert="eaVert" wrap="square" lIns="0" tIns="0" rIns="0" bIns="0" rtlCol="0"/>
        <a:lstStyle xmlns:a="http://schemas.openxmlformats.org/drawingml/2006/main"/>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n-US" altLang="zh-TW" sz="800">
              <a:latin typeface="Times New Roman" pitchFamily="18" charset="0"/>
              <a:ea typeface="標楷體" pitchFamily="65" charset="-120"/>
              <a:cs typeface="Times New Roman" pitchFamily="18" charset="0"/>
            </a:rPr>
            <a:t>Percentage of benifit claims %</a:t>
          </a:r>
          <a:endParaRPr lang="zh-TW" sz="800">
            <a:latin typeface="Times New Roman" pitchFamily="18" charset="0"/>
            <a:ea typeface="標楷體" pitchFamily="65" charset="-120"/>
            <a:cs typeface="Times New Roman" pitchFamily="18" charset="0"/>
          </a:endParaRPr>
        </a:p>
        <a:p xmlns:a="http://schemas.openxmlformats.org/drawingml/2006/main">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0.01701</cdr:x>
      <cdr:y>0.01899</cdr:y>
    </cdr:from>
    <cdr:to>
      <cdr:x>0.98677</cdr:x>
      <cdr:y>0.09657</cdr:y>
    </cdr:to>
    <cdr:sp macro="" textlink="">
      <cdr:nvSpPr>
        <cdr:cNvPr id="9" name="文字方塊 8"/>
        <cdr:cNvSpPr txBox="1"/>
      </cdr:nvSpPr>
      <cdr:spPr>
        <a:xfrm xmlns:a="http://schemas.openxmlformats.org/drawingml/2006/main">
          <a:off x="85725" y="58062"/>
          <a:ext cx="4886325" cy="237213"/>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indent="0" algn="ctr" defTabSz="914400" eaLnBrk="1" fontAlgn="auto" latinLnBrk="0" hangingPunct="1">
            <a:lnSpc>
              <a:spcPct val="100000"/>
            </a:lnSpc>
            <a:spcBef>
              <a:spcPts val="0"/>
            </a:spcBef>
            <a:spcAft>
              <a:spcPts val="0"/>
            </a:spcAft>
            <a:buClrTx/>
            <a:buSzTx/>
            <a:buFontTx/>
            <a:buNone/>
            <a:tabLst/>
            <a:defRPr/>
          </a:pPr>
          <a:r>
            <a:rPr lang="en-US" altLang="zh-TW" sz="1000">
              <a:latin typeface="Times New Roman" pitchFamily="18" charset="0"/>
              <a:ea typeface="標楷體" pitchFamily="65" charset="-120"/>
              <a:cs typeface="Times New Roman" pitchFamily="18" charset="0"/>
            </a:rPr>
            <a:t>Figure 53</a:t>
          </a:r>
          <a:r>
            <a:rPr lang="zh-TW" altLang="en-US" sz="1000">
              <a:latin typeface="Times New Roman" pitchFamily="18" charset="0"/>
              <a:ea typeface="標楷體" pitchFamily="65" charset="-120"/>
              <a:cs typeface="Times New Roman" pitchFamily="18" charset="0"/>
            </a:rPr>
            <a:t>  </a:t>
          </a:r>
          <a:r>
            <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Outpatient Medical Benifit Claims of Major Illness/ Injury  by Gender and Age</a:t>
          </a:r>
          <a:endParaRPr lang="zh-TW" altLang="en-US" sz="10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0.64842</cdr:x>
      <cdr:y>0.20195</cdr:y>
    </cdr:from>
    <cdr:to>
      <cdr:x>0.89098</cdr:x>
      <cdr:y>0.256</cdr:y>
    </cdr:to>
    <cdr:grpSp>
      <cdr:nvGrpSpPr>
        <cdr:cNvPr id="17" name="群組 16"/>
        <cdr:cNvGrpSpPr/>
      </cdr:nvGrpSpPr>
      <cdr:grpSpPr>
        <a:xfrm xmlns:a="http://schemas.openxmlformats.org/drawingml/2006/main">
          <a:off x="3265975" y="650937"/>
          <a:ext cx="1221731" cy="174218"/>
          <a:chOff x="2838566" y="2572051"/>
          <a:chExt cx="1222194" cy="165259"/>
        </a:xfrm>
      </cdr:grpSpPr>
      <cdr:grpSp>
        <cdr:nvGrpSpPr>
          <cdr:cNvPr id="15" name="群組 14"/>
          <cdr:cNvGrpSpPr/>
        </cdr:nvGrpSpPr>
        <cdr:grpSpPr>
          <a:xfrm xmlns:a="http://schemas.openxmlformats.org/drawingml/2006/main">
            <a:off x="2838566" y="2572051"/>
            <a:ext cx="524381" cy="165259"/>
            <a:chOff x="2371725" y="2105025"/>
            <a:chExt cx="438150" cy="152400"/>
          </a:xfrm>
        </cdr:grpSpPr>
        <cdr:sp macro="" textlink="">
          <cdr:nvSpPr>
            <cdr:cNvPr id="12" name="菱形 11"/>
            <cdr:cNvSpPr/>
          </cdr:nvSpPr>
          <cdr:spPr>
            <a:xfrm xmlns:a="http://schemas.openxmlformats.org/drawingml/2006/main">
              <a:off x="2371725" y="2114550"/>
              <a:ext cx="114299" cy="133350"/>
            </a:xfrm>
            <a:prstGeom xmlns:a="http://schemas.openxmlformats.org/drawingml/2006/main" prst="diamond">
              <a:avLst/>
            </a:prstGeom>
            <a:solidFill xmlns:a="http://schemas.openxmlformats.org/drawingml/2006/main">
              <a:schemeClr val="accent1">
                <a:lumMod val="75000"/>
              </a:scheme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zh-TW"/>
            </a:p>
          </cdr:txBody>
        </cdr:sp>
        <cdr:sp macro="" textlink="">
          <cdr:nvSpPr>
            <cdr:cNvPr id="13" name="文字方塊 12"/>
            <cdr:cNvSpPr txBox="1"/>
          </cdr:nvSpPr>
          <cdr:spPr>
            <a:xfrm xmlns:a="http://schemas.openxmlformats.org/drawingml/2006/main">
              <a:off x="2514600" y="2105025"/>
              <a:ext cx="295275" cy="152400"/>
            </a:xfrm>
            <a:prstGeom xmlns:a="http://schemas.openxmlformats.org/drawingml/2006/main" prst="rect">
              <a:avLst/>
            </a:prstGeom>
          </cdr:spPr>
          <cdr:txBody>
            <a:bodyPr xmlns:a="http://schemas.openxmlformats.org/drawingml/2006/main" vertOverflow="clip" wrap="square" lIns="0" tIns="0" rIns="0" bIns="0" rtlCol="0"/>
            <a:lstStyle xmlns:a="http://schemas.openxmlformats.org/drawingml/2006/main"/>
            <a:p xmlns:a="http://schemas.openxmlformats.org/drawingml/2006/main">
              <a:r>
                <a:rPr lang="en-US" altLang="zh-TW" sz="800">
                  <a:latin typeface="Times New Roman" pitchFamily="18" charset="0"/>
                  <a:ea typeface="標楷體" pitchFamily="65" charset="-120"/>
                  <a:cs typeface="Times New Roman" pitchFamily="18" charset="0"/>
                </a:rPr>
                <a:t>Male</a:t>
              </a:r>
              <a:endParaRPr lang="zh-TW" altLang="en-US" sz="800">
                <a:latin typeface="Times New Roman" pitchFamily="18" charset="0"/>
                <a:ea typeface="標楷體" pitchFamily="65" charset="-120"/>
                <a:cs typeface="Times New Roman" pitchFamily="18" charset="0"/>
              </a:endParaRPr>
            </a:p>
          </cdr:txBody>
        </cdr:sp>
      </cdr:grpSp>
      <cdr:grpSp>
        <cdr:nvGrpSpPr>
          <cdr:cNvPr id="16" name="群組 15"/>
          <cdr:cNvGrpSpPr/>
        </cdr:nvGrpSpPr>
        <cdr:grpSpPr>
          <a:xfrm xmlns:a="http://schemas.openxmlformats.org/drawingml/2006/main">
            <a:off x="3488360" y="2582355"/>
            <a:ext cx="572400" cy="134287"/>
            <a:chOff x="2390775" y="2295525"/>
            <a:chExt cx="478275" cy="123835"/>
          </a:xfrm>
        </cdr:grpSpPr>
        <cdr:sp macro="" textlink="">
          <cdr:nvSpPr>
            <cdr:cNvPr id="11" name="矩形 10"/>
            <cdr:cNvSpPr/>
          </cdr:nvSpPr>
          <cdr:spPr>
            <a:xfrm xmlns:a="http://schemas.openxmlformats.org/drawingml/2006/main">
              <a:off x="2390775" y="2305050"/>
              <a:ext cx="95249" cy="104775"/>
            </a:xfrm>
            <a:prstGeom xmlns:a="http://schemas.openxmlformats.org/drawingml/2006/main" prst="rect">
              <a:avLst/>
            </a:prstGeom>
            <a:solidFill xmlns:a="http://schemas.openxmlformats.org/drawingml/2006/main">
              <a:srgbClr val="E993E5"/>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zh-TW"/>
            </a:p>
          </cdr:txBody>
        </cdr:sp>
        <cdr:sp macro="" textlink="">
          <cdr:nvSpPr>
            <cdr:cNvPr id="14" name="文字方塊 1"/>
            <cdr:cNvSpPr txBox="1"/>
          </cdr:nvSpPr>
          <cdr:spPr>
            <a:xfrm xmlns:a="http://schemas.openxmlformats.org/drawingml/2006/main">
              <a:off x="2524125" y="2295525"/>
              <a:ext cx="344925" cy="123835"/>
            </a:xfrm>
            <a:prstGeom xmlns:a="http://schemas.openxmlformats.org/drawingml/2006/main" prst="rect">
              <a:avLst/>
            </a:prstGeom>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altLang="zh-TW" sz="800">
                  <a:latin typeface="Times New Roman" pitchFamily="18" charset="0"/>
                  <a:ea typeface="標楷體" pitchFamily="65" charset="-120"/>
                  <a:cs typeface="Times New Roman" pitchFamily="18" charset="0"/>
                </a:rPr>
                <a:t>Female</a:t>
              </a:r>
              <a:endParaRPr lang="zh-TW" altLang="en-US" sz="800">
                <a:latin typeface="Times New Roman" pitchFamily="18" charset="0"/>
                <a:ea typeface="標楷體" pitchFamily="65" charset="-120"/>
                <a:cs typeface="Times New Roman" pitchFamily="18" charset="0"/>
              </a:endParaRPr>
            </a:p>
          </cdr:txBody>
        </cdr:sp>
      </cdr:grpSp>
    </cdr:grpSp>
  </cdr:relSizeAnchor>
  <cdr:relSizeAnchor xmlns:cdr="http://schemas.openxmlformats.org/drawingml/2006/chartDrawing">
    <cdr:from>
      <cdr:x>0.04159</cdr:x>
      <cdr:y>0.90071</cdr:y>
    </cdr:from>
    <cdr:to>
      <cdr:x>0.95652</cdr:x>
      <cdr:y>1</cdr:y>
    </cdr:to>
    <cdr:sp macro="" textlink="">
      <cdr:nvSpPr>
        <cdr:cNvPr id="18" name="文字方塊 1"/>
        <cdr:cNvSpPr txBox="1"/>
      </cdr:nvSpPr>
      <cdr:spPr>
        <a:xfrm xmlns:a="http://schemas.openxmlformats.org/drawingml/2006/main">
          <a:off x="209481" y="2903220"/>
          <a:ext cx="4608338" cy="320040"/>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n-US" altLang="zh-TW" sz="800">
              <a:latin typeface="Times New Roman" pitchFamily="18" charset="0"/>
              <a:ea typeface="標楷體" pitchFamily="65" charset="-120"/>
              <a:cs typeface="Times New Roman" pitchFamily="18" charset="0"/>
            </a:rPr>
            <a:t>The X-Axis and Y-Axis values in the origin (6.1, 7.6) represented, respectively, "the median of the percentage of benifit claims" and "the median of the average RVU per case."</a:t>
          </a:r>
        </a:p>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endParaRPr lang="zh-TW" altLang="en-US" sz="800">
            <a:latin typeface="Times New Roman" pitchFamily="18" charset="0"/>
            <a:ea typeface="標楷體" pitchFamily="65" charset="-120"/>
            <a:cs typeface="Times New Roman" pitchFamily="18" charset="0"/>
          </a:endParaRPr>
        </a:p>
      </cdr:txBody>
    </cdr:sp>
  </cdr:relSizeAnchor>
</c:userShapes>
</file>

<file path=word/drawings/drawing25.xml><?xml version="1.0" encoding="utf-8"?>
<c:userShapes xmlns:c="http://schemas.openxmlformats.org/drawingml/2006/chart">
  <cdr:relSizeAnchor xmlns:cdr="http://schemas.openxmlformats.org/drawingml/2006/chartDrawing">
    <cdr:from>
      <cdr:x>0.13721</cdr:x>
      <cdr:y>0.03716</cdr:y>
    </cdr:from>
    <cdr:to>
      <cdr:x>0.88837</cdr:x>
      <cdr:y>0.13176</cdr:y>
    </cdr:to>
    <cdr:sp macro="" textlink="">
      <cdr:nvSpPr>
        <cdr:cNvPr id="6" name="文字方塊 5"/>
        <cdr:cNvSpPr txBox="1"/>
      </cdr:nvSpPr>
      <cdr:spPr>
        <a:xfrm xmlns:a="http://schemas.openxmlformats.org/drawingml/2006/main">
          <a:off x="561975" y="104775"/>
          <a:ext cx="3076575" cy="26670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endParaRPr lang="zh-TW" altLang="en-US" sz="1100"/>
        </a:p>
      </cdr:txBody>
    </cdr:sp>
  </cdr:relSizeAnchor>
  <cdr:relSizeAnchor xmlns:cdr="http://schemas.openxmlformats.org/drawingml/2006/chartDrawing">
    <cdr:from>
      <cdr:x>0.01395</cdr:x>
      <cdr:y>0.02913</cdr:y>
    </cdr:from>
    <cdr:to>
      <cdr:x>0.9907</cdr:x>
      <cdr:y>0.19467</cdr:y>
    </cdr:to>
    <cdr:sp macro="" textlink="">
      <cdr:nvSpPr>
        <cdr:cNvPr id="7" name="文字方塊 1"/>
        <cdr:cNvSpPr txBox="1"/>
      </cdr:nvSpPr>
      <cdr:spPr>
        <a:xfrm xmlns:a="http://schemas.openxmlformats.org/drawingml/2006/main">
          <a:off x="63912" y="85725"/>
          <a:ext cx="4475005" cy="487221"/>
        </a:xfrm>
        <a:prstGeom xmlns:a="http://schemas.openxmlformats.org/drawingml/2006/main" prst="rect">
          <a:avLst/>
        </a:prstGeom>
      </cdr:spPr>
      <cdr:txBody>
        <a:bodyPr xmlns:a="http://schemas.openxmlformats.org/drawingml/2006/main" wrap="square" rtlCol="0" anchor="ctr"/>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indent="0" algn="ctr" defTabSz="914400" eaLnBrk="1" fontAlgn="auto" latinLnBrk="0" hangingPunct="1">
            <a:lnSpc>
              <a:spcPct val="100000"/>
            </a:lnSpc>
            <a:spcBef>
              <a:spcPts val="0"/>
            </a:spcBef>
            <a:spcAft>
              <a:spcPts val="0"/>
            </a:spcAft>
            <a:buClrTx/>
            <a:buSzTx/>
            <a:buFontTx/>
            <a:buNone/>
            <a:tabLst/>
            <a:defRPr/>
          </a:pPr>
          <a:r>
            <a:rPr lang="en-US" altLang="zh-TW" sz="1000">
              <a:latin typeface="Times New Roman" pitchFamily="18" charset="0"/>
              <a:ea typeface="標楷體" pitchFamily="65" charset="-120"/>
              <a:cs typeface="Times New Roman" pitchFamily="18" charset="0"/>
            </a:rPr>
            <a:t>Figure 54</a:t>
          </a:r>
          <a:r>
            <a:rPr lang="zh-TW" altLang="en-US" sz="1000">
              <a:latin typeface="Times New Roman" pitchFamily="18" charset="0"/>
              <a:ea typeface="標楷體" pitchFamily="65" charset="-120"/>
              <a:cs typeface="Times New Roman" pitchFamily="18" charset="0"/>
            </a:rPr>
            <a:t>　</a:t>
          </a:r>
          <a:r>
            <a:rPr lang="en-US" altLang="zh-TW" sz="1000">
              <a:latin typeface="Times New Roman" pitchFamily="18" charset="0"/>
              <a:ea typeface="標楷體" pitchFamily="65" charset="-120"/>
              <a:cs typeface="Times New Roman" pitchFamily="18" charset="0"/>
            </a:rPr>
            <a:t>In</a:t>
          </a:r>
          <a:r>
            <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patient Medical Benifit Claims of Major Illness/ Injury </a:t>
          </a:r>
          <a:endParaRPr lang="en-US" altLang="zh-TW" sz="1000">
            <a:latin typeface="Times New Roman" pitchFamily="18" charset="0"/>
            <a:ea typeface="標楷體" pitchFamily="65" charset="-120"/>
            <a:cs typeface="Times New Roman" pitchFamily="18" charset="0"/>
          </a:endParaRPr>
        </a:p>
        <a:p xmlns:a="http://schemas.openxmlformats.org/drawingml/2006/main">
          <a:pPr algn="ctr"/>
          <a:endParaRPr lang="en-US" altLang="zh-TW" sz="500">
            <a:latin typeface="Times New Roman" pitchFamily="18" charset="0"/>
            <a:ea typeface="標楷體" pitchFamily="65" charset="-120"/>
            <a:cs typeface="Times New Roman" pitchFamily="18" charset="0"/>
          </a:endParaRPr>
        </a:p>
        <a:p xmlns:a="http://schemas.openxmlformats.org/drawingml/2006/main">
          <a:pPr algn="ctr"/>
          <a:r>
            <a:rPr lang="en-US" altLang="zh-TW" sz="800">
              <a:latin typeface="Times New Roman" pitchFamily="18" charset="0"/>
              <a:ea typeface="標楷體" pitchFamily="65" charset="-120"/>
              <a:cs typeface="Times New Roman" pitchFamily="18" charset="0"/>
            </a:rPr>
            <a:t>2011</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0.28194</cdr:x>
      <cdr:y>0.88245</cdr:y>
    </cdr:from>
    <cdr:to>
      <cdr:x>0.97187</cdr:x>
      <cdr:y>0.95587</cdr:y>
    </cdr:to>
    <cdr:sp macro="" textlink="">
      <cdr:nvSpPr>
        <cdr:cNvPr id="8" name="文字方塊 1"/>
        <cdr:cNvSpPr txBox="1"/>
      </cdr:nvSpPr>
      <cdr:spPr>
        <a:xfrm xmlns:a="http://schemas.openxmlformats.org/drawingml/2006/main">
          <a:off x="1546860" y="2125980"/>
          <a:ext cx="3785208" cy="176892"/>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a:ea typeface="標楷體"/>
              <a:cs typeface="+mn-cs"/>
            </a:rPr>
            <a:t>The inpatient medical benefit claims of major illnesses/ injury were 70 billion RVU in 2011.</a:t>
          </a:r>
          <a:endParaRPr kumimoji="0" lang="zh-TW" altLang="en-US" sz="800" b="0" i="0" u="none" strike="noStrike" kern="0" cap="none" spc="0" normalizeH="0" baseline="0" noProof="0">
            <a:ln>
              <a:noFill/>
            </a:ln>
            <a:solidFill>
              <a:sysClr val="windowText" lastClr="000000"/>
            </a:solidFill>
            <a:effectLst/>
            <a:uLnTx/>
            <a:uFillTx/>
            <a:latin typeface="Times New Roman" pitchFamily="18" charset="0"/>
            <a:ea typeface="+mn-ea"/>
            <a:cs typeface="Times New Roman" pitchFamily="18" charset="0"/>
          </a:endParaRPr>
        </a:p>
      </cdr:txBody>
    </cdr:sp>
  </cdr:relSizeAnchor>
  <cdr:relSizeAnchor xmlns:cdr="http://schemas.openxmlformats.org/drawingml/2006/chartDrawing">
    <cdr:from>
      <cdr:x>0.51287</cdr:x>
      <cdr:y>0.38901</cdr:y>
    </cdr:from>
    <cdr:to>
      <cdr:x>0.8217</cdr:x>
      <cdr:y>0.5363</cdr:y>
    </cdr:to>
    <cdr:grpSp>
      <cdr:nvGrpSpPr>
        <cdr:cNvPr id="11" name="群組 10"/>
        <cdr:cNvGrpSpPr/>
      </cdr:nvGrpSpPr>
      <cdr:grpSpPr>
        <a:xfrm xmlns:a="http://schemas.openxmlformats.org/drawingml/2006/main">
          <a:off x="2813810" y="937199"/>
          <a:ext cx="1694365" cy="354850"/>
          <a:chOff x="3125488" y="1079295"/>
          <a:chExt cx="1715517" cy="394219"/>
        </a:xfrm>
      </cdr:grpSpPr>
      <cdr:sp macro="" textlink="">
        <cdr:nvSpPr>
          <cdr:cNvPr id="5" name="文字方塊 4"/>
          <cdr:cNvSpPr txBox="1"/>
        </cdr:nvSpPr>
        <cdr:spPr>
          <a:xfrm xmlns:a="http://schemas.openxmlformats.org/drawingml/2006/main">
            <a:off x="3125488" y="1340142"/>
            <a:ext cx="1715517" cy="133372"/>
          </a:xfrm>
          <a:prstGeom xmlns:a="http://schemas.openxmlformats.org/drawingml/2006/main" prst="rect">
            <a:avLst/>
          </a:prstGeom>
        </cdr:spPr>
        <cdr:txBody>
          <a:bodyPr xmlns:a="http://schemas.openxmlformats.org/drawingml/2006/main" wrap="square" lIns="0" tIns="0" rIns="0" bIns="0" rtlCol="0"/>
          <a:lstStyle xmlns:a="http://schemas.openxmlformats.org/drawingml/2006/main"/>
          <a:p xmlns:a="http://schemas.openxmlformats.org/drawingml/2006/main">
            <a:r>
              <a:rPr lang="de-DE" altLang="zh-TW" sz="800">
                <a:latin typeface="Times New Roman" pitchFamily="18" charset="0"/>
                <a:ea typeface="標楷體" pitchFamily="65" charset="-120"/>
                <a:cs typeface="Times New Roman" pitchFamily="18" charset="0"/>
              </a:rPr>
              <a:t>Acute Cerebrovascular Disease</a:t>
            </a:r>
            <a:r>
              <a:rPr lang="zh-TW" altLang="en-US" sz="800">
                <a:latin typeface="Times New Roman" pitchFamily="18" charset="0"/>
                <a:ea typeface="標楷體" pitchFamily="65" charset="-120"/>
                <a:cs typeface="Times New Roman" pitchFamily="18" charset="0"/>
              </a:rPr>
              <a:t>  </a:t>
            </a:r>
            <a:r>
              <a:rPr lang="en-US" altLang="zh-TW" sz="800">
                <a:latin typeface="Times New Roman" pitchFamily="18" charset="0"/>
                <a:ea typeface="標楷體" pitchFamily="65" charset="-120"/>
                <a:cs typeface="Times New Roman" pitchFamily="18" charset="0"/>
              </a:rPr>
              <a:t>4.9</a:t>
            </a:r>
            <a:r>
              <a:rPr lang="en-US" sz="800">
                <a:latin typeface="Times New Roman" pitchFamily="18" charset="0"/>
                <a:ea typeface="標楷體" pitchFamily="65" charset="-120"/>
                <a:cs typeface="Times New Roman" pitchFamily="18" charset="0"/>
              </a:rPr>
              <a:t>%</a:t>
            </a:r>
            <a:endParaRPr lang="zh-TW" altLang="en-US" sz="800">
              <a:latin typeface="Times New Roman" pitchFamily="18" charset="0"/>
              <a:ea typeface="標楷體" pitchFamily="65" charset="-120"/>
              <a:cs typeface="Times New Roman" pitchFamily="18" charset="0"/>
            </a:endParaRPr>
          </a:p>
        </cdr:txBody>
      </cdr:sp>
      <cdr:sp macro="" textlink="">
        <cdr:nvSpPr>
          <cdr:cNvPr id="9" name="文字方塊 1"/>
          <cdr:cNvSpPr txBox="1"/>
        </cdr:nvSpPr>
        <cdr:spPr>
          <a:xfrm xmlns:a="http://schemas.openxmlformats.org/drawingml/2006/main">
            <a:off x="3125488" y="1079295"/>
            <a:ext cx="775615" cy="145630"/>
          </a:xfrm>
          <a:prstGeom xmlns:a="http://schemas.openxmlformats.org/drawingml/2006/main" prst="rect">
            <a:avLst/>
          </a:prstGeom>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de-DE" altLang="zh-TW" sz="800">
                <a:latin typeface="Times New Roman" pitchFamily="18" charset="0"/>
                <a:ea typeface="標楷體" pitchFamily="65" charset="-120"/>
                <a:cs typeface="Times New Roman" pitchFamily="18" charset="0"/>
              </a:rPr>
              <a:t>Uremia  </a:t>
            </a:r>
            <a:r>
              <a:rPr lang="en-US" altLang="zh-TW" sz="800">
                <a:latin typeface="Times New Roman" pitchFamily="18" charset="0"/>
                <a:ea typeface="標楷體" pitchFamily="65" charset="-120"/>
                <a:cs typeface="Times New Roman" pitchFamily="18" charset="0"/>
              </a:rPr>
              <a:t>7.3</a:t>
            </a:r>
            <a:r>
              <a:rPr lang="en-US" sz="800">
                <a:latin typeface="Times New Roman" pitchFamily="18" charset="0"/>
                <a:ea typeface="標楷體" pitchFamily="65" charset="-120"/>
                <a:cs typeface="Times New Roman" pitchFamily="18" charset="0"/>
              </a:rPr>
              <a:t>%</a:t>
            </a:r>
            <a:endParaRPr lang="zh-TW" altLang="en-US" sz="800">
              <a:latin typeface="Times New Roman" pitchFamily="18" charset="0"/>
              <a:ea typeface="標楷體" pitchFamily="65" charset="-120"/>
              <a:cs typeface="Times New Roman" pitchFamily="18" charset="0"/>
            </a:endParaRPr>
          </a:p>
        </cdr:txBody>
      </cdr:sp>
    </cdr:grpSp>
  </cdr:relSizeAnchor>
  <cdr:relSizeAnchor xmlns:cdr="http://schemas.openxmlformats.org/drawingml/2006/chartDrawing">
    <cdr:from>
      <cdr:x>0.19141</cdr:x>
      <cdr:y>0.51555</cdr:y>
    </cdr:from>
    <cdr:to>
      <cdr:x>0.33611</cdr:x>
      <cdr:y>0.59289</cdr:y>
    </cdr:to>
    <cdr:sp macro="" textlink="">
      <cdr:nvSpPr>
        <cdr:cNvPr id="10" name="文字方塊 1"/>
        <cdr:cNvSpPr txBox="1"/>
      </cdr:nvSpPr>
      <cdr:spPr>
        <a:xfrm xmlns:a="http://schemas.openxmlformats.org/drawingml/2006/main">
          <a:off x="1050152" y="1242060"/>
          <a:ext cx="793888" cy="18632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US" altLang="zh-TW" sz="800">
              <a:latin typeface="Times New Roman" pitchFamily="18" charset="0"/>
              <a:ea typeface="標楷體" pitchFamily="65" charset="-120"/>
              <a:cs typeface="Times New Roman" pitchFamily="18" charset="0"/>
            </a:rPr>
            <a:t>Others</a:t>
          </a:r>
          <a:r>
            <a:rPr lang="zh-TW" altLang="en-US" sz="800">
              <a:latin typeface="Times New Roman" pitchFamily="18" charset="0"/>
              <a:ea typeface="標楷體" pitchFamily="65" charset="-120"/>
              <a:cs typeface="Times New Roman" pitchFamily="18" charset="0"/>
            </a:rPr>
            <a:t>  </a:t>
          </a:r>
          <a:r>
            <a:rPr lang="en-US" altLang="zh-TW" sz="800">
              <a:latin typeface="Times New Roman" pitchFamily="18" charset="0"/>
              <a:ea typeface="標楷體" pitchFamily="65" charset="-120"/>
              <a:cs typeface="Times New Roman" pitchFamily="18" charset="0"/>
            </a:rPr>
            <a:t>22.7%</a:t>
          </a:r>
          <a:endParaRPr lang="zh-TW" altLang="en-US" sz="800">
            <a:latin typeface="Times New Roman" pitchFamily="18" charset="0"/>
            <a:ea typeface="標楷體" pitchFamily="65" charset="-120"/>
            <a:cs typeface="Times New Roman" pitchFamily="18" charset="0"/>
          </a:endParaRPr>
        </a:p>
      </cdr:txBody>
    </cdr:sp>
  </cdr:relSizeAnchor>
</c:userShapes>
</file>

<file path=word/drawings/drawing26.xml><?xml version="1.0" encoding="utf-8"?>
<c:userShapes xmlns:c="http://schemas.openxmlformats.org/drawingml/2006/chart">
  <cdr:relSizeAnchor xmlns:cdr="http://schemas.openxmlformats.org/drawingml/2006/chartDrawing">
    <cdr:from>
      <cdr:x>0.02697</cdr:x>
      <cdr:y>0.01899</cdr:y>
    </cdr:from>
    <cdr:to>
      <cdr:x>0.97753</cdr:x>
      <cdr:y>0.10473</cdr:y>
    </cdr:to>
    <cdr:sp macro="" textlink="">
      <cdr:nvSpPr>
        <cdr:cNvPr id="9" name="文字方塊 8"/>
        <cdr:cNvSpPr txBox="1"/>
      </cdr:nvSpPr>
      <cdr:spPr>
        <a:xfrm xmlns:a="http://schemas.openxmlformats.org/drawingml/2006/main">
          <a:off x="137184" y="62765"/>
          <a:ext cx="4834866" cy="283386"/>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indent="0" algn="ctr" defTabSz="914400" eaLnBrk="1" fontAlgn="auto" latinLnBrk="0" hangingPunct="1">
            <a:lnSpc>
              <a:spcPct val="100000"/>
            </a:lnSpc>
            <a:spcBef>
              <a:spcPts val="0"/>
            </a:spcBef>
            <a:spcAft>
              <a:spcPts val="0"/>
            </a:spcAft>
            <a:buClrTx/>
            <a:buSzTx/>
            <a:buFontTx/>
            <a:buNone/>
            <a:tabLst/>
            <a:defRPr/>
          </a:pPr>
          <a:r>
            <a:rPr lang="en-US" altLang="zh-TW" sz="1000">
              <a:latin typeface="Times New Roman" pitchFamily="18" charset="0"/>
              <a:ea typeface="標楷體" pitchFamily="65" charset="-120"/>
              <a:cs typeface="Times New Roman" pitchFamily="18" charset="0"/>
            </a:rPr>
            <a:t>Figure 55</a:t>
          </a:r>
          <a:r>
            <a:rPr lang="zh-TW" altLang="en-US" sz="1000">
              <a:latin typeface="Times New Roman" pitchFamily="18" charset="0"/>
              <a:ea typeface="標楷體" pitchFamily="65" charset="-120"/>
              <a:cs typeface="Times New Roman" pitchFamily="18" charset="0"/>
            </a:rPr>
            <a:t>  </a:t>
          </a:r>
          <a:r>
            <a:rPr lang="en-US" altLang="zh-TW" sz="1000">
              <a:latin typeface="Times New Roman" pitchFamily="18" charset="0"/>
              <a:ea typeface="標楷體" pitchFamily="65" charset="-120"/>
              <a:cs typeface="Times New Roman" pitchFamily="18" charset="0"/>
            </a:rPr>
            <a:t>In</a:t>
          </a:r>
          <a:r>
            <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patient Medical Benifit Claims of Major Illness/ Injury  by Gender and Age</a:t>
          </a:r>
          <a:endParaRPr lang="zh-TW" altLang="en-US" sz="10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0.61578</cdr:x>
      <cdr:y>0.1928</cdr:y>
    </cdr:from>
    <cdr:to>
      <cdr:x>0.84202</cdr:x>
      <cdr:y>0.24686</cdr:y>
    </cdr:to>
    <cdr:grpSp>
      <cdr:nvGrpSpPr>
        <cdr:cNvPr id="20" name="群組 19"/>
        <cdr:cNvGrpSpPr/>
      </cdr:nvGrpSpPr>
      <cdr:grpSpPr>
        <a:xfrm xmlns:a="http://schemas.openxmlformats.org/drawingml/2006/main">
          <a:off x="3132073" y="637238"/>
          <a:ext cx="1150735" cy="178678"/>
          <a:chOff x="2865395" y="2780379"/>
          <a:chExt cx="1150736" cy="178645"/>
        </a:xfrm>
      </cdr:grpSpPr>
      <cdr:grpSp>
        <cdr:nvGrpSpPr>
          <cdr:cNvPr id="15" name="群組 14"/>
          <cdr:cNvGrpSpPr/>
        </cdr:nvGrpSpPr>
        <cdr:grpSpPr>
          <a:xfrm xmlns:a="http://schemas.openxmlformats.org/drawingml/2006/main">
            <a:off x="2865395" y="2780379"/>
            <a:ext cx="529337" cy="178645"/>
            <a:chOff x="2371725" y="2105025"/>
            <a:chExt cx="438150" cy="152400"/>
          </a:xfrm>
        </cdr:grpSpPr>
        <cdr:sp macro="" textlink="">
          <cdr:nvSpPr>
            <cdr:cNvPr id="12" name="菱形 11"/>
            <cdr:cNvSpPr/>
          </cdr:nvSpPr>
          <cdr:spPr>
            <a:xfrm xmlns:a="http://schemas.openxmlformats.org/drawingml/2006/main">
              <a:off x="2371725" y="2114550"/>
              <a:ext cx="89395" cy="92117"/>
            </a:xfrm>
            <a:prstGeom xmlns:a="http://schemas.openxmlformats.org/drawingml/2006/main" prst="diamond">
              <a:avLst/>
            </a:prstGeom>
            <a:solidFill xmlns:a="http://schemas.openxmlformats.org/drawingml/2006/main">
              <a:schemeClr val="accent1">
                <a:lumMod val="75000"/>
              </a:scheme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zh-TW"/>
            </a:p>
          </cdr:txBody>
        </cdr:sp>
        <cdr:sp macro="" textlink="">
          <cdr:nvSpPr>
            <cdr:cNvPr id="13" name="文字方塊 12"/>
            <cdr:cNvSpPr txBox="1"/>
          </cdr:nvSpPr>
          <cdr:spPr>
            <a:xfrm xmlns:a="http://schemas.openxmlformats.org/drawingml/2006/main">
              <a:off x="2514600" y="2105025"/>
              <a:ext cx="295275" cy="152400"/>
            </a:xfrm>
            <a:prstGeom xmlns:a="http://schemas.openxmlformats.org/drawingml/2006/main" prst="rect">
              <a:avLst/>
            </a:prstGeom>
          </cdr:spPr>
          <cdr:txBody>
            <a:bodyPr xmlns:a="http://schemas.openxmlformats.org/drawingml/2006/main" vertOverflow="clip" wrap="square" lIns="0" tIns="0" rIns="0" bIns="0" rtlCol="0"/>
            <a:lstStyle xmlns:a="http://schemas.openxmlformats.org/drawingml/2006/main"/>
            <a:p xmlns:a="http://schemas.openxmlformats.org/drawingml/2006/main">
              <a:r>
                <a:rPr lang="en-US" altLang="zh-TW" sz="800">
                  <a:latin typeface="Times New Roman" pitchFamily="18" charset="0"/>
                  <a:ea typeface="標楷體" pitchFamily="65" charset="-120"/>
                  <a:cs typeface="Times New Roman" pitchFamily="18" charset="0"/>
                </a:rPr>
                <a:t>Male</a:t>
              </a:r>
              <a:endParaRPr lang="zh-TW" altLang="en-US" sz="800">
                <a:latin typeface="Times New Roman" pitchFamily="18" charset="0"/>
                <a:ea typeface="標楷體" pitchFamily="65" charset="-120"/>
                <a:cs typeface="Times New Roman" pitchFamily="18" charset="0"/>
              </a:endParaRPr>
            </a:p>
          </cdr:txBody>
        </cdr:sp>
      </cdr:grpSp>
      <cdr:grpSp>
        <cdr:nvGrpSpPr>
          <cdr:cNvPr id="16" name="群組 15"/>
          <cdr:cNvGrpSpPr/>
        </cdr:nvGrpSpPr>
        <cdr:grpSpPr>
          <a:xfrm xmlns:a="http://schemas.openxmlformats.org/drawingml/2006/main">
            <a:off x="3521331" y="2791518"/>
            <a:ext cx="494800" cy="145163"/>
            <a:chOff x="2390775" y="2295525"/>
            <a:chExt cx="409575" cy="123825"/>
          </a:xfrm>
        </cdr:grpSpPr>
        <cdr:sp macro="" textlink="">
          <cdr:nvSpPr>
            <cdr:cNvPr id="11" name="矩形 10"/>
            <cdr:cNvSpPr/>
          </cdr:nvSpPr>
          <cdr:spPr>
            <a:xfrm xmlns:a="http://schemas.openxmlformats.org/drawingml/2006/main">
              <a:off x="2390775" y="2305050"/>
              <a:ext cx="59599" cy="61405"/>
            </a:xfrm>
            <a:prstGeom xmlns:a="http://schemas.openxmlformats.org/drawingml/2006/main" prst="rect">
              <a:avLst/>
            </a:prstGeom>
            <a:solidFill xmlns:a="http://schemas.openxmlformats.org/drawingml/2006/main">
              <a:srgbClr val="E993E5"/>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zh-TW"/>
            </a:p>
          </cdr:txBody>
        </cdr:sp>
        <cdr:sp macro="" textlink="">
          <cdr:nvSpPr>
            <cdr:cNvPr id="14" name="文字方塊 1"/>
            <cdr:cNvSpPr txBox="1"/>
          </cdr:nvSpPr>
          <cdr:spPr>
            <a:xfrm xmlns:a="http://schemas.openxmlformats.org/drawingml/2006/main">
              <a:off x="2524125" y="2295525"/>
              <a:ext cx="276225" cy="123825"/>
            </a:xfrm>
            <a:prstGeom xmlns:a="http://schemas.openxmlformats.org/drawingml/2006/main" prst="rect">
              <a:avLst/>
            </a:prstGeom>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altLang="zh-TW" sz="800">
                  <a:latin typeface="Times New Roman" pitchFamily="18" charset="0"/>
                  <a:ea typeface="標楷體" pitchFamily="65" charset="-120"/>
                  <a:cs typeface="Times New Roman" pitchFamily="18" charset="0"/>
                </a:rPr>
                <a:t>Female</a:t>
              </a:r>
              <a:endParaRPr lang="zh-TW" altLang="en-US" sz="800">
                <a:latin typeface="Times New Roman" pitchFamily="18" charset="0"/>
                <a:ea typeface="標楷體" pitchFamily="65" charset="-120"/>
                <a:cs typeface="Times New Roman" pitchFamily="18" charset="0"/>
              </a:endParaRPr>
            </a:p>
          </cdr:txBody>
        </cdr:sp>
      </cdr:grpSp>
    </cdr:grpSp>
  </cdr:relSizeAnchor>
  <cdr:relSizeAnchor xmlns:cdr="http://schemas.openxmlformats.org/drawingml/2006/chartDrawing">
    <cdr:from>
      <cdr:x>0.91676</cdr:x>
      <cdr:y>0.33953</cdr:y>
    </cdr:from>
    <cdr:to>
      <cdr:x>0.9541</cdr:x>
      <cdr:y>0.81926</cdr:y>
    </cdr:to>
    <cdr:sp macro="" textlink="">
      <cdr:nvSpPr>
        <cdr:cNvPr id="18" name="文字方塊 1"/>
        <cdr:cNvSpPr txBox="1"/>
      </cdr:nvSpPr>
      <cdr:spPr>
        <a:xfrm xmlns:a="http://schemas.openxmlformats.org/drawingml/2006/main">
          <a:off x="4662942" y="1122211"/>
          <a:ext cx="189925" cy="1585591"/>
        </a:xfrm>
        <a:prstGeom xmlns:a="http://schemas.openxmlformats.org/drawingml/2006/main" prst="rect">
          <a:avLst/>
        </a:prstGeom>
      </cdr:spPr>
      <cdr:txBody>
        <a:bodyPr xmlns:a="http://schemas.openxmlformats.org/drawingml/2006/main" vert="eaVert" wrap="square" lIns="0" tIns="0" rIns="0" b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n-US" altLang="zh-TW" sz="800">
              <a:latin typeface="Times New Roman" pitchFamily="18" charset="0"/>
              <a:ea typeface="標楷體" pitchFamily="65" charset="-120"/>
              <a:cs typeface="Times New Roman" pitchFamily="18" charset="0"/>
            </a:rPr>
            <a:t>Percentage of benifit claims %</a:t>
          </a:r>
          <a:endParaRPr lang="zh-TW" sz="800">
            <a:latin typeface="Times New Roman" pitchFamily="18" charset="0"/>
            <a:ea typeface="標楷體" pitchFamily="65" charset="-120"/>
            <a:cs typeface="Times New Roman" pitchFamily="18" charset="0"/>
          </a:endParaRPr>
        </a:p>
        <a:p xmlns:a="http://schemas.openxmlformats.org/drawingml/2006/main">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0.72889</cdr:x>
      <cdr:y>0.08544</cdr:y>
    </cdr:from>
    <cdr:to>
      <cdr:x>0.78444</cdr:x>
      <cdr:y>0.40506</cdr:y>
    </cdr:to>
    <cdr:sp macro="" textlink="">
      <cdr:nvSpPr>
        <cdr:cNvPr id="6" name="文字方塊 5"/>
        <cdr:cNvSpPr txBox="1"/>
      </cdr:nvSpPr>
      <cdr:spPr>
        <a:xfrm xmlns:a="http://schemas.openxmlformats.org/drawingml/2006/main">
          <a:off x="3124200" y="257175"/>
          <a:ext cx="238125" cy="962025"/>
        </a:xfrm>
        <a:prstGeom xmlns:a="http://schemas.openxmlformats.org/drawingml/2006/main" prst="rect">
          <a:avLst/>
        </a:prstGeom>
      </cdr:spPr>
      <cdr:txBody>
        <a:bodyPr xmlns:a="http://schemas.openxmlformats.org/drawingml/2006/main" vert="eaVert" wrap="square" rtlCol="0"/>
        <a:lstStyle xmlns:a="http://schemas.openxmlformats.org/drawingml/2006/main"/>
        <a:p xmlns:a="http://schemas.openxmlformats.org/drawingml/2006/main">
          <a:endParaRPr lang="zh-TW" altLang="en-US" sz="1100"/>
        </a:p>
      </cdr:txBody>
    </cdr:sp>
  </cdr:relSizeAnchor>
  <cdr:relSizeAnchor xmlns:cdr="http://schemas.openxmlformats.org/drawingml/2006/chartDrawing">
    <cdr:from>
      <cdr:x>0.20222</cdr:x>
      <cdr:y>0.09494</cdr:y>
    </cdr:from>
    <cdr:to>
      <cdr:x>0.80889</cdr:x>
      <cdr:y>0.16139</cdr:y>
    </cdr:to>
    <cdr:sp macro="" textlink="">
      <cdr:nvSpPr>
        <cdr:cNvPr id="5" name="文字方塊 11"/>
        <cdr:cNvSpPr txBox="1"/>
      </cdr:nvSpPr>
      <cdr:spPr>
        <a:xfrm xmlns:a="http://schemas.openxmlformats.org/drawingml/2006/main">
          <a:off x="866776" y="285759"/>
          <a:ext cx="2600330" cy="200015"/>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algn="ctr"/>
          <a:r>
            <a:rPr lang="en-US" altLang="zh-TW" sz="800">
              <a:latin typeface="Times New Roman" pitchFamily="18" charset="0"/>
              <a:ea typeface="標楷體" pitchFamily="65" charset="-120"/>
              <a:cs typeface="Times New Roman" pitchFamily="18" charset="0"/>
            </a:rPr>
            <a:t>2011</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cdr:x>
      <cdr:y>0</cdr:y>
    </cdr:from>
    <cdr:to>
      <cdr:x>0.00569</cdr:x>
      <cdr:y>0.0081</cdr:y>
    </cdr:to>
    <cdr:pic>
      <cdr:nvPicPr>
        <cdr:cNvPr id="8"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0"/>
          <a:ext cx="24386" cy="24386"/>
        </a:xfrm>
        <a:prstGeom xmlns:a="http://schemas.openxmlformats.org/drawingml/2006/main" prst="rect">
          <a:avLst/>
        </a:prstGeom>
      </cdr:spPr>
    </cdr:pic>
  </cdr:relSizeAnchor>
  <cdr:relSizeAnchor xmlns:cdr="http://schemas.openxmlformats.org/drawingml/2006/chartDrawing">
    <cdr:from>
      <cdr:x>0.72889</cdr:x>
      <cdr:y>0.08544</cdr:y>
    </cdr:from>
    <cdr:to>
      <cdr:x>0.78444</cdr:x>
      <cdr:y>0.40506</cdr:y>
    </cdr:to>
    <cdr:sp macro="" textlink="">
      <cdr:nvSpPr>
        <cdr:cNvPr id="21" name="文字方塊 5"/>
        <cdr:cNvSpPr txBox="1"/>
      </cdr:nvSpPr>
      <cdr:spPr>
        <a:xfrm xmlns:a="http://schemas.openxmlformats.org/drawingml/2006/main">
          <a:off x="3124200" y="257175"/>
          <a:ext cx="238125" cy="962025"/>
        </a:xfrm>
        <a:prstGeom xmlns:a="http://schemas.openxmlformats.org/drawingml/2006/main" prst="rect">
          <a:avLst/>
        </a:prstGeom>
      </cdr:spPr>
      <cdr:txBody>
        <a:bodyPr xmlns:a="http://schemas.openxmlformats.org/drawingml/2006/main" vert="eaVert" wrap="square" rtlCol="0"/>
        <a:lstStyle xmlns:a="http://schemas.openxmlformats.org/drawingml/2006/main"/>
        <a:p xmlns:a="http://schemas.openxmlformats.org/drawingml/2006/main">
          <a:endParaRPr lang="zh-TW" altLang="en-US" sz="1100"/>
        </a:p>
      </cdr:txBody>
    </cdr:sp>
  </cdr:relSizeAnchor>
  <cdr:relSizeAnchor xmlns:cdr="http://schemas.openxmlformats.org/drawingml/2006/chartDrawing">
    <cdr:from>
      <cdr:x>0.20222</cdr:x>
      <cdr:y>0.09494</cdr:y>
    </cdr:from>
    <cdr:to>
      <cdr:x>0.80889</cdr:x>
      <cdr:y>0.16139</cdr:y>
    </cdr:to>
    <cdr:sp macro="" textlink="">
      <cdr:nvSpPr>
        <cdr:cNvPr id="24" name="文字方塊 11"/>
        <cdr:cNvSpPr txBox="1"/>
      </cdr:nvSpPr>
      <cdr:spPr>
        <a:xfrm xmlns:a="http://schemas.openxmlformats.org/drawingml/2006/main">
          <a:off x="866776" y="285759"/>
          <a:ext cx="2600330" cy="200015"/>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algn="ctr"/>
          <a:r>
            <a:rPr lang="en-US" altLang="zh-TW" sz="800">
              <a:latin typeface="Times New Roman" pitchFamily="18" charset="0"/>
              <a:ea typeface="標楷體" pitchFamily="65" charset="-120"/>
              <a:cs typeface="Times New Roman" pitchFamily="18" charset="0"/>
            </a:rPr>
            <a:t>2011</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cdr:x>
      <cdr:y>0</cdr:y>
    </cdr:from>
    <cdr:to>
      <cdr:x>0.00569</cdr:x>
      <cdr:y>0.0081</cdr:y>
    </cdr:to>
    <cdr:pic>
      <cdr:nvPicPr>
        <cdr:cNvPr id="25"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0"/>
          <a:ext cx="24386" cy="24386"/>
        </a:xfrm>
        <a:prstGeom xmlns:a="http://schemas.openxmlformats.org/drawingml/2006/main" prst="rect">
          <a:avLst/>
        </a:prstGeom>
      </cdr:spPr>
    </cdr:pic>
  </cdr:relSizeAnchor>
  <cdr:relSizeAnchor xmlns:cdr="http://schemas.openxmlformats.org/drawingml/2006/chartDrawing">
    <cdr:from>
      <cdr:x>0.05056</cdr:x>
      <cdr:y>0.88184</cdr:y>
    </cdr:from>
    <cdr:to>
      <cdr:x>0.94757</cdr:x>
      <cdr:y>0.98333</cdr:y>
    </cdr:to>
    <cdr:sp macro="" textlink="">
      <cdr:nvSpPr>
        <cdr:cNvPr id="26" name="文字方塊 1"/>
        <cdr:cNvSpPr txBox="1"/>
      </cdr:nvSpPr>
      <cdr:spPr>
        <a:xfrm xmlns:a="http://schemas.openxmlformats.org/drawingml/2006/main">
          <a:off x="257175" y="2914651"/>
          <a:ext cx="4562475" cy="335427"/>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n-US" altLang="zh-TW" sz="800">
              <a:latin typeface="Times New Roman" pitchFamily="18" charset="0"/>
              <a:ea typeface="標楷體" pitchFamily="65" charset="-120"/>
              <a:cs typeface="Times New Roman" pitchFamily="18" charset="0"/>
            </a:rPr>
            <a:t>The X-Axis and Y-Axis values in the origin (6.0, 84) represented, respectively, "the median of the percentage of benifit claims" and "the median of the average RVU per case."</a:t>
          </a:r>
        </a:p>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0.14232</cdr:x>
      <cdr:y>0.21671</cdr:y>
    </cdr:from>
    <cdr:to>
      <cdr:x>0.48689</cdr:x>
      <cdr:y>0.26859</cdr:y>
    </cdr:to>
    <cdr:sp macro="" textlink="">
      <cdr:nvSpPr>
        <cdr:cNvPr id="22" name="Text Box 7"/>
        <cdr:cNvSpPr txBox="1">
          <a:spLocks xmlns:a="http://schemas.openxmlformats.org/drawingml/2006/main" noChangeArrowheads="1"/>
        </cdr:cNvSpPr>
      </cdr:nvSpPr>
      <cdr:spPr bwMode="auto">
        <a:xfrm xmlns:a="http://schemas.openxmlformats.org/drawingml/2006/main">
          <a:off x="723900" y="716280"/>
          <a:ext cx="1752599" cy="171449"/>
        </a:xfrm>
        <a:prstGeom xmlns:a="http://schemas.openxmlformats.org/drawingml/2006/main" prst="rect">
          <a:avLst/>
        </a:prstGeom>
        <a:noFill xmlns:a="http://schemas.openxmlformats.org/drawingml/2006/main"/>
        <a:ln xmlns:a="http://schemas.openxmlformats.org/drawingml/2006/main" w="1">
          <a:noFill/>
          <a:miter lim="800000"/>
          <a:headEnd/>
          <a:tailEnd/>
        </a:ln>
        <a:effectLst xmlns:a="http://schemas.openxmlformats.org/drawingml/2006/main"/>
      </cdr:spPr>
      <cdr:txBody>
        <a:bodyPr xmlns:a="http://schemas.openxmlformats.org/drawingml/2006/main" wrap="square" lIns="36576" tIns="22860" rIns="36576" bIns="22860" anchor="ctr" upright="1"/>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marL="0" marR="0" indent="0" algn="ctr" defTabSz="914400" rtl="0" eaLnBrk="1" fontAlgn="auto" latinLnBrk="0" hangingPunct="1">
            <a:lnSpc>
              <a:spcPct val="100000"/>
            </a:lnSpc>
            <a:spcBef>
              <a:spcPts val="0"/>
            </a:spcBef>
            <a:spcAft>
              <a:spcPts val="0"/>
            </a:spcAft>
            <a:buClrTx/>
            <a:buSzTx/>
            <a:buFontTx/>
            <a:buNone/>
            <a:tabLst/>
            <a:defRPr sz="1000"/>
          </a:pPr>
          <a:r>
            <a:rPr lang="en-US" altLang="zh-TW" sz="800" b="0" i="0" strike="noStrike">
              <a:solidFill>
                <a:srgbClr val="000000"/>
              </a:solidFill>
              <a:latin typeface="Times New Roman" pitchFamily="18" charset="0"/>
              <a:ea typeface="標楷體" pitchFamily="65" charset="-120"/>
              <a:cs typeface="Times New Roman" pitchFamily="18" charset="0"/>
            </a:rPr>
            <a:t>Average</a:t>
          </a:r>
          <a:r>
            <a:rPr lang="en-US" altLang="zh-TW" sz="800" b="0" i="0" strike="noStrike" baseline="0">
              <a:solidFill>
                <a:srgbClr val="000000"/>
              </a:solidFill>
              <a:latin typeface="Times New Roman" pitchFamily="18" charset="0"/>
              <a:ea typeface="標楷體" pitchFamily="65" charset="-120"/>
              <a:cs typeface="Times New Roman" pitchFamily="18" charset="0"/>
            </a:rPr>
            <a:t> RVU per case (</a:t>
          </a:r>
          <a:r>
            <a:rPr lang="en-US" altLang="zh-TW" sz="800">
              <a:latin typeface="Times New Roman" pitchFamily="18" charset="0"/>
              <a:ea typeface="新細明體"/>
              <a:cs typeface="Times New Roman" pitchFamily="18" charset="0"/>
            </a:rPr>
            <a:t>1,000 RVU)</a:t>
          </a:r>
          <a:endParaRPr lang="zh-TW" altLang="zh-TW" sz="800">
            <a:latin typeface="Times New Roman" pitchFamily="18" charset="0"/>
            <a:ea typeface="新細明體"/>
            <a:cs typeface="Times New Roman" pitchFamily="18" charset="0"/>
          </a:endParaRPr>
        </a:p>
      </cdr:txBody>
    </cdr:sp>
  </cdr:relSizeAnchor>
</c:userShapes>
</file>

<file path=word/drawings/drawing27.xml><?xml version="1.0" encoding="utf-8"?>
<c:userShapes xmlns:c="http://schemas.openxmlformats.org/drawingml/2006/chart">
  <cdr:relSizeAnchor xmlns:cdr="http://schemas.openxmlformats.org/drawingml/2006/chartDrawing">
    <cdr:from>
      <cdr:x>0.07556</cdr:x>
      <cdr:y>0.00317</cdr:y>
    </cdr:from>
    <cdr:to>
      <cdr:x>0.91556</cdr:x>
      <cdr:y>0.07278</cdr:y>
    </cdr:to>
    <cdr:sp macro="" textlink="">
      <cdr:nvSpPr>
        <cdr:cNvPr id="9" name="文字方塊 8"/>
        <cdr:cNvSpPr txBox="1"/>
      </cdr:nvSpPr>
      <cdr:spPr>
        <a:xfrm xmlns:a="http://schemas.openxmlformats.org/drawingml/2006/main">
          <a:off x="323850" y="9541"/>
          <a:ext cx="3600469" cy="209534"/>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indent="0" algn="ctr" defTabSz="914400" eaLnBrk="1" fontAlgn="auto" latinLnBrk="0" hangingPunct="1">
            <a:lnSpc>
              <a:spcPct val="100000"/>
            </a:lnSpc>
            <a:spcBef>
              <a:spcPts val="0"/>
            </a:spcBef>
            <a:spcAft>
              <a:spcPts val="0"/>
            </a:spcAft>
            <a:buClrTx/>
            <a:buSzTx/>
            <a:buFontTx/>
            <a:buNone/>
            <a:tabLst/>
            <a:defRPr/>
          </a:pPr>
          <a:r>
            <a:rPr lang="en-US" altLang="zh-TW" sz="1000">
              <a:latin typeface="Times New Roman" pitchFamily="18" charset="0"/>
              <a:ea typeface="標楷體" pitchFamily="65" charset="-120"/>
              <a:cs typeface="Times New Roman" pitchFamily="18" charset="0"/>
            </a:rPr>
            <a:t>Figure 56</a:t>
          </a:r>
          <a:r>
            <a:rPr lang="zh-TW" altLang="en-US" sz="1000">
              <a:latin typeface="Times New Roman" pitchFamily="18" charset="0"/>
              <a:ea typeface="標楷體" pitchFamily="65" charset="-120"/>
              <a:cs typeface="Times New Roman" pitchFamily="18" charset="0"/>
            </a:rPr>
            <a:t>  </a:t>
          </a:r>
          <a:r>
            <a:rPr lang="en-US" altLang="zh-TW" sz="1000">
              <a:latin typeface="Times New Roman" pitchFamily="18" charset="0"/>
              <a:ea typeface="標楷體" pitchFamily="65" charset="-120"/>
              <a:cs typeface="Times New Roman" pitchFamily="18" charset="0"/>
            </a:rPr>
            <a:t>Outpatient Copayment</a:t>
          </a:r>
          <a:endParaRPr lang="zh-TW" altLang="en-US" sz="10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0.92667</cdr:x>
      <cdr:y>0.38924</cdr:y>
    </cdr:from>
    <cdr:to>
      <cdr:x>0.95333</cdr:x>
      <cdr:y>0.93038</cdr:y>
    </cdr:to>
    <cdr:sp macro="" textlink="">
      <cdr:nvSpPr>
        <cdr:cNvPr id="10" name="文字方塊 9"/>
        <cdr:cNvSpPr txBox="1"/>
      </cdr:nvSpPr>
      <cdr:spPr>
        <a:xfrm xmlns:a="http://schemas.openxmlformats.org/drawingml/2006/main">
          <a:off x="3971925" y="1171576"/>
          <a:ext cx="114295" cy="1628776"/>
        </a:xfrm>
        <a:prstGeom xmlns:a="http://schemas.openxmlformats.org/drawingml/2006/main" prst="rect">
          <a:avLst/>
        </a:prstGeom>
      </cdr:spPr>
      <cdr:txBody>
        <a:bodyPr xmlns:a="http://schemas.openxmlformats.org/drawingml/2006/main" vert="eaVert" wrap="square" lIns="0" tIns="0" rIns="0" bIns="0" rtlCol="0" anchor="ctr" anchorCtr="0"/>
        <a:lstStyle xmlns:a="http://schemas.openxmlformats.org/drawingml/2006/main"/>
        <a:p xmlns:a="http://schemas.openxmlformats.org/drawingml/2006/main">
          <a:r>
            <a:rPr lang="en-US" altLang="zh-TW" sz="800">
              <a:latin typeface="Times New Roman" pitchFamily="18" charset="0"/>
              <a:ea typeface="標楷體" pitchFamily="65" charset="-120"/>
              <a:cs typeface="Times New Roman" pitchFamily="18" charset="0"/>
            </a:rPr>
            <a:t>Annual increase rate of copayments %</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0.53333</cdr:x>
      <cdr:y>0.17089</cdr:y>
    </cdr:from>
    <cdr:to>
      <cdr:x>0.90222</cdr:x>
      <cdr:y>0.23101</cdr:y>
    </cdr:to>
    <cdr:sp macro="" textlink="">
      <cdr:nvSpPr>
        <cdr:cNvPr id="7" name="文字方塊 1"/>
        <cdr:cNvSpPr txBox="1"/>
      </cdr:nvSpPr>
      <cdr:spPr>
        <a:xfrm xmlns:a="http://schemas.openxmlformats.org/drawingml/2006/main">
          <a:off x="2286000" y="514362"/>
          <a:ext cx="1581150" cy="180963"/>
        </a:xfrm>
        <a:prstGeom xmlns:a="http://schemas.openxmlformats.org/drawingml/2006/main" prst="rect">
          <a:avLst/>
        </a:prstGeom>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en-US" altLang="zh-TW" sz="800">
              <a:latin typeface="Times New Roman" pitchFamily="18" charset="0"/>
              <a:ea typeface="標楷體" pitchFamily="65" charset="-120"/>
              <a:cs typeface="Times New Roman" pitchFamily="18" charset="0"/>
            </a:rPr>
            <a:t>Average copayment per case</a:t>
          </a:r>
          <a:r>
            <a:rPr lang="zh-TW" altLang="en-US" sz="800">
              <a:latin typeface="標楷體" pitchFamily="65" charset="-120"/>
              <a:ea typeface="標楷體" pitchFamily="65" charset="-120"/>
            </a:rPr>
            <a:t>（</a:t>
          </a:r>
          <a:r>
            <a:rPr lang="en-US" altLang="zh-TW" sz="800">
              <a:latin typeface="Times New Roman" pitchFamily="18" charset="0"/>
              <a:ea typeface="標楷體" pitchFamily="65" charset="-120"/>
              <a:cs typeface="Times New Roman" pitchFamily="18" charset="0"/>
            </a:rPr>
            <a:t>NT$</a:t>
          </a:r>
          <a:r>
            <a:rPr lang="zh-TW" altLang="en-US" sz="800">
              <a:latin typeface="標楷體" pitchFamily="65" charset="-120"/>
              <a:ea typeface="標楷體" pitchFamily="65" charset="-120"/>
            </a:rPr>
            <a:t>）</a:t>
          </a:r>
        </a:p>
      </cdr:txBody>
    </cdr:sp>
  </cdr:relSizeAnchor>
  <cdr:relSizeAnchor xmlns:cdr="http://schemas.openxmlformats.org/drawingml/2006/chartDrawing">
    <cdr:from>
      <cdr:x>0.18</cdr:x>
      <cdr:y>0.09494</cdr:y>
    </cdr:from>
    <cdr:to>
      <cdr:x>0.80889</cdr:x>
      <cdr:y>0.15823</cdr:y>
    </cdr:to>
    <cdr:sp macro="" textlink="">
      <cdr:nvSpPr>
        <cdr:cNvPr id="12" name="文字方塊 11"/>
        <cdr:cNvSpPr txBox="1"/>
      </cdr:nvSpPr>
      <cdr:spPr>
        <a:xfrm xmlns:a="http://schemas.openxmlformats.org/drawingml/2006/main">
          <a:off x="771526" y="285760"/>
          <a:ext cx="2695580" cy="19049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algn="ctr"/>
          <a:r>
            <a:rPr lang="en-US" altLang="zh-TW" sz="800">
              <a:latin typeface="Times New Roman" pitchFamily="18" charset="0"/>
              <a:ea typeface="標楷體" pitchFamily="65" charset="-120"/>
              <a:cs typeface="Times New Roman" pitchFamily="18" charset="0"/>
            </a:rPr>
            <a:t>2011</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0.01111</cdr:x>
      <cdr:y>0.85442</cdr:y>
    </cdr:from>
    <cdr:to>
      <cdr:x>0.52444</cdr:x>
      <cdr:y>0.99152</cdr:y>
    </cdr:to>
    <cdr:sp macro="" textlink="">
      <cdr:nvSpPr>
        <cdr:cNvPr id="6" name="文字方塊 1"/>
        <cdr:cNvSpPr txBox="1"/>
      </cdr:nvSpPr>
      <cdr:spPr>
        <a:xfrm xmlns:a="http://schemas.openxmlformats.org/drawingml/2006/main">
          <a:off x="59599" y="2727960"/>
          <a:ext cx="2753749" cy="437745"/>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US" altLang="zh-TW" sz="800">
              <a:latin typeface="Times New Roman"/>
              <a:ea typeface="+mn-ea"/>
            </a:rPr>
            <a:t>The X-Axis and Y-Axis values in the origin (3, 157) represented, respectively, "the median of the annual increasing rate of the copayments" and "the median of the average copayment per case."</a:t>
          </a:r>
          <a:endParaRPr lang="zh-TW" altLang="en-US" sz="800">
            <a:latin typeface="Times New Roman" pitchFamily="18" charset="0"/>
            <a:ea typeface="標楷體" pitchFamily="65" charset="-120"/>
            <a:cs typeface="Times New Roman" pitchFamily="18" charset="0"/>
          </a:endParaRPr>
        </a:p>
      </cdr:txBody>
    </cdr:sp>
  </cdr:relSizeAnchor>
</c:userShapes>
</file>

<file path=word/drawings/drawing28.xml><?xml version="1.0" encoding="utf-8"?>
<c:userShapes xmlns:c="http://schemas.openxmlformats.org/drawingml/2006/chart">
  <cdr:relSizeAnchor xmlns:cdr="http://schemas.openxmlformats.org/drawingml/2006/chartDrawing">
    <cdr:from>
      <cdr:x>0.08958</cdr:x>
      <cdr:y>0.00694</cdr:y>
    </cdr:from>
    <cdr:to>
      <cdr:x>0.89167</cdr:x>
      <cdr:y>0.18056</cdr:y>
    </cdr:to>
    <cdr:sp macro="" textlink="">
      <cdr:nvSpPr>
        <cdr:cNvPr id="2" name="文字方塊 1"/>
        <cdr:cNvSpPr txBox="1"/>
      </cdr:nvSpPr>
      <cdr:spPr>
        <a:xfrm xmlns:a="http://schemas.openxmlformats.org/drawingml/2006/main">
          <a:off x="409575" y="19049"/>
          <a:ext cx="3667125" cy="47625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en-US" altLang="zh-TW" sz="1000">
              <a:latin typeface="Times New Roman" pitchFamily="18" charset="0"/>
              <a:ea typeface="標楷體" pitchFamily="65" charset="-120"/>
              <a:cs typeface="Times New Roman" pitchFamily="18" charset="0"/>
            </a:rPr>
            <a:t>Figure 57</a:t>
          </a:r>
          <a:r>
            <a:rPr lang="zh-TW" altLang="en-US" sz="1000">
              <a:latin typeface="Times New Roman" pitchFamily="18" charset="0"/>
              <a:ea typeface="標楷體" pitchFamily="65" charset="-120"/>
              <a:cs typeface="Times New Roman" pitchFamily="18" charset="0"/>
            </a:rPr>
            <a:t>   </a:t>
          </a:r>
          <a:r>
            <a:rPr lang="en-US" altLang="zh-TW" sz="1000">
              <a:latin typeface="Times New Roman" pitchFamily="18" charset="0"/>
              <a:ea typeface="標楷體" pitchFamily="65" charset="-120"/>
              <a:cs typeface="Times New Roman" pitchFamily="18" charset="0"/>
            </a:rPr>
            <a:t>Outpatient Copayment by Gender</a:t>
          </a:r>
          <a:r>
            <a:rPr lang="en-US" altLang="zh-TW" sz="1000" baseline="0">
              <a:latin typeface="Times New Roman" pitchFamily="18" charset="0"/>
              <a:ea typeface="標楷體" pitchFamily="65" charset="-120"/>
              <a:cs typeface="Times New Roman" pitchFamily="18" charset="0"/>
            </a:rPr>
            <a:t> and Age</a:t>
          </a:r>
          <a:r>
            <a:rPr lang="zh-TW" altLang="en-US" sz="1000">
              <a:latin typeface="Times New Roman" pitchFamily="18" charset="0"/>
              <a:ea typeface="標楷體" pitchFamily="65" charset="-120"/>
              <a:cs typeface="Times New Roman" pitchFamily="18" charset="0"/>
            </a:rPr>
            <a:t>   </a:t>
          </a:r>
          <a:endParaRPr lang="en-US" altLang="zh-TW" sz="1000">
            <a:latin typeface="Times New Roman" pitchFamily="18" charset="0"/>
            <a:ea typeface="標楷體" pitchFamily="65" charset="-120"/>
            <a:cs typeface="Times New Roman" pitchFamily="18" charset="0"/>
          </a:endParaRPr>
        </a:p>
        <a:p xmlns:a="http://schemas.openxmlformats.org/drawingml/2006/main">
          <a:pPr algn="ctr"/>
          <a:endParaRPr lang="en-US" altLang="zh-TW" sz="900">
            <a:latin typeface="Times New Roman" pitchFamily="18" charset="0"/>
            <a:ea typeface="標楷體" pitchFamily="65" charset="-120"/>
            <a:cs typeface="Times New Roman" pitchFamily="18" charset="0"/>
          </a:endParaRPr>
        </a:p>
        <a:p xmlns:a="http://schemas.openxmlformats.org/drawingml/2006/main">
          <a:pPr algn="ctr"/>
          <a:r>
            <a:rPr lang="en-US" altLang="zh-TW" sz="800">
              <a:latin typeface="Times New Roman" pitchFamily="18" charset="0"/>
              <a:ea typeface="標楷體" pitchFamily="65" charset="-120"/>
              <a:cs typeface="Times New Roman" pitchFamily="18" charset="0"/>
            </a:rPr>
            <a:t>2011</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0.03125</cdr:x>
      <cdr:y>0.90322</cdr:y>
    </cdr:from>
    <cdr:to>
      <cdr:x>0.925</cdr:x>
      <cdr:y>0.98065</cdr:y>
    </cdr:to>
    <cdr:sp macro="" textlink="">
      <cdr:nvSpPr>
        <cdr:cNvPr id="3" name="文字方塊 2"/>
        <cdr:cNvSpPr txBox="1"/>
      </cdr:nvSpPr>
      <cdr:spPr>
        <a:xfrm xmlns:a="http://schemas.openxmlformats.org/drawingml/2006/main">
          <a:off x="142874" y="2666994"/>
          <a:ext cx="4086225" cy="22860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altLang="zh-TW" sz="800">
              <a:latin typeface="Times New Roman" pitchFamily="18" charset="0"/>
              <a:ea typeface="標楷體" pitchFamily="65" charset="-120"/>
              <a:cs typeface="Times New Roman" pitchFamily="18" charset="0"/>
            </a:rPr>
            <a:t>The outpatient</a:t>
          </a:r>
          <a:r>
            <a:rPr lang="en-US" altLang="zh-TW" sz="800" baseline="0">
              <a:latin typeface="Times New Roman" pitchFamily="18" charset="0"/>
              <a:ea typeface="標楷體" pitchFamily="65" charset="-120"/>
              <a:cs typeface="Times New Roman" pitchFamily="18" charset="0"/>
            </a:rPr>
            <a:t> copayments were NT$13 billion for male and NT$16 billion for female in 2011.</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0.82917</cdr:x>
      <cdr:y>0.82581</cdr:y>
    </cdr:from>
    <cdr:to>
      <cdr:x>0.8875</cdr:x>
      <cdr:y>0.9</cdr:y>
    </cdr:to>
    <cdr:sp macro="" textlink="">
      <cdr:nvSpPr>
        <cdr:cNvPr id="4" name="文字方塊 3"/>
        <cdr:cNvSpPr txBox="1"/>
      </cdr:nvSpPr>
      <cdr:spPr>
        <a:xfrm xmlns:a="http://schemas.openxmlformats.org/drawingml/2006/main">
          <a:off x="3790950" y="2438400"/>
          <a:ext cx="266700" cy="21907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altLang="zh-TW" sz="800">
              <a:latin typeface="Times New Roman" pitchFamily="18" charset="0"/>
              <a:cs typeface="Times New Roman" pitchFamily="18" charset="0"/>
            </a:rPr>
            <a:t>%</a:t>
          </a:r>
          <a:endParaRPr lang="zh-TW" altLang="en-US" sz="800">
            <a:latin typeface="Times New Roman" pitchFamily="18" charset="0"/>
            <a:cs typeface="Times New Roman" pitchFamily="18" charset="0"/>
          </a:endParaRPr>
        </a:p>
      </cdr:txBody>
    </cdr:sp>
  </cdr:relSizeAnchor>
</c:userShapes>
</file>

<file path=word/drawings/drawing29.xml><?xml version="1.0" encoding="utf-8"?>
<c:userShapes xmlns:c="http://schemas.openxmlformats.org/drawingml/2006/chart">
  <cdr:relSizeAnchor xmlns:cdr="http://schemas.openxmlformats.org/drawingml/2006/chartDrawing">
    <cdr:from>
      <cdr:x>0.07292</cdr:x>
      <cdr:y>0.03548</cdr:y>
    </cdr:from>
    <cdr:to>
      <cdr:x>0.93333</cdr:x>
      <cdr:y>0.20968</cdr:y>
    </cdr:to>
    <cdr:sp macro="" textlink="">
      <cdr:nvSpPr>
        <cdr:cNvPr id="2" name="文字方塊 1"/>
        <cdr:cNvSpPr txBox="1"/>
      </cdr:nvSpPr>
      <cdr:spPr>
        <a:xfrm xmlns:a="http://schemas.openxmlformats.org/drawingml/2006/main">
          <a:off x="333375" y="104764"/>
          <a:ext cx="3933825" cy="514369"/>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en-US" altLang="zh-TW" sz="1000">
              <a:latin typeface="Times New Roman" pitchFamily="18" charset="0"/>
              <a:ea typeface="標楷體" pitchFamily="65" charset="-120"/>
              <a:cs typeface="Times New Roman" pitchFamily="18" charset="0"/>
            </a:rPr>
            <a:t>Figure 58</a:t>
          </a:r>
          <a:r>
            <a:rPr lang="zh-TW" altLang="en-US" sz="1000">
              <a:latin typeface="Times New Roman" pitchFamily="18" charset="0"/>
              <a:ea typeface="標楷體" pitchFamily="65" charset="-120"/>
              <a:cs typeface="Times New Roman" pitchFamily="18" charset="0"/>
            </a:rPr>
            <a:t>  </a:t>
          </a:r>
          <a:r>
            <a:rPr lang="en-US" altLang="zh-TW" sz="1000">
              <a:latin typeface="Times New Roman" pitchFamily="18" charset="0"/>
              <a:ea typeface="標楷體" pitchFamily="65" charset="-120"/>
              <a:cs typeface="Times New Roman" pitchFamily="18" charset="0"/>
            </a:rPr>
            <a:t>Average </a:t>
          </a:r>
          <a:r>
            <a:rPr lang="en-US" altLang="zh-TW" sz="1000" baseline="0">
              <a:latin typeface="Times New Roman" pitchFamily="18" charset="0"/>
              <a:ea typeface="標楷體" pitchFamily="65" charset="-120"/>
              <a:cs typeface="Times New Roman" pitchFamily="18" charset="0"/>
            </a:rPr>
            <a:t>Copayment per Outpatient Case by Gender and Age</a:t>
          </a:r>
          <a:endParaRPr lang="en-US" altLang="zh-TW" sz="1000">
            <a:latin typeface="Times New Roman" pitchFamily="18" charset="0"/>
            <a:ea typeface="標楷體" pitchFamily="65" charset="-120"/>
            <a:cs typeface="Times New Roman" pitchFamily="18" charset="0"/>
          </a:endParaRPr>
        </a:p>
        <a:p xmlns:a="http://schemas.openxmlformats.org/drawingml/2006/main">
          <a:pPr algn="ctr"/>
          <a:endParaRPr lang="en-US" altLang="zh-TW" sz="900">
            <a:latin typeface="Times New Roman" pitchFamily="18" charset="0"/>
            <a:ea typeface="標楷體" pitchFamily="65" charset="-120"/>
            <a:cs typeface="Times New Roman" pitchFamily="18" charset="0"/>
          </a:endParaRPr>
        </a:p>
        <a:p xmlns:a="http://schemas.openxmlformats.org/drawingml/2006/main">
          <a:pPr algn="ctr"/>
          <a:r>
            <a:rPr lang="en-US" altLang="zh-TW" sz="800">
              <a:latin typeface="Times New Roman" pitchFamily="18" charset="0"/>
              <a:ea typeface="標楷體" pitchFamily="65" charset="-120"/>
              <a:cs typeface="Times New Roman" pitchFamily="18" charset="0"/>
            </a:rPr>
            <a:t>2011</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0.03542</cdr:x>
      <cdr:y>0.1871</cdr:y>
    </cdr:from>
    <cdr:to>
      <cdr:x>0.11875</cdr:x>
      <cdr:y>0.25161</cdr:y>
    </cdr:to>
    <cdr:sp macro="" textlink="">
      <cdr:nvSpPr>
        <cdr:cNvPr id="4" name="文字方塊 3"/>
        <cdr:cNvSpPr txBox="1"/>
      </cdr:nvSpPr>
      <cdr:spPr>
        <a:xfrm xmlns:a="http://schemas.openxmlformats.org/drawingml/2006/main">
          <a:off x="161925" y="552459"/>
          <a:ext cx="380999" cy="19049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altLang="zh-TW" sz="800">
              <a:latin typeface="Times New Roman" pitchFamily="18" charset="0"/>
              <a:ea typeface="標楷體" pitchFamily="65" charset="-120"/>
              <a:cs typeface="Times New Roman" pitchFamily="18" charset="0"/>
            </a:rPr>
            <a:t>NT$</a:t>
          </a:r>
          <a:endParaRPr lang="zh-TW" altLang="en-US" sz="800">
            <a:latin typeface="Times New Roman" pitchFamily="18" charset="0"/>
            <a:ea typeface="標楷體" pitchFamily="65" charset="-120"/>
            <a:cs typeface="Times New Roman" pitchFamily="18" charset="0"/>
          </a:endParaRPr>
        </a:p>
      </cdr:txBody>
    </cdr:sp>
  </cdr:relSizeAnchor>
</c:userShapes>
</file>

<file path=word/drawings/drawing30.xml><?xml version="1.0" encoding="utf-8"?>
<c:userShapes xmlns:c="http://schemas.openxmlformats.org/drawingml/2006/chart">
  <cdr:relSizeAnchor xmlns:cdr="http://schemas.openxmlformats.org/drawingml/2006/chartDrawing">
    <cdr:from>
      <cdr:x>0.72889</cdr:x>
      <cdr:y>0.08544</cdr:y>
    </cdr:from>
    <cdr:to>
      <cdr:x>0.78444</cdr:x>
      <cdr:y>0.40506</cdr:y>
    </cdr:to>
    <cdr:sp macro="" textlink="">
      <cdr:nvSpPr>
        <cdr:cNvPr id="6" name="文字方塊 5"/>
        <cdr:cNvSpPr txBox="1"/>
      </cdr:nvSpPr>
      <cdr:spPr>
        <a:xfrm xmlns:a="http://schemas.openxmlformats.org/drawingml/2006/main">
          <a:off x="3124200" y="257175"/>
          <a:ext cx="238125" cy="962025"/>
        </a:xfrm>
        <a:prstGeom xmlns:a="http://schemas.openxmlformats.org/drawingml/2006/main" prst="rect">
          <a:avLst/>
        </a:prstGeom>
      </cdr:spPr>
      <cdr:txBody>
        <a:bodyPr xmlns:a="http://schemas.openxmlformats.org/drawingml/2006/main" vert="eaVert" wrap="square" rtlCol="0"/>
        <a:lstStyle xmlns:a="http://schemas.openxmlformats.org/drawingml/2006/main"/>
        <a:p xmlns:a="http://schemas.openxmlformats.org/drawingml/2006/main">
          <a:endParaRPr lang="zh-TW" altLang="en-US" sz="1100"/>
        </a:p>
      </cdr:txBody>
    </cdr:sp>
  </cdr:relSizeAnchor>
  <cdr:relSizeAnchor xmlns:cdr="http://schemas.openxmlformats.org/drawingml/2006/chartDrawing">
    <cdr:from>
      <cdr:x>0.09333</cdr:x>
      <cdr:y>0.00317</cdr:y>
    </cdr:from>
    <cdr:to>
      <cdr:x>0.91556</cdr:x>
      <cdr:y>0.07279</cdr:y>
    </cdr:to>
    <cdr:sp macro="" textlink="">
      <cdr:nvSpPr>
        <cdr:cNvPr id="9" name="文字方塊 8"/>
        <cdr:cNvSpPr txBox="1"/>
      </cdr:nvSpPr>
      <cdr:spPr>
        <a:xfrm xmlns:a="http://schemas.openxmlformats.org/drawingml/2006/main">
          <a:off x="400036" y="9533"/>
          <a:ext cx="3524283" cy="209549"/>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marL="0" marR="0" indent="0" algn="ctr" defTabSz="914400" eaLnBrk="1" fontAlgn="auto" latinLnBrk="0" hangingPunct="1">
            <a:lnSpc>
              <a:spcPct val="100000"/>
            </a:lnSpc>
            <a:spcBef>
              <a:spcPts val="0"/>
            </a:spcBef>
            <a:spcAft>
              <a:spcPts val="0"/>
            </a:spcAft>
            <a:buClrTx/>
            <a:buSzTx/>
            <a:buFontTx/>
            <a:buNone/>
            <a:tabLst/>
            <a:defRPr/>
          </a:pPr>
          <a:r>
            <a:rPr lang="en-US" altLang="zh-TW" sz="1000">
              <a:latin typeface="Times New Roman" pitchFamily="18" charset="0"/>
              <a:ea typeface="標楷體" pitchFamily="65" charset="-120"/>
              <a:cs typeface="Times New Roman" pitchFamily="18" charset="0"/>
            </a:rPr>
            <a:t>Figure 59  Inpatient</a:t>
          </a:r>
          <a:r>
            <a:rPr lang="en-US" altLang="zh-TW" sz="1000" baseline="0">
              <a:latin typeface="Times New Roman" pitchFamily="18" charset="0"/>
              <a:ea typeface="標楷體" pitchFamily="65" charset="-120"/>
              <a:cs typeface="Times New Roman" pitchFamily="18" charset="0"/>
            </a:rPr>
            <a:t> Copayment</a:t>
          </a:r>
          <a:endParaRPr lang="zh-TW" altLang="en-US" sz="10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0.50889</cdr:x>
      <cdr:y>0.17721</cdr:y>
    </cdr:from>
    <cdr:to>
      <cdr:x>0.88889</cdr:x>
      <cdr:y>0.22468</cdr:y>
    </cdr:to>
    <cdr:sp macro="" textlink="">
      <cdr:nvSpPr>
        <cdr:cNvPr id="7" name="文字方塊 1"/>
        <cdr:cNvSpPr txBox="1"/>
      </cdr:nvSpPr>
      <cdr:spPr>
        <a:xfrm xmlns:a="http://schemas.openxmlformats.org/drawingml/2006/main">
          <a:off x="2181224" y="533385"/>
          <a:ext cx="1628775" cy="142890"/>
        </a:xfrm>
        <a:prstGeom xmlns:a="http://schemas.openxmlformats.org/drawingml/2006/main" prst="rect">
          <a:avLst/>
        </a:prstGeom>
      </cdr:spPr>
      <cdr:txBody>
        <a:bodyPr xmlns:a="http://schemas.openxmlformats.org/drawingml/2006/main" wrap="square" lIns="0" tIns="0" rIns="0" bIns="0"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pPr marL="0" marR="0" lvl="0" indent="0"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Average copayment per case</a:t>
          </a:r>
          <a:r>
            <a:rPr kumimoji="0" lang="zh-TW" altLang="en-US" sz="800" b="0" i="0" u="none" strike="noStrike" kern="0" cap="none" spc="0" normalizeH="0" baseline="0" noProof="0">
              <a:ln>
                <a:noFill/>
              </a:ln>
              <a:solidFill>
                <a:sysClr val="windowText" lastClr="000000"/>
              </a:solidFill>
              <a:effectLst/>
              <a:uLnTx/>
              <a:uFillTx/>
              <a:latin typeface="標楷體" pitchFamily="65" charset="-120"/>
              <a:ea typeface="標楷體" pitchFamily="65" charset="-120"/>
              <a:cs typeface="+mn-cs"/>
            </a:rPr>
            <a:t>（</a:t>
          </a: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NT$</a:t>
          </a:r>
          <a:r>
            <a:rPr kumimoji="0" lang="zh-TW" altLang="en-US" sz="800" b="0" i="0" u="none" strike="noStrike" kern="0" cap="none" spc="0" normalizeH="0" baseline="0" noProof="0">
              <a:ln>
                <a:noFill/>
              </a:ln>
              <a:solidFill>
                <a:sysClr val="windowText" lastClr="000000"/>
              </a:solidFill>
              <a:effectLst/>
              <a:uLnTx/>
              <a:uFillTx/>
              <a:latin typeface="標楷體" pitchFamily="65" charset="-120"/>
              <a:ea typeface="標楷體" pitchFamily="65" charset="-120"/>
              <a:cs typeface="+mn-cs"/>
            </a:rPr>
            <a:t>）</a:t>
          </a:r>
        </a:p>
      </cdr:txBody>
    </cdr:sp>
  </cdr:relSizeAnchor>
  <cdr:relSizeAnchor xmlns:cdr="http://schemas.openxmlformats.org/drawingml/2006/chartDrawing">
    <cdr:from>
      <cdr:x>0.20222</cdr:x>
      <cdr:y>0.09494</cdr:y>
    </cdr:from>
    <cdr:to>
      <cdr:x>0.80889</cdr:x>
      <cdr:y>0.16139</cdr:y>
    </cdr:to>
    <cdr:sp macro="" textlink="">
      <cdr:nvSpPr>
        <cdr:cNvPr id="12" name="文字方塊 11"/>
        <cdr:cNvSpPr txBox="1"/>
      </cdr:nvSpPr>
      <cdr:spPr>
        <a:xfrm xmlns:a="http://schemas.openxmlformats.org/drawingml/2006/main">
          <a:off x="866776" y="285759"/>
          <a:ext cx="2600330" cy="200015"/>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pPr algn="ctr"/>
          <a:r>
            <a:rPr lang="en-US" altLang="zh-TW" sz="800">
              <a:latin typeface="Times New Roman" pitchFamily="18" charset="0"/>
              <a:ea typeface="標楷體" pitchFamily="65" charset="-120"/>
              <a:cs typeface="Times New Roman" pitchFamily="18" charset="0"/>
            </a:rPr>
            <a:t>2011</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cdr:x>
      <cdr:y>0</cdr:y>
    </cdr:from>
    <cdr:to>
      <cdr:x>0.00569</cdr:x>
      <cdr:y>0.0081</cdr:y>
    </cdr:to>
    <cdr:pic>
      <cdr:nvPicPr>
        <cdr:cNvPr id="8" name="chart"/>
        <cdr:cNvPicPr>
          <a:picLocks xmlns:a="http://schemas.openxmlformats.org/drawingml/2006/main" noChangeAspect="1"/>
        </cdr:cNvPicPr>
      </cdr:nvPicPr>
      <cdr:blipFill>
        <a:blip xmlns:a="http://schemas.openxmlformats.org/drawingml/2006/main" xmlns:r="http://schemas.openxmlformats.org/officeDocument/2006/relationships" r:embed="rId1"/>
        <a:stretch xmlns:a="http://schemas.openxmlformats.org/drawingml/2006/main">
          <a:fillRect/>
        </a:stretch>
      </cdr:blipFill>
      <cdr:spPr>
        <a:xfrm xmlns:a="http://schemas.openxmlformats.org/drawingml/2006/main">
          <a:off x="0" y="0"/>
          <a:ext cx="24386" cy="24386"/>
        </a:xfrm>
        <a:prstGeom xmlns:a="http://schemas.openxmlformats.org/drawingml/2006/main" prst="rect">
          <a:avLst/>
        </a:prstGeom>
      </cdr:spPr>
    </cdr:pic>
  </cdr:relSizeAnchor>
  <cdr:relSizeAnchor xmlns:cdr="http://schemas.openxmlformats.org/drawingml/2006/chartDrawing">
    <cdr:from>
      <cdr:x>0.01111</cdr:x>
      <cdr:y>0.85253</cdr:y>
    </cdr:from>
    <cdr:to>
      <cdr:x>0.58222</cdr:x>
      <cdr:y>0.97468</cdr:y>
    </cdr:to>
    <cdr:sp macro="" textlink="">
      <cdr:nvSpPr>
        <cdr:cNvPr id="11" name="文字方塊 1"/>
        <cdr:cNvSpPr txBox="1"/>
      </cdr:nvSpPr>
      <cdr:spPr>
        <a:xfrm xmlns:a="http://schemas.openxmlformats.org/drawingml/2006/main">
          <a:off x="56213" y="2819399"/>
          <a:ext cx="2889634" cy="403945"/>
        </a:xfrm>
        <a:prstGeom xmlns:a="http://schemas.openxmlformats.org/drawingml/2006/main" prst="rect">
          <a:avLst/>
        </a:prstGeom>
      </cdr:spPr>
      <cdr:txBody>
        <a:bodyPr xmlns:a="http://schemas.openxmlformats.org/drawingml/2006/main" wrap="square" lIns="0" rIns="0"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en-US" altLang="zh-TW" sz="800">
              <a:latin typeface="Times New Roman" pitchFamily="18" charset="0"/>
              <a:ea typeface="標楷體" pitchFamily="65" charset="-120"/>
              <a:cs typeface="Times New Roman" pitchFamily="18" charset="0"/>
            </a:rPr>
            <a:t>The X-Axis and Y-Axis values in the origin (2, 3,522) represented, respectively, the "median of the annual increasing rate of the copayments" and "the median of the average copayment per case."</a:t>
          </a:r>
        </a:p>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0.89556</cdr:x>
      <cdr:y>0.28797</cdr:y>
    </cdr:from>
    <cdr:to>
      <cdr:x>0.92222</cdr:x>
      <cdr:y>0.82911</cdr:y>
    </cdr:to>
    <cdr:sp macro="" textlink="">
      <cdr:nvSpPr>
        <cdr:cNvPr id="13" name="文字方塊 1"/>
        <cdr:cNvSpPr txBox="1"/>
      </cdr:nvSpPr>
      <cdr:spPr>
        <a:xfrm xmlns:a="http://schemas.openxmlformats.org/drawingml/2006/main">
          <a:off x="3838575" y="866775"/>
          <a:ext cx="114272" cy="1628778"/>
        </a:xfrm>
        <a:prstGeom xmlns:a="http://schemas.openxmlformats.org/drawingml/2006/main" prst="rect">
          <a:avLst/>
        </a:prstGeom>
      </cdr:spPr>
      <cdr:txBody>
        <a:bodyPr xmlns:a="http://schemas.openxmlformats.org/drawingml/2006/main" vert="eaVert" wrap="square" lIns="0" tIns="0" rIns="0" bIns="0" rtlCol="0" anchor="ctr" anchorCtr="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US" altLang="zh-TW" sz="800">
              <a:latin typeface="Times New Roman" pitchFamily="18" charset="0"/>
              <a:ea typeface="標楷體" pitchFamily="65" charset="-120"/>
              <a:cs typeface="Times New Roman" pitchFamily="18" charset="0"/>
            </a:rPr>
            <a:t>Annual increase rate of copayments %</a:t>
          </a:r>
          <a:endParaRPr lang="zh-TW" altLang="en-US" sz="800">
            <a:latin typeface="Times New Roman" pitchFamily="18" charset="0"/>
            <a:ea typeface="標楷體" pitchFamily="65" charset="-120"/>
            <a:cs typeface="Times New Roman" pitchFamily="18" charset="0"/>
          </a:endParaRPr>
        </a:p>
      </cdr:txBody>
    </cdr:sp>
  </cdr:relSizeAnchor>
</c:userShapes>
</file>

<file path=word/drawings/drawing31.xml><?xml version="1.0" encoding="utf-8"?>
<c:userShapes xmlns:c="http://schemas.openxmlformats.org/drawingml/2006/chart">
  <cdr:relSizeAnchor xmlns:cdr="http://schemas.openxmlformats.org/drawingml/2006/chartDrawing">
    <cdr:from>
      <cdr:x>0.08958</cdr:x>
      <cdr:y>0.00694</cdr:y>
    </cdr:from>
    <cdr:to>
      <cdr:x>0.89167</cdr:x>
      <cdr:y>0.18056</cdr:y>
    </cdr:to>
    <cdr:sp macro="" textlink="">
      <cdr:nvSpPr>
        <cdr:cNvPr id="2" name="文字方塊 1"/>
        <cdr:cNvSpPr txBox="1"/>
      </cdr:nvSpPr>
      <cdr:spPr>
        <a:xfrm xmlns:a="http://schemas.openxmlformats.org/drawingml/2006/main">
          <a:off x="409575" y="19049"/>
          <a:ext cx="3667125" cy="47625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indent="0" algn="ctr" defTabSz="914400" eaLnBrk="1" fontAlgn="auto" latinLnBrk="0" hangingPunct="1">
            <a:lnSpc>
              <a:spcPct val="100000"/>
            </a:lnSpc>
            <a:spcBef>
              <a:spcPts val="0"/>
            </a:spcBef>
            <a:spcAft>
              <a:spcPts val="0"/>
            </a:spcAft>
            <a:buClrTx/>
            <a:buSzTx/>
            <a:buFontTx/>
            <a:buNone/>
            <a:tabLst/>
            <a:defRPr/>
          </a:pPr>
          <a:r>
            <a:rPr lang="en-US" altLang="zh-TW" sz="1000">
              <a:latin typeface="Times New Roman" pitchFamily="18" charset="0"/>
              <a:ea typeface="標楷體" pitchFamily="65" charset="-120"/>
              <a:cs typeface="Times New Roman" pitchFamily="18" charset="0"/>
            </a:rPr>
            <a:t>Figure 60</a:t>
          </a:r>
          <a:r>
            <a:rPr lang="zh-TW" altLang="en-US" sz="1000">
              <a:latin typeface="Times New Roman" pitchFamily="18" charset="0"/>
              <a:ea typeface="標楷體" pitchFamily="65" charset="-120"/>
              <a:cs typeface="Times New Roman" pitchFamily="18" charset="0"/>
            </a:rPr>
            <a:t>  </a:t>
          </a:r>
          <a:r>
            <a:rPr lang="en-US" altLang="zh-TW" sz="1000">
              <a:latin typeface="Times New Roman" pitchFamily="18" charset="0"/>
              <a:ea typeface="標楷體" pitchFamily="65" charset="-120"/>
              <a:cs typeface="Times New Roman" pitchFamily="18" charset="0"/>
            </a:rPr>
            <a:t>Inpatient Copayment by Gender and Age</a:t>
          </a:r>
          <a:r>
            <a:rPr lang="zh-TW" altLang="en-US" sz="1000">
              <a:latin typeface="Times New Roman" pitchFamily="18" charset="0"/>
              <a:ea typeface="標楷體" pitchFamily="65" charset="-120"/>
              <a:cs typeface="Times New Roman" pitchFamily="18" charset="0"/>
            </a:rPr>
            <a:t>   </a:t>
          </a:r>
          <a:endParaRPr lang="en-US" altLang="zh-TW" sz="1000">
            <a:latin typeface="Times New Roman" pitchFamily="18" charset="0"/>
            <a:ea typeface="標楷體" pitchFamily="65" charset="-120"/>
            <a:cs typeface="Times New Roman" pitchFamily="18" charset="0"/>
          </a:endParaRPr>
        </a:p>
        <a:p xmlns:a="http://schemas.openxmlformats.org/drawingml/2006/main">
          <a:pPr algn="ctr"/>
          <a:endParaRPr lang="en-US" altLang="zh-TW" sz="900">
            <a:latin typeface="Times New Roman" pitchFamily="18" charset="0"/>
            <a:ea typeface="標楷體" pitchFamily="65" charset="-120"/>
            <a:cs typeface="Times New Roman" pitchFamily="18" charset="0"/>
          </a:endParaRPr>
        </a:p>
        <a:p xmlns:a="http://schemas.openxmlformats.org/drawingml/2006/main">
          <a:pPr algn="ctr"/>
          <a:r>
            <a:rPr lang="en-US" altLang="zh-TW" sz="800">
              <a:latin typeface="Times New Roman" pitchFamily="18" charset="0"/>
              <a:ea typeface="標楷體" pitchFamily="65" charset="-120"/>
              <a:cs typeface="Times New Roman" pitchFamily="18" charset="0"/>
            </a:rPr>
            <a:t>2011</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0.0625</cdr:x>
      <cdr:y>0.9129</cdr:y>
    </cdr:from>
    <cdr:to>
      <cdr:x>0.91875</cdr:x>
      <cdr:y>0.98065</cdr:y>
    </cdr:to>
    <cdr:sp macro="" textlink="">
      <cdr:nvSpPr>
        <cdr:cNvPr id="3" name="文字方塊 2"/>
        <cdr:cNvSpPr txBox="1"/>
      </cdr:nvSpPr>
      <cdr:spPr>
        <a:xfrm xmlns:a="http://schemas.openxmlformats.org/drawingml/2006/main">
          <a:off x="285750" y="2695574"/>
          <a:ext cx="3914760" cy="200039"/>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The inpatient copayments were NT$4 billion for male and NT$3 billion for female in 2011.</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0.82098</cdr:x>
      <cdr:y>0.82439</cdr:y>
    </cdr:from>
    <cdr:to>
      <cdr:x>0.87927</cdr:x>
      <cdr:y>0.88841</cdr:y>
    </cdr:to>
    <cdr:sp macro="" textlink="">
      <cdr:nvSpPr>
        <cdr:cNvPr id="4" name="文字方塊 1"/>
        <cdr:cNvSpPr txBox="1"/>
      </cdr:nvSpPr>
      <cdr:spPr>
        <a:xfrm xmlns:a="http://schemas.openxmlformats.org/drawingml/2006/main">
          <a:off x="3756660" y="2575560"/>
          <a:ext cx="266700" cy="20002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US" altLang="zh-TW" sz="800">
              <a:latin typeface="Times New Roman" pitchFamily="18" charset="0"/>
              <a:cs typeface="Times New Roman" pitchFamily="18" charset="0"/>
            </a:rPr>
            <a:t>%</a:t>
          </a:r>
          <a:endParaRPr lang="zh-TW" altLang="en-US" sz="800">
            <a:latin typeface="Times New Roman" pitchFamily="18" charset="0"/>
            <a:cs typeface="Times New Roman" pitchFamily="18" charset="0"/>
          </a:endParaRPr>
        </a:p>
      </cdr:txBody>
    </cdr:sp>
  </cdr:relSizeAnchor>
</c:userShapes>
</file>

<file path=word/drawings/drawing32.xml><?xml version="1.0" encoding="utf-8"?>
<c:userShapes xmlns:c="http://schemas.openxmlformats.org/drawingml/2006/chart">
  <cdr:relSizeAnchor xmlns:cdr="http://schemas.openxmlformats.org/drawingml/2006/chartDrawing">
    <cdr:from>
      <cdr:x>0.08958</cdr:x>
      <cdr:y>0.00694</cdr:y>
    </cdr:from>
    <cdr:to>
      <cdr:x>0.91552</cdr:x>
      <cdr:y>0.18056</cdr:y>
    </cdr:to>
    <cdr:sp macro="" textlink="">
      <cdr:nvSpPr>
        <cdr:cNvPr id="2" name="文字方塊 1"/>
        <cdr:cNvSpPr txBox="1"/>
      </cdr:nvSpPr>
      <cdr:spPr>
        <a:xfrm xmlns:a="http://schemas.openxmlformats.org/drawingml/2006/main">
          <a:off x="420140" y="22264"/>
          <a:ext cx="3873730" cy="55697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en-US" altLang="zh-TW" sz="1000">
              <a:latin typeface="Times New Roman" pitchFamily="18" charset="0"/>
              <a:ea typeface="標楷體" pitchFamily="65" charset="-120"/>
              <a:cs typeface="Times New Roman" pitchFamily="18" charset="0"/>
            </a:rPr>
            <a:t>Figure 61</a:t>
          </a:r>
          <a:r>
            <a:rPr lang="zh-TW" altLang="en-US" sz="1000">
              <a:latin typeface="Times New Roman" pitchFamily="18" charset="0"/>
              <a:ea typeface="標楷體" pitchFamily="65" charset="-120"/>
              <a:cs typeface="Times New Roman" pitchFamily="18" charset="0"/>
            </a:rPr>
            <a:t>  </a:t>
          </a:r>
          <a:r>
            <a:rPr lang="en-US" altLang="zh-TW" sz="1000">
              <a:latin typeface="Times New Roman" pitchFamily="18" charset="0"/>
              <a:ea typeface="標楷體" pitchFamily="65" charset="-120"/>
              <a:cs typeface="Times New Roman" pitchFamily="18" charset="0"/>
            </a:rPr>
            <a:t>Average Copayment per Inpatient Case by Gender and Age</a:t>
          </a:r>
          <a:r>
            <a:rPr lang="zh-TW" altLang="en-US" sz="1000">
              <a:latin typeface="Times New Roman" pitchFamily="18" charset="0"/>
              <a:ea typeface="標楷體" pitchFamily="65" charset="-120"/>
              <a:cs typeface="Times New Roman" pitchFamily="18" charset="0"/>
            </a:rPr>
            <a:t>   </a:t>
          </a:r>
          <a:endParaRPr lang="en-US" altLang="zh-TW" sz="1000">
            <a:latin typeface="Times New Roman" pitchFamily="18" charset="0"/>
            <a:ea typeface="標楷體" pitchFamily="65" charset="-120"/>
            <a:cs typeface="Times New Roman" pitchFamily="18" charset="0"/>
          </a:endParaRPr>
        </a:p>
        <a:p xmlns:a="http://schemas.openxmlformats.org/drawingml/2006/main">
          <a:pPr algn="ctr"/>
          <a:endParaRPr lang="en-US" altLang="zh-TW" sz="900">
            <a:latin typeface="Times New Roman" pitchFamily="18" charset="0"/>
            <a:ea typeface="標楷體" pitchFamily="65" charset="-120"/>
            <a:cs typeface="Times New Roman" pitchFamily="18" charset="0"/>
          </a:endParaRPr>
        </a:p>
        <a:p xmlns:a="http://schemas.openxmlformats.org/drawingml/2006/main">
          <a:pPr algn="ctr"/>
          <a:r>
            <a:rPr lang="en-US" altLang="zh-TW" sz="800">
              <a:latin typeface="Times New Roman" pitchFamily="18" charset="0"/>
              <a:ea typeface="標楷體" pitchFamily="65" charset="-120"/>
              <a:cs typeface="Times New Roman" pitchFamily="18" charset="0"/>
            </a:rPr>
            <a:t>2011</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0.04237</cdr:x>
      <cdr:y>0.19033</cdr:y>
    </cdr:from>
    <cdr:to>
      <cdr:x>0.13195</cdr:x>
      <cdr:y>0.24839</cdr:y>
    </cdr:to>
    <cdr:sp macro="" textlink="">
      <cdr:nvSpPr>
        <cdr:cNvPr id="4" name="文字方塊 3"/>
        <cdr:cNvSpPr txBox="1"/>
      </cdr:nvSpPr>
      <cdr:spPr>
        <a:xfrm xmlns:a="http://schemas.openxmlformats.org/drawingml/2006/main">
          <a:off x="198739" y="597530"/>
          <a:ext cx="420140" cy="182276"/>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US" altLang="zh-TW" sz="800">
              <a:latin typeface="Times New Roman" pitchFamily="18" charset="0"/>
              <a:ea typeface="標楷體" pitchFamily="65" charset="-120"/>
              <a:cs typeface="Times New Roman" pitchFamily="18" charset="0"/>
            </a:rPr>
            <a:t>NT$</a:t>
          </a:r>
          <a:endParaRPr lang="zh-TW" altLang="en-US" sz="800">
            <a:latin typeface="Times New Roman" pitchFamily="18" charset="0"/>
            <a:ea typeface="標楷體" pitchFamily="65" charset="-120"/>
            <a:cs typeface="Times New Roman" pitchFamily="18" charset="0"/>
          </a:endParaRPr>
        </a:p>
      </cdr:txBody>
    </cdr:sp>
  </cdr:relSizeAnchor>
</c:userShapes>
</file>

<file path=word/drawings/drawing33.xml><?xml version="1.0" encoding="utf-8"?>
<c:userShapes xmlns:c="http://schemas.openxmlformats.org/drawingml/2006/chart">
  <cdr:relSizeAnchor xmlns:cdr="http://schemas.openxmlformats.org/drawingml/2006/chartDrawing">
    <cdr:from>
      <cdr:x>0.03013</cdr:x>
      <cdr:y>0.01227</cdr:y>
    </cdr:from>
    <cdr:to>
      <cdr:x>0.96557</cdr:x>
      <cdr:y>0.14266</cdr:y>
    </cdr:to>
    <cdr:sp macro="" textlink="">
      <cdr:nvSpPr>
        <cdr:cNvPr id="2" name="文字方塊 1"/>
        <cdr:cNvSpPr txBox="1"/>
      </cdr:nvSpPr>
      <cdr:spPr>
        <a:xfrm xmlns:a="http://schemas.openxmlformats.org/drawingml/2006/main">
          <a:off x="133350" y="32802"/>
          <a:ext cx="4140215" cy="348578"/>
        </a:xfrm>
        <a:prstGeom xmlns:a="http://schemas.openxmlformats.org/drawingml/2006/main" prst="rect">
          <a:avLst/>
        </a:prstGeom>
      </cdr:spPr>
      <cdr:txBody>
        <a:bodyPr xmlns:a="http://schemas.openxmlformats.org/drawingml/2006/main" wrap="square" rtlCol="0" anchor="ctr"/>
        <a:lstStyle xmlns:a="http://schemas.openxmlformats.org/drawingml/2006/main"/>
        <a:p xmlns:a="http://schemas.openxmlformats.org/drawingml/2006/main">
          <a:pPr algn="ctr"/>
          <a:endParaRPr lang="en-US" altLang="zh-TW" sz="1000">
            <a:latin typeface="Times New Roman" pitchFamily="18" charset="0"/>
            <a:ea typeface="標楷體" pitchFamily="65" charset="-120"/>
            <a:cs typeface="Times New Roman" pitchFamily="18" charset="0"/>
          </a:endParaRPr>
        </a:p>
        <a:p xmlns:a="http://schemas.openxmlformats.org/drawingml/2006/main">
          <a:pPr algn="ctr"/>
          <a:r>
            <a:rPr lang="en-US" altLang="zh-TW" sz="1000">
              <a:latin typeface="Times New Roman" pitchFamily="18" charset="0"/>
              <a:ea typeface="標楷體" pitchFamily="65" charset="-120"/>
              <a:cs typeface="Times New Roman" pitchFamily="18" charset="0"/>
            </a:rPr>
            <a:t>Figure 63</a:t>
          </a:r>
          <a:r>
            <a:rPr lang="zh-TW" altLang="en-US" sz="1000">
              <a:latin typeface="Times New Roman" pitchFamily="18" charset="0"/>
              <a:ea typeface="標楷體" pitchFamily="65" charset="-120"/>
              <a:cs typeface="Times New Roman" pitchFamily="18" charset="0"/>
            </a:rPr>
            <a:t>　</a:t>
          </a:r>
          <a:r>
            <a:rPr lang="en-US" altLang="zh-TW" sz="1000">
              <a:latin typeface="Times New Roman" pitchFamily="18" charset="0"/>
              <a:ea typeface="標楷體" pitchFamily="65" charset="-120"/>
              <a:cs typeface="Times New Roman" pitchFamily="18" charset="0"/>
            </a:rPr>
            <a:t>Approval Rates for</a:t>
          </a:r>
          <a:r>
            <a:rPr lang="en-US" altLang="zh-TW" sz="1000" baseline="0">
              <a:latin typeface="Times New Roman" pitchFamily="18" charset="0"/>
              <a:ea typeface="標楷體" pitchFamily="65" charset="-120"/>
              <a:cs typeface="Times New Roman" pitchFamily="18" charset="0"/>
            </a:rPr>
            <a:t> reimbursements for Out-of-Plan Service</a:t>
          </a:r>
          <a:endParaRPr lang="en-US" sz="1000">
            <a:latin typeface="Times New Roman" pitchFamily="18" charset="0"/>
            <a:ea typeface="標楷體" pitchFamily="65" charset="-120"/>
            <a:cs typeface="Times New Roman" pitchFamily="18" charset="0"/>
          </a:endParaRPr>
        </a:p>
        <a:p xmlns:a="http://schemas.openxmlformats.org/drawingml/2006/main">
          <a:pPr algn="ctr"/>
          <a:endParaRPr lang="en-US" altLang="zh-TW" sz="500">
            <a:latin typeface="Times New Roman" pitchFamily="18" charset="0"/>
            <a:ea typeface="標楷體" pitchFamily="65" charset="-120"/>
            <a:cs typeface="Times New Roman" pitchFamily="18" charset="0"/>
          </a:endParaRPr>
        </a:p>
        <a:p xmlns:a="http://schemas.openxmlformats.org/drawingml/2006/main">
          <a:pPr marL="0" marR="0" indent="0" algn="ctr" defTabSz="914400" eaLnBrk="1" fontAlgn="auto" latinLnBrk="0" hangingPunct="1">
            <a:lnSpc>
              <a:spcPct val="100000"/>
            </a:lnSpc>
            <a:spcBef>
              <a:spcPts val="0"/>
            </a:spcBef>
            <a:spcAft>
              <a:spcPts val="0"/>
            </a:spcAft>
            <a:buClrTx/>
            <a:buSzTx/>
            <a:buFontTx/>
            <a:buNone/>
            <a:tabLst/>
            <a:defRPr/>
          </a:pPr>
          <a:r>
            <a:rPr kumimoji="0" lang="en-US" altLang="zh-TW" sz="8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rPr>
            <a:t>2011</a:t>
          </a:r>
        </a:p>
        <a:p xmlns:a="http://schemas.openxmlformats.org/drawingml/2006/main">
          <a:pPr marL="0" marR="0" indent="0" algn="ctr" defTabSz="914400" eaLnBrk="1" fontAlgn="auto" latinLnBrk="0" hangingPunct="1">
            <a:lnSpc>
              <a:spcPct val="100000"/>
            </a:lnSpc>
            <a:spcBef>
              <a:spcPts val="0"/>
            </a:spcBef>
            <a:spcAft>
              <a:spcPts val="0"/>
            </a:spcAft>
            <a:buClrTx/>
            <a:buSzTx/>
            <a:buFontTx/>
            <a:buNone/>
            <a:tabLst/>
            <a:defRPr/>
          </a:pPr>
          <a:endParaRPr kumimoji="0" lang="en-US" altLang="zh-TW" sz="1000" b="0" i="0" u="none" strike="noStrike" kern="0" cap="none" spc="0" normalizeH="0" baseline="0" noProof="0">
            <a:ln>
              <a:noFill/>
            </a:ln>
            <a:solidFill>
              <a:sysClr val="windowText" lastClr="000000"/>
            </a:solidFill>
            <a:effectLst/>
            <a:uLnTx/>
            <a:uFillTx/>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cdr:x>
      <cdr:y>0.1485</cdr:y>
    </cdr:from>
    <cdr:to>
      <cdr:x>0</cdr:x>
      <cdr:y>0.1485</cdr:y>
    </cdr:to>
    <cdr:sp macro="" textlink="">
      <cdr:nvSpPr>
        <cdr:cNvPr id="3" name="文字方塊 2"/>
        <cdr:cNvSpPr txBox="1"/>
      </cdr:nvSpPr>
      <cdr:spPr>
        <a:xfrm xmlns:a="http://schemas.openxmlformats.org/drawingml/2006/main">
          <a:off x="0" y="463843"/>
          <a:ext cx="914400" cy="145757"/>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en-US" altLang="zh-TW" sz="800">
              <a:latin typeface="Times New Roman" pitchFamily="18" charset="0"/>
              <a:ea typeface="標楷體" pitchFamily="65" charset="-120"/>
              <a:cs typeface="Times New Roman" pitchFamily="18" charset="0"/>
            </a:rPr>
            <a:t>100 Million RVU</a:t>
          </a:r>
          <a:endParaRPr lang="zh-TW" altLang="en-US" sz="800">
            <a:latin typeface="Times New Roman" pitchFamily="18" charset="0"/>
            <a:ea typeface="標楷體" pitchFamily="65" charset="-120"/>
            <a:cs typeface="Times New Roman" pitchFamily="18" charset="0"/>
          </a:endParaRPr>
        </a:p>
      </cdr:txBody>
    </cdr:sp>
  </cdr:relSizeAnchor>
  <cdr:relSizeAnchor xmlns:cdr="http://schemas.openxmlformats.org/drawingml/2006/chartDrawing">
    <cdr:from>
      <cdr:x>0</cdr:x>
      <cdr:y>0.13575</cdr:y>
    </cdr:from>
    <cdr:to>
      <cdr:x>0</cdr:x>
      <cdr:y>0.13575</cdr:y>
    </cdr:to>
    <cdr:sp macro="" textlink="">
      <cdr:nvSpPr>
        <cdr:cNvPr id="5" name="文字方塊 4"/>
        <cdr:cNvSpPr txBox="1"/>
      </cdr:nvSpPr>
      <cdr:spPr>
        <a:xfrm xmlns:a="http://schemas.openxmlformats.org/drawingml/2006/main">
          <a:off x="0" y="428625"/>
          <a:ext cx="952500" cy="20955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en-US" sz="800">
              <a:latin typeface="Times New Roman" pitchFamily="18" charset="0"/>
              <a:ea typeface="+mn-ea"/>
              <a:cs typeface="Times New Roman" pitchFamily="18" charset="0"/>
            </a:rPr>
            <a:t>100 million RVU</a:t>
          </a:r>
          <a:endParaRPr lang="zh-TW" altLang="en-US" sz="800">
            <a:latin typeface="Times New Roman" pitchFamily="18" charset="0"/>
            <a:cs typeface="Times New Roman" pitchFamily="18" charset="0"/>
          </a:endParaRPr>
        </a:p>
      </cdr:txBody>
    </cdr:sp>
  </cdr:relSizeAnchor>
  <cdr:relSizeAnchor xmlns:cdr="http://schemas.openxmlformats.org/drawingml/2006/chartDrawing">
    <cdr:from>
      <cdr:x>0.06384</cdr:x>
      <cdr:y>0.08769</cdr:y>
    </cdr:from>
    <cdr:to>
      <cdr:x>0.1283</cdr:x>
      <cdr:y>0.14846</cdr:y>
    </cdr:to>
    <cdr:sp macro="" textlink="">
      <cdr:nvSpPr>
        <cdr:cNvPr id="7" name="文字方塊 6"/>
        <cdr:cNvSpPr txBox="1"/>
      </cdr:nvSpPr>
      <cdr:spPr>
        <a:xfrm xmlns:a="http://schemas.openxmlformats.org/drawingml/2006/main">
          <a:off x="282562" y="234429"/>
          <a:ext cx="285297" cy="162460"/>
        </a:xfrm>
        <a:prstGeom xmlns:a="http://schemas.openxmlformats.org/drawingml/2006/main" prst="rect">
          <a:avLst/>
        </a:prstGeom>
      </cdr:spPr>
      <cdr:txBody>
        <a:bodyPr xmlns:a="http://schemas.openxmlformats.org/drawingml/2006/main" wrap="square" rtlCol="0"/>
        <a:lstStyle xmlns:a="http://schemas.openxmlformats.org/drawingml/2006/main"/>
        <a:p xmlns:a="http://schemas.openxmlformats.org/drawingml/2006/main">
          <a:r>
            <a:rPr lang="en-US" altLang="zh-TW" sz="800">
              <a:latin typeface="Times New Roman" pitchFamily="18" charset="0"/>
              <a:cs typeface="Times New Roman" pitchFamily="18" charset="0"/>
            </a:rPr>
            <a:t>%</a:t>
          </a:r>
          <a:endParaRPr lang="zh-TW" altLang="en-US" sz="800">
            <a:latin typeface="Times New Roman" pitchFamily="18" charset="0"/>
            <a:cs typeface="Times New Roman" pitchFamily="18" charset="0"/>
          </a:endParaRPr>
        </a:p>
      </cdr:txBody>
    </cdr:sp>
  </cdr:relSizeAnchor>
</c:userShape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B1D430-36C7-405D-BD09-3E6C337CD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5678</Words>
  <Characters>32370</Characters>
  <Application>Microsoft Office Word</Application>
  <DocSecurity>0</DocSecurity>
  <Lines>269</Lines>
  <Paragraphs>75</Paragraphs>
  <ScaleCrop>false</ScaleCrop>
  <Company>NHI</Company>
  <LinksUpToDate>false</LinksUpToDate>
  <CharactersWithSpaces>37973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NHI</cp:lastModifiedBy>
  <cp:revision>2</cp:revision>
  <cp:lastPrinted>2012-10-17T06:26:00Z</cp:lastPrinted>
  <dcterms:created xsi:type="dcterms:W3CDTF">2012-12-13T08:39:00Z</dcterms:created>
  <dcterms:modified xsi:type="dcterms:W3CDTF">2012-12-13T08:39:00Z</dcterms:modified>
</cp:coreProperties>
</file>