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Override PartName="/word/drawings/drawing8.xml" ContentType="application/vnd.openxmlformats-officedocument.drawingml.chartshapes+xml"/>
  <Override PartName="/word/drawings/drawing9.xml" ContentType="application/vnd.openxmlformats-officedocument.drawingml.chartshapes+xml"/>
  <Override PartName="/word/drawings/drawing6.xml" ContentType="application/vnd.openxmlformats-officedocument.drawingml.chartshapes+xml"/>
  <Override PartName="/word/drawings/drawing7.xml" ContentType="application/vnd.openxmlformats-officedocument.drawingml.chartshap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rawings/drawing3.xml" ContentType="application/vnd.openxmlformats-officedocument.drawingml.chartshapes+xml"/>
  <Override PartName="/word/drawings/drawing4.xml" ContentType="application/vnd.openxmlformats-officedocument.drawingml.chartshapes+xml"/>
  <Override PartName="/word/drawings/drawing5.xml" ContentType="application/vnd.openxmlformats-officedocument.drawingml.chartshap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rawings/drawing2.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drawings/drawing12.xml" ContentType="application/vnd.openxmlformats-officedocument.drawingml.chartshape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drawings/drawing10.xml" ContentType="application/vnd.openxmlformats-officedocument.drawingml.chartshapes+xml"/>
  <Override PartName="/word/drawings/drawing11.xml" ContentType="application/vnd.openxmlformats-officedocument.drawingml.chartshapes+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F64" w:rsidRPr="001C63A4" w:rsidRDefault="00407DF2" w:rsidP="00310706">
      <w:pPr>
        <w:spacing w:after="360" w:line="240" w:lineRule="atLeast"/>
        <w:ind w:left="1751" w:hangingChars="583" w:hanging="1751"/>
        <w:jc w:val="center"/>
        <w:rPr>
          <w:rFonts w:eastAsia="標楷體"/>
          <w:b/>
          <w:sz w:val="30"/>
          <w:szCs w:val="30"/>
        </w:rPr>
      </w:pPr>
      <w:r w:rsidRPr="001C63A4">
        <w:rPr>
          <w:rFonts w:eastAsia="標楷體" w:hAnsi="標楷體" w:hint="eastAsia"/>
          <w:b/>
          <w:sz w:val="30"/>
          <w:szCs w:val="30"/>
        </w:rPr>
        <w:t>3.</w:t>
      </w:r>
      <w:r w:rsidR="002048A9" w:rsidRPr="001C63A4">
        <w:rPr>
          <w:rFonts w:eastAsia="標楷體" w:hAnsi="標楷體" w:hint="eastAsia"/>
          <w:b/>
          <w:sz w:val="30"/>
          <w:szCs w:val="30"/>
        </w:rPr>
        <w:t xml:space="preserve"> </w:t>
      </w:r>
      <w:r w:rsidR="00447032" w:rsidRPr="001C63A4">
        <w:rPr>
          <w:rFonts w:eastAsia="標楷體"/>
          <w:b/>
          <w:sz w:val="30"/>
          <w:szCs w:val="30"/>
        </w:rPr>
        <w:t>Contract</w:t>
      </w:r>
      <w:r w:rsidR="00447032" w:rsidRPr="001C63A4">
        <w:rPr>
          <w:rFonts w:eastAsia="標楷體" w:hint="eastAsia"/>
          <w:b/>
          <w:sz w:val="30"/>
          <w:szCs w:val="30"/>
        </w:rPr>
        <w:t>ing</w:t>
      </w:r>
      <w:r w:rsidR="00447032" w:rsidRPr="001C63A4">
        <w:rPr>
          <w:rFonts w:eastAsia="標楷體"/>
          <w:b/>
          <w:sz w:val="30"/>
          <w:szCs w:val="30"/>
        </w:rPr>
        <w:t xml:space="preserve"> </w:t>
      </w:r>
      <w:r w:rsidR="00447032" w:rsidRPr="001C63A4">
        <w:rPr>
          <w:rFonts w:eastAsia="標楷體" w:hint="eastAsia"/>
          <w:b/>
          <w:sz w:val="30"/>
          <w:szCs w:val="30"/>
        </w:rPr>
        <w:t>and Management</w:t>
      </w:r>
      <w:r w:rsidR="00447032" w:rsidRPr="001C63A4">
        <w:rPr>
          <w:rFonts w:eastAsia="標楷體"/>
          <w:b/>
          <w:sz w:val="30"/>
          <w:szCs w:val="30"/>
        </w:rPr>
        <w:t xml:space="preserve"> </w:t>
      </w:r>
      <w:r w:rsidR="00447032" w:rsidRPr="001C63A4">
        <w:rPr>
          <w:rFonts w:eastAsia="標楷體" w:hint="eastAsia"/>
          <w:b/>
          <w:sz w:val="30"/>
          <w:szCs w:val="30"/>
        </w:rPr>
        <w:t xml:space="preserve">of </w:t>
      </w:r>
      <w:r w:rsidR="00067209" w:rsidRPr="001C63A4">
        <w:rPr>
          <w:rFonts w:eastAsia="標楷體"/>
          <w:b/>
          <w:sz w:val="30"/>
          <w:szCs w:val="30"/>
        </w:rPr>
        <w:t>Medical Care Institutions</w:t>
      </w:r>
    </w:p>
    <w:p w:rsidR="00053DBB" w:rsidRPr="001C63A4" w:rsidRDefault="00053DBB" w:rsidP="00A05B35">
      <w:pPr>
        <w:spacing w:line="380" w:lineRule="atLeast"/>
        <w:ind w:firstLineChars="281" w:firstLine="731"/>
        <w:jc w:val="both"/>
        <w:rPr>
          <w:rFonts w:eastAsia="標楷體"/>
          <w:sz w:val="26"/>
        </w:rPr>
      </w:pPr>
      <w:r w:rsidRPr="001C63A4">
        <w:rPr>
          <w:rFonts w:eastAsia="標楷體"/>
          <w:sz w:val="26"/>
        </w:rPr>
        <w:t xml:space="preserve">Contracted medical care institutions are categorized as contracted hospitals and clinics, contracted pharmacies, </w:t>
      </w:r>
      <w:r w:rsidR="00281181" w:rsidRPr="001C63A4">
        <w:rPr>
          <w:rFonts w:eastAsia="標楷體"/>
          <w:sz w:val="26"/>
        </w:rPr>
        <w:t xml:space="preserve">contracted </w:t>
      </w:r>
      <w:r w:rsidRPr="001C63A4">
        <w:rPr>
          <w:rFonts w:eastAsia="標楷體"/>
          <w:sz w:val="26"/>
        </w:rPr>
        <w:t>medic</w:t>
      </w:r>
      <w:r w:rsidR="00B4660D" w:rsidRPr="001C63A4">
        <w:rPr>
          <w:rFonts w:eastAsia="標楷體"/>
          <w:sz w:val="26"/>
        </w:rPr>
        <w:t>al laboratory institutions and</w:t>
      </w:r>
      <w:r w:rsidR="00B4660D" w:rsidRPr="001C63A4">
        <w:rPr>
          <w:rFonts w:eastAsia="標楷體" w:hint="eastAsia"/>
          <w:sz w:val="26"/>
        </w:rPr>
        <w:t xml:space="preserve"> </w:t>
      </w:r>
      <w:r w:rsidRPr="001C63A4">
        <w:rPr>
          <w:rFonts w:eastAsia="標楷體"/>
          <w:sz w:val="26"/>
        </w:rPr>
        <w:t xml:space="preserve">other medical care institutions appointed by the competent authority, which so far include midwifery clinics, home nursing care facilities, psychiatric rehabilitation centers, physical </w:t>
      </w:r>
      <w:r w:rsidR="00281181" w:rsidRPr="001C63A4">
        <w:rPr>
          <w:rFonts w:eastAsia="標楷體" w:hint="eastAsia"/>
          <w:sz w:val="26"/>
        </w:rPr>
        <w:t xml:space="preserve">therapy </w:t>
      </w:r>
      <w:r w:rsidR="00281181" w:rsidRPr="001C63A4">
        <w:rPr>
          <w:rFonts w:eastAsia="標楷體"/>
          <w:sz w:val="26"/>
        </w:rPr>
        <w:t>clinics</w:t>
      </w:r>
      <w:r w:rsidR="00281181" w:rsidRPr="001C63A4">
        <w:rPr>
          <w:rFonts w:eastAsia="標楷體" w:hint="eastAsia"/>
          <w:sz w:val="26"/>
        </w:rPr>
        <w:t>,</w:t>
      </w:r>
      <w:r w:rsidRPr="001C63A4">
        <w:rPr>
          <w:rFonts w:eastAsia="標楷體"/>
          <w:sz w:val="26"/>
        </w:rPr>
        <w:t xml:space="preserve"> occupational therapy</w:t>
      </w:r>
      <w:r w:rsidR="00281181" w:rsidRPr="001C63A4">
        <w:rPr>
          <w:rFonts w:eastAsia="標楷體"/>
          <w:sz w:val="26"/>
        </w:rPr>
        <w:t xml:space="preserve"> clinics</w:t>
      </w:r>
      <w:r w:rsidRPr="001C63A4">
        <w:rPr>
          <w:rFonts w:eastAsia="標楷體"/>
          <w:sz w:val="26"/>
        </w:rPr>
        <w:t>, medical examination facilities, and radiology centers.</w:t>
      </w:r>
    </w:p>
    <w:p w:rsidR="00DD0F64" w:rsidRPr="001C63A4" w:rsidRDefault="00407DF2" w:rsidP="00A671C9">
      <w:pPr>
        <w:spacing w:before="200" w:line="360" w:lineRule="exact"/>
        <w:jc w:val="both"/>
        <w:rPr>
          <w:rFonts w:eastAsia="標楷體"/>
          <w:b/>
          <w:sz w:val="26"/>
        </w:rPr>
      </w:pPr>
      <w:r w:rsidRPr="001C63A4">
        <w:rPr>
          <w:rFonts w:eastAsia="標楷體" w:hint="eastAsia"/>
          <w:b/>
          <w:sz w:val="26"/>
        </w:rPr>
        <w:t>（</w:t>
      </w:r>
      <w:r w:rsidRPr="001C63A4">
        <w:rPr>
          <w:rFonts w:eastAsia="標楷體" w:hint="eastAsia"/>
          <w:b/>
          <w:sz w:val="26"/>
        </w:rPr>
        <w:t>1</w:t>
      </w:r>
      <w:r w:rsidRPr="001C63A4">
        <w:rPr>
          <w:rFonts w:eastAsia="標楷體" w:hint="eastAsia"/>
          <w:b/>
          <w:sz w:val="26"/>
        </w:rPr>
        <w:t>）</w:t>
      </w:r>
      <w:r w:rsidR="00341CC9" w:rsidRPr="001C63A4">
        <w:rPr>
          <w:rFonts w:eastAsia="標楷體"/>
          <w:b/>
          <w:sz w:val="26"/>
        </w:rPr>
        <w:t>Contracted Medical Care Institutions</w:t>
      </w:r>
    </w:p>
    <w:p w:rsidR="00341CC9" w:rsidRPr="001C63A4" w:rsidRDefault="002048A9" w:rsidP="004F0C26">
      <w:pPr>
        <w:spacing w:before="200" w:afterLines="100" w:line="320" w:lineRule="exact"/>
        <w:ind w:left="284"/>
        <w:jc w:val="both"/>
        <w:rPr>
          <w:rFonts w:eastAsia="標楷體"/>
          <w:sz w:val="26"/>
          <w:szCs w:val="26"/>
        </w:rPr>
      </w:pPr>
      <w:r w:rsidRPr="001C63A4">
        <w:rPr>
          <w:rFonts w:eastAsia="標楷體"/>
          <w:b/>
          <w:sz w:val="26"/>
          <w:szCs w:val="26"/>
        </w:rPr>
        <w:t>From 200</w:t>
      </w:r>
      <w:r w:rsidR="00D85D59" w:rsidRPr="001C63A4">
        <w:rPr>
          <w:rFonts w:eastAsia="標楷體" w:hint="eastAsia"/>
          <w:b/>
          <w:sz w:val="26"/>
          <w:szCs w:val="26"/>
        </w:rPr>
        <w:t>1</w:t>
      </w:r>
      <w:r w:rsidRPr="001C63A4">
        <w:rPr>
          <w:rFonts w:eastAsia="標楷體"/>
          <w:b/>
          <w:sz w:val="26"/>
          <w:szCs w:val="26"/>
        </w:rPr>
        <w:t xml:space="preserve"> onward, the number of hospitals decreased with a corresponding increase in the number of clinics. This highlights the complementary relationship between the number of hospitals and accessibility of clinics</w:t>
      </w:r>
      <w:r w:rsidR="00341CC9" w:rsidRPr="001C63A4">
        <w:rPr>
          <w:rFonts w:eastAsia="標楷體"/>
          <w:b/>
          <w:sz w:val="26"/>
          <w:szCs w:val="26"/>
        </w:rPr>
        <w:t>.</w:t>
      </w:r>
    </w:p>
    <w:p w:rsidR="00E77888" w:rsidRPr="001C63A4" w:rsidRDefault="002048A9" w:rsidP="004F0C26">
      <w:pPr>
        <w:spacing w:beforeLines="50" w:afterLines="50" w:line="400" w:lineRule="exact"/>
        <w:ind w:left="284" w:firstLineChars="235" w:firstLine="611"/>
        <w:jc w:val="both"/>
        <w:rPr>
          <w:rFonts w:eastAsia="標楷體"/>
          <w:sz w:val="26"/>
        </w:rPr>
      </w:pPr>
      <w:r w:rsidRPr="001C63A4">
        <w:rPr>
          <w:rFonts w:eastAsia="標楷體"/>
          <w:sz w:val="26"/>
        </w:rPr>
        <w:t>The total number of contracted medical care institutions in 201</w:t>
      </w:r>
      <w:r w:rsidR="00D85D59" w:rsidRPr="001C63A4">
        <w:rPr>
          <w:rFonts w:eastAsia="標楷體" w:hint="eastAsia"/>
          <w:sz w:val="26"/>
        </w:rPr>
        <w:t>1</w:t>
      </w:r>
      <w:r w:rsidRPr="001C63A4">
        <w:rPr>
          <w:rFonts w:eastAsia="標楷體"/>
          <w:sz w:val="26"/>
        </w:rPr>
        <w:t xml:space="preserve"> was 25,</w:t>
      </w:r>
      <w:r w:rsidR="00D85D59" w:rsidRPr="001C63A4">
        <w:rPr>
          <w:rFonts w:eastAsia="標楷體" w:hint="eastAsia"/>
          <w:sz w:val="26"/>
        </w:rPr>
        <w:t>747</w:t>
      </w:r>
      <w:r w:rsidRPr="001C63A4">
        <w:rPr>
          <w:rFonts w:eastAsia="標楷體"/>
          <w:sz w:val="26"/>
        </w:rPr>
        <w:t xml:space="preserve">, an increase of </w:t>
      </w:r>
      <w:r w:rsidR="00D85D59" w:rsidRPr="001C63A4">
        <w:rPr>
          <w:rFonts w:eastAsia="標楷體" w:hint="eastAsia"/>
          <w:sz w:val="26"/>
        </w:rPr>
        <w:t>716</w:t>
      </w:r>
      <w:r w:rsidRPr="001C63A4">
        <w:rPr>
          <w:rFonts w:eastAsia="標楷體"/>
          <w:sz w:val="26"/>
        </w:rPr>
        <w:t xml:space="preserve"> over the previous year, and 5,</w:t>
      </w:r>
      <w:r w:rsidR="00D85D59" w:rsidRPr="001C63A4">
        <w:rPr>
          <w:rFonts w:eastAsia="標楷體" w:hint="eastAsia"/>
          <w:sz w:val="26"/>
        </w:rPr>
        <w:t>676</w:t>
      </w:r>
      <w:r w:rsidRPr="001C63A4">
        <w:rPr>
          <w:rFonts w:eastAsia="標楷體"/>
          <w:sz w:val="26"/>
        </w:rPr>
        <w:t xml:space="preserve"> since 200</w:t>
      </w:r>
      <w:r w:rsidR="00D85D59" w:rsidRPr="001C63A4">
        <w:rPr>
          <w:rFonts w:eastAsia="標楷體" w:hint="eastAsia"/>
          <w:sz w:val="26"/>
        </w:rPr>
        <w:t>1</w:t>
      </w:r>
      <w:r w:rsidRPr="001C63A4">
        <w:rPr>
          <w:rFonts w:eastAsia="標楷體"/>
          <w:sz w:val="26"/>
        </w:rPr>
        <w:t xml:space="preserve"> with an average annual increase of 2.</w:t>
      </w:r>
      <w:r w:rsidR="00D85D59" w:rsidRPr="001C63A4">
        <w:rPr>
          <w:rFonts w:eastAsia="標楷體" w:hint="eastAsia"/>
          <w:sz w:val="26"/>
        </w:rPr>
        <w:t>1</w:t>
      </w:r>
      <w:r w:rsidRPr="001C63A4">
        <w:rPr>
          <w:rFonts w:eastAsia="標楷體"/>
          <w:sz w:val="26"/>
        </w:rPr>
        <w:t>%. The number of hospitals has decreased by 1</w:t>
      </w:r>
      <w:r w:rsidR="00D85D59" w:rsidRPr="001C63A4">
        <w:rPr>
          <w:rFonts w:eastAsia="標楷體" w:hint="eastAsia"/>
          <w:sz w:val="26"/>
        </w:rPr>
        <w:t>15</w:t>
      </w:r>
      <w:r w:rsidRPr="001C63A4">
        <w:rPr>
          <w:rFonts w:eastAsia="標楷體"/>
          <w:sz w:val="26"/>
        </w:rPr>
        <w:t xml:space="preserve"> since 200</w:t>
      </w:r>
      <w:r w:rsidR="00D85D59" w:rsidRPr="001C63A4">
        <w:rPr>
          <w:rFonts w:eastAsia="標楷體" w:hint="eastAsia"/>
          <w:sz w:val="26"/>
        </w:rPr>
        <w:t>1</w:t>
      </w:r>
      <w:r w:rsidRPr="001C63A4">
        <w:rPr>
          <w:rFonts w:eastAsia="標楷體"/>
          <w:sz w:val="26"/>
        </w:rPr>
        <w:t xml:space="preserve"> with an average annual decrease of 2.</w:t>
      </w:r>
      <w:r w:rsidR="00D85D59" w:rsidRPr="001C63A4">
        <w:rPr>
          <w:rFonts w:eastAsia="標楷體" w:hint="eastAsia"/>
          <w:sz w:val="26"/>
        </w:rPr>
        <w:t>1</w:t>
      </w:r>
      <w:r w:rsidRPr="001C63A4">
        <w:rPr>
          <w:rFonts w:eastAsia="標楷體"/>
          <w:sz w:val="26"/>
        </w:rPr>
        <w:t>%. On the other hand, the number of clinics increased by 3,</w:t>
      </w:r>
      <w:r w:rsidR="00D85D59" w:rsidRPr="001C63A4">
        <w:rPr>
          <w:rFonts w:eastAsia="標楷體" w:hint="eastAsia"/>
          <w:sz w:val="26"/>
        </w:rPr>
        <w:t>320</w:t>
      </w:r>
      <w:r w:rsidRPr="001C63A4">
        <w:rPr>
          <w:rFonts w:eastAsia="標楷體"/>
          <w:sz w:val="26"/>
        </w:rPr>
        <w:t xml:space="preserve"> with an average annual increase of 1.9%. The number of other medical care institutions increased by </w:t>
      </w:r>
      <w:r w:rsidR="00D85D59" w:rsidRPr="001C63A4">
        <w:rPr>
          <w:rFonts w:eastAsia="標楷體" w:hint="eastAsia"/>
          <w:sz w:val="26"/>
        </w:rPr>
        <w:t>2</w:t>
      </w:r>
      <w:r w:rsidRPr="001C63A4">
        <w:rPr>
          <w:rFonts w:eastAsia="標楷體"/>
          <w:sz w:val="26"/>
        </w:rPr>
        <w:t>,</w:t>
      </w:r>
      <w:r w:rsidR="00D85D59" w:rsidRPr="001C63A4">
        <w:rPr>
          <w:rFonts w:eastAsia="標楷體" w:hint="eastAsia"/>
          <w:sz w:val="26"/>
        </w:rPr>
        <w:t>471</w:t>
      </w:r>
      <w:r w:rsidRPr="001C63A4">
        <w:rPr>
          <w:rFonts w:eastAsia="標楷體" w:hint="eastAsia"/>
          <w:sz w:val="26"/>
        </w:rPr>
        <w:t xml:space="preserve"> </w:t>
      </w:r>
      <w:r w:rsidRPr="001C63A4">
        <w:rPr>
          <w:rFonts w:eastAsia="標楷體"/>
          <w:sz w:val="26"/>
        </w:rPr>
        <w:t xml:space="preserve">with an average annual increase of </w:t>
      </w:r>
      <w:r w:rsidR="00D85D59" w:rsidRPr="001C63A4">
        <w:rPr>
          <w:rFonts w:eastAsia="標楷體" w:hint="eastAsia"/>
          <w:sz w:val="26"/>
        </w:rPr>
        <w:t>5.5</w:t>
      </w:r>
      <w:r w:rsidRPr="001C63A4">
        <w:rPr>
          <w:rFonts w:eastAsia="標楷體"/>
          <w:sz w:val="26"/>
        </w:rPr>
        <w:t>%</w:t>
      </w:r>
      <w:r w:rsidR="00341CC9" w:rsidRPr="001C63A4">
        <w:rPr>
          <w:rFonts w:eastAsia="標楷體"/>
          <w:sz w:val="26"/>
        </w:rPr>
        <w:t xml:space="preserve">. </w:t>
      </w:r>
    </w:p>
    <w:p w:rsidR="00CD5AEC" w:rsidRPr="001C63A4" w:rsidRDefault="00CD5AEC" w:rsidP="004F0C26">
      <w:pPr>
        <w:spacing w:beforeLines="50" w:afterLines="50" w:line="360" w:lineRule="exact"/>
        <w:ind w:left="238" w:firstLineChars="235" w:firstLine="564"/>
        <w:jc w:val="both"/>
      </w:pPr>
    </w:p>
    <w:p w:rsidR="00DD0F64" w:rsidRPr="001C63A4" w:rsidRDefault="00034A0F" w:rsidP="00034A0F">
      <w:pPr>
        <w:kinsoku w:val="0"/>
        <w:ind w:firstLineChars="109" w:firstLine="283"/>
        <w:jc w:val="center"/>
        <w:rPr>
          <w:rFonts w:eastAsia="標楷體"/>
          <w:sz w:val="26"/>
        </w:rPr>
      </w:pPr>
      <w:r w:rsidRPr="00034A0F">
        <w:rPr>
          <w:rFonts w:eastAsia="標楷體"/>
          <w:noProof/>
          <w:sz w:val="26"/>
        </w:rPr>
        <w:drawing>
          <wp:inline distT="0" distB="0" distL="0" distR="0">
            <wp:extent cx="5486400" cy="3623094"/>
            <wp:effectExtent l="0" t="0" r="0" b="0"/>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D0F64" w:rsidRPr="00034A0F" w:rsidRDefault="00855982" w:rsidP="00464363">
      <w:pPr>
        <w:spacing w:before="200" w:line="360" w:lineRule="exact"/>
        <w:ind w:leftChars="118" w:left="283"/>
        <w:jc w:val="both"/>
        <w:rPr>
          <w:rFonts w:eastAsia="標楷體"/>
          <w:b/>
          <w:sz w:val="26"/>
        </w:rPr>
      </w:pPr>
      <w:r w:rsidRPr="001C63A4">
        <w:rPr>
          <w:rFonts w:eastAsia="標楷體"/>
          <w:sz w:val="26"/>
        </w:rPr>
        <w:br w:type="page"/>
      </w:r>
      <w:proofErr w:type="spellStart"/>
      <w:r w:rsidR="00464363" w:rsidRPr="00034A0F">
        <w:rPr>
          <w:rFonts w:eastAsia="標楷體"/>
          <w:b/>
          <w:sz w:val="26"/>
        </w:rPr>
        <w:lastRenderedPageBreak/>
        <w:t>i</w:t>
      </w:r>
      <w:proofErr w:type="spellEnd"/>
      <w:r w:rsidR="00464363" w:rsidRPr="00034A0F">
        <w:rPr>
          <w:rFonts w:eastAsia="標楷體"/>
          <w:b/>
          <w:sz w:val="26"/>
        </w:rPr>
        <w:t>.</w:t>
      </w:r>
      <w:r w:rsidR="00034A0F">
        <w:rPr>
          <w:rFonts w:eastAsia="標楷體" w:hint="eastAsia"/>
          <w:b/>
          <w:sz w:val="26"/>
        </w:rPr>
        <w:t xml:space="preserve"> </w:t>
      </w:r>
      <w:r w:rsidR="00DD0F64" w:rsidRPr="00034A0F">
        <w:rPr>
          <w:rFonts w:eastAsia="標楷體"/>
          <w:b/>
          <w:sz w:val="26"/>
        </w:rPr>
        <w:t xml:space="preserve">Contracted </w:t>
      </w:r>
      <w:r w:rsidR="00034086" w:rsidRPr="00034A0F">
        <w:rPr>
          <w:rFonts w:eastAsia="標楷體"/>
          <w:b/>
          <w:sz w:val="26"/>
        </w:rPr>
        <w:t>H</w:t>
      </w:r>
      <w:r w:rsidR="00DD0F64" w:rsidRPr="00034A0F">
        <w:rPr>
          <w:rFonts w:eastAsia="標楷體"/>
          <w:b/>
          <w:sz w:val="26"/>
        </w:rPr>
        <w:t xml:space="preserve">ospitals and </w:t>
      </w:r>
      <w:r w:rsidR="00034086" w:rsidRPr="00034A0F">
        <w:rPr>
          <w:rFonts w:eastAsia="標楷體"/>
          <w:b/>
          <w:sz w:val="26"/>
        </w:rPr>
        <w:t>Clinics</w:t>
      </w:r>
    </w:p>
    <w:p w:rsidR="00F25733" w:rsidRPr="001C63A4" w:rsidRDefault="001B1AAC" w:rsidP="004F0C26">
      <w:pPr>
        <w:pStyle w:val="a9"/>
        <w:adjustRightInd/>
        <w:spacing w:beforeLines="100" w:line="240" w:lineRule="auto"/>
        <w:ind w:leftChars="0" w:left="567"/>
        <w:jc w:val="both"/>
        <w:textAlignment w:val="auto"/>
        <w:rPr>
          <w:rFonts w:eastAsia="標楷體"/>
          <w:b/>
          <w:sz w:val="26"/>
        </w:rPr>
      </w:pPr>
      <w:r w:rsidRPr="001C63A4">
        <w:rPr>
          <w:rFonts w:eastAsia="標楷體"/>
          <w:b/>
          <w:sz w:val="26"/>
        </w:rPr>
        <w:t xml:space="preserve">Compared with the previous year, the number of hospitals decreased by </w:t>
      </w:r>
      <w:r w:rsidR="00422D54" w:rsidRPr="001C63A4">
        <w:rPr>
          <w:rFonts w:eastAsia="標楷體" w:hint="eastAsia"/>
          <w:b/>
          <w:sz w:val="26"/>
        </w:rPr>
        <w:t>3</w:t>
      </w:r>
      <w:r w:rsidRPr="001C63A4">
        <w:rPr>
          <w:rFonts w:eastAsia="標楷體"/>
          <w:b/>
          <w:sz w:val="26"/>
        </w:rPr>
        <w:t xml:space="preserve">, while clinics increased by </w:t>
      </w:r>
      <w:r w:rsidR="00422D54" w:rsidRPr="001C63A4">
        <w:rPr>
          <w:rFonts w:eastAsia="標楷體" w:hint="eastAsia"/>
          <w:b/>
          <w:sz w:val="26"/>
        </w:rPr>
        <w:t>378</w:t>
      </w:r>
      <w:r w:rsidR="004F1096" w:rsidRPr="001C63A4">
        <w:rPr>
          <w:rFonts w:eastAsia="標楷體" w:hint="eastAsia"/>
          <w:b/>
          <w:sz w:val="26"/>
        </w:rPr>
        <w:t>.</w:t>
      </w:r>
    </w:p>
    <w:p w:rsidR="00745125" w:rsidRPr="001C63A4" w:rsidRDefault="001B1AAC" w:rsidP="004F0C26">
      <w:pPr>
        <w:pStyle w:val="a9"/>
        <w:spacing w:beforeLines="50" w:afterLines="100" w:line="360" w:lineRule="exact"/>
        <w:ind w:leftChars="0" w:left="510" w:firstLineChars="235" w:firstLine="611"/>
        <w:jc w:val="both"/>
        <w:rPr>
          <w:rFonts w:eastAsia="標楷體"/>
          <w:sz w:val="26"/>
        </w:rPr>
      </w:pPr>
      <w:r w:rsidRPr="001C63A4">
        <w:rPr>
          <w:rFonts w:eastAsia="標楷體"/>
          <w:sz w:val="26"/>
        </w:rPr>
        <w:t>By the end of 201</w:t>
      </w:r>
      <w:r w:rsidR="00422D54" w:rsidRPr="001C63A4">
        <w:rPr>
          <w:rFonts w:eastAsia="標楷體" w:hint="eastAsia"/>
          <w:sz w:val="26"/>
        </w:rPr>
        <w:t>1</w:t>
      </w:r>
      <w:r w:rsidRPr="001C63A4">
        <w:rPr>
          <w:rFonts w:eastAsia="標楷體"/>
          <w:sz w:val="26"/>
        </w:rPr>
        <w:t xml:space="preserve">, </w:t>
      </w:r>
      <w:r w:rsidR="002336A1">
        <w:rPr>
          <w:rFonts w:eastAsia="標楷體" w:hint="eastAsia"/>
          <w:sz w:val="26"/>
        </w:rPr>
        <w:t>the number of contracted hospitals was 494,</w:t>
      </w:r>
      <w:r w:rsidRPr="001C63A4">
        <w:rPr>
          <w:rFonts w:eastAsia="標楷體"/>
          <w:sz w:val="26"/>
        </w:rPr>
        <w:t xml:space="preserve"> </w:t>
      </w:r>
      <w:r w:rsidR="00422D54" w:rsidRPr="001C63A4">
        <w:rPr>
          <w:rFonts w:eastAsia="標楷體" w:hint="eastAsia"/>
          <w:sz w:val="26"/>
        </w:rPr>
        <w:t>3</w:t>
      </w:r>
      <w:r w:rsidRPr="001C63A4">
        <w:rPr>
          <w:rFonts w:eastAsia="標楷體"/>
          <w:sz w:val="26"/>
        </w:rPr>
        <w:t xml:space="preserve"> fewer compared with the previous year</w:t>
      </w:r>
      <w:r w:rsidR="002336A1">
        <w:rPr>
          <w:rFonts w:eastAsia="標楷體" w:hint="eastAsia"/>
          <w:sz w:val="26"/>
        </w:rPr>
        <w:t>. Of which, 479 was for western hospitals with an</w:t>
      </w:r>
      <w:r w:rsidRPr="001C63A4">
        <w:rPr>
          <w:rFonts w:eastAsia="標楷體"/>
          <w:sz w:val="26"/>
        </w:rPr>
        <w:t xml:space="preserve"> average annual decrease </w:t>
      </w:r>
      <w:r w:rsidR="002336A1">
        <w:rPr>
          <w:rFonts w:eastAsia="標楷體" w:hint="eastAsia"/>
          <w:sz w:val="26"/>
        </w:rPr>
        <w:t>of</w:t>
      </w:r>
      <w:r w:rsidRPr="001C63A4">
        <w:rPr>
          <w:rFonts w:eastAsia="標楷體"/>
          <w:sz w:val="26"/>
        </w:rPr>
        <w:t xml:space="preserve"> 1.</w:t>
      </w:r>
      <w:r w:rsidR="00422D54" w:rsidRPr="001C63A4">
        <w:rPr>
          <w:rFonts w:eastAsia="標楷體" w:hint="eastAsia"/>
          <w:sz w:val="26"/>
        </w:rPr>
        <w:t>6</w:t>
      </w:r>
      <w:r w:rsidRPr="001C63A4">
        <w:rPr>
          <w:rFonts w:eastAsia="標楷體"/>
          <w:sz w:val="26"/>
        </w:rPr>
        <w:t>%</w:t>
      </w:r>
      <w:r w:rsidR="002336A1">
        <w:rPr>
          <w:rFonts w:eastAsia="標楷體" w:hint="eastAsia"/>
          <w:sz w:val="26"/>
        </w:rPr>
        <w:t xml:space="preserve"> and</w:t>
      </w:r>
      <w:r w:rsidRPr="001C63A4">
        <w:rPr>
          <w:rFonts w:eastAsia="標楷體"/>
          <w:sz w:val="26"/>
        </w:rPr>
        <w:t xml:space="preserve"> </w:t>
      </w:r>
      <w:r w:rsidR="002336A1">
        <w:rPr>
          <w:rFonts w:eastAsia="標楷體" w:hint="eastAsia"/>
          <w:sz w:val="26"/>
        </w:rPr>
        <w:t>15</w:t>
      </w:r>
      <w:r w:rsidRPr="001C63A4">
        <w:rPr>
          <w:rFonts w:eastAsia="標楷體"/>
          <w:sz w:val="26"/>
        </w:rPr>
        <w:t xml:space="preserve"> for Chinese hospitals</w:t>
      </w:r>
      <w:r w:rsidR="002336A1">
        <w:rPr>
          <w:rFonts w:eastAsia="標楷體" w:hint="eastAsia"/>
          <w:sz w:val="26"/>
        </w:rPr>
        <w:t xml:space="preserve"> with an annual decrease of </w:t>
      </w:r>
      <w:r w:rsidR="002336A1" w:rsidRPr="001C63A4">
        <w:rPr>
          <w:rFonts w:eastAsia="標楷體" w:hint="eastAsia"/>
          <w:sz w:val="26"/>
        </w:rPr>
        <w:t>10.2</w:t>
      </w:r>
      <w:r w:rsidR="002336A1" w:rsidRPr="001C63A4">
        <w:rPr>
          <w:rFonts w:eastAsia="標楷體"/>
          <w:sz w:val="26"/>
        </w:rPr>
        <w:t>%</w:t>
      </w:r>
      <w:r w:rsidR="002336A1">
        <w:rPr>
          <w:rFonts w:eastAsia="標楷體" w:hint="eastAsia"/>
          <w:sz w:val="26"/>
        </w:rPr>
        <w:t>.</w:t>
      </w:r>
      <w:r w:rsidRPr="001C63A4">
        <w:rPr>
          <w:rFonts w:eastAsia="標楷體"/>
          <w:sz w:val="26"/>
        </w:rPr>
        <w:t xml:space="preserve"> </w:t>
      </w:r>
      <w:r w:rsidR="002336A1">
        <w:rPr>
          <w:rFonts w:eastAsia="標楷體" w:hint="eastAsia"/>
          <w:sz w:val="26"/>
        </w:rPr>
        <w:t>The number of c</w:t>
      </w:r>
      <w:r w:rsidR="002336A1" w:rsidRPr="001C63A4">
        <w:rPr>
          <w:rFonts w:eastAsia="標楷體"/>
          <w:sz w:val="26"/>
        </w:rPr>
        <w:t>ontracted clinics</w:t>
      </w:r>
      <w:r w:rsidR="002336A1">
        <w:rPr>
          <w:rFonts w:eastAsia="標楷體" w:hint="eastAsia"/>
          <w:sz w:val="26"/>
        </w:rPr>
        <w:t xml:space="preserve"> was 19,269, </w:t>
      </w:r>
      <w:r w:rsidRPr="001C63A4">
        <w:rPr>
          <w:rFonts w:eastAsia="標楷體"/>
          <w:sz w:val="26"/>
        </w:rPr>
        <w:t>increased by 3</w:t>
      </w:r>
      <w:r w:rsidR="00422D54" w:rsidRPr="001C63A4">
        <w:rPr>
          <w:rFonts w:eastAsia="標楷體" w:hint="eastAsia"/>
          <w:sz w:val="26"/>
        </w:rPr>
        <w:t>78</w:t>
      </w:r>
      <w:r w:rsidRPr="001C63A4">
        <w:rPr>
          <w:rFonts w:eastAsia="標楷體"/>
          <w:sz w:val="26"/>
        </w:rPr>
        <w:t xml:space="preserve"> </w:t>
      </w:r>
      <w:r w:rsidR="002336A1">
        <w:rPr>
          <w:rFonts w:eastAsia="標楷體" w:hint="eastAsia"/>
          <w:sz w:val="26"/>
        </w:rPr>
        <w:t>from</w:t>
      </w:r>
      <w:r w:rsidRPr="001C63A4">
        <w:rPr>
          <w:rFonts w:eastAsia="標楷體"/>
          <w:sz w:val="26"/>
        </w:rPr>
        <w:t xml:space="preserve"> the previous year</w:t>
      </w:r>
      <w:r w:rsidR="002336A1">
        <w:rPr>
          <w:rFonts w:eastAsia="標楷體" w:hint="eastAsia"/>
          <w:sz w:val="26"/>
        </w:rPr>
        <w:t>. Of which, 9,881 was for western clinics with</w:t>
      </w:r>
      <w:r w:rsidRPr="001C63A4">
        <w:rPr>
          <w:rFonts w:eastAsia="標楷體"/>
          <w:sz w:val="26"/>
        </w:rPr>
        <w:t xml:space="preserve"> an average annual increase of 1.</w:t>
      </w:r>
      <w:r w:rsidR="00422D54" w:rsidRPr="001C63A4">
        <w:rPr>
          <w:rFonts w:eastAsia="標楷體" w:hint="eastAsia"/>
          <w:sz w:val="26"/>
        </w:rPr>
        <w:t>8</w:t>
      </w:r>
      <w:r w:rsidRPr="001C63A4">
        <w:rPr>
          <w:rFonts w:eastAsia="標楷體"/>
          <w:sz w:val="26"/>
        </w:rPr>
        <w:t xml:space="preserve">% and </w:t>
      </w:r>
      <w:r w:rsidR="002336A1">
        <w:rPr>
          <w:rFonts w:eastAsia="標楷體" w:hint="eastAsia"/>
          <w:sz w:val="26"/>
        </w:rPr>
        <w:t xml:space="preserve">3,125 </w:t>
      </w:r>
      <w:r w:rsidRPr="001C63A4">
        <w:rPr>
          <w:rFonts w:eastAsia="標楷體"/>
          <w:sz w:val="26"/>
        </w:rPr>
        <w:t>for Chinese clinics</w:t>
      </w:r>
      <w:r w:rsidR="002336A1">
        <w:rPr>
          <w:rFonts w:eastAsia="標楷體" w:hint="eastAsia"/>
          <w:sz w:val="26"/>
        </w:rPr>
        <w:t xml:space="preserve"> with an annual increase of </w:t>
      </w:r>
      <w:r w:rsidR="002336A1" w:rsidRPr="001C63A4">
        <w:rPr>
          <w:rFonts w:eastAsia="標楷體"/>
          <w:sz w:val="26"/>
        </w:rPr>
        <w:t>3.</w:t>
      </w:r>
      <w:r w:rsidR="002336A1" w:rsidRPr="001C63A4">
        <w:rPr>
          <w:rFonts w:eastAsia="標楷體" w:hint="eastAsia"/>
          <w:sz w:val="26"/>
        </w:rPr>
        <w:t>5</w:t>
      </w:r>
      <w:r w:rsidR="002336A1" w:rsidRPr="001C63A4">
        <w:rPr>
          <w:rFonts w:eastAsia="標楷體"/>
          <w:sz w:val="26"/>
        </w:rPr>
        <w:t>%</w:t>
      </w:r>
      <w:r w:rsidRPr="001C63A4">
        <w:rPr>
          <w:rFonts w:eastAsia="標楷體"/>
          <w:sz w:val="26"/>
        </w:rPr>
        <w:t xml:space="preserve">. There were </w:t>
      </w:r>
      <w:r w:rsidR="00E7459C" w:rsidRPr="001C63A4">
        <w:rPr>
          <w:rFonts w:eastAsia="標楷體" w:hint="eastAsia"/>
          <w:sz w:val="26"/>
        </w:rPr>
        <w:t>898</w:t>
      </w:r>
      <w:r w:rsidRPr="001C63A4">
        <w:rPr>
          <w:rFonts w:eastAsia="標楷體"/>
          <w:sz w:val="26"/>
        </w:rPr>
        <w:t xml:space="preserve"> medical care institutions which offered both inpatient and outpatient services, </w:t>
      </w:r>
      <w:r w:rsidR="00E7459C" w:rsidRPr="001C63A4">
        <w:rPr>
          <w:rFonts w:eastAsia="標楷體" w:hint="eastAsia"/>
          <w:sz w:val="26"/>
        </w:rPr>
        <w:t>479</w:t>
      </w:r>
      <w:r w:rsidRPr="001C63A4">
        <w:rPr>
          <w:rFonts w:eastAsia="標楷體"/>
          <w:sz w:val="26"/>
        </w:rPr>
        <w:t xml:space="preserve"> for hospitals, and </w:t>
      </w:r>
      <w:r w:rsidR="00E7459C" w:rsidRPr="001C63A4">
        <w:rPr>
          <w:rFonts w:eastAsia="標楷體" w:hint="eastAsia"/>
          <w:sz w:val="26"/>
        </w:rPr>
        <w:t>419</w:t>
      </w:r>
      <w:r w:rsidRPr="001C63A4">
        <w:rPr>
          <w:rFonts w:eastAsia="標楷體"/>
          <w:sz w:val="26"/>
        </w:rPr>
        <w:t xml:space="preserve"> for obstetrics &amp; gynecology clinics. 18,</w:t>
      </w:r>
      <w:r w:rsidR="00E7459C" w:rsidRPr="001C63A4">
        <w:rPr>
          <w:rFonts w:eastAsia="標楷體" w:hint="eastAsia"/>
          <w:sz w:val="26"/>
        </w:rPr>
        <w:t>865</w:t>
      </w:r>
      <w:r w:rsidRPr="001C63A4">
        <w:rPr>
          <w:rFonts w:eastAsia="標楷體"/>
          <w:sz w:val="26"/>
        </w:rPr>
        <w:t xml:space="preserve"> medical care institutions provided only outpatient services</w:t>
      </w:r>
      <w:r w:rsidR="00F25733" w:rsidRPr="001C63A4">
        <w:rPr>
          <w:rFonts w:eastAsia="標楷體"/>
          <w:sz w:val="26"/>
        </w:rPr>
        <w:t>.</w:t>
      </w:r>
    </w:p>
    <w:p w:rsidR="00745125" w:rsidRPr="001C63A4" w:rsidRDefault="00034A0F" w:rsidP="004F0C26">
      <w:pPr>
        <w:pStyle w:val="a9"/>
        <w:kinsoku w:val="0"/>
        <w:adjustRightInd/>
        <w:spacing w:beforeLines="150" w:afterLines="100" w:line="240" w:lineRule="auto"/>
        <w:ind w:leftChars="0" w:left="0"/>
        <w:jc w:val="center"/>
        <w:textAlignment w:val="auto"/>
        <w:rPr>
          <w:rFonts w:eastAsia="標楷體"/>
          <w:sz w:val="26"/>
        </w:rPr>
      </w:pPr>
      <w:r w:rsidRPr="00034A0F">
        <w:rPr>
          <w:rFonts w:eastAsia="標楷體"/>
          <w:noProof/>
          <w:sz w:val="26"/>
        </w:rPr>
        <w:drawing>
          <wp:inline distT="0" distB="0" distL="0" distR="0">
            <wp:extent cx="5486400" cy="2967990"/>
            <wp:effectExtent l="19050" t="0" r="0" b="0"/>
            <wp:docPr id="7" name="圖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D0F64" w:rsidRPr="001C63A4" w:rsidRDefault="005A4607" w:rsidP="004F0C26">
      <w:pPr>
        <w:pStyle w:val="a9"/>
        <w:spacing w:beforeLines="50" w:afterLines="100" w:line="340" w:lineRule="exact"/>
        <w:ind w:leftChars="0" w:left="510" w:firstLineChars="235" w:firstLine="611"/>
        <w:jc w:val="both"/>
        <w:rPr>
          <w:rFonts w:eastAsia="標楷體"/>
          <w:sz w:val="26"/>
        </w:rPr>
      </w:pPr>
      <w:r w:rsidRPr="001C63A4">
        <w:rPr>
          <w:rFonts w:eastAsia="標楷體"/>
          <w:sz w:val="26"/>
        </w:rPr>
        <w:t xml:space="preserve">In terms of </w:t>
      </w:r>
      <w:r w:rsidR="00C764EB" w:rsidRPr="001C63A4">
        <w:rPr>
          <w:rFonts w:eastAsia="標楷體" w:hint="eastAsia"/>
          <w:sz w:val="26"/>
        </w:rPr>
        <w:t>d</w:t>
      </w:r>
      <w:r w:rsidR="004F1FF6" w:rsidRPr="001C63A4">
        <w:rPr>
          <w:rFonts w:eastAsia="標楷體"/>
          <w:sz w:val="26"/>
        </w:rPr>
        <w:t>ivision</w:t>
      </w:r>
      <w:r w:rsidR="00C764EB" w:rsidRPr="001C63A4">
        <w:rPr>
          <w:rFonts w:eastAsia="標楷體" w:hint="eastAsia"/>
          <w:sz w:val="26"/>
        </w:rPr>
        <w:t>s</w:t>
      </w:r>
      <w:r w:rsidRPr="001C63A4">
        <w:rPr>
          <w:rFonts w:eastAsia="標楷體"/>
          <w:sz w:val="26"/>
        </w:rPr>
        <w:t xml:space="preserve">, </w:t>
      </w:r>
      <w:r w:rsidR="009A05EC">
        <w:rPr>
          <w:rFonts w:eastAsia="標楷體" w:hint="eastAsia"/>
          <w:sz w:val="26"/>
        </w:rPr>
        <w:t>the number of contracted hospitals and clinics was 19,763. T</w:t>
      </w:r>
      <w:r w:rsidRPr="001C63A4">
        <w:rPr>
          <w:rFonts w:eastAsia="標楷體"/>
          <w:sz w:val="26"/>
        </w:rPr>
        <w:t xml:space="preserve">he Taipei </w:t>
      </w:r>
      <w:r w:rsidR="004F1FF6" w:rsidRPr="001C63A4">
        <w:rPr>
          <w:rFonts w:eastAsia="標楷體"/>
          <w:sz w:val="26"/>
        </w:rPr>
        <w:t>Division</w:t>
      </w:r>
      <w:r w:rsidRPr="001C63A4">
        <w:rPr>
          <w:rFonts w:eastAsia="標楷體"/>
          <w:sz w:val="26"/>
        </w:rPr>
        <w:t xml:space="preserve"> had the largest number at 6,</w:t>
      </w:r>
      <w:r w:rsidR="00F353D5" w:rsidRPr="001C63A4">
        <w:rPr>
          <w:rFonts w:eastAsia="標楷體" w:hint="eastAsia"/>
          <w:sz w:val="26"/>
        </w:rPr>
        <w:t>269</w:t>
      </w:r>
      <w:r w:rsidRPr="001C63A4">
        <w:rPr>
          <w:rFonts w:eastAsia="標楷體"/>
          <w:sz w:val="26"/>
        </w:rPr>
        <w:t xml:space="preserve"> (31.</w:t>
      </w:r>
      <w:r w:rsidR="00F353D5" w:rsidRPr="001C63A4">
        <w:rPr>
          <w:rFonts w:eastAsia="標楷體" w:hint="eastAsia"/>
          <w:sz w:val="26"/>
        </w:rPr>
        <w:t>7</w:t>
      </w:r>
      <w:r w:rsidRPr="001C63A4">
        <w:rPr>
          <w:rFonts w:eastAsia="標楷體"/>
          <w:sz w:val="26"/>
        </w:rPr>
        <w:t xml:space="preserve">%), followed by </w:t>
      </w:r>
      <w:r w:rsidR="00154476" w:rsidRPr="001C63A4">
        <w:rPr>
          <w:rFonts w:eastAsia="標楷體" w:hint="eastAsia"/>
          <w:sz w:val="26"/>
        </w:rPr>
        <w:t xml:space="preserve">the Central </w:t>
      </w:r>
      <w:r w:rsidR="004F1FF6" w:rsidRPr="001C63A4">
        <w:rPr>
          <w:rFonts w:eastAsia="標楷體"/>
          <w:sz w:val="26"/>
        </w:rPr>
        <w:t>Division</w:t>
      </w:r>
      <w:r w:rsidR="00154476" w:rsidRPr="001C63A4">
        <w:rPr>
          <w:rFonts w:eastAsia="標楷體" w:hint="eastAsia"/>
          <w:sz w:val="26"/>
        </w:rPr>
        <w:t xml:space="preserve"> </w:t>
      </w:r>
      <w:r w:rsidRPr="001C63A4">
        <w:rPr>
          <w:rFonts w:eastAsia="標楷體"/>
          <w:sz w:val="26"/>
        </w:rPr>
        <w:t>at 4,</w:t>
      </w:r>
      <w:r w:rsidR="00F353D5" w:rsidRPr="001C63A4">
        <w:rPr>
          <w:rFonts w:eastAsia="標楷體" w:hint="eastAsia"/>
          <w:sz w:val="26"/>
        </w:rPr>
        <w:t>423</w:t>
      </w:r>
      <w:r w:rsidRPr="001C63A4">
        <w:rPr>
          <w:rFonts w:eastAsia="標楷體"/>
          <w:sz w:val="26"/>
        </w:rPr>
        <w:t xml:space="preserve"> (22.4%), </w:t>
      </w:r>
      <w:r w:rsidR="00154476" w:rsidRPr="001C63A4">
        <w:rPr>
          <w:rFonts w:eastAsia="標楷體"/>
          <w:sz w:val="26"/>
        </w:rPr>
        <w:t xml:space="preserve">the </w:t>
      </w:r>
      <w:proofErr w:type="spellStart"/>
      <w:r w:rsidR="00154476" w:rsidRPr="001C63A4">
        <w:rPr>
          <w:rFonts w:eastAsia="標楷體"/>
          <w:sz w:val="26"/>
        </w:rPr>
        <w:t>Kao</w:t>
      </w:r>
      <w:r w:rsidR="00154476" w:rsidRPr="001C63A4">
        <w:rPr>
          <w:rFonts w:eastAsia="標楷體" w:hint="eastAsia"/>
          <w:sz w:val="26"/>
        </w:rPr>
        <w:t>p</w:t>
      </w:r>
      <w:r w:rsidR="00154476" w:rsidRPr="001C63A4">
        <w:rPr>
          <w:rFonts w:eastAsia="標楷體"/>
          <w:sz w:val="26"/>
        </w:rPr>
        <w:t>ing</w:t>
      </w:r>
      <w:proofErr w:type="spellEnd"/>
      <w:r w:rsidR="00154476" w:rsidRPr="001C63A4">
        <w:rPr>
          <w:rFonts w:eastAsia="標楷體"/>
          <w:sz w:val="26"/>
        </w:rPr>
        <w:t xml:space="preserve"> </w:t>
      </w:r>
      <w:r w:rsidR="004F1FF6" w:rsidRPr="001C63A4">
        <w:rPr>
          <w:rFonts w:eastAsia="標楷體"/>
          <w:sz w:val="26"/>
        </w:rPr>
        <w:t>Division</w:t>
      </w:r>
      <w:r w:rsidR="00154476" w:rsidRPr="001C63A4">
        <w:rPr>
          <w:rFonts w:eastAsia="標楷體"/>
          <w:sz w:val="26"/>
        </w:rPr>
        <w:t xml:space="preserve"> </w:t>
      </w:r>
      <w:r w:rsidRPr="001C63A4">
        <w:rPr>
          <w:rFonts w:eastAsia="標楷體"/>
          <w:sz w:val="26"/>
        </w:rPr>
        <w:t>at 3,</w:t>
      </w:r>
      <w:r w:rsidR="00F353D5" w:rsidRPr="001C63A4">
        <w:rPr>
          <w:rFonts w:eastAsia="標楷體" w:hint="eastAsia"/>
          <w:sz w:val="26"/>
        </w:rPr>
        <w:t>368</w:t>
      </w:r>
      <w:r w:rsidRPr="001C63A4">
        <w:rPr>
          <w:rFonts w:eastAsia="標楷體"/>
          <w:sz w:val="26"/>
        </w:rPr>
        <w:t xml:space="preserve"> (17</w:t>
      </w:r>
      <w:r w:rsidR="00BD4C25" w:rsidRPr="001C63A4">
        <w:rPr>
          <w:rFonts w:eastAsia="標楷體" w:hint="eastAsia"/>
          <w:sz w:val="26"/>
        </w:rPr>
        <w:t>.</w:t>
      </w:r>
      <w:r w:rsidR="00F353D5" w:rsidRPr="001C63A4">
        <w:rPr>
          <w:rFonts w:eastAsia="標楷體" w:hint="eastAsia"/>
          <w:sz w:val="26"/>
        </w:rPr>
        <w:t>0</w:t>
      </w:r>
      <w:r w:rsidRPr="001C63A4">
        <w:rPr>
          <w:rFonts w:eastAsia="標楷體"/>
          <w:sz w:val="26"/>
        </w:rPr>
        <w:t>%)</w:t>
      </w:r>
      <w:r w:rsidR="00154476" w:rsidRPr="001C63A4">
        <w:rPr>
          <w:rFonts w:eastAsia="標楷體" w:hint="eastAsia"/>
          <w:sz w:val="26"/>
        </w:rPr>
        <w:t>,</w:t>
      </w:r>
      <w:r w:rsidRPr="001C63A4">
        <w:rPr>
          <w:rFonts w:eastAsia="標楷體"/>
          <w:sz w:val="26"/>
        </w:rPr>
        <w:t xml:space="preserve"> the Southern </w:t>
      </w:r>
      <w:r w:rsidR="004F1FF6" w:rsidRPr="001C63A4">
        <w:rPr>
          <w:rFonts w:eastAsia="標楷體"/>
          <w:sz w:val="26"/>
        </w:rPr>
        <w:t>Division</w:t>
      </w:r>
      <w:r w:rsidRPr="001C63A4">
        <w:rPr>
          <w:rFonts w:eastAsia="標楷體"/>
          <w:sz w:val="26"/>
        </w:rPr>
        <w:t xml:space="preserve"> at 2,</w:t>
      </w:r>
      <w:r w:rsidR="00F353D5" w:rsidRPr="001C63A4">
        <w:rPr>
          <w:rFonts w:eastAsia="標楷體" w:hint="eastAsia"/>
          <w:sz w:val="26"/>
        </w:rPr>
        <w:t>827</w:t>
      </w:r>
      <w:r w:rsidRPr="001C63A4">
        <w:rPr>
          <w:rFonts w:eastAsia="標楷體"/>
          <w:sz w:val="26"/>
        </w:rPr>
        <w:t xml:space="preserve"> (14.</w:t>
      </w:r>
      <w:r w:rsidR="00F353D5" w:rsidRPr="001C63A4">
        <w:rPr>
          <w:rFonts w:eastAsia="標楷體" w:hint="eastAsia"/>
          <w:sz w:val="26"/>
        </w:rPr>
        <w:t>3</w:t>
      </w:r>
      <w:r w:rsidRPr="001C63A4">
        <w:rPr>
          <w:rFonts w:eastAsia="標楷體"/>
          <w:sz w:val="26"/>
        </w:rPr>
        <w:t>%)</w:t>
      </w:r>
      <w:r w:rsidR="00154476" w:rsidRPr="001C63A4">
        <w:rPr>
          <w:rFonts w:eastAsia="標楷體" w:hint="eastAsia"/>
          <w:sz w:val="26"/>
        </w:rPr>
        <w:t>,</w:t>
      </w:r>
      <w:r w:rsidRPr="001C63A4">
        <w:rPr>
          <w:rFonts w:eastAsia="標楷體"/>
          <w:sz w:val="26"/>
        </w:rPr>
        <w:t xml:space="preserve"> the Northern </w:t>
      </w:r>
      <w:r w:rsidR="004F1FF6" w:rsidRPr="001C63A4">
        <w:rPr>
          <w:rFonts w:eastAsia="標楷體"/>
          <w:sz w:val="26"/>
        </w:rPr>
        <w:t>Division</w:t>
      </w:r>
      <w:r w:rsidRPr="001C63A4">
        <w:rPr>
          <w:rFonts w:eastAsia="標楷體"/>
          <w:sz w:val="26"/>
        </w:rPr>
        <w:t xml:space="preserve"> at 2,</w:t>
      </w:r>
      <w:r w:rsidR="00F53488" w:rsidRPr="001C63A4">
        <w:rPr>
          <w:rFonts w:eastAsia="標楷體" w:hint="eastAsia"/>
          <w:sz w:val="26"/>
        </w:rPr>
        <w:t>4</w:t>
      </w:r>
      <w:r w:rsidR="00F353D5" w:rsidRPr="001C63A4">
        <w:rPr>
          <w:rFonts w:eastAsia="標楷體" w:hint="eastAsia"/>
          <w:sz w:val="26"/>
        </w:rPr>
        <w:t>57</w:t>
      </w:r>
      <w:r w:rsidRPr="001C63A4">
        <w:rPr>
          <w:rFonts w:eastAsia="標楷體"/>
          <w:sz w:val="26"/>
        </w:rPr>
        <w:t xml:space="preserve"> (12.4%)</w:t>
      </w:r>
      <w:r w:rsidR="001B1AAC" w:rsidRPr="001C63A4">
        <w:rPr>
          <w:rFonts w:eastAsia="標楷體"/>
          <w:sz w:val="26"/>
        </w:rPr>
        <w:t xml:space="preserve"> and the Eastern </w:t>
      </w:r>
      <w:r w:rsidR="004F1FF6" w:rsidRPr="001C63A4">
        <w:rPr>
          <w:rFonts w:eastAsia="標楷體"/>
          <w:sz w:val="26"/>
        </w:rPr>
        <w:t>Division</w:t>
      </w:r>
      <w:r w:rsidR="001B1AAC" w:rsidRPr="001C63A4">
        <w:rPr>
          <w:rFonts w:eastAsia="標楷體"/>
          <w:sz w:val="26"/>
        </w:rPr>
        <w:t xml:space="preserve"> at 41</w:t>
      </w:r>
      <w:r w:rsidR="00F353D5" w:rsidRPr="001C63A4">
        <w:rPr>
          <w:rFonts w:eastAsia="標楷體" w:hint="eastAsia"/>
          <w:sz w:val="26"/>
        </w:rPr>
        <w:t>9</w:t>
      </w:r>
      <w:r w:rsidR="001B1AAC" w:rsidRPr="001C63A4">
        <w:rPr>
          <w:rFonts w:eastAsia="標楷體"/>
          <w:sz w:val="26"/>
        </w:rPr>
        <w:t xml:space="preserve"> (2.</w:t>
      </w:r>
      <w:r w:rsidR="00F353D5" w:rsidRPr="001C63A4">
        <w:rPr>
          <w:rFonts w:eastAsia="標楷體" w:hint="eastAsia"/>
          <w:sz w:val="26"/>
        </w:rPr>
        <w:t>1</w:t>
      </w:r>
      <w:r w:rsidR="001B1AAC" w:rsidRPr="001C63A4">
        <w:rPr>
          <w:rFonts w:eastAsia="標楷體"/>
          <w:sz w:val="26"/>
        </w:rPr>
        <w:t>%). The percentages of hospitals and clinics which signed contracts with the BNHI</w:t>
      </w:r>
      <w:r w:rsidR="001B1AAC" w:rsidRPr="001C63A4">
        <w:rPr>
          <w:rFonts w:eastAsia="標楷體" w:hint="eastAsia"/>
          <w:sz w:val="26"/>
        </w:rPr>
        <w:t xml:space="preserve"> </w:t>
      </w:r>
      <w:r w:rsidR="00154476" w:rsidRPr="001C63A4">
        <w:rPr>
          <w:rFonts w:eastAsia="標楷體" w:hint="eastAsia"/>
          <w:sz w:val="26"/>
        </w:rPr>
        <w:t xml:space="preserve">were </w:t>
      </w:r>
      <w:r w:rsidR="00F53488" w:rsidRPr="001C63A4">
        <w:rPr>
          <w:rFonts w:eastAsia="標楷體" w:hint="eastAsia"/>
          <w:sz w:val="26"/>
        </w:rPr>
        <w:t>89.</w:t>
      </w:r>
      <w:r w:rsidR="00F353D5" w:rsidRPr="001C63A4">
        <w:rPr>
          <w:rFonts w:eastAsia="標楷體" w:hint="eastAsia"/>
          <w:sz w:val="26"/>
        </w:rPr>
        <w:t>5</w:t>
      </w:r>
      <w:r w:rsidR="00154476" w:rsidRPr="001C63A4">
        <w:rPr>
          <w:rFonts w:eastAsia="標楷體" w:hint="eastAsia"/>
          <w:sz w:val="26"/>
        </w:rPr>
        <w:t xml:space="preserve"> for the Taipei </w:t>
      </w:r>
      <w:r w:rsidR="004F1FF6" w:rsidRPr="001C63A4">
        <w:rPr>
          <w:rFonts w:eastAsia="標楷體"/>
          <w:sz w:val="26"/>
        </w:rPr>
        <w:t>Division</w:t>
      </w:r>
      <w:r w:rsidR="00154476" w:rsidRPr="001C63A4">
        <w:rPr>
          <w:rFonts w:eastAsia="標楷體" w:hint="eastAsia"/>
          <w:sz w:val="26"/>
        </w:rPr>
        <w:t>, 9</w:t>
      </w:r>
      <w:r w:rsidR="00F353D5" w:rsidRPr="001C63A4">
        <w:rPr>
          <w:rFonts w:eastAsia="標楷體" w:hint="eastAsia"/>
          <w:sz w:val="26"/>
        </w:rPr>
        <w:t>4.1</w:t>
      </w:r>
      <w:r w:rsidR="00154476" w:rsidRPr="001C63A4">
        <w:rPr>
          <w:rFonts w:eastAsia="標楷體" w:hint="eastAsia"/>
          <w:sz w:val="26"/>
        </w:rPr>
        <w:t xml:space="preserve"> </w:t>
      </w:r>
      <w:r w:rsidR="00D8033C" w:rsidRPr="001C63A4">
        <w:rPr>
          <w:rFonts w:eastAsia="標楷體" w:hint="eastAsia"/>
          <w:sz w:val="26"/>
        </w:rPr>
        <w:t xml:space="preserve">for </w:t>
      </w:r>
      <w:r w:rsidR="00154476" w:rsidRPr="001C63A4">
        <w:rPr>
          <w:rFonts w:eastAsia="標楷體"/>
          <w:sz w:val="26"/>
        </w:rPr>
        <w:t xml:space="preserve">the Northern </w:t>
      </w:r>
      <w:r w:rsidR="004F1FF6" w:rsidRPr="001C63A4">
        <w:rPr>
          <w:rFonts w:eastAsia="標楷體"/>
          <w:sz w:val="26"/>
        </w:rPr>
        <w:t>Division</w:t>
      </w:r>
      <w:r w:rsidR="00154476" w:rsidRPr="001C63A4">
        <w:rPr>
          <w:rFonts w:eastAsia="標楷體" w:hint="eastAsia"/>
          <w:sz w:val="26"/>
        </w:rPr>
        <w:t xml:space="preserve">, </w:t>
      </w:r>
      <w:r w:rsidR="00154476" w:rsidRPr="001C63A4">
        <w:rPr>
          <w:rFonts w:eastAsia="標楷體"/>
          <w:sz w:val="26"/>
        </w:rPr>
        <w:t>93.</w:t>
      </w:r>
      <w:r w:rsidR="00F353D5" w:rsidRPr="001C63A4">
        <w:rPr>
          <w:rFonts w:eastAsia="標楷體" w:hint="eastAsia"/>
          <w:sz w:val="26"/>
        </w:rPr>
        <w:t>8</w:t>
      </w:r>
      <w:r w:rsidR="00154476" w:rsidRPr="001C63A4">
        <w:rPr>
          <w:rFonts w:eastAsia="標楷體" w:hint="eastAsia"/>
          <w:sz w:val="26"/>
        </w:rPr>
        <w:t xml:space="preserve"> for </w:t>
      </w:r>
      <w:r w:rsidR="00154476" w:rsidRPr="001C63A4">
        <w:rPr>
          <w:rFonts w:eastAsia="標楷體"/>
          <w:sz w:val="26"/>
        </w:rPr>
        <w:t xml:space="preserve">the Central </w:t>
      </w:r>
      <w:r w:rsidR="004F1FF6" w:rsidRPr="001C63A4">
        <w:rPr>
          <w:rFonts w:eastAsia="標楷體"/>
          <w:sz w:val="26"/>
        </w:rPr>
        <w:t>Division</w:t>
      </w:r>
      <w:r w:rsidR="00154476" w:rsidRPr="001C63A4">
        <w:rPr>
          <w:rFonts w:eastAsia="標楷體" w:hint="eastAsia"/>
          <w:sz w:val="26"/>
        </w:rPr>
        <w:t>,</w:t>
      </w:r>
      <w:r w:rsidR="00154476" w:rsidRPr="001C63A4">
        <w:rPr>
          <w:rFonts w:eastAsia="標楷體"/>
          <w:sz w:val="26"/>
        </w:rPr>
        <w:t xml:space="preserve"> </w:t>
      </w:r>
      <w:r w:rsidR="00844F6E" w:rsidRPr="001C63A4">
        <w:rPr>
          <w:rFonts w:eastAsia="標楷體" w:hint="eastAsia"/>
          <w:sz w:val="26"/>
        </w:rPr>
        <w:t>9</w:t>
      </w:r>
      <w:r w:rsidR="00F353D5" w:rsidRPr="001C63A4">
        <w:rPr>
          <w:rFonts w:eastAsia="標楷體" w:hint="eastAsia"/>
          <w:sz w:val="26"/>
        </w:rPr>
        <w:t>4.1</w:t>
      </w:r>
      <w:r w:rsidR="00154476" w:rsidRPr="001C63A4">
        <w:rPr>
          <w:rFonts w:eastAsia="標楷體" w:hint="eastAsia"/>
          <w:sz w:val="26"/>
        </w:rPr>
        <w:t xml:space="preserve"> for the </w:t>
      </w:r>
      <w:r w:rsidR="00955591" w:rsidRPr="001C63A4">
        <w:rPr>
          <w:rFonts w:eastAsia="標楷體"/>
          <w:sz w:val="26"/>
        </w:rPr>
        <w:t xml:space="preserve">Southern </w:t>
      </w:r>
      <w:r w:rsidR="004F1FF6" w:rsidRPr="001C63A4">
        <w:rPr>
          <w:rFonts w:eastAsia="標楷體"/>
          <w:sz w:val="26"/>
        </w:rPr>
        <w:t>Division</w:t>
      </w:r>
      <w:r w:rsidR="00844F6E" w:rsidRPr="001C63A4">
        <w:rPr>
          <w:rFonts w:eastAsia="標楷體" w:hint="eastAsia"/>
          <w:sz w:val="26"/>
        </w:rPr>
        <w:t>,</w:t>
      </w:r>
      <w:r w:rsidR="00D8033C" w:rsidRPr="001C63A4">
        <w:rPr>
          <w:rFonts w:eastAsia="標楷體" w:hint="eastAsia"/>
          <w:sz w:val="26"/>
        </w:rPr>
        <w:t xml:space="preserve"> </w:t>
      </w:r>
      <w:r w:rsidR="00844F6E" w:rsidRPr="001C63A4">
        <w:rPr>
          <w:rFonts w:eastAsia="標楷體" w:hint="eastAsia"/>
          <w:sz w:val="26"/>
        </w:rPr>
        <w:t>94.</w:t>
      </w:r>
      <w:r w:rsidR="00F353D5" w:rsidRPr="001C63A4">
        <w:rPr>
          <w:rFonts w:eastAsia="標楷體" w:hint="eastAsia"/>
          <w:sz w:val="26"/>
        </w:rPr>
        <w:t>6</w:t>
      </w:r>
      <w:r w:rsidR="00844F6E" w:rsidRPr="001C63A4">
        <w:rPr>
          <w:rFonts w:eastAsia="標楷體" w:hint="eastAsia"/>
          <w:sz w:val="26"/>
        </w:rPr>
        <w:t xml:space="preserve"> for</w:t>
      </w:r>
      <w:r w:rsidR="00154476" w:rsidRPr="001C63A4">
        <w:rPr>
          <w:rFonts w:eastAsia="標楷體" w:hint="eastAsia"/>
          <w:sz w:val="26"/>
        </w:rPr>
        <w:t xml:space="preserve"> </w:t>
      </w:r>
      <w:r w:rsidR="00154476" w:rsidRPr="001C63A4">
        <w:rPr>
          <w:rFonts w:eastAsia="標楷體"/>
          <w:sz w:val="26"/>
        </w:rPr>
        <w:t xml:space="preserve">the </w:t>
      </w:r>
      <w:proofErr w:type="spellStart"/>
      <w:r w:rsidR="00154476" w:rsidRPr="001C63A4">
        <w:rPr>
          <w:rFonts w:eastAsia="標楷體"/>
          <w:sz w:val="26"/>
        </w:rPr>
        <w:t>Kao</w:t>
      </w:r>
      <w:r w:rsidR="00154476" w:rsidRPr="001C63A4">
        <w:rPr>
          <w:rFonts w:eastAsia="標楷體" w:hint="eastAsia"/>
          <w:sz w:val="26"/>
        </w:rPr>
        <w:t>p</w:t>
      </w:r>
      <w:r w:rsidR="00154476" w:rsidRPr="001C63A4">
        <w:rPr>
          <w:rFonts w:eastAsia="標楷體"/>
          <w:sz w:val="26"/>
        </w:rPr>
        <w:t>ing</w:t>
      </w:r>
      <w:proofErr w:type="spellEnd"/>
      <w:r w:rsidR="00154476" w:rsidRPr="001C63A4">
        <w:rPr>
          <w:rFonts w:eastAsia="標楷體"/>
          <w:sz w:val="26"/>
        </w:rPr>
        <w:t xml:space="preserve"> </w:t>
      </w:r>
      <w:r w:rsidR="004F1FF6" w:rsidRPr="001C63A4">
        <w:rPr>
          <w:rFonts w:eastAsia="標楷體"/>
          <w:sz w:val="26"/>
        </w:rPr>
        <w:t>Division</w:t>
      </w:r>
      <w:r w:rsidR="00955591" w:rsidRPr="001C63A4">
        <w:rPr>
          <w:rFonts w:eastAsia="標楷體" w:hint="eastAsia"/>
          <w:sz w:val="26"/>
        </w:rPr>
        <w:t xml:space="preserve"> and </w:t>
      </w:r>
      <w:r w:rsidR="00844F6E" w:rsidRPr="001C63A4">
        <w:rPr>
          <w:rFonts w:eastAsia="標楷體" w:hint="eastAsia"/>
          <w:sz w:val="26"/>
        </w:rPr>
        <w:t>9</w:t>
      </w:r>
      <w:r w:rsidR="00F353D5" w:rsidRPr="001C63A4">
        <w:rPr>
          <w:rFonts w:eastAsia="標楷體" w:hint="eastAsia"/>
          <w:sz w:val="26"/>
        </w:rPr>
        <w:t>5.0</w:t>
      </w:r>
      <w:r w:rsidR="00955591" w:rsidRPr="001C63A4">
        <w:rPr>
          <w:rFonts w:eastAsia="標楷體" w:hint="eastAsia"/>
          <w:sz w:val="26"/>
        </w:rPr>
        <w:t xml:space="preserve"> for </w:t>
      </w:r>
      <w:r w:rsidR="00955591" w:rsidRPr="001C63A4">
        <w:rPr>
          <w:rFonts w:eastAsia="標楷體"/>
          <w:sz w:val="26"/>
        </w:rPr>
        <w:t xml:space="preserve">the Eastern </w:t>
      </w:r>
      <w:r w:rsidR="004F1FF6" w:rsidRPr="001C63A4">
        <w:rPr>
          <w:rFonts w:eastAsia="標楷體"/>
          <w:sz w:val="26"/>
        </w:rPr>
        <w:t>Division</w:t>
      </w:r>
      <w:r w:rsidR="00955591" w:rsidRPr="001C63A4">
        <w:rPr>
          <w:rFonts w:eastAsia="標楷體" w:hint="eastAsia"/>
          <w:sz w:val="26"/>
        </w:rPr>
        <w:t>.</w:t>
      </w:r>
      <w:r w:rsidR="00154476" w:rsidRPr="001C63A4">
        <w:rPr>
          <w:rFonts w:eastAsia="標楷體"/>
          <w:sz w:val="26"/>
        </w:rPr>
        <w:t xml:space="preserve"> </w:t>
      </w:r>
      <w:r w:rsidRPr="001C63A4">
        <w:rPr>
          <w:rFonts w:eastAsia="標楷體"/>
          <w:sz w:val="26"/>
        </w:rPr>
        <w:t xml:space="preserve">In terms of cities and counties, </w:t>
      </w:r>
      <w:r w:rsidR="009A05EC">
        <w:rPr>
          <w:rFonts w:eastAsia="標楷體" w:hint="eastAsia"/>
          <w:sz w:val="26"/>
        </w:rPr>
        <w:t>the</w:t>
      </w:r>
      <w:r w:rsidR="009A05EC" w:rsidRPr="001C63A4">
        <w:rPr>
          <w:rFonts w:eastAsia="標楷體" w:hint="eastAsia"/>
          <w:sz w:val="26"/>
        </w:rPr>
        <w:t xml:space="preserve"> </w:t>
      </w:r>
      <w:r w:rsidR="009A05EC" w:rsidRPr="001C63A4">
        <w:rPr>
          <w:rFonts w:eastAsia="標楷體"/>
          <w:sz w:val="26"/>
        </w:rPr>
        <w:t xml:space="preserve">percentages of the hospitals and clinics </w:t>
      </w:r>
      <w:r w:rsidR="009A05EC" w:rsidRPr="001C63A4">
        <w:rPr>
          <w:rFonts w:eastAsia="標楷體" w:hint="eastAsia"/>
          <w:sz w:val="26"/>
        </w:rPr>
        <w:t xml:space="preserve">which </w:t>
      </w:r>
      <w:r w:rsidR="009A05EC" w:rsidRPr="001C63A4">
        <w:rPr>
          <w:rFonts w:eastAsia="標楷體"/>
          <w:sz w:val="26"/>
        </w:rPr>
        <w:t>sign</w:t>
      </w:r>
      <w:r w:rsidR="009A05EC" w:rsidRPr="001C63A4">
        <w:rPr>
          <w:rFonts w:eastAsia="標楷體" w:hint="eastAsia"/>
          <w:sz w:val="26"/>
        </w:rPr>
        <w:t>ed</w:t>
      </w:r>
      <w:r w:rsidR="009A05EC" w:rsidRPr="001C63A4">
        <w:rPr>
          <w:rFonts w:eastAsia="標楷體"/>
          <w:sz w:val="26"/>
        </w:rPr>
        <w:t xml:space="preserve"> contracts with the BNHI </w:t>
      </w:r>
      <w:r w:rsidR="009A05EC" w:rsidRPr="001C63A4">
        <w:rPr>
          <w:rFonts w:eastAsia="標楷體" w:hint="eastAsia"/>
          <w:sz w:val="26"/>
        </w:rPr>
        <w:t xml:space="preserve">were </w:t>
      </w:r>
      <w:r w:rsidR="009A05EC">
        <w:rPr>
          <w:rFonts w:eastAsia="標楷體" w:hint="eastAsia"/>
          <w:sz w:val="26"/>
        </w:rPr>
        <w:t xml:space="preserve">100 for </w:t>
      </w:r>
      <w:proofErr w:type="spellStart"/>
      <w:r w:rsidR="00352247" w:rsidRPr="001C63A4">
        <w:rPr>
          <w:rFonts w:eastAsia="標楷體" w:hint="eastAsia"/>
          <w:sz w:val="26"/>
        </w:rPr>
        <w:t>Lienchiang</w:t>
      </w:r>
      <w:proofErr w:type="spellEnd"/>
      <w:r w:rsidR="00352247" w:rsidRPr="001C63A4">
        <w:rPr>
          <w:rFonts w:eastAsia="標楷體" w:hint="eastAsia"/>
          <w:sz w:val="26"/>
        </w:rPr>
        <w:t xml:space="preserve"> Count</w:t>
      </w:r>
      <w:r w:rsidR="00F353D5" w:rsidRPr="001C63A4">
        <w:rPr>
          <w:rFonts w:eastAsia="標楷體" w:hint="eastAsia"/>
          <w:sz w:val="26"/>
        </w:rPr>
        <w:t xml:space="preserve">y, </w:t>
      </w:r>
      <w:r w:rsidR="00A53D1B" w:rsidRPr="001C63A4">
        <w:rPr>
          <w:rFonts w:eastAsia="標楷體" w:hint="eastAsia"/>
          <w:sz w:val="26"/>
        </w:rPr>
        <w:t>over 9</w:t>
      </w:r>
      <w:r w:rsidR="0000043C" w:rsidRPr="001C63A4">
        <w:rPr>
          <w:rFonts w:eastAsia="標楷體" w:hint="eastAsia"/>
          <w:sz w:val="26"/>
        </w:rPr>
        <w:t>6</w:t>
      </w:r>
      <w:r w:rsidR="00A53D1B" w:rsidRPr="001C63A4">
        <w:rPr>
          <w:rFonts w:eastAsia="標楷體" w:hint="eastAsia"/>
          <w:sz w:val="26"/>
        </w:rPr>
        <w:t xml:space="preserve"> </w:t>
      </w:r>
      <w:r w:rsidR="00B45C2E" w:rsidRPr="001C63A4">
        <w:rPr>
          <w:rFonts w:eastAsia="標楷體" w:hint="eastAsia"/>
          <w:sz w:val="26"/>
        </w:rPr>
        <w:t>for</w:t>
      </w:r>
      <w:r w:rsidRPr="001C63A4">
        <w:rPr>
          <w:rFonts w:eastAsia="標楷體"/>
          <w:sz w:val="26"/>
        </w:rPr>
        <w:t xml:space="preserve"> </w:t>
      </w:r>
      <w:proofErr w:type="spellStart"/>
      <w:r w:rsidR="0000043C" w:rsidRPr="001C63A4">
        <w:rPr>
          <w:rFonts w:eastAsia="標楷體"/>
          <w:sz w:val="26"/>
        </w:rPr>
        <w:t>Chiayi</w:t>
      </w:r>
      <w:proofErr w:type="spellEnd"/>
      <w:r w:rsidR="0000043C" w:rsidRPr="001C63A4">
        <w:rPr>
          <w:rFonts w:eastAsia="標楷體"/>
          <w:sz w:val="26"/>
        </w:rPr>
        <w:t xml:space="preserve"> County,</w:t>
      </w:r>
      <w:r w:rsidR="0000043C" w:rsidRPr="001C63A4">
        <w:rPr>
          <w:rFonts w:eastAsia="標楷體" w:hint="eastAsia"/>
          <w:sz w:val="26"/>
        </w:rPr>
        <w:t xml:space="preserve"> </w:t>
      </w:r>
      <w:proofErr w:type="spellStart"/>
      <w:r w:rsidR="0000043C" w:rsidRPr="001C63A4">
        <w:rPr>
          <w:rFonts w:eastAsia="標楷體" w:hint="eastAsia"/>
          <w:sz w:val="26"/>
        </w:rPr>
        <w:t>Yi</w:t>
      </w:r>
      <w:r w:rsidR="0000043C" w:rsidRPr="001C63A4">
        <w:rPr>
          <w:rFonts w:eastAsia="標楷體"/>
          <w:sz w:val="26"/>
        </w:rPr>
        <w:t>lan</w:t>
      </w:r>
      <w:proofErr w:type="spellEnd"/>
      <w:r w:rsidR="0000043C" w:rsidRPr="001C63A4">
        <w:rPr>
          <w:rFonts w:eastAsia="標楷體"/>
          <w:sz w:val="26"/>
        </w:rPr>
        <w:t xml:space="preserve"> County,</w:t>
      </w:r>
      <w:r w:rsidR="0000043C" w:rsidRPr="001C63A4">
        <w:rPr>
          <w:rFonts w:eastAsia="標楷體" w:hint="eastAsia"/>
          <w:sz w:val="26"/>
        </w:rPr>
        <w:t xml:space="preserve"> </w:t>
      </w:r>
      <w:proofErr w:type="spellStart"/>
      <w:r w:rsidR="0000043C" w:rsidRPr="001C63A4">
        <w:rPr>
          <w:rFonts w:eastAsia="標楷體"/>
          <w:sz w:val="26"/>
        </w:rPr>
        <w:t>Miaoli</w:t>
      </w:r>
      <w:proofErr w:type="spellEnd"/>
      <w:r w:rsidR="0000043C" w:rsidRPr="001C63A4">
        <w:rPr>
          <w:rFonts w:eastAsia="標楷體"/>
          <w:sz w:val="26"/>
        </w:rPr>
        <w:t xml:space="preserve"> County,</w:t>
      </w:r>
      <w:r w:rsidR="0000043C" w:rsidRPr="001C63A4">
        <w:rPr>
          <w:rFonts w:eastAsia="標楷體" w:hint="eastAsia"/>
          <w:sz w:val="26"/>
        </w:rPr>
        <w:t xml:space="preserve"> Penghu Country, </w:t>
      </w:r>
      <w:proofErr w:type="spellStart"/>
      <w:r w:rsidR="0000043C" w:rsidRPr="001C63A4">
        <w:rPr>
          <w:rFonts w:eastAsia="標楷體"/>
          <w:sz w:val="26"/>
        </w:rPr>
        <w:t>Changhua</w:t>
      </w:r>
      <w:proofErr w:type="spellEnd"/>
      <w:r w:rsidR="0000043C" w:rsidRPr="001C63A4">
        <w:rPr>
          <w:rFonts w:eastAsia="標楷體"/>
          <w:sz w:val="26"/>
        </w:rPr>
        <w:t xml:space="preserve"> County</w:t>
      </w:r>
      <w:r w:rsidR="0000043C" w:rsidRPr="001C63A4">
        <w:rPr>
          <w:rFonts w:eastAsia="標楷體" w:hint="eastAsia"/>
          <w:sz w:val="26"/>
        </w:rPr>
        <w:t xml:space="preserve"> and</w:t>
      </w:r>
      <w:r w:rsidRPr="001C63A4">
        <w:rPr>
          <w:rFonts w:eastAsia="標楷體"/>
          <w:sz w:val="26"/>
        </w:rPr>
        <w:t xml:space="preserve"> </w:t>
      </w:r>
      <w:proofErr w:type="spellStart"/>
      <w:r w:rsidRPr="001C63A4">
        <w:rPr>
          <w:rFonts w:eastAsia="標楷體"/>
          <w:sz w:val="26"/>
        </w:rPr>
        <w:t>Hsinchu</w:t>
      </w:r>
      <w:proofErr w:type="spellEnd"/>
      <w:r w:rsidRPr="001C63A4">
        <w:rPr>
          <w:rFonts w:eastAsia="標楷體"/>
          <w:sz w:val="26"/>
        </w:rPr>
        <w:t xml:space="preserve"> County</w:t>
      </w:r>
      <w:r w:rsidR="007E3026">
        <w:rPr>
          <w:rFonts w:eastAsia="標楷體" w:hint="eastAsia"/>
          <w:sz w:val="26"/>
        </w:rPr>
        <w:t xml:space="preserve">; </w:t>
      </w:r>
      <w:r w:rsidR="001B1AAC" w:rsidRPr="001C63A4">
        <w:rPr>
          <w:rFonts w:eastAsia="標楷體"/>
          <w:sz w:val="26"/>
        </w:rPr>
        <w:t>Taipei City, at 8</w:t>
      </w:r>
      <w:r w:rsidR="0000043C" w:rsidRPr="001C63A4">
        <w:rPr>
          <w:rFonts w:eastAsia="標楷體" w:hint="eastAsia"/>
          <w:sz w:val="26"/>
        </w:rPr>
        <w:t>2.3</w:t>
      </w:r>
      <w:r w:rsidR="001B1AAC" w:rsidRPr="001C63A4">
        <w:rPr>
          <w:rFonts w:eastAsia="標楷體"/>
          <w:sz w:val="26"/>
        </w:rPr>
        <w:t>, was the lowest</w:t>
      </w:r>
      <w:r w:rsidRPr="001C63A4">
        <w:rPr>
          <w:rFonts w:eastAsia="標楷體"/>
          <w:sz w:val="26"/>
        </w:rPr>
        <w:t>.</w:t>
      </w:r>
    </w:p>
    <w:p w:rsidR="00DD0F64" w:rsidRPr="001C63A4" w:rsidRDefault="004B7A9B" w:rsidP="004F0C26">
      <w:pPr>
        <w:kinsoku w:val="0"/>
        <w:spacing w:beforeLines="150" w:afterLines="150"/>
        <w:ind w:leftChars="236" w:left="566"/>
        <w:jc w:val="center"/>
        <w:rPr>
          <w:rFonts w:eastAsia="標楷體"/>
          <w:noProof/>
          <w:sz w:val="26"/>
        </w:rPr>
      </w:pPr>
      <w:r w:rsidRPr="001C63A4">
        <w:rPr>
          <w:rFonts w:eastAsia="標楷體"/>
          <w:noProof/>
          <w:sz w:val="26"/>
        </w:rPr>
        <w:lastRenderedPageBreak/>
        <w:drawing>
          <wp:inline distT="0" distB="0" distL="0" distR="0">
            <wp:extent cx="6021238" cy="4433977"/>
            <wp:effectExtent l="0" t="0" r="0" b="0"/>
            <wp:docPr id="6" name="圖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91C65" w:rsidRPr="001C63A4" w:rsidRDefault="00CC2A99" w:rsidP="004F0C26">
      <w:pPr>
        <w:pStyle w:val="a9"/>
        <w:spacing w:beforeLines="50" w:afterLines="100" w:line="420" w:lineRule="exact"/>
        <w:ind w:leftChars="0" w:left="510" w:firstLineChars="235" w:firstLine="611"/>
        <w:jc w:val="both"/>
        <w:rPr>
          <w:rFonts w:eastAsia="標楷體"/>
          <w:sz w:val="26"/>
        </w:rPr>
      </w:pPr>
      <w:r w:rsidRPr="001C63A4">
        <w:rPr>
          <w:rFonts w:eastAsia="標楷體" w:hint="eastAsia"/>
          <w:sz w:val="26"/>
        </w:rPr>
        <w:t>Broken down by</w:t>
      </w:r>
      <w:r w:rsidRPr="001C63A4">
        <w:rPr>
          <w:rFonts w:eastAsia="標楷體"/>
          <w:sz w:val="26"/>
        </w:rPr>
        <w:t xml:space="preserve"> a</w:t>
      </w:r>
      <w:r w:rsidRPr="001C63A4">
        <w:rPr>
          <w:rFonts w:eastAsia="標楷體" w:hint="eastAsia"/>
          <w:sz w:val="26"/>
        </w:rPr>
        <w:t>ccreditation status,</w:t>
      </w:r>
      <w:r w:rsidR="009C6546" w:rsidRPr="001C63A4">
        <w:rPr>
          <w:rFonts w:eastAsia="標楷體"/>
          <w:sz w:val="26"/>
        </w:rPr>
        <w:t xml:space="preserve"> </w:t>
      </w:r>
      <w:r w:rsidR="00BF3C70">
        <w:rPr>
          <w:rFonts w:eastAsia="標楷體" w:hint="eastAsia"/>
          <w:sz w:val="26"/>
        </w:rPr>
        <w:t>the number of the contracted hospitals qualified was 455 (</w:t>
      </w:r>
      <w:r w:rsidR="00DE1E6B" w:rsidRPr="001C63A4">
        <w:rPr>
          <w:rFonts w:eastAsia="標楷體" w:hint="eastAsia"/>
          <w:sz w:val="26"/>
        </w:rPr>
        <w:t>90.1</w:t>
      </w:r>
      <w:r w:rsidRPr="001C63A4">
        <w:rPr>
          <w:rFonts w:eastAsia="標楷體"/>
          <w:sz w:val="26"/>
        </w:rPr>
        <w:t>%</w:t>
      </w:r>
      <w:r w:rsidR="00BF3C70">
        <w:rPr>
          <w:rFonts w:eastAsia="標楷體" w:hint="eastAsia"/>
          <w:sz w:val="26"/>
        </w:rPr>
        <w:t>)</w:t>
      </w:r>
      <w:r w:rsidR="009C6546" w:rsidRPr="001C63A4">
        <w:rPr>
          <w:rFonts w:eastAsia="標楷體"/>
          <w:sz w:val="26"/>
        </w:rPr>
        <w:t xml:space="preserve">. </w:t>
      </w:r>
      <w:r w:rsidR="005E2357" w:rsidRPr="001C63A4">
        <w:rPr>
          <w:rFonts w:eastAsia="標楷體" w:hint="eastAsia"/>
          <w:sz w:val="26"/>
        </w:rPr>
        <w:t xml:space="preserve">The </w:t>
      </w:r>
      <w:proofErr w:type="spellStart"/>
      <w:r w:rsidR="009C6546" w:rsidRPr="001C63A4">
        <w:rPr>
          <w:rFonts w:eastAsia="標楷體"/>
          <w:sz w:val="26"/>
        </w:rPr>
        <w:t>Kaoping</w:t>
      </w:r>
      <w:proofErr w:type="spellEnd"/>
      <w:r w:rsidR="009C6546" w:rsidRPr="001C63A4">
        <w:rPr>
          <w:rFonts w:eastAsia="標楷體"/>
          <w:sz w:val="26"/>
        </w:rPr>
        <w:t xml:space="preserve">, Taipei, and Central </w:t>
      </w:r>
      <w:r w:rsidR="00953FE2" w:rsidRPr="001C63A4">
        <w:rPr>
          <w:rFonts w:eastAsia="標楷體" w:hint="eastAsia"/>
          <w:sz w:val="26"/>
        </w:rPr>
        <w:t>Division</w:t>
      </w:r>
      <w:r w:rsidR="009C6546" w:rsidRPr="001C63A4">
        <w:rPr>
          <w:rFonts w:eastAsia="標楷體"/>
          <w:sz w:val="26"/>
        </w:rPr>
        <w:t xml:space="preserve">s </w:t>
      </w:r>
      <w:r w:rsidR="00AE761C" w:rsidRPr="001C63A4">
        <w:rPr>
          <w:rFonts w:eastAsia="標楷體" w:hint="eastAsia"/>
          <w:sz w:val="26"/>
        </w:rPr>
        <w:t xml:space="preserve">were the </w:t>
      </w:r>
      <w:r w:rsidR="00E66F70" w:rsidRPr="001C63A4">
        <w:rPr>
          <w:rFonts w:eastAsia="標楷體" w:hint="eastAsia"/>
          <w:sz w:val="26"/>
        </w:rPr>
        <w:t>divisions</w:t>
      </w:r>
      <w:r w:rsidR="00AE761C" w:rsidRPr="001C63A4">
        <w:rPr>
          <w:rFonts w:eastAsia="標楷體" w:hint="eastAsia"/>
          <w:sz w:val="26"/>
        </w:rPr>
        <w:t xml:space="preserve"> with the top three highest percentages of qualified hospitals, </w:t>
      </w:r>
      <w:r w:rsidR="009C6546" w:rsidRPr="001C63A4">
        <w:rPr>
          <w:rFonts w:eastAsia="標楷體"/>
          <w:sz w:val="26"/>
        </w:rPr>
        <w:t>account</w:t>
      </w:r>
      <w:r w:rsidR="002C7AB6" w:rsidRPr="001C63A4">
        <w:rPr>
          <w:rFonts w:eastAsia="標楷體" w:hint="eastAsia"/>
          <w:sz w:val="26"/>
        </w:rPr>
        <w:t>ed</w:t>
      </w:r>
      <w:r w:rsidR="009C6546" w:rsidRPr="001C63A4">
        <w:rPr>
          <w:rFonts w:eastAsia="標楷體"/>
          <w:sz w:val="26"/>
        </w:rPr>
        <w:t xml:space="preserve"> for 69.</w:t>
      </w:r>
      <w:r w:rsidR="00DE1E6B" w:rsidRPr="001C63A4">
        <w:rPr>
          <w:rFonts w:eastAsia="標楷體" w:hint="eastAsia"/>
          <w:sz w:val="26"/>
        </w:rPr>
        <w:t>7</w:t>
      </w:r>
      <w:r w:rsidR="009C6546" w:rsidRPr="001C63A4">
        <w:rPr>
          <w:rFonts w:eastAsia="標楷體"/>
          <w:sz w:val="26"/>
        </w:rPr>
        <w:t xml:space="preserve">%. </w:t>
      </w:r>
      <w:r w:rsidR="00AE761C" w:rsidRPr="001C63A4">
        <w:rPr>
          <w:rFonts w:eastAsia="標楷體" w:hint="eastAsia"/>
          <w:sz w:val="26"/>
        </w:rPr>
        <w:t>Broken down by ownership</w:t>
      </w:r>
      <w:r w:rsidR="009C6546" w:rsidRPr="001C63A4">
        <w:rPr>
          <w:rFonts w:eastAsia="標楷體"/>
          <w:sz w:val="26"/>
        </w:rPr>
        <w:t xml:space="preserve">, </w:t>
      </w:r>
      <w:r w:rsidR="00AE761C" w:rsidRPr="001C63A4">
        <w:rPr>
          <w:rFonts w:eastAsia="標楷體" w:hint="eastAsia"/>
          <w:sz w:val="26"/>
        </w:rPr>
        <w:t>there</w:t>
      </w:r>
      <w:r w:rsidR="009C6546" w:rsidRPr="001C63A4">
        <w:rPr>
          <w:rFonts w:eastAsia="標楷體"/>
          <w:sz w:val="26"/>
        </w:rPr>
        <w:t xml:space="preserve"> </w:t>
      </w:r>
      <w:r w:rsidR="00512C8C" w:rsidRPr="001C63A4">
        <w:rPr>
          <w:rFonts w:eastAsia="標楷體" w:hint="eastAsia"/>
          <w:sz w:val="26"/>
        </w:rPr>
        <w:t>we</w:t>
      </w:r>
      <w:r w:rsidR="009C6546" w:rsidRPr="001C63A4">
        <w:rPr>
          <w:rFonts w:eastAsia="標楷體"/>
          <w:sz w:val="26"/>
        </w:rPr>
        <w:t xml:space="preserve">re </w:t>
      </w:r>
      <w:r w:rsidR="00456A0D" w:rsidRPr="001C63A4">
        <w:rPr>
          <w:rFonts w:eastAsia="標楷體" w:hint="eastAsia"/>
          <w:sz w:val="26"/>
        </w:rPr>
        <w:t>50</w:t>
      </w:r>
      <w:r w:rsidR="00DE1E6B" w:rsidRPr="001C63A4">
        <w:rPr>
          <w:rFonts w:eastAsia="標楷體" w:hint="eastAsia"/>
          <w:sz w:val="26"/>
        </w:rPr>
        <w:t>5</w:t>
      </w:r>
      <w:r w:rsidR="00AE761C" w:rsidRPr="001C63A4">
        <w:rPr>
          <w:rFonts w:eastAsia="標楷體" w:hint="eastAsia"/>
          <w:sz w:val="26"/>
        </w:rPr>
        <w:t xml:space="preserve"> </w:t>
      </w:r>
      <w:r w:rsidR="00BF3C70">
        <w:rPr>
          <w:rFonts w:eastAsia="標楷體" w:hint="eastAsia"/>
          <w:sz w:val="26"/>
        </w:rPr>
        <w:t>hospital</w:t>
      </w:r>
      <w:r w:rsidR="00A37998" w:rsidRPr="001C63A4">
        <w:rPr>
          <w:rFonts w:eastAsia="標楷體" w:hint="eastAsia"/>
          <w:sz w:val="26"/>
        </w:rPr>
        <w:t>s</w:t>
      </w:r>
      <w:r w:rsidR="009C6546" w:rsidRPr="001C63A4">
        <w:rPr>
          <w:rFonts w:eastAsia="標楷體"/>
          <w:sz w:val="26"/>
        </w:rPr>
        <w:t xml:space="preserve">, </w:t>
      </w:r>
      <w:r w:rsidR="00456A0D" w:rsidRPr="001C63A4">
        <w:rPr>
          <w:rFonts w:eastAsia="標楷體" w:hint="eastAsia"/>
          <w:sz w:val="26"/>
        </w:rPr>
        <w:t>81</w:t>
      </w:r>
      <w:r w:rsidR="009C6546" w:rsidRPr="001C63A4">
        <w:rPr>
          <w:rFonts w:eastAsia="標楷體"/>
          <w:sz w:val="26"/>
        </w:rPr>
        <w:t xml:space="preserve"> </w:t>
      </w:r>
      <w:r w:rsidR="00BF3C70">
        <w:rPr>
          <w:rFonts w:eastAsia="標楷體" w:hint="eastAsia"/>
          <w:sz w:val="26"/>
        </w:rPr>
        <w:t>for</w:t>
      </w:r>
      <w:r w:rsidR="00AE761C" w:rsidRPr="001C63A4">
        <w:rPr>
          <w:rFonts w:eastAsia="標楷體" w:hint="eastAsia"/>
          <w:sz w:val="26"/>
        </w:rPr>
        <w:t xml:space="preserve"> </w:t>
      </w:r>
      <w:r w:rsidR="00BF3C70">
        <w:rPr>
          <w:rFonts w:eastAsia="標楷體" w:hint="eastAsia"/>
          <w:sz w:val="26"/>
        </w:rPr>
        <w:t>public</w:t>
      </w:r>
      <w:r w:rsidR="009C6546" w:rsidRPr="001C63A4">
        <w:rPr>
          <w:rFonts w:eastAsia="標楷體"/>
          <w:sz w:val="26"/>
        </w:rPr>
        <w:t xml:space="preserve"> and 42</w:t>
      </w:r>
      <w:r w:rsidR="00DE1E6B" w:rsidRPr="001C63A4">
        <w:rPr>
          <w:rFonts w:eastAsia="標楷體" w:hint="eastAsia"/>
          <w:sz w:val="26"/>
        </w:rPr>
        <w:t>4</w:t>
      </w:r>
      <w:r w:rsidR="009C6546" w:rsidRPr="001C63A4">
        <w:rPr>
          <w:rFonts w:eastAsia="標楷體"/>
          <w:sz w:val="26"/>
        </w:rPr>
        <w:t xml:space="preserve"> </w:t>
      </w:r>
      <w:r w:rsidR="00BF3C70">
        <w:rPr>
          <w:rFonts w:eastAsia="標楷體" w:hint="eastAsia"/>
          <w:sz w:val="26"/>
        </w:rPr>
        <w:t>for</w:t>
      </w:r>
      <w:r w:rsidR="00AE761C" w:rsidRPr="001C63A4">
        <w:rPr>
          <w:rFonts w:eastAsia="標楷體" w:hint="eastAsia"/>
          <w:sz w:val="26"/>
        </w:rPr>
        <w:t xml:space="preserve"> </w:t>
      </w:r>
      <w:r w:rsidR="00BF3C70">
        <w:rPr>
          <w:rFonts w:eastAsia="標楷體" w:hint="eastAsia"/>
          <w:sz w:val="26"/>
        </w:rPr>
        <w:t xml:space="preserve">non-public; </w:t>
      </w:r>
      <w:r w:rsidR="009C6546" w:rsidRPr="001C63A4">
        <w:rPr>
          <w:rFonts w:eastAsia="標楷體"/>
          <w:sz w:val="26"/>
        </w:rPr>
        <w:t xml:space="preserve">there </w:t>
      </w:r>
      <w:r w:rsidR="00512C8C" w:rsidRPr="001C63A4">
        <w:rPr>
          <w:rFonts w:eastAsia="標楷體" w:hint="eastAsia"/>
          <w:sz w:val="26"/>
        </w:rPr>
        <w:t>we</w:t>
      </w:r>
      <w:r w:rsidR="009C6546" w:rsidRPr="001C63A4">
        <w:rPr>
          <w:rFonts w:eastAsia="標楷體"/>
          <w:sz w:val="26"/>
        </w:rPr>
        <w:t>re 1</w:t>
      </w:r>
      <w:r w:rsidR="00DE1E6B" w:rsidRPr="001C63A4">
        <w:rPr>
          <w:rFonts w:eastAsia="標楷體" w:hint="eastAsia"/>
          <w:sz w:val="26"/>
        </w:rPr>
        <w:t>9</w:t>
      </w:r>
      <w:r w:rsidR="009C6546" w:rsidRPr="001C63A4">
        <w:rPr>
          <w:rFonts w:eastAsia="標楷體"/>
          <w:sz w:val="26"/>
        </w:rPr>
        <w:t>,</w:t>
      </w:r>
      <w:r w:rsidR="00DE1E6B" w:rsidRPr="001C63A4">
        <w:rPr>
          <w:rFonts w:eastAsia="標楷體" w:hint="eastAsia"/>
          <w:sz w:val="26"/>
        </w:rPr>
        <w:t>248</w:t>
      </w:r>
      <w:r w:rsidR="009C6546" w:rsidRPr="001C63A4">
        <w:rPr>
          <w:rFonts w:eastAsia="標楷體"/>
          <w:sz w:val="26"/>
        </w:rPr>
        <w:t xml:space="preserve"> </w:t>
      </w:r>
      <w:r w:rsidR="00BF3C70">
        <w:rPr>
          <w:rFonts w:eastAsia="標楷體" w:hint="eastAsia"/>
          <w:sz w:val="26"/>
        </w:rPr>
        <w:t xml:space="preserve">clinics, 420 for </w:t>
      </w:r>
      <w:r w:rsidR="00CC6023" w:rsidRPr="001C63A4">
        <w:rPr>
          <w:rFonts w:eastAsia="標楷體" w:hint="eastAsia"/>
          <w:sz w:val="26"/>
        </w:rPr>
        <w:t>public</w:t>
      </w:r>
      <w:r w:rsidR="009C6546" w:rsidRPr="001C63A4">
        <w:rPr>
          <w:rFonts w:eastAsia="標楷體"/>
          <w:sz w:val="26"/>
        </w:rPr>
        <w:t xml:space="preserve"> and 18,</w:t>
      </w:r>
      <w:r w:rsidR="00DE1E6B" w:rsidRPr="001C63A4">
        <w:rPr>
          <w:rFonts w:eastAsia="標楷體" w:hint="eastAsia"/>
          <w:sz w:val="26"/>
        </w:rPr>
        <w:t>828</w:t>
      </w:r>
      <w:r w:rsidR="009C6546" w:rsidRPr="001C63A4">
        <w:rPr>
          <w:rFonts w:eastAsia="標楷體"/>
          <w:sz w:val="26"/>
        </w:rPr>
        <w:t xml:space="preserve"> </w:t>
      </w:r>
      <w:r w:rsidR="00BF3C70">
        <w:rPr>
          <w:rFonts w:eastAsia="標楷體" w:hint="eastAsia"/>
          <w:sz w:val="26"/>
        </w:rPr>
        <w:t>for non-public</w:t>
      </w:r>
      <w:r w:rsidR="009C6546" w:rsidRPr="001C63A4">
        <w:rPr>
          <w:rFonts w:eastAsia="標楷體"/>
          <w:sz w:val="26"/>
        </w:rPr>
        <w:t>.</w:t>
      </w:r>
    </w:p>
    <w:p w:rsidR="00F270DC" w:rsidRPr="001C63A4" w:rsidRDefault="00A84F37" w:rsidP="004F0C26">
      <w:pPr>
        <w:pStyle w:val="a9"/>
        <w:spacing w:beforeLines="50" w:afterLines="100" w:line="420" w:lineRule="exact"/>
        <w:ind w:leftChars="0" w:left="510" w:firstLineChars="235" w:firstLine="611"/>
        <w:jc w:val="both"/>
        <w:rPr>
          <w:rFonts w:eastAsia="標楷體"/>
          <w:sz w:val="26"/>
        </w:rPr>
      </w:pPr>
      <w:r w:rsidRPr="001C63A4">
        <w:rPr>
          <w:rFonts w:eastAsia="標楷體"/>
          <w:sz w:val="26"/>
          <w:szCs w:val="26"/>
        </w:rPr>
        <w:t>Compared to 200</w:t>
      </w:r>
      <w:r w:rsidR="00DE1E6B" w:rsidRPr="001C63A4">
        <w:rPr>
          <w:rFonts w:eastAsia="標楷體" w:hint="eastAsia"/>
          <w:sz w:val="26"/>
          <w:szCs w:val="26"/>
        </w:rPr>
        <w:t>1</w:t>
      </w:r>
      <w:r w:rsidRPr="001C63A4">
        <w:rPr>
          <w:rFonts w:eastAsia="標楷體"/>
          <w:sz w:val="26"/>
          <w:szCs w:val="26"/>
        </w:rPr>
        <w:t>, the Northern, Taipei</w:t>
      </w:r>
      <w:r w:rsidR="00DE1E6B" w:rsidRPr="001C63A4">
        <w:rPr>
          <w:rFonts w:eastAsia="標楷體" w:hint="eastAsia"/>
          <w:sz w:val="26"/>
          <w:szCs w:val="26"/>
        </w:rPr>
        <w:t xml:space="preserve"> and </w:t>
      </w:r>
      <w:r w:rsidRPr="001C63A4">
        <w:rPr>
          <w:rFonts w:eastAsia="標楷體"/>
          <w:sz w:val="26"/>
          <w:szCs w:val="26"/>
        </w:rPr>
        <w:t xml:space="preserve">Southern </w:t>
      </w:r>
      <w:r w:rsidR="00826527" w:rsidRPr="001C63A4">
        <w:rPr>
          <w:rFonts w:eastAsia="標楷體" w:hint="eastAsia"/>
          <w:sz w:val="26"/>
          <w:szCs w:val="26"/>
        </w:rPr>
        <w:t>Divisions</w:t>
      </w:r>
      <w:r w:rsidRPr="001C63A4">
        <w:rPr>
          <w:rFonts w:eastAsia="標楷體"/>
          <w:sz w:val="26"/>
          <w:szCs w:val="26"/>
        </w:rPr>
        <w:t xml:space="preserve"> exhibited positive trends in both increase of contracted medical care institutions and share of contracted medical care institutions; the Northern </w:t>
      </w:r>
      <w:r w:rsidR="00826527" w:rsidRPr="001C63A4">
        <w:rPr>
          <w:rFonts w:eastAsia="標楷體" w:hint="eastAsia"/>
          <w:sz w:val="26"/>
          <w:szCs w:val="26"/>
        </w:rPr>
        <w:t>Division</w:t>
      </w:r>
      <w:r w:rsidRPr="001C63A4">
        <w:rPr>
          <w:rFonts w:eastAsia="標楷體"/>
          <w:sz w:val="26"/>
          <w:szCs w:val="26"/>
        </w:rPr>
        <w:t xml:space="preserve"> had the highest increase in number of contracted medical care institutions at </w:t>
      </w:r>
      <w:proofErr w:type="gramStart"/>
      <w:r w:rsidRPr="001C63A4">
        <w:rPr>
          <w:rFonts w:eastAsia="標楷體"/>
          <w:sz w:val="26"/>
          <w:szCs w:val="26"/>
        </w:rPr>
        <w:t>1.3x</w:t>
      </w:r>
      <w:proofErr w:type="gramEnd"/>
      <w:r w:rsidRPr="001C63A4">
        <w:rPr>
          <w:rFonts w:eastAsia="標楷體"/>
          <w:sz w:val="26"/>
          <w:szCs w:val="26"/>
        </w:rPr>
        <w:t xml:space="preserve"> of the number in 200</w:t>
      </w:r>
      <w:r w:rsidR="00DE1E6B" w:rsidRPr="001C63A4">
        <w:rPr>
          <w:rFonts w:eastAsia="標楷體" w:hint="eastAsia"/>
          <w:sz w:val="26"/>
          <w:szCs w:val="26"/>
        </w:rPr>
        <w:t>1</w:t>
      </w:r>
      <w:r w:rsidRPr="001C63A4">
        <w:rPr>
          <w:rFonts w:eastAsia="標楷體"/>
          <w:sz w:val="26"/>
          <w:szCs w:val="26"/>
        </w:rPr>
        <w:t xml:space="preserve"> and in share of contracted medical care institutions at 0.</w:t>
      </w:r>
      <w:r w:rsidR="00DE1E6B" w:rsidRPr="001C63A4">
        <w:rPr>
          <w:rFonts w:eastAsia="標楷體" w:hint="eastAsia"/>
          <w:sz w:val="26"/>
          <w:szCs w:val="26"/>
        </w:rPr>
        <w:t>9</w:t>
      </w:r>
      <w:r w:rsidRPr="001C63A4">
        <w:rPr>
          <w:rFonts w:eastAsia="標楷體"/>
          <w:sz w:val="26"/>
          <w:szCs w:val="26"/>
        </w:rPr>
        <w:t xml:space="preserve"> percentage points. On the other hand, the </w:t>
      </w:r>
      <w:r w:rsidR="00DE1E6B" w:rsidRPr="001C63A4">
        <w:rPr>
          <w:rFonts w:eastAsia="標楷體" w:hint="eastAsia"/>
          <w:sz w:val="26"/>
          <w:szCs w:val="26"/>
        </w:rPr>
        <w:t xml:space="preserve">Eastern, </w:t>
      </w:r>
      <w:proofErr w:type="spellStart"/>
      <w:r w:rsidR="00826527" w:rsidRPr="001C63A4">
        <w:rPr>
          <w:rFonts w:eastAsia="標楷體"/>
          <w:sz w:val="26"/>
          <w:szCs w:val="26"/>
        </w:rPr>
        <w:t>Kao</w:t>
      </w:r>
      <w:r w:rsidRPr="001C63A4">
        <w:rPr>
          <w:rFonts w:eastAsia="標楷體"/>
          <w:sz w:val="26"/>
          <w:szCs w:val="26"/>
        </w:rPr>
        <w:t>Ping</w:t>
      </w:r>
      <w:proofErr w:type="spellEnd"/>
      <w:r w:rsidR="00DE1E6B" w:rsidRPr="001C63A4">
        <w:rPr>
          <w:rFonts w:eastAsia="標楷體" w:hint="eastAsia"/>
          <w:sz w:val="26"/>
          <w:szCs w:val="26"/>
        </w:rPr>
        <w:t>,</w:t>
      </w:r>
      <w:r w:rsidR="000E557B" w:rsidRPr="001C63A4">
        <w:rPr>
          <w:rFonts w:eastAsia="標楷體" w:hint="eastAsia"/>
          <w:sz w:val="26"/>
          <w:szCs w:val="26"/>
        </w:rPr>
        <w:t xml:space="preserve"> and Central</w:t>
      </w:r>
      <w:r w:rsidRPr="001C63A4">
        <w:rPr>
          <w:rFonts w:eastAsia="標楷體"/>
          <w:sz w:val="26"/>
          <w:szCs w:val="26"/>
        </w:rPr>
        <w:t xml:space="preserve"> </w:t>
      </w:r>
      <w:r w:rsidR="00826527" w:rsidRPr="001C63A4">
        <w:rPr>
          <w:rFonts w:eastAsia="標楷體" w:hint="eastAsia"/>
          <w:sz w:val="26"/>
          <w:szCs w:val="26"/>
        </w:rPr>
        <w:t>Divisions</w:t>
      </w:r>
      <w:r w:rsidRPr="001C63A4">
        <w:rPr>
          <w:rFonts w:eastAsia="標楷體"/>
          <w:sz w:val="26"/>
          <w:szCs w:val="26"/>
        </w:rPr>
        <w:t xml:space="preserve"> exhibited negative trends in share</w:t>
      </w:r>
      <w:r w:rsidR="00F270DC" w:rsidRPr="001C63A4">
        <w:rPr>
          <w:rFonts w:eastAsia="標楷體"/>
          <w:sz w:val="26"/>
          <w:szCs w:val="26"/>
        </w:rPr>
        <w:t xml:space="preserve"> </w:t>
      </w:r>
      <w:r w:rsidR="00F270DC" w:rsidRPr="001C63A4">
        <w:rPr>
          <w:rFonts w:eastAsia="標楷體" w:hint="eastAsia"/>
          <w:sz w:val="26"/>
          <w:szCs w:val="26"/>
        </w:rPr>
        <w:t xml:space="preserve">of contracted medical care institutions; </w:t>
      </w:r>
      <w:r w:rsidR="00F270DC" w:rsidRPr="001C63A4">
        <w:rPr>
          <w:rFonts w:eastAsia="標楷體"/>
          <w:sz w:val="26"/>
          <w:szCs w:val="26"/>
        </w:rPr>
        <w:t xml:space="preserve">the </w:t>
      </w:r>
      <w:r w:rsidR="00B314D4" w:rsidRPr="001C63A4">
        <w:rPr>
          <w:rFonts w:eastAsia="標楷體" w:hint="eastAsia"/>
          <w:sz w:val="26"/>
          <w:szCs w:val="26"/>
        </w:rPr>
        <w:t>Central</w:t>
      </w:r>
      <w:r w:rsidR="00F270DC" w:rsidRPr="001C63A4">
        <w:rPr>
          <w:rFonts w:eastAsia="標楷體"/>
          <w:sz w:val="26"/>
          <w:szCs w:val="26"/>
        </w:rPr>
        <w:t xml:space="preserve"> </w:t>
      </w:r>
      <w:r w:rsidR="00826527" w:rsidRPr="001C63A4">
        <w:rPr>
          <w:rFonts w:eastAsia="標楷體" w:hint="eastAsia"/>
          <w:sz w:val="26"/>
          <w:szCs w:val="26"/>
        </w:rPr>
        <w:t>Division</w:t>
      </w:r>
      <w:r w:rsidR="00F270DC" w:rsidRPr="001C63A4">
        <w:rPr>
          <w:rFonts w:eastAsia="標楷體" w:hint="eastAsia"/>
          <w:sz w:val="26"/>
          <w:szCs w:val="26"/>
        </w:rPr>
        <w:t xml:space="preserve"> had the highest decrease at </w:t>
      </w:r>
      <w:r w:rsidR="00B314D4" w:rsidRPr="001C63A4">
        <w:rPr>
          <w:rFonts w:eastAsia="標楷體" w:hint="eastAsia"/>
          <w:sz w:val="26"/>
          <w:szCs w:val="26"/>
        </w:rPr>
        <w:t>0.</w:t>
      </w:r>
      <w:r w:rsidR="000E557B" w:rsidRPr="001C63A4">
        <w:rPr>
          <w:rFonts w:eastAsia="標楷體" w:hint="eastAsia"/>
          <w:sz w:val="26"/>
          <w:szCs w:val="26"/>
        </w:rPr>
        <w:t>9</w:t>
      </w:r>
      <w:r w:rsidR="00F270DC" w:rsidRPr="001C63A4">
        <w:rPr>
          <w:rFonts w:eastAsia="標楷體" w:hint="eastAsia"/>
          <w:sz w:val="26"/>
          <w:szCs w:val="26"/>
        </w:rPr>
        <w:t xml:space="preserve"> percentage points.</w:t>
      </w:r>
    </w:p>
    <w:p w:rsidR="00DD0F64" w:rsidRPr="001C63A4" w:rsidRDefault="00A16198" w:rsidP="004F0C26">
      <w:pPr>
        <w:adjustRightInd/>
        <w:spacing w:beforeLines="100" w:line="240" w:lineRule="auto"/>
        <w:ind w:leftChars="236" w:left="566"/>
        <w:jc w:val="center"/>
        <w:textAlignment w:val="auto"/>
        <w:rPr>
          <w:rFonts w:eastAsia="標楷體"/>
          <w:sz w:val="26"/>
        </w:rPr>
      </w:pPr>
      <w:r w:rsidRPr="00A16198">
        <w:rPr>
          <w:rFonts w:eastAsia="標楷體"/>
          <w:noProof/>
          <w:sz w:val="26"/>
        </w:rPr>
        <w:lastRenderedPageBreak/>
        <w:drawing>
          <wp:inline distT="0" distB="0" distL="0" distR="0">
            <wp:extent cx="5486400" cy="3838754"/>
            <wp:effectExtent l="0" t="0" r="0" b="0"/>
            <wp:docPr id="1" name="圖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75655" w:rsidRPr="001C63A4" w:rsidRDefault="00464363" w:rsidP="00464363">
      <w:pPr>
        <w:spacing w:before="200" w:line="360" w:lineRule="exact"/>
        <w:ind w:leftChars="118" w:left="283"/>
        <w:jc w:val="both"/>
        <w:rPr>
          <w:rFonts w:eastAsia="標楷體"/>
          <w:b/>
          <w:sz w:val="26"/>
        </w:rPr>
      </w:pPr>
      <w:r w:rsidRPr="001C63A4">
        <w:rPr>
          <w:rFonts w:eastAsia="標楷體" w:hint="eastAsia"/>
          <w:b/>
          <w:sz w:val="26"/>
        </w:rPr>
        <w:t>ii</w:t>
      </w:r>
      <w:r w:rsidR="00407DF2" w:rsidRPr="001C63A4">
        <w:rPr>
          <w:rFonts w:eastAsia="標楷體" w:hint="eastAsia"/>
          <w:b/>
          <w:sz w:val="26"/>
        </w:rPr>
        <w:t>.</w:t>
      </w:r>
      <w:r w:rsidR="007546DC" w:rsidRPr="001C63A4">
        <w:rPr>
          <w:rFonts w:eastAsia="標楷體" w:hint="eastAsia"/>
          <w:b/>
          <w:sz w:val="26"/>
        </w:rPr>
        <w:t xml:space="preserve"> </w:t>
      </w:r>
      <w:r w:rsidR="00775655" w:rsidRPr="001C63A4">
        <w:rPr>
          <w:rFonts w:eastAsia="標楷體"/>
          <w:b/>
          <w:sz w:val="26"/>
        </w:rPr>
        <w:t xml:space="preserve">Contracted Pharmacies and </w:t>
      </w:r>
      <w:r w:rsidR="007546DC" w:rsidRPr="001C63A4">
        <w:rPr>
          <w:rFonts w:eastAsia="標楷體" w:hint="eastAsia"/>
          <w:b/>
          <w:sz w:val="26"/>
        </w:rPr>
        <w:t>O</w:t>
      </w:r>
      <w:r w:rsidR="00775655" w:rsidRPr="001C63A4">
        <w:rPr>
          <w:rFonts w:eastAsia="標楷體"/>
          <w:b/>
          <w:sz w:val="26"/>
        </w:rPr>
        <w:t>ther Medical Care Institutions</w:t>
      </w:r>
    </w:p>
    <w:p w:rsidR="00775655" w:rsidRPr="001C63A4" w:rsidRDefault="007546DC" w:rsidP="004F0C26">
      <w:pPr>
        <w:pStyle w:val="a9"/>
        <w:spacing w:beforeLines="50" w:afterLines="100" w:line="360" w:lineRule="exact"/>
        <w:ind w:leftChars="0" w:left="567"/>
        <w:jc w:val="both"/>
        <w:rPr>
          <w:rFonts w:eastAsia="標楷體"/>
          <w:b/>
          <w:sz w:val="26"/>
        </w:rPr>
      </w:pPr>
      <w:r w:rsidRPr="001C63A4">
        <w:rPr>
          <w:rFonts w:eastAsia="標楷體"/>
          <w:b/>
          <w:sz w:val="26"/>
        </w:rPr>
        <w:t xml:space="preserve">The average annual increases were </w:t>
      </w:r>
      <w:r w:rsidR="00173578" w:rsidRPr="001C63A4">
        <w:rPr>
          <w:rFonts w:eastAsia="標楷體" w:hint="eastAsia"/>
          <w:b/>
          <w:sz w:val="26"/>
        </w:rPr>
        <w:t>5.8</w:t>
      </w:r>
      <w:r w:rsidRPr="001C63A4">
        <w:rPr>
          <w:rFonts w:eastAsia="標楷體"/>
          <w:b/>
          <w:sz w:val="26"/>
        </w:rPr>
        <w:t xml:space="preserve">% for pharmacies and </w:t>
      </w:r>
      <w:r w:rsidR="00173578" w:rsidRPr="001C63A4">
        <w:rPr>
          <w:rFonts w:eastAsia="標楷體" w:hint="eastAsia"/>
          <w:b/>
          <w:sz w:val="26"/>
        </w:rPr>
        <w:t>3.8</w:t>
      </w:r>
      <w:r w:rsidRPr="001C63A4">
        <w:rPr>
          <w:rFonts w:eastAsia="標楷體"/>
          <w:b/>
          <w:sz w:val="26"/>
        </w:rPr>
        <w:t>% for other medical care institutions from 200</w:t>
      </w:r>
      <w:r w:rsidR="00173578" w:rsidRPr="001C63A4">
        <w:rPr>
          <w:rFonts w:eastAsia="標楷體" w:hint="eastAsia"/>
          <w:b/>
          <w:sz w:val="26"/>
        </w:rPr>
        <w:t>1</w:t>
      </w:r>
      <w:r w:rsidRPr="001C63A4">
        <w:rPr>
          <w:rFonts w:eastAsia="標楷體"/>
          <w:b/>
          <w:sz w:val="26"/>
        </w:rPr>
        <w:t>–201</w:t>
      </w:r>
      <w:r w:rsidR="00173578" w:rsidRPr="001C63A4">
        <w:rPr>
          <w:rFonts w:eastAsia="標楷體" w:hint="eastAsia"/>
          <w:b/>
          <w:sz w:val="26"/>
        </w:rPr>
        <w:t>1</w:t>
      </w:r>
      <w:r w:rsidR="00775655" w:rsidRPr="001C63A4">
        <w:rPr>
          <w:rFonts w:eastAsia="標楷體"/>
          <w:b/>
          <w:sz w:val="26"/>
        </w:rPr>
        <w:t>.</w:t>
      </w:r>
    </w:p>
    <w:p w:rsidR="00F50245" w:rsidRPr="001C63A4" w:rsidRDefault="00B30AE2" w:rsidP="004F0C26">
      <w:pPr>
        <w:pStyle w:val="a9"/>
        <w:spacing w:beforeLines="50" w:afterLines="100" w:line="400" w:lineRule="exact"/>
        <w:ind w:leftChars="0" w:left="510" w:firstLineChars="235" w:firstLine="611"/>
        <w:jc w:val="both"/>
        <w:rPr>
          <w:rFonts w:eastAsia="標楷體"/>
          <w:sz w:val="26"/>
        </w:rPr>
      </w:pPr>
      <w:r w:rsidRPr="001C63A4">
        <w:rPr>
          <w:rFonts w:eastAsia="標楷體"/>
          <w:sz w:val="26"/>
        </w:rPr>
        <w:t>By the end of 201</w:t>
      </w:r>
      <w:r w:rsidR="00173578" w:rsidRPr="001C63A4">
        <w:rPr>
          <w:rFonts w:eastAsia="標楷體" w:hint="eastAsia"/>
          <w:sz w:val="26"/>
        </w:rPr>
        <w:t>1</w:t>
      </w:r>
      <w:r w:rsidRPr="001C63A4">
        <w:rPr>
          <w:rFonts w:eastAsia="標楷體"/>
          <w:sz w:val="26"/>
        </w:rPr>
        <w:t xml:space="preserve">, the number of pharmacies </w:t>
      </w:r>
      <w:r w:rsidR="00C8502D">
        <w:rPr>
          <w:rFonts w:eastAsia="標楷體" w:hint="eastAsia"/>
          <w:sz w:val="26"/>
        </w:rPr>
        <w:t xml:space="preserve">was 5,037, an </w:t>
      </w:r>
      <w:r w:rsidRPr="001C63A4">
        <w:rPr>
          <w:rFonts w:eastAsia="標楷體"/>
          <w:sz w:val="26"/>
        </w:rPr>
        <w:t xml:space="preserve">increase </w:t>
      </w:r>
      <w:r w:rsidR="00C8502D">
        <w:rPr>
          <w:rFonts w:eastAsia="標楷體" w:hint="eastAsia"/>
          <w:sz w:val="26"/>
        </w:rPr>
        <w:t>of</w:t>
      </w:r>
      <w:r w:rsidRPr="001C63A4">
        <w:rPr>
          <w:rFonts w:eastAsia="標楷體"/>
          <w:sz w:val="26"/>
        </w:rPr>
        <w:t xml:space="preserve"> </w:t>
      </w:r>
      <w:r w:rsidR="00173578" w:rsidRPr="001C63A4">
        <w:rPr>
          <w:rFonts w:eastAsia="標楷體" w:hint="eastAsia"/>
          <w:sz w:val="26"/>
        </w:rPr>
        <w:t>331</w:t>
      </w:r>
      <w:r w:rsidRPr="001C63A4">
        <w:rPr>
          <w:rFonts w:eastAsia="標楷體"/>
          <w:sz w:val="26"/>
        </w:rPr>
        <w:t xml:space="preserve"> from the end of the previous year</w:t>
      </w:r>
      <w:r w:rsidR="00C8502D">
        <w:rPr>
          <w:rFonts w:eastAsia="標楷體" w:hint="eastAsia"/>
          <w:sz w:val="26"/>
        </w:rPr>
        <w:t>.</w:t>
      </w:r>
      <w:r w:rsidRPr="001C63A4">
        <w:rPr>
          <w:rFonts w:eastAsia="標楷體"/>
          <w:sz w:val="26"/>
        </w:rPr>
        <w:t xml:space="preserve"> </w:t>
      </w:r>
      <w:r w:rsidR="00C8502D">
        <w:rPr>
          <w:rFonts w:eastAsia="標楷體" w:hint="eastAsia"/>
          <w:sz w:val="26"/>
        </w:rPr>
        <w:t>The</w:t>
      </w:r>
      <w:r w:rsidRPr="001C63A4">
        <w:rPr>
          <w:rFonts w:eastAsia="標楷體"/>
          <w:sz w:val="26"/>
        </w:rPr>
        <w:t xml:space="preserve"> average annual increase </w:t>
      </w:r>
      <w:r w:rsidR="00C8502D">
        <w:rPr>
          <w:rFonts w:eastAsia="標楷體" w:hint="eastAsia"/>
          <w:sz w:val="26"/>
        </w:rPr>
        <w:t>in the most recent 10 years was</w:t>
      </w:r>
      <w:r w:rsidRPr="001C63A4">
        <w:rPr>
          <w:rFonts w:eastAsia="標楷體"/>
          <w:sz w:val="26"/>
        </w:rPr>
        <w:t xml:space="preserve"> </w:t>
      </w:r>
      <w:r w:rsidR="00173578" w:rsidRPr="001C63A4">
        <w:rPr>
          <w:rFonts w:eastAsia="標楷體" w:hint="eastAsia"/>
          <w:sz w:val="26"/>
        </w:rPr>
        <w:t>5.8</w:t>
      </w:r>
      <w:r w:rsidRPr="001C63A4">
        <w:rPr>
          <w:rFonts w:eastAsia="標楷體"/>
          <w:sz w:val="26"/>
        </w:rPr>
        <w:t xml:space="preserve">%. In terms of </w:t>
      </w:r>
      <w:r w:rsidR="00A751AF" w:rsidRPr="001C63A4">
        <w:rPr>
          <w:rFonts w:eastAsia="標楷體"/>
          <w:sz w:val="26"/>
        </w:rPr>
        <w:t>NHI Regional Division</w:t>
      </w:r>
      <w:r w:rsidRPr="001C63A4">
        <w:rPr>
          <w:rFonts w:eastAsia="標楷體"/>
          <w:sz w:val="26"/>
        </w:rPr>
        <w:t xml:space="preserve">, the Taipei </w:t>
      </w:r>
      <w:r w:rsidR="00A751AF" w:rsidRPr="001C63A4">
        <w:rPr>
          <w:rFonts w:eastAsia="標楷體"/>
          <w:sz w:val="26"/>
        </w:rPr>
        <w:t>Division</w:t>
      </w:r>
      <w:r w:rsidRPr="001C63A4">
        <w:rPr>
          <w:rFonts w:eastAsia="標楷體"/>
          <w:sz w:val="26"/>
        </w:rPr>
        <w:t xml:space="preserve"> had the largest number of contracted pharmacies at 1,</w:t>
      </w:r>
      <w:r w:rsidR="00173578" w:rsidRPr="001C63A4">
        <w:rPr>
          <w:rFonts w:eastAsia="標楷體" w:hint="eastAsia"/>
          <w:sz w:val="26"/>
        </w:rPr>
        <w:t>693</w:t>
      </w:r>
      <w:r w:rsidRPr="001C63A4">
        <w:rPr>
          <w:rFonts w:eastAsia="標楷體"/>
          <w:sz w:val="26"/>
        </w:rPr>
        <w:t xml:space="preserve"> (33.</w:t>
      </w:r>
      <w:r w:rsidR="00173578" w:rsidRPr="001C63A4">
        <w:rPr>
          <w:rFonts w:eastAsia="標楷體" w:hint="eastAsia"/>
          <w:sz w:val="26"/>
        </w:rPr>
        <w:t>6</w:t>
      </w:r>
      <w:r w:rsidRPr="001C63A4">
        <w:rPr>
          <w:rFonts w:eastAsia="標楷體"/>
          <w:sz w:val="26"/>
        </w:rPr>
        <w:t xml:space="preserve">%), followed by the Central </w:t>
      </w:r>
      <w:r w:rsidR="00A751AF" w:rsidRPr="001C63A4">
        <w:rPr>
          <w:rFonts w:eastAsia="標楷體"/>
          <w:sz w:val="26"/>
        </w:rPr>
        <w:t>Division</w:t>
      </w:r>
      <w:r w:rsidRPr="001C63A4">
        <w:rPr>
          <w:rFonts w:eastAsia="標楷體"/>
          <w:sz w:val="26"/>
        </w:rPr>
        <w:t xml:space="preserve"> at </w:t>
      </w:r>
      <w:r w:rsidR="00173578" w:rsidRPr="001C63A4">
        <w:rPr>
          <w:rFonts w:eastAsia="標楷體" w:hint="eastAsia"/>
          <w:sz w:val="26"/>
        </w:rPr>
        <w:t>937</w:t>
      </w:r>
      <w:r w:rsidRPr="001C63A4">
        <w:rPr>
          <w:rFonts w:eastAsia="標楷體"/>
          <w:sz w:val="26"/>
        </w:rPr>
        <w:t xml:space="preserve"> (18.</w:t>
      </w:r>
      <w:r w:rsidR="00173578" w:rsidRPr="001C63A4">
        <w:rPr>
          <w:rFonts w:eastAsia="標楷體" w:hint="eastAsia"/>
          <w:sz w:val="26"/>
        </w:rPr>
        <w:t>6</w:t>
      </w:r>
      <w:r w:rsidRPr="001C63A4">
        <w:rPr>
          <w:rFonts w:eastAsia="標楷體"/>
          <w:sz w:val="26"/>
        </w:rPr>
        <w:t xml:space="preserve">%) and the Southern </w:t>
      </w:r>
      <w:r w:rsidR="00A751AF" w:rsidRPr="001C63A4">
        <w:rPr>
          <w:rFonts w:eastAsia="標楷體"/>
          <w:sz w:val="26"/>
        </w:rPr>
        <w:t>Division</w:t>
      </w:r>
      <w:r w:rsidRPr="001C63A4">
        <w:rPr>
          <w:rFonts w:eastAsia="標楷體"/>
          <w:sz w:val="26"/>
        </w:rPr>
        <w:t xml:space="preserve"> at </w:t>
      </w:r>
      <w:r w:rsidR="00173578" w:rsidRPr="001C63A4">
        <w:rPr>
          <w:rFonts w:eastAsia="標楷體" w:hint="eastAsia"/>
          <w:sz w:val="26"/>
        </w:rPr>
        <w:t>848</w:t>
      </w:r>
      <w:r w:rsidRPr="001C63A4">
        <w:rPr>
          <w:rFonts w:eastAsia="標楷體"/>
          <w:sz w:val="26"/>
        </w:rPr>
        <w:t xml:space="preserve"> (16.</w:t>
      </w:r>
      <w:r w:rsidR="00173578" w:rsidRPr="001C63A4">
        <w:rPr>
          <w:rFonts w:eastAsia="標楷體" w:hint="eastAsia"/>
          <w:sz w:val="26"/>
        </w:rPr>
        <w:t>8</w:t>
      </w:r>
      <w:r w:rsidRPr="001C63A4">
        <w:rPr>
          <w:rFonts w:eastAsia="標楷體"/>
          <w:sz w:val="26"/>
        </w:rPr>
        <w:t xml:space="preserve">%). In terms of city/county, New Taipei City had the largest number of contracted pharmacies at </w:t>
      </w:r>
      <w:r w:rsidR="00173578" w:rsidRPr="001C63A4">
        <w:rPr>
          <w:rFonts w:eastAsia="標楷體" w:hint="eastAsia"/>
          <w:sz w:val="26"/>
        </w:rPr>
        <w:t>889</w:t>
      </w:r>
      <w:r w:rsidRPr="001C63A4">
        <w:rPr>
          <w:rFonts w:eastAsia="標楷體"/>
          <w:sz w:val="26"/>
        </w:rPr>
        <w:t xml:space="preserve">, followed by Taipei City at </w:t>
      </w:r>
      <w:r w:rsidR="00173578" w:rsidRPr="001C63A4">
        <w:rPr>
          <w:rFonts w:eastAsia="標楷體" w:hint="eastAsia"/>
          <w:sz w:val="26"/>
        </w:rPr>
        <w:t>624</w:t>
      </w:r>
      <w:r w:rsidRPr="001C63A4">
        <w:rPr>
          <w:rFonts w:eastAsia="標楷體"/>
          <w:sz w:val="26"/>
        </w:rPr>
        <w:t xml:space="preserve"> and </w:t>
      </w:r>
      <w:r w:rsidR="00173578" w:rsidRPr="001C63A4">
        <w:rPr>
          <w:rFonts w:eastAsia="標楷體" w:hint="eastAsia"/>
          <w:sz w:val="26"/>
        </w:rPr>
        <w:t>Taichung City</w:t>
      </w:r>
      <w:r w:rsidRPr="001C63A4">
        <w:rPr>
          <w:rFonts w:eastAsia="標楷體"/>
          <w:sz w:val="26"/>
        </w:rPr>
        <w:t xml:space="preserve"> at </w:t>
      </w:r>
      <w:r w:rsidR="00173578" w:rsidRPr="001C63A4">
        <w:rPr>
          <w:rFonts w:eastAsia="標楷體" w:hint="eastAsia"/>
          <w:sz w:val="26"/>
        </w:rPr>
        <w:t>589</w:t>
      </w:r>
      <w:r w:rsidRPr="001C63A4">
        <w:rPr>
          <w:rFonts w:eastAsia="標楷體"/>
          <w:sz w:val="26"/>
        </w:rPr>
        <w:t xml:space="preserve">; the </w:t>
      </w:r>
      <w:proofErr w:type="spellStart"/>
      <w:r w:rsidRPr="001C63A4">
        <w:rPr>
          <w:rFonts w:eastAsia="標楷體"/>
          <w:sz w:val="26"/>
        </w:rPr>
        <w:t>Kinma</w:t>
      </w:r>
      <w:proofErr w:type="spellEnd"/>
      <w:r w:rsidRPr="001C63A4">
        <w:rPr>
          <w:rFonts w:eastAsia="標楷體"/>
          <w:sz w:val="26"/>
        </w:rPr>
        <w:t xml:space="preserve"> area had only two pharmacies</w:t>
      </w:r>
      <w:r w:rsidR="00775655" w:rsidRPr="001C63A4">
        <w:rPr>
          <w:rFonts w:eastAsia="標楷體"/>
          <w:sz w:val="26"/>
        </w:rPr>
        <w:t>.</w:t>
      </w:r>
    </w:p>
    <w:p w:rsidR="00775655" w:rsidRPr="001C63A4" w:rsidRDefault="00775655" w:rsidP="004F0C26">
      <w:pPr>
        <w:pStyle w:val="a9"/>
        <w:spacing w:beforeLines="50" w:afterLines="100" w:line="400" w:lineRule="exact"/>
        <w:ind w:leftChars="0" w:left="510" w:firstLineChars="235" w:firstLine="611"/>
        <w:jc w:val="both"/>
        <w:rPr>
          <w:rFonts w:eastAsia="標楷體"/>
          <w:sz w:val="26"/>
        </w:rPr>
      </w:pPr>
      <w:r w:rsidRPr="001C63A4">
        <w:rPr>
          <w:rFonts w:eastAsia="標楷體"/>
          <w:sz w:val="26"/>
        </w:rPr>
        <w:t xml:space="preserve">The number of other medical care institutions increased by </w:t>
      </w:r>
      <w:r w:rsidR="00173578" w:rsidRPr="001C63A4">
        <w:rPr>
          <w:rFonts w:eastAsia="標楷體" w:hint="eastAsia"/>
          <w:sz w:val="26"/>
        </w:rPr>
        <w:t>10</w:t>
      </w:r>
      <w:r w:rsidRPr="001C63A4">
        <w:rPr>
          <w:rFonts w:eastAsia="標楷體"/>
          <w:sz w:val="26"/>
        </w:rPr>
        <w:t xml:space="preserve"> from the previous year</w:t>
      </w:r>
      <w:r w:rsidR="00C8502D">
        <w:rPr>
          <w:rFonts w:eastAsia="標楷體" w:hint="eastAsia"/>
          <w:sz w:val="26"/>
        </w:rPr>
        <w:t>.</w:t>
      </w:r>
      <w:r w:rsidRPr="001C63A4">
        <w:rPr>
          <w:rFonts w:eastAsia="標楷體"/>
          <w:sz w:val="26"/>
        </w:rPr>
        <w:t xml:space="preserve"> </w:t>
      </w:r>
      <w:r w:rsidR="00C8502D">
        <w:rPr>
          <w:rFonts w:eastAsia="標楷體" w:hint="eastAsia"/>
          <w:sz w:val="26"/>
        </w:rPr>
        <w:t xml:space="preserve">The </w:t>
      </w:r>
      <w:r w:rsidRPr="001C63A4">
        <w:rPr>
          <w:rFonts w:eastAsia="標楷體"/>
          <w:sz w:val="26"/>
        </w:rPr>
        <w:t>average annual increase</w:t>
      </w:r>
      <w:r w:rsidR="00C8502D">
        <w:rPr>
          <w:rFonts w:eastAsia="標楷體" w:hint="eastAsia"/>
          <w:sz w:val="26"/>
        </w:rPr>
        <w:t xml:space="preserve"> in the most recent 10 years</w:t>
      </w:r>
      <w:r w:rsidRPr="001C63A4">
        <w:rPr>
          <w:rFonts w:eastAsia="標楷體"/>
          <w:sz w:val="26"/>
        </w:rPr>
        <w:t xml:space="preserve"> </w:t>
      </w:r>
      <w:r w:rsidR="00C8502D">
        <w:rPr>
          <w:rFonts w:eastAsia="標楷體" w:hint="eastAsia"/>
          <w:sz w:val="26"/>
        </w:rPr>
        <w:t>was</w:t>
      </w:r>
      <w:r w:rsidRPr="001C63A4">
        <w:rPr>
          <w:rFonts w:eastAsia="標楷體"/>
          <w:sz w:val="26"/>
        </w:rPr>
        <w:t xml:space="preserve"> </w:t>
      </w:r>
      <w:r w:rsidR="00173578" w:rsidRPr="001C63A4">
        <w:rPr>
          <w:rFonts w:eastAsia="標楷體" w:hint="eastAsia"/>
          <w:sz w:val="26"/>
        </w:rPr>
        <w:t>3.8</w:t>
      </w:r>
      <w:r w:rsidRPr="001C63A4">
        <w:rPr>
          <w:rFonts w:eastAsia="標楷體"/>
          <w:sz w:val="26"/>
        </w:rPr>
        <w:t>%.</w:t>
      </w:r>
      <w:r w:rsidR="007C6863" w:rsidRPr="001C63A4">
        <w:rPr>
          <w:rFonts w:eastAsia="標楷體" w:hint="eastAsia"/>
          <w:sz w:val="26"/>
        </w:rPr>
        <w:t xml:space="preserve"> </w:t>
      </w:r>
      <w:r w:rsidR="007F4987" w:rsidRPr="001C63A4">
        <w:rPr>
          <w:rFonts w:eastAsia="標楷體" w:hint="eastAsia"/>
          <w:sz w:val="26"/>
        </w:rPr>
        <w:t>T</w:t>
      </w:r>
      <w:r w:rsidRPr="001C63A4">
        <w:rPr>
          <w:rFonts w:eastAsia="標楷體"/>
          <w:sz w:val="26"/>
        </w:rPr>
        <w:t xml:space="preserve">he Taipei </w:t>
      </w:r>
      <w:r w:rsidR="00FF1E28" w:rsidRPr="001C63A4">
        <w:rPr>
          <w:rFonts w:eastAsia="標楷體"/>
          <w:sz w:val="26"/>
        </w:rPr>
        <w:t>Division</w:t>
      </w:r>
      <w:r w:rsidRPr="001C63A4">
        <w:rPr>
          <w:rFonts w:eastAsia="標楷體"/>
          <w:sz w:val="26"/>
        </w:rPr>
        <w:t xml:space="preserve"> ha</w:t>
      </w:r>
      <w:r w:rsidR="003501B4" w:rsidRPr="001C63A4">
        <w:rPr>
          <w:rFonts w:eastAsia="標楷體" w:hint="eastAsia"/>
          <w:sz w:val="26"/>
        </w:rPr>
        <w:t>d</w:t>
      </w:r>
      <w:r w:rsidRPr="001C63A4">
        <w:rPr>
          <w:rFonts w:eastAsia="標楷體"/>
          <w:sz w:val="26"/>
        </w:rPr>
        <w:t xml:space="preserve"> the largest number </w:t>
      </w:r>
      <w:r w:rsidR="007F4987" w:rsidRPr="001C63A4">
        <w:rPr>
          <w:rFonts w:eastAsia="標楷體" w:hint="eastAsia"/>
          <w:sz w:val="26"/>
        </w:rPr>
        <w:t>of h</w:t>
      </w:r>
      <w:r w:rsidR="007F4987" w:rsidRPr="001C63A4">
        <w:rPr>
          <w:rFonts w:eastAsia="標楷體"/>
          <w:sz w:val="26"/>
        </w:rPr>
        <w:t xml:space="preserve">ospitals and independent home </w:t>
      </w:r>
      <w:r w:rsidR="007F4987" w:rsidRPr="001C63A4">
        <w:rPr>
          <w:rFonts w:eastAsia="標楷體" w:hint="eastAsia"/>
          <w:sz w:val="26"/>
        </w:rPr>
        <w:t xml:space="preserve">nursing </w:t>
      </w:r>
      <w:r w:rsidR="007F4987" w:rsidRPr="001C63A4">
        <w:rPr>
          <w:rFonts w:eastAsia="標楷體"/>
          <w:sz w:val="26"/>
        </w:rPr>
        <w:t>care facilities providing home nursing care</w:t>
      </w:r>
      <w:r w:rsidR="007F4987" w:rsidRPr="001C63A4">
        <w:rPr>
          <w:rFonts w:eastAsia="標楷體" w:hint="eastAsia"/>
          <w:sz w:val="26"/>
        </w:rPr>
        <w:t xml:space="preserve"> services</w:t>
      </w:r>
      <w:r w:rsidR="007F4987" w:rsidRPr="001C63A4">
        <w:rPr>
          <w:rFonts w:eastAsia="標楷體"/>
          <w:sz w:val="26"/>
        </w:rPr>
        <w:t xml:space="preserve"> </w:t>
      </w:r>
      <w:r w:rsidRPr="001C63A4">
        <w:rPr>
          <w:rFonts w:eastAsia="標楷體"/>
          <w:sz w:val="26"/>
        </w:rPr>
        <w:t>at 1</w:t>
      </w:r>
      <w:r w:rsidR="00AC5BEC" w:rsidRPr="001C63A4">
        <w:rPr>
          <w:rFonts w:eastAsia="標楷體" w:hint="eastAsia"/>
          <w:sz w:val="26"/>
        </w:rPr>
        <w:t>2</w:t>
      </w:r>
      <w:r w:rsidR="00173578" w:rsidRPr="001C63A4">
        <w:rPr>
          <w:rFonts w:eastAsia="標楷體" w:hint="eastAsia"/>
          <w:sz w:val="26"/>
        </w:rPr>
        <w:t>6</w:t>
      </w:r>
      <w:r w:rsidRPr="001C63A4">
        <w:rPr>
          <w:rFonts w:eastAsia="標楷體"/>
          <w:sz w:val="26"/>
        </w:rPr>
        <w:t xml:space="preserve">, followed by the </w:t>
      </w:r>
      <w:proofErr w:type="spellStart"/>
      <w:r w:rsidRPr="001C63A4">
        <w:rPr>
          <w:rFonts w:eastAsia="標楷體"/>
          <w:sz w:val="26"/>
        </w:rPr>
        <w:t>Kaoping</w:t>
      </w:r>
      <w:proofErr w:type="spellEnd"/>
      <w:r w:rsidRPr="001C63A4">
        <w:rPr>
          <w:rFonts w:eastAsia="標楷體"/>
          <w:sz w:val="26"/>
        </w:rPr>
        <w:t xml:space="preserve"> </w:t>
      </w:r>
      <w:r w:rsidR="00FF1E28" w:rsidRPr="001C63A4">
        <w:rPr>
          <w:rFonts w:eastAsia="標楷體"/>
          <w:sz w:val="26"/>
        </w:rPr>
        <w:t>Division</w:t>
      </w:r>
      <w:r w:rsidRPr="001C63A4">
        <w:rPr>
          <w:rFonts w:eastAsia="標楷體"/>
          <w:sz w:val="26"/>
        </w:rPr>
        <w:t xml:space="preserve"> at </w:t>
      </w:r>
      <w:r w:rsidR="00AC5BEC" w:rsidRPr="001C63A4">
        <w:rPr>
          <w:rFonts w:eastAsia="標楷體" w:hint="eastAsia"/>
          <w:sz w:val="26"/>
        </w:rPr>
        <w:t>9</w:t>
      </w:r>
      <w:r w:rsidR="00173578" w:rsidRPr="001C63A4">
        <w:rPr>
          <w:rFonts w:eastAsia="標楷體" w:hint="eastAsia"/>
          <w:sz w:val="26"/>
        </w:rPr>
        <w:t>7</w:t>
      </w:r>
      <w:r w:rsidR="0008501E" w:rsidRPr="001C63A4">
        <w:rPr>
          <w:rFonts w:eastAsia="標楷體" w:hint="eastAsia"/>
          <w:sz w:val="26"/>
        </w:rPr>
        <w:t xml:space="preserve"> </w:t>
      </w:r>
      <w:r w:rsidR="00C73C60" w:rsidRPr="001C63A4">
        <w:rPr>
          <w:rFonts w:hint="eastAsia"/>
          <w:sz w:val="26"/>
          <w:szCs w:val="26"/>
        </w:rPr>
        <w:t xml:space="preserve">and the Central </w:t>
      </w:r>
      <w:r w:rsidR="00FF1E28" w:rsidRPr="001C63A4">
        <w:rPr>
          <w:rFonts w:eastAsia="標楷體"/>
          <w:sz w:val="26"/>
        </w:rPr>
        <w:t>Division</w:t>
      </w:r>
      <w:r w:rsidR="00173578" w:rsidRPr="001C63A4">
        <w:rPr>
          <w:rFonts w:eastAsia="標楷體" w:hint="eastAsia"/>
          <w:sz w:val="26"/>
        </w:rPr>
        <w:t xml:space="preserve"> with 90</w:t>
      </w:r>
      <w:r w:rsidR="00C73C60" w:rsidRPr="001C63A4">
        <w:rPr>
          <w:rFonts w:hint="eastAsia"/>
          <w:sz w:val="26"/>
          <w:szCs w:val="26"/>
        </w:rPr>
        <w:t xml:space="preserve">. </w:t>
      </w:r>
      <w:r w:rsidR="006569A2" w:rsidRPr="001C63A4">
        <w:rPr>
          <w:rFonts w:eastAsia="標楷體"/>
          <w:sz w:val="26"/>
        </w:rPr>
        <w:t>In terms of psychiatric rehabilitation institutions</w:t>
      </w:r>
      <w:r w:rsidRPr="001C63A4">
        <w:rPr>
          <w:rFonts w:eastAsia="標楷體"/>
          <w:sz w:val="26"/>
        </w:rPr>
        <w:t xml:space="preserve">, the Taipei </w:t>
      </w:r>
      <w:r w:rsidR="00FF1E28" w:rsidRPr="001C63A4">
        <w:rPr>
          <w:rFonts w:eastAsia="標楷體"/>
          <w:sz w:val="26"/>
        </w:rPr>
        <w:t>Division</w:t>
      </w:r>
      <w:r w:rsidRPr="001C63A4">
        <w:rPr>
          <w:rFonts w:eastAsia="標楷體"/>
          <w:sz w:val="26"/>
        </w:rPr>
        <w:t xml:space="preserve"> leads with </w:t>
      </w:r>
      <w:r w:rsidR="00173578" w:rsidRPr="001C63A4">
        <w:rPr>
          <w:rFonts w:eastAsia="標楷體" w:hint="eastAsia"/>
          <w:sz w:val="26"/>
        </w:rPr>
        <w:t>72</w:t>
      </w:r>
      <w:r w:rsidRPr="001C63A4">
        <w:rPr>
          <w:rFonts w:eastAsia="標楷體"/>
          <w:sz w:val="26"/>
        </w:rPr>
        <w:t xml:space="preserve">, followed by the </w:t>
      </w:r>
      <w:r w:rsidR="00173578" w:rsidRPr="001C63A4">
        <w:rPr>
          <w:rFonts w:eastAsia="標楷體" w:hint="eastAsia"/>
          <w:sz w:val="26"/>
        </w:rPr>
        <w:t xml:space="preserve">Northern </w:t>
      </w:r>
      <w:r w:rsidR="00FF1E28" w:rsidRPr="001C63A4">
        <w:rPr>
          <w:rFonts w:eastAsia="標楷體"/>
          <w:sz w:val="26"/>
        </w:rPr>
        <w:t>Division</w:t>
      </w:r>
      <w:r w:rsidRPr="001C63A4">
        <w:rPr>
          <w:rFonts w:eastAsia="標楷體"/>
          <w:sz w:val="26"/>
        </w:rPr>
        <w:t xml:space="preserve"> with </w:t>
      </w:r>
      <w:r w:rsidR="00173578" w:rsidRPr="001C63A4">
        <w:rPr>
          <w:rFonts w:eastAsia="標楷體" w:hint="eastAsia"/>
          <w:sz w:val="26"/>
        </w:rPr>
        <w:t>29</w:t>
      </w:r>
      <w:r w:rsidRPr="001C63A4">
        <w:rPr>
          <w:rFonts w:eastAsia="標楷體"/>
          <w:sz w:val="26"/>
        </w:rPr>
        <w:t>.</w:t>
      </w:r>
    </w:p>
    <w:p w:rsidR="00775655" w:rsidRPr="001C63A4" w:rsidRDefault="00A92952" w:rsidP="00EA3653">
      <w:pPr>
        <w:kinsoku w:val="0"/>
        <w:spacing w:line="140" w:lineRule="atLeast"/>
        <w:ind w:leftChars="118" w:left="283"/>
        <w:jc w:val="center"/>
        <w:rPr>
          <w:rFonts w:eastAsia="標楷體"/>
          <w:b/>
          <w:sz w:val="26"/>
        </w:rPr>
      </w:pPr>
      <w:r w:rsidRPr="001C63A4">
        <w:rPr>
          <w:noProof/>
        </w:rPr>
        <w:lastRenderedPageBreak/>
        <w:drawing>
          <wp:inline distT="0" distB="0" distL="0" distR="0">
            <wp:extent cx="5483253" cy="1765190"/>
            <wp:effectExtent l="19050" t="0" r="0" b="0"/>
            <wp:docPr id="9" name="圖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1C63A4">
        <w:rPr>
          <w:noProof/>
        </w:rPr>
        <w:drawing>
          <wp:inline distT="0" distB="0" distL="0" distR="0">
            <wp:extent cx="5483253" cy="2186609"/>
            <wp:effectExtent l="19050" t="0" r="3147" b="0"/>
            <wp:docPr id="10" name="圖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0C160B" w:rsidRPr="001C63A4">
        <w:rPr>
          <w:noProof/>
        </w:rPr>
        <w:t xml:space="preserve"> </w:t>
      </w:r>
    </w:p>
    <w:p w:rsidR="00DD0F64" w:rsidRPr="001C63A4" w:rsidRDefault="00407DF2" w:rsidP="004F0C26">
      <w:pPr>
        <w:kinsoku w:val="0"/>
        <w:spacing w:beforeLines="150"/>
        <w:jc w:val="both"/>
        <w:rPr>
          <w:rFonts w:eastAsia="標楷體"/>
          <w:b/>
          <w:sz w:val="26"/>
        </w:rPr>
      </w:pPr>
      <w:r w:rsidRPr="001C63A4">
        <w:rPr>
          <w:rFonts w:eastAsia="標楷體" w:hint="eastAsia"/>
          <w:b/>
          <w:sz w:val="26"/>
        </w:rPr>
        <w:t>（</w:t>
      </w:r>
      <w:r w:rsidRPr="001C63A4">
        <w:rPr>
          <w:rFonts w:eastAsia="標楷體" w:hint="eastAsia"/>
          <w:b/>
          <w:sz w:val="26"/>
        </w:rPr>
        <w:t>2</w:t>
      </w:r>
      <w:r w:rsidRPr="001C63A4">
        <w:rPr>
          <w:rFonts w:eastAsia="標楷體" w:hint="eastAsia"/>
          <w:b/>
          <w:sz w:val="26"/>
        </w:rPr>
        <w:t>）</w:t>
      </w:r>
      <w:r w:rsidR="00DD0F64" w:rsidRPr="001C63A4">
        <w:rPr>
          <w:rFonts w:eastAsia="標楷體" w:hint="eastAsia"/>
          <w:b/>
          <w:sz w:val="26"/>
        </w:rPr>
        <w:t xml:space="preserve">Insured </w:t>
      </w:r>
      <w:r w:rsidR="00EE12F0" w:rsidRPr="001C63A4">
        <w:rPr>
          <w:rFonts w:eastAsia="標楷體" w:hint="eastAsia"/>
          <w:b/>
          <w:sz w:val="26"/>
        </w:rPr>
        <w:t>B</w:t>
      </w:r>
      <w:r w:rsidR="00DD0F64" w:rsidRPr="001C63A4">
        <w:rPr>
          <w:rFonts w:eastAsia="標楷體" w:hint="eastAsia"/>
          <w:b/>
          <w:sz w:val="26"/>
        </w:rPr>
        <w:t>eds</w:t>
      </w:r>
    </w:p>
    <w:p w:rsidR="003267EA" w:rsidRPr="001C63A4" w:rsidRDefault="00991E5E" w:rsidP="004F0C26">
      <w:pPr>
        <w:kinsoku w:val="0"/>
        <w:spacing w:beforeLines="50"/>
        <w:ind w:left="284"/>
        <w:jc w:val="both"/>
        <w:rPr>
          <w:rFonts w:eastAsia="標楷體"/>
          <w:b/>
          <w:sz w:val="26"/>
        </w:rPr>
      </w:pPr>
      <w:r>
        <w:rPr>
          <w:rFonts w:eastAsia="標楷體" w:hint="eastAsia"/>
          <w:b/>
          <w:spacing w:val="-4"/>
          <w:sz w:val="26"/>
        </w:rPr>
        <w:t xml:space="preserve">In the most recent 10 years, </w:t>
      </w:r>
      <w:r w:rsidR="00021733">
        <w:rPr>
          <w:rFonts w:eastAsia="標楷體" w:hint="eastAsia"/>
          <w:b/>
          <w:spacing w:val="-4"/>
          <w:sz w:val="26"/>
        </w:rPr>
        <w:t>t</w:t>
      </w:r>
      <w:r w:rsidR="003267EA" w:rsidRPr="001C63A4">
        <w:rPr>
          <w:rFonts w:eastAsia="標楷體"/>
          <w:b/>
          <w:spacing w:val="-4"/>
          <w:sz w:val="26"/>
        </w:rPr>
        <w:t xml:space="preserve">he average annual increase </w:t>
      </w:r>
      <w:r w:rsidR="00444E5D" w:rsidRPr="001C63A4">
        <w:rPr>
          <w:rFonts w:eastAsia="標楷體" w:hint="eastAsia"/>
          <w:b/>
          <w:spacing w:val="-4"/>
          <w:sz w:val="26"/>
        </w:rPr>
        <w:t>w</w:t>
      </w:r>
      <w:r w:rsidR="0076000B" w:rsidRPr="001C63A4">
        <w:rPr>
          <w:rFonts w:eastAsia="標楷體" w:hint="eastAsia"/>
          <w:b/>
          <w:spacing w:val="-4"/>
          <w:sz w:val="26"/>
        </w:rPr>
        <w:t>as</w:t>
      </w:r>
      <w:r w:rsidR="00444E5D" w:rsidRPr="001C63A4">
        <w:rPr>
          <w:rFonts w:eastAsia="標楷體" w:hint="eastAsia"/>
          <w:b/>
          <w:spacing w:val="-4"/>
          <w:sz w:val="26"/>
        </w:rPr>
        <w:t xml:space="preserve"> </w:t>
      </w:r>
      <w:r w:rsidR="0076000B" w:rsidRPr="001C63A4">
        <w:rPr>
          <w:rFonts w:eastAsia="標楷體" w:hint="eastAsia"/>
          <w:b/>
          <w:spacing w:val="-4"/>
          <w:sz w:val="26"/>
        </w:rPr>
        <w:t>2.7</w:t>
      </w:r>
      <w:r w:rsidR="00444E5D" w:rsidRPr="001C63A4">
        <w:rPr>
          <w:rFonts w:eastAsia="標楷體"/>
          <w:b/>
          <w:spacing w:val="-4"/>
          <w:sz w:val="26"/>
        </w:rPr>
        <w:t>%</w:t>
      </w:r>
      <w:r w:rsidR="00444E5D" w:rsidRPr="001C63A4">
        <w:rPr>
          <w:rFonts w:eastAsia="標楷體" w:hint="eastAsia"/>
          <w:b/>
          <w:spacing w:val="-4"/>
          <w:sz w:val="26"/>
        </w:rPr>
        <w:t xml:space="preserve"> for </w:t>
      </w:r>
      <w:r w:rsidR="003267EA" w:rsidRPr="001C63A4">
        <w:rPr>
          <w:rFonts w:eastAsia="標楷體"/>
          <w:b/>
          <w:spacing w:val="-4"/>
          <w:sz w:val="26"/>
        </w:rPr>
        <w:t xml:space="preserve">insured </w:t>
      </w:r>
      <w:r w:rsidR="00444E5D" w:rsidRPr="001C63A4">
        <w:rPr>
          <w:rFonts w:eastAsia="標楷體"/>
          <w:b/>
          <w:spacing w:val="-4"/>
          <w:sz w:val="26"/>
        </w:rPr>
        <w:t>beds</w:t>
      </w:r>
      <w:r w:rsidR="00021733">
        <w:rPr>
          <w:rFonts w:eastAsia="標楷體" w:hint="eastAsia"/>
          <w:b/>
          <w:spacing w:val="-4"/>
          <w:sz w:val="26"/>
        </w:rPr>
        <w:t>;</w:t>
      </w:r>
      <w:r w:rsidR="003267EA" w:rsidRPr="001C63A4">
        <w:rPr>
          <w:rFonts w:eastAsia="標楷體"/>
          <w:b/>
          <w:spacing w:val="-4"/>
          <w:sz w:val="26"/>
        </w:rPr>
        <w:t xml:space="preserve"> </w:t>
      </w:r>
      <w:r w:rsidR="00021733">
        <w:rPr>
          <w:rFonts w:eastAsia="標楷體" w:hint="eastAsia"/>
          <w:b/>
          <w:spacing w:val="-4"/>
          <w:sz w:val="26"/>
        </w:rPr>
        <w:t xml:space="preserve">the average annual </w:t>
      </w:r>
      <w:r w:rsidR="0076000B" w:rsidRPr="001C63A4">
        <w:rPr>
          <w:rFonts w:eastAsia="標楷體" w:hint="eastAsia"/>
          <w:b/>
          <w:spacing w:val="-4"/>
          <w:sz w:val="26"/>
        </w:rPr>
        <w:t>decrease was</w:t>
      </w:r>
      <w:r w:rsidR="00444E5D" w:rsidRPr="001C63A4">
        <w:rPr>
          <w:rFonts w:eastAsia="標楷體" w:hint="eastAsia"/>
          <w:b/>
          <w:spacing w:val="-4"/>
          <w:sz w:val="26"/>
        </w:rPr>
        <w:t xml:space="preserve"> </w:t>
      </w:r>
      <w:r w:rsidR="0076000B" w:rsidRPr="001C63A4">
        <w:rPr>
          <w:rFonts w:eastAsia="標楷體" w:hint="eastAsia"/>
          <w:b/>
          <w:spacing w:val="-4"/>
          <w:sz w:val="26"/>
        </w:rPr>
        <w:t>0.1</w:t>
      </w:r>
      <w:r w:rsidR="00444E5D" w:rsidRPr="001C63A4">
        <w:rPr>
          <w:rFonts w:eastAsia="標楷體"/>
          <w:b/>
          <w:spacing w:val="-4"/>
          <w:sz w:val="26"/>
        </w:rPr>
        <w:t>%</w:t>
      </w:r>
      <w:r w:rsidR="003267EA" w:rsidRPr="001C63A4">
        <w:rPr>
          <w:rFonts w:eastAsia="標楷體"/>
          <w:b/>
          <w:spacing w:val="-4"/>
          <w:sz w:val="26"/>
        </w:rPr>
        <w:t xml:space="preserve"> for non-insured </w:t>
      </w:r>
      <w:r w:rsidR="006569A2" w:rsidRPr="001C63A4">
        <w:rPr>
          <w:rFonts w:eastAsia="標楷體"/>
          <w:b/>
          <w:spacing w:val="-4"/>
          <w:sz w:val="26"/>
        </w:rPr>
        <w:t>beds</w:t>
      </w:r>
      <w:r w:rsidR="003267EA" w:rsidRPr="001C63A4">
        <w:rPr>
          <w:rFonts w:eastAsia="標楷體"/>
          <w:b/>
          <w:sz w:val="26"/>
        </w:rPr>
        <w:t>.</w:t>
      </w:r>
    </w:p>
    <w:p w:rsidR="003267EA" w:rsidRPr="001C63A4" w:rsidRDefault="009F6ECD" w:rsidP="004F0C26">
      <w:pPr>
        <w:pStyle w:val="a9"/>
        <w:spacing w:beforeLines="50" w:afterLines="50" w:line="400" w:lineRule="exact"/>
        <w:ind w:leftChars="0" w:left="284" w:firstLineChars="235" w:firstLine="592"/>
        <w:jc w:val="both"/>
        <w:rPr>
          <w:rFonts w:eastAsia="標楷體"/>
          <w:sz w:val="26"/>
        </w:rPr>
      </w:pPr>
      <w:r w:rsidRPr="0045406A">
        <w:rPr>
          <w:rStyle w:val="yiv87447665apple-style-span"/>
          <w:bCs/>
          <w:spacing w:val="-4"/>
          <w:sz w:val="26"/>
          <w:szCs w:val="26"/>
          <w:shd w:val="clear" w:color="auto" w:fill="FFFFFF"/>
        </w:rPr>
        <w:t>Setting up of wards in contracted hospitals must follow 1.</w:t>
      </w:r>
      <w:r w:rsidR="00021733" w:rsidRPr="0045406A">
        <w:rPr>
          <w:rStyle w:val="yiv87447665apple-style-span"/>
          <w:rFonts w:hint="eastAsia"/>
          <w:bCs/>
          <w:spacing w:val="-4"/>
          <w:sz w:val="26"/>
          <w:szCs w:val="26"/>
          <w:shd w:val="clear" w:color="auto" w:fill="FFFFFF"/>
        </w:rPr>
        <w:t>T</w:t>
      </w:r>
      <w:r w:rsidRPr="0045406A">
        <w:rPr>
          <w:rStyle w:val="yiv87447665apple-style-span"/>
          <w:bCs/>
          <w:spacing w:val="-4"/>
          <w:sz w:val="26"/>
          <w:szCs w:val="26"/>
          <w:shd w:val="clear" w:color="auto" w:fill="FFFFFF"/>
        </w:rPr>
        <w:t>he standard requirements</w:t>
      </w:r>
      <w:r w:rsidRPr="001C63A4">
        <w:rPr>
          <w:rStyle w:val="yiv87447665apple-style-span"/>
          <w:bCs/>
          <w:sz w:val="26"/>
          <w:szCs w:val="26"/>
          <w:shd w:val="clear" w:color="auto" w:fill="FFFFFF"/>
        </w:rPr>
        <w:t xml:space="preserve"> for setting up wards by medical care institutions and 2.</w:t>
      </w:r>
      <w:r w:rsidR="00021733">
        <w:rPr>
          <w:rStyle w:val="yiv87447665apple-style-span"/>
          <w:rFonts w:hint="eastAsia"/>
          <w:bCs/>
          <w:sz w:val="26"/>
          <w:szCs w:val="26"/>
          <w:shd w:val="clear" w:color="auto" w:fill="FFFFFF"/>
        </w:rPr>
        <w:t>T</w:t>
      </w:r>
      <w:r w:rsidRPr="001C63A4">
        <w:rPr>
          <w:rStyle w:val="yiv87447665apple-style-span"/>
          <w:bCs/>
          <w:sz w:val="26"/>
          <w:szCs w:val="26"/>
          <w:shd w:val="clear" w:color="auto" w:fill="FFFFFF"/>
        </w:rPr>
        <w:t>he ratio of</w:t>
      </w:r>
      <w:r w:rsidR="00F447E7" w:rsidRPr="001C63A4">
        <w:rPr>
          <w:rStyle w:val="yiv87447665apple-style-span"/>
          <w:bCs/>
          <w:sz w:val="26"/>
          <w:szCs w:val="26"/>
          <w:shd w:val="clear" w:color="auto" w:fill="FFFFFF"/>
        </w:rPr>
        <w:t xml:space="preserve"> the number of beds in insurance wards to the total number of beds in the same contracted hospital.</w:t>
      </w:r>
      <w:r w:rsidR="00F447E7" w:rsidRPr="001C63A4">
        <w:rPr>
          <w:rStyle w:val="yiv87447665apple-style-span"/>
          <w:rFonts w:hint="eastAsia"/>
          <w:bCs/>
          <w:sz w:val="26"/>
          <w:szCs w:val="26"/>
          <w:shd w:val="clear" w:color="auto" w:fill="FFFFFF"/>
        </w:rPr>
        <w:t xml:space="preserve"> </w:t>
      </w:r>
      <w:r w:rsidR="002664DD" w:rsidRPr="001C63A4">
        <w:rPr>
          <w:rFonts w:eastAsia="標楷體" w:hint="eastAsia"/>
          <w:sz w:val="26"/>
        </w:rPr>
        <w:t>H</w:t>
      </w:r>
      <w:r w:rsidR="003267EA" w:rsidRPr="001C63A4">
        <w:rPr>
          <w:rFonts w:eastAsia="標楷體"/>
          <w:sz w:val="26"/>
        </w:rPr>
        <w:t xml:space="preserve">ospital wards </w:t>
      </w:r>
      <w:r w:rsidR="002664DD" w:rsidRPr="001C63A4">
        <w:rPr>
          <w:rFonts w:eastAsia="標楷體" w:hint="eastAsia"/>
          <w:sz w:val="26"/>
        </w:rPr>
        <w:t>are</w:t>
      </w:r>
      <w:r w:rsidR="003267EA" w:rsidRPr="001C63A4">
        <w:rPr>
          <w:rFonts w:eastAsia="標楷體"/>
          <w:sz w:val="26"/>
        </w:rPr>
        <w:t xml:space="preserve"> divided into acute and chronic</w:t>
      </w:r>
      <w:r w:rsidR="002664DD" w:rsidRPr="001C63A4">
        <w:rPr>
          <w:rFonts w:eastAsia="標楷體" w:hint="eastAsia"/>
          <w:sz w:val="26"/>
        </w:rPr>
        <w:t xml:space="preserve"> wards</w:t>
      </w:r>
      <w:r w:rsidR="003267EA" w:rsidRPr="001C63A4">
        <w:rPr>
          <w:rFonts w:eastAsia="標楷體"/>
          <w:sz w:val="26"/>
        </w:rPr>
        <w:t xml:space="preserve">. An insurance ward refers to a ward provided by a contracted hospital to an </w:t>
      </w:r>
      <w:r w:rsidR="005411E6" w:rsidRPr="001C63A4">
        <w:rPr>
          <w:rFonts w:eastAsia="標楷體" w:hint="eastAsia"/>
          <w:sz w:val="26"/>
        </w:rPr>
        <w:t>i</w:t>
      </w:r>
      <w:r w:rsidR="003267EA" w:rsidRPr="001C63A4">
        <w:rPr>
          <w:rFonts w:eastAsia="標楷體"/>
          <w:sz w:val="26"/>
        </w:rPr>
        <w:t xml:space="preserve">nsurance beneficiary in receiving hospital care without charging </w:t>
      </w:r>
      <w:r w:rsidRPr="001C63A4">
        <w:rPr>
          <w:rFonts w:eastAsia="標楷體"/>
          <w:sz w:val="26"/>
        </w:rPr>
        <w:t>the patient additional fees</w:t>
      </w:r>
      <w:r w:rsidR="003267EA" w:rsidRPr="001C63A4">
        <w:rPr>
          <w:rFonts w:eastAsia="標楷體"/>
          <w:sz w:val="26"/>
        </w:rPr>
        <w:t xml:space="preserve">. At the end of </w:t>
      </w:r>
      <w:r w:rsidR="00D76300" w:rsidRPr="001C63A4">
        <w:rPr>
          <w:rFonts w:eastAsia="標楷體" w:hint="eastAsia"/>
          <w:sz w:val="26"/>
        </w:rPr>
        <w:t>2011</w:t>
      </w:r>
      <w:r w:rsidR="003267EA" w:rsidRPr="001C63A4">
        <w:rPr>
          <w:rFonts w:eastAsia="標楷體"/>
          <w:sz w:val="26"/>
        </w:rPr>
        <w:t xml:space="preserve">, the share of insured beds in various levels of hospitals </w:t>
      </w:r>
      <w:r w:rsidRPr="001C63A4">
        <w:rPr>
          <w:rFonts w:eastAsia="標楷體"/>
          <w:sz w:val="26"/>
        </w:rPr>
        <w:t>was</w:t>
      </w:r>
      <w:r w:rsidR="003267EA" w:rsidRPr="001C63A4">
        <w:rPr>
          <w:rFonts w:eastAsia="標楷體"/>
          <w:sz w:val="26"/>
        </w:rPr>
        <w:t xml:space="preserve"> </w:t>
      </w:r>
      <w:r w:rsidR="00D76300" w:rsidRPr="001C63A4">
        <w:rPr>
          <w:rFonts w:eastAsia="標楷體" w:hint="eastAsia"/>
          <w:sz w:val="26"/>
        </w:rPr>
        <w:t>69.5</w:t>
      </w:r>
      <w:r w:rsidR="003267EA" w:rsidRPr="001C63A4">
        <w:rPr>
          <w:rFonts w:eastAsia="標楷體"/>
          <w:sz w:val="26"/>
        </w:rPr>
        <w:t xml:space="preserve">% for </w:t>
      </w:r>
      <w:r w:rsidR="005411E6" w:rsidRPr="001C63A4">
        <w:rPr>
          <w:rFonts w:eastAsia="標楷體" w:hint="eastAsia"/>
          <w:sz w:val="26"/>
        </w:rPr>
        <w:t xml:space="preserve">academic </w:t>
      </w:r>
      <w:r w:rsidR="003267EA" w:rsidRPr="001C63A4">
        <w:rPr>
          <w:rFonts w:eastAsia="標楷體"/>
          <w:sz w:val="26"/>
        </w:rPr>
        <w:t>medical centers</w:t>
      </w:r>
      <w:r w:rsidR="003B432C" w:rsidRPr="001C63A4">
        <w:rPr>
          <w:rFonts w:eastAsia="標楷體" w:hint="eastAsia"/>
          <w:sz w:val="26"/>
        </w:rPr>
        <w:t xml:space="preserve"> </w:t>
      </w:r>
      <w:r w:rsidR="00021733">
        <w:rPr>
          <w:rFonts w:eastAsia="標楷體" w:hint="eastAsia"/>
          <w:sz w:val="26"/>
        </w:rPr>
        <w:t>(</w:t>
      </w:r>
      <w:r w:rsidR="003B432C" w:rsidRPr="001C63A4">
        <w:rPr>
          <w:rFonts w:eastAsia="標楷體" w:hint="eastAsia"/>
          <w:sz w:val="26"/>
        </w:rPr>
        <w:t xml:space="preserve">an increase of 2.8% </w:t>
      </w:r>
      <w:r w:rsidR="00BB24BD" w:rsidRPr="001C63A4">
        <w:rPr>
          <w:rFonts w:eastAsia="標楷體" w:hint="eastAsia"/>
          <w:sz w:val="26"/>
        </w:rPr>
        <w:t>from</w:t>
      </w:r>
      <w:r w:rsidR="003B432C" w:rsidRPr="001C63A4">
        <w:rPr>
          <w:rFonts w:eastAsia="標楷體" w:hint="eastAsia"/>
          <w:sz w:val="26"/>
        </w:rPr>
        <w:t xml:space="preserve"> the previous year</w:t>
      </w:r>
      <w:r w:rsidR="00021733">
        <w:rPr>
          <w:rFonts w:eastAsia="標楷體" w:hint="eastAsia"/>
          <w:sz w:val="26"/>
        </w:rPr>
        <w:t>)</w:t>
      </w:r>
      <w:r w:rsidR="003267EA" w:rsidRPr="001C63A4">
        <w:rPr>
          <w:rFonts w:eastAsia="標楷體"/>
          <w:sz w:val="26"/>
        </w:rPr>
        <w:t xml:space="preserve">, </w:t>
      </w:r>
      <w:r w:rsidR="00BB24BD" w:rsidRPr="001C63A4">
        <w:rPr>
          <w:rFonts w:eastAsia="標楷體" w:hint="eastAsia"/>
          <w:sz w:val="26"/>
        </w:rPr>
        <w:t>79.0</w:t>
      </w:r>
      <w:r w:rsidR="003267EA" w:rsidRPr="001C63A4">
        <w:rPr>
          <w:rFonts w:eastAsia="標楷體"/>
          <w:sz w:val="26"/>
        </w:rPr>
        <w:t xml:space="preserve">% for </w:t>
      </w:r>
      <w:r w:rsidR="004811AD" w:rsidRPr="001C63A4">
        <w:rPr>
          <w:rFonts w:eastAsia="標楷體" w:hint="eastAsia"/>
          <w:sz w:val="26"/>
        </w:rPr>
        <w:t xml:space="preserve">metropolitan </w:t>
      </w:r>
      <w:r w:rsidR="003267EA" w:rsidRPr="001C63A4">
        <w:rPr>
          <w:rFonts w:eastAsia="標楷體"/>
          <w:sz w:val="26"/>
        </w:rPr>
        <w:t xml:space="preserve">hospitals, </w:t>
      </w:r>
      <w:r w:rsidR="00BB24BD" w:rsidRPr="001C63A4">
        <w:rPr>
          <w:rFonts w:eastAsia="標楷體" w:hint="eastAsia"/>
          <w:sz w:val="26"/>
        </w:rPr>
        <w:t>89.0</w:t>
      </w:r>
      <w:r w:rsidR="003267EA" w:rsidRPr="001C63A4">
        <w:rPr>
          <w:rFonts w:eastAsia="標楷體"/>
          <w:sz w:val="26"/>
        </w:rPr>
        <w:t xml:space="preserve">% for </w:t>
      </w:r>
      <w:r w:rsidR="005411E6" w:rsidRPr="001C63A4">
        <w:rPr>
          <w:rFonts w:eastAsia="標楷體" w:hint="eastAsia"/>
          <w:sz w:val="26"/>
        </w:rPr>
        <w:t xml:space="preserve">local </w:t>
      </w:r>
      <w:r w:rsidR="003267EA" w:rsidRPr="001C63A4">
        <w:rPr>
          <w:rFonts w:eastAsia="標楷體"/>
          <w:sz w:val="26"/>
        </w:rPr>
        <w:t>community hospitals</w:t>
      </w:r>
      <w:r w:rsidRPr="001C63A4">
        <w:rPr>
          <w:rFonts w:eastAsia="標楷體" w:hint="eastAsia"/>
          <w:sz w:val="26"/>
        </w:rPr>
        <w:t>,</w:t>
      </w:r>
      <w:r w:rsidR="003267EA" w:rsidRPr="001C63A4">
        <w:rPr>
          <w:rFonts w:eastAsia="標楷體"/>
          <w:sz w:val="26"/>
        </w:rPr>
        <w:t xml:space="preserve"> and 99.9% in </w:t>
      </w:r>
      <w:r w:rsidR="005411E6" w:rsidRPr="001C63A4">
        <w:rPr>
          <w:rFonts w:eastAsia="標楷體" w:hint="eastAsia"/>
          <w:sz w:val="26"/>
        </w:rPr>
        <w:t>physician clinics &amp; dental clinics</w:t>
      </w:r>
      <w:r w:rsidRPr="001C63A4">
        <w:rPr>
          <w:rFonts w:eastAsia="標楷體"/>
          <w:sz w:val="26"/>
        </w:rPr>
        <w:t>.</w:t>
      </w:r>
    </w:p>
    <w:p w:rsidR="003267EA" w:rsidRPr="001C63A4" w:rsidRDefault="003267EA" w:rsidP="004F0C26">
      <w:pPr>
        <w:pStyle w:val="a9"/>
        <w:spacing w:beforeLines="50" w:afterLines="50" w:line="400" w:lineRule="exact"/>
        <w:ind w:leftChars="0" w:left="284" w:firstLineChars="235" w:firstLine="611"/>
        <w:jc w:val="both"/>
        <w:rPr>
          <w:rFonts w:eastAsia="標楷體"/>
          <w:sz w:val="26"/>
        </w:rPr>
      </w:pPr>
      <w:r w:rsidRPr="001C63A4">
        <w:rPr>
          <w:rFonts w:eastAsia="標楷體"/>
          <w:sz w:val="26"/>
        </w:rPr>
        <w:t>At the end of 20</w:t>
      </w:r>
      <w:r w:rsidR="003C06B1" w:rsidRPr="001C63A4">
        <w:rPr>
          <w:rFonts w:eastAsia="標楷體" w:hint="eastAsia"/>
          <w:sz w:val="26"/>
        </w:rPr>
        <w:t>1</w:t>
      </w:r>
      <w:r w:rsidR="00BB24BD" w:rsidRPr="001C63A4">
        <w:rPr>
          <w:rFonts w:eastAsia="標楷體" w:hint="eastAsia"/>
          <w:sz w:val="26"/>
        </w:rPr>
        <w:t>1</w:t>
      </w:r>
      <w:r w:rsidRPr="001C63A4">
        <w:rPr>
          <w:rFonts w:eastAsia="標楷體"/>
          <w:sz w:val="26"/>
        </w:rPr>
        <w:t xml:space="preserve">, the total number of beds in contracted medical care institutions </w:t>
      </w:r>
      <w:r w:rsidR="00512C8C" w:rsidRPr="001C63A4">
        <w:rPr>
          <w:rFonts w:eastAsia="標楷體"/>
          <w:sz w:val="26"/>
        </w:rPr>
        <w:t>was</w:t>
      </w:r>
      <w:r w:rsidRPr="001C63A4">
        <w:rPr>
          <w:rFonts w:eastAsia="標楷體"/>
          <w:sz w:val="26"/>
        </w:rPr>
        <w:t xml:space="preserve"> 14</w:t>
      </w:r>
      <w:r w:rsidR="003C06B1" w:rsidRPr="001C63A4">
        <w:rPr>
          <w:rFonts w:eastAsia="標楷體" w:hint="eastAsia"/>
          <w:sz w:val="26"/>
        </w:rPr>
        <w:t>6</w:t>
      </w:r>
      <w:r w:rsidRPr="001C63A4">
        <w:rPr>
          <w:rFonts w:eastAsia="標楷體"/>
          <w:sz w:val="26"/>
        </w:rPr>
        <w:t>,</w:t>
      </w:r>
      <w:r w:rsidR="00BB24BD" w:rsidRPr="001C63A4">
        <w:rPr>
          <w:rFonts w:eastAsia="標楷體" w:hint="eastAsia"/>
          <w:sz w:val="26"/>
        </w:rPr>
        <w:t>377</w:t>
      </w:r>
      <w:r w:rsidRPr="001C63A4">
        <w:rPr>
          <w:rFonts w:eastAsia="標楷體"/>
          <w:sz w:val="26"/>
        </w:rPr>
        <w:t xml:space="preserve">, </w:t>
      </w:r>
      <w:r w:rsidR="004811AD" w:rsidRPr="001C63A4">
        <w:rPr>
          <w:rFonts w:eastAsia="標楷體" w:hint="eastAsia"/>
          <w:sz w:val="26"/>
        </w:rPr>
        <w:t xml:space="preserve">an </w:t>
      </w:r>
      <w:r w:rsidRPr="001C63A4">
        <w:rPr>
          <w:rFonts w:eastAsia="標楷體"/>
          <w:sz w:val="26"/>
        </w:rPr>
        <w:t>increas</w:t>
      </w:r>
      <w:r w:rsidR="004811AD" w:rsidRPr="001C63A4">
        <w:rPr>
          <w:rFonts w:eastAsia="標楷體" w:hint="eastAsia"/>
          <w:sz w:val="26"/>
        </w:rPr>
        <w:t>e</w:t>
      </w:r>
      <w:r w:rsidRPr="001C63A4">
        <w:rPr>
          <w:rFonts w:eastAsia="標楷體"/>
          <w:sz w:val="26"/>
        </w:rPr>
        <w:t xml:space="preserve"> </w:t>
      </w:r>
      <w:r w:rsidR="004811AD" w:rsidRPr="001C63A4">
        <w:rPr>
          <w:rFonts w:eastAsia="標楷體" w:hint="eastAsia"/>
          <w:sz w:val="26"/>
        </w:rPr>
        <w:t>of</w:t>
      </w:r>
      <w:r w:rsidRPr="001C63A4">
        <w:rPr>
          <w:rFonts w:eastAsia="標楷體"/>
          <w:sz w:val="26"/>
        </w:rPr>
        <w:t xml:space="preserve"> </w:t>
      </w:r>
      <w:r w:rsidR="00BB24BD" w:rsidRPr="001C63A4">
        <w:rPr>
          <w:rFonts w:eastAsia="標楷體" w:hint="eastAsia"/>
          <w:sz w:val="26"/>
        </w:rPr>
        <w:t>190</w:t>
      </w:r>
      <w:r w:rsidRPr="001C63A4">
        <w:rPr>
          <w:rFonts w:eastAsia="標楷體"/>
          <w:sz w:val="26"/>
        </w:rPr>
        <w:t xml:space="preserve"> from the previous year</w:t>
      </w:r>
      <w:r w:rsidR="00021733">
        <w:rPr>
          <w:rFonts w:eastAsia="標楷體" w:hint="eastAsia"/>
          <w:sz w:val="26"/>
        </w:rPr>
        <w:t>.</w:t>
      </w:r>
      <w:r w:rsidRPr="001C63A4">
        <w:rPr>
          <w:rFonts w:eastAsia="標楷體"/>
          <w:sz w:val="26"/>
        </w:rPr>
        <w:t xml:space="preserve"> </w:t>
      </w:r>
      <w:r w:rsidR="00021733">
        <w:rPr>
          <w:rFonts w:eastAsia="標楷體" w:hint="eastAsia"/>
          <w:sz w:val="26"/>
        </w:rPr>
        <w:t>The</w:t>
      </w:r>
      <w:r w:rsidR="004811AD" w:rsidRPr="001C63A4">
        <w:rPr>
          <w:rFonts w:eastAsia="標楷體" w:hint="eastAsia"/>
          <w:sz w:val="26"/>
        </w:rPr>
        <w:t xml:space="preserve"> </w:t>
      </w:r>
      <w:r w:rsidRPr="001C63A4">
        <w:rPr>
          <w:rFonts w:eastAsia="標楷體"/>
          <w:sz w:val="26"/>
        </w:rPr>
        <w:t xml:space="preserve">average annual increase </w:t>
      </w:r>
      <w:r w:rsidR="00021733">
        <w:rPr>
          <w:rFonts w:eastAsia="標楷體" w:hint="eastAsia"/>
          <w:sz w:val="26"/>
        </w:rPr>
        <w:t>was</w:t>
      </w:r>
      <w:r w:rsidR="00BB24BD" w:rsidRPr="001C63A4">
        <w:rPr>
          <w:rFonts w:eastAsia="標楷體" w:hint="eastAsia"/>
          <w:sz w:val="26"/>
        </w:rPr>
        <w:t xml:space="preserve"> 2.1</w:t>
      </w:r>
      <w:r w:rsidRPr="001C63A4">
        <w:rPr>
          <w:rFonts w:eastAsia="標楷體"/>
          <w:sz w:val="26"/>
        </w:rPr>
        <w:t>%</w:t>
      </w:r>
      <w:r w:rsidR="00BB24BD" w:rsidRPr="001C63A4">
        <w:rPr>
          <w:rFonts w:eastAsia="標楷體" w:hint="eastAsia"/>
          <w:sz w:val="26"/>
        </w:rPr>
        <w:t xml:space="preserve"> </w:t>
      </w:r>
      <w:r w:rsidR="00021733">
        <w:rPr>
          <w:rFonts w:eastAsia="標楷體" w:hint="eastAsia"/>
          <w:sz w:val="26"/>
        </w:rPr>
        <w:t>in the most resent 10 years.</w:t>
      </w:r>
      <w:r w:rsidR="00021733" w:rsidRPr="00021733">
        <w:t xml:space="preserve"> </w:t>
      </w:r>
      <w:r w:rsidR="00021733">
        <w:rPr>
          <w:rFonts w:hint="eastAsia"/>
        </w:rPr>
        <w:t>T</w:t>
      </w:r>
      <w:r w:rsidR="00021733" w:rsidRPr="00021733">
        <w:rPr>
          <w:rFonts w:eastAsia="標楷體"/>
          <w:sz w:val="26"/>
        </w:rPr>
        <w:t xml:space="preserve">he average annual increase was 2.7% for insured </w:t>
      </w:r>
      <w:proofErr w:type="gramStart"/>
      <w:r w:rsidR="00021733" w:rsidRPr="00021733">
        <w:rPr>
          <w:rFonts w:eastAsia="標楷體"/>
          <w:sz w:val="26"/>
        </w:rPr>
        <w:t>beds</w:t>
      </w:r>
      <w:r w:rsidR="00966265">
        <w:rPr>
          <w:rFonts w:eastAsia="標楷體" w:hint="eastAsia"/>
          <w:sz w:val="26"/>
        </w:rPr>
        <w:t>,</w:t>
      </w:r>
      <w:proofErr w:type="gramEnd"/>
      <w:r w:rsidR="00966265">
        <w:rPr>
          <w:rFonts w:eastAsia="標楷體" w:hint="eastAsia"/>
          <w:sz w:val="26"/>
        </w:rPr>
        <w:t xml:space="preserve"> however, </w:t>
      </w:r>
      <w:r w:rsidR="00021733" w:rsidRPr="00021733">
        <w:rPr>
          <w:rFonts w:eastAsia="標楷體"/>
          <w:sz w:val="26"/>
        </w:rPr>
        <w:t>the average annual decrease was 0.1% for non-insured beds.</w:t>
      </w:r>
    </w:p>
    <w:p w:rsidR="003267EA" w:rsidRPr="001C63A4" w:rsidRDefault="00FB5A38" w:rsidP="000F5AFA">
      <w:pPr>
        <w:kinsoku w:val="0"/>
        <w:ind w:leftChars="118" w:left="283"/>
        <w:jc w:val="center"/>
        <w:rPr>
          <w:rFonts w:eastAsia="標楷體"/>
          <w:b/>
          <w:sz w:val="26"/>
        </w:rPr>
      </w:pPr>
      <w:r w:rsidRPr="00FB5A38">
        <w:rPr>
          <w:rFonts w:eastAsia="標楷體"/>
          <w:b/>
          <w:noProof/>
          <w:sz w:val="26"/>
        </w:rPr>
        <w:lastRenderedPageBreak/>
        <w:drawing>
          <wp:inline distT="0" distB="0" distL="0" distR="0">
            <wp:extent cx="5484603" cy="2976113"/>
            <wp:effectExtent l="19050" t="0" r="0" b="0"/>
            <wp:docPr id="4"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F2933" w:rsidRPr="001C63A4" w:rsidRDefault="009F6ECD" w:rsidP="004F0C26">
      <w:pPr>
        <w:pStyle w:val="a9"/>
        <w:spacing w:beforeLines="50" w:afterLines="50" w:line="400" w:lineRule="exact"/>
        <w:ind w:leftChars="0" w:left="284" w:firstLineChars="235" w:firstLine="611"/>
        <w:jc w:val="both"/>
        <w:rPr>
          <w:rFonts w:eastAsia="標楷體"/>
          <w:sz w:val="26"/>
        </w:rPr>
      </w:pPr>
      <w:r w:rsidRPr="001C63A4">
        <w:rPr>
          <w:rFonts w:eastAsia="標楷體"/>
          <w:sz w:val="26"/>
          <w:szCs w:val="26"/>
        </w:rPr>
        <w:t>Compared to 200</w:t>
      </w:r>
      <w:r w:rsidR="0040658A" w:rsidRPr="001C63A4">
        <w:rPr>
          <w:rFonts w:eastAsia="標楷體" w:hint="eastAsia"/>
          <w:sz w:val="26"/>
          <w:szCs w:val="26"/>
        </w:rPr>
        <w:t>1</w:t>
      </w:r>
      <w:r w:rsidRPr="001C63A4">
        <w:rPr>
          <w:rFonts w:eastAsia="標楷體"/>
          <w:sz w:val="26"/>
          <w:szCs w:val="26"/>
        </w:rPr>
        <w:t xml:space="preserve">, </w:t>
      </w:r>
      <w:r w:rsidRPr="001C63A4">
        <w:rPr>
          <w:rFonts w:eastAsia="標楷體"/>
          <w:sz w:val="26"/>
        </w:rPr>
        <w:t>metropolitan hospitals, physician clinics</w:t>
      </w:r>
      <w:r w:rsidRPr="001C63A4">
        <w:rPr>
          <w:rFonts w:eastAsia="標楷體"/>
          <w:sz w:val="26"/>
          <w:szCs w:val="26"/>
        </w:rPr>
        <w:t xml:space="preserve"> have shown positive trends in both the increase of beds and share of beds; </w:t>
      </w:r>
      <w:r w:rsidRPr="001C63A4">
        <w:rPr>
          <w:rFonts w:eastAsia="標楷體"/>
          <w:sz w:val="26"/>
        </w:rPr>
        <w:t>metropolitan hospitals</w:t>
      </w:r>
      <w:r w:rsidRPr="001C63A4">
        <w:rPr>
          <w:rFonts w:eastAsia="標楷體"/>
          <w:sz w:val="26"/>
          <w:szCs w:val="26"/>
        </w:rPr>
        <w:t xml:space="preserve"> had the greatest increase of beds at 0.5x the number in 200</w:t>
      </w:r>
      <w:r w:rsidR="0040658A" w:rsidRPr="001C63A4">
        <w:rPr>
          <w:rFonts w:eastAsia="標楷體" w:hint="eastAsia"/>
          <w:sz w:val="26"/>
          <w:szCs w:val="26"/>
        </w:rPr>
        <w:t>1</w:t>
      </w:r>
      <w:r w:rsidRPr="001C63A4">
        <w:rPr>
          <w:rFonts w:eastAsia="標楷體"/>
          <w:sz w:val="26"/>
          <w:szCs w:val="26"/>
        </w:rPr>
        <w:t>, and in share of beds at 5.</w:t>
      </w:r>
      <w:r w:rsidR="0040658A" w:rsidRPr="001C63A4">
        <w:rPr>
          <w:rFonts w:eastAsia="標楷體" w:hint="eastAsia"/>
          <w:sz w:val="26"/>
          <w:szCs w:val="26"/>
        </w:rPr>
        <w:t>3</w:t>
      </w:r>
      <w:r w:rsidRPr="001C63A4">
        <w:rPr>
          <w:rFonts w:eastAsia="標楷體"/>
          <w:sz w:val="26"/>
          <w:szCs w:val="26"/>
        </w:rPr>
        <w:t xml:space="preserve"> percentage points. On the other hand, </w:t>
      </w:r>
      <w:r w:rsidRPr="001C63A4">
        <w:rPr>
          <w:rFonts w:eastAsia="標楷體"/>
          <w:sz w:val="26"/>
        </w:rPr>
        <w:t>academic medical centers and local community hospitals</w:t>
      </w:r>
      <w:r w:rsidRPr="001C63A4">
        <w:rPr>
          <w:rFonts w:eastAsia="標楷體"/>
          <w:sz w:val="26"/>
          <w:szCs w:val="26"/>
        </w:rPr>
        <w:t xml:space="preserve"> showed a negative trend in share of beds; </w:t>
      </w:r>
      <w:r w:rsidRPr="001C63A4">
        <w:rPr>
          <w:rFonts w:eastAsia="標楷體"/>
          <w:sz w:val="26"/>
        </w:rPr>
        <w:t>local community hospitals</w:t>
      </w:r>
      <w:r w:rsidRPr="001C63A4">
        <w:rPr>
          <w:rFonts w:eastAsia="標楷體"/>
          <w:sz w:val="26"/>
          <w:szCs w:val="26"/>
        </w:rPr>
        <w:t xml:space="preserve"> had the highest decrease at </w:t>
      </w:r>
      <w:r w:rsidR="0040658A" w:rsidRPr="001C63A4">
        <w:rPr>
          <w:rFonts w:eastAsia="標楷體" w:hint="eastAsia"/>
          <w:sz w:val="26"/>
          <w:szCs w:val="26"/>
        </w:rPr>
        <w:t>6.6</w:t>
      </w:r>
      <w:r w:rsidRPr="001C63A4">
        <w:rPr>
          <w:rFonts w:eastAsia="標楷體"/>
          <w:sz w:val="26"/>
          <w:szCs w:val="26"/>
        </w:rPr>
        <w:t xml:space="preserve"> percentage points</w:t>
      </w:r>
      <w:r w:rsidR="009F2933" w:rsidRPr="001C63A4">
        <w:rPr>
          <w:rFonts w:eastAsia="標楷體" w:hint="eastAsia"/>
          <w:sz w:val="26"/>
          <w:szCs w:val="26"/>
        </w:rPr>
        <w:t>.</w:t>
      </w:r>
    </w:p>
    <w:p w:rsidR="00CF7C33" w:rsidRPr="001C63A4" w:rsidRDefault="000F5AFA" w:rsidP="00904204">
      <w:pPr>
        <w:kinsoku w:val="0"/>
        <w:jc w:val="center"/>
        <w:rPr>
          <w:rFonts w:eastAsia="標楷體"/>
          <w:sz w:val="26"/>
        </w:rPr>
      </w:pPr>
      <w:r w:rsidRPr="000F5AFA">
        <w:rPr>
          <w:rFonts w:eastAsia="標楷體"/>
          <w:noProof/>
          <w:sz w:val="26"/>
        </w:rPr>
        <w:drawing>
          <wp:inline distT="0" distB="0" distL="0" distR="0">
            <wp:extent cx="5486400" cy="4106174"/>
            <wp:effectExtent l="0" t="0" r="0" b="0"/>
            <wp:docPr id="15" name="圖表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E3403" w:rsidRPr="001C63A4" w:rsidRDefault="00441C22" w:rsidP="004F0C26">
      <w:pPr>
        <w:pStyle w:val="a9"/>
        <w:spacing w:beforeLines="50" w:afterLines="50" w:line="360" w:lineRule="exact"/>
        <w:ind w:leftChars="0" w:left="284" w:firstLineChars="235" w:firstLine="611"/>
        <w:jc w:val="both"/>
        <w:rPr>
          <w:rFonts w:eastAsia="標楷體"/>
          <w:sz w:val="26"/>
        </w:rPr>
      </w:pPr>
      <w:r w:rsidRPr="001C63A4">
        <w:rPr>
          <w:rFonts w:eastAsia="標楷體"/>
          <w:sz w:val="26"/>
        </w:rPr>
        <w:lastRenderedPageBreak/>
        <w:t>In terms of</w:t>
      </w:r>
      <w:r w:rsidRPr="001C63A4">
        <w:rPr>
          <w:rFonts w:eastAsia="標楷體" w:hint="eastAsia"/>
          <w:sz w:val="26"/>
        </w:rPr>
        <w:t xml:space="preserve"> </w:t>
      </w:r>
      <w:r w:rsidR="00C764EB" w:rsidRPr="001C63A4">
        <w:rPr>
          <w:rFonts w:eastAsia="標楷體" w:hint="eastAsia"/>
          <w:sz w:val="26"/>
        </w:rPr>
        <w:t>d</w:t>
      </w:r>
      <w:r w:rsidRPr="001C63A4">
        <w:rPr>
          <w:rFonts w:eastAsia="標楷體"/>
          <w:sz w:val="26"/>
        </w:rPr>
        <w:t>ivision</w:t>
      </w:r>
      <w:r w:rsidR="00C764EB" w:rsidRPr="001C63A4">
        <w:rPr>
          <w:rFonts w:eastAsia="標楷體" w:hint="eastAsia"/>
          <w:sz w:val="26"/>
        </w:rPr>
        <w:t>s</w:t>
      </w:r>
      <w:r w:rsidR="009F6ECD" w:rsidRPr="001C63A4">
        <w:rPr>
          <w:rFonts w:eastAsia="標楷體"/>
          <w:sz w:val="26"/>
        </w:rPr>
        <w:t xml:space="preserve">, the Taipei </w:t>
      </w:r>
      <w:r w:rsidRPr="001C63A4">
        <w:rPr>
          <w:rFonts w:eastAsia="標楷體"/>
          <w:sz w:val="26"/>
        </w:rPr>
        <w:t>Division</w:t>
      </w:r>
      <w:r w:rsidR="004B3303">
        <w:rPr>
          <w:rFonts w:eastAsia="標楷體"/>
          <w:sz w:val="26"/>
        </w:rPr>
        <w:t xml:space="preserve"> has the most beds</w:t>
      </w:r>
      <w:r w:rsidR="009F6ECD" w:rsidRPr="001C63A4">
        <w:rPr>
          <w:rFonts w:eastAsia="標楷體"/>
          <w:sz w:val="26"/>
        </w:rPr>
        <w:t xml:space="preserve"> at 42,</w:t>
      </w:r>
      <w:r w:rsidR="00633993" w:rsidRPr="001C63A4">
        <w:rPr>
          <w:rFonts w:eastAsia="標楷體" w:hint="eastAsia"/>
          <w:sz w:val="26"/>
        </w:rPr>
        <w:t>253</w:t>
      </w:r>
      <w:r w:rsidR="009F6ECD" w:rsidRPr="001C63A4">
        <w:rPr>
          <w:rFonts w:eastAsia="標楷體"/>
          <w:sz w:val="26"/>
        </w:rPr>
        <w:t xml:space="preserve"> (28.</w:t>
      </w:r>
      <w:r w:rsidR="00633993" w:rsidRPr="001C63A4">
        <w:rPr>
          <w:rFonts w:eastAsia="標楷體" w:hint="eastAsia"/>
          <w:sz w:val="26"/>
        </w:rPr>
        <w:t>9</w:t>
      </w:r>
      <w:r w:rsidR="009F6ECD" w:rsidRPr="001C63A4">
        <w:rPr>
          <w:rFonts w:eastAsia="標楷體"/>
          <w:sz w:val="26"/>
        </w:rPr>
        <w:t>%), with the percentage of insured beds at 7</w:t>
      </w:r>
      <w:r w:rsidR="00633993" w:rsidRPr="001C63A4">
        <w:rPr>
          <w:rFonts w:eastAsia="標楷體" w:hint="eastAsia"/>
          <w:sz w:val="26"/>
        </w:rPr>
        <w:t>8.7</w:t>
      </w:r>
      <w:r w:rsidR="009F6ECD" w:rsidRPr="001C63A4">
        <w:rPr>
          <w:rFonts w:eastAsia="標楷體"/>
          <w:sz w:val="26"/>
        </w:rPr>
        <w:t xml:space="preserve">%, followed by the Central </w:t>
      </w:r>
      <w:r w:rsidRPr="001C63A4">
        <w:rPr>
          <w:rFonts w:eastAsia="標楷體"/>
          <w:sz w:val="26"/>
        </w:rPr>
        <w:t>Division</w:t>
      </w:r>
      <w:r w:rsidR="009F6ECD" w:rsidRPr="001C63A4">
        <w:rPr>
          <w:rFonts w:eastAsia="標楷體"/>
          <w:sz w:val="26"/>
        </w:rPr>
        <w:t xml:space="preserve"> at </w:t>
      </w:r>
      <w:r w:rsidR="00633993" w:rsidRPr="001C63A4">
        <w:rPr>
          <w:rFonts w:eastAsia="標楷體" w:hint="eastAsia"/>
          <w:sz w:val="26"/>
        </w:rPr>
        <w:t>30</w:t>
      </w:r>
      <w:r w:rsidR="009F6ECD" w:rsidRPr="001C63A4">
        <w:rPr>
          <w:rFonts w:eastAsia="標楷體"/>
          <w:sz w:val="26"/>
        </w:rPr>
        <w:t>,</w:t>
      </w:r>
      <w:r w:rsidR="00633993" w:rsidRPr="001C63A4">
        <w:rPr>
          <w:rFonts w:eastAsia="標楷體" w:hint="eastAsia"/>
          <w:sz w:val="26"/>
        </w:rPr>
        <w:t>008</w:t>
      </w:r>
      <w:r w:rsidR="009F6ECD" w:rsidRPr="001C63A4">
        <w:rPr>
          <w:rFonts w:eastAsia="標楷體"/>
          <w:sz w:val="26"/>
        </w:rPr>
        <w:t xml:space="preserve"> (20.</w:t>
      </w:r>
      <w:r w:rsidR="00633993" w:rsidRPr="001C63A4">
        <w:rPr>
          <w:rFonts w:eastAsia="標楷體" w:hint="eastAsia"/>
          <w:sz w:val="26"/>
        </w:rPr>
        <w:t>5</w:t>
      </w:r>
      <w:r w:rsidR="009F6ECD" w:rsidRPr="001C63A4">
        <w:rPr>
          <w:rFonts w:eastAsia="標楷體"/>
          <w:sz w:val="26"/>
        </w:rPr>
        <w:t>%), with the percentage of insured beds at 82.</w:t>
      </w:r>
      <w:r w:rsidR="00633993" w:rsidRPr="001C63A4">
        <w:rPr>
          <w:rFonts w:eastAsia="標楷體" w:hint="eastAsia"/>
          <w:sz w:val="26"/>
        </w:rPr>
        <w:t>6</w:t>
      </w:r>
      <w:r w:rsidR="009F6ECD" w:rsidRPr="001C63A4">
        <w:rPr>
          <w:rFonts w:eastAsia="標楷體"/>
          <w:sz w:val="26"/>
        </w:rPr>
        <w:t xml:space="preserve">%, the </w:t>
      </w:r>
      <w:proofErr w:type="spellStart"/>
      <w:r w:rsidR="009F6ECD" w:rsidRPr="001C63A4">
        <w:rPr>
          <w:rFonts w:eastAsia="標楷體"/>
          <w:sz w:val="26"/>
        </w:rPr>
        <w:t>Kaoping</w:t>
      </w:r>
      <w:proofErr w:type="spellEnd"/>
      <w:r w:rsidR="009F6ECD" w:rsidRPr="001C63A4">
        <w:rPr>
          <w:rFonts w:eastAsia="標楷體"/>
          <w:sz w:val="26"/>
        </w:rPr>
        <w:t xml:space="preserve"> </w:t>
      </w:r>
      <w:r w:rsidRPr="001C63A4">
        <w:rPr>
          <w:rFonts w:eastAsia="標楷體"/>
          <w:sz w:val="26"/>
        </w:rPr>
        <w:t>Division</w:t>
      </w:r>
      <w:r w:rsidR="009F6ECD" w:rsidRPr="001C63A4">
        <w:rPr>
          <w:rFonts w:eastAsia="標楷體"/>
          <w:sz w:val="26"/>
        </w:rPr>
        <w:t xml:space="preserve"> at 25,</w:t>
      </w:r>
      <w:r w:rsidR="00633993" w:rsidRPr="001C63A4">
        <w:rPr>
          <w:rFonts w:eastAsia="標楷體" w:hint="eastAsia"/>
          <w:sz w:val="26"/>
        </w:rPr>
        <w:t>417</w:t>
      </w:r>
      <w:r w:rsidR="009F6ECD" w:rsidRPr="001C63A4">
        <w:rPr>
          <w:rFonts w:eastAsia="標楷體"/>
          <w:sz w:val="26"/>
        </w:rPr>
        <w:t xml:space="preserve"> (17.4%)</w:t>
      </w:r>
      <w:r w:rsidR="004B3303">
        <w:rPr>
          <w:rFonts w:eastAsia="標楷體" w:hint="eastAsia"/>
          <w:sz w:val="26"/>
        </w:rPr>
        <w:t>,</w:t>
      </w:r>
      <w:r w:rsidR="009F6ECD" w:rsidRPr="001C63A4">
        <w:rPr>
          <w:rFonts w:eastAsia="標楷體"/>
          <w:sz w:val="26"/>
        </w:rPr>
        <w:t xml:space="preserve"> with the percentage of insured beds at 82.</w:t>
      </w:r>
      <w:r w:rsidR="00633993" w:rsidRPr="001C63A4">
        <w:rPr>
          <w:rFonts w:eastAsia="標楷體" w:hint="eastAsia"/>
          <w:sz w:val="26"/>
        </w:rPr>
        <w:t>9</w:t>
      </w:r>
      <w:r w:rsidR="009F6ECD" w:rsidRPr="001C63A4">
        <w:rPr>
          <w:rFonts w:eastAsia="標楷體"/>
          <w:sz w:val="26"/>
        </w:rPr>
        <w:t xml:space="preserve">%, the Northern </w:t>
      </w:r>
      <w:r w:rsidRPr="001C63A4">
        <w:rPr>
          <w:rFonts w:eastAsia="標楷體"/>
          <w:sz w:val="26"/>
        </w:rPr>
        <w:t>Division</w:t>
      </w:r>
      <w:r w:rsidR="009F6ECD" w:rsidRPr="001C63A4">
        <w:rPr>
          <w:rFonts w:eastAsia="標楷體"/>
          <w:sz w:val="26"/>
        </w:rPr>
        <w:t xml:space="preserve"> at 21,</w:t>
      </w:r>
      <w:r w:rsidR="00633993" w:rsidRPr="001C63A4">
        <w:rPr>
          <w:rFonts w:eastAsia="標楷體" w:hint="eastAsia"/>
          <w:sz w:val="26"/>
        </w:rPr>
        <w:t>474</w:t>
      </w:r>
      <w:r w:rsidR="00352247" w:rsidRPr="001C63A4">
        <w:rPr>
          <w:rFonts w:eastAsia="標楷體" w:hint="eastAsia"/>
          <w:sz w:val="26"/>
        </w:rPr>
        <w:t xml:space="preserve"> </w:t>
      </w:r>
      <w:r w:rsidR="009F6ECD" w:rsidRPr="001C63A4">
        <w:rPr>
          <w:rFonts w:eastAsia="標楷體"/>
          <w:sz w:val="26"/>
        </w:rPr>
        <w:t>(14.</w:t>
      </w:r>
      <w:r w:rsidR="00633993" w:rsidRPr="001C63A4">
        <w:rPr>
          <w:rFonts w:eastAsia="標楷體" w:hint="eastAsia"/>
          <w:sz w:val="26"/>
        </w:rPr>
        <w:t>7</w:t>
      </w:r>
      <w:r w:rsidR="009F6ECD" w:rsidRPr="001C63A4">
        <w:rPr>
          <w:rFonts w:eastAsia="標楷體"/>
          <w:sz w:val="26"/>
        </w:rPr>
        <w:t>%)</w:t>
      </w:r>
      <w:r w:rsidR="004B3303">
        <w:rPr>
          <w:rFonts w:eastAsia="標楷體" w:hint="eastAsia"/>
          <w:sz w:val="26"/>
        </w:rPr>
        <w:t>,</w:t>
      </w:r>
      <w:r w:rsidR="009F6ECD" w:rsidRPr="001C63A4">
        <w:rPr>
          <w:rFonts w:eastAsia="標楷體"/>
          <w:sz w:val="26"/>
        </w:rPr>
        <w:t xml:space="preserve"> with the percentage of insured beds at 8</w:t>
      </w:r>
      <w:r w:rsidR="00633993" w:rsidRPr="001C63A4">
        <w:rPr>
          <w:rFonts w:eastAsia="標楷體" w:hint="eastAsia"/>
          <w:sz w:val="26"/>
        </w:rPr>
        <w:t>3</w:t>
      </w:r>
      <w:r w:rsidR="009F6ECD" w:rsidRPr="001C63A4">
        <w:rPr>
          <w:rFonts w:eastAsia="標楷體"/>
          <w:sz w:val="26"/>
        </w:rPr>
        <w:t xml:space="preserve">.0%, the Southern </w:t>
      </w:r>
      <w:r w:rsidRPr="001C63A4">
        <w:rPr>
          <w:rFonts w:eastAsia="標楷體"/>
          <w:sz w:val="26"/>
        </w:rPr>
        <w:t>Division</w:t>
      </w:r>
      <w:r w:rsidR="009F6ECD" w:rsidRPr="001C63A4">
        <w:rPr>
          <w:rFonts w:eastAsia="標楷體"/>
          <w:sz w:val="26"/>
        </w:rPr>
        <w:t xml:space="preserve"> at 21,</w:t>
      </w:r>
      <w:r w:rsidR="00633993" w:rsidRPr="001C63A4">
        <w:rPr>
          <w:rFonts w:eastAsia="標楷體" w:hint="eastAsia"/>
          <w:sz w:val="26"/>
        </w:rPr>
        <w:t>397</w:t>
      </w:r>
      <w:r w:rsidR="009F6ECD" w:rsidRPr="001C63A4">
        <w:rPr>
          <w:rFonts w:eastAsia="標楷體"/>
          <w:sz w:val="26"/>
        </w:rPr>
        <w:t xml:space="preserve"> (14.</w:t>
      </w:r>
      <w:r w:rsidR="00633993" w:rsidRPr="001C63A4">
        <w:rPr>
          <w:rFonts w:eastAsia="標楷體" w:hint="eastAsia"/>
          <w:sz w:val="26"/>
        </w:rPr>
        <w:t>6</w:t>
      </w:r>
      <w:r w:rsidR="009F6ECD" w:rsidRPr="001C63A4">
        <w:rPr>
          <w:rFonts w:eastAsia="標楷體"/>
          <w:sz w:val="26"/>
        </w:rPr>
        <w:t>%)</w:t>
      </w:r>
      <w:r w:rsidR="004B3303">
        <w:rPr>
          <w:rFonts w:eastAsia="標楷體" w:hint="eastAsia"/>
          <w:sz w:val="26"/>
        </w:rPr>
        <w:t>,</w:t>
      </w:r>
      <w:r w:rsidR="009F6ECD" w:rsidRPr="001C63A4">
        <w:rPr>
          <w:rFonts w:eastAsia="標楷體"/>
          <w:sz w:val="26"/>
        </w:rPr>
        <w:t xml:space="preserve"> with the percentage of insured beds at 8</w:t>
      </w:r>
      <w:r w:rsidR="00633993" w:rsidRPr="001C63A4">
        <w:rPr>
          <w:rFonts w:eastAsia="標楷體" w:hint="eastAsia"/>
          <w:sz w:val="26"/>
        </w:rPr>
        <w:t>4.2</w:t>
      </w:r>
      <w:r w:rsidR="009F6ECD" w:rsidRPr="001C63A4">
        <w:rPr>
          <w:rFonts w:eastAsia="標楷體"/>
          <w:sz w:val="26"/>
        </w:rPr>
        <w:t xml:space="preserve">%, and the Eastern </w:t>
      </w:r>
      <w:r w:rsidRPr="001C63A4">
        <w:rPr>
          <w:rFonts w:eastAsia="標楷體"/>
          <w:sz w:val="26"/>
        </w:rPr>
        <w:t>Division</w:t>
      </w:r>
      <w:r w:rsidR="009F6ECD" w:rsidRPr="001C63A4">
        <w:rPr>
          <w:rFonts w:eastAsia="標楷體"/>
          <w:sz w:val="26"/>
        </w:rPr>
        <w:t xml:space="preserve"> at 5,8</w:t>
      </w:r>
      <w:r w:rsidR="00633993" w:rsidRPr="001C63A4">
        <w:rPr>
          <w:rFonts w:eastAsia="標楷體" w:hint="eastAsia"/>
          <w:sz w:val="26"/>
        </w:rPr>
        <w:t>28</w:t>
      </w:r>
      <w:r w:rsidR="009F6ECD" w:rsidRPr="001C63A4">
        <w:rPr>
          <w:rFonts w:eastAsia="標楷體"/>
          <w:sz w:val="26"/>
        </w:rPr>
        <w:t xml:space="preserve"> (4.0%)</w:t>
      </w:r>
      <w:r w:rsidR="004B3303">
        <w:rPr>
          <w:rFonts w:eastAsia="標楷體" w:hint="eastAsia"/>
          <w:sz w:val="26"/>
        </w:rPr>
        <w:t xml:space="preserve">, </w:t>
      </w:r>
      <w:r w:rsidR="009F6ECD" w:rsidRPr="001C63A4">
        <w:rPr>
          <w:rFonts w:eastAsia="標楷體"/>
          <w:sz w:val="26"/>
        </w:rPr>
        <w:t>with the percentage of insured beds at 87.</w:t>
      </w:r>
      <w:r w:rsidR="00633993" w:rsidRPr="001C63A4">
        <w:rPr>
          <w:rFonts w:eastAsia="標楷體" w:hint="eastAsia"/>
          <w:sz w:val="26"/>
        </w:rPr>
        <w:t>9</w:t>
      </w:r>
      <w:r w:rsidR="009F6ECD" w:rsidRPr="001C63A4">
        <w:rPr>
          <w:rFonts w:eastAsia="標楷體"/>
          <w:sz w:val="26"/>
        </w:rPr>
        <w:t>%</w:t>
      </w:r>
      <w:r w:rsidR="002E3403" w:rsidRPr="001C63A4">
        <w:rPr>
          <w:rFonts w:eastAsia="標楷體"/>
          <w:sz w:val="26"/>
        </w:rPr>
        <w:t xml:space="preserve">. </w:t>
      </w:r>
    </w:p>
    <w:p w:rsidR="002E3403" w:rsidRPr="001C63A4" w:rsidRDefault="002E3403" w:rsidP="004F0C26">
      <w:pPr>
        <w:pStyle w:val="a9"/>
        <w:spacing w:beforeLines="50" w:afterLines="50" w:line="360" w:lineRule="exact"/>
        <w:ind w:leftChars="0" w:left="284" w:firstLineChars="235" w:firstLine="611"/>
        <w:jc w:val="both"/>
        <w:rPr>
          <w:rFonts w:eastAsia="標楷體"/>
          <w:sz w:val="26"/>
        </w:rPr>
      </w:pPr>
      <w:r w:rsidRPr="001C63A4">
        <w:rPr>
          <w:rFonts w:eastAsia="標楷體"/>
          <w:sz w:val="26"/>
        </w:rPr>
        <w:t>In terms of cities and counties, Taipei City top</w:t>
      </w:r>
      <w:r w:rsidR="00CC25CD" w:rsidRPr="001C63A4">
        <w:rPr>
          <w:rFonts w:eastAsia="標楷體" w:hint="eastAsia"/>
          <w:sz w:val="26"/>
        </w:rPr>
        <w:t>ped</w:t>
      </w:r>
      <w:r w:rsidRPr="001C63A4">
        <w:rPr>
          <w:rFonts w:eastAsia="標楷體"/>
          <w:sz w:val="26"/>
        </w:rPr>
        <w:t xml:space="preserve"> the list with 21,</w:t>
      </w:r>
      <w:r w:rsidR="00587BBF" w:rsidRPr="001C63A4">
        <w:rPr>
          <w:rFonts w:eastAsia="標楷體" w:hint="eastAsia"/>
          <w:sz w:val="26"/>
        </w:rPr>
        <w:t>303</w:t>
      </w:r>
      <w:r w:rsidRPr="001C63A4">
        <w:rPr>
          <w:rFonts w:eastAsia="標楷體"/>
          <w:sz w:val="26"/>
        </w:rPr>
        <w:t xml:space="preserve"> beds, followed by </w:t>
      </w:r>
      <w:r w:rsidR="00C24BE1" w:rsidRPr="001C63A4">
        <w:rPr>
          <w:rFonts w:eastAsia="標楷體" w:hint="eastAsia"/>
          <w:sz w:val="26"/>
        </w:rPr>
        <w:t>Kaohsiung City with 19,</w:t>
      </w:r>
      <w:r w:rsidR="00587BBF" w:rsidRPr="001C63A4">
        <w:rPr>
          <w:rFonts w:eastAsia="標楷體" w:hint="eastAsia"/>
          <w:sz w:val="26"/>
        </w:rPr>
        <w:t>316</w:t>
      </w:r>
      <w:r w:rsidR="00C24BE1" w:rsidRPr="001C63A4">
        <w:rPr>
          <w:rFonts w:eastAsia="標楷體" w:hint="eastAsia"/>
          <w:sz w:val="26"/>
        </w:rPr>
        <w:t xml:space="preserve"> beds, Taichung City with 1</w:t>
      </w:r>
      <w:r w:rsidR="00587BBF" w:rsidRPr="001C63A4">
        <w:rPr>
          <w:rFonts w:eastAsia="標楷體" w:hint="eastAsia"/>
          <w:sz w:val="26"/>
        </w:rPr>
        <w:t>9</w:t>
      </w:r>
      <w:r w:rsidR="00C24BE1" w:rsidRPr="001C63A4">
        <w:rPr>
          <w:rFonts w:eastAsia="標楷體" w:hint="eastAsia"/>
          <w:sz w:val="26"/>
        </w:rPr>
        <w:t>,</w:t>
      </w:r>
      <w:r w:rsidR="00587BBF" w:rsidRPr="001C63A4">
        <w:rPr>
          <w:rFonts w:eastAsia="標楷體" w:hint="eastAsia"/>
          <w:sz w:val="26"/>
        </w:rPr>
        <w:t>141</w:t>
      </w:r>
      <w:r w:rsidR="00C24BE1" w:rsidRPr="001C63A4">
        <w:rPr>
          <w:rFonts w:eastAsia="標楷體" w:hint="eastAsia"/>
          <w:sz w:val="26"/>
        </w:rPr>
        <w:t xml:space="preserve"> beds, </w:t>
      </w:r>
      <w:proofErr w:type="gramStart"/>
      <w:r w:rsidR="00740D53" w:rsidRPr="001C63A4">
        <w:rPr>
          <w:rFonts w:eastAsia="標楷體" w:hint="eastAsia"/>
          <w:sz w:val="26"/>
        </w:rPr>
        <w:t>New</w:t>
      </w:r>
      <w:proofErr w:type="gramEnd"/>
      <w:r w:rsidR="00740D53" w:rsidRPr="001C63A4">
        <w:rPr>
          <w:rFonts w:eastAsia="標楷體" w:hint="eastAsia"/>
          <w:sz w:val="26"/>
        </w:rPr>
        <w:t xml:space="preserve"> </w:t>
      </w:r>
      <w:r w:rsidRPr="001C63A4">
        <w:rPr>
          <w:rFonts w:eastAsia="標楷體"/>
          <w:sz w:val="26"/>
        </w:rPr>
        <w:t>Taipei C</w:t>
      </w:r>
      <w:r w:rsidR="00740D53" w:rsidRPr="001C63A4">
        <w:rPr>
          <w:rFonts w:eastAsia="標楷體" w:hint="eastAsia"/>
          <w:sz w:val="26"/>
        </w:rPr>
        <w:t>ity</w:t>
      </w:r>
      <w:r w:rsidRPr="001C63A4">
        <w:rPr>
          <w:rFonts w:eastAsia="標楷體"/>
          <w:sz w:val="26"/>
        </w:rPr>
        <w:t xml:space="preserve"> with 1</w:t>
      </w:r>
      <w:r w:rsidR="00D358FB" w:rsidRPr="001C63A4">
        <w:rPr>
          <w:rFonts w:eastAsia="標楷體" w:hint="eastAsia"/>
          <w:sz w:val="26"/>
        </w:rPr>
        <w:t>4</w:t>
      </w:r>
      <w:r w:rsidRPr="001C63A4">
        <w:rPr>
          <w:rFonts w:eastAsia="標楷體"/>
          <w:sz w:val="26"/>
        </w:rPr>
        <w:t>,</w:t>
      </w:r>
      <w:r w:rsidR="00587BBF" w:rsidRPr="001C63A4">
        <w:rPr>
          <w:rFonts w:eastAsia="標楷體" w:hint="eastAsia"/>
          <w:sz w:val="26"/>
        </w:rPr>
        <w:t>401</w:t>
      </w:r>
      <w:r w:rsidRPr="001C63A4">
        <w:rPr>
          <w:rFonts w:eastAsia="標楷體"/>
          <w:sz w:val="26"/>
        </w:rPr>
        <w:t xml:space="preserve"> beds, </w:t>
      </w:r>
      <w:proofErr w:type="spellStart"/>
      <w:r w:rsidRPr="001C63A4">
        <w:rPr>
          <w:rFonts w:eastAsia="標楷體"/>
          <w:sz w:val="26"/>
        </w:rPr>
        <w:t>Taoyuan</w:t>
      </w:r>
      <w:proofErr w:type="spellEnd"/>
      <w:r w:rsidRPr="001C63A4">
        <w:rPr>
          <w:rFonts w:eastAsia="標楷體"/>
          <w:sz w:val="26"/>
        </w:rPr>
        <w:t xml:space="preserve"> County with 13,</w:t>
      </w:r>
      <w:r w:rsidR="00587BBF" w:rsidRPr="001C63A4">
        <w:rPr>
          <w:rFonts w:eastAsia="標楷體" w:hint="eastAsia"/>
          <w:sz w:val="26"/>
        </w:rPr>
        <w:t>218</w:t>
      </w:r>
      <w:r w:rsidRPr="001C63A4">
        <w:rPr>
          <w:rFonts w:eastAsia="標楷體"/>
          <w:sz w:val="26"/>
        </w:rPr>
        <w:t xml:space="preserve"> beds and </w:t>
      </w:r>
      <w:r w:rsidR="00C24BE1" w:rsidRPr="001C63A4">
        <w:rPr>
          <w:rFonts w:eastAsia="標楷體" w:hint="eastAsia"/>
          <w:sz w:val="26"/>
        </w:rPr>
        <w:t>Tainan</w:t>
      </w:r>
      <w:r w:rsidRPr="001C63A4">
        <w:rPr>
          <w:rFonts w:eastAsia="標楷體"/>
          <w:sz w:val="26"/>
        </w:rPr>
        <w:t xml:space="preserve"> C</w:t>
      </w:r>
      <w:r w:rsidR="00C24BE1" w:rsidRPr="001C63A4">
        <w:rPr>
          <w:rFonts w:eastAsia="標楷體" w:hint="eastAsia"/>
          <w:sz w:val="26"/>
        </w:rPr>
        <w:t>i</w:t>
      </w:r>
      <w:r w:rsidRPr="001C63A4">
        <w:rPr>
          <w:rFonts w:eastAsia="標楷體"/>
          <w:sz w:val="26"/>
        </w:rPr>
        <w:t>ty with 1</w:t>
      </w:r>
      <w:r w:rsidR="00587BBF" w:rsidRPr="001C63A4">
        <w:rPr>
          <w:rFonts w:eastAsia="標楷體" w:hint="eastAsia"/>
          <w:sz w:val="26"/>
        </w:rPr>
        <w:t>0</w:t>
      </w:r>
      <w:r w:rsidRPr="001C63A4">
        <w:rPr>
          <w:rFonts w:eastAsia="標楷體"/>
          <w:sz w:val="26"/>
        </w:rPr>
        <w:t>,</w:t>
      </w:r>
      <w:r w:rsidR="00587BBF" w:rsidRPr="001C63A4">
        <w:rPr>
          <w:rFonts w:eastAsia="標楷體" w:hint="eastAsia"/>
          <w:sz w:val="26"/>
        </w:rPr>
        <w:t>895</w:t>
      </w:r>
      <w:r w:rsidRPr="001C63A4">
        <w:rPr>
          <w:rFonts w:eastAsia="標楷體"/>
          <w:sz w:val="26"/>
        </w:rPr>
        <w:t xml:space="preserve"> beds, accounting for </w:t>
      </w:r>
      <w:r w:rsidR="00C24BE1" w:rsidRPr="001C63A4">
        <w:rPr>
          <w:rFonts w:eastAsia="標楷體" w:hint="eastAsia"/>
          <w:sz w:val="26"/>
        </w:rPr>
        <w:t>67.1</w:t>
      </w:r>
      <w:r w:rsidRPr="001C63A4">
        <w:rPr>
          <w:rFonts w:eastAsia="標楷體"/>
          <w:sz w:val="26"/>
        </w:rPr>
        <w:t xml:space="preserve">% of the total number of beds in contracted medical care institutions. </w:t>
      </w:r>
    </w:p>
    <w:p w:rsidR="002E3403" w:rsidRPr="001C63A4" w:rsidRDefault="00464363" w:rsidP="00464363">
      <w:pPr>
        <w:pStyle w:val="a9"/>
        <w:spacing w:before="200" w:line="360" w:lineRule="exact"/>
        <w:ind w:leftChars="118" w:left="283"/>
        <w:jc w:val="both"/>
        <w:rPr>
          <w:rFonts w:eastAsia="標楷體"/>
          <w:b/>
          <w:sz w:val="26"/>
        </w:rPr>
      </w:pPr>
      <w:proofErr w:type="spellStart"/>
      <w:proofErr w:type="gramStart"/>
      <w:r w:rsidRPr="001C63A4">
        <w:rPr>
          <w:rFonts w:ascii="標楷體" w:eastAsia="標楷體" w:hAnsi="標楷體" w:hint="eastAsia"/>
          <w:b/>
          <w:sz w:val="26"/>
        </w:rPr>
        <w:t>i.</w:t>
      </w:r>
      <w:r w:rsidR="002E3403" w:rsidRPr="001C63A4">
        <w:rPr>
          <w:rFonts w:eastAsia="標楷體"/>
          <w:b/>
          <w:sz w:val="26"/>
        </w:rPr>
        <w:t>Acute</w:t>
      </w:r>
      <w:proofErr w:type="spellEnd"/>
      <w:proofErr w:type="gramEnd"/>
      <w:r w:rsidR="002E3403" w:rsidRPr="001C63A4">
        <w:rPr>
          <w:rFonts w:eastAsia="標楷體"/>
          <w:b/>
          <w:sz w:val="26"/>
        </w:rPr>
        <w:t xml:space="preserve"> beds</w:t>
      </w:r>
    </w:p>
    <w:p w:rsidR="00F50245" w:rsidRPr="00B00409" w:rsidRDefault="002E3403" w:rsidP="004F0C26">
      <w:pPr>
        <w:pStyle w:val="a9"/>
        <w:spacing w:beforeLines="50" w:afterLines="50" w:line="340" w:lineRule="exact"/>
        <w:ind w:leftChars="0" w:left="510" w:firstLineChars="235" w:firstLine="592"/>
        <w:jc w:val="both"/>
        <w:rPr>
          <w:rFonts w:eastAsia="標楷體"/>
          <w:spacing w:val="-4"/>
          <w:sz w:val="26"/>
        </w:rPr>
      </w:pPr>
      <w:r w:rsidRPr="00B00409">
        <w:rPr>
          <w:rFonts w:eastAsia="標楷體"/>
          <w:spacing w:val="-4"/>
          <w:sz w:val="26"/>
        </w:rPr>
        <w:t>At the end of 20</w:t>
      </w:r>
      <w:r w:rsidR="00D358FB" w:rsidRPr="00B00409">
        <w:rPr>
          <w:rFonts w:eastAsia="標楷體" w:hint="eastAsia"/>
          <w:spacing w:val="-4"/>
          <w:sz w:val="26"/>
        </w:rPr>
        <w:t>1</w:t>
      </w:r>
      <w:r w:rsidR="009C72D6" w:rsidRPr="00B00409">
        <w:rPr>
          <w:rFonts w:eastAsia="標楷體" w:hint="eastAsia"/>
          <w:spacing w:val="-4"/>
          <w:sz w:val="26"/>
        </w:rPr>
        <w:t>1</w:t>
      </w:r>
      <w:r w:rsidRPr="00B00409">
        <w:rPr>
          <w:rFonts w:eastAsia="標楷體"/>
          <w:spacing w:val="-4"/>
          <w:sz w:val="26"/>
        </w:rPr>
        <w:t>, acute beds account</w:t>
      </w:r>
      <w:r w:rsidR="00CA4D26" w:rsidRPr="00B00409">
        <w:rPr>
          <w:rFonts w:eastAsia="標楷體" w:hint="eastAsia"/>
          <w:spacing w:val="-4"/>
          <w:sz w:val="26"/>
        </w:rPr>
        <w:t>ed</w:t>
      </w:r>
      <w:r w:rsidRPr="00B00409">
        <w:rPr>
          <w:rFonts w:eastAsia="標楷體"/>
          <w:spacing w:val="-4"/>
          <w:sz w:val="26"/>
        </w:rPr>
        <w:t xml:space="preserve"> for 87.9% of the total number of beds in contracted medical care institutions</w:t>
      </w:r>
      <w:r w:rsidR="00756C6F" w:rsidRPr="00B00409">
        <w:rPr>
          <w:rFonts w:eastAsia="標楷體" w:hint="eastAsia"/>
          <w:spacing w:val="-4"/>
          <w:sz w:val="26"/>
        </w:rPr>
        <w:t>.</w:t>
      </w:r>
      <w:r w:rsidRPr="00B00409">
        <w:rPr>
          <w:rFonts w:eastAsia="標楷體"/>
          <w:spacing w:val="-4"/>
          <w:sz w:val="26"/>
        </w:rPr>
        <w:t xml:space="preserve"> </w:t>
      </w:r>
      <w:r w:rsidR="00756C6F" w:rsidRPr="00B00409">
        <w:rPr>
          <w:rFonts w:eastAsia="標楷體" w:hint="eastAsia"/>
          <w:spacing w:val="-4"/>
          <w:sz w:val="26"/>
        </w:rPr>
        <w:t xml:space="preserve">There was </w:t>
      </w:r>
      <w:r w:rsidRPr="00B00409">
        <w:rPr>
          <w:rFonts w:eastAsia="標楷體"/>
          <w:spacing w:val="-4"/>
          <w:sz w:val="26"/>
        </w:rPr>
        <w:t xml:space="preserve">an increase of </w:t>
      </w:r>
      <w:r w:rsidR="009C72D6" w:rsidRPr="00B00409">
        <w:rPr>
          <w:rFonts w:eastAsia="標楷體" w:hint="eastAsia"/>
          <w:spacing w:val="-4"/>
          <w:sz w:val="26"/>
        </w:rPr>
        <w:t>238</w:t>
      </w:r>
      <w:r w:rsidRPr="00B00409">
        <w:rPr>
          <w:rFonts w:eastAsia="標楷體"/>
          <w:spacing w:val="-4"/>
          <w:sz w:val="26"/>
        </w:rPr>
        <w:t xml:space="preserve"> beds from the previous year</w:t>
      </w:r>
      <w:r w:rsidR="00C554D5" w:rsidRPr="00B00409">
        <w:rPr>
          <w:rFonts w:eastAsia="標楷體" w:hint="eastAsia"/>
          <w:spacing w:val="-4"/>
          <w:sz w:val="26"/>
        </w:rPr>
        <w:t>.</w:t>
      </w:r>
      <w:r w:rsidRPr="00B00409">
        <w:rPr>
          <w:rFonts w:eastAsia="標楷體"/>
          <w:spacing w:val="-4"/>
          <w:sz w:val="26"/>
        </w:rPr>
        <w:t xml:space="preserve"> </w:t>
      </w:r>
      <w:r w:rsidR="00C554D5" w:rsidRPr="00B00409">
        <w:rPr>
          <w:rFonts w:eastAsia="標楷體" w:hint="eastAsia"/>
          <w:spacing w:val="-4"/>
          <w:sz w:val="26"/>
        </w:rPr>
        <w:t>The</w:t>
      </w:r>
      <w:r w:rsidRPr="00B00409">
        <w:rPr>
          <w:rFonts w:eastAsia="標楷體"/>
          <w:spacing w:val="-4"/>
          <w:sz w:val="26"/>
        </w:rPr>
        <w:t xml:space="preserve"> average annual increase </w:t>
      </w:r>
      <w:r w:rsidR="00C554D5" w:rsidRPr="00B00409">
        <w:rPr>
          <w:rFonts w:eastAsia="標楷體" w:hint="eastAsia"/>
          <w:spacing w:val="-4"/>
          <w:sz w:val="26"/>
        </w:rPr>
        <w:t xml:space="preserve">in the most </w:t>
      </w:r>
      <w:r w:rsidR="00EC44E7" w:rsidRPr="00B00409">
        <w:rPr>
          <w:rFonts w:eastAsia="標楷體" w:hint="eastAsia"/>
          <w:spacing w:val="-4"/>
          <w:sz w:val="26"/>
        </w:rPr>
        <w:t xml:space="preserve">recent </w:t>
      </w:r>
      <w:r w:rsidR="00C554D5" w:rsidRPr="00B00409">
        <w:rPr>
          <w:rFonts w:eastAsia="標楷體" w:hint="eastAsia"/>
          <w:spacing w:val="-4"/>
          <w:sz w:val="26"/>
        </w:rPr>
        <w:t>10 years was</w:t>
      </w:r>
      <w:r w:rsidRPr="00B00409">
        <w:rPr>
          <w:rFonts w:eastAsia="標楷體"/>
          <w:spacing w:val="-4"/>
          <w:sz w:val="26"/>
        </w:rPr>
        <w:t xml:space="preserve"> </w:t>
      </w:r>
      <w:r w:rsidR="00D358FB" w:rsidRPr="00B00409">
        <w:rPr>
          <w:rFonts w:eastAsia="標楷體" w:hint="eastAsia"/>
          <w:spacing w:val="-4"/>
          <w:sz w:val="26"/>
        </w:rPr>
        <w:t>2.</w:t>
      </w:r>
      <w:r w:rsidR="009C72D6" w:rsidRPr="00B00409">
        <w:rPr>
          <w:rFonts w:eastAsia="標楷體" w:hint="eastAsia"/>
          <w:spacing w:val="-4"/>
          <w:sz w:val="26"/>
        </w:rPr>
        <w:t>1</w:t>
      </w:r>
      <w:r w:rsidRPr="00B00409">
        <w:rPr>
          <w:rFonts w:eastAsia="標楷體"/>
          <w:spacing w:val="-4"/>
          <w:sz w:val="26"/>
        </w:rPr>
        <w:t xml:space="preserve">%. </w:t>
      </w:r>
      <w:r w:rsidR="00EC44E7" w:rsidRPr="00B00409">
        <w:rPr>
          <w:rFonts w:eastAsia="標楷體" w:hint="eastAsia"/>
          <w:spacing w:val="-4"/>
          <w:sz w:val="26"/>
        </w:rPr>
        <w:t>Of which, the</w:t>
      </w:r>
      <w:r w:rsidRPr="00B00409">
        <w:rPr>
          <w:rFonts w:eastAsia="標楷體"/>
          <w:spacing w:val="-4"/>
          <w:sz w:val="26"/>
        </w:rPr>
        <w:t xml:space="preserve"> </w:t>
      </w:r>
      <w:r w:rsidR="00EC44E7" w:rsidRPr="00B00409">
        <w:rPr>
          <w:rFonts w:eastAsia="標楷體" w:hint="eastAsia"/>
          <w:spacing w:val="-4"/>
          <w:sz w:val="26"/>
        </w:rPr>
        <w:t xml:space="preserve">insured </w:t>
      </w:r>
      <w:r w:rsidRPr="00B00409">
        <w:rPr>
          <w:rFonts w:eastAsia="標楷體"/>
          <w:spacing w:val="-4"/>
          <w:sz w:val="26"/>
        </w:rPr>
        <w:t>acute beds</w:t>
      </w:r>
      <w:r w:rsidR="00CA4D26" w:rsidRPr="00B00409">
        <w:rPr>
          <w:rFonts w:eastAsia="標楷體" w:hint="eastAsia"/>
          <w:spacing w:val="-4"/>
          <w:sz w:val="26"/>
        </w:rPr>
        <w:t xml:space="preserve"> </w:t>
      </w:r>
      <w:r w:rsidR="00EC44E7" w:rsidRPr="00B00409">
        <w:rPr>
          <w:rFonts w:eastAsia="標楷體" w:hint="eastAsia"/>
          <w:spacing w:val="-4"/>
          <w:sz w:val="26"/>
        </w:rPr>
        <w:t>accounted for</w:t>
      </w:r>
      <w:r w:rsidRPr="00B00409">
        <w:rPr>
          <w:rFonts w:eastAsia="標楷體"/>
          <w:spacing w:val="-4"/>
          <w:sz w:val="26"/>
        </w:rPr>
        <w:t xml:space="preserve"> 7</w:t>
      </w:r>
      <w:r w:rsidR="009C72D6" w:rsidRPr="00B00409">
        <w:rPr>
          <w:rFonts w:eastAsia="標楷體" w:hint="eastAsia"/>
          <w:spacing w:val="-4"/>
          <w:sz w:val="26"/>
        </w:rPr>
        <w:t>3.8</w:t>
      </w:r>
      <w:r w:rsidRPr="00B00409">
        <w:rPr>
          <w:rFonts w:eastAsia="標楷體"/>
          <w:spacing w:val="-4"/>
          <w:sz w:val="26"/>
        </w:rPr>
        <w:t xml:space="preserve">%; </w:t>
      </w:r>
      <w:r w:rsidR="00756C6F" w:rsidRPr="00B00409">
        <w:rPr>
          <w:rFonts w:eastAsia="標楷體" w:hint="eastAsia"/>
          <w:spacing w:val="-4"/>
          <w:sz w:val="26"/>
        </w:rPr>
        <w:t>the</w:t>
      </w:r>
      <w:r w:rsidRPr="00B00409">
        <w:rPr>
          <w:rFonts w:eastAsia="標楷體"/>
          <w:spacing w:val="-4"/>
          <w:sz w:val="26"/>
        </w:rPr>
        <w:t xml:space="preserve"> average annual increase </w:t>
      </w:r>
      <w:r w:rsidR="00756C6F" w:rsidRPr="00B00409">
        <w:rPr>
          <w:rFonts w:eastAsia="標楷體" w:hint="eastAsia"/>
          <w:spacing w:val="-4"/>
          <w:sz w:val="26"/>
        </w:rPr>
        <w:t>was</w:t>
      </w:r>
      <w:r w:rsidRPr="00B00409">
        <w:rPr>
          <w:rFonts w:eastAsia="標楷體"/>
          <w:spacing w:val="-4"/>
          <w:sz w:val="26"/>
        </w:rPr>
        <w:t xml:space="preserve"> </w:t>
      </w:r>
      <w:r w:rsidR="009C72D6" w:rsidRPr="00B00409">
        <w:rPr>
          <w:rFonts w:eastAsia="標楷體" w:hint="eastAsia"/>
          <w:spacing w:val="-4"/>
          <w:sz w:val="26"/>
        </w:rPr>
        <w:t>2.7</w:t>
      </w:r>
      <w:r w:rsidRPr="00B00409">
        <w:rPr>
          <w:rFonts w:eastAsia="標楷體"/>
          <w:spacing w:val="-4"/>
          <w:sz w:val="26"/>
        </w:rPr>
        <w:t>%.</w:t>
      </w:r>
    </w:p>
    <w:p w:rsidR="002E3403" w:rsidRPr="001C63A4" w:rsidRDefault="009F6ECD" w:rsidP="004F0C26">
      <w:pPr>
        <w:pStyle w:val="a9"/>
        <w:spacing w:beforeLines="50" w:afterLines="50" w:line="360" w:lineRule="exact"/>
        <w:ind w:leftChars="0" w:left="510" w:firstLineChars="235" w:firstLine="611"/>
        <w:jc w:val="both"/>
        <w:rPr>
          <w:rFonts w:eastAsia="標楷體"/>
          <w:sz w:val="26"/>
        </w:rPr>
      </w:pPr>
      <w:r w:rsidRPr="001C63A4">
        <w:rPr>
          <w:rFonts w:eastAsia="標楷體"/>
          <w:sz w:val="26"/>
        </w:rPr>
        <w:t xml:space="preserve">Broken down by </w:t>
      </w:r>
      <w:r w:rsidR="0021273E" w:rsidRPr="001C63A4">
        <w:rPr>
          <w:rFonts w:eastAsia="標楷體"/>
          <w:sz w:val="26"/>
        </w:rPr>
        <w:t>NHI Regional Division</w:t>
      </w:r>
      <w:r w:rsidRPr="001C63A4">
        <w:rPr>
          <w:rFonts w:eastAsia="標楷體"/>
          <w:sz w:val="26"/>
        </w:rPr>
        <w:t xml:space="preserve">, the percentages of insured acute beds to acute beds were </w:t>
      </w:r>
      <w:r w:rsidR="009C72D6" w:rsidRPr="001C63A4">
        <w:rPr>
          <w:rFonts w:eastAsia="標楷體" w:hint="eastAsia"/>
          <w:sz w:val="26"/>
        </w:rPr>
        <w:t>80.2</w:t>
      </w:r>
      <w:r w:rsidRPr="001C63A4">
        <w:rPr>
          <w:rFonts w:eastAsia="標楷體"/>
          <w:sz w:val="26"/>
        </w:rPr>
        <w:t xml:space="preserve">% for the Eastern </w:t>
      </w:r>
      <w:r w:rsidR="0021273E" w:rsidRPr="001C63A4">
        <w:rPr>
          <w:rFonts w:eastAsia="標楷體"/>
          <w:sz w:val="26"/>
        </w:rPr>
        <w:t>Division</w:t>
      </w:r>
      <w:r w:rsidRPr="001C63A4">
        <w:rPr>
          <w:rFonts w:eastAsia="標楷體"/>
          <w:sz w:val="26"/>
        </w:rPr>
        <w:t xml:space="preserve">, </w:t>
      </w:r>
      <w:r w:rsidR="009C72D6" w:rsidRPr="001C63A4">
        <w:rPr>
          <w:rFonts w:eastAsia="標楷體" w:hint="eastAsia"/>
          <w:sz w:val="26"/>
        </w:rPr>
        <w:t>75.9</w:t>
      </w:r>
      <w:r w:rsidRPr="001C63A4">
        <w:rPr>
          <w:rFonts w:eastAsia="標楷體"/>
          <w:sz w:val="26"/>
        </w:rPr>
        <w:t xml:space="preserve">% for the Southern </w:t>
      </w:r>
      <w:r w:rsidR="0021273E" w:rsidRPr="001C63A4">
        <w:rPr>
          <w:rFonts w:eastAsia="標楷體"/>
          <w:sz w:val="26"/>
        </w:rPr>
        <w:t>Division</w:t>
      </w:r>
      <w:r w:rsidRPr="001C63A4">
        <w:rPr>
          <w:rFonts w:eastAsia="標楷體"/>
          <w:sz w:val="26"/>
        </w:rPr>
        <w:t>, 7</w:t>
      </w:r>
      <w:r w:rsidR="009C72D6" w:rsidRPr="001C63A4">
        <w:rPr>
          <w:rFonts w:eastAsia="標楷體" w:hint="eastAsia"/>
          <w:sz w:val="26"/>
        </w:rPr>
        <w:t>5.0</w:t>
      </w:r>
      <w:r w:rsidRPr="001C63A4">
        <w:rPr>
          <w:rFonts w:eastAsia="標楷體"/>
          <w:sz w:val="26"/>
        </w:rPr>
        <w:t xml:space="preserve">% for the </w:t>
      </w:r>
      <w:proofErr w:type="spellStart"/>
      <w:r w:rsidR="009C72D6" w:rsidRPr="001C63A4">
        <w:rPr>
          <w:rFonts w:eastAsia="標楷體" w:hint="eastAsia"/>
          <w:sz w:val="26"/>
        </w:rPr>
        <w:t>Kao</w:t>
      </w:r>
      <w:r w:rsidR="00EC44E7">
        <w:rPr>
          <w:rFonts w:eastAsia="標楷體" w:hint="eastAsia"/>
          <w:sz w:val="26"/>
        </w:rPr>
        <w:t>ping</w:t>
      </w:r>
      <w:proofErr w:type="spellEnd"/>
      <w:r w:rsidRPr="001C63A4">
        <w:rPr>
          <w:rFonts w:eastAsia="標楷體"/>
          <w:sz w:val="26"/>
        </w:rPr>
        <w:t xml:space="preserve"> </w:t>
      </w:r>
      <w:r w:rsidR="0021273E" w:rsidRPr="001C63A4">
        <w:rPr>
          <w:rFonts w:eastAsia="標楷體"/>
          <w:sz w:val="26"/>
        </w:rPr>
        <w:t>Division</w:t>
      </w:r>
      <w:r w:rsidRPr="001C63A4">
        <w:rPr>
          <w:rFonts w:eastAsia="標楷體"/>
          <w:sz w:val="26"/>
        </w:rPr>
        <w:t>, 74.</w:t>
      </w:r>
      <w:r w:rsidR="009C72D6" w:rsidRPr="001C63A4">
        <w:rPr>
          <w:rFonts w:eastAsia="標楷體" w:hint="eastAsia"/>
          <w:sz w:val="26"/>
        </w:rPr>
        <w:t>6</w:t>
      </w:r>
      <w:r w:rsidRPr="001C63A4">
        <w:rPr>
          <w:rFonts w:eastAsia="標楷體"/>
          <w:sz w:val="26"/>
        </w:rPr>
        <w:t xml:space="preserve">% for the Central </w:t>
      </w:r>
      <w:r w:rsidR="0021273E" w:rsidRPr="001C63A4">
        <w:rPr>
          <w:rFonts w:eastAsia="標楷體"/>
          <w:sz w:val="26"/>
        </w:rPr>
        <w:t>Division</w:t>
      </w:r>
      <w:r w:rsidRPr="001C63A4">
        <w:rPr>
          <w:rFonts w:eastAsia="標楷體"/>
          <w:sz w:val="26"/>
        </w:rPr>
        <w:t xml:space="preserve">, 74.3% for </w:t>
      </w:r>
      <w:r w:rsidR="0021273E" w:rsidRPr="001C63A4">
        <w:rPr>
          <w:rFonts w:eastAsia="標楷體"/>
          <w:sz w:val="26"/>
        </w:rPr>
        <w:t xml:space="preserve">the </w:t>
      </w:r>
      <w:r w:rsidR="009C72D6" w:rsidRPr="001C63A4">
        <w:rPr>
          <w:rFonts w:eastAsia="標楷體"/>
          <w:sz w:val="26"/>
        </w:rPr>
        <w:t>Northern</w:t>
      </w:r>
      <w:r w:rsidRPr="001C63A4">
        <w:rPr>
          <w:rFonts w:eastAsia="標楷體"/>
          <w:sz w:val="26"/>
        </w:rPr>
        <w:t xml:space="preserve"> </w:t>
      </w:r>
      <w:r w:rsidR="0021273E" w:rsidRPr="001C63A4">
        <w:rPr>
          <w:rFonts w:eastAsia="標楷體"/>
          <w:sz w:val="26"/>
        </w:rPr>
        <w:t>Division</w:t>
      </w:r>
      <w:r w:rsidRPr="001C63A4">
        <w:rPr>
          <w:rFonts w:eastAsia="標楷體"/>
          <w:sz w:val="26"/>
        </w:rPr>
        <w:t xml:space="preserve"> and </w:t>
      </w:r>
      <w:r w:rsidR="009C72D6" w:rsidRPr="001C63A4">
        <w:rPr>
          <w:rFonts w:eastAsia="標楷體" w:hint="eastAsia"/>
          <w:sz w:val="26"/>
        </w:rPr>
        <w:t>70</w:t>
      </w:r>
      <w:r w:rsidRPr="001C63A4">
        <w:rPr>
          <w:rFonts w:eastAsia="標楷體"/>
          <w:sz w:val="26"/>
        </w:rPr>
        <w:t xml:space="preserve">.6% for the Taipei </w:t>
      </w:r>
      <w:r w:rsidR="0021273E" w:rsidRPr="001C63A4">
        <w:rPr>
          <w:rFonts w:eastAsia="標楷體"/>
          <w:sz w:val="26"/>
        </w:rPr>
        <w:t>Division</w:t>
      </w:r>
      <w:r w:rsidRPr="001C63A4">
        <w:rPr>
          <w:rFonts w:eastAsia="標楷體"/>
          <w:sz w:val="26"/>
        </w:rPr>
        <w:t>. Broken down by city and county</w:t>
      </w:r>
      <w:proofErr w:type="gramStart"/>
      <w:r w:rsidR="009C72D6" w:rsidRPr="001C63A4">
        <w:rPr>
          <w:rFonts w:eastAsia="標楷體"/>
          <w:sz w:val="26"/>
        </w:rPr>
        <w:t xml:space="preserve">, </w:t>
      </w:r>
      <w:r w:rsidRPr="001C63A4">
        <w:rPr>
          <w:rFonts w:eastAsia="標楷體"/>
          <w:sz w:val="26"/>
        </w:rPr>
        <w:t xml:space="preserve"> </w:t>
      </w:r>
      <w:proofErr w:type="spellStart"/>
      <w:r w:rsidRPr="001C63A4">
        <w:rPr>
          <w:rFonts w:eastAsia="標楷體"/>
          <w:sz w:val="26"/>
        </w:rPr>
        <w:t>Taitung</w:t>
      </w:r>
      <w:proofErr w:type="spellEnd"/>
      <w:proofErr w:type="gramEnd"/>
      <w:r w:rsidRPr="001C63A4">
        <w:rPr>
          <w:rFonts w:eastAsia="標楷體"/>
          <w:sz w:val="26"/>
        </w:rPr>
        <w:t xml:space="preserve"> County </w:t>
      </w:r>
      <w:r w:rsidR="009C72D6" w:rsidRPr="001C63A4">
        <w:rPr>
          <w:rFonts w:eastAsia="標楷體" w:hint="eastAsia"/>
          <w:sz w:val="26"/>
        </w:rPr>
        <w:t>was</w:t>
      </w:r>
      <w:r w:rsidRPr="001C63A4">
        <w:rPr>
          <w:rFonts w:eastAsia="標楷體"/>
          <w:sz w:val="26"/>
        </w:rPr>
        <w:t xml:space="preserve"> ranked the highest with </w:t>
      </w:r>
      <w:r w:rsidR="009C72D6" w:rsidRPr="001C63A4">
        <w:rPr>
          <w:rFonts w:eastAsia="標楷體" w:hint="eastAsia"/>
          <w:sz w:val="26"/>
        </w:rPr>
        <w:t>83.</w:t>
      </w:r>
      <w:r w:rsidR="00B00409">
        <w:rPr>
          <w:rFonts w:eastAsia="標楷體" w:hint="eastAsia"/>
          <w:sz w:val="26"/>
        </w:rPr>
        <w:t>3</w:t>
      </w:r>
      <w:r w:rsidRPr="001C63A4">
        <w:rPr>
          <w:rFonts w:eastAsia="標楷體"/>
          <w:sz w:val="26"/>
        </w:rPr>
        <w:t xml:space="preserve">%, followed by </w:t>
      </w:r>
      <w:proofErr w:type="spellStart"/>
      <w:r w:rsidR="009C72D6" w:rsidRPr="001C63A4">
        <w:rPr>
          <w:rFonts w:eastAsia="標楷體" w:hint="eastAsia"/>
          <w:sz w:val="26"/>
        </w:rPr>
        <w:t>Chiayi</w:t>
      </w:r>
      <w:proofErr w:type="spellEnd"/>
      <w:r w:rsidRPr="001C63A4">
        <w:rPr>
          <w:rFonts w:eastAsia="標楷體"/>
          <w:sz w:val="26"/>
        </w:rPr>
        <w:t xml:space="preserve"> County</w:t>
      </w:r>
      <w:r w:rsidR="009C72D6" w:rsidRPr="001C63A4">
        <w:rPr>
          <w:rFonts w:eastAsia="標楷體" w:hint="eastAsia"/>
          <w:sz w:val="26"/>
        </w:rPr>
        <w:t xml:space="preserve"> and Keelung County</w:t>
      </w:r>
      <w:r w:rsidRPr="001C63A4">
        <w:rPr>
          <w:rFonts w:eastAsia="標楷體"/>
          <w:sz w:val="26"/>
        </w:rPr>
        <w:t xml:space="preserve"> at 81.</w:t>
      </w:r>
      <w:r w:rsidR="00B00409">
        <w:rPr>
          <w:rFonts w:eastAsia="標楷體" w:hint="eastAsia"/>
          <w:sz w:val="26"/>
        </w:rPr>
        <w:t>8</w:t>
      </w:r>
      <w:r w:rsidRPr="001C63A4">
        <w:rPr>
          <w:rFonts w:eastAsia="標楷體"/>
          <w:sz w:val="26"/>
        </w:rPr>
        <w:t>%</w:t>
      </w:r>
      <w:r w:rsidR="00352247" w:rsidRPr="001C63A4">
        <w:rPr>
          <w:rFonts w:eastAsia="標楷體" w:hint="eastAsia"/>
          <w:sz w:val="26"/>
        </w:rPr>
        <w:t xml:space="preserve">, </w:t>
      </w:r>
      <w:proofErr w:type="spellStart"/>
      <w:r w:rsidR="00352247" w:rsidRPr="001C63A4">
        <w:rPr>
          <w:rFonts w:eastAsia="標楷體" w:hint="eastAsia"/>
          <w:sz w:val="26"/>
        </w:rPr>
        <w:t>Hsinchu</w:t>
      </w:r>
      <w:proofErr w:type="spellEnd"/>
      <w:r w:rsidRPr="001C63A4">
        <w:rPr>
          <w:rFonts w:eastAsia="標楷體"/>
          <w:sz w:val="26"/>
        </w:rPr>
        <w:t xml:space="preserve"> County at </w:t>
      </w:r>
      <w:r w:rsidR="00352247" w:rsidRPr="001C63A4">
        <w:rPr>
          <w:rFonts w:eastAsia="標楷體" w:hint="eastAsia"/>
          <w:sz w:val="26"/>
        </w:rPr>
        <w:t>81.6</w:t>
      </w:r>
      <w:r w:rsidRPr="001C63A4">
        <w:rPr>
          <w:rFonts w:eastAsia="標楷體"/>
          <w:sz w:val="26"/>
        </w:rPr>
        <w:t>%; Taipei City was at the bottom with 6</w:t>
      </w:r>
      <w:r w:rsidR="00352247" w:rsidRPr="001C63A4">
        <w:rPr>
          <w:rFonts w:eastAsia="標楷體" w:hint="eastAsia"/>
          <w:sz w:val="26"/>
        </w:rPr>
        <w:t>5.7</w:t>
      </w:r>
      <w:r w:rsidRPr="001C63A4">
        <w:rPr>
          <w:rFonts w:eastAsia="標楷體"/>
          <w:sz w:val="26"/>
        </w:rPr>
        <w:t>%</w:t>
      </w:r>
      <w:r w:rsidR="002E3403" w:rsidRPr="001C63A4">
        <w:rPr>
          <w:rFonts w:eastAsia="標楷體"/>
          <w:sz w:val="26"/>
        </w:rPr>
        <w:t xml:space="preserve">. </w:t>
      </w:r>
    </w:p>
    <w:p w:rsidR="002E3403" w:rsidRPr="001C63A4" w:rsidRDefault="00C47B04" w:rsidP="004F0C26">
      <w:pPr>
        <w:kinsoku w:val="0"/>
        <w:spacing w:beforeLines="50"/>
        <w:ind w:leftChars="177" w:left="425"/>
        <w:jc w:val="center"/>
        <w:rPr>
          <w:rFonts w:eastAsia="標楷體"/>
          <w:sz w:val="26"/>
        </w:rPr>
      </w:pPr>
      <w:r w:rsidRPr="00C47B04">
        <w:rPr>
          <w:rFonts w:eastAsia="標楷體"/>
          <w:noProof/>
          <w:sz w:val="26"/>
        </w:rPr>
        <w:drawing>
          <wp:inline distT="0" distB="0" distL="0" distR="0">
            <wp:extent cx="5486400" cy="2769079"/>
            <wp:effectExtent l="0" t="0" r="0" b="0"/>
            <wp:docPr id="5"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50245" w:rsidRPr="001C63A4" w:rsidRDefault="00A07C39" w:rsidP="004F0C26">
      <w:pPr>
        <w:pStyle w:val="a9"/>
        <w:spacing w:beforeLines="50" w:afterLines="150" w:line="380" w:lineRule="exact"/>
        <w:ind w:leftChars="0" w:left="510" w:firstLineChars="235" w:firstLine="611"/>
        <w:jc w:val="both"/>
        <w:rPr>
          <w:rFonts w:eastAsia="標楷體"/>
          <w:sz w:val="26"/>
        </w:rPr>
      </w:pPr>
      <w:r w:rsidRPr="001C63A4">
        <w:rPr>
          <w:rFonts w:eastAsia="標楷體" w:hint="eastAsia"/>
          <w:sz w:val="26"/>
        </w:rPr>
        <w:lastRenderedPageBreak/>
        <w:t>Broken down by</w:t>
      </w:r>
      <w:r w:rsidR="002E3403" w:rsidRPr="001C63A4">
        <w:rPr>
          <w:rFonts w:eastAsia="標楷體"/>
          <w:sz w:val="26"/>
        </w:rPr>
        <w:t xml:space="preserve"> </w:t>
      </w:r>
      <w:r w:rsidRPr="001C63A4">
        <w:rPr>
          <w:rFonts w:eastAsia="標楷體" w:hint="eastAsia"/>
          <w:sz w:val="26"/>
        </w:rPr>
        <w:t>type of bed,</w:t>
      </w:r>
      <w:r w:rsidR="002E3403" w:rsidRPr="001C63A4">
        <w:rPr>
          <w:rFonts w:eastAsia="標楷體"/>
          <w:sz w:val="26"/>
        </w:rPr>
        <w:t xml:space="preserve"> there </w:t>
      </w:r>
      <w:r w:rsidRPr="001C63A4">
        <w:rPr>
          <w:rFonts w:eastAsia="標楷體" w:hint="eastAsia"/>
          <w:sz w:val="26"/>
        </w:rPr>
        <w:t>was</w:t>
      </w:r>
      <w:r w:rsidR="002E3403" w:rsidRPr="001C63A4">
        <w:rPr>
          <w:rFonts w:eastAsia="標楷體"/>
          <w:sz w:val="26"/>
        </w:rPr>
        <w:t xml:space="preserve"> an increase of </w:t>
      </w:r>
      <w:r w:rsidR="005C4A2D" w:rsidRPr="001C63A4">
        <w:rPr>
          <w:rFonts w:eastAsia="標楷體" w:hint="eastAsia"/>
          <w:sz w:val="26"/>
        </w:rPr>
        <w:t>2</w:t>
      </w:r>
      <w:r w:rsidR="005C4A2D" w:rsidRPr="001C63A4">
        <w:rPr>
          <w:rFonts w:eastAsia="標楷體"/>
          <w:sz w:val="26"/>
        </w:rPr>
        <w:t>,</w:t>
      </w:r>
      <w:r w:rsidR="005C4A2D" w:rsidRPr="001C63A4">
        <w:rPr>
          <w:rFonts w:eastAsia="標楷體" w:hint="eastAsia"/>
          <w:sz w:val="26"/>
        </w:rPr>
        <w:t>12</w:t>
      </w:r>
      <w:r w:rsidR="003D34D0">
        <w:rPr>
          <w:rFonts w:eastAsia="標楷體" w:hint="eastAsia"/>
          <w:sz w:val="26"/>
        </w:rPr>
        <w:t>6</w:t>
      </w:r>
      <w:r w:rsidR="002E3403" w:rsidRPr="001C63A4">
        <w:rPr>
          <w:rFonts w:eastAsia="標楷體"/>
          <w:sz w:val="26"/>
        </w:rPr>
        <w:t xml:space="preserve"> general beds</w:t>
      </w:r>
      <w:r w:rsidRPr="001C63A4">
        <w:rPr>
          <w:rFonts w:eastAsia="標楷體" w:hint="eastAsia"/>
          <w:sz w:val="26"/>
        </w:rPr>
        <w:t xml:space="preserve"> from 200</w:t>
      </w:r>
      <w:r w:rsidR="005C4A2D" w:rsidRPr="001C63A4">
        <w:rPr>
          <w:rFonts w:eastAsia="標楷體" w:hint="eastAsia"/>
          <w:sz w:val="26"/>
        </w:rPr>
        <w:t>6</w:t>
      </w:r>
      <w:r w:rsidRPr="001C63A4">
        <w:rPr>
          <w:rFonts w:eastAsia="標楷體" w:hint="eastAsia"/>
          <w:sz w:val="26"/>
        </w:rPr>
        <w:t xml:space="preserve"> with </w:t>
      </w:r>
      <w:r w:rsidR="002E3403" w:rsidRPr="001C63A4">
        <w:rPr>
          <w:rFonts w:eastAsia="標楷體"/>
          <w:sz w:val="26"/>
        </w:rPr>
        <w:t xml:space="preserve">an average annual </w:t>
      </w:r>
      <w:r w:rsidRPr="001C63A4">
        <w:rPr>
          <w:rFonts w:eastAsia="標楷體" w:hint="eastAsia"/>
          <w:sz w:val="26"/>
        </w:rPr>
        <w:t>in</w:t>
      </w:r>
      <w:r w:rsidR="002E3403" w:rsidRPr="001C63A4">
        <w:rPr>
          <w:rFonts w:eastAsia="標楷體"/>
          <w:sz w:val="26"/>
        </w:rPr>
        <w:t xml:space="preserve">crease </w:t>
      </w:r>
      <w:r w:rsidRPr="001C63A4">
        <w:rPr>
          <w:rFonts w:eastAsia="標楷體" w:hint="eastAsia"/>
          <w:sz w:val="26"/>
        </w:rPr>
        <w:t xml:space="preserve">of </w:t>
      </w:r>
      <w:r w:rsidR="005C4A2D" w:rsidRPr="001C63A4">
        <w:rPr>
          <w:rFonts w:eastAsia="標楷體" w:hint="eastAsia"/>
          <w:sz w:val="26"/>
        </w:rPr>
        <w:t>1.0</w:t>
      </w:r>
      <w:r w:rsidR="009719DF" w:rsidRPr="001C63A4">
        <w:rPr>
          <w:rFonts w:eastAsia="標楷體" w:hint="eastAsia"/>
          <w:sz w:val="26"/>
        </w:rPr>
        <w:t>%</w:t>
      </w:r>
      <w:r w:rsidR="002E3403" w:rsidRPr="001C63A4">
        <w:rPr>
          <w:rFonts w:eastAsia="標楷體"/>
          <w:sz w:val="26"/>
        </w:rPr>
        <w:t xml:space="preserve">; an increase of </w:t>
      </w:r>
      <w:r w:rsidR="005C4A2D" w:rsidRPr="001C63A4">
        <w:rPr>
          <w:rFonts w:eastAsia="標楷體" w:hint="eastAsia"/>
          <w:sz w:val="26"/>
        </w:rPr>
        <w:t>905</w:t>
      </w:r>
      <w:r w:rsidR="002E3403" w:rsidRPr="001C63A4">
        <w:rPr>
          <w:rFonts w:eastAsia="標楷體"/>
          <w:sz w:val="26"/>
        </w:rPr>
        <w:t xml:space="preserve"> psychiatric beds</w:t>
      </w:r>
      <w:r w:rsidRPr="001C63A4">
        <w:rPr>
          <w:rFonts w:eastAsia="標楷體" w:hint="eastAsia"/>
          <w:sz w:val="26"/>
        </w:rPr>
        <w:t xml:space="preserve"> with</w:t>
      </w:r>
      <w:r w:rsidR="002E3403" w:rsidRPr="001C63A4">
        <w:rPr>
          <w:rFonts w:eastAsia="標楷體"/>
          <w:sz w:val="26"/>
        </w:rPr>
        <w:t xml:space="preserve"> an average annual increase of </w:t>
      </w:r>
      <w:r w:rsidR="005C4A2D" w:rsidRPr="001C63A4">
        <w:rPr>
          <w:rFonts w:eastAsia="標楷體" w:hint="eastAsia"/>
          <w:sz w:val="26"/>
        </w:rPr>
        <w:t>3.0</w:t>
      </w:r>
      <w:r w:rsidR="002E3403" w:rsidRPr="001C63A4">
        <w:rPr>
          <w:rFonts w:eastAsia="標楷體"/>
          <w:sz w:val="26"/>
        </w:rPr>
        <w:t>%; an increase of 3,</w:t>
      </w:r>
      <w:r w:rsidR="000F5BAD" w:rsidRPr="001C63A4">
        <w:rPr>
          <w:rFonts w:eastAsia="標楷體" w:hint="eastAsia"/>
          <w:sz w:val="26"/>
        </w:rPr>
        <w:t>2</w:t>
      </w:r>
      <w:r w:rsidR="005C4A2D" w:rsidRPr="001C63A4">
        <w:rPr>
          <w:rFonts w:eastAsia="標楷體" w:hint="eastAsia"/>
          <w:sz w:val="26"/>
        </w:rPr>
        <w:t>96</w:t>
      </w:r>
      <w:r w:rsidR="002E3403" w:rsidRPr="001C63A4">
        <w:rPr>
          <w:rFonts w:eastAsia="標楷體"/>
          <w:sz w:val="26"/>
        </w:rPr>
        <w:t xml:space="preserve"> </w:t>
      </w:r>
      <w:r w:rsidRPr="001C63A4">
        <w:rPr>
          <w:rFonts w:eastAsia="標楷體" w:hint="eastAsia"/>
          <w:sz w:val="26"/>
        </w:rPr>
        <w:t>hemo</w:t>
      </w:r>
      <w:r w:rsidR="002E3403" w:rsidRPr="001C63A4">
        <w:rPr>
          <w:rFonts w:eastAsia="標楷體"/>
          <w:sz w:val="26"/>
        </w:rPr>
        <w:t>dialysis beds</w:t>
      </w:r>
      <w:r w:rsidRPr="001C63A4">
        <w:rPr>
          <w:rFonts w:eastAsia="標楷體" w:hint="eastAsia"/>
          <w:sz w:val="26"/>
        </w:rPr>
        <w:t xml:space="preserve"> with</w:t>
      </w:r>
      <w:r w:rsidR="002E3403" w:rsidRPr="001C63A4">
        <w:rPr>
          <w:rFonts w:eastAsia="標楷體"/>
          <w:sz w:val="26"/>
        </w:rPr>
        <w:t xml:space="preserve"> an average annual increase of </w:t>
      </w:r>
      <w:r w:rsidR="005C4A2D" w:rsidRPr="001C63A4">
        <w:rPr>
          <w:rFonts w:eastAsia="標楷體" w:hint="eastAsia"/>
          <w:sz w:val="26"/>
        </w:rPr>
        <w:t>4.8</w:t>
      </w:r>
      <w:r w:rsidR="002E3403" w:rsidRPr="001C63A4">
        <w:rPr>
          <w:rFonts w:eastAsia="標楷體"/>
          <w:sz w:val="26"/>
        </w:rPr>
        <w:t xml:space="preserve">%; an increase of </w:t>
      </w:r>
      <w:r w:rsidR="005C4A2D" w:rsidRPr="001C63A4">
        <w:rPr>
          <w:rFonts w:eastAsia="標楷體" w:hint="eastAsia"/>
          <w:sz w:val="26"/>
        </w:rPr>
        <w:t>204</w:t>
      </w:r>
      <w:r w:rsidR="002E3403" w:rsidRPr="001C63A4">
        <w:rPr>
          <w:rFonts w:eastAsia="標楷體"/>
          <w:sz w:val="26"/>
        </w:rPr>
        <w:t xml:space="preserve"> hospice </w:t>
      </w:r>
      <w:r w:rsidRPr="001C63A4">
        <w:rPr>
          <w:rFonts w:eastAsia="標楷體" w:hint="eastAsia"/>
          <w:sz w:val="26"/>
        </w:rPr>
        <w:t xml:space="preserve">care </w:t>
      </w:r>
      <w:r w:rsidR="002E3403" w:rsidRPr="001C63A4">
        <w:rPr>
          <w:rFonts w:eastAsia="標楷體"/>
          <w:sz w:val="26"/>
        </w:rPr>
        <w:t>beds</w:t>
      </w:r>
      <w:r w:rsidRPr="001C63A4">
        <w:rPr>
          <w:rFonts w:eastAsia="標楷體" w:hint="eastAsia"/>
          <w:sz w:val="26"/>
        </w:rPr>
        <w:t xml:space="preserve"> with</w:t>
      </w:r>
      <w:r w:rsidR="002E3403" w:rsidRPr="001C63A4">
        <w:rPr>
          <w:rFonts w:eastAsia="標楷體"/>
          <w:sz w:val="26"/>
        </w:rPr>
        <w:t xml:space="preserve"> an average annual increase of </w:t>
      </w:r>
      <w:r w:rsidR="005C4A2D" w:rsidRPr="001C63A4">
        <w:rPr>
          <w:rFonts w:eastAsia="標楷體" w:hint="eastAsia"/>
          <w:sz w:val="26"/>
        </w:rPr>
        <w:t>13.9</w:t>
      </w:r>
      <w:r w:rsidR="002E3403" w:rsidRPr="001C63A4">
        <w:rPr>
          <w:rFonts w:eastAsia="標楷體"/>
          <w:sz w:val="26"/>
        </w:rPr>
        <w:t xml:space="preserve">%; an increase of </w:t>
      </w:r>
      <w:r w:rsidR="000F5BAD" w:rsidRPr="001C63A4">
        <w:rPr>
          <w:rFonts w:eastAsia="標楷體" w:hint="eastAsia"/>
          <w:sz w:val="26"/>
        </w:rPr>
        <w:t>71</w:t>
      </w:r>
      <w:r w:rsidR="005C4A2D" w:rsidRPr="001C63A4">
        <w:rPr>
          <w:rFonts w:eastAsia="標楷體" w:hint="eastAsia"/>
          <w:sz w:val="26"/>
        </w:rPr>
        <w:t>7</w:t>
      </w:r>
      <w:r w:rsidR="002E3403" w:rsidRPr="001C63A4">
        <w:rPr>
          <w:rFonts w:eastAsia="標楷體"/>
          <w:sz w:val="26"/>
        </w:rPr>
        <w:t xml:space="preserve"> respiratory care beds</w:t>
      </w:r>
      <w:r w:rsidRPr="001C63A4">
        <w:rPr>
          <w:rFonts w:eastAsia="標楷體" w:hint="eastAsia"/>
          <w:sz w:val="26"/>
        </w:rPr>
        <w:t xml:space="preserve"> with</w:t>
      </w:r>
      <w:r w:rsidR="002E3403" w:rsidRPr="001C63A4">
        <w:rPr>
          <w:rFonts w:eastAsia="標楷體"/>
          <w:sz w:val="26"/>
        </w:rPr>
        <w:t xml:space="preserve"> an average annual increase of </w:t>
      </w:r>
      <w:r w:rsidR="005C4A2D" w:rsidRPr="001C63A4">
        <w:rPr>
          <w:rFonts w:eastAsia="標楷體" w:hint="eastAsia"/>
          <w:sz w:val="26"/>
        </w:rPr>
        <w:t>2.4</w:t>
      </w:r>
      <w:r w:rsidR="00204193" w:rsidRPr="001C63A4">
        <w:rPr>
          <w:rFonts w:eastAsia="標楷體"/>
          <w:sz w:val="26"/>
        </w:rPr>
        <w:t xml:space="preserve">%, and an increase of </w:t>
      </w:r>
      <w:r w:rsidR="005C4A2D" w:rsidRPr="001C63A4">
        <w:rPr>
          <w:rFonts w:eastAsia="標楷體" w:hint="eastAsia"/>
          <w:sz w:val="26"/>
        </w:rPr>
        <w:t>201</w:t>
      </w:r>
      <w:r w:rsidR="00204193" w:rsidRPr="001C63A4">
        <w:rPr>
          <w:rFonts w:eastAsia="標楷體"/>
          <w:sz w:val="26"/>
        </w:rPr>
        <w:t xml:space="preserve"> respiratory care center beds with an average annual increase of </w:t>
      </w:r>
      <w:r w:rsidR="005C4A2D" w:rsidRPr="001C63A4">
        <w:rPr>
          <w:rFonts w:eastAsia="標楷體" w:hint="eastAsia"/>
          <w:sz w:val="26"/>
        </w:rPr>
        <w:t>4.4</w:t>
      </w:r>
      <w:r w:rsidR="00204193" w:rsidRPr="001C63A4">
        <w:rPr>
          <w:rFonts w:eastAsia="標楷體"/>
          <w:sz w:val="26"/>
        </w:rPr>
        <w:t>%. All of the figures indicated an upward trend, with hospice care beds exhibiting the greatest increase</w:t>
      </w:r>
      <w:r w:rsidR="002E3403" w:rsidRPr="001C63A4">
        <w:rPr>
          <w:rFonts w:eastAsia="標楷體"/>
          <w:sz w:val="26"/>
        </w:rPr>
        <w:t xml:space="preserve">. </w:t>
      </w:r>
    </w:p>
    <w:p w:rsidR="002E3403" w:rsidRPr="001C63A4" w:rsidRDefault="00C36DA6" w:rsidP="004F0C26">
      <w:pPr>
        <w:kinsoku w:val="0"/>
        <w:spacing w:beforeLines="50"/>
        <w:ind w:leftChars="295" w:left="708"/>
        <w:jc w:val="center"/>
        <w:rPr>
          <w:rFonts w:eastAsia="標楷體"/>
          <w:sz w:val="26"/>
        </w:rPr>
      </w:pPr>
      <w:r w:rsidRPr="00C36DA6">
        <w:rPr>
          <w:noProof/>
        </w:rPr>
        <w:drawing>
          <wp:inline distT="0" distB="0" distL="0" distR="0">
            <wp:extent cx="5486400" cy="1555750"/>
            <wp:effectExtent l="0" t="0" r="0" b="0"/>
            <wp:docPr id="21" name="圖表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C36DA6">
        <w:rPr>
          <w:noProof/>
        </w:rPr>
        <w:drawing>
          <wp:inline distT="0" distB="0" distL="0" distR="0">
            <wp:extent cx="5486400" cy="2225615"/>
            <wp:effectExtent l="0" t="0" r="0" b="0"/>
            <wp:docPr id="23" name="圖表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BD5475" w:rsidRPr="001C63A4" w:rsidRDefault="00EF0540" w:rsidP="00AE610C">
      <w:pPr>
        <w:kinsoku w:val="0"/>
        <w:spacing w:line="240" w:lineRule="atLeast"/>
        <w:jc w:val="both"/>
        <w:rPr>
          <w:rFonts w:eastAsia="標楷體"/>
          <w:b/>
          <w:sz w:val="26"/>
        </w:rPr>
      </w:pPr>
      <w:r w:rsidRPr="001C63A4">
        <w:rPr>
          <w:noProof/>
        </w:rPr>
        <w:t xml:space="preserve"> </w:t>
      </w:r>
      <w:r w:rsidR="00464363" w:rsidRPr="001C63A4">
        <w:rPr>
          <w:rFonts w:eastAsia="標楷體" w:hint="eastAsia"/>
          <w:b/>
          <w:sz w:val="26"/>
        </w:rPr>
        <w:t>ii</w:t>
      </w:r>
      <w:r w:rsidR="00B33597" w:rsidRPr="001C63A4">
        <w:rPr>
          <w:rFonts w:eastAsia="標楷體" w:hint="eastAsia"/>
          <w:b/>
          <w:sz w:val="26"/>
        </w:rPr>
        <w:t xml:space="preserve">. </w:t>
      </w:r>
      <w:r w:rsidR="00BD5475" w:rsidRPr="001C63A4">
        <w:rPr>
          <w:rFonts w:eastAsia="標楷體"/>
          <w:b/>
          <w:sz w:val="26"/>
        </w:rPr>
        <w:t>Chronic Beds</w:t>
      </w:r>
    </w:p>
    <w:p w:rsidR="00F50245" w:rsidRPr="001C63A4" w:rsidRDefault="00BD5475" w:rsidP="004F0C26">
      <w:pPr>
        <w:pStyle w:val="a9"/>
        <w:spacing w:beforeLines="50" w:afterLines="50" w:line="380" w:lineRule="exact"/>
        <w:ind w:leftChars="0" w:left="510" w:firstLineChars="235" w:firstLine="611"/>
        <w:jc w:val="both"/>
        <w:rPr>
          <w:rFonts w:eastAsia="標楷體"/>
          <w:sz w:val="26"/>
        </w:rPr>
      </w:pPr>
      <w:r w:rsidRPr="001C63A4">
        <w:rPr>
          <w:rFonts w:eastAsia="標楷體"/>
          <w:sz w:val="26"/>
        </w:rPr>
        <w:t>At the end of 20</w:t>
      </w:r>
      <w:r w:rsidR="001F7A66" w:rsidRPr="001C63A4">
        <w:rPr>
          <w:rFonts w:eastAsia="標楷體" w:hint="eastAsia"/>
          <w:sz w:val="26"/>
        </w:rPr>
        <w:t>1</w:t>
      </w:r>
      <w:r w:rsidR="0057069C" w:rsidRPr="001C63A4">
        <w:rPr>
          <w:rFonts w:eastAsia="標楷體" w:hint="eastAsia"/>
          <w:sz w:val="26"/>
        </w:rPr>
        <w:t>1</w:t>
      </w:r>
      <w:r w:rsidRPr="001C63A4">
        <w:rPr>
          <w:rFonts w:eastAsia="標楷體"/>
          <w:sz w:val="26"/>
        </w:rPr>
        <w:t>, chronic beds account</w:t>
      </w:r>
      <w:r w:rsidR="00CA4D26" w:rsidRPr="001C63A4">
        <w:rPr>
          <w:rFonts w:eastAsia="標楷體" w:hint="eastAsia"/>
          <w:sz w:val="26"/>
        </w:rPr>
        <w:t>ed</w:t>
      </w:r>
      <w:r w:rsidRPr="001C63A4">
        <w:rPr>
          <w:rFonts w:eastAsia="標楷體"/>
          <w:sz w:val="26"/>
        </w:rPr>
        <w:t xml:space="preserve"> for 12.1% of the total number of beds in contracted medical care institutions. There </w:t>
      </w:r>
      <w:r w:rsidR="00512C8C" w:rsidRPr="001C63A4">
        <w:rPr>
          <w:rFonts w:eastAsia="標楷體"/>
          <w:sz w:val="26"/>
        </w:rPr>
        <w:t>was</w:t>
      </w:r>
      <w:r w:rsidRPr="001C63A4">
        <w:rPr>
          <w:rFonts w:eastAsia="標楷體"/>
          <w:sz w:val="26"/>
        </w:rPr>
        <w:t xml:space="preserve"> </w:t>
      </w:r>
      <w:r w:rsidR="00204193" w:rsidRPr="001C63A4">
        <w:rPr>
          <w:rFonts w:eastAsia="標楷體"/>
          <w:sz w:val="26"/>
        </w:rPr>
        <w:t>a</w:t>
      </w:r>
      <w:r w:rsidRPr="001C63A4">
        <w:rPr>
          <w:rFonts w:eastAsia="標楷體"/>
          <w:sz w:val="26"/>
        </w:rPr>
        <w:t xml:space="preserve"> </w:t>
      </w:r>
      <w:r w:rsidR="0057069C" w:rsidRPr="001C63A4">
        <w:rPr>
          <w:rFonts w:eastAsia="標楷體" w:hint="eastAsia"/>
          <w:sz w:val="26"/>
        </w:rPr>
        <w:t>de</w:t>
      </w:r>
      <w:r w:rsidRPr="001C63A4">
        <w:rPr>
          <w:rFonts w:eastAsia="標楷體"/>
          <w:sz w:val="26"/>
        </w:rPr>
        <w:t xml:space="preserve">crease of </w:t>
      </w:r>
      <w:r w:rsidR="0057069C" w:rsidRPr="001C63A4">
        <w:rPr>
          <w:rFonts w:eastAsia="標楷體" w:hint="eastAsia"/>
          <w:sz w:val="26"/>
        </w:rPr>
        <w:t xml:space="preserve">48 </w:t>
      </w:r>
      <w:r w:rsidRPr="001C63A4">
        <w:rPr>
          <w:rFonts w:eastAsia="標楷體"/>
          <w:sz w:val="26"/>
        </w:rPr>
        <w:t>be</w:t>
      </w:r>
      <w:r w:rsidR="009719DF" w:rsidRPr="001C63A4">
        <w:rPr>
          <w:rFonts w:eastAsia="標楷體"/>
          <w:sz w:val="26"/>
        </w:rPr>
        <w:t>ds from the previous year</w:t>
      </w:r>
      <w:r w:rsidR="00474FCD">
        <w:rPr>
          <w:rFonts w:eastAsia="標楷體" w:hint="eastAsia"/>
          <w:sz w:val="26"/>
        </w:rPr>
        <w:t>.</w:t>
      </w:r>
      <w:r w:rsidR="009719DF" w:rsidRPr="001C63A4">
        <w:rPr>
          <w:rFonts w:eastAsia="標楷體"/>
          <w:sz w:val="26"/>
        </w:rPr>
        <w:t xml:space="preserve"> </w:t>
      </w:r>
      <w:r w:rsidR="00474FCD">
        <w:rPr>
          <w:rFonts w:eastAsia="標楷體" w:hint="eastAsia"/>
          <w:sz w:val="26"/>
        </w:rPr>
        <w:t>The</w:t>
      </w:r>
      <w:r w:rsidR="002E43D6" w:rsidRPr="001C63A4">
        <w:rPr>
          <w:rFonts w:eastAsia="標楷體" w:hint="eastAsia"/>
          <w:sz w:val="26"/>
        </w:rPr>
        <w:t xml:space="preserve"> </w:t>
      </w:r>
      <w:r w:rsidRPr="001C63A4">
        <w:rPr>
          <w:rFonts w:eastAsia="標楷體"/>
          <w:sz w:val="26"/>
        </w:rPr>
        <w:t xml:space="preserve">average annual increase </w:t>
      </w:r>
      <w:r w:rsidR="00474FCD">
        <w:rPr>
          <w:rFonts w:eastAsia="標楷體" w:hint="eastAsia"/>
          <w:sz w:val="26"/>
        </w:rPr>
        <w:t>in the recent 10 years was</w:t>
      </w:r>
      <w:r w:rsidRPr="001C63A4">
        <w:rPr>
          <w:rFonts w:eastAsia="標楷體"/>
          <w:sz w:val="26"/>
        </w:rPr>
        <w:t xml:space="preserve"> </w:t>
      </w:r>
      <w:r w:rsidR="001F7A66" w:rsidRPr="001C63A4">
        <w:rPr>
          <w:rFonts w:eastAsia="標楷體" w:hint="eastAsia"/>
          <w:sz w:val="26"/>
        </w:rPr>
        <w:t>2.</w:t>
      </w:r>
      <w:r w:rsidR="0057069C" w:rsidRPr="001C63A4">
        <w:rPr>
          <w:rFonts w:eastAsia="標楷體" w:hint="eastAsia"/>
          <w:sz w:val="26"/>
        </w:rPr>
        <w:t>3</w:t>
      </w:r>
      <w:r w:rsidRPr="001C63A4">
        <w:rPr>
          <w:rFonts w:eastAsia="標楷體"/>
          <w:sz w:val="26"/>
        </w:rPr>
        <w:t xml:space="preserve">%. </w:t>
      </w:r>
      <w:r w:rsidR="00474FCD">
        <w:rPr>
          <w:rFonts w:eastAsia="標楷體" w:hint="eastAsia"/>
          <w:sz w:val="26"/>
        </w:rPr>
        <w:t>Of which, the</w:t>
      </w:r>
      <w:r w:rsidRPr="001C63A4">
        <w:rPr>
          <w:rFonts w:eastAsia="標楷體"/>
          <w:sz w:val="26"/>
        </w:rPr>
        <w:t xml:space="preserve"> insured chronic beds </w:t>
      </w:r>
      <w:r w:rsidR="00474FCD">
        <w:rPr>
          <w:rFonts w:eastAsia="標楷體" w:hint="eastAsia"/>
          <w:sz w:val="26"/>
        </w:rPr>
        <w:t>accounted for</w:t>
      </w:r>
      <w:r w:rsidRPr="001C63A4">
        <w:rPr>
          <w:rFonts w:eastAsia="標楷體"/>
          <w:sz w:val="26"/>
        </w:rPr>
        <w:t xml:space="preserve"> </w:t>
      </w:r>
      <w:r w:rsidR="0057069C" w:rsidRPr="001C63A4">
        <w:rPr>
          <w:rFonts w:eastAsia="標楷體" w:hint="eastAsia"/>
          <w:sz w:val="26"/>
        </w:rPr>
        <w:t>96.4</w:t>
      </w:r>
      <w:r w:rsidRPr="001C63A4">
        <w:rPr>
          <w:rFonts w:eastAsia="標楷體"/>
          <w:sz w:val="26"/>
        </w:rPr>
        <w:t xml:space="preserve">%; the average annual increase </w:t>
      </w:r>
      <w:r w:rsidR="00CA4D26" w:rsidRPr="001C63A4">
        <w:rPr>
          <w:rFonts w:eastAsia="標楷體" w:hint="eastAsia"/>
          <w:sz w:val="26"/>
        </w:rPr>
        <w:t xml:space="preserve">was </w:t>
      </w:r>
      <w:r w:rsidR="001F7A66" w:rsidRPr="001C63A4">
        <w:rPr>
          <w:rFonts w:eastAsia="標楷體" w:hint="eastAsia"/>
          <w:sz w:val="26"/>
        </w:rPr>
        <w:t>2.</w:t>
      </w:r>
      <w:r w:rsidR="0057069C" w:rsidRPr="001C63A4">
        <w:rPr>
          <w:rFonts w:eastAsia="標楷體" w:hint="eastAsia"/>
          <w:sz w:val="26"/>
        </w:rPr>
        <w:t>4</w:t>
      </w:r>
      <w:r w:rsidRPr="001C63A4">
        <w:rPr>
          <w:rFonts w:eastAsia="標楷體"/>
          <w:sz w:val="26"/>
        </w:rPr>
        <w:t>%.</w:t>
      </w:r>
    </w:p>
    <w:p w:rsidR="003E77A9" w:rsidRPr="001C63A4" w:rsidRDefault="00CA4D26" w:rsidP="004F0C26">
      <w:pPr>
        <w:pStyle w:val="a9"/>
        <w:spacing w:beforeLines="50" w:afterLines="50" w:line="380" w:lineRule="exact"/>
        <w:ind w:leftChars="0" w:left="510" w:firstLineChars="235" w:firstLine="611"/>
        <w:jc w:val="both"/>
        <w:rPr>
          <w:rFonts w:eastAsia="標楷體"/>
          <w:sz w:val="26"/>
        </w:rPr>
      </w:pPr>
      <w:r w:rsidRPr="001C63A4">
        <w:rPr>
          <w:rFonts w:eastAsia="標楷體" w:hint="eastAsia"/>
          <w:sz w:val="26"/>
        </w:rPr>
        <w:t xml:space="preserve">Broken down by </w:t>
      </w:r>
      <w:r w:rsidR="00206EF7" w:rsidRPr="001C63A4">
        <w:rPr>
          <w:rFonts w:eastAsia="標楷體"/>
          <w:sz w:val="26"/>
        </w:rPr>
        <w:t>NHI Regional Division</w:t>
      </w:r>
      <w:r w:rsidR="00BD5475" w:rsidRPr="001C63A4">
        <w:rPr>
          <w:rFonts w:eastAsia="標楷體"/>
          <w:sz w:val="26"/>
        </w:rPr>
        <w:t xml:space="preserve">, the percentages of insured </w:t>
      </w:r>
      <w:r w:rsidRPr="001C63A4">
        <w:rPr>
          <w:rFonts w:eastAsia="標楷體" w:hint="eastAsia"/>
          <w:sz w:val="26"/>
        </w:rPr>
        <w:t>chronic</w:t>
      </w:r>
      <w:r w:rsidR="00BD5475" w:rsidRPr="001C63A4">
        <w:rPr>
          <w:rFonts w:eastAsia="標楷體"/>
          <w:sz w:val="26"/>
        </w:rPr>
        <w:t xml:space="preserve"> beds </w:t>
      </w:r>
      <w:r w:rsidRPr="001C63A4">
        <w:rPr>
          <w:rFonts w:eastAsia="標楷體" w:hint="eastAsia"/>
          <w:sz w:val="26"/>
        </w:rPr>
        <w:t>to chronic beds</w:t>
      </w:r>
      <w:r w:rsidR="00BD5475" w:rsidRPr="001C63A4">
        <w:rPr>
          <w:rFonts w:eastAsia="標楷體"/>
          <w:sz w:val="26"/>
        </w:rPr>
        <w:t xml:space="preserve"> </w:t>
      </w:r>
      <w:r w:rsidR="00512C8C" w:rsidRPr="001C63A4">
        <w:rPr>
          <w:rFonts w:eastAsia="標楷體" w:hint="eastAsia"/>
          <w:sz w:val="26"/>
        </w:rPr>
        <w:t>we</w:t>
      </w:r>
      <w:r w:rsidR="00BD5475" w:rsidRPr="001C63A4">
        <w:rPr>
          <w:rFonts w:eastAsia="標楷體"/>
          <w:sz w:val="26"/>
        </w:rPr>
        <w:t xml:space="preserve">re </w:t>
      </w:r>
      <w:r w:rsidR="001F7A66" w:rsidRPr="001C63A4">
        <w:rPr>
          <w:rFonts w:eastAsia="標楷體" w:hint="eastAsia"/>
          <w:sz w:val="26"/>
        </w:rPr>
        <w:t>9</w:t>
      </w:r>
      <w:r w:rsidR="0057069C" w:rsidRPr="001C63A4">
        <w:rPr>
          <w:rFonts w:eastAsia="標楷體" w:hint="eastAsia"/>
          <w:sz w:val="26"/>
        </w:rPr>
        <w:t>9</w:t>
      </w:r>
      <w:r w:rsidR="001F7A66" w:rsidRPr="001C63A4">
        <w:rPr>
          <w:rFonts w:eastAsia="標楷體" w:hint="eastAsia"/>
          <w:sz w:val="26"/>
        </w:rPr>
        <w:t>.5</w:t>
      </w:r>
      <w:r w:rsidR="00BD5475" w:rsidRPr="001C63A4">
        <w:rPr>
          <w:rFonts w:eastAsia="標楷體"/>
          <w:sz w:val="26"/>
        </w:rPr>
        <w:t xml:space="preserve">% for the </w:t>
      </w:r>
      <w:r w:rsidR="00E7183E" w:rsidRPr="001C63A4">
        <w:rPr>
          <w:rFonts w:eastAsia="標楷體" w:hint="eastAsia"/>
          <w:sz w:val="26"/>
        </w:rPr>
        <w:t>S</w:t>
      </w:r>
      <w:r w:rsidR="00BD5475" w:rsidRPr="001C63A4">
        <w:rPr>
          <w:rFonts w:eastAsia="標楷體"/>
          <w:sz w:val="26"/>
        </w:rPr>
        <w:t xml:space="preserve">outhern </w:t>
      </w:r>
      <w:r w:rsidR="00206EF7" w:rsidRPr="001C63A4">
        <w:rPr>
          <w:rFonts w:eastAsia="標楷體"/>
          <w:sz w:val="26"/>
        </w:rPr>
        <w:t>Division</w:t>
      </w:r>
      <w:r w:rsidR="00BD5475" w:rsidRPr="001C63A4">
        <w:rPr>
          <w:rFonts w:eastAsia="標楷體"/>
          <w:sz w:val="26"/>
        </w:rPr>
        <w:t xml:space="preserve">, </w:t>
      </w:r>
      <w:r w:rsidR="0057069C" w:rsidRPr="001C63A4">
        <w:rPr>
          <w:rFonts w:eastAsia="標楷體" w:hint="eastAsia"/>
          <w:sz w:val="26"/>
        </w:rPr>
        <w:t>97.3</w:t>
      </w:r>
      <w:r w:rsidR="00BD5475" w:rsidRPr="001C63A4">
        <w:rPr>
          <w:rFonts w:eastAsia="標楷體"/>
          <w:sz w:val="26"/>
        </w:rPr>
        <w:t xml:space="preserve">% for the </w:t>
      </w:r>
      <w:r w:rsidR="0057069C" w:rsidRPr="001C63A4">
        <w:rPr>
          <w:rFonts w:eastAsia="標楷體" w:hint="eastAsia"/>
          <w:sz w:val="26"/>
        </w:rPr>
        <w:t>Eastern</w:t>
      </w:r>
      <w:r w:rsidR="00BD5475" w:rsidRPr="001C63A4">
        <w:rPr>
          <w:rFonts w:eastAsia="標楷體"/>
          <w:sz w:val="26"/>
        </w:rPr>
        <w:t xml:space="preserve"> </w:t>
      </w:r>
      <w:r w:rsidR="00206EF7" w:rsidRPr="001C63A4">
        <w:rPr>
          <w:rFonts w:eastAsia="標楷體"/>
          <w:sz w:val="26"/>
        </w:rPr>
        <w:t>Division</w:t>
      </w:r>
      <w:r w:rsidR="00BD5475" w:rsidRPr="001C63A4">
        <w:rPr>
          <w:rFonts w:eastAsia="標楷體"/>
          <w:sz w:val="26"/>
        </w:rPr>
        <w:t xml:space="preserve">, </w:t>
      </w:r>
      <w:r w:rsidR="0057069C" w:rsidRPr="001C63A4">
        <w:rPr>
          <w:rFonts w:eastAsia="標楷體" w:hint="eastAsia"/>
          <w:sz w:val="26"/>
        </w:rPr>
        <w:t>96.8</w:t>
      </w:r>
      <w:r w:rsidR="001F7A66" w:rsidRPr="001C63A4">
        <w:rPr>
          <w:rFonts w:eastAsia="標楷體"/>
          <w:sz w:val="26"/>
        </w:rPr>
        <w:t>% for the</w:t>
      </w:r>
      <w:r w:rsidR="001F7A66" w:rsidRPr="001C63A4">
        <w:rPr>
          <w:rFonts w:eastAsia="標楷體" w:hint="eastAsia"/>
          <w:sz w:val="26"/>
        </w:rPr>
        <w:t xml:space="preserve"> </w:t>
      </w:r>
      <w:r w:rsidR="0057069C" w:rsidRPr="001C63A4">
        <w:rPr>
          <w:rFonts w:eastAsia="標楷體" w:hint="eastAsia"/>
          <w:sz w:val="26"/>
        </w:rPr>
        <w:t>Northern</w:t>
      </w:r>
      <w:r w:rsidR="001F7A66" w:rsidRPr="001C63A4">
        <w:rPr>
          <w:rFonts w:eastAsia="標楷體"/>
          <w:sz w:val="26"/>
        </w:rPr>
        <w:t xml:space="preserve"> </w:t>
      </w:r>
      <w:r w:rsidR="00206EF7" w:rsidRPr="001C63A4">
        <w:rPr>
          <w:rFonts w:eastAsia="標楷體"/>
          <w:sz w:val="26"/>
        </w:rPr>
        <w:t>Division</w:t>
      </w:r>
      <w:r w:rsidR="0057069C" w:rsidRPr="001C63A4">
        <w:rPr>
          <w:rFonts w:eastAsia="標楷體" w:hint="eastAsia"/>
          <w:sz w:val="26"/>
        </w:rPr>
        <w:t xml:space="preserve"> and</w:t>
      </w:r>
      <w:r w:rsidR="001F7A66" w:rsidRPr="001C63A4">
        <w:rPr>
          <w:rFonts w:eastAsia="標楷體"/>
          <w:sz w:val="26"/>
        </w:rPr>
        <w:t xml:space="preserve"> the Taipei </w:t>
      </w:r>
      <w:r w:rsidR="00206EF7" w:rsidRPr="001C63A4">
        <w:rPr>
          <w:rFonts w:eastAsia="標楷體"/>
          <w:sz w:val="26"/>
        </w:rPr>
        <w:t>Division</w:t>
      </w:r>
      <w:r w:rsidR="001F7A66" w:rsidRPr="001C63A4">
        <w:rPr>
          <w:rFonts w:eastAsia="標楷體"/>
          <w:sz w:val="26"/>
        </w:rPr>
        <w:t>,</w:t>
      </w:r>
      <w:r w:rsidR="001F7A66" w:rsidRPr="001C63A4">
        <w:rPr>
          <w:rFonts w:eastAsia="標楷體" w:hint="eastAsia"/>
          <w:sz w:val="26"/>
        </w:rPr>
        <w:t xml:space="preserve"> </w:t>
      </w:r>
      <w:r w:rsidR="0057069C" w:rsidRPr="001C63A4">
        <w:rPr>
          <w:rFonts w:eastAsia="標楷體" w:hint="eastAsia"/>
          <w:sz w:val="26"/>
        </w:rPr>
        <w:t>95.1</w:t>
      </w:r>
      <w:r w:rsidR="001F7A66" w:rsidRPr="001C63A4">
        <w:rPr>
          <w:rFonts w:eastAsia="標楷體"/>
          <w:sz w:val="26"/>
        </w:rPr>
        <w:t xml:space="preserve">% for the </w:t>
      </w:r>
      <w:r w:rsidR="0057069C" w:rsidRPr="001C63A4">
        <w:rPr>
          <w:rFonts w:eastAsia="標楷體" w:hint="eastAsia"/>
          <w:sz w:val="26"/>
        </w:rPr>
        <w:t>Central</w:t>
      </w:r>
      <w:r w:rsidR="001F7A66" w:rsidRPr="001C63A4">
        <w:rPr>
          <w:rFonts w:eastAsia="標楷體"/>
          <w:sz w:val="26"/>
        </w:rPr>
        <w:t xml:space="preserve"> </w:t>
      </w:r>
      <w:r w:rsidR="00206EF7" w:rsidRPr="001C63A4">
        <w:rPr>
          <w:rFonts w:eastAsia="標楷體"/>
          <w:sz w:val="26"/>
        </w:rPr>
        <w:t>Division</w:t>
      </w:r>
      <w:r w:rsidR="00204193" w:rsidRPr="001C63A4">
        <w:rPr>
          <w:rFonts w:eastAsia="標楷體"/>
          <w:sz w:val="26"/>
        </w:rPr>
        <w:t xml:space="preserve">, </w:t>
      </w:r>
      <w:r w:rsidR="00206EF7" w:rsidRPr="001C63A4">
        <w:rPr>
          <w:rFonts w:eastAsia="標楷體"/>
          <w:sz w:val="26"/>
        </w:rPr>
        <w:t>and 94.</w:t>
      </w:r>
      <w:r w:rsidR="0057069C" w:rsidRPr="001C63A4">
        <w:rPr>
          <w:rFonts w:eastAsia="標楷體" w:hint="eastAsia"/>
          <w:sz w:val="26"/>
        </w:rPr>
        <w:t>1</w:t>
      </w:r>
      <w:r w:rsidR="00206EF7" w:rsidRPr="001C63A4">
        <w:rPr>
          <w:rFonts w:eastAsia="標楷體"/>
          <w:sz w:val="26"/>
        </w:rPr>
        <w:t xml:space="preserve">% for the </w:t>
      </w:r>
      <w:proofErr w:type="spellStart"/>
      <w:r w:rsidR="00206EF7" w:rsidRPr="001C63A4">
        <w:rPr>
          <w:rFonts w:eastAsia="標楷體"/>
          <w:sz w:val="26"/>
        </w:rPr>
        <w:t>Kao</w:t>
      </w:r>
      <w:r w:rsidR="00204193" w:rsidRPr="001C63A4">
        <w:rPr>
          <w:rFonts w:eastAsia="標楷體"/>
          <w:sz w:val="26"/>
        </w:rPr>
        <w:t>ping</w:t>
      </w:r>
      <w:proofErr w:type="spellEnd"/>
      <w:r w:rsidR="00204193" w:rsidRPr="001C63A4">
        <w:rPr>
          <w:rFonts w:eastAsia="標楷體"/>
          <w:sz w:val="26"/>
        </w:rPr>
        <w:t xml:space="preserve"> </w:t>
      </w:r>
      <w:r w:rsidR="00206EF7" w:rsidRPr="001C63A4">
        <w:rPr>
          <w:rFonts w:eastAsia="標楷體"/>
          <w:sz w:val="26"/>
        </w:rPr>
        <w:t>Division</w:t>
      </w:r>
      <w:r w:rsidR="00204193" w:rsidRPr="001C63A4">
        <w:rPr>
          <w:rFonts w:eastAsia="標楷體"/>
          <w:sz w:val="26"/>
        </w:rPr>
        <w:t xml:space="preserve">. Broken down further by city and county, the percentages of insured chronic beds for all the cities and counties were over 90%, except for </w:t>
      </w:r>
      <w:proofErr w:type="spellStart"/>
      <w:r w:rsidR="00204193" w:rsidRPr="001C63A4">
        <w:rPr>
          <w:rFonts w:eastAsia="標楷體"/>
          <w:sz w:val="26"/>
        </w:rPr>
        <w:t>Hsinchu</w:t>
      </w:r>
      <w:proofErr w:type="spellEnd"/>
      <w:r w:rsidR="00204193" w:rsidRPr="001C63A4">
        <w:rPr>
          <w:rFonts w:eastAsia="標楷體"/>
          <w:sz w:val="26"/>
        </w:rPr>
        <w:t xml:space="preserve"> County with 88.0%</w:t>
      </w:r>
      <w:r w:rsidR="003E77A9" w:rsidRPr="001C63A4">
        <w:rPr>
          <w:rFonts w:eastAsia="標楷體" w:hint="eastAsia"/>
          <w:sz w:val="26"/>
        </w:rPr>
        <w:t>.</w:t>
      </w:r>
    </w:p>
    <w:p w:rsidR="00BD5475" w:rsidRPr="001C63A4" w:rsidRDefault="003E77A9" w:rsidP="004F0C26">
      <w:pPr>
        <w:pStyle w:val="a9"/>
        <w:spacing w:beforeLines="50" w:afterLines="50" w:line="360" w:lineRule="exact"/>
        <w:ind w:leftChars="0" w:left="510" w:firstLineChars="235" w:firstLine="611"/>
        <w:jc w:val="both"/>
        <w:rPr>
          <w:rFonts w:eastAsia="標楷體"/>
          <w:sz w:val="26"/>
        </w:rPr>
      </w:pPr>
      <w:r w:rsidRPr="001C63A4">
        <w:rPr>
          <w:rFonts w:eastAsia="標楷體" w:hint="eastAsia"/>
          <w:sz w:val="26"/>
        </w:rPr>
        <w:lastRenderedPageBreak/>
        <w:t>Broken down by</w:t>
      </w:r>
      <w:r w:rsidRPr="001C63A4">
        <w:rPr>
          <w:rFonts w:eastAsia="標楷體"/>
          <w:sz w:val="26"/>
        </w:rPr>
        <w:t xml:space="preserve"> </w:t>
      </w:r>
      <w:r w:rsidRPr="001C63A4">
        <w:rPr>
          <w:rFonts w:eastAsia="標楷體" w:hint="eastAsia"/>
          <w:sz w:val="26"/>
        </w:rPr>
        <w:t>type of bed</w:t>
      </w:r>
      <w:r w:rsidR="00BD5475" w:rsidRPr="001C63A4">
        <w:rPr>
          <w:rFonts w:eastAsia="標楷體"/>
          <w:sz w:val="26"/>
        </w:rPr>
        <w:t xml:space="preserve">, </w:t>
      </w:r>
      <w:r w:rsidR="008A0697" w:rsidRPr="001C63A4">
        <w:rPr>
          <w:rFonts w:eastAsia="標楷體"/>
          <w:sz w:val="26"/>
        </w:rPr>
        <w:t xml:space="preserve">there </w:t>
      </w:r>
      <w:r w:rsidRPr="001C63A4">
        <w:rPr>
          <w:rFonts w:eastAsia="標楷體" w:hint="eastAsia"/>
          <w:sz w:val="26"/>
        </w:rPr>
        <w:t>was</w:t>
      </w:r>
      <w:r w:rsidR="008A0697" w:rsidRPr="001C63A4">
        <w:rPr>
          <w:rFonts w:eastAsia="標楷體"/>
          <w:sz w:val="26"/>
        </w:rPr>
        <w:t xml:space="preserve"> a </w:t>
      </w:r>
      <w:r w:rsidR="008A0697" w:rsidRPr="001C63A4">
        <w:rPr>
          <w:rFonts w:eastAsia="標楷體" w:hint="eastAsia"/>
          <w:sz w:val="26"/>
        </w:rPr>
        <w:t>de</w:t>
      </w:r>
      <w:r w:rsidR="00BD5475" w:rsidRPr="001C63A4">
        <w:rPr>
          <w:rFonts w:eastAsia="標楷體"/>
          <w:sz w:val="26"/>
        </w:rPr>
        <w:t xml:space="preserve">crease of </w:t>
      </w:r>
      <w:r w:rsidR="002A5BDB" w:rsidRPr="001C63A4">
        <w:rPr>
          <w:rFonts w:eastAsia="標楷體" w:hint="eastAsia"/>
          <w:sz w:val="26"/>
        </w:rPr>
        <w:t>177</w:t>
      </w:r>
      <w:r w:rsidR="00BD5475" w:rsidRPr="001C63A4">
        <w:rPr>
          <w:rFonts w:eastAsia="標楷體"/>
          <w:sz w:val="26"/>
        </w:rPr>
        <w:t xml:space="preserve"> ge</w:t>
      </w:r>
      <w:r w:rsidR="008A0697" w:rsidRPr="001C63A4">
        <w:rPr>
          <w:rFonts w:eastAsia="標楷體"/>
          <w:sz w:val="26"/>
        </w:rPr>
        <w:t>neral beds</w:t>
      </w:r>
      <w:r w:rsidRPr="001C63A4">
        <w:rPr>
          <w:rFonts w:eastAsia="標楷體" w:hint="eastAsia"/>
          <w:sz w:val="26"/>
        </w:rPr>
        <w:t xml:space="preserve"> </w:t>
      </w:r>
      <w:r w:rsidR="00327BCD">
        <w:rPr>
          <w:rFonts w:eastAsia="標楷體" w:hint="eastAsia"/>
          <w:sz w:val="26"/>
        </w:rPr>
        <w:t xml:space="preserve">from 2006 </w:t>
      </w:r>
      <w:r w:rsidRPr="001C63A4">
        <w:rPr>
          <w:rFonts w:eastAsia="標楷體" w:hint="eastAsia"/>
          <w:sz w:val="26"/>
        </w:rPr>
        <w:t xml:space="preserve">with </w:t>
      </w:r>
      <w:r w:rsidR="008A0697" w:rsidRPr="001C63A4">
        <w:rPr>
          <w:rFonts w:eastAsia="標楷體"/>
          <w:sz w:val="26"/>
        </w:rPr>
        <w:t xml:space="preserve">an average annual </w:t>
      </w:r>
      <w:r w:rsidR="008A0697" w:rsidRPr="001C63A4">
        <w:rPr>
          <w:rFonts w:eastAsia="標楷體" w:hint="eastAsia"/>
          <w:sz w:val="26"/>
        </w:rPr>
        <w:t>de</w:t>
      </w:r>
      <w:r w:rsidR="00BD5475" w:rsidRPr="001C63A4">
        <w:rPr>
          <w:rFonts w:eastAsia="標楷體"/>
          <w:sz w:val="26"/>
        </w:rPr>
        <w:t xml:space="preserve">crease of </w:t>
      </w:r>
      <w:r w:rsidR="002A5BDB" w:rsidRPr="001C63A4">
        <w:rPr>
          <w:rFonts w:eastAsia="標楷體" w:hint="eastAsia"/>
          <w:sz w:val="26"/>
        </w:rPr>
        <w:t>1.0</w:t>
      </w:r>
      <w:r w:rsidR="00BD5475" w:rsidRPr="001C63A4">
        <w:rPr>
          <w:rFonts w:eastAsia="標楷體"/>
          <w:sz w:val="26"/>
        </w:rPr>
        <w:t xml:space="preserve">%; an increase of </w:t>
      </w:r>
      <w:r w:rsidR="002A5BDB" w:rsidRPr="001C63A4">
        <w:rPr>
          <w:rFonts w:eastAsia="標楷體" w:hint="eastAsia"/>
          <w:sz w:val="26"/>
        </w:rPr>
        <w:t>75</w:t>
      </w:r>
      <w:r w:rsidR="004455BC" w:rsidRPr="001C63A4">
        <w:rPr>
          <w:rFonts w:eastAsia="標楷體" w:hint="eastAsia"/>
          <w:sz w:val="26"/>
        </w:rPr>
        <w:t>7</w:t>
      </w:r>
      <w:r w:rsidR="00BD5475" w:rsidRPr="001C63A4">
        <w:rPr>
          <w:rFonts w:eastAsia="標楷體"/>
          <w:sz w:val="26"/>
        </w:rPr>
        <w:t xml:space="preserve"> psychiatric beds</w:t>
      </w:r>
      <w:r w:rsidRPr="001C63A4">
        <w:rPr>
          <w:rFonts w:eastAsia="標楷體" w:hint="eastAsia"/>
          <w:sz w:val="26"/>
        </w:rPr>
        <w:t xml:space="preserve"> with</w:t>
      </w:r>
      <w:r w:rsidR="00BD5475" w:rsidRPr="001C63A4">
        <w:rPr>
          <w:rFonts w:eastAsia="標楷體"/>
          <w:sz w:val="26"/>
        </w:rPr>
        <w:t xml:space="preserve"> an average ann</w:t>
      </w:r>
      <w:r w:rsidR="008A0697" w:rsidRPr="001C63A4">
        <w:rPr>
          <w:rFonts w:eastAsia="標楷體"/>
          <w:sz w:val="26"/>
        </w:rPr>
        <w:t xml:space="preserve">ual increase of </w:t>
      </w:r>
      <w:r w:rsidR="002A5BDB" w:rsidRPr="001C63A4">
        <w:rPr>
          <w:rFonts w:eastAsia="標楷體" w:hint="eastAsia"/>
          <w:sz w:val="26"/>
        </w:rPr>
        <w:t>1.1</w:t>
      </w:r>
      <w:r w:rsidR="008A0697" w:rsidRPr="001C63A4">
        <w:rPr>
          <w:rFonts w:eastAsia="標楷體"/>
          <w:sz w:val="26"/>
        </w:rPr>
        <w:t>%; a</w:t>
      </w:r>
      <w:r w:rsidR="004455BC" w:rsidRPr="001C63A4">
        <w:rPr>
          <w:rFonts w:eastAsia="標楷體" w:hint="eastAsia"/>
          <w:sz w:val="26"/>
        </w:rPr>
        <w:t>n</w:t>
      </w:r>
      <w:r w:rsidR="008A0697" w:rsidRPr="001C63A4">
        <w:rPr>
          <w:rFonts w:eastAsia="標楷體"/>
          <w:sz w:val="26"/>
        </w:rPr>
        <w:t xml:space="preserve"> </w:t>
      </w:r>
      <w:r w:rsidR="004455BC" w:rsidRPr="001C63A4">
        <w:rPr>
          <w:rFonts w:eastAsia="標楷體" w:hint="eastAsia"/>
          <w:sz w:val="26"/>
        </w:rPr>
        <w:t>in</w:t>
      </w:r>
      <w:r w:rsidR="00BD5475" w:rsidRPr="001C63A4">
        <w:rPr>
          <w:rFonts w:eastAsia="標楷體"/>
          <w:sz w:val="26"/>
        </w:rPr>
        <w:t xml:space="preserve">crease of </w:t>
      </w:r>
      <w:r w:rsidR="004455BC" w:rsidRPr="001C63A4">
        <w:rPr>
          <w:rFonts w:eastAsia="標楷體" w:hint="eastAsia"/>
          <w:sz w:val="26"/>
        </w:rPr>
        <w:t>2</w:t>
      </w:r>
      <w:r w:rsidR="008A0697" w:rsidRPr="001C63A4">
        <w:rPr>
          <w:rFonts w:eastAsia="標楷體"/>
          <w:sz w:val="26"/>
        </w:rPr>
        <w:t xml:space="preserve"> T.B. beds</w:t>
      </w:r>
      <w:r w:rsidRPr="001C63A4">
        <w:rPr>
          <w:rFonts w:eastAsia="標楷體" w:hint="eastAsia"/>
          <w:sz w:val="26"/>
        </w:rPr>
        <w:t xml:space="preserve"> with</w:t>
      </w:r>
      <w:r w:rsidR="008A0697" w:rsidRPr="001C63A4">
        <w:rPr>
          <w:rFonts w:eastAsia="標楷體"/>
          <w:sz w:val="26"/>
        </w:rPr>
        <w:t xml:space="preserve"> an average annual </w:t>
      </w:r>
      <w:r w:rsidR="00327BCD">
        <w:rPr>
          <w:rFonts w:eastAsia="標楷體" w:hint="eastAsia"/>
          <w:sz w:val="26"/>
        </w:rPr>
        <w:t>in</w:t>
      </w:r>
      <w:r w:rsidR="00BD5475" w:rsidRPr="001C63A4">
        <w:rPr>
          <w:rFonts w:eastAsia="標楷體"/>
          <w:sz w:val="26"/>
        </w:rPr>
        <w:t xml:space="preserve">crease of </w:t>
      </w:r>
      <w:r w:rsidR="004455BC" w:rsidRPr="001C63A4">
        <w:rPr>
          <w:rFonts w:eastAsia="標楷體" w:hint="eastAsia"/>
          <w:sz w:val="26"/>
        </w:rPr>
        <w:t>1</w:t>
      </w:r>
      <w:r w:rsidR="00550A59" w:rsidRPr="001C63A4">
        <w:rPr>
          <w:rFonts w:eastAsia="標楷體" w:hint="eastAsia"/>
          <w:sz w:val="26"/>
        </w:rPr>
        <w:t>.</w:t>
      </w:r>
      <w:r w:rsidR="004455BC" w:rsidRPr="001C63A4">
        <w:rPr>
          <w:rFonts w:eastAsia="標楷體" w:hint="eastAsia"/>
          <w:sz w:val="26"/>
        </w:rPr>
        <w:t>0</w:t>
      </w:r>
      <w:r w:rsidR="00BD5475" w:rsidRPr="001C63A4">
        <w:rPr>
          <w:rFonts w:eastAsia="標楷體"/>
          <w:sz w:val="26"/>
        </w:rPr>
        <w:t>%</w:t>
      </w:r>
      <w:r w:rsidR="004455BC" w:rsidRPr="001C63A4">
        <w:rPr>
          <w:rFonts w:eastAsia="標楷體" w:hint="eastAsia"/>
          <w:sz w:val="26"/>
        </w:rPr>
        <w:t xml:space="preserve">. </w:t>
      </w:r>
      <w:r w:rsidR="00204193" w:rsidRPr="001C63A4">
        <w:rPr>
          <w:rFonts w:eastAsia="標楷體"/>
          <w:sz w:val="26"/>
        </w:rPr>
        <w:t>Psychiatric beds showed the greatest increase</w:t>
      </w:r>
      <w:r w:rsidR="00BD5475" w:rsidRPr="001C63A4">
        <w:rPr>
          <w:rFonts w:eastAsia="標楷體"/>
          <w:sz w:val="26"/>
        </w:rPr>
        <w:t>.</w:t>
      </w:r>
    </w:p>
    <w:p w:rsidR="0060155A" w:rsidRPr="001C63A4" w:rsidRDefault="004E3FC2" w:rsidP="004F0C26">
      <w:pPr>
        <w:kinsoku w:val="0"/>
        <w:spacing w:beforeLines="100" w:afterLines="50"/>
        <w:ind w:leftChars="354" w:left="850"/>
        <w:jc w:val="center"/>
      </w:pPr>
      <w:r w:rsidRPr="001C63A4">
        <w:rPr>
          <w:noProof/>
        </w:rPr>
        <w:t xml:space="preserve"> </w:t>
      </w:r>
      <w:r w:rsidR="009547E4" w:rsidRPr="009547E4">
        <w:rPr>
          <w:noProof/>
        </w:rPr>
        <w:drawing>
          <wp:inline distT="0" distB="0" distL="0" distR="0">
            <wp:extent cx="5486400" cy="1616075"/>
            <wp:effectExtent l="0" t="0" r="0" b="0"/>
            <wp:docPr id="26" name="圖表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9547E4" w:rsidRPr="009547E4">
        <w:rPr>
          <w:noProof/>
        </w:rPr>
        <w:drawing>
          <wp:inline distT="0" distB="0" distL="0" distR="0">
            <wp:extent cx="5486400" cy="2035175"/>
            <wp:effectExtent l="0" t="0" r="0" b="0"/>
            <wp:docPr id="27" name="圖表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D0F64" w:rsidRPr="001C63A4" w:rsidRDefault="00407DF2" w:rsidP="004F0C26">
      <w:pPr>
        <w:kinsoku w:val="0"/>
        <w:spacing w:beforeLines="100" w:afterLines="35"/>
        <w:jc w:val="both"/>
        <w:rPr>
          <w:rFonts w:eastAsia="標楷體"/>
          <w:b/>
          <w:sz w:val="26"/>
        </w:rPr>
      </w:pPr>
      <w:r w:rsidRPr="001C63A4">
        <w:rPr>
          <w:rFonts w:eastAsia="標楷體" w:hint="eastAsia"/>
          <w:b/>
          <w:sz w:val="26"/>
        </w:rPr>
        <w:t>（</w:t>
      </w:r>
      <w:r w:rsidRPr="001C63A4">
        <w:rPr>
          <w:rFonts w:eastAsia="標楷體" w:hint="eastAsia"/>
          <w:b/>
          <w:sz w:val="26"/>
        </w:rPr>
        <w:t>3</w:t>
      </w:r>
      <w:r w:rsidRPr="001C63A4">
        <w:rPr>
          <w:rFonts w:eastAsia="標楷體" w:hint="eastAsia"/>
          <w:b/>
          <w:sz w:val="26"/>
        </w:rPr>
        <w:t>）</w:t>
      </w:r>
      <w:r w:rsidR="00DD0F64" w:rsidRPr="001C63A4">
        <w:rPr>
          <w:rFonts w:eastAsia="標楷體" w:hint="eastAsia"/>
          <w:b/>
          <w:sz w:val="26"/>
        </w:rPr>
        <w:t xml:space="preserve">Management </w:t>
      </w:r>
      <w:r w:rsidR="00204193" w:rsidRPr="001C63A4">
        <w:rPr>
          <w:rFonts w:eastAsia="標楷體"/>
          <w:b/>
          <w:sz w:val="26"/>
        </w:rPr>
        <w:t>of Contracted</w:t>
      </w:r>
      <w:r w:rsidR="00DD0F64" w:rsidRPr="001C63A4">
        <w:rPr>
          <w:rFonts w:eastAsia="標楷體"/>
          <w:b/>
          <w:sz w:val="26"/>
        </w:rPr>
        <w:t xml:space="preserve"> </w:t>
      </w:r>
      <w:r w:rsidR="00BE0C16" w:rsidRPr="001C63A4">
        <w:rPr>
          <w:rFonts w:eastAsia="標楷體" w:hint="eastAsia"/>
          <w:b/>
          <w:sz w:val="26"/>
        </w:rPr>
        <w:t>M</w:t>
      </w:r>
      <w:r w:rsidR="00DD0F64" w:rsidRPr="001C63A4">
        <w:rPr>
          <w:rFonts w:eastAsia="標楷體"/>
          <w:b/>
          <w:sz w:val="26"/>
        </w:rPr>
        <w:t xml:space="preserve">edical </w:t>
      </w:r>
      <w:r w:rsidR="00BE0C16" w:rsidRPr="001C63A4">
        <w:rPr>
          <w:rFonts w:eastAsia="標楷體" w:hint="eastAsia"/>
          <w:b/>
          <w:sz w:val="26"/>
        </w:rPr>
        <w:t>C</w:t>
      </w:r>
      <w:r w:rsidR="00DD0F64" w:rsidRPr="001C63A4">
        <w:rPr>
          <w:rFonts w:eastAsia="標楷體"/>
          <w:b/>
          <w:sz w:val="26"/>
        </w:rPr>
        <w:t xml:space="preserve">are </w:t>
      </w:r>
      <w:r w:rsidR="00BE0C16" w:rsidRPr="001C63A4">
        <w:rPr>
          <w:rFonts w:eastAsia="標楷體" w:hint="eastAsia"/>
          <w:b/>
          <w:sz w:val="26"/>
        </w:rPr>
        <w:t>I</w:t>
      </w:r>
      <w:r w:rsidR="00DD0F64" w:rsidRPr="001C63A4">
        <w:rPr>
          <w:rFonts w:eastAsia="標楷體"/>
          <w:b/>
          <w:sz w:val="26"/>
        </w:rPr>
        <w:t>nstitutions</w:t>
      </w:r>
    </w:p>
    <w:p w:rsidR="0032218D" w:rsidRDefault="000E611F" w:rsidP="004F0C26">
      <w:pPr>
        <w:spacing w:afterLines="50" w:line="400" w:lineRule="exact"/>
        <w:ind w:left="284"/>
        <w:jc w:val="distribute"/>
        <w:rPr>
          <w:rFonts w:eastAsia="標楷體"/>
          <w:b/>
          <w:sz w:val="26"/>
        </w:rPr>
      </w:pPr>
      <w:r w:rsidRPr="001C63A4">
        <w:rPr>
          <w:rFonts w:eastAsia="標楷體"/>
          <w:b/>
          <w:sz w:val="26"/>
        </w:rPr>
        <w:t>In recent years, there has been a significant decrease in the number of hospitals/</w:t>
      </w:r>
    </w:p>
    <w:p w:rsidR="00BB38C1" w:rsidRPr="001C63A4" w:rsidRDefault="000E611F" w:rsidP="004F0C26">
      <w:pPr>
        <w:spacing w:afterLines="50" w:line="400" w:lineRule="exact"/>
        <w:ind w:left="284"/>
        <w:jc w:val="both"/>
        <w:rPr>
          <w:rFonts w:eastAsia="標楷體"/>
          <w:b/>
          <w:sz w:val="26"/>
        </w:rPr>
      </w:pPr>
      <w:proofErr w:type="gramStart"/>
      <w:r w:rsidRPr="001C63A4">
        <w:rPr>
          <w:rFonts w:eastAsia="標楷體"/>
          <w:b/>
          <w:sz w:val="26"/>
        </w:rPr>
        <w:t>medical</w:t>
      </w:r>
      <w:proofErr w:type="gramEnd"/>
      <w:r w:rsidRPr="001C63A4">
        <w:rPr>
          <w:rFonts w:eastAsia="標楷體"/>
          <w:b/>
          <w:sz w:val="26"/>
        </w:rPr>
        <w:t xml:space="preserve"> care institutions which have received disciplinary action.</w:t>
      </w:r>
    </w:p>
    <w:p w:rsidR="001818F9" w:rsidRPr="001C63A4" w:rsidRDefault="001818F9" w:rsidP="004F0C26">
      <w:pPr>
        <w:spacing w:beforeLines="50" w:afterLines="50" w:line="360" w:lineRule="exact"/>
        <w:ind w:left="284" w:firstLineChars="235" w:firstLine="611"/>
        <w:jc w:val="both"/>
        <w:rPr>
          <w:rFonts w:eastAsia="標楷體"/>
          <w:sz w:val="26"/>
        </w:rPr>
      </w:pPr>
      <w:r w:rsidRPr="001C63A4">
        <w:rPr>
          <w:rFonts w:eastAsia="標楷體"/>
          <w:sz w:val="26"/>
        </w:rPr>
        <w:t xml:space="preserve">Since its establishment, the BNHI has been putting more emphasis on the supervision of contracted medical care institutions to maintain the quality of medical services provided. In addition, the Bureau also follows the Regulations Governing Contracting and Management of National Health Insurance Medical Care Institutions </w:t>
      </w:r>
      <w:r w:rsidR="00C41E7C" w:rsidRPr="001C63A4">
        <w:rPr>
          <w:rFonts w:eastAsia="標楷體" w:hint="eastAsia"/>
          <w:sz w:val="26"/>
        </w:rPr>
        <w:t xml:space="preserve">to </w:t>
      </w:r>
      <w:r w:rsidR="00204193" w:rsidRPr="001C63A4">
        <w:rPr>
          <w:rFonts w:eastAsia="標楷體"/>
          <w:sz w:val="26"/>
        </w:rPr>
        <w:t>reinforce violation reviews as well as management of abnormal activity</w:t>
      </w:r>
      <w:r w:rsidR="00C41E7C" w:rsidRPr="001C63A4">
        <w:rPr>
          <w:rFonts w:eastAsia="標楷體" w:hint="eastAsia"/>
          <w:sz w:val="26"/>
        </w:rPr>
        <w:t xml:space="preserve">. </w:t>
      </w:r>
      <w:r w:rsidR="00C41E7C" w:rsidRPr="001C63A4">
        <w:rPr>
          <w:rFonts w:eastAsia="標楷體"/>
          <w:sz w:val="26"/>
        </w:rPr>
        <w:t>T</w:t>
      </w:r>
      <w:r w:rsidR="00C41E7C" w:rsidRPr="001C63A4">
        <w:rPr>
          <w:rFonts w:eastAsia="標楷體" w:hint="eastAsia"/>
          <w:sz w:val="26"/>
        </w:rPr>
        <w:t xml:space="preserve">he reviews focus on </w:t>
      </w:r>
      <w:r w:rsidR="00C41E7C" w:rsidRPr="001C63A4">
        <w:rPr>
          <w:rFonts w:eastAsia="標楷體"/>
          <w:sz w:val="26"/>
        </w:rPr>
        <w:t>severe</w:t>
      </w:r>
      <w:r w:rsidR="00C41E7C" w:rsidRPr="001C63A4">
        <w:rPr>
          <w:rFonts w:eastAsia="標楷體" w:hint="eastAsia"/>
          <w:sz w:val="26"/>
        </w:rPr>
        <w:t xml:space="preserve"> violation</w:t>
      </w:r>
      <w:r w:rsidR="006F6176" w:rsidRPr="001C63A4">
        <w:rPr>
          <w:rFonts w:eastAsia="標楷體" w:hint="eastAsia"/>
          <w:sz w:val="26"/>
        </w:rPr>
        <w:t>s</w:t>
      </w:r>
      <w:r w:rsidR="00C41E7C" w:rsidRPr="001C63A4">
        <w:rPr>
          <w:rFonts w:eastAsia="標楷體" w:hint="eastAsia"/>
          <w:sz w:val="26"/>
        </w:rPr>
        <w:t xml:space="preserve"> such as commit</w:t>
      </w:r>
      <w:r w:rsidR="006F6176" w:rsidRPr="001C63A4">
        <w:rPr>
          <w:rFonts w:eastAsia="標楷體" w:hint="eastAsia"/>
          <w:sz w:val="26"/>
        </w:rPr>
        <w:t>ting</w:t>
      </w:r>
      <w:r w:rsidR="00C41E7C" w:rsidRPr="001C63A4">
        <w:rPr>
          <w:rFonts w:eastAsia="標楷體" w:hint="eastAsia"/>
          <w:sz w:val="26"/>
        </w:rPr>
        <w:t xml:space="preserve"> </w:t>
      </w:r>
      <w:r w:rsidR="00C41E7C" w:rsidRPr="001C63A4">
        <w:rPr>
          <w:rFonts w:eastAsia="標楷體"/>
          <w:sz w:val="26"/>
        </w:rPr>
        <w:t>fraud</w:t>
      </w:r>
      <w:r w:rsidR="00C41E7C" w:rsidRPr="001C63A4">
        <w:rPr>
          <w:rFonts w:eastAsia="標楷體" w:hint="eastAsia"/>
          <w:sz w:val="26"/>
        </w:rPr>
        <w:t xml:space="preserve"> to falsely claim insurance </w:t>
      </w:r>
      <w:r w:rsidR="00C41E7C" w:rsidRPr="001C63A4">
        <w:rPr>
          <w:rFonts w:eastAsia="標楷體"/>
          <w:sz w:val="26"/>
        </w:rPr>
        <w:t>benefits</w:t>
      </w:r>
      <w:r w:rsidR="00C41E7C" w:rsidRPr="001C63A4">
        <w:rPr>
          <w:rFonts w:eastAsia="標楷體" w:hint="eastAsia"/>
          <w:sz w:val="26"/>
        </w:rPr>
        <w:t xml:space="preserve">. When appropriate, the BNHI assists the related </w:t>
      </w:r>
      <w:r w:rsidR="00405B05" w:rsidRPr="001C63A4">
        <w:rPr>
          <w:sz w:val="26"/>
          <w:szCs w:val="26"/>
          <w:shd w:val="clear" w:color="auto" w:fill="FFFFFF"/>
        </w:rPr>
        <w:t>judicial</w:t>
      </w:r>
      <w:r w:rsidR="00C41E7C" w:rsidRPr="001C63A4">
        <w:rPr>
          <w:rFonts w:eastAsia="標楷體"/>
          <w:sz w:val="26"/>
        </w:rPr>
        <w:t xml:space="preserve"> authorit</w:t>
      </w:r>
      <w:r w:rsidR="00C41E7C" w:rsidRPr="001C63A4">
        <w:rPr>
          <w:rFonts w:eastAsia="標楷體" w:hint="eastAsia"/>
          <w:sz w:val="26"/>
        </w:rPr>
        <w:t xml:space="preserve">ies in investigations of serious offenses committed by </w:t>
      </w:r>
      <w:r w:rsidR="00C41E7C" w:rsidRPr="001C63A4">
        <w:rPr>
          <w:rFonts w:eastAsia="標楷體"/>
          <w:sz w:val="26"/>
        </w:rPr>
        <w:t>contracted medical care institutions</w:t>
      </w:r>
      <w:r w:rsidR="00C41E7C" w:rsidRPr="001C63A4">
        <w:rPr>
          <w:rFonts w:eastAsia="標楷體" w:hint="eastAsia"/>
          <w:sz w:val="26"/>
        </w:rPr>
        <w:t>.</w:t>
      </w:r>
    </w:p>
    <w:p w:rsidR="00BB38C1" w:rsidRPr="005666CA" w:rsidRDefault="00204193" w:rsidP="004F0C26">
      <w:pPr>
        <w:spacing w:beforeLines="50" w:line="360" w:lineRule="exact"/>
        <w:ind w:left="284" w:firstLineChars="235" w:firstLine="573"/>
        <w:jc w:val="both"/>
        <w:rPr>
          <w:rFonts w:eastAsia="標楷體"/>
          <w:b/>
          <w:spacing w:val="-8"/>
          <w:sz w:val="26"/>
        </w:rPr>
      </w:pPr>
      <w:r w:rsidRPr="005666CA">
        <w:rPr>
          <w:rFonts w:eastAsia="標楷體"/>
          <w:spacing w:val="-8"/>
          <w:sz w:val="26"/>
        </w:rPr>
        <w:t>In 201</w:t>
      </w:r>
      <w:r w:rsidR="006E469D" w:rsidRPr="005666CA">
        <w:rPr>
          <w:rFonts w:eastAsia="標楷體" w:hint="eastAsia"/>
          <w:spacing w:val="-8"/>
          <w:sz w:val="26"/>
        </w:rPr>
        <w:t>1</w:t>
      </w:r>
      <w:r w:rsidRPr="005666CA">
        <w:rPr>
          <w:rFonts w:eastAsia="標楷體"/>
          <w:spacing w:val="-8"/>
          <w:sz w:val="26"/>
        </w:rPr>
        <w:t xml:space="preserve">, </w:t>
      </w:r>
      <w:r w:rsidR="006E469D" w:rsidRPr="005666CA">
        <w:rPr>
          <w:rFonts w:eastAsia="標楷體" w:hint="eastAsia"/>
          <w:spacing w:val="-8"/>
          <w:sz w:val="26"/>
        </w:rPr>
        <w:t>420</w:t>
      </w:r>
      <w:r w:rsidRPr="005666CA">
        <w:rPr>
          <w:rFonts w:eastAsia="標楷體"/>
          <w:spacing w:val="-8"/>
          <w:sz w:val="26"/>
        </w:rPr>
        <w:t xml:space="preserve"> medical care institutions were found to have committed violations (</w:t>
      </w:r>
      <w:r w:rsidR="006E469D" w:rsidRPr="005666CA">
        <w:rPr>
          <w:rFonts w:eastAsia="標楷體" w:hint="eastAsia"/>
          <w:spacing w:val="-8"/>
          <w:sz w:val="26"/>
        </w:rPr>
        <w:t>1.6</w:t>
      </w:r>
      <w:r w:rsidRPr="005666CA">
        <w:rPr>
          <w:rFonts w:eastAsia="標楷體"/>
          <w:spacing w:val="-8"/>
          <w:sz w:val="26"/>
        </w:rPr>
        <w:t xml:space="preserve">%), a </w:t>
      </w:r>
      <w:r w:rsidR="006E469D" w:rsidRPr="005666CA">
        <w:rPr>
          <w:rFonts w:eastAsia="標楷體" w:hint="eastAsia"/>
          <w:spacing w:val="-8"/>
          <w:sz w:val="26"/>
        </w:rPr>
        <w:t>de</w:t>
      </w:r>
      <w:r w:rsidRPr="005666CA">
        <w:rPr>
          <w:rFonts w:eastAsia="標楷體"/>
          <w:spacing w:val="-8"/>
          <w:sz w:val="26"/>
        </w:rPr>
        <w:t xml:space="preserve">crease of </w:t>
      </w:r>
      <w:r w:rsidR="006E469D" w:rsidRPr="005666CA">
        <w:rPr>
          <w:rFonts w:eastAsia="標楷體" w:hint="eastAsia"/>
          <w:spacing w:val="-8"/>
          <w:sz w:val="26"/>
        </w:rPr>
        <w:t>121</w:t>
      </w:r>
      <w:r w:rsidRPr="005666CA">
        <w:rPr>
          <w:rFonts w:eastAsia="標楷體"/>
          <w:spacing w:val="-8"/>
          <w:sz w:val="26"/>
        </w:rPr>
        <w:t xml:space="preserve">, or </w:t>
      </w:r>
      <w:r w:rsidR="006E469D" w:rsidRPr="005666CA">
        <w:rPr>
          <w:rFonts w:eastAsia="標楷體" w:hint="eastAsia"/>
          <w:spacing w:val="-8"/>
          <w:sz w:val="26"/>
        </w:rPr>
        <w:t>22.4</w:t>
      </w:r>
      <w:r w:rsidRPr="005666CA">
        <w:rPr>
          <w:rFonts w:eastAsia="標楷體"/>
          <w:spacing w:val="-8"/>
          <w:sz w:val="26"/>
        </w:rPr>
        <w:t>% from</w:t>
      </w:r>
      <w:r w:rsidR="00676353" w:rsidRPr="005666CA">
        <w:rPr>
          <w:rFonts w:eastAsia="標楷體"/>
          <w:spacing w:val="-8"/>
          <w:sz w:val="26"/>
        </w:rPr>
        <w:t xml:space="preserve"> the previous year</w:t>
      </w:r>
      <w:r w:rsidR="00676353" w:rsidRPr="005666CA">
        <w:rPr>
          <w:rFonts w:eastAsia="標楷體" w:hint="eastAsia"/>
          <w:spacing w:val="-8"/>
          <w:sz w:val="26"/>
        </w:rPr>
        <w:t xml:space="preserve"> and</w:t>
      </w:r>
      <w:r w:rsidR="001818F9" w:rsidRPr="005666CA">
        <w:rPr>
          <w:rFonts w:eastAsia="標楷體"/>
          <w:spacing w:val="-8"/>
          <w:sz w:val="26"/>
        </w:rPr>
        <w:t xml:space="preserve"> </w:t>
      </w:r>
      <w:r w:rsidR="00676353" w:rsidRPr="005666CA">
        <w:rPr>
          <w:rFonts w:eastAsia="標楷體" w:hint="eastAsia"/>
          <w:spacing w:val="-8"/>
          <w:sz w:val="26"/>
        </w:rPr>
        <w:t>a decrease of</w:t>
      </w:r>
      <w:r w:rsidR="001818F9" w:rsidRPr="005666CA">
        <w:rPr>
          <w:rFonts w:eastAsia="標楷體"/>
          <w:spacing w:val="-8"/>
          <w:sz w:val="26"/>
        </w:rPr>
        <w:t xml:space="preserve"> </w:t>
      </w:r>
      <w:r w:rsidR="006E469D" w:rsidRPr="005666CA">
        <w:rPr>
          <w:rFonts w:eastAsia="標楷體" w:hint="eastAsia"/>
          <w:spacing w:val="-8"/>
          <w:sz w:val="26"/>
        </w:rPr>
        <w:t>281</w:t>
      </w:r>
      <w:r w:rsidR="001818F9" w:rsidRPr="005666CA">
        <w:rPr>
          <w:rFonts w:eastAsia="標楷體"/>
          <w:spacing w:val="-8"/>
          <w:sz w:val="26"/>
        </w:rPr>
        <w:t xml:space="preserve"> </w:t>
      </w:r>
      <w:r w:rsidR="00676353" w:rsidRPr="005666CA">
        <w:rPr>
          <w:rFonts w:eastAsia="標楷體" w:hint="eastAsia"/>
          <w:spacing w:val="-8"/>
          <w:sz w:val="26"/>
        </w:rPr>
        <w:t xml:space="preserve">from </w:t>
      </w:r>
      <w:r w:rsidR="002A070B" w:rsidRPr="005666CA">
        <w:rPr>
          <w:rFonts w:eastAsia="標楷體" w:hint="eastAsia"/>
          <w:spacing w:val="-8"/>
          <w:sz w:val="26"/>
        </w:rPr>
        <w:t>200</w:t>
      </w:r>
      <w:r w:rsidR="006E469D" w:rsidRPr="005666CA">
        <w:rPr>
          <w:rFonts w:eastAsia="標楷體" w:hint="eastAsia"/>
          <w:spacing w:val="-8"/>
          <w:sz w:val="26"/>
        </w:rPr>
        <w:t>1</w:t>
      </w:r>
      <w:r w:rsidR="00231AB2" w:rsidRPr="005666CA">
        <w:rPr>
          <w:rFonts w:eastAsia="標楷體" w:hint="eastAsia"/>
          <w:spacing w:val="-8"/>
          <w:sz w:val="26"/>
        </w:rPr>
        <w:t>.</w:t>
      </w:r>
      <w:r w:rsidR="001818F9" w:rsidRPr="005666CA">
        <w:rPr>
          <w:rFonts w:eastAsia="標楷體"/>
          <w:spacing w:val="-8"/>
          <w:sz w:val="26"/>
        </w:rPr>
        <w:t xml:space="preserve"> </w:t>
      </w:r>
      <w:r w:rsidR="00231AB2" w:rsidRPr="005666CA">
        <w:rPr>
          <w:rFonts w:eastAsia="標楷體" w:hint="eastAsia"/>
          <w:spacing w:val="-8"/>
          <w:sz w:val="26"/>
        </w:rPr>
        <w:t xml:space="preserve">Of which, </w:t>
      </w:r>
      <w:r w:rsidR="006E469D" w:rsidRPr="005666CA">
        <w:rPr>
          <w:rFonts w:eastAsia="標楷體" w:hint="eastAsia"/>
          <w:spacing w:val="-8"/>
          <w:sz w:val="26"/>
        </w:rPr>
        <w:t>204</w:t>
      </w:r>
      <w:r w:rsidR="001818F9" w:rsidRPr="005666CA">
        <w:rPr>
          <w:rFonts w:eastAsia="標楷體"/>
          <w:spacing w:val="-8"/>
          <w:sz w:val="26"/>
        </w:rPr>
        <w:t xml:space="preserve"> medical care institutions were penalized by reduced reimbursement, </w:t>
      </w:r>
      <w:r w:rsidR="006E469D" w:rsidRPr="005666CA">
        <w:rPr>
          <w:rFonts w:eastAsia="標楷體" w:hint="eastAsia"/>
          <w:spacing w:val="-8"/>
          <w:sz w:val="26"/>
        </w:rPr>
        <w:t>81</w:t>
      </w:r>
      <w:r w:rsidR="001818F9" w:rsidRPr="005666CA">
        <w:rPr>
          <w:rFonts w:eastAsia="標楷體"/>
          <w:spacing w:val="-8"/>
          <w:sz w:val="26"/>
        </w:rPr>
        <w:t xml:space="preserve"> by corrections, </w:t>
      </w:r>
      <w:r w:rsidR="002A070B" w:rsidRPr="005666CA">
        <w:rPr>
          <w:rFonts w:eastAsia="標楷體" w:hint="eastAsia"/>
          <w:spacing w:val="-8"/>
          <w:sz w:val="26"/>
        </w:rPr>
        <w:t>11</w:t>
      </w:r>
      <w:r w:rsidR="006E469D" w:rsidRPr="005666CA">
        <w:rPr>
          <w:rFonts w:eastAsia="標楷體" w:hint="eastAsia"/>
          <w:spacing w:val="-8"/>
          <w:sz w:val="26"/>
        </w:rPr>
        <w:t>1</w:t>
      </w:r>
      <w:r w:rsidR="001818F9" w:rsidRPr="005666CA">
        <w:rPr>
          <w:rFonts w:eastAsia="標楷體"/>
          <w:spacing w:val="-8"/>
          <w:sz w:val="26"/>
        </w:rPr>
        <w:t xml:space="preserve"> by suspension of contract ranging from 1 month </w:t>
      </w:r>
      <w:r w:rsidRPr="005666CA">
        <w:rPr>
          <w:rFonts w:eastAsia="標楷體"/>
          <w:spacing w:val="-8"/>
          <w:sz w:val="26"/>
        </w:rPr>
        <w:t>to 3 months and</w:t>
      </w:r>
      <w:r w:rsidR="001818F9" w:rsidRPr="005666CA">
        <w:rPr>
          <w:rFonts w:eastAsia="標楷體"/>
          <w:spacing w:val="-8"/>
          <w:sz w:val="26"/>
        </w:rPr>
        <w:t xml:space="preserve"> </w:t>
      </w:r>
      <w:r w:rsidR="006E469D" w:rsidRPr="005666CA">
        <w:rPr>
          <w:rFonts w:eastAsia="標楷體" w:hint="eastAsia"/>
          <w:spacing w:val="-8"/>
          <w:sz w:val="26"/>
        </w:rPr>
        <w:t>24</w:t>
      </w:r>
      <w:r w:rsidR="001818F9" w:rsidRPr="005666CA">
        <w:rPr>
          <w:rFonts w:eastAsia="標楷體"/>
          <w:spacing w:val="-8"/>
          <w:sz w:val="26"/>
        </w:rPr>
        <w:t xml:space="preserve"> by contract termination.</w:t>
      </w:r>
    </w:p>
    <w:p w:rsidR="00DD0F64" w:rsidRPr="001C63A4" w:rsidRDefault="00691D85" w:rsidP="004F0C26">
      <w:pPr>
        <w:kinsoku w:val="0"/>
        <w:spacing w:beforeLines="50"/>
        <w:jc w:val="center"/>
        <w:rPr>
          <w:rFonts w:eastAsia="標楷體"/>
          <w:sz w:val="26"/>
        </w:rPr>
      </w:pPr>
      <w:r w:rsidRPr="00691D85">
        <w:rPr>
          <w:rFonts w:eastAsia="標楷體"/>
          <w:noProof/>
          <w:sz w:val="26"/>
        </w:rPr>
        <w:lastRenderedPageBreak/>
        <w:drawing>
          <wp:inline distT="0" distB="0" distL="0" distR="0">
            <wp:extent cx="5959056" cy="3079630"/>
            <wp:effectExtent l="19050" t="0" r="3594" b="0"/>
            <wp:docPr id="30" name="圖表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sectPr w:rsidR="00DD0F64" w:rsidRPr="001C63A4" w:rsidSect="003D3F74">
      <w:footerReference w:type="even" r:id="rId22"/>
      <w:footerReference w:type="default" r:id="rId23"/>
      <w:pgSz w:w="11907" w:h="16839" w:code="9"/>
      <w:pgMar w:top="1701" w:right="1134" w:bottom="1304" w:left="1134" w:header="567" w:footer="680" w:gutter="0"/>
      <w:pgNumType w:start="6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7357" w:rsidRDefault="00F57357">
      <w:pPr>
        <w:spacing w:line="240" w:lineRule="auto"/>
      </w:pPr>
      <w:r>
        <w:separator/>
      </w:r>
    </w:p>
  </w:endnote>
  <w:endnote w:type="continuationSeparator" w:id="0">
    <w:p w:rsidR="00F57357" w:rsidRDefault="00F5735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全真楷書">
    <w:altName w:val="Arial Unicode MS"/>
    <w:charset w:val="88"/>
    <w:family w:val="modern"/>
    <w:pitch w:val="fixed"/>
    <w:sig w:usb0="00000000" w:usb1="08080000" w:usb2="00000010" w:usb3="00000000" w:csb0="00100000"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B04" w:rsidRDefault="004F0C26">
    <w:pPr>
      <w:pStyle w:val="a4"/>
      <w:framePr w:wrap="around" w:vAnchor="text" w:hAnchor="margin" w:xAlign="center" w:y="1"/>
      <w:rPr>
        <w:rStyle w:val="a6"/>
      </w:rPr>
    </w:pPr>
    <w:r>
      <w:rPr>
        <w:rStyle w:val="a6"/>
      </w:rPr>
      <w:fldChar w:fldCharType="begin"/>
    </w:r>
    <w:r w:rsidR="00C47B04">
      <w:rPr>
        <w:rStyle w:val="a6"/>
      </w:rPr>
      <w:instrText xml:space="preserve">PAGE  </w:instrText>
    </w:r>
    <w:r>
      <w:rPr>
        <w:rStyle w:val="a6"/>
      </w:rPr>
      <w:fldChar w:fldCharType="separate"/>
    </w:r>
    <w:r w:rsidR="00C47B04">
      <w:rPr>
        <w:rStyle w:val="a6"/>
        <w:noProof/>
      </w:rPr>
      <w:t>3</w:t>
    </w:r>
    <w:r>
      <w:rPr>
        <w:rStyle w:val="a6"/>
      </w:rPr>
      <w:fldChar w:fldCharType="end"/>
    </w:r>
  </w:p>
  <w:p w:rsidR="00C47B04" w:rsidRDefault="00C47B04">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B04" w:rsidRPr="00391A53" w:rsidRDefault="00C47B04" w:rsidP="00391A53">
    <w:pPr>
      <w:pStyle w:val="a4"/>
      <w:ind w:right="360"/>
      <w:jc w:val="center"/>
      <w:rPr>
        <w:sz w:val="24"/>
      </w:rPr>
    </w:pPr>
    <w:r>
      <w:rPr>
        <w:rFonts w:hint="eastAsia"/>
        <w:sz w:val="24"/>
      </w:rPr>
      <w:t xml:space="preserve">- </w:t>
    </w:r>
    <w:r w:rsidR="004F0C26" w:rsidRPr="00391A53">
      <w:rPr>
        <w:sz w:val="24"/>
      </w:rPr>
      <w:fldChar w:fldCharType="begin"/>
    </w:r>
    <w:r w:rsidRPr="00391A53">
      <w:rPr>
        <w:sz w:val="24"/>
      </w:rPr>
      <w:instrText xml:space="preserve"> PAGE   \* MERGEFORMAT </w:instrText>
    </w:r>
    <w:r w:rsidR="004F0C26" w:rsidRPr="00391A53">
      <w:rPr>
        <w:sz w:val="24"/>
      </w:rPr>
      <w:fldChar w:fldCharType="separate"/>
    </w:r>
    <w:r w:rsidR="00947FA8" w:rsidRPr="00947FA8">
      <w:rPr>
        <w:noProof/>
        <w:sz w:val="24"/>
        <w:lang w:val="zh-TW"/>
      </w:rPr>
      <w:t>76</w:t>
    </w:r>
    <w:r w:rsidR="004F0C26" w:rsidRPr="00391A53">
      <w:rPr>
        <w:sz w:val="24"/>
      </w:rPr>
      <w:fldChar w:fldCharType="end"/>
    </w:r>
    <w:r>
      <w:rPr>
        <w:rFonts w:hint="eastAsia"/>
        <w:sz w:val="24"/>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7357" w:rsidRDefault="00F57357">
      <w:pPr>
        <w:spacing w:line="240" w:lineRule="auto"/>
      </w:pPr>
      <w:r>
        <w:separator/>
      </w:r>
    </w:p>
  </w:footnote>
  <w:footnote w:type="continuationSeparator" w:id="0">
    <w:p w:rsidR="00F57357" w:rsidRDefault="00F5735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5BC4"/>
    <w:multiLevelType w:val="hybridMultilevel"/>
    <w:tmpl w:val="2CCA85B0"/>
    <w:lvl w:ilvl="0" w:tplc="792629FC">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
    <w:nsid w:val="0B4F059A"/>
    <w:multiLevelType w:val="hybridMultilevel"/>
    <w:tmpl w:val="C4BE4C8C"/>
    <w:lvl w:ilvl="0" w:tplc="AD0E79A2">
      <w:start w:val="1"/>
      <w:numFmt w:val="decimal"/>
      <w:lvlText w:val="(%1)"/>
      <w:lvlJc w:val="left"/>
      <w:pPr>
        <w:ind w:left="750" w:hanging="360"/>
      </w:pPr>
      <w:rPr>
        <w:rFonts w:hint="default"/>
      </w:rPr>
    </w:lvl>
    <w:lvl w:ilvl="1" w:tplc="04090019" w:tentative="1">
      <w:start w:val="1"/>
      <w:numFmt w:val="ideographTraditional"/>
      <w:lvlText w:val="%2、"/>
      <w:lvlJc w:val="left"/>
      <w:pPr>
        <w:ind w:left="1350" w:hanging="480"/>
      </w:pPr>
    </w:lvl>
    <w:lvl w:ilvl="2" w:tplc="0409001B" w:tentative="1">
      <w:start w:val="1"/>
      <w:numFmt w:val="lowerRoman"/>
      <w:lvlText w:val="%3."/>
      <w:lvlJc w:val="right"/>
      <w:pPr>
        <w:ind w:left="1830" w:hanging="480"/>
      </w:pPr>
    </w:lvl>
    <w:lvl w:ilvl="3" w:tplc="0409000F" w:tentative="1">
      <w:start w:val="1"/>
      <w:numFmt w:val="decimal"/>
      <w:lvlText w:val="%4."/>
      <w:lvlJc w:val="left"/>
      <w:pPr>
        <w:ind w:left="2310" w:hanging="480"/>
      </w:pPr>
    </w:lvl>
    <w:lvl w:ilvl="4" w:tplc="04090019" w:tentative="1">
      <w:start w:val="1"/>
      <w:numFmt w:val="ideographTraditional"/>
      <w:lvlText w:val="%5、"/>
      <w:lvlJc w:val="left"/>
      <w:pPr>
        <w:ind w:left="2790" w:hanging="480"/>
      </w:pPr>
    </w:lvl>
    <w:lvl w:ilvl="5" w:tplc="0409001B" w:tentative="1">
      <w:start w:val="1"/>
      <w:numFmt w:val="lowerRoman"/>
      <w:lvlText w:val="%6."/>
      <w:lvlJc w:val="right"/>
      <w:pPr>
        <w:ind w:left="3270" w:hanging="480"/>
      </w:pPr>
    </w:lvl>
    <w:lvl w:ilvl="6" w:tplc="0409000F" w:tentative="1">
      <w:start w:val="1"/>
      <w:numFmt w:val="decimal"/>
      <w:lvlText w:val="%7."/>
      <w:lvlJc w:val="left"/>
      <w:pPr>
        <w:ind w:left="3750" w:hanging="480"/>
      </w:pPr>
    </w:lvl>
    <w:lvl w:ilvl="7" w:tplc="04090019" w:tentative="1">
      <w:start w:val="1"/>
      <w:numFmt w:val="ideographTraditional"/>
      <w:lvlText w:val="%8、"/>
      <w:lvlJc w:val="left"/>
      <w:pPr>
        <w:ind w:left="4230" w:hanging="480"/>
      </w:pPr>
    </w:lvl>
    <w:lvl w:ilvl="8" w:tplc="0409001B" w:tentative="1">
      <w:start w:val="1"/>
      <w:numFmt w:val="lowerRoman"/>
      <w:lvlText w:val="%9."/>
      <w:lvlJc w:val="right"/>
      <w:pPr>
        <w:ind w:left="4710" w:hanging="480"/>
      </w:pPr>
    </w:lvl>
  </w:abstractNum>
  <w:abstractNum w:abstractNumId="2">
    <w:nsid w:val="1D49391F"/>
    <w:multiLevelType w:val="singleLevel"/>
    <w:tmpl w:val="362C8AC8"/>
    <w:lvl w:ilvl="0">
      <w:start w:val="3"/>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3">
    <w:nsid w:val="22A423E1"/>
    <w:multiLevelType w:val="singleLevel"/>
    <w:tmpl w:val="48B25772"/>
    <w:lvl w:ilvl="0">
      <w:start w:val="2"/>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4">
    <w:nsid w:val="35111D64"/>
    <w:multiLevelType w:val="hybridMultilevel"/>
    <w:tmpl w:val="76F65EEE"/>
    <w:lvl w:ilvl="0" w:tplc="85081F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4997504"/>
    <w:multiLevelType w:val="hybridMultilevel"/>
    <w:tmpl w:val="A6360652"/>
    <w:lvl w:ilvl="0" w:tplc="91B676B0">
      <w:start w:val="1"/>
      <w:numFmt w:val="decimal"/>
      <w:lvlText w:val="(%1)"/>
      <w:lvlJc w:val="left"/>
      <w:pPr>
        <w:ind w:left="490" w:hanging="360"/>
      </w:pPr>
      <w:rPr>
        <w:rFonts w:hint="default"/>
        <w:color w:val="auto"/>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6">
    <w:nsid w:val="59525F85"/>
    <w:multiLevelType w:val="hybridMultilevel"/>
    <w:tmpl w:val="501CA05E"/>
    <w:lvl w:ilvl="0" w:tplc="17C2C88C">
      <w:start w:val="1"/>
      <w:numFmt w:val="decimal"/>
      <w:lvlText w:val="%1."/>
      <w:lvlJc w:val="left"/>
      <w:pPr>
        <w:ind w:left="710" w:hanging="450"/>
      </w:pPr>
      <w:rPr>
        <w:rFonts w:hint="default"/>
      </w:rPr>
    </w:lvl>
    <w:lvl w:ilvl="1" w:tplc="04090019" w:tentative="1">
      <w:start w:val="1"/>
      <w:numFmt w:val="ideographTraditional"/>
      <w:lvlText w:val="%2、"/>
      <w:lvlJc w:val="left"/>
      <w:pPr>
        <w:ind w:left="1220" w:hanging="480"/>
      </w:pPr>
    </w:lvl>
    <w:lvl w:ilvl="2" w:tplc="0409001B" w:tentative="1">
      <w:start w:val="1"/>
      <w:numFmt w:val="lowerRoman"/>
      <w:lvlText w:val="%3."/>
      <w:lvlJc w:val="right"/>
      <w:pPr>
        <w:ind w:left="1700" w:hanging="480"/>
      </w:pPr>
    </w:lvl>
    <w:lvl w:ilvl="3" w:tplc="0409000F" w:tentative="1">
      <w:start w:val="1"/>
      <w:numFmt w:val="decimal"/>
      <w:lvlText w:val="%4."/>
      <w:lvlJc w:val="left"/>
      <w:pPr>
        <w:ind w:left="2180" w:hanging="480"/>
      </w:pPr>
    </w:lvl>
    <w:lvl w:ilvl="4" w:tplc="04090019" w:tentative="1">
      <w:start w:val="1"/>
      <w:numFmt w:val="ideographTraditional"/>
      <w:lvlText w:val="%5、"/>
      <w:lvlJc w:val="left"/>
      <w:pPr>
        <w:ind w:left="2660" w:hanging="480"/>
      </w:pPr>
    </w:lvl>
    <w:lvl w:ilvl="5" w:tplc="0409001B" w:tentative="1">
      <w:start w:val="1"/>
      <w:numFmt w:val="lowerRoman"/>
      <w:lvlText w:val="%6."/>
      <w:lvlJc w:val="right"/>
      <w:pPr>
        <w:ind w:left="3140" w:hanging="480"/>
      </w:pPr>
    </w:lvl>
    <w:lvl w:ilvl="6" w:tplc="0409000F" w:tentative="1">
      <w:start w:val="1"/>
      <w:numFmt w:val="decimal"/>
      <w:lvlText w:val="%7."/>
      <w:lvlJc w:val="left"/>
      <w:pPr>
        <w:ind w:left="3620" w:hanging="480"/>
      </w:pPr>
    </w:lvl>
    <w:lvl w:ilvl="7" w:tplc="04090019" w:tentative="1">
      <w:start w:val="1"/>
      <w:numFmt w:val="ideographTraditional"/>
      <w:lvlText w:val="%8、"/>
      <w:lvlJc w:val="left"/>
      <w:pPr>
        <w:ind w:left="4100" w:hanging="480"/>
      </w:pPr>
    </w:lvl>
    <w:lvl w:ilvl="8" w:tplc="0409001B" w:tentative="1">
      <w:start w:val="1"/>
      <w:numFmt w:val="lowerRoman"/>
      <w:lvlText w:val="%9."/>
      <w:lvlJc w:val="right"/>
      <w:pPr>
        <w:ind w:left="4580" w:hanging="480"/>
      </w:pPr>
    </w:lvl>
  </w:abstractNum>
  <w:abstractNum w:abstractNumId="7">
    <w:nsid w:val="5A263138"/>
    <w:multiLevelType w:val="singleLevel"/>
    <w:tmpl w:val="E0F01BC2"/>
    <w:lvl w:ilvl="0">
      <w:start w:val="4"/>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8">
    <w:nsid w:val="62C44F33"/>
    <w:multiLevelType w:val="hybridMultilevel"/>
    <w:tmpl w:val="31B41024"/>
    <w:lvl w:ilvl="0" w:tplc="3D16DC7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8FD7AEB"/>
    <w:multiLevelType w:val="hybridMultilevel"/>
    <w:tmpl w:val="A33CB154"/>
    <w:lvl w:ilvl="0" w:tplc="65C820AA">
      <w:start w:val="1"/>
      <w:numFmt w:val="decimal"/>
      <w:lvlText w:val="%1."/>
      <w:lvlJc w:val="left"/>
      <w:pPr>
        <w:ind w:left="479" w:hanging="360"/>
      </w:pPr>
      <w:rPr>
        <w:rFonts w:hint="default"/>
      </w:rPr>
    </w:lvl>
    <w:lvl w:ilvl="1" w:tplc="04090019" w:tentative="1">
      <w:start w:val="1"/>
      <w:numFmt w:val="ideographTraditional"/>
      <w:lvlText w:val="%2、"/>
      <w:lvlJc w:val="left"/>
      <w:pPr>
        <w:ind w:left="1079" w:hanging="480"/>
      </w:pPr>
    </w:lvl>
    <w:lvl w:ilvl="2" w:tplc="0409001B" w:tentative="1">
      <w:start w:val="1"/>
      <w:numFmt w:val="lowerRoman"/>
      <w:lvlText w:val="%3."/>
      <w:lvlJc w:val="right"/>
      <w:pPr>
        <w:ind w:left="1559" w:hanging="480"/>
      </w:pPr>
    </w:lvl>
    <w:lvl w:ilvl="3" w:tplc="0409000F" w:tentative="1">
      <w:start w:val="1"/>
      <w:numFmt w:val="decimal"/>
      <w:lvlText w:val="%4."/>
      <w:lvlJc w:val="left"/>
      <w:pPr>
        <w:ind w:left="2039" w:hanging="480"/>
      </w:pPr>
    </w:lvl>
    <w:lvl w:ilvl="4" w:tplc="04090019" w:tentative="1">
      <w:start w:val="1"/>
      <w:numFmt w:val="ideographTraditional"/>
      <w:lvlText w:val="%5、"/>
      <w:lvlJc w:val="left"/>
      <w:pPr>
        <w:ind w:left="2519" w:hanging="480"/>
      </w:pPr>
    </w:lvl>
    <w:lvl w:ilvl="5" w:tplc="0409001B" w:tentative="1">
      <w:start w:val="1"/>
      <w:numFmt w:val="lowerRoman"/>
      <w:lvlText w:val="%6."/>
      <w:lvlJc w:val="right"/>
      <w:pPr>
        <w:ind w:left="2999" w:hanging="480"/>
      </w:pPr>
    </w:lvl>
    <w:lvl w:ilvl="6" w:tplc="0409000F" w:tentative="1">
      <w:start w:val="1"/>
      <w:numFmt w:val="decimal"/>
      <w:lvlText w:val="%7."/>
      <w:lvlJc w:val="left"/>
      <w:pPr>
        <w:ind w:left="3479" w:hanging="480"/>
      </w:pPr>
    </w:lvl>
    <w:lvl w:ilvl="7" w:tplc="04090019" w:tentative="1">
      <w:start w:val="1"/>
      <w:numFmt w:val="ideographTraditional"/>
      <w:lvlText w:val="%8、"/>
      <w:lvlJc w:val="left"/>
      <w:pPr>
        <w:ind w:left="3959" w:hanging="480"/>
      </w:pPr>
    </w:lvl>
    <w:lvl w:ilvl="8" w:tplc="0409001B" w:tentative="1">
      <w:start w:val="1"/>
      <w:numFmt w:val="lowerRoman"/>
      <w:lvlText w:val="%9."/>
      <w:lvlJc w:val="right"/>
      <w:pPr>
        <w:ind w:left="4439" w:hanging="480"/>
      </w:pPr>
    </w:lvl>
  </w:abstractNum>
  <w:abstractNum w:abstractNumId="10">
    <w:nsid w:val="76526885"/>
    <w:multiLevelType w:val="hybridMultilevel"/>
    <w:tmpl w:val="31B41024"/>
    <w:lvl w:ilvl="0" w:tplc="3D16DC7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7"/>
  </w:num>
  <w:num w:numId="4">
    <w:abstractNumId w:val="1"/>
  </w:num>
  <w:num w:numId="5">
    <w:abstractNumId w:val="9"/>
  </w:num>
  <w:num w:numId="6">
    <w:abstractNumId w:val="6"/>
  </w:num>
  <w:num w:numId="7">
    <w:abstractNumId w:val="4"/>
  </w:num>
  <w:num w:numId="8">
    <w:abstractNumId w:val="10"/>
  </w:num>
  <w:num w:numId="9">
    <w:abstractNumId w:val="5"/>
  </w:num>
  <w:num w:numId="10">
    <w:abstractNumId w:val="8"/>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332802"/>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EA198F"/>
    <w:rsid w:val="0000043C"/>
    <w:rsid w:val="000031B5"/>
    <w:rsid w:val="0000532D"/>
    <w:rsid w:val="00007FA6"/>
    <w:rsid w:val="00021733"/>
    <w:rsid w:val="000273A4"/>
    <w:rsid w:val="00031674"/>
    <w:rsid w:val="00034086"/>
    <w:rsid w:val="000347FE"/>
    <w:rsid w:val="00034A0F"/>
    <w:rsid w:val="00035C34"/>
    <w:rsid w:val="00036574"/>
    <w:rsid w:val="00037C89"/>
    <w:rsid w:val="000405B0"/>
    <w:rsid w:val="00040B68"/>
    <w:rsid w:val="00041077"/>
    <w:rsid w:val="00041CE5"/>
    <w:rsid w:val="000425D1"/>
    <w:rsid w:val="0004408D"/>
    <w:rsid w:val="00047D0C"/>
    <w:rsid w:val="000520D7"/>
    <w:rsid w:val="0005322B"/>
    <w:rsid w:val="00053DBB"/>
    <w:rsid w:val="00054902"/>
    <w:rsid w:val="00055C8A"/>
    <w:rsid w:val="00060423"/>
    <w:rsid w:val="00060822"/>
    <w:rsid w:val="00062EBC"/>
    <w:rsid w:val="00065EA5"/>
    <w:rsid w:val="00067209"/>
    <w:rsid w:val="0008234E"/>
    <w:rsid w:val="0008501E"/>
    <w:rsid w:val="000914E0"/>
    <w:rsid w:val="00097057"/>
    <w:rsid w:val="000A1253"/>
    <w:rsid w:val="000A31FC"/>
    <w:rsid w:val="000A630C"/>
    <w:rsid w:val="000B4985"/>
    <w:rsid w:val="000B4CC6"/>
    <w:rsid w:val="000C160B"/>
    <w:rsid w:val="000C26E7"/>
    <w:rsid w:val="000C309D"/>
    <w:rsid w:val="000C4AAC"/>
    <w:rsid w:val="000C577E"/>
    <w:rsid w:val="000D2B1A"/>
    <w:rsid w:val="000D5AB7"/>
    <w:rsid w:val="000E245E"/>
    <w:rsid w:val="000E557B"/>
    <w:rsid w:val="000E5871"/>
    <w:rsid w:val="000E611F"/>
    <w:rsid w:val="000E66F5"/>
    <w:rsid w:val="000E6CAF"/>
    <w:rsid w:val="000F3FD4"/>
    <w:rsid w:val="000F5AFA"/>
    <w:rsid w:val="000F5BAD"/>
    <w:rsid w:val="000F6218"/>
    <w:rsid w:val="0010076A"/>
    <w:rsid w:val="00112AE5"/>
    <w:rsid w:val="00113F5F"/>
    <w:rsid w:val="00123376"/>
    <w:rsid w:val="001233E5"/>
    <w:rsid w:val="00123801"/>
    <w:rsid w:val="00132B5C"/>
    <w:rsid w:val="001337AF"/>
    <w:rsid w:val="00133848"/>
    <w:rsid w:val="00135AE9"/>
    <w:rsid w:val="00143A31"/>
    <w:rsid w:val="00143FFA"/>
    <w:rsid w:val="00146F06"/>
    <w:rsid w:val="001500B3"/>
    <w:rsid w:val="001511FC"/>
    <w:rsid w:val="00154476"/>
    <w:rsid w:val="00156004"/>
    <w:rsid w:val="00162D0C"/>
    <w:rsid w:val="00166868"/>
    <w:rsid w:val="00166C31"/>
    <w:rsid w:val="0016703E"/>
    <w:rsid w:val="00173578"/>
    <w:rsid w:val="001818F9"/>
    <w:rsid w:val="00185A51"/>
    <w:rsid w:val="00185DD9"/>
    <w:rsid w:val="00193851"/>
    <w:rsid w:val="00194941"/>
    <w:rsid w:val="00194D1B"/>
    <w:rsid w:val="0019582C"/>
    <w:rsid w:val="0019745A"/>
    <w:rsid w:val="00197C40"/>
    <w:rsid w:val="001B1AAC"/>
    <w:rsid w:val="001B21A8"/>
    <w:rsid w:val="001B2611"/>
    <w:rsid w:val="001B432A"/>
    <w:rsid w:val="001B5A89"/>
    <w:rsid w:val="001B72C7"/>
    <w:rsid w:val="001C127F"/>
    <w:rsid w:val="001C19C4"/>
    <w:rsid w:val="001C63A4"/>
    <w:rsid w:val="001C6CC9"/>
    <w:rsid w:val="001D30B4"/>
    <w:rsid w:val="001D7A60"/>
    <w:rsid w:val="001E28ED"/>
    <w:rsid w:val="001F2C45"/>
    <w:rsid w:val="001F7A66"/>
    <w:rsid w:val="00204193"/>
    <w:rsid w:val="002048A9"/>
    <w:rsid w:val="00206EF7"/>
    <w:rsid w:val="002072BA"/>
    <w:rsid w:val="0021273E"/>
    <w:rsid w:val="002133E6"/>
    <w:rsid w:val="002136E1"/>
    <w:rsid w:val="002139E1"/>
    <w:rsid w:val="002166CA"/>
    <w:rsid w:val="00217164"/>
    <w:rsid w:val="00221DAB"/>
    <w:rsid w:val="00221F54"/>
    <w:rsid w:val="0022796E"/>
    <w:rsid w:val="00231AB2"/>
    <w:rsid w:val="0023270B"/>
    <w:rsid w:val="002336A1"/>
    <w:rsid w:val="00234718"/>
    <w:rsid w:val="002369A3"/>
    <w:rsid w:val="0024001A"/>
    <w:rsid w:val="00242C0A"/>
    <w:rsid w:val="00244631"/>
    <w:rsid w:val="002452B1"/>
    <w:rsid w:val="0024673D"/>
    <w:rsid w:val="00246A4A"/>
    <w:rsid w:val="00246D95"/>
    <w:rsid w:val="00247A2D"/>
    <w:rsid w:val="00250085"/>
    <w:rsid w:val="00254B2E"/>
    <w:rsid w:val="0025604D"/>
    <w:rsid w:val="00257759"/>
    <w:rsid w:val="00260DB3"/>
    <w:rsid w:val="002618C0"/>
    <w:rsid w:val="00262863"/>
    <w:rsid w:val="002664DD"/>
    <w:rsid w:val="0027057A"/>
    <w:rsid w:val="00281181"/>
    <w:rsid w:val="00287AC5"/>
    <w:rsid w:val="0029228D"/>
    <w:rsid w:val="0029381C"/>
    <w:rsid w:val="002964BA"/>
    <w:rsid w:val="002A070B"/>
    <w:rsid w:val="002A5BDB"/>
    <w:rsid w:val="002A6A43"/>
    <w:rsid w:val="002B03AB"/>
    <w:rsid w:val="002C42B6"/>
    <w:rsid w:val="002C5360"/>
    <w:rsid w:val="002C7AB6"/>
    <w:rsid w:val="002D217D"/>
    <w:rsid w:val="002D30AC"/>
    <w:rsid w:val="002D49F1"/>
    <w:rsid w:val="002D6246"/>
    <w:rsid w:val="002E3403"/>
    <w:rsid w:val="002E43D6"/>
    <w:rsid w:val="002F090F"/>
    <w:rsid w:val="002F4345"/>
    <w:rsid w:val="00305616"/>
    <w:rsid w:val="0030617B"/>
    <w:rsid w:val="00310706"/>
    <w:rsid w:val="00314F9F"/>
    <w:rsid w:val="00316F48"/>
    <w:rsid w:val="00316FD8"/>
    <w:rsid w:val="00320265"/>
    <w:rsid w:val="0032218D"/>
    <w:rsid w:val="00323D0A"/>
    <w:rsid w:val="00324B61"/>
    <w:rsid w:val="003259AE"/>
    <w:rsid w:val="003266CB"/>
    <w:rsid w:val="003267EA"/>
    <w:rsid w:val="00327BCD"/>
    <w:rsid w:val="00334004"/>
    <w:rsid w:val="00337EE3"/>
    <w:rsid w:val="00340585"/>
    <w:rsid w:val="003407BF"/>
    <w:rsid w:val="00340BE4"/>
    <w:rsid w:val="00341CC9"/>
    <w:rsid w:val="0034378C"/>
    <w:rsid w:val="003442A5"/>
    <w:rsid w:val="00345389"/>
    <w:rsid w:val="003501B4"/>
    <w:rsid w:val="00352247"/>
    <w:rsid w:val="00356560"/>
    <w:rsid w:val="00360940"/>
    <w:rsid w:val="00372603"/>
    <w:rsid w:val="003726C2"/>
    <w:rsid w:val="00374CB6"/>
    <w:rsid w:val="003811B9"/>
    <w:rsid w:val="00386955"/>
    <w:rsid w:val="0039104D"/>
    <w:rsid w:val="00391A53"/>
    <w:rsid w:val="0039221F"/>
    <w:rsid w:val="003A3238"/>
    <w:rsid w:val="003A42CA"/>
    <w:rsid w:val="003A6098"/>
    <w:rsid w:val="003A7875"/>
    <w:rsid w:val="003B432C"/>
    <w:rsid w:val="003C06B1"/>
    <w:rsid w:val="003C1E02"/>
    <w:rsid w:val="003C5031"/>
    <w:rsid w:val="003D34D0"/>
    <w:rsid w:val="003D3F74"/>
    <w:rsid w:val="003D7201"/>
    <w:rsid w:val="003D7E52"/>
    <w:rsid w:val="003E0DA0"/>
    <w:rsid w:val="003E1698"/>
    <w:rsid w:val="003E301E"/>
    <w:rsid w:val="003E77A9"/>
    <w:rsid w:val="003F3B83"/>
    <w:rsid w:val="003F4C8D"/>
    <w:rsid w:val="003F5617"/>
    <w:rsid w:val="003F5A93"/>
    <w:rsid w:val="003F69C9"/>
    <w:rsid w:val="00405B05"/>
    <w:rsid w:val="0040658A"/>
    <w:rsid w:val="00407DF2"/>
    <w:rsid w:val="00410F98"/>
    <w:rsid w:val="00415B87"/>
    <w:rsid w:val="00422D54"/>
    <w:rsid w:val="00437938"/>
    <w:rsid w:val="00440572"/>
    <w:rsid w:val="00441C22"/>
    <w:rsid w:val="00443276"/>
    <w:rsid w:val="00443997"/>
    <w:rsid w:val="00444E5D"/>
    <w:rsid w:val="004455BC"/>
    <w:rsid w:val="00445D52"/>
    <w:rsid w:val="004464D6"/>
    <w:rsid w:val="00447032"/>
    <w:rsid w:val="0045406A"/>
    <w:rsid w:val="00456A0D"/>
    <w:rsid w:val="00462239"/>
    <w:rsid w:val="00464363"/>
    <w:rsid w:val="004713DA"/>
    <w:rsid w:val="004725E6"/>
    <w:rsid w:val="00474FCD"/>
    <w:rsid w:val="004777FA"/>
    <w:rsid w:val="004811AD"/>
    <w:rsid w:val="00481E4F"/>
    <w:rsid w:val="004829EA"/>
    <w:rsid w:val="00492772"/>
    <w:rsid w:val="0049363B"/>
    <w:rsid w:val="004953B1"/>
    <w:rsid w:val="004962B2"/>
    <w:rsid w:val="0049660B"/>
    <w:rsid w:val="004977E0"/>
    <w:rsid w:val="004B3303"/>
    <w:rsid w:val="004B598A"/>
    <w:rsid w:val="004B7A9B"/>
    <w:rsid w:val="004C0129"/>
    <w:rsid w:val="004C1E41"/>
    <w:rsid w:val="004D0818"/>
    <w:rsid w:val="004D1102"/>
    <w:rsid w:val="004D1508"/>
    <w:rsid w:val="004D1A83"/>
    <w:rsid w:val="004D5014"/>
    <w:rsid w:val="004D7EF6"/>
    <w:rsid w:val="004E3FC2"/>
    <w:rsid w:val="004E645E"/>
    <w:rsid w:val="004E77D4"/>
    <w:rsid w:val="004F0C26"/>
    <w:rsid w:val="004F1096"/>
    <w:rsid w:val="004F1FF6"/>
    <w:rsid w:val="004F2A80"/>
    <w:rsid w:val="004F4521"/>
    <w:rsid w:val="004F7423"/>
    <w:rsid w:val="0051155B"/>
    <w:rsid w:val="00512C8C"/>
    <w:rsid w:val="0051553C"/>
    <w:rsid w:val="00516FE2"/>
    <w:rsid w:val="00517AEA"/>
    <w:rsid w:val="005208DB"/>
    <w:rsid w:val="0052251C"/>
    <w:rsid w:val="00522697"/>
    <w:rsid w:val="0052330D"/>
    <w:rsid w:val="0052359E"/>
    <w:rsid w:val="00525115"/>
    <w:rsid w:val="005254EE"/>
    <w:rsid w:val="00525B32"/>
    <w:rsid w:val="0053068A"/>
    <w:rsid w:val="0053650F"/>
    <w:rsid w:val="005411E6"/>
    <w:rsid w:val="00542870"/>
    <w:rsid w:val="00550A59"/>
    <w:rsid w:val="00553DEB"/>
    <w:rsid w:val="005576BA"/>
    <w:rsid w:val="00557859"/>
    <w:rsid w:val="005666CA"/>
    <w:rsid w:val="0057069C"/>
    <w:rsid w:val="00571A94"/>
    <w:rsid w:val="005721EB"/>
    <w:rsid w:val="00574277"/>
    <w:rsid w:val="00574598"/>
    <w:rsid w:val="00576C3C"/>
    <w:rsid w:val="00587BBF"/>
    <w:rsid w:val="00590834"/>
    <w:rsid w:val="0059211B"/>
    <w:rsid w:val="00596583"/>
    <w:rsid w:val="005972F5"/>
    <w:rsid w:val="005A4607"/>
    <w:rsid w:val="005B5695"/>
    <w:rsid w:val="005B7AE7"/>
    <w:rsid w:val="005C4A2D"/>
    <w:rsid w:val="005C76D1"/>
    <w:rsid w:val="005D47F9"/>
    <w:rsid w:val="005D4908"/>
    <w:rsid w:val="005D5682"/>
    <w:rsid w:val="005D7951"/>
    <w:rsid w:val="005E2357"/>
    <w:rsid w:val="005E264D"/>
    <w:rsid w:val="005E53E3"/>
    <w:rsid w:val="005E5CA7"/>
    <w:rsid w:val="005E7316"/>
    <w:rsid w:val="005F4D93"/>
    <w:rsid w:val="005F5EF9"/>
    <w:rsid w:val="0060155A"/>
    <w:rsid w:val="00614E23"/>
    <w:rsid w:val="0061559D"/>
    <w:rsid w:val="00615CC0"/>
    <w:rsid w:val="0062265D"/>
    <w:rsid w:val="00631E5A"/>
    <w:rsid w:val="00633988"/>
    <w:rsid w:val="00633993"/>
    <w:rsid w:val="006365A5"/>
    <w:rsid w:val="00640350"/>
    <w:rsid w:val="0064132C"/>
    <w:rsid w:val="0064166D"/>
    <w:rsid w:val="006460E7"/>
    <w:rsid w:val="00647385"/>
    <w:rsid w:val="00652550"/>
    <w:rsid w:val="006569A2"/>
    <w:rsid w:val="006611B9"/>
    <w:rsid w:val="0066604A"/>
    <w:rsid w:val="006665BA"/>
    <w:rsid w:val="00675C6A"/>
    <w:rsid w:val="00676353"/>
    <w:rsid w:val="00680C62"/>
    <w:rsid w:val="00682F17"/>
    <w:rsid w:val="00683D2E"/>
    <w:rsid w:val="00683E51"/>
    <w:rsid w:val="006872BF"/>
    <w:rsid w:val="00691D85"/>
    <w:rsid w:val="00692501"/>
    <w:rsid w:val="00697D80"/>
    <w:rsid w:val="006A00DF"/>
    <w:rsid w:val="006A12B6"/>
    <w:rsid w:val="006A3C39"/>
    <w:rsid w:val="006A6A37"/>
    <w:rsid w:val="006B2699"/>
    <w:rsid w:val="006B340E"/>
    <w:rsid w:val="006B5F4B"/>
    <w:rsid w:val="006C042F"/>
    <w:rsid w:val="006C2102"/>
    <w:rsid w:val="006C67AC"/>
    <w:rsid w:val="006D0A6E"/>
    <w:rsid w:val="006D576F"/>
    <w:rsid w:val="006D5C5B"/>
    <w:rsid w:val="006E0A15"/>
    <w:rsid w:val="006E2701"/>
    <w:rsid w:val="006E469D"/>
    <w:rsid w:val="006E6496"/>
    <w:rsid w:val="006F52C2"/>
    <w:rsid w:val="006F6176"/>
    <w:rsid w:val="006F6360"/>
    <w:rsid w:val="0070311D"/>
    <w:rsid w:val="00703891"/>
    <w:rsid w:val="00707903"/>
    <w:rsid w:val="0071088A"/>
    <w:rsid w:val="00710D0F"/>
    <w:rsid w:val="00713ADB"/>
    <w:rsid w:val="00715D19"/>
    <w:rsid w:val="00721018"/>
    <w:rsid w:val="00723768"/>
    <w:rsid w:val="007244E3"/>
    <w:rsid w:val="0072692E"/>
    <w:rsid w:val="007301F4"/>
    <w:rsid w:val="007332D1"/>
    <w:rsid w:val="00740D53"/>
    <w:rsid w:val="0074180F"/>
    <w:rsid w:val="00742D98"/>
    <w:rsid w:val="00743B62"/>
    <w:rsid w:val="00745057"/>
    <w:rsid w:val="00745125"/>
    <w:rsid w:val="00746F98"/>
    <w:rsid w:val="00751852"/>
    <w:rsid w:val="00751CCB"/>
    <w:rsid w:val="007523C9"/>
    <w:rsid w:val="00753B20"/>
    <w:rsid w:val="00753C1F"/>
    <w:rsid w:val="007546DC"/>
    <w:rsid w:val="00756C6F"/>
    <w:rsid w:val="0076000B"/>
    <w:rsid w:val="00760230"/>
    <w:rsid w:val="007602AC"/>
    <w:rsid w:val="00766176"/>
    <w:rsid w:val="00770488"/>
    <w:rsid w:val="00774301"/>
    <w:rsid w:val="00774624"/>
    <w:rsid w:val="0077483E"/>
    <w:rsid w:val="00775655"/>
    <w:rsid w:val="00777BCF"/>
    <w:rsid w:val="00785942"/>
    <w:rsid w:val="00785F57"/>
    <w:rsid w:val="00787721"/>
    <w:rsid w:val="00795E4F"/>
    <w:rsid w:val="007965A6"/>
    <w:rsid w:val="007A1A44"/>
    <w:rsid w:val="007B018F"/>
    <w:rsid w:val="007B2E1D"/>
    <w:rsid w:val="007C0205"/>
    <w:rsid w:val="007C1B48"/>
    <w:rsid w:val="007C55D0"/>
    <w:rsid w:val="007C6863"/>
    <w:rsid w:val="007D2729"/>
    <w:rsid w:val="007D58B6"/>
    <w:rsid w:val="007D67FD"/>
    <w:rsid w:val="007D755E"/>
    <w:rsid w:val="007E1E70"/>
    <w:rsid w:val="007E3026"/>
    <w:rsid w:val="007E4651"/>
    <w:rsid w:val="007E4C71"/>
    <w:rsid w:val="007E5534"/>
    <w:rsid w:val="007F09E3"/>
    <w:rsid w:val="007F3B08"/>
    <w:rsid w:val="007F4987"/>
    <w:rsid w:val="00801B3E"/>
    <w:rsid w:val="00814514"/>
    <w:rsid w:val="0081592A"/>
    <w:rsid w:val="00816FF1"/>
    <w:rsid w:val="0082059D"/>
    <w:rsid w:val="008218E3"/>
    <w:rsid w:val="008239C2"/>
    <w:rsid w:val="00825C0E"/>
    <w:rsid w:val="00826527"/>
    <w:rsid w:val="00834D70"/>
    <w:rsid w:val="008357C5"/>
    <w:rsid w:val="00836FD8"/>
    <w:rsid w:val="00842288"/>
    <w:rsid w:val="00844F6E"/>
    <w:rsid w:val="008476C8"/>
    <w:rsid w:val="00851C9E"/>
    <w:rsid w:val="00851E19"/>
    <w:rsid w:val="0085423D"/>
    <w:rsid w:val="00855982"/>
    <w:rsid w:val="00855D16"/>
    <w:rsid w:val="00862DA8"/>
    <w:rsid w:val="00865961"/>
    <w:rsid w:val="00871E8E"/>
    <w:rsid w:val="0089018C"/>
    <w:rsid w:val="00894624"/>
    <w:rsid w:val="0089684D"/>
    <w:rsid w:val="008A05B8"/>
    <w:rsid w:val="008A0697"/>
    <w:rsid w:val="008A0C66"/>
    <w:rsid w:val="008A1343"/>
    <w:rsid w:val="008A58C6"/>
    <w:rsid w:val="008A66BE"/>
    <w:rsid w:val="008B611B"/>
    <w:rsid w:val="008C2CE8"/>
    <w:rsid w:val="008C355F"/>
    <w:rsid w:val="008C7447"/>
    <w:rsid w:val="008D11D3"/>
    <w:rsid w:val="008D12BB"/>
    <w:rsid w:val="008D7179"/>
    <w:rsid w:val="008E08C4"/>
    <w:rsid w:val="008E487F"/>
    <w:rsid w:val="008F20B0"/>
    <w:rsid w:val="008F464F"/>
    <w:rsid w:val="008F4DFB"/>
    <w:rsid w:val="00904204"/>
    <w:rsid w:val="00911B7B"/>
    <w:rsid w:val="00911C69"/>
    <w:rsid w:val="0091303C"/>
    <w:rsid w:val="0091317E"/>
    <w:rsid w:val="00916B80"/>
    <w:rsid w:val="00917E75"/>
    <w:rsid w:val="00920C27"/>
    <w:rsid w:val="00933A77"/>
    <w:rsid w:val="00941495"/>
    <w:rsid w:val="00945C17"/>
    <w:rsid w:val="00947FA8"/>
    <w:rsid w:val="009534FB"/>
    <w:rsid w:val="00953FE2"/>
    <w:rsid w:val="009547E4"/>
    <w:rsid w:val="00955591"/>
    <w:rsid w:val="009567F7"/>
    <w:rsid w:val="009568C9"/>
    <w:rsid w:val="009601F7"/>
    <w:rsid w:val="00965195"/>
    <w:rsid w:val="0096555C"/>
    <w:rsid w:val="00966265"/>
    <w:rsid w:val="00970A4E"/>
    <w:rsid w:val="009719DF"/>
    <w:rsid w:val="00971F6B"/>
    <w:rsid w:val="0098078E"/>
    <w:rsid w:val="00986CA2"/>
    <w:rsid w:val="0098757C"/>
    <w:rsid w:val="00987A32"/>
    <w:rsid w:val="009907A9"/>
    <w:rsid w:val="0099162A"/>
    <w:rsid w:val="00991E5E"/>
    <w:rsid w:val="00992205"/>
    <w:rsid w:val="009959BB"/>
    <w:rsid w:val="00996400"/>
    <w:rsid w:val="009A05EC"/>
    <w:rsid w:val="009A350C"/>
    <w:rsid w:val="009A475F"/>
    <w:rsid w:val="009A49BF"/>
    <w:rsid w:val="009A634D"/>
    <w:rsid w:val="009A67D9"/>
    <w:rsid w:val="009A6959"/>
    <w:rsid w:val="009B2DFD"/>
    <w:rsid w:val="009B3518"/>
    <w:rsid w:val="009B5C9F"/>
    <w:rsid w:val="009B6481"/>
    <w:rsid w:val="009B7269"/>
    <w:rsid w:val="009C02B5"/>
    <w:rsid w:val="009C08FE"/>
    <w:rsid w:val="009C5B09"/>
    <w:rsid w:val="009C60D3"/>
    <w:rsid w:val="009C6546"/>
    <w:rsid w:val="009C72D6"/>
    <w:rsid w:val="009C7F0C"/>
    <w:rsid w:val="009D25B1"/>
    <w:rsid w:val="009E0B26"/>
    <w:rsid w:val="009E7AB5"/>
    <w:rsid w:val="009F09E2"/>
    <w:rsid w:val="009F2933"/>
    <w:rsid w:val="009F6EBD"/>
    <w:rsid w:val="009F6ECD"/>
    <w:rsid w:val="009F7134"/>
    <w:rsid w:val="00A0262C"/>
    <w:rsid w:val="00A045FE"/>
    <w:rsid w:val="00A05723"/>
    <w:rsid w:val="00A05B35"/>
    <w:rsid w:val="00A05C95"/>
    <w:rsid w:val="00A0643C"/>
    <w:rsid w:val="00A06C3D"/>
    <w:rsid w:val="00A074F3"/>
    <w:rsid w:val="00A07C39"/>
    <w:rsid w:val="00A10FE6"/>
    <w:rsid w:val="00A11545"/>
    <w:rsid w:val="00A11AAD"/>
    <w:rsid w:val="00A120AF"/>
    <w:rsid w:val="00A16198"/>
    <w:rsid w:val="00A25C92"/>
    <w:rsid w:val="00A264BF"/>
    <w:rsid w:val="00A31ED2"/>
    <w:rsid w:val="00A325CB"/>
    <w:rsid w:val="00A359B9"/>
    <w:rsid w:val="00A37584"/>
    <w:rsid w:val="00A37998"/>
    <w:rsid w:val="00A53882"/>
    <w:rsid w:val="00A53D1B"/>
    <w:rsid w:val="00A54177"/>
    <w:rsid w:val="00A560A9"/>
    <w:rsid w:val="00A6030F"/>
    <w:rsid w:val="00A608FA"/>
    <w:rsid w:val="00A614A7"/>
    <w:rsid w:val="00A671C9"/>
    <w:rsid w:val="00A751AF"/>
    <w:rsid w:val="00A80856"/>
    <w:rsid w:val="00A8314C"/>
    <w:rsid w:val="00A83361"/>
    <w:rsid w:val="00A84F37"/>
    <w:rsid w:val="00A91BC2"/>
    <w:rsid w:val="00A92952"/>
    <w:rsid w:val="00A96D7E"/>
    <w:rsid w:val="00A96DC2"/>
    <w:rsid w:val="00AA3C29"/>
    <w:rsid w:val="00AB1A87"/>
    <w:rsid w:val="00AB36D9"/>
    <w:rsid w:val="00AB5417"/>
    <w:rsid w:val="00AB6087"/>
    <w:rsid w:val="00AC2DB7"/>
    <w:rsid w:val="00AC5380"/>
    <w:rsid w:val="00AC5A3C"/>
    <w:rsid w:val="00AC5BEC"/>
    <w:rsid w:val="00AD0F72"/>
    <w:rsid w:val="00AD419C"/>
    <w:rsid w:val="00AE0EE1"/>
    <w:rsid w:val="00AE520E"/>
    <w:rsid w:val="00AE610C"/>
    <w:rsid w:val="00AE65CA"/>
    <w:rsid w:val="00AE761C"/>
    <w:rsid w:val="00AF1901"/>
    <w:rsid w:val="00AF6581"/>
    <w:rsid w:val="00AF7524"/>
    <w:rsid w:val="00B00409"/>
    <w:rsid w:val="00B00C66"/>
    <w:rsid w:val="00B03D51"/>
    <w:rsid w:val="00B06EF4"/>
    <w:rsid w:val="00B07E6E"/>
    <w:rsid w:val="00B100DF"/>
    <w:rsid w:val="00B129F9"/>
    <w:rsid w:val="00B1578C"/>
    <w:rsid w:val="00B21BFB"/>
    <w:rsid w:val="00B2344F"/>
    <w:rsid w:val="00B23734"/>
    <w:rsid w:val="00B25875"/>
    <w:rsid w:val="00B30AE2"/>
    <w:rsid w:val="00B314D4"/>
    <w:rsid w:val="00B33597"/>
    <w:rsid w:val="00B34099"/>
    <w:rsid w:val="00B36D03"/>
    <w:rsid w:val="00B43F28"/>
    <w:rsid w:val="00B45C2E"/>
    <w:rsid w:val="00B45EE6"/>
    <w:rsid w:val="00B4660D"/>
    <w:rsid w:val="00B46FFC"/>
    <w:rsid w:val="00B542E7"/>
    <w:rsid w:val="00B546F7"/>
    <w:rsid w:val="00B61EAC"/>
    <w:rsid w:val="00B63C9B"/>
    <w:rsid w:val="00B730AE"/>
    <w:rsid w:val="00B73DA2"/>
    <w:rsid w:val="00B83652"/>
    <w:rsid w:val="00B8600E"/>
    <w:rsid w:val="00B87F4B"/>
    <w:rsid w:val="00B87FBD"/>
    <w:rsid w:val="00B91B41"/>
    <w:rsid w:val="00B91C65"/>
    <w:rsid w:val="00B925E5"/>
    <w:rsid w:val="00B97170"/>
    <w:rsid w:val="00BA0DBD"/>
    <w:rsid w:val="00BA2C12"/>
    <w:rsid w:val="00BB24BD"/>
    <w:rsid w:val="00BB38C1"/>
    <w:rsid w:val="00BB5169"/>
    <w:rsid w:val="00BB7783"/>
    <w:rsid w:val="00BB7E5C"/>
    <w:rsid w:val="00BC72C8"/>
    <w:rsid w:val="00BD2F1C"/>
    <w:rsid w:val="00BD4C25"/>
    <w:rsid w:val="00BD5475"/>
    <w:rsid w:val="00BD7EF5"/>
    <w:rsid w:val="00BE0C16"/>
    <w:rsid w:val="00BE14F7"/>
    <w:rsid w:val="00BE1B65"/>
    <w:rsid w:val="00BE3CB2"/>
    <w:rsid w:val="00BE4DF2"/>
    <w:rsid w:val="00BF3C70"/>
    <w:rsid w:val="00BF634C"/>
    <w:rsid w:val="00BF7591"/>
    <w:rsid w:val="00C01B77"/>
    <w:rsid w:val="00C07485"/>
    <w:rsid w:val="00C13213"/>
    <w:rsid w:val="00C17BEB"/>
    <w:rsid w:val="00C20917"/>
    <w:rsid w:val="00C21FF5"/>
    <w:rsid w:val="00C24BE1"/>
    <w:rsid w:val="00C32199"/>
    <w:rsid w:val="00C36722"/>
    <w:rsid w:val="00C36DA6"/>
    <w:rsid w:val="00C40C3B"/>
    <w:rsid w:val="00C41E7C"/>
    <w:rsid w:val="00C441A8"/>
    <w:rsid w:val="00C463CB"/>
    <w:rsid w:val="00C46568"/>
    <w:rsid w:val="00C47B04"/>
    <w:rsid w:val="00C52BC9"/>
    <w:rsid w:val="00C53C6E"/>
    <w:rsid w:val="00C554D5"/>
    <w:rsid w:val="00C569A5"/>
    <w:rsid w:val="00C60A1E"/>
    <w:rsid w:val="00C63485"/>
    <w:rsid w:val="00C65C47"/>
    <w:rsid w:val="00C71F28"/>
    <w:rsid w:val="00C73C60"/>
    <w:rsid w:val="00C74597"/>
    <w:rsid w:val="00C74B93"/>
    <w:rsid w:val="00C764EB"/>
    <w:rsid w:val="00C76564"/>
    <w:rsid w:val="00C8502D"/>
    <w:rsid w:val="00C904C4"/>
    <w:rsid w:val="00C91FD8"/>
    <w:rsid w:val="00C9267C"/>
    <w:rsid w:val="00C92D2A"/>
    <w:rsid w:val="00C9409F"/>
    <w:rsid w:val="00C97681"/>
    <w:rsid w:val="00C97EF7"/>
    <w:rsid w:val="00CA091D"/>
    <w:rsid w:val="00CA4D21"/>
    <w:rsid w:val="00CA4D26"/>
    <w:rsid w:val="00CA6615"/>
    <w:rsid w:val="00CA7712"/>
    <w:rsid w:val="00CB14C0"/>
    <w:rsid w:val="00CB2B9C"/>
    <w:rsid w:val="00CB3379"/>
    <w:rsid w:val="00CB3774"/>
    <w:rsid w:val="00CC2159"/>
    <w:rsid w:val="00CC25CD"/>
    <w:rsid w:val="00CC2A99"/>
    <w:rsid w:val="00CC6023"/>
    <w:rsid w:val="00CD1203"/>
    <w:rsid w:val="00CD2CC1"/>
    <w:rsid w:val="00CD4725"/>
    <w:rsid w:val="00CD5AEC"/>
    <w:rsid w:val="00CD636F"/>
    <w:rsid w:val="00CE2917"/>
    <w:rsid w:val="00CE7EAA"/>
    <w:rsid w:val="00CF3801"/>
    <w:rsid w:val="00CF7C33"/>
    <w:rsid w:val="00D03691"/>
    <w:rsid w:val="00D03EF9"/>
    <w:rsid w:val="00D132C1"/>
    <w:rsid w:val="00D14528"/>
    <w:rsid w:val="00D1647A"/>
    <w:rsid w:val="00D2127C"/>
    <w:rsid w:val="00D2252E"/>
    <w:rsid w:val="00D269AF"/>
    <w:rsid w:val="00D32634"/>
    <w:rsid w:val="00D3405B"/>
    <w:rsid w:val="00D34885"/>
    <w:rsid w:val="00D358FB"/>
    <w:rsid w:val="00D35AF7"/>
    <w:rsid w:val="00D41B71"/>
    <w:rsid w:val="00D41EBB"/>
    <w:rsid w:val="00D43A5C"/>
    <w:rsid w:val="00D44A49"/>
    <w:rsid w:val="00D450ED"/>
    <w:rsid w:val="00D47C18"/>
    <w:rsid w:val="00D520ED"/>
    <w:rsid w:val="00D62A30"/>
    <w:rsid w:val="00D66021"/>
    <w:rsid w:val="00D6675A"/>
    <w:rsid w:val="00D73F55"/>
    <w:rsid w:val="00D76300"/>
    <w:rsid w:val="00D7775C"/>
    <w:rsid w:val="00D77E08"/>
    <w:rsid w:val="00D80266"/>
    <w:rsid w:val="00D8033C"/>
    <w:rsid w:val="00D82A85"/>
    <w:rsid w:val="00D830ED"/>
    <w:rsid w:val="00D84E16"/>
    <w:rsid w:val="00D85D59"/>
    <w:rsid w:val="00D935B7"/>
    <w:rsid w:val="00D936CA"/>
    <w:rsid w:val="00D94363"/>
    <w:rsid w:val="00DA0B28"/>
    <w:rsid w:val="00DA2CDC"/>
    <w:rsid w:val="00DB2052"/>
    <w:rsid w:val="00DB449A"/>
    <w:rsid w:val="00DC0775"/>
    <w:rsid w:val="00DC5DA5"/>
    <w:rsid w:val="00DD0F64"/>
    <w:rsid w:val="00DD69BE"/>
    <w:rsid w:val="00DE1867"/>
    <w:rsid w:val="00DE1E6B"/>
    <w:rsid w:val="00DE2F3F"/>
    <w:rsid w:val="00DF2069"/>
    <w:rsid w:val="00E001B2"/>
    <w:rsid w:val="00E009FD"/>
    <w:rsid w:val="00E05125"/>
    <w:rsid w:val="00E06991"/>
    <w:rsid w:val="00E07F76"/>
    <w:rsid w:val="00E20FA1"/>
    <w:rsid w:val="00E227A0"/>
    <w:rsid w:val="00E26120"/>
    <w:rsid w:val="00E32184"/>
    <w:rsid w:val="00E32A6A"/>
    <w:rsid w:val="00E35E93"/>
    <w:rsid w:val="00E3776B"/>
    <w:rsid w:val="00E46800"/>
    <w:rsid w:val="00E511DE"/>
    <w:rsid w:val="00E52C23"/>
    <w:rsid w:val="00E54D6E"/>
    <w:rsid w:val="00E55C7A"/>
    <w:rsid w:val="00E55D2E"/>
    <w:rsid w:val="00E626E7"/>
    <w:rsid w:val="00E64F6F"/>
    <w:rsid w:val="00E66F70"/>
    <w:rsid w:val="00E7183E"/>
    <w:rsid w:val="00E7401C"/>
    <w:rsid w:val="00E7459C"/>
    <w:rsid w:val="00E76621"/>
    <w:rsid w:val="00E77888"/>
    <w:rsid w:val="00E8019F"/>
    <w:rsid w:val="00E81DF5"/>
    <w:rsid w:val="00E82403"/>
    <w:rsid w:val="00E831EA"/>
    <w:rsid w:val="00E879CA"/>
    <w:rsid w:val="00E928DD"/>
    <w:rsid w:val="00E978F3"/>
    <w:rsid w:val="00EA198F"/>
    <w:rsid w:val="00EA3644"/>
    <w:rsid w:val="00EA3653"/>
    <w:rsid w:val="00EA7876"/>
    <w:rsid w:val="00EA7CB0"/>
    <w:rsid w:val="00EB31C1"/>
    <w:rsid w:val="00EB6203"/>
    <w:rsid w:val="00EB7C2F"/>
    <w:rsid w:val="00EC44E7"/>
    <w:rsid w:val="00EC5FF5"/>
    <w:rsid w:val="00ED0D12"/>
    <w:rsid w:val="00EE0EB8"/>
    <w:rsid w:val="00EE108F"/>
    <w:rsid w:val="00EE12F0"/>
    <w:rsid w:val="00EE1A1E"/>
    <w:rsid w:val="00EE6791"/>
    <w:rsid w:val="00EF0540"/>
    <w:rsid w:val="00EF45DD"/>
    <w:rsid w:val="00EF7E98"/>
    <w:rsid w:val="00F10608"/>
    <w:rsid w:val="00F11124"/>
    <w:rsid w:val="00F11777"/>
    <w:rsid w:val="00F14E69"/>
    <w:rsid w:val="00F1655E"/>
    <w:rsid w:val="00F21858"/>
    <w:rsid w:val="00F25733"/>
    <w:rsid w:val="00F270DC"/>
    <w:rsid w:val="00F34DD8"/>
    <w:rsid w:val="00F353D5"/>
    <w:rsid w:val="00F4123B"/>
    <w:rsid w:val="00F43ECF"/>
    <w:rsid w:val="00F447E7"/>
    <w:rsid w:val="00F45676"/>
    <w:rsid w:val="00F50245"/>
    <w:rsid w:val="00F53488"/>
    <w:rsid w:val="00F53DDF"/>
    <w:rsid w:val="00F551A3"/>
    <w:rsid w:val="00F55E1F"/>
    <w:rsid w:val="00F57357"/>
    <w:rsid w:val="00F6442D"/>
    <w:rsid w:val="00F67FFE"/>
    <w:rsid w:val="00F7605E"/>
    <w:rsid w:val="00F77B5D"/>
    <w:rsid w:val="00F8082C"/>
    <w:rsid w:val="00F81D3A"/>
    <w:rsid w:val="00F825FC"/>
    <w:rsid w:val="00F86EF5"/>
    <w:rsid w:val="00F87063"/>
    <w:rsid w:val="00F90693"/>
    <w:rsid w:val="00F914E4"/>
    <w:rsid w:val="00F929C0"/>
    <w:rsid w:val="00F97298"/>
    <w:rsid w:val="00F9729B"/>
    <w:rsid w:val="00FA382B"/>
    <w:rsid w:val="00FB23F7"/>
    <w:rsid w:val="00FB32F0"/>
    <w:rsid w:val="00FB5A38"/>
    <w:rsid w:val="00FB6D95"/>
    <w:rsid w:val="00FB70AF"/>
    <w:rsid w:val="00FC1ECA"/>
    <w:rsid w:val="00FC4FC3"/>
    <w:rsid w:val="00FC53CC"/>
    <w:rsid w:val="00FC6E3C"/>
    <w:rsid w:val="00FC76F4"/>
    <w:rsid w:val="00FE08A1"/>
    <w:rsid w:val="00FE28A8"/>
    <w:rsid w:val="00FE6691"/>
    <w:rsid w:val="00FF1E28"/>
    <w:rsid w:val="00FF48B7"/>
    <w:rsid w:val="00FF4D06"/>
    <w:rsid w:val="00FF7D98"/>
    <w:rsid w:val="00FF7EA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2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7759"/>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rsid w:val="00257759"/>
    <w:pPr>
      <w:tabs>
        <w:tab w:val="center" w:pos="4153"/>
        <w:tab w:val="right" w:pos="8306"/>
      </w:tabs>
    </w:pPr>
    <w:rPr>
      <w:sz w:val="20"/>
    </w:rPr>
  </w:style>
  <w:style w:type="paragraph" w:styleId="a4">
    <w:name w:val="footer"/>
    <w:basedOn w:val="a"/>
    <w:link w:val="a5"/>
    <w:rsid w:val="00257759"/>
    <w:pPr>
      <w:tabs>
        <w:tab w:val="center" w:pos="4153"/>
        <w:tab w:val="right" w:pos="8306"/>
      </w:tabs>
    </w:pPr>
    <w:rPr>
      <w:sz w:val="20"/>
    </w:rPr>
  </w:style>
  <w:style w:type="character" w:styleId="a6">
    <w:name w:val="page number"/>
    <w:basedOn w:val="a0"/>
    <w:semiHidden/>
    <w:rsid w:val="00257759"/>
  </w:style>
  <w:style w:type="paragraph" w:styleId="a7">
    <w:name w:val="Balloon Text"/>
    <w:basedOn w:val="a"/>
    <w:link w:val="a8"/>
    <w:uiPriority w:val="99"/>
    <w:semiHidden/>
    <w:unhideWhenUsed/>
    <w:rsid w:val="00257759"/>
    <w:pPr>
      <w:spacing w:line="240" w:lineRule="auto"/>
    </w:pPr>
    <w:rPr>
      <w:rFonts w:ascii="Cambria" w:hAnsi="Cambria"/>
      <w:sz w:val="18"/>
      <w:szCs w:val="18"/>
    </w:rPr>
  </w:style>
  <w:style w:type="character" w:customStyle="1" w:styleId="a8">
    <w:name w:val="註解方塊文字 字元"/>
    <w:basedOn w:val="a0"/>
    <w:link w:val="a7"/>
    <w:uiPriority w:val="99"/>
    <w:semiHidden/>
    <w:rsid w:val="00257759"/>
    <w:rPr>
      <w:rFonts w:ascii="Cambria" w:eastAsia="新細明體" w:hAnsi="Cambria" w:cs="Times New Roman"/>
      <w:sz w:val="18"/>
      <w:szCs w:val="18"/>
    </w:rPr>
  </w:style>
  <w:style w:type="character" w:customStyle="1" w:styleId="a5">
    <w:name w:val="頁尾 字元"/>
    <w:basedOn w:val="a0"/>
    <w:link w:val="a4"/>
    <w:rsid w:val="002D30AC"/>
  </w:style>
  <w:style w:type="paragraph" w:styleId="a9">
    <w:name w:val="List Paragraph"/>
    <w:basedOn w:val="a"/>
    <w:uiPriority w:val="34"/>
    <w:qFormat/>
    <w:rsid w:val="00F25733"/>
    <w:pPr>
      <w:ind w:leftChars="200" w:left="480"/>
    </w:pPr>
  </w:style>
  <w:style w:type="character" w:customStyle="1" w:styleId="yiv87447665apple-style-span">
    <w:name w:val="yiv87447665apple-style-span"/>
    <w:basedOn w:val="a0"/>
    <w:uiPriority w:val="99"/>
    <w:rsid w:val="00405B0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footer" Target="footer2.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NHIHFS11\L00A\&#26371;&#35336;&#23460;&#20849;&#21516;&#27284;&#26696;\&#31532;&#20116;&#31185;\&#24180;&#22577;\100\Analysis\Excel\100&#37291;&#21209;&#31649;&#29702;-en.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NHIHFS11\L00A\&#26371;&#35336;&#23460;&#20849;&#21516;&#27284;&#26696;\&#31532;&#20116;&#31185;\&#24180;&#22577;\100\Analysis\Excel\100&#37291;&#21209;&#31649;&#29702;-en.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D:\1%20yan-&#32113;&#35336;&#24180;&#22577;\&#32626;&#32113;&#35336;&#23460;&#20462;&#25913;\100&#37291;&#21209;&#31649;&#29702;1-en.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NHIHFS11\L00A\&#26371;&#35336;&#23460;&#20849;&#21516;&#27284;&#26696;\&#31532;&#20116;&#31185;\&#24180;&#22577;\100\Analysis\Excel\100&#37291;&#21209;&#31649;&#29702;-en.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1%20yan-&#32113;&#35336;&#24180;&#22577;\&#32626;&#32113;&#35336;&#23460;&#20462;&#25913;\100&#37291;&#21209;&#31649;&#29702;1-en.xlsx"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D:\1%20yan-&#32113;&#35336;&#24180;&#22577;\&#32626;&#32113;&#35336;&#23460;&#20462;&#25913;\100&#37291;&#21209;&#31649;&#29702;1-en.xlsx" TargetMode="Externa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NHIHFS11\L00A\&#26371;&#35336;&#23460;&#20849;&#21516;&#27284;&#26696;\&#31532;&#20116;&#31185;\&#24180;&#22577;\100\Analysis\Excel\100&#37291;&#21209;&#31649;&#29702;-en.xlsx" TargetMode="External"/></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7.xml"/><Relationship Id="rId1" Type="http://schemas.openxmlformats.org/officeDocument/2006/relationships/oleObject" Target="file:///\\NHIHFS11\L00A\&#26371;&#35336;&#23460;&#20849;&#21516;&#27284;&#26696;\&#31532;&#20116;&#31185;\&#24180;&#22577;\100\Analysis\Excel\100&#37291;&#21209;&#31649;&#29702;-en.xlsx" TargetMode="External"/></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8.xml"/><Relationship Id="rId1" Type="http://schemas.openxmlformats.org/officeDocument/2006/relationships/oleObject" Target="file:///\\NHIHFS11\L00A\&#26371;&#35336;&#23460;&#20849;&#21516;&#27284;&#26696;\&#31532;&#20116;&#31185;\&#24180;&#22577;\100\Analysis\Excel\100&#37291;&#21209;&#31649;&#29702;-en.xlsx" TargetMode="Externa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9.xml"/><Relationship Id="rId1" Type="http://schemas.openxmlformats.org/officeDocument/2006/relationships/oleObject" Target="file:///\\NHIHFS11\L00A\&#26371;&#35336;&#23460;&#20849;&#21516;&#27284;&#26696;\&#31532;&#20116;&#31185;\&#24180;&#22577;\100\Analysis\Excel\100&#37291;&#21209;&#31649;&#29702;-en.xlsx" TargetMode="External"/></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10.xml"/><Relationship Id="rId1" Type="http://schemas.openxmlformats.org/officeDocument/2006/relationships/oleObject" Target="file:///\\NHIHFS11\L00A\&#26371;&#35336;&#23460;&#20849;&#21516;&#27284;&#26696;\&#31532;&#20116;&#31185;\&#24180;&#22577;\100\Analysis\Excel\100&#37291;&#21209;&#31649;&#29702;-en.xlsx" TargetMode="External"/></Relationships>
</file>

<file path=word/charts/_rels/chart12.xml.rels><?xml version="1.0" encoding="UTF-8" standalone="yes"?>
<Relationships xmlns="http://schemas.openxmlformats.org/package/2006/relationships"><Relationship Id="rId2" Type="http://schemas.openxmlformats.org/officeDocument/2006/relationships/chartUserShapes" Target="../drawings/drawing11.xml"/><Relationship Id="rId1" Type="http://schemas.openxmlformats.org/officeDocument/2006/relationships/oleObject" Target="file:///\\NHIHFS11\L00A\&#26371;&#35336;&#23460;&#20849;&#21516;&#27284;&#26696;\&#31532;&#20116;&#31185;\&#24180;&#22577;\100\Analysis\Excel\100&#37291;&#21209;&#31649;&#29702;-en.xlsx" TargetMode="External"/></Relationships>
</file>

<file path=word/charts/_rels/chart13.xml.rels><?xml version="1.0" encoding="UTF-8" standalone="yes"?>
<Relationships xmlns="http://schemas.openxmlformats.org/package/2006/relationships"><Relationship Id="rId2" Type="http://schemas.openxmlformats.org/officeDocument/2006/relationships/chartUserShapes" Target="../drawings/drawing12.xml"/><Relationship Id="rId1" Type="http://schemas.openxmlformats.org/officeDocument/2006/relationships/oleObject" Target="file:///\\NHIHFS11\L00A\&#26371;&#35336;&#23460;&#20849;&#21516;&#27284;&#26696;\&#31532;&#20116;&#31185;\&#24180;&#22577;\100\Analysis\Excel\100&#37291;&#21209;&#31649;&#29702;-en.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NHIHFS11\L00A\&#26371;&#35336;&#23460;&#20849;&#21516;&#27284;&#26696;\&#31532;&#20116;&#31185;\&#24180;&#22577;\100\Analysis\Excel\100&#37291;&#21209;&#31649;&#29702;-e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en-US" altLang="zh-TW" sz="1000" b="0" i="0" u="none" strike="noStrike" baseline="0">
                <a:latin typeface="Times New Roman" pitchFamily="18" charset="0"/>
                <a:cs typeface="Times New Roman" pitchFamily="18" charset="0"/>
              </a:rPr>
              <a:t>Figure 19   Number of contracted medical care institutions and growth rate</a:t>
            </a:r>
            <a:endParaRPr lang="zh-TW" altLang="en-US" sz="1000" baseline="0">
              <a:latin typeface="Times New Roman" pitchFamily="18" charset="0"/>
              <a:ea typeface="標楷體" pitchFamily="65" charset="-120"/>
              <a:cs typeface="Times New Roman" pitchFamily="18" charset="0"/>
            </a:endParaRPr>
          </a:p>
        </c:rich>
      </c:tx>
      <c:layout>
        <c:manualLayout>
          <c:xMode val="edge"/>
          <c:yMode val="edge"/>
          <c:x val="0.14425543161271542"/>
          <c:y val="3.3714511554781522E-2"/>
        </c:manualLayout>
      </c:layout>
      <c:overlay val="1"/>
    </c:title>
    <c:plotArea>
      <c:layout>
        <c:manualLayout>
          <c:layoutTarget val="inner"/>
          <c:xMode val="edge"/>
          <c:yMode val="edge"/>
          <c:x val="0.10265248974159941"/>
          <c:y val="0.16916616192206754"/>
          <c:w val="0.80906975118116531"/>
          <c:h val="0.65407929271999166"/>
        </c:manualLayout>
      </c:layout>
      <c:barChart>
        <c:barDir val="col"/>
        <c:grouping val="stacked"/>
        <c:ser>
          <c:idx val="1"/>
          <c:order val="0"/>
          <c:tx>
            <c:strRef>
              <c:f>'圖19、22-data'!$D$8</c:f>
              <c:strCache>
                <c:ptCount val="1"/>
                <c:pt idx="0">
                  <c:v>Taipei Division</c:v>
                </c:pt>
              </c:strCache>
            </c:strRef>
          </c:tx>
          <c:spPr>
            <a:solidFill>
              <a:srgbClr val="D7E4BD"/>
            </a:solidFill>
            <a:ln w="12700">
              <a:noFill/>
              <a:prstDash val="solid"/>
            </a:ln>
          </c:spPr>
          <c:dLbls>
            <c:dLbl>
              <c:idx val="0"/>
              <c:layout>
                <c:manualLayout>
                  <c:x val="0"/>
                  <c:y val="-5.1111111111111114E-2"/>
                </c:manualLayout>
              </c:layout>
              <c:showVal val="1"/>
            </c:dLbl>
            <c:dLbl>
              <c:idx val="5"/>
              <c:showVal val="1"/>
            </c:dLbl>
            <c:dLbl>
              <c:idx val="10"/>
              <c:showVal val="1"/>
            </c:dLbl>
            <c:dLbl>
              <c:idx val="15"/>
              <c:layout>
                <c:manualLayout>
                  <c:x val="1.3647219379051521E-3"/>
                  <c:y val="-8.2222222222222224E-2"/>
                </c:manualLayout>
              </c:layout>
              <c:showVal val="1"/>
            </c:dLbl>
            <c:dLbl>
              <c:idx val="16"/>
              <c:layout>
                <c:manualLayout>
                  <c:x val="0"/>
                  <c:y val="-8.4444444444444627E-2"/>
                </c:manualLayout>
              </c:layout>
              <c:showVal val="1"/>
            </c:dLbl>
            <c:delete val="1"/>
            <c:numFmt formatCode="#,##0_);\(#,##0\)" sourceLinked="0"/>
            <c:txPr>
              <a:bodyPr/>
              <a:lstStyle/>
              <a:p>
                <a:pPr>
                  <a:defRPr sz="800">
                    <a:latin typeface="Times New Roman" pitchFamily="18" charset="0"/>
                    <a:cs typeface="Times New Roman" pitchFamily="18" charset="0"/>
                  </a:defRPr>
                </a:pPr>
                <a:endParaRPr lang="zh-TW"/>
              </a:p>
            </c:txPr>
          </c:dLbls>
          <c:cat>
            <c:strRef>
              <c:f>'圖19、22-data'!$B$9:$B$19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'圖19、22-data'!$D$9:$D$19</c:f>
              <c:numCache>
                <c:formatCode>General</c:formatCode>
                <c:ptCount val="11"/>
                <c:pt idx="0">
                  <c:v>6277</c:v>
                </c:pt>
                <c:pt idx="1">
                  <c:v>6632</c:v>
                </c:pt>
                <c:pt idx="2">
                  <c:v>6709</c:v>
                </c:pt>
                <c:pt idx="3">
                  <c:v>6924</c:v>
                </c:pt>
                <c:pt idx="4">
                  <c:v>7110</c:v>
                </c:pt>
                <c:pt idx="5">
                  <c:v>7201</c:v>
                </c:pt>
                <c:pt idx="6">
                  <c:v>7329</c:v>
                </c:pt>
                <c:pt idx="7">
                  <c:v>7455</c:v>
                </c:pt>
                <c:pt idx="8">
                  <c:v>7684</c:v>
                </c:pt>
                <c:pt idx="9">
                  <c:v>7908</c:v>
                </c:pt>
                <c:pt idx="10">
                  <c:v>8205</c:v>
                </c:pt>
              </c:numCache>
            </c:numRef>
          </c:val>
        </c:ser>
        <c:ser>
          <c:idx val="0"/>
          <c:order val="1"/>
          <c:tx>
            <c:strRef>
              <c:f>'圖19、22-data'!$E$8</c:f>
              <c:strCache>
                <c:ptCount val="1"/>
                <c:pt idx="0">
                  <c:v>Northern Division</c:v>
                </c:pt>
              </c:strCache>
            </c:strRef>
          </c:tx>
          <c:spPr>
            <a:solidFill>
              <a:srgbClr val="FFFF99"/>
            </a:solidFill>
            <a:ln w="12700">
              <a:noFill/>
              <a:prstDash val="solid"/>
            </a:ln>
          </c:spPr>
          <c:dLbls>
            <c:dLbl>
              <c:idx val="0"/>
              <c:showVal val="1"/>
            </c:dLbl>
            <c:dLbl>
              <c:idx val="5"/>
              <c:showVal val="1"/>
            </c:dLbl>
            <c:dLbl>
              <c:idx val="10"/>
              <c:showVal val="1"/>
            </c:dLbl>
            <c:dLbl>
              <c:idx val="15"/>
              <c:showVal val="1"/>
            </c:dLbl>
            <c:dLbl>
              <c:idx val="16"/>
              <c:showVal val="1"/>
            </c:dLbl>
            <c:delete val="1"/>
            <c:numFmt formatCode="#,##0_);\(#,##0\)" sourceLinked="0"/>
            <c:txPr>
              <a:bodyPr/>
              <a:lstStyle/>
              <a:p>
                <a:pPr>
                  <a:defRPr sz="800">
                    <a:latin typeface="Times New Roman" pitchFamily="18" charset="0"/>
                    <a:cs typeface="Times New Roman" pitchFamily="18" charset="0"/>
                  </a:defRPr>
                </a:pPr>
                <a:endParaRPr lang="zh-TW"/>
              </a:p>
            </c:txPr>
          </c:dLbls>
          <c:cat>
            <c:strRef>
              <c:f>'圖19、22-data'!$B$9:$B$19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'圖19、22-data'!$E$9:$E$19</c:f>
              <c:numCache>
                <c:formatCode>General</c:formatCode>
                <c:ptCount val="11"/>
                <c:pt idx="0">
                  <c:v>2450</c:v>
                </c:pt>
                <c:pt idx="1">
                  <c:v>2627</c:v>
                </c:pt>
                <c:pt idx="2">
                  <c:v>2680</c:v>
                </c:pt>
                <c:pt idx="3">
                  <c:v>2842</c:v>
                </c:pt>
                <c:pt idx="4">
                  <c:v>2953</c:v>
                </c:pt>
                <c:pt idx="5">
                  <c:v>2978</c:v>
                </c:pt>
                <c:pt idx="6">
                  <c:v>3039</c:v>
                </c:pt>
                <c:pt idx="7">
                  <c:v>3097</c:v>
                </c:pt>
                <c:pt idx="8">
                  <c:v>3193</c:v>
                </c:pt>
                <c:pt idx="9">
                  <c:v>3278</c:v>
                </c:pt>
                <c:pt idx="10">
                  <c:v>3382</c:v>
                </c:pt>
              </c:numCache>
            </c:numRef>
          </c:val>
        </c:ser>
        <c:ser>
          <c:idx val="5"/>
          <c:order val="2"/>
          <c:tx>
            <c:strRef>
              <c:f>'圖19、22-data'!$F$8</c:f>
              <c:strCache>
                <c:ptCount val="1"/>
                <c:pt idx="0">
                  <c:v>Central Division</c:v>
                </c:pt>
              </c:strCache>
            </c:strRef>
          </c:tx>
          <c:spPr>
            <a:solidFill>
              <a:srgbClr val="FFD5AB"/>
            </a:solidFill>
            <a:ln w="12700">
              <a:noFill/>
              <a:prstDash val="solid"/>
            </a:ln>
          </c:spPr>
          <c:dLbls>
            <c:dLbl>
              <c:idx val="0"/>
              <c:showVal val="1"/>
            </c:dLbl>
            <c:dLbl>
              <c:idx val="5"/>
              <c:showVal val="1"/>
            </c:dLbl>
            <c:dLbl>
              <c:idx val="10"/>
              <c:layout>
                <c:manualLayout>
                  <c:x val="2.7294438758103151E-3"/>
                  <c:y val="-5.5555555555555455E-2"/>
                </c:manualLayout>
              </c:layout>
              <c:showVal val="1"/>
            </c:dLbl>
            <c:dLbl>
              <c:idx val="15"/>
              <c:showVal val="1"/>
            </c:dLbl>
            <c:dLbl>
              <c:idx val="16"/>
              <c:showVal val="1"/>
            </c:dLbl>
            <c:delete val="1"/>
            <c:numFmt formatCode="#,##0_);\(#,##0\)" sourceLinked="0"/>
            <c:txPr>
              <a:bodyPr/>
              <a:lstStyle/>
              <a:p>
                <a:pPr>
                  <a:defRPr sz="800">
                    <a:latin typeface="Times New Roman" pitchFamily="18" charset="0"/>
                    <a:cs typeface="Times New Roman" pitchFamily="18" charset="0"/>
                  </a:defRPr>
                </a:pPr>
                <a:endParaRPr lang="zh-TW"/>
              </a:p>
            </c:txPr>
          </c:dLbls>
          <c:cat>
            <c:strRef>
              <c:f>'圖19、22-data'!$B$9:$B$19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'圖19、22-data'!$F$9:$F$19</c:f>
              <c:numCache>
                <c:formatCode>General</c:formatCode>
                <c:ptCount val="11"/>
                <c:pt idx="0">
                  <c:v>4499</c:v>
                </c:pt>
                <c:pt idx="1">
                  <c:v>4632</c:v>
                </c:pt>
                <c:pt idx="2">
                  <c:v>4780</c:v>
                </c:pt>
                <c:pt idx="3">
                  <c:v>4892</c:v>
                </c:pt>
                <c:pt idx="4">
                  <c:v>5008</c:v>
                </c:pt>
                <c:pt idx="5">
                  <c:v>5068</c:v>
                </c:pt>
                <c:pt idx="6">
                  <c:v>5111</c:v>
                </c:pt>
                <c:pt idx="7">
                  <c:v>5210</c:v>
                </c:pt>
                <c:pt idx="8">
                  <c:v>5298</c:v>
                </c:pt>
                <c:pt idx="9">
                  <c:v>5416</c:v>
                </c:pt>
                <c:pt idx="10">
                  <c:v>5552</c:v>
                </c:pt>
              </c:numCache>
            </c:numRef>
          </c:val>
        </c:ser>
        <c:ser>
          <c:idx val="6"/>
          <c:order val="3"/>
          <c:tx>
            <c:strRef>
              <c:f>'圖19、22-data'!$G$8</c:f>
              <c:strCache>
                <c:ptCount val="1"/>
                <c:pt idx="0">
                  <c:v>Southern Division</c:v>
                </c:pt>
              </c:strCache>
            </c:strRef>
          </c:tx>
          <c:spPr>
            <a:solidFill>
              <a:srgbClr val="FFAFCD"/>
            </a:solidFill>
            <a:ln w="12700">
              <a:noFill/>
              <a:prstDash val="solid"/>
            </a:ln>
          </c:spPr>
          <c:dLbls>
            <c:dLbl>
              <c:idx val="0"/>
              <c:showVal val="1"/>
            </c:dLbl>
            <c:dLbl>
              <c:idx val="5"/>
              <c:showVal val="1"/>
            </c:dLbl>
            <c:dLbl>
              <c:idx val="10"/>
              <c:showVal val="1"/>
            </c:dLbl>
            <c:dLbl>
              <c:idx val="15"/>
              <c:showVal val="1"/>
            </c:dLbl>
            <c:dLbl>
              <c:idx val="16"/>
              <c:showVal val="1"/>
            </c:dLbl>
            <c:delete val="1"/>
            <c:numFmt formatCode="#,##0_);\(#,##0\)" sourceLinked="0"/>
            <c:txPr>
              <a:bodyPr/>
              <a:lstStyle/>
              <a:p>
                <a:pPr>
                  <a:defRPr sz="800">
                    <a:latin typeface="Times New Roman" pitchFamily="18" charset="0"/>
                    <a:cs typeface="Times New Roman" pitchFamily="18" charset="0"/>
                  </a:defRPr>
                </a:pPr>
                <a:endParaRPr lang="zh-TW"/>
              </a:p>
            </c:txPr>
          </c:dLbls>
          <c:cat>
            <c:strRef>
              <c:f>'圖19、22-data'!$B$9:$B$19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'圖19、22-data'!$G$9:$G$19</c:f>
              <c:numCache>
                <c:formatCode>General</c:formatCode>
                <c:ptCount val="11"/>
                <c:pt idx="0">
                  <c:v>2989</c:v>
                </c:pt>
                <c:pt idx="1">
                  <c:v>3126</c:v>
                </c:pt>
                <c:pt idx="2">
                  <c:v>3311</c:v>
                </c:pt>
                <c:pt idx="3">
                  <c:v>3453</c:v>
                </c:pt>
                <c:pt idx="4">
                  <c:v>3515</c:v>
                </c:pt>
                <c:pt idx="5">
                  <c:v>3541</c:v>
                </c:pt>
                <c:pt idx="6">
                  <c:v>3561</c:v>
                </c:pt>
                <c:pt idx="7">
                  <c:v>3607</c:v>
                </c:pt>
                <c:pt idx="8">
                  <c:v>3673</c:v>
                </c:pt>
                <c:pt idx="9">
                  <c:v>3738</c:v>
                </c:pt>
                <c:pt idx="10">
                  <c:v>3827</c:v>
                </c:pt>
              </c:numCache>
            </c:numRef>
          </c:val>
        </c:ser>
        <c:ser>
          <c:idx val="2"/>
          <c:order val="4"/>
          <c:tx>
            <c:strRef>
              <c:f>'圖19、22-data'!$H$8</c:f>
              <c:strCache>
                <c:ptCount val="1"/>
                <c:pt idx="0">
                  <c:v>KaoPing Division</c:v>
                </c:pt>
              </c:strCache>
            </c:strRef>
          </c:tx>
          <c:spPr>
            <a:solidFill>
              <a:srgbClr val="B9D7FF"/>
            </a:solidFill>
            <a:ln w="12700">
              <a:noFill/>
              <a:prstDash val="solid"/>
            </a:ln>
          </c:spPr>
          <c:dLbls>
            <c:dLbl>
              <c:idx val="0"/>
              <c:showVal val="1"/>
            </c:dLbl>
            <c:dLbl>
              <c:idx val="5"/>
              <c:showVal val="1"/>
            </c:dLbl>
            <c:dLbl>
              <c:idx val="10"/>
              <c:showVal val="1"/>
            </c:dLbl>
            <c:dLbl>
              <c:idx val="15"/>
              <c:showVal val="1"/>
            </c:dLbl>
            <c:dLbl>
              <c:idx val="16"/>
              <c:showVal val="1"/>
            </c:dLbl>
            <c:delete val="1"/>
            <c:numFmt formatCode="#,##0_);\(#,##0\)" sourceLinked="0"/>
            <c:txPr>
              <a:bodyPr/>
              <a:lstStyle/>
              <a:p>
                <a:pPr>
                  <a:defRPr sz="800">
                    <a:latin typeface="Times New Roman" pitchFamily="18" charset="0"/>
                    <a:cs typeface="Times New Roman" pitchFamily="18" charset="0"/>
                  </a:defRPr>
                </a:pPr>
                <a:endParaRPr lang="zh-TW"/>
              </a:p>
            </c:txPr>
          </c:dLbls>
          <c:cat>
            <c:strRef>
              <c:f>'圖19、22-data'!$B$9:$B$19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'圖19、22-data'!$H$9:$H$19</c:f>
              <c:numCache>
                <c:formatCode>General</c:formatCode>
                <c:ptCount val="11"/>
                <c:pt idx="0">
                  <c:v>3375</c:v>
                </c:pt>
                <c:pt idx="1">
                  <c:v>3481</c:v>
                </c:pt>
                <c:pt idx="2">
                  <c:v>3564</c:v>
                </c:pt>
                <c:pt idx="3">
                  <c:v>3702</c:v>
                </c:pt>
                <c:pt idx="4">
                  <c:v>3805</c:v>
                </c:pt>
                <c:pt idx="5">
                  <c:v>3834</c:v>
                </c:pt>
                <c:pt idx="6">
                  <c:v>3853</c:v>
                </c:pt>
                <c:pt idx="7">
                  <c:v>3924</c:v>
                </c:pt>
                <c:pt idx="8">
                  <c:v>4004</c:v>
                </c:pt>
                <c:pt idx="9">
                  <c:v>4113</c:v>
                </c:pt>
                <c:pt idx="10">
                  <c:v>4196</c:v>
                </c:pt>
              </c:numCache>
            </c:numRef>
          </c:val>
        </c:ser>
        <c:ser>
          <c:idx val="3"/>
          <c:order val="5"/>
          <c:tx>
            <c:strRef>
              <c:f>'圖19、22-data'!$I$8</c:f>
              <c:strCache>
                <c:ptCount val="1"/>
                <c:pt idx="0">
                  <c:v>Eastern Division</c:v>
                </c:pt>
              </c:strCache>
            </c:strRef>
          </c:tx>
          <c:spPr>
            <a:solidFill>
              <a:srgbClr val="E0CAEC"/>
            </a:solidFill>
            <a:ln w="12700">
              <a:noFill/>
              <a:prstDash val="solid"/>
            </a:ln>
          </c:spPr>
          <c:dLbls>
            <c:dLbl>
              <c:idx val="0"/>
              <c:layout>
                <c:manualLayout>
                  <c:x val="0"/>
                  <c:y val="-1.7505470459518817E-2"/>
                </c:manualLayout>
              </c:layout>
              <c:showVal val="1"/>
            </c:dLbl>
            <c:dLbl>
              <c:idx val="5"/>
              <c:layout>
                <c:manualLayout>
                  <c:x val="0"/>
                  <c:y val="-1.7777777777777795E-2"/>
                </c:manualLayout>
              </c:layout>
              <c:showVal val="1"/>
            </c:dLbl>
            <c:dLbl>
              <c:idx val="10"/>
              <c:layout>
                <c:manualLayout>
                  <c:x val="-5.4588877516206259E-3"/>
                  <c:y val="-2.2222222222222282E-2"/>
                </c:manualLayout>
              </c:layout>
              <c:showVal val="1"/>
            </c:dLbl>
            <c:dLbl>
              <c:idx val="15"/>
              <c:layout>
                <c:manualLayout>
                  <c:x val="0"/>
                  <c:y val="-2.2222222222222251E-2"/>
                </c:manualLayout>
              </c:layout>
              <c:showVal val="1"/>
            </c:dLbl>
            <c:dLbl>
              <c:idx val="16"/>
              <c:layout>
                <c:manualLayout>
                  <c:x val="0"/>
                  <c:y val="-1.7777777777777795E-2"/>
                </c:manualLayout>
              </c:layout>
              <c:showVal val="1"/>
            </c:dLbl>
            <c:delete val="1"/>
            <c:txPr>
              <a:bodyPr/>
              <a:lstStyle/>
              <a:p>
                <a:pPr>
                  <a:defRPr sz="800">
                    <a:latin typeface="Times New Roman" pitchFamily="18" charset="0"/>
                    <a:cs typeface="Times New Roman" pitchFamily="18" charset="0"/>
                  </a:defRPr>
                </a:pPr>
                <a:endParaRPr lang="zh-TW"/>
              </a:p>
            </c:txPr>
          </c:dLbls>
          <c:cat>
            <c:strRef>
              <c:f>'圖19、22-data'!$B$9:$B$19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'圖19、22-data'!$I$9:$I$19</c:f>
              <c:numCache>
                <c:formatCode>General</c:formatCode>
                <c:ptCount val="11"/>
                <c:pt idx="0">
                  <c:v>481</c:v>
                </c:pt>
                <c:pt idx="1">
                  <c:v>499</c:v>
                </c:pt>
                <c:pt idx="2">
                  <c:v>543</c:v>
                </c:pt>
                <c:pt idx="3">
                  <c:v>570</c:v>
                </c:pt>
                <c:pt idx="4">
                  <c:v>574</c:v>
                </c:pt>
                <c:pt idx="5">
                  <c:v>585</c:v>
                </c:pt>
                <c:pt idx="6">
                  <c:v>585</c:v>
                </c:pt>
                <c:pt idx="7">
                  <c:v>581</c:v>
                </c:pt>
                <c:pt idx="8">
                  <c:v>571</c:v>
                </c:pt>
                <c:pt idx="9">
                  <c:v>578</c:v>
                </c:pt>
                <c:pt idx="10">
                  <c:v>585</c:v>
                </c:pt>
              </c:numCache>
            </c:numRef>
          </c:val>
        </c:ser>
        <c:gapWidth val="120"/>
        <c:overlap val="100"/>
        <c:axId val="270154368"/>
        <c:axId val="272776192"/>
      </c:barChart>
      <c:lineChart>
        <c:grouping val="standard"/>
        <c:ser>
          <c:idx val="4"/>
          <c:order val="6"/>
          <c:tx>
            <c:strRef>
              <c:f>'圖19、22-data'!$J$8</c:f>
              <c:strCache>
                <c:ptCount val="1"/>
                <c:pt idx="0">
                  <c:v>Growth Rate</c:v>
                </c:pt>
              </c:strCache>
            </c:strRef>
          </c:tx>
          <c:spPr>
            <a:ln w="25400">
              <a:solidFill>
                <a:schemeClr val="accent5">
                  <a:lumMod val="75000"/>
                </a:schemeClr>
              </a:solidFill>
              <a:prstDash val="solid"/>
            </a:ln>
          </c:spPr>
          <c:marker>
            <c:symbol val="diamond"/>
            <c:size val="6"/>
            <c:spPr>
              <a:solidFill>
                <a:schemeClr val="accent5">
                  <a:lumMod val="50000"/>
                </a:schemeClr>
              </a:solidFill>
              <a:ln>
                <a:solidFill>
                  <a:srgbClr val="008000"/>
                </a:solidFill>
                <a:prstDash val="solid"/>
              </a:ln>
            </c:spPr>
          </c:marker>
          <c:dPt>
            <c:idx val="1"/>
            <c:marker>
              <c:spPr>
                <a:solidFill>
                  <a:schemeClr val="accent5">
                    <a:lumMod val="75000"/>
                  </a:schemeClr>
                </a:solidFill>
                <a:ln>
                  <a:solidFill>
                    <a:srgbClr val="008000"/>
                  </a:solidFill>
                  <a:prstDash val="solid"/>
                </a:ln>
              </c:spPr>
            </c:marker>
          </c:dPt>
          <c:dLbls>
            <c:dLbl>
              <c:idx val="0"/>
              <c:layout>
                <c:manualLayout>
                  <c:x val="-2.5929716820197887E-2"/>
                  <c:y val="-1.5555555555555597E-2"/>
                </c:manualLayout>
              </c:layout>
              <c:showVal val="1"/>
            </c:dLbl>
            <c:dLbl>
              <c:idx val="1"/>
              <c:delete val="1"/>
            </c:dLbl>
            <c:dLbl>
              <c:idx val="2"/>
              <c:delete val="1"/>
            </c:dLbl>
            <c:dLbl>
              <c:idx val="3"/>
              <c:delete val="1"/>
            </c:dLbl>
            <c:dLbl>
              <c:idx val="4"/>
              <c:delete val="1"/>
            </c:dLbl>
            <c:dLbl>
              <c:idx val="5"/>
              <c:layout>
                <c:manualLayout>
                  <c:x val="-9.5530535653361014E-3"/>
                  <c:y val="-2.2222222222222282E-2"/>
                </c:manualLayout>
              </c:layout>
              <c:showVal val="1"/>
            </c:dLbl>
            <c:dLbl>
              <c:idx val="6"/>
              <c:delete val="1"/>
            </c:dLbl>
            <c:dLbl>
              <c:idx val="7"/>
              <c:delete val="1"/>
            </c:dLbl>
            <c:dLbl>
              <c:idx val="8"/>
              <c:delete val="1"/>
            </c:dLbl>
            <c:dLbl>
              <c:idx val="9"/>
              <c:delete val="1"/>
            </c:dLbl>
            <c:dLbl>
              <c:idx val="10"/>
              <c:layout>
                <c:manualLayout>
                  <c:x val="-1.5011941316956681E-2"/>
                  <c:y val="-1.3333333333333341E-2"/>
                </c:manualLayout>
              </c:layout>
              <c:showVal val="1"/>
            </c:dLbl>
            <c:dLbl>
              <c:idx val="11"/>
              <c:delete val="1"/>
            </c:dLbl>
            <c:dLbl>
              <c:idx val="12"/>
              <c:delete val="1"/>
            </c:dLbl>
            <c:dLbl>
              <c:idx val="13"/>
              <c:delete val="1"/>
            </c:dLbl>
            <c:dLbl>
              <c:idx val="14"/>
              <c:delete val="1"/>
            </c:dLbl>
            <c:dLbl>
              <c:idx val="15"/>
              <c:layout>
                <c:manualLayout>
                  <c:x val="-1.6376663254861822E-2"/>
                  <c:y val="-1.7777777777777795E-2"/>
                </c:manualLayout>
              </c:layout>
              <c:showVal val="1"/>
            </c:dLbl>
            <c:dLbl>
              <c:idx val="16"/>
              <c:layout>
                <c:manualLayout>
                  <c:x val="-1.6376663254861822E-2"/>
                  <c:y val="-1.55555555555556E-2"/>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'圖19、22-data'!$B$9:$B$19</c:f>
              <c:strCache>
                <c:ptCount val="11"/>
                <c:pt idx="0">
                  <c:v>2001</c:v>
                </c:pt>
                <c:pt idx="1">
                  <c:v>2002</c:v>
                </c:pt>
                <c:pt idx="2">
                  <c:v>2003</c:v>
                </c:pt>
                <c:pt idx="3">
                  <c:v>2004</c:v>
                </c:pt>
                <c:pt idx="4">
                  <c:v>2005</c:v>
                </c:pt>
                <c:pt idx="5">
                  <c:v>2006</c:v>
                </c:pt>
                <c:pt idx="6">
                  <c:v>2007</c:v>
                </c:pt>
                <c:pt idx="7">
                  <c:v>2008</c:v>
                </c:pt>
                <c:pt idx="8">
                  <c:v>2009</c:v>
                </c:pt>
                <c:pt idx="9">
                  <c:v>2010</c:v>
                </c:pt>
                <c:pt idx="10">
                  <c:v>2011</c:v>
                </c:pt>
              </c:strCache>
            </c:strRef>
          </c:cat>
          <c:val>
            <c:numRef>
              <c:f>'圖19、22-data'!$J$9:$J$19</c:f>
              <c:numCache>
                <c:formatCode>0.00_ </c:formatCode>
                <c:ptCount val="11"/>
                <c:pt idx="0">
                  <c:v>0.44037431817045647</c:v>
                </c:pt>
                <c:pt idx="1">
                  <c:v>4.6136216431667663</c:v>
                </c:pt>
                <c:pt idx="2">
                  <c:v>2.8099252274134301</c:v>
                </c:pt>
                <c:pt idx="3">
                  <c:v>3.6874044563857802</c:v>
                </c:pt>
                <c:pt idx="4">
                  <c:v>2.6001876424072017</c:v>
                </c:pt>
                <c:pt idx="5">
                  <c:v>1.0537774874809418</c:v>
                </c:pt>
                <c:pt idx="6">
                  <c:v>1.1677511095790021</c:v>
                </c:pt>
                <c:pt idx="7">
                  <c:v>1.6866854076156561</c:v>
                </c:pt>
                <c:pt idx="8">
                  <c:v>2.2995727569741291</c:v>
                </c:pt>
                <c:pt idx="9">
                  <c:v>2.4894566597060077</c:v>
                </c:pt>
                <c:pt idx="10">
                  <c:v>2.8604530382325919</c:v>
                </c:pt>
              </c:numCache>
            </c:numRef>
          </c:val>
        </c:ser>
        <c:marker val="1"/>
        <c:axId val="273291904"/>
        <c:axId val="273306752"/>
      </c:lineChart>
      <c:catAx>
        <c:axId val="270154368"/>
        <c:scaling>
          <c:orientation val="minMax"/>
        </c:scaling>
        <c:axPos val="b"/>
        <c:numFmt formatCode="@" sourceLinked="1"/>
        <c:majorTickMark val="in"/>
        <c:tickLblPos val="nextTo"/>
        <c:spPr>
          <a:ln w="3175">
            <a:solidFill>
              <a:srgbClr val="000000"/>
            </a:solidFill>
            <a:prstDash val="solid"/>
          </a:ln>
        </c:spPr>
        <c:txPr>
          <a:bodyPr rot="0" vert="horz"/>
          <a:lstStyle/>
          <a:p>
            <a:pPr>
              <a:defRPr sz="800" b="0" i="0" u="none" strike="noStrike" baseline="0">
                <a:solidFill>
                  <a:srgbClr val="000000"/>
                </a:solidFill>
                <a:latin typeface="Times New Roman" pitchFamily="18" charset="0"/>
                <a:ea typeface="標楷體" pitchFamily="65" charset="-120"/>
                <a:cs typeface="Times New Roman" pitchFamily="18" charset="0"/>
              </a:defRPr>
            </a:pPr>
            <a:endParaRPr lang="zh-TW"/>
          </a:p>
        </c:txPr>
        <c:crossAx val="272776192"/>
        <c:crosses val="autoZero"/>
        <c:lblAlgn val="ctr"/>
        <c:lblOffset val="100"/>
        <c:tickLblSkip val="1"/>
        <c:tickMarkSkip val="1"/>
      </c:catAx>
      <c:valAx>
        <c:axId val="272776192"/>
        <c:scaling>
          <c:orientation val="minMax"/>
          <c:max val="26000"/>
          <c:min val="0"/>
        </c:scaling>
        <c:axPos val="l"/>
        <c:title>
          <c:tx>
            <c:rich>
              <a:bodyPr rot="0" vert="horz"/>
              <a:lstStyle/>
              <a:p>
                <a:pPr>
                  <a:defRPr sz="800"/>
                </a:pPr>
                <a:r>
                  <a:rPr lang="en-US" altLang="zh-TW" sz="800">
                    <a:latin typeface="Times New Roman" pitchFamily="18" charset="0"/>
                    <a:ea typeface="標楷體" pitchFamily="65" charset="-120"/>
                    <a:cs typeface="Times New Roman" pitchFamily="18" charset="0"/>
                  </a:rPr>
                  <a:t>No.</a:t>
                </a:r>
                <a:endParaRPr lang="zh-TW" altLang="en-US" sz="800">
                  <a:latin typeface="Times New Roman" pitchFamily="18" charset="0"/>
                  <a:ea typeface="標楷體" pitchFamily="65" charset="-120"/>
                  <a:cs typeface="Times New Roman" pitchFamily="18" charset="0"/>
                </a:endParaRPr>
              </a:p>
            </c:rich>
          </c:tx>
          <c:layout>
            <c:manualLayout>
              <c:xMode val="edge"/>
              <c:yMode val="edge"/>
              <c:x val="4.0488662875473903E-2"/>
              <c:y val="0.11238575872996565"/>
            </c:manualLayout>
          </c:layout>
        </c:title>
        <c:numFmt formatCode="#,##0;[Red]\-#,##0" sourceLinked="0"/>
        <c:majorTickMark val="in"/>
        <c:tickLblPos val="nextTo"/>
        <c:spPr>
          <a:ln w="3175">
            <a:solidFill>
              <a:srgbClr val="000000"/>
            </a:solidFill>
            <a:prstDash val="solid"/>
          </a:ln>
        </c:spPr>
        <c:txPr>
          <a:bodyPr rot="0" vert="horz"/>
          <a:lstStyle/>
          <a:p>
            <a:pPr>
              <a:defRPr sz="800" b="0" i="0" u="none" strike="noStrike" baseline="0">
                <a:solidFill>
                  <a:srgbClr val="000000"/>
                </a:solidFill>
                <a:latin typeface="Times New Roman" pitchFamily="18" charset="0"/>
                <a:ea typeface="Arial"/>
                <a:cs typeface="Times New Roman" pitchFamily="18" charset="0"/>
              </a:defRPr>
            </a:pPr>
            <a:endParaRPr lang="zh-TW"/>
          </a:p>
        </c:txPr>
        <c:crossAx val="270154368"/>
        <c:crosses val="autoZero"/>
        <c:crossBetween val="between"/>
      </c:valAx>
      <c:catAx>
        <c:axId val="273291904"/>
        <c:scaling>
          <c:orientation val="minMax"/>
        </c:scaling>
        <c:delete val="1"/>
        <c:axPos val="b"/>
        <c:tickLblPos val="none"/>
        <c:crossAx val="273306752"/>
        <c:crosses val="autoZero"/>
        <c:lblAlgn val="ctr"/>
        <c:lblOffset val="100"/>
      </c:catAx>
      <c:valAx>
        <c:axId val="273306752"/>
        <c:scaling>
          <c:orientation val="minMax"/>
        </c:scaling>
        <c:axPos val="r"/>
        <c:numFmt formatCode="0.0_ " sourceLinked="0"/>
        <c:majorTickMark val="in"/>
        <c:tickLblPos val="nextTo"/>
        <c:spPr>
          <a:ln w="3175">
            <a:solidFill>
              <a:srgbClr val="000000"/>
            </a:solidFill>
            <a:prstDash val="solid"/>
          </a:ln>
        </c:spPr>
        <c:txPr>
          <a:bodyPr rot="0" vert="horz"/>
          <a:lstStyle/>
          <a:p>
            <a:pPr>
              <a:defRPr sz="800" b="0" i="0" u="none" strike="noStrike" baseline="0">
                <a:solidFill>
                  <a:srgbClr val="000000"/>
                </a:solidFill>
                <a:latin typeface="Times New Roman" pitchFamily="18" charset="0"/>
                <a:ea typeface="標楷體" pitchFamily="65" charset="-120"/>
                <a:cs typeface="Times New Roman" pitchFamily="18" charset="0"/>
              </a:defRPr>
            </a:pPr>
            <a:endParaRPr lang="zh-TW"/>
          </a:p>
        </c:txPr>
        <c:crossAx val="273291904"/>
        <c:crosses val="max"/>
        <c:crossBetween val="between"/>
      </c:valAx>
      <c:spPr>
        <a:noFill/>
        <a:ln w="25400">
          <a:noFill/>
        </a:ln>
      </c:spPr>
    </c:plotArea>
    <c:legend>
      <c:legendPos val="r"/>
      <c:layout>
        <c:manualLayout>
          <c:xMode val="edge"/>
          <c:yMode val="edge"/>
          <c:x val="7.3983486439195209E-2"/>
          <c:y val="0.89841527212287653"/>
          <c:w val="0.81974245406824164"/>
          <c:h val="8.4184810906733826E-2"/>
        </c:manualLayout>
      </c:layout>
      <c:spPr>
        <a:noFill/>
        <a:ln w="25400">
          <a:noFill/>
        </a:ln>
      </c:spPr>
      <c:txPr>
        <a:bodyPr/>
        <a:lstStyle/>
        <a:p>
          <a:pPr>
            <a:defRPr sz="800" b="0" i="0" u="none" strike="noStrike" baseline="0">
              <a:solidFill>
                <a:srgbClr val="000000"/>
              </a:solidFill>
              <a:latin typeface="Times New Roman" pitchFamily="18" charset="0"/>
              <a:ea typeface="標楷體" pitchFamily="65" charset="-120"/>
              <a:cs typeface="Times New Roman" pitchFamily="18" charset="0"/>
            </a:defRPr>
          </a:pPr>
          <a:endParaRPr lang="zh-TW"/>
        </a:p>
      </c:txPr>
    </c:legend>
    <c:plotVisOnly val="1"/>
    <c:dispBlanksAs val="gap"/>
  </c:chart>
  <c:spPr>
    <a:noFill/>
    <a:ln w="12700">
      <a:noFill/>
    </a:ln>
  </c:spPr>
  <c:txPr>
    <a:bodyPr/>
    <a:lstStyle/>
    <a:p>
      <a:pPr>
        <a:defRPr sz="1200" b="0" i="0" u="none" strike="noStrike" baseline="0">
          <a:solidFill>
            <a:srgbClr val="000000"/>
          </a:solidFill>
          <a:latin typeface="新細明體"/>
          <a:ea typeface="新細明體"/>
          <a:cs typeface="新細明體"/>
        </a:defRPr>
      </a:pPr>
      <a:endParaRPr lang="zh-TW"/>
    </a:p>
  </c:txPr>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TW"/>
  <c:roundedCorners val="1"/>
  <c:chart>
    <c:view3D>
      <c:depthPercent val="100"/>
      <c:rAngAx val="1"/>
    </c:view3D>
    <c:floor>
      <c:spPr>
        <a:solidFill>
          <a:schemeClr val="bg1">
            <a:lumMod val="85000"/>
            <a:alpha val="6000"/>
          </a:schemeClr>
        </a:solidFill>
        <a:ln>
          <a:solidFill>
            <a:prstClr val="white">
              <a:lumMod val="85000"/>
            </a:prstClr>
          </a:solidFill>
        </a:ln>
      </c:spPr>
    </c:floor>
    <c:plotArea>
      <c:layout>
        <c:manualLayout>
          <c:layoutTarget val="inner"/>
          <c:xMode val="edge"/>
          <c:yMode val="edge"/>
          <c:x val="0.11426496766768512"/>
          <c:y val="0.20029233058466248"/>
          <c:w val="0.86022043019271766"/>
          <c:h val="0.48242014762573432"/>
        </c:manualLayout>
      </c:layout>
      <c:bar3DChart>
        <c:barDir val="col"/>
        <c:grouping val="stacked"/>
        <c:ser>
          <c:idx val="0"/>
          <c:order val="0"/>
          <c:tx>
            <c:strRef>
              <c:f>圖20!$K$11</c:f>
              <c:strCache>
                <c:ptCount val="1"/>
                <c:pt idx="0">
                  <c:v>Clinics</c:v>
                </c:pt>
              </c:strCache>
            </c:strRef>
          </c:tx>
          <c:spPr>
            <a:solidFill>
              <a:srgbClr val="D7E4BD"/>
            </a:solidFill>
            <a:ln cap="rnd">
              <a:noFill/>
            </a:ln>
            <a:effectLst/>
            <a:scene3d>
              <a:camera prst="orthographicFront"/>
              <a:lightRig rig="threePt" dir="t"/>
            </a:scene3d>
            <a:sp3d prstMaterial="matte">
              <a:bevelT w="0" h="0"/>
            </a:sp3d>
          </c:spPr>
          <c:dLbls>
            <c:dLbl>
              <c:idx val="1"/>
              <c:layout>
                <c:manualLayout>
                  <c:x val="1.3413823272090989E-2"/>
                  <c:y val="-5.5352559457675164E-2"/>
                </c:manualLayout>
              </c:layout>
              <c:showVal val="1"/>
            </c:dLbl>
            <c:dLbl>
              <c:idx val="2"/>
              <c:layout>
                <c:manualLayout>
                  <c:x val="3.7427291456343247E-3"/>
                  <c:y val="0"/>
                </c:manualLayout>
              </c:layout>
              <c:showVal val="1"/>
            </c:dLbl>
            <c:dLbl>
              <c:idx val="3"/>
              <c:layout>
                <c:manualLayout>
                  <c:x val="1.0599966543798276E-3"/>
                  <c:y val="8.1562925475893791E-3"/>
                </c:manualLayout>
              </c:layout>
              <c:showVal val="1"/>
            </c:dLbl>
            <c:dLbl>
              <c:idx val="4"/>
              <c:layout>
                <c:manualLayout>
                  <c:x val="3.3894580682271801E-3"/>
                  <c:y val="0"/>
                </c:manualLayout>
              </c:layout>
              <c:showVal val="1"/>
            </c:dLbl>
            <c:numFmt formatCode="#,##0;[Red]\-#,##0" sourceLinked="0"/>
            <c:txPr>
              <a:bodyPr/>
              <a:lstStyle/>
              <a:p>
                <a:pPr>
                  <a:defRPr sz="800" b="0">
                    <a:latin typeface="Times New Roman" pitchFamily="18" charset="0"/>
                    <a:cs typeface="Times New Roman" pitchFamily="18" charset="0"/>
                  </a:defRPr>
                </a:pPr>
                <a:endParaRPr lang="zh-TW"/>
              </a:p>
            </c:txPr>
            <c:showVal val="1"/>
          </c:dLbls>
          <c:cat>
            <c:strRef>
              <c:f>圖20!$L$10:$P$10</c:f>
              <c:strCache>
                <c:ptCount val="5"/>
                <c:pt idx="0">
                  <c:v>Hospitals</c:v>
                </c:pt>
                <c:pt idx="1">
                  <c:v>Obstetrics &amp; Gynecology Clinics</c:v>
                </c:pt>
                <c:pt idx="2">
                  <c:v>Western Medical Care Institutions</c:v>
                </c:pt>
                <c:pt idx="3">
                  <c:v>Chinese Medical Care Institutions</c:v>
                </c:pt>
                <c:pt idx="4">
                  <c:v>Dental Clinics</c:v>
                </c:pt>
              </c:strCache>
            </c:strRef>
          </c:cat>
          <c:val>
            <c:numRef>
              <c:f>圖20!$L$11:$P$11</c:f>
              <c:numCache>
                <c:formatCode>General</c:formatCode>
                <c:ptCount val="5"/>
                <c:pt idx="1">
                  <c:v>419</c:v>
                </c:pt>
                <c:pt idx="2">
                  <c:v>9454</c:v>
                </c:pt>
                <c:pt idx="3">
                  <c:v>3125</c:v>
                </c:pt>
                <c:pt idx="4">
                  <c:v>6263</c:v>
                </c:pt>
              </c:numCache>
            </c:numRef>
          </c:val>
        </c:ser>
        <c:ser>
          <c:idx val="1"/>
          <c:order val="1"/>
          <c:tx>
            <c:strRef>
              <c:f>圖20!$K$12</c:f>
              <c:strCache>
                <c:ptCount val="1"/>
                <c:pt idx="0">
                  <c:v>Hospitals</c:v>
                </c:pt>
              </c:strCache>
            </c:strRef>
          </c:tx>
          <c:spPr>
            <a:solidFill>
              <a:srgbClr val="FFFF99"/>
            </a:solidFill>
            <a:ln w="3175"/>
            <a:scene3d>
              <a:camera prst="orthographicFront"/>
              <a:lightRig rig="threePt" dir="t"/>
            </a:scene3d>
            <a:sp3d>
              <a:bevelT w="0" h="0"/>
            </a:sp3d>
          </c:spPr>
          <c:dLbls>
            <c:dLbl>
              <c:idx val="0"/>
              <c:layout>
                <c:manualLayout>
                  <c:x val="1.6306229896931541E-2"/>
                  <c:y val="-6.1426071546379593E-2"/>
                </c:manualLayout>
              </c:layout>
              <c:showVal val="1"/>
            </c:dLbl>
            <c:dLbl>
              <c:idx val="2"/>
              <c:layout>
                <c:manualLayout>
                  <c:x val="1.6096607797842305E-2"/>
                  <c:y val="-5.3879626014080091E-2"/>
                </c:manualLayout>
              </c:layout>
              <c:showVal val="1"/>
            </c:dLbl>
            <c:dLbl>
              <c:idx val="3"/>
              <c:layout>
                <c:manualLayout>
                  <c:x val="1.6096578369685682E-2"/>
                  <c:y val="-5.4309027153390983E-2"/>
                </c:manualLayout>
              </c:layout>
              <c:showVal val="1"/>
            </c:dLbl>
            <c:txPr>
              <a:bodyPr/>
              <a:lstStyle/>
              <a:p>
                <a:pPr>
                  <a:defRPr sz="800">
                    <a:latin typeface="Times New Roman" pitchFamily="18" charset="0"/>
                    <a:cs typeface="Times New Roman" pitchFamily="18" charset="0"/>
                  </a:defRPr>
                </a:pPr>
                <a:endParaRPr lang="zh-TW"/>
              </a:p>
            </c:txPr>
            <c:showVal val="1"/>
          </c:dLbls>
          <c:cat>
            <c:strRef>
              <c:f>圖20!$L$10:$P$10</c:f>
              <c:strCache>
                <c:ptCount val="5"/>
                <c:pt idx="0">
                  <c:v>Hospitals</c:v>
                </c:pt>
                <c:pt idx="1">
                  <c:v>Obstetrics &amp; Gynecology Clinics</c:v>
                </c:pt>
                <c:pt idx="2">
                  <c:v>Western Medical Care Institutions</c:v>
                </c:pt>
                <c:pt idx="3">
                  <c:v>Chinese Medical Care Institutions</c:v>
                </c:pt>
                <c:pt idx="4">
                  <c:v>Dental Clinics</c:v>
                </c:pt>
              </c:strCache>
            </c:strRef>
          </c:cat>
          <c:val>
            <c:numRef>
              <c:f>圖20!$L$12:$P$12</c:f>
              <c:numCache>
                <c:formatCode>General</c:formatCode>
                <c:ptCount val="5"/>
                <c:pt idx="0">
                  <c:v>479</c:v>
                </c:pt>
                <c:pt idx="2">
                  <c:v>8</c:v>
                </c:pt>
                <c:pt idx="3">
                  <c:v>15</c:v>
                </c:pt>
              </c:numCache>
            </c:numRef>
          </c:val>
        </c:ser>
        <c:shape val="box"/>
        <c:axId val="274904192"/>
        <c:axId val="274906496"/>
        <c:axId val="0"/>
      </c:bar3DChart>
      <c:catAx>
        <c:axId val="274904192"/>
        <c:scaling>
          <c:orientation val="minMax"/>
        </c:scaling>
        <c:axPos val="b"/>
        <c:numFmt formatCode="General" sourceLinked="1"/>
        <c:majorTickMark val="in"/>
        <c:tickLblPos val="nextTo"/>
        <c:spPr>
          <a:solidFill>
            <a:schemeClr val="bg1"/>
          </a:solidFill>
        </c:spPr>
        <c:txPr>
          <a:bodyPr/>
          <a:lstStyle/>
          <a:p>
            <a:pPr>
              <a:defRPr sz="800" b="0" baseline="0">
                <a:latin typeface="Times New Roman" pitchFamily="18" charset="0"/>
                <a:ea typeface="標楷體" pitchFamily="65" charset="-120"/>
                <a:cs typeface="Times New Roman" pitchFamily="18" charset="0"/>
              </a:defRPr>
            </a:pPr>
            <a:endParaRPr lang="zh-TW"/>
          </a:p>
        </c:txPr>
        <c:crossAx val="274906496"/>
        <c:crosses val="autoZero"/>
        <c:auto val="1"/>
        <c:lblAlgn val="ctr"/>
        <c:lblOffset val="100"/>
      </c:catAx>
      <c:valAx>
        <c:axId val="274906496"/>
        <c:scaling>
          <c:orientation val="minMax"/>
        </c:scaling>
        <c:axPos val="l"/>
        <c:title>
          <c:tx>
            <c:rich>
              <a:bodyPr rot="0" vert="horz"/>
              <a:lstStyle/>
              <a:p>
                <a:pPr>
                  <a:defRPr sz="800" b="0">
                    <a:latin typeface="標楷體" pitchFamily="65" charset="-120"/>
                    <a:ea typeface="標楷體" pitchFamily="65" charset="-120"/>
                  </a:defRPr>
                </a:pPr>
                <a:r>
                  <a:rPr lang="en-US" altLang="zh-TW" sz="800" b="0">
                    <a:latin typeface="Times New Roman" pitchFamily="18" charset="0"/>
                    <a:ea typeface="標楷體" pitchFamily="65" charset="-120"/>
                    <a:cs typeface="Times New Roman" pitchFamily="18" charset="0"/>
                  </a:rPr>
                  <a:t>No.</a:t>
                </a:r>
                <a:endParaRPr lang="zh-TW" altLang="en-US" sz="800" b="0">
                  <a:latin typeface="Times New Roman" pitchFamily="18" charset="0"/>
                  <a:ea typeface="標楷體" pitchFamily="65" charset="-120"/>
                  <a:cs typeface="Times New Roman" pitchFamily="18" charset="0"/>
                </a:endParaRPr>
              </a:p>
            </c:rich>
          </c:tx>
          <c:layout>
            <c:manualLayout>
              <c:xMode val="edge"/>
              <c:yMode val="edge"/>
              <c:x val="0.10956804689634615"/>
              <c:y val="0.20016027032054065"/>
            </c:manualLayout>
          </c:layout>
        </c:title>
        <c:numFmt formatCode="#,##0;[Red]\-#,##0" sourceLinked="0"/>
        <c:majorTickMark val="in"/>
        <c:tickLblPos val="nextTo"/>
        <c:spPr>
          <a:ln>
            <a:solidFill>
              <a:prstClr val="white">
                <a:lumMod val="85000"/>
              </a:prstClr>
            </a:solidFill>
          </a:ln>
          <a:effectLst>
            <a:innerShdw blurRad="63500" dist="50800" dir="18900000">
              <a:prstClr val="black">
                <a:alpha val="50000"/>
              </a:prstClr>
            </a:innerShdw>
          </a:effectLst>
        </c:spPr>
        <c:txPr>
          <a:bodyPr/>
          <a:lstStyle/>
          <a:p>
            <a:pPr>
              <a:defRPr sz="800">
                <a:latin typeface="Times New Roman" pitchFamily="18" charset="0"/>
                <a:cs typeface="Times New Roman" pitchFamily="18" charset="0"/>
              </a:defRPr>
            </a:pPr>
            <a:endParaRPr lang="zh-TW"/>
          </a:p>
        </c:txPr>
        <c:crossAx val="274904192"/>
        <c:crosses val="autoZero"/>
        <c:crossBetween val="between"/>
        <c:majorUnit val="2000"/>
      </c:valAx>
      <c:spPr>
        <a:noFill/>
        <a:ln w="25400">
          <a:noFill/>
        </a:ln>
      </c:spPr>
    </c:plotArea>
    <c:legend>
      <c:legendPos val="r"/>
      <c:layout>
        <c:manualLayout>
          <c:xMode val="edge"/>
          <c:yMode val="edge"/>
          <c:x val="0.22925697150940294"/>
          <c:y val="0.24477258715030994"/>
          <c:w val="0.11609014961457893"/>
          <c:h val="0.12047871657204511"/>
        </c:manualLayout>
      </c:layout>
      <c:txPr>
        <a:bodyPr/>
        <a:lstStyle/>
        <a:p>
          <a:pPr>
            <a:defRPr sz="800" baseline="0">
              <a:latin typeface="Times New Roman" pitchFamily="18" charset="0"/>
              <a:ea typeface="標楷體" pitchFamily="65" charset="-120"/>
              <a:cs typeface="Times New Roman" pitchFamily="18" charset="0"/>
            </a:defRPr>
          </a:pPr>
          <a:endParaRPr lang="zh-TW"/>
        </a:p>
      </c:txPr>
    </c:legend>
    <c:plotVisOnly val="1"/>
    <c:dispBlanksAs val="gap"/>
  </c:chart>
  <c:spPr>
    <a:ln cap="rnd">
      <a:noFill/>
    </a:ln>
  </c:spPr>
  <c:externalData r:id="rId1"/>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lgn="ctr">
              <a:defRPr sz="1000" b="0" baseline="0">
                <a:latin typeface="Times New Roman" pitchFamily="18" charset="0"/>
                <a:ea typeface="標楷體" pitchFamily="65" charset="-120"/>
              </a:defRPr>
            </a:pPr>
            <a:r>
              <a:rPr lang="en-US" altLang="zh-TW" sz="1000" b="0" i="0" baseline="0">
                <a:latin typeface="Times New Roman" pitchFamily="18" charset="0"/>
                <a:cs typeface="Times New Roman" pitchFamily="18" charset="0"/>
              </a:rPr>
              <a:t>Figure 21  Contracted Medical Care Institutions  by NHI Regional Division and Locale</a:t>
            </a:r>
          </a:p>
          <a:p>
            <a:pPr algn="ctr">
              <a:defRPr sz="1000" b="0" baseline="0">
                <a:latin typeface="Times New Roman" pitchFamily="18" charset="0"/>
                <a:ea typeface="標楷體" pitchFamily="65" charset="-120"/>
              </a:defRPr>
            </a:pPr>
            <a:endParaRPr lang="en-US" altLang="zh-TW" sz="800" b="0" i="0" baseline="0">
              <a:latin typeface="Times New Roman" pitchFamily="18" charset="0"/>
              <a:cs typeface="Times New Roman" pitchFamily="18" charset="0"/>
            </a:endParaRPr>
          </a:p>
          <a:p>
            <a:pPr algn="ctr">
              <a:defRPr sz="1000" b="0" baseline="0">
                <a:latin typeface="Times New Roman" pitchFamily="18" charset="0"/>
                <a:ea typeface="標楷體" pitchFamily="65" charset="-120"/>
              </a:defRPr>
            </a:pPr>
            <a:r>
              <a:rPr lang="en-US" altLang="zh-TW" sz="800" b="0" i="0" baseline="0">
                <a:latin typeface="Times New Roman" pitchFamily="18" charset="0"/>
                <a:cs typeface="Times New Roman" pitchFamily="18" charset="0"/>
              </a:rPr>
              <a:t>End of  2011</a:t>
            </a:r>
            <a:endParaRPr lang="zh-TW" sz="800" b="0">
              <a:latin typeface="Times New Roman" pitchFamily="18" charset="0"/>
              <a:cs typeface="Times New Roman" pitchFamily="18" charset="0"/>
            </a:endParaRPr>
          </a:p>
        </c:rich>
      </c:tx>
      <c:layout>
        <c:manualLayout>
          <c:xMode val="edge"/>
          <c:yMode val="edge"/>
          <c:x val="0.12807315599011018"/>
          <c:y val="4.514376553022703E-4"/>
        </c:manualLayout>
      </c:layout>
    </c:title>
    <c:plotArea>
      <c:layout>
        <c:manualLayout>
          <c:layoutTarget val="inner"/>
          <c:xMode val="edge"/>
          <c:yMode val="edge"/>
          <c:x val="8.2728623267983026E-2"/>
          <c:y val="0.19662348271089392"/>
          <c:w val="0.81432706809513267"/>
          <c:h val="0.53786927627274561"/>
        </c:manualLayout>
      </c:layout>
      <c:barChart>
        <c:barDir val="col"/>
        <c:grouping val="clustered"/>
        <c:ser>
          <c:idx val="0"/>
          <c:order val="0"/>
          <c:spPr>
            <a:scene3d>
              <a:camera prst="orthographicFront"/>
              <a:lightRig rig="threePt" dir="t"/>
            </a:scene3d>
            <a:sp3d prstMaterial="plastic">
              <a:bevelT w="6350" h="19050"/>
            </a:sp3d>
          </c:spPr>
          <c:dPt>
            <c:idx val="0"/>
            <c:spPr>
              <a:solidFill>
                <a:srgbClr val="C3D69B"/>
              </a:solidFill>
              <a:scene3d>
                <a:camera prst="orthographicFront"/>
                <a:lightRig rig="threePt" dir="t"/>
              </a:scene3d>
              <a:sp3d prstMaterial="plastic">
                <a:bevelT w="6350" h="19050"/>
              </a:sp3d>
            </c:spPr>
          </c:dPt>
          <c:dPt>
            <c:idx val="1"/>
            <c:spPr>
              <a:solidFill>
                <a:srgbClr val="C3D69B"/>
              </a:solidFill>
              <a:scene3d>
                <a:camera prst="orthographicFront"/>
                <a:lightRig rig="threePt" dir="t"/>
              </a:scene3d>
              <a:sp3d prstMaterial="plastic">
                <a:bevelT w="6350" h="19050"/>
              </a:sp3d>
            </c:spPr>
          </c:dPt>
          <c:dPt>
            <c:idx val="2"/>
            <c:spPr>
              <a:solidFill>
                <a:srgbClr val="C3D69B"/>
              </a:solidFill>
              <a:scene3d>
                <a:camera prst="orthographicFront"/>
                <a:lightRig rig="threePt" dir="t"/>
              </a:scene3d>
              <a:sp3d prstMaterial="plastic">
                <a:bevelT w="6350" h="19050"/>
              </a:sp3d>
            </c:spPr>
          </c:dPt>
          <c:dPt>
            <c:idx val="3"/>
            <c:spPr>
              <a:solidFill>
                <a:srgbClr val="C3D69B"/>
              </a:solidFill>
              <a:scene3d>
                <a:camera prst="orthographicFront"/>
                <a:lightRig rig="threePt" dir="t"/>
              </a:scene3d>
              <a:sp3d prstMaterial="plastic">
                <a:bevelT w="6350" h="19050"/>
              </a:sp3d>
            </c:spPr>
          </c:dPt>
          <c:dPt>
            <c:idx val="4"/>
            <c:spPr>
              <a:solidFill>
                <a:srgbClr val="C3D69B"/>
              </a:solidFill>
              <a:scene3d>
                <a:camera prst="orthographicFront"/>
                <a:lightRig rig="threePt" dir="t"/>
              </a:scene3d>
              <a:sp3d prstMaterial="plastic">
                <a:bevelT w="6350" h="19050"/>
              </a:sp3d>
            </c:spPr>
          </c:dPt>
          <c:dPt>
            <c:idx val="5"/>
            <c:spPr>
              <a:solidFill>
                <a:schemeClr val="accent3">
                  <a:lumMod val="60000"/>
                  <a:lumOff val="40000"/>
                </a:schemeClr>
              </a:solidFill>
              <a:scene3d>
                <a:camera prst="orthographicFront"/>
                <a:lightRig rig="threePt" dir="t"/>
              </a:scene3d>
              <a:sp3d prstMaterial="plastic">
                <a:bevelT w="6350" h="19050"/>
              </a:sp3d>
            </c:spPr>
          </c:dPt>
          <c:dPt>
            <c:idx val="6"/>
            <c:spPr>
              <a:solidFill>
                <a:srgbClr val="F3B7E2"/>
              </a:solidFill>
              <a:scene3d>
                <a:camera prst="orthographicFront"/>
                <a:lightRig rig="threePt" dir="t"/>
              </a:scene3d>
              <a:sp3d prstMaterial="plastic">
                <a:bevelT w="6350" h="19050"/>
              </a:sp3d>
            </c:spPr>
          </c:dPt>
          <c:dPt>
            <c:idx val="7"/>
            <c:spPr>
              <a:solidFill>
                <a:srgbClr val="F3B7E2"/>
              </a:solidFill>
              <a:scene3d>
                <a:camera prst="orthographicFront"/>
                <a:lightRig rig="threePt" dir="t"/>
              </a:scene3d>
              <a:sp3d prstMaterial="plastic">
                <a:bevelT w="6350" h="19050"/>
              </a:sp3d>
            </c:spPr>
          </c:dPt>
          <c:dPt>
            <c:idx val="8"/>
            <c:spPr>
              <a:solidFill>
                <a:srgbClr val="F3B7E2"/>
              </a:solidFill>
              <a:scene3d>
                <a:camera prst="orthographicFront"/>
                <a:lightRig rig="threePt" dir="t"/>
              </a:scene3d>
              <a:sp3d prstMaterial="plastic">
                <a:bevelT w="6350" h="19050"/>
              </a:sp3d>
            </c:spPr>
          </c:dPt>
          <c:dPt>
            <c:idx val="9"/>
            <c:spPr>
              <a:solidFill>
                <a:srgbClr val="F3B7E2"/>
              </a:solidFill>
              <a:scene3d>
                <a:camera prst="orthographicFront"/>
                <a:lightRig rig="threePt" dir="t"/>
              </a:scene3d>
              <a:sp3d prstMaterial="plastic">
                <a:bevelT w="6350" h="19050"/>
              </a:sp3d>
            </c:spPr>
          </c:dPt>
          <c:dPt>
            <c:idx val="10"/>
            <c:spPr>
              <a:solidFill>
                <a:srgbClr val="A38FBB"/>
              </a:solidFill>
              <a:scene3d>
                <a:camera prst="orthographicFront"/>
                <a:lightRig rig="threePt" dir="t"/>
              </a:scene3d>
              <a:sp3d prstMaterial="plastic">
                <a:bevelT w="6350" h="19050"/>
              </a:sp3d>
            </c:spPr>
          </c:dPt>
          <c:dPt>
            <c:idx val="11"/>
            <c:spPr>
              <a:solidFill>
                <a:srgbClr val="A38FBB"/>
              </a:solidFill>
              <a:scene3d>
                <a:camera prst="orthographicFront"/>
                <a:lightRig rig="threePt" dir="t"/>
              </a:scene3d>
              <a:sp3d prstMaterial="plastic">
                <a:bevelT w="6350" h="19050"/>
              </a:sp3d>
            </c:spPr>
          </c:dPt>
          <c:dPt>
            <c:idx val="12"/>
            <c:spPr>
              <a:solidFill>
                <a:srgbClr val="A38FBB"/>
              </a:solidFill>
              <a:scene3d>
                <a:camera prst="orthographicFront"/>
                <a:lightRig rig="threePt" dir="t"/>
              </a:scene3d>
              <a:sp3d prstMaterial="plastic">
                <a:bevelT w="6350" h="19050"/>
              </a:sp3d>
            </c:spPr>
          </c:dPt>
          <c:dPt>
            <c:idx val="13"/>
            <c:spPr>
              <a:solidFill>
                <a:schemeClr val="accent2">
                  <a:lumMod val="40000"/>
                  <a:lumOff val="60000"/>
                </a:schemeClr>
              </a:solidFill>
              <a:scene3d>
                <a:camera prst="orthographicFront"/>
                <a:lightRig rig="threePt" dir="t"/>
              </a:scene3d>
              <a:sp3d prstMaterial="plastic">
                <a:bevelT w="6350" h="19050"/>
              </a:sp3d>
            </c:spPr>
          </c:dPt>
          <c:dPt>
            <c:idx val="14"/>
            <c:spPr>
              <a:solidFill>
                <a:schemeClr val="accent2">
                  <a:lumMod val="40000"/>
                  <a:lumOff val="60000"/>
                </a:schemeClr>
              </a:solidFill>
              <a:scene3d>
                <a:camera prst="orthographicFront"/>
                <a:lightRig rig="threePt" dir="t"/>
              </a:scene3d>
              <a:sp3d prstMaterial="plastic">
                <a:bevelT w="6350" h="19050"/>
              </a:sp3d>
            </c:spPr>
          </c:dPt>
          <c:dPt>
            <c:idx val="15"/>
            <c:spPr>
              <a:solidFill>
                <a:schemeClr val="accent2">
                  <a:lumMod val="40000"/>
                  <a:lumOff val="60000"/>
                </a:schemeClr>
              </a:solidFill>
              <a:scene3d>
                <a:camera prst="orthographicFront"/>
                <a:lightRig rig="threePt" dir="t"/>
              </a:scene3d>
              <a:sp3d prstMaterial="plastic">
                <a:bevelT w="6350" h="19050"/>
              </a:sp3d>
            </c:spPr>
          </c:dPt>
          <c:dPt>
            <c:idx val="16"/>
            <c:spPr>
              <a:solidFill>
                <a:schemeClr val="accent2">
                  <a:lumMod val="40000"/>
                  <a:lumOff val="60000"/>
                </a:schemeClr>
              </a:solidFill>
              <a:scene3d>
                <a:camera prst="orthographicFront"/>
                <a:lightRig rig="threePt" dir="t"/>
              </a:scene3d>
              <a:sp3d prstMaterial="plastic">
                <a:bevelT w="6350" h="19050"/>
              </a:sp3d>
            </c:spPr>
          </c:dPt>
          <c:dPt>
            <c:idx val="17"/>
            <c:spPr>
              <a:solidFill>
                <a:srgbClr val="FFFF99"/>
              </a:solidFill>
              <a:scene3d>
                <a:camera prst="orthographicFront"/>
                <a:lightRig rig="threePt" dir="t"/>
              </a:scene3d>
              <a:sp3d prstMaterial="plastic">
                <a:bevelT w="6350" h="19050"/>
              </a:sp3d>
            </c:spPr>
          </c:dPt>
          <c:dPt>
            <c:idx val="18"/>
            <c:spPr>
              <a:solidFill>
                <a:srgbClr val="FFFF99"/>
              </a:solidFill>
              <a:scene3d>
                <a:camera prst="orthographicFront"/>
                <a:lightRig rig="threePt" dir="t"/>
              </a:scene3d>
              <a:sp3d prstMaterial="plastic">
                <a:bevelT w="6350" h="19050"/>
              </a:sp3d>
            </c:spPr>
          </c:dPt>
          <c:dPt>
            <c:idx val="19"/>
            <c:spPr>
              <a:solidFill>
                <a:srgbClr val="FFFF99"/>
              </a:solidFill>
              <a:scene3d>
                <a:camera prst="orthographicFront"/>
                <a:lightRig rig="threePt" dir="t"/>
              </a:scene3d>
              <a:sp3d prstMaterial="plastic">
                <a:bevelT w="6350" h="19050"/>
              </a:sp3d>
            </c:spPr>
          </c:dPt>
          <c:dPt>
            <c:idx val="20"/>
            <c:spPr>
              <a:solidFill>
                <a:srgbClr val="95B3D7"/>
              </a:solidFill>
              <a:scene3d>
                <a:camera prst="orthographicFront"/>
                <a:lightRig rig="threePt" dir="t"/>
              </a:scene3d>
              <a:sp3d prstMaterial="plastic">
                <a:bevelT w="6350" h="19050"/>
              </a:sp3d>
            </c:spPr>
          </c:dPt>
          <c:dPt>
            <c:idx val="21"/>
            <c:spPr>
              <a:solidFill>
                <a:srgbClr val="95B3D7"/>
              </a:solidFill>
              <a:scene3d>
                <a:camera prst="orthographicFront"/>
                <a:lightRig rig="threePt" dir="t"/>
              </a:scene3d>
              <a:sp3d prstMaterial="plastic">
                <a:bevelT w="6350" h="19050"/>
              </a:sp3d>
            </c:spPr>
          </c:dPt>
          <c:dLbls>
            <c:dLbl>
              <c:idx val="0"/>
              <c:layout>
                <c:manualLayout>
                  <c:x val="1.0890990212901741E-3"/>
                  <c:y val="5.3396018296755334E-3"/>
                </c:manualLayout>
              </c:layout>
              <c:showVal val="1"/>
            </c:dLbl>
            <c:dLbl>
              <c:idx val="1"/>
              <c:layout>
                <c:manualLayout>
                  <c:x val="2.5569737894240276E-3"/>
                  <c:y val="6.9637657562926329E-3"/>
                </c:manualLayout>
              </c:layout>
              <c:showVal val="1"/>
            </c:dLbl>
            <c:dLbl>
              <c:idx val="2"/>
              <c:layout>
                <c:manualLayout>
                  <c:x val="-4.2564580743197132E-4"/>
                  <c:y val="1.1422514042809566E-16"/>
                </c:manualLayout>
              </c:layout>
              <c:showVal val="1"/>
            </c:dLbl>
            <c:dLbl>
              <c:idx val="3"/>
              <c:layout>
                <c:manualLayout>
                  <c:x val="-2.8184817704962092E-3"/>
                  <c:y val="5.3815261044177134E-3"/>
                </c:manualLayout>
              </c:layout>
              <c:showVal val="1"/>
            </c:dLbl>
            <c:dLbl>
              <c:idx val="4"/>
              <c:layout>
                <c:manualLayout>
                  <c:x val="-1.1011534742368326E-3"/>
                  <c:y val="-7.7072198399832134E-4"/>
                </c:manualLayout>
              </c:layout>
              <c:showVal val="1"/>
            </c:dLbl>
            <c:dLbl>
              <c:idx val="5"/>
              <c:layout>
                <c:manualLayout>
                  <c:x val="-9.9462903459937536E-4"/>
                  <c:y val="-2.8791280607995402E-3"/>
                </c:manualLayout>
              </c:layout>
              <c:showVal val="1"/>
            </c:dLbl>
            <c:dLbl>
              <c:idx val="6"/>
              <c:layout>
                <c:manualLayout>
                  <c:x val="-3.7991439410880452E-3"/>
                  <c:y val="1.2661670303260649E-3"/>
                </c:manualLayout>
              </c:layout>
              <c:showVal val="1"/>
            </c:dLbl>
            <c:dLbl>
              <c:idx val="7"/>
              <c:layout>
                <c:manualLayout>
                  <c:x val="-9.9749256155547096E-4"/>
                  <c:y val="-2.650670845290525E-3"/>
                </c:manualLayout>
              </c:layout>
              <c:showVal val="1"/>
            </c:dLbl>
            <c:dLbl>
              <c:idx val="8"/>
              <c:layout>
                <c:manualLayout>
                  <c:x val="-2.4928498287489827E-3"/>
                  <c:y val="1.0028144072352399E-2"/>
                </c:manualLayout>
              </c:layout>
              <c:showVal val="1"/>
            </c:dLbl>
            <c:dLbl>
              <c:idx val="9"/>
              <c:layout>
                <c:manualLayout>
                  <c:x val="-1.3884859787264116E-3"/>
                  <c:y val="-5.4904742736583073E-3"/>
                </c:manualLayout>
              </c:layout>
              <c:showVal val="1"/>
            </c:dLbl>
            <c:dLbl>
              <c:idx val="10"/>
              <c:layout>
                <c:manualLayout>
                  <c:x val="7.2606601419344561E-4"/>
                  <c:y val="5.3776517482255915E-3"/>
                </c:manualLayout>
              </c:layout>
              <c:showVal val="1"/>
            </c:dLbl>
            <c:dLbl>
              <c:idx val="11"/>
              <c:layout>
                <c:manualLayout>
                  <c:x val="-9.0588610182078548E-4"/>
                  <c:y val="5.4344112952339841E-3"/>
                </c:manualLayout>
              </c:layout>
              <c:showVal val="1"/>
            </c:dLbl>
            <c:dLbl>
              <c:idx val="12"/>
              <c:layout>
                <c:manualLayout>
                  <c:x val="-5.2955319390326334E-4"/>
                  <c:y val="4.9456485293286603E-3"/>
                </c:manualLayout>
              </c:layout>
              <c:showVal val="1"/>
            </c:dLbl>
            <c:dLbl>
              <c:idx val="13"/>
              <c:layout>
                <c:manualLayout>
                  <c:x val="3.7428056918894256E-4"/>
                  <c:y val="5.1540545383633955E-3"/>
                </c:manualLayout>
              </c:layout>
              <c:showVal val="1"/>
            </c:dLbl>
            <c:dLbl>
              <c:idx val="14"/>
              <c:layout>
                <c:manualLayout>
                  <c:x val="2.8074965965577884E-4"/>
                  <c:y val="8.0852544034405345E-3"/>
                </c:manualLayout>
              </c:layout>
              <c:showVal val="1"/>
            </c:dLbl>
            <c:dLbl>
              <c:idx val="15"/>
              <c:layout>
                <c:manualLayout>
                  <c:x val="3.1280552450737441E-3"/>
                  <c:y val="-2.6698009148377654E-3"/>
                </c:manualLayout>
              </c:layout>
              <c:showVal val="1"/>
            </c:dLbl>
            <c:dLbl>
              <c:idx val="16"/>
              <c:layout>
                <c:manualLayout>
                  <c:x val="-2.3580181302076575E-3"/>
                  <c:y val="2.764820600940679E-3"/>
                </c:manualLayout>
              </c:layout>
              <c:showVal val="1"/>
            </c:dLbl>
            <c:dLbl>
              <c:idx val="17"/>
              <c:layout>
                <c:manualLayout>
                  <c:x val="-1.0800062319535396E-3"/>
                  <c:y val="2.7572526613395452E-3"/>
                </c:manualLayout>
              </c:layout>
              <c:showVal val="1"/>
            </c:dLbl>
            <c:dLbl>
              <c:idx val="18"/>
              <c:layout>
                <c:manualLayout>
                  <c:x val="0"/>
                  <c:y val="-2.6507620941020552E-3"/>
                </c:manualLayout>
              </c:layout>
              <c:showVal val="1"/>
            </c:dLbl>
            <c:dLbl>
              <c:idx val="19"/>
              <c:layout>
                <c:manualLayout>
                  <c:x val="1.2979767663571201E-3"/>
                  <c:y val="3.4683616355184652E-3"/>
                </c:manualLayout>
              </c:layout>
              <c:showVal val="1"/>
            </c:dLbl>
            <c:dLbl>
              <c:idx val="20"/>
              <c:layout>
                <c:manualLayout>
                  <c:x val="3.7473566925211583E-3"/>
                  <c:y val="6.4469953304029824E-3"/>
                </c:manualLayout>
              </c:layout>
              <c:showVal val="1"/>
            </c:dLbl>
            <c:dLbl>
              <c:idx val="21"/>
              <c:layout>
                <c:manualLayout>
                  <c:x val="4.8494835006610724E-3"/>
                  <c:y val="2.6567161032581771E-3"/>
                </c:manualLayout>
              </c:layout>
              <c:showVal val="1"/>
            </c:dLbl>
            <c:dLbl>
              <c:idx val="22"/>
              <c:layout>
                <c:manualLayout>
                  <c:x val="-2.3268167712220092E-3"/>
                  <c:y val="1.6736763326270962E-3"/>
                </c:manualLayout>
              </c:layout>
              <c:showVal val="1"/>
            </c:dLbl>
            <c:dLbl>
              <c:idx val="23"/>
              <c:layout>
                <c:manualLayout>
                  <c:x val="5.7421073486890392E-4"/>
                  <c:y val="3.358104333343874E-3"/>
                </c:manualLayout>
              </c:layout>
              <c:showVal val="1"/>
            </c:dLbl>
            <c:dLbl>
              <c:idx val="24"/>
              <c:layout>
                <c:manualLayout>
                  <c:x val="1.7303218263636341E-3"/>
                  <c:y val="1.1053558064278397E-2"/>
                </c:manualLayout>
              </c:layout>
              <c:showVal val="1"/>
            </c:dLbl>
            <c:numFmt formatCode="#,##0;[Red]\-#,##0" sourceLinked="0"/>
            <c:txPr>
              <a:bodyPr/>
              <a:lstStyle/>
              <a:p>
                <a:pPr>
                  <a:defRPr sz="800" baseline="0">
                    <a:latin typeface="Times New Roman" pitchFamily="18" charset="0"/>
                    <a:cs typeface="Times New Roman" pitchFamily="18" charset="0"/>
                  </a:defRPr>
                </a:pPr>
                <a:endParaRPr lang="zh-TW"/>
              </a:p>
            </c:txPr>
            <c:showVal val="1"/>
          </c:dLbls>
          <c:cat>
            <c:strRef>
              <c:f>'圖21 (含特約率1)'!$K$4:$K$25</c:f>
              <c:strCache>
                <c:ptCount val="22"/>
                <c:pt idx="0">
                  <c:v>Taipei City</c:v>
                </c:pt>
                <c:pt idx="1">
                  <c:v>New Taipei City</c:v>
                </c:pt>
                <c:pt idx="2">
                  <c:v>Keelung City</c:v>
                </c:pt>
                <c:pt idx="3">
                  <c:v>Yilan County</c:v>
                </c:pt>
                <c:pt idx="4">
                  <c:v>Kinmen County</c:v>
                </c:pt>
                <c:pt idx="5">
                  <c:v>Lienchiang County</c:v>
                </c:pt>
                <c:pt idx="6">
                  <c:v>Hsinchu City</c:v>
                </c:pt>
                <c:pt idx="7">
                  <c:v>Taoyuan County</c:v>
                </c:pt>
                <c:pt idx="8">
                  <c:v>Hsinchu County</c:v>
                </c:pt>
                <c:pt idx="9">
                  <c:v>Miaoli County</c:v>
                </c:pt>
                <c:pt idx="10">
                  <c:v>Taichung City</c:v>
                </c:pt>
                <c:pt idx="11">
                  <c:v>Changhua County</c:v>
                </c:pt>
                <c:pt idx="12">
                  <c:v>Nantou County</c:v>
                </c:pt>
                <c:pt idx="13">
                  <c:v>Tainan City</c:v>
                </c:pt>
                <c:pt idx="14">
                  <c:v>Chiayi City</c:v>
                </c:pt>
                <c:pt idx="15">
                  <c:v>Yulin County</c:v>
                </c:pt>
                <c:pt idx="16">
                  <c:v>Chiayi County</c:v>
                </c:pt>
                <c:pt idx="17">
                  <c:v>Kaohsiung City</c:v>
                </c:pt>
                <c:pt idx="18">
                  <c:v>Pingtung County</c:v>
                </c:pt>
                <c:pt idx="19">
                  <c:v>Penghu County</c:v>
                </c:pt>
                <c:pt idx="20">
                  <c:v>Hualien County</c:v>
                </c:pt>
                <c:pt idx="21">
                  <c:v>Taitung County</c:v>
                </c:pt>
              </c:strCache>
            </c:strRef>
          </c:cat>
          <c:val>
            <c:numRef>
              <c:f>'圖21 (含特約率1)'!$L$4:$L$25</c:f>
              <c:numCache>
                <c:formatCode>General</c:formatCode>
                <c:ptCount val="22"/>
                <c:pt idx="0">
                  <c:v>2703</c:v>
                </c:pt>
                <c:pt idx="1">
                  <c:v>2931</c:v>
                </c:pt>
                <c:pt idx="2">
                  <c:v>272</c:v>
                </c:pt>
                <c:pt idx="3">
                  <c:v>320</c:v>
                </c:pt>
                <c:pt idx="4">
                  <c:v>38</c:v>
                </c:pt>
                <c:pt idx="5">
                  <c:v>5</c:v>
                </c:pt>
                <c:pt idx="6">
                  <c:v>401</c:v>
                </c:pt>
                <c:pt idx="7">
                  <c:v>1358</c:v>
                </c:pt>
                <c:pt idx="8">
                  <c:v>325</c:v>
                </c:pt>
                <c:pt idx="9">
                  <c:v>373</c:v>
                </c:pt>
                <c:pt idx="10">
                  <c:v>2998</c:v>
                </c:pt>
                <c:pt idx="11">
                  <c:v>1012</c:v>
                </c:pt>
                <c:pt idx="12">
                  <c:v>413</c:v>
                </c:pt>
                <c:pt idx="13">
                  <c:v>1725</c:v>
                </c:pt>
                <c:pt idx="14">
                  <c:v>369</c:v>
                </c:pt>
                <c:pt idx="15">
                  <c:v>471</c:v>
                </c:pt>
                <c:pt idx="16">
                  <c:v>262</c:v>
                </c:pt>
                <c:pt idx="17">
                  <c:v>2653</c:v>
                </c:pt>
                <c:pt idx="18">
                  <c:v>625</c:v>
                </c:pt>
                <c:pt idx="19">
                  <c:v>90</c:v>
                </c:pt>
                <c:pt idx="20">
                  <c:v>266</c:v>
                </c:pt>
                <c:pt idx="21">
                  <c:v>153</c:v>
                </c:pt>
              </c:numCache>
            </c:numRef>
          </c:val>
        </c:ser>
        <c:gapWidth val="0"/>
        <c:axId val="274936192"/>
        <c:axId val="274937728"/>
      </c:barChart>
      <c:lineChart>
        <c:grouping val="standard"/>
        <c:ser>
          <c:idx val="1"/>
          <c:order val="1"/>
          <c:spPr>
            <a:ln>
              <a:noFill/>
            </a:ln>
          </c:spPr>
          <c:marker>
            <c:symbol val="diamond"/>
            <c:size val="6"/>
            <c:spPr>
              <a:solidFill>
                <a:schemeClr val="accent6"/>
              </a:solidFill>
              <a:ln>
                <a:solidFill>
                  <a:srgbClr val="F79646"/>
                </a:solidFill>
              </a:ln>
            </c:spPr>
          </c:marker>
          <c:dLbls>
            <c:dLbl>
              <c:idx val="2"/>
              <c:layout>
                <c:manualLayout>
                  <c:x val="-2.741937410123885E-2"/>
                  <c:y val="-2.9451057398827685E-2"/>
                </c:manualLayout>
              </c:layout>
              <c:showVal val="1"/>
            </c:dLbl>
            <c:dLbl>
              <c:idx val="7"/>
              <c:layout>
                <c:manualLayout>
                  <c:x val="-2.55330953103464E-2"/>
                  <c:y val="-2.4096319689950123E-2"/>
                </c:manualLayout>
              </c:layout>
              <c:showVal val="1"/>
            </c:dLbl>
            <c:dLbl>
              <c:idx val="11"/>
              <c:layout>
                <c:manualLayout>
                  <c:x val="-2.391629297458894E-2"/>
                  <c:y val="-2.6773761713521322E-2"/>
                </c:manualLayout>
              </c:layout>
              <c:showVal val="1"/>
            </c:dLbl>
            <c:dLbl>
              <c:idx val="14"/>
              <c:layout>
                <c:manualLayout>
                  <c:x val="-2.585337863623385E-2"/>
                  <c:y val="-2.6698009148377649E-2"/>
                </c:manualLayout>
              </c:layout>
              <c:showVal val="1"/>
            </c:dLbl>
            <c:dLbl>
              <c:idx val="16"/>
              <c:layout>
                <c:manualLayout>
                  <c:x val="-3.5874439461883414E-2"/>
                  <c:y val="-2.4096385542168676E-2"/>
                </c:manualLayout>
              </c:layout>
              <c:showVal val="1"/>
            </c:dLbl>
            <c:dLbl>
              <c:idx val="18"/>
              <c:layout>
                <c:manualLayout>
                  <c:x val="-2.2406261484736019E-2"/>
                  <c:y val="-2.6698009148377649E-2"/>
                </c:manualLayout>
              </c:layout>
              <c:showVal val="1"/>
            </c:dLbl>
            <c:dLbl>
              <c:idx val="20"/>
              <c:layout>
                <c:manualLayout>
                  <c:x val="-2.5263568748815912E-2"/>
                  <c:y val="-2.9443489459226611E-2"/>
                </c:manualLayout>
              </c:layout>
              <c:showVal val="1"/>
            </c:dLbl>
            <c:dLbl>
              <c:idx val="23"/>
              <c:layout>
                <c:manualLayout>
                  <c:x val="-2.7902341803687152E-2"/>
                  <c:y val="-1.8741633199464525E-2"/>
                </c:manualLayout>
              </c:layout>
              <c:showVal val="1"/>
            </c:dLbl>
            <c:txPr>
              <a:bodyPr/>
              <a:lstStyle/>
              <a:p>
                <a:pPr>
                  <a:defRPr sz="800">
                    <a:latin typeface="Times New Roman" pitchFamily="18" charset="0"/>
                    <a:cs typeface="Times New Roman" pitchFamily="18" charset="0"/>
                  </a:defRPr>
                </a:pPr>
                <a:endParaRPr lang="zh-TW"/>
              </a:p>
            </c:txPr>
            <c:showVal val="1"/>
          </c:dLbls>
          <c:trendline>
            <c:trendlineType val="movingAvg"/>
            <c:period val="2"/>
          </c:trendline>
          <c:cat>
            <c:strRef>
              <c:f>'圖21 (含特約率1)'!$K$4:$K$25</c:f>
              <c:strCache>
                <c:ptCount val="22"/>
                <c:pt idx="0">
                  <c:v>Taipei City</c:v>
                </c:pt>
                <c:pt idx="1">
                  <c:v>New Taipei City</c:v>
                </c:pt>
                <c:pt idx="2">
                  <c:v>Keelung City</c:v>
                </c:pt>
                <c:pt idx="3">
                  <c:v>Yilan County</c:v>
                </c:pt>
                <c:pt idx="4">
                  <c:v>Kinmen County</c:v>
                </c:pt>
                <c:pt idx="5">
                  <c:v>Lienchiang County</c:v>
                </c:pt>
                <c:pt idx="6">
                  <c:v>Hsinchu City</c:v>
                </c:pt>
                <c:pt idx="7">
                  <c:v>Taoyuan County</c:v>
                </c:pt>
                <c:pt idx="8">
                  <c:v>Hsinchu County</c:v>
                </c:pt>
                <c:pt idx="9">
                  <c:v>Miaoli County</c:v>
                </c:pt>
                <c:pt idx="10">
                  <c:v>Taichung City</c:v>
                </c:pt>
                <c:pt idx="11">
                  <c:v>Changhua County</c:v>
                </c:pt>
                <c:pt idx="12">
                  <c:v>Nantou County</c:v>
                </c:pt>
                <c:pt idx="13">
                  <c:v>Tainan City</c:v>
                </c:pt>
                <c:pt idx="14">
                  <c:v>Chiayi City</c:v>
                </c:pt>
                <c:pt idx="15">
                  <c:v>Yulin County</c:v>
                </c:pt>
                <c:pt idx="16">
                  <c:v>Chiayi County</c:v>
                </c:pt>
                <c:pt idx="17">
                  <c:v>Kaohsiung City</c:v>
                </c:pt>
                <c:pt idx="18">
                  <c:v>Pingtung County</c:v>
                </c:pt>
                <c:pt idx="19">
                  <c:v>Penghu County</c:v>
                </c:pt>
                <c:pt idx="20">
                  <c:v>Hualien County</c:v>
                </c:pt>
                <c:pt idx="21">
                  <c:v>Taitung County</c:v>
                </c:pt>
              </c:strCache>
            </c:strRef>
          </c:cat>
          <c:val>
            <c:numRef>
              <c:f>'圖21 (含特約率1)'!$M$4:$M$25</c:f>
              <c:numCache>
                <c:formatCode>#,##0;\-#,##0</c:formatCode>
                <c:ptCount val="22"/>
                <c:pt idx="0">
                  <c:v>0</c:v>
                </c:pt>
                <c:pt idx="1">
                  <c:v>0</c:v>
                </c:pt>
                <c:pt idx="2" formatCode="0.0_);[Red]\(0.0\)">
                  <c:v>89.5</c:v>
                </c:pt>
                <c:pt idx="3">
                  <c:v>0</c:v>
                </c:pt>
                <c:pt idx="4">
                  <c:v>0</c:v>
                </c:pt>
                <c:pt idx="5">
                  <c:v>0</c:v>
                </c:pt>
                <c:pt idx="6">
                  <c:v>0</c:v>
                </c:pt>
                <c:pt idx="7" formatCode="0.0_);[Red]\(0.0\)">
                  <c:v>94.1</c:v>
                </c:pt>
                <c:pt idx="8">
                  <c:v>0</c:v>
                </c:pt>
                <c:pt idx="9">
                  <c:v>0</c:v>
                </c:pt>
                <c:pt idx="10">
                  <c:v>0</c:v>
                </c:pt>
                <c:pt idx="11" formatCode="0.0_);[Red]\(0.0\)">
                  <c:v>93.8</c:v>
                </c:pt>
                <c:pt idx="12">
                  <c:v>0</c:v>
                </c:pt>
                <c:pt idx="13">
                  <c:v>0</c:v>
                </c:pt>
                <c:pt idx="14" formatCode="0.0_);[Red]\(0.0\)">
                  <c:v>94.1</c:v>
                </c:pt>
                <c:pt idx="15">
                  <c:v>0</c:v>
                </c:pt>
                <c:pt idx="16">
                  <c:v>0</c:v>
                </c:pt>
                <c:pt idx="17">
                  <c:v>0</c:v>
                </c:pt>
                <c:pt idx="18" formatCode="0.0_);[Red]\(0.0\)">
                  <c:v>94.6</c:v>
                </c:pt>
                <c:pt idx="19">
                  <c:v>0</c:v>
                </c:pt>
                <c:pt idx="20" formatCode="0.0_);[Red]\(0.0\)">
                  <c:v>95</c:v>
                </c:pt>
                <c:pt idx="21">
                  <c:v>0</c:v>
                </c:pt>
              </c:numCache>
            </c:numRef>
          </c:val>
        </c:ser>
        <c:marker val="1"/>
        <c:axId val="274978688"/>
        <c:axId val="274976768"/>
      </c:lineChart>
      <c:catAx>
        <c:axId val="274936192"/>
        <c:scaling>
          <c:orientation val="minMax"/>
        </c:scaling>
        <c:axPos val="b"/>
        <c:numFmt formatCode="@" sourceLinked="0"/>
        <c:majorTickMark val="in"/>
        <c:minorTickMark val="in"/>
        <c:tickLblPos val="nextTo"/>
        <c:spPr>
          <a:noFill/>
        </c:spPr>
        <c:txPr>
          <a:bodyPr rot="0" vert="eaVert" anchor="ctr" anchorCtr="0"/>
          <a:lstStyle/>
          <a:p>
            <a:pPr>
              <a:defRPr sz="800" b="0" i="0" baseline="0">
                <a:latin typeface="Times New Roman" pitchFamily="18" charset="0"/>
                <a:ea typeface="標楷體" pitchFamily="65" charset="-120"/>
                <a:cs typeface="Times New Roman" pitchFamily="18" charset="0"/>
              </a:defRPr>
            </a:pPr>
            <a:endParaRPr lang="zh-TW"/>
          </a:p>
        </c:txPr>
        <c:crossAx val="274937728"/>
        <c:crosses val="autoZero"/>
        <c:auto val="1"/>
        <c:lblAlgn val="l"/>
        <c:lblOffset val="100"/>
      </c:catAx>
      <c:valAx>
        <c:axId val="274937728"/>
        <c:scaling>
          <c:orientation val="minMax"/>
          <c:max val="3000"/>
          <c:min val="0"/>
        </c:scaling>
        <c:axPos val="l"/>
        <c:title>
          <c:tx>
            <c:rich>
              <a:bodyPr rot="0" vert="horz"/>
              <a:lstStyle/>
              <a:p>
                <a:pPr>
                  <a:defRPr sz="800" b="0">
                    <a:latin typeface="標楷體" pitchFamily="65" charset="-120"/>
                    <a:ea typeface="標楷體" pitchFamily="65" charset="-120"/>
                  </a:defRPr>
                </a:pPr>
                <a:r>
                  <a:rPr lang="en-US" altLang="zh-TW" sz="800" b="0">
                    <a:latin typeface="Times New Roman" pitchFamily="18" charset="0"/>
                    <a:ea typeface="標楷體" pitchFamily="65" charset="-120"/>
                    <a:cs typeface="Times New Roman" pitchFamily="18" charset="0"/>
                  </a:rPr>
                  <a:t>No.</a:t>
                </a:r>
                <a:endParaRPr lang="zh-TW" altLang="en-US" sz="800" b="0">
                  <a:latin typeface="Times New Roman" pitchFamily="18" charset="0"/>
                  <a:ea typeface="標楷體" pitchFamily="65" charset="-120"/>
                  <a:cs typeface="Times New Roman" pitchFamily="18" charset="0"/>
                </a:endParaRPr>
              </a:p>
            </c:rich>
          </c:tx>
          <c:layout>
            <c:manualLayout>
              <c:xMode val="edge"/>
              <c:yMode val="edge"/>
              <c:x val="3.259080607675701E-2"/>
              <c:y val="0.12357100634486815"/>
            </c:manualLayout>
          </c:layout>
        </c:title>
        <c:numFmt formatCode="#,##0;[Red]\-#,##0" sourceLinked="0"/>
        <c:majorTickMark val="in"/>
        <c:tickLblPos val="nextTo"/>
        <c:txPr>
          <a:bodyPr/>
          <a:lstStyle/>
          <a:p>
            <a:pPr>
              <a:defRPr sz="800">
                <a:latin typeface="Times New Roman" pitchFamily="18" charset="0"/>
                <a:cs typeface="Times New Roman" pitchFamily="18" charset="0"/>
              </a:defRPr>
            </a:pPr>
            <a:endParaRPr lang="zh-TW"/>
          </a:p>
        </c:txPr>
        <c:crossAx val="274936192"/>
        <c:crosses val="autoZero"/>
        <c:crossBetween val="between"/>
        <c:majorUnit val="500"/>
        <c:minorUnit val="200"/>
      </c:valAx>
      <c:valAx>
        <c:axId val="274976768"/>
        <c:scaling>
          <c:orientation val="minMax"/>
          <c:min val="80"/>
        </c:scaling>
        <c:axPos val="r"/>
        <c:title>
          <c:tx>
            <c:rich>
              <a:bodyPr rot="0" vert="wordArtVertRtl"/>
              <a:lstStyle/>
              <a:p>
                <a:pPr>
                  <a:defRPr sz="800">
                    <a:latin typeface="Times New Roman" pitchFamily="18" charset="0"/>
                    <a:cs typeface="Times New Roman" pitchFamily="18" charset="0"/>
                  </a:defRPr>
                </a:pPr>
                <a:r>
                  <a:rPr lang="en-US" altLang="zh-TW" sz="800" b="0">
                    <a:latin typeface="Times New Roman" pitchFamily="18" charset="0"/>
                    <a:cs typeface="Times New Roman" pitchFamily="18" charset="0"/>
                  </a:rPr>
                  <a:t>%</a:t>
                </a:r>
                <a:endParaRPr lang="zh-TW" altLang="en-US" sz="800" b="0">
                  <a:latin typeface="Times New Roman" pitchFamily="18" charset="0"/>
                  <a:cs typeface="Times New Roman" pitchFamily="18" charset="0"/>
                </a:endParaRPr>
              </a:p>
            </c:rich>
          </c:tx>
          <c:layout>
            <c:manualLayout>
              <c:xMode val="edge"/>
              <c:yMode val="edge"/>
              <c:x val="0.90541695910375797"/>
              <c:y val="0.11817652640056557"/>
            </c:manualLayout>
          </c:layout>
        </c:title>
        <c:numFmt formatCode="#,##0;\-#,##0" sourceLinked="1"/>
        <c:majorTickMark val="in"/>
        <c:tickLblPos val="nextTo"/>
        <c:txPr>
          <a:bodyPr/>
          <a:lstStyle/>
          <a:p>
            <a:pPr>
              <a:defRPr sz="800">
                <a:latin typeface="Times New Roman" pitchFamily="18" charset="0"/>
                <a:cs typeface="Times New Roman" pitchFamily="18" charset="0"/>
              </a:defRPr>
            </a:pPr>
            <a:endParaRPr lang="zh-TW"/>
          </a:p>
        </c:txPr>
        <c:crossAx val="274978688"/>
        <c:crosses val="max"/>
        <c:crossBetween val="between"/>
        <c:majorUnit val="4"/>
      </c:valAx>
      <c:catAx>
        <c:axId val="274978688"/>
        <c:scaling>
          <c:orientation val="minMax"/>
        </c:scaling>
        <c:delete val="1"/>
        <c:axPos val="b"/>
        <c:tickLblPos val="none"/>
        <c:crossAx val="274976768"/>
        <c:crosses val="autoZero"/>
        <c:auto val="1"/>
        <c:lblAlgn val="ctr"/>
        <c:lblOffset val="100"/>
      </c:catAx>
      <c:spPr>
        <a:noFill/>
      </c:spPr>
    </c:plotArea>
    <c:plotVisOnly val="1"/>
    <c:dispBlanksAs val="zero"/>
  </c:chart>
  <c:spPr>
    <a:ln>
      <a:noFill/>
    </a:ln>
  </c:spPr>
  <c:externalData r:id="rId1"/>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en-US" altLang="zh-TW" sz="1000" b="0" i="0" u="none" strike="noStrike" baseline="0">
                <a:latin typeface="Times New Roman" pitchFamily="18" charset="0"/>
                <a:cs typeface="Times New Roman" pitchFamily="18" charset="0"/>
              </a:rPr>
              <a:t>Figure 22  Contracted Medical Care Institutions </a:t>
            </a:r>
          </a:p>
          <a:p>
            <a:pPr>
              <a:defRPr/>
            </a:pPr>
            <a:endParaRPr lang="en-US" altLang="zh-TW" sz="800" b="0" i="0" u="none" strike="noStrike" baseline="0">
              <a:latin typeface="Times New Roman" pitchFamily="18" charset="0"/>
              <a:cs typeface="Times New Roman" pitchFamily="18" charset="0"/>
            </a:endParaRPr>
          </a:p>
          <a:p>
            <a:pPr>
              <a:defRPr/>
            </a:pPr>
            <a:r>
              <a:rPr lang="en-US" altLang="zh-TW" sz="800" b="0" i="0" u="none" strike="noStrike" baseline="0">
                <a:latin typeface="Times New Roman" pitchFamily="18" charset="0"/>
                <a:cs typeface="Times New Roman" pitchFamily="18" charset="0"/>
              </a:rPr>
              <a:t>2011 vs. 2001</a:t>
            </a:r>
            <a:endParaRPr lang="en-US" altLang="en-US" sz="800">
              <a:latin typeface="Times New Roman" pitchFamily="18" charset="0"/>
              <a:cs typeface="Times New Roman" pitchFamily="18" charset="0"/>
            </a:endParaRPr>
          </a:p>
        </c:rich>
      </c:tx>
      <c:layout>
        <c:manualLayout>
          <c:xMode val="edge"/>
          <c:yMode val="edge"/>
          <c:x val="0.20984108934117846"/>
          <c:y val="3.8483874475368864E-2"/>
        </c:manualLayout>
      </c:layout>
    </c:title>
    <c:plotArea>
      <c:layout>
        <c:manualLayout>
          <c:layoutTarget val="inner"/>
          <c:xMode val="edge"/>
          <c:yMode val="edge"/>
          <c:x val="5.8097384181710815E-2"/>
          <c:y val="0.23229777162068738"/>
          <c:w val="0.81037306877070259"/>
          <c:h val="0.61607073545218183"/>
        </c:manualLayout>
      </c:layout>
      <c:scatterChart>
        <c:scatterStyle val="lineMarker"/>
        <c:ser>
          <c:idx val="0"/>
          <c:order val="0"/>
          <c:spPr>
            <a:ln w="38100">
              <a:noFill/>
            </a:ln>
          </c:spPr>
          <c:marker>
            <c:symbol val="circle"/>
            <c:size val="8"/>
            <c:spPr>
              <a:solidFill>
                <a:srgbClr val="000080"/>
              </a:solidFill>
              <a:ln>
                <a:solidFill>
                  <a:srgbClr val="000080"/>
                </a:solidFill>
                <a:prstDash val="solid"/>
              </a:ln>
            </c:spPr>
          </c:marker>
          <c:dPt>
            <c:idx val="0"/>
            <c:marker>
              <c:spPr>
                <a:solidFill>
                  <a:srgbClr val="B3A2C7"/>
                </a:solidFill>
                <a:ln>
                  <a:solidFill>
                    <a:srgbClr val="B3A2C7"/>
                  </a:solidFill>
                  <a:prstDash val="solid"/>
                </a:ln>
              </c:spPr>
            </c:marker>
          </c:dPt>
          <c:dPt>
            <c:idx val="1"/>
            <c:marker>
              <c:spPr>
                <a:solidFill>
                  <a:srgbClr val="FAC090"/>
                </a:solidFill>
                <a:ln>
                  <a:solidFill>
                    <a:srgbClr val="FAC090"/>
                  </a:solidFill>
                  <a:prstDash val="solid"/>
                </a:ln>
              </c:spPr>
            </c:marker>
          </c:dPt>
          <c:dPt>
            <c:idx val="2"/>
            <c:marker>
              <c:spPr>
                <a:solidFill>
                  <a:srgbClr val="95B3D7"/>
                </a:solidFill>
                <a:ln>
                  <a:solidFill>
                    <a:srgbClr val="95B3D7"/>
                  </a:solidFill>
                  <a:prstDash val="solid"/>
                </a:ln>
              </c:spPr>
            </c:marker>
          </c:dPt>
          <c:dPt>
            <c:idx val="3"/>
            <c:marker>
              <c:spPr>
                <a:solidFill>
                  <a:srgbClr val="F3B7E2"/>
                </a:solidFill>
                <a:ln>
                  <a:solidFill>
                    <a:srgbClr val="F3B7E2"/>
                  </a:solidFill>
                  <a:prstDash val="solid"/>
                </a:ln>
              </c:spPr>
            </c:marker>
          </c:dPt>
          <c:dPt>
            <c:idx val="4"/>
            <c:marker>
              <c:spPr>
                <a:solidFill>
                  <a:srgbClr val="66FFFF"/>
                </a:solidFill>
                <a:ln>
                  <a:solidFill>
                    <a:srgbClr val="66FFFF"/>
                  </a:solidFill>
                  <a:prstDash val="solid"/>
                </a:ln>
              </c:spPr>
            </c:marker>
          </c:dPt>
          <c:dPt>
            <c:idx val="5"/>
            <c:marker>
              <c:spPr>
                <a:solidFill>
                  <a:srgbClr val="C3D69B"/>
                </a:solidFill>
                <a:ln>
                  <a:solidFill>
                    <a:srgbClr val="C3D69B"/>
                  </a:solidFill>
                  <a:prstDash val="solid"/>
                </a:ln>
              </c:spPr>
            </c:marker>
          </c:dPt>
          <c:xVal>
            <c:numRef>
              <c:f>'圖19、22-data'!$D$23:$I$23</c:f>
              <c:numCache>
                <c:formatCode>0.0_ </c:formatCode>
                <c:ptCount val="6"/>
                <c:pt idx="0">
                  <c:v>0.59381304188517658</c:v>
                </c:pt>
                <c:pt idx="1">
                  <c:v>0.92884459880013814</c:v>
                </c:pt>
                <c:pt idx="2">
                  <c:v>-0.8517479187668876</c:v>
                </c:pt>
                <c:pt idx="3">
                  <c:v>-2.8265293040945494E-2</c:v>
                </c:pt>
                <c:pt idx="4">
                  <c:v>-0.51826134904701437</c:v>
                </c:pt>
                <c:pt idx="5">
                  <c:v>-0.12438307983045815</c:v>
                </c:pt>
              </c:numCache>
            </c:numRef>
          </c:xVal>
          <c:yVal>
            <c:numRef>
              <c:f>'圖19、22-data'!$D$24:$I$24</c:f>
              <c:numCache>
                <c:formatCode>0.0_ </c:formatCode>
                <c:ptCount val="6"/>
                <c:pt idx="0">
                  <c:v>1.3071530986139877</c:v>
                </c:pt>
                <c:pt idx="1">
                  <c:v>1.3804081632653085</c:v>
                </c:pt>
                <c:pt idx="2">
                  <c:v>1.2340520115581259</c:v>
                </c:pt>
                <c:pt idx="3">
                  <c:v>1.2803613248578121</c:v>
                </c:pt>
                <c:pt idx="4">
                  <c:v>1.2432592592592573</c:v>
                </c:pt>
                <c:pt idx="5">
                  <c:v>1.2162162162162162</c:v>
                </c:pt>
              </c:numCache>
            </c:numRef>
          </c:yVal>
        </c:ser>
        <c:axId val="275774080"/>
        <c:axId val="275845504"/>
      </c:scatterChart>
      <c:valAx>
        <c:axId val="275774080"/>
        <c:scaling>
          <c:orientation val="minMax"/>
        </c:scaling>
        <c:axPos val="b"/>
        <c:numFmt formatCode="0.0_ " sourceLinked="1"/>
        <c:majorTickMark val="in"/>
        <c:tickLblPos val="nextTo"/>
        <c:spPr>
          <a:ln w="3175">
            <a:solidFill>
              <a:srgbClr val="000000"/>
            </a:solidFill>
            <a:prstDash val="solid"/>
          </a:ln>
        </c:spPr>
        <c:txPr>
          <a:bodyPr rot="0" vert="horz"/>
          <a:lstStyle/>
          <a:p>
            <a:pPr>
              <a:defRPr sz="800" b="0" i="0" u="none" strike="noStrike" baseline="0">
                <a:solidFill>
                  <a:srgbClr val="000000"/>
                </a:solidFill>
                <a:latin typeface="Times New Roman" pitchFamily="18" charset="0"/>
                <a:ea typeface="標楷體"/>
                <a:cs typeface="Times New Roman" pitchFamily="18" charset="0"/>
              </a:defRPr>
            </a:pPr>
            <a:endParaRPr lang="zh-TW"/>
          </a:p>
        </c:txPr>
        <c:crossAx val="275845504"/>
        <c:crossesAt val="1.3"/>
        <c:crossBetween val="midCat"/>
        <c:majorUnit val="0.4"/>
      </c:valAx>
      <c:valAx>
        <c:axId val="275845504"/>
        <c:scaling>
          <c:orientation val="minMax"/>
          <c:max val="1.4"/>
          <c:min val="1"/>
        </c:scaling>
        <c:axPos val="l"/>
        <c:numFmt formatCode="0.0_ " sourceLinked="1"/>
        <c:majorTickMark val="in"/>
        <c:tickLblPos val="nextTo"/>
        <c:spPr>
          <a:ln w="3175">
            <a:solidFill>
              <a:srgbClr val="000000"/>
            </a:solidFill>
            <a:prstDash val="solid"/>
          </a:ln>
        </c:spPr>
        <c:txPr>
          <a:bodyPr rot="0" vert="horz"/>
          <a:lstStyle/>
          <a:p>
            <a:pPr>
              <a:defRPr sz="800" b="0" i="0" u="none" strike="noStrike" baseline="0">
                <a:solidFill>
                  <a:srgbClr val="000000"/>
                </a:solidFill>
                <a:latin typeface="Times New Roman" pitchFamily="18" charset="0"/>
                <a:ea typeface="標楷體"/>
                <a:cs typeface="Times New Roman" pitchFamily="18" charset="0"/>
              </a:defRPr>
            </a:pPr>
            <a:endParaRPr lang="zh-TW"/>
          </a:p>
        </c:txPr>
        <c:crossAx val="275774080"/>
        <c:crossesAt val="-0.1"/>
        <c:crossBetween val="midCat"/>
        <c:majorUnit val="0.1"/>
      </c:valAx>
      <c:spPr>
        <a:noFill/>
        <a:ln w="25400">
          <a:noFill/>
        </a:ln>
      </c:spPr>
    </c:plotArea>
    <c:plotVisOnly val="1"/>
    <c:dispBlanksAs val="gap"/>
  </c:chart>
  <c:spPr>
    <a:noFill/>
    <a:ln w="12700">
      <a:noFill/>
    </a:ln>
  </c:spPr>
  <c:txPr>
    <a:bodyPr/>
    <a:lstStyle/>
    <a:p>
      <a:pPr>
        <a:defRPr sz="1200" b="0" i="0" u="none" strike="noStrike" baseline="0">
          <a:solidFill>
            <a:srgbClr val="000000"/>
          </a:solidFill>
          <a:latin typeface="標楷體"/>
          <a:ea typeface="標楷體"/>
          <a:cs typeface="標楷體"/>
        </a:defRPr>
      </a:pPr>
      <a:endParaRPr lang="zh-TW"/>
    </a:p>
  </c:txPr>
  <c:externalData r:id="rId1"/>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sz="1000">
                <a:latin typeface="標楷體" pitchFamily="65" charset="-120"/>
                <a:ea typeface="標楷體" pitchFamily="65" charset="-120"/>
              </a:defRPr>
            </a:pPr>
            <a:r>
              <a:rPr lang="en-US" altLang="zh-TW" sz="1000" b="0" i="0" baseline="0">
                <a:latin typeface="Times New Roman" pitchFamily="18" charset="0"/>
                <a:cs typeface="Times New Roman" pitchFamily="18" charset="0"/>
              </a:rPr>
              <a:t>Figure 23   Other Contracted  Medical Care Institutions by  Nature of Service </a:t>
            </a:r>
            <a:br>
              <a:rPr lang="en-US" altLang="zh-TW" sz="1000" b="0" i="0" baseline="0">
                <a:latin typeface="Times New Roman" pitchFamily="18" charset="0"/>
                <a:cs typeface="Times New Roman" pitchFamily="18" charset="0"/>
              </a:rPr>
            </a:br>
            <a:r>
              <a:rPr lang="en-US" altLang="zh-TW" sz="1000" b="0" i="0" baseline="0">
                <a:latin typeface="Times New Roman" pitchFamily="18" charset="0"/>
                <a:cs typeface="Times New Roman" pitchFamily="18" charset="0"/>
              </a:rPr>
              <a:t>                                                         </a:t>
            </a:r>
            <a:endParaRPr lang="zh-TW" altLang="zh-TW" sz="1000" b="1" i="0" baseline="0">
              <a:latin typeface="Times New Roman" pitchFamily="18" charset="0"/>
              <a:cs typeface="Times New Roman" pitchFamily="18" charset="0"/>
            </a:endParaRPr>
          </a:p>
          <a:p>
            <a:pPr>
              <a:defRPr sz="1000">
                <a:latin typeface="標楷體" pitchFamily="65" charset="-120"/>
                <a:ea typeface="標楷體" pitchFamily="65" charset="-120"/>
              </a:defRPr>
            </a:pPr>
            <a:r>
              <a:rPr lang="en-US" altLang="zh-TW" sz="800" b="0" i="0" baseline="0">
                <a:latin typeface="Times New Roman" pitchFamily="18" charset="0"/>
                <a:cs typeface="Times New Roman" pitchFamily="18" charset="0"/>
              </a:rPr>
              <a:t>End of  2011</a:t>
            </a:r>
            <a:endParaRPr lang="zh-TW" altLang="zh-TW" sz="800" b="0" i="0" baseline="0">
              <a:latin typeface="Times New Roman" pitchFamily="18" charset="0"/>
              <a:ea typeface="標楷體" pitchFamily="65" charset="-120"/>
              <a:cs typeface="Times New Roman" pitchFamily="18" charset="0"/>
            </a:endParaRPr>
          </a:p>
        </c:rich>
      </c:tx>
    </c:title>
    <c:plotArea>
      <c:layout>
        <c:manualLayout>
          <c:layoutTarget val="inner"/>
          <c:xMode val="edge"/>
          <c:yMode val="edge"/>
          <c:x val="6.0894940215806534E-2"/>
          <c:y val="0.38577603544094541"/>
          <c:w val="0.90986475648877541"/>
          <c:h val="0.57946793263048402"/>
        </c:manualLayout>
      </c:layout>
      <c:barChart>
        <c:barDir val="col"/>
        <c:grouping val="stacked"/>
        <c:ser>
          <c:idx val="0"/>
          <c:order val="0"/>
          <c:spPr>
            <a:solidFill>
              <a:srgbClr val="F3B7E2"/>
            </a:solidFill>
          </c:spPr>
          <c:dLbls>
            <c:dLbl>
              <c:idx val="0"/>
              <c:layout>
                <c:manualLayout>
                  <c:x val="2.0223396585931849E-3"/>
                  <c:y val="-0.11569519428503491"/>
                </c:manualLayout>
              </c:layout>
              <c:showVal val="1"/>
            </c:dLbl>
            <c:numFmt formatCode="#,##0;[Red]\-#,##0" sourceLinked="0"/>
            <c:txPr>
              <a:bodyPr/>
              <a:lstStyle/>
              <a:p>
                <a:pPr>
                  <a:defRPr sz="800" baseline="0">
                    <a:latin typeface="Times New Roman" pitchFamily="18" charset="0"/>
                    <a:cs typeface="Times New Roman" pitchFamily="18" charset="0"/>
                  </a:defRPr>
                </a:pPr>
                <a:endParaRPr lang="zh-TW"/>
              </a:p>
            </c:txPr>
            <c:showVal val="1"/>
          </c:dLbls>
          <c:cat>
            <c:strRef>
              <c:f>圖23!$Q$10:$W$10</c:f>
              <c:strCache>
                <c:ptCount val="1"/>
                <c:pt idx="0">
                  <c:v>藥局</c:v>
                </c:pt>
              </c:strCache>
            </c:strRef>
          </c:cat>
          <c:val>
            <c:numRef>
              <c:f>圖23!$Q$11:$W$11</c:f>
              <c:numCache>
                <c:formatCode>General</c:formatCode>
                <c:ptCount val="7"/>
                <c:pt idx="0">
                  <c:v>5037</c:v>
                </c:pt>
              </c:numCache>
            </c:numRef>
          </c:val>
        </c:ser>
        <c:gapWidth val="186"/>
        <c:overlap val="-5"/>
        <c:axId val="275869696"/>
        <c:axId val="275871232"/>
      </c:barChart>
      <c:catAx>
        <c:axId val="275869696"/>
        <c:scaling>
          <c:orientation val="minMax"/>
        </c:scaling>
        <c:delete val="1"/>
        <c:axPos val="b"/>
        <c:tickLblPos val="none"/>
        <c:crossAx val="275871232"/>
        <c:crossesAt val="4000"/>
        <c:auto val="1"/>
        <c:lblAlgn val="ctr"/>
        <c:lblOffset val="100"/>
      </c:catAx>
      <c:valAx>
        <c:axId val="275871232"/>
        <c:scaling>
          <c:orientation val="minMax"/>
          <c:max val="4600"/>
          <c:min val="4000"/>
        </c:scaling>
        <c:axPos val="l"/>
        <c:title>
          <c:tx>
            <c:rich>
              <a:bodyPr rot="0" vert="horz"/>
              <a:lstStyle/>
              <a:p>
                <a:pPr>
                  <a:defRPr sz="800"/>
                </a:pPr>
                <a:r>
                  <a:rPr lang="en-US" altLang="zh-TW" sz="800" b="0">
                    <a:latin typeface="Times New Roman" pitchFamily="18" charset="0"/>
                    <a:ea typeface="標楷體" pitchFamily="65" charset="-120"/>
                    <a:cs typeface="Times New Roman" pitchFamily="18" charset="0"/>
                  </a:rPr>
                  <a:t>No.</a:t>
                </a:r>
                <a:endParaRPr lang="zh-TW" altLang="en-US" sz="800" b="0">
                  <a:latin typeface="Times New Roman" pitchFamily="18" charset="0"/>
                  <a:ea typeface="標楷體" pitchFamily="65" charset="-120"/>
                  <a:cs typeface="Times New Roman" pitchFamily="18" charset="0"/>
                </a:endParaRPr>
              </a:p>
            </c:rich>
          </c:tx>
          <c:layout>
            <c:manualLayout>
              <c:xMode val="edge"/>
              <c:yMode val="edge"/>
              <c:x val="9.7651886571712664E-3"/>
              <c:y val="0.24326673049360187"/>
            </c:manualLayout>
          </c:layout>
        </c:title>
        <c:numFmt formatCode="#,##0;[Red]\-#,##0" sourceLinked="0"/>
        <c:majorTickMark val="in"/>
        <c:tickLblPos val="nextTo"/>
        <c:txPr>
          <a:bodyPr/>
          <a:lstStyle/>
          <a:p>
            <a:pPr>
              <a:defRPr sz="800">
                <a:latin typeface="Times New Roman" pitchFamily="18" charset="0"/>
                <a:cs typeface="Times New Roman" pitchFamily="18" charset="0"/>
              </a:defRPr>
            </a:pPr>
            <a:endParaRPr lang="zh-TW"/>
          </a:p>
        </c:txPr>
        <c:crossAx val="275869696"/>
        <c:crosses val="autoZero"/>
        <c:crossBetween val="between"/>
        <c:majorUnit val="200"/>
        <c:minorUnit val="40"/>
      </c:valAx>
    </c:plotArea>
    <c:plotVisOnly val="1"/>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zh-TW"/>
  <c:chart>
    <c:plotArea>
      <c:layout>
        <c:manualLayout>
          <c:layoutTarget val="inner"/>
          <c:xMode val="edge"/>
          <c:yMode val="edge"/>
          <c:x val="6.552456984543599E-2"/>
          <c:y val="0.12899105418481321"/>
          <c:w val="0.83881707494896451"/>
          <c:h val="0.54869754949330263"/>
        </c:manualLayout>
      </c:layout>
      <c:barChart>
        <c:barDir val="col"/>
        <c:grouping val="stacked"/>
        <c:ser>
          <c:idx val="0"/>
          <c:order val="0"/>
          <c:spPr>
            <a:solidFill>
              <a:srgbClr val="FEDAF4"/>
            </a:solidFill>
          </c:spPr>
          <c:dPt>
            <c:idx val="0"/>
            <c:spPr>
              <a:solidFill>
                <a:srgbClr val="F3B7E2"/>
              </a:solidFill>
            </c:spPr>
          </c:dPt>
          <c:dPt>
            <c:idx val="1"/>
            <c:spPr>
              <a:solidFill>
                <a:srgbClr val="C3D69B"/>
              </a:solidFill>
            </c:spPr>
          </c:dPt>
          <c:dPt>
            <c:idx val="2"/>
            <c:spPr>
              <a:solidFill>
                <a:srgbClr val="95B3D7"/>
              </a:solidFill>
            </c:spPr>
          </c:dPt>
          <c:dPt>
            <c:idx val="3"/>
            <c:spPr>
              <a:solidFill>
                <a:srgbClr val="FF0000"/>
              </a:solidFill>
            </c:spPr>
          </c:dPt>
          <c:dPt>
            <c:idx val="4"/>
            <c:spPr>
              <a:solidFill>
                <a:srgbClr val="FAC090"/>
              </a:solidFill>
            </c:spPr>
          </c:dPt>
          <c:dPt>
            <c:idx val="5"/>
            <c:spPr>
              <a:solidFill>
                <a:schemeClr val="accent4"/>
              </a:solidFill>
            </c:spPr>
          </c:dPt>
          <c:dPt>
            <c:idx val="6"/>
            <c:spPr>
              <a:solidFill>
                <a:srgbClr val="FFFF00"/>
              </a:solidFill>
            </c:spPr>
          </c:dPt>
          <c:dLbls>
            <c:dLbl>
              <c:idx val="1"/>
              <c:layout>
                <c:manualLayout>
                  <c:x val="-1.0565923544132114E-7"/>
                  <c:y val="-8.2823206149351333E-2"/>
                </c:manualLayout>
              </c:layout>
              <c:showVal val="1"/>
            </c:dLbl>
            <c:dLbl>
              <c:idx val="2"/>
              <c:layout>
                <c:manualLayout>
                  <c:x val="0"/>
                  <c:y val="-0.14148964383847801"/>
                </c:manualLayout>
              </c:layout>
              <c:showVal val="1"/>
            </c:dLbl>
            <c:dLbl>
              <c:idx val="3"/>
              <c:layout>
                <c:manualLayout>
                  <c:x val="-5.4463384896889263E-17"/>
                  <c:y val="-2.760773538311783E-2"/>
                </c:manualLayout>
              </c:layout>
              <c:showVal val="1"/>
            </c:dLbl>
            <c:dLbl>
              <c:idx val="4"/>
              <c:layout>
                <c:manualLayout>
                  <c:x val="0"/>
                  <c:y val="-5.8666437689124024E-2"/>
                </c:manualLayout>
              </c:layout>
              <c:showVal val="1"/>
            </c:dLbl>
            <c:dLbl>
              <c:idx val="5"/>
              <c:layout>
                <c:manualLayout>
                  <c:x val="0"/>
                  <c:y val="-4.1411603074675674E-2"/>
                </c:manualLayout>
              </c:layout>
              <c:showVal val="1"/>
            </c:dLbl>
            <c:dLbl>
              <c:idx val="6"/>
              <c:layout>
                <c:manualLayout>
                  <c:x val="0"/>
                  <c:y val="-3.1058702306006752E-2"/>
                </c:manualLayout>
              </c:layout>
              <c:showVal val="1"/>
            </c:dLbl>
            <c:txPr>
              <a:bodyPr/>
              <a:lstStyle/>
              <a:p>
                <a:pPr>
                  <a:defRPr sz="800">
                    <a:latin typeface="Times New Roman" pitchFamily="18" charset="0"/>
                    <a:cs typeface="Times New Roman" pitchFamily="18" charset="0"/>
                  </a:defRPr>
                </a:pPr>
                <a:endParaRPr lang="zh-TW"/>
              </a:p>
            </c:txPr>
            <c:showVal val="1"/>
          </c:dLbls>
          <c:cat>
            <c:strRef>
              <c:f>圖23!$Q$7:$W$7</c:f>
              <c:strCache>
                <c:ptCount val="7"/>
                <c:pt idx="0">
                  <c:v>Pharmacies</c:v>
                </c:pt>
                <c:pt idx="1">
                  <c:v>Medical Laboratory Institutions</c:v>
                </c:pt>
                <c:pt idx="2">
                  <c:v>Home Nursing Care Facilities</c:v>
                </c:pt>
                <c:pt idx="3">
                  <c:v>Midwifery Clinics</c:v>
                </c:pt>
                <c:pt idx="4">
                  <c:v>Community Psychiatric Rehabilitation Centers</c:v>
                </c:pt>
                <c:pt idx="5">
                  <c:v>Physical and Occupational Therapy Clinics</c:v>
                </c:pt>
                <c:pt idx="6">
                  <c:v>Radiology Centers</c:v>
                </c:pt>
              </c:strCache>
            </c:strRef>
          </c:cat>
          <c:val>
            <c:numRef>
              <c:f>圖23!$Q$8:$W$8</c:f>
              <c:numCache>
                <c:formatCode>General</c:formatCode>
                <c:ptCount val="7"/>
                <c:pt idx="0">
                  <c:v>5037</c:v>
                </c:pt>
                <c:pt idx="1">
                  <c:v>213</c:v>
                </c:pt>
                <c:pt idx="2">
                  <c:v>528</c:v>
                </c:pt>
                <c:pt idx="3">
                  <c:v>12</c:v>
                </c:pt>
                <c:pt idx="4">
                  <c:v>170</c:v>
                </c:pt>
                <c:pt idx="5">
                  <c:v>14</c:v>
                </c:pt>
                <c:pt idx="6">
                  <c:v>10</c:v>
                </c:pt>
              </c:numCache>
            </c:numRef>
          </c:val>
        </c:ser>
        <c:overlap val="100"/>
        <c:axId val="275906944"/>
        <c:axId val="275908480"/>
      </c:barChart>
      <c:catAx>
        <c:axId val="275906944"/>
        <c:scaling>
          <c:orientation val="minMax"/>
        </c:scaling>
        <c:axPos val="b"/>
        <c:majorTickMark val="none"/>
        <c:tickLblPos val="nextTo"/>
        <c:txPr>
          <a:bodyPr/>
          <a:lstStyle/>
          <a:p>
            <a:pPr>
              <a:defRPr sz="800">
                <a:latin typeface="Times New Roman" pitchFamily="18" charset="0"/>
                <a:ea typeface="標楷體" pitchFamily="65" charset="-120"/>
                <a:cs typeface="Times New Roman" pitchFamily="18" charset="0"/>
              </a:defRPr>
            </a:pPr>
            <a:endParaRPr lang="zh-TW"/>
          </a:p>
        </c:txPr>
        <c:crossAx val="275908480"/>
        <c:crosses val="autoZero"/>
        <c:auto val="1"/>
        <c:lblAlgn val="ctr"/>
        <c:lblOffset val="100"/>
      </c:catAx>
      <c:valAx>
        <c:axId val="275908480"/>
        <c:scaling>
          <c:orientation val="minMax"/>
          <c:max val="1200"/>
          <c:min val="0"/>
        </c:scaling>
        <c:axPos val="l"/>
        <c:numFmt formatCode="#,##0;[Red]\-#,##0" sourceLinked="0"/>
        <c:majorTickMark val="in"/>
        <c:tickLblPos val="nextTo"/>
        <c:txPr>
          <a:bodyPr/>
          <a:lstStyle/>
          <a:p>
            <a:pPr>
              <a:defRPr sz="800">
                <a:latin typeface="Times New Roman" pitchFamily="18" charset="0"/>
                <a:cs typeface="Times New Roman" pitchFamily="18" charset="0"/>
              </a:defRPr>
            </a:pPr>
            <a:endParaRPr lang="zh-TW"/>
          </a:p>
        </c:txPr>
        <c:crossAx val="275906944"/>
        <c:crosses val="autoZero"/>
        <c:crossBetween val="between"/>
        <c:majorUnit val="200"/>
        <c:minorUnit val="20"/>
      </c:valAx>
      <c:spPr>
        <a:ln>
          <a:noFill/>
        </a:ln>
      </c:spPr>
    </c:plotArea>
    <c:plotVisOnly val="1"/>
  </c:chart>
  <c:spPr>
    <a:ln>
      <a:noFill/>
    </a:ln>
  </c:spPr>
  <c:externalData r:id="rId1"/>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en-US" altLang="zh-TW" sz="1000" b="0" i="0" baseline="0">
                <a:latin typeface="Times New Roman" pitchFamily="18" charset="0"/>
                <a:cs typeface="Times New Roman" pitchFamily="18" charset="0"/>
              </a:rPr>
              <a:t>Figure  24   Beds  in  Contracted  Medical  Care  Institutions</a:t>
            </a:r>
            <a:endParaRPr lang="zh-TW" altLang="zh-TW" sz="1000" b="0" i="0" baseline="0">
              <a:latin typeface="Times New Roman" pitchFamily="18" charset="0"/>
              <a:cs typeface="Times New Roman" pitchFamily="18" charset="0"/>
            </a:endParaRPr>
          </a:p>
        </c:rich>
      </c:tx>
      <c:overlay val="1"/>
    </c:title>
    <c:plotArea>
      <c:layout>
        <c:manualLayout>
          <c:layoutTarget val="inner"/>
          <c:xMode val="edge"/>
          <c:yMode val="edge"/>
          <c:x val="7.9439478117194623E-2"/>
          <c:y val="0.18593648829866363"/>
          <c:w val="0.88257980253860324"/>
          <c:h val="0.7395852429325499"/>
        </c:manualLayout>
      </c:layout>
      <c:barChart>
        <c:barDir val="col"/>
        <c:grouping val="stacked"/>
        <c:ser>
          <c:idx val="0"/>
          <c:order val="0"/>
          <c:tx>
            <c:strRef>
              <c:f>圖24!$P$4</c:f>
              <c:strCache>
                <c:ptCount val="1"/>
                <c:pt idx="0">
                  <c:v>保險</c:v>
                </c:pt>
              </c:strCache>
            </c:strRef>
          </c:tx>
          <c:spPr>
            <a:solidFill>
              <a:srgbClr val="B9D7FF">
                <a:alpha val="91765"/>
              </a:srgbClr>
            </a:solidFill>
          </c:spPr>
          <c:dPt>
            <c:idx val="0"/>
            <c:spPr>
              <a:solidFill>
                <a:srgbClr val="D7E4BD">
                  <a:alpha val="92000"/>
                </a:srgbClr>
              </a:solidFill>
            </c:spPr>
          </c:dPt>
          <c:dPt>
            <c:idx val="2"/>
            <c:spPr>
              <a:solidFill>
                <a:srgbClr val="D7E4BD">
                  <a:alpha val="92000"/>
                </a:srgbClr>
              </a:solidFill>
            </c:spPr>
          </c:dPt>
          <c:dPt>
            <c:idx val="4"/>
            <c:spPr>
              <a:solidFill>
                <a:srgbClr val="D7E4BD">
                  <a:alpha val="92000"/>
                </a:srgbClr>
              </a:solidFill>
            </c:spPr>
          </c:dPt>
          <c:dPt>
            <c:idx val="6"/>
            <c:spPr>
              <a:solidFill>
                <a:srgbClr val="D7E4BD">
                  <a:alpha val="92000"/>
                </a:srgbClr>
              </a:solidFill>
            </c:spPr>
          </c:dPt>
          <c:dPt>
            <c:idx val="8"/>
            <c:spPr>
              <a:solidFill>
                <a:srgbClr val="D7E4BD">
                  <a:alpha val="92000"/>
                </a:srgbClr>
              </a:solidFill>
            </c:spPr>
          </c:dPt>
          <c:dPt>
            <c:idx val="10"/>
            <c:spPr>
              <a:solidFill>
                <a:srgbClr val="D7E4BD">
                  <a:alpha val="92000"/>
                </a:srgbClr>
              </a:solidFill>
            </c:spPr>
          </c:dPt>
          <c:dPt>
            <c:idx val="12"/>
            <c:spPr>
              <a:solidFill>
                <a:srgbClr val="D7E4BD">
                  <a:alpha val="92000"/>
                </a:srgbClr>
              </a:solidFill>
            </c:spPr>
          </c:dPt>
          <c:dPt>
            <c:idx val="14"/>
            <c:spPr>
              <a:solidFill>
                <a:srgbClr val="D7E4BD">
                  <a:alpha val="92000"/>
                </a:srgbClr>
              </a:solidFill>
            </c:spPr>
          </c:dPt>
          <c:dPt>
            <c:idx val="16"/>
            <c:spPr>
              <a:solidFill>
                <a:srgbClr val="D7E4BD">
                  <a:alpha val="92000"/>
                </a:srgbClr>
              </a:solidFill>
            </c:spPr>
          </c:dPt>
          <c:dPt>
            <c:idx val="18"/>
            <c:spPr>
              <a:solidFill>
                <a:srgbClr val="D7E4BD">
                  <a:alpha val="92000"/>
                </a:srgbClr>
              </a:solidFill>
            </c:spPr>
          </c:dPt>
          <c:dPt>
            <c:idx val="20"/>
            <c:spPr>
              <a:solidFill>
                <a:srgbClr val="D7E4BD">
                  <a:alpha val="92000"/>
                </a:srgbClr>
              </a:solidFill>
            </c:spPr>
          </c:dPt>
          <c:dLbls>
            <c:dLbl>
              <c:idx val="0"/>
              <c:layout>
                <c:manualLayout>
                  <c:x val="2.7120943176712452E-3"/>
                  <c:y val="-0.13071134987101476"/>
                </c:manualLayout>
              </c:layout>
              <c:tx>
                <c:rich>
                  <a:bodyPr/>
                  <a:lstStyle/>
                  <a:p>
                    <a:r>
                      <a:rPr lang="en-US" altLang="en-US" sz="800">
                        <a:latin typeface="Times New Roman" pitchFamily="18" charset="0"/>
                        <a:cs typeface="Times New Roman" pitchFamily="18" charset="0"/>
                      </a:rPr>
                      <a:t>5</a:t>
                    </a:r>
                    <a:r>
                      <a:rPr lang="en-US" altLang="en-US"/>
                      <a:t>6,958</a:t>
                    </a:r>
                  </a:p>
                </c:rich>
              </c:tx>
              <c:showVal val="1"/>
            </c:dLbl>
            <c:dLbl>
              <c:idx val="1"/>
              <c:layout>
                <c:manualLayout>
                  <c:x val="1.2154360376785171E-3"/>
                  <c:y val="-8.6257582347125505E-3"/>
                </c:manualLayout>
              </c:layout>
              <c:tx>
                <c:rich>
                  <a:bodyPr/>
                  <a:lstStyle/>
                  <a:p>
                    <a:r>
                      <a:rPr lang="en-US" altLang="en-US" sz="800">
                        <a:latin typeface="Times New Roman" pitchFamily="18" charset="0"/>
                        <a:cs typeface="Times New Roman" pitchFamily="18" charset="0"/>
                      </a:rPr>
                      <a:t>1</a:t>
                    </a:r>
                    <a:r>
                      <a:rPr lang="en-US" altLang="en-US"/>
                      <a:t>0,242</a:t>
                    </a:r>
                  </a:p>
                </c:rich>
              </c:tx>
              <c:showVal val="1"/>
            </c:dLbl>
            <c:dLbl>
              <c:idx val="10"/>
              <c:layout>
                <c:manualLayout>
                  <c:x val="-1.2154360376785171E-3"/>
                  <c:y val="-0.23002021959233537"/>
                </c:manualLayout>
              </c:layout>
              <c:tx>
                <c:rich>
                  <a:bodyPr/>
                  <a:lstStyle/>
                  <a:p>
                    <a:r>
                      <a:rPr lang="en-US" altLang="en-US" sz="800">
                        <a:latin typeface="Times New Roman" pitchFamily="18" charset="0"/>
                        <a:cs typeface="Times New Roman" pitchFamily="18" charset="0"/>
                      </a:rPr>
                      <a:t>9</a:t>
                    </a:r>
                    <a:r>
                      <a:rPr lang="en-US" altLang="en-US"/>
                      <a:t>5,574</a:t>
                    </a:r>
                  </a:p>
                </c:rich>
              </c:tx>
              <c:showVal val="1"/>
            </c:dLbl>
            <c:dLbl>
              <c:idx val="11"/>
              <c:layout>
                <c:manualLayout>
                  <c:x val="0"/>
                  <c:y val="-1.7251516469425084E-2"/>
                </c:manualLayout>
              </c:layout>
              <c:numFmt formatCode="#,##0;[Red]\-#,##0" sourceLinked="0"/>
              <c:spPr/>
              <c:txPr>
                <a:bodyPr/>
                <a:lstStyle/>
                <a:p>
                  <a:pPr>
                    <a:defRPr sz="800" baseline="0">
                      <a:latin typeface="Times New Roman" pitchFamily="18" charset="0"/>
                      <a:cs typeface="Times New Roman" pitchFamily="18" charset="0"/>
                    </a:defRPr>
                  </a:pPr>
                  <a:endParaRPr lang="zh-TW"/>
                </a:p>
              </c:txPr>
              <c:showVal val="1"/>
            </c:dLbl>
            <c:dLbl>
              <c:idx val="13"/>
              <c:numFmt formatCode="#,##0;[Red]\-#,##0" sourceLinked="0"/>
              <c:spPr/>
              <c:txPr>
                <a:bodyPr/>
                <a:lstStyle/>
                <a:p>
                  <a:pPr>
                    <a:defRPr sz="800" baseline="0">
                      <a:latin typeface="Times New Roman" pitchFamily="18" charset="0"/>
                      <a:cs typeface="Times New Roman" pitchFamily="18" charset="0"/>
                    </a:defRPr>
                  </a:pPr>
                  <a:endParaRPr lang="zh-TW"/>
                </a:p>
              </c:txPr>
            </c:dLbl>
            <c:dLbl>
              <c:idx val="20"/>
              <c:layout>
                <c:manualLayout>
                  <c:x val="0"/>
                  <c:y val="-0.25877274704137626"/>
                </c:manualLayout>
              </c:layout>
              <c:tx>
                <c:rich>
                  <a:bodyPr/>
                  <a:lstStyle/>
                  <a:p>
                    <a:r>
                      <a:rPr lang="en-US" altLang="en-US" sz="800">
                        <a:latin typeface="Times New Roman" pitchFamily="18" charset="0"/>
                        <a:cs typeface="Times New Roman" pitchFamily="18" charset="0"/>
                      </a:rPr>
                      <a:t>1</a:t>
                    </a:r>
                    <a:r>
                      <a:rPr lang="en-US" altLang="en-US"/>
                      <a:t>03,057</a:t>
                    </a:r>
                  </a:p>
                </c:rich>
              </c:tx>
              <c:showVal val="1"/>
            </c:dLbl>
            <c:dLbl>
              <c:idx val="21"/>
              <c:layout>
                <c:manualLayout>
                  <c:x val="1.2154360376785171E-3"/>
                  <c:y val="-2.3002021959233437E-2"/>
                </c:manualLayout>
              </c:layout>
              <c:tx>
                <c:rich>
                  <a:bodyPr/>
                  <a:lstStyle/>
                  <a:p>
                    <a:r>
                      <a:rPr lang="en-US" altLang="en-US" sz="800">
                        <a:latin typeface="Times New Roman" pitchFamily="18" charset="0"/>
                        <a:cs typeface="Times New Roman" pitchFamily="18" charset="0"/>
                      </a:rPr>
                      <a:t>1</a:t>
                    </a:r>
                    <a:r>
                      <a:rPr lang="en-US" altLang="en-US"/>
                      <a:t>7,021</a:t>
                    </a:r>
                  </a:p>
                </c:rich>
              </c:tx>
              <c:showVal val="1"/>
            </c:dLbl>
            <c:dLbl>
              <c:idx val="30"/>
              <c:layout>
                <c:manualLayout>
                  <c:x val="2.4308720753570341E-3"/>
                  <c:y val="-0.23838055049105616"/>
                </c:manualLayout>
              </c:layout>
              <c:numFmt formatCode="#,##0;[Red]\-#,##0" sourceLinked="0"/>
              <c:spPr/>
              <c:txPr>
                <a:bodyPr/>
                <a:lstStyle/>
                <a:p>
                  <a:pPr>
                    <a:defRPr sz="800" baseline="0">
                      <a:latin typeface="Times New Roman" pitchFamily="18" charset="0"/>
                      <a:cs typeface="Times New Roman" pitchFamily="18" charset="0"/>
                    </a:defRPr>
                  </a:pPr>
                  <a:endParaRPr lang="zh-TW"/>
                </a:p>
              </c:txPr>
              <c:showVal val="1"/>
            </c:dLbl>
            <c:dLbl>
              <c:idx val="31"/>
              <c:numFmt formatCode="#,##0;[Red]\-#,##0" sourceLinked="0"/>
              <c:spPr/>
              <c:txPr>
                <a:bodyPr/>
                <a:lstStyle/>
                <a:p>
                  <a:pPr>
                    <a:defRPr sz="800" baseline="0">
                      <a:latin typeface="Times New Roman" pitchFamily="18" charset="0"/>
                      <a:cs typeface="Times New Roman" pitchFamily="18" charset="0"/>
                    </a:defRPr>
                  </a:pPr>
                  <a:endParaRPr lang="zh-TW"/>
                </a:p>
              </c:txPr>
              <c:showVal val="1"/>
            </c:dLbl>
            <c:dLbl>
              <c:idx val="32"/>
              <c:layout>
                <c:manualLayout>
                  <c:x val="2.4308720753570341E-3"/>
                  <c:y val="-0.24439648331685657"/>
                </c:manualLayout>
              </c:layout>
              <c:numFmt formatCode="#,##0;[Red]\-#,##0" sourceLinked="0"/>
              <c:spPr/>
              <c:txPr>
                <a:bodyPr/>
                <a:lstStyle/>
                <a:p>
                  <a:pPr>
                    <a:defRPr sz="800" baseline="0">
                      <a:latin typeface="Times New Roman" pitchFamily="18" charset="0"/>
                      <a:cs typeface="Times New Roman" pitchFamily="18" charset="0"/>
                    </a:defRPr>
                  </a:pPr>
                  <a:endParaRPr lang="zh-TW"/>
                </a:p>
              </c:txPr>
              <c:showVal val="1"/>
            </c:dLbl>
            <c:dLbl>
              <c:idx val="33"/>
              <c:numFmt formatCode="#,##0;[Red]\-#,##0" sourceLinked="0"/>
              <c:spPr/>
              <c:txPr>
                <a:bodyPr/>
                <a:lstStyle/>
                <a:p>
                  <a:pPr>
                    <a:defRPr sz="800" baseline="0">
                      <a:latin typeface="Times New Roman" pitchFamily="18" charset="0"/>
                      <a:cs typeface="Times New Roman" pitchFamily="18" charset="0"/>
                    </a:defRPr>
                  </a:pPr>
                  <a:endParaRPr lang="zh-TW"/>
                </a:p>
              </c:txPr>
              <c:showVal val="1"/>
            </c:dLbl>
            <c:delete val="1"/>
            <c:txPr>
              <a:bodyPr/>
              <a:lstStyle/>
              <a:p>
                <a:pPr>
                  <a:defRPr sz="800">
                    <a:latin typeface="Times New Roman" pitchFamily="18" charset="0"/>
                    <a:cs typeface="Times New Roman" pitchFamily="18" charset="0"/>
                  </a:defRPr>
                </a:pPr>
                <a:endParaRPr lang="zh-TW"/>
              </a:p>
            </c:txPr>
          </c:dLbls>
          <c:cat>
            <c:numRef>
              <c:f>圖24!$Q$2:$AL$2</c:f>
              <c:numCache>
                <c:formatCode>General</c:formatCode>
                <c:ptCount val="22"/>
                <c:pt idx="0">
                  <c:v>2001</c:v>
                </c:pt>
                <c:pt idx="2">
                  <c:v>2002</c:v>
                </c:pt>
                <c:pt idx="4">
                  <c:v>2003</c:v>
                </c:pt>
                <c:pt idx="6">
                  <c:v>2004</c:v>
                </c:pt>
                <c:pt idx="8">
                  <c:v>2005</c:v>
                </c:pt>
                <c:pt idx="10">
                  <c:v>2006</c:v>
                </c:pt>
                <c:pt idx="12">
                  <c:v>2007</c:v>
                </c:pt>
                <c:pt idx="14">
                  <c:v>2008</c:v>
                </c:pt>
                <c:pt idx="16">
                  <c:v>2009</c:v>
                </c:pt>
                <c:pt idx="18">
                  <c:v>2010</c:v>
                </c:pt>
                <c:pt idx="20">
                  <c:v>2011</c:v>
                </c:pt>
              </c:numCache>
            </c:numRef>
          </c:cat>
          <c:val>
            <c:numRef>
              <c:f>圖24!$Q$4:$AL$4</c:f>
              <c:numCache>
                <c:formatCode>General</c:formatCode>
                <c:ptCount val="22"/>
                <c:pt idx="0">
                  <c:v>78588</c:v>
                </c:pt>
                <c:pt idx="1">
                  <c:v>13412</c:v>
                </c:pt>
                <c:pt idx="2">
                  <c:v>82740</c:v>
                </c:pt>
                <c:pt idx="3">
                  <c:v>14253</c:v>
                </c:pt>
                <c:pt idx="4">
                  <c:v>86418</c:v>
                </c:pt>
                <c:pt idx="5">
                  <c:v>14571</c:v>
                </c:pt>
                <c:pt idx="6">
                  <c:v>92102</c:v>
                </c:pt>
                <c:pt idx="7">
                  <c:v>15262</c:v>
                </c:pt>
                <c:pt idx="8">
                  <c:v>94358</c:v>
                </c:pt>
                <c:pt idx="9">
                  <c:v>15952</c:v>
                </c:pt>
                <c:pt idx="10">
                  <c:v>95574</c:v>
                </c:pt>
                <c:pt idx="11">
                  <c:v>16439</c:v>
                </c:pt>
                <c:pt idx="12">
                  <c:v>97126</c:v>
                </c:pt>
                <c:pt idx="13">
                  <c:v>16623</c:v>
                </c:pt>
                <c:pt idx="14">
                  <c:v>98550</c:v>
                </c:pt>
                <c:pt idx="15">
                  <c:v>16916</c:v>
                </c:pt>
                <c:pt idx="16">
                  <c:v>100489</c:v>
                </c:pt>
                <c:pt idx="17">
                  <c:v>16948</c:v>
                </c:pt>
                <c:pt idx="18">
                  <c:v>101866</c:v>
                </c:pt>
                <c:pt idx="19">
                  <c:v>17188</c:v>
                </c:pt>
                <c:pt idx="20">
                  <c:v>103057</c:v>
                </c:pt>
                <c:pt idx="21">
                  <c:v>17021</c:v>
                </c:pt>
              </c:numCache>
            </c:numRef>
          </c:val>
        </c:ser>
        <c:ser>
          <c:idx val="1"/>
          <c:order val="1"/>
          <c:tx>
            <c:strRef>
              <c:f>圖24!$P$5</c:f>
              <c:strCache>
                <c:ptCount val="1"/>
                <c:pt idx="0">
                  <c:v>非保險</c:v>
                </c:pt>
              </c:strCache>
            </c:strRef>
          </c:tx>
          <c:spPr>
            <a:solidFill>
              <a:srgbClr val="7030A0"/>
            </a:solidFill>
          </c:spPr>
          <c:dPt>
            <c:idx val="0"/>
            <c:spPr>
              <a:solidFill>
                <a:srgbClr val="FFFF99"/>
              </a:solidFill>
            </c:spPr>
          </c:dPt>
          <c:dPt>
            <c:idx val="2"/>
            <c:spPr>
              <a:solidFill>
                <a:srgbClr val="FFFF99"/>
              </a:solidFill>
            </c:spPr>
          </c:dPt>
          <c:dPt>
            <c:idx val="4"/>
            <c:spPr>
              <a:solidFill>
                <a:srgbClr val="FFFF99"/>
              </a:solidFill>
            </c:spPr>
          </c:dPt>
          <c:dPt>
            <c:idx val="6"/>
            <c:spPr>
              <a:solidFill>
                <a:srgbClr val="FFFF99"/>
              </a:solidFill>
            </c:spPr>
          </c:dPt>
          <c:dPt>
            <c:idx val="8"/>
            <c:spPr>
              <a:solidFill>
                <a:srgbClr val="FFFF99"/>
              </a:solidFill>
            </c:spPr>
          </c:dPt>
          <c:dPt>
            <c:idx val="10"/>
            <c:spPr>
              <a:solidFill>
                <a:srgbClr val="FFFF99"/>
              </a:solidFill>
            </c:spPr>
          </c:dPt>
          <c:dPt>
            <c:idx val="12"/>
            <c:spPr>
              <a:solidFill>
                <a:srgbClr val="FFFF99"/>
              </a:solidFill>
            </c:spPr>
          </c:dPt>
          <c:dPt>
            <c:idx val="14"/>
            <c:spPr>
              <a:solidFill>
                <a:srgbClr val="FFFF99"/>
              </a:solidFill>
            </c:spPr>
          </c:dPt>
          <c:dPt>
            <c:idx val="16"/>
            <c:spPr>
              <a:solidFill>
                <a:srgbClr val="FFFF99"/>
              </a:solidFill>
            </c:spPr>
          </c:dPt>
          <c:dPt>
            <c:idx val="18"/>
            <c:spPr>
              <a:solidFill>
                <a:srgbClr val="FFFF99"/>
              </a:solidFill>
            </c:spPr>
          </c:dPt>
          <c:dPt>
            <c:idx val="20"/>
            <c:spPr>
              <a:solidFill>
                <a:srgbClr val="FFFF99"/>
              </a:solidFill>
            </c:spPr>
          </c:dPt>
          <c:dLbls>
            <c:dLbl>
              <c:idx val="0"/>
              <c:layout>
                <c:manualLayout>
                  <c:x val="5.4170030776609784E-3"/>
                  <c:y val="-7.9563676999994573E-2"/>
                </c:manualLayout>
              </c:layout>
              <c:tx>
                <c:rich>
                  <a:bodyPr/>
                  <a:lstStyle/>
                  <a:p>
                    <a:r>
                      <a:rPr lang="en-US" altLang="en-US" sz="800">
                        <a:latin typeface="Times New Roman" pitchFamily="18" charset="0"/>
                        <a:cs typeface="Times New Roman" pitchFamily="18" charset="0"/>
                      </a:rPr>
                      <a:t>2</a:t>
                    </a:r>
                    <a:r>
                      <a:rPr lang="en-US" altLang="en-US"/>
                      <a:t>2,022</a:t>
                    </a:r>
                  </a:p>
                </c:rich>
              </c:tx>
              <c:showVal val="1"/>
            </c:dLbl>
            <c:dLbl>
              <c:idx val="1"/>
              <c:layout>
                <c:manualLayout>
                  <c:x val="1.3560471588356525E-3"/>
                  <c:y val="-1.7049306504914437E-2"/>
                </c:manualLayout>
              </c:layout>
              <c:showVal val="1"/>
            </c:dLbl>
            <c:dLbl>
              <c:idx val="10"/>
              <c:layout>
                <c:manualLayout>
                  <c:x val="2.3155732511541856E-3"/>
                  <c:y val="-2.6515122241662196E-2"/>
                </c:manualLayout>
              </c:layout>
              <c:tx>
                <c:rich>
                  <a:bodyPr/>
                  <a:lstStyle/>
                  <a:p>
                    <a:r>
                      <a:rPr lang="en-US" altLang="en-US" sz="800">
                        <a:latin typeface="Times New Roman" pitchFamily="18" charset="0"/>
                        <a:cs typeface="Times New Roman" pitchFamily="18" charset="0"/>
                      </a:rPr>
                      <a:t>2</a:t>
                    </a:r>
                    <a:r>
                      <a:rPr lang="en-US" altLang="en-US"/>
                      <a:t>6,503</a:t>
                    </a:r>
                  </a:p>
                </c:rich>
              </c:tx>
              <c:showVal val="1"/>
            </c:dLbl>
            <c:dLbl>
              <c:idx val="11"/>
              <c:layout>
                <c:manualLayout>
                  <c:x val="1.2154360376785171E-3"/>
                  <c:y val="-1.7251516469425084E-2"/>
                </c:manualLayout>
              </c:layout>
              <c:showVal val="1"/>
            </c:dLbl>
            <c:dLbl>
              <c:idx val="20"/>
              <c:layout>
                <c:manualLayout>
                  <c:x val="-1.2154360376785171E-3"/>
                  <c:y val="-8.9132835092030238E-2"/>
                </c:manualLayout>
              </c:layout>
              <c:tx>
                <c:rich>
                  <a:bodyPr/>
                  <a:lstStyle/>
                  <a:p>
                    <a:r>
                      <a:rPr lang="en-US" altLang="en-US" sz="800">
                        <a:latin typeface="Times New Roman" pitchFamily="18" charset="0"/>
                        <a:cs typeface="Times New Roman" pitchFamily="18" charset="0"/>
                      </a:rPr>
                      <a:t>2</a:t>
                    </a:r>
                    <a:r>
                      <a:rPr lang="en-US" altLang="en-US"/>
                      <a:t>5,670</a:t>
                    </a:r>
                  </a:p>
                </c:rich>
              </c:tx>
              <c:showVal val="1"/>
            </c:dLbl>
            <c:dLbl>
              <c:idx val="21"/>
              <c:layout>
                <c:manualLayout>
                  <c:x val="0"/>
                  <c:y val="-2.3002021959233437E-2"/>
                </c:manualLayout>
              </c:layout>
              <c:showVal val="1"/>
            </c:dLbl>
            <c:dLbl>
              <c:idx val="30"/>
              <c:layout>
                <c:manualLayout>
                  <c:x val="-1.2154360376785171E-3"/>
                  <c:y val="-9.88407160572672E-2"/>
                </c:manualLayout>
              </c:layout>
              <c:numFmt formatCode="#,##0;[Red]\-#,##0" sourceLinked="0"/>
              <c:spPr/>
              <c:txPr>
                <a:bodyPr/>
                <a:lstStyle/>
                <a:p>
                  <a:pPr>
                    <a:defRPr sz="800" baseline="0">
                      <a:latin typeface="Times New Roman" pitchFamily="18" charset="0"/>
                      <a:cs typeface="Times New Roman" pitchFamily="18" charset="0"/>
                    </a:defRPr>
                  </a:pPr>
                  <a:endParaRPr lang="zh-TW"/>
                </a:p>
              </c:txPr>
              <c:showVal val="1"/>
            </c:dLbl>
            <c:dLbl>
              <c:idx val="31"/>
              <c:layout>
                <c:manualLayout>
                  <c:x val="1.2154360376785171E-3"/>
                  <c:y val="-2.0349559188260785E-2"/>
                </c:manualLayout>
              </c:layout>
              <c:showVal val="1"/>
            </c:dLbl>
            <c:dLbl>
              <c:idx val="32"/>
              <c:layout>
                <c:manualLayout>
                  <c:x val="0"/>
                  <c:y val="-0.10350909881655049"/>
                </c:manualLayout>
              </c:layout>
              <c:numFmt formatCode="#,##0;[Red]\-#,##0" sourceLinked="0"/>
              <c:spPr/>
              <c:txPr>
                <a:bodyPr/>
                <a:lstStyle/>
                <a:p>
                  <a:pPr>
                    <a:defRPr sz="800" baseline="0">
                      <a:latin typeface="Times New Roman" pitchFamily="18" charset="0"/>
                      <a:cs typeface="Times New Roman" pitchFamily="18" charset="0"/>
                    </a:defRPr>
                  </a:pPr>
                  <a:endParaRPr lang="zh-TW"/>
                </a:p>
              </c:txPr>
              <c:showVal val="1"/>
            </c:dLbl>
            <c:dLbl>
              <c:idx val="33"/>
              <c:layout>
                <c:manualLayout>
                  <c:x val="0"/>
                  <c:y val="-2.8752527449041797E-2"/>
                </c:manualLayout>
              </c:layout>
              <c:showVal val="1"/>
            </c:dLbl>
            <c:delete val="1"/>
            <c:txPr>
              <a:bodyPr/>
              <a:lstStyle/>
              <a:p>
                <a:pPr>
                  <a:defRPr sz="800">
                    <a:latin typeface="Times New Roman" pitchFamily="18" charset="0"/>
                    <a:cs typeface="Times New Roman" pitchFamily="18" charset="0"/>
                  </a:defRPr>
                </a:pPr>
                <a:endParaRPr lang="zh-TW"/>
              </a:p>
            </c:txPr>
          </c:dLbls>
          <c:cat>
            <c:numRef>
              <c:f>圖24!$Q$2:$AL$2</c:f>
              <c:numCache>
                <c:formatCode>General</c:formatCode>
                <c:ptCount val="22"/>
                <c:pt idx="0">
                  <c:v>2001</c:v>
                </c:pt>
                <c:pt idx="2">
                  <c:v>2002</c:v>
                </c:pt>
                <c:pt idx="4">
                  <c:v>2003</c:v>
                </c:pt>
                <c:pt idx="6">
                  <c:v>2004</c:v>
                </c:pt>
                <c:pt idx="8">
                  <c:v>2005</c:v>
                </c:pt>
                <c:pt idx="10">
                  <c:v>2006</c:v>
                </c:pt>
                <c:pt idx="12">
                  <c:v>2007</c:v>
                </c:pt>
                <c:pt idx="14">
                  <c:v>2008</c:v>
                </c:pt>
                <c:pt idx="16">
                  <c:v>2009</c:v>
                </c:pt>
                <c:pt idx="18">
                  <c:v>2010</c:v>
                </c:pt>
                <c:pt idx="20">
                  <c:v>2011</c:v>
                </c:pt>
              </c:numCache>
            </c:numRef>
          </c:cat>
          <c:val>
            <c:numRef>
              <c:f>圖24!$Q$5:$AL$5</c:f>
              <c:numCache>
                <c:formatCode>General</c:formatCode>
                <c:ptCount val="22"/>
                <c:pt idx="0">
                  <c:v>25944</c:v>
                </c:pt>
                <c:pt idx="1">
                  <c:v>635</c:v>
                </c:pt>
                <c:pt idx="2">
                  <c:v>26041</c:v>
                </c:pt>
                <c:pt idx="3">
                  <c:v>698</c:v>
                </c:pt>
                <c:pt idx="4">
                  <c:v>25417</c:v>
                </c:pt>
                <c:pt idx="5">
                  <c:v>634</c:v>
                </c:pt>
                <c:pt idx="6">
                  <c:v>26150</c:v>
                </c:pt>
                <c:pt idx="7">
                  <c:v>554</c:v>
                </c:pt>
                <c:pt idx="8">
                  <c:v>26304</c:v>
                </c:pt>
                <c:pt idx="9">
                  <c:v>675</c:v>
                </c:pt>
                <c:pt idx="10">
                  <c:v>26503</c:v>
                </c:pt>
                <c:pt idx="11">
                  <c:v>782</c:v>
                </c:pt>
                <c:pt idx="12">
                  <c:v>26856</c:v>
                </c:pt>
                <c:pt idx="13">
                  <c:v>765</c:v>
                </c:pt>
                <c:pt idx="14">
                  <c:v>26913</c:v>
                </c:pt>
                <c:pt idx="15">
                  <c:v>742</c:v>
                </c:pt>
                <c:pt idx="16">
                  <c:v>26841</c:v>
                </c:pt>
                <c:pt idx="17">
                  <c:v>516</c:v>
                </c:pt>
                <c:pt idx="18">
                  <c:v>26623</c:v>
                </c:pt>
                <c:pt idx="19">
                  <c:v>510</c:v>
                </c:pt>
                <c:pt idx="20">
                  <c:v>25670</c:v>
                </c:pt>
                <c:pt idx="21">
                  <c:v>629</c:v>
                </c:pt>
              </c:numCache>
            </c:numRef>
          </c:val>
        </c:ser>
        <c:gapWidth val="51"/>
        <c:overlap val="100"/>
        <c:axId val="275992576"/>
        <c:axId val="275994112"/>
      </c:barChart>
      <c:catAx>
        <c:axId val="275992576"/>
        <c:scaling>
          <c:orientation val="minMax"/>
        </c:scaling>
        <c:axPos val="b"/>
        <c:numFmt formatCode="General" sourceLinked="1"/>
        <c:majorTickMark val="in"/>
        <c:tickLblPos val="nextTo"/>
        <c:txPr>
          <a:bodyPr/>
          <a:lstStyle/>
          <a:p>
            <a:pPr>
              <a:defRPr sz="800">
                <a:latin typeface="Times New Roman" pitchFamily="18" charset="0"/>
                <a:cs typeface="Times New Roman" pitchFamily="18" charset="0"/>
              </a:defRPr>
            </a:pPr>
            <a:endParaRPr lang="zh-TW"/>
          </a:p>
        </c:txPr>
        <c:crossAx val="275994112"/>
        <c:crosses val="autoZero"/>
        <c:auto val="1"/>
        <c:lblAlgn val="ctr"/>
        <c:lblOffset val="100"/>
        <c:tickLblSkip val="2"/>
      </c:catAx>
      <c:valAx>
        <c:axId val="275994112"/>
        <c:scaling>
          <c:orientation val="minMax"/>
        </c:scaling>
        <c:axPos val="l"/>
        <c:title>
          <c:tx>
            <c:rich>
              <a:bodyPr rot="0" vert="horz"/>
              <a:lstStyle/>
              <a:p>
                <a:pPr>
                  <a:defRPr sz="800"/>
                </a:pPr>
                <a:r>
                  <a:rPr lang="en-US" altLang="zh-TW" sz="800" b="0">
                    <a:latin typeface="Times New Roman" pitchFamily="18" charset="0"/>
                    <a:ea typeface="標楷體" pitchFamily="65" charset="-120"/>
                    <a:cs typeface="Times New Roman" pitchFamily="18" charset="0"/>
                  </a:rPr>
                  <a:t>Bed</a:t>
                </a:r>
                <a:endParaRPr lang="zh-TW" altLang="en-US" sz="800" b="0">
                  <a:latin typeface="Times New Roman" pitchFamily="18" charset="0"/>
                  <a:ea typeface="標楷體" pitchFamily="65" charset="-120"/>
                  <a:cs typeface="Times New Roman" pitchFamily="18" charset="0"/>
                </a:endParaRPr>
              </a:p>
            </c:rich>
          </c:tx>
          <c:layout>
            <c:manualLayout>
              <c:xMode val="edge"/>
              <c:yMode val="edge"/>
              <c:x val="1.2774488873670524E-2"/>
              <c:y val="0.10430618729866777"/>
            </c:manualLayout>
          </c:layout>
        </c:title>
        <c:numFmt formatCode="#,##0;[Red]\-#,##0" sourceLinked="0"/>
        <c:majorTickMark val="in"/>
        <c:tickLblPos val="nextTo"/>
        <c:txPr>
          <a:bodyPr/>
          <a:lstStyle/>
          <a:p>
            <a:pPr>
              <a:defRPr sz="800">
                <a:latin typeface="Times New Roman" pitchFamily="18" charset="0"/>
                <a:cs typeface="Times New Roman" pitchFamily="18" charset="0"/>
              </a:defRPr>
            </a:pPr>
            <a:endParaRPr lang="zh-TW"/>
          </a:p>
        </c:txPr>
        <c:crossAx val="275992576"/>
        <c:crossesAt val="1"/>
        <c:crossBetween val="between"/>
      </c:valAx>
    </c:plotArea>
    <c:plotVisOnly val="1"/>
  </c:chart>
  <c:spPr>
    <a:ln>
      <a:noFill/>
    </a:ln>
  </c:spPr>
  <c:externalData r:id="rId1"/>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en-US" altLang="zh-TW" sz="1000" b="0" i="0" baseline="0">
                <a:latin typeface="Times New Roman" pitchFamily="18" charset="0"/>
                <a:cs typeface="Times New Roman" pitchFamily="18" charset="0"/>
              </a:rPr>
              <a:t>Figure 25  Beds in Contracted   Medical Care Institutions </a:t>
            </a:r>
          </a:p>
          <a:p>
            <a:pPr>
              <a:defRPr/>
            </a:pPr>
            <a:endParaRPr lang="en-US" altLang="zh-TW" sz="800" b="0" i="0" baseline="0">
              <a:latin typeface="Times New Roman" pitchFamily="18" charset="0"/>
              <a:cs typeface="Times New Roman" pitchFamily="18" charset="0"/>
            </a:endParaRPr>
          </a:p>
          <a:p>
            <a:pPr>
              <a:defRPr/>
            </a:pPr>
            <a:r>
              <a:rPr lang="en-US" altLang="zh-TW" sz="800" b="0" i="0" baseline="0">
                <a:latin typeface="Times New Roman" pitchFamily="18" charset="0"/>
                <a:cs typeface="Times New Roman" pitchFamily="18" charset="0"/>
              </a:rPr>
              <a:t>2011 vs. 2001</a:t>
            </a:r>
            <a:endParaRPr lang="zh-TW" altLang="zh-TW" sz="800">
              <a:latin typeface="Times New Roman" pitchFamily="18" charset="0"/>
              <a:cs typeface="Times New Roman" pitchFamily="18" charset="0"/>
            </a:endParaRPr>
          </a:p>
        </c:rich>
      </c:tx>
      <c:layout>
        <c:manualLayout>
          <c:xMode val="edge"/>
          <c:yMode val="edge"/>
          <c:x val="0.26762011519393408"/>
          <c:y val="1.9359384185862565E-2"/>
        </c:manualLayout>
      </c:layout>
      <c:overlay val="1"/>
    </c:title>
    <c:plotArea>
      <c:layout>
        <c:manualLayout>
          <c:layoutTarget val="inner"/>
          <c:xMode val="edge"/>
          <c:yMode val="edge"/>
          <c:x val="5.3612814057383593E-2"/>
          <c:y val="0.20940150125152998"/>
          <c:w val="0.82629519816942065"/>
          <c:h val="0.6366298651737613"/>
        </c:manualLayout>
      </c:layout>
      <c:scatterChart>
        <c:scatterStyle val="lineMarker"/>
        <c:ser>
          <c:idx val="0"/>
          <c:order val="0"/>
          <c:spPr>
            <a:ln w="38100">
              <a:noFill/>
            </a:ln>
          </c:spPr>
          <c:marker>
            <c:symbol val="circle"/>
            <c:size val="8"/>
            <c:spPr>
              <a:solidFill>
                <a:schemeClr val="accent6">
                  <a:lumMod val="75000"/>
                </a:schemeClr>
              </a:solidFill>
              <a:ln>
                <a:solidFill>
                  <a:srgbClr val="000080"/>
                </a:solidFill>
                <a:prstDash val="solid"/>
              </a:ln>
            </c:spPr>
          </c:marker>
          <c:dPt>
            <c:idx val="0"/>
            <c:marker>
              <c:spPr>
                <a:solidFill>
                  <a:srgbClr val="95B3D7"/>
                </a:solidFill>
                <a:ln>
                  <a:solidFill>
                    <a:srgbClr val="95B3D7"/>
                  </a:solidFill>
                  <a:prstDash val="solid"/>
                </a:ln>
              </c:spPr>
            </c:marker>
          </c:dPt>
          <c:dPt>
            <c:idx val="1"/>
            <c:marker>
              <c:spPr>
                <a:solidFill>
                  <a:srgbClr val="C3D69B"/>
                </a:solidFill>
                <a:ln>
                  <a:solidFill>
                    <a:srgbClr val="C3D69B"/>
                  </a:solidFill>
                  <a:prstDash val="solid"/>
                </a:ln>
              </c:spPr>
            </c:marker>
          </c:dPt>
          <c:dPt>
            <c:idx val="2"/>
            <c:marker>
              <c:spPr>
                <a:solidFill>
                  <a:srgbClr val="B3A2C7"/>
                </a:solidFill>
                <a:ln>
                  <a:solidFill>
                    <a:srgbClr val="B3A2C7"/>
                  </a:solidFill>
                  <a:prstDash val="solid"/>
                </a:ln>
              </c:spPr>
            </c:marker>
          </c:dPt>
          <c:dPt>
            <c:idx val="3"/>
            <c:marker>
              <c:spPr>
                <a:solidFill>
                  <a:srgbClr val="F3B7E2"/>
                </a:solidFill>
                <a:ln>
                  <a:solidFill>
                    <a:srgbClr val="F3B7E2"/>
                  </a:solidFill>
                  <a:prstDash val="solid"/>
                </a:ln>
              </c:spPr>
            </c:marker>
          </c:dPt>
          <c:xVal>
            <c:numRef>
              <c:f>'圖25-data'!$D$24:$G$24</c:f>
              <c:numCache>
                <c:formatCode>0.0_ </c:formatCode>
                <c:ptCount val="4"/>
                <c:pt idx="0">
                  <c:v>-2.1096601661489087</c:v>
                </c:pt>
                <c:pt idx="1">
                  <c:v>5.3298355758938465</c:v>
                </c:pt>
                <c:pt idx="2">
                  <c:v>-6.6005843632514765</c:v>
                </c:pt>
                <c:pt idx="3">
                  <c:v>3.3804089535065578</c:v>
                </c:pt>
              </c:numCache>
            </c:numRef>
          </c:xVal>
          <c:yVal>
            <c:numRef>
              <c:f>'圖25-data'!$D$25:$G$25</c:f>
              <c:numCache>
                <c:formatCode>0.0_ </c:formatCode>
                <c:ptCount val="4"/>
                <c:pt idx="0">
                  <c:v>1.1256647765294236</c:v>
                </c:pt>
                <c:pt idx="1">
                  <c:v>1.4346275244425075</c:v>
                </c:pt>
                <c:pt idx="2">
                  <c:v>1.0110951874624354</c:v>
                </c:pt>
                <c:pt idx="3">
                  <c:v>1.8564424890006301</c:v>
                </c:pt>
              </c:numCache>
            </c:numRef>
          </c:yVal>
        </c:ser>
        <c:axId val="276034688"/>
        <c:axId val="276036224"/>
      </c:scatterChart>
      <c:valAx>
        <c:axId val="276034688"/>
        <c:scaling>
          <c:orientation val="minMax"/>
          <c:max val="7"/>
          <c:min val="-11"/>
        </c:scaling>
        <c:axPos val="b"/>
        <c:numFmt formatCode="0.0_ " sourceLinked="1"/>
        <c:majorTickMark val="in"/>
        <c:tickLblPos val="nextTo"/>
        <c:spPr>
          <a:ln w="3175">
            <a:solidFill>
              <a:srgbClr val="000000"/>
            </a:solidFill>
            <a:prstDash val="solid"/>
          </a:ln>
        </c:spPr>
        <c:txPr>
          <a:bodyPr rot="0" vert="horz"/>
          <a:lstStyle/>
          <a:p>
            <a:pPr>
              <a:defRPr sz="800" b="0" i="0" u="none" strike="noStrike" baseline="0">
                <a:solidFill>
                  <a:srgbClr val="000000"/>
                </a:solidFill>
                <a:latin typeface="Times New Roman" pitchFamily="18" charset="0"/>
                <a:ea typeface="標楷體"/>
                <a:cs typeface="Times New Roman" pitchFamily="18" charset="0"/>
              </a:defRPr>
            </a:pPr>
            <a:endParaRPr lang="zh-TW"/>
          </a:p>
        </c:txPr>
        <c:crossAx val="276036224"/>
        <c:crossesAt val="1.3"/>
        <c:crossBetween val="midCat"/>
        <c:majorUnit val="2"/>
      </c:valAx>
      <c:valAx>
        <c:axId val="276036224"/>
        <c:scaling>
          <c:orientation val="minMax"/>
          <c:max val="2.6"/>
          <c:min val="0.8"/>
        </c:scaling>
        <c:axPos val="l"/>
        <c:numFmt formatCode="0.0_ " sourceLinked="1"/>
        <c:majorTickMark val="in"/>
        <c:tickLblPos val="nextTo"/>
        <c:spPr>
          <a:ln w="3175">
            <a:solidFill>
              <a:srgbClr val="000000"/>
            </a:solidFill>
            <a:prstDash val="solid"/>
          </a:ln>
        </c:spPr>
        <c:txPr>
          <a:bodyPr rot="0" vert="horz"/>
          <a:lstStyle/>
          <a:p>
            <a:pPr>
              <a:defRPr sz="800" b="0" i="0" u="none" strike="noStrike" baseline="0">
                <a:solidFill>
                  <a:srgbClr val="000000"/>
                </a:solidFill>
                <a:latin typeface="Times New Roman" pitchFamily="18" charset="0"/>
                <a:ea typeface="標楷體"/>
                <a:cs typeface="Times New Roman" pitchFamily="18" charset="0"/>
              </a:defRPr>
            </a:pPr>
            <a:endParaRPr lang="zh-TW"/>
          </a:p>
        </c:txPr>
        <c:crossAx val="276034688"/>
        <c:crossesAt val="0.60000000000000064"/>
        <c:crossBetween val="midCat"/>
        <c:majorUnit val="0.2"/>
      </c:valAx>
      <c:spPr>
        <a:noFill/>
        <a:ln w="25400">
          <a:noFill/>
        </a:ln>
      </c:spPr>
    </c:plotArea>
    <c:plotVisOnly val="1"/>
    <c:dispBlanksAs val="gap"/>
  </c:chart>
  <c:spPr>
    <a:noFill/>
    <a:ln w="12700">
      <a:noFill/>
    </a:ln>
  </c:spPr>
  <c:txPr>
    <a:bodyPr/>
    <a:lstStyle/>
    <a:p>
      <a:pPr>
        <a:defRPr sz="1200" b="0" i="0" u="none" strike="noStrike" baseline="0">
          <a:solidFill>
            <a:srgbClr val="000000"/>
          </a:solidFill>
          <a:latin typeface="標楷體"/>
          <a:ea typeface="標楷體"/>
          <a:cs typeface="標楷體"/>
        </a:defRPr>
      </a:pPr>
      <a:endParaRPr lang="zh-TW"/>
    </a:p>
  </c:txPr>
  <c:externalData r:id="rId1"/>
  <c:userShapes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AngAx val="1"/>
    </c:view3D>
    <c:plotArea>
      <c:layout>
        <c:manualLayout>
          <c:layoutTarget val="inner"/>
          <c:xMode val="edge"/>
          <c:yMode val="edge"/>
          <c:x val="6.0360115412241809E-2"/>
          <c:y val="0.21415886025050812"/>
          <c:w val="0.72962525517643706"/>
          <c:h val="0.65086131598019781"/>
        </c:manualLayout>
      </c:layout>
      <c:bar3DChart>
        <c:barDir val="col"/>
        <c:grouping val="stacked"/>
        <c:ser>
          <c:idx val="0"/>
          <c:order val="0"/>
          <c:tx>
            <c:strRef>
              <c:f>圖26!$B$36:$D$36</c:f>
              <c:strCache>
                <c:ptCount val="1"/>
              </c:strCache>
            </c:strRef>
          </c:tx>
          <c:cat>
            <c:strRef>
              <c:f>圖26!$E$35:$K$35</c:f>
              <c:strCache>
                <c:ptCount val="7"/>
                <c:pt idx="0">
                  <c:v>Total</c:v>
                </c:pt>
                <c:pt idx="3">
                  <c:v>Acute
 Beds</c:v>
                </c:pt>
                <c:pt idx="6">
                  <c:v>Chronic Beds</c:v>
                </c:pt>
              </c:strCache>
            </c:strRef>
          </c:cat>
          <c:val>
            <c:numRef>
              <c:f>圖26!$E$36:$L$36</c:f>
              <c:numCache>
                <c:formatCode>General</c:formatCode>
                <c:ptCount val="8"/>
              </c:numCache>
            </c:numRef>
          </c:val>
        </c:ser>
        <c:ser>
          <c:idx val="1"/>
          <c:order val="1"/>
          <c:tx>
            <c:strRef>
              <c:f>圖26!$B$37:$D$37</c:f>
              <c:strCache>
                <c:ptCount val="1"/>
              </c:strCache>
            </c:strRef>
          </c:tx>
          <c:cat>
            <c:strRef>
              <c:f>圖26!$E$35:$K$35</c:f>
              <c:strCache>
                <c:ptCount val="7"/>
                <c:pt idx="0">
                  <c:v>Total</c:v>
                </c:pt>
                <c:pt idx="3">
                  <c:v>Acute
 Beds</c:v>
                </c:pt>
                <c:pt idx="6">
                  <c:v>Chronic Beds</c:v>
                </c:pt>
              </c:strCache>
            </c:strRef>
          </c:cat>
          <c:val>
            <c:numRef>
              <c:f>圖26!$E$37:$L$37</c:f>
              <c:numCache>
                <c:formatCode>General</c:formatCode>
                <c:ptCount val="8"/>
              </c:numCache>
            </c:numRef>
          </c:val>
        </c:ser>
        <c:ser>
          <c:idx val="2"/>
          <c:order val="2"/>
          <c:tx>
            <c:strRef>
              <c:f>圖26!$B$38:$D$38</c:f>
              <c:strCache>
                <c:ptCount val="1"/>
                <c:pt idx="0">
                  <c:v>保險病床</c:v>
                </c:pt>
              </c:strCache>
            </c:strRef>
          </c:tx>
          <c:spPr>
            <a:solidFill>
              <a:srgbClr val="D7E4BD"/>
            </a:solidFill>
          </c:spPr>
          <c:dPt>
            <c:idx val="1"/>
            <c:spPr>
              <a:solidFill>
                <a:srgbClr val="E0CAEC"/>
              </a:solidFill>
            </c:spPr>
          </c:dPt>
          <c:dPt>
            <c:idx val="4"/>
            <c:spPr>
              <a:solidFill>
                <a:srgbClr val="E0CAEC"/>
              </a:solidFill>
            </c:spPr>
          </c:dPt>
          <c:dPt>
            <c:idx val="7"/>
            <c:spPr>
              <a:solidFill>
                <a:srgbClr val="E0CAEC"/>
              </a:solidFill>
            </c:spPr>
          </c:dPt>
          <c:dLbls>
            <c:txPr>
              <a:bodyPr/>
              <a:lstStyle/>
              <a:p>
                <a:pPr>
                  <a:defRPr sz="800">
                    <a:latin typeface="Times New Roman" pitchFamily="18" charset="0"/>
                    <a:cs typeface="Times New Roman" pitchFamily="18" charset="0"/>
                  </a:defRPr>
                </a:pPr>
                <a:endParaRPr lang="zh-TW"/>
              </a:p>
            </c:txPr>
            <c:showVal val="1"/>
          </c:dLbls>
          <c:cat>
            <c:strRef>
              <c:f>圖26!$E$35:$K$35</c:f>
              <c:strCache>
                <c:ptCount val="7"/>
                <c:pt idx="0">
                  <c:v>Total</c:v>
                </c:pt>
                <c:pt idx="3">
                  <c:v>Acute
 Beds</c:v>
                </c:pt>
                <c:pt idx="6">
                  <c:v>Chronic Beds</c:v>
                </c:pt>
              </c:strCache>
            </c:strRef>
          </c:cat>
          <c:val>
            <c:numRef>
              <c:f>圖26!$E$38:$L$38</c:f>
              <c:numCache>
                <c:formatCode>General</c:formatCode>
                <c:ptCount val="8"/>
                <c:pt idx="0" formatCode="0.00_ ">
                  <c:v>82.03</c:v>
                </c:pt>
                <c:pt idx="1">
                  <c:v>80.410000000000025</c:v>
                </c:pt>
                <c:pt idx="3" formatCode="0.00_ ">
                  <c:v>73.765214458717949</c:v>
                </c:pt>
                <c:pt idx="4" formatCode="0.00_ ">
                  <c:v>78.290000000000006</c:v>
                </c:pt>
                <c:pt idx="6" formatCode="0.00_ ">
                  <c:v>96.436260623229543</c:v>
                </c:pt>
                <c:pt idx="7" formatCode="0.00_ ">
                  <c:v>95.460000000000022</c:v>
                </c:pt>
              </c:numCache>
            </c:numRef>
          </c:val>
        </c:ser>
        <c:ser>
          <c:idx val="3"/>
          <c:order val="3"/>
          <c:tx>
            <c:strRef>
              <c:f>圖26!$B$39:$D$39</c:f>
              <c:strCache>
                <c:ptCount val="1"/>
                <c:pt idx="0">
                  <c:v>差額病床</c:v>
                </c:pt>
              </c:strCache>
            </c:strRef>
          </c:tx>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dPt>
            <c:idx val="0"/>
            <c:spPr>
              <a:solidFill>
                <a:srgbClr val="FFFF99"/>
              </a:solidFill>
            </c:spPr>
          </c:dPt>
          <c:dPt>
            <c:idx val="1"/>
            <c:spPr>
              <a:solidFill>
                <a:srgbClr val="FFB7FF"/>
              </a:solidFill>
            </c:spPr>
          </c:dPt>
          <c:dPt>
            <c:idx val="3"/>
            <c:spPr>
              <a:solidFill>
                <a:srgbClr val="FFFF99"/>
              </a:solidFill>
            </c:spPr>
          </c:dPt>
          <c:dPt>
            <c:idx val="4"/>
            <c:spPr>
              <a:solidFill>
                <a:srgbClr val="FFB7FF"/>
              </a:solidFill>
            </c:spPr>
          </c:dPt>
          <c:dPt>
            <c:idx val="6"/>
            <c:spPr>
              <a:solidFill>
                <a:srgbClr val="FFFF99"/>
              </a:solidFill>
            </c:spPr>
          </c:dPt>
          <c:dPt>
            <c:idx val="7"/>
            <c:spPr>
              <a:solidFill>
                <a:srgbClr val="FFB7FF"/>
              </a:solidFill>
            </c:spPr>
          </c:dPt>
          <c:dLbls>
            <c:txPr>
              <a:bodyPr/>
              <a:lstStyle/>
              <a:p>
                <a:pPr>
                  <a:defRPr sz="800">
                    <a:latin typeface="Times New Roman" pitchFamily="18" charset="0"/>
                    <a:cs typeface="Times New Roman" pitchFamily="18" charset="0"/>
                  </a:defRPr>
                </a:pPr>
                <a:endParaRPr lang="zh-TW"/>
              </a:p>
            </c:txPr>
            <c:showVal val="1"/>
          </c:dLbls>
          <c:cat>
            <c:strRef>
              <c:f>圖26!$E$35:$K$35</c:f>
              <c:strCache>
                <c:ptCount val="7"/>
                <c:pt idx="0">
                  <c:v>Total</c:v>
                </c:pt>
                <c:pt idx="3">
                  <c:v>Acute
 Beds</c:v>
                </c:pt>
                <c:pt idx="6">
                  <c:v>Chronic Beds</c:v>
                </c:pt>
              </c:strCache>
            </c:strRef>
          </c:cat>
          <c:val>
            <c:numRef>
              <c:f>圖26!$E$39:$L$39</c:f>
              <c:numCache>
                <c:formatCode>General</c:formatCode>
                <c:ptCount val="8"/>
                <c:pt idx="0" formatCode="0.00_ ">
                  <c:v>17.97</c:v>
                </c:pt>
                <c:pt idx="1">
                  <c:v>19.59</c:v>
                </c:pt>
                <c:pt idx="3" formatCode="0.00_ ">
                  <c:v>26.23478554128215</c:v>
                </c:pt>
                <c:pt idx="4" formatCode="0.00_ ">
                  <c:v>21.71</c:v>
                </c:pt>
                <c:pt idx="6" formatCode="0.00_ ">
                  <c:v>3.5637393767705445</c:v>
                </c:pt>
                <c:pt idx="7" formatCode="0.00_ ">
                  <c:v>4.54</c:v>
                </c:pt>
              </c:numCache>
            </c:numRef>
          </c:val>
        </c:ser>
        <c:gapWidth val="21"/>
        <c:shape val="box"/>
        <c:axId val="277034112"/>
        <c:axId val="277035648"/>
        <c:axId val="0"/>
      </c:bar3DChart>
      <c:catAx>
        <c:axId val="277034112"/>
        <c:scaling>
          <c:orientation val="minMax"/>
        </c:scaling>
        <c:axPos val="b"/>
        <c:majorTickMark val="in"/>
        <c:tickLblPos val="nextTo"/>
        <c:txPr>
          <a:bodyPr/>
          <a:lstStyle/>
          <a:p>
            <a:pPr>
              <a:defRPr sz="800">
                <a:latin typeface="Times New Roman" pitchFamily="18" charset="0"/>
                <a:ea typeface="標楷體" pitchFamily="65" charset="-120"/>
                <a:cs typeface="Times New Roman" pitchFamily="18" charset="0"/>
              </a:defRPr>
            </a:pPr>
            <a:endParaRPr lang="zh-TW"/>
          </a:p>
        </c:txPr>
        <c:crossAx val="277035648"/>
        <c:crosses val="autoZero"/>
        <c:auto val="1"/>
        <c:lblAlgn val="ctr"/>
        <c:lblOffset val="100"/>
        <c:tickLblSkip val="1"/>
        <c:tickMarkSkip val="2"/>
      </c:catAx>
      <c:valAx>
        <c:axId val="277035648"/>
        <c:scaling>
          <c:orientation val="minMax"/>
        </c:scaling>
        <c:axPos val="l"/>
        <c:title>
          <c:tx>
            <c:rich>
              <a:bodyPr rot="0" vert="horz"/>
              <a:lstStyle/>
              <a:p>
                <a:pPr>
                  <a:defRPr/>
                </a:pPr>
                <a:r>
                  <a:rPr lang="en-US" altLang="zh-TW" sz="800" b="0">
                    <a:latin typeface="Times New Roman" pitchFamily="18" charset="0"/>
                    <a:cs typeface="Times New Roman" pitchFamily="18" charset="0"/>
                  </a:rPr>
                  <a:t>%</a:t>
                </a:r>
                <a:endParaRPr lang="zh-TW" altLang="en-US" sz="800" b="0">
                  <a:latin typeface="Times New Roman" pitchFamily="18" charset="0"/>
                  <a:cs typeface="Times New Roman" pitchFamily="18" charset="0"/>
                </a:endParaRPr>
              </a:p>
            </c:rich>
          </c:tx>
          <c:layout>
            <c:manualLayout>
              <c:xMode val="edge"/>
              <c:yMode val="edge"/>
              <c:x val="4.9726561904134374E-2"/>
              <c:y val="0.22364715280155201"/>
            </c:manualLayout>
          </c:layout>
        </c:title>
        <c:numFmt formatCode="General" sourceLinked="1"/>
        <c:majorTickMark val="in"/>
        <c:tickLblPos val="nextTo"/>
        <c:txPr>
          <a:bodyPr/>
          <a:lstStyle/>
          <a:p>
            <a:pPr>
              <a:defRPr sz="800">
                <a:latin typeface="Times New Roman" pitchFamily="18" charset="0"/>
                <a:cs typeface="Times New Roman" pitchFamily="18" charset="0"/>
              </a:defRPr>
            </a:pPr>
            <a:endParaRPr lang="zh-TW"/>
          </a:p>
        </c:txPr>
        <c:crossAx val="277034112"/>
        <c:crossesAt val="1"/>
        <c:crossBetween val="between"/>
      </c:valAx>
    </c:plotArea>
    <c:plotVisOnly val="1"/>
  </c:chart>
  <c:spPr>
    <a:noFill/>
    <a:ln>
      <a:noFill/>
    </a:ln>
  </c:spPr>
  <c:externalData r:id="rId1"/>
  <c:userShapes r:id="rId2"/>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en-US" altLang="zh-TW" sz="1000" b="0" i="0" baseline="0">
                <a:latin typeface="Times New Roman" pitchFamily="18" charset="0"/>
                <a:cs typeface="Times New Roman" pitchFamily="18" charset="0"/>
              </a:rPr>
              <a:t>Figure 27  Acute Beds in Contracted Medical Care Institutions by Type of Bed</a:t>
            </a:r>
            <a:endParaRPr lang="zh-TW" altLang="zh-TW" sz="1000" b="1" i="0" baseline="0">
              <a:latin typeface="Times New Roman" pitchFamily="18" charset="0"/>
              <a:cs typeface="Times New Roman" pitchFamily="18" charset="0"/>
            </a:endParaRPr>
          </a:p>
          <a:p>
            <a:pPr>
              <a:defRPr/>
            </a:pPr>
            <a:r>
              <a:rPr lang="en-US" altLang="zh-TW" sz="800" b="0" i="0" baseline="0">
                <a:latin typeface="Times New Roman" pitchFamily="18" charset="0"/>
                <a:cs typeface="Times New Roman" pitchFamily="18" charset="0"/>
              </a:rPr>
              <a:t>2011 vs. 2006</a:t>
            </a:r>
            <a:endParaRPr lang="zh-TW" altLang="zh-TW" sz="800" b="0" i="0" baseline="0">
              <a:latin typeface="Times New Roman" pitchFamily="18" charset="0"/>
              <a:cs typeface="Times New Roman" pitchFamily="18" charset="0"/>
            </a:endParaRPr>
          </a:p>
        </c:rich>
      </c:tx>
      <c:layout>
        <c:manualLayout>
          <c:xMode val="edge"/>
          <c:yMode val="edge"/>
          <c:x val="0.13240740740740792"/>
          <c:y val="4.8831753173710461E-3"/>
        </c:manualLayout>
      </c:layout>
    </c:title>
    <c:plotArea>
      <c:layout>
        <c:manualLayout>
          <c:layoutTarget val="inner"/>
          <c:xMode val="edge"/>
          <c:yMode val="edge"/>
          <c:x val="9.3859179060950745E-2"/>
          <c:y val="0.33021372328459014"/>
          <c:w val="0.75463035870516182"/>
          <c:h val="0.6248767475494148"/>
        </c:manualLayout>
      </c:layout>
      <c:barChart>
        <c:barDir val="col"/>
        <c:grouping val="stacked"/>
        <c:ser>
          <c:idx val="0"/>
          <c:order val="0"/>
          <c:tx>
            <c:strRef>
              <c:f>圖27!$C$25</c:f>
              <c:strCache>
                <c:ptCount val="1"/>
                <c:pt idx="0">
                  <c:v>保險</c:v>
                </c:pt>
              </c:strCache>
            </c:strRef>
          </c:tx>
          <c:spPr>
            <a:solidFill>
              <a:srgbClr val="E0CAEC"/>
            </a:solidFill>
          </c:spPr>
          <c:dPt>
            <c:idx val="2"/>
            <c:spPr>
              <a:solidFill>
                <a:srgbClr val="D7E4BD"/>
              </a:solidFill>
            </c:spPr>
          </c:dPt>
          <c:dLbls>
            <c:dLbl>
              <c:idx val="2"/>
              <c:layout>
                <c:manualLayout>
                  <c:x val="-8.6809200933216698E-3"/>
                  <c:y val="-0.10661867266591676"/>
                </c:manualLayout>
              </c:layout>
              <c:tx>
                <c:rich>
                  <a:bodyPr/>
                  <a:lstStyle/>
                  <a:p>
                    <a:r>
                      <a:rPr lang="en-US" altLang="en-US"/>
                      <a:t>45,733</a:t>
                    </a:r>
                  </a:p>
                </c:rich>
              </c:tx>
              <c:showVal val="1"/>
            </c:dLbl>
            <c:dLbl>
              <c:idx val="3"/>
              <c:layout>
                <c:manualLayout>
                  <c:x val="1.822707057451152E-2"/>
                  <c:y val="-4.6976699341153803E-2"/>
                </c:manualLayout>
              </c:layout>
              <c:showVal val="1"/>
            </c:dLbl>
            <c:dLbl>
              <c:idx val="10"/>
              <c:layout>
                <c:manualLayout>
                  <c:x val="-1.0182517211260573E-3"/>
                  <c:y val="-6.6468647210148904E-2"/>
                </c:manualLayout>
              </c:layout>
              <c:showVal val="1"/>
            </c:dLbl>
            <c:dLbl>
              <c:idx val="11"/>
              <c:layout>
                <c:manualLayout>
                  <c:x val="-1.1288458734324883E-2"/>
                  <c:y val="-5.2866463120681509E-2"/>
                </c:manualLayout>
              </c:layout>
              <c:showVal val="1"/>
            </c:dLbl>
            <c:dLbl>
              <c:idx val="12"/>
              <c:layout>
                <c:manualLayout>
                  <c:x val="1.7947470107903211E-2"/>
                  <c:y val="-4.7722320424232814E-2"/>
                </c:manualLayout>
              </c:layout>
              <c:showVal val="1"/>
            </c:dLbl>
            <c:numFmt formatCode="#,##0;[Red]\-#,##0" sourceLinked="0"/>
            <c:txPr>
              <a:bodyPr/>
              <a:lstStyle/>
              <a:p>
                <a:pPr>
                  <a:defRPr sz="800">
                    <a:latin typeface="Times New Roman" pitchFamily="18" charset="0"/>
                    <a:cs typeface="Times New Roman" pitchFamily="18" charset="0"/>
                  </a:defRPr>
                </a:pPr>
                <a:endParaRPr lang="zh-TW"/>
              </a:p>
            </c:txPr>
            <c:showVal val="1"/>
          </c:dLbls>
          <c:cat>
            <c:strRef>
              <c:f>圖27!$D$23:$AB$24</c:f>
              <c:strCache>
                <c:ptCount val="11"/>
                <c:pt idx="2">
                  <c:v>一般病床</c:v>
                </c:pt>
                <c:pt idx="10">
                  <c:v>洗腎治療床</c:v>
                </c:pt>
              </c:strCache>
            </c:strRef>
          </c:cat>
          <c:val>
            <c:numRef>
              <c:f>圖27!$D$25:$AC$25</c:f>
              <c:numCache>
                <c:formatCode>General</c:formatCode>
                <c:ptCount val="26"/>
                <c:pt idx="2">
                  <c:v>45734</c:v>
                </c:pt>
                <c:pt idx="3">
                  <c:v>43607</c:v>
                </c:pt>
                <c:pt idx="11">
                  <c:v>15890</c:v>
                </c:pt>
                <c:pt idx="12">
                  <c:v>12594</c:v>
                </c:pt>
              </c:numCache>
            </c:numRef>
          </c:val>
        </c:ser>
        <c:ser>
          <c:idx val="1"/>
          <c:order val="1"/>
          <c:tx>
            <c:strRef>
              <c:f>圖27!$C$26</c:f>
              <c:strCache>
                <c:ptCount val="1"/>
                <c:pt idx="0">
                  <c:v>非保險</c:v>
                </c:pt>
              </c:strCache>
            </c:strRef>
          </c:tx>
          <c:spPr>
            <a:solidFill>
              <a:srgbClr val="FF99CC"/>
            </a:solidFill>
          </c:spPr>
          <c:dPt>
            <c:idx val="2"/>
            <c:spPr>
              <a:solidFill>
                <a:srgbClr val="FFFF99"/>
              </a:solidFill>
            </c:spPr>
          </c:dPt>
          <c:dPt>
            <c:idx val="3"/>
            <c:spPr>
              <a:solidFill>
                <a:srgbClr val="F3B7E2"/>
              </a:solidFill>
            </c:spPr>
          </c:dPt>
          <c:dLbls>
            <c:dLbl>
              <c:idx val="2"/>
              <c:layout>
                <c:manualLayout>
                  <c:x val="-6.9444444444444545E-3"/>
                  <c:y val="-0.11728041137714929"/>
                </c:manualLayout>
              </c:layout>
              <c:showVal val="1"/>
            </c:dLbl>
            <c:dLbl>
              <c:idx val="3"/>
              <c:layout>
                <c:manualLayout>
                  <c:x val="2.6192038495188103E-2"/>
                  <c:y val="-0.12794215008838206"/>
                </c:manualLayout>
              </c:layout>
              <c:showVal val="1"/>
            </c:dLbl>
            <c:dLbl>
              <c:idx val="10"/>
              <c:delete val="1"/>
            </c:dLbl>
            <c:dLbl>
              <c:idx val="11"/>
              <c:delete val="1"/>
            </c:dLbl>
            <c:dLbl>
              <c:idx val="12"/>
              <c:delete val="1"/>
            </c:dLbl>
            <c:numFmt formatCode="#,##0;[Red]\-#,##0" sourceLinked="0"/>
            <c:txPr>
              <a:bodyPr/>
              <a:lstStyle/>
              <a:p>
                <a:pPr>
                  <a:defRPr sz="800" baseline="0">
                    <a:latin typeface="Times New Roman" pitchFamily="18" charset="0"/>
                  </a:defRPr>
                </a:pPr>
                <a:endParaRPr lang="zh-TW"/>
              </a:p>
            </c:txPr>
            <c:showVal val="1"/>
          </c:dLbls>
          <c:cat>
            <c:strRef>
              <c:f>圖27!$D$23:$AB$24</c:f>
              <c:strCache>
                <c:ptCount val="11"/>
                <c:pt idx="2">
                  <c:v>一般病床</c:v>
                </c:pt>
                <c:pt idx="10">
                  <c:v>洗腎治療床</c:v>
                </c:pt>
              </c:strCache>
            </c:strRef>
          </c:cat>
          <c:val>
            <c:numRef>
              <c:f>圖27!$D$26:$AC$26</c:f>
              <c:numCache>
                <c:formatCode>General</c:formatCode>
                <c:ptCount val="26"/>
                <c:pt idx="2">
                  <c:v>25064</c:v>
                </c:pt>
                <c:pt idx="3">
                  <c:v>25946</c:v>
                </c:pt>
                <c:pt idx="11">
                  <c:v>0</c:v>
                </c:pt>
                <c:pt idx="12">
                  <c:v>0</c:v>
                </c:pt>
              </c:numCache>
            </c:numRef>
          </c:val>
        </c:ser>
        <c:gapWidth val="0"/>
        <c:overlap val="100"/>
        <c:axId val="277066496"/>
        <c:axId val="277068032"/>
      </c:barChart>
      <c:catAx>
        <c:axId val="277066496"/>
        <c:scaling>
          <c:orientation val="minMax"/>
        </c:scaling>
        <c:delete val="1"/>
        <c:axPos val="b"/>
        <c:tickLblPos val="none"/>
        <c:crossAx val="277068032"/>
        <c:crosses val="autoZero"/>
        <c:auto val="1"/>
        <c:lblAlgn val="ctr"/>
        <c:lblOffset val="80"/>
        <c:tickMarkSkip val="1"/>
      </c:catAx>
      <c:valAx>
        <c:axId val="277068032"/>
        <c:scaling>
          <c:orientation val="minMax"/>
          <c:min val="10000"/>
        </c:scaling>
        <c:axPos val="l"/>
        <c:title>
          <c:tx>
            <c:rich>
              <a:bodyPr rot="0" vert="horz"/>
              <a:lstStyle/>
              <a:p>
                <a:pPr>
                  <a:defRPr sz="800"/>
                </a:pPr>
                <a:r>
                  <a:rPr lang="en-US" altLang="zh-TW" sz="800" b="0">
                    <a:latin typeface="Times New Roman" pitchFamily="18" charset="0"/>
                    <a:ea typeface="標楷體" pitchFamily="65" charset="-120"/>
                    <a:cs typeface="Times New Roman" pitchFamily="18" charset="0"/>
                  </a:rPr>
                  <a:t>Bed</a:t>
                </a:r>
                <a:endParaRPr lang="zh-TW" altLang="en-US" sz="800" b="0">
                  <a:latin typeface="Times New Roman" pitchFamily="18" charset="0"/>
                  <a:ea typeface="標楷體" pitchFamily="65" charset="-120"/>
                  <a:cs typeface="Times New Roman" pitchFamily="18" charset="0"/>
                </a:endParaRPr>
              </a:p>
            </c:rich>
          </c:tx>
          <c:layout>
            <c:manualLayout>
              <c:xMode val="edge"/>
              <c:yMode val="edge"/>
              <c:x val="3.4397965879265163E-2"/>
              <c:y val="0.18940253896834341"/>
            </c:manualLayout>
          </c:layout>
        </c:title>
        <c:numFmt formatCode="#,##0;[Red]\-#,##0" sourceLinked="0"/>
        <c:majorTickMark val="in"/>
        <c:tickLblPos val="nextTo"/>
        <c:txPr>
          <a:bodyPr/>
          <a:lstStyle/>
          <a:p>
            <a:pPr>
              <a:defRPr sz="800">
                <a:latin typeface="Times New Roman" pitchFamily="18" charset="0"/>
                <a:cs typeface="Times New Roman" pitchFamily="18" charset="0"/>
              </a:defRPr>
            </a:pPr>
            <a:endParaRPr lang="zh-TW"/>
          </a:p>
        </c:txPr>
        <c:crossAx val="277066496"/>
        <c:crosses val="autoZero"/>
        <c:crossBetween val="between"/>
        <c:majorUnit val="20000"/>
      </c:valAx>
      <c:spPr>
        <a:ln>
          <a:noFill/>
        </a:ln>
      </c:spPr>
    </c:plotArea>
    <c:plotVisOnly val="1"/>
  </c:chart>
  <c:spPr>
    <a:noFill/>
    <a:ln>
      <a:noFill/>
    </a:ln>
  </c:spPr>
  <c:externalData r:id="rId1"/>
  <c:userShapes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zh-TW"/>
  <c:chart>
    <c:autoTitleDeleted val="1"/>
    <c:plotArea>
      <c:layout>
        <c:manualLayout>
          <c:layoutTarget val="inner"/>
          <c:xMode val="edge"/>
          <c:yMode val="edge"/>
          <c:x val="9.5320391064506543E-2"/>
          <c:y val="0.18867414175407696"/>
          <c:w val="0.79853529130826251"/>
          <c:h val="0.62737445604922804"/>
        </c:manualLayout>
      </c:layout>
      <c:barChart>
        <c:barDir val="col"/>
        <c:grouping val="stacked"/>
        <c:ser>
          <c:idx val="0"/>
          <c:order val="0"/>
          <c:tx>
            <c:strRef>
              <c:f>圖27!$C$8</c:f>
              <c:strCache>
                <c:ptCount val="1"/>
                <c:pt idx="0">
                  <c:v>保險</c:v>
                </c:pt>
              </c:strCache>
            </c:strRef>
          </c:tx>
          <c:spPr>
            <a:solidFill>
              <a:schemeClr val="accent5">
                <a:lumMod val="40000"/>
                <a:lumOff val="60000"/>
              </a:schemeClr>
            </a:solidFill>
          </c:spPr>
          <c:dPt>
            <c:idx val="0"/>
            <c:spPr>
              <a:solidFill>
                <a:srgbClr val="C2B7E9"/>
              </a:solidFill>
            </c:spPr>
          </c:dPt>
          <c:dPt>
            <c:idx val="2"/>
            <c:spPr>
              <a:solidFill>
                <a:srgbClr val="D7E4BD"/>
              </a:solidFill>
            </c:spPr>
          </c:dPt>
          <c:dPt>
            <c:idx val="3"/>
            <c:spPr>
              <a:solidFill>
                <a:srgbClr val="E0CAEC"/>
              </a:solidFill>
            </c:spPr>
          </c:dPt>
          <c:dPt>
            <c:idx val="4"/>
            <c:spPr>
              <a:solidFill>
                <a:srgbClr val="C2B7E9"/>
              </a:solidFill>
            </c:spPr>
          </c:dPt>
          <c:dPt>
            <c:idx val="6"/>
            <c:spPr>
              <a:solidFill>
                <a:srgbClr val="D7E4BD"/>
              </a:solidFill>
            </c:spPr>
          </c:dPt>
          <c:dPt>
            <c:idx val="7"/>
            <c:spPr>
              <a:solidFill>
                <a:srgbClr val="E0CAEC"/>
              </a:solidFill>
            </c:spPr>
          </c:dPt>
          <c:dPt>
            <c:idx val="8"/>
            <c:spPr>
              <a:solidFill>
                <a:srgbClr val="C2B7E9"/>
              </a:solidFill>
            </c:spPr>
          </c:dPt>
          <c:dPt>
            <c:idx val="10"/>
            <c:spPr>
              <a:solidFill>
                <a:srgbClr val="D7E4BD"/>
              </a:solidFill>
            </c:spPr>
          </c:dPt>
          <c:dPt>
            <c:idx val="11"/>
            <c:spPr>
              <a:solidFill>
                <a:srgbClr val="E0CAEC"/>
              </a:solidFill>
            </c:spPr>
          </c:dPt>
          <c:dPt>
            <c:idx val="14"/>
            <c:spPr>
              <a:solidFill>
                <a:srgbClr val="D7E4BD"/>
              </a:solidFill>
            </c:spPr>
          </c:dPt>
          <c:dPt>
            <c:idx val="15"/>
            <c:spPr>
              <a:solidFill>
                <a:srgbClr val="E0CAEC"/>
              </a:solidFill>
            </c:spPr>
          </c:dPt>
          <c:dPt>
            <c:idx val="18"/>
            <c:spPr>
              <a:solidFill>
                <a:srgbClr val="D7E4BD"/>
              </a:solidFill>
            </c:spPr>
          </c:dPt>
          <c:dPt>
            <c:idx val="19"/>
            <c:spPr>
              <a:solidFill>
                <a:srgbClr val="E0CAEC"/>
              </a:solidFill>
            </c:spPr>
          </c:dPt>
          <c:dPt>
            <c:idx val="22"/>
            <c:spPr>
              <a:solidFill>
                <a:srgbClr val="B3A2C7"/>
              </a:solidFill>
            </c:spPr>
          </c:dPt>
          <c:dPt>
            <c:idx val="23"/>
            <c:spPr>
              <a:solidFill>
                <a:srgbClr val="E0CAEC"/>
              </a:solidFill>
            </c:spPr>
          </c:dPt>
          <c:dLbls>
            <c:dLbl>
              <c:idx val="0"/>
              <c:layout>
                <c:manualLayout>
                  <c:x val="0"/>
                  <c:y val="-0.19820307013325442"/>
                </c:manualLayout>
              </c:layout>
              <c:showVal val="1"/>
            </c:dLbl>
            <c:dLbl>
              <c:idx val="1"/>
              <c:layout>
                <c:manualLayout>
                  <c:x val="1.4782991504785161E-3"/>
                  <c:y val="-0.18898432268519938"/>
                </c:manualLayout>
              </c:layout>
              <c:showVal val="1"/>
            </c:dLbl>
            <c:dLbl>
              <c:idx val="2"/>
              <c:layout>
                <c:manualLayout>
                  <c:x val="0"/>
                  <c:y val="-1.3828121172087772E-2"/>
                </c:manualLayout>
              </c:layout>
              <c:showVal val="1"/>
            </c:dLbl>
            <c:dLbl>
              <c:idx val="3"/>
              <c:layout>
                <c:manualLayout>
                  <c:x val="0"/>
                  <c:y val="-9.2187474480583467E-3"/>
                </c:manualLayout>
              </c:layout>
              <c:showVal val="1"/>
            </c:dLbl>
            <c:dLbl>
              <c:idx val="4"/>
              <c:layout>
                <c:manualLayout>
                  <c:x val="1.4782991504785161E-3"/>
                  <c:y val="-8.7578100756554284E-2"/>
                </c:manualLayout>
              </c:layout>
              <c:showVal val="1"/>
            </c:dLbl>
            <c:dLbl>
              <c:idx val="5"/>
              <c:layout>
                <c:manualLayout>
                  <c:x val="0"/>
                  <c:y val="-7.1445292722452272E-2"/>
                </c:manualLayout>
              </c:layout>
              <c:showVal val="1"/>
            </c:dLbl>
            <c:dLbl>
              <c:idx val="6"/>
              <c:layout>
                <c:manualLayout>
                  <c:x val="0"/>
                  <c:y val="-6.9559981807897533E-2"/>
                </c:manualLayout>
              </c:layout>
              <c:showVal val="1"/>
            </c:dLbl>
            <c:dLbl>
              <c:idx val="7"/>
              <c:layout>
                <c:manualLayout>
                  <c:x val="1.04799139690872E-2"/>
                  <c:y val="-3.2610761519849638E-2"/>
                </c:manualLayout>
              </c:layout>
              <c:showVal val="1"/>
            </c:dLbl>
            <c:dLbl>
              <c:idx val="8"/>
              <c:layout>
                <c:manualLayout>
                  <c:x val="0"/>
                  <c:y val="-4.6093737240292726E-2"/>
                </c:manualLayout>
              </c:layout>
              <c:showVal val="1"/>
            </c:dLbl>
            <c:dLbl>
              <c:idx val="9"/>
              <c:layout>
                <c:manualLayout>
                  <c:x val="0"/>
                  <c:y val="-3.9179676654247972E-2"/>
                </c:manualLayout>
              </c:layout>
              <c:showVal val="1"/>
            </c:dLbl>
            <c:dLbl>
              <c:idx val="10"/>
              <c:delete val="1"/>
            </c:dLbl>
            <c:dLbl>
              <c:idx val="11"/>
              <c:delete val="1"/>
            </c:dLbl>
            <c:dLbl>
              <c:idx val="14"/>
              <c:layout>
                <c:manualLayout>
                  <c:x val="-1.2214772077550808E-3"/>
                  <c:y val="6.432044734254262E-3"/>
                </c:manualLayout>
              </c:layout>
              <c:showVal val="1"/>
            </c:dLbl>
            <c:dLbl>
              <c:idx val="15"/>
              <c:layout>
                <c:manualLayout>
                  <c:x val="3.5010546756776492E-3"/>
                  <c:y val="3.6770771887672518E-3"/>
                </c:manualLayout>
              </c:layout>
              <c:showVal val="1"/>
            </c:dLbl>
            <c:dLbl>
              <c:idx val="18"/>
              <c:layout>
                <c:manualLayout>
                  <c:x val="-2.4084275646596492E-3"/>
                  <c:y val="-0.30197492013239491"/>
                </c:manualLayout>
              </c:layout>
              <c:showVal val="1"/>
            </c:dLbl>
            <c:dLbl>
              <c:idx val="19"/>
              <c:layout>
                <c:manualLayout>
                  <c:x val="2.4212523422519252E-3"/>
                  <c:y val="-0.26981116586515497"/>
                </c:manualLayout>
              </c:layout>
              <c:showVal val="1"/>
            </c:dLbl>
            <c:dLbl>
              <c:idx val="22"/>
              <c:layout>
                <c:manualLayout>
                  <c:x val="2.1842022760068212E-3"/>
                  <c:y val="-6.8040629733952376E-2"/>
                </c:manualLayout>
              </c:layout>
              <c:showVal val="1"/>
            </c:dLbl>
            <c:dLbl>
              <c:idx val="23"/>
              <c:layout>
                <c:manualLayout>
                  <c:x val="1.2143664333624958E-2"/>
                  <c:y val="-5.5356384639751406E-2"/>
                </c:manualLayout>
              </c:layout>
              <c:showVal val="1"/>
            </c:dLbl>
            <c:numFmt formatCode="#,##0;[Red]\-#,##0" sourceLinked="0"/>
            <c:txPr>
              <a:bodyPr/>
              <a:lstStyle/>
              <a:p>
                <a:pPr>
                  <a:defRPr sz="800">
                    <a:latin typeface="Times New Roman" pitchFamily="18" charset="0"/>
                    <a:cs typeface="Times New Roman" pitchFamily="18" charset="0"/>
                  </a:defRPr>
                </a:pPr>
                <a:endParaRPr lang="zh-TW"/>
              </a:p>
            </c:txPr>
            <c:showVal val="1"/>
          </c:dLbls>
          <c:cat>
            <c:strRef>
              <c:f>圖27!$E$6:$AB$7</c:f>
              <c:strCache>
                <c:ptCount val="22"/>
                <c:pt idx="1">
                  <c:v>一般病床</c:v>
                </c:pt>
                <c:pt idx="5">
                  <c:v>精神病床</c:v>
                </c:pt>
                <c:pt idx="9">
                  <c:v>洗腎治療床</c:v>
                </c:pt>
                <c:pt idx="13">
                  <c:v>安寧療護病床</c:v>
                </c:pt>
                <c:pt idx="17">
                  <c:v>呼吸照護病床</c:v>
                </c:pt>
                <c:pt idx="21">
                  <c:v>呼吸照護中心</c:v>
                </c:pt>
              </c:strCache>
            </c:strRef>
          </c:cat>
          <c:val>
            <c:numRef>
              <c:f>圖27!$D$8:$AB$8</c:f>
              <c:numCache>
                <c:formatCode>General</c:formatCode>
                <c:ptCount val="25"/>
                <c:pt idx="2">
                  <c:v>45734</c:v>
                </c:pt>
                <c:pt idx="3">
                  <c:v>43607</c:v>
                </c:pt>
                <c:pt idx="6">
                  <c:v>6600</c:v>
                </c:pt>
                <c:pt idx="7">
                  <c:v>5695</c:v>
                </c:pt>
                <c:pt idx="10">
                  <c:v>15890</c:v>
                </c:pt>
                <c:pt idx="11">
                  <c:v>12594</c:v>
                </c:pt>
                <c:pt idx="14">
                  <c:v>427</c:v>
                </c:pt>
                <c:pt idx="15">
                  <c:v>223</c:v>
                </c:pt>
                <c:pt idx="18">
                  <c:v>6533</c:v>
                </c:pt>
                <c:pt idx="19">
                  <c:v>5816</c:v>
                </c:pt>
                <c:pt idx="22">
                  <c:v>1030</c:v>
                </c:pt>
                <c:pt idx="23">
                  <c:v>829</c:v>
                </c:pt>
              </c:numCache>
            </c:numRef>
          </c:val>
        </c:ser>
        <c:ser>
          <c:idx val="1"/>
          <c:order val="1"/>
          <c:tx>
            <c:strRef>
              <c:f>圖27!$C$9</c:f>
              <c:strCache>
                <c:ptCount val="1"/>
                <c:pt idx="0">
                  <c:v>非保險</c:v>
                </c:pt>
              </c:strCache>
            </c:strRef>
          </c:tx>
          <c:spPr>
            <a:solidFill>
              <a:schemeClr val="accent6">
                <a:lumMod val="60000"/>
                <a:lumOff val="40000"/>
              </a:schemeClr>
            </a:solidFill>
          </c:spPr>
          <c:dPt>
            <c:idx val="0"/>
            <c:spPr>
              <a:solidFill>
                <a:srgbClr val="FFFF99"/>
              </a:solidFill>
            </c:spPr>
          </c:dPt>
          <c:dPt>
            <c:idx val="1"/>
            <c:spPr>
              <a:solidFill>
                <a:srgbClr val="FF99CC"/>
              </a:solidFill>
            </c:spPr>
          </c:dPt>
          <c:dPt>
            <c:idx val="2"/>
            <c:spPr>
              <a:solidFill>
                <a:srgbClr val="FFFF99"/>
              </a:solidFill>
            </c:spPr>
          </c:dPt>
          <c:dPt>
            <c:idx val="3"/>
            <c:spPr>
              <a:solidFill>
                <a:srgbClr val="FF99CC"/>
              </a:solidFill>
            </c:spPr>
          </c:dPt>
          <c:dPt>
            <c:idx val="6"/>
            <c:spPr>
              <a:solidFill>
                <a:srgbClr val="FFFF99"/>
              </a:solidFill>
            </c:spPr>
          </c:dPt>
          <c:dPt>
            <c:idx val="7"/>
            <c:spPr>
              <a:solidFill>
                <a:srgbClr val="F3B7E2"/>
              </a:solidFill>
            </c:spPr>
          </c:dPt>
          <c:dPt>
            <c:idx val="14"/>
            <c:spPr>
              <a:solidFill>
                <a:srgbClr val="FFFF66"/>
              </a:solidFill>
            </c:spPr>
          </c:dPt>
          <c:dPt>
            <c:idx val="15"/>
            <c:spPr>
              <a:solidFill>
                <a:srgbClr val="FF99CC"/>
              </a:solidFill>
            </c:spPr>
          </c:dPt>
          <c:dLbls>
            <c:dLbl>
              <c:idx val="0"/>
              <c:layout>
                <c:manualLayout>
                  <c:x val="0"/>
                  <c:y val="-0.1498046460309482"/>
                </c:manualLayout>
              </c:layout>
              <c:showVal val="1"/>
            </c:dLbl>
            <c:dLbl>
              <c:idx val="1"/>
              <c:layout>
                <c:manualLayout>
                  <c:x val="0"/>
                  <c:y val="-0.1498046460309482"/>
                </c:manualLayout>
              </c:layout>
              <c:showVal val="1"/>
            </c:dLbl>
            <c:dLbl>
              <c:idx val="2"/>
              <c:layout>
                <c:manualLayout>
                  <c:x val="0"/>
                  <c:y val="-1.8528593542158543E-2"/>
                </c:manualLayout>
              </c:layout>
              <c:showVal val="1"/>
            </c:dLbl>
            <c:dLbl>
              <c:idx val="3"/>
              <c:layout>
                <c:manualLayout>
                  <c:x val="0"/>
                  <c:y val="-1.8538755940920183E-2"/>
                </c:manualLayout>
              </c:layout>
              <c:showVal val="1"/>
            </c:dLbl>
            <c:dLbl>
              <c:idx val="4"/>
              <c:delete val="1"/>
            </c:dLbl>
            <c:dLbl>
              <c:idx val="5"/>
              <c:delete val="1"/>
            </c:dLbl>
            <c:dLbl>
              <c:idx val="6"/>
              <c:layout>
                <c:manualLayout>
                  <c:x val="-2.7725042372444405E-3"/>
                  <c:y val="-3.4269962121394291E-2"/>
                </c:manualLayout>
              </c:layout>
              <c:showVal val="1"/>
            </c:dLbl>
            <c:dLbl>
              <c:idx val="7"/>
              <c:layout>
                <c:manualLayout>
                  <c:x val="-1.22541677050528E-3"/>
                  <c:y val="-3.4892814389489955E-2"/>
                </c:manualLayout>
              </c:layout>
              <c:showVal val="1"/>
            </c:dLbl>
            <c:dLbl>
              <c:idx val="8"/>
              <c:delete val="1"/>
            </c:dLbl>
            <c:dLbl>
              <c:idx val="9"/>
              <c:delete val="1"/>
            </c:dLbl>
            <c:dLbl>
              <c:idx val="10"/>
              <c:delete val="1"/>
            </c:dLbl>
            <c:dLbl>
              <c:idx val="11"/>
              <c:delete val="1"/>
            </c:dLbl>
            <c:dLbl>
              <c:idx val="14"/>
              <c:layout>
                <c:manualLayout>
                  <c:x val="5.0035642353562929E-4"/>
                  <c:y val="-2.9196179464823668E-2"/>
                </c:manualLayout>
              </c:layout>
              <c:showVal val="1"/>
            </c:dLbl>
            <c:dLbl>
              <c:idx val="15"/>
              <c:layout>
                <c:manualLayout>
                  <c:x val="3.531780842542276E-3"/>
                  <c:y val="-3.2106921248175151E-2"/>
                </c:manualLayout>
              </c:layout>
              <c:showVal val="1"/>
            </c:dLbl>
            <c:dLbl>
              <c:idx val="18"/>
              <c:delete val="1"/>
            </c:dLbl>
            <c:dLbl>
              <c:idx val="19"/>
              <c:delete val="1"/>
            </c:dLbl>
            <c:dLbl>
              <c:idx val="22"/>
              <c:delete val="1"/>
            </c:dLbl>
            <c:dLbl>
              <c:idx val="23"/>
              <c:delete val="1"/>
            </c:dLbl>
            <c:numFmt formatCode="#,##0;[Red]\-#,##0" sourceLinked="0"/>
            <c:txPr>
              <a:bodyPr/>
              <a:lstStyle/>
              <a:p>
                <a:pPr>
                  <a:defRPr sz="800">
                    <a:latin typeface="Times New Roman" pitchFamily="18" charset="0"/>
                    <a:cs typeface="Times New Roman" pitchFamily="18" charset="0"/>
                  </a:defRPr>
                </a:pPr>
                <a:endParaRPr lang="zh-TW"/>
              </a:p>
            </c:txPr>
            <c:showVal val="1"/>
          </c:dLbls>
          <c:cat>
            <c:strRef>
              <c:f>圖27!$E$6:$AB$7</c:f>
              <c:strCache>
                <c:ptCount val="22"/>
                <c:pt idx="1">
                  <c:v>一般病床</c:v>
                </c:pt>
                <c:pt idx="5">
                  <c:v>精神病床</c:v>
                </c:pt>
                <c:pt idx="9">
                  <c:v>洗腎治療床</c:v>
                </c:pt>
                <c:pt idx="13">
                  <c:v>安寧療護病床</c:v>
                </c:pt>
                <c:pt idx="17">
                  <c:v>呼吸照護病床</c:v>
                </c:pt>
                <c:pt idx="21">
                  <c:v>呼吸照護中心</c:v>
                </c:pt>
              </c:strCache>
            </c:strRef>
          </c:cat>
          <c:val>
            <c:numRef>
              <c:f>圖27!$D$9:$AA$9</c:f>
              <c:numCache>
                <c:formatCode>General</c:formatCode>
                <c:ptCount val="24"/>
                <c:pt idx="2">
                  <c:v>25064</c:v>
                </c:pt>
                <c:pt idx="3">
                  <c:v>25946</c:v>
                </c:pt>
                <c:pt idx="6">
                  <c:v>367</c:v>
                </c:pt>
                <c:pt idx="7">
                  <c:v>301</c:v>
                </c:pt>
                <c:pt idx="10">
                  <c:v>0</c:v>
                </c:pt>
                <c:pt idx="11">
                  <c:v>0</c:v>
                </c:pt>
                <c:pt idx="14">
                  <c:v>240</c:v>
                </c:pt>
                <c:pt idx="15">
                  <c:v>256</c:v>
                </c:pt>
                <c:pt idx="18">
                  <c:v>0</c:v>
                </c:pt>
                <c:pt idx="19">
                  <c:v>0</c:v>
                </c:pt>
                <c:pt idx="22">
                  <c:v>0</c:v>
                </c:pt>
                <c:pt idx="23">
                  <c:v>0</c:v>
                </c:pt>
              </c:numCache>
            </c:numRef>
          </c:val>
        </c:ser>
        <c:gapWidth val="0"/>
        <c:overlap val="100"/>
        <c:axId val="281846912"/>
        <c:axId val="281848448"/>
      </c:barChart>
      <c:catAx>
        <c:axId val="281846912"/>
        <c:scaling>
          <c:orientation val="minMax"/>
        </c:scaling>
        <c:axPos val="b"/>
        <c:majorTickMark val="in"/>
        <c:tickLblPos val="none"/>
        <c:txPr>
          <a:bodyPr anchor="t" anchorCtr="0"/>
          <a:lstStyle/>
          <a:p>
            <a:pPr>
              <a:defRPr>
                <a:latin typeface="標楷體" pitchFamily="65" charset="-120"/>
                <a:ea typeface="標楷體" pitchFamily="65" charset="-120"/>
              </a:defRPr>
            </a:pPr>
            <a:endParaRPr lang="zh-TW"/>
          </a:p>
        </c:txPr>
        <c:crossAx val="281848448"/>
        <c:crosses val="autoZero"/>
        <c:auto val="1"/>
        <c:lblAlgn val="ctr"/>
        <c:lblOffset val="80"/>
        <c:tickLblSkip val="1"/>
        <c:tickMarkSkip val="4"/>
      </c:catAx>
      <c:valAx>
        <c:axId val="281848448"/>
        <c:scaling>
          <c:orientation val="minMax"/>
          <c:max val="8500"/>
          <c:min val="0"/>
        </c:scaling>
        <c:axPos val="l"/>
        <c:numFmt formatCode="#,##0;[Red]\-#,##0" sourceLinked="0"/>
        <c:majorTickMark val="in"/>
        <c:tickLblPos val="nextTo"/>
        <c:txPr>
          <a:bodyPr/>
          <a:lstStyle/>
          <a:p>
            <a:pPr>
              <a:defRPr sz="800">
                <a:latin typeface="Times New Roman" pitchFamily="18" charset="0"/>
                <a:cs typeface="Times New Roman" pitchFamily="18" charset="0"/>
              </a:defRPr>
            </a:pPr>
            <a:endParaRPr lang="zh-TW"/>
          </a:p>
        </c:txPr>
        <c:crossAx val="281846912"/>
        <c:crosses val="autoZero"/>
        <c:crossBetween val="midCat"/>
        <c:majorUnit val="1500"/>
      </c:valAx>
      <c:spPr>
        <a:noFill/>
        <a:ln w="25400">
          <a:noFill/>
        </a:ln>
      </c:spPr>
    </c:plotArea>
    <c:plotVisOnly val="1"/>
  </c:chart>
  <c:spPr>
    <a:noFill/>
    <a:ln>
      <a:noFill/>
    </a:ln>
  </c:spPr>
  <c:externalData r:id="rId1"/>
  <c:userShapes r:id="rId2"/>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en-US" altLang="zh-TW" sz="1000" b="0" i="0" baseline="0">
                <a:latin typeface="Times New Roman" pitchFamily="18" charset="0"/>
                <a:cs typeface="Times New Roman" pitchFamily="18" charset="0"/>
              </a:rPr>
              <a:t>Figure 28 Chronic Beds in Contracted Medical Care Institutions by Type of  Bed</a:t>
            </a:r>
            <a:endParaRPr lang="zh-TW" altLang="zh-TW" sz="1000" b="1" i="0" baseline="0">
              <a:latin typeface="Times New Roman" pitchFamily="18" charset="0"/>
              <a:cs typeface="Times New Roman" pitchFamily="18" charset="0"/>
            </a:endParaRPr>
          </a:p>
          <a:p>
            <a:pPr>
              <a:defRPr/>
            </a:pPr>
            <a:r>
              <a:rPr lang="en-US" altLang="zh-TW" sz="800" b="0" i="0" baseline="0">
                <a:latin typeface="Times New Roman" pitchFamily="18" charset="0"/>
                <a:cs typeface="Times New Roman" pitchFamily="18" charset="0"/>
              </a:rPr>
              <a:t>2011 vs. 2006</a:t>
            </a:r>
            <a:endParaRPr lang="zh-TW" altLang="zh-TW" sz="800" b="0" i="0" baseline="0">
              <a:latin typeface="Times New Roman" pitchFamily="18" charset="0"/>
              <a:cs typeface="Times New Roman" pitchFamily="18" charset="0"/>
            </a:endParaRPr>
          </a:p>
        </c:rich>
      </c:tx>
      <c:layout>
        <c:manualLayout>
          <c:xMode val="edge"/>
          <c:yMode val="edge"/>
          <c:x val="0.12467592592592615"/>
          <c:y val="4.9462432127222039E-2"/>
        </c:manualLayout>
      </c:layout>
    </c:title>
    <c:plotArea>
      <c:layout>
        <c:manualLayout>
          <c:layoutTarget val="inner"/>
          <c:xMode val="edge"/>
          <c:yMode val="edge"/>
          <c:x val="7.9201335989924224E-2"/>
          <c:y val="0.36949399006853034"/>
          <c:w val="0.75720417760280079"/>
          <c:h val="0.59435669755425957"/>
        </c:manualLayout>
      </c:layout>
      <c:barChart>
        <c:barDir val="col"/>
        <c:grouping val="stacked"/>
        <c:ser>
          <c:idx val="0"/>
          <c:order val="0"/>
          <c:tx>
            <c:strRef>
              <c:f>'圖28(2)'!$C$17</c:f>
              <c:strCache>
                <c:ptCount val="1"/>
                <c:pt idx="0">
                  <c:v>保險</c:v>
                </c:pt>
              </c:strCache>
            </c:strRef>
          </c:tx>
          <c:spPr>
            <a:solidFill>
              <a:srgbClr val="E0CAEC"/>
            </a:solidFill>
          </c:spPr>
          <c:dPt>
            <c:idx val="2"/>
            <c:spPr>
              <a:solidFill>
                <a:srgbClr val="D7E4BD"/>
              </a:solidFill>
            </c:spPr>
          </c:dPt>
          <c:dPt>
            <c:idx val="6"/>
            <c:spPr>
              <a:solidFill>
                <a:srgbClr val="D7E4BD"/>
              </a:solidFill>
            </c:spPr>
          </c:dPt>
          <c:dLbls>
            <c:dLbl>
              <c:idx val="2"/>
              <c:layout>
                <c:manualLayout>
                  <c:x val="-4.0512552505292719E-3"/>
                  <c:y val="0"/>
                </c:manualLayout>
              </c:layout>
              <c:showVal val="1"/>
            </c:dLbl>
            <c:dLbl>
              <c:idx val="3"/>
              <c:layout>
                <c:manualLayout>
                  <c:x val="2.0233613698801799E-3"/>
                  <c:y val="-1.0661840015312889E-2"/>
                </c:manualLayout>
              </c:layout>
              <c:showVal val="1"/>
            </c:dLbl>
            <c:dLbl>
              <c:idx val="6"/>
              <c:layout>
                <c:manualLayout>
                  <c:x val="-6.9444444444444545E-3"/>
                  <c:y val="-2.3575638506876252E-2"/>
                </c:manualLayout>
              </c:layout>
              <c:showVal val="1"/>
            </c:dLbl>
            <c:dLbl>
              <c:idx val="7"/>
              <c:layout>
                <c:manualLayout>
                  <c:x val="4.6296296296296406E-3"/>
                  <c:y val="3.1434184675834982E-2"/>
                </c:manualLayout>
              </c:layout>
              <c:showVal val="1"/>
            </c:dLbl>
            <c:dLbl>
              <c:idx val="10"/>
              <c:layout>
                <c:manualLayout>
                  <c:x val="-1.0182517211260581E-3"/>
                  <c:y val="-6.6468647210148904E-2"/>
                </c:manualLayout>
              </c:layout>
              <c:showVal val="1"/>
            </c:dLbl>
            <c:dLbl>
              <c:idx val="11"/>
              <c:layout>
                <c:manualLayout>
                  <c:x val="-2.0292519058989602E-3"/>
                  <c:y val="-5.2866775691676422E-2"/>
                </c:manualLayout>
              </c:layout>
              <c:showVal val="1"/>
            </c:dLbl>
            <c:dLbl>
              <c:idx val="12"/>
              <c:layout>
                <c:manualLayout>
                  <c:x val="4.0585038117979108E-3"/>
                  <c:y val="-3.9559064354978267E-2"/>
                </c:manualLayout>
              </c:layout>
              <c:showVal val="1"/>
            </c:dLbl>
            <c:numFmt formatCode="#,##0;[Red]\-#,##0" sourceLinked="0"/>
            <c:spPr>
              <a:noFill/>
            </c:spPr>
            <c:txPr>
              <a:bodyPr/>
              <a:lstStyle/>
              <a:p>
                <a:pPr>
                  <a:defRPr sz="800">
                    <a:latin typeface="Times New Roman" pitchFamily="18" charset="0"/>
                    <a:cs typeface="Times New Roman" pitchFamily="18" charset="0"/>
                  </a:defRPr>
                </a:pPr>
                <a:endParaRPr lang="zh-TW"/>
              </a:p>
            </c:txPr>
            <c:showVal val="1"/>
          </c:dLbls>
          <c:cat>
            <c:strRef>
              <c:f>'圖28(2)'!$D$15:$U$16</c:f>
              <c:strCache>
                <c:ptCount val="7"/>
                <c:pt idx="2">
                  <c:v>一般病床</c:v>
                </c:pt>
                <c:pt idx="6">
                  <c:v>精神病床</c:v>
                </c:pt>
              </c:strCache>
            </c:strRef>
          </c:cat>
          <c:val>
            <c:numRef>
              <c:f>'圖28(2)'!$D$17:$U$17</c:f>
              <c:numCache>
                <c:formatCode>General</c:formatCode>
                <c:ptCount val="18"/>
                <c:pt idx="2">
                  <c:v>3286</c:v>
                </c:pt>
                <c:pt idx="3">
                  <c:v>3463</c:v>
                </c:pt>
                <c:pt idx="6">
                  <c:v>13648</c:v>
                </c:pt>
                <c:pt idx="7">
                  <c:v>12891</c:v>
                </c:pt>
              </c:numCache>
            </c:numRef>
          </c:val>
        </c:ser>
        <c:ser>
          <c:idx val="1"/>
          <c:order val="1"/>
          <c:tx>
            <c:strRef>
              <c:f>'圖28(2)'!$C$18</c:f>
              <c:strCache>
                <c:ptCount val="1"/>
                <c:pt idx="0">
                  <c:v>非保險</c:v>
                </c:pt>
              </c:strCache>
            </c:strRef>
          </c:tx>
          <c:spPr>
            <a:solidFill>
              <a:srgbClr val="FF99CC"/>
            </a:solidFill>
          </c:spPr>
          <c:dPt>
            <c:idx val="2"/>
            <c:spPr>
              <a:solidFill>
                <a:srgbClr val="FFFF99"/>
              </a:solidFill>
            </c:spPr>
          </c:dPt>
          <c:dPt>
            <c:idx val="3"/>
            <c:spPr>
              <a:solidFill>
                <a:srgbClr val="F3B7E2"/>
              </a:solidFill>
            </c:spPr>
          </c:dPt>
          <c:dPt>
            <c:idx val="6"/>
            <c:spPr>
              <a:solidFill>
                <a:srgbClr val="FFFF00"/>
              </a:solidFill>
            </c:spPr>
          </c:dPt>
          <c:dPt>
            <c:idx val="7"/>
            <c:spPr>
              <a:solidFill>
                <a:srgbClr val="F3B7E2"/>
              </a:solidFill>
            </c:spPr>
          </c:dPt>
          <c:dLbls>
            <c:dLbl>
              <c:idx val="2"/>
              <c:layout>
                <c:manualLayout>
                  <c:x val="-4.1116347689872336E-3"/>
                  <c:y val="-3.9093413389480094E-2"/>
                </c:manualLayout>
              </c:layout>
              <c:showVal val="1"/>
            </c:dLbl>
            <c:dLbl>
              <c:idx val="3"/>
              <c:layout>
                <c:manualLayout>
                  <c:x val="3.0439047321274408E-3"/>
                  <c:y val="-4.2647360061250701E-2"/>
                </c:manualLayout>
              </c:layout>
              <c:showVal val="1"/>
            </c:dLbl>
            <c:dLbl>
              <c:idx val="6"/>
              <c:delete val="1"/>
            </c:dLbl>
            <c:dLbl>
              <c:idx val="7"/>
              <c:delete val="1"/>
            </c:dLbl>
            <c:dLbl>
              <c:idx val="10"/>
              <c:delete val="1"/>
            </c:dLbl>
            <c:dLbl>
              <c:idx val="11"/>
              <c:delete val="1"/>
            </c:dLbl>
            <c:dLbl>
              <c:idx val="12"/>
              <c:delete val="1"/>
            </c:dLbl>
            <c:numFmt formatCode="#,##0;[Red]\-#,##0" sourceLinked="0"/>
            <c:txPr>
              <a:bodyPr/>
              <a:lstStyle/>
              <a:p>
                <a:pPr>
                  <a:defRPr sz="800" baseline="0">
                    <a:latin typeface="Times New Roman" pitchFamily="18" charset="0"/>
                  </a:defRPr>
                </a:pPr>
                <a:endParaRPr lang="zh-TW"/>
              </a:p>
            </c:txPr>
            <c:showVal val="1"/>
          </c:dLbls>
          <c:cat>
            <c:strRef>
              <c:f>'圖28(2)'!$D$15:$U$16</c:f>
              <c:strCache>
                <c:ptCount val="7"/>
                <c:pt idx="2">
                  <c:v>一般病床</c:v>
                </c:pt>
                <c:pt idx="6">
                  <c:v>精神病床</c:v>
                </c:pt>
              </c:strCache>
            </c:strRef>
          </c:cat>
          <c:val>
            <c:numRef>
              <c:f>'圖28(2)'!$D$18:$U$18</c:f>
              <c:numCache>
                <c:formatCode>General</c:formatCode>
                <c:ptCount val="18"/>
                <c:pt idx="2">
                  <c:v>576</c:v>
                </c:pt>
                <c:pt idx="3">
                  <c:v>626</c:v>
                </c:pt>
                <c:pt idx="6">
                  <c:v>106</c:v>
                </c:pt>
                <c:pt idx="7">
                  <c:v>312</c:v>
                </c:pt>
              </c:numCache>
            </c:numRef>
          </c:val>
        </c:ser>
        <c:gapWidth val="0"/>
        <c:overlap val="100"/>
        <c:axId val="283661440"/>
        <c:axId val="283662976"/>
      </c:barChart>
      <c:catAx>
        <c:axId val="283661440"/>
        <c:scaling>
          <c:orientation val="minMax"/>
        </c:scaling>
        <c:delete val="1"/>
        <c:axPos val="b"/>
        <c:tickLblPos val="none"/>
        <c:crossAx val="283662976"/>
        <c:crosses val="autoZero"/>
        <c:auto val="1"/>
        <c:lblAlgn val="ctr"/>
        <c:lblOffset val="80"/>
        <c:tickMarkSkip val="1"/>
      </c:catAx>
      <c:valAx>
        <c:axId val="283662976"/>
        <c:scaling>
          <c:orientation val="minMax"/>
          <c:max val="15000"/>
          <c:min val="2500"/>
        </c:scaling>
        <c:axPos val="l"/>
        <c:title>
          <c:tx>
            <c:rich>
              <a:bodyPr rot="0" vert="horz"/>
              <a:lstStyle/>
              <a:p>
                <a:pPr>
                  <a:defRPr sz="800"/>
                </a:pPr>
                <a:r>
                  <a:rPr lang="en-US" altLang="zh-TW" sz="800" b="0">
                    <a:latin typeface="Times New Roman" pitchFamily="18" charset="0"/>
                    <a:ea typeface="標楷體" pitchFamily="65" charset="-120"/>
                    <a:cs typeface="Times New Roman" pitchFamily="18" charset="0"/>
                  </a:rPr>
                  <a:t>Bed</a:t>
                </a:r>
                <a:endParaRPr lang="zh-TW" altLang="en-US" sz="800" b="0">
                  <a:latin typeface="Times New Roman" pitchFamily="18" charset="0"/>
                  <a:ea typeface="標楷體" pitchFamily="65" charset="-120"/>
                  <a:cs typeface="Times New Roman" pitchFamily="18" charset="0"/>
                </a:endParaRPr>
              </a:p>
            </c:rich>
          </c:tx>
          <c:layout>
            <c:manualLayout>
              <c:xMode val="edge"/>
              <c:yMode val="edge"/>
              <c:x val="1.793525809273842E-2"/>
              <c:y val="0.20628064910353788"/>
            </c:manualLayout>
          </c:layout>
        </c:title>
        <c:numFmt formatCode="#,##0;[Red]\-#,##0" sourceLinked="0"/>
        <c:majorTickMark val="in"/>
        <c:tickLblPos val="nextTo"/>
        <c:txPr>
          <a:bodyPr/>
          <a:lstStyle/>
          <a:p>
            <a:pPr>
              <a:defRPr sz="800">
                <a:latin typeface="Times New Roman" pitchFamily="18" charset="0"/>
                <a:cs typeface="Times New Roman" pitchFamily="18" charset="0"/>
              </a:defRPr>
            </a:pPr>
            <a:endParaRPr lang="zh-TW"/>
          </a:p>
        </c:txPr>
        <c:crossAx val="283661440"/>
        <c:crosses val="autoZero"/>
        <c:crossBetween val="between"/>
        <c:majorUnit val="2500"/>
      </c:valAx>
      <c:spPr>
        <a:ln>
          <a:noFill/>
        </a:ln>
      </c:spPr>
    </c:plotArea>
    <c:plotVisOnly val="1"/>
  </c:chart>
  <c:spPr>
    <a:noFill/>
    <a:ln>
      <a:noFill/>
    </a:ln>
  </c:spPr>
  <c:externalData r:id="rId1"/>
  <c:userShapes r:id="rId2"/>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zh-TW"/>
  <c:chart>
    <c:autoTitleDeleted val="1"/>
    <c:plotArea>
      <c:layout>
        <c:manualLayout>
          <c:layoutTarget val="inner"/>
          <c:xMode val="edge"/>
          <c:yMode val="edge"/>
          <c:x val="8.7996748396928545E-2"/>
          <c:y val="0.13161119488812612"/>
          <c:w val="0.76679964485329277"/>
          <c:h val="0.68016558772587121"/>
        </c:manualLayout>
      </c:layout>
      <c:barChart>
        <c:barDir val="col"/>
        <c:grouping val="stacked"/>
        <c:ser>
          <c:idx val="0"/>
          <c:order val="0"/>
          <c:tx>
            <c:strRef>
              <c:f>'圖28(2)'!$C$8</c:f>
              <c:strCache>
                <c:ptCount val="1"/>
                <c:pt idx="0">
                  <c:v>保險</c:v>
                </c:pt>
              </c:strCache>
            </c:strRef>
          </c:tx>
          <c:spPr>
            <a:solidFill>
              <a:schemeClr val="accent5">
                <a:lumMod val="40000"/>
                <a:lumOff val="60000"/>
              </a:schemeClr>
            </a:solidFill>
          </c:spPr>
          <c:dPt>
            <c:idx val="0"/>
            <c:spPr>
              <a:solidFill>
                <a:srgbClr val="C2B7E9"/>
              </a:solidFill>
            </c:spPr>
          </c:dPt>
          <c:dPt>
            <c:idx val="2"/>
            <c:spPr>
              <a:solidFill>
                <a:srgbClr val="D7E4BD"/>
              </a:solidFill>
            </c:spPr>
          </c:dPt>
          <c:dPt>
            <c:idx val="3"/>
            <c:spPr>
              <a:solidFill>
                <a:srgbClr val="E0CAEC"/>
              </a:solidFill>
            </c:spPr>
          </c:dPt>
          <c:dPt>
            <c:idx val="4"/>
            <c:spPr>
              <a:solidFill>
                <a:srgbClr val="C2B7E9"/>
              </a:solidFill>
            </c:spPr>
          </c:dPt>
          <c:dPt>
            <c:idx val="6"/>
            <c:spPr>
              <a:solidFill>
                <a:srgbClr val="D7E4BD"/>
              </a:solidFill>
            </c:spPr>
          </c:dPt>
          <c:dPt>
            <c:idx val="7"/>
            <c:spPr>
              <a:solidFill>
                <a:srgbClr val="E0CAEC"/>
              </a:solidFill>
            </c:spPr>
          </c:dPt>
          <c:dPt>
            <c:idx val="8"/>
            <c:spPr>
              <a:solidFill>
                <a:srgbClr val="C2B7E9"/>
              </a:solidFill>
            </c:spPr>
          </c:dPt>
          <c:dPt>
            <c:idx val="10"/>
            <c:spPr>
              <a:solidFill>
                <a:srgbClr val="D7E4BD"/>
              </a:solidFill>
            </c:spPr>
          </c:dPt>
          <c:dPt>
            <c:idx val="11"/>
            <c:spPr>
              <a:solidFill>
                <a:srgbClr val="E0CAEC"/>
              </a:solidFill>
            </c:spPr>
          </c:dPt>
          <c:dPt>
            <c:idx val="14"/>
            <c:spPr>
              <a:solidFill>
                <a:srgbClr val="D7E4BD"/>
              </a:solidFill>
            </c:spPr>
          </c:dPt>
          <c:dPt>
            <c:idx val="15"/>
            <c:spPr>
              <a:solidFill>
                <a:srgbClr val="E0CAEC"/>
              </a:solidFill>
            </c:spPr>
          </c:dPt>
          <c:dLbls>
            <c:dLbl>
              <c:idx val="0"/>
              <c:layout>
                <c:manualLayout>
                  <c:x val="0"/>
                  <c:y val="-0.19820307013325442"/>
                </c:manualLayout>
              </c:layout>
              <c:showVal val="1"/>
            </c:dLbl>
            <c:dLbl>
              <c:idx val="1"/>
              <c:layout>
                <c:manualLayout>
                  <c:x val="1.4782991504785161E-3"/>
                  <c:y val="-0.18898432268519946"/>
                </c:manualLayout>
              </c:layout>
              <c:showVal val="1"/>
            </c:dLbl>
            <c:dLbl>
              <c:idx val="2"/>
              <c:delete val="1"/>
            </c:dLbl>
            <c:dLbl>
              <c:idx val="3"/>
              <c:delete val="1"/>
            </c:dLbl>
            <c:dLbl>
              <c:idx val="4"/>
              <c:layout>
                <c:manualLayout>
                  <c:x val="1.4782991504785161E-3"/>
                  <c:y val="-8.7578100756554284E-2"/>
                </c:manualLayout>
              </c:layout>
              <c:showVal val="1"/>
            </c:dLbl>
            <c:dLbl>
              <c:idx val="5"/>
              <c:layout>
                <c:manualLayout>
                  <c:x val="0"/>
                  <c:y val="-7.1445292722452272E-2"/>
                </c:manualLayout>
              </c:layout>
              <c:showVal val="1"/>
            </c:dLbl>
            <c:dLbl>
              <c:idx val="6"/>
              <c:layout>
                <c:manualLayout>
                  <c:x val="0"/>
                  <c:y val="-6.9559981807897533E-2"/>
                </c:manualLayout>
              </c:layout>
              <c:showVal val="1"/>
            </c:dLbl>
            <c:dLbl>
              <c:idx val="7"/>
              <c:layout>
                <c:manualLayout>
                  <c:x val="1.2206005854653961E-3"/>
                  <c:y val="-8.9673711487288879E-2"/>
                </c:manualLayout>
              </c:layout>
              <c:showVal val="1"/>
            </c:dLbl>
            <c:dLbl>
              <c:idx val="8"/>
              <c:layout>
                <c:manualLayout>
                  <c:x val="0"/>
                  <c:y val="-4.6093737240292761E-2"/>
                </c:manualLayout>
              </c:layout>
              <c:showVal val="1"/>
            </c:dLbl>
            <c:dLbl>
              <c:idx val="9"/>
              <c:layout>
                <c:manualLayout>
                  <c:x val="0"/>
                  <c:y val="-3.9179676654247972E-2"/>
                </c:manualLayout>
              </c:layout>
              <c:showVal val="1"/>
            </c:dLbl>
            <c:dLbl>
              <c:idx val="10"/>
              <c:layout>
                <c:manualLayout>
                  <c:x val="0"/>
                  <c:y val="-3.3166572984076097E-2"/>
                </c:manualLayout>
              </c:layout>
              <c:dLblPos val="ctr"/>
              <c:showVal val="1"/>
            </c:dLbl>
            <c:dLbl>
              <c:idx val="11"/>
              <c:layout>
                <c:manualLayout>
                  <c:x val="0"/>
                  <c:y val="-2.7117239892022152E-2"/>
                </c:manualLayout>
              </c:layout>
              <c:dLblPos val="ctr"/>
              <c:showVal val="1"/>
            </c:dLbl>
            <c:dLbl>
              <c:idx val="14"/>
              <c:layout>
                <c:manualLayout>
                  <c:x val="-1.2214655780062801E-3"/>
                  <c:y val="-3.3795289216691643E-2"/>
                </c:manualLayout>
              </c:layout>
              <c:showVal val="1"/>
            </c:dLbl>
            <c:dLbl>
              <c:idx val="15"/>
              <c:layout>
                <c:manualLayout>
                  <c:x val="3.5010092540746452E-3"/>
                  <c:y val="-3.6550500639178432E-2"/>
                </c:manualLayout>
              </c:layout>
              <c:showVal val="1"/>
            </c:dLbl>
            <c:dLbl>
              <c:idx val="18"/>
              <c:layout>
                <c:manualLayout>
                  <c:x val="-2.4084275646596492E-3"/>
                  <c:y val="-0.30197492013239502"/>
                </c:manualLayout>
              </c:layout>
              <c:showVal val="1"/>
            </c:dLbl>
            <c:dLbl>
              <c:idx val="19"/>
              <c:layout>
                <c:manualLayout>
                  <c:x val="0"/>
                  <c:y val="-0.27651574242495031"/>
                </c:manualLayout>
              </c:layout>
              <c:showVal val="1"/>
            </c:dLbl>
            <c:dLbl>
              <c:idx val="22"/>
              <c:layout>
                <c:manualLayout>
                  <c:x val="2.1842022760068212E-3"/>
                  <c:y val="-6.8040629733952376E-2"/>
                </c:manualLayout>
              </c:layout>
              <c:showVal val="1"/>
            </c:dLbl>
            <c:dLbl>
              <c:idx val="23"/>
              <c:layout>
                <c:manualLayout>
                  <c:x val="-1.7452666166508761E-3"/>
                  <c:y val="-5.5356309969995812E-2"/>
                </c:manualLayout>
              </c:layout>
              <c:showVal val="1"/>
            </c:dLbl>
            <c:numFmt formatCode="#,##0;[Red]\-#,##0" sourceLinked="0"/>
            <c:txPr>
              <a:bodyPr/>
              <a:lstStyle/>
              <a:p>
                <a:pPr>
                  <a:defRPr sz="800">
                    <a:latin typeface="Times New Roman" pitchFamily="18" charset="0"/>
                    <a:cs typeface="Times New Roman" pitchFamily="18" charset="0"/>
                  </a:defRPr>
                </a:pPr>
                <a:endParaRPr lang="zh-TW"/>
              </a:p>
            </c:txPr>
            <c:showVal val="1"/>
          </c:dLbls>
          <c:cat>
            <c:strRef>
              <c:f>'圖28(2)'!$E$6:$U$7</c:f>
              <c:strCache>
                <c:ptCount val="14"/>
                <c:pt idx="1">
                  <c:v>一般病床</c:v>
                </c:pt>
                <c:pt idx="5">
                  <c:v>精神病床</c:v>
                </c:pt>
                <c:pt idx="9">
                  <c:v>洗腎治療床</c:v>
                </c:pt>
                <c:pt idx="13">
                  <c:v>安寧療護病床</c:v>
                </c:pt>
              </c:strCache>
            </c:strRef>
          </c:cat>
          <c:val>
            <c:numRef>
              <c:f>'圖28(2)'!$D$8:$U$8</c:f>
              <c:numCache>
                <c:formatCode>General</c:formatCode>
                <c:ptCount val="18"/>
                <c:pt idx="2">
                  <c:v>3286</c:v>
                </c:pt>
                <c:pt idx="3">
                  <c:v>3463</c:v>
                </c:pt>
                <c:pt idx="6">
                  <c:v>13648</c:v>
                </c:pt>
                <c:pt idx="7">
                  <c:v>12891</c:v>
                </c:pt>
                <c:pt idx="10">
                  <c:v>42</c:v>
                </c:pt>
                <c:pt idx="11">
                  <c:v>40</c:v>
                </c:pt>
                <c:pt idx="14">
                  <c:v>45</c:v>
                </c:pt>
                <c:pt idx="15">
                  <c:v>45</c:v>
                </c:pt>
              </c:numCache>
            </c:numRef>
          </c:val>
        </c:ser>
        <c:ser>
          <c:idx val="1"/>
          <c:order val="1"/>
          <c:tx>
            <c:strRef>
              <c:f>'圖28(2)'!$C$9</c:f>
              <c:strCache>
                <c:ptCount val="1"/>
                <c:pt idx="0">
                  <c:v>非保險</c:v>
                </c:pt>
              </c:strCache>
            </c:strRef>
          </c:tx>
          <c:spPr>
            <a:solidFill>
              <a:schemeClr val="accent6">
                <a:lumMod val="60000"/>
                <a:lumOff val="40000"/>
              </a:schemeClr>
            </a:solidFill>
          </c:spPr>
          <c:dPt>
            <c:idx val="0"/>
            <c:spPr>
              <a:solidFill>
                <a:srgbClr val="FFFF99"/>
              </a:solidFill>
            </c:spPr>
          </c:dPt>
          <c:dPt>
            <c:idx val="1"/>
            <c:spPr>
              <a:solidFill>
                <a:srgbClr val="FF99CC"/>
              </a:solidFill>
            </c:spPr>
          </c:dPt>
          <c:dPt>
            <c:idx val="2"/>
            <c:spPr>
              <a:solidFill>
                <a:srgbClr val="FFFF99"/>
              </a:solidFill>
            </c:spPr>
          </c:dPt>
          <c:dPt>
            <c:idx val="3"/>
            <c:spPr>
              <a:solidFill>
                <a:srgbClr val="FF99CC"/>
              </a:solidFill>
            </c:spPr>
          </c:dPt>
          <c:dPt>
            <c:idx val="6"/>
            <c:spPr>
              <a:solidFill>
                <a:srgbClr val="FFFF99"/>
              </a:solidFill>
            </c:spPr>
          </c:dPt>
          <c:dPt>
            <c:idx val="7"/>
            <c:spPr>
              <a:solidFill>
                <a:srgbClr val="F3B7E2"/>
              </a:solidFill>
            </c:spPr>
          </c:dPt>
          <c:dPt>
            <c:idx val="14"/>
            <c:spPr>
              <a:solidFill>
                <a:srgbClr val="FFFF66"/>
              </a:solidFill>
            </c:spPr>
          </c:dPt>
          <c:dPt>
            <c:idx val="15"/>
            <c:spPr>
              <a:solidFill>
                <a:srgbClr val="FF99CC"/>
              </a:solidFill>
            </c:spPr>
          </c:dPt>
          <c:dLbls>
            <c:dLbl>
              <c:idx val="0"/>
              <c:layout>
                <c:manualLayout>
                  <c:x val="0"/>
                  <c:y val="-0.1498046460309482"/>
                </c:manualLayout>
              </c:layout>
              <c:showVal val="1"/>
            </c:dLbl>
            <c:dLbl>
              <c:idx val="1"/>
              <c:layout>
                <c:manualLayout>
                  <c:x val="0"/>
                  <c:y val="-0.1498046460309482"/>
                </c:manualLayout>
              </c:layout>
              <c:showVal val="1"/>
            </c:dLbl>
            <c:dLbl>
              <c:idx val="2"/>
              <c:layout>
                <c:manualLayout>
                  <c:x val="0"/>
                  <c:y val="-1.8528593542158543E-2"/>
                </c:manualLayout>
              </c:layout>
              <c:showVal val="1"/>
            </c:dLbl>
            <c:dLbl>
              <c:idx val="3"/>
              <c:layout>
                <c:manualLayout>
                  <c:x val="0"/>
                  <c:y val="-1.8538755940920183E-2"/>
                </c:manualLayout>
              </c:layout>
              <c:showVal val="1"/>
            </c:dLbl>
            <c:dLbl>
              <c:idx val="4"/>
              <c:delete val="1"/>
            </c:dLbl>
            <c:dLbl>
              <c:idx val="5"/>
              <c:delete val="1"/>
            </c:dLbl>
            <c:dLbl>
              <c:idx val="6"/>
              <c:layout>
                <c:manualLayout>
                  <c:x val="-2.7725042372444414E-3"/>
                  <c:y val="-3.4269962121394291E-2"/>
                </c:manualLayout>
              </c:layout>
              <c:showVal val="1"/>
            </c:dLbl>
            <c:dLbl>
              <c:idx val="7"/>
              <c:layout>
                <c:manualLayout>
                  <c:x val="-1.22541677050528E-3"/>
                  <c:y val="-3.4892814389489955E-2"/>
                </c:manualLayout>
              </c:layout>
              <c:showVal val="1"/>
            </c:dLbl>
            <c:dLbl>
              <c:idx val="8"/>
              <c:delete val="1"/>
            </c:dLbl>
            <c:dLbl>
              <c:idx val="9"/>
              <c:delete val="1"/>
            </c:dLbl>
            <c:dLbl>
              <c:idx val="10"/>
              <c:delete val="1"/>
            </c:dLbl>
            <c:dLbl>
              <c:idx val="11"/>
              <c:delete val="1"/>
            </c:dLbl>
            <c:dLbl>
              <c:idx val="14"/>
              <c:layout>
                <c:manualLayout>
                  <c:x val="5.0035642353562929E-4"/>
                  <c:y val="-2.9196179464823679E-2"/>
                </c:manualLayout>
              </c:layout>
              <c:showVal val="1"/>
            </c:dLbl>
            <c:dLbl>
              <c:idx val="15"/>
              <c:layout>
                <c:manualLayout>
                  <c:x val="3.5317808425422786E-3"/>
                  <c:y val="-3.2106921248175151E-2"/>
                </c:manualLayout>
              </c:layout>
              <c:showVal val="1"/>
            </c:dLbl>
            <c:dLbl>
              <c:idx val="18"/>
              <c:delete val="1"/>
            </c:dLbl>
            <c:dLbl>
              <c:idx val="19"/>
              <c:delete val="1"/>
            </c:dLbl>
            <c:dLbl>
              <c:idx val="22"/>
              <c:delete val="1"/>
            </c:dLbl>
            <c:dLbl>
              <c:idx val="23"/>
              <c:delete val="1"/>
            </c:dLbl>
            <c:numFmt formatCode="#,##0;[Red]\-#,##0" sourceLinked="0"/>
            <c:txPr>
              <a:bodyPr/>
              <a:lstStyle/>
              <a:p>
                <a:pPr>
                  <a:defRPr sz="800">
                    <a:latin typeface="Times New Roman" pitchFamily="18" charset="0"/>
                    <a:cs typeface="Times New Roman" pitchFamily="18" charset="0"/>
                  </a:defRPr>
                </a:pPr>
                <a:endParaRPr lang="zh-TW"/>
              </a:p>
            </c:txPr>
            <c:showVal val="1"/>
          </c:dLbls>
          <c:cat>
            <c:strRef>
              <c:f>'圖28(2)'!$E$6:$U$7</c:f>
              <c:strCache>
                <c:ptCount val="14"/>
                <c:pt idx="1">
                  <c:v>一般病床</c:v>
                </c:pt>
                <c:pt idx="5">
                  <c:v>精神病床</c:v>
                </c:pt>
                <c:pt idx="9">
                  <c:v>洗腎治療床</c:v>
                </c:pt>
                <c:pt idx="13">
                  <c:v>安寧療護病床</c:v>
                </c:pt>
              </c:strCache>
            </c:strRef>
          </c:cat>
          <c:val>
            <c:numRef>
              <c:f>'圖28(2)'!$D$9:$U$9</c:f>
              <c:numCache>
                <c:formatCode>General</c:formatCode>
                <c:ptCount val="18"/>
                <c:pt idx="2">
                  <c:v>576</c:v>
                </c:pt>
                <c:pt idx="3">
                  <c:v>626</c:v>
                </c:pt>
                <c:pt idx="6">
                  <c:v>53</c:v>
                </c:pt>
                <c:pt idx="7">
                  <c:v>156</c:v>
                </c:pt>
              </c:numCache>
            </c:numRef>
          </c:val>
        </c:ser>
        <c:gapWidth val="0"/>
        <c:overlap val="100"/>
        <c:axId val="283835776"/>
        <c:axId val="284009600"/>
      </c:barChart>
      <c:catAx>
        <c:axId val="283835776"/>
        <c:scaling>
          <c:orientation val="minMax"/>
        </c:scaling>
        <c:axPos val="b"/>
        <c:majorTickMark val="in"/>
        <c:tickLblPos val="none"/>
        <c:txPr>
          <a:bodyPr anchor="t" anchorCtr="0"/>
          <a:lstStyle/>
          <a:p>
            <a:pPr>
              <a:defRPr>
                <a:latin typeface="標楷體" pitchFamily="65" charset="-120"/>
                <a:ea typeface="標楷體" pitchFamily="65" charset="-120"/>
              </a:defRPr>
            </a:pPr>
            <a:endParaRPr lang="zh-TW"/>
          </a:p>
        </c:txPr>
        <c:crossAx val="284009600"/>
        <c:crosses val="autoZero"/>
        <c:auto val="1"/>
        <c:lblAlgn val="ctr"/>
        <c:lblOffset val="80"/>
        <c:tickLblSkip val="1"/>
        <c:tickMarkSkip val="4"/>
      </c:catAx>
      <c:valAx>
        <c:axId val="284009600"/>
        <c:scaling>
          <c:orientation val="minMax"/>
          <c:max val="2400"/>
          <c:min val="0"/>
        </c:scaling>
        <c:axPos val="l"/>
        <c:numFmt formatCode="#,##0;[Red]\-#,##0" sourceLinked="0"/>
        <c:majorTickMark val="in"/>
        <c:tickLblPos val="nextTo"/>
        <c:txPr>
          <a:bodyPr/>
          <a:lstStyle/>
          <a:p>
            <a:pPr>
              <a:defRPr sz="800">
                <a:latin typeface="Times New Roman" pitchFamily="18" charset="0"/>
                <a:cs typeface="Times New Roman" pitchFamily="18" charset="0"/>
              </a:defRPr>
            </a:pPr>
            <a:endParaRPr lang="zh-TW"/>
          </a:p>
        </c:txPr>
        <c:crossAx val="283835776"/>
        <c:crosses val="autoZero"/>
        <c:crossBetween val="midCat"/>
        <c:majorUnit val="500"/>
      </c:valAx>
      <c:spPr>
        <a:noFill/>
        <a:ln w="25400">
          <a:noFill/>
        </a:ln>
      </c:spPr>
    </c:plotArea>
    <c:plotVisOnly val="1"/>
  </c:chart>
  <c:spPr>
    <a:noFill/>
    <a:ln>
      <a:noFill/>
    </a:ln>
  </c:spPr>
  <c:externalData r:id="rId1"/>
  <c:userShapes r:id="rId2"/>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lgn="l">
              <a:defRPr sz="1000" b="0">
                <a:latin typeface="Times New Roman" pitchFamily="18" charset="0"/>
                <a:ea typeface="標楷體" pitchFamily="65" charset="-120"/>
                <a:cs typeface="Times New Roman" pitchFamily="18" charset="0"/>
              </a:defRPr>
            </a:pPr>
            <a:r>
              <a:rPr lang="en-US" altLang="zh-TW" sz="1000" b="0" i="0" baseline="0"/>
              <a:t>Figure 29  Penalties and Disciplinal Actions against Contracted Medical Care Institutions </a:t>
            </a:r>
            <a:endParaRPr lang="zh-TW" altLang="zh-TW" sz="1000" b="0" i="0" baseline="0"/>
          </a:p>
        </c:rich>
      </c:tx>
      <c:layout>
        <c:manualLayout>
          <c:xMode val="edge"/>
          <c:yMode val="edge"/>
          <c:x val="0.10432138915962516"/>
          <c:y val="4.6976747206644957E-2"/>
        </c:manualLayout>
      </c:layout>
      <c:overlay val="1"/>
    </c:title>
    <c:plotArea>
      <c:layout>
        <c:manualLayout>
          <c:layoutTarget val="inner"/>
          <c:xMode val="edge"/>
          <c:yMode val="edge"/>
          <c:x val="0.10285491396908718"/>
          <c:y val="0.23673194548824594"/>
          <c:w val="0.8354680664916887"/>
          <c:h val="0.66791194804962761"/>
        </c:manualLayout>
      </c:layout>
      <c:barChart>
        <c:barDir val="col"/>
        <c:grouping val="stacked"/>
        <c:ser>
          <c:idx val="0"/>
          <c:order val="0"/>
          <c:tx>
            <c:strRef>
              <c:f>圖29!$L$10</c:f>
              <c:strCache>
                <c:ptCount val="1"/>
                <c:pt idx="0">
                  <c:v>Corrections</c:v>
                </c:pt>
              </c:strCache>
            </c:strRef>
          </c:tx>
          <c:spPr>
            <a:solidFill>
              <a:srgbClr val="F3B7E2"/>
            </a:solidFill>
            <a:scene3d>
              <a:camera prst="orthographicFront"/>
              <a:lightRig rig="threePt" dir="t"/>
            </a:scene3d>
            <a:sp3d>
              <a:bevelT w="0" h="0"/>
            </a:sp3d>
          </c:spPr>
          <c:dLbls>
            <c:dLbl>
              <c:idx val="0"/>
              <c:layout>
                <c:manualLayout>
                  <c:x val="1.5634619746606007E-4"/>
                  <c:y val="0"/>
                </c:manualLayout>
              </c:layout>
              <c:showVal val="1"/>
            </c:dLbl>
            <c:dLbl>
              <c:idx val="1"/>
              <c:delete val="1"/>
            </c:dLbl>
            <c:dLbl>
              <c:idx val="2"/>
              <c:delete val="1"/>
            </c:dLbl>
            <c:dLbl>
              <c:idx val="3"/>
              <c:delete val="1"/>
            </c:dLbl>
            <c:dLbl>
              <c:idx val="4"/>
              <c:delete val="1"/>
            </c:dLbl>
            <c:dLbl>
              <c:idx val="6"/>
              <c:delete val="1"/>
            </c:dLbl>
            <c:dLbl>
              <c:idx val="7"/>
              <c:delete val="1"/>
            </c:dLbl>
            <c:dLbl>
              <c:idx val="8"/>
              <c:delete val="1"/>
            </c:dLbl>
            <c:dLbl>
              <c:idx val="9"/>
              <c:delete val="1"/>
            </c:dLbl>
            <c:dLbl>
              <c:idx val="11"/>
              <c:delete val="1"/>
            </c:dLbl>
            <c:dLbl>
              <c:idx val="12"/>
              <c:delete val="1"/>
            </c:dLbl>
            <c:dLbl>
              <c:idx val="13"/>
              <c:delete val="1"/>
            </c:dLbl>
            <c:dLbl>
              <c:idx val="14"/>
              <c:delete val="1"/>
            </c:dLbl>
            <c:txPr>
              <a:bodyPr/>
              <a:lstStyle/>
              <a:p>
                <a:pPr>
                  <a:defRPr sz="800">
                    <a:latin typeface="Times New Roman" pitchFamily="18" charset="0"/>
                    <a:cs typeface="Times New Roman" pitchFamily="18" charset="0"/>
                  </a:defRPr>
                </a:pPr>
                <a:endParaRPr lang="zh-TW"/>
              </a:p>
            </c:txPr>
            <c:showVal val="1"/>
          </c:dLbls>
          <c:cat>
            <c:numRef>
              <c:f>圖29!$K$11:$K$21</c:f>
              <c:numCache>
                <c:formatCode>General</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圖29!$L$11:$L$21</c:f>
              <c:numCache>
                <c:formatCode>General</c:formatCode>
                <c:ptCount val="11"/>
                <c:pt idx="0">
                  <c:v>295</c:v>
                </c:pt>
                <c:pt idx="1">
                  <c:v>421</c:v>
                </c:pt>
                <c:pt idx="2">
                  <c:v>412</c:v>
                </c:pt>
                <c:pt idx="3">
                  <c:v>231</c:v>
                </c:pt>
                <c:pt idx="4">
                  <c:v>192</c:v>
                </c:pt>
                <c:pt idx="5">
                  <c:v>174</c:v>
                </c:pt>
                <c:pt idx="6">
                  <c:v>165</c:v>
                </c:pt>
                <c:pt idx="7">
                  <c:v>136</c:v>
                </c:pt>
                <c:pt idx="8">
                  <c:v>68</c:v>
                </c:pt>
                <c:pt idx="9">
                  <c:v>159</c:v>
                </c:pt>
                <c:pt idx="10">
                  <c:v>81</c:v>
                </c:pt>
              </c:numCache>
            </c:numRef>
          </c:val>
        </c:ser>
        <c:ser>
          <c:idx val="1"/>
          <c:order val="1"/>
          <c:tx>
            <c:strRef>
              <c:f>圖29!$M$10</c:f>
              <c:strCache>
                <c:ptCount val="1"/>
                <c:pt idx="0">
                  <c:v>Penalties</c:v>
                </c:pt>
              </c:strCache>
            </c:strRef>
          </c:tx>
          <c:spPr>
            <a:solidFill>
              <a:srgbClr val="B9D7FF"/>
            </a:solidFill>
            <a:scene3d>
              <a:camera prst="orthographicFront"/>
              <a:lightRig rig="threePt" dir="t"/>
            </a:scene3d>
            <a:sp3d>
              <a:bevelT w="0" h="0"/>
            </a:sp3d>
          </c:spPr>
          <c:dLbls>
            <c:dLbl>
              <c:idx val="0"/>
              <c:layout>
                <c:manualLayout>
                  <c:x val="-4.1152263374485704E-3"/>
                  <c:y val="6.304174952271935E-3"/>
                </c:manualLayout>
              </c:layout>
              <c:showVal val="1"/>
            </c:dLbl>
            <c:dLbl>
              <c:idx val="1"/>
              <c:delete val="1"/>
            </c:dLbl>
            <c:dLbl>
              <c:idx val="2"/>
              <c:delete val="1"/>
            </c:dLbl>
            <c:dLbl>
              <c:idx val="3"/>
              <c:delete val="1"/>
            </c:dLbl>
            <c:dLbl>
              <c:idx val="4"/>
              <c:delete val="1"/>
            </c:dLbl>
            <c:dLbl>
              <c:idx val="5"/>
              <c:layout>
                <c:manualLayout>
                  <c:x val="0"/>
                  <c:y val="-0.15130019885452703"/>
                </c:manualLayout>
              </c:layout>
              <c:showVal val="1"/>
            </c:dLbl>
            <c:dLbl>
              <c:idx val="6"/>
              <c:delete val="1"/>
            </c:dLbl>
            <c:dLbl>
              <c:idx val="7"/>
              <c:delete val="1"/>
            </c:dLbl>
            <c:dLbl>
              <c:idx val="8"/>
              <c:delete val="1"/>
            </c:dLbl>
            <c:dLbl>
              <c:idx val="9"/>
              <c:delete val="1"/>
            </c:dLbl>
            <c:dLbl>
              <c:idx val="11"/>
              <c:delete val="1"/>
            </c:dLbl>
            <c:dLbl>
              <c:idx val="12"/>
              <c:delete val="1"/>
            </c:dLbl>
            <c:dLbl>
              <c:idx val="13"/>
              <c:delete val="1"/>
            </c:dLbl>
            <c:dLbl>
              <c:idx val="14"/>
              <c:delete val="1"/>
            </c:dLbl>
            <c:txPr>
              <a:bodyPr/>
              <a:lstStyle/>
              <a:p>
                <a:pPr>
                  <a:defRPr sz="800">
                    <a:latin typeface="Times New Roman" pitchFamily="18" charset="0"/>
                    <a:cs typeface="Times New Roman" pitchFamily="18" charset="0"/>
                  </a:defRPr>
                </a:pPr>
                <a:endParaRPr lang="zh-TW"/>
              </a:p>
            </c:txPr>
            <c:showVal val="1"/>
          </c:dLbls>
          <c:cat>
            <c:numRef>
              <c:f>圖29!$K$11:$K$21</c:f>
              <c:numCache>
                <c:formatCode>General</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圖29!$M$11:$M$21</c:f>
              <c:numCache>
                <c:formatCode>General</c:formatCode>
                <c:ptCount val="11"/>
                <c:pt idx="0">
                  <c:v>135</c:v>
                </c:pt>
                <c:pt idx="1">
                  <c:v>288</c:v>
                </c:pt>
                <c:pt idx="2">
                  <c:v>853</c:v>
                </c:pt>
                <c:pt idx="3">
                  <c:v>1019</c:v>
                </c:pt>
                <c:pt idx="4">
                  <c:v>568</c:v>
                </c:pt>
                <c:pt idx="5">
                  <c:v>885</c:v>
                </c:pt>
                <c:pt idx="6">
                  <c:v>241</c:v>
                </c:pt>
                <c:pt idx="7">
                  <c:v>154</c:v>
                </c:pt>
                <c:pt idx="8">
                  <c:v>234</c:v>
                </c:pt>
                <c:pt idx="9">
                  <c:v>215</c:v>
                </c:pt>
                <c:pt idx="10">
                  <c:v>204</c:v>
                </c:pt>
              </c:numCache>
            </c:numRef>
          </c:val>
        </c:ser>
        <c:ser>
          <c:idx val="2"/>
          <c:order val="2"/>
          <c:tx>
            <c:strRef>
              <c:f>圖29!$N$10</c:f>
              <c:strCache>
                <c:ptCount val="1"/>
                <c:pt idx="0">
                  <c:v>Suspension of Contract for 1 Month to 3 Months</c:v>
                </c:pt>
              </c:strCache>
            </c:strRef>
          </c:tx>
          <c:spPr>
            <a:solidFill>
              <a:srgbClr val="FFFF99">
                <a:alpha val="80000"/>
              </a:srgbClr>
            </a:solidFill>
            <a:scene3d>
              <a:camera prst="orthographicFront"/>
              <a:lightRig rig="threePt" dir="t"/>
            </a:scene3d>
            <a:sp3d>
              <a:bevelT w="0" h="0"/>
            </a:sp3d>
          </c:spPr>
          <c:dLbls>
            <c:dLbl>
              <c:idx val="0"/>
              <c:layout>
                <c:manualLayout>
                  <c:x val="-2.0054437639739479E-3"/>
                  <c:y val="-1.0350015735617979E-2"/>
                </c:manualLayout>
              </c:layout>
              <c:showVal val="1"/>
            </c:dLbl>
            <c:dLbl>
              <c:idx val="1"/>
              <c:delete val="1"/>
            </c:dLbl>
            <c:dLbl>
              <c:idx val="2"/>
              <c:delete val="1"/>
            </c:dLbl>
            <c:dLbl>
              <c:idx val="3"/>
              <c:delete val="1"/>
            </c:dLbl>
            <c:dLbl>
              <c:idx val="4"/>
              <c:delete val="1"/>
            </c:dLbl>
            <c:dLbl>
              <c:idx val="6"/>
              <c:delete val="1"/>
            </c:dLbl>
            <c:dLbl>
              <c:idx val="7"/>
              <c:delete val="1"/>
            </c:dLbl>
            <c:dLbl>
              <c:idx val="8"/>
              <c:delete val="1"/>
            </c:dLbl>
            <c:dLbl>
              <c:idx val="9"/>
              <c:delete val="1"/>
            </c:dLbl>
            <c:dLbl>
              <c:idx val="11"/>
              <c:delete val="1"/>
            </c:dLbl>
            <c:dLbl>
              <c:idx val="12"/>
              <c:delete val="1"/>
            </c:dLbl>
            <c:dLbl>
              <c:idx val="13"/>
              <c:delete val="1"/>
            </c:dLbl>
            <c:dLbl>
              <c:idx val="14"/>
              <c:delete val="1"/>
            </c:dLbl>
            <c:txPr>
              <a:bodyPr/>
              <a:lstStyle/>
              <a:p>
                <a:pPr>
                  <a:defRPr sz="800">
                    <a:latin typeface="Times New Roman" pitchFamily="18" charset="0"/>
                    <a:cs typeface="Times New Roman" pitchFamily="18" charset="0"/>
                  </a:defRPr>
                </a:pPr>
                <a:endParaRPr lang="zh-TW"/>
              </a:p>
            </c:txPr>
            <c:showVal val="1"/>
          </c:dLbls>
          <c:cat>
            <c:numRef>
              <c:f>圖29!$K$11:$K$21</c:f>
              <c:numCache>
                <c:formatCode>General</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圖29!$N$11:$N$21</c:f>
              <c:numCache>
                <c:formatCode>General</c:formatCode>
                <c:ptCount val="11"/>
                <c:pt idx="0">
                  <c:v>238</c:v>
                </c:pt>
                <c:pt idx="1">
                  <c:v>56</c:v>
                </c:pt>
                <c:pt idx="2">
                  <c:v>162</c:v>
                </c:pt>
                <c:pt idx="3">
                  <c:v>90</c:v>
                </c:pt>
                <c:pt idx="4">
                  <c:v>228</c:v>
                </c:pt>
                <c:pt idx="5">
                  <c:v>224</c:v>
                </c:pt>
                <c:pt idx="6">
                  <c:v>149</c:v>
                </c:pt>
                <c:pt idx="7">
                  <c:v>138</c:v>
                </c:pt>
                <c:pt idx="8">
                  <c:v>207</c:v>
                </c:pt>
                <c:pt idx="9">
                  <c:v>114</c:v>
                </c:pt>
                <c:pt idx="10">
                  <c:v>111</c:v>
                </c:pt>
              </c:numCache>
            </c:numRef>
          </c:val>
        </c:ser>
        <c:ser>
          <c:idx val="3"/>
          <c:order val="3"/>
          <c:tx>
            <c:strRef>
              <c:f>圖29!$O$10</c:f>
              <c:strCache>
                <c:ptCount val="1"/>
                <c:pt idx="0">
                  <c:v>Termination of Contract</c:v>
                </c:pt>
              </c:strCache>
            </c:strRef>
          </c:tx>
          <c:spPr>
            <a:solidFill>
              <a:srgbClr val="C3D69B"/>
            </a:solidFill>
            <a:scene3d>
              <a:camera prst="orthographicFront"/>
              <a:lightRig rig="threePt" dir="t"/>
            </a:scene3d>
            <a:sp3d>
              <a:bevelT w="0" h="0"/>
            </a:sp3d>
          </c:spPr>
          <c:dLbls>
            <c:dLbl>
              <c:idx val="0"/>
              <c:layout>
                <c:manualLayout>
                  <c:x val="-2.1097825734746152E-3"/>
                  <c:y val="-2.769841025585025E-2"/>
                </c:manualLayout>
              </c:layout>
              <c:showVal val="1"/>
            </c:dLbl>
            <c:dLbl>
              <c:idx val="1"/>
              <c:delete val="1"/>
            </c:dLbl>
            <c:dLbl>
              <c:idx val="2"/>
              <c:delete val="1"/>
            </c:dLbl>
            <c:dLbl>
              <c:idx val="3"/>
              <c:delete val="1"/>
            </c:dLbl>
            <c:dLbl>
              <c:idx val="4"/>
              <c:delete val="1"/>
            </c:dLbl>
            <c:dLbl>
              <c:idx val="5"/>
              <c:layout>
                <c:manualLayout>
                  <c:x val="1.8518518518518593E-3"/>
                  <c:y val="-2.5216699809087733E-2"/>
                </c:manualLayout>
              </c:layout>
              <c:showVal val="1"/>
            </c:dLbl>
            <c:dLbl>
              <c:idx val="6"/>
              <c:delete val="1"/>
            </c:dLbl>
            <c:dLbl>
              <c:idx val="7"/>
              <c:delete val="1"/>
            </c:dLbl>
            <c:dLbl>
              <c:idx val="8"/>
              <c:delete val="1"/>
            </c:dLbl>
            <c:dLbl>
              <c:idx val="9"/>
              <c:delete val="1"/>
            </c:dLbl>
            <c:dLbl>
              <c:idx val="10"/>
              <c:layout>
                <c:manualLayout>
                  <c:x val="0"/>
                  <c:y val="-1.8912524856815886E-2"/>
                </c:manualLayout>
              </c:layout>
              <c:showVal val="1"/>
            </c:dLbl>
            <c:dLbl>
              <c:idx val="11"/>
              <c:delete val="1"/>
            </c:dLbl>
            <c:dLbl>
              <c:idx val="12"/>
              <c:delete val="1"/>
            </c:dLbl>
            <c:dLbl>
              <c:idx val="13"/>
              <c:delete val="1"/>
            </c:dLbl>
            <c:dLbl>
              <c:idx val="14"/>
              <c:delete val="1"/>
            </c:dLbl>
            <c:dLbl>
              <c:idx val="15"/>
              <c:layout>
                <c:manualLayout>
                  <c:x val="0"/>
                  <c:y val="-2.8301879784608592E-2"/>
                </c:manualLayout>
              </c:layout>
              <c:showVal val="1"/>
            </c:dLbl>
            <c:dLbl>
              <c:idx val="16"/>
              <c:layout>
                <c:manualLayout>
                  <c:x val="1.8518518518518628E-3"/>
                  <c:y val="-1.8867919856405721E-2"/>
                </c:manualLayout>
              </c:layout>
              <c:showVal val="1"/>
            </c:dLbl>
            <c:txPr>
              <a:bodyPr/>
              <a:lstStyle/>
              <a:p>
                <a:pPr>
                  <a:defRPr sz="800">
                    <a:latin typeface="Times New Roman" pitchFamily="18" charset="0"/>
                    <a:cs typeface="Times New Roman" pitchFamily="18" charset="0"/>
                  </a:defRPr>
                </a:pPr>
                <a:endParaRPr lang="zh-TW"/>
              </a:p>
            </c:txPr>
            <c:showVal val="1"/>
          </c:dLbls>
          <c:cat>
            <c:numRef>
              <c:f>圖29!$K$11:$K$21</c:f>
              <c:numCache>
                <c:formatCode>General</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圖29!$O$11:$O$21</c:f>
              <c:numCache>
                <c:formatCode>General</c:formatCode>
                <c:ptCount val="11"/>
                <c:pt idx="0">
                  <c:v>33</c:v>
                </c:pt>
                <c:pt idx="1">
                  <c:v>25</c:v>
                </c:pt>
                <c:pt idx="2">
                  <c:v>11</c:v>
                </c:pt>
                <c:pt idx="3">
                  <c:v>4</c:v>
                </c:pt>
                <c:pt idx="4">
                  <c:v>11</c:v>
                </c:pt>
                <c:pt idx="5">
                  <c:v>26</c:v>
                </c:pt>
                <c:pt idx="6">
                  <c:v>17</c:v>
                </c:pt>
                <c:pt idx="7">
                  <c:v>18</c:v>
                </c:pt>
                <c:pt idx="8">
                  <c:v>27</c:v>
                </c:pt>
                <c:pt idx="9">
                  <c:v>53</c:v>
                </c:pt>
                <c:pt idx="10">
                  <c:v>24</c:v>
                </c:pt>
              </c:numCache>
            </c:numRef>
          </c:val>
        </c:ser>
        <c:gapWidth val="56"/>
        <c:overlap val="100"/>
        <c:axId val="284164096"/>
        <c:axId val="284165632"/>
      </c:barChart>
      <c:catAx>
        <c:axId val="284164096"/>
        <c:scaling>
          <c:orientation val="minMax"/>
        </c:scaling>
        <c:axPos val="b"/>
        <c:numFmt formatCode="General" sourceLinked="1"/>
        <c:majorTickMark val="in"/>
        <c:tickLblPos val="nextTo"/>
        <c:txPr>
          <a:bodyPr/>
          <a:lstStyle/>
          <a:p>
            <a:pPr>
              <a:defRPr sz="800" baseline="0">
                <a:latin typeface="Times New Roman" pitchFamily="18" charset="0"/>
                <a:cs typeface="Times New Roman" pitchFamily="18" charset="0"/>
              </a:defRPr>
            </a:pPr>
            <a:endParaRPr lang="zh-TW"/>
          </a:p>
        </c:txPr>
        <c:crossAx val="284165632"/>
        <c:crosses val="autoZero"/>
        <c:auto val="1"/>
        <c:lblAlgn val="ctr"/>
        <c:lblOffset val="100"/>
        <c:tickLblSkip val="1"/>
      </c:catAx>
      <c:valAx>
        <c:axId val="284165632"/>
        <c:scaling>
          <c:orientation val="minMax"/>
        </c:scaling>
        <c:axPos val="l"/>
        <c:title>
          <c:tx>
            <c:rich>
              <a:bodyPr rot="0" vert="horz"/>
              <a:lstStyle/>
              <a:p>
                <a:pPr>
                  <a:defRPr sz="800" b="0" baseline="0">
                    <a:latin typeface="Times New Roman" pitchFamily="18" charset="0"/>
                  </a:defRPr>
                </a:pPr>
                <a:r>
                  <a:rPr lang="en-US" altLang="zh-TW" sz="800" b="0" baseline="0">
                    <a:latin typeface="Times New Roman" pitchFamily="18" charset="0"/>
                    <a:ea typeface="標楷體" pitchFamily="65" charset="-120"/>
                  </a:rPr>
                  <a:t>No.</a:t>
                </a:r>
                <a:endParaRPr lang="zh-TW" altLang="en-US" sz="800" b="0" baseline="0">
                  <a:latin typeface="Times New Roman" pitchFamily="18" charset="0"/>
                  <a:ea typeface="標楷體" pitchFamily="65" charset="-120"/>
                </a:endParaRPr>
              </a:p>
            </c:rich>
          </c:tx>
          <c:layout>
            <c:manualLayout>
              <c:xMode val="edge"/>
              <c:yMode val="edge"/>
              <c:x val="5.6567366579177478E-2"/>
              <c:y val="0.15379357450690961"/>
            </c:manualLayout>
          </c:layout>
        </c:title>
        <c:numFmt formatCode="#,##0;[Red]\-#,##0" sourceLinked="0"/>
        <c:majorTickMark val="in"/>
        <c:tickLblPos val="nextTo"/>
        <c:txPr>
          <a:bodyPr/>
          <a:lstStyle/>
          <a:p>
            <a:pPr>
              <a:defRPr sz="800">
                <a:latin typeface="Times New Roman" pitchFamily="18" charset="0"/>
                <a:cs typeface="Times New Roman" pitchFamily="18" charset="0"/>
              </a:defRPr>
            </a:pPr>
            <a:endParaRPr lang="zh-TW"/>
          </a:p>
        </c:txPr>
        <c:crossAx val="284164096"/>
        <c:crosses val="autoZero"/>
        <c:crossBetween val="between"/>
      </c:valAx>
    </c:plotArea>
    <c:legend>
      <c:legendPos val="r"/>
      <c:layout>
        <c:manualLayout>
          <c:xMode val="edge"/>
          <c:yMode val="edge"/>
          <c:x val="0.53932955152628193"/>
          <c:y val="0.19913690930403977"/>
          <c:w val="0.41439197752127188"/>
          <c:h val="0.1797251617889162"/>
        </c:manualLayout>
      </c:layout>
      <c:txPr>
        <a:bodyPr/>
        <a:lstStyle/>
        <a:p>
          <a:pPr>
            <a:defRPr sz="800" baseline="0">
              <a:latin typeface="Times New Roman" pitchFamily="18" charset="0"/>
              <a:ea typeface="標楷體" pitchFamily="65" charset="-120"/>
              <a:cs typeface="Times New Roman" pitchFamily="18" charset="0"/>
            </a:defRPr>
          </a:pPr>
          <a:endParaRPr lang="zh-TW"/>
        </a:p>
      </c:txPr>
    </c:legend>
    <c:plotVisOnly val="1"/>
    <c:dispBlanksAs val="gap"/>
  </c:chart>
  <c:spPr>
    <a:gradFill>
      <a:gsLst>
        <a:gs pos="0">
          <a:sysClr val="window" lastClr="FFFFFF"/>
        </a:gs>
        <a:gs pos="50000">
          <a:sysClr val="window" lastClr="FFFFFF"/>
        </a:gs>
        <a:gs pos="100000">
          <a:sysClr val="window" lastClr="FFFFFF"/>
        </a:gs>
      </a:gsLst>
      <a:lin ang="5400000" scaled="0"/>
    </a:gradFill>
    <a:ln>
      <a:noFill/>
    </a:ln>
  </c:spPr>
  <c:externalData r:id="rId1"/>
</c:chartSpace>
</file>

<file path=word/drawings/drawing1.xml><?xml version="1.0" encoding="utf-8"?>
<c:userShapes xmlns:c="http://schemas.openxmlformats.org/drawingml/2006/chart">
  <cdr:relSizeAnchor xmlns:cdr="http://schemas.openxmlformats.org/drawingml/2006/chartDrawing">
    <cdr:from>
      <cdr:x>0.92318</cdr:x>
      <cdr:y>0.09988</cdr:y>
    </cdr:from>
    <cdr:to>
      <cdr:x>0.95386</cdr:x>
      <cdr:y>0.13922</cdr:y>
    </cdr:to>
    <cdr:sp macro="" textlink="">
      <cdr:nvSpPr>
        <cdr:cNvPr id="25601" name="Text Box 1"/>
        <cdr:cNvSpPr txBox="1">
          <a:spLocks xmlns:a="http://schemas.openxmlformats.org/drawingml/2006/main" noChangeArrowheads="1"/>
        </cdr:cNvSpPr>
      </cdr:nvSpPr>
      <cdr:spPr bwMode="auto">
        <a:xfrm xmlns:a="http://schemas.openxmlformats.org/drawingml/2006/main">
          <a:off x="5064945" y="344979"/>
          <a:ext cx="168322" cy="135871"/>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36576" tIns="27432" rIns="36576" bIns="27432" anchor="ctr" upright="1"/>
        <a:lstStyle xmlns:a="http://schemas.openxmlformats.org/drawingml/2006/main"/>
        <a:p xmlns:a="http://schemas.openxmlformats.org/drawingml/2006/main">
          <a:pPr algn="ctr" rtl="0">
            <a:defRPr sz="1000"/>
          </a:pPr>
          <a:r>
            <a:rPr lang="en-US" altLang="zh-TW" sz="800" b="0" i="0" u="none" strike="noStrike" baseline="0">
              <a:solidFill>
                <a:srgbClr val="000000"/>
              </a:solidFill>
              <a:latin typeface="Times New Roman" pitchFamily="18" charset="0"/>
              <a:cs typeface="Times New Roman" pitchFamily="18" charset="0"/>
            </a:rPr>
            <a:t>%</a:t>
          </a:r>
        </a:p>
      </cdr:txBody>
    </cdr:sp>
  </cdr:relSizeAnchor>
</c:userShapes>
</file>

<file path=word/drawings/drawing2.xml><?xml version="1.0" encoding="utf-8"?>
<c:userShapes xmlns:c="http://schemas.openxmlformats.org/drawingml/2006/chart">
  <cdr:relSizeAnchor xmlns:cdr="http://schemas.openxmlformats.org/drawingml/2006/chartDrawing">
    <cdr:from>
      <cdr:x>0.09365</cdr:x>
      <cdr:y>0.84416</cdr:y>
    </cdr:from>
    <cdr:to>
      <cdr:x>0.72222</cdr:x>
      <cdr:y>1</cdr:y>
    </cdr:to>
    <cdr:sp macro="" textlink="">
      <cdr:nvSpPr>
        <cdr:cNvPr id="2" name="文字方塊 1"/>
        <cdr:cNvSpPr txBox="1"/>
      </cdr:nvSpPr>
      <cdr:spPr>
        <a:xfrm xmlns:a="http://schemas.openxmlformats.org/drawingml/2006/main">
          <a:off x="749300" y="4953000"/>
          <a:ext cx="50292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zh-TW" altLang="en-US" sz="1100"/>
        </a:p>
      </cdr:txBody>
    </cdr:sp>
  </cdr:relSizeAnchor>
  <cdr:relSizeAnchor xmlns:cdr="http://schemas.openxmlformats.org/drawingml/2006/chartDrawing">
    <cdr:from>
      <cdr:x>0.04444</cdr:x>
      <cdr:y>0.91342</cdr:y>
    </cdr:from>
    <cdr:to>
      <cdr:x>0.98238</cdr:x>
      <cdr:y>0.98239</cdr:y>
    </cdr:to>
    <cdr:sp macro="" textlink="">
      <cdr:nvSpPr>
        <cdr:cNvPr id="3" name="文字方塊 2"/>
        <cdr:cNvSpPr txBox="1"/>
      </cdr:nvSpPr>
      <cdr:spPr>
        <a:xfrm xmlns:a="http://schemas.openxmlformats.org/drawingml/2006/main">
          <a:off x="243816" y="2711020"/>
          <a:ext cx="5145897" cy="204707"/>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endParaRPr lang="zh-TW" altLang="en-US" sz="1100"/>
        </a:p>
      </cdr:txBody>
    </cdr:sp>
  </cdr:relSizeAnchor>
  <cdr:relSizeAnchor xmlns:cdr="http://schemas.openxmlformats.org/drawingml/2006/chartDrawing">
    <cdr:from>
      <cdr:x>0.05156</cdr:x>
      <cdr:y>0.92381</cdr:y>
    </cdr:from>
    <cdr:to>
      <cdr:x>0.99967</cdr:x>
      <cdr:y>0.99983</cdr:y>
    </cdr:to>
    <cdr:sp macro="" textlink="">
      <cdr:nvSpPr>
        <cdr:cNvPr id="4" name="文字方塊 3"/>
        <cdr:cNvSpPr txBox="1"/>
      </cdr:nvSpPr>
      <cdr:spPr>
        <a:xfrm xmlns:a="http://schemas.openxmlformats.org/drawingml/2006/main">
          <a:off x="282874" y="2741861"/>
          <a:ext cx="5201729" cy="225626"/>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altLang="zh-TW" sz="800">
              <a:latin typeface="Times New Roman" pitchFamily="18" charset="0"/>
              <a:ea typeface="+mn-ea"/>
              <a:cs typeface="Times New Roman" pitchFamily="18" charset="0"/>
            </a:rPr>
            <a:t>Note: Hospitals include 22 Academic Medical Centers, 83 Metropolitan Hospitals and 374  Local Community Hospitals</a:t>
          </a:r>
          <a:r>
            <a:rPr lang="en-US" altLang="zh-TW" sz="800" b="0" baseline="0">
              <a:latin typeface="Times New Roman" pitchFamily="18" charset="0"/>
              <a:ea typeface="+mn-ea"/>
              <a:cs typeface="Times New Roman" pitchFamily="18" charset="0"/>
            </a:rPr>
            <a:t>.</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0.50083</cdr:x>
      <cdr:y>0.84041</cdr:y>
    </cdr:from>
    <cdr:to>
      <cdr:x>0.83233</cdr:x>
      <cdr:y>0.89685</cdr:y>
    </cdr:to>
    <cdr:sp macro="" textlink="">
      <cdr:nvSpPr>
        <cdr:cNvPr id="6" name="文字方塊 5"/>
        <cdr:cNvSpPr txBox="1"/>
      </cdr:nvSpPr>
      <cdr:spPr>
        <a:xfrm xmlns:a="http://schemas.openxmlformats.org/drawingml/2006/main">
          <a:off x="2747736" y="2494328"/>
          <a:ext cx="1818742" cy="167514"/>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altLang="zh-TW" sz="800" b="0">
              <a:latin typeface="Times New Roman" pitchFamily="18" charset="0"/>
              <a:ea typeface="+mn-ea"/>
              <a:cs typeface="Times New Roman" pitchFamily="18" charset="0"/>
            </a:rPr>
            <a:t>Providing </a:t>
          </a:r>
          <a:r>
            <a:rPr lang="en-US" altLang="zh-TW" sz="800" b="0" baseline="0">
              <a:latin typeface="Times New Roman" pitchFamily="18" charset="0"/>
              <a:ea typeface="+mn-ea"/>
              <a:cs typeface="Times New Roman" pitchFamily="18" charset="0"/>
            </a:rPr>
            <a:t>Outpatient</a:t>
          </a:r>
          <a:r>
            <a:rPr lang="en-US" altLang="zh-TW" sz="800" b="0">
              <a:latin typeface="Times New Roman" pitchFamily="18" charset="0"/>
              <a:ea typeface="+mn-ea"/>
              <a:cs typeface="Times New Roman" pitchFamily="18" charset="0"/>
            </a:rPr>
            <a:t> Services Only</a:t>
          </a:r>
          <a:r>
            <a:rPr lang="zh-TW" altLang="zh-TW" sz="800" b="0">
              <a:latin typeface="Times New Roman" pitchFamily="18" charset="0"/>
              <a:ea typeface="+mn-ea"/>
              <a:cs typeface="Times New Roman" pitchFamily="18" charset="0"/>
            </a:rPr>
            <a:t> </a:t>
          </a:r>
          <a:endParaRPr lang="zh-TW" altLang="zh-TW" sz="800">
            <a:latin typeface="Times New Roman" pitchFamily="18" charset="0"/>
            <a:ea typeface="+mn-ea"/>
            <a:cs typeface="Times New Roman" pitchFamily="18" charset="0"/>
          </a:endParaRPr>
        </a:p>
      </cdr:txBody>
    </cdr:sp>
  </cdr:relSizeAnchor>
  <cdr:relSizeAnchor xmlns:cdr="http://schemas.openxmlformats.org/drawingml/2006/chartDrawing">
    <cdr:from>
      <cdr:x>0.1661</cdr:x>
      <cdr:y>0.82456</cdr:y>
    </cdr:from>
    <cdr:to>
      <cdr:x>0.4456</cdr:x>
      <cdr:y>0.90476</cdr:y>
    </cdr:to>
    <cdr:sp macro="" textlink="">
      <cdr:nvSpPr>
        <cdr:cNvPr id="18" name="文字方塊 1"/>
        <cdr:cNvSpPr txBox="1"/>
      </cdr:nvSpPr>
      <cdr:spPr>
        <a:xfrm xmlns:a="http://schemas.openxmlformats.org/drawingml/2006/main">
          <a:off x="1003039" y="2611438"/>
          <a:ext cx="1687858" cy="254000"/>
        </a:xfrm>
        <a:prstGeom xmlns:a="http://schemas.openxmlformats.org/drawingml/2006/main" prst="rect">
          <a:avLst/>
        </a:prstGeom>
      </cdr:spPr>
      <cdr:txBody>
        <a:bodyPr xmlns:a="http://schemas.openxmlformats.org/drawingml/2006/main" wrap="square" rtlCol="0" anchor="t"/>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ctr" eaLnBrk="1" fontAlgn="auto" latinLnBrk="0" hangingPunct="1"/>
          <a:r>
            <a:rPr lang="en-US" altLang="zh-TW" sz="800" b="0">
              <a:latin typeface="Times New Roman" pitchFamily="18" charset="0"/>
              <a:ea typeface="+mn-ea"/>
              <a:cs typeface="Times New Roman" pitchFamily="18" charset="0"/>
            </a:rPr>
            <a:t>Providing both Inpatient and Outpatient Services</a:t>
          </a:r>
          <a:endParaRPr lang="zh-TW" altLang="zh-TW" sz="800" b="0">
            <a:latin typeface="Times New Roman" pitchFamily="18" charset="0"/>
            <a:ea typeface="+mn-ea"/>
            <a:cs typeface="Times New Roman" pitchFamily="18" charset="0"/>
          </a:endParaRPr>
        </a:p>
        <a:p xmlns:a="http://schemas.openxmlformats.org/drawingml/2006/main">
          <a:pPr algn="ctr"/>
          <a:endParaRPr lang="zh-TW" altLang="en-US" sz="800" b="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0.26225</cdr:x>
      <cdr:y>0</cdr:y>
    </cdr:from>
    <cdr:to>
      <cdr:x>0.76183</cdr:x>
      <cdr:y>0.1183</cdr:y>
    </cdr:to>
    <cdr:sp macro="" textlink="">
      <cdr:nvSpPr>
        <cdr:cNvPr id="9" name="文字方塊 1"/>
        <cdr:cNvSpPr txBox="1"/>
      </cdr:nvSpPr>
      <cdr:spPr>
        <a:xfrm xmlns:a="http://schemas.openxmlformats.org/drawingml/2006/main">
          <a:off x="1438815" y="0"/>
          <a:ext cx="2740889" cy="35111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1000" b="0" i="0" baseline="0">
              <a:latin typeface="Times New Roman" pitchFamily="18" charset="0"/>
              <a:ea typeface="+mn-ea"/>
              <a:cs typeface="Times New Roman" pitchFamily="18" charset="0"/>
            </a:rPr>
            <a:t>Figure 20   Contracted Medical Care Institutions </a:t>
          </a:r>
          <a:endParaRPr lang="zh-TW" altLang="zh-TW" sz="1000">
            <a:latin typeface="Times New Roman" pitchFamily="18" charset="0"/>
            <a:cs typeface="Times New Roman" pitchFamily="18" charset="0"/>
          </a:endParaRPr>
        </a:p>
        <a:p xmlns:a="http://schemas.openxmlformats.org/drawingml/2006/main">
          <a:r>
            <a:rPr lang="en-US" altLang="zh-TW" sz="800" b="0" i="0" baseline="0">
              <a:latin typeface="Times New Roman" pitchFamily="18" charset="0"/>
              <a:ea typeface="+mn-ea"/>
              <a:cs typeface="Times New Roman" pitchFamily="18" charset="0"/>
            </a:rPr>
            <a:t>                                         </a:t>
          </a:r>
        </a:p>
        <a:p xmlns:a="http://schemas.openxmlformats.org/drawingml/2006/main">
          <a:r>
            <a:rPr lang="en-US" altLang="zh-TW" sz="800" b="0" i="0" baseline="0">
              <a:latin typeface="Times New Roman" pitchFamily="18" charset="0"/>
              <a:ea typeface="+mn-ea"/>
              <a:cs typeface="Times New Roman" pitchFamily="18" charset="0"/>
            </a:rPr>
            <a:t>                                            End of  2011</a:t>
          </a:r>
          <a:endParaRPr lang="zh-TW" altLang="zh-TW" sz="800" b="0">
            <a:latin typeface="Times New Roman" pitchFamily="18" charset="0"/>
            <a:ea typeface="+mn-ea"/>
            <a:cs typeface="Times New Roman" pitchFamily="18" charset="0"/>
          </a:endParaRPr>
        </a:p>
        <a:p xmlns:a="http://schemas.openxmlformats.org/drawingml/2006/main">
          <a:pPr algn="ctr" rtl="0">
            <a:defRPr sz="1200" b="1" i="0" u="none" strike="noStrike" kern="1200" baseline="0">
              <a:solidFill>
                <a:sysClr val="windowText" lastClr="000000"/>
              </a:solidFill>
              <a:latin typeface="+mn-lt"/>
              <a:ea typeface="+mn-ea"/>
              <a:cs typeface="+mn-cs"/>
            </a:defRPr>
          </a:pPr>
          <a:endParaRPr lang="zh-TW" altLang="en-US" sz="800" b="0">
            <a:latin typeface="標楷體" pitchFamily="65" charset="-120"/>
            <a:ea typeface="標楷體" pitchFamily="65" charset="-120"/>
          </a:endParaRPr>
        </a:p>
        <a:p xmlns:a="http://schemas.openxmlformats.org/drawingml/2006/main">
          <a:pPr algn="ctr"/>
          <a:endParaRPr lang="zh-TW" altLang="en-US" sz="1000" b="0">
            <a:latin typeface="Times New Roman" pitchFamily="18" charset="0"/>
            <a:cs typeface="Times New Roman" pitchFamily="18" charset="0"/>
          </a:endParaRPr>
        </a:p>
      </cdr:txBody>
    </cdr:sp>
  </cdr:relSizeAnchor>
  <cdr:relSizeAnchor xmlns:cdr="http://schemas.openxmlformats.org/drawingml/2006/chartDrawing">
    <cdr:from>
      <cdr:x>0.09365</cdr:x>
      <cdr:y>0.87647</cdr:y>
    </cdr:from>
    <cdr:to>
      <cdr:x>0.72222</cdr:x>
      <cdr:y>1</cdr:y>
    </cdr:to>
    <cdr:sp macro="" textlink="">
      <cdr:nvSpPr>
        <cdr:cNvPr id="7" name="文字方塊 1"/>
        <cdr:cNvSpPr txBox="1"/>
      </cdr:nvSpPr>
      <cdr:spPr>
        <a:xfrm xmlns:a="http://schemas.openxmlformats.org/drawingml/2006/main">
          <a:off x="565538" y="2714625"/>
          <a:ext cx="3795840" cy="382588"/>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zh-TW" altLang="en-US" sz="1100"/>
        </a:p>
      </cdr:txBody>
    </cdr:sp>
  </cdr:relSizeAnchor>
  <cdr:relSizeAnchor xmlns:cdr="http://schemas.openxmlformats.org/drawingml/2006/chartDrawing">
    <cdr:from>
      <cdr:x>0.0264</cdr:x>
      <cdr:y>0.9198</cdr:y>
    </cdr:from>
    <cdr:to>
      <cdr:x>0.99967</cdr:x>
      <cdr:y>0.97658</cdr:y>
    </cdr:to>
    <cdr:sp macro="" textlink="">
      <cdr:nvSpPr>
        <cdr:cNvPr id="8" name="文字方塊 2"/>
        <cdr:cNvSpPr txBox="1"/>
      </cdr:nvSpPr>
      <cdr:spPr>
        <a:xfrm xmlns:a="http://schemas.openxmlformats.org/drawingml/2006/main">
          <a:off x="144853" y="2729956"/>
          <a:ext cx="5339750" cy="168519"/>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endParaRPr lang="zh-TW" altLang="en-US" sz="1100"/>
        </a:p>
      </cdr:txBody>
    </cdr:sp>
  </cdr:relSizeAnchor>
  <cdr:relSizeAnchor xmlns:cdr="http://schemas.openxmlformats.org/drawingml/2006/chartDrawing">
    <cdr:from>
      <cdr:x>0.2473</cdr:x>
      <cdr:y>0.80616</cdr:y>
    </cdr:from>
    <cdr:to>
      <cdr:x>0.35883</cdr:x>
      <cdr:y>0.83727</cdr:y>
    </cdr:to>
    <cdr:sp macro="" textlink="">
      <cdr:nvSpPr>
        <cdr:cNvPr id="12" name="文字方塊 4"/>
        <cdr:cNvSpPr txBox="1"/>
      </cdr:nvSpPr>
      <cdr:spPr>
        <a:xfrm xmlns:a="http://schemas.openxmlformats.org/drawingml/2006/main" rot="16200000">
          <a:off x="1779995" y="2313905"/>
          <a:ext cx="100350" cy="673539"/>
        </a:xfrm>
        <a:prstGeom xmlns:a="http://schemas.openxmlformats.org/drawingml/2006/main" prst="leftBrace">
          <a:avLst>
            <a:gd name="adj1" fmla="val 24033"/>
            <a:gd name="adj2" fmla="val 46376"/>
          </a:avLst>
        </a:prstGeom>
        <a:ln xmlns:a="http://schemas.openxmlformats.org/drawingml/2006/main">
          <a:solidFill>
            <a:schemeClr val="tx1"/>
          </a:solidFill>
        </a:ln>
      </cdr:spPr>
      <cdr:txBody>
        <a:bodyPr xmlns:a="http://schemas.openxmlformats.org/drawingml/2006/main" wrap="square" rtlCol="0"/>
        <a:lstStyle xmlns:a="http://schemas.openxmlformats.org/drawingml/2006/main"/>
        <a:p xmlns:a="http://schemas.openxmlformats.org/drawingml/2006/main">
          <a:pPr algn="ctr"/>
          <a:r>
            <a:rPr lang="zh-TW" altLang="en-US" sz="1100" b="1">
              <a:latin typeface="標楷體" pitchFamily="65" charset="-120"/>
              <a:ea typeface="標楷體" pitchFamily="65" charset="-120"/>
            </a:rPr>
            <a:t>      </a:t>
          </a:r>
        </a:p>
      </cdr:txBody>
    </cdr:sp>
  </cdr:relSizeAnchor>
  <cdr:relSizeAnchor xmlns:cdr="http://schemas.openxmlformats.org/drawingml/2006/chartDrawing">
    <cdr:from>
      <cdr:x>0.51757</cdr:x>
      <cdr:y>0.80445</cdr:y>
    </cdr:from>
    <cdr:to>
      <cdr:x>0.77918</cdr:x>
      <cdr:y>0.83499</cdr:y>
    </cdr:to>
    <cdr:sp macro="" textlink="">
      <cdr:nvSpPr>
        <cdr:cNvPr id="15" name="文字方塊 1"/>
        <cdr:cNvSpPr txBox="1"/>
      </cdr:nvSpPr>
      <cdr:spPr>
        <a:xfrm xmlns:a="http://schemas.openxmlformats.org/drawingml/2006/main" rot="16200000">
          <a:off x="3866668" y="1828314"/>
          <a:ext cx="97546" cy="1579825"/>
        </a:xfrm>
        <a:prstGeom xmlns:a="http://schemas.openxmlformats.org/drawingml/2006/main" prst="leftBrace">
          <a:avLst>
            <a:gd name="adj1" fmla="val 24033"/>
            <a:gd name="adj2" fmla="val 46376"/>
          </a:avLst>
        </a:prstGeom>
        <a:ln xmlns:a="http://schemas.openxmlformats.org/drawingml/2006/main">
          <a:solidFill>
            <a:sysClr val="windowText" lastClr="000000"/>
          </a:solid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ctr"/>
          <a:r>
            <a:rPr lang="zh-TW" altLang="en-US" sz="1100" b="1">
              <a:latin typeface="標楷體" pitchFamily="65" charset="-120"/>
              <a:ea typeface="標楷體" pitchFamily="65" charset="-120"/>
            </a:rPr>
            <a:t>      </a:t>
          </a:r>
        </a:p>
      </cdr:txBody>
    </cdr:sp>
  </cdr:relSizeAnchor>
</c:userShapes>
</file>

<file path=word/drawings/drawing3.xml><?xml version="1.0" encoding="utf-8"?>
<c:userShapes xmlns:c="http://schemas.openxmlformats.org/drawingml/2006/chart">
  <cdr:relSizeAnchor xmlns:cdr="http://schemas.openxmlformats.org/drawingml/2006/chartDrawing">
    <cdr:from>
      <cdr:x>0.00758</cdr:x>
      <cdr:y>0.96841</cdr:y>
    </cdr:from>
    <cdr:to>
      <cdr:x>0.01593</cdr:x>
      <cdr:y>0.98081</cdr:y>
    </cdr:to>
    <cdr:sp macro="" textlink="">
      <cdr:nvSpPr>
        <cdr:cNvPr id="9" name="矩形 8"/>
        <cdr:cNvSpPr/>
      </cdr:nvSpPr>
      <cdr:spPr>
        <a:xfrm xmlns:a="http://schemas.openxmlformats.org/drawingml/2006/main" flipV="1">
          <a:off x="45647" y="3764786"/>
          <a:ext cx="50260" cy="48206"/>
        </a:xfrm>
        <a:prstGeom xmlns:a="http://schemas.openxmlformats.org/drawingml/2006/main" prst="rect">
          <a:avLst/>
        </a:prstGeom>
        <a:solidFill xmlns:a="http://schemas.openxmlformats.org/drawingml/2006/main">
          <a:schemeClr val="accent3">
            <a:lumMod val="75000"/>
            <a:alpha val="70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zh-TW"/>
        </a:p>
      </cdr:txBody>
    </cdr:sp>
  </cdr:relSizeAnchor>
  <cdr:relSizeAnchor xmlns:cdr="http://schemas.openxmlformats.org/drawingml/2006/chartDrawing">
    <cdr:from>
      <cdr:x>0.13281</cdr:x>
      <cdr:y>0.97165</cdr:y>
    </cdr:from>
    <cdr:to>
      <cdr:x>0.14312</cdr:x>
      <cdr:y>0.98559</cdr:y>
    </cdr:to>
    <cdr:sp macro="" textlink="">
      <cdr:nvSpPr>
        <cdr:cNvPr id="17" name="矩形 16"/>
        <cdr:cNvSpPr/>
      </cdr:nvSpPr>
      <cdr:spPr>
        <a:xfrm xmlns:a="http://schemas.openxmlformats.org/drawingml/2006/main" flipH="1">
          <a:off x="799407" y="3777363"/>
          <a:ext cx="62057" cy="54193"/>
        </a:xfrm>
        <a:prstGeom xmlns:a="http://schemas.openxmlformats.org/drawingml/2006/main" prst="rect">
          <a:avLst/>
        </a:prstGeom>
        <a:solidFill xmlns:a="http://schemas.openxmlformats.org/drawingml/2006/main">
          <a:srgbClr val="F3B7E2"/>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zh-TW"/>
        </a:p>
      </cdr:txBody>
    </cdr:sp>
  </cdr:relSizeAnchor>
  <cdr:relSizeAnchor xmlns:cdr="http://schemas.openxmlformats.org/drawingml/2006/chartDrawing">
    <cdr:from>
      <cdr:x>0.27902</cdr:x>
      <cdr:y>0.97095</cdr:y>
    </cdr:from>
    <cdr:to>
      <cdr:x>0.28722</cdr:x>
      <cdr:y>0.98309</cdr:y>
    </cdr:to>
    <cdr:sp macro="" textlink="">
      <cdr:nvSpPr>
        <cdr:cNvPr id="18" name="矩形 17"/>
        <cdr:cNvSpPr/>
      </cdr:nvSpPr>
      <cdr:spPr>
        <a:xfrm xmlns:a="http://schemas.openxmlformats.org/drawingml/2006/main">
          <a:off x="1679434" y="3774659"/>
          <a:ext cx="49357" cy="47195"/>
        </a:xfrm>
        <a:prstGeom xmlns:a="http://schemas.openxmlformats.org/drawingml/2006/main" prst="rect">
          <a:avLst/>
        </a:prstGeom>
        <a:solidFill xmlns:a="http://schemas.openxmlformats.org/drawingml/2006/main">
          <a:schemeClr val="accent4">
            <a:lumMod val="60000"/>
            <a:lumOff val="40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zh-TW"/>
        </a:p>
      </cdr:txBody>
    </cdr:sp>
  </cdr:relSizeAnchor>
  <cdr:relSizeAnchor xmlns:cdr="http://schemas.openxmlformats.org/drawingml/2006/chartDrawing">
    <cdr:from>
      <cdr:x>0.42251</cdr:x>
      <cdr:y>0.96639</cdr:y>
    </cdr:from>
    <cdr:to>
      <cdr:x>0.43074</cdr:x>
      <cdr:y>0.9808</cdr:y>
    </cdr:to>
    <cdr:sp macro="" textlink="">
      <cdr:nvSpPr>
        <cdr:cNvPr id="19" name="矩形 18"/>
        <cdr:cNvSpPr/>
      </cdr:nvSpPr>
      <cdr:spPr>
        <a:xfrm xmlns:a="http://schemas.openxmlformats.org/drawingml/2006/main" flipH="1">
          <a:off x="2543127" y="3756926"/>
          <a:ext cx="49537" cy="56020"/>
        </a:xfrm>
        <a:prstGeom xmlns:a="http://schemas.openxmlformats.org/drawingml/2006/main" prst="rect">
          <a:avLst/>
        </a:prstGeom>
        <a:solidFill xmlns:a="http://schemas.openxmlformats.org/drawingml/2006/main">
          <a:schemeClr val="accent2">
            <a:lumMod val="40000"/>
            <a:lumOff val="60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zh-TW"/>
        </a:p>
      </cdr:txBody>
    </cdr:sp>
  </cdr:relSizeAnchor>
  <cdr:relSizeAnchor xmlns:cdr="http://schemas.openxmlformats.org/drawingml/2006/chartDrawing">
    <cdr:from>
      <cdr:x>0.57235</cdr:x>
      <cdr:y>0.96275</cdr:y>
    </cdr:from>
    <cdr:to>
      <cdr:x>0.58128</cdr:x>
      <cdr:y>0.9762</cdr:y>
    </cdr:to>
    <cdr:sp macro="" textlink="">
      <cdr:nvSpPr>
        <cdr:cNvPr id="20" name="矩形 19"/>
        <cdr:cNvSpPr/>
      </cdr:nvSpPr>
      <cdr:spPr>
        <a:xfrm xmlns:a="http://schemas.openxmlformats.org/drawingml/2006/main" flipH="1" flipV="1">
          <a:off x="3445078" y="3742761"/>
          <a:ext cx="53750" cy="52288"/>
        </a:xfrm>
        <a:prstGeom xmlns:a="http://schemas.openxmlformats.org/drawingml/2006/main" prst="rect">
          <a:avLst/>
        </a:prstGeom>
        <a:solidFill xmlns:a="http://schemas.openxmlformats.org/drawingml/2006/main">
          <a:srgbClr val="FFFF99"/>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zh-TW"/>
        </a:p>
      </cdr:txBody>
    </cdr:sp>
  </cdr:relSizeAnchor>
  <cdr:relSizeAnchor xmlns:cdr="http://schemas.openxmlformats.org/drawingml/2006/chartDrawing">
    <cdr:from>
      <cdr:x>0.71745</cdr:x>
      <cdr:y>0.96614</cdr:y>
    </cdr:from>
    <cdr:to>
      <cdr:x>0.7258</cdr:x>
      <cdr:y>0.98013</cdr:y>
    </cdr:to>
    <cdr:sp macro="" textlink="">
      <cdr:nvSpPr>
        <cdr:cNvPr id="21" name="矩形 20"/>
        <cdr:cNvSpPr/>
      </cdr:nvSpPr>
      <cdr:spPr>
        <a:xfrm xmlns:a="http://schemas.openxmlformats.org/drawingml/2006/main" flipH="1">
          <a:off x="4318450" y="3755937"/>
          <a:ext cx="50260" cy="54387"/>
        </a:xfrm>
        <a:prstGeom xmlns:a="http://schemas.openxmlformats.org/drawingml/2006/main" prst="rect">
          <a:avLst/>
        </a:prstGeom>
        <a:solidFill xmlns:a="http://schemas.openxmlformats.org/drawingml/2006/main">
          <a:srgbClr val="95B3D7"/>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zh-TW"/>
        </a:p>
      </cdr:txBody>
    </cdr:sp>
  </cdr:relSizeAnchor>
  <cdr:relSizeAnchor xmlns:cdr="http://schemas.openxmlformats.org/drawingml/2006/chartDrawing">
    <cdr:from>
      <cdr:x>0</cdr:x>
      <cdr:y>0.94646</cdr:y>
    </cdr:from>
    <cdr:to>
      <cdr:x>1</cdr:x>
      <cdr:y>1</cdr:y>
    </cdr:to>
    <cdr:sp macro="" textlink="">
      <cdr:nvSpPr>
        <cdr:cNvPr id="2" name="文字方塊 2"/>
        <cdr:cNvSpPr txBox="1"/>
      </cdr:nvSpPr>
      <cdr:spPr>
        <a:xfrm xmlns:a="http://schemas.openxmlformats.org/drawingml/2006/main">
          <a:off x="0" y="3680041"/>
          <a:ext cx="6019137" cy="208147"/>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algn="l">
            <a:lnSpc>
              <a:spcPts val="1000"/>
            </a:lnSpc>
          </a:pPr>
          <a:r>
            <a:rPr lang="zh-TW" altLang="en-US" sz="800" b="0"/>
            <a:t> </a:t>
          </a:r>
          <a:r>
            <a:rPr lang="en-US" altLang="zh-TW" sz="800" b="0">
              <a:latin typeface="Times New Roman" pitchFamily="18" charset="0"/>
              <a:ea typeface="+mn-ea"/>
              <a:cs typeface="Times New Roman" pitchFamily="18" charset="0"/>
            </a:rPr>
            <a:t>Taipei Division</a:t>
          </a:r>
          <a:r>
            <a:rPr lang="en-US" altLang="zh-TW" sz="800" b="0" baseline="0">
              <a:latin typeface="Times New Roman" pitchFamily="18" charset="0"/>
              <a:ea typeface="+mn-ea"/>
              <a:cs typeface="Times New Roman" pitchFamily="18" charset="0"/>
            </a:rPr>
            <a:t>     </a:t>
          </a:r>
          <a:r>
            <a:rPr lang="en-US" altLang="zh-TW" sz="800" b="0">
              <a:latin typeface="Times New Roman" pitchFamily="18" charset="0"/>
              <a:ea typeface="+mn-ea"/>
              <a:cs typeface="Times New Roman" pitchFamily="18" charset="0"/>
            </a:rPr>
            <a:t>Northern Division</a:t>
          </a:r>
          <a:r>
            <a:rPr lang="en-US" altLang="zh-TW" sz="800" b="0" baseline="0">
              <a:latin typeface="Times New Roman" pitchFamily="18" charset="0"/>
              <a:ea typeface="+mn-ea"/>
              <a:cs typeface="Times New Roman" pitchFamily="18" charset="0"/>
            </a:rPr>
            <a:t>      </a:t>
          </a:r>
          <a:r>
            <a:rPr lang="en-US" altLang="zh-TW" sz="800" b="0">
              <a:latin typeface="Times New Roman" pitchFamily="18" charset="0"/>
              <a:ea typeface="+mn-ea"/>
              <a:cs typeface="Times New Roman" pitchFamily="18" charset="0"/>
            </a:rPr>
            <a:t>Central Division</a:t>
          </a:r>
          <a:r>
            <a:rPr lang="en-US" altLang="zh-TW" sz="800" b="0" baseline="0">
              <a:latin typeface="Times New Roman" pitchFamily="18" charset="0"/>
              <a:ea typeface="+mn-ea"/>
              <a:cs typeface="Times New Roman" pitchFamily="18" charset="0"/>
            </a:rPr>
            <a:t>       </a:t>
          </a:r>
          <a:r>
            <a:rPr lang="en-US" altLang="zh-TW" sz="800" b="0">
              <a:latin typeface="Times New Roman" pitchFamily="18" charset="0"/>
              <a:ea typeface="+mn-ea"/>
              <a:cs typeface="Times New Roman" pitchFamily="18" charset="0"/>
            </a:rPr>
            <a:t>Southern Division</a:t>
          </a:r>
          <a:r>
            <a:rPr lang="en-US" altLang="zh-TW" sz="800" b="0" baseline="0">
              <a:latin typeface="Times New Roman" pitchFamily="18" charset="0"/>
              <a:ea typeface="+mn-ea"/>
              <a:cs typeface="Times New Roman" pitchFamily="18" charset="0"/>
            </a:rPr>
            <a:t>      KaoPing</a:t>
          </a:r>
          <a:r>
            <a:rPr lang="en-US" altLang="zh-TW" sz="800" b="0">
              <a:latin typeface="Times New Roman" pitchFamily="18" charset="0"/>
              <a:ea typeface="+mn-ea"/>
              <a:cs typeface="Times New Roman" pitchFamily="18" charset="0"/>
            </a:rPr>
            <a:t> </a:t>
          </a:r>
          <a:r>
            <a:rPr lang="en-US" altLang="zh-TW" sz="800" b="0" baseline="0">
              <a:latin typeface="Times New Roman" pitchFamily="18" charset="0"/>
              <a:ea typeface="+mn-ea"/>
              <a:cs typeface="Times New Roman" pitchFamily="18" charset="0"/>
            </a:rPr>
            <a:t> Division      </a:t>
          </a:r>
          <a:r>
            <a:rPr lang="en-US" altLang="zh-TW" sz="800" b="0">
              <a:latin typeface="Times New Roman" pitchFamily="18" charset="0"/>
              <a:ea typeface="+mn-ea"/>
              <a:cs typeface="Times New Roman" pitchFamily="18" charset="0"/>
            </a:rPr>
            <a:t>Eastern Division   Contracted  Rate</a:t>
          </a:r>
          <a:endParaRPr lang="en-US" altLang="zh-TW" sz="800" b="0" baseline="0">
            <a:latin typeface="Times New Roman" pitchFamily="18" charset="0"/>
            <a:ea typeface="標楷體" pitchFamily="65" charset="-120"/>
            <a:cs typeface="Times New Roman" pitchFamily="18" charset="0"/>
          </a:endParaRPr>
        </a:p>
        <a:p xmlns:a="http://schemas.openxmlformats.org/drawingml/2006/main">
          <a:pPr algn="l">
            <a:lnSpc>
              <a:spcPts val="1000"/>
            </a:lnSpc>
          </a:pPr>
          <a:endParaRPr lang="zh-TW" altLang="en-US" sz="800" b="0">
            <a:latin typeface="標楷體" pitchFamily="65" charset="-120"/>
            <a:ea typeface="標楷體" pitchFamily="65" charset="-120"/>
          </a:endParaRPr>
        </a:p>
      </cdr:txBody>
    </cdr:sp>
  </cdr:relSizeAnchor>
  <cdr:relSizeAnchor xmlns:cdr="http://schemas.openxmlformats.org/drawingml/2006/chartDrawing">
    <cdr:from>
      <cdr:x>0.36472</cdr:x>
      <cdr:y>0.2008</cdr:y>
    </cdr:from>
    <cdr:to>
      <cdr:x>0.3722</cdr:x>
      <cdr:y>0.21044</cdr:y>
    </cdr:to>
    <cdr:sp macro="" textlink="">
      <cdr:nvSpPr>
        <cdr:cNvPr id="14" name="直線接點 13"/>
        <cdr:cNvSpPr/>
      </cdr:nvSpPr>
      <cdr:spPr bwMode="auto">
        <a:xfrm xmlns:a="http://schemas.openxmlformats.org/drawingml/2006/main" flipV="1">
          <a:off x="2324099" y="952499"/>
          <a:ext cx="47625" cy="45719"/>
        </a:xfrm>
        <a:prstGeom xmlns:a="http://schemas.openxmlformats.org/drawingml/2006/main" prst="line">
          <a:avLst/>
        </a:prstGeom>
        <a:solidFill xmlns:a="http://schemas.openxmlformats.org/drawingml/2006/main">
          <a:srgbClr val="CCFFCC"/>
        </a:solidFill>
        <a:ln xmlns:a="http://schemas.openxmlformats.org/drawingml/2006/main" w="9525" cap="flat" cmpd="sng" algn="ctr">
          <a:noFill/>
          <a:prstDash val="solid"/>
          <a:round/>
          <a:headEnd type="none" w="med" len="med"/>
          <a:tailEnd type="none" w="med" len="med"/>
        </a:ln>
        <a:effectLst xmlns:a="http://schemas.openxmlformats.org/drawingml/2006/main"/>
      </cdr:spPr>
      <cdr:txBody>
        <a:bodyPr xmlns:a="http://schemas.openxmlformats.org/drawingml/2006/main" vertOverflow="clip" vert="vert" wrap="square" lIns="18288" tIns="0" rIns="0" bIns="0" upright="1"/>
        <a:lstStyle xmlns:a="http://schemas.openxmlformats.org/drawingml/2006/main"/>
        <a:p xmlns:a="http://schemas.openxmlformats.org/drawingml/2006/main">
          <a:endParaRPr lang="zh-TW"/>
        </a:p>
      </cdr:txBody>
    </cdr:sp>
  </cdr:relSizeAnchor>
  <cdr:relSizeAnchor xmlns:cdr="http://schemas.openxmlformats.org/drawingml/2006/chartDrawing">
    <cdr:from>
      <cdr:x>0.28102</cdr:x>
      <cdr:y>0.11044</cdr:y>
    </cdr:from>
    <cdr:to>
      <cdr:x>0.42451</cdr:x>
      <cdr:y>0.30321</cdr:y>
    </cdr:to>
    <cdr:sp macro="" textlink="">
      <cdr:nvSpPr>
        <cdr:cNvPr id="16" name="直線接點 15"/>
        <cdr:cNvSpPr/>
      </cdr:nvSpPr>
      <cdr:spPr bwMode="auto">
        <a:xfrm xmlns:a="http://schemas.openxmlformats.org/drawingml/2006/main">
          <a:off x="1790700" y="523875"/>
          <a:ext cx="914400" cy="914400"/>
        </a:xfrm>
        <a:prstGeom xmlns:a="http://schemas.openxmlformats.org/drawingml/2006/main" prst="line">
          <a:avLst/>
        </a:prstGeom>
        <a:solidFill xmlns:a="http://schemas.openxmlformats.org/drawingml/2006/main">
          <a:srgbClr val="CCFFCC"/>
        </a:solidFill>
        <a:ln xmlns:a="http://schemas.openxmlformats.org/drawingml/2006/main" w="9525" cap="flat" cmpd="sng" algn="ctr">
          <a:noFill/>
          <a:prstDash val="solid"/>
          <a:round/>
          <a:headEnd type="none" w="med" len="med"/>
          <a:tailEnd type="none" w="med" len="med"/>
        </a:ln>
        <a:effectLst xmlns:a="http://schemas.openxmlformats.org/drawingml/2006/main"/>
      </cdr:spPr>
      <cdr:txBody>
        <a:bodyPr xmlns:a="http://schemas.openxmlformats.org/drawingml/2006/main" vertOverflow="clip" vert="vert" wrap="square" lIns="18288" tIns="0" rIns="0" bIns="0" upright="1"/>
        <a:lstStyle xmlns:a="http://schemas.openxmlformats.org/drawingml/2006/main"/>
        <a:p xmlns:a="http://schemas.openxmlformats.org/drawingml/2006/main">
          <a:endParaRPr lang="zh-TW"/>
        </a:p>
      </cdr:txBody>
    </cdr:sp>
  </cdr:relSizeAnchor>
  <cdr:relSizeAnchor xmlns:cdr="http://schemas.openxmlformats.org/drawingml/2006/chartDrawing">
    <cdr:from>
      <cdr:x>0.85007</cdr:x>
      <cdr:y>0.96646</cdr:y>
    </cdr:from>
    <cdr:to>
      <cdr:x>0.85628</cdr:x>
      <cdr:y>0.97647</cdr:y>
    </cdr:to>
    <cdr:sp macro="" textlink="">
      <cdr:nvSpPr>
        <cdr:cNvPr id="11" name="流程圖: 決策 10"/>
        <cdr:cNvSpPr/>
      </cdr:nvSpPr>
      <cdr:spPr>
        <a:xfrm xmlns:a="http://schemas.openxmlformats.org/drawingml/2006/main">
          <a:off x="5118458" y="4285258"/>
          <a:ext cx="37392" cy="44384"/>
        </a:xfrm>
        <a:prstGeom xmlns:a="http://schemas.openxmlformats.org/drawingml/2006/main" prst="flowChartDecision">
          <a:avLst/>
        </a:prstGeom>
        <a:solidFill xmlns:a="http://schemas.openxmlformats.org/drawingml/2006/main">
          <a:schemeClr val="accent6">
            <a:lumMod val="75000"/>
          </a:schemeClr>
        </a:solidFill>
        <a:ln xmlns:a="http://schemas.openxmlformats.org/drawingml/2006/main">
          <a:solidFill>
            <a:schemeClr val="accent6">
              <a:lumMod val="75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zh-TW"/>
        </a:p>
      </cdr:txBody>
    </cdr:sp>
  </cdr:relSizeAnchor>
</c:userShapes>
</file>

<file path=word/drawings/drawing4.xml><?xml version="1.0" encoding="utf-8"?>
<c:userShapes xmlns:c="http://schemas.openxmlformats.org/drawingml/2006/chart">
  <cdr:relSizeAnchor xmlns:cdr="http://schemas.openxmlformats.org/drawingml/2006/chartDrawing">
    <cdr:from>
      <cdr:x>0.60221</cdr:x>
      <cdr:y>0.31494</cdr:y>
    </cdr:from>
    <cdr:to>
      <cdr:x>0.7439</cdr:x>
      <cdr:y>0.35578</cdr:y>
    </cdr:to>
    <cdr:sp macro="" textlink="">
      <cdr:nvSpPr>
        <cdr:cNvPr id="23553" name="Text Box 1"/>
        <cdr:cNvSpPr txBox="1">
          <a:spLocks xmlns:a="http://schemas.openxmlformats.org/drawingml/2006/main" noChangeArrowheads="1"/>
        </cdr:cNvSpPr>
      </cdr:nvSpPr>
      <cdr:spPr bwMode="auto">
        <a:xfrm xmlns:a="http://schemas.openxmlformats.org/drawingml/2006/main">
          <a:off x="3303939" y="1208962"/>
          <a:ext cx="777368" cy="156774"/>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Taipei Division</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0.70201</cdr:x>
      <cdr:y>0.19634</cdr:y>
    </cdr:from>
    <cdr:to>
      <cdr:x>0.86635</cdr:x>
      <cdr:y>0.23595</cdr:y>
    </cdr:to>
    <cdr:sp macro="" textlink="">
      <cdr:nvSpPr>
        <cdr:cNvPr id="23554" name="Text Box 2"/>
        <cdr:cNvSpPr txBox="1">
          <a:spLocks xmlns:a="http://schemas.openxmlformats.org/drawingml/2006/main" noChangeArrowheads="1"/>
        </cdr:cNvSpPr>
      </cdr:nvSpPr>
      <cdr:spPr bwMode="auto">
        <a:xfrm xmlns:a="http://schemas.openxmlformats.org/drawingml/2006/main">
          <a:off x="3851528" y="753713"/>
          <a:ext cx="901626" cy="152060"/>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Northern Division</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0.1031</cdr:x>
      <cdr:y>0.51636</cdr:y>
    </cdr:from>
    <cdr:to>
      <cdr:x>0.24371</cdr:x>
      <cdr:y>0.55955</cdr:y>
    </cdr:to>
    <cdr:sp macro="" textlink="">
      <cdr:nvSpPr>
        <cdr:cNvPr id="23555" name="Text Box 3"/>
        <cdr:cNvSpPr txBox="1">
          <a:spLocks xmlns:a="http://schemas.openxmlformats.org/drawingml/2006/main" noChangeArrowheads="1"/>
        </cdr:cNvSpPr>
      </cdr:nvSpPr>
      <cdr:spPr bwMode="auto">
        <a:xfrm xmlns:a="http://schemas.openxmlformats.org/drawingml/2006/main">
          <a:off x="565656" y="1982169"/>
          <a:ext cx="771438" cy="165807"/>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Central Division</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0.4446</cdr:x>
      <cdr:y>0.42193</cdr:y>
    </cdr:from>
    <cdr:to>
      <cdr:x>0.59591</cdr:x>
      <cdr:y>0.4809</cdr:y>
    </cdr:to>
    <cdr:sp macro="" textlink="">
      <cdr:nvSpPr>
        <cdr:cNvPr id="23556" name="Text Box 4"/>
        <cdr:cNvSpPr txBox="1">
          <a:spLocks xmlns:a="http://schemas.openxmlformats.org/drawingml/2006/main" noChangeArrowheads="1"/>
        </cdr:cNvSpPr>
      </cdr:nvSpPr>
      <cdr:spPr bwMode="auto">
        <a:xfrm xmlns:a="http://schemas.openxmlformats.org/drawingml/2006/main">
          <a:off x="2439253" y="1619684"/>
          <a:ext cx="830158" cy="226367"/>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Southern Division</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0.22381</cdr:x>
      <cdr:y>0.49199</cdr:y>
    </cdr:from>
    <cdr:to>
      <cdr:x>0.36834</cdr:x>
      <cdr:y>0.53239</cdr:y>
    </cdr:to>
    <cdr:sp macro="" textlink="">
      <cdr:nvSpPr>
        <cdr:cNvPr id="23557" name="Text Box 5"/>
        <cdr:cNvSpPr txBox="1">
          <a:spLocks xmlns:a="http://schemas.openxmlformats.org/drawingml/2006/main" noChangeArrowheads="1"/>
        </cdr:cNvSpPr>
      </cdr:nvSpPr>
      <cdr:spPr bwMode="auto">
        <a:xfrm xmlns:a="http://schemas.openxmlformats.org/drawingml/2006/main">
          <a:off x="1227911" y="1888641"/>
          <a:ext cx="792950" cy="155086"/>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sz="1000"/>
          </a:pPr>
          <a:r>
            <a:rPr lang="en-US" altLang="zh-TW" sz="800" b="0" i="0" baseline="0">
              <a:latin typeface="Times New Roman" pitchFamily="18" charset="0"/>
              <a:ea typeface="+mn-ea"/>
              <a:cs typeface="Times New Roman" pitchFamily="18" charset="0"/>
            </a:rPr>
            <a:t>KaoPing Division</a:t>
          </a:r>
          <a:endParaRPr lang="zh-TW" altLang="zh-TW" sz="800" b="0" i="0" baseline="0">
            <a:latin typeface="Times New Roman" pitchFamily="18" charset="0"/>
            <a:ea typeface="+mn-ea"/>
            <a:cs typeface="Times New Roman" pitchFamily="18" charset="0"/>
          </a:endParaRPr>
        </a:p>
        <a:p xmlns:a="http://schemas.openxmlformats.org/drawingml/2006/main">
          <a:pPr algn="ctr" rtl="0">
            <a:defRPr sz="1000"/>
          </a:pPr>
          <a:endParaRPr lang="zh-TW" altLang="en-US" sz="800" b="0" i="0" u="none" strike="noStrike" baseline="0">
            <a:solidFill>
              <a:srgbClr val="000000"/>
            </a:solidFill>
            <a:latin typeface="標楷體"/>
            <a:ea typeface="標楷體"/>
          </a:endParaRPr>
        </a:p>
      </cdr:txBody>
    </cdr:sp>
  </cdr:relSizeAnchor>
  <cdr:relSizeAnchor xmlns:cdr="http://schemas.openxmlformats.org/drawingml/2006/chartDrawing">
    <cdr:from>
      <cdr:x>0.43491</cdr:x>
      <cdr:y>0.49888</cdr:y>
    </cdr:from>
    <cdr:to>
      <cdr:x>0.58648</cdr:x>
      <cdr:y>0.54382</cdr:y>
    </cdr:to>
    <cdr:sp macro="" textlink="">
      <cdr:nvSpPr>
        <cdr:cNvPr id="23558" name="Text Box 6"/>
        <cdr:cNvSpPr txBox="1">
          <a:spLocks xmlns:a="http://schemas.openxmlformats.org/drawingml/2006/main" noChangeArrowheads="1"/>
        </cdr:cNvSpPr>
      </cdr:nvSpPr>
      <cdr:spPr bwMode="auto">
        <a:xfrm xmlns:a="http://schemas.openxmlformats.org/drawingml/2006/main">
          <a:off x="2386090" y="1915064"/>
          <a:ext cx="831562" cy="172528"/>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Eastern Division</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0.2247</cdr:x>
      <cdr:y>0.15453</cdr:y>
    </cdr:from>
    <cdr:to>
      <cdr:x>0.61679</cdr:x>
      <cdr:y>0.20781</cdr:y>
    </cdr:to>
    <cdr:sp macro="" textlink="">
      <cdr:nvSpPr>
        <cdr:cNvPr id="23559" name="Text Box 7"/>
        <cdr:cNvSpPr txBox="1">
          <a:spLocks xmlns:a="http://schemas.openxmlformats.org/drawingml/2006/main" noChangeArrowheads="1"/>
        </cdr:cNvSpPr>
      </cdr:nvSpPr>
      <cdr:spPr bwMode="auto">
        <a:xfrm xmlns:a="http://schemas.openxmlformats.org/drawingml/2006/main">
          <a:off x="1232794" y="593193"/>
          <a:ext cx="2151163" cy="204529"/>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36576" tIns="22860" rIns="36576" bIns="22860" anchor="ctr" upright="1"/>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sz="1000"/>
          </a:pPr>
          <a:r>
            <a:rPr lang="en-US" altLang="zh-TW" sz="800" b="0" i="0" baseline="0">
              <a:latin typeface="Times New Roman" pitchFamily="18" charset="0"/>
              <a:ea typeface="+mn-ea"/>
              <a:cs typeface="Times New Roman" pitchFamily="18" charset="0"/>
            </a:rPr>
            <a:t>No. of contracted medical care institutions (Fold)</a:t>
          </a:r>
          <a:endParaRPr lang="zh-TW" altLang="en-US" sz="800" b="0" i="0" u="none" strike="noStrike" baseline="0">
            <a:solidFill>
              <a:srgbClr val="000000"/>
            </a:solidFill>
            <a:latin typeface="Times New Roman" pitchFamily="18" charset="0"/>
            <a:ea typeface="標楷體"/>
            <a:cs typeface="Times New Roman" pitchFamily="18" charset="0"/>
          </a:endParaRPr>
        </a:p>
      </cdr:txBody>
    </cdr:sp>
  </cdr:relSizeAnchor>
  <cdr:relSizeAnchor xmlns:cdr="http://schemas.openxmlformats.org/drawingml/2006/chartDrawing">
    <cdr:from>
      <cdr:x>0.04779</cdr:x>
      <cdr:y>0.87865</cdr:y>
    </cdr:from>
    <cdr:to>
      <cdr:x>0.88679</cdr:x>
      <cdr:y>1</cdr:y>
    </cdr:to>
    <cdr:sp macro="" textlink="">
      <cdr:nvSpPr>
        <cdr:cNvPr id="12" name="文字方塊 11"/>
        <cdr:cNvSpPr txBox="1"/>
      </cdr:nvSpPr>
      <cdr:spPr>
        <a:xfrm xmlns:a="http://schemas.openxmlformats.org/drawingml/2006/main">
          <a:off x="262195" y="3372928"/>
          <a:ext cx="4603104" cy="46582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eaLnBrk="0"/>
          <a:r>
            <a:rPr lang="en-US" altLang="zh-TW" sz="800">
              <a:latin typeface="Times New Roman" pitchFamily="18" charset="0"/>
              <a:ea typeface="+mn-ea"/>
              <a:cs typeface="Times New Roman" pitchFamily="18" charset="0"/>
            </a:rPr>
            <a:t>The X-axis and Y-axis values at the Origin (-0.1, 1.3) respectively represents "the median of growth (percentage point) in the share of medical care institutions" and the "median of folds in the number of medical care institutions" in the six BNHI branches. </a:t>
          </a:r>
          <a:endParaRPr lang="zh-TW" altLang="zh-TW" sz="800">
            <a:latin typeface="Times New Roman" pitchFamily="18" charset="0"/>
            <a:ea typeface="+mn-ea"/>
            <a:cs typeface="Times New Roman" pitchFamily="18" charset="0"/>
          </a:endParaRPr>
        </a:p>
      </cdr:txBody>
    </cdr:sp>
  </cdr:relSizeAnchor>
  <cdr:relSizeAnchor xmlns:cdr="http://schemas.openxmlformats.org/drawingml/2006/chartDrawing">
    <cdr:from>
      <cdr:x>0.8787</cdr:x>
      <cdr:y>0.1625</cdr:y>
    </cdr:from>
    <cdr:to>
      <cdr:x>0.96006</cdr:x>
      <cdr:y>0.75074</cdr:y>
    </cdr:to>
    <cdr:sp macro="" textlink="">
      <cdr:nvSpPr>
        <cdr:cNvPr id="14" name="文字方塊 13"/>
        <cdr:cNvSpPr txBox="1"/>
      </cdr:nvSpPr>
      <cdr:spPr>
        <a:xfrm xmlns:a="http://schemas.openxmlformats.org/drawingml/2006/main">
          <a:off x="4820900" y="623782"/>
          <a:ext cx="446373" cy="2258109"/>
        </a:xfrm>
        <a:prstGeom xmlns:a="http://schemas.openxmlformats.org/drawingml/2006/main" prst="rect">
          <a:avLst/>
        </a:prstGeom>
      </cdr:spPr>
      <cdr:txBody>
        <a:bodyPr xmlns:a="http://schemas.openxmlformats.org/drawingml/2006/main" vertOverflow="clip" vert="eaVert" wrap="square" rtlCol="0"/>
        <a:lstStyle xmlns:a="http://schemas.openxmlformats.org/drawingml/2006/main"/>
        <a:p xmlns:a="http://schemas.openxmlformats.org/drawingml/2006/main">
          <a:r>
            <a:rPr lang="en-US" altLang="zh-TW" sz="800">
              <a:latin typeface="Times New Roman" pitchFamily="18" charset="0"/>
              <a:ea typeface="+mn-ea"/>
              <a:cs typeface="Times New Roman" pitchFamily="18" charset="0"/>
            </a:rPr>
            <a:t>Differences in share of contracted medical care institutions  (Percentage</a:t>
          </a:r>
          <a:r>
            <a:rPr lang="en-US" altLang="zh-TW" sz="800" baseline="0">
              <a:latin typeface="Times New Roman" pitchFamily="18" charset="0"/>
              <a:ea typeface="+mn-ea"/>
              <a:cs typeface="Times New Roman" pitchFamily="18" charset="0"/>
            </a:rPr>
            <a:t> point)</a:t>
          </a:r>
          <a:endParaRPr lang="zh-TW" altLang="zh-TW" sz="800">
            <a:latin typeface="Times New Roman" pitchFamily="18" charset="0"/>
            <a:ea typeface="+mn-ea"/>
            <a:cs typeface="Times New Roman" pitchFamily="18" charset="0"/>
          </a:endParaRPr>
        </a:p>
        <a:p xmlns:a="http://schemas.openxmlformats.org/drawingml/2006/main">
          <a:endParaRPr lang="zh-TW" altLang="en-US" sz="800">
            <a:latin typeface="Times New Roman" pitchFamily="18" charset="0"/>
            <a:cs typeface="Times New Roman" pitchFamily="18" charset="0"/>
          </a:endParaRPr>
        </a:p>
      </cdr:txBody>
    </cdr:sp>
  </cdr:relSizeAnchor>
</c:userShapes>
</file>

<file path=word/drawings/drawing5.xml><?xml version="1.0" encoding="utf-8"?>
<c:userShapes xmlns:c="http://schemas.openxmlformats.org/drawingml/2006/chart">
  <cdr:relSizeAnchor xmlns:cdr="http://schemas.openxmlformats.org/drawingml/2006/chartDrawing">
    <cdr:from>
      <cdr:x>0.00406</cdr:x>
      <cdr:y>4.57329E-7</cdr:y>
    </cdr:from>
    <cdr:to>
      <cdr:x>0.99797</cdr:x>
      <cdr:y>0.17091</cdr:y>
    </cdr:to>
    <cdr:sp macro="" textlink="">
      <cdr:nvSpPr>
        <cdr:cNvPr id="3" name="文字方塊 1"/>
        <cdr:cNvSpPr txBox="1"/>
      </cdr:nvSpPr>
      <cdr:spPr>
        <a:xfrm xmlns:a="http://schemas.openxmlformats.org/drawingml/2006/main">
          <a:off x="22262" y="1"/>
          <a:ext cx="5449860" cy="373710"/>
        </a:xfrm>
        <a:prstGeom xmlns:a="http://schemas.openxmlformats.org/drawingml/2006/main" prst="rect">
          <a:avLst/>
        </a:prstGeom>
        <a:solidFill xmlns:a="http://schemas.openxmlformats.org/drawingml/2006/main">
          <a:sysClr val="window" lastClr="FFFFFF"/>
        </a:solidFill>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sz="1100" baseline="0">
              <a:latin typeface="Calibri"/>
            </a:rPr>
            <a:t>~~~~~~~~~~~~~~~~~~~~~~~~~~~~~~~~~~~~~~~~~~~~~~~~~~~~~~~~~~~~~~~~~~~~~~~~~~~~~~~~~~~~~~~~~~~~~~~~~~~~~~~~~~~~~~~~~~~~~~~~~~~~~~~~~~~~~~~~~~~~~~~~~~~~~~</a:t>
          </a:r>
          <a:endParaRPr lang="en-US" altLang="zh-TW" sz="1000">
            <a:latin typeface="Times New Roman" pitchFamily="18" charset="0"/>
            <a:cs typeface="Times New Roman" pitchFamily="18" charset="0"/>
          </a:endParaRPr>
        </a:p>
      </cdr:txBody>
    </cdr:sp>
  </cdr:relSizeAnchor>
</c:userShapes>
</file>

<file path=word/drawings/drawing6.xml><?xml version="1.0" encoding="utf-8"?>
<c:userShapes xmlns:c="http://schemas.openxmlformats.org/drawingml/2006/chart">
  <cdr:relSizeAnchor xmlns:cdr="http://schemas.openxmlformats.org/drawingml/2006/chartDrawing">
    <cdr:from>
      <cdr:x>0.10219</cdr:x>
      <cdr:y>0.14564</cdr:y>
    </cdr:from>
    <cdr:to>
      <cdr:x>0.57251</cdr:x>
      <cdr:y>0.25507</cdr:y>
    </cdr:to>
    <cdr:grpSp>
      <cdr:nvGrpSpPr>
        <cdr:cNvPr id="16" name="群組 15"/>
        <cdr:cNvGrpSpPr/>
      </cdr:nvGrpSpPr>
      <cdr:grpSpPr>
        <a:xfrm xmlns:a="http://schemas.openxmlformats.org/drawingml/2006/main">
          <a:off x="560472" y="433441"/>
          <a:ext cx="2579518" cy="325676"/>
          <a:chOff x="560494" y="433429"/>
          <a:chExt cx="2579520" cy="325695"/>
        </a:xfrm>
      </cdr:grpSpPr>
      <cdr:sp macro="" textlink="">
        <cdr:nvSpPr>
          <cdr:cNvPr id="5" name="文字方塊 4"/>
          <cdr:cNvSpPr txBox="1"/>
        </cdr:nvSpPr>
        <cdr:spPr>
          <a:xfrm xmlns:a="http://schemas.openxmlformats.org/drawingml/2006/main">
            <a:off x="664715" y="433429"/>
            <a:ext cx="2475299" cy="325695"/>
          </a:xfrm>
          <a:prstGeom xmlns:a="http://schemas.openxmlformats.org/drawingml/2006/main" prst="rect">
            <a:avLst/>
          </a:prstGeom>
        </cdr:spPr>
        <cdr:txBody>
          <a:bodyPr xmlns:a="http://schemas.openxmlformats.org/drawingml/2006/main" vertOverflow="clip" wrap="square" lIns="0" tIns="0" rIns="0" bIns="0"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mn-ea"/>
                <a:cs typeface="Times New Roman" pitchFamily="18" charset="0"/>
              </a:rPr>
              <a:t>Acute</a:t>
            </a:r>
            <a:r>
              <a:rPr lang="en-US" altLang="zh-TW" sz="800" baseline="0">
                <a:latin typeface="Times New Roman" pitchFamily="18" charset="0"/>
                <a:ea typeface="+mn-ea"/>
                <a:cs typeface="Times New Roman" pitchFamily="18" charset="0"/>
              </a:rPr>
              <a:t> insured beds                </a:t>
            </a:r>
            <a:r>
              <a:rPr lang="en-US" altLang="zh-TW" sz="800">
                <a:latin typeface="Times New Roman" pitchFamily="18" charset="0"/>
                <a:ea typeface="+mn-ea"/>
                <a:cs typeface="Times New Roman" pitchFamily="18" charset="0"/>
              </a:rPr>
              <a:t>Chronic insured beds</a:t>
            </a:r>
            <a:endParaRPr lang="zh-TW" altLang="zh-TW" sz="800">
              <a:latin typeface="Times New Roman" pitchFamily="18" charset="0"/>
              <a:ea typeface="+mn-ea"/>
              <a:cs typeface="Times New Roman" pitchFamily="18" charset="0"/>
            </a:endParaRPr>
          </a:p>
          <a:p xmlns:a="http://schemas.openxmlformats.org/drawingml/2006/main">
            <a:endParaRPr lang="en-US" altLang="zh-TW" sz="200">
              <a:latin typeface="Times New Roman" pitchFamily="18" charset="0"/>
              <a:ea typeface="+mn-ea"/>
              <a:cs typeface="Times New Roman" pitchFamily="18" charset="0"/>
            </a:endParaRPr>
          </a:p>
          <a:p xmlns:a="http://schemas.openxmlformats.org/drawingml/2006/main">
            <a:endParaRPr lang="en-US" altLang="zh-TW" sz="200">
              <a:latin typeface="Times New Roman" pitchFamily="18" charset="0"/>
              <a:ea typeface="+mn-ea"/>
              <a:cs typeface="Times New Roman" pitchFamily="18" charset="0"/>
            </a:endParaRPr>
          </a:p>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mn-ea"/>
                <a:cs typeface="Times New Roman" pitchFamily="18" charset="0"/>
              </a:rPr>
              <a:t>Acute non-insured beds         Chronic non-insured beds</a:t>
            </a:r>
            <a:endParaRPr lang="zh-TW" altLang="zh-TW" sz="800">
              <a:latin typeface="Times New Roman" pitchFamily="18" charset="0"/>
              <a:ea typeface="+mn-ea"/>
              <a:cs typeface="Times New Roman" pitchFamily="18" charset="0"/>
            </a:endParaRPr>
          </a:p>
          <a:p xmlns:a="http://schemas.openxmlformats.org/drawingml/2006/main">
            <a:endParaRPr lang="zh-TW" altLang="zh-TW" sz="800">
              <a:latin typeface="Times New Roman" pitchFamily="18" charset="0"/>
              <a:ea typeface="+mn-ea"/>
              <a:cs typeface="Times New Roman" pitchFamily="18" charset="0"/>
            </a:endParaRPr>
          </a:p>
          <a:p xmlns:a="http://schemas.openxmlformats.org/drawingml/2006/main">
            <a:endParaRPr lang="en-US" altLang="zh-TW" sz="200">
              <a:latin typeface="Times New Roman" pitchFamily="18" charset="0"/>
              <a:ea typeface="+mn-ea"/>
              <a:cs typeface="Times New Roman" pitchFamily="18" charset="0"/>
            </a:endParaRPr>
          </a:p>
          <a:p xmlns:a="http://schemas.openxmlformats.org/drawingml/2006/main">
            <a:endParaRPr lang="en-US" altLang="zh-TW" sz="200">
              <a:latin typeface="Times New Roman" pitchFamily="18" charset="0"/>
              <a:ea typeface="+mn-ea"/>
              <a:cs typeface="Times New Roman" pitchFamily="18" charset="0"/>
            </a:endParaRPr>
          </a:p>
          <a:p xmlns:a="http://schemas.openxmlformats.org/drawingml/2006/main">
            <a:endParaRPr lang="zh-TW" altLang="en-US" sz="800">
              <a:latin typeface="標楷體" pitchFamily="65" charset="-120"/>
              <a:ea typeface="標楷體" pitchFamily="65" charset="-120"/>
            </a:endParaRPr>
          </a:p>
        </cdr:txBody>
      </cdr:sp>
      <cdr:grpSp>
        <cdr:nvGrpSpPr>
          <cdr:cNvPr id="15" name="群組 14"/>
          <cdr:cNvGrpSpPr/>
        </cdr:nvGrpSpPr>
        <cdr:grpSpPr>
          <a:xfrm xmlns:a="http://schemas.openxmlformats.org/drawingml/2006/main">
            <a:off x="1733687" y="448573"/>
            <a:ext cx="64800" cy="253510"/>
            <a:chOff x="1733687" y="448573"/>
            <a:chExt cx="64800" cy="253510"/>
          </a:xfrm>
        </cdr:grpSpPr>
        <cdr:sp macro="" textlink="">
          <cdr:nvSpPr>
            <cdr:cNvPr id="6" name="矩形 5"/>
            <cdr:cNvSpPr/>
          </cdr:nvSpPr>
          <cdr:spPr bwMode="auto">
            <a:xfrm xmlns:a="http://schemas.openxmlformats.org/drawingml/2006/main" flipV="1">
              <a:off x="1733687" y="448573"/>
              <a:ext cx="64800" cy="72932"/>
            </a:xfrm>
            <a:prstGeom xmlns:a="http://schemas.openxmlformats.org/drawingml/2006/main" prst="rect">
              <a:avLst/>
            </a:prstGeom>
            <a:solidFill xmlns:a="http://schemas.openxmlformats.org/drawingml/2006/main">
              <a:schemeClr val="accent5">
                <a:lumMod val="60000"/>
                <a:lumOff val="40000"/>
              </a:schemeClr>
            </a:solidFill>
            <a:ln xmlns:a="http://schemas.openxmlformats.org/drawingml/2006/main" w="9525" cap="flat" cmpd="sng" algn="ctr">
              <a:noFill/>
              <a:prstDash val="solid"/>
              <a:round/>
              <a:headEnd type="none" w="med" len="med"/>
              <a:tailEnd type="none" w="med" len="med"/>
            </a:ln>
            <a:effectLst xmlns:a="http://schemas.openxmlformats.org/drawingml/2006/main"/>
          </cdr:spPr>
          <cdr:txBody>
            <a:bodyPr xmlns:a="http://schemas.openxmlformats.org/drawingml/2006/main" vertOverflow="clip" vert="vert" wrap="square" lIns="18288" tIns="0" rIns="0" bIns="0" upright="1"/>
            <a:lstStyle xmlns:a="http://schemas.openxmlformats.org/drawingml/2006/main"/>
            <a:p xmlns:a="http://schemas.openxmlformats.org/drawingml/2006/main">
              <a:endParaRPr lang="zh-TW"/>
            </a:p>
          </cdr:txBody>
        </cdr:sp>
        <cdr:sp macro="" textlink="">
          <cdr:nvSpPr>
            <cdr:cNvPr id="8" name="矩形 7"/>
            <cdr:cNvSpPr/>
          </cdr:nvSpPr>
          <cdr:spPr bwMode="auto">
            <a:xfrm xmlns:a="http://schemas.openxmlformats.org/drawingml/2006/main">
              <a:off x="1733687" y="629151"/>
              <a:ext cx="64800" cy="72932"/>
            </a:xfrm>
            <a:prstGeom xmlns:a="http://schemas.openxmlformats.org/drawingml/2006/main" prst="rect">
              <a:avLst/>
            </a:prstGeom>
            <a:solidFill xmlns:a="http://schemas.openxmlformats.org/drawingml/2006/main">
              <a:schemeClr val="accent4">
                <a:lumMod val="75000"/>
              </a:schemeClr>
            </a:solidFill>
            <a:ln xmlns:a="http://schemas.openxmlformats.org/drawingml/2006/main" w="9525" cap="flat" cmpd="sng" algn="ctr">
              <a:noFill/>
              <a:prstDash val="solid"/>
              <a:round/>
              <a:headEnd type="none" w="med" len="med"/>
              <a:tailEnd type="none" w="med" len="med"/>
            </a:ln>
            <a:effectLst xmlns:a="http://schemas.openxmlformats.org/drawingml/2006/main"/>
          </cdr:spPr>
          <cdr:txBody>
            <a:bodyPr xmlns:a="http://schemas.openxmlformats.org/drawingml/2006/main" vertOverflow="clip" vert="vert" wrap="square" lIns="18288" tIns="0" rIns="0" bIns="0" upright="1"/>
            <a:lstStyle xmlns:a="http://schemas.openxmlformats.org/drawingml/2006/main"/>
            <a:p xmlns:a="http://schemas.openxmlformats.org/drawingml/2006/main">
              <a:endParaRPr lang="zh-TW"/>
            </a:p>
          </cdr:txBody>
        </cdr:sp>
      </cdr:grpSp>
      <cdr:grpSp>
        <cdr:nvGrpSpPr>
          <cdr:cNvPr id="14" name="群組 13"/>
          <cdr:cNvGrpSpPr/>
        </cdr:nvGrpSpPr>
        <cdr:grpSpPr>
          <a:xfrm xmlns:a="http://schemas.openxmlformats.org/drawingml/2006/main">
            <a:off x="560494" y="453280"/>
            <a:ext cx="64800" cy="239821"/>
            <a:chOff x="560494" y="453280"/>
            <a:chExt cx="64800" cy="239821"/>
          </a:xfrm>
        </cdr:grpSpPr>
        <cdr:sp macro="" textlink="">
          <cdr:nvSpPr>
            <cdr:cNvPr id="7" name="矩形 6"/>
            <cdr:cNvSpPr/>
          </cdr:nvSpPr>
          <cdr:spPr bwMode="auto">
            <a:xfrm xmlns:a="http://schemas.openxmlformats.org/drawingml/2006/main" flipV="1">
              <a:off x="560494" y="621101"/>
              <a:ext cx="64800" cy="72000"/>
            </a:xfrm>
            <a:prstGeom xmlns:a="http://schemas.openxmlformats.org/drawingml/2006/main" prst="rect">
              <a:avLst/>
            </a:prstGeom>
            <a:solidFill xmlns:a="http://schemas.openxmlformats.org/drawingml/2006/main">
              <a:srgbClr val="FFFF00"/>
            </a:solidFill>
            <a:ln xmlns:a="http://schemas.openxmlformats.org/drawingml/2006/main" w="9525" cap="flat" cmpd="sng" algn="ctr">
              <a:noFill/>
              <a:prstDash val="solid"/>
              <a:round/>
              <a:headEnd type="none" w="med" len="med"/>
              <a:tailEnd type="none" w="med" len="med"/>
            </a:ln>
            <a:effectLst xmlns:a="http://schemas.openxmlformats.org/drawingml/2006/main"/>
          </cdr:spPr>
          <cdr:txBody>
            <a:bodyPr xmlns:a="http://schemas.openxmlformats.org/drawingml/2006/main" vertOverflow="clip" vert="vert" wrap="square" lIns="18288" tIns="0" rIns="0" bIns="0" upright="1"/>
            <a:lstStyle xmlns:a="http://schemas.openxmlformats.org/drawingml/2006/main"/>
            <a:p xmlns:a="http://schemas.openxmlformats.org/drawingml/2006/main">
              <a:endParaRPr lang="zh-TW"/>
            </a:p>
          </cdr:txBody>
        </cdr:sp>
        <cdr:sp macro="" textlink="">
          <cdr:nvSpPr>
            <cdr:cNvPr id="9" name="矩形 8"/>
            <cdr:cNvSpPr/>
          </cdr:nvSpPr>
          <cdr:spPr bwMode="auto">
            <a:xfrm xmlns:a="http://schemas.openxmlformats.org/drawingml/2006/main">
              <a:off x="560494" y="453280"/>
              <a:ext cx="64800" cy="72932"/>
            </a:xfrm>
            <a:prstGeom xmlns:a="http://schemas.openxmlformats.org/drawingml/2006/main" prst="rect">
              <a:avLst/>
            </a:prstGeom>
            <a:solidFill xmlns:a="http://schemas.openxmlformats.org/drawingml/2006/main">
              <a:schemeClr val="accent3">
                <a:lumMod val="75000"/>
              </a:schemeClr>
            </a:solidFill>
            <a:ln xmlns:a="http://schemas.openxmlformats.org/drawingml/2006/main" w="9525" cap="flat" cmpd="sng" algn="ctr">
              <a:noFill/>
              <a:prstDash val="solid"/>
              <a:round/>
              <a:headEnd type="none" w="med" len="med"/>
              <a:tailEnd type="none" w="med" len="med"/>
            </a:ln>
            <a:effectLst xmlns:a="http://schemas.openxmlformats.org/drawingml/2006/main"/>
          </cdr:spPr>
          <cdr:txBody>
            <a:bodyPr xmlns:a="http://schemas.openxmlformats.org/drawingml/2006/main" vertOverflow="clip" vert="vert" wrap="square" lIns="18288" tIns="0" rIns="0" bIns="0" upright="1"/>
            <a:lstStyle xmlns:a="http://schemas.openxmlformats.org/drawingml/2006/main"/>
            <a:p xmlns:a="http://schemas.openxmlformats.org/drawingml/2006/main">
              <a:endParaRPr lang="zh-TW"/>
            </a:p>
          </cdr:txBody>
        </cdr:sp>
      </cdr:grpSp>
    </cdr:grpSp>
  </cdr:relSizeAnchor>
</c:userShapes>
</file>

<file path=word/drawings/drawing7.xml><?xml version="1.0" encoding="utf-8"?>
<c:userShapes xmlns:c="http://schemas.openxmlformats.org/drawingml/2006/chart">
  <cdr:relSizeAnchor xmlns:cdr="http://schemas.openxmlformats.org/drawingml/2006/chartDrawing">
    <cdr:from>
      <cdr:x>0.70147</cdr:x>
      <cdr:y>0.55351</cdr:y>
    </cdr:from>
    <cdr:to>
      <cdr:x>0.89693</cdr:x>
      <cdr:y>0.60639</cdr:y>
    </cdr:to>
    <cdr:sp macro="" textlink="">
      <cdr:nvSpPr>
        <cdr:cNvPr id="23553" name="Text Box 1"/>
        <cdr:cNvSpPr txBox="1">
          <a:spLocks xmlns:a="http://schemas.openxmlformats.org/drawingml/2006/main" noChangeArrowheads="1"/>
        </cdr:cNvSpPr>
      </cdr:nvSpPr>
      <cdr:spPr bwMode="auto">
        <a:xfrm xmlns:a="http://schemas.openxmlformats.org/drawingml/2006/main">
          <a:off x="3848550" y="2272801"/>
          <a:ext cx="1072372" cy="217135"/>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Metropolitan Hospitals</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0.64169</cdr:x>
      <cdr:y>0.40159</cdr:y>
    </cdr:from>
    <cdr:to>
      <cdr:x>0.8111</cdr:x>
      <cdr:y>0.45308</cdr:y>
    </cdr:to>
    <cdr:sp macro="" textlink="">
      <cdr:nvSpPr>
        <cdr:cNvPr id="23554" name="Text Box 2"/>
        <cdr:cNvSpPr txBox="1">
          <a:spLocks xmlns:a="http://schemas.openxmlformats.org/drawingml/2006/main" noChangeArrowheads="1"/>
        </cdr:cNvSpPr>
      </cdr:nvSpPr>
      <cdr:spPr bwMode="auto">
        <a:xfrm xmlns:a="http://schemas.openxmlformats.org/drawingml/2006/main">
          <a:off x="3520578" y="1649012"/>
          <a:ext cx="929451" cy="211426"/>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a:r>
            <a:rPr lang="en-US" altLang="zh-TW" sz="800" b="0" i="0" baseline="0">
              <a:latin typeface="Times New Roman" pitchFamily="18" charset="0"/>
              <a:ea typeface="+mn-ea"/>
              <a:cs typeface="Times New Roman" pitchFamily="18" charset="0"/>
            </a:rPr>
            <a:t>Physician Clinics </a:t>
          </a:r>
          <a:endParaRPr lang="zh-TW" altLang="zh-TW" sz="800">
            <a:latin typeface="Times New Roman" pitchFamily="18" charset="0"/>
            <a:ea typeface="+mn-ea"/>
            <a:cs typeface="Times New Roman" pitchFamily="18" charset="0"/>
          </a:endParaRPr>
        </a:p>
      </cdr:txBody>
    </cdr:sp>
  </cdr:relSizeAnchor>
  <cdr:relSizeAnchor xmlns:cdr="http://schemas.openxmlformats.org/drawingml/2006/chartDrawing">
    <cdr:from>
      <cdr:x>0.14213</cdr:x>
      <cdr:y>0.79013</cdr:y>
    </cdr:from>
    <cdr:to>
      <cdr:x>0.37487</cdr:x>
      <cdr:y>0.83966</cdr:y>
    </cdr:to>
    <cdr:sp macro="" textlink="">
      <cdr:nvSpPr>
        <cdr:cNvPr id="23555" name="Text Box 3"/>
        <cdr:cNvSpPr txBox="1">
          <a:spLocks xmlns:a="http://schemas.openxmlformats.org/drawingml/2006/main" noChangeArrowheads="1"/>
        </cdr:cNvSpPr>
      </cdr:nvSpPr>
      <cdr:spPr bwMode="auto">
        <a:xfrm xmlns:a="http://schemas.openxmlformats.org/drawingml/2006/main" flipV="1">
          <a:off x="779762" y="3244394"/>
          <a:ext cx="1276905" cy="203379"/>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800" b="0" i="0" baseline="0">
              <a:latin typeface="Times New Roman" pitchFamily="18" charset="0"/>
              <a:ea typeface="+mn-ea"/>
              <a:cs typeface="Times New Roman" pitchFamily="18" charset="0"/>
            </a:rPr>
            <a:t>Local Community Hospitals</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0.38935</cdr:x>
      <cdr:y>0.74204</cdr:y>
    </cdr:from>
    <cdr:to>
      <cdr:x>0.52297</cdr:x>
      <cdr:y>0.83152</cdr:y>
    </cdr:to>
    <cdr:sp macro="" textlink="">
      <cdr:nvSpPr>
        <cdr:cNvPr id="23557" name="Text Box 5"/>
        <cdr:cNvSpPr txBox="1">
          <a:spLocks xmlns:a="http://schemas.openxmlformats.org/drawingml/2006/main" noChangeArrowheads="1"/>
        </cdr:cNvSpPr>
      </cdr:nvSpPr>
      <cdr:spPr bwMode="auto">
        <a:xfrm xmlns:a="http://schemas.openxmlformats.org/drawingml/2006/main">
          <a:off x="2136148" y="3046952"/>
          <a:ext cx="733092" cy="367421"/>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27432" tIns="27432" rIns="27432" bIns="27432" anchor="ctr" upright="1"/>
        <a:lstStyle xmlns:a="http://schemas.openxmlformats.org/drawingml/2006/main"/>
        <a:p xmlns:a="http://schemas.openxmlformats.org/drawingml/2006/main">
          <a:pPr rtl="0" fontAlgn="base"/>
          <a:r>
            <a:rPr lang="en-US" altLang="zh-TW" sz="1100" b="0" i="0" baseline="0">
              <a:latin typeface="+mn-lt"/>
              <a:ea typeface="+mn-ea"/>
              <a:cs typeface="+mn-cs"/>
            </a:rPr>
            <a:t>     </a:t>
          </a:r>
          <a:r>
            <a:rPr lang="en-US" altLang="zh-TW" sz="800" b="0" i="0" baseline="0">
              <a:latin typeface="Times New Roman" pitchFamily="18" charset="0"/>
              <a:ea typeface="+mn-ea"/>
              <a:cs typeface="Times New Roman" pitchFamily="18" charset="0"/>
            </a:rPr>
            <a:t>Academic </a:t>
          </a:r>
          <a:endParaRPr lang="zh-TW" altLang="zh-TW" sz="800">
            <a:latin typeface="Times New Roman" pitchFamily="18" charset="0"/>
            <a:cs typeface="Times New Roman" pitchFamily="18" charset="0"/>
          </a:endParaRPr>
        </a:p>
        <a:p xmlns:a="http://schemas.openxmlformats.org/drawingml/2006/main">
          <a:pPr rtl="0" fontAlgn="base"/>
          <a:r>
            <a:rPr lang="en-US" altLang="zh-TW" sz="800" b="0" i="0" baseline="0">
              <a:latin typeface="Times New Roman" pitchFamily="18" charset="0"/>
              <a:ea typeface="+mn-ea"/>
              <a:cs typeface="Times New Roman" pitchFamily="18" charset="0"/>
            </a:rPr>
            <a:t>Medical Centers</a:t>
          </a:r>
          <a:endParaRPr lang="zh-TW" altLang="zh-TW" sz="800" b="0" i="0" baseline="0">
            <a:latin typeface="Times New Roman" pitchFamily="18" charset="0"/>
            <a:ea typeface="+mn-ea"/>
            <a:cs typeface="Times New Roman" pitchFamily="18" charset="0"/>
          </a:endParaRPr>
        </a:p>
      </cdr:txBody>
    </cdr:sp>
  </cdr:relSizeAnchor>
  <cdr:relSizeAnchor xmlns:cdr="http://schemas.openxmlformats.org/drawingml/2006/chartDrawing">
    <cdr:from>
      <cdr:x>0.45592</cdr:x>
      <cdr:y>0.1476</cdr:y>
    </cdr:from>
    <cdr:to>
      <cdr:x>0.72186</cdr:x>
      <cdr:y>0.18671</cdr:y>
    </cdr:to>
    <cdr:sp macro="" textlink="">
      <cdr:nvSpPr>
        <cdr:cNvPr id="23559" name="Text Box 7"/>
        <cdr:cNvSpPr txBox="1">
          <a:spLocks xmlns:a="http://schemas.openxmlformats.org/drawingml/2006/main" noChangeArrowheads="1"/>
        </cdr:cNvSpPr>
      </cdr:nvSpPr>
      <cdr:spPr bwMode="auto">
        <a:xfrm xmlns:a="http://schemas.openxmlformats.org/drawingml/2006/main">
          <a:off x="2501346" y="606055"/>
          <a:ext cx="1459053" cy="160592"/>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36576" tIns="22860" rIns="36576" bIns="22860" anchor="ctr" upright="1"/>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sz="1000"/>
          </a:pPr>
          <a:r>
            <a:rPr lang="en-US" altLang="zh-TW" sz="800" b="0" i="0" baseline="0">
              <a:latin typeface="Times New Roman" pitchFamily="18" charset="0"/>
              <a:ea typeface="+mn-ea"/>
              <a:cs typeface="Times New Roman" pitchFamily="18" charset="0"/>
            </a:rPr>
            <a:t>No. of  Beds (Fold)</a:t>
          </a:r>
          <a:endParaRPr lang="zh-TW" altLang="zh-TW" sz="800" b="0" i="0" baseline="0">
            <a:latin typeface="Times New Roman" pitchFamily="18" charset="0"/>
            <a:ea typeface="+mn-ea"/>
            <a:cs typeface="Times New Roman" pitchFamily="18" charset="0"/>
          </a:endParaRPr>
        </a:p>
        <a:p xmlns:a="http://schemas.openxmlformats.org/drawingml/2006/main">
          <a:pPr algn="ctr" rtl="0">
            <a:defRPr sz="1000"/>
          </a:pPr>
          <a:endParaRPr lang="zh-TW" altLang="en-US" sz="800" b="0" i="0" u="none" strike="noStrike" baseline="0">
            <a:solidFill>
              <a:srgbClr val="000000"/>
            </a:solidFill>
            <a:latin typeface="標楷體"/>
            <a:ea typeface="標楷體"/>
          </a:endParaRPr>
        </a:p>
      </cdr:txBody>
    </cdr:sp>
  </cdr:relSizeAnchor>
  <cdr:relSizeAnchor xmlns:cdr="http://schemas.openxmlformats.org/drawingml/2006/chartDrawing">
    <cdr:from>
      <cdr:x>0.04569</cdr:x>
      <cdr:y>0.8503</cdr:y>
    </cdr:from>
    <cdr:to>
      <cdr:x>0.52837</cdr:x>
      <cdr:y>0.95808</cdr:y>
    </cdr:to>
    <cdr:sp macro="" textlink="">
      <cdr:nvSpPr>
        <cdr:cNvPr id="8" name="文字方塊 7"/>
        <cdr:cNvSpPr txBox="1"/>
      </cdr:nvSpPr>
      <cdr:spPr>
        <a:xfrm xmlns:a="http://schemas.openxmlformats.org/drawingml/2006/main">
          <a:off x="398318" y="4918364"/>
          <a:ext cx="4208318" cy="62345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zh-TW" altLang="en-US" sz="1100"/>
        </a:p>
      </cdr:txBody>
    </cdr:sp>
  </cdr:relSizeAnchor>
  <cdr:relSizeAnchor xmlns:cdr="http://schemas.openxmlformats.org/drawingml/2006/chartDrawing">
    <cdr:from>
      <cdr:x>0.0192</cdr:x>
      <cdr:y>0.88866</cdr:y>
    </cdr:from>
    <cdr:to>
      <cdr:x>0.81868</cdr:x>
      <cdr:y>1</cdr:y>
    </cdr:to>
    <cdr:sp macro="" textlink="">
      <cdr:nvSpPr>
        <cdr:cNvPr id="10" name="文字方塊 9"/>
        <cdr:cNvSpPr txBox="1"/>
      </cdr:nvSpPr>
      <cdr:spPr>
        <a:xfrm xmlns:a="http://schemas.openxmlformats.org/drawingml/2006/main">
          <a:off x="105314" y="3648974"/>
          <a:ext cx="4386293" cy="4572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eaLnBrk="0"/>
          <a:r>
            <a:rPr lang="en-US" altLang="zh-TW" sz="800">
              <a:latin typeface="Times New Roman" pitchFamily="18" charset="0"/>
              <a:ea typeface="+mn-ea"/>
              <a:cs typeface="Times New Roman" pitchFamily="18" charset="0"/>
            </a:rPr>
            <a:t>The X-axis and Y-axis values at the Origin (0.6, 1.3) respectively represents "the median of growth (percentage point) in the share of beds in medical care institutions" and the "median of folds in the number of beds in medical care institutions" in the six BNHI branches. </a:t>
          </a:r>
          <a:endParaRPr lang="zh-TW" altLang="zh-TW" sz="800">
            <a:latin typeface="Times New Roman" pitchFamily="18" charset="0"/>
            <a:ea typeface="+mn-ea"/>
            <a:cs typeface="Times New Roman" pitchFamily="18" charset="0"/>
          </a:endParaRPr>
        </a:p>
      </cdr:txBody>
    </cdr:sp>
  </cdr:relSizeAnchor>
  <cdr:relSizeAnchor xmlns:cdr="http://schemas.openxmlformats.org/drawingml/2006/chartDrawing">
    <cdr:from>
      <cdr:x>0.91671</cdr:x>
      <cdr:y>0.5573</cdr:y>
    </cdr:from>
    <cdr:to>
      <cdr:x>0.99517</cdr:x>
      <cdr:y>0.69388</cdr:y>
    </cdr:to>
    <cdr:sp macro="" textlink="">
      <cdr:nvSpPr>
        <cdr:cNvPr id="13" name="文字方塊 12"/>
        <cdr:cNvSpPr txBox="1"/>
      </cdr:nvSpPr>
      <cdr:spPr>
        <a:xfrm xmlns:a="http://schemas.openxmlformats.org/drawingml/2006/main">
          <a:off x="7992342" y="3073976"/>
          <a:ext cx="684068" cy="75334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zh-TW" altLang="en-US" sz="1100"/>
        </a:p>
      </cdr:txBody>
    </cdr:sp>
  </cdr:relSizeAnchor>
  <cdr:relSizeAnchor xmlns:cdr="http://schemas.openxmlformats.org/drawingml/2006/chartDrawing">
    <cdr:from>
      <cdr:x>0.90023</cdr:x>
      <cdr:y>0.35294</cdr:y>
    </cdr:from>
    <cdr:to>
      <cdr:x>0.94174</cdr:x>
      <cdr:y>0.90086</cdr:y>
    </cdr:to>
    <cdr:sp macro="" textlink="">
      <cdr:nvSpPr>
        <cdr:cNvPr id="15" name="文字方塊 14"/>
        <cdr:cNvSpPr txBox="1"/>
      </cdr:nvSpPr>
      <cdr:spPr>
        <a:xfrm xmlns:a="http://schemas.openxmlformats.org/drawingml/2006/main">
          <a:off x="4939034" y="1449238"/>
          <a:ext cx="227741" cy="2249847"/>
        </a:xfrm>
        <a:prstGeom xmlns:a="http://schemas.openxmlformats.org/drawingml/2006/main" prst="rect">
          <a:avLst/>
        </a:prstGeom>
      </cdr:spPr>
      <cdr:txBody>
        <a:bodyPr xmlns:a="http://schemas.openxmlformats.org/drawingml/2006/main" vertOverflow="clip" vert="eaVert" wrap="square" rtlCol="0"/>
        <a:lstStyle xmlns:a="http://schemas.openxmlformats.org/drawingml/2006/main"/>
        <a:p xmlns:a="http://schemas.openxmlformats.org/drawingml/2006/main">
          <a:r>
            <a:rPr lang="en-US" altLang="zh-TW" sz="800">
              <a:latin typeface="Times New Roman" pitchFamily="18" charset="0"/>
              <a:ea typeface="+mn-ea"/>
              <a:cs typeface="Times New Roman" pitchFamily="18" charset="0"/>
            </a:rPr>
            <a:t>Differences in share of beds  (Percentage</a:t>
          </a:r>
          <a:r>
            <a:rPr lang="en-US" altLang="zh-TW" sz="800" baseline="0">
              <a:latin typeface="Times New Roman" pitchFamily="18" charset="0"/>
              <a:ea typeface="+mn-ea"/>
              <a:cs typeface="Times New Roman" pitchFamily="18" charset="0"/>
            </a:rPr>
            <a:t> point)</a:t>
          </a:r>
          <a:endParaRPr lang="zh-TW" altLang="en-US" sz="800">
            <a:latin typeface="Times New Roman" pitchFamily="18" charset="0"/>
            <a:cs typeface="Times New Roman" pitchFamily="18" charset="0"/>
          </a:endParaRPr>
        </a:p>
      </cdr:txBody>
    </cdr:sp>
  </cdr:relSizeAnchor>
</c:userShapes>
</file>

<file path=word/drawings/drawing8.xml><?xml version="1.0" encoding="utf-8"?>
<c:userShapes xmlns:c="http://schemas.openxmlformats.org/drawingml/2006/chart">
  <cdr:relSizeAnchor xmlns:cdr="http://schemas.openxmlformats.org/drawingml/2006/chartDrawing">
    <cdr:from>
      <cdr:x>0.76887</cdr:x>
      <cdr:y>0.2343</cdr:y>
    </cdr:from>
    <cdr:to>
      <cdr:x>0.97799</cdr:x>
      <cdr:y>0.50156</cdr:y>
    </cdr:to>
    <cdr:grpSp>
      <cdr:nvGrpSpPr>
        <cdr:cNvPr id="15" name="群組 14"/>
        <cdr:cNvGrpSpPr/>
      </cdr:nvGrpSpPr>
      <cdr:grpSpPr>
        <a:xfrm xmlns:a="http://schemas.openxmlformats.org/drawingml/2006/main">
          <a:off x="4218328" y="648795"/>
          <a:ext cx="1147316" cy="740064"/>
          <a:chOff x="4218318" y="648795"/>
          <a:chExt cx="1147313" cy="740058"/>
        </a:xfrm>
      </cdr:grpSpPr>
      <cdr:sp macro="" textlink="">
        <cdr:nvSpPr>
          <cdr:cNvPr id="8" name="文字方塊 2"/>
          <cdr:cNvSpPr txBox="1"/>
        </cdr:nvSpPr>
        <cdr:spPr>
          <a:xfrm xmlns:a="http://schemas.openxmlformats.org/drawingml/2006/main">
            <a:off x="4228180" y="648795"/>
            <a:ext cx="1137451" cy="74005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baseline="0">
                <a:latin typeface="Times New Roman" pitchFamily="18" charset="0"/>
                <a:ea typeface="新細明體"/>
                <a:cs typeface="Times New Roman" pitchFamily="18" charset="0"/>
              </a:rPr>
              <a:t>2011 insured beds</a:t>
            </a:r>
          </a:p>
          <a:p xmlns:a="http://schemas.openxmlformats.org/drawingml/2006/main">
            <a:endParaRPr lang="zh-TW" altLang="zh-TW" sz="200">
              <a:latin typeface="Times New Roman" pitchFamily="18" charset="0"/>
              <a:ea typeface="新細明體"/>
              <a:cs typeface="Times New Roman" pitchFamily="18" charset="0"/>
            </a:endParaRPr>
          </a:p>
          <a:p xmlns:a="http://schemas.openxmlformats.org/drawingml/2006/main">
            <a:r>
              <a:rPr lang="en-US" altLang="zh-TW" sz="800" baseline="0">
                <a:latin typeface="Times New Roman" pitchFamily="18" charset="0"/>
                <a:ea typeface="新細明體"/>
                <a:cs typeface="Times New Roman" pitchFamily="18" charset="0"/>
              </a:rPr>
              <a:t>2011 non-insured beds</a:t>
            </a:r>
          </a:p>
          <a:p xmlns:a="http://schemas.openxmlformats.org/drawingml/2006/main">
            <a:endParaRPr lang="zh-TW" altLang="zh-TW" sz="300">
              <a:latin typeface="Times New Roman" pitchFamily="18" charset="0"/>
              <a:ea typeface="新細明體"/>
              <a:cs typeface="Times New Roman" pitchFamily="18" charset="0"/>
            </a:endParaRPr>
          </a:p>
          <a:p xmlns:a="http://schemas.openxmlformats.org/drawingml/2006/main">
            <a:r>
              <a:rPr lang="en-US" altLang="zh-TW" sz="800" baseline="0">
                <a:latin typeface="Times New Roman" pitchFamily="18" charset="0"/>
                <a:ea typeface="新細明體"/>
                <a:cs typeface="Times New Roman" pitchFamily="18" charset="0"/>
              </a:rPr>
              <a:t>2006 insured beds</a:t>
            </a:r>
          </a:p>
          <a:p xmlns:a="http://schemas.openxmlformats.org/drawingml/2006/main">
            <a:endParaRPr lang="zh-TW" altLang="zh-TW" sz="300">
              <a:latin typeface="Times New Roman" pitchFamily="18" charset="0"/>
              <a:ea typeface="新細明體"/>
              <a:cs typeface="Times New Roman" pitchFamily="18" charset="0"/>
            </a:endParaRPr>
          </a:p>
          <a:p xmlns:a="http://schemas.openxmlformats.org/drawingml/2006/main">
            <a:pPr fontAlgn="base"/>
            <a:r>
              <a:rPr lang="en-US" altLang="zh-TW" sz="800" baseline="0">
                <a:latin typeface="Times New Roman" pitchFamily="18" charset="0"/>
                <a:ea typeface="新細明體"/>
                <a:cs typeface="Times New Roman" pitchFamily="18" charset="0"/>
              </a:rPr>
              <a:t>2006 non-insured beds</a:t>
            </a:r>
            <a:endParaRPr lang="zh-TW" altLang="zh-TW" sz="800" baseline="0">
              <a:latin typeface="Times New Roman" pitchFamily="18" charset="0"/>
              <a:ea typeface="新細明體"/>
              <a:cs typeface="Times New Roman" pitchFamily="18" charset="0"/>
            </a:endParaRPr>
          </a:p>
        </cdr:txBody>
      </cdr:sp>
      <cdr:grpSp>
        <cdr:nvGrpSpPr>
          <cdr:cNvPr id="9" name="群組 8"/>
          <cdr:cNvGrpSpPr/>
        </cdr:nvGrpSpPr>
        <cdr:grpSpPr>
          <a:xfrm xmlns:a="http://schemas.openxmlformats.org/drawingml/2006/main">
            <a:off x="4218318" y="719536"/>
            <a:ext cx="58106" cy="531176"/>
            <a:chOff x="4536691" y="784151"/>
            <a:chExt cx="53795" cy="513902"/>
          </a:xfrm>
        </cdr:grpSpPr>
        <cdr:sp macro="" textlink="">
          <cdr:nvSpPr>
            <cdr:cNvPr id="10" name="矩形 9"/>
            <cdr:cNvSpPr/>
          </cdr:nvSpPr>
          <cdr:spPr>
            <a:xfrm xmlns:a="http://schemas.openxmlformats.org/drawingml/2006/main">
              <a:off x="4536691" y="1092139"/>
              <a:ext cx="53794" cy="51892"/>
            </a:xfrm>
            <a:prstGeom xmlns:a="http://schemas.openxmlformats.org/drawingml/2006/main" prst="rect">
              <a:avLst/>
            </a:prstGeom>
            <a:solidFill xmlns:a="http://schemas.openxmlformats.org/drawingml/2006/main">
              <a:srgbClr val="E0CAEC"/>
            </a:solidFill>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zh-TW"/>
            </a:p>
          </cdr:txBody>
        </cdr:sp>
        <cdr:sp macro="" textlink="">
          <cdr:nvSpPr>
            <cdr:cNvPr id="11" name="矩形 10"/>
            <cdr:cNvSpPr/>
          </cdr:nvSpPr>
          <cdr:spPr>
            <a:xfrm xmlns:a="http://schemas.openxmlformats.org/drawingml/2006/main">
              <a:off x="4536691" y="1246161"/>
              <a:ext cx="53795" cy="51892"/>
            </a:xfrm>
            <a:prstGeom xmlns:a="http://schemas.openxmlformats.org/drawingml/2006/main" prst="rect">
              <a:avLst/>
            </a:prstGeom>
            <a:solidFill xmlns:a="http://schemas.openxmlformats.org/drawingml/2006/main">
              <a:srgbClr val="FFB7FF"/>
            </a:solidFill>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zh-TW"/>
            </a:p>
          </cdr:txBody>
        </cdr:sp>
        <cdr:sp macro="" textlink="">
          <cdr:nvSpPr>
            <cdr:cNvPr id="12" name="矩形 11"/>
            <cdr:cNvSpPr/>
          </cdr:nvSpPr>
          <cdr:spPr>
            <a:xfrm xmlns:a="http://schemas.openxmlformats.org/drawingml/2006/main">
              <a:off x="4536691" y="784151"/>
              <a:ext cx="53795" cy="51864"/>
            </a:xfrm>
            <a:prstGeom xmlns:a="http://schemas.openxmlformats.org/drawingml/2006/main" prst="rect">
              <a:avLst/>
            </a:prstGeom>
            <a:solidFill xmlns:a="http://schemas.openxmlformats.org/drawingml/2006/main">
              <a:srgbClr val="D7E4BD"/>
            </a:solidFill>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zh-TW"/>
            </a:p>
          </cdr:txBody>
        </cdr:sp>
        <cdr:sp macro="" textlink="">
          <cdr:nvSpPr>
            <cdr:cNvPr id="13" name="矩形 12"/>
            <cdr:cNvSpPr/>
          </cdr:nvSpPr>
          <cdr:spPr>
            <a:xfrm xmlns:a="http://schemas.openxmlformats.org/drawingml/2006/main">
              <a:off x="4536691" y="938145"/>
              <a:ext cx="53794" cy="51864"/>
            </a:xfrm>
            <a:prstGeom xmlns:a="http://schemas.openxmlformats.org/drawingml/2006/main" prst="rect">
              <a:avLst/>
            </a:prstGeom>
            <a:solidFill xmlns:a="http://schemas.openxmlformats.org/drawingml/2006/main">
              <a:srgbClr val="FFFF99"/>
            </a:solidFill>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zh-TW"/>
            </a:p>
          </cdr:txBody>
        </cdr:sp>
      </cdr:grpSp>
    </cdr:grpSp>
  </cdr:relSizeAnchor>
  <cdr:relSizeAnchor xmlns:cdr="http://schemas.openxmlformats.org/drawingml/2006/chartDrawing">
    <cdr:from>
      <cdr:x>0</cdr:x>
      <cdr:y>0</cdr:y>
    </cdr:from>
    <cdr:to>
      <cdr:x>0.95126</cdr:x>
      <cdr:y>0.17757</cdr:y>
    </cdr:to>
    <cdr:sp macro="" textlink="">
      <cdr:nvSpPr>
        <cdr:cNvPr id="14" name="文字方塊 13"/>
        <cdr:cNvSpPr txBox="1"/>
      </cdr:nvSpPr>
      <cdr:spPr>
        <a:xfrm xmlns:a="http://schemas.openxmlformats.org/drawingml/2006/main">
          <a:off x="0" y="0"/>
          <a:ext cx="5218982" cy="49170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rtl="0">
            <a:defRPr sz="1800" b="1" i="0" u="none" strike="noStrike" kern="1200" baseline="0">
              <a:solidFill>
                <a:sysClr val="windowText" lastClr="000000"/>
              </a:solidFill>
              <a:latin typeface="+mn-lt"/>
              <a:ea typeface="+mn-ea"/>
              <a:cs typeface="+mn-cs"/>
            </a:defRPr>
          </a:pPr>
          <a:r>
            <a:rPr lang="en-US" altLang="zh-TW" sz="1000" b="0" i="0" baseline="0">
              <a:latin typeface="Times New Roman" pitchFamily="18" charset="0"/>
              <a:cs typeface="Times New Roman" pitchFamily="18" charset="0"/>
            </a:rPr>
            <a:t>Figure 26   Percentages of Insured and Non-Insured Beds in Contracted Medical Care Institutions</a:t>
          </a:r>
        </a:p>
        <a:p xmlns:a="http://schemas.openxmlformats.org/drawingml/2006/main">
          <a:pPr algn="ctr" rtl="0">
            <a:defRPr sz="1800" b="1" i="0" u="none" strike="noStrike" kern="1200" baseline="0">
              <a:solidFill>
                <a:sysClr val="windowText" lastClr="000000"/>
              </a:solidFill>
              <a:latin typeface="+mn-lt"/>
              <a:ea typeface="+mn-ea"/>
              <a:cs typeface="+mn-cs"/>
            </a:defRPr>
          </a:pPr>
          <a:endParaRPr lang="en-US" altLang="zh-TW" sz="800" b="0" i="0" u="none" strike="noStrike" baseline="0">
            <a:latin typeface="Times New Roman" pitchFamily="18" charset="0"/>
            <a:cs typeface="Times New Roman" pitchFamily="18" charset="0"/>
          </a:endParaRPr>
        </a:p>
        <a:p xmlns:a="http://schemas.openxmlformats.org/drawingml/2006/main">
          <a:pPr algn="ctr" rtl="0">
            <a:defRPr sz="1800" b="1" i="0" u="none" strike="noStrike" kern="1200" baseline="0">
              <a:solidFill>
                <a:sysClr val="windowText" lastClr="000000"/>
              </a:solidFill>
              <a:latin typeface="+mn-lt"/>
              <a:ea typeface="+mn-ea"/>
              <a:cs typeface="+mn-cs"/>
            </a:defRPr>
          </a:pPr>
          <a:r>
            <a:rPr lang="en-US" altLang="zh-TW" sz="800" b="0" i="0" u="none" strike="noStrike" baseline="0">
              <a:latin typeface="Times New Roman" pitchFamily="18" charset="0"/>
              <a:cs typeface="Times New Roman" pitchFamily="18" charset="0"/>
            </a:rPr>
            <a:t>2011 vs. 2006</a:t>
          </a:r>
          <a:endParaRPr lang="en-US" altLang="zh-TW" sz="800" b="0" i="0" baseline="0">
            <a:latin typeface="Times New Roman" pitchFamily="18" charset="0"/>
            <a:ea typeface="標楷體" pitchFamily="65" charset="-120"/>
            <a:cs typeface="Times New Roman" pitchFamily="18" charset="0"/>
          </a:endParaRPr>
        </a:p>
        <a:p xmlns:a="http://schemas.openxmlformats.org/drawingml/2006/main">
          <a:endParaRPr lang="zh-TW" altLang="en-US" sz="1100"/>
        </a:p>
      </cdr:txBody>
    </cdr:sp>
  </cdr:relSizeAnchor>
</c:userShapes>
</file>

<file path=word/drawings/drawing9.xml><?xml version="1.0" encoding="utf-8"?>
<c:userShapes xmlns:c="http://schemas.openxmlformats.org/drawingml/2006/chart">
  <cdr:relSizeAnchor xmlns:cdr="http://schemas.openxmlformats.org/drawingml/2006/chartDrawing">
    <cdr:from>
      <cdr:x>0.7357</cdr:x>
      <cdr:y>0.33824</cdr:y>
    </cdr:from>
    <cdr:to>
      <cdr:x>0.9434</cdr:x>
      <cdr:y>0.82502</cdr:y>
    </cdr:to>
    <cdr:grpSp>
      <cdr:nvGrpSpPr>
        <cdr:cNvPr id="36" name="群組 35"/>
        <cdr:cNvGrpSpPr/>
      </cdr:nvGrpSpPr>
      <cdr:grpSpPr>
        <a:xfrm xmlns:a="http://schemas.openxmlformats.org/drawingml/2006/main">
          <a:off x="4036344" y="526217"/>
          <a:ext cx="1139526" cy="757308"/>
          <a:chOff x="4536656" y="700554"/>
          <a:chExt cx="1139526" cy="757310"/>
        </a:xfrm>
      </cdr:grpSpPr>
      <cdr:sp macro="" textlink="">
        <cdr:nvSpPr>
          <cdr:cNvPr id="37" name="文字方塊 2"/>
          <cdr:cNvSpPr txBox="1"/>
        </cdr:nvSpPr>
        <cdr:spPr>
          <a:xfrm xmlns:a="http://schemas.openxmlformats.org/drawingml/2006/main">
            <a:off x="4538731" y="700554"/>
            <a:ext cx="1137451" cy="75731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baseline="0">
                <a:latin typeface="Times New Roman" pitchFamily="18" charset="0"/>
                <a:ea typeface="新細明體"/>
                <a:cs typeface="Times New Roman" pitchFamily="18" charset="0"/>
              </a:rPr>
              <a:t>2011 insured beds</a:t>
            </a:r>
          </a:p>
          <a:p xmlns:a="http://schemas.openxmlformats.org/drawingml/2006/main">
            <a:endParaRPr lang="zh-TW" altLang="zh-TW" sz="200">
              <a:latin typeface="Times New Roman" pitchFamily="18" charset="0"/>
              <a:ea typeface="新細明體"/>
              <a:cs typeface="Times New Roman" pitchFamily="18" charset="0"/>
            </a:endParaRPr>
          </a:p>
          <a:p xmlns:a="http://schemas.openxmlformats.org/drawingml/2006/main">
            <a:r>
              <a:rPr lang="en-US" altLang="zh-TW" sz="800" baseline="0">
                <a:latin typeface="Times New Roman" pitchFamily="18" charset="0"/>
                <a:ea typeface="新細明體"/>
                <a:cs typeface="Times New Roman" pitchFamily="18" charset="0"/>
              </a:rPr>
              <a:t>2011 non-insured beds</a:t>
            </a:r>
          </a:p>
          <a:p xmlns:a="http://schemas.openxmlformats.org/drawingml/2006/main">
            <a:endParaRPr lang="zh-TW" altLang="zh-TW" sz="300">
              <a:latin typeface="Times New Roman" pitchFamily="18" charset="0"/>
              <a:ea typeface="新細明體"/>
              <a:cs typeface="Times New Roman" pitchFamily="18" charset="0"/>
            </a:endParaRPr>
          </a:p>
          <a:p xmlns:a="http://schemas.openxmlformats.org/drawingml/2006/main">
            <a:r>
              <a:rPr lang="en-US" altLang="zh-TW" sz="800" baseline="0">
                <a:latin typeface="Times New Roman" pitchFamily="18" charset="0"/>
                <a:ea typeface="新細明體"/>
                <a:cs typeface="Times New Roman" pitchFamily="18" charset="0"/>
              </a:rPr>
              <a:t>2006 insured beds</a:t>
            </a:r>
          </a:p>
          <a:p xmlns:a="http://schemas.openxmlformats.org/drawingml/2006/main">
            <a:endParaRPr lang="zh-TW" altLang="zh-TW" sz="300">
              <a:latin typeface="Times New Roman" pitchFamily="18" charset="0"/>
              <a:ea typeface="新細明體"/>
              <a:cs typeface="Times New Roman" pitchFamily="18" charset="0"/>
            </a:endParaRPr>
          </a:p>
          <a:p xmlns:a="http://schemas.openxmlformats.org/drawingml/2006/main">
            <a:pPr fontAlgn="base"/>
            <a:r>
              <a:rPr lang="en-US" altLang="zh-TW" sz="800" baseline="0">
                <a:latin typeface="Times New Roman" pitchFamily="18" charset="0"/>
                <a:ea typeface="新細明體"/>
                <a:cs typeface="Times New Roman" pitchFamily="18" charset="0"/>
              </a:rPr>
              <a:t>2006 non-insured beds</a:t>
            </a:r>
            <a:endParaRPr lang="zh-TW" altLang="zh-TW" sz="800" baseline="0">
              <a:latin typeface="Times New Roman" pitchFamily="18" charset="0"/>
              <a:ea typeface="新細明體"/>
              <a:cs typeface="Times New Roman" pitchFamily="18" charset="0"/>
            </a:endParaRPr>
          </a:p>
        </cdr:txBody>
      </cdr:sp>
      <cdr:grpSp>
        <cdr:nvGrpSpPr>
          <cdr:cNvPr id="38" name="群組 37"/>
          <cdr:cNvGrpSpPr/>
        </cdr:nvGrpSpPr>
        <cdr:grpSpPr>
          <a:xfrm xmlns:a="http://schemas.openxmlformats.org/drawingml/2006/main">
            <a:off x="4536656" y="784151"/>
            <a:ext cx="53797" cy="513904"/>
            <a:chOff x="4831440" y="846670"/>
            <a:chExt cx="49806" cy="497195"/>
          </a:xfrm>
        </cdr:grpSpPr>
        <cdr:sp macro="" textlink="">
          <cdr:nvSpPr>
            <cdr:cNvPr id="39" name="矩形 38"/>
            <cdr:cNvSpPr/>
          </cdr:nvSpPr>
          <cdr:spPr>
            <a:xfrm xmlns:a="http://schemas.openxmlformats.org/drawingml/2006/main">
              <a:off x="4831443" y="1144645"/>
              <a:ext cx="49803" cy="50205"/>
            </a:xfrm>
            <a:prstGeom xmlns:a="http://schemas.openxmlformats.org/drawingml/2006/main" prst="rect">
              <a:avLst/>
            </a:prstGeom>
            <a:solidFill xmlns:a="http://schemas.openxmlformats.org/drawingml/2006/main">
              <a:srgbClr val="E0CAEC"/>
            </a:solidFill>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zh-TW"/>
            </a:p>
          </cdr:txBody>
        </cdr:sp>
        <cdr:sp macro="" textlink="">
          <cdr:nvSpPr>
            <cdr:cNvPr id="40" name="矩形 39"/>
            <cdr:cNvSpPr/>
          </cdr:nvSpPr>
          <cdr:spPr>
            <a:xfrm xmlns:a="http://schemas.openxmlformats.org/drawingml/2006/main">
              <a:off x="4831440" y="1293660"/>
              <a:ext cx="49804" cy="50205"/>
            </a:xfrm>
            <a:prstGeom xmlns:a="http://schemas.openxmlformats.org/drawingml/2006/main" prst="rect">
              <a:avLst/>
            </a:prstGeom>
            <a:solidFill xmlns:a="http://schemas.openxmlformats.org/drawingml/2006/main">
              <a:srgbClr val="FFB7FF"/>
            </a:solidFill>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zh-TW"/>
            </a:p>
          </cdr:txBody>
        </cdr:sp>
        <cdr:sp macro="" textlink="">
          <cdr:nvSpPr>
            <cdr:cNvPr id="41" name="矩形 40"/>
            <cdr:cNvSpPr/>
          </cdr:nvSpPr>
          <cdr:spPr>
            <a:xfrm xmlns:a="http://schemas.openxmlformats.org/drawingml/2006/main">
              <a:off x="4831440" y="846670"/>
              <a:ext cx="49804" cy="50178"/>
            </a:xfrm>
            <a:prstGeom xmlns:a="http://schemas.openxmlformats.org/drawingml/2006/main" prst="rect">
              <a:avLst/>
            </a:prstGeom>
            <a:solidFill xmlns:a="http://schemas.openxmlformats.org/drawingml/2006/main">
              <a:srgbClr val="D7E4BD"/>
            </a:solidFill>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zh-TW"/>
            </a:p>
          </cdr:txBody>
        </cdr:sp>
        <cdr:sp macro="" textlink="">
          <cdr:nvSpPr>
            <cdr:cNvPr id="42" name="矩形 41"/>
            <cdr:cNvSpPr/>
          </cdr:nvSpPr>
          <cdr:spPr>
            <a:xfrm xmlns:a="http://schemas.openxmlformats.org/drawingml/2006/main">
              <a:off x="4831440" y="995657"/>
              <a:ext cx="49803" cy="50178"/>
            </a:xfrm>
            <a:prstGeom xmlns:a="http://schemas.openxmlformats.org/drawingml/2006/main" prst="rect">
              <a:avLst/>
            </a:prstGeom>
            <a:solidFill xmlns:a="http://schemas.openxmlformats.org/drawingml/2006/main">
              <a:srgbClr val="FFFF99"/>
            </a:solidFill>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zh-TW"/>
            </a:p>
          </cdr:txBody>
        </cdr:sp>
      </cdr:grpSp>
    </cdr:grpSp>
  </cdr:relSizeAnchor>
</c:userShapes>
</file>

<file path=word/drawings/drawing10.xml><?xml version="1.0" encoding="utf-8"?>
<c:userShapes xmlns:c="http://schemas.openxmlformats.org/drawingml/2006/chart">
  <cdr:relSizeAnchor xmlns:cdr="http://schemas.openxmlformats.org/drawingml/2006/chartDrawing">
    <cdr:from>
      <cdr:x>0.09119</cdr:x>
      <cdr:y>0.84109</cdr:y>
    </cdr:from>
    <cdr:to>
      <cdr:x>0.97799</cdr:x>
      <cdr:y>1</cdr:y>
    </cdr:to>
    <cdr:sp macro="" textlink="">
      <cdr:nvSpPr>
        <cdr:cNvPr id="9" name="文字方塊 8"/>
        <cdr:cNvSpPr txBox="1"/>
      </cdr:nvSpPr>
      <cdr:spPr>
        <a:xfrm xmlns:a="http://schemas.openxmlformats.org/drawingml/2006/main">
          <a:off x="500332" y="1871932"/>
          <a:ext cx="4865298" cy="35368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mn-ea"/>
              <a:cs typeface="Times New Roman" pitchFamily="18" charset="0"/>
            </a:rPr>
            <a:t>         General</a:t>
          </a:r>
          <a:r>
            <a:rPr lang="en-US" altLang="zh-TW" sz="800" baseline="0">
              <a:latin typeface="Times New Roman" pitchFamily="18" charset="0"/>
              <a:ea typeface="+mn-ea"/>
              <a:cs typeface="Times New Roman" pitchFamily="18" charset="0"/>
            </a:rPr>
            <a:t>             Psychiatric     </a:t>
          </a:r>
          <a:r>
            <a:rPr lang="zh-TW" altLang="zh-TW" sz="800">
              <a:latin typeface="Times New Roman" pitchFamily="18" charset="0"/>
              <a:ea typeface="+mn-ea"/>
              <a:cs typeface="Times New Roman" pitchFamily="18" charset="0"/>
            </a:rPr>
            <a:t>  </a:t>
          </a:r>
          <a:r>
            <a:rPr lang="en-US" altLang="zh-TW" sz="800">
              <a:latin typeface="Times New Roman" pitchFamily="18" charset="0"/>
              <a:ea typeface="+mn-ea"/>
              <a:cs typeface="Times New Roman" pitchFamily="18" charset="0"/>
            </a:rPr>
            <a:t>  Hemodialysis    Hospice Palliative  Respiratory Care   Respiratory Care                        </a:t>
          </a:r>
        </a:p>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mn-ea"/>
              <a:cs typeface="Times New Roman" pitchFamily="18" charset="0"/>
            </a:rPr>
            <a:t>            Beds                    Beds                     Beds                     Beds                       Beds               Center  Beds</a:t>
          </a:r>
          <a:endParaRPr lang="zh-TW" altLang="zh-TW" sz="800">
            <a:latin typeface="Times New Roman" pitchFamily="18" charset="0"/>
            <a:cs typeface="Times New Roman" pitchFamily="18" charset="0"/>
          </a:endParaRPr>
        </a:p>
        <a:p xmlns:a="http://schemas.openxmlformats.org/drawingml/2006/main">
          <a:endParaRPr lang="zh-TW" altLang="en-US" sz="800">
            <a:latin typeface="標楷體" pitchFamily="65" charset="-120"/>
            <a:ea typeface="標楷體" pitchFamily="65" charset="-120"/>
          </a:endParaRPr>
        </a:p>
      </cdr:txBody>
    </cdr:sp>
  </cdr:relSizeAnchor>
  <cdr:relSizeAnchor xmlns:cdr="http://schemas.openxmlformats.org/drawingml/2006/chartDrawing">
    <cdr:from>
      <cdr:x>0.02986</cdr:x>
      <cdr:y>0</cdr:y>
    </cdr:from>
    <cdr:to>
      <cdr:x>0.99393</cdr:x>
      <cdr:y>0.21318</cdr:y>
    </cdr:to>
    <cdr:sp macro="" textlink="">
      <cdr:nvSpPr>
        <cdr:cNvPr id="11" name="文字方塊 10"/>
        <cdr:cNvSpPr txBox="1"/>
      </cdr:nvSpPr>
      <cdr:spPr>
        <a:xfrm xmlns:a="http://schemas.openxmlformats.org/drawingml/2006/main">
          <a:off x="163824" y="0"/>
          <a:ext cx="5289274" cy="47445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1100"/>
            <a:t>~~~~~~~~~~~~~~~~~~~~~~~~~~~~~~~~~~~~~~~~~~~~~~~~~~~~~~~~~~~~~~~~~~~~~~~~~</a:t>
          </a:r>
        </a:p>
        <a:p xmlns:a="http://schemas.openxmlformats.org/drawingml/2006/main">
          <a:r>
            <a:rPr lang="en-US" altLang="zh-TW" sz="1100"/>
            <a:t>~~~~~~~~~~~~~~~~~~~~~~~~~~~~~~~~~~~~~~~~~~~~~~~~~~~~~~~~~~~~~~~~~~~~~~~~~</a:t>
          </a:r>
          <a:endParaRPr lang="zh-TW" altLang="en-US" sz="1100"/>
        </a:p>
      </cdr:txBody>
    </cdr:sp>
  </cdr:relSizeAnchor>
</c:userShapes>
</file>

<file path=word/drawings/drawing11.xml><?xml version="1.0" encoding="utf-8"?>
<c:userShapes xmlns:c="http://schemas.openxmlformats.org/drawingml/2006/chart">
  <cdr:relSizeAnchor xmlns:cdr="http://schemas.openxmlformats.org/drawingml/2006/chartDrawing">
    <cdr:from>
      <cdr:x>0.32075</cdr:x>
      <cdr:y>0.3218</cdr:y>
    </cdr:from>
    <cdr:to>
      <cdr:x>0.38365</cdr:x>
      <cdr:y>0.43237</cdr:y>
    </cdr:to>
    <cdr:sp macro="" textlink="">
      <cdr:nvSpPr>
        <cdr:cNvPr id="8" name="文字方塊 7"/>
        <cdr:cNvSpPr txBox="1"/>
      </cdr:nvSpPr>
      <cdr:spPr>
        <a:xfrm xmlns:a="http://schemas.openxmlformats.org/drawingml/2006/main">
          <a:off x="1759787" y="520059"/>
          <a:ext cx="345057" cy="1786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a:latin typeface="Times New Roman" pitchFamily="18" charset="0"/>
              <a:cs typeface="Times New Roman" pitchFamily="18" charset="0"/>
            </a:rPr>
            <a:t>53</a:t>
          </a:r>
          <a:endParaRPr lang="zh-TW" altLang="en-US" sz="800">
            <a:latin typeface="Times New Roman" pitchFamily="18" charset="0"/>
            <a:cs typeface="Times New Roman" pitchFamily="18" charset="0"/>
          </a:endParaRPr>
        </a:p>
      </cdr:txBody>
    </cdr:sp>
  </cdr:relSizeAnchor>
  <cdr:relSizeAnchor xmlns:cdr="http://schemas.openxmlformats.org/drawingml/2006/chartDrawing">
    <cdr:from>
      <cdr:x>0.36465</cdr:x>
      <cdr:y>0.33629</cdr:y>
    </cdr:from>
    <cdr:to>
      <cdr:x>0.42767</cdr:x>
      <cdr:y>0.44714</cdr:y>
    </cdr:to>
    <cdr:sp macro="" textlink="">
      <cdr:nvSpPr>
        <cdr:cNvPr id="9" name="文字方塊 8"/>
        <cdr:cNvSpPr txBox="1"/>
      </cdr:nvSpPr>
      <cdr:spPr>
        <a:xfrm xmlns:a="http://schemas.openxmlformats.org/drawingml/2006/main">
          <a:off x="2000621" y="543464"/>
          <a:ext cx="345763" cy="17914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a:latin typeface="Times New Roman" pitchFamily="18" charset="0"/>
              <a:cs typeface="Times New Roman" pitchFamily="18" charset="0"/>
            </a:rPr>
            <a:t>156</a:t>
          </a:r>
          <a:endParaRPr lang="zh-TW" altLang="en-US" sz="800">
            <a:latin typeface="Times New Roman" pitchFamily="18" charset="0"/>
            <a:cs typeface="Times New Roman" pitchFamily="18" charset="0"/>
          </a:endParaRPr>
        </a:p>
      </cdr:txBody>
    </cdr:sp>
  </cdr:relSizeAnchor>
  <cdr:relSizeAnchor xmlns:cdr="http://schemas.openxmlformats.org/drawingml/2006/chartDrawing">
    <cdr:from>
      <cdr:x>0.67165</cdr:x>
      <cdr:y>0.43237</cdr:y>
    </cdr:from>
    <cdr:to>
      <cdr:x>0.87908</cdr:x>
      <cdr:y>0.84872</cdr:y>
    </cdr:to>
    <cdr:grpSp>
      <cdr:nvGrpSpPr>
        <cdr:cNvPr id="18" name="群組 17"/>
        <cdr:cNvGrpSpPr/>
      </cdr:nvGrpSpPr>
      <cdr:grpSpPr>
        <a:xfrm xmlns:a="http://schemas.openxmlformats.org/drawingml/2006/main">
          <a:off x="3684941" y="698742"/>
          <a:ext cx="1138044" cy="672853"/>
          <a:chOff x="5331762" y="933467"/>
          <a:chExt cx="1138052" cy="672859"/>
        </a:xfrm>
      </cdr:grpSpPr>
      <cdr:sp macro="" textlink="">
        <cdr:nvSpPr>
          <cdr:cNvPr id="19" name="文字方塊 2"/>
          <cdr:cNvSpPr txBox="1"/>
        </cdr:nvSpPr>
        <cdr:spPr>
          <a:xfrm xmlns:a="http://schemas.openxmlformats.org/drawingml/2006/main">
            <a:off x="5332363" y="933467"/>
            <a:ext cx="1137451" cy="672859"/>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baseline="0">
                <a:latin typeface="Times New Roman" pitchFamily="18" charset="0"/>
                <a:ea typeface="新細明體"/>
                <a:cs typeface="Times New Roman" pitchFamily="18" charset="0"/>
              </a:rPr>
              <a:t>2011 insured beds</a:t>
            </a:r>
          </a:p>
          <a:p xmlns:a="http://schemas.openxmlformats.org/drawingml/2006/main">
            <a:endParaRPr lang="zh-TW" altLang="zh-TW" sz="200">
              <a:latin typeface="Times New Roman" pitchFamily="18" charset="0"/>
              <a:ea typeface="新細明體"/>
              <a:cs typeface="Times New Roman" pitchFamily="18" charset="0"/>
            </a:endParaRPr>
          </a:p>
          <a:p xmlns:a="http://schemas.openxmlformats.org/drawingml/2006/main">
            <a:r>
              <a:rPr lang="en-US" altLang="zh-TW" sz="800" baseline="0">
                <a:latin typeface="Times New Roman" pitchFamily="18" charset="0"/>
                <a:ea typeface="新細明體"/>
                <a:cs typeface="Times New Roman" pitchFamily="18" charset="0"/>
              </a:rPr>
              <a:t>2011 non-insured beds</a:t>
            </a:r>
          </a:p>
          <a:p xmlns:a="http://schemas.openxmlformats.org/drawingml/2006/main">
            <a:endParaRPr lang="zh-TW" altLang="zh-TW" sz="300">
              <a:latin typeface="Times New Roman" pitchFamily="18" charset="0"/>
              <a:ea typeface="新細明體"/>
              <a:cs typeface="Times New Roman" pitchFamily="18" charset="0"/>
            </a:endParaRPr>
          </a:p>
          <a:p xmlns:a="http://schemas.openxmlformats.org/drawingml/2006/main">
            <a:r>
              <a:rPr lang="en-US" altLang="zh-TW" sz="800" baseline="0">
                <a:latin typeface="Times New Roman" pitchFamily="18" charset="0"/>
                <a:ea typeface="新細明體"/>
                <a:cs typeface="Times New Roman" pitchFamily="18" charset="0"/>
              </a:rPr>
              <a:t>2006 insured beds</a:t>
            </a:r>
          </a:p>
          <a:p xmlns:a="http://schemas.openxmlformats.org/drawingml/2006/main">
            <a:endParaRPr lang="zh-TW" altLang="zh-TW" sz="300">
              <a:latin typeface="Times New Roman" pitchFamily="18" charset="0"/>
              <a:ea typeface="新細明體"/>
              <a:cs typeface="Times New Roman" pitchFamily="18" charset="0"/>
            </a:endParaRPr>
          </a:p>
          <a:p xmlns:a="http://schemas.openxmlformats.org/drawingml/2006/main">
            <a:pPr fontAlgn="base"/>
            <a:r>
              <a:rPr lang="en-US" altLang="zh-TW" sz="800" baseline="0">
                <a:latin typeface="Times New Roman" pitchFamily="18" charset="0"/>
                <a:ea typeface="新細明體"/>
                <a:cs typeface="Times New Roman" pitchFamily="18" charset="0"/>
              </a:rPr>
              <a:t>2006 non-insured beds</a:t>
            </a:r>
            <a:endParaRPr lang="zh-TW" altLang="zh-TW" sz="800" baseline="0">
              <a:latin typeface="Times New Roman" pitchFamily="18" charset="0"/>
              <a:ea typeface="新細明體"/>
              <a:cs typeface="Times New Roman" pitchFamily="18" charset="0"/>
            </a:endParaRPr>
          </a:p>
        </cdr:txBody>
      </cdr:sp>
      <cdr:grpSp>
        <cdr:nvGrpSpPr>
          <cdr:cNvPr id="20" name="群組 19"/>
          <cdr:cNvGrpSpPr/>
        </cdr:nvGrpSpPr>
        <cdr:grpSpPr>
          <a:xfrm xmlns:a="http://schemas.openxmlformats.org/drawingml/2006/main">
            <a:off x="5331762" y="1021011"/>
            <a:ext cx="49808" cy="497194"/>
            <a:chOff x="5104353" y="907162"/>
            <a:chExt cx="46113" cy="481032"/>
          </a:xfrm>
        </cdr:grpSpPr>
        <cdr:sp macro="" textlink="">
          <cdr:nvSpPr>
            <cdr:cNvPr id="21" name="矩形 20"/>
            <cdr:cNvSpPr/>
          </cdr:nvSpPr>
          <cdr:spPr>
            <a:xfrm xmlns:a="http://schemas.openxmlformats.org/drawingml/2006/main">
              <a:off x="5104358" y="1195450"/>
              <a:ext cx="46108" cy="48573"/>
            </a:xfrm>
            <a:prstGeom xmlns:a="http://schemas.openxmlformats.org/drawingml/2006/main" prst="rect">
              <a:avLst/>
            </a:prstGeom>
            <a:solidFill xmlns:a="http://schemas.openxmlformats.org/drawingml/2006/main">
              <a:srgbClr val="E0CAEC"/>
            </a:solidFill>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zh-TW"/>
            </a:p>
          </cdr:txBody>
        </cdr:sp>
        <cdr:sp macro="" textlink="">
          <cdr:nvSpPr>
            <cdr:cNvPr id="22" name="矩形 21"/>
            <cdr:cNvSpPr/>
          </cdr:nvSpPr>
          <cdr:spPr>
            <a:xfrm xmlns:a="http://schemas.openxmlformats.org/drawingml/2006/main">
              <a:off x="5104353" y="1339621"/>
              <a:ext cx="46109" cy="48573"/>
            </a:xfrm>
            <a:prstGeom xmlns:a="http://schemas.openxmlformats.org/drawingml/2006/main" prst="rect">
              <a:avLst/>
            </a:prstGeom>
            <a:solidFill xmlns:a="http://schemas.openxmlformats.org/drawingml/2006/main">
              <a:srgbClr val="FFB7FF"/>
            </a:solidFill>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zh-TW"/>
            </a:p>
          </cdr:txBody>
        </cdr:sp>
        <cdr:sp macro="" textlink="">
          <cdr:nvSpPr>
            <cdr:cNvPr id="23" name="矩形 22"/>
            <cdr:cNvSpPr/>
          </cdr:nvSpPr>
          <cdr:spPr>
            <a:xfrm xmlns:a="http://schemas.openxmlformats.org/drawingml/2006/main">
              <a:off x="5104353" y="907162"/>
              <a:ext cx="46109" cy="48547"/>
            </a:xfrm>
            <a:prstGeom xmlns:a="http://schemas.openxmlformats.org/drawingml/2006/main" prst="rect">
              <a:avLst/>
            </a:prstGeom>
            <a:solidFill xmlns:a="http://schemas.openxmlformats.org/drawingml/2006/main">
              <a:srgbClr val="D7E4BD"/>
            </a:solidFill>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zh-TW"/>
            </a:p>
          </cdr:txBody>
        </cdr:sp>
        <cdr:sp macro="" textlink="">
          <cdr:nvSpPr>
            <cdr:cNvPr id="24" name="矩形 23"/>
            <cdr:cNvSpPr/>
          </cdr:nvSpPr>
          <cdr:spPr>
            <a:xfrm xmlns:a="http://schemas.openxmlformats.org/drawingml/2006/main">
              <a:off x="5104353" y="1051307"/>
              <a:ext cx="46108" cy="48547"/>
            </a:xfrm>
            <a:prstGeom xmlns:a="http://schemas.openxmlformats.org/drawingml/2006/main" prst="rect">
              <a:avLst/>
            </a:prstGeom>
            <a:solidFill xmlns:a="http://schemas.openxmlformats.org/drawingml/2006/main">
              <a:srgbClr val="FFFF99"/>
            </a:solidFill>
            <a:ln xmlns:a="http://schemas.openxmlformats.org/drawingml/2006/main" w="2540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zh-TW"/>
            </a:p>
          </cdr:txBody>
        </cdr:sp>
      </cdr:grpSp>
    </cdr:grpSp>
  </cdr:relSizeAnchor>
</c:userShapes>
</file>

<file path=word/drawings/drawing12.xml><?xml version="1.0" encoding="utf-8"?>
<c:userShapes xmlns:c="http://schemas.openxmlformats.org/drawingml/2006/chart">
  <cdr:relSizeAnchor xmlns:cdr="http://schemas.openxmlformats.org/drawingml/2006/chartDrawing">
    <cdr:from>
      <cdr:x>0.08176</cdr:x>
      <cdr:y>0.86013</cdr:y>
    </cdr:from>
    <cdr:to>
      <cdr:x>0.93903</cdr:x>
      <cdr:y>1</cdr:y>
    </cdr:to>
    <cdr:sp macro="" textlink="">
      <cdr:nvSpPr>
        <cdr:cNvPr id="9" name="文字方塊 8"/>
        <cdr:cNvSpPr txBox="1"/>
      </cdr:nvSpPr>
      <cdr:spPr>
        <a:xfrm xmlns:a="http://schemas.openxmlformats.org/drawingml/2006/main">
          <a:off x="448568" y="1751166"/>
          <a:ext cx="4703326" cy="28466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zh-TW" altLang="en-US" sz="1000">
              <a:latin typeface="標楷體" pitchFamily="65" charset="-120"/>
              <a:ea typeface="標楷體" pitchFamily="65" charset="-120"/>
            </a:rPr>
            <a:t>    </a:t>
          </a:r>
          <a:r>
            <a:rPr lang="en-US" altLang="zh-TW" sz="800">
              <a:latin typeface="Times New Roman" pitchFamily="18" charset="0"/>
              <a:ea typeface="+mn-ea"/>
              <a:cs typeface="Times New Roman" pitchFamily="18" charset="0"/>
            </a:rPr>
            <a:t>General</a:t>
          </a:r>
          <a:r>
            <a:rPr lang="en-US" altLang="zh-TW" sz="800" baseline="0">
              <a:latin typeface="Times New Roman" pitchFamily="18" charset="0"/>
              <a:ea typeface="+mn-ea"/>
              <a:cs typeface="Times New Roman" pitchFamily="18" charset="0"/>
            </a:rPr>
            <a:t> Beds                 Psychiatric Beds</a:t>
          </a:r>
          <a:r>
            <a:rPr lang="zh-TW" altLang="zh-TW" sz="800">
              <a:latin typeface="Times New Roman" pitchFamily="18" charset="0"/>
              <a:ea typeface="+mn-ea"/>
              <a:cs typeface="Times New Roman" pitchFamily="18" charset="0"/>
            </a:rPr>
            <a:t>      </a:t>
          </a:r>
          <a:r>
            <a:rPr lang="en-US" altLang="zh-TW" sz="800">
              <a:latin typeface="Times New Roman" pitchFamily="18" charset="0"/>
              <a:ea typeface="+mn-ea"/>
              <a:cs typeface="Times New Roman" pitchFamily="18" charset="0"/>
            </a:rPr>
            <a:t>           T.B. Beds                     Leprosy</a:t>
          </a:r>
          <a:r>
            <a:rPr lang="en-US" altLang="zh-TW" sz="800" baseline="0">
              <a:latin typeface="Times New Roman" pitchFamily="18" charset="0"/>
              <a:ea typeface="+mn-ea"/>
              <a:cs typeface="Times New Roman" pitchFamily="18" charset="0"/>
            </a:rPr>
            <a:t> Beds</a:t>
          </a:r>
          <a:r>
            <a:rPr lang="zh-TW" altLang="zh-TW" sz="800">
              <a:latin typeface="Times New Roman" pitchFamily="18" charset="0"/>
              <a:ea typeface="+mn-ea"/>
              <a:cs typeface="Times New Roman" pitchFamily="18" charset="0"/>
            </a:rPr>
            <a:t> </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0.02986</cdr:x>
      <cdr:y>0</cdr:y>
    </cdr:from>
    <cdr:to>
      <cdr:x>0.99393</cdr:x>
      <cdr:y>0.2416</cdr:y>
    </cdr:to>
    <cdr:sp macro="" textlink="">
      <cdr:nvSpPr>
        <cdr:cNvPr id="11" name="文字方塊 10"/>
        <cdr:cNvSpPr txBox="1"/>
      </cdr:nvSpPr>
      <cdr:spPr>
        <a:xfrm xmlns:a="http://schemas.openxmlformats.org/drawingml/2006/main">
          <a:off x="163824" y="0"/>
          <a:ext cx="5289274" cy="49170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1100"/>
            <a:t>~~~~~~~~~~~~~~~~~~~~~~~~~~~~~~~~~~~~~~~~~~~~~~~~~~~~~~~~~~~~~~~</a:t>
          </a:r>
        </a:p>
        <a:p xmlns:a="http://schemas.openxmlformats.org/drawingml/2006/main">
          <a:r>
            <a:rPr lang="en-US" altLang="zh-TW" sz="1100"/>
            <a:t>~~~~~~~~~~~~~~~~~~~~~~~~~~~~~~~~~~~~~~~~~~~~~~~~~~~~~~~~~~~~~~~</a:t>
          </a:r>
          <a:endParaRPr lang="zh-TW" altLang="en-US" sz="1100"/>
        </a:p>
      </cdr:txBody>
    </cdr:sp>
  </cdr:relSizeAnchor>
</c:userShape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46D9D-977F-448F-8649-15281B681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1758</Words>
  <Characters>10022</Characters>
  <Application>Microsoft Office Word</Application>
  <DocSecurity>0</DocSecurity>
  <Lines>83</Lines>
  <Paragraphs>23</Paragraphs>
  <ScaleCrop>false</ScaleCrop>
  <Company>NHI</Company>
  <LinksUpToDate>false</LinksUpToDate>
  <CharactersWithSpaces>11757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保險醫事服務機構管理</dc:title>
  <dc:subject/>
  <dc:creator>佳玟</dc:creator>
  <cp:keywords/>
  <dc:description/>
  <cp:lastModifiedBy>NHI</cp:lastModifiedBy>
  <cp:revision>2</cp:revision>
  <cp:lastPrinted>2012-10-17T08:26:00Z</cp:lastPrinted>
  <dcterms:created xsi:type="dcterms:W3CDTF">2012-12-13T08:50:00Z</dcterms:created>
  <dcterms:modified xsi:type="dcterms:W3CDTF">2012-12-13T08:50:00Z</dcterms:modified>
</cp:coreProperties>
</file>