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035" w:rsidRPr="0074670B" w:rsidRDefault="00CF2957">
      <w:pPr>
        <w:spacing w:after="360" w:line="240" w:lineRule="atLeast"/>
        <w:jc w:val="center"/>
        <w:rPr>
          <w:rFonts w:eastAsia="標楷體"/>
          <w:b/>
          <w:sz w:val="30"/>
          <w:szCs w:val="30"/>
        </w:rPr>
      </w:pPr>
      <w:r w:rsidRPr="0074670B">
        <w:rPr>
          <w:rFonts w:eastAsia="標楷體" w:hint="eastAsia"/>
          <w:b/>
          <w:sz w:val="30"/>
          <w:szCs w:val="30"/>
        </w:rPr>
        <w:t>2</w:t>
      </w:r>
      <w:r w:rsidR="00461A51">
        <w:rPr>
          <w:rFonts w:eastAsia="標楷體" w:hint="eastAsia"/>
          <w:b/>
          <w:sz w:val="30"/>
          <w:szCs w:val="30"/>
        </w:rPr>
        <w:t xml:space="preserve">. </w:t>
      </w:r>
      <w:r w:rsidR="00C42035" w:rsidRPr="0074670B">
        <w:rPr>
          <w:rFonts w:eastAsia="標楷體"/>
          <w:b/>
          <w:sz w:val="30"/>
          <w:szCs w:val="30"/>
        </w:rPr>
        <w:t>Financial Status</w:t>
      </w:r>
    </w:p>
    <w:p w:rsidR="00C42035" w:rsidRPr="00AE32BD" w:rsidRDefault="00C42035" w:rsidP="00CE1EED">
      <w:pPr>
        <w:pStyle w:val="2"/>
        <w:spacing w:beforeLines="50" w:line="380" w:lineRule="exact"/>
        <w:ind w:firstLine="601"/>
        <w:rPr>
          <w:spacing w:val="-8"/>
          <w:szCs w:val="26"/>
        </w:rPr>
      </w:pPr>
      <w:r w:rsidRPr="00AE32BD">
        <w:rPr>
          <w:rFonts w:ascii="Times New Roman"/>
          <w:spacing w:val="-8"/>
        </w:rPr>
        <w:t xml:space="preserve">The main source of revenues for the National Health Insurance scheme is </w:t>
      </w:r>
      <w:r w:rsidR="00CF6F55">
        <w:rPr>
          <w:rFonts w:ascii="Times New Roman" w:hint="eastAsia"/>
          <w:spacing w:val="-8"/>
        </w:rPr>
        <w:t xml:space="preserve">devised from </w:t>
      </w:r>
      <w:r w:rsidRPr="00AE32BD">
        <w:rPr>
          <w:rFonts w:ascii="Times New Roman"/>
          <w:spacing w:val="-8"/>
        </w:rPr>
        <w:t xml:space="preserve">premium revenues, which is made collectively by the insured, the group insurance applicants, and the governments. In recent years, </w:t>
      </w:r>
      <w:r w:rsidR="00CF6F55">
        <w:rPr>
          <w:rFonts w:ascii="Times New Roman" w:hint="eastAsia"/>
          <w:spacing w:val="-8"/>
        </w:rPr>
        <w:t xml:space="preserve">factors such as </w:t>
      </w:r>
      <w:r w:rsidRPr="00AE32BD">
        <w:rPr>
          <w:rFonts w:ascii="Times New Roman"/>
          <w:spacing w:val="-8"/>
        </w:rPr>
        <w:t xml:space="preserve">the aging of the </w:t>
      </w:r>
      <w:r w:rsidR="00E43E8E">
        <w:rPr>
          <w:rFonts w:ascii="Times New Roman" w:hint="eastAsia"/>
          <w:spacing w:val="-8"/>
        </w:rPr>
        <w:t xml:space="preserve">overall </w:t>
      </w:r>
      <w:r w:rsidRPr="00AE32BD">
        <w:rPr>
          <w:rFonts w:ascii="Times New Roman"/>
          <w:spacing w:val="-8"/>
        </w:rPr>
        <w:t xml:space="preserve">population, bringing in of new medical technologies, and increased care for </w:t>
      </w:r>
      <w:r w:rsidR="008419FE">
        <w:rPr>
          <w:rFonts w:ascii="Times New Roman" w:hint="eastAsia"/>
          <w:spacing w:val="-8"/>
        </w:rPr>
        <w:t>major disease</w:t>
      </w:r>
      <w:r w:rsidRPr="00AE32BD">
        <w:rPr>
          <w:rFonts w:ascii="Times New Roman"/>
          <w:spacing w:val="-8"/>
        </w:rPr>
        <w:t xml:space="preserve"> patients have led to a </w:t>
      </w:r>
      <w:r w:rsidR="008419FE">
        <w:rPr>
          <w:rFonts w:ascii="Times New Roman"/>
          <w:spacing w:val="-8"/>
        </w:rPr>
        <w:t>substantial</w:t>
      </w:r>
      <w:r w:rsidR="008419FE" w:rsidRPr="008419FE">
        <w:rPr>
          <w:rFonts w:ascii="Times New Roman"/>
          <w:spacing w:val="-8"/>
        </w:rPr>
        <w:t xml:space="preserve"> </w:t>
      </w:r>
      <w:r w:rsidRPr="00AE32BD">
        <w:rPr>
          <w:rFonts w:ascii="Times New Roman"/>
          <w:spacing w:val="-8"/>
        </w:rPr>
        <w:t xml:space="preserve">increase </w:t>
      </w:r>
      <w:r w:rsidR="008419FE">
        <w:rPr>
          <w:rFonts w:ascii="Times New Roman" w:hint="eastAsia"/>
          <w:spacing w:val="-8"/>
        </w:rPr>
        <w:t xml:space="preserve">of </w:t>
      </w:r>
      <w:r w:rsidRPr="00AE32BD">
        <w:rPr>
          <w:rFonts w:ascii="Times New Roman"/>
          <w:spacing w:val="-8"/>
        </w:rPr>
        <w:t xml:space="preserve">medical expenditures. Premium revenues have long been inadequate </w:t>
      </w:r>
      <w:r w:rsidR="003831CF">
        <w:rPr>
          <w:rFonts w:ascii="Times New Roman" w:hint="eastAsia"/>
          <w:spacing w:val="-8"/>
        </w:rPr>
        <w:t>to</w:t>
      </w:r>
      <w:r w:rsidRPr="00AE32BD">
        <w:rPr>
          <w:rFonts w:ascii="Times New Roman"/>
          <w:spacing w:val="-8"/>
        </w:rPr>
        <w:t xml:space="preserve"> meet medical expenditures</w:t>
      </w:r>
      <w:r w:rsidR="00CF6F55">
        <w:rPr>
          <w:rFonts w:ascii="Times New Roman" w:hint="eastAsia"/>
          <w:spacing w:val="-8"/>
        </w:rPr>
        <w:t>,</w:t>
      </w:r>
      <w:r w:rsidRPr="00AE32BD">
        <w:rPr>
          <w:rFonts w:ascii="Times New Roman"/>
          <w:spacing w:val="-8"/>
        </w:rPr>
        <w:t xml:space="preserve"> </w:t>
      </w:r>
      <w:r w:rsidR="00CF6F55">
        <w:rPr>
          <w:rFonts w:ascii="Times New Roman" w:hint="eastAsia"/>
          <w:spacing w:val="-8"/>
        </w:rPr>
        <w:t xml:space="preserve">and </w:t>
      </w:r>
      <w:r w:rsidRPr="00AE32BD">
        <w:rPr>
          <w:rFonts w:ascii="Times New Roman"/>
          <w:spacing w:val="-8"/>
        </w:rPr>
        <w:t xml:space="preserve">the BNHI </w:t>
      </w:r>
      <w:r w:rsidR="003831CF">
        <w:rPr>
          <w:rFonts w:ascii="Times New Roman" w:hint="eastAsia"/>
          <w:spacing w:val="-8"/>
        </w:rPr>
        <w:t>is</w:t>
      </w:r>
      <w:r w:rsidRPr="00AE32BD">
        <w:rPr>
          <w:rFonts w:ascii="Times New Roman"/>
          <w:spacing w:val="-8"/>
        </w:rPr>
        <w:t xml:space="preserve"> facing a serious </w:t>
      </w:r>
      <w:r w:rsidR="003831CF">
        <w:rPr>
          <w:rFonts w:ascii="Times New Roman" w:hint="eastAsia"/>
          <w:spacing w:val="-8"/>
        </w:rPr>
        <w:t xml:space="preserve">financial </w:t>
      </w:r>
      <w:r w:rsidR="00CF6F55">
        <w:rPr>
          <w:rFonts w:ascii="Times New Roman" w:hint="eastAsia"/>
          <w:spacing w:val="-8"/>
        </w:rPr>
        <w:t>pressure</w:t>
      </w:r>
      <w:r w:rsidRPr="00AE32BD">
        <w:rPr>
          <w:rFonts w:ascii="Times New Roman"/>
          <w:spacing w:val="-8"/>
        </w:rPr>
        <w:t xml:space="preserve">. </w:t>
      </w:r>
      <w:r w:rsidRPr="006A0ED0">
        <w:rPr>
          <w:rFonts w:ascii="Times New Roman"/>
          <w:spacing w:val="-8"/>
        </w:rPr>
        <w:t xml:space="preserve">To ease the financial deficit, the BNHI </w:t>
      </w:r>
      <w:r w:rsidR="00CF6F55">
        <w:rPr>
          <w:rFonts w:ascii="Times New Roman" w:hint="eastAsia"/>
          <w:spacing w:val="-8"/>
        </w:rPr>
        <w:t>plans</w:t>
      </w:r>
      <w:r w:rsidRPr="006A0ED0">
        <w:rPr>
          <w:rFonts w:ascii="Times New Roman"/>
          <w:spacing w:val="-8"/>
        </w:rPr>
        <w:t xml:space="preserve"> to </w:t>
      </w:r>
      <w:r w:rsidR="0059391C" w:rsidRPr="006A0ED0">
        <w:rPr>
          <w:rFonts w:ascii="Times New Roman"/>
          <w:spacing w:val="-8"/>
        </w:rPr>
        <w:t xml:space="preserve">tap new resources and </w:t>
      </w:r>
      <w:r w:rsidR="00CF6F55">
        <w:rPr>
          <w:rFonts w:ascii="Times New Roman" w:hint="eastAsia"/>
          <w:spacing w:val="-8"/>
        </w:rPr>
        <w:t>cut</w:t>
      </w:r>
      <w:r w:rsidR="0059391C" w:rsidRPr="006A0ED0">
        <w:rPr>
          <w:rFonts w:ascii="Times New Roman"/>
          <w:spacing w:val="-8"/>
        </w:rPr>
        <w:t xml:space="preserve"> expense</w:t>
      </w:r>
      <w:r w:rsidR="0059391C" w:rsidRPr="006A0ED0">
        <w:rPr>
          <w:rFonts w:ascii="Times New Roman" w:hint="eastAsia"/>
          <w:spacing w:val="-8"/>
        </w:rPr>
        <w:t>s</w:t>
      </w:r>
      <w:r w:rsidR="00052765" w:rsidRPr="006A0ED0">
        <w:rPr>
          <w:rFonts w:ascii="Times New Roman" w:hint="eastAsia"/>
          <w:spacing w:val="-8"/>
        </w:rPr>
        <w:t>.</w:t>
      </w:r>
      <w:r w:rsidRPr="006A0ED0">
        <w:rPr>
          <w:rFonts w:ascii="Times New Roman"/>
          <w:spacing w:val="-8"/>
        </w:rPr>
        <w:t xml:space="preserve"> </w:t>
      </w:r>
      <w:r w:rsidR="00052765" w:rsidRPr="006A0ED0">
        <w:rPr>
          <w:rFonts w:ascii="Times New Roman" w:hint="eastAsia"/>
          <w:spacing w:val="-8"/>
        </w:rPr>
        <w:t xml:space="preserve">Furthermore, </w:t>
      </w:r>
      <w:r w:rsidRPr="006A0ED0">
        <w:rPr>
          <w:rFonts w:ascii="Times New Roman"/>
          <w:spacing w:val="-8"/>
        </w:rPr>
        <w:t>premium rate</w:t>
      </w:r>
      <w:r w:rsidR="00052765" w:rsidRPr="006A0ED0">
        <w:rPr>
          <w:rFonts w:ascii="Times New Roman" w:hint="eastAsia"/>
          <w:spacing w:val="-8"/>
        </w:rPr>
        <w:t xml:space="preserve"> w</w:t>
      </w:r>
      <w:r w:rsidR="00CF6F55">
        <w:rPr>
          <w:rFonts w:ascii="Times New Roman" w:hint="eastAsia"/>
          <w:spacing w:val="-8"/>
        </w:rPr>
        <w:t>ere</w:t>
      </w:r>
      <w:r w:rsidR="00052765" w:rsidRPr="006A0ED0">
        <w:rPr>
          <w:rFonts w:ascii="Times New Roman" w:hint="eastAsia"/>
          <w:spacing w:val="-8"/>
        </w:rPr>
        <w:t xml:space="preserve"> </w:t>
      </w:r>
      <w:r w:rsidR="00052765" w:rsidRPr="006A0ED0">
        <w:rPr>
          <w:rFonts w:ascii="Times New Roman"/>
          <w:spacing w:val="-8"/>
        </w:rPr>
        <w:t>adjust</w:t>
      </w:r>
      <w:r w:rsidR="00052765" w:rsidRPr="006A0ED0">
        <w:rPr>
          <w:rFonts w:ascii="Times New Roman" w:hint="eastAsia"/>
          <w:spacing w:val="-8"/>
        </w:rPr>
        <w:t xml:space="preserve">ed on April, 2010 to prevent the deficits gap </w:t>
      </w:r>
      <w:r w:rsidR="00CF6F55">
        <w:rPr>
          <w:rFonts w:ascii="Times New Roman" w:hint="eastAsia"/>
          <w:spacing w:val="-8"/>
        </w:rPr>
        <w:t xml:space="preserve">from </w:t>
      </w:r>
      <w:r w:rsidR="00052765" w:rsidRPr="006A0ED0">
        <w:rPr>
          <w:rFonts w:ascii="Times New Roman" w:hint="eastAsia"/>
          <w:spacing w:val="-8"/>
        </w:rPr>
        <w:t>widening</w:t>
      </w:r>
      <w:r w:rsidRPr="006A0ED0">
        <w:rPr>
          <w:rFonts w:ascii="Times New Roman"/>
          <w:spacing w:val="-8"/>
        </w:rPr>
        <w:t>.</w:t>
      </w:r>
      <w:r w:rsidR="006A0ED0">
        <w:rPr>
          <w:rFonts w:ascii="Times New Roman" w:hint="eastAsia"/>
          <w:spacing w:val="-8"/>
        </w:rPr>
        <w:t xml:space="preserve"> I</w:t>
      </w:r>
      <w:r w:rsidR="000A3137">
        <w:rPr>
          <w:rFonts w:ascii="Times New Roman" w:hint="eastAsia"/>
          <w:spacing w:val="-8"/>
        </w:rPr>
        <w:t xml:space="preserve">n order to expand the premium </w:t>
      </w:r>
      <w:r w:rsidR="00135EFA">
        <w:rPr>
          <w:rFonts w:ascii="Times New Roman" w:hint="eastAsia"/>
          <w:spacing w:val="-8"/>
        </w:rPr>
        <w:t>basis</w:t>
      </w:r>
      <w:r w:rsidR="000A3137">
        <w:rPr>
          <w:rFonts w:ascii="Times New Roman" w:hint="eastAsia"/>
          <w:spacing w:val="-8"/>
        </w:rPr>
        <w:t xml:space="preserve"> </w:t>
      </w:r>
      <w:r w:rsidR="00EF4E01">
        <w:rPr>
          <w:rFonts w:ascii="Times New Roman" w:hint="eastAsia"/>
          <w:spacing w:val="-8"/>
        </w:rPr>
        <w:t>and ensure better fairness and</w:t>
      </w:r>
      <w:r w:rsidR="000A3137">
        <w:rPr>
          <w:rFonts w:ascii="Times New Roman" w:hint="eastAsia"/>
          <w:spacing w:val="-8"/>
        </w:rPr>
        <w:t xml:space="preserve"> </w:t>
      </w:r>
      <w:r w:rsidR="00831225" w:rsidRPr="000A3137">
        <w:rPr>
          <w:rFonts w:ascii="Times New Roman"/>
          <w:spacing w:val="-8"/>
        </w:rPr>
        <w:t>reasonab</w:t>
      </w:r>
      <w:r w:rsidR="00EF4E01">
        <w:rPr>
          <w:rFonts w:ascii="Times New Roman" w:hint="eastAsia"/>
          <w:spacing w:val="-8"/>
        </w:rPr>
        <w:t>ility in premium contributions</w:t>
      </w:r>
      <w:r w:rsidR="000A3137">
        <w:rPr>
          <w:rFonts w:ascii="Times New Roman" w:hint="eastAsia"/>
          <w:spacing w:val="-8"/>
        </w:rPr>
        <w:t xml:space="preserve">, </w:t>
      </w:r>
      <w:r w:rsidR="006A0ED0" w:rsidRPr="006A0ED0">
        <w:rPr>
          <w:rFonts w:ascii="Times New Roman"/>
          <w:spacing w:val="-8"/>
        </w:rPr>
        <w:t xml:space="preserve">the NHI </w:t>
      </w:r>
      <w:r w:rsidR="00EF4E01">
        <w:rPr>
          <w:rFonts w:ascii="Times New Roman" w:hint="eastAsia"/>
          <w:spacing w:val="-8"/>
        </w:rPr>
        <w:t xml:space="preserve">has also been actively promoting </w:t>
      </w:r>
      <w:r w:rsidR="00CF6F55">
        <w:rPr>
          <w:rFonts w:ascii="Times New Roman" w:hint="eastAsia"/>
          <w:spacing w:val="-8"/>
        </w:rPr>
        <w:t xml:space="preserve">reform of </w:t>
      </w:r>
      <w:r w:rsidR="00EF4E01">
        <w:rPr>
          <w:rFonts w:ascii="Times New Roman" w:hint="eastAsia"/>
          <w:spacing w:val="-8"/>
        </w:rPr>
        <w:t xml:space="preserve">the </w:t>
      </w:r>
      <w:r w:rsidR="006A0ED0" w:rsidRPr="006A0ED0">
        <w:rPr>
          <w:rFonts w:ascii="Times New Roman"/>
          <w:spacing w:val="-8"/>
        </w:rPr>
        <w:t xml:space="preserve">financial system </w:t>
      </w:r>
      <w:r w:rsidR="000A3137">
        <w:rPr>
          <w:rFonts w:ascii="Times New Roman" w:hint="eastAsia"/>
          <w:spacing w:val="-8"/>
        </w:rPr>
        <w:t>(</w:t>
      </w:r>
      <w:r w:rsidR="00CF6F55">
        <w:rPr>
          <w:rFonts w:ascii="Times New Roman" w:hint="eastAsia"/>
          <w:spacing w:val="-8"/>
        </w:rPr>
        <w:t xml:space="preserve">i.e., </w:t>
      </w:r>
      <w:r w:rsidR="000A3137">
        <w:rPr>
          <w:rFonts w:ascii="Times New Roman" w:hint="eastAsia"/>
          <w:spacing w:val="-8"/>
        </w:rPr>
        <w:t>2</w:t>
      </w:r>
      <w:r w:rsidR="000A3137" w:rsidRPr="000A3137">
        <w:rPr>
          <w:rFonts w:ascii="Times New Roman" w:hint="eastAsia"/>
          <w:spacing w:val="-8"/>
          <w:vertAlign w:val="superscript"/>
        </w:rPr>
        <w:t>nd</w:t>
      </w:r>
      <w:r w:rsidR="000A3137">
        <w:rPr>
          <w:rFonts w:ascii="Times New Roman" w:hint="eastAsia"/>
          <w:spacing w:val="-8"/>
        </w:rPr>
        <w:t xml:space="preserve"> Generation NHI)</w:t>
      </w:r>
      <w:r w:rsidR="006A0ED0" w:rsidRPr="006A0ED0">
        <w:rPr>
          <w:rFonts w:ascii="Times New Roman"/>
          <w:spacing w:val="-8"/>
        </w:rPr>
        <w:t>.</w:t>
      </w:r>
      <w:r w:rsidR="000A3137">
        <w:rPr>
          <w:rFonts w:ascii="Times New Roman" w:hint="eastAsia"/>
          <w:spacing w:val="-8"/>
        </w:rPr>
        <w:t xml:space="preserve"> </w:t>
      </w:r>
    </w:p>
    <w:p w:rsidR="00C42035" w:rsidRPr="00137C52" w:rsidRDefault="00461A51" w:rsidP="00AE32BD">
      <w:pPr>
        <w:spacing w:before="200" w:line="360" w:lineRule="exact"/>
        <w:jc w:val="both"/>
        <w:rPr>
          <w:rFonts w:eastAsia="標楷體"/>
          <w:b/>
          <w:sz w:val="26"/>
          <w:szCs w:val="26"/>
        </w:rPr>
      </w:pPr>
      <w:r>
        <w:rPr>
          <w:rFonts w:eastAsia="標楷體" w:hint="eastAsia"/>
          <w:b/>
          <w:sz w:val="26"/>
          <w:szCs w:val="26"/>
        </w:rPr>
        <w:t>（</w:t>
      </w:r>
      <w:r>
        <w:rPr>
          <w:rFonts w:eastAsia="標楷體" w:hint="eastAsia"/>
          <w:b/>
          <w:sz w:val="26"/>
          <w:szCs w:val="26"/>
        </w:rPr>
        <w:t>1</w:t>
      </w:r>
      <w:r>
        <w:rPr>
          <w:rFonts w:eastAsia="標楷體" w:hint="eastAsia"/>
          <w:b/>
          <w:sz w:val="26"/>
          <w:szCs w:val="26"/>
        </w:rPr>
        <w:t>）</w:t>
      </w:r>
      <w:r w:rsidR="00C42035" w:rsidRPr="00137C52">
        <w:rPr>
          <w:rFonts w:eastAsia="標楷體"/>
          <w:b/>
          <w:sz w:val="26"/>
          <w:szCs w:val="26"/>
        </w:rPr>
        <w:t>Premium</w:t>
      </w:r>
      <w:r w:rsidR="008A29E5" w:rsidRPr="00137C52">
        <w:rPr>
          <w:rFonts w:eastAsia="標楷體" w:hint="eastAsia"/>
          <w:b/>
          <w:sz w:val="26"/>
          <w:szCs w:val="26"/>
        </w:rPr>
        <w:t xml:space="preserve"> Collections</w:t>
      </w:r>
    </w:p>
    <w:p w:rsidR="008A29E5" w:rsidRPr="00137C52" w:rsidRDefault="00461A51" w:rsidP="00461A51">
      <w:pPr>
        <w:spacing w:before="200" w:line="360" w:lineRule="exact"/>
        <w:ind w:leftChars="118" w:left="283"/>
        <w:jc w:val="both"/>
        <w:rPr>
          <w:rFonts w:eastAsia="標楷體"/>
          <w:b/>
          <w:sz w:val="26"/>
          <w:szCs w:val="26"/>
        </w:rPr>
      </w:pPr>
      <w:proofErr w:type="spellStart"/>
      <w:r>
        <w:rPr>
          <w:rFonts w:eastAsia="標楷體" w:hint="eastAsia"/>
          <w:b/>
          <w:sz w:val="26"/>
          <w:szCs w:val="26"/>
        </w:rPr>
        <w:t>i</w:t>
      </w:r>
      <w:proofErr w:type="spellEnd"/>
      <w:r w:rsidR="008A29E5" w:rsidRPr="00137C52">
        <w:rPr>
          <w:rFonts w:eastAsia="標楷體" w:hint="eastAsia"/>
          <w:b/>
          <w:sz w:val="26"/>
          <w:szCs w:val="26"/>
        </w:rPr>
        <w:t>. Premiums</w:t>
      </w:r>
    </w:p>
    <w:p w:rsidR="00831BCE" w:rsidRDefault="001F5E42" w:rsidP="00CE1EED">
      <w:pPr>
        <w:spacing w:beforeLines="50" w:afterLines="100" w:line="400" w:lineRule="exact"/>
        <w:ind w:left="510" w:firstLineChars="235" w:firstLine="573"/>
        <w:jc w:val="both"/>
        <w:rPr>
          <w:rFonts w:eastAsia="標楷體"/>
          <w:spacing w:val="-8"/>
          <w:sz w:val="26"/>
        </w:rPr>
      </w:pPr>
      <w:r w:rsidRPr="000B37E7">
        <w:rPr>
          <w:rFonts w:eastAsia="標楷體"/>
          <w:spacing w:val="-8"/>
          <w:sz w:val="26"/>
          <w:szCs w:val="26"/>
        </w:rPr>
        <w:t>Premium</w:t>
      </w:r>
      <w:r w:rsidR="00831BCE" w:rsidRPr="000B37E7">
        <w:rPr>
          <w:rFonts w:eastAsia="標楷體" w:hint="eastAsia"/>
          <w:spacing w:val="-8"/>
          <w:sz w:val="26"/>
          <w:szCs w:val="26"/>
        </w:rPr>
        <w:t xml:space="preserve"> receivable</w:t>
      </w:r>
      <w:r w:rsidRPr="000B37E7">
        <w:rPr>
          <w:rFonts w:eastAsia="標楷體"/>
          <w:spacing w:val="-8"/>
          <w:sz w:val="26"/>
          <w:szCs w:val="26"/>
        </w:rPr>
        <w:t xml:space="preserve">s </w:t>
      </w:r>
      <w:r w:rsidR="00831BCE" w:rsidRPr="000B37E7">
        <w:rPr>
          <w:rFonts w:eastAsia="標楷體" w:hint="eastAsia"/>
          <w:spacing w:val="-8"/>
          <w:sz w:val="26"/>
          <w:szCs w:val="26"/>
        </w:rPr>
        <w:t xml:space="preserve">were </w:t>
      </w:r>
      <w:r w:rsidRPr="000B37E7">
        <w:rPr>
          <w:rFonts w:eastAsia="標楷體"/>
          <w:spacing w:val="-8"/>
          <w:sz w:val="26"/>
          <w:szCs w:val="26"/>
        </w:rPr>
        <w:t>NT$</w:t>
      </w:r>
      <w:r w:rsidR="00831BCE" w:rsidRPr="000B37E7">
        <w:rPr>
          <w:rFonts w:eastAsia="標楷體" w:hint="eastAsia"/>
          <w:spacing w:val="-8"/>
          <w:sz w:val="26"/>
          <w:szCs w:val="26"/>
        </w:rPr>
        <w:t>4</w:t>
      </w:r>
      <w:r w:rsidR="00181F5D" w:rsidRPr="000B37E7">
        <w:rPr>
          <w:rFonts w:eastAsia="標楷體" w:hint="eastAsia"/>
          <w:spacing w:val="-8"/>
          <w:sz w:val="26"/>
          <w:szCs w:val="26"/>
        </w:rPr>
        <w:t>70</w:t>
      </w:r>
      <w:r w:rsidRPr="000B37E7">
        <w:rPr>
          <w:rFonts w:eastAsia="標楷體"/>
          <w:spacing w:val="-8"/>
          <w:sz w:val="26"/>
          <w:szCs w:val="26"/>
        </w:rPr>
        <w:t xml:space="preserve"> billion in 20</w:t>
      </w:r>
      <w:r w:rsidR="00831BCE" w:rsidRPr="000B37E7">
        <w:rPr>
          <w:rFonts w:eastAsia="標楷體" w:hint="eastAsia"/>
          <w:spacing w:val="-8"/>
          <w:sz w:val="26"/>
          <w:szCs w:val="26"/>
        </w:rPr>
        <w:t>1</w:t>
      </w:r>
      <w:r w:rsidR="00FC5E88" w:rsidRPr="000B37E7">
        <w:rPr>
          <w:rFonts w:eastAsia="標楷體" w:hint="eastAsia"/>
          <w:spacing w:val="-8"/>
          <w:sz w:val="26"/>
          <w:szCs w:val="26"/>
        </w:rPr>
        <w:t>1</w:t>
      </w:r>
      <w:r w:rsidR="00AE32BD" w:rsidRPr="000B37E7">
        <w:rPr>
          <w:rFonts w:eastAsia="標楷體" w:hint="eastAsia"/>
          <w:spacing w:val="-8"/>
          <w:sz w:val="26"/>
          <w:szCs w:val="26"/>
        </w:rPr>
        <w:t>,</w:t>
      </w:r>
      <w:r w:rsidR="00C42035" w:rsidRPr="000B37E7">
        <w:rPr>
          <w:rFonts w:eastAsia="標楷體"/>
          <w:spacing w:val="-8"/>
          <w:sz w:val="26"/>
          <w:szCs w:val="26"/>
        </w:rPr>
        <w:t xml:space="preserve"> </w:t>
      </w:r>
      <w:r w:rsidR="00CF6F55" w:rsidRPr="000B37E7">
        <w:rPr>
          <w:rFonts w:eastAsia="標楷體" w:hint="eastAsia"/>
          <w:spacing w:val="-8"/>
          <w:sz w:val="26"/>
          <w:szCs w:val="26"/>
        </w:rPr>
        <w:t xml:space="preserve">and </w:t>
      </w:r>
      <w:r w:rsidR="00831BCE" w:rsidRPr="000B37E7">
        <w:rPr>
          <w:rFonts w:eastAsia="標楷體"/>
          <w:spacing w:val="-8"/>
          <w:sz w:val="26"/>
          <w:szCs w:val="26"/>
        </w:rPr>
        <w:t>NT$</w:t>
      </w:r>
      <w:r w:rsidR="00831BCE" w:rsidRPr="000B37E7">
        <w:rPr>
          <w:rFonts w:eastAsia="標楷體" w:hint="eastAsia"/>
          <w:spacing w:val="-8"/>
          <w:sz w:val="26"/>
          <w:szCs w:val="26"/>
        </w:rPr>
        <w:t>4</w:t>
      </w:r>
      <w:r w:rsidR="003A4098" w:rsidRPr="000B37E7">
        <w:rPr>
          <w:rFonts w:eastAsia="標楷體" w:hint="eastAsia"/>
          <w:spacing w:val="-8"/>
          <w:sz w:val="26"/>
          <w:szCs w:val="26"/>
        </w:rPr>
        <w:t>52</w:t>
      </w:r>
      <w:r w:rsidR="00831BCE" w:rsidRPr="000B37E7">
        <w:rPr>
          <w:rFonts w:eastAsia="標楷體" w:hint="eastAsia"/>
          <w:spacing w:val="-8"/>
          <w:sz w:val="26"/>
          <w:szCs w:val="26"/>
        </w:rPr>
        <w:t xml:space="preserve"> billion w</w:t>
      </w:r>
      <w:r w:rsidR="00CF6F55" w:rsidRPr="000B37E7">
        <w:rPr>
          <w:rFonts w:eastAsia="標楷體" w:hint="eastAsia"/>
          <w:spacing w:val="-8"/>
          <w:sz w:val="26"/>
          <w:szCs w:val="26"/>
        </w:rPr>
        <w:t>as</w:t>
      </w:r>
      <w:r w:rsidR="00831BCE" w:rsidRPr="000B37E7">
        <w:rPr>
          <w:rFonts w:eastAsia="標楷體" w:hint="eastAsia"/>
          <w:spacing w:val="-8"/>
          <w:sz w:val="26"/>
          <w:szCs w:val="26"/>
        </w:rPr>
        <w:t xml:space="preserve"> collected, </w:t>
      </w:r>
      <w:r w:rsidR="00665FB5" w:rsidRPr="000B37E7">
        <w:rPr>
          <w:rFonts w:eastAsia="標楷體" w:hint="eastAsia"/>
          <w:spacing w:val="-8"/>
          <w:sz w:val="26"/>
          <w:szCs w:val="26"/>
        </w:rPr>
        <w:t xml:space="preserve">with a total </w:t>
      </w:r>
      <w:r w:rsidR="00831BCE" w:rsidRPr="000B37E7">
        <w:rPr>
          <w:rFonts w:eastAsia="標楷體" w:hint="eastAsia"/>
          <w:spacing w:val="-8"/>
          <w:sz w:val="26"/>
          <w:szCs w:val="26"/>
        </w:rPr>
        <w:t xml:space="preserve">collection rate </w:t>
      </w:r>
      <w:r w:rsidR="00665FB5" w:rsidRPr="000B37E7">
        <w:rPr>
          <w:rFonts w:eastAsia="標楷體" w:hint="eastAsia"/>
          <w:spacing w:val="-8"/>
          <w:sz w:val="26"/>
          <w:szCs w:val="26"/>
        </w:rPr>
        <w:t xml:space="preserve">of </w:t>
      </w:r>
      <w:r w:rsidR="003A4098" w:rsidRPr="000B37E7">
        <w:rPr>
          <w:rFonts w:eastAsia="標楷體" w:hint="eastAsia"/>
          <w:sz w:val="26"/>
        </w:rPr>
        <w:t>96.3</w:t>
      </w:r>
      <w:r w:rsidR="00831BCE" w:rsidRPr="000B37E7">
        <w:rPr>
          <w:rFonts w:eastAsia="標楷體" w:hint="eastAsia"/>
          <w:spacing w:val="-8"/>
          <w:sz w:val="26"/>
          <w:szCs w:val="26"/>
        </w:rPr>
        <w:t>%.</w:t>
      </w:r>
      <w:r w:rsidR="00C42035" w:rsidRPr="000B37E7">
        <w:rPr>
          <w:rFonts w:eastAsia="標楷體"/>
          <w:spacing w:val="-8"/>
          <w:sz w:val="26"/>
          <w:szCs w:val="26"/>
        </w:rPr>
        <w:t xml:space="preserve"> </w:t>
      </w:r>
      <w:r w:rsidR="00665FB5" w:rsidRPr="000B37E7">
        <w:rPr>
          <w:rFonts w:eastAsia="標楷體" w:hint="eastAsia"/>
          <w:spacing w:val="-8"/>
          <w:sz w:val="26"/>
          <w:szCs w:val="26"/>
        </w:rPr>
        <w:t>C</w:t>
      </w:r>
      <w:r w:rsidR="00C42035" w:rsidRPr="000B37E7">
        <w:rPr>
          <w:rFonts w:eastAsia="標楷體"/>
          <w:spacing w:val="-8"/>
          <w:sz w:val="26"/>
          <w:szCs w:val="26"/>
        </w:rPr>
        <w:t>ontribution from the insured</w:t>
      </w:r>
      <w:r w:rsidR="009E3FA4" w:rsidRPr="000B37E7">
        <w:rPr>
          <w:rFonts w:eastAsia="標楷體" w:hint="eastAsia"/>
          <w:spacing w:val="-8"/>
          <w:sz w:val="26"/>
          <w:szCs w:val="26"/>
        </w:rPr>
        <w:t xml:space="preserve"> </w:t>
      </w:r>
      <w:r w:rsidR="00B46893" w:rsidRPr="000B37E7">
        <w:rPr>
          <w:rFonts w:eastAsia="標楷體" w:hint="eastAsia"/>
          <w:spacing w:val="-8"/>
          <w:sz w:val="26"/>
          <w:szCs w:val="26"/>
        </w:rPr>
        <w:t xml:space="preserve">and </w:t>
      </w:r>
      <w:r w:rsidR="00B46893" w:rsidRPr="000B37E7">
        <w:rPr>
          <w:rFonts w:eastAsia="標楷體"/>
          <w:spacing w:val="-8"/>
          <w:sz w:val="26"/>
          <w:szCs w:val="26"/>
        </w:rPr>
        <w:t>group insurance applicant</w:t>
      </w:r>
      <w:r w:rsidR="00B46893" w:rsidRPr="000B37E7">
        <w:rPr>
          <w:rFonts w:eastAsia="標楷體" w:hint="eastAsia"/>
          <w:spacing w:val="-8"/>
          <w:sz w:val="26"/>
          <w:szCs w:val="26"/>
        </w:rPr>
        <w:t xml:space="preserve">s </w:t>
      </w:r>
      <w:r w:rsidR="00665FB5" w:rsidRPr="000B37E7">
        <w:rPr>
          <w:rFonts w:eastAsia="標楷體" w:hint="eastAsia"/>
          <w:spacing w:val="-8"/>
          <w:sz w:val="26"/>
          <w:szCs w:val="26"/>
        </w:rPr>
        <w:t>totaled</w:t>
      </w:r>
      <w:r w:rsidR="00831BCE" w:rsidRPr="000B37E7">
        <w:rPr>
          <w:rFonts w:eastAsia="標楷體" w:hint="eastAsia"/>
          <w:spacing w:val="-8"/>
          <w:sz w:val="26"/>
          <w:szCs w:val="26"/>
        </w:rPr>
        <w:t xml:space="preserve"> NT$</w:t>
      </w:r>
      <w:r w:rsidR="00B46893" w:rsidRPr="000B37E7">
        <w:rPr>
          <w:rFonts w:eastAsia="標楷體" w:hint="eastAsia"/>
          <w:spacing w:val="-8"/>
          <w:sz w:val="26"/>
          <w:szCs w:val="26"/>
        </w:rPr>
        <w:t>3</w:t>
      </w:r>
      <w:r w:rsidR="003A4098" w:rsidRPr="000B37E7">
        <w:rPr>
          <w:rFonts w:eastAsia="標楷體" w:hint="eastAsia"/>
          <w:spacing w:val="-8"/>
          <w:sz w:val="26"/>
          <w:szCs w:val="26"/>
        </w:rPr>
        <w:t>52</w:t>
      </w:r>
      <w:r w:rsidR="00831BCE" w:rsidRPr="000B37E7">
        <w:rPr>
          <w:rFonts w:eastAsia="標楷體" w:hint="eastAsia"/>
          <w:spacing w:val="-8"/>
          <w:sz w:val="26"/>
          <w:szCs w:val="26"/>
        </w:rPr>
        <w:t xml:space="preserve"> billion, </w:t>
      </w:r>
      <w:r w:rsidR="00B86D28" w:rsidRPr="000B37E7">
        <w:rPr>
          <w:rFonts w:eastAsia="標楷體" w:hint="eastAsia"/>
          <w:spacing w:val="-8"/>
          <w:sz w:val="26"/>
          <w:szCs w:val="26"/>
        </w:rPr>
        <w:t xml:space="preserve">including </w:t>
      </w:r>
      <w:r w:rsidR="00665FB5" w:rsidRPr="000B37E7">
        <w:rPr>
          <w:rFonts w:eastAsia="標楷體" w:hint="eastAsia"/>
          <w:spacing w:val="-8"/>
          <w:sz w:val="26"/>
          <w:szCs w:val="26"/>
        </w:rPr>
        <w:t>NT$2</w:t>
      </w:r>
      <w:r w:rsidR="00496932" w:rsidRPr="000B37E7">
        <w:rPr>
          <w:rFonts w:eastAsia="標楷體" w:hint="eastAsia"/>
          <w:spacing w:val="-8"/>
          <w:sz w:val="26"/>
          <w:szCs w:val="26"/>
        </w:rPr>
        <w:t>6</w:t>
      </w:r>
      <w:r w:rsidR="00665FB5" w:rsidRPr="000B37E7">
        <w:rPr>
          <w:rFonts w:eastAsia="標楷體" w:hint="eastAsia"/>
          <w:spacing w:val="-8"/>
          <w:sz w:val="26"/>
          <w:szCs w:val="26"/>
        </w:rPr>
        <w:t xml:space="preserve"> billion</w:t>
      </w:r>
      <w:r w:rsidR="00665FB5" w:rsidRPr="000B37E7">
        <w:rPr>
          <w:rFonts w:eastAsia="標楷體"/>
          <w:spacing w:val="-8"/>
          <w:sz w:val="26"/>
          <w:szCs w:val="26"/>
        </w:rPr>
        <w:t xml:space="preserve"> </w:t>
      </w:r>
      <w:r w:rsidR="00665FB5" w:rsidRPr="000B37E7">
        <w:rPr>
          <w:rFonts w:eastAsia="標楷體" w:hint="eastAsia"/>
          <w:spacing w:val="-8"/>
          <w:sz w:val="26"/>
          <w:szCs w:val="26"/>
        </w:rPr>
        <w:t xml:space="preserve">of </w:t>
      </w:r>
      <w:r w:rsidR="00B86D28" w:rsidRPr="000B37E7">
        <w:rPr>
          <w:rFonts w:eastAsia="標楷體"/>
          <w:spacing w:val="-8"/>
          <w:sz w:val="26"/>
          <w:szCs w:val="26"/>
        </w:rPr>
        <w:t>government</w:t>
      </w:r>
      <w:r w:rsidR="00B86D28" w:rsidRPr="000B37E7">
        <w:rPr>
          <w:rFonts w:eastAsia="標楷體" w:hint="eastAsia"/>
          <w:spacing w:val="-8"/>
          <w:sz w:val="26"/>
          <w:szCs w:val="26"/>
        </w:rPr>
        <w:t xml:space="preserve"> subsidies to </w:t>
      </w:r>
      <w:proofErr w:type="gramStart"/>
      <w:r w:rsidR="00B86D28" w:rsidRPr="000B37E7">
        <w:rPr>
          <w:rFonts w:eastAsia="標楷體" w:hint="eastAsia"/>
          <w:spacing w:val="-8"/>
          <w:sz w:val="26"/>
          <w:szCs w:val="26"/>
        </w:rPr>
        <w:t>specific</w:t>
      </w:r>
      <w:proofErr w:type="gramEnd"/>
      <w:r w:rsidR="00B86D28" w:rsidRPr="000B37E7">
        <w:rPr>
          <w:rFonts w:eastAsia="標楷體" w:hint="eastAsia"/>
          <w:spacing w:val="-8"/>
          <w:sz w:val="26"/>
          <w:szCs w:val="26"/>
        </w:rPr>
        <w:t xml:space="preserve"> targets</w:t>
      </w:r>
      <w:r w:rsidR="008761A8" w:rsidRPr="000B37E7">
        <w:rPr>
          <w:rFonts w:eastAsia="標楷體" w:hint="eastAsia"/>
          <w:spacing w:val="-8"/>
          <w:sz w:val="26"/>
          <w:szCs w:val="26"/>
        </w:rPr>
        <w:t>;</w:t>
      </w:r>
      <w:r w:rsidR="00B86D28" w:rsidRPr="000B37E7">
        <w:rPr>
          <w:rFonts w:eastAsia="標楷體" w:hint="eastAsia"/>
          <w:spacing w:val="-8"/>
          <w:sz w:val="26"/>
          <w:szCs w:val="26"/>
        </w:rPr>
        <w:t xml:space="preserve"> </w:t>
      </w:r>
      <w:r w:rsidR="00831BCE" w:rsidRPr="000B37E7">
        <w:rPr>
          <w:rFonts w:eastAsia="標楷體" w:hint="eastAsia"/>
          <w:spacing w:val="-8"/>
          <w:sz w:val="26"/>
          <w:szCs w:val="26"/>
        </w:rPr>
        <w:t>NT$3</w:t>
      </w:r>
      <w:r w:rsidR="007B60C4" w:rsidRPr="000B37E7">
        <w:rPr>
          <w:rFonts w:eastAsia="標楷體" w:hint="eastAsia"/>
          <w:spacing w:val="-8"/>
          <w:sz w:val="26"/>
          <w:szCs w:val="26"/>
        </w:rPr>
        <w:t>45</w:t>
      </w:r>
      <w:r w:rsidR="00831BCE" w:rsidRPr="000B37E7">
        <w:rPr>
          <w:rFonts w:eastAsia="標楷體" w:hint="eastAsia"/>
          <w:spacing w:val="-8"/>
          <w:sz w:val="26"/>
          <w:szCs w:val="26"/>
        </w:rPr>
        <w:t xml:space="preserve"> billion w</w:t>
      </w:r>
      <w:r w:rsidR="00665FB5" w:rsidRPr="000B37E7">
        <w:rPr>
          <w:rFonts w:eastAsia="標楷體" w:hint="eastAsia"/>
          <w:spacing w:val="-8"/>
          <w:sz w:val="26"/>
          <w:szCs w:val="26"/>
        </w:rPr>
        <w:t>as</w:t>
      </w:r>
      <w:r w:rsidR="00831BCE" w:rsidRPr="000B37E7">
        <w:rPr>
          <w:rFonts w:eastAsia="標楷體" w:hint="eastAsia"/>
          <w:spacing w:val="-8"/>
          <w:sz w:val="26"/>
          <w:szCs w:val="26"/>
        </w:rPr>
        <w:t xml:space="preserve"> collected, </w:t>
      </w:r>
      <w:r w:rsidR="00B86D28" w:rsidRPr="000B37E7">
        <w:rPr>
          <w:rFonts w:eastAsia="標楷體" w:hint="eastAsia"/>
          <w:spacing w:val="-8"/>
          <w:sz w:val="26"/>
          <w:szCs w:val="26"/>
        </w:rPr>
        <w:t xml:space="preserve">including </w:t>
      </w:r>
      <w:r w:rsidR="00B86D28" w:rsidRPr="000B37E7">
        <w:rPr>
          <w:rFonts w:eastAsia="標楷體"/>
          <w:spacing w:val="-8"/>
          <w:sz w:val="26"/>
          <w:szCs w:val="26"/>
        </w:rPr>
        <w:t>government</w:t>
      </w:r>
      <w:r w:rsidR="00B86D28" w:rsidRPr="000B37E7">
        <w:rPr>
          <w:rFonts w:eastAsia="標楷體" w:hint="eastAsia"/>
          <w:spacing w:val="-8"/>
          <w:sz w:val="26"/>
          <w:szCs w:val="26"/>
        </w:rPr>
        <w:t xml:space="preserve"> subsidies to specific targets </w:t>
      </w:r>
      <w:r w:rsidR="00665FB5" w:rsidRPr="000B37E7">
        <w:rPr>
          <w:rFonts w:eastAsia="標楷體" w:hint="eastAsia"/>
          <w:spacing w:val="-8"/>
          <w:sz w:val="26"/>
          <w:szCs w:val="26"/>
        </w:rPr>
        <w:t xml:space="preserve">of </w:t>
      </w:r>
      <w:r w:rsidR="00B86D28" w:rsidRPr="000B37E7">
        <w:rPr>
          <w:rFonts w:eastAsia="標楷體" w:hint="eastAsia"/>
          <w:spacing w:val="-8"/>
          <w:sz w:val="26"/>
          <w:szCs w:val="26"/>
        </w:rPr>
        <w:t>NT$2</w:t>
      </w:r>
      <w:r w:rsidR="007B60C4" w:rsidRPr="000B37E7">
        <w:rPr>
          <w:rFonts w:eastAsia="標楷體" w:hint="eastAsia"/>
          <w:spacing w:val="-8"/>
          <w:sz w:val="26"/>
          <w:szCs w:val="26"/>
        </w:rPr>
        <w:t>6</w:t>
      </w:r>
      <w:r w:rsidR="00B86D28" w:rsidRPr="000B37E7">
        <w:rPr>
          <w:rFonts w:eastAsia="標楷體" w:hint="eastAsia"/>
          <w:spacing w:val="-8"/>
          <w:sz w:val="26"/>
          <w:szCs w:val="26"/>
        </w:rPr>
        <w:t xml:space="preserve"> billion. </w:t>
      </w:r>
      <w:r w:rsidR="008761A8" w:rsidRPr="000B37E7">
        <w:rPr>
          <w:rFonts w:eastAsia="標楷體" w:hint="eastAsia"/>
          <w:spacing w:val="-8"/>
          <w:sz w:val="26"/>
          <w:szCs w:val="26"/>
        </w:rPr>
        <w:t>C</w:t>
      </w:r>
      <w:r w:rsidR="00831BCE" w:rsidRPr="000B37E7">
        <w:rPr>
          <w:rFonts w:eastAsia="標楷體" w:hint="eastAsia"/>
          <w:spacing w:val="-8"/>
          <w:sz w:val="26"/>
          <w:szCs w:val="26"/>
        </w:rPr>
        <w:t xml:space="preserve">ollection rate </w:t>
      </w:r>
      <w:r w:rsidR="008761A8" w:rsidRPr="000B37E7">
        <w:rPr>
          <w:rFonts w:eastAsia="標楷體" w:hint="eastAsia"/>
          <w:spacing w:val="-8"/>
          <w:sz w:val="26"/>
          <w:szCs w:val="26"/>
        </w:rPr>
        <w:t xml:space="preserve">was </w:t>
      </w:r>
      <w:r w:rsidR="00A3061F" w:rsidRPr="000B37E7">
        <w:rPr>
          <w:rFonts w:eastAsia="標楷體" w:hint="eastAsia"/>
          <w:sz w:val="26"/>
        </w:rPr>
        <w:t>98.0</w:t>
      </w:r>
      <w:r w:rsidR="00831BCE" w:rsidRPr="000B37E7">
        <w:rPr>
          <w:rFonts w:eastAsia="標楷體" w:hint="eastAsia"/>
          <w:spacing w:val="-8"/>
          <w:sz w:val="26"/>
          <w:szCs w:val="26"/>
        </w:rPr>
        <w:t>%</w:t>
      </w:r>
      <w:r w:rsidR="008761A8" w:rsidRPr="000B37E7">
        <w:rPr>
          <w:rFonts w:eastAsia="標楷體" w:hint="eastAsia"/>
          <w:spacing w:val="-8"/>
          <w:sz w:val="26"/>
          <w:szCs w:val="26"/>
        </w:rPr>
        <w:t>.</w:t>
      </w:r>
      <w:r w:rsidR="00C42035" w:rsidRPr="000B37E7">
        <w:rPr>
          <w:rFonts w:eastAsia="標楷體"/>
          <w:spacing w:val="-8"/>
          <w:sz w:val="26"/>
          <w:szCs w:val="26"/>
        </w:rPr>
        <w:t xml:space="preserve"> </w:t>
      </w:r>
      <w:r w:rsidR="008761A8" w:rsidRPr="000B37E7">
        <w:rPr>
          <w:rFonts w:eastAsia="標楷體" w:hint="eastAsia"/>
          <w:spacing w:val="-8"/>
          <w:sz w:val="26"/>
          <w:szCs w:val="26"/>
        </w:rPr>
        <w:t>C</w:t>
      </w:r>
      <w:r w:rsidR="004162F2" w:rsidRPr="000B37E7">
        <w:rPr>
          <w:rFonts w:eastAsia="標楷體" w:hint="eastAsia"/>
          <w:spacing w:val="-8"/>
          <w:sz w:val="26"/>
          <w:szCs w:val="26"/>
        </w:rPr>
        <w:t>ontribution</w:t>
      </w:r>
      <w:r w:rsidR="00C42035" w:rsidRPr="000B37E7">
        <w:rPr>
          <w:rFonts w:eastAsia="標楷體"/>
          <w:spacing w:val="-8"/>
          <w:sz w:val="26"/>
          <w:szCs w:val="26"/>
        </w:rPr>
        <w:t xml:space="preserve"> from the</w:t>
      </w:r>
      <w:r w:rsidR="00831BCE" w:rsidRPr="000B37E7">
        <w:rPr>
          <w:color w:val="000000"/>
          <w:sz w:val="26"/>
          <w:szCs w:val="26"/>
        </w:rPr>
        <w:t xml:space="preserve"> </w:t>
      </w:r>
      <w:r w:rsidR="00831BCE" w:rsidRPr="000B37E7">
        <w:rPr>
          <w:rFonts w:eastAsia="標楷體" w:hint="eastAsia"/>
          <w:spacing w:val="-8"/>
          <w:sz w:val="26"/>
          <w:szCs w:val="26"/>
        </w:rPr>
        <w:t>g</w:t>
      </w:r>
      <w:r w:rsidR="00831BCE" w:rsidRPr="000B37E7">
        <w:rPr>
          <w:rFonts w:eastAsia="標楷體"/>
          <w:spacing w:val="-8"/>
          <w:sz w:val="26"/>
          <w:szCs w:val="26"/>
        </w:rPr>
        <w:t>overnments</w:t>
      </w:r>
      <w:r w:rsidR="009E3FA4" w:rsidRPr="000B37E7">
        <w:rPr>
          <w:rFonts w:eastAsia="標楷體" w:hint="eastAsia"/>
          <w:spacing w:val="-8"/>
          <w:sz w:val="26"/>
          <w:szCs w:val="26"/>
        </w:rPr>
        <w:t xml:space="preserve"> (</w:t>
      </w:r>
      <w:r w:rsidR="009E3FA4" w:rsidRPr="000B37E7">
        <w:rPr>
          <w:rFonts w:hint="eastAsia"/>
          <w:color w:val="000000"/>
          <w:sz w:val="26"/>
          <w:szCs w:val="26"/>
        </w:rPr>
        <w:t>s</w:t>
      </w:r>
      <w:r w:rsidR="009E3FA4" w:rsidRPr="000B37E7">
        <w:rPr>
          <w:rFonts w:eastAsia="標楷體"/>
          <w:spacing w:val="-8"/>
          <w:sz w:val="26"/>
          <w:szCs w:val="26"/>
        </w:rPr>
        <w:t xml:space="preserve">tatutory </w:t>
      </w:r>
      <w:r w:rsidR="009E3FA4" w:rsidRPr="000B37E7">
        <w:rPr>
          <w:rFonts w:eastAsia="標楷體" w:hint="eastAsia"/>
          <w:spacing w:val="-8"/>
          <w:sz w:val="26"/>
          <w:szCs w:val="26"/>
        </w:rPr>
        <w:t>g</w:t>
      </w:r>
      <w:r w:rsidR="009E3FA4" w:rsidRPr="000B37E7">
        <w:rPr>
          <w:rFonts w:eastAsia="標楷體"/>
          <w:spacing w:val="-8"/>
          <w:sz w:val="26"/>
          <w:szCs w:val="26"/>
        </w:rPr>
        <w:t xml:space="preserve">overnment </w:t>
      </w:r>
      <w:r w:rsidR="009E3FA4" w:rsidRPr="000B37E7">
        <w:rPr>
          <w:rFonts w:eastAsia="標楷體" w:hint="eastAsia"/>
          <w:spacing w:val="-8"/>
          <w:sz w:val="26"/>
          <w:szCs w:val="26"/>
        </w:rPr>
        <w:t>s</w:t>
      </w:r>
      <w:r w:rsidR="009E3FA4" w:rsidRPr="000B37E7">
        <w:rPr>
          <w:rFonts w:eastAsia="標楷體"/>
          <w:spacing w:val="-8"/>
          <w:sz w:val="26"/>
          <w:szCs w:val="26"/>
        </w:rPr>
        <w:t>ubsidies</w:t>
      </w:r>
      <w:r w:rsidR="009E3FA4" w:rsidRPr="000B37E7">
        <w:rPr>
          <w:rFonts w:eastAsia="標楷體" w:hint="eastAsia"/>
          <w:spacing w:val="-8"/>
          <w:sz w:val="26"/>
          <w:szCs w:val="26"/>
        </w:rPr>
        <w:t>)</w:t>
      </w:r>
      <w:r w:rsidR="00831BCE" w:rsidRPr="000B37E7">
        <w:rPr>
          <w:rFonts w:eastAsia="標楷體" w:hint="eastAsia"/>
          <w:spacing w:val="-8"/>
          <w:sz w:val="26"/>
          <w:szCs w:val="26"/>
        </w:rPr>
        <w:t xml:space="preserve"> were NT$11</w:t>
      </w:r>
      <w:r w:rsidR="00A3061F" w:rsidRPr="000B37E7">
        <w:rPr>
          <w:rFonts w:eastAsia="標楷體" w:hint="eastAsia"/>
          <w:spacing w:val="-8"/>
          <w:sz w:val="26"/>
          <w:szCs w:val="26"/>
        </w:rPr>
        <w:t>8</w:t>
      </w:r>
      <w:r w:rsidR="00831BCE" w:rsidRPr="000B37E7">
        <w:rPr>
          <w:rFonts w:eastAsia="標楷體" w:hint="eastAsia"/>
          <w:spacing w:val="-8"/>
          <w:sz w:val="26"/>
          <w:szCs w:val="26"/>
        </w:rPr>
        <w:t xml:space="preserve"> billion, </w:t>
      </w:r>
      <w:r w:rsidR="00665FB5" w:rsidRPr="000B37E7">
        <w:rPr>
          <w:rFonts w:eastAsia="標楷體" w:hint="eastAsia"/>
          <w:spacing w:val="-8"/>
          <w:sz w:val="26"/>
          <w:szCs w:val="26"/>
        </w:rPr>
        <w:t xml:space="preserve">and </w:t>
      </w:r>
      <w:r w:rsidR="00831BCE" w:rsidRPr="000B37E7">
        <w:rPr>
          <w:rFonts w:eastAsia="標楷體" w:hint="eastAsia"/>
          <w:spacing w:val="-8"/>
          <w:sz w:val="26"/>
          <w:szCs w:val="26"/>
        </w:rPr>
        <w:t>NT$</w:t>
      </w:r>
      <w:r w:rsidR="00A3061F" w:rsidRPr="000B37E7">
        <w:rPr>
          <w:rFonts w:eastAsia="標楷體" w:hint="eastAsia"/>
          <w:spacing w:val="-8"/>
          <w:sz w:val="26"/>
          <w:szCs w:val="26"/>
        </w:rPr>
        <w:t>107</w:t>
      </w:r>
      <w:r w:rsidR="00831BCE" w:rsidRPr="000B37E7">
        <w:rPr>
          <w:rFonts w:eastAsia="標楷體" w:hint="eastAsia"/>
          <w:spacing w:val="-8"/>
          <w:sz w:val="26"/>
          <w:szCs w:val="26"/>
        </w:rPr>
        <w:t xml:space="preserve"> billion w</w:t>
      </w:r>
      <w:r w:rsidR="00665FB5" w:rsidRPr="000B37E7">
        <w:rPr>
          <w:rFonts w:eastAsia="標楷體" w:hint="eastAsia"/>
          <w:spacing w:val="-8"/>
          <w:sz w:val="26"/>
          <w:szCs w:val="26"/>
        </w:rPr>
        <w:t>as</w:t>
      </w:r>
      <w:r w:rsidR="00831BCE" w:rsidRPr="000B37E7">
        <w:rPr>
          <w:rFonts w:eastAsia="標楷體" w:hint="eastAsia"/>
          <w:spacing w:val="-8"/>
          <w:sz w:val="26"/>
          <w:szCs w:val="26"/>
        </w:rPr>
        <w:t xml:space="preserve"> collected, </w:t>
      </w:r>
      <w:r w:rsidR="00665FB5" w:rsidRPr="000B37E7">
        <w:rPr>
          <w:rFonts w:eastAsia="標楷體" w:hint="eastAsia"/>
          <w:spacing w:val="-8"/>
          <w:sz w:val="26"/>
          <w:szCs w:val="26"/>
        </w:rPr>
        <w:t xml:space="preserve">for a </w:t>
      </w:r>
      <w:r w:rsidR="00831BCE" w:rsidRPr="000B37E7">
        <w:rPr>
          <w:rFonts w:eastAsia="標楷體" w:hint="eastAsia"/>
          <w:spacing w:val="-8"/>
          <w:sz w:val="26"/>
          <w:szCs w:val="26"/>
        </w:rPr>
        <w:t xml:space="preserve">collection rate </w:t>
      </w:r>
      <w:r w:rsidR="00A3061F" w:rsidRPr="000B37E7">
        <w:rPr>
          <w:rFonts w:eastAsia="標楷體" w:hint="eastAsia"/>
          <w:sz w:val="26"/>
        </w:rPr>
        <w:t>91.0</w:t>
      </w:r>
      <w:r w:rsidR="00831BCE" w:rsidRPr="000B37E7">
        <w:rPr>
          <w:rFonts w:eastAsia="標楷體" w:hint="eastAsia"/>
          <w:spacing w:val="-8"/>
          <w:sz w:val="26"/>
          <w:szCs w:val="26"/>
        </w:rPr>
        <w:t>%.</w:t>
      </w:r>
      <w:r w:rsidR="00831BCE">
        <w:rPr>
          <w:rFonts w:eastAsia="標楷體" w:hint="eastAsia"/>
          <w:spacing w:val="-8"/>
          <w:sz w:val="26"/>
          <w:szCs w:val="26"/>
        </w:rPr>
        <w:t xml:space="preserve"> </w:t>
      </w:r>
    </w:p>
    <w:p w:rsidR="004C57B9" w:rsidRPr="00831BCE" w:rsidRDefault="00CC7717" w:rsidP="00CE1EED">
      <w:pPr>
        <w:spacing w:beforeLines="50" w:afterLines="50" w:line="240" w:lineRule="auto"/>
        <w:ind w:left="238" w:firstLineChars="19" w:firstLine="46"/>
        <w:jc w:val="center"/>
        <w:rPr>
          <w:rFonts w:eastAsia="標楷體"/>
          <w:spacing w:val="-8"/>
          <w:sz w:val="26"/>
          <w:szCs w:val="26"/>
        </w:rPr>
      </w:pPr>
      <w:r w:rsidRPr="00CC7717">
        <w:rPr>
          <w:noProof/>
          <w:szCs w:val="26"/>
        </w:rPr>
        <w:drawing>
          <wp:inline distT="0" distB="0" distL="0" distR="0">
            <wp:extent cx="6120765" cy="3017113"/>
            <wp:effectExtent l="0" t="0" r="0" b="0"/>
            <wp:docPr id="7"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120765" cy="3017113"/>
                    </a:xfrm>
                    <a:prstGeom prst="rect">
                      <a:avLst/>
                    </a:prstGeom>
                    <a:noFill/>
                    <a:ln w="9525">
                      <a:noFill/>
                      <a:miter lim="800000"/>
                      <a:headEnd/>
                      <a:tailEnd/>
                    </a:ln>
                  </pic:spPr>
                </pic:pic>
              </a:graphicData>
            </a:graphic>
          </wp:inline>
        </w:drawing>
      </w:r>
    </w:p>
    <w:p w:rsidR="00015767" w:rsidRPr="000A4290" w:rsidRDefault="00E03749" w:rsidP="00CE1EED">
      <w:pPr>
        <w:spacing w:beforeLines="50" w:afterLines="100" w:line="440" w:lineRule="exact"/>
        <w:ind w:left="510" w:firstLineChars="235" w:firstLine="611"/>
        <w:jc w:val="both"/>
        <w:rPr>
          <w:rFonts w:eastAsia="標楷體"/>
          <w:spacing w:val="-8"/>
          <w:sz w:val="26"/>
          <w:szCs w:val="26"/>
        </w:rPr>
      </w:pPr>
      <w:r w:rsidRPr="000A4290">
        <w:rPr>
          <w:sz w:val="26"/>
          <w:szCs w:val="26"/>
        </w:rPr>
        <w:lastRenderedPageBreak/>
        <w:t>The premium receivable for 201</w:t>
      </w:r>
      <w:r w:rsidR="003177F0" w:rsidRPr="000A4290">
        <w:rPr>
          <w:rFonts w:hint="eastAsia"/>
          <w:sz w:val="26"/>
          <w:szCs w:val="26"/>
        </w:rPr>
        <w:t>1</w:t>
      </w:r>
      <w:r w:rsidRPr="000A4290">
        <w:rPr>
          <w:sz w:val="26"/>
          <w:szCs w:val="26"/>
        </w:rPr>
        <w:t xml:space="preserve"> increased by </w:t>
      </w:r>
      <w:r w:rsidR="003177F0" w:rsidRPr="000A4290">
        <w:rPr>
          <w:rFonts w:eastAsia="標楷體" w:hint="eastAsia"/>
          <w:sz w:val="26"/>
          <w:szCs w:val="26"/>
        </w:rPr>
        <w:t>7.0</w:t>
      </w:r>
      <w:r w:rsidRPr="000A4290">
        <w:rPr>
          <w:sz w:val="26"/>
          <w:szCs w:val="26"/>
        </w:rPr>
        <w:t>% from the previous year</w:t>
      </w:r>
      <w:r w:rsidR="00665FB5" w:rsidRPr="000A4290">
        <w:rPr>
          <w:rFonts w:hint="eastAsia"/>
          <w:sz w:val="26"/>
          <w:szCs w:val="26"/>
        </w:rPr>
        <w:t>;</w:t>
      </w:r>
      <w:r w:rsidRPr="000A4290">
        <w:rPr>
          <w:sz w:val="26"/>
          <w:szCs w:val="26"/>
        </w:rPr>
        <w:t xml:space="preserve"> </w:t>
      </w:r>
      <w:r w:rsidR="00256F7A" w:rsidRPr="000A4290">
        <w:rPr>
          <w:rFonts w:hint="eastAsia"/>
          <w:sz w:val="26"/>
          <w:szCs w:val="26"/>
        </w:rPr>
        <w:t>c</w:t>
      </w:r>
      <w:r w:rsidR="00256F7A" w:rsidRPr="000A4290">
        <w:rPr>
          <w:rFonts w:eastAsia="標楷體"/>
          <w:spacing w:val="-8"/>
          <w:sz w:val="26"/>
          <w:szCs w:val="26"/>
        </w:rPr>
        <w:t>ontribution</w:t>
      </w:r>
      <w:r w:rsidR="00665FB5" w:rsidRPr="000A4290">
        <w:rPr>
          <w:rFonts w:eastAsia="標楷體" w:hint="eastAsia"/>
          <w:spacing w:val="-8"/>
          <w:sz w:val="26"/>
          <w:szCs w:val="26"/>
        </w:rPr>
        <w:t>s</w:t>
      </w:r>
      <w:r w:rsidR="00256F7A" w:rsidRPr="000A4290">
        <w:rPr>
          <w:rFonts w:eastAsia="標楷體"/>
          <w:spacing w:val="-8"/>
          <w:sz w:val="26"/>
          <w:szCs w:val="26"/>
        </w:rPr>
        <w:t xml:space="preserve"> from the insured</w:t>
      </w:r>
      <w:r w:rsidR="00256F7A" w:rsidRPr="000A4290">
        <w:rPr>
          <w:rFonts w:eastAsia="標楷體" w:hint="eastAsia"/>
          <w:spacing w:val="-8"/>
          <w:sz w:val="26"/>
          <w:szCs w:val="26"/>
        </w:rPr>
        <w:t xml:space="preserve"> and </w:t>
      </w:r>
      <w:r w:rsidR="00256F7A" w:rsidRPr="000A4290">
        <w:rPr>
          <w:rFonts w:eastAsia="標楷體"/>
          <w:spacing w:val="-8"/>
          <w:sz w:val="26"/>
          <w:szCs w:val="26"/>
        </w:rPr>
        <w:t>group insurance applicant</w:t>
      </w:r>
      <w:r w:rsidR="00256F7A" w:rsidRPr="000A4290">
        <w:rPr>
          <w:rFonts w:eastAsia="標楷體" w:hint="eastAsia"/>
          <w:spacing w:val="-8"/>
          <w:sz w:val="26"/>
          <w:szCs w:val="26"/>
        </w:rPr>
        <w:t xml:space="preserve">s (including </w:t>
      </w:r>
      <w:r w:rsidR="00256F7A" w:rsidRPr="000A4290">
        <w:rPr>
          <w:rFonts w:eastAsia="標楷體"/>
          <w:spacing w:val="-8"/>
          <w:sz w:val="26"/>
          <w:szCs w:val="26"/>
        </w:rPr>
        <w:t>government</w:t>
      </w:r>
      <w:r w:rsidR="00256F7A" w:rsidRPr="000A4290">
        <w:rPr>
          <w:rFonts w:eastAsia="標楷體" w:hint="eastAsia"/>
          <w:spacing w:val="-8"/>
          <w:sz w:val="26"/>
          <w:szCs w:val="26"/>
        </w:rPr>
        <w:t xml:space="preserve"> subsidies to specific targets) increased </w:t>
      </w:r>
      <w:r w:rsidR="008F6F30" w:rsidRPr="000A4290">
        <w:rPr>
          <w:rFonts w:eastAsia="標楷體" w:hint="eastAsia"/>
          <w:sz w:val="26"/>
          <w:szCs w:val="26"/>
        </w:rPr>
        <w:t>7.4</w:t>
      </w:r>
      <w:r w:rsidR="00256F7A" w:rsidRPr="000A4290">
        <w:rPr>
          <w:rFonts w:eastAsia="標楷體" w:hint="eastAsia"/>
          <w:spacing w:val="-8"/>
          <w:sz w:val="26"/>
          <w:szCs w:val="26"/>
        </w:rPr>
        <w:t>%</w:t>
      </w:r>
      <w:r w:rsidR="00665FB5" w:rsidRPr="000A4290">
        <w:rPr>
          <w:rFonts w:eastAsia="標楷體" w:hint="eastAsia"/>
          <w:spacing w:val="-8"/>
          <w:sz w:val="26"/>
          <w:szCs w:val="26"/>
        </w:rPr>
        <w:t>,</w:t>
      </w:r>
      <w:r w:rsidR="00256F7A" w:rsidRPr="000A4290">
        <w:rPr>
          <w:rFonts w:eastAsia="標楷體" w:hint="eastAsia"/>
          <w:spacing w:val="-8"/>
          <w:sz w:val="26"/>
          <w:szCs w:val="26"/>
        </w:rPr>
        <w:t xml:space="preserve"> and contribution</w:t>
      </w:r>
      <w:r w:rsidR="00665FB5" w:rsidRPr="000A4290">
        <w:rPr>
          <w:rFonts w:eastAsia="標楷體" w:hint="eastAsia"/>
          <w:spacing w:val="-8"/>
          <w:sz w:val="26"/>
          <w:szCs w:val="26"/>
        </w:rPr>
        <w:t>s</w:t>
      </w:r>
      <w:r w:rsidR="00256F7A" w:rsidRPr="000A4290">
        <w:rPr>
          <w:rFonts w:eastAsia="標楷體"/>
          <w:spacing w:val="-8"/>
          <w:sz w:val="26"/>
          <w:szCs w:val="26"/>
        </w:rPr>
        <w:t xml:space="preserve"> from the</w:t>
      </w:r>
      <w:r w:rsidR="00256F7A" w:rsidRPr="000A4290">
        <w:rPr>
          <w:color w:val="000000"/>
          <w:sz w:val="26"/>
          <w:szCs w:val="26"/>
        </w:rPr>
        <w:t xml:space="preserve"> </w:t>
      </w:r>
      <w:r w:rsidR="00256F7A" w:rsidRPr="000A4290">
        <w:rPr>
          <w:rFonts w:eastAsia="標楷體" w:hint="eastAsia"/>
          <w:spacing w:val="-8"/>
          <w:sz w:val="26"/>
          <w:szCs w:val="26"/>
        </w:rPr>
        <w:t>g</w:t>
      </w:r>
      <w:r w:rsidR="00256F7A" w:rsidRPr="000A4290">
        <w:rPr>
          <w:rFonts w:eastAsia="標楷體"/>
          <w:spacing w:val="-8"/>
          <w:sz w:val="26"/>
          <w:szCs w:val="26"/>
        </w:rPr>
        <w:t>overnments</w:t>
      </w:r>
      <w:r w:rsidR="00256F7A" w:rsidRPr="000A4290">
        <w:rPr>
          <w:rFonts w:eastAsia="標楷體" w:hint="eastAsia"/>
          <w:spacing w:val="-8"/>
          <w:sz w:val="26"/>
          <w:szCs w:val="26"/>
        </w:rPr>
        <w:t xml:space="preserve"> (</w:t>
      </w:r>
      <w:r w:rsidR="00256F7A" w:rsidRPr="000A4290">
        <w:rPr>
          <w:rFonts w:hint="eastAsia"/>
          <w:color w:val="000000"/>
          <w:sz w:val="26"/>
          <w:szCs w:val="26"/>
        </w:rPr>
        <w:t>s</w:t>
      </w:r>
      <w:r w:rsidR="00256F7A" w:rsidRPr="000A4290">
        <w:rPr>
          <w:rFonts w:eastAsia="標楷體"/>
          <w:spacing w:val="-8"/>
          <w:sz w:val="26"/>
          <w:szCs w:val="26"/>
        </w:rPr>
        <w:t xml:space="preserve">tatutory </w:t>
      </w:r>
      <w:r w:rsidR="00256F7A" w:rsidRPr="000A4290">
        <w:rPr>
          <w:rFonts w:eastAsia="標楷體" w:hint="eastAsia"/>
          <w:spacing w:val="-8"/>
          <w:sz w:val="26"/>
          <w:szCs w:val="26"/>
        </w:rPr>
        <w:t>g</w:t>
      </w:r>
      <w:r w:rsidR="00256F7A" w:rsidRPr="000A4290">
        <w:rPr>
          <w:rFonts w:eastAsia="標楷體"/>
          <w:spacing w:val="-8"/>
          <w:sz w:val="26"/>
          <w:szCs w:val="26"/>
        </w:rPr>
        <w:t xml:space="preserve">overnment </w:t>
      </w:r>
      <w:r w:rsidR="00256F7A" w:rsidRPr="000A4290">
        <w:rPr>
          <w:rFonts w:eastAsia="標楷體" w:hint="eastAsia"/>
          <w:spacing w:val="-8"/>
          <w:sz w:val="26"/>
          <w:szCs w:val="26"/>
        </w:rPr>
        <w:t>s</w:t>
      </w:r>
      <w:r w:rsidR="00256F7A" w:rsidRPr="000A4290">
        <w:rPr>
          <w:rFonts w:eastAsia="標楷體"/>
          <w:spacing w:val="-8"/>
          <w:sz w:val="26"/>
          <w:szCs w:val="26"/>
        </w:rPr>
        <w:t>ubsidies</w:t>
      </w:r>
      <w:r w:rsidR="00256F7A" w:rsidRPr="000A4290">
        <w:rPr>
          <w:rFonts w:eastAsia="標楷體" w:hint="eastAsia"/>
          <w:spacing w:val="-8"/>
          <w:sz w:val="26"/>
          <w:szCs w:val="26"/>
        </w:rPr>
        <w:t xml:space="preserve">) increased </w:t>
      </w:r>
      <w:r w:rsidR="008F6F30" w:rsidRPr="000A4290">
        <w:rPr>
          <w:rFonts w:eastAsia="標楷體" w:hint="eastAsia"/>
          <w:sz w:val="26"/>
          <w:szCs w:val="26"/>
        </w:rPr>
        <w:t>5.8</w:t>
      </w:r>
      <w:r w:rsidR="00256F7A" w:rsidRPr="000A4290">
        <w:rPr>
          <w:rFonts w:eastAsia="標楷體" w:hint="eastAsia"/>
          <w:spacing w:val="-8"/>
          <w:sz w:val="26"/>
          <w:szCs w:val="26"/>
        </w:rPr>
        <w:t xml:space="preserve">%. </w:t>
      </w:r>
      <w:r w:rsidRPr="000A4290">
        <w:rPr>
          <w:sz w:val="26"/>
          <w:szCs w:val="26"/>
        </w:rPr>
        <w:t xml:space="preserve">Compared with the previous year, the actual contribution by the insured </w:t>
      </w:r>
      <w:r w:rsidR="00B7168A" w:rsidRPr="000A4290">
        <w:rPr>
          <w:rFonts w:hint="eastAsia"/>
          <w:sz w:val="26"/>
          <w:szCs w:val="26"/>
        </w:rPr>
        <w:t>and group insurance applicants increas</w:t>
      </w:r>
      <w:r w:rsidRPr="000A4290">
        <w:rPr>
          <w:sz w:val="26"/>
          <w:szCs w:val="26"/>
        </w:rPr>
        <w:t xml:space="preserve">ed </w:t>
      </w:r>
      <w:r w:rsidR="004B2729" w:rsidRPr="000A4290">
        <w:rPr>
          <w:rFonts w:eastAsia="標楷體" w:hint="eastAsia"/>
          <w:sz w:val="26"/>
          <w:szCs w:val="26"/>
        </w:rPr>
        <w:t>6.5</w:t>
      </w:r>
      <w:r w:rsidRPr="000A4290">
        <w:rPr>
          <w:sz w:val="26"/>
          <w:szCs w:val="26"/>
        </w:rPr>
        <w:t>% after deducting government subsidies</w:t>
      </w:r>
      <w:r w:rsidR="00B7168A" w:rsidRPr="000A4290">
        <w:rPr>
          <w:rFonts w:hint="eastAsia"/>
          <w:sz w:val="26"/>
          <w:szCs w:val="26"/>
        </w:rPr>
        <w:t xml:space="preserve"> to specific targets</w:t>
      </w:r>
      <w:r w:rsidRPr="000A4290">
        <w:rPr>
          <w:sz w:val="26"/>
          <w:szCs w:val="26"/>
        </w:rPr>
        <w:t xml:space="preserve">. </w:t>
      </w:r>
      <w:r w:rsidR="00055D79" w:rsidRPr="000A4290">
        <w:rPr>
          <w:sz w:val="26"/>
          <w:szCs w:val="26"/>
        </w:rPr>
        <w:t xml:space="preserve">Government subsidies to specific targets </w:t>
      </w:r>
      <w:r w:rsidRPr="000A4290">
        <w:rPr>
          <w:sz w:val="26"/>
          <w:szCs w:val="26"/>
        </w:rPr>
        <w:t xml:space="preserve">increased by </w:t>
      </w:r>
      <w:r w:rsidR="000359A8" w:rsidRPr="000A4290">
        <w:rPr>
          <w:rFonts w:eastAsia="標楷體" w:hint="eastAsia"/>
          <w:sz w:val="26"/>
          <w:szCs w:val="26"/>
        </w:rPr>
        <w:t>20.0</w:t>
      </w:r>
      <w:r w:rsidRPr="000A4290">
        <w:rPr>
          <w:sz w:val="26"/>
          <w:szCs w:val="26"/>
        </w:rPr>
        <w:t>%</w:t>
      </w:r>
      <w:r w:rsidR="00965BC8" w:rsidRPr="000A4290">
        <w:rPr>
          <w:rFonts w:hint="eastAsia"/>
          <w:sz w:val="26"/>
          <w:szCs w:val="26"/>
        </w:rPr>
        <w:t xml:space="preserve"> from the previous year</w:t>
      </w:r>
      <w:r w:rsidRPr="000A4290">
        <w:rPr>
          <w:sz w:val="26"/>
          <w:szCs w:val="26"/>
        </w:rPr>
        <w:t xml:space="preserve">. The premium collected increased by </w:t>
      </w:r>
      <w:r w:rsidR="000359A8" w:rsidRPr="000A4290">
        <w:rPr>
          <w:rFonts w:eastAsia="標楷體" w:hint="eastAsia"/>
          <w:sz w:val="26"/>
          <w:szCs w:val="26"/>
        </w:rPr>
        <w:t>8.2</w:t>
      </w:r>
      <w:r w:rsidRPr="000A4290">
        <w:rPr>
          <w:sz w:val="26"/>
          <w:szCs w:val="26"/>
        </w:rPr>
        <w:t xml:space="preserve">% </w:t>
      </w:r>
      <w:r w:rsidR="00665FB5" w:rsidRPr="000A4290">
        <w:rPr>
          <w:rFonts w:hint="eastAsia"/>
          <w:sz w:val="26"/>
          <w:szCs w:val="26"/>
        </w:rPr>
        <w:t xml:space="preserve">over </w:t>
      </w:r>
      <w:r w:rsidRPr="000A4290">
        <w:rPr>
          <w:sz w:val="26"/>
          <w:szCs w:val="26"/>
        </w:rPr>
        <w:t>the previous year.</w:t>
      </w:r>
      <w:r w:rsidR="00015767" w:rsidRPr="000A4290">
        <w:rPr>
          <w:rFonts w:hint="eastAsia"/>
          <w:sz w:val="26"/>
          <w:szCs w:val="26"/>
        </w:rPr>
        <w:t xml:space="preserve"> </w:t>
      </w:r>
      <w:r w:rsidR="00015767" w:rsidRPr="000A4290">
        <w:rPr>
          <w:rFonts w:eastAsia="標楷體" w:hint="eastAsia"/>
          <w:spacing w:val="-8"/>
          <w:sz w:val="26"/>
          <w:szCs w:val="26"/>
        </w:rPr>
        <w:t>Compared to 200</w:t>
      </w:r>
      <w:r w:rsidR="000359A8" w:rsidRPr="000A4290">
        <w:rPr>
          <w:rFonts w:eastAsia="標楷體" w:hint="eastAsia"/>
          <w:spacing w:val="-8"/>
          <w:sz w:val="26"/>
          <w:szCs w:val="26"/>
        </w:rPr>
        <w:t>1</w:t>
      </w:r>
      <w:r w:rsidR="00015767" w:rsidRPr="000A4290">
        <w:rPr>
          <w:rFonts w:eastAsia="標楷體" w:hint="eastAsia"/>
          <w:spacing w:val="-8"/>
          <w:sz w:val="26"/>
          <w:szCs w:val="26"/>
        </w:rPr>
        <w:t xml:space="preserve">, </w:t>
      </w:r>
      <w:r w:rsidR="00015767" w:rsidRPr="000A4290">
        <w:rPr>
          <w:rFonts w:eastAsia="標楷體"/>
          <w:spacing w:val="-8"/>
          <w:sz w:val="26"/>
          <w:szCs w:val="26"/>
        </w:rPr>
        <w:t>premium</w:t>
      </w:r>
      <w:r w:rsidR="00015767" w:rsidRPr="000A4290">
        <w:rPr>
          <w:rFonts w:eastAsia="標楷體" w:hint="eastAsia"/>
          <w:spacing w:val="-8"/>
          <w:sz w:val="26"/>
          <w:szCs w:val="26"/>
        </w:rPr>
        <w:t>s collected</w:t>
      </w:r>
      <w:r w:rsidR="00015767" w:rsidRPr="000A4290">
        <w:rPr>
          <w:rFonts w:eastAsia="標楷體"/>
          <w:spacing w:val="-8"/>
          <w:sz w:val="26"/>
          <w:szCs w:val="26"/>
        </w:rPr>
        <w:t xml:space="preserve"> increased by NT$</w:t>
      </w:r>
      <w:r w:rsidR="00015767" w:rsidRPr="000A4290">
        <w:rPr>
          <w:rFonts w:eastAsia="標楷體" w:hint="eastAsia"/>
          <w:spacing w:val="-8"/>
          <w:sz w:val="26"/>
          <w:szCs w:val="26"/>
        </w:rPr>
        <w:t>1</w:t>
      </w:r>
      <w:r w:rsidR="000359A8" w:rsidRPr="000A4290">
        <w:rPr>
          <w:rFonts w:eastAsia="標楷體" w:hint="eastAsia"/>
          <w:spacing w:val="-8"/>
          <w:sz w:val="26"/>
          <w:szCs w:val="26"/>
        </w:rPr>
        <w:t>65</w:t>
      </w:r>
      <w:r w:rsidR="00015767" w:rsidRPr="000A4290">
        <w:rPr>
          <w:rFonts w:eastAsia="標楷體"/>
          <w:spacing w:val="-8"/>
          <w:sz w:val="26"/>
          <w:szCs w:val="26"/>
        </w:rPr>
        <w:t xml:space="preserve"> billion</w:t>
      </w:r>
      <w:r w:rsidR="00665FB5" w:rsidRPr="000A4290">
        <w:rPr>
          <w:rFonts w:eastAsia="標楷體" w:hint="eastAsia"/>
          <w:spacing w:val="-8"/>
          <w:sz w:val="26"/>
          <w:szCs w:val="26"/>
        </w:rPr>
        <w:t>,</w:t>
      </w:r>
      <w:r w:rsidR="00015767" w:rsidRPr="000A4290">
        <w:rPr>
          <w:rFonts w:eastAsia="標楷體" w:hint="eastAsia"/>
          <w:spacing w:val="-8"/>
          <w:sz w:val="26"/>
          <w:szCs w:val="26"/>
        </w:rPr>
        <w:t xml:space="preserve"> with an</w:t>
      </w:r>
      <w:r w:rsidR="00015767" w:rsidRPr="000A4290">
        <w:rPr>
          <w:rFonts w:eastAsia="標楷體"/>
          <w:spacing w:val="-8"/>
          <w:sz w:val="26"/>
          <w:szCs w:val="26"/>
        </w:rPr>
        <w:t xml:space="preserve"> average annual increase </w:t>
      </w:r>
      <w:r w:rsidR="00015767" w:rsidRPr="000A4290">
        <w:rPr>
          <w:rFonts w:eastAsia="標楷體" w:hint="eastAsia"/>
          <w:spacing w:val="-8"/>
          <w:sz w:val="26"/>
          <w:szCs w:val="26"/>
        </w:rPr>
        <w:t xml:space="preserve">of </w:t>
      </w:r>
      <w:r w:rsidR="000359A8" w:rsidRPr="000A4290">
        <w:rPr>
          <w:rFonts w:eastAsia="標楷體" w:hint="eastAsia"/>
          <w:sz w:val="26"/>
          <w:szCs w:val="26"/>
        </w:rPr>
        <w:t>4.6</w:t>
      </w:r>
      <w:r w:rsidR="00015767" w:rsidRPr="000A4290">
        <w:rPr>
          <w:rFonts w:eastAsia="標楷體"/>
          <w:spacing w:val="-8"/>
          <w:sz w:val="26"/>
          <w:szCs w:val="26"/>
        </w:rPr>
        <w:t>%.</w:t>
      </w:r>
    </w:p>
    <w:p w:rsidR="008A29E5" w:rsidRPr="000B37E7" w:rsidRDefault="00461A51" w:rsidP="00461A51">
      <w:pPr>
        <w:spacing w:before="200" w:line="360" w:lineRule="exact"/>
        <w:ind w:leftChars="118" w:left="283"/>
        <w:jc w:val="both"/>
        <w:rPr>
          <w:rFonts w:eastAsia="標楷體"/>
          <w:b/>
          <w:sz w:val="26"/>
          <w:szCs w:val="26"/>
        </w:rPr>
      </w:pPr>
      <w:r w:rsidRPr="000B37E7">
        <w:rPr>
          <w:rFonts w:eastAsia="標楷體" w:hint="eastAsia"/>
          <w:b/>
          <w:sz w:val="26"/>
          <w:szCs w:val="26"/>
        </w:rPr>
        <w:t>ii</w:t>
      </w:r>
      <w:r w:rsidR="008A29E5" w:rsidRPr="000B37E7">
        <w:rPr>
          <w:rFonts w:eastAsia="標楷體" w:hint="eastAsia"/>
          <w:b/>
          <w:sz w:val="26"/>
          <w:szCs w:val="26"/>
        </w:rPr>
        <w:t>. Government Subsidies</w:t>
      </w:r>
    </w:p>
    <w:p w:rsidR="009E3FA4" w:rsidRPr="00AE32BD" w:rsidRDefault="003B002D" w:rsidP="00CE1EED">
      <w:pPr>
        <w:spacing w:beforeLines="50" w:afterLines="100" w:line="440" w:lineRule="exact"/>
        <w:ind w:left="510" w:firstLineChars="235" w:firstLine="573"/>
        <w:jc w:val="both"/>
        <w:rPr>
          <w:rFonts w:eastAsia="標楷體"/>
          <w:spacing w:val="-8"/>
          <w:sz w:val="26"/>
        </w:rPr>
      </w:pPr>
      <w:r w:rsidRPr="000B37E7">
        <w:rPr>
          <w:rFonts w:eastAsia="標楷體" w:hint="eastAsia"/>
          <w:spacing w:val="-8"/>
          <w:sz w:val="26"/>
        </w:rPr>
        <w:t xml:space="preserve">Government subsidy receivables </w:t>
      </w:r>
      <w:r w:rsidR="00D01B62" w:rsidRPr="000B37E7">
        <w:rPr>
          <w:rFonts w:eastAsia="標楷體" w:hint="eastAsia"/>
          <w:spacing w:val="-8"/>
          <w:sz w:val="26"/>
        </w:rPr>
        <w:t xml:space="preserve">(including statutory </w:t>
      </w:r>
      <w:r w:rsidR="00D01B62" w:rsidRPr="000B37E7">
        <w:rPr>
          <w:rFonts w:eastAsia="標楷體"/>
          <w:spacing w:val="-8"/>
          <w:sz w:val="26"/>
        </w:rPr>
        <w:t>subsidies</w:t>
      </w:r>
      <w:r w:rsidR="00D01B62" w:rsidRPr="000B37E7">
        <w:rPr>
          <w:rFonts w:eastAsia="標楷體" w:hint="eastAsia"/>
          <w:spacing w:val="-8"/>
          <w:sz w:val="26"/>
        </w:rPr>
        <w:t xml:space="preserve"> and subsidies to specific targets) </w:t>
      </w:r>
      <w:r w:rsidRPr="000B37E7">
        <w:rPr>
          <w:rFonts w:eastAsia="標楷體" w:hint="eastAsia"/>
          <w:spacing w:val="-8"/>
          <w:sz w:val="26"/>
        </w:rPr>
        <w:t>were NT$1</w:t>
      </w:r>
      <w:r w:rsidR="009C758E" w:rsidRPr="000B37E7">
        <w:rPr>
          <w:rFonts w:eastAsia="標楷體" w:hint="eastAsia"/>
          <w:spacing w:val="-8"/>
          <w:sz w:val="26"/>
        </w:rPr>
        <w:t>44</w:t>
      </w:r>
      <w:r w:rsidRPr="000B37E7">
        <w:rPr>
          <w:rFonts w:eastAsia="標楷體" w:hint="eastAsia"/>
          <w:spacing w:val="-8"/>
          <w:sz w:val="26"/>
        </w:rPr>
        <w:t xml:space="preserve"> billion or </w:t>
      </w:r>
      <w:r w:rsidR="00004704" w:rsidRPr="000B37E7">
        <w:rPr>
          <w:rFonts w:eastAsia="標楷體" w:hint="eastAsia"/>
          <w:spacing w:val="-8"/>
          <w:sz w:val="26"/>
        </w:rPr>
        <w:t>30.</w:t>
      </w:r>
      <w:r w:rsidR="009917D4" w:rsidRPr="000B37E7">
        <w:rPr>
          <w:rFonts w:eastAsia="標楷體" w:hint="eastAsia"/>
          <w:spacing w:val="-8"/>
          <w:sz w:val="26"/>
        </w:rPr>
        <w:t>7</w:t>
      </w:r>
      <w:r w:rsidR="00004704" w:rsidRPr="000B37E7">
        <w:rPr>
          <w:rFonts w:eastAsia="標楷體" w:hint="eastAsia"/>
          <w:spacing w:val="-8"/>
          <w:sz w:val="26"/>
        </w:rPr>
        <w:t>% of premium receivables</w:t>
      </w:r>
      <w:r w:rsidRPr="000B37E7">
        <w:rPr>
          <w:rFonts w:eastAsia="標楷體" w:hint="eastAsia"/>
          <w:spacing w:val="-8"/>
          <w:sz w:val="26"/>
        </w:rPr>
        <w:t>,</w:t>
      </w:r>
      <w:r w:rsidR="00004704" w:rsidRPr="000B37E7">
        <w:rPr>
          <w:rFonts w:eastAsia="標楷體" w:hint="eastAsia"/>
          <w:spacing w:val="-8"/>
          <w:sz w:val="26"/>
        </w:rPr>
        <w:t xml:space="preserve"> NT$1</w:t>
      </w:r>
      <w:r w:rsidR="009917D4" w:rsidRPr="000B37E7">
        <w:rPr>
          <w:rFonts w:eastAsia="標楷體" w:hint="eastAsia"/>
          <w:spacing w:val="-8"/>
          <w:sz w:val="26"/>
        </w:rPr>
        <w:t>33</w:t>
      </w:r>
      <w:r w:rsidR="00004704" w:rsidRPr="000B37E7">
        <w:rPr>
          <w:rFonts w:eastAsia="標楷體" w:hint="eastAsia"/>
          <w:spacing w:val="-8"/>
          <w:sz w:val="26"/>
        </w:rPr>
        <w:t xml:space="preserve"> billion w</w:t>
      </w:r>
      <w:r w:rsidR="00665FB5" w:rsidRPr="000B37E7">
        <w:rPr>
          <w:rFonts w:eastAsia="標楷體" w:hint="eastAsia"/>
          <w:spacing w:val="-8"/>
          <w:sz w:val="26"/>
        </w:rPr>
        <w:t>as</w:t>
      </w:r>
      <w:r w:rsidR="00004704" w:rsidRPr="000B37E7">
        <w:rPr>
          <w:rFonts w:eastAsia="標楷體" w:hint="eastAsia"/>
          <w:spacing w:val="-8"/>
          <w:sz w:val="26"/>
        </w:rPr>
        <w:t xml:space="preserve"> collected, </w:t>
      </w:r>
      <w:r w:rsidR="00665FB5" w:rsidRPr="000B37E7">
        <w:rPr>
          <w:rFonts w:eastAsia="標楷體" w:hint="eastAsia"/>
          <w:spacing w:val="-8"/>
          <w:sz w:val="26"/>
        </w:rPr>
        <w:t xml:space="preserve">for a </w:t>
      </w:r>
      <w:r w:rsidR="00004704" w:rsidRPr="000B37E7">
        <w:rPr>
          <w:rFonts w:eastAsia="標楷體" w:hint="eastAsia"/>
          <w:spacing w:val="-8"/>
          <w:sz w:val="26"/>
        </w:rPr>
        <w:t xml:space="preserve">collection rate </w:t>
      </w:r>
      <w:r w:rsidR="00665FB5" w:rsidRPr="000B37E7">
        <w:rPr>
          <w:rFonts w:eastAsia="標楷體" w:hint="eastAsia"/>
          <w:spacing w:val="-8"/>
          <w:sz w:val="26"/>
        </w:rPr>
        <w:t xml:space="preserve">of </w:t>
      </w:r>
      <w:r w:rsidR="009917D4" w:rsidRPr="000B37E7">
        <w:rPr>
          <w:rFonts w:eastAsia="標楷體" w:hint="eastAsia"/>
          <w:sz w:val="26"/>
        </w:rPr>
        <w:t>92.6</w:t>
      </w:r>
      <w:r w:rsidR="00004704" w:rsidRPr="000B37E7">
        <w:rPr>
          <w:rFonts w:eastAsia="標楷體" w:hint="eastAsia"/>
          <w:spacing w:val="-8"/>
          <w:sz w:val="26"/>
        </w:rPr>
        <w:t xml:space="preserve">%. </w:t>
      </w:r>
      <w:r w:rsidR="00665FB5" w:rsidRPr="000B37E7">
        <w:rPr>
          <w:rFonts w:eastAsia="標楷體" w:hint="eastAsia"/>
          <w:spacing w:val="-8"/>
          <w:sz w:val="26"/>
        </w:rPr>
        <w:t>S</w:t>
      </w:r>
      <w:r w:rsidR="00004704" w:rsidRPr="000B37E7">
        <w:rPr>
          <w:rFonts w:eastAsia="標楷體"/>
          <w:spacing w:val="-8"/>
          <w:sz w:val="26"/>
          <w:szCs w:val="26"/>
        </w:rPr>
        <w:t xml:space="preserve">tatutory </w:t>
      </w:r>
      <w:r w:rsidR="00004704" w:rsidRPr="000B37E7">
        <w:rPr>
          <w:rFonts w:eastAsia="標楷體" w:hint="eastAsia"/>
          <w:spacing w:val="-8"/>
          <w:sz w:val="26"/>
          <w:szCs w:val="26"/>
        </w:rPr>
        <w:t>g</w:t>
      </w:r>
      <w:r w:rsidR="00004704" w:rsidRPr="000B37E7">
        <w:rPr>
          <w:rFonts w:eastAsia="標楷體"/>
          <w:spacing w:val="-8"/>
          <w:sz w:val="26"/>
          <w:szCs w:val="26"/>
        </w:rPr>
        <w:t xml:space="preserve">overnment </w:t>
      </w:r>
      <w:r w:rsidR="00004704" w:rsidRPr="000B37E7">
        <w:rPr>
          <w:rFonts w:eastAsia="標楷體" w:hint="eastAsia"/>
          <w:spacing w:val="-8"/>
          <w:sz w:val="26"/>
          <w:szCs w:val="26"/>
        </w:rPr>
        <w:t>s</w:t>
      </w:r>
      <w:r w:rsidR="00004704" w:rsidRPr="000B37E7">
        <w:rPr>
          <w:rFonts w:eastAsia="標楷體"/>
          <w:spacing w:val="-8"/>
          <w:sz w:val="26"/>
          <w:szCs w:val="26"/>
        </w:rPr>
        <w:t>ubsid</w:t>
      </w:r>
      <w:r w:rsidR="0066496D" w:rsidRPr="000B37E7">
        <w:rPr>
          <w:rFonts w:eastAsia="標楷體" w:hint="eastAsia"/>
          <w:spacing w:val="-8"/>
          <w:sz w:val="26"/>
          <w:szCs w:val="26"/>
        </w:rPr>
        <w:t>y receivables</w:t>
      </w:r>
      <w:r w:rsidR="00004704" w:rsidRPr="000B37E7">
        <w:rPr>
          <w:rFonts w:eastAsia="標楷體"/>
          <w:spacing w:val="-8"/>
          <w:sz w:val="26"/>
        </w:rPr>
        <w:t xml:space="preserve"> </w:t>
      </w:r>
      <w:r w:rsidR="00004704" w:rsidRPr="000B37E7">
        <w:rPr>
          <w:rFonts w:eastAsia="標楷體" w:hint="eastAsia"/>
          <w:spacing w:val="-8"/>
          <w:sz w:val="26"/>
        </w:rPr>
        <w:t>were NT$</w:t>
      </w:r>
      <w:r w:rsidR="009917D4" w:rsidRPr="000B37E7">
        <w:rPr>
          <w:rFonts w:eastAsia="標楷體" w:hint="eastAsia"/>
          <w:sz w:val="26"/>
        </w:rPr>
        <w:t>118</w:t>
      </w:r>
      <w:r w:rsidR="00004704" w:rsidRPr="000B37E7">
        <w:rPr>
          <w:rFonts w:eastAsia="標楷體" w:hint="eastAsia"/>
          <w:spacing w:val="-8"/>
          <w:sz w:val="26"/>
        </w:rPr>
        <w:t xml:space="preserve"> billion, </w:t>
      </w:r>
      <w:r w:rsidR="00665FB5" w:rsidRPr="000B37E7">
        <w:rPr>
          <w:rFonts w:eastAsia="標楷體" w:hint="eastAsia"/>
          <w:spacing w:val="-8"/>
          <w:sz w:val="26"/>
        </w:rPr>
        <w:t xml:space="preserve">and </w:t>
      </w:r>
      <w:r w:rsidR="00004704" w:rsidRPr="000B37E7">
        <w:rPr>
          <w:rFonts w:eastAsia="標楷體" w:hint="eastAsia"/>
          <w:spacing w:val="-8"/>
          <w:sz w:val="26"/>
        </w:rPr>
        <w:t>NT$</w:t>
      </w:r>
      <w:r w:rsidR="009917D4" w:rsidRPr="000B37E7">
        <w:rPr>
          <w:rFonts w:eastAsia="標楷體" w:hint="eastAsia"/>
          <w:spacing w:val="-8"/>
          <w:sz w:val="26"/>
        </w:rPr>
        <w:t>107</w:t>
      </w:r>
      <w:r w:rsidR="00004704" w:rsidRPr="000B37E7">
        <w:rPr>
          <w:rFonts w:eastAsia="標楷體" w:hint="eastAsia"/>
          <w:spacing w:val="-8"/>
          <w:sz w:val="26"/>
        </w:rPr>
        <w:t xml:space="preserve"> billion w</w:t>
      </w:r>
      <w:r w:rsidR="00665FB5" w:rsidRPr="000B37E7">
        <w:rPr>
          <w:rFonts w:eastAsia="標楷體" w:hint="eastAsia"/>
          <w:spacing w:val="-8"/>
          <w:sz w:val="26"/>
        </w:rPr>
        <w:t>as</w:t>
      </w:r>
      <w:r w:rsidR="00004704" w:rsidRPr="000B37E7">
        <w:rPr>
          <w:rFonts w:eastAsia="標楷體" w:hint="eastAsia"/>
          <w:spacing w:val="-8"/>
          <w:sz w:val="26"/>
        </w:rPr>
        <w:t xml:space="preserve"> collected, </w:t>
      </w:r>
      <w:r w:rsidR="00665FB5" w:rsidRPr="000B37E7">
        <w:rPr>
          <w:rFonts w:eastAsia="標楷體" w:hint="eastAsia"/>
          <w:spacing w:val="-8"/>
          <w:sz w:val="26"/>
        </w:rPr>
        <w:t xml:space="preserve">for a </w:t>
      </w:r>
      <w:r w:rsidR="00004704" w:rsidRPr="000B37E7">
        <w:rPr>
          <w:rFonts w:eastAsia="標楷體" w:hint="eastAsia"/>
          <w:spacing w:val="-8"/>
          <w:sz w:val="26"/>
        </w:rPr>
        <w:t xml:space="preserve">collection rate </w:t>
      </w:r>
      <w:r w:rsidR="00665FB5" w:rsidRPr="000B37E7">
        <w:rPr>
          <w:rFonts w:eastAsia="標楷體" w:hint="eastAsia"/>
          <w:spacing w:val="-8"/>
          <w:sz w:val="26"/>
        </w:rPr>
        <w:t xml:space="preserve">of </w:t>
      </w:r>
      <w:r w:rsidR="009917D4" w:rsidRPr="000B37E7">
        <w:rPr>
          <w:rFonts w:eastAsia="標楷體" w:hint="eastAsia"/>
          <w:sz w:val="26"/>
        </w:rPr>
        <w:t>91.0</w:t>
      </w:r>
      <w:r w:rsidR="00004704" w:rsidRPr="000B37E7">
        <w:rPr>
          <w:rFonts w:eastAsia="標楷體" w:hint="eastAsia"/>
          <w:spacing w:val="-8"/>
          <w:sz w:val="26"/>
        </w:rPr>
        <w:t>% (</w:t>
      </w:r>
      <w:r w:rsidR="00665FB5" w:rsidRPr="000B37E7">
        <w:rPr>
          <w:rFonts w:eastAsia="標楷體" w:hint="eastAsia"/>
          <w:spacing w:val="-8"/>
          <w:sz w:val="26"/>
        </w:rPr>
        <w:t>c</w:t>
      </w:r>
      <w:r w:rsidR="009E3FA4" w:rsidRPr="000B37E7">
        <w:rPr>
          <w:rFonts w:eastAsia="標楷體"/>
          <w:spacing w:val="-8"/>
          <w:sz w:val="26"/>
        </w:rPr>
        <w:t xml:space="preserve">entral government </w:t>
      </w:r>
      <w:r w:rsidR="009E3FA4" w:rsidRPr="000B37E7">
        <w:rPr>
          <w:rFonts w:eastAsia="標楷體" w:hint="eastAsia"/>
          <w:spacing w:val="-8"/>
          <w:sz w:val="26"/>
        </w:rPr>
        <w:t>subsid</w:t>
      </w:r>
      <w:r w:rsidR="0066496D" w:rsidRPr="000B37E7">
        <w:rPr>
          <w:rFonts w:eastAsia="標楷體" w:hint="eastAsia"/>
          <w:spacing w:val="-8"/>
          <w:sz w:val="26"/>
        </w:rPr>
        <w:t>y receivables</w:t>
      </w:r>
      <w:r w:rsidR="009E3FA4" w:rsidRPr="000B37E7">
        <w:rPr>
          <w:rFonts w:eastAsia="標楷體" w:hint="eastAsia"/>
          <w:spacing w:val="-8"/>
          <w:sz w:val="26"/>
        </w:rPr>
        <w:t xml:space="preserve"> </w:t>
      </w:r>
      <w:r w:rsidR="00665FB5" w:rsidRPr="000B37E7">
        <w:rPr>
          <w:rFonts w:eastAsia="標楷體" w:hint="eastAsia"/>
          <w:spacing w:val="-8"/>
          <w:sz w:val="26"/>
        </w:rPr>
        <w:t xml:space="preserve">were </w:t>
      </w:r>
      <w:r w:rsidR="00004704" w:rsidRPr="000B37E7">
        <w:rPr>
          <w:rFonts w:eastAsia="標楷體" w:hint="eastAsia"/>
          <w:spacing w:val="-8"/>
          <w:sz w:val="26"/>
        </w:rPr>
        <w:t>NT$8</w:t>
      </w:r>
      <w:r w:rsidR="00C43C84" w:rsidRPr="000B37E7">
        <w:rPr>
          <w:rFonts w:eastAsia="標楷體" w:hint="eastAsia"/>
          <w:spacing w:val="-8"/>
          <w:sz w:val="26"/>
        </w:rPr>
        <w:t>0</w:t>
      </w:r>
      <w:r w:rsidR="00004704" w:rsidRPr="000B37E7">
        <w:rPr>
          <w:rFonts w:eastAsia="標楷體" w:hint="eastAsia"/>
          <w:spacing w:val="-8"/>
          <w:sz w:val="26"/>
        </w:rPr>
        <w:t xml:space="preserve"> billion, </w:t>
      </w:r>
      <w:r w:rsidR="00665FB5" w:rsidRPr="000B37E7">
        <w:rPr>
          <w:rFonts w:eastAsia="標楷體" w:hint="eastAsia"/>
          <w:spacing w:val="-8"/>
          <w:sz w:val="26"/>
        </w:rPr>
        <w:t xml:space="preserve">a </w:t>
      </w:r>
      <w:r w:rsidR="00004704" w:rsidRPr="000B37E7">
        <w:rPr>
          <w:rFonts w:eastAsia="標楷體" w:hint="eastAsia"/>
          <w:spacing w:val="-8"/>
          <w:sz w:val="26"/>
        </w:rPr>
        <w:t xml:space="preserve">collection rate </w:t>
      </w:r>
      <w:r w:rsidR="00665FB5" w:rsidRPr="000B37E7">
        <w:rPr>
          <w:rFonts w:eastAsia="標楷體" w:hint="eastAsia"/>
          <w:spacing w:val="-8"/>
          <w:sz w:val="26"/>
        </w:rPr>
        <w:t xml:space="preserve">of </w:t>
      </w:r>
      <w:r w:rsidR="00004704" w:rsidRPr="000B37E7">
        <w:rPr>
          <w:rFonts w:eastAsia="標楷體" w:hint="eastAsia"/>
          <w:spacing w:val="-8"/>
          <w:sz w:val="26"/>
        </w:rPr>
        <w:t>100%</w:t>
      </w:r>
      <w:r w:rsidR="009E3FA4" w:rsidRPr="000B37E7">
        <w:rPr>
          <w:rFonts w:eastAsia="標楷體"/>
          <w:spacing w:val="-8"/>
          <w:sz w:val="26"/>
        </w:rPr>
        <w:t xml:space="preserve">; </w:t>
      </w:r>
      <w:r w:rsidR="00665FB5" w:rsidRPr="000B37E7">
        <w:rPr>
          <w:rFonts w:eastAsia="標楷體"/>
          <w:spacing w:val="-8"/>
          <w:sz w:val="26"/>
        </w:rPr>
        <w:t>NT$</w:t>
      </w:r>
      <w:r w:rsidR="00A4193F" w:rsidRPr="000B37E7">
        <w:rPr>
          <w:rFonts w:eastAsia="標楷體" w:hint="eastAsia"/>
          <w:sz w:val="26"/>
        </w:rPr>
        <w:t>35</w:t>
      </w:r>
      <w:r w:rsidR="00665FB5" w:rsidRPr="000B37E7">
        <w:rPr>
          <w:rFonts w:eastAsia="標楷體"/>
          <w:spacing w:val="-8"/>
          <w:sz w:val="26"/>
        </w:rPr>
        <w:t xml:space="preserve"> </w:t>
      </w:r>
      <w:r w:rsidR="00665FB5" w:rsidRPr="000B37E7">
        <w:rPr>
          <w:rFonts w:eastAsia="標楷體" w:hint="eastAsia"/>
          <w:spacing w:val="-8"/>
          <w:sz w:val="26"/>
        </w:rPr>
        <w:t>b</w:t>
      </w:r>
      <w:r w:rsidR="00665FB5" w:rsidRPr="000B37E7">
        <w:rPr>
          <w:rFonts w:eastAsia="標楷體"/>
          <w:spacing w:val="-8"/>
          <w:sz w:val="26"/>
        </w:rPr>
        <w:t xml:space="preserve">illion </w:t>
      </w:r>
      <w:r w:rsidR="00665FB5" w:rsidRPr="000B37E7">
        <w:rPr>
          <w:rFonts w:eastAsia="標楷體" w:hint="eastAsia"/>
          <w:spacing w:val="-8"/>
          <w:sz w:val="26"/>
        </w:rPr>
        <w:t xml:space="preserve">for </w:t>
      </w:r>
      <w:r w:rsidR="009E3FA4" w:rsidRPr="000B37E7">
        <w:rPr>
          <w:rFonts w:eastAsia="標楷體"/>
          <w:spacing w:val="-8"/>
          <w:sz w:val="26"/>
        </w:rPr>
        <w:t>provincial and municipal government</w:t>
      </w:r>
      <w:r w:rsidR="0066496D" w:rsidRPr="000B37E7">
        <w:rPr>
          <w:rFonts w:eastAsia="標楷體" w:hint="eastAsia"/>
          <w:spacing w:val="-8"/>
          <w:sz w:val="26"/>
        </w:rPr>
        <w:t>s</w:t>
      </w:r>
      <w:r w:rsidR="00004704" w:rsidRPr="000B37E7">
        <w:rPr>
          <w:rFonts w:eastAsia="標楷體" w:hint="eastAsia"/>
          <w:spacing w:val="-8"/>
          <w:sz w:val="26"/>
        </w:rPr>
        <w:t>,</w:t>
      </w:r>
      <w:r w:rsidR="009E3FA4" w:rsidRPr="000B37E7">
        <w:rPr>
          <w:rFonts w:eastAsia="標楷體"/>
          <w:spacing w:val="-8"/>
          <w:sz w:val="26"/>
        </w:rPr>
        <w:t xml:space="preserve"> </w:t>
      </w:r>
      <w:r w:rsidR="00665FB5" w:rsidRPr="000B37E7">
        <w:rPr>
          <w:rFonts w:eastAsia="標楷體" w:hint="eastAsia"/>
          <w:spacing w:val="-8"/>
          <w:sz w:val="26"/>
        </w:rPr>
        <w:t xml:space="preserve">and </w:t>
      </w:r>
      <w:r w:rsidR="00004704" w:rsidRPr="000B37E7">
        <w:rPr>
          <w:rFonts w:eastAsia="標楷體" w:hint="eastAsia"/>
          <w:spacing w:val="-8"/>
          <w:sz w:val="26"/>
        </w:rPr>
        <w:t>NT$2</w:t>
      </w:r>
      <w:r w:rsidR="00A4193F" w:rsidRPr="000B37E7">
        <w:rPr>
          <w:rFonts w:eastAsia="標楷體" w:hint="eastAsia"/>
          <w:spacing w:val="-8"/>
          <w:sz w:val="26"/>
        </w:rPr>
        <w:t>5</w:t>
      </w:r>
      <w:r w:rsidR="00004704" w:rsidRPr="000B37E7">
        <w:rPr>
          <w:rFonts w:eastAsia="標楷體" w:hint="eastAsia"/>
          <w:spacing w:val="-8"/>
          <w:sz w:val="26"/>
        </w:rPr>
        <w:t xml:space="preserve"> billion </w:t>
      </w:r>
      <w:r w:rsidR="002F09FA" w:rsidRPr="000B37E7">
        <w:rPr>
          <w:rFonts w:eastAsia="標楷體" w:hint="eastAsia"/>
          <w:spacing w:val="-8"/>
          <w:sz w:val="26"/>
        </w:rPr>
        <w:t>w</w:t>
      </w:r>
      <w:r w:rsidR="00665FB5" w:rsidRPr="000B37E7">
        <w:rPr>
          <w:rFonts w:eastAsia="標楷體" w:hint="eastAsia"/>
          <w:spacing w:val="-8"/>
          <w:sz w:val="26"/>
        </w:rPr>
        <w:t>as</w:t>
      </w:r>
      <w:r w:rsidR="002F09FA" w:rsidRPr="000B37E7">
        <w:rPr>
          <w:rFonts w:eastAsia="標楷體" w:hint="eastAsia"/>
          <w:spacing w:val="-8"/>
          <w:sz w:val="26"/>
        </w:rPr>
        <w:t xml:space="preserve"> </w:t>
      </w:r>
      <w:r w:rsidR="00004704" w:rsidRPr="000B37E7">
        <w:rPr>
          <w:rFonts w:eastAsia="標楷體" w:hint="eastAsia"/>
          <w:spacing w:val="-8"/>
          <w:sz w:val="26"/>
        </w:rPr>
        <w:t>collected,</w:t>
      </w:r>
      <w:r w:rsidR="009E3FA4" w:rsidRPr="000B37E7">
        <w:rPr>
          <w:rFonts w:eastAsia="標楷體" w:hint="eastAsia"/>
          <w:spacing w:val="-8"/>
          <w:sz w:val="26"/>
        </w:rPr>
        <w:t xml:space="preserve"> </w:t>
      </w:r>
      <w:r w:rsidR="00665FB5" w:rsidRPr="000B37E7">
        <w:rPr>
          <w:rFonts w:eastAsia="標楷體" w:hint="eastAsia"/>
          <w:spacing w:val="-8"/>
          <w:sz w:val="26"/>
        </w:rPr>
        <w:t xml:space="preserve">a </w:t>
      </w:r>
      <w:r w:rsidR="00004704" w:rsidRPr="000B37E7">
        <w:rPr>
          <w:rFonts w:eastAsia="標楷體" w:hint="eastAsia"/>
          <w:spacing w:val="-8"/>
          <w:sz w:val="26"/>
        </w:rPr>
        <w:t xml:space="preserve">collection rate </w:t>
      </w:r>
      <w:r w:rsidR="00C655F3" w:rsidRPr="000B37E7">
        <w:rPr>
          <w:rFonts w:eastAsia="標楷體" w:hint="eastAsia"/>
          <w:sz w:val="26"/>
        </w:rPr>
        <w:t>69.8</w:t>
      </w:r>
      <w:r w:rsidR="009E3FA4" w:rsidRPr="000B37E7">
        <w:rPr>
          <w:rFonts w:eastAsia="標楷體"/>
          <w:spacing w:val="-8"/>
          <w:sz w:val="26"/>
        </w:rPr>
        <w:t xml:space="preserve">%; </w:t>
      </w:r>
      <w:r w:rsidR="00DC21FE" w:rsidRPr="000B37E7">
        <w:rPr>
          <w:rFonts w:eastAsia="標楷體"/>
          <w:spacing w:val="-8"/>
          <w:sz w:val="26"/>
        </w:rPr>
        <w:t>NT$</w:t>
      </w:r>
      <w:r w:rsidR="00C655F3" w:rsidRPr="000B37E7">
        <w:rPr>
          <w:rFonts w:eastAsia="標楷體" w:hint="eastAsia"/>
          <w:spacing w:val="-8"/>
          <w:sz w:val="26"/>
        </w:rPr>
        <w:t>3</w:t>
      </w:r>
      <w:r w:rsidR="00DC21FE" w:rsidRPr="000B37E7">
        <w:rPr>
          <w:rFonts w:eastAsia="標楷體"/>
          <w:spacing w:val="-8"/>
          <w:sz w:val="26"/>
        </w:rPr>
        <w:t xml:space="preserve"> </w:t>
      </w:r>
      <w:r w:rsidR="00DC21FE" w:rsidRPr="000B37E7">
        <w:rPr>
          <w:rFonts w:eastAsia="標楷體" w:hint="eastAsia"/>
          <w:spacing w:val="-8"/>
          <w:sz w:val="26"/>
        </w:rPr>
        <w:t>b</w:t>
      </w:r>
      <w:r w:rsidR="00DC21FE" w:rsidRPr="000B37E7">
        <w:rPr>
          <w:rFonts w:eastAsia="標楷體"/>
          <w:spacing w:val="-8"/>
          <w:sz w:val="26"/>
        </w:rPr>
        <w:t xml:space="preserve">illion </w:t>
      </w:r>
      <w:r w:rsidR="00DC21FE" w:rsidRPr="000B37E7">
        <w:rPr>
          <w:rFonts w:eastAsia="標楷體" w:hint="eastAsia"/>
          <w:spacing w:val="-8"/>
          <w:sz w:val="26"/>
        </w:rPr>
        <w:t>f</w:t>
      </w:r>
      <w:r w:rsidR="00626D38" w:rsidRPr="000B37E7">
        <w:rPr>
          <w:rFonts w:eastAsia="標楷體" w:hint="eastAsia"/>
          <w:spacing w:val="-8"/>
          <w:sz w:val="26"/>
        </w:rPr>
        <w:t>o</w:t>
      </w:r>
      <w:r w:rsidR="00DC21FE" w:rsidRPr="000B37E7">
        <w:rPr>
          <w:rFonts w:eastAsia="標楷體" w:hint="eastAsia"/>
          <w:spacing w:val="-8"/>
          <w:sz w:val="26"/>
        </w:rPr>
        <w:t xml:space="preserve">r </w:t>
      </w:r>
      <w:r w:rsidR="009E3FA4" w:rsidRPr="000B37E7">
        <w:rPr>
          <w:rFonts w:eastAsia="標楷體"/>
          <w:spacing w:val="-8"/>
          <w:sz w:val="26"/>
        </w:rPr>
        <w:t>county and city governments</w:t>
      </w:r>
      <w:r w:rsidR="00004704" w:rsidRPr="000B37E7">
        <w:rPr>
          <w:rFonts w:eastAsia="標楷體" w:hint="eastAsia"/>
          <w:spacing w:val="-8"/>
          <w:sz w:val="26"/>
        </w:rPr>
        <w:t>, collection rate</w:t>
      </w:r>
      <w:r w:rsidR="009E3FA4" w:rsidRPr="000B37E7">
        <w:rPr>
          <w:rFonts w:eastAsia="標楷體"/>
          <w:spacing w:val="-8"/>
          <w:sz w:val="26"/>
        </w:rPr>
        <w:t xml:space="preserve"> </w:t>
      </w:r>
      <w:r w:rsidR="00DC21FE" w:rsidRPr="000B37E7">
        <w:rPr>
          <w:rFonts w:eastAsia="標楷體" w:hint="eastAsia"/>
          <w:spacing w:val="-8"/>
          <w:sz w:val="26"/>
        </w:rPr>
        <w:t xml:space="preserve">of </w:t>
      </w:r>
      <w:r w:rsidR="00004704" w:rsidRPr="000B37E7">
        <w:rPr>
          <w:rFonts w:eastAsia="標楷體" w:hint="eastAsia"/>
          <w:spacing w:val="-8"/>
          <w:sz w:val="26"/>
        </w:rPr>
        <w:t>100</w:t>
      </w:r>
      <w:r w:rsidR="009E3FA4" w:rsidRPr="000B37E7">
        <w:rPr>
          <w:rFonts w:eastAsia="標楷體"/>
          <w:spacing w:val="-8"/>
          <w:sz w:val="26"/>
        </w:rPr>
        <w:t>%</w:t>
      </w:r>
      <w:r w:rsidR="00004704" w:rsidRPr="000B37E7">
        <w:rPr>
          <w:rFonts w:eastAsia="標楷體" w:hint="eastAsia"/>
          <w:spacing w:val="-8"/>
          <w:sz w:val="26"/>
        </w:rPr>
        <w:t>)</w:t>
      </w:r>
      <w:r w:rsidR="00EC006A" w:rsidRPr="000B37E7">
        <w:rPr>
          <w:rFonts w:eastAsia="標楷體" w:hint="eastAsia"/>
          <w:spacing w:val="-8"/>
          <w:sz w:val="26"/>
        </w:rPr>
        <w:t xml:space="preserve">, </w:t>
      </w:r>
      <w:r w:rsidR="00D01B62" w:rsidRPr="000B37E7">
        <w:rPr>
          <w:rFonts w:eastAsia="標楷體" w:hint="eastAsia"/>
          <w:spacing w:val="-8"/>
          <w:sz w:val="26"/>
        </w:rPr>
        <w:t xml:space="preserve">subsidy to specific targets </w:t>
      </w:r>
      <w:r w:rsidR="00EC006A" w:rsidRPr="000B37E7">
        <w:rPr>
          <w:rFonts w:eastAsia="標楷體" w:hint="eastAsia"/>
          <w:spacing w:val="-8"/>
          <w:sz w:val="26"/>
        </w:rPr>
        <w:t>receivables for contribution of the insured and group insurance applicants subs</w:t>
      </w:r>
      <w:r w:rsidR="003E06C1" w:rsidRPr="000B37E7">
        <w:rPr>
          <w:rFonts w:eastAsia="標楷體" w:hint="eastAsia"/>
          <w:spacing w:val="-8"/>
          <w:sz w:val="26"/>
        </w:rPr>
        <w:t>idized by governments were NT$26</w:t>
      </w:r>
      <w:r w:rsidR="00EC006A" w:rsidRPr="000B37E7">
        <w:rPr>
          <w:rFonts w:eastAsia="標楷體" w:hint="eastAsia"/>
          <w:spacing w:val="-8"/>
          <w:sz w:val="26"/>
        </w:rPr>
        <w:t xml:space="preserve"> billion, NT$2</w:t>
      </w:r>
      <w:r w:rsidR="003E06C1" w:rsidRPr="000B37E7">
        <w:rPr>
          <w:rFonts w:eastAsia="標楷體" w:hint="eastAsia"/>
          <w:spacing w:val="-8"/>
          <w:sz w:val="26"/>
        </w:rPr>
        <w:t>6</w:t>
      </w:r>
      <w:r w:rsidR="00EC006A" w:rsidRPr="000B37E7">
        <w:rPr>
          <w:rFonts w:eastAsia="標楷體" w:hint="eastAsia"/>
          <w:spacing w:val="-8"/>
          <w:sz w:val="26"/>
        </w:rPr>
        <w:t xml:space="preserve"> </w:t>
      </w:r>
      <w:r w:rsidR="00DC21FE" w:rsidRPr="000B37E7">
        <w:rPr>
          <w:rFonts w:eastAsia="標楷體" w:hint="eastAsia"/>
          <w:spacing w:val="-8"/>
          <w:sz w:val="26"/>
        </w:rPr>
        <w:t xml:space="preserve">billion </w:t>
      </w:r>
      <w:r w:rsidR="00EC006A" w:rsidRPr="000B37E7">
        <w:rPr>
          <w:rFonts w:eastAsia="標楷體" w:hint="eastAsia"/>
          <w:spacing w:val="-8"/>
          <w:sz w:val="26"/>
        </w:rPr>
        <w:t>w</w:t>
      </w:r>
      <w:r w:rsidR="00DC21FE" w:rsidRPr="000B37E7">
        <w:rPr>
          <w:rFonts w:eastAsia="標楷體" w:hint="eastAsia"/>
          <w:spacing w:val="-8"/>
          <w:sz w:val="26"/>
        </w:rPr>
        <w:t>as</w:t>
      </w:r>
      <w:r w:rsidR="00EC006A" w:rsidRPr="000B37E7">
        <w:rPr>
          <w:rFonts w:eastAsia="標楷體" w:hint="eastAsia"/>
          <w:spacing w:val="-8"/>
          <w:sz w:val="26"/>
        </w:rPr>
        <w:t xml:space="preserve"> collected, </w:t>
      </w:r>
      <w:r w:rsidR="00DC21FE" w:rsidRPr="000B37E7">
        <w:rPr>
          <w:rFonts w:eastAsia="標楷體" w:hint="eastAsia"/>
          <w:spacing w:val="-8"/>
          <w:sz w:val="26"/>
        </w:rPr>
        <w:t xml:space="preserve">for a </w:t>
      </w:r>
      <w:r w:rsidR="00EC006A" w:rsidRPr="000B37E7">
        <w:rPr>
          <w:rFonts w:eastAsia="標楷體" w:hint="eastAsia"/>
          <w:spacing w:val="-8"/>
          <w:sz w:val="26"/>
        </w:rPr>
        <w:t xml:space="preserve">collection rate </w:t>
      </w:r>
      <w:r w:rsidR="00DC21FE" w:rsidRPr="000B37E7">
        <w:rPr>
          <w:rFonts w:eastAsia="標楷體" w:hint="eastAsia"/>
          <w:spacing w:val="-8"/>
          <w:sz w:val="26"/>
        </w:rPr>
        <w:t xml:space="preserve">of </w:t>
      </w:r>
      <w:r w:rsidR="00EC006A" w:rsidRPr="000B37E7">
        <w:rPr>
          <w:rFonts w:eastAsia="標楷體" w:hint="eastAsia"/>
          <w:spacing w:val="-8"/>
          <w:sz w:val="26"/>
        </w:rPr>
        <w:t>9</w:t>
      </w:r>
      <w:r w:rsidR="003E06C1" w:rsidRPr="000B37E7">
        <w:rPr>
          <w:rFonts w:eastAsia="標楷體" w:hint="eastAsia"/>
          <w:spacing w:val="-8"/>
          <w:sz w:val="26"/>
        </w:rPr>
        <w:t>9.9</w:t>
      </w:r>
      <w:r w:rsidR="00EC006A" w:rsidRPr="000B37E7">
        <w:rPr>
          <w:rFonts w:eastAsia="標楷體" w:hint="eastAsia"/>
          <w:spacing w:val="-8"/>
          <w:sz w:val="26"/>
        </w:rPr>
        <w:t>%.</w:t>
      </w:r>
      <w:r w:rsidR="00004704">
        <w:rPr>
          <w:rFonts w:eastAsia="標楷體" w:hint="eastAsia"/>
          <w:spacing w:val="-8"/>
          <w:sz w:val="26"/>
        </w:rPr>
        <w:t xml:space="preserve"> </w:t>
      </w:r>
      <w:r w:rsidR="009E3FA4" w:rsidRPr="00AE32BD">
        <w:rPr>
          <w:rFonts w:eastAsia="標楷體"/>
          <w:spacing w:val="-8"/>
          <w:sz w:val="26"/>
        </w:rPr>
        <w:t xml:space="preserve"> </w:t>
      </w:r>
    </w:p>
    <w:p w:rsidR="009E3FA4" w:rsidRPr="009E3FA4" w:rsidRDefault="00FD4BDA" w:rsidP="00CC7717">
      <w:pPr>
        <w:spacing w:before="480" w:line="240" w:lineRule="auto"/>
        <w:jc w:val="center"/>
        <w:rPr>
          <w:rFonts w:eastAsia="標楷體"/>
          <w:b/>
          <w:sz w:val="28"/>
          <w:szCs w:val="28"/>
        </w:rPr>
      </w:pPr>
      <w:r w:rsidRPr="00FD4BDA">
        <w:rPr>
          <w:rFonts w:eastAsia="標楷體"/>
          <w:b/>
          <w:noProof/>
          <w:sz w:val="28"/>
          <w:szCs w:val="28"/>
        </w:rPr>
        <w:drawing>
          <wp:inline distT="0" distB="0" distL="0" distR="0">
            <wp:extent cx="6325106" cy="2921225"/>
            <wp:effectExtent l="19050" t="0" r="0" b="0"/>
            <wp:docPr id="3"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A29E5" w:rsidRPr="00137C52" w:rsidRDefault="00CC7717" w:rsidP="00AB295E">
      <w:pPr>
        <w:widowControl/>
        <w:adjustRightInd/>
        <w:spacing w:line="240" w:lineRule="auto"/>
        <w:ind w:leftChars="118" w:left="283"/>
        <w:textAlignment w:val="auto"/>
        <w:rPr>
          <w:rFonts w:eastAsia="標楷體"/>
          <w:b/>
          <w:sz w:val="26"/>
          <w:szCs w:val="26"/>
        </w:rPr>
      </w:pPr>
      <w:r>
        <w:rPr>
          <w:rFonts w:eastAsia="標楷體"/>
          <w:b/>
          <w:sz w:val="26"/>
          <w:szCs w:val="26"/>
        </w:rPr>
        <w:br w:type="page"/>
      </w:r>
      <w:r w:rsidR="00461A51">
        <w:rPr>
          <w:rFonts w:eastAsia="標楷體" w:hint="eastAsia"/>
          <w:b/>
          <w:sz w:val="26"/>
          <w:szCs w:val="26"/>
        </w:rPr>
        <w:lastRenderedPageBreak/>
        <w:t>iii</w:t>
      </w:r>
      <w:r w:rsidR="008A29E5" w:rsidRPr="00137C52">
        <w:rPr>
          <w:rFonts w:eastAsia="標楷體" w:hint="eastAsia"/>
          <w:b/>
          <w:sz w:val="26"/>
          <w:szCs w:val="26"/>
        </w:rPr>
        <w:t>.</w:t>
      </w:r>
      <w:r w:rsidR="00D01B62">
        <w:rPr>
          <w:rFonts w:eastAsia="標楷體"/>
          <w:b/>
          <w:sz w:val="26"/>
          <w:szCs w:val="26"/>
        </w:rPr>
        <w:t xml:space="preserve"> </w:t>
      </w:r>
      <w:r w:rsidR="00D01B62">
        <w:rPr>
          <w:rFonts w:eastAsia="標楷體" w:hint="eastAsia"/>
          <w:b/>
          <w:sz w:val="26"/>
          <w:szCs w:val="26"/>
        </w:rPr>
        <w:t xml:space="preserve">Delinquent </w:t>
      </w:r>
      <w:r w:rsidR="00D01B62">
        <w:rPr>
          <w:rFonts w:eastAsia="標楷體"/>
          <w:b/>
          <w:sz w:val="26"/>
          <w:szCs w:val="26"/>
        </w:rPr>
        <w:t>Charges</w:t>
      </w:r>
    </w:p>
    <w:p w:rsidR="008A29E5" w:rsidRDefault="008761A8" w:rsidP="00CE1EED">
      <w:pPr>
        <w:spacing w:beforeLines="50" w:afterLines="100" w:line="340" w:lineRule="exact"/>
        <w:ind w:left="510" w:firstLineChars="235" w:firstLine="611"/>
        <w:jc w:val="both"/>
        <w:rPr>
          <w:rFonts w:eastAsia="標楷體"/>
          <w:sz w:val="26"/>
        </w:rPr>
      </w:pPr>
      <w:r w:rsidRPr="00CF446A">
        <w:rPr>
          <w:rFonts w:eastAsia="標楷體" w:hint="eastAsia"/>
          <w:sz w:val="26"/>
        </w:rPr>
        <w:t>Delinquent c</w:t>
      </w:r>
      <w:r w:rsidR="008A29E5" w:rsidRPr="00CF446A">
        <w:rPr>
          <w:rFonts w:eastAsia="標楷體"/>
          <w:sz w:val="26"/>
        </w:rPr>
        <w:t xml:space="preserve">harge </w:t>
      </w:r>
      <w:r w:rsidR="008A29E5" w:rsidRPr="00CF446A">
        <w:rPr>
          <w:rFonts w:eastAsia="標楷體" w:hint="eastAsia"/>
          <w:sz w:val="26"/>
        </w:rPr>
        <w:t>r</w:t>
      </w:r>
      <w:r w:rsidR="008A29E5" w:rsidRPr="00CF446A">
        <w:rPr>
          <w:rFonts w:eastAsia="標楷體"/>
          <w:sz w:val="26"/>
        </w:rPr>
        <w:t xml:space="preserve">eceivables </w:t>
      </w:r>
      <w:r w:rsidR="00C0797E" w:rsidRPr="00CF446A">
        <w:rPr>
          <w:rFonts w:eastAsia="標楷體" w:hint="eastAsia"/>
          <w:sz w:val="26"/>
        </w:rPr>
        <w:t>were NT$</w:t>
      </w:r>
      <w:r w:rsidR="005C7C24" w:rsidRPr="00CF446A">
        <w:rPr>
          <w:rFonts w:eastAsia="標楷體"/>
          <w:sz w:val="26"/>
        </w:rPr>
        <w:t>1</w:t>
      </w:r>
      <w:r w:rsidR="005C7C24" w:rsidRPr="00CF446A">
        <w:rPr>
          <w:rFonts w:eastAsia="標楷體" w:hint="eastAsia"/>
          <w:sz w:val="26"/>
        </w:rPr>
        <w:t>79</w:t>
      </w:r>
      <w:r w:rsidR="00C0797E" w:rsidRPr="00CF446A">
        <w:rPr>
          <w:rFonts w:eastAsia="標楷體" w:hint="eastAsia"/>
          <w:sz w:val="26"/>
        </w:rPr>
        <w:t xml:space="preserve"> million</w:t>
      </w:r>
      <w:r w:rsidR="008A29E5" w:rsidRPr="00CF446A">
        <w:rPr>
          <w:rFonts w:eastAsia="標楷體"/>
          <w:sz w:val="26"/>
        </w:rPr>
        <w:t xml:space="preserve"> in 20</w:t>
      </w:r>
      <w:r w:rsidR="00C0797E" w:rsidRPr="00CF446A">
        <w:rPr>
          <w:rFonts w:eastAsia="標楷體" w:hint="eastAsia"/>
          <w:sz w:val="26"/>
        </w:rPr>
        <w:t>1</w:t>
      </w:r>
      <w:r w:rsidR="005C7C24" w:rsidRPr="00CF446A">
        <w:rPr>
          <w:rFonts w:eastAsia="標楷體" w:hint="eastAsia"/>
          <w:sz w:val="26"/>
        </w:rPr>
        <w:t>1</w:t>
      </w:r>
      <w:r w:rsidR="00C0797E" w:rsidRPr="00CF446A">
        <w:rPr>
          <w:rFonts w:eastAsia="標楷體" w:hint="eastAsia"/>
          <w:sz w:val="26"/>
        </w:rPr>
        <w:t xml:space="preserve">, </w:t>
      </w:r>
      <w:r w:rsidR="00F50348" w:rsidRPr="00CF446A">
        <w:rPr>
          <w:rFonts w:eastAsia="標楷體" w:hint="eastAsia"/>
          <w:sz w:val="26"/>
        </w:rPr>
        <w:t xml:space="preserve">a </w:t>
      </w:r>
      <w:r w:rsidR="00C0797E" w:rsidRPr="00CF446A">
        <w:rPr>
          <w:rFonts w:eastAsia="標楷體" w:hint="eastAsia"/>
          <w:sz w:val="26"/>
        </w:rPr>
        <w:t>decrease</w:t>
      </w:r>
      <w:r w:rsidR="00F50348" w:rsidRPr="00CF446A">
        <w:rPr>
          <w:rFonts w:eastAsia="標楷體" w:hint="eastAsia"/>
          <w:sz w:val="26"/>
        </w:rPr>
        <w:t xml:space="preserve"> of </w:t>
      </w:r>
      <w:r w:rsidR="005C7C24" w:rsidRPr="00CF446A">
        <w:rPr>
          <w:rFonts w:eastAsia="標楷體" w:hint="eastAsia"/>
          <w:sz w:val="26"/>
        </w:rPr>
        <w:t>6.9</w:t>
      </w:r>
      <w:r w:rsidR="00C0797E" w:rsidRPr="00CF446A">
        <w:rPr>
          <w:rFonts w:eastAsia="標楷體" w:hint="eastAsia"/>
          <w:sz w:val="26"/>
        </w:rPr>
        <w:t>%</w:t>
      </w:r>
      <w:r w:rsidR="00EF54BD" w:rsidRPr="00CF446A">
        <w:rPr>
          <w:rFonts w:eastAsia="標楷體" w:hint="eastAsia"/>
          <w:sz w:val="26"/>
        </w:rPr>
        <w:t xml:space="preserve"> </w:t>
      </w:r>
      <w:r w:rsidR="00F50348" w:rsidRPr="00CF446A">
        <w:rPr>
          <w:rFonts w:eastAsia="標楷體" w:hint="eastAsia"/>
          <w:sz w:val="26"/>
        </w:rPr>
        <w:t xml:space="preserve">over </w:t>
      </w:r>
      <w:r w:rsidR="00EF54BD" w:rsidRPr="00CF446A">
        <w:rPr>
          <w:rFonts w:eastAsia="標楷體" w:hint="eastAsia"/>
          <w:sz w:val="26"/>
        </w:rPr>
        <w:t>the previous year</w:t>
      </w:r>
      <w:r w:rsidR="00C0797E" w:rsidRPr="00CF446A">
        <w:rPr>
          <w:rFonts w:eastAsia="標楷體" w:hint="eastAsia"/>
          <w:sz w:val="26"/>
        </w:rPr>
        <w:t xml:space="preserve">. </w:t>
      </w:r>
      <w:r w:rsidR="008A29E5" w:rsidRPr="00CF446A">
        <w:rPr>
          <w:rFonts w:eastAsia="標楷體"/>
          <w:sz w:val="26"/>
        </w:rPr>
        <w:t xml:space="preserve">Category 1 </w:t>
      </w:r>
      <w:r w:rsidR="00AB4400" w:rsidRPr="00CF446A">
        <w:rPr>
          <w:rFonts w:eastAsia="標楷體" w:hint="eastAsia"/>
          <w:sz w:val="26"/>
        </w:rPr>
        <w:t xml:space="preserve">accounted for </w:t>
      </w:r>
      <w:r w:rsidR="005C7C24" w:rsidRPr="00CF446A">
        <w:rPr>
          <w:rFonts w:eastAsia="標楷體" w:hint="eastAsia"/>
          <w:sz w:val="26"/>
        </w:rPr>
        <w:t>58.3</w:t>
      </w:r>
      <w:r w:rsidR="00AB4400" w:rsidRPr="00CF446A">
        <w:rPr>
          <w:rFonts w:eastAsia="標楷體" w:hint="eastAsia"/>
          <w:sz w:val="26"/>
        </w:rPr>
        <w:t>%,</w:t>
      </w:r>
      <w:r w:rsidR="008A29E5" w:rsidRPr="00CF446A">
        <w:rPr>
          <w:rFonts w:eastAsia="標楷體"/>
          <w:sz w:val="26"/>
        </w:rPr>
        <w:t xml:space="preserve"> Category 6 </w:t>
      </w:r>
      <w:r w:rsidR="00BB25A4" w:rsidRPr="00CF446A">
        <w:rPr>
          <w:rFonts w:eastAsia="標楷體" w:hint="eastAsia"/>
          <w:sz w:val="26"/>
        </w:rPr>
        <w:t>35.2</w:t>
      </w:r>
      <w:r w:rsidR="008A29E5" w:rsidRPr="00CF446A">
        <w:rPr>
          <w:rFonts w:eastAsia="標楷體"/>
          <w:sz w:val="26"/>
        </w:rPr>
        <w:t>%</w:t>
      </w:r>
      <w:r w:rsidR="00125FA7" w:rsidRPr="00CF446A">
        <w:rPr>
          <w:rFonts w:eastAsia="標楷體" w:hint="eastAsia"/>
          <w:sz w:val="26"/>
        </w:rPr>
        <w:t>,</w:t>
      </w:r>
      <w:r w:rsidR="00F53B41" w:rsidRPr="00CF446A">
        <w:rPr>
          <w:rFonts w:eastAsia="標楷體" w:hint="eastAsia"/>
          <w:sz w:val="26"/>
        </w:rPr>
        <w:t xml:space="preserve"> </w:t>
      </w:r>
      <w:r w:rsidR="00F50348" w:rsidRPr="00CF446A">
        <w:rPr>
          <w:rFonts w:eastAsia="標楷體" w:hint="eastAsia"/>
          <w:sz w:val="26"/>
        </w:rPr>
        <w:t xml:space="preserve">and </w:t>
      </w:r>
      <w:r w:rsidR="00AB4400" w:rsidRPr="00CF446A">
        <w:rPr>
          <w:rFonts w:eastAsia="標楷體" w:hint="eastAsia"/>
          <w:sz w:val="26"/>
        </w:rPr>
        <w:t>Categor</w:t>
      </w:r>
      <w:r w:rsidR="00F50348" w:rsidRPr="00CF446A">
        <w:rPr>
          <w:rFonts w:eastAsia="標楷體" w:hint="eastAsia"/>
          <w:sz w:val="26"/>
        </w:rPr>
        <w:t>ies</w:t>
      </w:r>
      <w:r w:rsidR="00AB4400" w:rsidRPr="00CF446A">
        <w:rPr>
          <w:rFonts w:eastAsia="標楷體" w:hint="eastAsia"/>
          <w:sz w:val="26"/>
        </w:rPr>
        <w:t xml:space="preserve"> 2 &amp; 3 </w:t>
      </w:r>
      <w:r w:rsidR="00D01B62" w:rsidRPr="00CF446A">
        <w:rPr>
          <w:rFonts w:eastAsia="標楷體" w:hint="eastAsia"/>
          <w:sz w:val="26"/>
        </w:rPr>
        <w:t xml:space="preserve">accounted for </w:t>
      </w:r>
      <w:r w:rsidR="00BB25A4" w:rsidRPr="00CF446A">
        <w:rPr>
          <w:rFonts w:eastAsia="標楷體" w:hint="eastAsia"/>
          <w:sz w:val="26"/>
        </w:rPr>
        <w:t>6.5</w:t>
      </w:r>
      <w:r w:rsidR="00AB4400" w:rsidRPr="00CF446A">
        <w:rPr>
          <w:rFonts w:eastAsia="標楷體" w:hint="eastAsia"/>
          <w:sz w:val="26"/>
        </w:rPr>
        <w:t>%</w:t>
      </w:r>
      <w:r w:rsidR="008A29E5" w:rsidRPr="00CF446A">
        <w:rPr>
          <w:rFonts w:eastAsia="標楷體"/>
          <w:sz w:val="26"/>
        </w:rPr>
        <w:t>.</w:t>
      </w:r>
      <w:r w:rsidR="00C0797E" w:rsidRPr="00CF446A">
        <w:rPr>
          <w:rFonts w:eastAsia="標楷體" w:hint="eastAsia"/>
          <w:sz w:val="26"/>
        </w:rPr>
        <w:t xml:space="preserve"> NT$</w:t>
      </w:r>
      <w:r w:rsidR="00BB25A4" w:rsidRPr="00CF446A">
        <w:rPr>
          <w:rFonts w:eastAsia="標楷體"/>
          <w:sz w:val="26"/>
        </w:rPr>
        <w:t>11</w:t>
      </w:r>
      <w:r w:rsidR="00BB25A4" w:rsidRPr="00CF446A">
        <w:rPr>
          <w:rFonts w:eastAsia="標楷體" w:hint="eastAsia"/>
          <w:sz w:val="26"/>
        </w:rPr>
        <w:t>0</w:t>
      </w:r>
      <w:r w:rsidR="00C0797E" w:rsidRPr="00CF446A">
        <w:rPr>
          <w:rFonts w:eastAsia="標楷體" w:hint="eastAsia"/>
          <w:sz w:val="26"/>
        </w:rPr>
        <w:t xml:space="preserve"> million w</w:t>
      </w:r>
      <w:r w:rsidR="00F50348" w:rsidRPr="00CF446A">
        <w:rPr>
          <w:rFonts w:eastAsia="標楷體" w:hint="eastAsia"/>
          <w:sz w:val="26"/>
        </w:rPr>
        <w:t>as</w:t>
      </w:r>
      <w:r w:rsidR="00C0797E" w:rsidRPr="00CF446A">
        <w:rPr>
          <w:rFonts w:eastAsia="標楷體" w:hint="eastAsia"/>
          <w:sz w:val="26"/>
        </w:rPr>
        <w:t xml:space="preserve"> collected, </w:t>
      </w:r>
      <w:r w:rsidR="00F50348" w:rsidRPr="00CF446A">
        <w:rPr>
          <w:rFonts w:eastAsia="標楷體" w:hint="eastAsia"/>
          <w:sz w:val="26"/>
        </w:rPr>
        <w:t xml:space="preserve">a </w:t>
      </w:r>
      <w:r w:rsidR="00C0797E" w:rsidRPr="00CF446A">
        <w:rPr>
          <w:rFonts w:eastAsia="標楷體" w:hint="eastAsia"/>
          <w:sz w:val="26"/>
        </w:rPr>
        <w:t xml:space="preserve">decrease </w:t>
      </w:r>
      <w:r w:rsidR="00F50348" w:rsidRPr="00CF446A">
        <w:rPr>
          <w:rFonts w:eastAsia="標楷體" w:hint="eastAsia"/>
          <w:sz w:val="26"/>
        </w:rPr>
        <w:t>of</w:t>
      </w:r>
      <w:r w:rsidR="00C0797E" w:rsidRPr="00CF446A">
        <w:rPr>
          <w:rFonts w:eastAsia="標楷體" w:hint="eastAsia"/>
          <w:sz w:val="26"/>
        </w:rPr>
        <w:t xml:space="preserve"> </w:t>
      </w:r>
      <w:r w:rsidR="00BB25A4" w:rsidRPr="00CF446A">
        <w:rPr>
          <w:rFonts w:eastAsia="標楷體" w:hint="eastAsia"/>
          <w:sz w:val="26"/>
        </w:rPr>
        <w:t>4.5</w:t>
      </w:r>
      <w:r w:rsidR="00C0797E" w:rsidRPr="00CF446A">
        <w:rPr>
          <w:rFonts w:eastAsia="標楷體" w:hint="eastAsia"/>
          <w:sz w:val="26"/>
        </w:rPr>
        <w:t>%</w:t>
      </w:r>
      <w:r w:rsidR="00EF54BD" w:rsidRPr="00CF446A">
        <w:rPr>
          <w:rFonts w:eastAsia="標楷體" w:hint="eastAsia"/>
          <w:sz w:val="26"/>
        </w:rPr>
        <w:t xml:space="preserve"> </w:t>
      </w:r>
      <w:r w:rsidR="00F50348" w:rsidRPr="00CF446A">
        <w:rPr>
          <w:rFonts w:eastAsia="標楷體" w:hint="eastAsia"/>
          <w:sz w:val="26"/>
        </w:rPr>
        <w:t>over</w:t>
      </w:r>
      <w:r w:rsidR="00EF54BD" w:rsidRPr="00CF446A">
        <w:rPr>
          <w:rFonts w:eastAsia="標楷體" w:hint="eastAsia"/>
          <w:sz w:val="26"/>
        </w:rPr>
        <w:t xml:space="preserve"> the previous year</w:t>
      </w:r>
      <w:r w:rsidR="008A29E5" w:rsidRPr="00CF446A">
        <w:rPr>
          <w:rFonts w:eastAsia="標楷體"/>
          <w:sz w:val="26"/>
        </w:rPr>
        <w:t>.</w:t>
      </w:r>
      <w:r w:rsidR="00AB4400" w:rsidRPr="00CF446A">
        <w:rPr>
          <w:rFonts w:eastAsia="標楷體" w:hint="eastAsia"/>
          <w:sz w:val="26"/>
        </w:rPr>
        <w:t xml:space="preserve"> </w:t>
      </w:r>
      <w:r w:rsidR="00F50348" w:rsidRPr="00CF446A">
        <w:rPr>
          <w:rFonts w:eastAsia="標楷體" w:hint="eastAsia"/>
          <w:sz w:val="26"/>
        </w:rPr>
        <w:t>The c</w:t>
      </w:r>
      <w:r w:rsidR="00AB4400" w:rsidRPr="00CF446A">
        <w:rPr>
          <w:rFonts w:eastAsia="標楷體" w:hint="eastAsia"/>
          <w:sz w:val="26"/>
        </w:rPr>
        <w:t>ollection rate was 6</w:t>
      </w:r>
      <w:r w:rsidR="00BB25A4" w:rsidRPr="00CF446A">
        <w:rPr>
          <w:rFonts w:eastAsia="標楷體" w:hint="eastAsia"/>
          <w:sz w:val="26"/>
        </w:rPr>
        <w:t>1.7</w:t>
      </w:r>
      <w:r w:rsidR="00AB4400" w:rsidRPr="00CF446A">
        <w:rPr>
          <w:rFonts w:eastAsia="標楷體" w:hint="eastAsia"/>
          <w:sz w:val="26"/>
        </w:rPr>
        <w:t xml:space="preserve">%, </w:t>
      </w:r>
      <w:r w:rsidR="00F50348" w:rsidRPr="00CF446A">
        <w:rPr>
          <w:rFonts w:eastAsia="標楷體" w:hint="eastAsia"/>
          <w:sz w:val="26"/>
        </w:rPr>
        <w:t xml:space="preserve">thereby </w:t>
      </w:r>
      <w:r w:rsidR="00AB4400" w:rsidRPr="00CF446A">
        <w:rPr>
          <w:rFonts w:eastAsia="標楷體" w:hint="eastAsia"/>
          <w:sz w:val="26"/>
        </w:rPr>
        <w:t>show</w:t>
      </w:r>
      <w:r w:rsidR="00EF54BD" w:rsidRPr="00CF446A">
        <w:rPr>
          <w:rFonts w:eastAsia="標楷體" w:hint="eastAsia"/>
          <w:sz w:val="26"/>
        </w:rPr>
        <w:t>ing</w:t>
      </w:r>
      <w:r w:rsidR="00AB4400" w:rsidRPr="00CF446A">
        <w:rPr>
          <w:rFonts w:eastAsia="標楷體" w:hint="eastAsia"/>
          <w:sz w:val="26"/>
        </w:rPr>
        <w:t xml:space="preserve"> no </w:t>
      </w:r>
      <w:r w:rsidR="00AB4400" w:rsidRPr="00CF446A">
        <w:rPr>
          <w:rFonts w:eastAsia="標楷體"/>
          <w:sz w:val="26"/>
        </w:rPr>
        <w:t>significant</w:t>
      </w:r>
      <w:r w:rsidR="00AB4400" w:rsidRPr="00CF446A">
        <w:rPr>
          <w:rFonts w:eastAsia="標楷體" w:hint="eastAsia"/>
          <w:sz w:val="26"/>
        </w:rPr>
        <w:t xml:space="preserve"> </w:t>
      </w:r>
      <w:r w:rsidR="00125FA7" w:rsidRPr="00CF446A">
        <w:rPr>
          <w:rFonts w:eastAsia="標楷體" w:hint="eastAsia"/>
          <w:sz w:val="26"/>
        </w:rPr>
        <w:t xml:space="preserve">difference </w:t>
      </w:r>
      <w:r w:rsidR="00AB4400" w:rsidRPr="00CF446A">
        <w:rPr>
          <w:rFonts w:eastAsia="標楷體" w:hint="eastAsia"/>
          <w:sz w:val="26"/>
        </w:rPr>
        <w:t>compared to 20</w:t>
      </w:r>
      <w:r w:rsidR="00BB25A4" w:rsidRPr="00CF446A">
        <w:rPr>
          <w:rFonts w:eastAsia="標楷體" w:hint="eastAsia"/>
          <w:sz w:val="26"/>
        </w:rPr>
        <w:t>10</w:t>
      </w:r>
      <w:r w:rsidR="00AB4400" w:rsidRPr="00CF446A">
        <w:rPr>
          <w:rFonts w:eastAsia="標楷體" w:hint="eastAsia"/>
          <w:sz w:val="26"/>
        </w:rPr>
        <w:t>.</w:t>
      </w:r>
    </w:p>
    <w:p w:rsidR="008A29E5" w:rsidRPr="00675374" w:rsidRDefault="00FD4BDA" w:rsidP="00450AF1">
      <w:pPr>
        <w:spacing w:before="200" w:line="240" w:lineRule="auto"/>
        <w:jc w:val="center"/>
        <w:rPr>
          <w:rFonts w:eastAsia="標楷體"/>
          <w:b/>
          <w:sz w:val="28"/>
          <w:szCs w:val="28"/>
        </w:rPr>
      </w:pPr>
      <w:r w:rsidRPr="00FD4BDA">
        <w:rPr>
          <w:rFonts w:eastAsia="標楷體"/>
          <w:b/>
          <w:noProof/>
          <w:sz w:val="28"/>
          <w:szCs w:val="28"/>
        </w:rPr>
        <w:drawing>
          <wp:inline distT="0" distB="0" distL="0" distR="0">
            <wp:extent cx="4402068" cy="2468071"/>
            <wp:effectExtent l="19050" t="0" r="0" b="0"/>
            <wp:docPr id="4"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42035" w:rsidRDefault="00461A51" w:rsidP="00AE32BD">
      <w:pPr>
        <w:spacing w:before="200" w:line="360" w:lineRule="exact"/>
        <w:jc w:val="both"/>
        <w:rPr>
          <w:rFonts w:eastAsia="標楷體"/>
          <w:b/>
          <w:sz w:val="26"/>
          <w:szCs w:val="26"/>
        </w:rPr>
      </w:pPr>
      <w:r>
        <w:rPr>
          <w:rFonts w:eastAsia="標楷體" w:hint="eastAsia"/>
          <w:b/>
          <w:sz w:val="26"/>
          <w:szCs w:val="26"/>
        </w:rPr>
        <w:t>（</w:t>
      </w:r>
      <w:r>
        <w:rPr>
          <w:rFonts w:eastAsia="標楷體" w:hint="eastAsia"/>
          <w:b/>
          <w:sz w:val="26"/>
          <w:szCs w:val="26"/>
        </w:rPr>
        <w:t>2</w:t>
      </w:r>
      <w:r>
        <w:rPr>
          <w:rFonts w:eastAsia="標楷體" w:hint="eastAsia"/>
          <w:b/>
          <w:sz w:val="26"/>
          <w:szCs w:val="26"/>
        </w:rPr>
        <w:t>）</w:t>
      </w:r>
      <w:r w:rsidR="00C42035" w:rsidRPr="00532A6E">
        <w:rPr>
          <w:rFonts w:eastAsia="標楷體"/>
          <w:b/>
          <w:sz w:val="26"/>
          <w:szCs w:val="26"/>
        </w:rPr>
        <w:t>Financial Revenues and Expenditures</w:t>
      </w:r>
    </w:p>
    <w:p w:rsidR="00C42035" w:rsidRPr="00CF446A" w:rsidRDefault="00D565E6" w:rsidP="00CE1EED">
      <w:pPr>
        <w:spacing w:beforeLines="50" w:afterLines="50" w:line="340" w:lineRule="exact"/>
        <w:ind w:left="284" w:firstLineChars="218" w:firstLine="567"/>
        <w:jc w:val="both"/>
        <w:rPr>
          <w:rFonts w:eastAsia="標楷體"/>
          <w:color w:val="FF0000"/>
          <w:sz w:val="26"/>
        </w:rPr>
      </w:pPr>
      <w:r w:rsidRPr="00CF446A">
        <w:rPr>
          <w:rFonts w:eastAsia="標楷體"/>
          <w:sz w:val="26"/>
        </w:rPr>
        <w:t xml:space="preserve">In recent years, </w:t>
      </w:r>
      <w:r w:rsidR="00055D79" w:rsidRPr="00CF446A">
        <w:rPr>
          <w:rFonts w:eastAsia="標楷體" w:hint="eastAsia"/>
          <w:sz w:val="26"/>
        </w:rPr>
        <w:t>NHI-related expenses have grown significantly</w:t>
      </w:r>
      <w:r w:rsidR="000B02C2" w:rsidRPr="00CF446A">
        <w:rPr>
          <w:rFonts w:eastAsia="標楷體" w:hint="eastAsia"/>
          <w:sz w:val="26"/>
        </w:rPr>
        <w:t>.</w:t>
      </w:r>
      <w:r w:rsidR="00055D79" w:rsidRPr="00CF446A">
        <w:rPr>
          <w:rFonts w:eastAsia="標楷體" w:hint="eastAsia"/>
          <w:sz w:val="26"/>
        </w:rPr>
        <w:t xml:space="preserve"> </w:t>
      </w:r>
      <w:r w:rsidR="000B02C2" w:rsidRPr="00CF446A">
        <w:rPr>
          <w:rFonts w:eastAsia="標楷體" w:hint="eastAsia"/>
          <w:sz w:val="26"/>
        </w:rPr>
        <w:t xml:space="preserve">This is </w:t>
      </w:r>
      <w:r w:rsidR="00055D79" w:rsidRPr="00CF446A">
        <w:rPr>
          <w:rFonts w:eastAsia="標楷體" w:hint="eastAsia"/>
          <w:sz w:val="26"/>
        </w:rPr>
        <w:t xml:space="preserve">mainly </w:t>
      </w:r>
      <w:r w:rsidR="000B02C2" w:rsidRPr="00CF446A">
        <w:rPr>
          <w:rFonts w:eastAsia="標楷體" w:hint="eastAsia"/>
          <w:sz w:val="26"/>
        </w:rPr>
        <w:t>due to</w:t>
      </w:r>
      <w:r w:rsidR="00055D79" w:rsidRPr="00CF446A">
        <w:rPr>
          <w:rFonts w:eastAsia="標楷體" w:hint="eastAsia"/>
          <w:sz w:val="26"/>
        </w:rPr>
        <w:t xml:space="preserve"> </w:t>
      </w:r>
      <w:r w:rsidR="000B02C2" w:rsidRPr="00CF446A">
        <w:rPr>
          <w:rFonts w:eastAsia="標楷體" w:hint="eastAsia"/>
          <w:sz w:val="26"/>
        </w:rPr>
        <w:t xml:space="preserve">an </w:t>
      </w:r>
      <w:r w:rsidRPr="00CF446A">
        <w:rPr>
          <w:rFonts w:eastAsia="標楷體"/>
          <w:sz w:val="26"/>
        </w:rPr>
        <w:t xml:space="preserve">aging population, </w:t>
      </w:r>
      <w:r w:rsidR="00055D79" w:rsidRPr="00CF446A">
        <w:rPr>
          <w:rFonts w:eastAsia="標楷體" w:hint="eastAsia"/>
          <w:sz w:val="26"/>
        </w:rPr>
        <w:t xml:space="preserve">the introduction </w:t>
      </w:r>
      <w:r w:rsidRPr="00CF446A">
        <w:rPr>
          <w:rFonts w:eastAsia="標楷體"/>
          <w:sz w:val="26"/>
        </w:rPr>
        <w:t xml:space="preserve">of new medical technologies and </w:t>
      </w:r>
      <w:r w:rsidR="00055D79" w:rsidRPr="00CF446A">
        <w:rPr>
          <w:rFonts w:eastAsia="標楷體" w:hint="eastAsia"/>
          <w:sz w:val="26"/>
        </w:rPr>
        <w:t>additional medical</w:t>
      </w:r>
      <w:r w:rsidRPr="00CF446A">
        <w:rPr>
          <w:rFonts w:eastAsia="標楷體"/>
          <w:sz w:val="26"/>
        </w:rPr>
        <w:t xml:space="preserve"> care </w:t>
      </w:r>
      <w:r w:rsidR="00055D79" w:rsidRPr="00CF446A">
        <w:rPr>
          <w:rFonts w:eastAsia="標楷體" w:hint="eastAsia"/>
          <w:sz w:val="26"/>
        </w:rPr>
        <w:t xml:space="preserve">offered to </w:t>
      </w:r>
      <w:r w:rsidR="00055D79" w:rsidRPr="00CF446A">
        <w:rPr>
          <w:rFonts w:eastAsia="標楷體"/>
          <w:sz w:val="26"/>
        </w:rPr>
        <w:t xml:space="preserve">patients </w:t>
      </w:r>
      <w:r w:rsidR="00055D79" w:rsidRPr="00CF446A">
        <w:rPr>
          <w:rFonts w:eastAsia="標楷體" w:hint="eastAsia"/>
          <w:sz w:val="26"/>
        </w:rPr>
        <w:t xml:space="preserve">with </w:t>
      </w:r>
      <w:r w:rsidRPr="00CF446A">
        <w:rPr>
          <w:rFonts w:eastAsia="標楷體"/>
          <w:sz w:val="26"/>
        </w:rPr>
        <w:t>major disease</w:t>
      </w:r>
      <w:r w:rsidR="000B02C2" w:rsidRPr="00CF446A">
        <w:rPr>
          <w:rFonts w:eastAsia="標楷體" w:hint="eastAsia"/>
          <w:sz w:val="26"/>
        </w:rPr>
        <w:t>s</w:t>
      </w:r>
      <w:r w:rsidR="00055D79" w:rsidRPr="00CF446A">
        <w:rPr>
          <w:rFonts w:eastAsia="標楷體" w:hint="eastAsia"/>
          <w:sz w:val="26"/>
        </w:rPr>
        <w:t>.</w:t>
      </w:r>
      <w:r w:rsidRPr="00CF446A">
        <w:rPr>
          <w:rFonts w:eastAsia="標楷體"/>
          <w:sz w:val="26"/>
        </w:rPr>
        <w:t xml:space="preserve"> </w:t>
      </w:r>
      <w:r w:rsidRPr="00CF446A">
        <w:rPr>
          <w:rFonts w:eastAsia="標楷體" w:hint="eastAsia"/>
          <w:sz w:val="26"/>
        </w:rPr>
        <w:t xml:space="preserve">On the other hand, </w:t>
      </w:r>
      <w:r w:rsidRPr="00CF446A">
        <w:rPr>
          <w:rFonts w:eastAsia="標楷體"/>
          <w:sz w:val="26"/>
        </w:rPr>
        <w:t xml:space="preserve">the </w:t>
      </w:r>
      <w:r w:rsidRPr="00CF446A">
        <w:rPr>
          <w:rFonts w:eastAsia="標楷體" w:hint="eastAsia"/>
          <w:sz w:val="26"/>
        </w:rPr>
        <w:t xml:space="preserve">premium </w:t>
      </w:r>
      <w:r w:rsidRPr="00CF446A">
        <w:rPr>
          <w:rFonts w:eastAsia="標楷體"/>
          <w:sz w:val="26"/>
        </w:rPr>
        <w:t>rate</w:t>
      </w:r>
      <w:r w:rsidR="003D2145" w:rsidRPr="00CF446A">
        <w:rPr>
          <w:rFonts w:eastAsia="標楷體" w:hint="eastAsia"/>
          <w:sz w:val="26"/>
        </w:rPr>
        <w:t xml:space="preserve"> </w:t>
      </w:r>
      <w:r w:rsidRPr="00CF446A">
        <w:rPr>
          <w:rFonts w:eastAsia="標楷體"/>
          <w:sz w:val="26"/>
        </w:rPr>
        <w:t>ha</w:t>
      </w:r>
      <w:r w:rsidR="000B02C2" w:rsidRPr="00CF446A">
        <w:rPr>
          <w:rFonts w:eastAsia="標楷體" w:hint="eastAsia"/>
          <w:sz w:val="26"/>
        </w:rPr>
        <w:t>s</w:t>
      </w:r>
      <w:r w:rsidRPr="00CF446A">
        <w:rPr>
          <w:rFonts w:eastAsia="標楷體"/>
          <w:sz w:val="26"/>
        </w:rPr>
        <w:t xml:space="preserve"> </w:t>
      </w:r>
      <w:r w:rsidR="00055D79" w:rsidRPr="00CF446A">
        <w:rPr>
          <w:rFonts w:eastAsia="標楷體" w:hint="eastAsia"/>
          <w:sz w:val="26"/>
        </w:rPr>
        <w:t xml:space="preserve">remained unchanged </w:t>
      </w:r>
      <w:r w:rsidR="00F422CC" w:rsidRPr="00CF446A">
        <w:rPr>
          <w:rFonts w:eastAsia="標楷體" w:hint="eastAsia"/>
          <w:sz w:val="26"/>
        </w:rPr>
        <w:t xml:space="preserve">for seven </w:t>
      </w:r>
      <w:r w:rsidR="00055D79" w:rsidRPr="00CF446A">
        <w:rPr>
          <w:rFonts w:eastAsia="標楷體" w:hint="eastAsia"/>
          <w:sz w:val="26"/>
        </w:rPr>
        <w:t xml:space="preserve">consecutive </w:t>
      </w:r>
      <w:r w:rsidR="00F422CC" w:rsidRPr="00CF446A">
        <w:rPr>
          <w:rFonts w:eastAsia="標楷體" w:hint="eastAsia"/>
          <w:sz w:val="26"/>
        </w:rPr>
        <w:t>years</w:t>
      </w:r>
      <w:r w:rsidR="00055D79" w:rsidRPr="00CF446A">
        <w:rPr>
          <w:rFonts w:eastAsia="標楷體" w:hint="eastAsia"/>
          <w:sz w:val="26"/>
        </w:rPr>
        <w:t xml:space="preserve"> since its last adjustment</w:t>
      </w:r>
      <w:r w:rsidR="000B02C2" w:rsidRPr="00CF446A">
        <w:rPr>
          <w:rFonts w:eastAsia="標楷體" w:hint="eastAsia"/>
          <w:sz w:val="26"/>
        </w:rPr>
        <w:t>,</w:t>
      </w:r>
      <w:r w:rsidR="00055D79" w:rsidRPr="00CF446A">
        <w:rPr>
          <w:rFonts w:eastAsia="標楷體" w:hint="eastAsia"/>
          <w:sz w:val="26"/>
        </w:rPr>
        <w:t xml:space="preserve"> to 4.55%</w:t>
      </w:r>
      <w:r w:rsidR="000B02C2" w:rsidRPr="00CF446A">
        <w:rPr>
          <w:rFonts w:eastAsia="標楷體" w:hint="eastAsia"/>
          <w:sz w:val="26"/>
        </w:rPr>
        <w:t>,</w:t>
      </w:r>
      <w:r w:rsidR="00055D79" w:rsidRPr="00CF446A">
        <w:rPr>
          <w:rFonts w:eastAsia="標楷體" w:hint="eastAsia"/>
          <w:sz w:val="26"/>
        </w:rPr>
        <w:t xml:space="preserve"> in 2002</w:t>
      </w:r>
      <w:r w:rsidR="00C42035" w:rsidRPr="00CF446A">
        <w:rPr>
          <w:rFonts w:eastAsia="標楷體"/>
          <w:sz w:val="26"/>
        </w:rPr>
        <w:t xml:space="preserve">. </w:t>
      </w:r>
      <w:r w:rsidR="000B02C2" w:rsidRPr="00CF446A">
        <w:rPr>
          <w:rFonts w:eastAsia="標楷體" w:hint="eastAsia"/>
          <w:sz w:val="26"/>
        </w:rPr>
        <w:t>P</w:t>
      </w:r>
      <w:r w:rsidR="00432BBD" w:rsidRPr="00CF446A">
        <w:rPr>
          <w:rFonts w:eastAsia="標楷體" w:hint="eastAsia"/>
          <w:sz w:val="26"/>
        </w:rPr>
        <w:t>remium revenues</w:t>
      </w:r>
      <w:r w:rsidR="00454170" w:rsidRPr="00CF446A">
        <w:rPr>
          <w:rFonts w:eastAsia="標楷體" w:hint="eastAsia"/>
          <w:sz w:val="26"/>
        </w:rPr>
        <w:t>, therefore,</w:t>
      </w:r>
      <w:r w:rsidR="00432BBD" w:rsidRPr="00CF446A">
        <w:rPr>
          <w:rFonts w:eastAsia="標楷體" w:hint="eastAsia"/>
          <w:sz w:val="26"/>
        </w:rPr>
        <w:t xml:space="preserve"> w</w:t>
      </w:r>
      <w:r w:rsidR="00051205" w:rsidRPr="00CF446A">
        <w:rPr>
          <w:rFonts w:eastAsia="標楷體" w:hint="eastAsia"/>
          <w:sz w:val="26"/>
        </w:rPr>
        <w:t>ere</w:t>
      </w:r>
      <w:r w:rsidR="00432BBD" w:rsidRPr="00CF446A">
        <w:rPr>
          <w:rFonts w:eastAsia="標楷體" w:hint="eastAsia"/>
          <w:sz w:val="26"/>
        </w:rPr>
        <w:t xml:space="preserve"> </w:t>
      </w:r>
      <w:r w:rsidR="00454170" w:rsidRPr="00CF446A">
        <w:rPr>
          <w:rFonts w:eastAsia="標楷體" w:hint="eastAsia"/>
          <w:sz w:val="26"/>
        </w:rPr>
        <w:t>insufficient</w:t>
      </w:r>
      <w:r w:rsidR="00051205" w:rsidRPr="00CF446A">
        <w:rPr>
          <w:rFonts w:eastAsia="標楷體" w:hint="eastAsia"/>
          <w:sz w:val="26"/>
        </w:rPr>
        <w:t xml:space="preserve"> to cover </w:t>
      </w:r>
      <w:r w:rsidR="00C42035" w:rsidRPr="00CF446A">
        <w:rPr>
          <w:rFonts w:eastAsia="標楷體"/>
          <w:sz w:val="26"/>
        </w:rPr>
        <w:t xml:space="preserve">medical expenses. </w:t>
      </w:r>
      <w:r w:rsidR="00454170" w:rsidRPr="00CF446A">
        <w:rPr>
          <w:rFonts w:eastAsia="標楷體" w:hint="eastAsia"/>
          <w:sz w:val="26"/>
        </w:rPr>
        <w:t>I</w:t>
      </w:r>
      <w:r w:rsidR="008F5CD5" w:rsidRPr="00CF446A">
        <w:rPr>
          <w:rFonts w:eastAsia="標楷體" w:hint="eastAsia"/>
          <w:sz w:val="26"/>
        </w:rPr>
        <w:t xml:space="preserve">n order to prevent the deficits gap </w:t>
      </w:r>
      <w:r w:rsidR="000B02C2" w:rsidRPr="00CF446A">
        <w:rPr>
          <w:rFonts w:eastAsia="標楷體" w:hint="eastAsia"/>
          <w:sz w:val="26"/>
        </w:rPr>
        <w:t xml:space="preserve">from </w:t>
      </w:r>
      <w:r w:rsidR="008F5CD5" w:rsidRPr="00CF446A">
        <w:rPr>
          <w:rFonts w:eastAsia="標楷體" w:hint="eastAsia"/>
          <w:sz w:val="26"/>
        </w:rPr>
        <w:t xml:space="preserve">widening, </w:t>
      </w:r>
      <w:r w:rsidR="00051205" w:rsidRPr="00CF446A">
        <w:rPr>
          <w:rFonts w:eastAsia="標楷體" w:hint="eastAsia"/>
          <w:sz w:val="26"/>
        </w:rPr>
        <w:t xml:space="preserve">the </w:t>
      </w:r>
      <w:r w:rsidR="00051205" w:rsidRPr="00CF446A">
        <w:rPr>
          <w:rFonts w:eastAsia="標楷體"/>
          <w:sz w:val="26"/>
        </w:rPr>
        <w:t xml:space="preserve">premium rate was adjusted </w:t>
      </w:r>
      <w:r w:rsidR="00454170" w:rsidRPr="00CF446A">
        <w:rPr>
          <w:rFonts w:eastAsia="標楷體" w:hint="eastAsia"/>
          <w:sz w:val="26"/>
        </w:rPr>
        <w:t>to 5.17% i</w:t>
      </w:r>
      <w:r w:rsidR="00051205" w:rsidRPr="00CF446A">
        <w:rPr>
          <w:rFonts w:eastAsia="標楷體"/>
          <w:sz w:val="26"/>
        </w:rPr>
        <w:t>n April, 2010</w:t>
      </w:r>
      <w:r w:rsidR="00C42035" w:rsidRPr="00CF446A">
        <w:rPr>
          <w:rFonts w:eastAsia="標楷體"/>
          <w:sz w:val="26"/>
        </w:rPr>
        <w:t>.</w:t>
      </w:r>
    </w:p>
    <w:p w:rsidR="002D6679" w:rsidRPr="00CF446A" w:rsidRDefault="00461A51" w:rsidP="0037085A">
      <w:pPr>
        <w:spacing w:before="200" w:line="360" w:lineRule="exact"/>
        <w:ind w:leftChars="118" w:left="283"/>
        <w:jc w:val="both"/>
        <w:rPr>
          <w:rFonts w:eastAsia="標楷體"/>
          <w:b/>
          <w:sz w:val="26"/>
          <w:szCs w:val="26"/>
        </w:rPr>
      </w:pPr>
      <w:proofErr w:type="spellStart"/>
      <w:r w:rsidRPr="00CF446A">
        <w:rPr>
          <w:rFonts w:eastAsia="標楷體" w:hint="eastAsia"/>
          <w:b/>
          <w:sz w:val="26"/>
          <w:szCs w:val="26"/>
        </w:rPr>
        <w:t>i</w:t>
      </w:r>
      <w:proofErr w:type="spellEnd"/>
      <w:r w:rsidR="002D6679" w:rsidRPr="00CF446A">
        <w:rPr>
          <w:rFonts w:eastAsia="標楷體" w:hint="eastAsia"/>
          <w:b/>
          <w:sz w:val="26"/>
          <w:szCs w:val="26"/>
        </w:rPr>
        <w:t>. Accrual Basis</w:t>
      </w:r>
    </w:p>
    <w:p w:rsidR="00ED2948" w:rsidRPr="00CF446A" w:rsidRDefault="00B96081" w:rsidP="00CE1EED">
      <w:pPr>
        <w:spacing w:beforeLines="50" w:afterLines="100" w:line="340" w:lineRule="exact"/>
        <w:ind w:left="510" w:firstLineChars="235" w:firstLine="611"/>
        <w:jc w:val="both"/>
        <w:rPr>
          <w:rFonts w:eastAsia="標楷體"/>
          <w:sz w:val="26"/>
        </w:rPr>
      </w:pPr>
      <w:r w:rsidRPr="00CF446A">
        <w:rPr>
          <w:rFonts w:eastAsia="標楷體" w:hint="eastAsia"/>
          <w:sz w:val="26"/>
        </w:rPr>
        <w:t xml:space="preserve">In terms of </w:t>
      </w:r>
      <w:r w:rsidR="00C42035" w:rsidRPr="00CF446A">
        <w:rPr>
          <w:rFonts w:eastAsia="標楷體"/>
          <w:sz w:val="26"/>
        </w:rPr>
        <w:t xml:space="preserve">accrual basis, the insurance revenues </w:t>
      </w:r>
      <w:r w:rsidR="00ED2948" w:rsidRPr="00CF446A">
        <w:rPr>
          <w:rFonts w:eastAsia="標楷體" w:hint="eastAsia"/>
          <w:sz w:val="26"/>
        </w:rPr>
        <w:t>were NT$4</w:t>
      </w:r>
      <w:r w:rsidR="00715890" w:rsidRPr="00CF446A">
        <w:rPr>
          <w:rFonts w:eastAsia="標楷體" w:hint="eastAsia"/>
          <w:sz w:val="26"/>
        </w:rPr>
        <w:t>97</w:t>
      </w:r>
      <w:r w:rsidR="00ED2948" w:rsidRPr="00CF446A">
        <w:rPr>
          <w:rFonts w:eastAsia="標楷體" w:hint="eastAsia"/>
          <w:sz w:val="26"/>
        </w:rPr>
        <w:t xml:space="preserve"> billion </w:t>
      </w:r>
      <w:r w:rsidR="00C42035" w:rsidRPr="00CF446A">
        <w:rPr>
          <w:rFonts w:eastAsia="標楷體"/>
          <w:sz w:val="26"/>
        </w:rPr>
        <w:t>in 20</w:t>
      </w:r>
      <w:r w:rsidR="00E661EF" w:rsidRPr="00CF446A">
        <w:rPr>
          <w:rFonts w:eastAsia="標楷體" w:hint="eastAsia"/>
          <w:sz w:val="26"/>
        </w:rPr>
        <w:t>1</w:t>
      </w:r>
      <w:r w:rsidR="00715890" w:rsidRPr="00CF446A">
        <w:rPr>
          <w:rFonts w:eastAsia="標楷體" w:hint="eastAsia"/>
          <w:sz w:val="26"/>
        </w:rPr>
        <w:t>1</w:t>
      </w:r>
      <w:r w:rsidR="00ED2948" w:rsidRPr="00CF446A">
        <w:rPr>
          <w:rFonts w:eastAsia="標楷體" w:hint="eastAsia"/>
          <w:sz w:val="26"/>
        </w:rPr>
        <w:t xml:space="preserve">, an </w:t>
      </w:r>
      <w:r w:rsidR="00C42035" w:rsidRPr="00CF446A">
        <w:rPr>
          <w:rFonts w:eastAsia="標楷體"/>
          <w:sz w:val="26"/>
        </w:rPr>
        <w:t xml:space="preserve">increase </w:t>
      </w:r>
      <w:r w:rsidR="00ED2948" w:rsidRPr="00CF446A">
        <w:rPr>
          <w:rFonts w:eastAsia="標楷體" w:hint="eastAsia"/>
          <w:sz w:val="26"/>
        </w:rPr>
        <w:t xml:space="preserve">of </w:t>
      </w:r>
      <w:r w:rsidR="00715890" w:rsidRPr="00CF446A">
        <w:rPr>
          <w:rFonts w:eastAsia="標楷體" w:hint="eastAsia"/>
          <w:sz w:val="26"/>
        </w:rPr>
        <w:t>6.8</w:t>
      </w:r>
      <w:r w:rsidR="00ED2948" w:rsidRPr="00CF446A">
        <w:rPr>
          <w:rFonts w:eastAsia="標楷體" w:hint="eastAsia"/>
          <w:sz w:val="26"/>
        </w:rPr>
        <w:t>%</w:t>
      </w:r>
      <w:r w:rsidR="00C42035" w:rsidRPr="00CF446A">
        <w:rPr>
          <w:rFonts w:eastAsia="標楷體"/>
          <w:sz w:val="26"/>
        </w:rPr>
        <w:t xml:space="preserve"> from the previous year</w:t>
      </w:r>
      <w:r w:rsidR="00ED2948" w:rsidRPr="00CF446A">
        <w:rPr>
          <w:rFonts w:eastAsia="標楷體" w:hint="eastAsia"/>
          <w:sz w:val="26"/>
        </w:rPr>
        <w:t xml:space="preserve">. </w:t>
      </w:r>
      <w:r w:rsidRPr="00CF446A">
        <w:rPr>
          <w:rFonts w:eastAsia="標楷體" w:hint="eastAsia"/>
          <w:sz w:val="26"/>
        </w:rPr>
        <w:t>I</w:t>
      </w:r>
      <w:r w:rsidR="00ED2948" w:rsidRPr="00CF446A">
        <w:rPr>
          <w:rFonts w:eastAsia="標楷體"/>
          <w:sz w:val="26"/>
        </w:rPr>
        <w:t>nsurance cost</w:t>
      </w:r>
      <w:r w:rsidRPr="00CF446A">
        <w:rPr>
          <w:rFonts w:eastAsia="標楷體" w:hint="eastAsia"/>
          <w:sz w:val="26"/>
        </w:rPr>
        <w:t>s</w:t>
      </w:r>
      <w:r w:rsidR="00ED2948" w:rsidRPr="00CF446A">
        <w:rPr>
          <w:rFonts w:eastAsia="標楷體"/>
          <w:sz w:val="26"/>
        </w:rPr>
        <w:t xml:space="preserve"> </w:t>
      </w:r>
      <w:r w:rsidR="00ED2948" w:rsidRPr="00CF446A">
        <w:rPr>
          <w:rFonts w:eastAsia="標楷體" w:hint="eastAsia"/>
          <w:sz w:val="26"/>
        </w:rPr>
        <w:t>were NT$4</w:t>
      </w:r>
      <w:r w:rsidR="00150463" w:rsidRPr="00CF446A">
        <w:rPr>
          <w:rFonts w:eastAsia="標楷體" w:hint="eastAsia"/>
          <w:sz w:val="26"/>
        </w:rPr>
        <w:t>63</w:t>
      </w:r>
      <w:r w:rsidR="00ED2948" w:rsidRPr="00CF446A">
        <w:rPr>
          <w:rFonts w:eastAsia="標楷體" w:hint="eastAsia"/>
          <w:sz w:val="26"/>
        </w:rPr>
        <w:t xml:space="preserve"> billion, an </w:t>
      </w:r>
      <w:r w:rsidR="00ED2948" w:rsidRPr="00CF446A">
        <w:rPr>
          <w:rFonts w:eastAsia="標楷體"/>
          <w:sz w:val="26"/>
        </w:rPr>
        <w:t xml:space="preserve">increase </w:t>
      </w:r>
      <w:r w:rsidR="00ED2948" w:rsidRPr="00CF446A">
        <w:rPr>
          <w:rFonts w:eastAsia="標楷體" w:hint="eastAsia"/>
          <w:sz w:val="26"/>
        </w:rPr>
        <w:t>of</w:t>
      </w:r>
      <w:r w:rsidR="00ED2948" w:rsidRPr="00CF446A">
        <w:rPr>
          <w:rFonts w:eastAsia="標楷體"/>
          <w:sz w:val="26"/>
        </w:rPr>
        <w:t xml:space="preserve"> </w:t>
      </w:r>
      <w:r w:rsidR="00150463" w:rsidRPr="00CF446A">
        <w:rPr>
          <w:rFonts w:eastAsia="標楷體" w:hint="eastAsia"/>
          <w:sz w:val="26"/>
        </w:rPr>
        <w:t>3.6</w:t>
      </w:r>
      <w:r w:rsidR="00ED2948" w:rsidRPr="00CF446A">
        <w:rPr>
          <w:rFonts w:eastAsia="標楷體" w:hint="eastAsia"/>
          <w:sz w:val="26"/>
        </w:rPr>
        <w:t>%</w:t>
      </w:r>
      <w:r w:rsidR="00ED2948" w:rsidRPr="00CF446A">
        <w:rPr>
          <w:rFonts w:eastAsia="標楷體"/>
          <w:sz w:val="26"/>
        </w:rPr>
        <w:t xml:space="preserve"> from the previous year</w:t>
      </w:r>
      <w:r w:rsidR="00ED2948" w:rsidRPr="00CF446A">
        <w:rPr>
          <w:rFonts w:eastAsia="標楷體" w:hint="eastAsia"/>
          <w:sz w:val="26"/>
        </w:rPr>
        <w:t xml:space="preserve">. </w:t>
      </w:r>
      <w:r w:rsidR="00ED2948" w:rsidRPr="00CF446A">
        <w:rPr>
          <w:rFonts w:eastAsia="標楷體"/>
          <w:sz w:val="26"/>
        </w:rPr>
        <w:t xml:space="preserve">The </w:t>
      </w:r>
      <w:r w:rsidR="005C126A" w:rsidRPr="00CF446A">
        <w:rPr>
          <w:rFonts w:eastAsia="標楷體" w:hint="eastAsia"/>
          <w:sz w:val="26"/>
        </w:rPr>
        <w:t>surplus</w:t>
      </w:r>
      <w:r w:rsidR="00ED2948" w:rsidRPr="00CF446A">
        <w:rPr>
          <w:rFonts w:eastAsia="標楷體"/>
          <w:sz w:val="26"/>
        </w:rPr>
        <w:t xml:space="preserve"> </w:t>
      </w:r>
      <w:r w:rsidR="00ED2948" w:rsidRPr="00CF446A">
        <w:rPr>
          <w:rFonts w:eastAsia="標楷體" w:hint="eastAsia"/>
          <w:sz w:val="26"/>
        </w:rPr>
        <w:t>wa</w:t>
      </w:r>
      <w:r w:rsidR="00ED2948" w:rsidRPr="00CF446A">
        <w:rPr>
          <w:rFonts w:eastAsia="標楷體"/>
          <w:sz w:val="26"/>
        </w:rPr>
        <w:t>s NT$</w:t>
      </w:r>
      <w:r w:rsidR="00150463" w:rsidRPr="00CF446A">
        <w:rPr>
          <w:rFonts w:eastAsia="標楷體" w:hint="eastAsia"/>
          <w:sz w:val="26"/>
        </w:rPr>
        <w:t>34</w:t>
      </w:r>
      <w:r w:rsidR="00ED2948" w:rsidRPr="00CF446A">
        <w:rPr>
          <w:rFonts w:eastAsia="標楷體"/>
          <w:sz w:val="26"/>
        </w:rPr>
        <w:t xml:space="preserve"> billion</w:t>
      </w:r>
      <w:r w:rsidR="00ED2948" w:rsidRPr="00CF446A">
        <w:rPr>
          <w:rFonts w:eastAsia="標楷體" w:hint="eastAsia"/>
          <w:sz w:val="26"/>
        </w:rPr>
        <w:t xml:space="preserve">. </w:t>
      </w:r>
      <w:r w:rsidR="004069CF" w:rsidRPr="00CF446A">
        <w:rPr>
          <w:rFonts w:eastAsia="標楷體" w:hint="eastAsia"/>
          <w:sz w:val="26"/>
        </w:rPr>
        <w:t>As of the end of 201</w:t>
      </w:r>
      <w:r w:rsidR="00150463" w:rsidRPr="00CF446A">
        <w:rPr>
          <w:rFonts w:eastAsia="標楷體" w:hint="eastAsia"/>
          <w:sz w:val="26"/>
        </w:rPr>
        <w:t>1</w:t>
      </w:r>
      <w:r w:rsidR="004069CF" w:rsidRPr="00CF446A">
        <w:rPr>
          <w:rFonts w:eastAsia="標楷體" w:hint="eastAsia"/>
          <w:sz w:val="26"/>
        </w:rPr>
        <w:t>, t</w:t>
      </w:r>
      <w:r w:rsidR="004069CF" w:rsidRPr="00CF446A">
        <w:rPr>
          <w:rFonts w:eastAsia="標楷體"/>
          <w:sz w:val="26"/>
        </w:rPr>
        <w:t>he</w:t>
      </w:r>
      <w:r w:rsidR="004069CF" w:rsidRPr="00CF446A">
        <w:rPr>
          <w:rFonts w:eastAsia="標楷體" w:hint="eastAsia"/>
          <w:sz w:val="26"/>
        </w:rPr>
        <w:t xml:space="preserve"> </w:t>
      </w:r>
      <w:r w:rsidR="00ED2948" w:rsidRPr="00CF446A">
        <w:rPr>
          <w:rFonts w:eastAsia="標楷體" w:hint="eastAsia"/>
          <w:sz w:val="26"/>
        </w:rPr>
        <w:t xml:space="preserve">accumulated </w:t>
      </w:r>
      <w:r w:rsidR="00563831" w:rsidRPr="00CF446A">
        <w:rPr>
          <w:rFonts w:eastAsia="標楷體" w:hint="eastAsia"/>
          <w:sz w:val="26"/>
        </w:rPr>
        <w:t>balance</w:t>
      </w:r>
      <w:r w:rsidR="00ED2948" w:rsidRPr="00CF446A">
        <w:rPr>
          <w:rFonts w:eastAsia="標楷體"/>
          <w:sz w:val="26"/>
        </w:rPr>
        <w:t xml:space="preserve"> was -NT$</w:t>
      </w:r>
      <w:r w:rsidR="00150463" w:rsidRPr="00CF446A">
        <w:rPr>
          <w:rFonts w:eastAsia="標楷體" w:hint="eastAsia"/>
          <w:sz w:val="26"/>
        </w:rPr>
        <w:t>6</w:t>
      </w:r>
      <w:r w:rsidR="00ED2948" w:rsidRPr="00CF446A">
        <w:rPr>
          <w:rFonts w:eastAsia="標楷體"/>
          <w:sz w:val="26"/>
        </w:rPr>
        <w:t xml:space="preserve"> billion</w:t>
      </w:r>
      <w:r w:rsidR="00ED2948" w:rsidRPr="00CF446A">
        <w:rPr>
          <w:rFonts w:eastAsia="標楷體" w:hint="eastAsia"/>
          <w:sz w:val="26"/>
        </w:rPr>
        <w:t xml:space="preserve">, which should be </w:t>
      </w:r>
      <w:r w:rsidRPr="00CF446A">
        <w:rPr>
          <w:rFonts w:eastAsia="標楷體" w:hint="eastAsia"/>
          <w:sz w:val="26"/>
        </w:rPr>
        <w:t>covered</w:t>
      </w:r>
      <w:r w:rsidR="00ED2948" w:rsidRPr="00CF446A">
        <w:rPr>
          <w:rFonts w:eastAsia="標楷體" w:hint="eastAsia"/>
          <w:sz w:val="26"/>
        </w:rPr>
        <w:t xml:space="preserve"> using the reserve fund</w:t>
      </w:r>
      <w:r w:rsidR="00ED2948" w:rsidRPr="00CF446A">
        <w:rPr>
          <w:rFonts w:eastAsia="標楷體"/>
          <w:sz w:val="26"/>
        </w:rPr>
        <w:t>.</w:t>
      </w:r>
    </w:p>
    <w:p w:rsidR="00675D54" w:rsidRDefault="00D0465B" w:rsidP="00CE1EED">
      <w:pPr>
        <w:spacing w:beforeLines="50" w:afterLines="100" w:line="340" w:lineRule="exact"/>
        <w:ind w:left="510" w:firstLineChars="235" w:firstLine="592"/>
        <w:jc w:val="both"/>
        <w:rPr>
          <w:rFonts w:eastAsia="標楷體"/>
          <w:sz w:val="26"/>
        </w:rPr>
      </w:pPr>
      <w:r w:rsidRPr="00CF446A">
        <w:rPr>
          <w:rFonts w:eastAsia="標楷體" w:hint="eastAsia"/>
          <w:spacing w:val="-4"/>
          <w:sz w:val="26"/>
        </w:rPr>
        <w:t>T</w:t>
      </w:r>
      <w:r w:rsidR="0071239D" w:rsidRPr="00CF446A">
        <w:rPr>
          <w:rFonts w:eastAsia="標楷體"/>
          <w:spacing w:val="-4"/>
          <w:sz w:val="26"/>
        </w:rPr>
        <w:t xml:space="preserve">he average annual increase of </w:t>
      </w:r>
      <w:r w:rsidR="0071239D" w:rsidRPr="00CF446A">
        <w:rPr>
          <w:rFonts w:eastAsia="標楷體" w:hint="eastAsia"/>
          <w:spacing w:val="-4"/>
          <w:sz w:val="26"/>
        </w:rPr>
        <w:t>insurance</w:t>
      </w:r>
      <w:r w:rsidR="0071239D" w:rsidRPr="00CF446A">
        <w:rPr>
          <w:rFonts w:eastAsia="標楷體"/>
          <w:spacing w:val="-4"/>
          <w:sz w:val="26"/>
        </w:rPr>
        <w:t xml:space="preserve"> revenues </w:t>
      </w:r>
      <w:r w:rsidR="0071239D" w:rsidRPr="00CF446A">
        <w:rPr>
          <w:rFonts w:eastAsia="標楷體" w:hint="eastAsia"/>
          <w:spacing w:val="-4"/>
          <w:sz w:val="26"/>
        </w:rPr>
        <w:t>was</w:t>
      </w:r>
      <w:r w:rsidR="0071239D" w:rsidRPr="00CF446A">
        <w:rPr>
          <w:rFonts w:eastAsia="標楷體"/>
          <w:spacing w:val="-4"/>
          <w:sz w:val="26"/>
        </w:rPr>
        <w:t xml:space="preserve"> </w:t>
      </w:r>
      <w:r w:rsidR="00150463" w:rsidRPr="00CF446A">
        <w:rPr>
          <w:rFonts w:eastAsia="標楷體" w:hint="eastAsia"/>
          <w:sz w:val="26"/>
        </w:rPr>
        <w:t>5.5</w:t>
      </w:r>
      <w:r w:rsidR="0071239D" w:rsidRPr="00CF446A">
        <w:rPr>
          <w:rFonts w:eastAsia="標楷體"/>
          <w:spacing w:val="-4"/>
          <w:sz w:val="26"/>
        </w:rPr>
        <w:t>%</w:t>
      </w:r>
      <w:r w:rsidR="0071239D" w:rsidRPr="00CF446A">
        <w:rPr>
          <w:rFonts w:eastAsia="標楷體" w:hint="eastAsia"/>
          <w:spacing w:val="-4"/>
          <w:sz w:val="26"/>
        </w:rPr>
        <w:t xml:space="preserve"> from</w:t>
      </w:r>
      <w:r w:rsidR="0071239D" w:rsidRPr="00CF446A">
        <w:rPr>
          <w:rFonts w:eastAsia="標楷體"/>
          <w:spacing w:val="-4"/>
          <w:sz w:val="26"/>
        </w:rPr>
        <w:t xml:space="preserve"> </w:t>
      </w:r>
      <w:r w:rsidR="000F5EA3" w:rsidRPr="00CF446A">
        <w:rPr>
          <w:rFonts w:eastAsia="標楷體" w:hint="eastAsia"/>
          <w:spacing w:val="-4"/>
          <w:sz w:val="26"/>
        </w:rPr>
        <w:t>200</w:t>
      </w:r>
      <w:r w:rsidR="00150463" w:rsidRPr="00CF446A">
        <w:rPr>
          <w:rFonts w:eastAsia="標楷體" w:hint="eastAsia"/>
          <w:spacing w:val="-4"/>
          <w:sz w:val="26"/>
        </w:rPr>
        <w:t>1</w:t>
      </w:r>
      <w:r w:rsidR="00B96081" w:rsidRPr="00CF446A">
        <w:rPr>
          <w:rFonts w:eastAsia="標楷體" w:hint="eastAsia"/>
          <w:spacing w:val="-4"/>
          <w:sz w:val="26"/>
        </w:rPr>
        <w:t>,</w:t>
      </w:r>
      <w:r w:rsidRPr="00CF446A">
        <w:rPr>
          <w:rFonts w:eastAsia="標楷體" w:hint="eastAsia"/>
          <w:sz w:val="26"/>
        </w:rPr>
        <w:t xml:space="preserve"> </w:t>
      </w:r>
      <w:r w:rsidR="00B96081" w:rsidRPr="00CF446A">
        <w:rPr>
          <w:rFonts w:eastAsia="標楷體" w:hint="eastAsia"/>
          <w:sz w:val="26"/>
        </w:rPr>
        <w:t xml:space="preserve">of which </w:t>
      </w:r>
      <w:r w:rsidRPr="00CF446A">
        <w:rPr>
          <w:rFonts w:eastAsia="標楷體" w:hint="eastAsia"/>
          <w:sz w:val="26"/>
        </w:rPr>
        <w:t xml:space="preserve">premium revenues, including </w:t>
      </w:r>
      <w:r w:rsidR="00563831" w:rsidRPr="00CF446A">
        <w:rPr>
          <w:rFonts w:eastAsia="標楷體" w:hint="eastAsia"/>
          <w:sz w:val="26"/>
        </w:rPr>
        <w:t xml:space="preserve">delinquent </w:t>
      </w:r>
      <w:r w:rsidRPr="00CF446A">
        <w:rPr>
          <w:rFonts w:eastAsia="標楷體" w:hint="eastAsia"/>
          <w:sz w:val="26"/>
        </w:rPr>
        <w:t>c</w:t>
      </w:r>
      <w:r w:rsidRPr="00CF446A">
        <w:rPr>
          <w:rFonts w:eastAsia="標楷體"/>
          <w:sz w:val="26"/>
        </w:rPr>
        <w:t>harges</w:t>
      </w:r>
      <w:r w:rsidRPr="00CF446A">
        <w:rPr>
          <w:rFonts w:eastAsia="標楷體" w:hint="eastAsia"/>
          <w:sz w:val="26"/>
        </w:rPr>
        <w:t xml:space="preserve">, increased </w:t>
      </w:r>
      <w:r w:rsidR="00E661EF" w:rsidRPr="00CF446A">
        <w:rPr>
          <w:rFonts w:eastAsia="標楷體" w:hint="eastAsia"/>
          <w:sz w:val="26"/>
        </w:rPr>
        <w:t xml:space="preserve">by </w:t>
      </w:r>
      <w:r w:rsidR="000A12E2" w:rsidRPr="00CF446A">
        <w:rPr>
          <w:rFonts w:eastAsia="標楷體" w:hint="eastAsia"/>
          <w:sz w:val="26"/>
        </w:rPr>
        <w:t>4.9</w:t>
      </w:r>
      <w:r w:rsidRPr="00CF446A">
        <w:rPr>
          <w:rFonts w:eastAsia="標楷體" w:hint="eastAsia"/>
          <w:sz w:val="26"/>
        </w:rPr>
        <w:t>%. T</w:t>
      </w:r>
      <w:r w:rsidR="0071239D" w:rsidRPr="00CF446A">
        <w:rPr>
          <w:rFonts w:eastAsia="標楷體"/>
          <w:spacing w:val="-4"/>
          <w:sz w:val="26"/>
        </w:rPr>
        <w:t xml:space="preserve">he average annual increase of insurance costs </w:t>
      </w:r>
      <w:r w:rsidR="00B96081" w:rsidRPr="00CF446A">
        <w:rPr>
          <w:rFonts w:eastAsia="標楷體" w:hint="eastAsia"/>
          <w:spacing w:val="-4"/>
          <w:sz w:val="26"/>
        </w:rPr>
        <w:t>since 200</w:t>
      </w:r>
      <w:r w:rsidR="005E10D5" w:rsidRPr="00CF446A">
        <w:rPr>
          <w:rFonts w:eastAsia="標楷體" w:hint="eastAsia"/>
          <w:spacing w:val="-4"/>
          <w:sz w:val="26"/>
        </w:rPr>
        <w:t>1</w:t>
      </w:r>
      <w:r w:rsidR="00B96081" w:rsidRPr="00CF446A">
        <w:rPr>
          <w:rFonts w:eastAsia="標楷體" w:hint="eastAsia"/>
          <w:spacing w:val="-4"/>
          <w:sz w:val="26"/>
        </w:rPr>
        <w:t xml:space="preserve"> </w:t>
      </w:r>
      <w:r w:rsidR="0071239D" w:rsidRPr="00CF446A">
        <w:rPr>
          <w:rFonts w:eastAsia="標楷體" w:hint="eastAsia"/>
          <w:spacing w:val="-4"/>
          <w:sz w:val="26"/>
        </w:rPr>
        <w:t>was</w:t>
      </w:r>
      <w:r w:rsidR="0071239D" w:rsidRPr="00CF446A">
        <w:rPr>
          <w:rFonts w:eastAsia="標楷體"/>
          <w:spacing w:val="-4"/>
          <w:sz w:val="26"/>
        </w:rPr>
        <w:t xml:space="preserve"> </w:t>
      </w:r>
      <w:r w:rsidR="005E10D5" w:rsidRPr="00CF446A">
        <w:rPr>
          <w:rFonts w:eastAsia="標楷體" w:hint="eastAsia"/>
          <w:sz w:val="26"/>
        </w:rPr>
        <w:t>4.2</w:t>
      </w:r>
      <w:r w:rsidR="0071239D" w:rsidRPr="00CF446A">
        <w:rPr>
          <w:rFonts w:eastAsia="標楷體"/>
          <w:spacing w:val="-4"/>
          <w:sz w:val="26"/>
        </w:rPr>
        <w:t>%</w:t>
      </w:r>
      <w:r w:rsidR="00BD5141" w:rsidRPr="00CF446A">
        <w:rPr>
          <w:rFonts w:eastAsia="標楷體" w:hint="eastAsia"/>
          <w:spacing w:val="-4"/>
          <w:sz w:val="26"/>
        </w:rPr>
        <w:t>.</w:t>
      </w:r>
      <w:r w:rsidRPr="00CF446A">
        <w:rPr>
          <w:rFonts w:eastAsia="標楷體" w:hint="eastAsia"/>
          <w:spacing w:val="-4"/>
          <w:sz w:val="26"/>
        </w:rPr>
        <w:t xml:space="preserve"> </w:t>
      </w:r>
      <w:r w:rsidR="00B96081" w:rsidRPr="00CF446A">
        <w:rPr>
          <w:rFonts w:eastAsia="標楷體" w:hint="eastAsia"/>
          <w:spacing w:val="-4"/>
          <w:sz w:val="26"/>
        </w:rPr>
        <w:t>M</w:t>
      </w:r>
      <w:r w:rsidRPr="00CF446A">
        <w:rPr>
          <w:rFonts w:eastAsia="標楷體" w:hint="eastAsia"/>
          <w:spacing w:val="-4"/>
          <w:sz w:val="26"/>
        </w:rPr>
        <w:t xml:space="preserve">edical expenses increased </w:t>
      </w:r>
      <w:r w:rsidR="007E70FC" w:rsidRPr="00CF446A">
        <w:rPr>
          <w:rFonts w:eastAsia="標楷體" w:hint="eastAsia"/>
          <w:sz w:val="26"/>
        </w:rPr>
        <w:t>4.3</w:t>
      </w:r>
      <w:r w:rsidRPr="00CF446A">
        <w:rPr>
          <w:rFonts w:eastAsia="標楷體" w:hint="eastAsia"/>
          <w:spacing w:val="-4"/>
          <w:sz w:val="26"/>
        </w:rPr>
        <w:t>%</w:t>
      </w:r>
      <w:r w:rsidR="00C42035" w:rsidRPr="00CF446A">
        <w:rPr>
          <w:rFonts w:eastAsia="標楷體"/>
          <w:sz w:val="26"/>
        </w:rPr>
        <w:t xml:space="preserve">. </w:t>
      </w:r>
      <w:r w:rsidRPr="00CF446A">
        <w:rPr>
          <w:rFonts w:eastAsia="標楷體"/>
          <w:sz w:val="26"/>
        </w:rPr>
        <w:t>The</w:t>
      </w:r>
      <w:r w:rsidRPr="00CF446A">
        <w:rPr>
          <w:rFonts w:eastAsia="標楷體" w:hint="eastAsia"/>
          <w:sz w:val="26"/>
        </w:rPr>
        <w:t xml:space="preserve"> proportion of </w:t>
      </w:r>
      <w:r w:rsidR="006D02E9" w:rsidRPr="00CF446A">
        <w:rPr>
          <w:rFonts w:eastAsia="標楷體" w:hint="eastAsia"/>
          <w:sz w:val="26"/>
        </w:rPr>
        <w:t>premium revenue</w:t>
      </w:r>
      <w:r w:rsidR="00675D54" w:rsidRPr="00CF446A">
        <w:rPr>
          <w:rFonts w:eastAsia="標楷體" w:hint="eastAsia"/>
          <w:sz w:val="26"/>
        </w:rPr>
        <w:t xml:space="preserve">, </w:t>
      </w:r>
      <w:r w:rsidR="00563831" w:rsidRPr="00CF446A">
        <w:rPr>
          <w:rFonts w:eastAsia="標楷體" w:hint="eastAsia"/>
          <w:sz w:val="26"/>
        </w:rPr>
        <w:t>including delinquent charges</w:t>
      </w:r>
      <w:r w:rsidR="006D02E9" w:rsidRPr="00CF446A">
        <w:rPr>
          <w:rFonts w:eastAsia="標楷體" w:hint="eastAsia"/>
          <w:sz w:val="26"/>
        </w:rPr>
        <w:t xml:space="preserve">, </w:t>
      </w:r>
      <w:r w:rsidR="00675D54" w:rsidRPr="00CF446A">
        <w:rPr>
          <w:rFonts w:eastAsia="標楷體" w:hint="eastAsia"/>
          <w:sz w:val="26"/>
        </w:rPr>
        <w:t>to insurance revenue showed a decreas</w:t>
      </w:r>
      <w:r w:rsidR="00B96081" w:rsidRPr="00CF446A">
        <w:rPr>
          <w:rFonts w:eastAsia="標楷體" w:hint="eastAsia"/>
          <w:sz w:val="26"/>
        </w:rPr>
        <w:t>ing</w:t>
      </w:r>
      <w:r w:rsidR="00675D54" w:rsidRPr="00CF446A">
        <w:rPr>
          <w:rFonts w:eastAsia="標楷體" w:hint="eastAsia"/>
          <w:sz w:val="26"/>
        </w:rPr>
        <w:t xml:space="preserve"> trend, </w:t>
      </w:r>
      <w:r w:rsidR="00B96081" w:rsidRPr="00CF446A">
        <w:rPr>
          <w:rFonts w:eastAsia="標楷體" w:hint="eastAsia"/>
          <w:sz w:val="26"/>
        </w:rPr>
        <w:t>falling</w:t>
      </w:r>
      <w:r w:rsidR="00675D54" w:rsidRPr="00CF446A">
        <w:rPr>
          <w:rFonts w:eastAsia="標楷體" w:hint="eastAsia"/>
          <w:sz w:val="26"/>
        </w:rPr>
        <w:t xml:space="preserve"> </w:t>
      </w:r>
      <w:r w:rsidR="00E661EF" w:rsidRPr="00CF446A">
        <w:rPr>
          <w:rFonts w:eastAsia="標楷體" w:hint="eastAsia"/>
          <w:sz w:val="26"/>
        </w:rPr>
        <w:t>by</w:t>
      </w:r>
      <w:r w:rsidR="00524FD1" w:rsidRPr="00CF446A">
        <w:rPr>
          <w:rFonts w:eastAsia="標楷體" w:hint="eastAsia"/>
          <w:sz w:val="26"/>
        </w:rPr>
        <w:t xml:space="preserve"> </w:t>
      </w:r>
      <w:r w:rsidR="001D0100" w:rsidRPr="00CF446A">
        <w:rPr>
          <w:rFonts w:eastAsia="標楷體" w:hint="eastAsia"/>
          <w:sz w:val="26"/>
        </w:rPr>
        <w:t>5.3</w:t>
      </w:r>
      <w:r w:rsidR="00675D54" w:rsidRPr="00CF446A">
        <w:rPr>
          <w:rFonts w:eastAsia="標楷體" w:hint="eastAsia"/>
          <w:sz w:val="26"/>
        </w:rPr>
        <w:t xml:space="preserve"> percentage points </w:t>
      </w:r>
      <w:r w:rsidR="00B96081" w:rsidRPr="00CF446A">
        <w:rPr>
          <w:rFonts w:eastAsia="標楷體" w:hint="eastAsia"/>
          <w:sz w:val="26"/>
        </w:rPr>
        <w:t xml:space="preserve">since </w:t>
      </w:r>
      <w:r w:rsidR="00E661EF" w:rsidRPr="00CF446A">
        <w:rPr>
          <w:rFonts w:eastAsia="標楷體" w:hint="eastAsia"/>
          <w:sz w:val="26"/>
        </w:rPr>
        <w:t>200</w:t>
      </w:r>
      <w:r w:rsidR="001D0100" w:rsidRPr="00CF446A">
        <w:rPr>
          <w:rFonts w:eastAsia="標楷體" w:hint="eastAsia"/>
          <w:sz w:val="26"/>
        </w:rPr>
        <w:t>1</w:t>
      </w:r>
      <w:r w:rsidR="00675D54" w:rsidRPr="00CF446A">
        <w:rPr>
          <w:rFonts w:eastAsia="標楷體" w:hint="eastAsia"/>
          <w:sz w:val="26"/>
        </w:rPr>
        <w:t>.</w:t>
      </w:r>
    </w:p>
    <w:p w:rsidR="00B25B7B" w:rsidRPr="004751A8" w:rsidRDefault="00FD4BDA" w:rsidP="00CE1EED">
      <w:pPr>
        <w:spacing w:beforeLines="50" w:afterLines="50" w:line="240" w:lineRule="auto"/>
        <w:ind w:left="284" w:firstLineChars="54" w:firstLine="140"/>
        <w:jc w:val="center"/>
        <w:rPr>
          <w:rFonts w:eastAsia="標楷體"/>
          <w:sz w:val="26"/>
        </w:rPr>
      </w:pPr>
      <w:r w:rsidRPr="00FD4BDA">
        <w:rPr>
          <w:rFonts w:eastAsia="標楷體"/>
          <w:noProof/>
          <w:sz w:val="26"/>
        </w:rPr>
        <w:lastRenderedPageBreak/>
        <w:drawing>
          <wp:inline distT="0" distB="0" distL="0" distR="0">
            <wp:extent cx="5486400" cy="3123525"/>
            <wp:effectExtent l="0" t="0" r="0" b="0"/>
            <wp:docPr id="5"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F5553" w:rsidRPr="00137C52" w:rsidRDefault="00461A51" w:rsidP="00AB295E">
      <w:pPr>
        <w:spacing w:before="200" w:line="360" w:lineRule="exact"/>
        <w:ind w:leftChars="118" w:left="283"/>
        <w:jc w:val="both"/>
        <w:rPr>
          <w:rFonts w:eastAsia="標楷體"/>
          <w:b/>
          <w:sz w:val="26"/>
          <w:szCs w:val="26"/>
        </w:rPr>
      </w:pPr>
      <w:r>
        <w:rPr>
          <w:rFonts w:eastAsia="標楷體" w:hint="eastAsia"/>
          <w:b/>
          <w:sz w:val="26"/>
          <w:szCs w:val="26"/>
        </w:rPr>
        <w:t>ii</w:t>
      </w:r>
      <w:r w:rsidR="009F5553" w:rsidRPr="00137C52">
        <w:rPr>
          <w:rFonts w:eastAsia="標楷體" w:hint="eastAsia"/>
          <w:b/>
          <w:sz w:val="26"/>
          <w:szCs w:val="26"/>
        </w:rPr>
        <w:t>. Cash Basis</w:t>
      </w:r>
      <w:r w:rsidR="00793333">
        <w:rPr>
          <w:rFonts w:eastAsia="標楷體" w:hint="eastAsia"/>
          <w:b/>
          <w:sz w:val="26"/>
          <w:szCs w:val="26"/>
        </w:rPr>
        <w:t xml:space="preserve"> (Cash Flow)</w:t>
      </w:r>
    </w:p>
    <w:p w:rsidR="00E661EF" w:rsidRPr="00CF446A" w:rsidRDefault="002606EF" w:rsidP="00CE1EED">
      <w:pPr>
        <w:spacing w:beforeLines="50" w:afterLines="100" w:line="340" w:lineRule="exact"/>
        <w:ind w:left="510" w:firstLineChars="235" w:firstLine="611"/>
        <w:jc w:val="both"/>
        <w:rPr>
          <w:rFonts w:eastAsia="標楷體"/>
          <w:sz w:val="26"/>
        </w:rPr>
      </w:pPr>
      <w:r w:rsidRPr="00CF446A">
        <w:rPr>
          <w:rFonts w:eastAsia="標楷體" w:hint="eastAsia"/>
          <w:sz w:val="26"/>
        </w:rPr>
        <w:t>In terms of</w:t>
      </w:r>
      <w:r w:rsidR="00E661EF" w:rsidRPr="00CF446A">
        <w:rPr>
          <w:rFonts w:eastAsia="標楷體"/>
          <w:sz w:val="26"/>
        </w:rPr>
        <w:t xml:space="preserve"> </w:t>
      </w:r>
      <w:r w:rsidR="00E661EF" w:rsidRPr="00CF446A">
        <w:rPr>
          <w:rFonts w:eastAsia="標楷體" w:hint="eastAsia"/>
          <w:sz w:val="26"/>
        </w:rPr>
        <w:t>cash</w:t>
      </w:r>
      <w:r w:rsidR="00E661EF" w:rsidRPr="00CF446A">
        <w:rPr>
          <w:rFonts w:eastAsia="標楷體"/>
          <w:sz w:val="26"/>
        </w:rPr>
        <w:t xml:space="preserve"> basis, revenue </w:t>
      </w:r>
      <w:r w:rsidR="00E661EF" w:rsidRPr="00CF446A">
        <w:rPr>
          <w:rFonts w:eastAsia="標楷體" w:hint="eastAsia"/>
          <w:sz w:val="26"/>
        </w:rPr>
        <w:t>w</w:t>
      </w:r>
      <w:r w:rsidRPr="00CF446A">
        <w:rPr>
          <w:rFonts w:eastAsia="標楷體" w:hint="eastAsia"/>
          <w:sz w:val="26"/>
        </w:rPr>
        <w:t>as</w:t>
      </w:r>
      <w:r w:rsidR="00E661EF" w:rsidRPr="00CF446A">
        <w:rPr>
          <w:rFonts w:eastAsia="標楷體" w:hint="eastAsia"/>
          <w:sz w:val="26"/>
        </w:rPr>
        <w:t xml:space="preserve"> NT$</w:t>
      </w:r>
      <w:r w:rsidR="00B073C2" w:rsidRPr="00CF446A">
        <w:rPr>
          <w:rFonts w:eastAsia="標楷體" w:hint="eastAsia"/>
          <w:sz w:val="26"/>
        </w:rPr>
        <w:t>505</w:t>
      </w:r>
      <w:r w:rsidR="00E661EF" w:rsidRPr="00CF446A">
        <w:rPr>
          <w:rFonts w:eastAsia="標楷體" w:hint="eastAsia"/>
          <w:sz w:val="26"/>
        </w:rPr>
        <w:t xml:space="preserve"> billion </w:t>
      </w:r>
      <w:r w:rsidR="00E661EF" w:rsidRPr="00CF446A">
        <w:rPr>
          <w:rFonts w:eastAsia="標楷體"/>
          <w:sz w:val="26"/>
        </w:rPr>
        <w:t>in 20</w:t>
      </w:r>
      <w:r w:rsidR="00E661EF" w:rsidRPr="00CF446A">
        <w:rPr>
          <w:rFonts w:eastAsia="標楷體" w:hint="eastAsia"/>
          <w:sz w:val="26"/>
        </w:rPr>
        <w:t>1</w:t>
      </w:r>
      <w:r w:rsidR="00B073C2" w:rsidRPr="00CF446A">
        <w:rPr>
          <w:rFonts w:eastAsia="標楷體" w:hint="eastAsia"/>
          <w:sz w:val="26"/>
        </w:rPr>
        <w:t>1</w:t>
      </w:r>
      <w:r w:rsidR="00E661EF" w:rsidRPr="00CF446A">
        <w:rPr>
          <w:rFonts w:eastAsia="標楷體" w:hint="eastAsia"/>
          <w:sz w:val="26"/>
        </w:rPr>
        <w:t xml:space="preserve">, an </w:t>
      </w:r>
      <w:r w:rsidR="00E661EF" w:rsidRPr="00CF446A">
        <w:rPr>
          <w:rFonts w:eastAsia="標楷體"/>
          <w:sz w:val="26"/>
        </w:rPr>
        <w:t xml:space="preserve">increase </w:t>
      </w:r>
      <w:r w:rsidR="00E661EF" w:rsidRPr="00CF446A">
        <w:rPr>
          <w:rFonts w:eastAsia="標楷體" w:hint="eastAsia"/>
          <w:sz w:val="26"/>
        </w:rPr>
        <w:t xml:space="preserve">of </w:t>
      </w:r>
      <w:r w:rsidR="00B073C2" w:rsidRPr="00CF446A">
        <w:rPr>
          <w:rFonts w:eastAsia="標楷體" w:hint="eastAsia"/>
          <w:sz w:val="26"/>
        </w:rPr>
        <w:t>8.8</w:t>
      </w:r>
      <w:r w:rsidR="00E661EF" w:rsidRPr="00CF446A">
        <w:rPr>
          <w:rFonts w:eastAsia="標楷體" w:hint="eastAsia"/>
          <w:sz w:val="26"/>
        </w:rPr>
        <w:t>%</w:t>
      </w:r>
      <w:r w:rsidR="00E661EF" w:rsidRPr="00CF446A">
        <w:rPr>
          <w:rFonts w:eastAsia="標楷體"/>
          <w:sz w:val="26"/>
        </w:rPr>
        <w:t xml:space="preserve"> from the previous year</w:t>
      </w:r>
      <w:r w:rsidR="00E661EF" w:rsidRPr="00CF446A">
        <w:rPr>
          <w:rFonts w:eastAsia="標楷體" w:hint="eastAsia"/>
          <w:sz w:val="26"/>
        </w:rPr>
        <w:t xml:space="preserve">. </w:t>
      </w:r>
      <w:r w:rsidRPr="00CF446A">
        <w:rPr>
          <w:rFonts w:eastAsia="標楷體" w:hint="eastAsia"/>
          <w:sz w:val="26"/>
        </w:rPr>
        <w:t>E</w:t>
      </w:r>
      <w:r w:rsidR="00E661EF" w:rsidRPr="00CF446A">
        <w:rPr>
          <w:rFonts w:eastAsia="標楷體" w:hint="eastAsia"/>
          <w:sz w:val="26"/>
        </w:rPr>
        <w:t>xpenditures</w:t>
      </w:r>
      <w:r w:rsidR="00E661EF" w:rsidRPr="00CF446A">
        <w:rPr>
          <w:rFonts w:eastAsia="標楷體"/>
          <w:sz w:val="26"/>
        </w:rPr>
        <w:t xml:space="preserve"> </w:t>
      </w:r>
      <w:r w:rsidR="00E661EF" w:rsidRPr="00CF446A">
        <w:rPr>
          <w:rFonts w:eastAsia="標楷體" w:hint="eastAsia"/>
          <w:sz w:val="26"/>
        </w:rPr>
        <w:t>were NT$4</w:t>
      </w:r>
      <w:r w:rsidR="008B5A2D" w:rsidRPr="00CF446A">
        <w:rPr>
          <w:rFonts w:eastAsia="標楷體" w:hint="eastAsia"/>
          <w:sz w:val="26"/>
        </w:rPr>
        <w:t>83</w:t>
      </w:r>
      <w:r w:rsidR="00E661EF" w:rsidRPr="00CF446A">
        <w:rPr>
          <w:rFonts w:eastAsia="標楷體" w:hint="eastAsia"/>
          <w:sz w:val="26"/>
        </w:rPr>
        <w:t xml:space="preserve"> billion, an </w:t>
      </w:r>
      <w:r w:rsidR="00E661EF" w:rsidRPr="00CF446A">
        <w:rPr>
          <w:rFonts w:eastAsia="標楷體"/>
          <w:sz w:val="26"/>
        </w:rPr>
        <w:t xml:space="preserve">increase </w:t>
      </w:r>
      <w:r w:rsidR="00E661EF" w:rsidRPr="00CF446A">
        <w:rPr>
          <w:rFonts w:eastAsia="標楷體" w:hint="eastAsia"/>
          <w:sz w:val="26"/>
        </w:rPr>
        <w:t>of</w:t>
      </w:r>
      <w:r w:rsidR="00E661EF" w:rsidRPr="00CF446A">
        <w:rPr>
          <w:rFonts w:eastAsia="標楷體"/>
          <w:sz w:val="26"/>
        </w:rPr>
        <w:t xml:space="preserve"> </w:t>
      </w:r>
      <w:r w:rsidR="008B5A2D" w:rsidRPr="00CF446A">
        <w:rPr>
          <w:rFonts w:eastAsia="標楷體" w:hint="eastAsia"/>
          <w:sz w:val="26"/>
        </w:rPr>
        <w:t>5.3</w:t>
      </w:r>
      <w:r w:rsidR="00E661EF" w:rsidRPr="00CF446A">
        <w:rPr>
          <w:rFonts w:eastAsia="標楷體" w:hint="eastAsia"/>
          <w:sz w:val="26"/>
        </w:rPr>
        <w:t>%</w:t>
      </w:r>
      <w:r w:rsidR="00E661EF" w:rsidRPr="00CF446A">
        <w:rPr>
          <w:rFonts w:eastAsia="標楷體"/>
          <w:sz w:val="26"/>
        </w:rPr>
        <w:t xml:space="preserve"> from the previous year</w:t>
      </w:r>
      <w:r w:rsidR="00E661EF" w:rsidRPr="00CF446A">
        <w:rPr>
          <w:rFonts w:eastAsia="標楷體" w:hint="eastAsia"/>
          <w:sz w:val="26"/>
        </w:rPr>
        <w:t xml:space="preserve">. </w:t>
      </w:r>
      <w:r w:rsidR="00793333" w:rsidRPr="00CF446A">
        <w:rPr>
          <w:rFonts w:eastAsia="標楷體" w:hint="eastAsia"/>
          <w:sz w:val="26"/>
        </w:rPr>
        <w:t xml:space="preserve">The loan was </w:t>
      </w:r>
      <w:r w:rsidR="008B5A2D" w:rsidRPr="00CF446A">
        <w:rPr>
          <w:rFonts w:eastAsia="標楷體" w:hint="eastAsia"/>
          <w:sz w:val="26"/>
        </w:rPr>
        <w:t>-</w:t>
      </w:r>
      <w:r w:rsidR="00793333" w:rsidRPr="00CF446A">
        <w:rPr>
          <w:rFonts w:eastAsia="標楷體" w:hint="eastAsia"/>
          <w:sz w:val="26"/>
        </w:rPr>
        <w:t>NT</w:t>
      </w:r>
      <w:r w:rsidRPr="00CF446A">
        <w:rPr>
          <w:rFonts w:eastAsia="標楷體" w:hint="eastAsia"/>
          <w:sz w:val="26"/>
        </w:rPr>
        <w:t>$</w:t>
      </w:r>
      <w:r w:rsidR="008B5A2D" w:rsidRPr="00CF446A">
        <w:rPr>
          <w:rFonts w:eastAsia="標楷體" w:hint="eastAsia"/>
          <w:sz w:val="26"/>
        </w:rPr>
        <w:t>22</w:t>
      </w:r>
      <w:r w:rsidR="00793333" w:rsidRPr="00CF446A">
        <w:rPr>
          <w:rFonts w:eastAsia="標楷體" w:hint="eastAsia"/>
          <w:sz w:val="26"/>
        </w:rPr>
        <w:t xml:space="preserve"> billion. </w:t>
      </w:r>
      <w:r w:rsidR="00E661EF" w:rsidRPr="00CF446A">
        <w:rPr>
          <w:rFonts w:eastAsia="標楷體"/>
          <w:sz w:val="26"/>
        </w:rPr>
        <w:t>The</w:t>
      </w:r>
      <w:r w:rsidRPr="00CF446A">
        <w:rPr>
          <w:rFonts w:eastAsia="標楷體" w:hint="eastAsia"/>
          <w:sz w:val="26"/>
        </w:rPr>
        <w:t>re was a</w:t>
      </w:r>
      <w:r w:rsidR="00E661EF" w:rsidRPr="00CF446A">
        <w:rPr>
          <w:rFonts w:eastAsia="標楷體"/>
          <w:sz w:val="26"/>
        </w:rPr>
        <w:t xml:space="preserve"> </w:t>
      </w:r>
      <w:r w:rsidR="00552368" w:rsidRPr="00CF446A">
        <w:rPr>
          <w:rFonts w:eastAsia="標楷體" w:hint="eastAsia"/>
          <w:sz w:val="26"/>
        </w:rPr>
        <w:t>NT$372 million</w:t>
      </w:r>
      <w:r w:rsidRPr="00CF446A">
        <w:rPr>
          <w:rFonts w:eastAsia="標楷體" w:hint="eastAsia"/>
          <w:sz w:val="26"/>
        </w:rPr>
        <w:t xml:space="preserve"> </w:t>
      </w:r>
      <w:r w:rsidR="00552368" w:rsidRPr="00CF446A">
        <w:rPr>
          <w:rFonts w:eastAsia="標楷體" w:hint="eastAsia"/>
          <w:sz w:val="26"/>
        </w:rPr>
        <w:t>surplus</w:t>
      </w:r>
      <w:r w:rsidR="00E661EF" w:rsidRPr="00CF446A">
        <w:rPr>
          <w:rFonts w:eastAsia="標楷體" w:hint="eastAsia"/>
          <w:sz w:val="26"/>
        </w:rPr>
        <w:t xml:space="preserve">. </w:t>
      </w:r>
      <w:r w:rsidR="00552368" w:rsidRPr="00CF446A">
        <w:rPr>
          <w:rFonts w:eastAsia="標楷體" w:hint="eastAsia"/>
          <w:sz w:val="26"/>
        </w:rPr>
        <w:t>As of the end of 2011</w:t>
      </w:r>
      <w:r w:rsidR="004069CF" w:rsidRPr="00CF446A">
        <w:rPr>
          <w:rFonts w:eastAsia="標楷體" w:hint="eastAsia"/>
          <w:sz w:val="26"/>
        </w:rPr>
        <w:t>, t</w:t>
      </w:r>
      <w:r w:rsidR="004069CF" w:rsidRPr="00CF446A">
        <w:rPr>
          <w:rFonts w:eastAsia="標楷體"/>
          <w:sz w:val="26"/>
        </w:rPr>
        <w:t xml:space="preserve">he </w:t>
      </w:r>
      <w:r w:rsidR="00E661EF" w:rsidRPr="00CF446A">
        <w:rPr>
          <w:rFonts w:eastAsia="標楷體" w:hint="eastAsia"/>
          <w:sz w:val="26"/>
        </w:rPr>
        <w:t xml:space="preserve">accumulated </w:t>
      </w:r>
      <w:r w:rsidR="00563831" w:rsidRPr="00CF446A">
        <w:rPr>
          <w:rFonts w:eastAsia="標楷體" w:hint="eastAsia"/>
          <w:sz w:val="26"/>
        </w:rPr>
        <w:t>balance</w:t>
      </w:r>
      <w:r w:rsidR="00E661EF" w:rsidRPr="00CF446A">
        <w:rPr>
          <w:rFonts w:eastAsia="標楷體"/>
          <w:sz w:val="26"/>
        </w:rPr>
        <w:t xml:space="preserve"> was NT$</w:t>
      </w:r>
      <w:r w:rsidR="00E661EF" w:rsidRPr="00CF446A">
        <w:rPr>
          <w:rFonts w:eastAsia="標楷體" w:hint="eastAsia"/>
          <w:sz w:val="26"/>
        </w:rPr>
        <w:t>7</w:t>
      </w:r>
      <w:r w:rsidR="00E661EF" w:rsidRPr="00CF446A">
        <w:rPr>
          <w:rFonts w:eastAsia="標楷體"/>
          <w:sz w:val="26"/>
        </w:rPr>
        <w:t xml:space="preserve"> billion.</w:t>
      </w:r>
      <w:r w:rsidR="00552368" w:rsidRPr="00CF446A">
        <w:rPr>
          <w:rFonts w:eastAsia="標楷體"/>
          <w:sz w:val="26"/>
        </w:rPr>
        <w:t xml:space="preserve"> </w:t>
      </w:r>
    </w:p>
    <w:p w:rsidR="00E661EF" w:rsidRDefault="002606EF" w:rsidP="00CE1EED">
      <w:pPr>
        <w:spacing w:beforeLines="50" w:afterLines="100" w:line="340" w:lineRule="exact"/>
        <w:ind w:left="510" w:firstLineChars="235" w:firstLine="592"/>
        <w:jc w:val="both"/>
        <w:rPr>
          <w:rFonts w:eastAsia="標楷體"/>
          <w:sz w:val="26"/>
        </w:rPr>
      </w:pPr>
      <w:r w:rsidRPr="00CF446A">
        <w:rPr>
          <w:rFonts w:eastAsia="標楷體" w:hint="eastAsia"/>
          <w:spacing w:val="-4"/>
          <w:sz w:val="26"/>
        </w:rPr>
        <w:t>Since 200</w:t>
      </w:r>
      <w:r w:rsidR="00A534B4" w:rsidRPr="00CF446A">
        <w:rPr>
          <w:rFonts w:eastAsia="標楷體" w:hint="eastAsia"/>
          <w:spacing w:val="-4"/>
          <w:sz w:val="26"/>
        </w:rPr>
        <w:t>1</w:t>
      </w:r>
      <w:r w:rsidRPr="00CF446A">
        <w:rPr>
          <w:rFonts w:eastAsia="標楷體" w:hint="eastAsia"/>
          <w:spacing w:val="-4"/>
          <w:sz w:val="26"/>
        </w:rPr>
        <w:t>, there has been an</w:t>
      </w:r>
      <w:r w:rsidR="00E661EF" w:rsidRPr="00CF446A">
        <w:rPr>
          <w:rFonts w:eastAsia="標楷體"/>
          <w:spacing w:val="-4"/>
          <w:sz w:val="26"/>
        </w:rPr>
        <w:t xml:space="preserve"> average annual increase </w:t>
      </w:r>
      <w:r w:rsidRPr="00CF446A">
        <w:rPr>
          <w:rFonts w:eastAsia="標楷體" w:hint="eastAsia"/>
          <w:spacing w:val="-4"/>
          <w:sz w:val="26"/>
        </w:rPr>
        <w:t xml:space="preserve">in </w:t>
      </w:r>
      <w:r w:rsidR="00E661EF" w:rsidRPr="00CF446A">
        <w:rPr>
          <w:rFonts w:eastAsia="標楷體"/>
          <w:spacing w:val="-4"/>
          <w:sz w:val="26"/>
        </w:rPr>
        <w:t>revenue</w:t>
      </w:r>
      <w:r w:rsidRPr="00CF446A">
        <w:rPr>
          <w:rFonts w:eastAsia="標楷體" w:hint="eastAsia"/>
          <w:spacing w:val="-4"/>
          <w:sz w:val="26"/>
        </w:rPr>
        <w:t xml:space="preserve"> of</w:t>
      </w:r>
      <w:r w:rsidR="00E661EF" w:rsidRPr="00CF446A">
        <w:rPr>
          <w:rFonts w:eastAsia="標楷體"/>
          <w:spacing w:val="-4"/>
          <w:sz w:val="26"/>
        </w:rPr>
        <w:t xml:space="preserve"> </w:t>
      </w:r>
      <w:r w:rsidR="00A534B4" w:rsidRPr="00CF446A">
        <w:rPr>
          <w:rFonts w:eastAsia="標楷體" w:hint="eastAsia"/>
          <w:sz w:val="26"/>
        </w:rPr>
        <w:t>5.2</w:t>
      </w:r>
      <w:r w:rsidR="00E661EF" w:rsidRPr="00CF446A">
        <w:rPr>
          <w:rFonts w:eastAsia="標楷體"/>
          <w:spacing w:val="-4"/>
          <w:sz w:val="26"/>
        </w:rPr>
        <w:t>%</w:t>
      </w:r>
      <w:r w:rsidR="00E661EF" w:rsidRPr="00CF446A">
        <w:rPr>
          <w:rFonts w:eastAsia="標楷體"/>
          <w:sz w:val="26"/>
        </w:rPr>
        <w:t xml:space="preserve">. </w:t>
      </w:r>
      <w:r w:rsidRPr="00CF446A">
        <w:rPr>
          <w:rFonts w:eastAsia="標楷體" w:hint="eastAsia"/>
          <w:sz w:val="26"/>
        </w:rPr>
        <w:t>P</w:t>
      </w:r>
      <w:r w:rsidR="00E661EF" w:rsidRPr="00CF446A">
        <w:rPr>
          <w:rFonts w:eastAsia="標楷體" w:hint="eastAsia"/>
          <w:sz w:val="26"/>
        </w:rPr>
        <w:t>remium revenue</w:t>
      </w:r>
      <w:r w:rsidR="00563831" w:rsidRPr="00CF446A">
        <w:rPr>
          <w:rFonts w:eastAsia="標楷體" w:hint="eastAsia"/>
          <w:sz w:val="26"/>
        </w:rPr>
        <w:t xml:space="preserve">, </w:t>
      </w:r>
      <w:r w:rsidR="00E661EF" w:rsidRPr="00CF446A">
        <w:rPr>
          <w:rFonts w:eastAsia="標楷體" w:hint="eastAsia"/>
          <w:sz w:val="26"/>
        </w:rPr>
        <w:t xml:space="preserve">excluding </w:t>
      </w:r>
      <w:r w:rsidR="00563831" w:rsidRPr="00CF446A">
        <w:rPr>
          <w:rFonts w:eastAsia="標楷體" w:hint="eastAsia"/>
          <w:sz w:val="26"/>
        </w:rPr>
        <w:t xml:space="preserve">delinquent </w:t>
      </w:r>
      <w:r w:rsidR="00E661EF" w:rsidRPr="00CF446A">
        <w:rPr>
          <w:rFonts w:eastAsia="標楷體" w:hint="eastAsia"/>
          <w:sz w:val="26"/>
        </w:rPr>
        <w:t>c</w:t>
      </w:r>
      <w:r w:rsidR="00E661EF" w:rsidRPr="00CF446A">
        <w:rPr>
          <w:rFonts w:eastAsia="標楷體"/>
          <w:sz w:val="26"/>
        </w:rPr>
        <w:t>harges</w:t>
      </w:r>
      <w:r w:rsidR="00E661EF" w:rsidRPr="00CF446A">
        <w:rPr>
          <w:rFonts w:eastAsia="標楷體" w:hint="eastAsia"/>
          <w:sz w:val="26"/>
        </w:rPr>
        <w:t xml:space="preserve">, increased </w:t>
      </w:r>
      <w:r w:rsidR="00123D9E" w:rsidRPr="00CF446A">
        <w:rPr>
          <w:rFonts w:eastAsia="標楷體" w:hint="eastAsia"/>
          <w:sz w:val="26"/>
        </w:rPr>
        <w:t>4.6</w:t>
      </w:r>
      <w:r w:rsidR="00E661EF" w:rsidRPr="00CF446A">
        <w:rPr>
          <w:rFonts w:eastAsia="標楷體" w:hint="eastAsia"/>
          <w:sz w:val="26"/>
        </w:rPr>
        <w:t>%. T</w:t>
      </w:r>
      <w:r w:rsidR="00E661EF" w:rsidRPr="00CF446A">
        <w:rPr>
          <w:rFonts w:eastAsia="標楷體"/>
          <w:spacing w:val="-4"/>
          <w:sz w:val="26"/>
        </w:rPr>
        <w:t xml:space="preserve">he average annual increase of </w:t>
      </w:r>
      <w:r w:rsidR="00E661EF" w:rsidRPr="00CF446A">
        <w:rPr>
          <w:rFonts w:eastAsia="標楷體" w:hint="eastAsia"/>
          <w:spacing w:val="-4"/>
          <w:sz w:val="26"/>
        </w:rPr>
        <w:t>expenditures</w:t>
      </w:r>
      <w:r w:rsidR="00E661EF" w:rsidRPr="00CF446A">
        <w:rPr>
          <w:rFonts w:eastAsia="標楷體"/>
          <w:spacing w:val="-4"/>
          <w:sz w:val="26"/>
        </w:rPr>
        <w:t xml:space="preserve"> </w:t>
      </w:r>
      <w:r w:rsidR="00326E8F" w:rsidRPr="00CF446A">
        <w:rPr>
          <w:rFonts w:eastAsia="標楷體" w:hint="eastAsia"/>
          <w:spacing w:val="-4"/>
          <w:sz w:val="26"/>
        </w:rPr>
        <w:t>since</w:t>
      </w:r>
      <w:r w:rsidR="00E661EF" w:rsidRPr="00CF446A">
        <w:rPr>
          <w:rFonts w:eastAsia="標楷體"/>
          <w:spacing w:val="-4"/>
          <w:sz w:val="26"/>
        </w:rPr>
        <w:t xml:space="preserve"> </w:t>
      </w:r>
      <w:r w:rsidR="00F05264" w:rsidRPr="00CF446A">
        <w:rPr>
          <w:rFonts w:eastAsia="標楷體" w:hint="eastAsia"/>
          <w:spacing w:val="-4"/>
          <w:sz w:val="26"/>
        </w:rPr>
        <w:t>200</w:t>
      </w:r>
      <w:r w:rsidR="00123D9E" w:rsidRPr="00CF446A">
        <w:rPr>
          <w:rFonts w:eastAsia="標楷體" w:hint="eastAsia"/>
          <w:spacing w:val="-4"/>
          <w:sz w:val="26"/>
        </w:rPr>
        <w:t>1</w:t>
      </w:r>
      <w:r w:rsidR="00326E8F" w:rsidRPr="00CF446A">
        <w:rPr>
          <w:rFonts w:eastAsia="標楷體" w:hint="eastAsia"/>
          <w:spacing w:val="-4"/>
          <w:sz w:val="26"/>
        </w:rPr>
        <w:t xml:space="preserve"> has been </w:t>
      </w:r>
      <w:r w:rsidR="00123D9E" w:rsidRPr="00CF446A">
        <w:rPr>
          <w:rFonts w:eastAsia="標楷體" w:hint="eastAsia"/>
          <w:sz w:val="26"/>
        </w:rPr>
        <w:t>4.7</w:t>
      </w:r>
      <w:r w:rsidR="00326E8F" w:rsidRPr="00CF446A">
        <w:rPr>
          <w:rFonts w:eastAsia="標楷體"/>
          <w:spacing w:val="-4"/>
          <w:sz w:val="26"/>
        </w:rPr>
        <w:t>%</w:t>
      </w:r>
      <w:r w:rsidR="00563831" w:rsidRPr="00CF446A">
        <w:rPr>
          <w:rFonts w:eastAsia="標楷體" w:hint="eastAsia"/>
          <w:spacing w:val="-4"/>
          <w:sz w:val="26"/>
        </w:rPr>
        <w:t>.</w:t>
      </w:r>
      <w:r w:rsidR="00E661EF" w:rsidRPr="00CF446A">
        <w:rPr>
          <w:rFonts w:eastAsia="標楷體" w:hint="eastAsia"/>
          <w:spacing w:val="-4"/>
          <w:sz w:val="26"/>
        </w:rPr>
        <w:t xml:space="preserve"> </w:t>
      </w:r>
      <w:r w:rsidR="00326E8F" w:rsidRPr="00CF446A">
        <w:rPr>
          <w:rFonts w:eastAsia="標楷體" w:hint="eastAsia"/>
          <w:spacing w:val="-4"/>
          <w:sz w:val="26"/>
        </w:rPr>
        <w:t>M</w:t>
      </w:r>
      <w:r w:rsidR="00BE02D4" w:rsidRPr="00CF446A">
        <w:rPr>
          <w:rFonts w:eastAsia="標楷體" w:hint="eastAsia"/>
          <w:spacing w:val="-4"/>
          <w:sz w:val="26"/>
        </w:rPr>
        <w:t>edical expenses</w:t>
      </w:r>
      <w:r w:rsidR="00E661EF" w:rsidRPr="00CF446A">
        <w:rPr>
          <w:rFonts w:eastAsia="標楷體" w:hint="eastAsia"/>
          <w:spacing w:val="-4"/>
          <w:sz w:val="26"/>
        </w:rPr>
        <w:t xml:space="preserve"> the </w:t>
      </w:r>
      <w:r w:rsidR="00BE02D4" w:rsidRPr="00CF446A">
        <w:rPr>
          <w:rFonts w:eastAsia="標楷體" w:hint="eastAsia"/>
          <w:spacing w:val="-4"/>
          <w:sz w:val="26"/>
        </w:rPr>
        <w:t>main</w:t>
      </w:r>
      <w:r w:rsidR="00E661EF" w:rsidRPr="00CF446A">
        <w:rPr>
          <w:rFonts w:eastAsia="標楷體" w:hint="eastAsia"/>
          <w:spacing w:val="-4"/>
          <w:sz w:val="26"/>
        </w:rPr>
        <w:t xml:space="preserve"> </w:t>
      </w:r>
      <w:r w:rsidR="00326E8F" w:rsidRPr="00CF446A">
        <w:rPr>
          <w:rFonts w:eastAsia="標楷體" w:hint="eastAsia"/>
          <w:spacing w:val="-4"/>
          <w:sz w:val="26"/>
        </w:rPr>
        <w:t xml:space="preserve">source of </w:t>
      </w:r>
      <w:r w:rsidR="00E661EF" w:rsidRPr="00CF446A">
        <w:rPr>
          <w:rFonts w:eastAsia="標楷體" w:hint="eastAsia"/>
          <w:spacing w:val="-4"/>
          <w:sz w:val="26"/>
        </w:rPr>
        <w:t>expenses</w:t>
      </w:r>
      <w:r w:rsidR="00BE02D4" w:rsidRPr="00CF446A">
        <w:rPr>
          <w:rFonts w:eastAsia="標楷體" w:hint="eastAsia"/>
          <w:spacing w:val="-4"/>
          <w:sz w:val="26"/>
        </w:rPr>
        <w:t xml:space="preserve"> also</w:t>
      </w:r>
      <w:r w:rsidR="00E661EF" w:rsidRPr="00CF446A">
        <w:rPr>
          <w:rFonts w:eastAsia="標楷體" w:hint="eastAsia"/>
          <w:spacing w:val="-4"/>
          <w:sz w:val="26"/>
        </w:rPr>
        <w:t xml:space="preserve"> increased </w:t>
      </w:r>
      <w:r w:rsidR="00123D9E" w:rsidRPr="00CF446A">
        <w:rPr>
          <w:rFonts w:eastAsia="標楷體" w:hint="eastAsia"/>
          <w:sz w:val="26"/>
        </w:rPr>
        <w:t>4.7</w:t>
      </w:r>
      <w:r w:rsidR="00E661EF" w:rsidRPr="00CF446A">
        <w:rPr>
          <w:rFonts w:eastAsia="標楷體" w:hint="eastAsia"/>
          <w:spacing w:val="-4"/>
          <w:sz w:val="26"/>
        </w:rPr>
        <w:t>%</w:t>
      </w:r>
      <w:r w:rsidR="00E661EF" w:rsidRPr="00CF446A">
        <w:rPr>
          <w:rFonts w:eastAsia="標楷體"/>
          <w:sz w:val="26"/>
        </w:rPr>
        <w:t>.</w:t>
      </w:r>
      <w:r w:rsidR="00E661EF" w:rsidRPr="004751A8">
        <w:rPr>
          <w:rFonts w:eastAsia="標楷體"/>
          <w:sz w:val="26"/>
        </w:rPr>
        <w:t xml:space="preserve"> </w:t>
      </w:r>
    </w:p>
    <w:p w:rsidR="0004429D" w:rsidRDefault="00FD4BDA" w:rsidP="00CE1EED">
      <w:pPr>
        <w:spacing w:beforeLines="100" w:afterLines="50" w:line="240" w:lineRule="auto"/>
        <w:ind w:left="284" w:firstLineChars="54" w:firstLine="140"/>
        <w:jc w:val="center"/>
        <w:rPr>
          <w:rFonts w:eastAsia="標楷體"/>
          <w:sz w:val="26"/>
        </w:rPr>
      </w:pPr>
      <w:r w:rsidRPr="00FD4BDA">
        <w:rPr>
          <w:rFonts w:eastAsia="標楷體"/>
          <w:noProof/>
          <w:sz w:val="26"/>
        </w:rPr>
        <w:drawing>
          <wp:inline distT="0" distB="0" distL="0" distR="0">
            <wp:extent cx="6036659" cy="3099250"/>
            <wp:effectExtent l="0" t="0" r="0" b="0"/>
            <wp:docPr id="12" name="圖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1759F" w:rsidRDefault="00F1759F" w:rsidP="00CE1EED">
      <w:pPr>
        <w:spacing w:beforeLines="50" w:afterLines="100" w:line="360" w:lineRule="exact"/>
        <w:ind w:left="510" w:firstLineChars="235" w:firstLine="611"/>
        <w:jc w:val="both"/>
        <w:rPr>
          <w:rFonts w:eastAsia="標楷體"/>
          <w:sz w:val="26"/>
        </w:rPr>
      </w:pPr>
      <w:r w:rsidRPr="00CF446A">
        <w:rPr>
          <w:rFonts w:eastAsia="標楷體" w:hint="eastAsia"/>
          <w:sz w:val="26"/>
        </w:rPr>
        <w:lastRenderedPageBreak/>
        <w:t>A</w:t>
      </w:r>
      <w:r w:rsidR="003D7EB2" w:rsidRPr="00CF446A">
        <w:rPr>
          <w:rFonts w:eastAsia="標楷體" w:hint="eastAsia"/>
          <w:sz w:val="26"/>
        </w:rPr>
        <w:t xml:space="preserve">s of </w:t>
      </w:r>
      <w:r w:rsidRPr="00CF446A">
        <w:rPr>
          <w:rFonts w:eastAsia="標楷體" w:hint="eastAsia"/>
          <w:sz w:val="26"/>
        </w:rPr>
        <w:t>the end of 201</w:t>
      </w:r>
      <w:r w:rsidR="009C07A8" w:rsidRPr="00CF446A">
        <w:rPr>
          <w:rFonts w:eastAsia="標楷體" w:hint="eastAsia"/>
          <w:sz w:val="26"/>
        </w:rPr>
        <w:t>1</w:t>
      </w:r>
      <w:r w:rsidRPr="00CF446A">
        <w:rPr>
          <w:rFonts w:eastAsia="標楷體" w:hint="eastAsia"/>
          <w:sz w:val="26"/>
        </w:rPr>
        <w:t xml:space="preserve">, the </w:t>
      </w:r>
      <w:r w:rsidR="00B71797" w:rsidRPr="00CF446A">
        <w:rPr>
          <w:rFonts w:eastAsia="標楷體" w:hint="eastAsia"/>
          <w:sz w:val="26"/>
        </w:rPr>
        <w:t xml:space="preserve">working </w:t>
      </w:r>
      <w:r w:rsidR="003D7EB2" w:rsidRPr="00CF446A">
        <w:rPr>
          <w:rFonts w:eastAsia="標楷體" w:hint="eastAsia"/>
          <w:sz w:val="26"/>
        </w:rPr>
        <w:t>capital</w:t>
      </w:r>
      <w:r w:rsidR="00B71797" w:rsidRPr="00CF446A">
        <w:rPr>
          <w:rFonts w:eastAsia="標楷體" w:hint="eastAsia"/>
          <w:sz w:val="26"/>
        </w:rPr>
        <w:t xml:space="preserve"> for NHI scheme was NT$</w:t>
      </w:r>
      <w:r w:rsidR="009C07A8" w:rsidRPr="00CF446A">
        <w:rPr>
          <w:rFonts w:eastAsia="標楷體" w:hint="eastAsia"/>
          <w:sz w:val="26"/>
        </w:rPr>
        <w:t>7</w:t>
      </w:r>
      <w:r w:rsidR="00B71797" w:rsidRPr="00CF446A">
        <w:rPr>
          <w:rFonts w:eastAsia="標楷體" w:hint="eastAsia"/>
          <w:sz w:val="26"/>
        </w:rPr>
        <w:t xml:space="preserve"> billion, which included NT$6 billion</w:t>
      </w:r>
      <w:r w:rsidR="003D7EB2" w:rsidRPr="00CF446A">
        <w:rPr>
          <w:rFonts w:eastAsia="標楷體" w:hint="eastAsia"/>
          <w:sz w:val="26"/>
        </w:rPr>
        <w:t xml:space="preserve"> in demand deposit, NT$</w:t>
      </w:r>
      <w:r w:rsidR="009C07A8" w:rsidRPr="00CF446A">
        <w:rPr>
          <w:rFonts w:eastAsia="標楷體" w:hint="eastAsia"/>
          <w:sz w:val="26"/>
        </w:rPr>
        <w:t>839</w:t>
      </w:r>
      <w:r w:rsidR="003D7EB2" w:rsidRPr="00CF446A">
        <w:rPr>
          <w:rFonts w:eastAsia="標楷體" w:hint="eastAsia"/>
          <w:sz w:val="26"/>
        </w:rPr>
        <w:t xml:space="preserve"> million in other short-term investments</w:t>
      </w:r>
      <w:r w:rsidR="006A40F8" w:rsidRPr="00CF446A">
        <w:rPr>
          <w:rFonts w:eastAsia="標楷體" w:hint="eastAsia"/>
          <w:sz w:val="26"/>
        </w:rPr>
        <w:t>,</w:t>
      </w:r>
      <w:r w:rsidR="003D7EB2" w:rsidRPr="00CF446A">
        <w:rPr>
          <w:rFonts w:eastAsia="標楷體" w:hint="eastAsia"/>
          <w:sz w:val="26"/>
        </w:rPr>
        <w:t xml:space="preserve"> and NT$</w:t>
      </w:r>
      <w:r w:rsidR="009C07A8" w:rsidRPr="00CF446A">
        <w:rPr>
          <w:rFonts w:eastAsia="標楷體" w:hint="eastAsia"/>
          <w:sz w:val="26"/>
        </w:rPr>
        <w:t>88</w:t>
      </w:r>
      <w:r w:rsidR="003D7EB2" w:rsidRPr="00CF446A">
        <w:rPr>
          <w:rFonts w:eastAsia="標楷體" w:hint="eastAsia"/>
          <w:sz w:val="26"/>
        </w:rPr>
        <w:t xml:space="preserve"> million </w:t>
      </w:r>
      <w:r w:rsidR="003D7EB2" w:rsidRPr="00CF446A">
        <w:rPr>
          <w:rFonts w:eastAsia="標楷體"/>
          <w:sz w:val="26"/>
        </w:rPr>
        <w:t>in trust property.</w:t>
      </w:r>
    </w:p>
    <w:p w:rsidR="003D7EB2" w:rsidRDefault="008F6CE2" w:rsidP="00CE1EED">
      <w:pPr>
        <w:spacing w:beforeLines="50" w:afterLines="50" w:line="240" w:lineRule="auto"/>
        <w:ind w:left="284"/>
        <w:jc w:val="center"/>
        <w:rPr>
          <w:rFonts w:eastAsia="標楷體"/>
          <w:sz w:val="26"/>
        </w:rPr>
      </w:pPr>
      <w:r w:rsidRPr="008F6CE2">
        <w:rPr>
          <w:rFonts w:eastAsia="標楷體"/>
          <w:noProof/>
          <w:sz w:val="26"/>
        </w:rPr>
        <w:drawing>
          <wp:inline distT="0" distB="0" distL="0" distR="0">
            <wp:extent cx="4508500" cy="2346325"/>
            <wp:effectExtent l="57150" t="19050" r="25400" b="0"/>
            <wp:docPr id="8"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634DB" w:rsidRDefault="00C42035" w:rsidP="00CE1EED">
      <w:pPr>
        <w:spacing w:beforeLines="50" w:afterLines="100" w:line="360" w:lineRule="exact"/>
        <w:ind w:left="510" w:firstLineChars="235" w:firstLine="611"/>
        <w:jc w:val="both"/>
        <w:rPr>
          <w:rFonts w:eastAsia="標楷體"/>
          <w:sz w:val="26"/>
        </w:rPr>
      </w:pPr>
      <w:r w:rsidRPr="00CF446A">
        <w:rPr>
          <w:rFonts w:eastAsia="標楷體"/>
          <w:sz w:val="26"/>
        </w:rPr>
        <w:t>In 20</w:t>
      </w:r>
      <w:r w:rsidR="00D634DB" w:rsidRPr="00CF446A">
        <w:rPr>
          <w:rFonts w:eastAsia="標楷體" w:hint="eastAsia"/>
          <w:sz w:val="26"/>
        </w:rPr>
        <w:t>1</w:t>
      </w:r>
      <w:r w:rsidR="00601385" w:rsidRPr="00CF446A">
        <w:rPr>
          <w:rFonts w:eastAsia="標楷體" w:hint="eastAsia"/>
          <w:sz w:val="26"/>
        </w:rPr>
        <w:t>1</w:t>
      </w:r>
      <w:r w:rsidRPr="00CF446A">
        <w:rPr>
          <w:rFonts w:eastAsia="標楷體"/>
          <w:sz w:val="26"/>
        </w:rPr>
        <w:t>, revenue f</w:t>
      </w:r>
      <w:r w:rsidR="00950EAA" w:rsidRPr="00CF446A">
        <w:rPr>
          <w:rFonts w:eastAsia="標楷體" w:hint="eastAsia"/>
          <w:sz w:val="26"/>
        </w:rPr>
        <w:t>rom</w:t>
      </w:r>
      <w:r w:rsidRPr="00CF446A">
        <w:rPr>
          <w:rFonts w:eastAsia="標楷體"/>
          <w:sz w:val="26"/>
        </w:rPr>
        <w:t xml:space="preserve"> the NHI reserve fund w</w:t>
      </w:r>
      <w:r w:rsidR="006A40F8" w:rsidRPr="00CF446A">
        <w:rPr>
          <w:rFonts w:eastAsia="標楷體" w:hint="eastAsia"/>
          <w:sz w:val="26"/>
        </w:rPr>
        <w:t>as</w:t>
      </w:r>
      <w:r w:rsidRPr="00CF446A">
        <w:rPr>
          <w:rFonts w:eastAsia="標楷體"/>
          <w:sz w:val="26"/>
        </w:rPr>
        <w:t xml:space="preserve"> NT$</w:t>
      </w:r>
      <w:r w:rsidR="00601385" w:rsidRPr="00CF446A">
        <w:rPr>
          <w:rFonts w:eastAsia="標楷體" w:hint="eastAsia"/>
          <w:sz w:val="26"/>
        </w:rPr>
        <w:t>26</w:t>
      </w:r>
      <w:r w:rsidR="00D634DB" w:rsidRPr="00CF446A">
        <w:rPr>
          <w:rFonts w:eastAsia="標楷體" w:hint="eastAsia"/>
          <w:sz w:val="26"/>
        </w:rPr>
        <w:t xml:space="preserve"> </w:t>
      </w:r>
      <w:r w:rsidR="00D634DB" w:rsidRPr="00CF446A">
        <w:rPr>
          <w:rFonts w:eastAsia="標楷體"/>
          <w:sz w:val="26"/>
        </w:rPr>
        <w:t>billion</w:t>
      </w:r>
      <w:r w:rsidR="00D634DB" w:rsidRPr="00CF446A">
        <w:rPr>
          <w:rFonts w:eastAsia="標楷體" w:hint="eastAsia"/>
          <w:sz w:val="26"/>
        </w:rPr>
        <w:t>,</w:t>
      </w:r>
      <w:r w:rsidRPr="00CF446A">
        <w:rPr>
          <w:rFonts w:eastAsia="標楷體"/>
          <w:sz w:val="26"/>
        </w:rPr>
        <w:t xml:space="preserve"> </w:t>
      </w:r>
      <w:r w:rsidR="00950EAA" w:rsidRPr="00CF446A">
        <w:rPr>
          <w:rFonts w:eastAsia="標楷體" w:hint="eastAsia"/>
          <w:sz w:val="26"/>
        </w:rPr>
        <w:t>mainly coming from</w:t>
      </w:r>
      <w:r w:rsidR="00D634DB" w:rsidRPr="00CF446A">
        <w:rPr>
          <w:rFonts w:eastAsia="標楷體" w:hint="eastAsia"/>
          <w:sz w:val="26"/>
        </w:rPr>
        <w:t xml:space="preserve"> </w:t>
      </w:r>
      <w:r w:rsidR="00D634DB" w:rsidRPr="00CF446A">
        <w:rPr>
          <w:rFonts w:eastAsia="標楷體"/>
          <w:sz w:val="26"/>
        </w:rPr>
        <w:t>the lottery income and contribution for the tobacco</w:t>
      </w:r>
      <w:r w:rsidR="00950EAA" w:rsidRPr="00CF446A">
        <w:rPr>
          <w:rFonts w:eastAsia="標楷體" w:hint="eastAsia"/>
          <w:sz w:val="26"/>
        </w:rPr>
        <w:t>,</w:t>
      </w:r>
      <w:r w:rsidR="00D634DB" w:rsidRPr="00CF446A">
        <w:rPr>
          <w:rFonts w:eastAsia="標楷體"/>
          <w:sz w:val="26"/>
        </w:rPr>
        <w:t xml:space="preserve"> </w:t>
      </w:r>
      <w:r w:rsidR="00D634DB" w:rsidRPr="00CF446A">
        <w:rPr>
          <w:rFonts w:eastAsia="標楷體" w:hint="eastAsia"/>
          <w:sz w:val="26"/>
        </w:rPr>
        <w:t xml:space="preserve">accounted for </w:t>
      </w:r>
      <w:r w:rsidR="00601385" w:rsidRPr="00CF446A">
        <w:rPr>
          <w:rFonts w:eastAsia="標楷體" w:hint="eastAsia"/>
          <w:sz w:val="26"/>
        </w:rPr>
        <w:t>98.3</w:t>
      </w:r>
      <w:r w:rsidR="00D634DB" w:rsidRPr="00CF446A">
        <w:rPr>
          <w:rFonts w:eastAsia="標楷體" w:hint="eastAsia"/>
          <w:sz w:val="26"/>
        </w:rPr>
        <w:t xml:space="preserve">% </w:t>
      </w:r>
      <w:r w:rsidR="00950EAA" w:rsidRPr="00CF446A">
        <w:rPr>
          <w:rFonts w:eastAsia="標楷體" w:hint="eastAsia"/>
          <w:sz w:val="26"/>
        </w:rPr>
        <w:t>of the total income. T</w:t>
      </w:r>
      <w:r w:rsidR="00D634DB" w:rsidRPr="00CF446A">
        <w:rPr>
          <w:rFonts w:eastAsia="標楷體" w:hint="eastAsia"/>
          <w:sz w:val="26"/>
        </w:rPr>
        <w:t xml:space="preserve">he </w:t>
      </w:r>
      <w:r w:rsidR="00950EAA" w:rsidRPr="00CF446A">
        <w:rPr>
          <w:rFonts w:eastAsia="標楷體" w:hint="eastAsia"/>
          <w:sz w:val="26"/>
        </w:rPr>
        <w:t xml:space="preserve">other </w:t>
      </w:r>
      <w:r w:rsidR="00601385" w:rsidRPr="00CF446A">
        <w:rPr>
          <w:rFonts w:eastAsia="標楷體" w:hint="eastAsia"/>
          <w:sz w:val="26"/>
        </w:rPr>
        <w:t>1.7</w:t>
      </w:r>
      <w:r w:rsidR="00950EAA" w:rsidRPr="00CF446A">
        <w:rPr>
          <w:rFonts w:eastAsia="標楷體" w:hint="eastAsia"/>
          <w:sz w:val="26"/>
        </w:rPr>
        <w:t xml:space="preserve">% was from the premium </w:t>
      </w:r>
      <w:r w:rsidR="00950EAA" w:rsidRPr="00CF446A">
        <w:rPr>
          <w:rFonts w:eastAsia="標楷體"/>
          <w:sz w:val="26"/>
        </w:rPr>
        <w:t>delinquent</w:t>
      </w:r>
      <w:r w:rsidR="00950EAA" w:rsidRPr="00CF446A">
        <w:rPr>
          <w:rFonts w:eastAsia="標楷體" w:hint="eastAsia"/>
          <w:sz w:val="26"/>
        </w:rPr>
        <w:t xml:space="preserve"> charge</w:t>
      </w:r>
      <w:r w:rsidR="00D634DB" w:rsidRPr="00CF446A">
        <w:rPr>
          <w:rFonts w:eastAsia="標楷體" w:hint="eastAsia"/>
          <w:sz w:val="26"/>
        </w:rPr>
        <w:t>. T</w:t>
      </w:r>
      <w:r w:rsidRPr="00CF446A">
        <w:rPr>
          <w:rFonts w:eastAsia="標楷體"/>
          <w:sz w:val="26"/>
        </w:rPr>
        <w:t>he expenditure</w:t>
      </w:r>
      <w:r w:rsidR="00950EAA" w:rsidRPr="00CF446A">
        <w:rPr>
          <w:rFonts w:eastAsia="標楷體" w:hint="eastAsia"/>
          <w:sz w:val="26"/>
        </w:rPr>
        <w:t>,</w:t>
      </w:r>
      <w:r w:rsidRPr="00CF446A">
        <w:rPr>
          <w:rFonts w:eastAsia="標楷體"/>
          <w:sz w:val="26"/>
        </w:rPr>
        <w:t xml:space="preserve"> </w:t>
      </w:r>
      <w:r w:rsidR="00950EAA" w:rsidRPr="00CF446A">
        <w:rPr>
          <w:rFonts w:eastAsia="標楷體" w:hint="eastAsia"/>
          <w:sz w:val="26"/>
        </w:rPr>
        <w:t xml:space="preserve">amounting to </w:t>
      </w:r>
      <w:r w:rsidRPr="00CF446A">
        <w:rPr>
          <w:rFonts w:eastAsia="標楷體"/>
          <w:sz w:val="26"/>
        </w:rPr>
        <w:t>NT$2</w:t>
      </w:r>
      <w:r w:rsidR="00D634DB" w:rsidRPr="00CF446A">
        <w:rPr>
          <w:rFonts w:eastAsia="標楷體" w:hint="eastAsia"/>
          <w:sz w:val="26"/>
        </w:rPr>
        <w:t>6</w:t>
      </w:r>
      <w:r w:rsidRPr="00CF446A">
        <w:rPr>
          <w:rFonts w:eastAsia="標楷體"/>
          <w:sz w:val="26"/>
        </w:rPr>
        <w:t xml:space="preserve"> billion</w:t>
      </w:r>
      <w:r w:rsidR="00950EAA" w:rsidRPr="00CF446A">
        <w:rPr>
          <w:rFonts w:eastAsia="標楷體" w:hint="eastAsia"/>
          <w:sz w:val="26"/>
        </w:rPr>
        <w:t>,</w:t>
      </w:r>
      <w:r w:rsidRPr="00CF446A">
        <w:rPr>
          <w:rFonts w:eastAsia="標楷體"/>
          <w:sz w:val="26"/>
        </w:rPr>
        <w:t xml:space="preserve"> </w:t>
      </w:r>
      <w:r w:rsidR="00950EAA" w:rsidRPr="00CF446A">
        <w:rPr>
          <w:rFonts w:eastAsia="標楷體" w:hint="eastAsia"/>
          <w:sz w:val="26"/>
        </w:rPr>
        <w:t xml:space="preserve">was fully used to cover the </w:t>
      </w:r>
      <w:r w:rsidR="00A4051C" w:rsidRPr="00CF446A">
        <w:rPr>
          <w:rFonts w:eastAsia="標楷體" w:hint="eastAsia"/>
          <w:sz w:val="26"/>
        </w:rPr>
        <w:t>deficits in</w:t>
      </w:r>
      <w:r w:rsidR="00D634DB" w:rsidRPr="00CF446A">
        <w:rPr>
          <w:rFonts w:eastAsia="標楷體"/>
          <w:sz w:val="26"/>
        </w:rPr>
        <w:t xml:space="preserve"> medical </w:t>
      </w:r>
      <w:r w:rsidR="00A4051C" w:rsidRPr="00CF446A">
        <w:rPr>
          <w:rFonts w:eastAsia="標楷體" w:hint="eastAsia"/>
          <w:sz w:val="26"/>
        </w:rPr>
        <w:t>expenses</w:t>
      </w:r>
      <w:r w:rsidR="00D634DB" w:rsidRPr="00CF446A">
        <w:rPr>
          <w:rFonts w:eastAsia="標楷體"/>
          <w:sz w:val="26"/>
        </w:rPr>
        <w:t xml:space="preserve">. The deficit </w:t>
      </w:r>
      <w:r w:rsidR="00D634DB" w:rsidRPr="00CF446A">
        <w:rPr>
          <w:rFonts w:eastAsia="標楷體" w:hint="eastAsia"/>
          <w:sz w:val="26"/>
        </w:rPr>
        <w:t>wa</w:t>
      </w:r>
      <w:r w:rsidR="00D634DB" w:rsidRPr="00CF446A">
        <w:rPr>
          <w:rFonts w:eastAsia="標楷體"/>
          <w:sz w:val="26"/>
        </w:rPr>
        <w:t>s NT$</w:t>
      </w:r>
      <w:r w:rsidR="00B858C5" w:rsidRPr="00CF446A">
        <w:rPr>
          <w:rFonts w:eastAsia="標楷體" w:hint="eastAsia"/>
          <w:sz w:val="26"/>
        </w:rPr>
        <w:t>7</w:t>
      </w:r>
      <w:r w:rsidR="00D634DB" w:rsidRPr="00CF446A">
        <w:rPr>
          <w:rFonts w:eastAsia="標楷體"/>
          <w:sz w:val="26"/>
        </w:rPr>
        <w:t xml:space="preserve"> </w:t>
      </w:r>
      <w:r w:rsidR="00D634DB" w:rsidRPr="00CF446A">
        <w:rPr>
          <w:rFonts w:eastAsia="標楷體" w:hint="eastAsia"/>
          <w:sz w:val="26"/>
        </w:rPr>
        <w:t>m</w:t>
      </w:r>
      <w:r w:rsidR="00D634DB" w:rsidRPr="00CF446A">
        <w:rPr>
          <w:rFonts w:eastAsia="標楷體"/>
          <w:sz w:val="26"/>
        </w:rPr>
        <w:t>illion</w:t>
      </w:r>
      <w:r w:rsidR="00075BD4" w:rsidRPr="00CF446A">
        <w:rPr>
          <w:rFonts w:eastAsia="標楷體" w:hint="eastAsia"/>
          <w:sz w:val="26"/>
        </w:rPr>
        <w:t xml:space="preserve"> in 201</w:t>
      </w:r>
      <w:r w:rsidR="00B858C5" w:rsidRPr="00CF446A">
        <w:rPr>
          <w:rFonts w:eastAsia="標楷體" w:hint="eastAsia"/>
          <w:sz w:val="26"/>
        </w:rPr>
        <w:t>1</w:t>
      </w:r>
      <w:r w:rsidR="00D634DB" w:rsidRPr="00CF446A">
        <w:rPr>
          <w:rFonts w:eastAsia="標楷體" w:hint="eastAsia"/>
          <w:sz w:val="26"/>
        </w:rPr>
        <w:t xml:space="preserve">. </w:t>
      </w:r>
      <w:r w:rsidR="00075BD4" w:rsidRPr="00CF446A">
        <w:rPr>
          <w:rFonts w:eastAsia="標楷體" w:hint="eastAsia"/>
          <w:sz w:val="26"/>
        </w:rPr>
        <w:t>As of the end of 201</w:t>
      </w:r>
      <w:r w:rsidR="00B858C5" w:rsidRPr="00CF446A">
        <w:rPr>
          <w:rFonts w:eastAsia="標楷體" w:hint="eastAsia"/>
          <w:sz w:val="26"/>
        </w:rPr>
        <w:t>1</w:t>
      </w:r>
      <w:r w:rsidR="00075BD4" w:rsidRPr="00CF446A">
        <w:rPr>
          <w:rFonts w:eastAsia="標楷體" w:hint="eastAsia"/>
          <w:sz w:val="26"/>
        </w:rPr>
        <w:t>, t</w:t>
      </w:r>
      <w:r w:rsidR="00D634DB" w:rsidRPr="00CF446A">
        <w:rPr>
          <w:rFonts w:eastAsia="標楷體"/>
          <w:sz w:val="26"/>
        </w:rPr>
        <w:t xml:space="preserve">he </w:t>
      </w:r>
      <w:r w:rsidR="00D634DB" w:rsidRPr="00CF446A">
        <w:rPr>
          <w:rFonts w:eastAsia="標楷體" w:hint="eastAsia"/>
          <w:sz w:val="26"/>
        </w:rPr>
        <w:t xml:space="preserve">accumulated </w:t>
      </w:r>
      <w:r w:rsidR="00A4051C" w:rsidRPr="00CF446A">
        <w:rPr>
          <w:rFonts w:eastAsia="標楷體" w:hint="eastAsia"/>
          <w:sz w:val="26"/>
        </w:rPr>
        <w:t>balance</w:t>
      </w:r>
      <w:r w:rsidR="00D634DB" w:rsidRPr="00CF446A">
        <w:rPr>
          <w:rFonts w:eastAsia="標楷體"/>
          <w:sz w:val="26"/>
        </w:rPr>
        <w:t xml:space="preserve"> was NT$</w:t>
      </w:r>
      <w:r w:rsidR="00075BD4" w:rsidRPr="00CF446A">
        <w:rPr>
          <w:rFonts w:eastAsia="標楷體" w:hint="eastAsia"/>
          <w:sz w:val="26"/>
        </w:rPr>
        <w:t>17</w:t>
      </w:r>
      <w:r w:rsidR="008622BA" w:rsidRPr="00CF446A">
        <w:rPr>
          <w:rFonts w:eastAsia="標楷體" w:hint="eastAsia"/>
          <w:sz w:val="26"/>
        </w:rPr>
        <w:t>2</w:t>
      </w:r>
      <w:r w:rsidR="00D634DB" w:rsidRPr="00CF446A">
        <w:rPr>
          <w:rFonts w:eastAsia="標楷體"/>
          <w:sz w:val="26"/>
        </w:rPr>
        <w:t xml:space="preserve"> </w:t>
      </w:r>
      <w:r w:rsidR="00075BD4" w:rsidRPr="00CF446A">
        <w:rPr>
          <w:rFonts w:eastAsia="標楷體" w:hint="eastAsia"/>
          <w:sz w:val="26"/>
        </w:rPr>
        <w:t>m</w:t>
      </w:r>
      <w:r w:rsidR="00D634DB" w:rsidRPr="00CF446A">
        <w:rPr>
          <w:rFonts w:eastAsia="標楷體"/>
          <w:sz w:val="26"/>
        </w:rPr>
        <w:t>illion.</w:t>
      </w:r>
    </w:p>
    <w:p w:rsidR="00A7641A" w:rsidRDefault="00A7641A" w:rsidP="00CE1EED">
      <w:pPr>
        <w:spacing w:beforeLines="100" w:afterLines="50"/>
        <w:jc w:val="both"/>
        <w:rPr>
          <w:rFonts w:eastAsia="標楷體"/>
          <w:sz w:val="26"/>
        </w:rPr>
      </w:pPr>
      <w:r>
        <w:rPr>
          <w:rFonts w:eastAsia="標楷體" w:hint="eastAsia"/>
          <w:sz w:val="26"/>
        </w:rPr>
        <w:t>Notes:</w:t>
      </w:r>
    </w:p>
    <w:p w:rsidR="00A7641A" w:rsidRPr="00C865B9" w:rsidRDefault="00A7641A" w:rsidP="00A7641A">
      <w:pPr>
        <w:pStyle w:val="af"/>
        <w:numPr>
          <w:ilvl w:val="0"/>
          <w:numId w:val="14"/>
        </w:numPr>
        <w:adjustRightInd/>
        <w:spacing w:line="240" w:lineRule="auto"/>
        <w:ind w:leftChars="118" w:left="608" w:hangingChars="125" w:hanging="325"/>
        <w:jc w:val="both"/>
        <w:textAlignment w:val="auto"/>
        <w:rPr>
          <w:rFonts w:eastAsia="標楷體"/>
          <w:sz w:val="26"/>
          <w:szCs w:val="26"/>
        </w:rPr>
      </w:pPr>
      <w:r w:rsidRPr="009B3EA3">
        <w:rPr>
          <w:rFonts w:eastAsia="標楷體" w:hint="eastAsia"/>
          <w:sz w:val="26"/>
          <w:szCs w:val="26"/>
          <w:lang w:val="en-GB"/>
        </w:rPr>
        <w:t>Data</w:t>
      </w:r>
      <w:r w:rsidRPr="009B3EA3">
        <w:rPr>
          <w:rFonts w:eastAsia="標楷體"/>
          <w:sz w:val="26"/>
          <w:szCs w:val="26"/>
          <w:lang w:val="en-GB"/>
        </w:rPr>
        <w:t xml:space="preserve"> in this chapter was last updated on </w:t>
      </w:r>
      <w:r>
        <w:rPr>
          <w:rFonts w:eastAsia="標楷體" w:hint="eastAsia"/>
          <w:sz w:val="26"/>
          <w:szCs w:val="26"/>
          <w:lang w:val="en-GB"/>
        </w:rPr>
        <w:t>May</w:t>
      </w:r>
      <w:r w:rsidRPr="009B3EA3">
        <w:rPr>
          <w:rFonts w:eastAsia="標楷體"/>
          <w:sz w:val="26"/>
          <w:szCs w:val="26"/>
          <w:lang w:val="en-GB"/>
        </w:rPr>
        <w:t xml:space="preserve"> </w:t>
      </w:r>
      <w:r w:rsidR="00501254">
        <w:rPr>
          <w:rFonts w:eastAsia="標楷體" w:hint="eastAsia"/>
          <w:sz w:val="26"/>
          <w:szCs w:val="26"/>
          <w:lang w:val="en-GB"/>
        </w:rPr>
        <w:t>2</w:t>
      </w:r>
      <w:r w:rsidRPr="009B3EA3">
        <w:rPr>
          <w:rFonts w:eastAsia="標楷體"/>
          <w:sz w:val="26"/>
          <w:szCs w:val="26"/>
          <w:lang w:val="en-GB"/>
        </w:rPr>
        <w:t>, 20</w:t>
      </w:r>
      <w:r w:rsidR="00501254">
        <w:rPr>
          <w:rFonts w:eastAsia="標楷體" w:hint="eastAsia"/>
          <w:sz w:val="26"/>
          <w:szCs w:val="26"/>
          <w:lang w:val="en-GB"/>
        </w:rPr>
        <w:t>12</w:t>
      </w:r>
      <w:r w:rsidRPr="009B3EA3">
        <w:rPr>
          <w:rFonts w:eastAsia="標楷體"/>
          <w:sz w:val="26"/>
          <w:szCs w:val="26"/>
          <w:lang w:val="en-GB"/>
        </w:rPr>
        <w:t>.</w:t>
      </w:r>
    </w:p>
    <w:p w:rsidR="00C865B9" w:rsidRDefault="00C865B9" w:rsidP="00CE1EED">
      <w:pPr>
        <w:pStyle w:val="af"/>
        <w:numPr>
          <w:ilvl w:val="0"/>
          <w:numId w:val="14"/>
        </w:numPr>
        <w:adjustRightInd/>
        <w:spacing w:afterLines="50" w:line="240" w:lineRule="auto"/>
        <w:ind w:leftChars="118" w:left="608" w:hangingChars="125" w:hanging="325"/>
        <w:jc w:val="both"/>
        <w:textAlignment w:val="auto"/>
        <w:rPr>
          <w:rFonts w:eastAsia="標楷體"/>
          <w:sz w:val="26"/>
          <w:szCs w:val="26"/>
        </w:rPr>
      </w:pPr>
      <w:r w:rsidRPr="00C865B9">
        <w:rPr>
          <w:rFonts w:eastAsia="標楷體"/>
          <w:sz w:val="26"/>
          <w:szCs w:val="26"/>
        </w:rPr>
        <w:t>The "premium receivable" in this chapter means the premium amount that has been corrected based on the queries/requests by the insured or the group insurance applicants.</w:t>
      </w:r>
    </w:p>
    <w:p w:rsidR="00C865B9" w:rsidRDefault="00C865B9" w:rsidP="00CE1EED">
      <w:pPr>
        <w:pStyle w:val="af"/>
        <w:numPr>
          <w:ilvl w:val="0"/>
          <w:numId w:val="14"/>
        </w:numPr>
        <w:adjustRightInd/>
        <w:spacing w:afterLines="50" w:line="240" w:lineRule="auto"/>
        <w:ind w:leftChars="118" w:left="608" w:hangingChars="125" w:hanging="325"/>
        <w:jc w:val="both"/>
        <w:textAlignment w:val="auto"/>
        <w:rPr>
          <w:rFonts w:eastAsia="標楷體"/>
          <w:sz w:val="26"/>
          <w:szCs w:val="26"/>
        </w:rPr>
      </w:pPr>
      <w:r w:rsidRPr="00C865B9">
        <w:rPr>
          <w:rFonts w:eastAsia="標楷體"/>
          <w:sz w:val="26"/>
          <w:szCs w:val="26"/>
        </w:rPr>
        <w:t xml:space="preserve">In this chapter, statutory subsidies provided by the </w:t>
      </w:r>
      <w:r w:rsidR="00753FCB">
        <w:rPr>
          <w:rFonts w:eastAsia="標楷體"/>
          <w:sz w:val="26"/>
          <w:szCs w:val="26"/>
        </w:rPr>
        <w:t>different</w:t>
      </w:r>
      <w:r w:rsidR="00753FCB">
        <w:rPr>
          <w:rFonts w:eastAsia="標楷體" w:hint="eastAsia"/>
          <w:sz w:val="26"/>
          <w:szCs w:val="26"/>
        </w:rPr>
        <w:t xml:space="preserve"> levels of </w:t>
      </w:r>
      <w:r w:rsidRPr="00C865B9">
        <w:rPr>
          <w:rFonts w:eastAsia="標楷體"/>
          <w:sz w:val="26"/>
          <w:szCs w:val="26"/>
        </w:rPr>
        <w:t>government</w:t>
      </w:r>
      <w:r w:rsidR="00753FCB">
        <w:rPr>
          <w:rFonts w:eastAsia="標楷體" w:hint="eastAsia"/>
          <w:sz w:val="26"/>
          <w:szCs w:val="26"/>
        </w:rPr>
        <w:t>s</w:t>
      </w:r>
      <w:r w:rsidRPr="00C865B9">
        <w:rPr>
          <w:rFonts w:eastAsia="標楷體"/>
          <w:sz w:val="26"/>
          <w:szCs w:val="26"/>
        </w:rPr>
        <w:t xml:space="preserve"> shall be determined in accordance with the subsidy levels prescribed in the National Health Insurance Act.</w:t>
      </w:r>
    </w:p>
    <w:p w:rsidR="00C865B9" w:rsidRDefault="00C865B9" w:rsidP="00CE1EED">
      <w:pPr>
        <w:pStyle w:val="af"/>
        <w:numPr>
          <w:ilvl w:val="0"/>
          <w:numId w:val="14"/>
        </w:numPr>
        <w:adjustRightInd/>
        <w:spacing w:afterLines="50" w:line="240" w:lineRule="auto"/>
        <w:ind w:leftChars="118" w:left="608" w:hangingChars="125" w:hanging="325"/>
        <w:jc w:val="both"/>
        <w:textAlignment w:val="auto"/>
        <w:rPr>
          <w:rFonts w:eastAsia="標楷體"/>
          <w:sz w:val="26"/>
          <w:szCs w:val="26"/>
        </w:rPr>
      </w:pPr>
      <w:r w:rsidRPr="00C865B9">
        <w:rPr>
          <w:rFonts w:eastAsia="標楷體"/>
          <w:sz w:val="26"/>
          <w:szCs w:val="26"/>
        </w:rPr>
        <w:t xml:space="preserve">"Government </w:t>
      </w:r>
      <w:r w:rsidR="00DD0A09">
        <w:rPr>
          <w:rFonts w:eastAsia="標楷體" w:hint="eastAsia"/>
          <w:sz w:val="26"/>
          <w:szCs w:val="26"/>
        </w:rPr>
        <w:t>s</w:t>
      </w:r>
      <w:r w:rsidRPr="00C865B9">
        <w:rPr>
          <w:rFonts w:eastAsia="標楷體"/>
          <w:sz w:val="26"/>
          <w:szCs w:val="26"/>
        </w:rPr>
        <w:t xml:space="preserve">ubsidies to </w:t>
      </w:r>
      <w:r w:rsidR="00DD0A09">
        <w:rPr>
          <w:rFonts w:eastAsia="標楷體" w:hint="eastAsia"/>
          <w:sz w:val="26"/>
          <w:szCs w:val="26"/>
        </w:rPr>
        <w:t>s</w:t>
      </w:r>
      <w:r w:rsidRPr="00C865B9">
        <w:rPr>
          <w:rFonts w:eastAsia="標楷體"/>
          <w:sz w:val="26"/>
          <w:szCs w:val="26"/>
        </w:rPr>
        <w:t xml:space="preserve">pecific </w:t>
      </w:r>
      <w:r w:rsidR="00DD0A09">
        <w:rPr>
          <w:rFonts w:eastAsia="標楷體" w:hint="eastAsia"/>
          <w:sz w:val="26"/>
          <w:szCs w:val="26"/>
        </w:rPr>
        <w:t>t</w:t>
      </w:r>
      <w:r w:rsidRPr="00C865B9">
        <w:rPr>
          <w:rFonts w:eastAsia="標楷體"/>
          <w:sz w:val="26"/>
          <w:szCs w:val="26"/>
        </w:rPr>
        <w:t>arge</w:t>
      </w:r>
      <w:r w:rsidR="006A40F8">
        <w:rPr>
          <w:rFonts w:eastAsia="標楷體"/>
          <w:sz w:val="26"/>
          <w:szCs w:val="26"/>
        </w:rPr>
        <w:t>ts" (</w:t>
      </w:r>
      <w:r w:rsidR="006A40F8">
        <w:rPr>
          <w:rFonts w:eastAsia="標楷體" w:hint="eastAsia"/>
          <w:sz w:val="26"/>
          <w:szCs w:val="26"/>
        </w:rPr>
        <w:t>n</w:t>
      </w:r>
      <w:r w:rsidRPr="00C865B9">
        <w:rPr>
          <w:rFonts w:eastAsia="標楷體"/>
          <w:sz w:val="26"/>
          <w:szCs w:val="26"/>
        </w:rPr>
        <w:t>on-statutory subsidies from the government) in this chapter means the separately-budgeted government subsidies for premium payments, which were originally payable by the insured or the group insurance applicants pursuant to the National Health Insurance Act.</w:t>
      </w:r>
    </w:p>
    <w:p w:rsidR="00C865B9" w:rsidRPr="009B3EA3" w:rsidRDefault="00075805" w:rsidP="00CE1EED">
      <w:pPr>
        <w:pStyle w:val="af"/>
        <w:numPr>
          <w:ilvl w:val="0"/>
          <w:numId w:val="14"/>
        </w:numPr>
        <w:adjustRightInd/>
        <w:spacing w:afterLines="50" w:line="240" w:lineRule="auto"/>
        <w:ind w:leftChars="118" w:left="608" w:hangingChars="125" w:hanging="325"/>
        <w:jc w:val="both"/>
        <w:textAlignment w:val="auto"/>
        <w:rPr>
          <w:rFonts w:eastAsia="標楷體"/>
          <w:sz w:val="26"/>
          <w:szCs w:val="26"/>
        </w:rPr>
      </w:pPr>
      <w:proofErr w:type="spellStart"/>
      <w:r w:rsidRPr="00075805">
        <w:rPr>
          <w:rFonts w:eastAsia="標楷體"/>
          <w:sz w:val="26"/>
          <w:szCs w:val="26"/>
        </w:rPr>
        <w:t>Taoyuan</w:t>
      </w:r>
      <w:proofErr w:type="spellEnd"/>
      <w:r w:rsidR="00C865B9" w:rsidRPr="00C865B9">
        <w:rPr>
          <w:rFonts w:eastAsia="標楷體"/>
          <w:sz w:val="26"/>
          <w:szCs w:val="26"/>
        </w:rPr>
        <w:t xml:space="preserve"> County was upgraded to a quasi special-municipality in 20</w:t>
      </w:r>
      <w:r>
        <w:rPr>
          <w:rFonts w:eastAsia="標楷體" w:hint="eastAsia"/>
          <w:sz w:val="26"/>
          <w:szCs w:val="26"/>
        </w:rPr>
        <w:t>11</w:t>
      </w:r>
      <w:r w:rsidR="00C865B9" w:rsidRPr="00C865B9">
        <w:rPr>
          <w:rFonts w:eastAsia="標楷體"/>
          <w:sz w:val="26"/>
          <w:szCs w:val="26"/>
        </w:rPr>
        <w:t>. The subsidy level was therefore upgraded to the provincial/municipal level.</w:t>
      </w:r>
    </w:p>
    <w:sectPr w:rsidR="00C865B9" w:rsidRPr="009B3EA3" w:rsidSect="00815467">
      <w:footerReference w:type="default" r:id="rId14"/>
      <w:pgSz w:w="11907" w:h="16840" w:code="9"/>
      <w:pgMar w:top="1701" w:right="1134" w:bottom="1304" w:left="1134" w:header="567" w:footer="680" w:gutter="0"/>
      <w:pgNumType w:start="62"/>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458" w:rsidRDefault="00572458">
      <w:pPr>
        <w:spacing w:line="240" w:lineRule="auto"/>
      </w:pPr>
      <w:r>
        <w:separator/>
      </w:r>
    </w:p>
  </w:endnote>
  <w:endnote w:type="continuationSeparator" w:id="0">
    <w:p w:rsidR="00572458" w:rsidRDefault="005724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全真楷書">
    <w:altName w:val="Arial Unicode MS"/>
    <w:charset w:val="88"/>
    <w:family w:val="modern"/>
    <w:pitch w:val="fixed"/>
    <w:sig w:usb0="00000000" w:usb1="08080000" w:usb2="00000010" w:usb3="00000000" w:csb0="00100000" w:csb1="00000000"/>
  </w:font>
  <w:font w:name="細明體">
    <w:altName w:val="MingLiU"/>
    <w:panose1 w:val="02020309000000000000"/>
    <w:charset w:val="88"/>
    <w:family w:val="modern"/>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717" w:rsidRDefault="00CC7717" w:rsidP="00C65E1A">
    <w:pPr>
      <w:pStyle w:val="ab"/>
      <w:jc w:val="center"/>
    </w:pPr>
    <w:r w:rsidRPr="00C65E1A">
      <w:rPr>
        <w:rFonts w:hint="eastAsia"/>
        <w:sz w:val="24"/>
        <w:szCs w:val="24"/>
      </w:rPr>
      <w:t>-</w:t>
    </w:r>
    <w:r>
      <w:rPr>
        <w:sz w:val="24"/>
        <w:szCs w:val="24"/>
      </w:rPr>
      <w:t xml:space="preserve"> </w:t>
    </w:r>
    <w:r w:rsidR="00CE1EED" w:rsidRPr="000018C6">
      <w:rPr>
        <w:sz w:val="24"/>
        <w:szCs w:val="24"/>
      </w:rPr>
      <w:fldChar w:fldCharType="begin"/>
    </w:r>
    <w:r w:rsidRPr="000018C6">
      <w:rPr>
        <w:sz w:val="24"/>
        <w:szCs w:val="24"/>
      </w:rPr>
      <w:instrText xml:space="preserve"> PAGE   \* MERGEFORMAT </w:instrText>
    </w:r>
    <w:r w:rsidR="00CE1EED" w:rsidRPr="000018C6">
      <w:rPr>
        <w:sz w:val="24"/>
        <w:szCs w:val="24"/>
      </w:rPr>
      <w:fldChar w:fldCharType="separate"/>
    </w:r>
    <w:r w:rsidR="00060EC0" w:rsidRPr="00060EC0">
      <w:rPr>
        <w:noProof/>
        <w:sz w:val="24"/>
        <w:szCs w:val="24"/>
        <w:lang w:val="zh-TW"/>
      </w:rPr>
      <w:t>66</w:t>
    </w:r>
    <w:r w:rsidR="00CE1EED" w:rsidRPr="000018C6">
      <w:rPr>
        <w:sz w:val="24"/>
        <w:szCs w:val="24"/>
      </w:rPr>
      <w:fldChar w:fldCharType="end"/>
    </w:r>
    <w:r>
      <w:rPr>
        <w:rFonts w:hint="eastAsia"/>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458" w:rsidRDefault="00572458">
      <w:pPr>
        <w:spacing w:line="240" w:lineRule="auto"/>
      </w:pPr>
      <w:r>
        <w:separator/>
      </w:r>
    </w:p>
  </w:footnote>
  <w:footnote w:type="continuationSeparator" w:id="0">
    <w:p w:rsidR="00572458" w:rsidRDefault="005724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1673"/>
    <w:multiLevelType w:val="hybridMultilevel"/>
    <w:tmpl w:val="CB226BE2"/>
    <w:lvl w:ilvl="0" w:tplc="9A7CFF7E">
      <w:start w:val="4"/>
      <w:numFmt w:val="decimal"/>
      <w:lvlText w:val="%1."/>
      <w:lvlJc w:val="left"/>
      <w:pPr>
        <w:ind w:left="285" w:hanging="285"/>
      </w:pPr>
      <w:rPr>
        <w:rFonts w:ascii="Times New Roman" w:eastAsia="標楷體" w:hAnsi="Times New Roman" w:cs="Times New Roman" w:hint="default"/>
        <w:b w:val="0"/>
        <w:i w:val="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BFB2A28"/>
    <w:multiLevelType w:val="singleLevel"/>
    <w:tmpl w:val="066A7538"/>
    <w:lvl w:ilvl="0">
      <w:start w:val="1"/>
      <w:numFmt w:val="decimal"/>
      <w:lvlText w:val="%1."/>
      <w:lvlJc w:val="left"/>
      <w:pPr>
        <w:ind w:left="285" w:hanging="285"/>
      </w:pPr>
      <w:rPr>
        <w:rFonts w:ascii="Times New Roman" w:eastAsia="標楷體" w:hAnsi="Times New Roman" w:cs="Times New Roman" w:hint="default"/>
        <w:b w:val="0"/>
        <w:i w:val="0"/>
        <w:sz w:val="28"/>
      </w:rPr>
    </w:lvl>
  </w:abstractNum>
  <w:abstractNum w:abstractNumId="2">
    <w:nsid w:val="253D5BF7"/>
    <w:multiLevelType w:val="hybridMultilevel"/>
    <w:tmpl w:val="F3D6DFA2"/>
    <w:lvl w:ilvl="0" w:tplc="2DE07572">
      <w:start w:val="2"/>
      <w:numFmt w:val="decimal"/>
      <w:lvlText w:val="%1."/>
      <w:lvlJc w:val="left"/>
      <w:pPr>
        <w:ind w:left="285" w:hanging="285"/>
      </w:pPr>
      <w:rPr>
        <w:rFonts w:ascii="Times New Roman" w:eastAsia="標楷體" w:hAnsi="Times New Roman" w:cs="Times New Roman" w:hint="default"/>
        <w:b w:val="0"/>
        <w:i w:val="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30322F6C"/>
    <w:multiLevelType w:val="hybridMultilevel"/>
    <w:tmpl w:val="0646FAF6"/>
    <w:lvl w:ilvl="0" w:tplc="AAF8907A">
      <w:start w:val="1"/>
      <w:numFmt w:val="upperRoman"/>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38531940"/>
    <w:multiLevelType w:val="hybridMultilevel"/>
    <w:tmpl w:val="EBC0EB06"/>
    <w:lvl w:ilvl="0" w:tplc="53901438">
      <w:start w:val="4"/>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39D7286E"/>
    <w:multiLevelType w:val="hybridMultilevel"/>
    <w:tmpl w:val="1A823E42"/>
    <w:lvl w:ilvl="0" w:tplc="12AE1ED4">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6">
    <w:nsid w:val="3AD83380"/>
    <w:multiLevelType w:val="hybridMultilevel"/>
    <w:tmpl w:val="1F26417A"/>
    <w:lvl w:ilvl="0" w:tplc="666EE856">
      <w:start w:val="1"/>
      <w:numFmt w:val="decimal"/>
      <w:lvlText w:val="%1."/>
      <w:lvlJc w:val="left"/>
      <w:pPr>
        <w:ind w:left="480" w:hanging="480"/>
      </w:pPr>
      <w:rPr>
        <w:rFonts w:ascii="Times New Roman" w:eastAsia="全真楷書" w:hAnsi="Times New Roman" w:cs="Times New Roman" w:hint="default"/>
        <w:b w:val="0"/>
        <w:i w:val="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C583C2B"/>
    <w:multiLevelType w:val="singleLevel"/>
    <w:tmpl w:val="DE24BEF6"/>
    <w:lvl w:ilvl="0">
      <w:start w:val="5"/>
      <w:numFmt w:val="taiwaneseCountingThousand"/>
      <w:lvlText w:val="%1、"/>
      <w:legacy w:legacy="1" w:legacySpace="0" w:legacyIndent="540"/>
      <w:lvlJc w:val="left"/>
      <w:pPr>
        <w:ind w:left="540" w:hanging="540"/>
      </w:pPr>
      <w:rPr>
        <w:rFonts w:ascii="標楷體" w:eastAsia="標楷體" w:cs="Times New Roman" w:hint="eastAsia"/>
        <w:b/>
        <w:i w:val="0"/>
        <w:sz w:val="26"/>
      </w:rPr>
    </w:lvl>
  </w:abstractNum>
  <w:abstractNum w:abstractNumId="8">
    <w:nsid w:val="3E685116"/>
    <w:multiLevelType w:val="hybridMultilevel"/>
    <w:tmpl w:val="AA3420D0"/>
    <w:lvl w:ilvl="0" w:tplc="772A0A4E">
      <w:start w:val="4"/>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467421A8"/>
    <w:multiLevelType w:val="hybridMultilevel"/>
    <w:tmpl w:val="E5360BD0"/>
    <w:lvl w:ilvl="0" w:tplc="4746DF3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4D7D790C"/>
    <w:multiLevelType w:val="hybridMultilevel"/>
    <w:tmpl w:val="323A3C2E"/>
    <w:lvl w:ilvl="0" w:tplc="F5486CFC">
      <w:start w:val="4"/>
      <w:numFmt w:val="decimal"/>
      <w:lvlText w:val="%1."/>
      <w:lvlJc w:val="left"/>
      <w:pPr>
        <w:ind w:left="285" w:hanging="285"/>
      </w:pPr>
      <w:rPr>
        <w:rFonts w:ascii="Times New Roman" w:eastAsia="標楷體" w:hAnsi="Times New Roman" w:cs="Times New Roman" w:hint="default"/>
        <w:b w:val="0"/>
        <w:i w:val="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62325509"/>
    <w:multiLevelType w:val="hybridMultilevel"/>
    <w:tmpl w:val="164EF60C"/>
    <w:lvl w:ilvl="0" w:tplc="AF56F0E4">
      <w:numFmt w:val="bullet"/>
      <w:lvlText w:val="-"/>
      <w:lvlJc w:val="left"/>
      <w:pPr>
        <w:ind w:left="360" w:hanging="360"/>
      </w:pPr>
      <w:rPr>
        <w:rFonts w:ascii="Times New Roman" w:eastAsia="細明體" w:hAnsi="Times New Roman" w:cs="Times New Roman"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252166E"/>
    <w:multiLevelType w:val="singleLevel"/>
    <w:tmpl w:val="8D129150"/>
    <w:lvl w:ilvl="0">
      <w:start w:val="2"/>
      <w:numFmt w:val="decimal"/>
      <w:lvlText w:val="%1."/>
      <w:lvlJc w:val="left"/>
      <w:pPr>
        <w:ind w:left="285" w:hanging="285"/>
      </w:pPr>
      <w:rPr>
        <w:rFonts w:ascii="Times New Roman" w:eastAsia="標楷體" w:hAnsi="Times New Roman" w:cs="Times New Roman" w:hint="default"/>
        <w:b w:val="0"/>
        <w:i w:val="0"/>
        <w:sz w:val="28"/>
      </w:rPr>
    </w:lvl>
  </w:abstractNum>
  <w:abstractNum w:abstractNumId="13">
    <w:nsid w:val="741E7870"/>
    <w:multiLevelType w:val="singleLevel"/>
    <w:tmpl w:val="578E654C"/>
    <w:lvl w:ilvl="0">
      <w:start w:val="3"/>
      <w:numFmt w:val="decimal"/>
      <w:lvlText w:val="%1."/>
      <w:legacy w:legacy="1" w:legacySpace="0" w:legacyIndent="210"/>
      <w:lvlJc w:val="left"/>
      <w:pPr>
        <w:ind w:left="210" w:hanging="210"/>
      </w:pPr>
      <w:rPr>
        <w:rFonts w:cs="Times New Roman"/>
        <w:b w:val="0"/>
        <w:i w:val="0"/>
        <w:sz w:val="28"/>
      </w:rPr>
    </w:lvl>
  </w:abstractNum>
  <w:num w:numId="1">
    <w:abstractNumId w:val="1"/>
  </w:num>
  <w:num w:numId="2">
    <w:abstractNumId w:val="12"/>
  </w:num>
  <w:num w:numId="3">
    <w:abstractNumId w:val="13"/>
  </w:num>
  <w:num w:numId="4">
    <w:abstractNumId w:val="7"/>
  </w:num>
  <w:num w:numId="5">
    <w:abstractNumId w:val="12"/>
    <w:lvlOverride w:ilvl="0">
      <w:lvl w:ilvl="0">
        <w:start w:val="2"/>
        <w:numFmt w:val="decimal"/>
        <w:lvlText w:val="%1."/>
        <w:lvlJc w:val="left"/>
        <w:pPr>
          <w:ind w:left="285" w:hanging="285"/>
        </w:pPr>
        <w:rPr>
          <w:rFonts w:ascii="Times New Roman" w:eastAsia="標楷體" w:hAnsi="Times New Roman" w:cs="Times New Roman" w:hint="default"/>
          <w:b w:val="0"/>
          <w:i w:val="0"/>
          <w:sz w:val="28"/>
        </w:rPr>
      </w:lvl>
    </w:lvlOverride>
  </w:num>
  <w:num w:numId="6">
    <w:abstractNumId w:val="2"/>
  </w:num>
  <w:num w:numId="7">
    <w:abstractNumId w:val="0"/>
  </w:num>
  <w:num w:numId="8">
    <w:abstractNumId w:val="10"/>
  </w:num>
  <w:num w:numId="9">
    <w:abstractNumId w:val="6"/>
  </w:num>
  <w:num w:numId="10">
    <w:abstractNumId w:val="8"/>
  </w:num>
  <w:num w:numId="11">
    <w:abstractNumId w:val="4"/>
  </w:num>
  <w:num w:numId="12">
    <w:abstractNumId w:val="9"/>
  </w:num>
  <w:num w:numId="13">
    <w:abstractNumId w:val="3"/>
  </w:num>
  <w:num w:numId="14">
    <w:abstractNumId w:val="5"/>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proofState w:spelling="clean" w:grammar="clean"/>
  <w:defaultTabStop w:val="480"/>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14541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70C0D"/>
    <w:rsid w:val="000018C6"/>
    <w:rsid w:val="00001D93"/>
    <w:rsid w:val="00003279"/>
    <w:rsid w:val="00003BB0"/>
    <w:rsid w:val="00004704"/>
    <w:rsid w:val="00004F5A"/>
    <w:rsid w:val="00006EEB"/>
    <w:rsid w:val="000133FC"/>
    <w:rsid w:val="00015767"/>
    <w:rsid w:val="00017B2A"/>
    <w:rsid w:val="0002162D"/>
    <w:rsid w:val="00022C72"/>
    <w:rsid w:val="00023948"/>
    <w:rsid w:val="000302CF"/>
    <w:rsid w:val="00030348"/>
    <w:rsid w:val="000308D4"/>
    <w:rsid w:val="00030D25"/>
    <w:rsid w:val="00031C4A"/>
    <w:rsid w:val="000359A8"/>
    <w:rsid w:val="000373F1"/>
    <w:rsid w:val="00041EB1"/>
    <w:rsid w:val="00043A17"/>
    <w:rsid w:val="000440B6"/>
    <w:rsid w:val="0004429D"/>
    <w:rsid w:val="000455E4"/>
    <w:rsid w:val="0004726C"/>
    <w:rsid w:val="00047BDE"/>
    <w:rsid w:val="00051205"/>
    <w:rsid w:val="00052765"/>
    <w:rsid w:val="00054F8A"/>
    <w:rsid w:val="00055D79"/>
    <w:rsid w:val="00056BC6"/>
    <w:rsid w:val="00056C2A"/>
    <w:rsid w:val="00060EC0"/>
    <w:rsid w:val="00060F89"/>
    <w:rsid w:val="000618B0"/>
    <w:rsid w:val="0006726B"/>
    <w:rsid w:val="00070C0D"/>
    <w:rsid w:val="00072C2F"/>
    <w:rsid w:val="00075805"/>
    <w:rsid w:val="00075BD4"/>
    <w:rsid w:val="00082DA1"/>
    <w:rsid w:val="0008591B"/>
    <w:rsid w:val="000863E6"/>
    <w:rsid w:val="000876A2"/>
    <w:rsid w:val="00087EDB"/>
    <w:rsid w:val="000908DE"/>
    <w:rsid w:val="00092668"/>
    <w:rsid w:val="00094F1B"/>
    <w:rsid w:val="0009580E"/>
    <w:rsid w:val="00095F9F"/>
    <w:rsid w:val="000A02F7"/>
    <w:rsid w:val="000A12E2"/>
    <w:rsid w:val="000A3137"/>
    <w:rsid w:val="000A4290"/>
    <w:rsid w:val="000A4360"/>
    <w:rsid w:val="000A4428"/>
    <w:rsid w:val="000A7E86"/>
    <w:rsid w:val="000B02C2"/>
    <w:rsid w:val="000B2156"/>
    <w:rsid w:val="000B2DE6"/>
    <w:rsid w:val="000B37E7"/>
    <w:rsid w:val="000B37E8"/>
    <w:rsid w:val="000B5879"/>
    <w:rsid w:val="000C310F"/>
    <w:rsid w:val="000C36AB"/>
    <w:rsid w:val="000C463F"/>
    <w:rsid w:val="000C4F27"/>
    <w:rsid w:val="000D06FC"/>
    <w:rsid w:val="000D21F4"/>
    <w:rsid w:val="000D4015"/>
    <w:rsid w:val="000D4152"/>
    <w:rsid w:val="000D5C41"/>
    <w:rsid w:val="000D6427"/>
    <w:rsid w:val="000E0331"/>
    <w:rsid w:val="000E0588"/>
    <w:rsid w:val="000E2034"/>
    <w:rsid w:val="000E361B"/>
    <w:rsid w:val="000E38E5"/>
    <w:rsid w:val="000E49D5"/>
    <w:rsid w:val="000E6575"/>
    <w:rsid w:val="000E6E29"/>
    <w:rsid w:val="000F1D77"/>
    <w:rsid w:val="000F4DA5"/>
    <w:rsid w:val="000F5EA3"/>
    <w:rsid w:val="000F653E"/>
    <w:rsid w:val="00101370"/>
    <w:rsid w:val="00102F3C"/>
    <w:rsid w:val="001030C5"/>
    <w:rsid w:val="00104CD2"/>
    <w:rsid w:val="001069A7"/>
    <w:rsid w:val="001134CC"/>
    <w:rsid w:val="001139EE"/>
    <w:rsid w:val="00113FBF"/>
    <w:rsid w:val="001165FE"/>
    <w:rsid w:val="00122AA8"/>
    <w:rsid w:val="00123D9E"/>
    <w:rsid w:val="001255A1"/>
    <w:rsid w:val="00125FA7"/>
    <w:rsid w:val="00130E34"/>
    <w:rsid w:val="00134312"/>
    <w:rsid w:val="00135DC1"/>
    <w:rsid w:val="00135EFA"/>
    <w:rsid w:val="00137674"/>
    <w:rsid w:val="00137C52"/>
    <w:rsid w:val="00140F56"/>
    <w:rsid w:val="0014183C"/>
    <w:rsid w:val="00145966"/>
    <w:rsid w:val="00145C70"/>
    <w:rsid w:val="00150463"/>
    <w:rsid w:val="00161103"/>
    <w:rsid w:val="00162138"/>
    <w:rsid w:val="00164A90"/>
    <w:rsid w:val="001668C5"/>
    <w:rsid w:val="00167EDF"/>
    <w:rsid w:val="00170BC6"/>
    <w:rsid w:val="0017241F"/>
    <w:rsid w:val="00173591"/>
    <w:rsid w:val="001751E7"/>
    <w:rsid w:val="0017712C"/>
    <w:rsid w:val="0017763C"/>
    <w:rsid w:val="00180043"/>
    <w:rsid w:val="00181F5D"/>
    <w:rsid w:val="001828B3"/>
    <w:rsid w:val="00182EB6"/>
    <w:rsid w:val="0018466A"/>
    <w:rsid w:val="00186931"/>
    <w:rsid w:val="001872AC"/>
    <w:rsid w:val="00187A74"/>
    <w:rsid w:val="0019193F"/>
    <w:rsid w:val="00193C1B"/>
    <w:rsid w:val="0019489C"/>
    <w:rsid w:val="001964B8"/>
    <w:rsid w:val="00196B5D"/>
    <w:rsid w:val="00197BA0"/>
    <w:rsid w:val="001A500C"/>
    <w:rsid w:val="001B29B1"/>
    <w:rsid w:val="001B2B83"/>
    <w:rsid w:val="001B3FA3"/>
    <w:rsid w:val="001B511E"/>
    <w:rsid w:val="001B55B0"/>
    <w:rsid w:val="001B7721"/>
    <w:rsid w:val="001C0CD8"/>
    <w:rsid w:val="001C1EB2"/>
    <w:rsid w:val="001C388E"/>
    <w:rsid w:val="001C50DB"/>
    <w:rsid w:val="001C540C"/>
    <w:rsid w:val="001D0100"/>
    <w:rsid w:val="001D2320"/>
    <w:rsid w:val="001D23BB"/>
    <w:rsid w:val="001D2633"/>
    <w:rsid w:val="001D337F"/>
    <w:rsid w:val="001D50B3"/>
    <w:rsid w:val="001D62E7"/>
    <w:rsid w:val="001E1AEE"/>
    <w:rsid w:val="001E2B7E"/>
    <w:rsid w:val="001F3257"/>
    <w:rsid w:val="001F3CAD"/>
    <w:rsid w:val="001F45B0"/>
    <w:rsid w:val="001F5E42"/>
    <w:rsid w:val="001F6928"/>
    <w:rsid w:val="001F6EC2"/>
    <w:rsid w:val="00201943"/>
    <w:rsid w:val="00201B04"/>
    <w:rsid w:val="00202402"/>
    <w:rsid w:val="002030EE"/>
    <w:rsid w:val="00203292"/>
    <w:rsid w:val="00206356"/>
    <w:rsid w:val="00207023"/>
    <w:rsid w:val="002075C1"/>
    <w:rsid w:val="002114B2"/>
    <w:rsid w:val="0021632E"/>
    <w:rsid w:val="00221931"/>
    <w:rsid w:val="00221C70"/>
    <w:rsid w:val="002220BA"/>
    <w:rsid w:val="00226BB4"/>
    <w:rsid w:val="00230692"/>
    <w:rsid w:val="002306F4"/>
    <w:rsid w:val="00230FFF"/>
    <w:rsid w:val="0023618F"/>
    <w:rsid w:val="0023782E"/>
    <w:rsid w:val="002413D3"/>
    <w:rsid w:val="00242FE8"/>
    <w:rsid w:val="002436E7"/>
    <w:rsid w:val="00246861"/>
    <w:rsid w:val="00246A1C"/>
    <w:rsid w:val="0025034A"/>
    <w:rsid w:val="0025221F"/>
    <w:rsid w:val="002531B1"/>
    <w:rsid w:val="00256040"/>
    <w:rsid w:val="00256F7A"/>
    <w:rsid w:val="002606EF"/>
    <w:rsid w:val="0026232B"/>
    <w:rsid w:val="00264553"/>
    <w:rsid w:val="002652B1"/>
    <w:rsid w:val="00271B4D"/>
    <w:rsid w:val="0027612F"/>
    <w:rsid w:val="00280493"/>
    <w:rsid w:val="0028233C"/>
    <w:rsid w:val="00282DFC"/>
    <w:rsid w:val="00290613"/>
    <w:rsid w:val="00290F97"/>
    <w:rsid w:val="002919F8"/>
    <w:rsid w:val="002921B3"/>
    <w:rsid w:val="00293502"/>
    <w:rsid w:val="00293B3C"/>
    <w:rsid w:val="002944B9"/>
    <w:rsid w:val="002A4542"/>
    <w:rsid w:val="002A694D"/>
    <w:rsid w:val="002A6F01"/>
    <w:rsid w:val="002B0482"/>
    <w:rsid w:val="002B09C3"/>
    <w:rsid w:val="002B1EFB"/>
    <w:rsid w:val="002B2212"/>
    <w:rsid w:val="002B5C05"/>
    <w:rsid w:val="002B6990"/>
    <w:rsid w:val="002B6CDA"/>
    <w:rsid w:val="002B7F35"/>
    <w:rsid w:val="002C0309"/>
    <w:rsid w:val="002C0DE3"/>
    <w:rsid w:val="002D038D"/>
    <w:rsid w:val="002D6679"/>
    <w:rsid w:val="002D6B49"/>
    <w:rsid w:val="002E22F2"/>
    <w:rsid w:val="002E3B40"/>
    <w:rsid w:val="002E3E56"/>
    <w:rsid w:val="002E4D30"/>
    <w:rsid w:val="002E7BA5"/>
    <w:rsid w:val="002F00AB"/>
    <w:rsid w:val="002F09FA"/>
    <w:rsid w:val="002F0C19"/>
    <w:rsid w:val="002F1DF4"/>
    <w:rsid w:val="002F4CF0"/>
    <w:rsid w:val="00300FD0"/>
    <w:rsid w:val="003025D9"/>
    <w:rsid w:val="003044AD"/>
    <w:rsid w:val="00307146"/>
    <w:rsid w:val="00310730"/>
    <w:rsid w:val="003135E8"/>
    <w:rsid w:val="003150FA"/>
    <w:rsid w:val="00315A7A"/>
    <w:rsid w:val="003174B5"/>
    <w:rsid w:val="003177F0"/>
    <w:rsid w:val="00320288"/>
    <w:rsid w:val="00324AA6"/>
    <w:rsid w:val="00325891"/>
    <w:rsid w:val="00326E8F"/>
    <w:rsid w:val="00330309"/>
    <w:rsid w:val="0033333B"/>
    <w:rsid w:val="0033462C"/>
    <w:rsid w:val="003346D3"/>
    <w:rsid w:val="00335D11"/>
    <w:rsid w:val="00342D10"/>
    <w:rsid w:val="003437A7"/>
    <w:rsid w:val="0034666F"/>
    <w:rsid w:val="0034753F"/>
    <w:rsid w:val="00347F88"/>
    <w:rsid w:val="00354BC3"/>
    <w:rsid w:val="003573A9"/>
    <w:rsid w:val="00365392"/>
    <w:rsid w:val="0037085A"/>
    <w:rsid w:val="0037100D"/>
    <w:rsid w:val="00372653"/>
    <w:rsid w:val="003755AC"/>
    <w:rsid w:val="00377896"/>
    <w:rsid w:val="00377BEB"/>
    <w:rsid w:val="00380068"/>
    <w:rsid w:val="00380CD3"/>
    <w:rsid w:val="00382618"/>
    <w:rsid w:val="003831CF"/>
    <w:rsid w:val="00390586"/>
    <w:rsid w:val="00392254"/>
    <w:rsid w:val="00393487"/>
    <w:rsid w:val="00393916"/>
    <w:rsid w:val="00393B6D"/>
    <w:rsid w:val="00397EBB"/>
    <w:rsid w:val="003A0438"/>
    <w:rsid w:val="003A067C"/>
    <w:rsid w:val="003A4098"/>
    <w:rsid w:val="003A5103"/>
    <w:rsid w:val="003A7A1D"/>
    <w:rsid w:val="003B002D"/>
    <w:rsid w:val="003B6E49"/>
    <w:rsid w:val="003C1676"/>
    <w:rsid w:val="003C2C45"/>
    <w:rsid w:val="003C3A1D"/>
    <w:rsid w:val="003D2145"/>
    <w:rsid w:val="003D35CE"/>
    <w:rsid w:val="003D553E"/>
    <w:rsid w:val="003D6895"/>
    <w:rsid w:val="003D738F"/>
    <w:rsid w:val="003D7BB9"/>
    <w:rsid w:val="003D7EB2"/>
    <w:rsid w:val="003E0677"/>
    <w:rsid w:val="003E06C1"/>
    <w:rsid w:val="003E2250"/>
    <w:rsid w:val="003E45C5"/>
    <w:rsid w:val="003E7BE0"/>
    <w:rsid w:val="003F07F6"/>
    <w:rsid w:val="003F47C0"/>
    <w:rsid w:val="003F57FC"/>
    <w:rsid w:val="003F745D"/>
    <w:rsid w:val="00400284"/>
    <w:rsid w:val="004011BA"/>
    <w:rsid w:val="00402DE2"/>
    <w:rsid w:val="00403361"/>
    <w:rsid w:val="004040B5"/>
    <w:rsid w:val="004049A3"/>
    <w:rsid w:val="004069CF"/>
    <w:rsid w:val="00411B8A"/>
    <w:rsid w:val="00412F70"/>
    <w:rsid w:val="0041381D"/>
    <w:rsid w:val="0041556B"/>
    <w:rsid w:val="00416131"/>
    <w:rsid w:val="004162F2"/>
    <w:rsid w:val="00416667"/>
    <w:rsid w:val="00417690"/>
    <w:rsid w:val="0042487D"/>
    <w:rsid w:val="00430676"/>
    <w:rsid w:val="00432696"/>
    <w:rsid w:val="00432BBD"/>
    <w:rsid w:val="0043427B"/>
    <w:rsid w:val="004348A2"/>
    <w:rsid w:val="004359EB"/>
    <w:rsid w:val="00435D32"/>
    <w:rsid w:val="00436266"/>
    <w:rsid w:val="00436C7C"/>
    <w:rsid w:val="00437E6F"/>
    <w:rsid w:val="004428CE"/>
    <w:rsid w:val="00443131"/>
    <w:rsid w:val="00446E5B"/>
    <w:rsid w:val="004476B6"/>
    <w:rsid w:val="0045037F"/>
    <w:rsid w:val="004505DF"/>
    <w:rsid w:val="00450AF1"/>
    <w:rsid w:val="00454170"/>
    <w:rsid w:val="00454669"/>
    <w:rsid w:val="00454757"/>
    <w:rsid w:val="00454CC8"/>
    <w:rsid w:val="00461292"/>
    <w:rsid w:val="004618CB"/>
    <w:rsid w:val="00461A19"/>
    <w:rsid w:val="00461A51"/>
    <w:rsid w:val="00464F0C"/>
    <w:rsid w:val="00465770"/>
    <w:rsid w:val="00472B7F"/>
    <w:rsid w:val="004751A6"/>
    <w:rsid w:val="004751A8"/>
    <w:rsid w:val="00475CDA"/>
    <w:rsid w:val="004770B8"/>
    <w:rsid w:val="00480BB7"/>
    <w:rsid w:val="004817F1"/>
    <w:rsid w:val="00487D06"/>
    <w:rsid w:val="00492C89"/>
    <w:rsid w:val="004948BA"/>
    <w:rsid w:val="00496932"/>
    <w:rsid w:val="00497420"/>
    <w:rsid w:val="004A0889"/>
    <w:rsid w:val="004A16FB"/>
    <w:rsid w:val="004A25C1"/>
    <w:rsid w:val="004A36F2"/>
    <w:rsid w:val="004A7797"/>
    <w:rsid w:val="004B2729"/>
    <w:rsid w:val="004B4ED0"/>
    <w:rsid w:val="004C18F8"/>
    <w:rsid w:val="004C1ED0"/>
    <w:rsid w:val="004C2FFB"/>
    <w:rsid w:val="004C32AF"/>
    <w:rsid w:val="004C3323"/>
    <w:rsid w:val="004C57B9"/>
    <w:rsid w:val="004C69DC"/>
    <w:rsid w:val="004C761B"/>
    <w:rsid w:val="004D1311"/>
    <w:rsid w:val="004D1632"/>
    <w:rsid w:val="004D177D"/>
    <w:rsid w:val="004D1E47"/>
    <w:rsid w:val="004D1F17"/>
    <w:rsid w:val="004D1F1A"/>
    <w:rsid w:val="004D249C"/>
    <w:rsid w:val="004D28CA"/>
    <w:rsid w:val="004D5F6F"/>
    <w:rsid w:val="004D68DD"/>
    <w:rsid w:val="004E036F"/>
    <w:rsid w:val="004E1710"/>
    <w:rsid w:val="004E2214"/>
    <w:rsid w:val="004E33D4"/>
    <w:rsid w:val="004E3735"/>
    <w:rsid w:val="004E5DE0"/>
    <w:rsid w:val="004F0100"/>
    <w:rsid w:val="004F0AC5"/>
    <w:rsid w:val="004F483A"/>
    <w:rsid w:val="004F64EA"/>
    <w:rsid w:val="00501254"/>
    <w:rsid w:val="005025F1"/>
    <w:rsid w:val="00503948"/>
    <w:rsid w:val="0050477E"/>
    <w:rsid w:val="00506E90"/>
    <w:rsid w:val="00506F2F"/>
    <w:rsid w:val="005106B5"/>
    <w:rsid w:val="00511A8A"/>
    <w:rsid w:val="00511E6C"/>
    <w:rsid w:val="005122C9"/>
    <w:rsid w:val="00516F68"/>
    <w:rsid w:val="00523B9A"/>
    <w:rsid w:val="00524FD1"/>
    <w:rsid w:val="00526867"/>
    <w:rsid w:val="0052725E"/>
    <w:rsid w:val="00530B6F"/>
    <w:rsid w:val="00532A6E"/>
    <w:rsid w:val="0053462B"/>
    <w:rsid w:val="00535B45"/>
    <w:rsid w:val="00545E50"/>
    <w:rsid w:val="0054729D"/>
    <w:rsid w:val="0055075A"/>
    <w:rsid w:val="00552368"/>
    <w:rsid w:val="00553231"/>
    <w:rsid w:val="00561DA9"/>
    <w:rsid w:val="005620C4"/>
    <w:rsid w:val="00563831"/>
    <w:rsid w:val="00563C18"/>
    <w:rsid w:val="00563E4A"/>
    <w:rsid w:val="005650E4"/>
    <w:rsid w:val="00571402"/>
    <w:rsid w:val="00571613"/>
    <w:rsid w:val="00572458"/>
    <w:rsid w:val="005768FF"/>
    <w:rsid w:val="00576D63"/>
    <w:rsid w:val="00576DE3"/>
    <w:rsid w:val="00581413"/>
    <w:rsid w:val="00581C84"/>
    <w:rsid w:val="00584F8F"/>
    <w:rsid w:val="005873F0"/>
    <w:rsid w:val="0059391C"/>
    <w:rsid w:val="00594310"/>
    <w:rsid w:val="005A16ED"/>
    <w:rsid w:val="005A38FC"/>
    <w:rsid w:val="005A4FEF"/>
    <w:rsid w:val="005A61E6"/>
    <w:rsid w:val="005A669F"/>
    <w:rsid w:val="005A73F4"/>
    <w:rsid w:val="005B060D"/>
    <w:rsid w:val="005B1829"/>
    <w:rsid w:val="005B3A7E"/>
    <w:rsid w:val="005B49AC"/>
    <w:rsid w:val="005B4A49"/>
    <w:rsid w:val="005B4F44"/>
    <w:rsid w:val="005B572B"/>
    <w:rsid w:val="005B7907"/>
    <w:rsid w:val="005C0800"/>
    <w:rsid w:val="005C126A"/>
    <w:rsid w:val="005C41FC"/>
    <w:rsid w:val="005C6A22"/>
    <w:rsid w:val="005C6F80"/>
    <w:rsid w:val="005C7C24"/>
    <w:rsid w:val="005D0300"/>
    <w:rsid w:val="005D1E83"/>
    <w:rsid w:val="005D2943"/>
    <w:rsid w:val="005D348E"/>
    <w:rsid w:val="005D5B41"/>
    <w:rsid w:val="005D7357"/>
    <w:rsid w:val="005E10D5"/>
    <w:rsid w:val="005E3495"/>
    <w:rsid w:val="005E4218"/>
    <w:rsid w:val="005E687B"/>
    <w:rsid w:val="005E792F"/>
    <w:rsid w:val="005F1B21"/>
    <w:rsid w:val="005F282A"/>
    <w:rsid w:val="005F3413"/>
    <w:rsid w:val="005F53F0"/>
    <w:rsid w:val="005F59C8"/>
    <w:rsid w:val="006010AB"/>
    <w:rsid w:val="00601385"/>
    <w:rsid w:val="006043C1"/>
    <w:rsid w:val="006049F4"/>
    <w:rsid w:val="00604CDF"/>
    <w:rsid w:val="00607D06"/>
    <w:rsid w:val="00607EE4"/>
    <w:rsid w:val="006123C3"/>
    <w:rsid w:val="00612696"/>
    <w:rsid w:val="00614435"/>
    <w:rsid w:val="00622EF8"/>
    <w:rsid w:val="00623155"/>
    <w:rsid w:val="006234DD"/>
    <w:rsid w:val="00626D38"/>
    <w:rsid w:val="0062707A"/>
    <w:rsid w:val="00630B2C"/>
    <w:rsid w:val="00632590"/>
    <w:rsid w:val="00632D28"/>
    <w:rsid w:val="0063730A"/>
    <w:rsid w:val="00637864"/>
    <w:rsid w:val="0064095B"/>
    <w:rsid w:val="006410AD"/>
    <w:rsid w:val="00641B80"/>
    <w:rsid w:val="0064219A"/>
    <w:rsid w:val="0064280E"/>
    <w:rsid w:val="00643B87"/>
    <w:rsid w:val="006446E6"/>
    <w:rsid w:val="00646399"/>
    <w:rsid w:val="00646850"/>
    <w:rsid w:val="006508A8"/>
    <w:rsid w:val="00650AA6"/>
    <w:rsid w:val="00651A83"/>
    <w:rsid w:val="006521C4"/>
    <w:rsid w:val="0066131C"/>
    <w:rsid w:val="00663115"/>
    <w:rsid w:val="0066496D"/>
    <w:rsid w:val="00665B8F"/>
    <w:rsid w:val="00665FB5"/>
    <w:rsid w:val="006671B0"/>
    <w:rsid w:val="00667E4B"/>
    <w:rsid w:val="00671E83"/>
    <w:rsid w:val="00673E79"/>
    <w:rsid w:val="00675374"/>
    <w:rsid w:val="00675D54"/>
    <w:rsid w:val="0067654B"/>
    <w:rsid w:val="00680B95"/>
    <w:rsid w:val="00690EC4"/>
    <w:rsid w:val="006932F8"/>
    <w:rsid w:val="00693BD5"/>
    <w:rsid w:val="00693DE0"/>
    <w:rsid w:val="00693DF8"/>
    <w:rsid w:val="0069477C"/>
    <w:rsid w:val="0069526D"/>
    <w:rsid w:val="006954D1"/>
    <w:rsid w:val="006A0ED0"/>
    <w:rsid w:val="006A3436"/>
    <w:rsid w:val="006A40F8"/>
    <w:rsid w:val="006A52BE"/>
    <w:rsid w:val="006A68AC"/>
    <w:rsid w:val="006B3B3C"/>
    <w:rsid w:val="006B3DDB"/>
    <w:rsid w:val="006B5FED"/>
    <w:rsid w:val="006B7C1C"/>
    <w:rsid w:val="006C2DC3"/>
    <w:rsid w:val="006C3517"/>
    <w:rsid w:val="006C57A5"/>
    <w:rsid w:val="006C6A18"/>
    <w:rsid w:val="006C6B19"/>
    <w:rsid w:val="006C7C6B"/>
    <w:rsid w:val="006D01CD"/>
    <w:rsid w:val="006D02E9"/>
    <w:rsid w:val="006D0EAD"/>
    <w:rsid w:val="006D1CAE"/>
    <w:rsid w:val="006D24DF"/>
    <w:rsid w:val="006D5ADA"/>
    <w:rsid w:val="006D75C0"/>
    <w:rsid w:val="006F457C"/>
    <w:rsid w:val="006F533B"/>
    <w:rsid w:val="006F64F6"/>
    <w:rsid w:val="007030BD"/>
    <w:rsid w:val="00703FD2"/>
    <w:rsid w:val="007040F4"/>
    <w:rsid w:val="0071239D"/>
    <w:rsid w:val="007136C5"/>
    <w:rsid w:val="00715890"/>
    <w:rsid w:val="00725C59"/>
    <w:rsid w:val="00726AD9"/>
    <w:rsid w:val="007305A8"/>
    <w:rsid w:val="007331EC"/>
    <w:rsid w:val="0073353C"/>
    <w:rsid w:val="00734336"/>
    <w:rsid w:val="00740419"/>
    <w:rsid w:val="007406BC"/>
    <w:rsid w:val="007418F6"/>
    <w:rsid w:val="0074234E"/>
    <w:rsid w:val="0074254E"/>
    <w:rsid w:val="0074282A"/>
    <w:rsid w:val="0074333D"/>
    <w:rsid w:val="00745BD2"/>
    <w:rsid w:val="0074670B"/>
    <w:rsid w:val="007467FC"/>
    <w:rsid w:val="007478D2"/>
    <w:rsid w:val="00747EFF"/>
    <w:rsid w:val="00750916"/>
    <w:rsid w:val="00752735"/>
    <w:rsid w:val="00753216"/>
    <w:rsid w:val="00753FCB"/>
    <w:rsid w:val="00755952"/>
    <w:rsid w:val="0076037F"/>
    <w:rsid w:val="007678C9"/>
    <w:rsid w:val="00770A06"/>
    <w:rsid w:val="0077386C"/>
    <w:rsid w:val="00776A30"/>
    <w:rsid w:val="00782869"/>
    <w:rsid w:val="00784ECE"/>
    <w:rsid w:val="007854FB"/>
    <w:rsid w:val="00786331"/>
    <w:rsid w:val="00787687"/>
    <w:rsid w:val="0079166A"/>
    <w:rsid w:val="0079262F"/>
    <w:rsid w:val="00793333"/>
    <w:rsid w:val="00795132"/>
    <w:rsid w:val="00795DB1"/>
    <w:rsid w:val="007966C6"/>
    <w:rsid w:val="007A3F68"/>
    <w:rsid w:val="007A6F40"/>
    <w:rsid w:val="007B0235"/>
    <w:rsid w:val="007B1C22"/>
    <w:rsid w:val="007B35D5"/>
    <w:rsid w:val="007B5C9C"/>
    <w:rsid w:val="007B60C4"/>
    <w:rsid w:val="007C5E04"/>
    <w:rsid w:val="007C65A5"/>
    <w:rsid w:val="007D0062"/>
    <w:rsid w:val="007D1404"/>
    <w:rsid w:val="007D1E95"/>
    <w:rsid w:val="007D37E9"/>
    <w:rsid w:val="007D5250"/>
    <w:rsid w:val="007D5988"/>
    <w:rsid w:val="007D66A7"/>
    <w:rsid w:val="007D6DB1"/>
    <w:rsid w:val="007E0842"/>
    <w:rsid w:val="007E12C5"/>
    <w:rsid w:val="007E17B0"/>
    <w:rsid w:val="007E23DB"/>
    <w:rsid w:val="007E3DE9"/>
    <w:rsid w:val="007E70FC"/>
    <w:rsid w:val="007F13D5"/>
    <w:rsid w:val="007F5B36"/>
    <w:rsid w:val="00802DB4"/>
    <w:rsid w:val="00803E66"/>
    <w:rsid w:val="00805586"/>
    <w:rsid w:val="008100E1"/>
    <w:rsid w:val="008113E5"/>
    <w:rsid w:val="008117FA"/>
    <w:rsid w:val="00814D2D"/>
    <w:rsid w:val="00815467"/>
    <w:rsid w:val="00817459"/>
    <w:rsid w:val="00822F8A"/>
    <w:rsid w:val="008251EC"/>
    <w:rsid w:val="00826D24"/>
    <w:rsid w:val="008274F6"/>
    <w:rsid w:val="0082767F"/>
    <w:rsid w:val="008306CE"/>
    <w:rsid w:val="00831225"/>
    <w:rsid w:val="008312DA"/>
    <w:rsid w:val="00831BCE"/>
    <w:rsid w:val="008366C9"/>
    <w:rsid w:val="00837F7A"/>
    <w:rsid w:val="008417BB"/>
    <w:rsid w:val="008419FE"/>
    <w:rsid w:val="00842820"/>
    <w:rsid w:val="00844F76"/>
    <w:rsid w:val="0084645A"/>
    <w:rsid w:val="00855195"/>
    <w:rsid w:val="0085676E"/>
    <w:rsid w:val="00860251"/>
    <w:rsid w:val="008602C5"/>
    <w:rsid w:val="008622BA"/>
    <w:rsid w:val="00863FBF"/>
    <w:rsid w:val="00864C86"/>
    <w:rsid w:val="008653B8"/>
    <w:rsid w:val="008731BE"/>
    <w:rsid w:val="00875DEC"/>
    <w:rsid w:val="00875E93"/>
    <w:rsid w:val="008761A8"/>
    <w:rsid w:val="008817DB"/>
    <w:rsid w:val="00881B08"/>
    <w:rsid w:val="00896439"/>
    <w:rsid w:val="008A0148"/>
    <w:rsid w:val="008A2611"/>
    <w:rsid w:val="008A29E5"/>
    <w:rsid w:val="008A5A9D"/>
    <w:rsid w:val="008A783D"/>
    <w:rsid w:val="008B5A2D"/>
    <w:rsid w:val="008C033F"/>
    <w:rsid w:val="008C23D2"/>
    <w:rsid w:val="008C3878"/>
    <w:rsid w:val="008C3ABD"/>
    <w:rsid w:val="008C426E"/>
    <w:rsid w:val="008C45A0"/>
    <w:rsid w:val="008C66C7"/>
    <w:rsid w:val="008D4966"/>
    <w:rsid w:val="008D7904"/>
    <w:rsid w:val="008E03B9"/>
    <w:rsid w:val="008E2646"/>
    <w:rsid w:val="008E39FC"/>
    <w:rsid w:val="008E7349"/>
    <w:rsid w:val="008F165F"/>
    <w:rsid w:val="008F20AF"/>
    <w:rsid w:val="008F5967"/>
    <w:rsid w:val="008F5CD5"/>
    <w:rsid w:val="008F6CE2"/>
    <w:rsid w:val="008F6F30"/>
    <w:rsid w:val="008F722F"/>
    <w:rsid w:val="008F7F49"/>
    <w:rsid w:val="00900F05"/>
    <w:rsid w:val="00901440"/>
    <w:rsid w:val="009027E5"/>
    <w:rsid w:val="0090492B"/>
    <w:rsid w:val="00906C41"/>
    <w:rsid w:val="00906EC3"/>
    <w:rsid w:val="00912803"/>
    <w:rsid w:val="00916168"/>
    <w:rsid w:val="00917E87"/>
    <w:rsid w:val="00921091"/>
    <w:rsid w:val="00922471"/>
    <w:rsid w:val="00922EEF"/>
    <w:rsid w:val="00926607"/>
    <w:rsid w:val="009317EC"/>
    <w:rsid w:val="009326FF"/>
    <w:rsid w:val="0093300E"/>
    <w:rsid w:val="00933D71"/>
    <w:rsid w:val="00934E60"/>
    <w:rsid w:val="00934F16"/>
    <w:rsid w:val="00935C67"/>
    <w:rsid w:val="00935F75"/>
    <w:rsid w:val="00941C8E"/>
    <w:rsid w:val="00941DC1"/>
    <w:rsid w:val="00942F29"/>
    <w:rsid w:val="00944F11"/>
    <w:rsid w:val="00945074"/>
    <w:rsid w:val="00950EAA"/>
    <w:rsid w:val="00951867"/>
    <w:rsid w:val="009528CD"/>
    <w:rsid w:val="0095362E"/>
    <w:rsid w:val="00953C90"/>
    <w:rsid w:val="009610A5"/>
    <w:rsid w:val="00961398"/>
    <w:rsid w:val="00961677"/>
    <w:rsid w:val="00963061"/>
    <w:rsid w:val="00965292"/>
    <w:rsid w:val="00965BC8"/>
    <w:rsid w:val="00972228"/>
    <w:rsid w:val="009767C9"/>
    <w:rsid w:val="00976C0F"/>
    <w:rsid w:val="0098017C"/>
    <w:rsid w:val="00981D38"/>
    <w:rsid w:val="009823DA"/>
    <w:rsid w:val="00984586"/>
    <w:rsid w:val="0098622F"/>
    <w:rsid w:val="00987461"/>
    <w:rsid w:val="00987D43"/>
    <w:rsid w:val="009917D4"/>
    <w:rsid w:val="00995D55"/>
    <w:rsid w:val="009A0CC1"/>
    <w:rsid w:val="009A518F"/>
    <w:rsid w:val="009B3BA3"/>
    <w:rsid w:val="009B71D0"/>
    <w:rsid w:val="009C04F4"/>
    <w:rsid w:val="009C07A8"/>
    <w:rsid w:val="009C1292"/>
    <w:rsid w:val="009C1F02"/>
    <w:rsid w:val="009C3EB1"/>
    <w:rsid w:val="009C758E"/>
    <w:rsid w:val="009D0294"/>
    <w:rsid w:val="009D1EA2"/>
    <w:rsid w:val="009D36A7"/>
    <w:rsid w:val="009D51B2"/>
    <w:rsid w:val="009E1CB4"/>
    <w:rsid w:val="009E3FA4"/>
    <w:rsid w:val="009E48FE"/>
    <w:rsid w:val="009E77A7"/>
    <w:rsid w:val="009F12BA"/>
    <w:rsid w:val="009F12C2"/>
    <w:rsid w:val="009F5553"/>
    <w:rsid w:val="009F5929"/>
    <w:rsid w:val="00A001B4"/>
    <w:rsid w:val="00A01225"/>
    <w:rsid w:val="00A04989"/>
    <w:rsid w:val="00A059B1"/>
    <w:rsid w:val="00A05CE7"/>
    <w:rsid w:val="00A070AB"/>
    <w:rsid w:val="00A07708"/>
    <w:rsid w:val="00A07B41"/>
    <w:rsid w:val="00A127C5"/>
    <w:rsid w:val="00A1461C"/>
    <w:rsid w:val="00A159D9"/>
    <w:rsid w:val="00A2013E"/>
    <w:rsid w:val="00A229E4"/>
    <w:rsid w:val="00A22DD5"/>
    <w:rsid w:val="00A25D56"/>
    <w:rsid w:val="00A25E7E"/>
    <w:rsid w:val="00A27BF8"/>
    <w:rsid w:val="00A3061F"/>
    <w:rsid w:val="00A32915"/>
    <w:rsid w:val="00A36088"/>
    <w:rsid w:val="00A361B4"/>
    <w:rsid w:val="00A4013D"/>
    <w:rsid w:val="00A4051C"/>
    <w:rsid w:val="00A416A2"/>
    <w:rsid w:val="00A4193F"/>
    <w:rsid w:val="00A425D7"/>
    <w:rsid w:val="00A42968"/>
    <w:rsid w:val="00A50A30"/>
    <w:rsid w:val="00A51CD8"/>
    <w:rsid w:val="00A534B4"/>
    <w:rsid w:val="00A544B5"/>
    <w:rsid w:val="00A635C9"/>
    <w:rsid w:val="00A6681C"/>
    <w:rsid w:val="00A67BC4"/>
    <w:rsid w:val="00A725CE"/>
    <w:rsid w:val="00A73D91"/>
    <w:rsid w:val="00A7641A"/>
    <w:rsid w:val="00A7712C"/>
    <w:rsid w:val="00A77B10"/>
    <w:rsid w:val="00A806A8"/>
    <w:rsid w:val="00A809CA"/>
    <w:rsid w:val="00A9084D"/>
    <w:rsid w:val="00A91F40"/>
    <w:rsid w:val="00A9293F"/>
    <w:rsid w:val="00AA101D"/>
    <w:rsid w:val="00AA28B4"/>
    <w:rsid w:val="00AA2B39"/>
    <w:rsid w:val="00AA3CE2"/>
    <w:rsid w:val="00AA65A8"/>
    <w:rsid w:val="00AA6C2C"/>
    <w:rsid w:val="00AA7B4D"/>
    <w:rsid w:val="00AB1C3A"/>
    <w:rsid w:val="00AB295E"/>
    <w:rsid w:val="00AB4400"/>
    <w:rsid w:val="00AC0EC0"/>
    <w:rsid w:val="00AC0EF6"/>
    <w:rsid w:val="00AC13A5"/>
    <w:rsid w:val="00AC1D45"/>
    <w:rsid w:val="00AC3463"/>
    <w:rsid w:val="00AC6042"/>
    <w:rsid w:val="00AD2FE1"/>
    <w:rsid w:val="00AE1C52"/>
    <w:rsid w:val="00AE32BD"/>
    <w:rsid w:val="00AE5E19"/>
    <w:rsid w:val="00AE5FD5"/>
    <w:rsid w:val="00AF05F0"/>
    <w:rsid w:val="00AF121F"/>
    <w:rsid w:val="00AF2070"/>
    <w:rsid w:val="00AF51A8"/>
    <w:rsid w:val="00AF6749"/>
    <w:rsid w:val="00AF6D26"/>
    <w:rsid w:val="00AF756F"/>
    <w:rsid w:val="00B00427"/>
    <w:rsid w:val="00B00F24"/>
    <w:rsid w:val="00B045C8"/>
    <w:rsid w:val="00B048CE"/>
    <w:rsid w:val="00B054EF"/>
    <w:rsid w:val="00B073C2"/>
    <w:rsid w:val="00B101B3"/>
    <w:rsid w:val="00B13486"/>
    <w:rsid w:val="00B1512B"/>
    <w:rsid w:val="00B15A94"/>
    <w:rsid w:val="00B203E2"/>
    <w:rsid w:val="00B20480"/>
    <w:rsid w:val="00B20FB0"/>
    <w:rsid w:val="00B23407"/>
    <w:rsid w:val="00B25B7B"/>
    <w:rsid w:val="00B314C0"/>
    <w:rsid w:val="00B34932"/>
    <w:rsid w:val="00B35755"/>
    <w:rsid w:val="00B419B2"/>
    <w:rsid w:val="00B46893"/>
    <w:rsid w:val="00B46992"/>
    <w:rsid w:val="00B50BA3"/>
    <w:rsid w:val="00B5126B"/>
    <w:rsid w:val="00B51986"/>
    <w:rsid w:val="00B5206F"/>
    <w:rsid w:val="00B52C19"/>
    <w:rsid w:val="00B57664"/>
    <w:rsid w:val="00B6066C"/>
    <w:rsid w:val="00B61FA2"/>
    <w:rsid w:val="00B651E8"/>
    <w:rsid w:val="00B659A2"/>
    <w:rsid w:val="00B663A4"/>
    <w:rsid w:val="00B7168A"/>
    <w:rsid w:val="00B71797"/>
    <w:rsid w:val="00B71D3C"/>
    <w:rsid w:val="00B7274A"/>
    <w:rsid w:val="00B73260"/>
    <w:rsid w:val="00B76E60"/>
    <w:rsid w:val="00B83709"/>
    <w:rsid w:val="00B858C5"/>
    <w:rsid w:val="00B860C8"/>
    <w:rsid w:val="00B86D28"/>
    <w:rsid w:val="00B873F2"/>
    <w:rsid w:val="00B95041"/>
    <w:rsid w:val="00B96081"/>
    <w:rsid w:val="00BA0E02"/>
    <w:rsid w:val="00BB1708"/>
    <w:rsid w:val="00BB25A4"/>
    <w:rsid w:val="00BB709B"/>
    <w:rsid w:val="00BC1670"/>
    <w:rsid w:val="00BC340C"/>
    <w:rsid w:val="00BC57EA"/>
    <w:rsid w:val="00BC7894"/>
    <w:rsid w:val="00BD075C"/>
    <w:rsid w:val="00BD233D"/>
    <w:rsid w:val="00BD2E23"/>
    <w:rsid w:val="00BD4268"/>
    <w:rsid w:val="00BD4BC8"/>
    <w:rsid w:val="00BD5141"/>
    <w:rsid w:val="00BD5B05"/>
    <w:rsid w:val="00BD7504"/>
    <w:rsid w:val="00BE02D4"/>
    <w:rsid w:val="00BE0AE3"/>
    <w:rsid w:val="00BE1261"/>
    <w:rsid w:val="00BE14CF"/>
    <w:rsid w:val="00BE6DD3"/>
    <w:rsid w:val="00BF5FD1"/>
    <w:rsid w:val="00C03113"/>
    <w:rsid w:val="00C0672A"/>
    <w:rsid w:val="00C0797E"/>
    <w:rsid w:val="00C1108C"/>
    <w:rsid w:val="00C14EF0"/>
    <w:rsid w:val="00C15C4F"/>
    <w:rsid w:val="00C16F23"/>
    <w:rsid w:val="00C20E6D"/>
    <w:rsid w:val="00C228EE"/>
    <w:rsid w:val="00C23A70"/>
    <w:rsid w:val="00C27EB1"/>
    <w:rsid w:val="00C3358C"/>
    <w:rsid w:val="00C342ED"/>
    <w:rsid w:val="00C37177"/>
    <w:rsid w:val="00C42035"/>
    <w:rsid w:val="00C43C84"/>
    <w:rsid w:val="00C44B56"/>
    <w:rsid w:val="00C46A58"/>
    <w:rsid w:val="00C47102"/>
    <w:rsid w:val="00C5219F"/>
    <w:rsid w:val="00C532E4"/>
    <w:rsid w:val="00C54595"/>
    <w:rsid w:val="00C54B63"/>
    <w:rsid w:val="00C60DC0"/>
    <w:rsid w:val="00C63CBB"/>
    <w:rsid w:val="00C655F3"/>
    <w:rsid w:val="00C65E1A"/>
    <w:rsid w:val="00C664DA"/>
    <w:rsid w:val="00C75043"/>
    <w:rsid w:val="00C764B2"/>
    <w:rsid w:val="00C803DB"/>
    <w:rsid w:val="00C8590F"/>
    <w:rsid w:val="00C85E34"/>
    <w:rsid w:val="00C865B9"/>
    <w:rsid w:val="00C90E19"/>
    <w:rsid w:val="00C9190F"/>
    <w:rsid w:val="00C96AC8"/>
    <w:rsid w:val="00C96CB0"/>
    <w:rsid w:val="00CA061C"/>
    <w:rsid w:val="00CA183B"/>
    <w:rsid w:val="00CA2646"/>
    <w:rsid w:val="00CA4A55"/>
    <w:rsid w:val="00CA62B3"/>
    <w:rsid w:val="00CA72CE"/>
    <w:rsid w:val="00CB140F"/>
    <w:rsid w:val="00CC297C"/>
    <w:rsid w:val="00CC6E99"/>
    <w:rsid w:val="00CC7717"/>
    <w:rsid w:val="00CD39E7"/>
    <w:rsid w:val="00CD3B3F"/>
    <w:rsid w:val="00CD3F93"/>
    <w:rsid w:val="00CD49D5"/>
    <w:rsid w:val="00CD5871"/>
    <w:rsid w:val="00CD7181"/>
    <w:rsid w:val="00CE04ED"/>
    <w:rsid w:val="00CE106C"/>
    <w:rsid w:val="00CE126C"/>
    <w:rsid w:val="00CE1E3B"/>
    <w:rsid w:val="00CE1EED"/>
    <w:rsid w:val="00CE20C7"/>
    <w:rsid w:val="00CE413F"/>
    <w:rsid w:val="00CE41EA"/>
    <w:rsid w:val="00CE6DC2"/>
    <w:rsid w:val="00CF2901"/>
    <w:rsid w:val="00CF2957"/>
    <w:rsid w:val="00CF446A"/>
    <w:rsid w:val="00CF6F55"/>
    <w:rsid w:val="00CF7081"/>
    <w:rsid w:val="00D01182"/>
    <w:rsid w:val="00D01B62"/>
    <w:rsid w:val="00D01DCD"/>
    <w:rsid w:val="00D03786"/>
    <w:rsid w:val="00D0465B"/>
    <w:rsid w:val="00D15804"/>
    <w:rsid w:val="00D16B3C"/>
    <w:rsid w:val="00D16E66"/>
    <w:rsid w:val="00D177A3"/>
    <w:rsid w:val="00D17ABC"/>
    <w:rsid w:val="00D244C6"/>
    <w:rsid w:val="00D26F40"/>
    <w:rsid w:val="00D27D4B"/>
    <w:rsid w:val="00D30778"/>
    <w:rsid w:val="00D3082E"/>
    <w:rsid w:val="00D317D5"/>
    <w:rsid w:val="00D3270F"/>
    <w:rsid w:val="00D33357"/>
    <w:rsid w:val="00D33486"/>
    <w:rsid w:val="00D34AB3"/>
    <w:rsid w:val="00D34F2E"/>
    <w:rsid w:val="00D40DD5"/>
    <w:rsid w:val="00D4197F"/>
    <w:rsid w:val="00D41B16"/>
    <w:rsid w:val="00D45B7E"/>
    <w:rsid w:val="00D4793F"/>
    <w:rsid w:val="00D47C0D"/>
    <w:rsid w:val="00D50EC1"/>
    <w:rsid w:val="00D51007"/>
    <w:rsid w:val="00D510DC"/>
    <w:rsid w:val="00D5563E"/>
    <w:rsid w:val="00D565E6"/>
    <w:rsid w:val="00D57C20"/>
    <w:rsid w:val="00D634DB"/>
    <w:rsid w:val="00D64FB7"/>
    <w:rsid w:val="00D65181"/>
    <w:rsid w:val="00D66AE1"/>
    <w:rsid w:val="00D73551"/>
    <w:rsid w:val="00D74679"/>
    <w:rsid w:val="00D74DB4"/>
    <w:rsid w:val="00D75299"/>
    <w:rsid w:val="00D81BF3"/>
    <w:rsid w:val="00D8544F"/>
    <w:rsid w:val="00D8606F"/>
    <w:rsid w:val="00D86B93"/>
    <w:rsid w:val="00D8755F"/>
    <w:rsid w:val="00D90FA6"/>
    <w:rsid w:val="00D9267A"/>
    <w:rsid w:val="00D941B9"/>
    <w:rsid w:val="00D954FB"/>
    <w:rsid w:val="00DA4453"/>
    <w:rsid w:val="00DA51D8"/>
    <w:rsid w:val="00DA61B4"/>
    <w:rsid w:val="00DA641D"/>
    <w:rsid w:val="00DA64AB"/>
    <w:rsid w:val="00DA7602"/>
    <w:rsid w:val="00DB0088"/>
    <w:rsid w:val="00DB2B38"/>
    <w:rsid w:val="00DB6187"/>
    <w:rsid w:val="00DB64DD"/>
    <w:rsid w:val="00DC007E"/>
    <w:rsid w:val="00DC0546"/>
    <w:rsid w:val="00DC21FE"/>
    <w:rsid w:val="00DC275D"/>
    <w:rsid w:val="00DC27DF"/>
    <w:rsid w:val="00DC2AE6"/>
    <w:rsid w:val="00DC4304"/>
    <w:rsid w:val="00DC526D"/>
    <w:rsid w:val="00DC60C9"/>
    <w:rsid w:val="00DD0A09"/>
    <w:rsid w:val="00DD1777"/>
    <w:rsid w:val="00DD4965"/>
    <w:rsid w:val="00DD6DE4"/>
    <w:rsid w:val="00DD7564"/>
    <w:rsid w:val="00DE24E9"/>
    <w:rsid w:val="00DF179D"/>
    <w:rsid w:val="00DF43F7"/>
    <w:rsid w:val="00E00EDB"/>
    <w:rsid w:val="00E019D1"/>
    <w:rsid w:val="00E03749"/>
    <w:rsid w:val="00E05DF1"/>
    <w:rsid w:val="00E07335"/>
    <w:rsid w:val="00E105E9"/>
    <w:rsid w:val="00E11B16"/>
    <w:rsid w:val="00E15465"/>
    <w:rsid w:val="00E17770"/>
    <w:rsid w:val="00E17AD4"/>
    <w:rsid w:val="00E227A9"/>
    <w:rsid w:val="00E234A4"/>
    <w:rsid w:val="00E24D37"/>
    <w:rsid w:val="00E34370"/>
    <w:rsid w:val="00E35758"/>
    <w:rsid w:val="00E43E8E"/>
    <w:rsid w:val="00E45232"/>
    <w:rsid w:val="00E45E57"/>
    <w:rsid w:val="00E469DD"/>
    <w:rsid w:val="00E531FD"/>
    <w:rsid w:val="00E548E1"/>
    <w:rsid w:val="00E54AC8"/>
    <w:rsid w:val="00E5540D"/>
    <w:rsid w:val="00E60199"/>
    <w:rsid w:val="00E61EDB"/>
    <w:rsid w:val="00E61EDD"/>
    <w:rsid w:val="00E62ACF"/>
    <w:rsid w:val="00E63694"/>
    <w:rsid w:val="00E64BDA"/>
    <w:rsid w:val="00E654FF"/>
    <w:rsid w:val="00E661EF"/>
    <w:rsid w:val="00E734A5"/>
    <w:rsid w:val="00E743AC"/>
    <w:rsid w:val="00E75AE1"/>
    <w:rsid w:val="00E76FF5"/>
    <w:rsid w:val="00E81B2F"/>
    <w:rsid w:val="00E82905"/>
    <w:rsid w:val="00E84820"/>
    <w:rsid w:val="00E85F0E"/>
    <w:rsid w:val="00E905C4"/>
    <w:rsid w:val="00E905CC"/>
    <w:rsid w:val="00E92850"/>
    <w:rsid w:val="00E94DF8"/>
    <w:rsid w:val="00E95452"/>
    <w:rsid w:val="00E96677"/>
    <w:rsid w:val="00E97632"/>
    <w:rsid w:val="00EA5BAF"/>
    <w:rsid w:val="00EA5D43"/>
    <w:rsid w:val="00EA639F"/>
    <w:rsid w:val="00EA7EA4"/>
    <w:rsid w:val="00EB178B"/>
    <w:rsid w:val="00EB7C13"/>
    <w:rsid w:val="00EC006A"/>
    <w:rsid w:val="00EC25D3"/>
    <w:rsid w:val="00EC28C9"/>
    <w:rsid w:val="00EC6483"/>
    <w:rsid w:val="00ED0345"/>
    <w:rsid w:val="00ED0E3F"/>
    <w:rsid w:val="00ED18B7"/>
    <w:rsid w:val="00ED2948"/>
    <w:rsid w:val="00ED3492"/>
    <w:rsid w:val="00ED395C"/>
    <w:rsid w:val="00ED5BB5"/>
    <w:rsid w:val="00EE4369"/>
    <w:rsid w:val="00EE6E41"/>
    <w:rsid w:val="00EE7FC0"/>
    <w:rsid w:val="00EF294B"/>
    <w:rsid w:val="00EF4204"/>
    <w:rsid w:val="00EF4E01"/>
    <w:rsid w:val="00EF54BD"/>
    <w:rsid w:val="00F024AC"/>
    <w:rsid w:val="00F04EC6"/>
    <w:rsid w:val="00F05264"/>
    <w:rsid w:val="00F06854"/>
    <w:rsid w:val="00F110A0"/>
    <w:rsid w:val="00F1186D"/>
    <w:rsid w:val="00F14B9E"/>
    <w:rsid w:val="00F16AF8"/>
    <w:rsid w:val="00F1759F"/>
    <w:rsid w:val="00F259B9"/>
    <w:rsid w:val="00F261B2"/>
    <w:rsid w:val="00F30E1B"/>
    <w:rsid w:val="00F32284"/>
    <w:rsid w:val="00F34A28"/>
    <w:rsid w:val="00F34B36"/>
    <w:rsid w:val="00F352DE"/>
    <w:rsid w:val="00F36C7E"/>
    <w:rsid w:val="00F36E33"/>
    <w:rsid w:val="00F40309"/>
    <w:rsid w:val="00F40B90"/>
    <w:rsid w:val="00F422CC"/>
    <w:rsid w:val="00F429AB"/>
    <w:rsid w:val="00F44C03"/>
    <w:rsid w:val="00F45074"/>
    <w:rsid w:val="00F50348"/>
    <w:rsid w:val="00F53B41"/>
    <w:rsid w:val="00F57DC6"/>
    <w:rsid w:val="00F60B16"/>
    <w:rsid w:val="00F6496F"/>
    <w:rsid w:val="00F66F06"/>
    <w:rsid w:val="00F80D38"/>
    <w:rsid w:val="00F947F2"/>
    <w:rsid w:val="00F94B19"/>
    <w:rsid w:val="00F971F2"/>
    <w:rsid w:val="00FA24E2"/>
    <w:rsid w:val="00FA5694"/>
    <w:rsid w:val="00FA5697"/>
    <w:rsid w:val="00FA5CA4"/>
    <w:rsid w:val="00FA72AC"/>
    <w:rsid w:val="00FA7648"/>
    <w:rsid w:val="00FB39FE"/>
    <w:rsid w:val="00FB4445"/>
    <w:rsid w:val="00FC30C5"/>
    <w:rsid w:val="00FC5E88"/>
    <w:rsid w:val="00FC6974"/>
    <w:rsid w:val="00FD4BDA"/>
    <w:rsid w:val="00FD6975"/>
    <w:rsid w:val="00FD7C53"/>
    <w:rsid w:val="00FD7DF0"/>
    <w:rsid w:val="00FE4654"/>
    <w:rsid w:val="00FE499F"/>
    <w:rsid w:val="00FE4E2A"/>
    <w:rsid w:val="00FE5046"/>
    <w:rsid w:val="00FE56BA"/>
    <w:rsid w:val="00FE6C91"/>
    <w:rsid w:val="00FF3188"/>
    <w:rsid w:val="00FF3DE9"/>
    <w:rsid w:val="00FF4C84"/>
    <w:rsid w:val="00FF52B1"/>
    <w:rsid w:val="00FF77B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BB0"/>
    <w:pPr>
      <w:widowControl w:val="0"/>
      <w:adjustRightInd w:val="0"/>
      <w:spacing w:line="360" w:lineRule="atLeast"/>
      <w:textAlignment w:val="baseline"/>
    </w:pPr>
    <w:rPr>
      <w:rFonts w:ascii="Times New Roman" w:eastAsia="細明體"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rsid w:val="00003BB0"/>
    <w:pPr>
      <w:jc w:val="center"/>
    </w:pPr>
    <w:rPr>
      <w:rFonts w:ascii="標楷體" w:eastAsia="標楷體"/>
      <w:sz w:val="26"/>
    </w:rPr>
  </w:style>
  <w:style w:type="character" w:customStyle="1" w:styleId="a4">
    <w:name w:val="註釋標題 字元"/>
    <w:basedOn w:val="a0"/>
    <w:link w:val="a3"/>
    <w:uiPriority w:val="99"/>
    <w:semiHidden/>
    <w:locked/>
    <w:rsid w:val="0018466A"/>
    <w:rPr>
      <w:rFonts w:ascii="Times New Roman" w:eastAsia="細明體" w:hAnsi="Times New Roman" w:cs="Times New Roman"/>
      <w:kern w:val="0"/>
      <w:sz w:val="20"/>
      <w:szCs w:val="20"/>
    </w:rPr>
  </w:style>
  <w:style w:type="paragraph" w:styleId="a5">
    <w:name w:val="Closing"/>
    <w:basedOn w:val="a"/>
    <w:next w:val="a"/>
    <w:link w:val="a6"/>
    <w:uiPriority w:val="99"/>
    <w:semiHidden/>
    <w:rsid w:val="00003BB0"/>
    <w:pPr>
      <w:ind w:left="4320"/>
    </w:pPr>
    <w:rPr>
      <w:rFonts w:ascii="標楷體" w:eastAsia="標楷體"/>
      <w:sz w:val="26"/>
    </w:rPr>
  </w:style>
  <w:style w:type="character" w:customStyle="1" w:styleId="a6">
    <w:name w:val="結語 字元"/>
    <w:basedOn w:val="a0"/>
    <w:link w:val="a5"/>
    <w:uiPriority w:val="99"/>
    <w:semiHidden/>
    <w:locked/>
    <w:rsid w:val="0018466A"/>
    <w:rPr>
      <w:rFonts w:ascii="Times New Roman" w:eastAsia="細明體" w:hAnsi="Times New Roman" w:cs="Times New Roman"/>
      <w:kern w:val="0"/>
      <w:sz w:val="20"/>
      <w:szCs w:val="20"/>
    </w:rPr>
  </w:style>
  <w:style w:type="paragraph" w:styleId="a7">
    <w:name w:val="Body Text Indent"/>
    <w:basedOn w:val="a"/>
    <w:link w:val="a8"/>
    <w:uiPriority w:val="99"/>
    <w:semiHidden/>
    <w:rsid w:val="00003BB0"/>
    <w:pPr>
      <w:ind w:left="1800" w:hanging="779"/>
      <w:jc w:val="both"/>
    </w:pPr>
    <w:rPr>
      <w:rFonts w:ascii="標楷體" w:eastAsia="標楷體"/>
      <w:sz w:val="26"/>
    </w:rPr>
  </w:style>
  <w:style w:type="character" w:customStyle="1" w:styleId="a8">
    <w:name w:val="本文縮排 字元"/>
    <w:basedOn w:val="a0"/>
    <w:link w:val="a7"/>
    <w:uiPriority w:val="99"/>
    <w:semiHidden/>
    <w:locked/>
    <w:rsid w:val="0018466A"/>
    <w:rPr>
      <w:rFonts w:ascii="Times New Roman" w:eastAsia="細明體" w:hAnsi="Times New Roman" w:cs="Times New Roman"/>
      <w:kern w:val="0"/>
      <w:sz w:val="20"/>
      <w:szCs w:val="20"/>
    </w:rPr>
  </w:style>
  <w:style w:type="paragraph" w:styleId="2">
    <w:name w:val="Body Text Indent 2"/>
    <w:basedOn w:val="a"/>
    <w:link w:val="20"/>
    <w:uiPriority w:val="99"/>
    <w:semiHidden/>
    <w:rsid w:val="00003BB0"/>
    <w:pPr>
      <w:ind w:firstLine="600"/>
      <w:jc w:val="both"/>
    </w:pPr>
    <w:rPr>
      <w:rFonts w:ascii="標楷體" w:eastAsia="標楷體"/>
      <w:sz w:val="26"/>
    </w:rPr>
  </w:style>
  <w:style w:type="character" w:customStyle="1" w:styleId="20">
    <w:name w:val="本文縮排 2 字元"/>
    <w:basedOn w:val="a0"/>
    <w:link w:val="2"/>
    <w:uiPriority w:val="99"/>
    <w:semiHidden/>
    <w:locked/>
    <w:rsid w:val="0018466A"/>
    <w:rPr>
      <w:rFonts w:ascii="Times New Roman" w:eastAsia="細明體" w:hAnsi="Times New Roman" w:cs="Times New Roman"/>
      <w:kern w:val="0"/>
      <w:sz w:val="20"/>
      <w:szCs w:val="20"/>
    </w:rPr>
  </w:style>
  <w:style w:type="paragraph" w:styleId="a9">
    <w:name w:val="header"/>
    <w:basedOn w:val="a"/>
    <w:link w:val="1"/>
    <w:uiPriority w:val="99"/>
    <w:semiHidden/>
    <w:rsid w:val="00003BB0"/>
    <w:pPr>
      <w:tabs>
        <w:tab w:val="center" w:pos="4153"/>
        <w:tab w:val="right" w:pos="8306"/>
      </w:tabs>
      <w:snapToGrid w:val="0"/>
    </w:pPr>
    <w:rPr>
      <w:sz w:val="20"/>
    </w:rPr>
  </w:style>
  <w:style w:type="character" w:customStyle="1" w:styleId="1">
    <w:name w:val="頁首 字元1"/>
    <w:basedOn w:val="a0"/>
    <w:link w:val="a9"/>
    <w:uiPriority w:val="99"/>
    <w:semiHidden/>
    <w:locked/>
    <w:rsid w:val="0018466A"/>
    <w:rPr>
      <w:rFonts w:ascii="Times New Roman" w:eastAsia="細明體" w:hAnsi="Times New Roman" w:cs="Times New Roman"/>
      <w:kern w:val="0"/>
      <w:sz w:val="20"/>
      <w:szCs w:val="20"/>
    </w:rPr>
  </w:style>
  <w:style w:type="character" w:customStyle="1" w:styleId="aa">
    <w:name w:val="頁首 字元"/>
    <w:basedOn w:val="a0"/>
    <w:uiPriority w:val="99"/>
    <w:semiHidden/>
    <w:rsid w:val="00003BB0"/>
    <w:rPr>
      <w:rFonts w:ascii="Times New Roman" w:eastAsia="細明體" w:hAnsi="Times New Roman" w:cs="Times New Roman"/>
    </w:rPr>
  </w:style>
  <w:style w:type="paragraph" w:styleId="ab">
    <w:name w:val="footer"/>
    <w:basedOn w:val="a"/>
    <w:link w:val="10"/>
    <w:uiPriority w:val="99"/>
    <w:rsid w:val="00003BB0"/>
    <w:pPr>
      <w:tabs>
        <w:tab w:val="center" w:pos="4153"/>
        <w:tab w:val="right" w:pos="8306"/>
      </w:tabs>
      <w:snapToGrid w:val="0"/>
    </w:pPr>
    <w:rPr>
      <w:sz w:val="20"/>
    </w:rPr>
  </w:style>
  <w:style w:type="character" w:customStyle="1" w:styleId="10">
    <w:name w:val="頁尾 字元1"/>
    <w:basedOn w:val="a0"/>
    <w:link w:val="ab"/>
    <w:uiPriority w:val="99"/>
    <w:semiHidden/>
    <w:locked/>
    <w:rsid w:val="0018466A"/>
    <w:rPr>
      <w:rFonts w:ascii="Times New Roman" w:eastAsia="細明體" w:hAnsi="Times New Roman" w:cs="Times New Roman"/>
      <w:kern w:val="0"/>
      <w:sz w:val="20"/>
      <w:szCs w:val="20"/>
    </w:rPr>
  </w:style>
  <w:style w:type="character" w:customStyle="1" w:styleId="ac">
    <w:name w:val="頁尾 字元"/>
    <w:basedOn w:val="a0"/>
    <w:uiPriority w:val="99"/>
    <w:rsid w:val="00003BB0"/>
    <w:rPr>
      <w:rFonts w:ascii="Times New Roman" w:eastAsia="細明體" w:hAnsi="Times New Roman" w:cs="Times New Roman"/>
    </w:rPr>
  </w:style>
  <w:style w:type="paragraph" w:styleId="ad">
    <w:name w:val="Balloon Text"/>
    <w:basedOn w:val="a"/>
    <w:link w:val="ae"/>
    <w:uiPriority w:val="99"/>
    <w:semiHidden/>
    <w:rsid w:val="000B2DE6"/>
    <w:pPr>
      <w:spacing w:line="240" w:lineRule="auto"/>
    </w:pPr>
    <w:rPr>
      <w:rFonts w:ascii="Cambria" w:eastAsia="新細明體" w:hAnsi="Cambria"/>
      <w:sz w:val="18"/>
      <w:szCs w:val="18"/>
    </w:rPr>
  </w:style>
  <w:style w:type="character" w:customStyle="1" w:styleId="ae">
    <w:name w:val="註解方塊文字 字元"/>
    <w:basedOn w:val="a0"/>
    <w:link w:val="ad"/>
    <w:uiPriority w:val="99"/>
    <w:semiHidden/>
    <w:locked/>
    <w:rsid w:val="000B2DE6"/>
    <w:rPr>
      <w:rFonts w:ascii="Cambria" w:eastAsia="新細明體" w:hAnsi="Cambria" w:cs="Times New Roman"/>
      <w:sz w:val="18"/>
      <w:szCs w:val="18"/>
    </w:rPr>
  </w:style>
  <w:style w:type="paragraph" w:styleId="af">
    <w:name w:val="List Paragraph"/>
    <w:basedOn w:val="a"/>
    <w:uiPriority w:val="99"/>
    <w:qFormat/>
    <w:rsid w:val="002E7BA5"/>
    <w:pPr>
      <w:ind w:leftChars="200" w:left="480"/>
    </w:pPr>
  </w:style>
  <w:style w:type="paragraph" w:styleId="Web">
    <w:name w:val="Normal (Web)"/>
    <w:basedOn w:val="a"/>
    <w:uiPriority w:val="99"/>
    <w:semiHidden/>
    <w:rsid w:val="00581413"/>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character" w:styleId="af0">
    <w:name w:val="annotation reference"/>
    <w:basedOn w:val="a0"/>
    <w:uiPriority w:val="99"/>
    <w:semiHidden/>
    <w:rsid w:val="00E45232"/>
    <w:rPr>
      <w:rFonts w:cs="Times New Roman"/>
      <w:sz w:val="18"/>
      <w:szCs w:val="18"/>
    </w:rPr>
  </w:style>
  <w:style w:type="paragraph" w:styleId="af1">
    <w:name w:val="annotation text"/>
    <w:basedOn w:val="a"/>
    <w:link w:val="af2"/>
    <w:uiPriority w:val="99"/>
    <w:semiHidden/>
    <w:rsid w:val="00E45232"/>
  </w:style>
  <w:style w:type="character" w:customStyle="1" w:styleId="af2">
    <w:name w:val="註解文字 字元"/>
    <w:basedOn w:val="a0"/>
    <w:link w:val="af1"/>
    <w:uiPriority w:val="99"/>
    <w:semiHidden/>
    <w:rsid w:val="006C393F"/>
    <w:rPr>
      <w:rFonts w:ascii="Times New Roman" w:eastAsia="細明體" w:hAnsi="Times New Roman"/>
      <w:kern w:val="0"/>
      <w:szCs w:val="20"/>
    </w:rPr>
  </w:style>
  <w:style w:type="paragraph" w:styleId="af3">
    <w:name w:val="annotation subject"/>
    <w:basedOn w:val="af1"/>
    <w:next w:val="af1"/>
    <w:link w:val="af4"/>
    <w:uiPriority w:val="99"/>
    <w:semiHidden/>
    <w:rsid w:val="00E45232"/>
    <w:rPr>
      <w:b/>
      <w:bCs/>
    </w:rPr>
  </w:style>
  <w:style w:type="character" w:customStyle="1" w:styleId="af4">
    <w:name w:val="註解主旨 字元"/>
    <w:basedOn w:val="af2"/>
    <w:link w:val="af3"/>
    <w:uiPriority w:val="99"/>
    <w:semiHidden/>
    <w:rsid w:val="006C393F"/>
    <w:rPr>
      <w:b/>
      <w:bCs/>
    </w:rPr>
  </w:style>
</w:styles>
</file>

<file path=word/webSettings.xml><?xml version="1.0" encoding="utf-8"?>
<w:webSettings xmlns:r="http://schemas.openxmlformats.org/officeDocument/2006/relationships" xmlns:w="http://schemas.openxmlformats.org/wordprocessingml/2006/main">
  <w:divs>
    <w:div w:id="1037121126">
      <w:bodyDiv w:val="1"/>
      <w:marLeft w:val="0"/>
      <w:marRight w:val="0"/>
      <w:marTop w:val="0"/>
      <w:marBottom w:val="0"/>
      <w:divBdr>
        <w:top w:val="none" w:sz="0" w:space="0" w:color="auto"/>
        <w:left w:val="none" w:sz="0" w:space="0" w:color="auto"/>
        <w:bottom w:val="none" w:sz="0" w:space="0" w:color="auto"/>
        <w:right w:val="none" w:sz="0" w:space="0" w:color="auto"/>
      </w:divBdr>
    </w:div>
    <w:div w:id="1426342848">
      <w:bodyDiv w:val="1"/>
      <w:marLeft w:val="0"/>
      <w:marRight w:val="0"/>
      <w:marTop w:val="0"/>
      <w:marBottom w:val="0"/>
      <w:divBdr>
        <w:top w:val="none" w:sz="0" w:space="0" w:color="auto"/>
        <w:left w:val="none" w:sz="0" w:space="0" w:color="auto"/>
        <w:bottom w:val="none" w:sz="0" w:space="0" w:color="auto"/>
        <w:right w:val="none" w:sz="0" w:space="0" w:color="auto"/>
      </w:divBdr>
      <w:divsChild>
        <w:div w:id="1074857039">
          <w:marLeft w:val="0"/>
          <w:marRight w:val="0"/>
          <w:marTop w:val="0"/>
          <w:marBottom w:val="0"/>
          <w:divBdr>
            <w:top w:val="none" w:sz="0" w:space="0" w:color="auto"/>
            <w:left w:val="none" w:sz="0" w:space="0" w:color="auto"/>
            <w:bottom w:val="none" w:sz="0" w:space="0" w:color="auto"/>
            <w:right w:val="none" w:sz="0" w:space="0" w:color="auto"/>
          </w:divBdr>
          <w:divsChild>
            <w:div w:id="550963419">
              <w:marLeft w:val="0"/>
              <w:marRight w:val="0"/>
              <w:marTop w:val="0"/>
              <w:marBottom w:val="0"/>
              <w:divBdr>
                <w:top w:val="none" w:sz="0" w:space="0" w:color="auto"/>
                <w:left w:val="none" w:sz="0" w:space="0" w:color="auto"/>
                <w:bottom w:val="none" w:sz="0" w:space="0" w:color="auto"/>
                <w:right w:val="none" w:sz="0" w:space="0" w:color="auto"/>
              </w:divBdr>
              <w:divsChild>
                <w:div w:id="471875135">
                  <w:marLeft w:val="0"/>
                  <w:marRight w:val="0"/>
                  <w:marTop w:val="0"/>
                  <w:marBottom w:val="0"/>
                  <w:divBdr>
                    <w:top w:val="none" w:sz="0" w:space="0" w:color="auto"/>
                    <w:left w:val="none" w:sz="0" w:space="0" w:color="auto"/>
                    <w:bottom w:val="none" w:sz="0" w:space="0" w:color="auto"/>
                    <w:right w:val="none" w:sz="0" w:space="0" w:color="auto"/>
                  </w:divBdr>
                  <w:divsChild>
                    <w:div w:id="1807039102">
                      <w:marLeft w:val="0"/>
                      <w:marRight w:val="0"/>
                      <w:marTop w:val="0"/>
                      <w:marBottom w:val="0"/>
                      <w:divBdr>
                        <w:top w:val="none" w:sz="0" w:space="0" w:color="auto"/>
                        <w:left w:val="none" w:sz="0" w:space="0" w:color="auto"/>
                        <w:bottom w:val="none" w:sz="0" w:space="0" w:color="auto"/>
                        <w:right w:val="none" w:sz="0" w:space="0" w:color="auto"/>
                      </w:divBdr>
                      <w:divsChild>
                        <w:div w:id="1454247880">
                          <w:marLeft w:val="0"/>
                          <w:marRight w:val="0"/>
                          <w:marTop w:val="0"/>
                          <w:marBottom w:val="0"/>
                          <w:divBdr>
                            <w:top w:val="none" w:sz="0" w:space="0" w:color="auto"/>
                            <w:left w:val="none" w:sz="0" w:space="0" w:color="auto"/>
                            <w:bottom w:val="none" w:sz="0" w:space="0" w:color="auto"/>
                            <w:right w:val="none" w:sz="0" w:space="0" w:color="auto"/>
                          </w:divBdr>
                          <w:divsChild>
                            <w:div w:id="1297565229">
                              <w:marLeft w:val="0"/>
                              <w:marRight w:val="0"/>
                              <w:marTop w:val="0"/>
                              <w:marBottom w:val="0"/>
                              <w:divBdr>
                                <w:top w:val="none" w:sz="0" w:space="0" w:color="auto"/>
                                <w:left w:val="none" w:sz="0" w:space="0" w:color="auto"/>
                                <w:bottom w:val="none" w:sz="0" w:space="0" w:color="auto"/>
                                <w:right w:val="none" w:sz="0" w:space="0" w:color="auto"/>
                              </w:divBdr>
                              <w:divsChild>
                                <w:div w:id="6802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678854">
      <w:marLeft w:val="0"/>
      <w:marRight w:val="0"/>
      <w:marTop w:val="0"/>
      <w:marBottom w:val="0"/>
      <w:divBdr>
        <w:top w:val="none" w:sz="0" w:space="0" w:color="auto"/>
        <w:left w:val="none" w:sz="0" w:space="0" w:color="auto"/>
        <w:bottom w:val="none" w:sz="0" w:space="0" w:color="auto"/>
        <w:right w:val="none" w:sz="0" w:space="0" w:color="auto"/>
      </w:divBdr>
      <w:divsChild>
        <w:div w:id="1525678856">
          <w:marLeft w:val="0"/>
          <w:marRight w:val="0"/>
          <w:marTop w:val="0"/>
          <w:marBottom w:val="0"/>
          <w:divBdr>
            <w:top w:val="none" w:sz="0" w:space="0" w:color="auto"/>
            <w:left w:val="none" w:sz="0" w:space="0" w:color="auto"/>
            <w:bottom w:val="none" w:sz="0" w:space="0" w:color="auto"/>
            <w:right w:val="none" w:sz="0" w:space="0" w:color="auto"/>
          </w:divBdr>
          <w:divsChild>
            <w:div w:id="1525678858">
              <w:marLeft w:val="0"/>
              <w:marRight w:val="0"/>
              <w:marTop w:val="0"/>
              <w:marBottom w:val="0"/>
              <w:divBdr>
                <w:top w:val="none" w:sz="0" w:space="0" w:color="auto"/>
                <w:left w:val="none" w:sz="0" w:space="0" w:color="auto"/>
                <w:bottom w:val="none" w:sz="0" w:space="0" w:color="auto"/>
                <w:right w:val="none" w:sz="0" w:space="0" w:color="auto"/>
              </w:divBdr>
              <w:divsChild>
                <w:div w:id="1525678855">
                  <w:marLeft w:val="0"/>
                  <w:marRight w:val="0"/>
                  <w:marTop w:val="0"/>
                  <w:marBottom w:val="0"/>
                  <w:divBdr>
                    <w:top w:val="none" w:sz="0" w:space="0" w:color="auto"/>
                    <w:left w:val="none" w:sz="0" w:space="0" w:color="auto"/>
                    <w:bottom w:val="none" w:sz="0" w:space="0" w:color="auto"/>
                    <w:right w:val="none" w:sz="0" w:space="0" w:color="auto"/>
                  </w:divBdr>
                  <w:divsChild>
                    <w:div w:id="1525678853">
                      <w:marLeft w:val="975"/>
                      <w:marRight w:val="0"/>
                      <w:marTop w:val="0"/>
                      <w:marBottom w:val="0"/>
                      <w:divBdr>
                        <w:top w:val="none" w:sz="0" w:space="0" w:color="auto"/>
                        <w:left w:val="none" w:sz="0" w:space="0" w:color="auto"/>
                        <w:bottom w:val="none" w:sz="0" w:space="0" w:color="auto"/>
                        <w:right w:val="none" w:sz="0" w:space="0" w:color="auto"/>
                      </w:divBdr>
                      <w:divsChild>
                        <w:div w:id="15256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678859">
      <w:marLeft w:val="0"/>
      <w:marRight w:val="0"/>
      <w:marTop w:val="0"/>
      <w:marBottom w:val="0"/>
      <w:divBdr>
        <w:top w:val="none" w:sz="0" w:space="0" w:color="auto"/>
        <w:left w:val="none" w:sz="0" w:space="0" w:color="auto"/>
        <w:bottom w:val="none" w:sz="0" w:space="0" w:color="auto"/>
        <w:right w:val="none" w:sz="0" w:space="0" w:color="auto"/>
      </w:divBdr>
    </w:div>
    <w:div w:id="1525678860">
      <w:marLeft w:val="0"/>
      <w:marRight w:val="0"/>
      <w:marTop w:val="0"/>
      <w:marBottom w:val="0"/>
      <w:divBdr>
        <w:top w:val="none" w:sz="0" w:space="0" w:color="auto"/>
        <w:left w:val="none" w:sz="0" w:space="0" w:color="auto"/>
        <w:bottom w:val="none" w:sz="0" w:space="0" w:color="auto"/>
        <w:right w:val="none" w:sz="0" w:space="0" w:color="auto"/>
      </w:divBdr>
    </w:div>
    <w:div w:id="15256788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36001;&#21209;&#31227;&#20132;\&#24180;&#22577;\100&#24180;\&#20998;&#26512;\100&#36001;&#21209;-en.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36001;&#21209;&#31227;&#20132;\&#24180;&#22577;\100&#24180;\&#20998;&#26512;\100&#36001;&#21209;-en.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36001;&#21209;&#31227;&#20132;\&#24180;&#22577;\100&#24180;\&#20998;&#26512;\100&#36001;&#21209;-en.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36001;&#21209;&#31227;&#20132;\&#24180;&#22577;\100&#24180;\&#20998;&#26512;\100&#36001;&#21209;-en.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NHIHFS11\L00A\&#26371;&#35336;&#23460;&#20849;&#21516;&#27284;&#26696;\&#31532;&#20116;&#31185;\&#24180;&#22577;\100\Analysis\Excel\100&#36001;&#21209;-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TW"/>
  <c:chart>
    <c:autoTitleDeleted val="1"/>
    <c:view3D>
      <c:rotX val="30"/>
      <c:rotY val="120"/>
      <c:perspective val="30"/>
    </c:view3D>
    <c:plotArea>
      <c:layout>
        <c:manualLayout>
          <c:layoutTarget val="inner"/>
          <c:xMode val="edge"/>
          <c:yMode val="edge"/>
          <c:x val="2.9047002036141148E-5"/>
          <c:y val="0.2516266182432963"/>
          <c:w val="0.87094530905155865"/>
          <c:h val="0.70463580720402585"/>
        </c:manualLayout>
      </c:layout>
      <c:pie3DChart>
        <c:varyColors val="1"/>
        <c:ser>
          <c:idx val="0"/>
          <c:order val="0"/>
          <c:tx>
            <c:v>政府補助保險費概況</c:v>
          </c:tx>
          <c:spPr>
            <a:solidFill>
              <a:srgbClr val="C7A2E2"/>
            </a:solidFill>
          </c:spPr>
          <c:explosion val="10"/>
          <c:dPt>
            <c:idx val="0"/>
            <c:explosion val="0"/>
            <c:spPr>
              <a:solidFill>
                <a:srgbClr val="C7E6A4"/>
              </a:solidFill>
              <a:ln w="25400">
                <a:noFill/>
              </a:ln>
            </c:spPr>
          </c:dPt>
          <c:dPt>
            <c:idx val="1"/>
            <c:explosion val="0"/>
            <c:spPr>
              <a:solidFill>
                <a:srgbClr val="FFFF81"/>
              </a:solidFill>
              <a:ln>
                <a:noFill/>
              </a:ln>
            </c:spPr>
          </c:dPt>
          <c:dPt>
            <c:idx val="2"/>
            <c:explosion val="0"/>
            <c:spPr>
              <a:solidFill>
                <a:srgbClr val="FBC78D"/>
              </a:solidFill>
            </c:spPr>
          </c:dPt>
          <c:dPt>
            <c:idx val="3"/>
            <c:explosion val="40"/>
            <c:spPr>
              <a:solidFill>
                <a:srgbClr val="B9D0FF"/>
              </a:solidFill>
              <a:ln w="28575">
                <a:noFill/>
              </a:ln>
            </c:spPr>
          </c:dPt>
          <c:cat>
            <c:strRef>
              <c:f>('實收&amp;應收'!$A$24:$A$26,'實收&amp;應收'!$A$28)</c:f>
              <c:strCache>
                <c:ptCount val="4"/>
                <c:pt idx="0">
                  <c:v>Central Government</c:v>
                </c:pt>
                <c:pt idx="1">
                  <c:v>省市政府</c:v>
                </c:pt>
                <c:pt idx="2">
                  <c:v>縣市政府</c:v>
                </c:pt>
                <c:pt idx="3">
                  <c:v>非法定補助</c:v>
                </c:pt>
              </c:strCache>
            </c:strRef>
          </c:cat>
          <c:val>
            <c:numRef>
              <c:f>('實收&amp;應收'!$B$24:$B$26,'實收&amp;應收'!$B$28)</c:f>
              <c:numCache>
                <c:formatCode>0_ </c:formatCode>
                <c:ptCount val="4"/>
                <c:pt idx="0">
                  <c:v>79868357132</c:v>
                </c:pt>
                <c:pt idx="1">
                  <c:v>35191041728</c:v>
                </c:pt>
                <c:pt idx="2">
                  <c:v>3025808724</c:v>
                </c:pt>
                <c:pt idx="3">
                  <c:v>25909469027</c:v>
                </c:pt>
              </c:numCache>
            </c:numRef>
          </c:val>
        </c:ser>
      </c:pie3DChart>
    </c:plotArea>
    <c:plotVisOnly val="1"/>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TW"/>
  <c:chart>
    <c:autoTitleDeleted val="1"/>
    <c:view3D>
      <c:rotX val="30"/>
      <c:rotY val="140"/>
      <c:perspective val="30"/>
    </c:view3D>
    <c:plotArea>
      <c:layout>
        <c:manualLayout>
          <c:layoutTarget val="inner"/>
          <c:xMode val="edge"/>
          <c:yMode val="edge"/>
          <c:x val="0.12695197619126095"/>
          <c:y val="0.27605345941926751"/>
          <c:w val="0.66455199376228602"/>
          <c:h val="0.60067416322123612"/>
        </c:manualLayout>
      </c:layout>
      <c:pie3DChart>
        <c:varyColors val="1"/>
        <c:ser>
          <c:idx val="0"/>
          <c:order val="0"/>
          <c:tx>
            <c:v>滯納金收繳情形</c:v>
          </c:tx>
          <c:spPr>
            <a:solidFill>
              <a:srgbClr val="C7A2E2"/>
            </a:solidFill>
          </c:spPr>
          <c:explosion val="18"/>
          <c:dPt>
            <c:idx val="0"/>
            <c:spPr>
              <a:solidFill>
                <a:srgbClr val="C7E6A4"/>
              </a:solidFill>
            </c:spPr>
          </c:dPt>
          <c:dPt>
            <c:idx val="1"/>
            <c:spPr>
              <a:solidFill>
                <a:srgbClr val="B9D0FF"/>
              </a:solidFill>
            </c:spPr>
          </c:dPt>
          <c:dPt>
            <c:idx val="2"/>
            <c:spPr>
              <a:solidFill>
                <a:srgbClr val="FBC78D"/>
              </a:solidFill>
            </c:spPr>
          </c:dPt>
          <c:dPt>
            <c:idx val="3"/>
            <c:spPr>
              <a:solidFill>
                <a:srgbClr val="FFFF81"/>
              </a:solidFill>
            </c:spPr>
          </c:dPt>
          <c:cat>
            <c:strRef>
              <c:f>(滯納金!$A$8,滯納金!$A$9,滯納金!$A$10,滯納金!$A$13)</c:f>
              <c:strCache>
                <c:ptCount val="4"/>
                <c:pt idx="0">
                  <c:v>Category 1</c:v>
                </c:pt>
                <c:pt idx="1">
                  <c:v>Category 2</c:v>
                </c:pt>
                <c:pt idx="2">
                  <c:v>Category 3</c:v>
                </c:pt>
                <c:pt idx="3">
                  <c:v>Category 6</c:v>
                </c:pt>
              </c:strCache>
            </c:strRef>
          </c:cat>
          <c:val>
            <c:numRef>
              <c:f>(滯納金!$E$8,滯納金!$E$9,滯納金!$E$10,滯納金!$E$13)</c:f>
              <c:numCache>
                <c:formatCode>_-* #,##0_-;\-* #,##0_-;_-* "-"_-;_-@_-</c:formatCode>
                <c:ptCount val="4"/>
                <c:pt idx="0">
                  <c:v>104295020</c:v>
                </c:pt>
                <c:pt idx="1">
                  <c:v>9008575</c:v>
                </c:pt>
                <c:pt idx="2">
                  <c:v>2682359</c:v>
                </c:pt>
                <c:pt idx="3">
                  <c:v>63023560</c:v>
                </c:pt>
              </c:numCache>
            </c:numRef>
          </c:val>
        </c:ser>
      </c:pie3DChart>
    </c:plotArea>
    <c:legend>
      <c:legendPos val="r"/>
      <c:layout>
        <c:manualLayout>
          <c:xMode val="edge"/>
          <c:yMode val="edge"/>
          <c:x val="0.77643128946231121"/>
          <c:y val="0.31221652104692782"/>
          <c:w val="0.15693737027641583"/>
          <c:h val="0.33218966273284062"/>
        </c:manualLayout>
      </c:layout>
      <c:txPr>
        <a:bodyPr/>
        <a:lstStyle/>
        <a:p>
          <a:pPr>
            <a:defRPr sz="800">
              <a:latin typeface="Times New Roman" pitchFamily="18" charset="0"/>
              <a:ea typeface="標楷體" pitchFamily="65" charset="-120"/>
              <a:cs typeface="Times New Roman" pitchFamily="18" charset="0"/>
            </a:defRPr>
          </a:pPr>
          <a:endParaRPr lang="zh-TW"/>
        </a:p>
      </c:txPr>
    </c:legend>
    <c:plotVisOnly val="1"/>
  </c:chart>
  <c:spPr>
    <a:ln>
      <a:no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TW"/>
  <c:chart>
    <c:plotArea>
      <c:layout>
        <c:manualLayout>
          <c:layoutTarget val="inner"/>
          <c:xMode val="edge"/>
          <c:yMode val="edge"/>
          <c:x val="7.8044428438129254E-2"/>
          <c:y val="0.17687584204065737"/>
          <c:w val="0.84806309034655492"/>
          <c:h val="0.67274991766714676"/>
        </c:manualLayout>
      </c:layout>
      <c:barChart>
        <c:barDir val="col"/>
        <c:grouping val="clustered"/>
        <c:ser>
          <c:idx val="9"/>
          <c:order val="0"/>
          <c:tx>
            <c:strRef>
              <c:f>財務收支權責!$K$1:$K$37</c:f>
              <c:strCache>
                <c:ptCount val="1"/>
                <c:pt idx="0">
                  <c:v>Table 9    Financial Status of the Bureau of National Health Insurance               （Accrual Basis） 1995 - 2011 Unit：NT$1,000  Year or Month 其他保險收入
Others 其他收入
Others 1995 1996 1997 1998 1999 2000 2001 2002 2003 2004 2005 2006 2007 2008 2009 2010 1,058,9</c:v>
                </c:pt>
              </c:strCache>
            </c:strRef>
          </c:tx>
          <c:cat>
            <c:numRef>
              <c:f>財務收支權責!$A$63:$A$73</c:f>
              <c:numCache>
                <c:formatCode>@</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財務收支權責!$K$39:$K$72</c:f>
            </c:numRef>
          </c:val>
        </c:ser>
        <c:ser>
          <c:idx val="10"/>
          <c:order val="1"/>
          <c:tx>
            <c:strRef>
              <c:f>財務收支權責!$L$1:$L$37</c:f>
              <c:strCache>
                <c:ptCount val="1"/>
                <c:pt idx="0">
                  <c:v>表 9   中央健康保險局財務收支概況（權責基礎）（續完）        中華民國84年至100年 單位：新台幣千元 年（月）別 84年 85年 86年 87年 88年 89年 90年 91年 92年 93年 94年 95年 96年 97年 98年 99年      1月      2月      3月      4月      5月      6月      7月      8月      9月    10月    11月    12月</c:v>
                </c:pt>
              </c:strCache>
            </c:strRef>
          </c:tx>
          <c:cat>
            <c:numRef>
              <c:f>財務收支權責!$A$63:$A$73</c:f>
              <c:numCache>
                <c:formatCode>@</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財務收支權責!$L$39:$L$72</c:f>
            </c:numRef>
          </c:val>
        </c:ser>
        <c:ser>
          <c:idx val="0"/>
          <c:order val="2"/>
          <c:tx>
            <c:strRef>
              <c:f>財務收支權責!$B$56</c:f>
              <c:strCache>
                <c:ptCount val="1"/>
                <c:pt idx="0">
                  <c:v>Insurance Revenues</c:v>
                </c:pt>
              </c:strCache>
            </c:strRef>
          </c:tx>
          <c:spPr>
            <a:solidFill>
              <a:srgbClr val="C7E6A4"/>
            </a:solidFill>
          </c:spPr>
          <c:dLbls>
            <c:dLbl>
              <c:idx val="0"/>
              <c:layout>
                <c:manualLayout>
                  <c:x val="0"/>
                  <c:y val="0.11443759168887158"/>
                </c:manualLayout>
              </c:layout>
              <c:dLblPos val="outEnd"/>
              <c:showVal val="1"/>
            </c:dLbl>
            <c:dLbl>
              <c:idx val="1"/>
              <c:delete val="1"/>
            </c:dLbl>
            <c:dLbl>
              <c:idx val="2"/>
              <c:delete val="1"/>
            </c:dLbl>
            <c:dLbl>
              <c:idx val="3"/>
              <c:delete val="1"/>
            </c:dLbl>
            <c:dLbl>
              <c:idx val="4"/>
              <c:delete val="1"/>
            </c:dLbl>
            <c:dLbl>
              <c:idx val="5"/>
              <c:layout>
                <c:manualLayout>
                  <c:x val="-1.364276753386571E-2"/>
                  <c:y val="7.4578484753104121E-2"/>
                </c:manualLayout>
              </c:layout>
              <c:showVal val="1"/>
            </c:dLbl>
            <c:dLbl>
              <c:idx val="6"/>
              <c:delete val="1"/>
            </c:dLbl>
            <c:dLbl>
              <c:idx val="7"/>
              <c:delete val="1"/>
            </c:dLbl>
            <c:dLbl>
              <c:idx val="8"/>
              <c:delete val="1"/>
            </c:dLbl>
            <c:dLbl>
              <c:idx val="9"/>
              <c:delete val="1"/>
            </c:dLbl>
            <c:dLbl>
              <c:idx val="10"/>
              <c:showVal val="1"/>
            </c:dLbl>
            <c:dLbl>
              <c:idx val="11"/>
              <c:delete val="1"/>
            </c:dLbl>
            <c:dLbl>
              <c:idx val="12"/>
              <c:delete val="1"/>
            </c:dLbl>
            <c:dLbl>
              <c:idx val="13"/>
              <c:delete val="1"/>
            </c:dLbl>
            <c:dLbl>
              <c:idx val="14"/>
              <c:layout>
                <c:manualLayout>
                  <c:x val="-8.2987551867219917E-3"/>
                  <c:y val="0.29436124666926372"/>
                </c:manualLayout>
              </c:layout>
              <c:dLblPos val="outEnd"/>
              <c:showVal val="1"/>
            </c:dLbl>
            <c:dLbl>
              <c:idx val="15"/>
              <c:layout>
                <c:manualLayout>
                  <c:x val="-1.0373443983402486E-2"/>
                  <c:y val="0.5089802700517948"/>
                </c:manualLayout>
              </c:layout>
              <c:dLblPos val="outEnd"/>
              <c:showVal val="1"/>
            </c:dLbl>
            <c:txPr>
              <a:bodyPr/>
              <a:lstStyle/>
              <a:p>
                <a:pPr>
                  <a:defRPr sz="800">
                    <a:latin typeface="Times New Roman" pitchFamily="18" charset="0"/>
                    <a:cs typeface="Times New Roman" pitchFamily="18" charset="0"/>
                  </a:defRPr>
                </a:pPr>
                <a:endParaRPr lang="zh-TW"/>
              </a:p>
            </c:txPr>
            <c:dLblPos val="ctr"/>
            <c:showVal val="1"/>
          </c:dLbls>
          <c:cat>
            <c:numRef>
              <c:f>財務收支權責!$A$63:$A$73</c:f>
              <c:numCache>
                <c:formatCode>@</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財務收支權責!$B$63:$B$73</c:f>
              <c:numCache>
                <c:formatCode>##,###,</c:formatCode>
                <c:ptCount val="11"/>
                <c:pt idx="0">
                  <c:v>291509747229</c:v>
                </c:pt>
                <c:pt idx="1">
                  <c:v>311199550250</c:v>
                </c:pt>
                <c:pt idx="2">
                  <c:v>338777533524</c:v>
                </c:pt>
                <c:pt idx="3">
                  <c:v>353262851906</c:v>
                </c:pt>
                <c:pt idx="4">
                  <c:v>366058289474</c:v>
                </c:pt>
                <c:pt idx="5">
                  <c:v>386105187540</c:v>
                </c:pt>
                <c:pt idx="6">
                  <c:v>391859574774</c:v>
                </c:pt>
                <c:pt idx="7">
                  <c:v>406752123445</c:v>
                </c:pt>
                <c:pt idx="8">
                  <c:v>407467830117</c:v>
                </c:pt>
                <c:pt idx="9">
                  <c:v>465179584769</c:v>
                </c:pt>
                <c:pt idx="10">
                  <c:v>496757190557</c:v>
                </c:pt>
              </c:numCache>
            </c:numRef>
          </c:val>
        </c:ser>
        <c:ser>
          <c:idx val="1"/>
          <c:order val="3"/>
          <c:tx>
            <c:strRef>
              <c:f>財務收支權責!$E$56</c:f>
              <c:strCache>
                <c:ptCount val="1"/>
                <c:pt idx="0">
                  <c:v>Insurance Cost</c:v>
                </c:pt>
              </c:strCache>
            </c:strRef>
          </c:tx>
          <c:spPr>
            <a:solidFill>
              <a:srgbClr val="FFFF81"/>
            </a:solidFill>
          </c:spPr>
          <c:dLbls>
            <c:dLbl>
              <c:idx val="0"/>
              <c:layout>
                <c:manualLayout>
                  <c:x val="1.4522821576763541E-2"/>
                  <c:y val="8.3650190114071231E-3"/>
                </c:manualLayout>
              </c:layout>
              <c:dLblPos val="outEnd"/>
              <c:showVal val="1"/>
            </c:dLbl>
            <c:dLbl>
              <c:idx val="1"/>
              <c:delete val="1"/>
            </c:dLbl>
            <c:dLbl>
              <c:idx val="2"/>
              <c:delete val="1"/>
            </c:dLbl>
            <c:dLbl>
              <c:idx val="3"/>
              <c:delete val="1"/>
            </c:dLbl>
            <c:dLbl>
              <c:idx val="4"/>
              <c:delete val="1"/>
            </c:dLbl>
            <c:dLbl>
              <c:idx val="5"/>
              <c:showVal val="1"/>
            </c:dLbl>
            <c:dLbl>
              <c:idx val="6"/>
              <c:delete val="1"/>
            </c:dLbl>
            <c:dLbl>
              <c:idx val="7"/>
              <c:delete val="1"/>
            </c:dLbl>
            <c:dLbl>
              <c:idx val="8"/>
              <c:delete val="1"/>
            </c:dLbl>
            <c:dLbl>
              <c:idx val="9"/>
              <c:delete val="1"/>
            </c:dLbl>
            <c:dLbl>
              <c:idx val="10"/>
              <c:showVal val="1"/>
            </c:dLbl>
            <c:dLbl>
              <c:idx val="11"/>
              <c:delete val="1"/>
            </c:dLbl>
            <c:dLbl>
              <c:idx val="12"/>
              <c:delete val="1"/>
            </c:dLbl>
            <c:dLbl>
              <c:idx val="13"/>
              <c:delete val="1"/>
            </c:dLbl>
            <c:dLbl>
              <c:idx val="14"/>
              <c:layout>
                <c:manualLayout>
                  <c:x val="6.2240663900414933E-3"/>
                  <c:y val="0.27832699619772328"/>
                </c:manualLayout>
              </c:layout>
              <c:dLblPos val="outEnd"/>
              <c:showVal val="1"/>
            </c:dLbl>
            <c:dLbl>
              <c:idx val="15"/>
              <c:layout>
                <c:manualLayout>
                  <c:x val="-8.2987551867219917E-3"/>
                  <c:y val="0.41520912547528516"/>
                </c:manualLayout>
              </c:layout>
              <c:dLblPos val="outEnd"/>
              <c:showVal val="1"/>
            </c:dLbl>
            <c:dLbl>
              <c:idx val="16"/>
              <c:layout>
                <c:manualLayout>
                  <c:x val="9.0951783559104424E-3"/>
                  <c:y val="0.1424449058784302"/>
                </c:manualLayout>
              </c:layout>
              <c:dLblPos val="outEnd"/>
              <c:showVal val="1"/>
            </c:dLbl>
            <c:txPr>
              <a:bodyPr/>
              <a:lstStyle/>
              <a:p>
                <a:pPr>
                  <a:defRPr sz="800">
                    <a:latin typeface="Times New Roman" pitchFamily="18" charset="0"/>
                    <a:cs typeface="Times New Roman" pitchFamily="18" charset="0"/>
                  </a:defRPr>
                </a:pPr>
                <a:endParaRPr lang="zh-TW"/>
              </a:p>
            </c:txPr>
            <c:dLblPos val="inEnd"/>
            <c:showVal val="1"/>
          </c:dLbls>
          <c:cat>
            <c:numRef>
              <c:f>財務收支權責!$A$63:$A$73</c:f>
              <c:numCache>
                <c:formatCode>@</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財務收支權責!$E$63:$E$73</c:f>
              <c:numCache>
                <c:formatCode>##,###,</c:formatCode>
                <c:ptCount val="11"/>
                <c:pt idx="0">
                  <c:v>307151943649.66907</c:v>
                </c:pt>
                <c:pt idx="1">
                  <c:v>326854374281.01001</c:v>
                </c:pt>
                <c:pt idx="2">
                  <c:v>339160405872</c:v>
                </c:pt>
                <c:pt idx="3">
                  <c:v>353692771840</c:v>
                </c:pt>
                <c:pt idx="4">
                  <c:v>372392815576</c:v>
                </c:pt>
                <c:pt idx="5">
                  <c:v>386424410459</c:v>
                </c:pt>
                <c:pt idx="6">
                  <c:v>405626953013</c:v>
                </c:pt>
                <c:pt idx="7">
                  <c:v>420707435420</c:v>
                </c:pt>
                <c:pt idx="8">
                  <c:v>439165937008.20001</c:v>
                </c:pt>
                <c:pt idx="9">
                  <c:v>446665691995</c:v>
                </c:pt>
                <c:pt idx="10">
                  <c:v>462577173865</c:v>
                </c:pt>
              </c:numCache>
            </c:numRef>
          </c:val>
        </c:ser>
        <c:axId val="88427904"/>
        <c:axId val="88458368"/>
      </c:barChart>
      <c:lineChart>
        <c:grouping val="standard"/>
        <c:ser>
          <c:idx val="2"/>
          <c:order val="4"/>
          <c:tx>
            <c:strRef>
              <c:f>財務收支權責!$H$56</c:f>
              <c:strCache>
                <c:ptCount val="1"/>
                <c:pt idx="0">
                  <c:v>Premium Revenues/Insurance Revenues</c:v>
                </c:pt>
              </c:strCache>
            </c:strRef>
          </c:tx>
          <c:spPr>
            <a:ln>
              <a:solidFill>
                <a:srgbClr val="336600"/>
              </a:solidFill>
            </a:ln>
          </c:spPr>
          <c:marker>
            <c:spPr>
              <a:solidFill>
                <a:srgbClr val="418200"/>
              </a:solidFill>
              <a:ln>
                <a:solidFill>
                  <a:srgbClr val="92D050"/>
                </a:solidFill>
              </a:ln>
            </c:spPr>
          </c:marker>
          <c:dLbls>
            <c:dLbl>
              <c:idx val="0"/>
              <c:layout>
                <c:manualLayout>
                  <c:x val="-3.0082987551867484E-2"/>
                  <c:y val="3.9543726235741435E-2"/>
                </c:manualLayout>
              </c:layout>
              <c:dLblPos val="r"/>
              <c:showVal val="1"/>
            </c:dLbl>
            <c:dLbl>
              <c:idx val="1"/>
              <c:delete val="1"/>
            </c:dLbl>
            <c:dLbl>
              <c:idx val="2"/>
              <c:delete val="1"/>
            </c:dLbl>
            <c:dLbl>
              <c:idx val="3"/>
              <c:delete val="1"/>
            </c:dLbl>
            <c:dLbl>
              <c:idx val="4"/>
              <c:delete val="1"/>
            </c:dLbl>
            <c:dLbl>
              <c:idx val="5"/>
              <c:layout>
                <c:manualLayout>
                  <c:x val="-3.1833124245686552E-2"/>
                  <c:y val="-4.8476015089517682E-2"/>
                </c:manualLayout>
              </c:layout>
              <c:showVal val="1"/>
            </c:dLbl>
            <c:dLbl>
              <c:idx val="6"/>
              <c:delete val="1"/>
            </c:dLbl>
            <c:dLbl>
              <c:idx val="7"/>
              <c:delete val="1"/>
            </c:dLbl>
            <c:dLbl>
              <c:idx val="8"/>
              <c:delete val="1"/>
            </c:dLbl>
            <c:dLbl>
              <c:idx val="9"/>
              <c:delete val="1"/>
            </c:dLbl>
            <c:dLbl>
              <c:idx val="10"/>
              <c:layout>
                <c:manualLayout>
                  <c:x val="-3.6380713423641894E-2"/>
                  <c:y val="4.474709085186275E-2"/>
                </c:manualLayout>
              </c:layout>
              <c:showVal val="1"/>
            </c:dLbl>
            <c:dLbl>
              <c:idx val="11"/>
              <c:delete val="1"/>
            </c:dLbl>
            <c:dLbl>
              <c:idx val="12"/>
              <c:delete val="1"/>
            </c:dLbl>
            <c:dLbl>
              <c:idx val="13"/>
              <c:delete val="1"/>
            </c:dLbl>
            <c:numFmt formatCode="#,##0.0_);[Red]\(#,##0.0\)" sourceLinked="0"/>
            <c:txPr>
              <a:bodyPr/>
              <a:lstStyle/>
              <a:p>
                <a:pPr>
                  <a:defRPr sz="800">
                    <a:latin typeface="Times New Roman" pitchFamily="18" charset="0"/>
                    <a:cs typeface="Times New Roman" pitchFamily="18" charset="0"/>
                  </a:defRPr>
                </a:pPr>
                <a:endParaRPr lang="zh-TW"/>
              </a:p>
            </c:txPr>
            <c:dLblPos val="t"/>
            <c:showVal val="1"/>
          </c:dLbls>
          <c:cat>
            <c:numRef>
              <c:f>財務收支權責!$A$63:$A$73</c:f>
              <c:numCache>
                <c:formatCode>@</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財務收支權責!$H$63:$H$73</c:f>
              <c:numCache>
                <c:formatCode>#,##0.00;\-#,##0.00</c:formatCode>
                <c:ptCount val="11"/>
                <c:pt idx="0">
                  <c:v>99.780435953485195</c:v>
                </c:pt>
                <c:pt idx="1">
                  <c:v>97.499164038396827</c:v>
                </c:pt>
                <c:pt idx="2">
                  <c:v>96.751946175255881</c:v>
                </c:pt>
                <c:pt idx="3">
                  <c:v>97.368242784986109</c:v>
                </c:pt>
                <c:pt idx="4">
                  <c:v>97.279656625913859</c:v>
                </c:pt>
                <c:pt idx="5">
                  <c:v>95.308282534503704</c:v>
                </c:pt>
                <c:pt idx="6">
                  <c:v>94.581945604048599</c:v>
                </c:pt>
                <c:pt idx="7">
                  <c:v>94.623750863845743</c:v>
                </c:pt>
                <c:pt idx="8">
                  <c:v>94.693912838274358</c:v>
                </c:pt>
                <c:pt idx="9">
                  <c:v>94.298892679228487</c:v>
                </c:pt>
                <c:pt idx="10">
                  <c:v>94.506529023485015</c:v>
                </c:pt>
              </c:numCache>
            </c:numRef>
          </c:val>
        </c:ser>
        <c:marker val="1"/>
        <c:axId val="89240320"/>
        <c:axId val="88460288"/>
      </c:lineChart>
      <c:catAx>
        <c:axId val="88427904"/>
        <c:scaling>
          <c:orientation val="minMax"/>
        </c:scaling>
        <c:axPos val="b"/>
        <c:numFmt formatCode="@" sourceLinked="1"/>
        <c:majorTickMark val="in"/>
        <c:tickLblPos val="nextTo"/>
        <c:txPr>
          <a:bodyPr rot="0"/>
          <a:lstStyle/>
          <a:p>
            <a:pPr>
              <a:defRPr sz="800">
                <a:latin typeface="Times New Roman" pitchFamily="18" charset="0"/>
                <a:ea typeface="標楷體" pitchFamily="65" charset="-120"/>
                <a:cs typeface="Times New Roman" pitchFamily="18" charset="0"/>
              </a:defRPr>
            </a:pPr>
            <a:endParaRPr lang="zh-TW"/>
          </a:p>
        </c:txPr>
        <c:crossAx val="88458368"/>
        <c:crosses val="autoZero"/>
        <c:auto val="1"/>
        <c:lblAlgn val="ctr"/>
        <c:lblOffset val="100"/>
      </c:catAx>
      <c:valAx>
        <c:axId val="88458368"/>
        <c:scaling>
          <c:orientation val="minMax"/>
        </c:scaling>
        <c:axPos val="l"/>
        <c:majorGridlines>
          <c:spPr>
            <a:ln>
              <a:solidFill>
                <a:sysClr val="window" lastClr="FFFFFF">
                  <a:lumMod val="85000"/>
                  <a:alpha val="57000"/>
                </a:sysClr>
              </a:solidFill>
            </a:ln>
          </c:spPr>
        </c:majorGridlines>
        <c:numFmt formatCode="##,###," sourceLinked="1"/>
        <c:majorTickMark val="in"/>
        <c:tickLblPos val="nextTo"/>
        <c:txPr>
          <a:bodyPr/>
          <a:lstStyle/>
          <a:p>
            <a:pPr>
              <a:defRPr sz="800">
                <a:latin typeface="Times New Roman" pitchFamily="18" charset="0"/>
                <a:cs typeface="Times New Roman" pitchFamily="18" charset="0"/>
              </a:defRPr>
            </a:pPr>
            <a:endParaRPr lang="zh-TW"/>
          </a:p>
        </c:txPr>
        <c:crossAx val="88427904"/>
        <c:crosses val="autoZero"/>
        <c:crossBetween val="between"/>
        <c:dispUnits>
          <c:builtInUnit val="millions"/>
        </c:dispUnits>
      </c:valAx>
      <c:valAx>
        <c:axId val="88460288"/>
        <c:scaling>
          <c:orientation val="minMax"/>
          <c:max val="100"/>
          <c:min val="80"/>
        </c:scaling>
        <c:axPos val="r"/>
        <c:numFmt formatCode="#,##0;[Red]\-#,##0" sourceLinked="0"/>
        <c:majorTickMark val="in"/>
        <c:tickLblPos val="nextTo"/>
        <c:txPr>
          <a:bodyPr/>
          <a:lstStyle/>
          <a:p>
            <a:pPr>
              <a:defRPr sz="800">
                <a:latin typeface="Times New Roman" pitchFamily="18" charset="0"/>
                <a:cs typeface="Times New Roman" pitchFamily="18" charset="0"/>
              </a:defRPr>
            </a:pPr>
            <a:endParaRPr lang="zh-TW"/>
          </a:p>
        </c:txPr>
        <c:crossAx val="89240320"/>
        <c:crosses val="max"/>
        <c:crossBetween val="between"/>
      </c:valAx>
      <c:catAx>
        <c:axId val="89240320"/>
        <c:scaling>
          <c:orientation val="minMax"/>
        </c:scaling>
        <c:delete val="1"/>
        <c:axPos val="b"/>
        <c:numFmt formatCode="@" sourceLinked="1"/>
        <c:tickLblPos val="none"/>
        <c:crossAx val="88460288"/>
        <c:crosses val="autoZero"/>
        <c:auto val="1"/>
        <c:lblAlgn val="ctr"/>
        <c:lblOffset val="100"/>
      </c:catAx>
    </c:plotArea>
    <c:legend>
      <c:legendPos val="r"/>
      <c:layout>
        <c:manualLayout>
          <c:xMode val="edge"/>
          <c:yMode val="edge"/>
          <c:x val="8.1248932469472027E-2"/>
          <c:y val="0.92173797191700846"/>
          <c:w val="0.81875938420814964"/>
          <c:h val="6.4030418250950599E-2"/>
        </c:manualLayout>
      </c:layout>
      <c:txPr>
        <a:bodyPr/>
        <a:lstStyle/>
        <a:p>
          <a:pPr>
            <a:defRPr sz="800">
              <a:latin typeface="Times New Roman" pitchFamily="18" charset="0"/>
              <a:ea typeface="標楷體" pitchFamily="65" charset="-120"/>
              <a:cs typeface="Times New Roman" pitchFamily="18" charset="0"/>
            </a:defRPr>
          </a:pPr>
          <a:endParaRPr lang="zh-TW"/>
        </a:p>
      </c:txPr>
    </c:legend>
    <c:plotVisOnly val="1"/>
    <c:dispBlanksAs val="gap"/>
  </c:chart>
  <c:spPr>
    <a:ln>
      <a:noFill/>
    </a:ln>
  </c:sp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TW"/>
  <c:chart>
    <c:plotArea>
      <c:layout>
        <c:manualLayout>
          <c:layoutTarget val="inner"/>
          <c:xMode val="edge"/>
          <c:yMode val="edge"/>
          <c:x val="0.10091351651582971"/>
          <c:y val="0.16546899793419512"/>
          <c:w val="0.78985101447382433"/>
          <c:h val="0.68415676177359952"/>
        </c:manualLayout>
      </c:layout>
      <c:barChart>
        <c:barDir val="col"/>
        <c:grouping val="clustered"/>
        <c:ser>
          <c:idx val="9"/>
          <c:order val="0"/>
          <c:tx>
            <c:strRef>
              <c:f>財務收支權責!$K$1:$K$37</c:f>
              <c:strCache>
                <c:ptCount val="1"/>
                <c:pt idx="0">
                  <c:v>Table 9    Financial Status of the Bureau of National Health Insurance               （Accrual Basis） 1995 - 2011 Unit：NT$1,000  Year or Month 其他保險收入
Others 其他收入
Others 1995 1996 1997 1998 1999 2000 2001 2002 2003 2004 2005 2006 2007 2008 2009 2010 1,058,9</c:v>
                </c:pt>
              </c:strCache>
            </c:strRef>
          </c:tx>
          <c:cat>
            <c:numRef>
              <c:f>財務收支現金new!$A$14:$A$24</c:f>
              <c:numCache>
                <c:formatCode>@</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財務收支權責!$K$39:$K$72</c:f>
            </c:numRef>
          </c:val>
        </c:ser>
        <c:ser>
          <c:idx val="10"/>
          <c:order val="1"/>
          <c:tx>
            <c:strRef>
              <c:f>財務收支權責!$L$1:$L$37</c:f>
              <c:strCache>
                <c:ptCount val="1"/>
                <c:pt idx="0">
                  <c:v>表 9   中央健康保險局財務收支概況（權責基礎）（續完）        中華民國84年至100年 單位：新台幣千元 年（月）別 84年 85年 86年 87年 88年 89年 90年 91年 92年 93年 94年 95年 96年 97年 98年 99年      1月      2月      3月      4月      5月      6月      7月      8月      9月    10月    11月    12月</c:v>
                </c:pt>
              </c:strCache>
            </c:strRef>
          </c:tx>
          <c:cat>
            <c:numRef>
              <c:f>財務收支現金new!$A$14:$A$24</c:f>
              <c:numCache>
                <c:formatCode>@</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財務收支權責!$L$39:$L$72</c:f>
            </c:numRef>
          </c:val>
        </c:ser>
        <c:ser>
          <c:idx val="0"/>
          <c:order val="2"/>
          <c:tx>
            <c:v>Revenues</c:v>
          </c:tx>
          <c:spPr>
            <a:solidFill>
              <a:srgbClr val="C7E6A4"/>
            </a:solidFill>
          </c:spPr>
          <c:dLbls>
            <c:dLbl>
              <c:idx val="0"/>
              <c:layout>
                <c:manualLayout>
                  <c:x val="-8.3116883116883759E-3"/>
                  <c:y val="9.1911764705882526E-2"/>
                </c:manualLayout>
              </c:layout>
              <c:showVal val="1"/>
            </c:dLbl>
            <c:dLbl>
              <c:idx val="1"/>
              <c:delete val="1"/>
            </c:dLbl>
            <c:dLbl>
              <c:idx val="2"/>
              <c:delete val="1"/>
            </c:dLbl>
            <c:dLbl>
              <c:idx val="3"/>
              <c:delete val="1"/>
            </c:dLbl>
            <c:dLbl>
              <c:idx val="4"/>
              <c:delete val="1"/>
            </c:dLbl>
            <c:dLbl>
              <c:idx val="6"/>
              <c:delete val="1"/>
            </c:dLbl>
            <c:dLbl>
              <c:idx val="7"/>
              <c:delete val="1"/>
            </c:dLbl>
            <c:dLbl>
              <c:idx val="8"/>
              <c:delete val="1"/>
            </c:dLbl>
            <c:dLbl>
              <c:idx val="9"/>
              <c:delete val="1"/>
            </c:dLbl>
            <c:dLbl>
              <c:idx val="11"/>
              <c:delete val="1"/>
            </c:dLbl>
            <c:dLbl>
              <c:idx val="12"/>
              <c:delete val="1"/>
            </c:dLbl>
            <c:txPr>
              <a:bodyPr/>
              <a:lstStyle/>
              <a:p>
                <a:pPr>
                  <a:defRPr sz="800">
                    <a:latin typeface="Times New Roman" pitchFamily="18" charset="0"/>
                    <a:cs typeface="Times New Roman" pitchFamily="18" charset="0"/>
                  </a:defRPr>
                </a:pPr>
                <a:endParaRPr lang="zh-TW"/>
              </a:p>
            </c:txPr>
            <c:showVal val="1"/>
          </c:dLbls>
          <c:cat>
            <c:numRef>
              <c:f>財務收支現金new!$A$14:$A$24</c:f>
              <c:numCache>
                <c:formatCode>@</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財務收支現金new!$B$14:$B$24</c:f>
              <c:numCache>
                <c:formatCode>##,###,</c:formatCode>
                <c:ptCount val="11"/>
                <c:pt idx="0">
                  <c:v>303711578214</c:v>
                </c:pt>
                <c:pt idx="1">
                  <c:v>301164577264</c:v>
                </c:pt>
                <c:pt idx="2">
                  <c:v>340300000616</c:v>
                </c:pt>
                <c:pt idx="3">
                  <c:v>352927743989</c:v>
                </c:pt>
                <c:pt idx="4">
                  <c:v>372014122980</c:v>
                </c:pt>
                <c:pt idx="5">
                  <c:v>389461701782</c:v>
                </c:pt>
                <c:pt idx="6">
                  <c:v>398745774707</c:v>
                </c:pt>
                <c:pt idx="7">
                  <c:v>411816501103</c:v>
                </c:pt>
                <c:pt idx="8">
                  <c:v>410884541614</c:v>
                </c:pt>
                <c:pt idx="9">
                  <c:v>464458459054</c:v>
                </c:pt>
                <c:pt idx="10">
                  <c:v>505402769169</c:v>
                </c:pt>
              </c:numCache>
            </c:numRef>
          </c:val>
        </c:ser>
        <c:ser>
          <c:idx val="1"/>
          <c:order val="3"/>
          <c:tx>
            <c:v>Expenditure</c:v>
          </c:tx>
          <c:spPr>
            <a:solidFill>
              <a:srgbClr val="FFFF81"/>
            </a:solidFill>
          </c:spPr>
          <c:dLbls>
            <c:dLbl>
              <c:idx val="0"/>
              <c:layout>
                <c:manualLayout>
                  <c:x val="1.2467532467532521E-2"/>
                  <c:y val="-2.1144048170448609E-3"/>
                </c:manualLayout>
              </c:layout>
              <c:dLblPos val="outEnd"/>
              <c:showVal val="1"/>
            </c:dLbl>
            <c:dLbl>
              <c:idx val="1"/>
              <c:delete val="1"/>
            </c:dLbl>
            <c:dLbl>
              <c:idx val="2"/>
              <c:delete val="1"/>
            </c:dLbl>
            <c:dLbl>
              <c:idx val="3"/>
              <c:delete val="1"/>
            </c:dLbl>
            <c:dLbl>
              <c:idx val="4"/>
              <c:delete val="1"/>
            </c:dLbl>
            <c:dLbl>
              <c:idx val="5"/>
              <c:layout>
                <c:manualLayout>
                  <c:x val="1.038797423049392E-2"/>
                  <c:y val="0.18525011579434941"/>
                </c:manualLayout>
              </c:layout>
              <c:showVal val="1"/>
            </c:dLbl>
            <c:dLbl>
              <c:idx val="6"/>
              <c:delete val="1"/>
            </c:dLbl>
            <c:dLbl>
              <c:idx val="7"/>
              <c:delete val="1"/>
            </c:dLbl>
            <c:dLbl>
              <c:idx val="8"/>
              <c:delete val="1"/>
            </c:dLbl>
            <c:dLbl>
              <c:idx val="9"/>
              <c:delete val="1"/>
            </c:dLbl>
            <c:dLbl>
              <c:idx val="10"/>
              <c:showVal val="1"/>
            </c:dLbl>
            <c:dLbl>
              <c:idx val="11"/>
              <c:delete val="1"/>
            </c:dLbl>
            <c:dLbl>
              <c:idx val="12"/>
              <c:delete val="1"/>
            </c:dLbl>
            <c:txPr>
              <a:bodyPr/>
              <a:lstStyle/>
              <a:p>
                <a:pPr>
                  <a:defRPr sz="800">
                    <a:latin typeface="Times New Roman" pitchFamily="18" charset="0"/>
                    <a:cs typeface="Times New Roman" pitchFamily="18" charset="0"/>
                  </a:defRPr>
                </a:pPr>
                <a:endParaRPr lang="zh-TW"/>
              </a:p>
            </c:txPr>
            <c:dLblPos val="ctr"/>
            <c:showVal val="1"/>
          </c:dLbls>
          <c:cat>
            <c:numRef>
              <c:f>財務收支現金new!$A$14:$A$24</c:f>
              <c:numCache>
                <c:formatCode>@</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財務收支現金new!$J$14:$J$24</c:f>
              <c:numCache>
                <c:formatCode>##,###,</c:formatCode>
                <c:ptCount val="11"/>
                <c:pt idx="0">
                  <c:v>305173126781</c:v>
                </c:pt>
                <c:pt idx="1">
                  <c:v>349535260968</c:v>
                </c:pt>
                <c:pt idx="2">
                  <c:v>351410717574</c:v>
                </c:pt>
                <c:pt idx="3">
                  <c:v>380775211580</c:v>
                </c:pt>
                <c:pt idx="4">
                  <c:v>361413750040</c:v>
                </c:pt>
                <c:pt idx="5">
                  <c:v>385078875260</c:v>
                </c:pt>
                <c:pt idx="6">
                  <c:v>402853658784</c:v>
                </c:pt>
                <c:pt idx="7">
                  <c:v>427721350388</c:v>
                </c:pt>
                <c:pt idx="8">
                  <c:v>451240469447</c:v>
                </c:pt>
                <c:pt idx="9">
                  <c:v>459037274167</c:v>
                </c:pt>
                <c:pt idx="10">
                  <c:v>483330942550</c:v>
                </c:pt>
              </c:numCache>
            </c:numRef>
          </c:val>
        </c:ser>
        <c:axId val="126375424"/>
        <c:axId val="126376960"/>
      </c:barChart>
      <c:lineChart>
        <c:grouping val="standard"/>
        <c:ser>
          <c:idx val="2"/>
          <c:order val="4"/>
          <c:tx>
            <c:strRef>
              <c:f>財務收支現金new!$G$27</c:f>
              <c:strCache>
                <c:ptCount val="1"/>
                <c:pt idx="0">
                  <c:v>Premium Revenues/Revenues</c:v>
                </c:pt>
              </c:strCache>
            </c:strRef>
          </c:tx>
          <c:spPr>
            <a:ln>
              <a:solidFill>
                <a:srgbClr val="336600"/>
              </a:solidFill>
            </a:ln>
          </c:spPr>
          <c:marker>
            <c:spPr>
              <a:solidFill>
                <a:srgbClr val="418200"/>
              </a:solidFill>
              <a:ln>
                <a:solidFill>
                  <a:srgbClr val="5FB454"/>
                </a:solidFill>
              </a:ln>
            </c:spPr>
          </c:marker>
          <c:dLbls>
            <c:dLbl>
              <c:idx val="0"/>
              <c:layout>
                <c:manualLayout>
                  <c:x val="-3.4232365145228219E-2"/>
                  <c:y val="4.3346007604562725E-2"/>
                </c:manualLayout>
              </c:layout>
              <c:dLblPos val="r"/>
              <c:showVal val="1"/>
            </c:dLbl>
            <c:dLbl>
              <c:idx val="1"/>
              <c:delete val="1"/>
            </c:dLbl>
            <c:dLbl>
              <c:idx val="2"/>
              <c:delete val="1"/>
            </c:dLbl>
            <c:dLbl>
              <c:idx val="3"/>
              <c:delete val="1"/>
            </c:dLbl>
            <c:dLbl>
              <c:idx val="4"/>
              <c:delete val="1"/>
            </c:dLbl>
            <c:dLbl>
              <c:idx val="5"/>
              <c:layout>
                <c:manualLayout>
                  <c:x val="-3.2207792207792206E-2"/>
                  <c:y val="5.2941176470588207E-2"/>
                </c:manualLayout>
              </c:layout>
              <c:dLblPos val="r"/>
              <c:showVal val="1"/>
            </c:dLbl>
            <c:dLbl>
              <c:idx val="6"/>
              <c:delete val="1"/>
            </c:dLbl>
            <c:dLbl>
              <c:idx val="7"/>
              <c:delete val="1"/>
            </c:dLbl>
            <c:dLbl>
              <c:idx val="8"/>
              <c:delete val="1"/>
            </c:dLbl>
            <c:dLbl>
              <c:idx val="9"/>
              <c:delete val="1"/>
            </c:dLbl>
            <c:dLbl>
              <c:idx val="10"/>
              <c:layout>
                <c:manualLayout>
                  <c:x val="-3.3246753246753247E-2"/>
                  <c:y val="5.8823529411764636E-2"/>
                </c:manualLayout>
              </c:layout>
              <c:showVal val="1"/>
            </c:dLbl>
            <c:dLbl>
              <c:idx val="11"/>
              <c:delete val="1"/>
            </c:dLbl>
            <c:dLbl>
              <c:idx val="12"/>
              <c:delete val="1"/>
            </c:dLbl>
            <c:dLbl>
              <c:idx val="13"/>
              <c:layout>
                <c:manualLayout>
                  <c:x val="-4.2531120331950209E-2"/>
                  <c:y val="4.3346007604562725E-2"/>
                </c:manualLayout>
              </c:layout>
              <c:dLblPos val="r"/>
              <c:showVal val="1"/>
            </c:dLbl>
            <c:txPr>
              <a:bodyPr/>
              <a:lstStyle/>
              <a:p>
                <a:pPr>
                  <a:defRPr sz="800">
                    <a:latin typeface="Times New Roman" pitchFamily="18" charset="0"/>
                    <a:cs typeface="Times New Roman" pitchFamily="18" charset="0"/>
                  </a:defRPr>
                </a:pPr>
                <a:endParaRPr lang="zh-TW"/>
              </a:p>
            </c:txPr>
            <c:dLblPos val="t"/>
            <c:showVal val="1"/>
          </c:dLbls>
          <c:cat>
            <c:numRef>
              <c:f>財務收支現金new!$A$14:$A$24</c:f>
              <c:numCache>
                <c:formatCode>@</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財務收支現金new!$G$33:$G$43</c:f>
              <c:numCache>
                <c:formatCode>0.0_ </c:formatCode>
                <c:ptCount val="11"/>
                <c:pt idx="0">
                  <c:v>96.25251092206291</c:v>
                </c:pt>
                <c:pt idx="1">
                  <c:v>95.141789574683358</c:v>
                </c:pt>
                <c:pt idx="2">
                  <c:v>94.738345787661359</c:v>
                </c:pt>
                <c:pt idx="3">
                  <c:v>94.940211525973098</c:v>
                </c:pt>
                <c:pt idx="4">
                  <c:v>92.462163125589839</c:v>
                </c:pt>
                <c:pt idx="5">
                  <c:v>92.055215312205519</c:v>
                </c:pt>
                <c:pt idx="6">
                  <c:v>91.433403768328546</c:v>
                </c:pt>
                <c:pt idx="7">
                  <c:v>90.500887002044294</c:v>
                </c:pt>
                <c:pt idx="8">
                  <c:v>90.380100937665958</c:v>
                </c:pt>
                <c:pt idx="9">
                  <c:v>90.212015545029729</c:v>
                </c:pt>
                <c:pt idx="10">
                  <c:v>91.041642074608347</c:v>
                </c:pt>
              </c:numCache>
            </c:numRef>
          </c:val>
        </c:ser>
        <c:marker val="1"/>
        <c:axId val="126397056"/>
        <c:axId val="126395520"/>
      </c:lineChart>
      <c:catAx>
        <c:axId val="126375424"/>
        <c:scaling>
          <c:orientation val="minMax"/>
        </c:scaling>
        <c:axPos val="b"/>
        <c:numFmt formatCode="@" sourceLinked="1"/>
        <c:majorTickMark val="in"/>
        <c:tickLblPos val="nextTo"/>
        <c:txPr>
          <a:bodyPr rot="0"/>
          <a:lstStyle/>
          <a:p>
            <a:pPr>
              <a:defRPr sz="800">
                <a:latin typeface="Times New Roman" pitchFamily="18" charset="0"/>
                <a:ea typeface="標楷體" pitchFamily="65" charset="-120"/>
                <a:cs typeface="Times New Roman" pitchFamily="18" charset="0"/>
              </a:defRPr>
            </a:pPr>
            <a:endParaRPr lang="zh-TW"/>
          </a:p>
        </c:txPr>
        <c:crossAx val="126376960"/>
        <c:crosses val="autoZero"/>
        <c:auto val="1"/>
        <c:lblAlgn val="ctr"/>
        <c:lblOffset val="100"/>
      </c:catAx>
      <c:valAx>
        <c:axId val="126376960"/>
        <c:scaling>
          <c:orientation val="minMax"/>
        </c:scaling>
        <c:axPos val="l"/>
        <c:majorGridlines>
          <c:spPr>
            <a:ln>
              <a:solidFill>
                <a:sysClr val="window" lastClr="FFFFFF">
                  <a:lumMod val="85000"/>
                  <a:alpha val="57000"/>
                </a:sysClr>
              </a:solidFill>
            </a:ln>
          </c:spPr>
        </c:majorGridlines>
        <c:numFmt formatCode="##,###," sourceLinked="1"/>
        <c:majorTickMark val="in"/>
        <c:tickLblPos val="nextTo"/>
        <c:txPr>
          <a:bodyPr/>
          <a:lstStyle/>
          <a:p>
            <a:pPr>
              <a:defRPr sz="800">
                <a:latin typeface="Times New Roman" pitchFamily="18" charset="0"/>
                <a:cs typeface="Times New Roman" pitchFamily="18" charset="0"/>
              </a:defRPr>
            </a:pPr>
            <a:endParaRPr lang="zh-TW"/>
          </a:p>
        </c:txPr>
        <c:crossAx val="126375424"/>
        <c:crosses val="autoZero"/>
        <c:crossBetween val="between"/>
        <c:dispUnits>
          <c:builtInUnit val="millions"/>
        </c:dispUnits>
      </c:valAx>
      <c:valAx>
        <c:axId val="126395520"/>
        <c:scaling>
          <c:orientation val="minMax"/>
          <c:max val="100"/>
          <c:min val="80"/>
        </c:scaling>
        <c:axPos val="r"/>
        <c:numFmt formatCode="#,##0;[Red]\-#,##0" sourceLinked="0"/>
        <c:majorTickMark val="in"/>
        <c:tickLblPos val="nextTo"/>
        <c:txPr>
          <a:bodyPr/>
          <a:lstStyle/>
          <a:p>
            <a:pPr>
              <a:defRPr sz="800">
                <a:latin typeface="Times New Roman" pitchFamily="18" charset="0"/>
                <a:cs typeface="Times New Roman" pitchFamily="18" charset="0"/>
              </a:defRPr>
            </a:pPr>
            <a:endParaRPr lang="zh-TW"/>
          </a:p>
        </c:txPr>
        <c:crossAx val="126397056"/>
        <c:crosses val="max"/>
        <c:crossBetween val="between"/>
      </c:valAx>
      <c:catAx>
        <c:axId val="126397056"/>
        <c:scaling>
          <c:orientation val="minMax"/>
        </c:scaling>
        <c:delete val="1"/>
        <c:axPos val="b"/>
        <c:numFmt formatCode="@" sourceLinked="1"/>
        <c:tickLblPos val="none"/>
        <c:crossAx val="126395520"/>
        <c:crosses val="autoZero"/>
        <c:auto val="1"/>
        <c:lblAlgn val="ctr"/>
        <c:lblOffset val="100"/>
      </c:catAx>
    </c:plotArea>
    <c:legend>
      <c:legendPos val="r"/>
      <c:layout>
        <c:manualLayout>
          <c:xMode val="edge"/>
          <c:yMode val="edge"/>
          <c:x val="0.13903633155814243"/>
          <c:y val="0.92173797191700846"/>
          <c:w val="0.65516287123860562"/>
          <c:h val="6.4030418250950599E-2"/>
        </c:manualLayout>
      </c:layout>
      <c:txPr>
        <a:bodyPr/>
        <a:lstStyle/>
        <a:p>
          <a:pPr>
            <a:defRPr sz="800">
              <a:latin typeface="Times New Roman" pitchFamily="18" charset="0"/>
              <a:ea typeface="標楷體" pitchFamily="65" charset="-120"/>
              <a:cs typeface="Times New Roman" pitchFamily="18" charset="0"/>
            </a:defRPr>
          </a:pPr>
          <a:endParaRPr lang="zh-TW"/>
        </a:p>
      </c:txPr>
    </c:legend>
    <c:plotVisOnly val="1"/>
    <c:dispBlanksAs val="gap"/>
  </c:chart>
  <c:spPr>
    <a:ln>
      <a:noFill/>
    </a:ln>
  </c:sp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TW"/>
  <c:chart>
    <c:view3D>
      <c:rotX val="40"/>
      <c:hPercent val="160"/>
      <c:rotY val="80"/>
      <c:depthPercent val="50"/>
      <c:perspective val="10"/>
    </c:view3D>
    <c:plotArea>
      <c:layout>
        <c:manualLayout>
          <c:layoutTarget val="inner"/>
          <c:xMode val="edge"/>
          <c:yMode val="edge"/>
          <c:x val="0.10325958726618027"/>
          <c:y val="0.17320703653586092"/>
          <c:w val="0.85709577000550086"/>
          <c:h val="0.81596752368064951"/>
        </c:manualLayout>
      </c:layout>
      <c:pie3DChart>
        <c:varyColors val="1"/>
        <c:ser>
          <c:idx val="0"/>
          <c:order val="0"/>
          <c:spPr>
            <a:solidFill>
              <a:srgbClr val="C7A2E2"/>
            </a:solidFill>
            <a:scene3d>
              <a:camera prst="orthographicFront"/>
              <a:lightRig rig="threePt" dir="t"/>
            </a:scene3d>
            <a:sp3d>
              <a:bevelT w="0" h="0"/>
            </a:sp3d>
          </c:spPr>
          <c:explosion val="25"/>
          <c:dPt>
            <c:idx val="0"/>
            <c:explosion val="40"/>
            <c:spPr>
              <a:solidFill>
                <a:srgbClr val="C7E6A4"/>
              </a:solidFill>
              <a:scene3d>
                <a:camera prst="orthographicFront"/>
                <a:lightRig rig="threePt" dir="t"/>
              </a:scene3d>
              <a:sp3d>
                <a:bevelT w="0" h="0"/>
              </a:sp3d>
            </c:spPr>
          </c:dPt>
          <c:dPt>
            <c:idx val="1"/>
            <c:spPr>
              <a:solidFill>
                <a:srgbClr val="FFFF81"/>
              </a:solidFill>
              <a:scene3d>
                <a:camera prst="orthographicFront"/>
                <a:lightRig rig="threePt" dir="t"/>
              </a:scene3d>
              <a:sp3d>
                <a:bevelT w="0" h="0"/>
              </a:sp3d>
            </c:spPr>
          </c:dPt>
          <c:val>
            <c:numRef>
              <c:f>(資金運用!$B$25,資金運用!$B$24)</c:f>
              <c:numCache>
                <c:formatCode>##,###,</c:formatCode>
                <c:ptCount val="2"/>
                <c:pt idx="0">
                  <c:v>7099992902</c:v>
                </c:pt>
                <c:pt idx="1">
                  <c:v>172458813</c:v>
                </c:pt>
              </c:numCache>
            </c:numRef>
          </c:val>
        </c:ser>
      </c:pie3DChart>
    </c:plotArea>
    <c:plotVisOnly val="1"/>
  </c:chart>
  <c:spPr>
    <a:ln>
      <a:noFill/>
    </a:ln>
    <a:scene3d>
      <a:camera prst="orthographicFront"/>
      <a:lightRig rig="threePt" dir="t"/>
    </a:scene3d>
    <a:sp3d>
      <a:bevelT w="0" h="0"/>
    </a:sp3d>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0.10036</cdr:x>
      <cdr:y>0.02087</cdr:y>
    </cdr:from>
    <cdr:to>
      <cdr:x>0.87043</cdr:x>
      <cdr:y>0.16373</cdr:y>
    </cdr:to>
    <cdr:sp macro="" textlink="">
      <cdr:nvSpPr>
        <cdr:cNvPr id="2" name="文字方塊 1"/>
        <cdr:cNvSpPr txBox="1"/>
      </cdr:nvSpPr>
      <cdr:spPr>
        <a:xfrm xmlns:a="http://schemas.openxmlformats.org/drawingml/2006/main">
          <a:off x="528629" y="66675"/>
          <a:ext cx="4056209" cy="456302"/>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Overflow="clip" wrap="square" rtlCol="0" anchor="t"/>
        <a:lstStyle xmlns:a="http://schemas.openxmlformats.org/drawingml/2006/main"/>
        <a:p xmlns:a="http://schemas.openxmlformats.org/drawingml/2006/main">
          <a:pPr algn="ctr"/>
          <a:r>
            <a:rPr lang="en-US" altLang="zh-TW" sz="1000">
              <a:latin typeface="Times New Roman" pitchFamily="18" charset="0"/>
              <a:ea typeface="標楷體" pitchFamily="65" charset="-120"/>
              <a:cs typeface="Times New Roman" pitchFamily="18" charset="0"/>
            </a:rPr>
            <a:t>Figure</a:t>
          </a:r>
          <a:r>
            <a:rPr lang="zh-TW" altLang="en-US" sz="1000">
              <a:latin typeface="Times New Roman" pitchFamily="18" charset="0"/>
              <a:ea typeface="標楷體" pitchFamily="65" charset="-120"/>
              <a:cs typeface="Times New Roman" pitchFamily="18" charset="0"/>
            </a:rPr>
            <a:t> </a:t>
          </a:r>
          <a:r>
            <a:rPr lang="en-US" altLang="zh-TW" sz="1000">
              <a:latin typeface="Times New Roman" pitchFamily="18" charset="0"/>
              <a:ea typeface="標楷體" pitchFamily="65" charset="-120"/>
              <a:cs typeface="Times New Roman" pitchFamily="18" charset="0"/>
            </a:rPr>
            <a:t>14</a:t>
          </a:r>
          <a:r>
            <a:rPr lang="zh-TW" altLang="en-US" sz="1000">
              <a:latin typeface="Times New Roman" pitchFamily="18" charset="0"/>
              <a:ea typeface="標楷體" pitchFamily="65" charset="-120"/>
              <a:cs typeface="Times New Roman" pitchFamily="18" charset="0"/>
            </a:rPr>
            <a:t>　</a:t>
          </a:r>
          <a:r>
            <a:rPr lang="en-US" altLang="zh-TW" sz="1000">
              <a:latin typeface="Times New Roman" pitchFamily="18" charset="0"/>
              <a:ea typeface="標楷體" pitchFamily="65" charset="-120"/>
              <a:cs typeface="Times New Roman" pitchFamily="18" charset="0"/>
            </a:rPr>
            <a:t>Government Subsidy Receivables</a:t>
          </a:r>
        </a:p>
        <a:p xmlns:a="http://schemas.openxmlformats.org/drawingml/2006/main">
          <a:pPr algn="ctr"/>
          <a:endParaRPr lang="en-US" altLang="zh-TW" sz="300">
            <a:latin typeface="Times New Roman" pitchFamily="18" charset="0"/>
            <a:ea typeface="標楷體" pitchFamily="65" charset="-120"/>
            <a:cs typeface="Times New Roman" pitchFamily="18" charset="0"/>
          </a:endParaRPr>
        </a:p>
        <a:p xmlns:a="http://schemas.openxmlformats.org/drawingml/2006/main">
          <a:pPr algn="ctr"/>
          <a:r>
            <a:rPr lang="en-US" altLang="zh-TW" sz="800">
              <a:latin typeface="Times New Roman" pitchFamily="18" charset="0"/>
              <a:ea typeface="標楷體" pitchFamily="65" charset="-120"/>
              <a:cs typeface="Times New Roman" pitchFamily="18" charset="0"/>
            </a:rPr>
            <a:t>2011</a:t>
          </a:r>
          <a:endParaRPr lang="zh-TW" altLang="en-US" sz="800">
            <a:latin typeface="Times New Roman" pitchFamily="18" charset="0"/>
            <a:ea typeface="標楷體" pitchFamily="65" charset="-120"/>
            <a:cs typeface="Times New Roman" pitchFamily="18" charset="0"/>
          </a:endParaRPr>
        </a:p>
      </cdr:txBody>
    </cdr:sp>
  </cdr:relSizeAnchor>
  <cdr:relSizeAnchor xmlns:cdr="http://schemas.openxmlformats.org/drawingml/2006/chartDrawing">
    <cdr:from>
      <cdr:x>0.68535</cdr:x>
      <cdr:y>0.70676</cdr:y>
    </cdr:from>
    <cdr:to>
      <cdr:x>1</cdr:x>
      <cdr:y>0.86183</cdr:y>
    </cdr:to>
    <cdr:sp macro="" textlink="">
      <cdr:nvSpPr>
        <cdr:cNvPr id="3" name="文字方塊 2"/>
        <cdr:cNvSpPr txBox="1"/>
      </cdr:nvSpPr>
      <cdr:spPr>
        <a:xfrm xmlns:a="http://schemas.openxmlformats.org/drawingml/2006/main">
          <a:off x="3858037" y="2257425"/>
          <a:ext cx="1771238" cy="49530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Overflow="clip" wrap="square" lIns="0" tIns="0" rIns="0" bIns="0" rtlCol="0" anchor="t"/>
        <a:lstStyle xmlns:a="http://schemas.openxmlformats.org/drawingml/2006/main"/>
        <a:p xmlns:a="http://schemas.openxmlformats.org/drawingml/2006/main">
          <a:pPr algn="l"/>
          <a:r>
            <a:rPr lang="en-US" altLang="zh-TW" sz="800">
              <a:latin typeface="Times New Roman" pitchFamily="18" charset="0"/>
              <a:ea typeface="標楷體" pitchFamily="65" charset="-120"/>
              <a:cs typeface="Times New Roman" pitchFamily="18" charset="0"/>
            </a:rPr>
            <a:t>Government</a:t>
          </a:r>
          <a:r>
            <a:rPr lang="en-US" altLang="zh-TW" sz="800" baseline="0">
              <a:latin typeface="Times New Roman" pitchFamily="18" charset="0"/>
              <a:ea typeface="標楷體" pitchFamily="65" charset="-120"/>
              <a:cs typeface="Times New Roman" pitchFamily="18" charset="0"/>
            </a:rPr>
            <a:t> subsidies to specific targets</a:t>
          </a:r>
          <a:endParaRPr lang="en-US" altLang="zh-TW" sz="800">
            <a:latin typeface="Times New Roman" pitchFamily="18" charset="0"/>
            <a:ea typeface="標楷體" pitchFamily="65" charset="-120"/>
            <a:cs typeface="Times New Roman" pitchFamily="18" charset="0"/>
          </a:endParaRPr>
        </a:p>
        <a:p xmlns:a="http://schemas.openxmlformats.org/drawingml/2006/main">
          <a:pPr algn="l"/>
          <a:endParaRPr lang="en-US" altLang="zh-TW" sz="300">
            <a:latin typeface="Times New Roman" pitchFamily="18" charset="0"/>
            <a:ea typeface="標楷體" pitchFamily="65" charset="-120"/>
            <a:cs typeface="Times New Roman" pitchFamily="18" charset="0"/>
          </a:endParaRPr>
        </a:p>
        <a:p xmlns:a="http://schemas.openxmlformats.org/drawingml/2006/main">
          <a:pPr marL="0" marR="0" indent="0" algn="l" defTabSz="914400" eaLnBrk="1" fontAlgn="auto" latinLnBrk="0" hangingPunct="1">
            <a:lnSpc>
              <a:spcPct val="100000"/>
            </a:lnSpc>
            <a:spcBef>
              <a:spcPts val="0"/>
            </a:spcBef>
            <a:spcAft>
              <a:spcPts val="0"/>
            </a:spcAft>
            <a:buClrTx/>
            <a:buSzTx/>
            <a:buFontTx/>
            <a:buNone/>
            <a:tabLst/>
            <a:defRPr/>
          </a:pPr>
          <a:r>
            <a:rPr lang="en-US" altLang="zh-TW" sz="800">
              <a:latin typeface="Times New Roman" pitchFamily="18" charset="0"/>
              <a:ea typeface="標楷體" pitchFamily="65" charset="-120"/>
              <a:cs typeface="Times New Roman" pitchFamily="18" charset="0"/>
            </a:rPr>
            <a:t>NT$26</a:t>
          </a:r>
          <a:r>
            <a:rPr lang="en-US" altLang="zh-TW" sz="800" baseline="0">
              <a:latin typeface="Times New Roman" pitchFamily="18" charset="0"/>
              <a:ea typeface="標楷體" pitchFamily="65" charset="-120"/>
              <a:cs typeface="Times New Roman" pitchFamily="18" charset="0"/>
            </a:rPr>
            <a:t> Billion</a:t>
          </a:r>
          <a:r>
            <a:rPr lang="zh-TW" altLang="en-US" sz="800">
              <a:latin typeface="Times New Roman" pitchFamily="18" charset="0"/>
              <a:ea typeface="標楷體" pitchFamily="65" charset="-120"/>
              <a:cs typeface="Times New Roman" pitchFamily="18" charset="0"/>
            </a:rPr>
            <a:t>（</a:t>
          </a:r>
          <a:r>
            <a:rPr lang="en-US" altLang="zh-TW" sz="800">
              <a:latin typeface="Times New Roman" pitchFamily="18" charset="0"/>
              <a:ea typeface="標楷體" pitchFamily="65" charset="-120"/>
              <a:cs typeface="Times New Roman" pitchFamily="18" charset="0"/>
            </a:rPr>
            <a:t>18%</a:t>
          </a:r>
          <a:r>
            <a:rPr lang="zh-TW" altLang="en-US" sz="800">
              <a:latin typeface="Times New Roman" pitchFamily="18" charset="0"/>
              <a:ea typeface="標楷體" pitchFamily="65" charset="-120"/>
              <a:cs typeface="Times New Roman" pitchFamily="18" charset="0"/>
            </a:rPr>
            <a:t>）</a:t>
          </a:r>
          <a:endParaRPr lang="en-US" altLang="zh-TW" sz="800">
            <a:latin typeface="Times New Roman" pitchFamily="18" charset="0"/>
            <a:ea typeface="標楷體" pitchFamily="65" charset="-120"/>
            <a:cs typeface="Times New Roman" pitchFamily="18" charset="0"/>
          </a:endParaRPr>
        </a:p>
        <a:p xmlns:a="http://schemas.openxmlformats.org/drawingml/2006/main">
          <a:pPr algn="l"/>
          <a:endParaRPr lang="en-US" altLang="zh-TW" sz="300">
            <a:latin typeface="Times New Roman" pitchFamily="18" charset="0"/>
            <a:ea typeface="標楷體" pitchFamily="65" charset="-120"/>
            <a:cs typeface="Times New Roman" pitchFamily="18" charset="0"/>
          </a:endParaRPr>
        </a:p>
        <a:p xmlns:a="http://schemas.openxmlformats.org/drawingml/2006/main">
          <a:pPr algn="l"/>
          <a:r>
            <a:rPr lang="en-US" altLang="zh-TW" sz="800">
              <a:latin typeface="Times New Roman" pitchFamily="18" charset="0"/>
              <a:ea typeface="標楷體" pitchFamily="65" charset="-120"/>
              <a:cs typeface="Times New Roman" pitchFamily="18" charset="0"/>
            </a:rPr>
            <a:t>Collection</a:t>
          </a:r>
          <a:r>
            <a:rPr lang="en-US" altLang="zh-TW" sz="800" baseline="0">
              <a:latin typeface="Times New Roman" pitchFamily="18" charset="0"/>
              <a:ea typeface="標楷體" pitchFamily="65" charset="-120"/>
              <a:cs typeface="Times New Roman" pitchFamily="18" charset="0"/>
            </a:rPr>
            <a:t> Rate</a:t>
          </a:r>
          <a:r>
            <a:rPr lang="zh-TW" altLang="en-US" sz="800">
              <a:latin typeface="Times New Roman" pitchFamily="18" charset="0"/>
              <a:ea typeface="標楷體" pitchFamily="65" charset="-120"/>
              <a:cs typeface="Times New Roman" pitchFamily="18" charset="0"/>
            </a:rPr>
            <a:t> </a:t>
          </a:r>
          <a:r>
            <a:rPr lang="en-US" altLang="zh-TW" sz="800">
              <a:latin typeface="Times New Roman" pitchFamily="18" charset="0"/>
              <a:ea typeface="標楷體" pitchFamily="65" charset="-120"/>
              <a:cs typeface="Times New Roman" pitchFamily="18" charset="0"/>
            </a:rPr>
            <a:t>99.9%</a:t>
          </a:r>
          <a:endParaRPr lang="zh-TW" altLang="en-US" sz="800">
            <a:latin typeface="Times New Roman" pitchFamily="18" charset="0"/>
            <a:ea typeface="標楷體" pitchFamily="65" charset="-120"/>
            <a:cs typeface="Times New Roman" pitchFamily="18" charset="0"/>
          </a:endParaRPr>
        </a:p>
      </cdr:txBody>
    </cdr:sp>
  </cdr:relSizeAnchor>
  <cdr:relSizeAnchor xmlns:cdr="http://schemas.openxmlformats.org/drawingml/2006/chartDrawing">
    <cdr:from>
      <cdr:x>0.05076</cdr:x>
      <cdr:y>0.26797</cdr:y>
    </cdr:from>
    <cdr:to>
      <cdr:x>0.31284</cdr:x>
      <cdr:y>0.44436</cdr:y>
    </cdr:to>
    <cdr:sp macro="" textlink="">
      <cdr:nvSpPr>
        <cdr:cNvPr id="4" name="文字方塊 1"/>
        <cdr:cNvSpPr txBox="1"/>
      </cdr:nvSpPr>
      <cdr:spPr>
        <a:xfrm xmlns:a="http://schemas.openxmlformats.org/drawingml/2006/main">
          <a:off x="285750" y="855910"/>
          <a:ext cx="1475311" cy="563398"/>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l"/>
          <a:r>
            <a:rPr lang="en-US" altLang="zh-TW" sz="800" b="0">
              <a:solidFill>
                <a:sysClr val="windowText" lastClr="000000"/>
              </a:solidFill>
              <a:latin typeface="Times New Roman" pitchFamily="18" charset="0"/>
              <a:ea typeface="標楷體" pitchFamily="65" charset="-120"/>
              <a:cs typeface="Times New Roman" pitchFamily="18" charset="0"/>
            </a:rPr>
            <a:t>Statutory Government Subsidies</a:t>
          </a:r>
        </a:p>
        <a:p xmlns:a="http://schemas.openxmlformats.org/drawingml/2006/main">
          <a:pPr algn="l"/>
          <a:endParaRPr lang="en-US" altLang="zh-TW" sz="300" b="0">
            <a:solidFill>
              <a:sysClr val="windowText" lastClr="000000"/>
            </a:solidFill>
            <a:latin typeface="Times New Roman" pitchFamily="18" charset="0"/>
            <a:ea typeface="標楷體" pitchFamily="65" charset="-120"/>
            <a:cs typeface="Times New Roman" pitchFamily="18" charset="0"/>
          </a:endParaRPr>
        </a:p>
        <a:p xmlns:a="http://schemas.openxmlformats.org/drawingml/2006/main">
          <a:pPr marL="0" marR="0" indent="0" algn="l" defTabSz="914400" eaLnBrk="1" fontAlgn="auto" latinLnBrk="0" hangingPunct="1">
            <a:lnSpc>
              <a:spcPct val="100000"/>
            </a:lnSpc>
            <a:spcBef>
              <a:spcPts val="0"/>
            </a:spcBef>
            <a:spcAft>
              <a:spcPts val="0"/>
            </a:spcAft>
            <a:buClrTx/>
            <a:buSzTx/>
            <a:buFontTx/>
            <a:buNone/>
            <a:tabLst/>
            <a:defRPr/>
          </a:pPr>
          <a:r>
            <a:rPr lang="en-US" altLang="zh-TW" sz="800" b="0">
              <a:solidFill>
                <a:sysClr val="windowText" lastClr="000000"/>
              </a:solidFill>
              <a:latin typeface="Times New Roman" pitchFamily="18" charset="0"/>
              <a:ea typeface="標楷體" pitchFamily="65" charset="-120"/>
              <a:cs typeface="Times New Roman" pitchFamily="18" charset="0"/>
            </a:rPr>
            <a:t>NT$118 Billion</a:t>
          </a:r>
          <a:r>
            <a:rPr lang="zh-TW" altLang="en-US" sz="800" b="0">
              <a:solidFill>
                <a:sysClr val="windowText" lastClr="000000"/>
              </a:solidFill>
              <a:latin typeface="Times New Roman" pitchFamily="18" charset="0"/>
              <a:ea typeface="標楷體" pitchFamily="65" charset="-120"/>
              <a:cs typeface="Times New Roman" pitchFamily="18" charset="0"/>
            </a:rPr>
            <a:t>（</a:t>
          </a:r>
          <a:r>
            <a:rPr lang="en-US" altLang="zh-TW" sz="800" b="0">
              <a:solidFill>
                <a:sysClr val="windowText" lastClr="000000"/>
              </a:solidFill>
              <a:latin typeface="Times New Roman" pitchFamily="18" charset="0"/>
              <a:ea typeface="標楷體" pitchFamily="65" charset="-120"/>
              <a:cs typeface="Times New Roman" pitchFamily="18" charset="0"/>
            </a:rPr>
            <a:t>82%</a:t>
          </a:r>
          <a:r>
            <a:rPr lang="zh-TW" altLang="en-US" sz="800" b="0">
              <a:solidFill>
                <a:sysClr val="windowText" lastClr="000000"/>
              </a:solidFill>
              <a:latin typeface="Times New Roman" pitchFamily="18" charset="0"/>
              <a:ea typeface="標楷體" pitchFamily="65" charset="-120"/>
              <a:cs typeface="Times New Roman" pitchFamily="18" charset="0"/>
            </a:rPr>
            <a:t>）</a:t>
          </a:r>
          <a:endParaRPr lang="en-US" altLang="zh-TW" sz="800" b="0">
            <a:solidFill>
              <a:sysClr val="windowText" lastClr="000000"/>
            </a:solidFill>
            <a:latin typeface="Times New Roman" pitchFamily="18" charset="0"/>
            <a:ea typeface="標楷體" pitchFamily="65" charset="-120"/>
            <a:cs typeface="Times New Roman" pitchFamily="18" charset="0"/>
          </a:endParaRPr>
        </a:p>
        <a:p xmlns:a="http://schemas.openxmlformats.org/drawingml/2006/main">
          <a:pPr algn="l"/>
          <a:endParaRPr lang="en-US" altLang="zh-TW" sz="300" b="0">
            <a:solidFill>
              <a:sysClr val="windowText" lastClr="000000"/>
            </a:solidFill>
            <a:latin typeface="Times New Roman" pitchFamily="18" charset="0"/>
            <a:ea typeface="標楷體" pitchFamily="65" charset="-120"/>
            <a:cs typeface="Times New Roman" pitchFamily="18" charset="0"/>
          </a:endParaRPr>
        </a:p>
        <a:p xmlns:a="http://schemas.openxmlformats.org/drawingml/2006/main">
          <a:pPr algn="l"/>
          <a:r>
            <a:rPr lang="en-US" altLang="zh-TW" sz="800" b="0">
              <a:solidFill>
                <a:sysClr val="windowText" lastClr="000000"/>
              </a:solidFill>
              <a:latin typeface="Times New Roman" pitchFamily="18" charset="0"/>
              <a:ea typeface="標楷體" pitchFamily="65" charset="-120"/>
              <a:cs typeface="Times New Roman" pitchFamily="18" charset="0"/>
            </a:rPr>
            <a:t>Collection Rate</a:t>
          </a:r>
          <a:r>
            <a:rPr lang="zh-TW" altLang="en-US" sz="800" b="0">
              <a:solidFill>
                <a:sysClr val="windowText" lastClr="000000"/>
              </a:solidFill>
              <a:latin typeface="Times New Roman" pitchFamily="18" charset="0"/>
              <a:ea typeface="標楷體" pitchFamily="65" charset="-120"/>
              <a:cs typeface="Times New Roman" pitchFamily="18" charset="0"/>
            </a:rPr>
            <a:t> </a:t>
          </a:r>
          <a:r>
            <a:rPr lang="en-US" altLang="zh-TW" sz="800" b="0">
              <a:solidFill>
                <a:sysClr val="windowText" lastClr="000000"/>
              </a:solidFill>
              <a:latin typeface="Times New Roman" pitchFamily="18" charset="0"/>
              <a:ea typeface="標楷體" pitchFamily="65" charset="-120"/>
              <a:cs typeface="Times New Roman" pitchFamily="18" charset="0"/>
            </a:rPr>
            <a:t>91.0%</a:t>
          </a:r>
          <a:endParaRPr lang="zh-TW" altLang="en-US" sz="800" b="0">
            <a:solidFill>
              <a:sysClr val="windowText" lastClr="000000"/>
            </a:solidFill>
            <a:latin typeface="Times New Roman" pitchFamily="18" charset="0"/>
            <a:ea typeface="標楷體" pitchFamily="65" charset="-120"/>
            <a:cs typeface="Times New Roman" pitchFamily="18" charset="0"/>
          </a:endParaRPr>
        </a:p>
      </cdr:txBody>
    </cdr:sp>
  </cdr:relSizeAnchor>
  <cdr:relSizeAnchor xmlns:cdr="http://schemas.openxmlformats.org/drawingml/2006/chartDrawing">
    <cdr:from>
      <cdr:x>0.55127</cdr:x>
      <cdr:y>0.44599</cdr:y>
    </cdr:from>
    <cdr:to>
      <cdr:x>0.76612</cdr:x>
      <cdr:y>0.5541</cdr:y>
    </cdr:to>
    <cdr:sp macro="" textlink="">
      <cdr:nvSpPr>
        <cdr:cNvPr id="5" name="文字方塊 1"/>
        <cdr:cNvSpPr txBox="1"/>
      </cdr:nvSpPr>
      <cdr:spPr>
        <a:xfrm xmlns:a="http://schemas.openxmlformats.org/drawingml/2006/main">
          <a:off x="3486863" y="1302849"/>
          <a:ext cx="1358949" cy="315814"/>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de-DE" altLang="zh-TW" sz="800">
              <a:latin typeface="Times New Roman" pitchFamily="18" charset="0"/>
              <a:ea typeface="標楷體" pitchFamily="65" charset="-120"/>
              <a:cs typeface="Times New Roman" pitchFamily="18" charset="0"/>
            </a:rPr>
            <a:t>County/City Governments</a:t>
          </a:r>
        </a:p>
        <a:p xmlns:a="http://schemas.openxmlformats.org/drawingml/2006/main">
          <a:pPr algn="ctr"/>
          <a:endParaRPr lang="en-US" altLang="zh-TW" sz="300">
            <a:latin typeface="Times New Roman" pitchFamily="18" charset="0"/>
            <a:ea typeface="標楷體" pitchFamily="65" charset="-120"/>
            <a:cs typeface="Times New Roman" pitchFamily="18" charset="0"/>
          </a:endParaRPr>
        </a:p>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altLang="zh-TW" sz="800">
              <a:latin typeface="Times New Roman" pitchFamily="18" charset="0"/>
              <a:ea typeface="標楷體" pitchFamily="65" charset="-120"/>
              <a:cs typeface="Times New Roman" pitchFamily="18" charset="0"/>
            </a:rPr>
            <a:t>NT$3</a:t>
          </a:r>
          <a:r>
            <a:rPr lang="en-US" altLang="zh-TW" sz="800" baseline="0">
              <a:latin typeface="Times New Roman" pitchFamily="18" charset="0"/>
              <a:ea typeface="標楷體" pitchFamily="65" charset="-120"/>
              <a:cs typeface="Times New Roman" pitchFamily="18" charset="0"/>
            </a:rPr>
            <a:t> Billion</a:t>
          </a:r>
          <a:endParaRPr lang="zh-TW" altLang="en-US" sz="800">
            <a:latin typeface="Times New Roman" pitchFamily="18" charset="0"/>
            <a:ea typeface="標楷體" pitchFamily="65" charset="-120"/>
            <a:cs typeface="Times New Roman" pitchFamily="18" charset="0"/>
          </a:endParaRPr>
        </a:p>
      </cdr:txBody>
    </cdr:sp>
  </cdr:relSizeAnchor>
  <cdr:relSizeAnchor xmlns:cdr="http://schemas.openxmlformats.org/drawingml/2006/chartDrawing">
    <cdr:from>
      <cdr:x>0.3643</cdr:x>
      <cdr:y>0.28268</cdr:y>
    </cdr:from>
    <cdr:to>
      <cdr:x>0.52961</cdr:x>
      <cdr:y>0.42582</cdr:y>
    </cdr:to>
    <cdr:sp macro="" textlink="">
      <cdr:nvSpPr>
        <cdr:cNvPr id="6" name="文字方塊 1"/>
        <cdr:cNvSpPr txBox="1"/>
      </cdr:nvSpPr>
      <cdr:spPr>
        <a:xfrm xmlns:a="http://schemas.openxmlformats.org/drawingml/2006/main">
          <a:off x="2304236" y="825775"/>
          <a:ext cx="1045603" cy="418145"/>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altLang="zh-TW" sz="800">
              <a:latin typeface="Times New Roman" pitchFamily="18" charset="0"/>
              <a:ea typeface="標楷體" pitchFamily="65" charset="-120"/>
              <a:cs typeface="Times New Roman" pitchFamily="18" charset="0"/>
            </a:rPr>
            <a:t>Provincial/Municipal Governments</a:t>
          </a:r>
        </a:p>
        <a:p xmlns:a="http://schemas.openxmlformats.org/drawingml/2006/main">
          <a:pPr algn="ctr"/>
          <a:endParaRPr lang="en-US" altLang="zh-TW" sz="300">
            <a:latin typeface="Times New Roman" pitchFamily="18" charset="0"/>
            <a:ea typeface="標楷體" pitchFamily="65" charset="-120"/>
            <a:cs typeface="Times New Roman" pitchFamily="18" charset="0"/>
          </a:endParaRPr>
        </a:p>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altLang="zh-TW" sz="800">
              <a:latin typeface="Times New Roman" pitchFamily="18" charset="0"/>
              <a:ea typeface="標楷體" pitchFamily="65" charset="-120"/>
              <a:cs typeface="Times New Roman" pitchFamily="18" charset="0"/>
            </a:rPr>
            <a:t>NT$35</a:t>
          </a:r>
          <a:r>
            <a:rPr lang="en-US" altLang="zh-TW" sz="800" baseline="0">
              <a:latin typeface="Times New Roman" pitchFamily="18" charset="0"/>
              <a:ea typeface="標楷體" pitchFamily="65" charset="-120"/>
              <a:cs typeface="Times New Roman" pitchFamily="18" charset="0"/>
            </a:rPr>
            <a:t> Billion</a:t>
          </a:r>
          <a:endParaRPr lang="zh-TW" altLang="en-US" sz="800">
            <a:latin typeface="Times New Roman" pitchFamily="18" charset="0"/>
            <a:ea typeface="標楷體" pitchFamily="65" charset="-120"/>
            <a:cs typeface="Times New Roman" pitchFamily="18" charset="0"/>
          </a:endParaRPr>
        </a:p>
      </cdr:txBody>
    </cdr:sp>
  </cdr:relSizeAnchor>
  <cdr:relSizeAnchor xmlns:cdr="http://schemas.openxmlformats.org/drawingml/2006/chartDrawing">
    <cdr:from>
      <cdr:x>0.24791</cdr:x>
      <cdr:y>0.53082</cdr:y>
    </cdr:from>
    <cdr:to>
      <cdr:x>0.47056</cdr:x>
      <cdr:y>0.62039</cdr:y>
    </cdr:to>
    <cdr:sp macro="" textlink="">
      <cdr:nvSpPr>
        <cdr:cNvPr id="7" name="文字方塊 1"/>
        <cdr:cNvSpPr txBox="1"/>
      </cdr:nvSpPr>
      <cdr:spPr>
        <a:xfrm xmlns:a="http://schemas.openxmlformats.org/drawingml/2006/main">
          <a:off x="1395527" y="1695462"/>
          <a:ext cx="1253358" cy="286091"/>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altLang="zh-TW" sz="800">
              <a:latin typeface="Times New Roman" pitchFamily="18" charset="0"/>
              <a:ea typeface="標楷體" pitchFamily="65" charset="-120"/>
              <a:cs typeface="Times New Roman" pitchFamily="18" charset="0"/>
            </a:rPr>
            <a:t>Central Government</a:t>
          </a:r>
        </a:p>
        <a:p xmlns:a="http://schemas.openxmlformats.org/drawingml/2006/main">
          <a:pPr algn="ctr"/>
          <a:endParaRPr lang="en-US" altLang="zh-TW" sz="300">
            <a:latin typeface="Times New Roman" pitchFamily="18" charset="0"/>
            <a:ea typeface="標楷體" pitchFamily="65" charset="-120"/>
            <a:cs typeface="Times New Roman" pitchFamily="18" charset="0"/>
          </a:endParaRPr>
        </a:p>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altLang="zh-TW" sz="800">
              <a:latin typeface="Times New Roman" pitchFamily="18" charset="0"/>
              <a:ea typeface="標楷體" pitchFamily="65" charset="-120"/>
              <a:cs typeface="Times New Roman" pitchFamily="18" charset="0"/>
            </a:rPr>
            <a:t>NT$80</a:t>
          </a:r>
          <a:r>
            <a:rPr lang="en-US" altLang="zh-TW" sz="800" baseline="0">
              <a:latin typeface="Times New Roman" pitchFamily="18" charset="0"/>
              <a:ea typeface="標楷體" pitchFamily="65" charset="-120"/>
              <a:cs typeface="Times New Roman" pitchFamily="18" charset="0"/>
            </a:rPr>
            <a:t> Billion</a:t>
          </a:r>
          <a:endParaRPr lang="zh-TW" altLang="en-US" sz="800">
            <a:latin typeface="Times New Roman" pitchFamily="18" charset="0"/>
            <a:ea typeface="標楷體" pitchFamily="65" charset="-12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0.10036</cdr:x>
      <cdr:y>0</cdr:y>
    </cdr:from>
    <cdr:to>
      <cdr:x>0.91004</cdr:x>
      <cdr:y>0.21834</cdr:y>
    </cdr:to>
    <cdr:sp macro="" textlink="">
      <cdr:nvSpPr>
        <cdr:cNvPr id="2" name="文字方塊 1"/>
        <cdr:cNvSpPr txBox="1"/>
      </cdr:nvSpPr>
      <cdr:spPr>
        <a:xfrm xmlns:a="http://schemas.openxmlformats.org/drawingml/2006/main">
          <a:off x="456934" y="0"/>
          <a:ext cx="3686441" cy="572608"/>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Overflow="clip" wrap="square" rtlCol="0" anchor="t"/>
        <a:lstStyle xmlns:a="http://schemas.openxmlformats.org/drawingml/2006/main"/>
        <a:p xmlns:a="http://schemas.openxmlformats.org/drawingml/2006/main">
          <a:pPr algn="ctr"/>
          <a:r>
            <a:rPr lang="en-US" altLang="zh-TW" sz="1000">
              <a:latin typeface="Times New Roman" pitchFamily="18" charset="0"/>
              <a:ea typeface="標楷體" pitchFamily="65" charset="-120"/>
              <a:cs typeface="Times New Roman" pitchFamily="18" charset="0"/>
            </a:rPr>
            <a:t>Figure 15   Delinquent </a:t>
          </a:r>
          <a:r>
            <a:rPr lang="de-DE" altLang="zh-TW" sz="1000">
              <a:latin typeface="Times New Roman" pitchFamily="18" charset="0"/>
              <a:ea typeface="標楷體" pitchFamily="65" charset="-120"/>
              <a:cs typeface="Times New Roman" pitchFamily="18" charset="0"/>
            </a:rPr>
            <a:t>Charges</a:t>
          </a:r>
          <a:endParaRPr lang="en-US" altLang="zh-TW" sz="1000">
            <a:latin typeface="Times New Roman" pitchFamily="18" charset="0"/>
            <a:ea typeface="標楷體" pitchFamily="65" charset="-120"/>
            <a:cs typeface="Times New Roman" pitchFamily="18" charset="0"/>
          </a:endParaRPr>
        </a:p>
        <a:p xmlns:a="http://schemas.openxmlformats.org/drawingml/2006/main">
          <a:pPr algn="ctr"/>
          <a:endParaRPr lang="en-US" altLang="zh-TW" sz="300">
            <a:latin typeface="Times New Roman" pitchFamily="18" charset="0"/>
            <a:ea typeface="標楷體" pitchFamily="65" charset="-120"/>
            <a:cs typeface="Times New Roman" pitchFamily="18" charset="0"/>
          </a:endParaRPr>
        </a:p>
        <a:p xmlns:a="http://schemas.openxmlformats.org/drawingml/2006/main">
          <a:pPr algn="ctr"/>
          <a:r>
            <a:rPr lang="en-US" altLang="zh-TW" sz="800">
              <a:latin typeface="Times New Roman" pitchFamily="18" charset="0"/>
              <a:ea typeface="標楷體" pitchFamily="65" charset="-120"/>
              <a:cs typeface="Times New Roman" pitchFamily="18" charset="0"/>
            </a:rPr>
            <a:t>2011</a:t>
          </a:r>
          <a:endParaRPr lang="zh-TW" altLang="en-US" sz="800">
            <a:latin typeface="Times New Roman" pitchFamily="18" charset="0"/>
            <a:ea typeface="標楷體" pitchFamily="65" charset="-120"/>
            <a:cs typeface="Times New Roman" pitchFamily="18" charset="0"/>
          </a:endParaRPr>
        </a:p>
      </cdr:txBody>
    </cdr:sp>
  </cdr:relSizeAnchor>
  <cdr:relSizeAnchor xmlns:cdr="http://schemas.openxmlformats.org/drawingml/2006/chartDrawing">
    <cdr:from>
      <cdr:x>0.51657</cdr:x>
      <cdr:y>0.36345</cdr:y>
    </cdr:from>
    <cdr:to>
      <cdr:x>0.74459</cdr:x>
      <cdr:y>0.53286</cdr:y>
    </cdr:to>
    <cdr:sp macro="" textlink="">
      <cdr:nvSpPr>
        <cdr:cNvPr id="3" name="文字方塊 2"/>
        <cdr:cNvSpPr txBox="1"/>
      </cdr:nvSpPr>
      <cdr:spPr>
        <a:xfrm xmlns:a="http://schemas.openxmlformats.org/drawingml/2006/main">
          <a:off x="2273976" y="897032"/>
          <a:ext cx="1003760" cy="418116"/>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Overflow="clip" wrap="square" lIns="0" tIns="0" rIns="0" bIns="0" rtlCol="0" anchor="t"/>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altLang="zh-TW" sz="800">
              <a:latin typeface="Times New Roman" pitchFamily="18" charset="0"/>
              <a:ea typeface="標楷體" pitchFamily="65" charset="-120"/>
              <a:cs typeface="Times New Roman" pitchFamily="18" charset="0"/>
            </a:rPr>
            <a:t>NT$63Million</a:t>
          </a:r>
          <a:r>
            <a:rPr lang="zh-TW" altLang="en-US" sz="800">
              <a:latin typeface="Times New Roman" pitchFamily="18" charset="0"/>
              <a:ea typeface="標楷體" pitchFamily="65" charset="-120"/>
              <a:cs typeface="Times New Roman" pitchFamily="18" charset="0"/>
            </a:rPr>
            <a:t>（</a:t>
          </a:r>
          <a:r>
            <a:rPr lang="en-US" altLang="zh-TW" sz="800">
              <a:latin typeface="Times New Roman" pitchFamily="18" charset="0"/>
              <a:ea typeface="標楷體" pitchFamily="65" charset="-120"/>
              <a:cs typeface="Times New Roman" pitchFamily="18" charset="0"/>
            </a:rPr>
            <a:t>35.2%</a:t>
          </a:r>
          <a:r>
            <a:rPr lang="zh-TW" altLang="en-US" sz="800">
              <a:latin typeface="Times New Roman" pitchFamily="18" charset="0"/>
              <a:ea typeface="標楷體" pitchFamily="65" charset="-120"/>
              <a:cs typeface="Times New Roman" pitchFamily="18" charset="0"/>
            </a:rPr>
            <a:t>）</a:t>
          </a:r>
          <a:endParaRPr lang="en-US" altLang="zh-TW" sz="800">
            <a:latin typeface="Times New Roman" pitchFamily="18" charset="0"/>
            <a:ea typeface="標楷體" pitchFamily="65" charset="-120"/>
            <a:cs typeface="Times New Roman" pitchFamily="18" charset="0"/>
          </a:endParaRPr>
        </a:p>
        <a:p xmlns:a="http://schemas.openxmlformats.org/drawingml/2006/main">
          <a:pPr algn="ctr"/>
          <a:endParaRPr lang="en-US" altLang="zh-TW" sz="300">
            <a:latin typeface="Times New Roman" pitchFamily="18" charset="0"/>
            <a:ea typeface="標楷體" pitchFamily="65" charset="-120"/>
            <a:cs typeface="Times New Roman" pitchFamily="18" charset="0"/>
          </a:endParaRPr>
        </a:p>
        <a:p xmlns:a="http://schemas.openxmlformats.org/drawingml/2006/main">
          <a:pPr algn="ctr"/>
          <a:r>
            <a:rPr lang="en-US" altLang="zh-TW" sz="800">
              <a:latin typeface="Times New Roman" pitchFamily="18" charset="0"/>
              <a:ea typeface="標楷體" pitchFamily="65" charset="-120"/>
              <a:cs typeface="Times New Roman" pitchFamily="18" charset="0"/>
            </a:rPr>
            <a:t>Collection Rate</a:t>
          </a:r>
          <a:r>
            <a:rPr lang="zh-TW" altLang="en-US" sz="800">
              <a:latin typeface="Times New Roman" pitchFamily="18" charset="0"/>
              <a:ea typeface="標楷體" pitchFamily="65" charset="-120"/>
              <a:cs typeface="Times New Roman" pitchFamily="18" charset="0"/>
            </a:rPr>
            <a:t> </a:t>
          </a:r>
          <a:r>
            <a:rPr lang="en-US" altLang="zh-TW" sz="800">
              <a:latin typeface="Times New Roman" pitchFamily="18" charset="0"/>
              <a:ea typeface="標楷體" pitchFamily="65" charset="-120"/>
              <a:cs typeface="Times New Roman" pitchFamily="18" charset="0"/>
            </a:rPr>
            <a:t>51.9%</a:t>
          </a:r>
          <a:endParaRPr lang="zh-TW" altLang="en-US" sz="800">
            <a:latin typeface="Times New Roman" pitchFamily="18" charset="0"/>
            <a:ea typeface="標楷體" pitchFamily="65" charset="-120"/>
            <a:cs typeface="Times New Roman" pitchFamily="18" charset="0"/>
          </a:endParaRPr>
        </a:p>
      </cdr:txBody>
    </cdr:sp>
  </cdr:relSizeAnchor>
  <cdr:relSizeAnchor xmlns:cdr="http://schemas.openxmlformats.org/drawingml/2006/chartDrawing">
    <cdr:from>
      <cdr:x>0.18884</cdr:x>
      <cdr:y>0.51048</cdr:y>
    </cdr:from>
    <cdr:to>
      <cdr:x>0.44916</cdr:x>
      <cdr:y>0.65251</cdr:y>
    </cdr:to>
    <cdr:sp macro="" textlink="">
      <cdr:nvSpPr>
        <cdr:cNvPr id="4" name="文字方塊 1"/>
        <cdr:cNvSpPr txBox="1"/>
      </cdr:nvSpPr>
      <cdr:spPr>
        <a:xfrm xmlns:a="http://schemas.openxmlformats.org/drawingml/2006/main">
          <a:off x="831270" y="1259895"/>
          <a:ext cx="1145947" cy="350540"/>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altLang="zh-TW" sz="800">
              <a:latin typeface="Times New Roman" pitchFamily="18" charset="0"/>
              <a:ea typeface="標楷體" pitchFamily="65" charset="-120"/>
              <a:cs typeface="Times New Roman" pitchFamily="18" charset="0"/>
            </a:rPr>
            <a:t>NT$104</a:t>
          </a:r>
          <a:r>
            <a:rPr lang="zh-TW" altLang="en-US" sz="800">
              <a:latin typeface="Times New Roman" pitchFamily="18" charset="0"/>
              <a:ea typeface="標楷體" pitchFamily="65" charset="-120"/>
              <a:cs typeface="Times New Roman" pitchFamily="18" charset="0"/>
            </a:rPr>
            <a:t> </a:t>
          </a:r>
          <a:r>
            <a:rPr lang="en-US" altLang="zh-TW" sz="800">
              <a:latin typeface="Times New Roman" pitchFamily="18" charset="0"/>
              <a:ea typeface="標楷體" pitchFamily="65" charset="-120"/>
              <a:cs typeface="Times New Roman" pitchFamily="18" charset="0"/>
            </a:rPr>
            <a:t>Million</a:t>
          </a:r>
          <a:r>
            <a:rPr lang="zh-TW" altLang="en-US" sz="800">
              <a:latin typeface="Times New Roman" pitchFamily="18" charset="0"/>
              <a:ea typeface="標楷體" pitchFamily="65" charset="-120"/>
              <a:cs typeface="Times New Roman" pitchFamily="18" charset="0"/>
            </a:rPr>
            <a:t>（</a:t>
          </a:r>
          <a:r>
            <a:rPr lang="en-US" altLang="zh-TW" sz="800">
              <a:latin typeface="Times New Roman" pitchFamily="18" charset="0"/>
              <a:ea typeface="標楷體" pitchFamily="65" charset="-120"/>
              <a:cs typeface="Times New Roman" pitchFamily="18" charset="0"/>
            </a:rPr>
            <a:t>58.3%</a:t>
          </a:r>
          <a:r>
            <a:rPr lang="zh-TW" altLang="en-US" sz="800">
              <a:latin typeface="Times New Roman" pitchFamily="18" charset="0"/>
              <a:ea typeface="標楷體" pitchFamily="65" charset="-120"/>
              <a:cs typeface="Times New Roman" pitchFamily="18" charset="0"/>
            </a:rPr>
            <a:t>）</a:t>
          </a:r>
          <a:endParaRPr lang="en-US" altLang="zh-TW" sz="800">
            <a:latin typeface="Times New Roman" pitchFamily="18" charset="0"/>
            <a:ea typeface="標楷體" pitchFamily="65" charset="-120"/>
            <a:cs typeface="Times New Roman" pitchFamily="18" charset="0"/>
          </a:endParaRPr>
        </a:p>
        <a:p xmlns:a="http://schemas.openxmlformats.org/drawingml/2006/main">
          <a:pPr algn="ctr"/>
          <a:endParaRPr lang="en-US" altLang="zh-TW" sz="300">
            <a:latin typeface="Times New Roman" pitchFamily="18" charset="0"/>
            <a:ea typeface="標楷體" pitchFamily="65" charset="-120"/>
            <a:cs typeface="Times New Roman" pitchFamily="18" charset="0"/>
          </a:endParaRPr>
        </a:p>
        <a:p xmlns:a="http://schemas.openxmlformats.org/drawingml/2006/main">
          <a:pPr algn="ctr"/>
          <a:r>
            <a:rPr lang="en-US" altLang="zh-TW" sz="800">
              <a:latin typeface="Times New Roman" pitchFamily="18" charset="0"/>
              <a:ea typeface="標楷體" pitchFamily="65" charset="-120"/>
              <a:cs typeface="Times New Roman" pitchFamily="18" charset="0"/>
            </a:rPr>
            <a:t>Collection Rate</a:t>
          </a:r>
          <a:r>
            <a:rPr lang="zh-TW" altLang="en-US" sz="800">
              <a:latin typeface="Times New Roman" pitchFamily="18" charset="0"/>
              <a:ea typeface="標楷體" pitchFamily="65" charset="-120"/>
              <a:cs typeface="Times New Roman" pitchFamily="18" charset="0"/>
            </a:rPr>
            <a:t> </a:t>
          </a:r>
          <a:r>
            <a:rPr lang="en-US" altLang="zh-TW" sz="800">
              <a:latin typeface="Times New Roman" pitchFamily="18" charset="0"/>
              <a:ea typeface="標楷體" pitchFamily="65" charset="-120"/>
              <a:cs typeface="Times New Roman" pitchFamily="18" charset="0"/>
            </a:rPr>
            <a:t>70.4%</a:t>
          </a:r>
          <a:endParaRPr lang="zh-TW" altLang="en-US" sz="800">
            <a:latin typeface="Times New Roman" pitchFamily="18" charset="0"/>
            <a:ea typeface="標楷體" pitchFamily="65" charset="-120"/>
            <a:cs typeface="Times New Roman" pitchFamily="18" charset="0"/>
          </a:endParaRPr>
        </a:p>
      </cdr:txBody>
    </cdr:sp>
  </cdr:relSizeAnchor>
  <cdr:relSizeAnchor xmlns:cdr="http://schemas.openxmlformats.org/drawingml/2006/chartDrawing">
    <cdr:from>
      <cdr:x>0.22594</cdr:x>
      <cdr:y>0.17433</cdr:y>
    </cdr:from>
    <cdr:to>
      <cdr:x>0.45244</cdr:x>
      <cdr:y>0.2892</cdr:y>
    </cdr:to>
    <cdr:sp macro="" textlink="">
      <cdr:nvSpPr>
        <cdr:cNvPr id="5" name="文字方塊 1"/>
        <cdr:cNvSpPr txBox="1"/>
      </cdr:nvSpPr>
      <cdr:spPr>
        <a:xfrm xmlns:a="http://schemas.openxmlformats.org/drawingml/2006/main">
          <a:off x="1028700" y="457200"/>
          <a:ext cx="1031221" cy="301247"/>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altLang="zh-TW" sz="800">
              <a:latin typeface="Times New Roman" pitchFamily="18" charset="0"/>
              <a:ea typeface="標楷體" pitchFamily="65" charset="-120"/>
              <a:cs typeface="Times New Roman" pitchFamily="18" charset="0"/>
            </a:rPr>
            <a:t>NT$9 Million</a:t>
          </a:r>
          <a:r>
            <a:rPr lang="zh-TW" altLang="en-US" sz="800">
              <a:latin typeface="Times New Roman" pitchFamily="18" charset="0"/>
              <a:ea typeface="標楷體" pitchFamily="65" charset="-120"/>
              <a:cs typeface="Times New Roman" pitchFamily="18" charset="0"/>
            </a:rPr>
            <a:t>（</a:t>
          </a:r>
          <a:r>
            <a:rPr lang="en-US" altLang="zh-TW" sz="800">
              <a:latin typeface="Times New Roman" pitchFamily="18" charset="0"/>
              <a:ea typeface="標楷體" pitchFamily="65" charset="-120"/>
              <a:cs typeface="Times New Roman" pitchFamily="18" charset="0"/>
            </a:rPr>
            <a:t>5.0%</a:t>
          </a:r>
          <a:r>
            <a:rPr lang="zh-TW" altLang="en-US" sz="800">
              <a:latin typeface="Times New Roman" pitchFamily="18" charset="0"/>
              <a:ea typeface="標楷體" pitchFamily="65" charset="-120"/>
              <a:cs typeface="Times New Roman" pitchFamily="18" charset="0"/>
            </a:rPr>
            <a:t>）</a:t>
          </a:r>
          <a:endParaRPr lang="en-US" altLang="zh-TW" sz="800">
            <a:latin typeface="Times New Roman" pitchFamily="18" charset="0"/>
            <a:ea typeface="標楷體" pitchFamily="65" charset="-120"/>
            <a:cs typeface="Times New Roman" pitchFamily="18" charset="0"/>
          </a:endParaRPr>
        </a:p>
        <a:p xmlns:a="http://schemas.openxmlformats.org/drawingml/2006/main">
          <a:pPr algn="ctr"/>
          <a:r>
            <a:rPr lang="en-US" altLang="zh-TW" sz="800">
              <a:latin typeface="Times New Roman" pitchFamily="18" charset="0"/>
              <a:ea typeface="標楷體" pitchFamily="65" charset="-120"/>
              <a:cs typeface="Times New Roman" pitchFamily="18" charset="0"/>
            </a:rPr>
            <a:t>Collection Rate</a:t>
          </a:r>
          <a:r>
            <a:rPr lang="zh-TW" altLang="en-US" sz="800">
              <a:latin typeface="Times New Roman" pitchFamily="18" charset="0"/>
              <a:ea typeface="標楷體" pitchFamily="65" charset="-120"/>
              <a:cs typeface="Times New Roman" pitchFamily="18" charset="0"/>
            </a:rPr>
            <a:t> </a:t>
          </a:r>
          <a:r>
            <a:rPr lang="en-US" altLang="zh-TW" sz="800">
              <a:latin typeface="Times New Roman" pitchFamily="18" charset="0"/>
              <a:ea typeface="標楷體" pitchFamily="65" charset="-120"/>
              <a:cs typeface="Times New Roman" pitchFamily="18" charset="0"/>
            </a:rPr>
            <a:t>36.3%</a:t>
          </a:r>
          <a:endParaRPr lang="zh-TW" altLang="en-US" sz="800">
            <a:latin typeface="Times New Roman" pitchFamily="18" charset="0"/>
            <a:ea typeface="標楷體" pitchFamily="65" charset="-120"/>
            <a:cs typeface="Times New Roman" pitchFamily="18" charset="0"/>
          </a:endParaRPr>
        </a:p>
      </cdr:txBody>
    </cdr:sp>
  </cdr:relSizeAnchor>
  <cdr:relSizeAnchor xmlns:cdr="http://schemas.openxmlformats.org/drawingml/2006/chartDrawing">
    <cdr:from>
      <cdr:x>0.46234</cdr:x>
      <cdr:y>0.17576</cdr:y>
    </cdr:from>
    <cdr:to>
      <cdr:x>0.68828</cdr:x>
      <cdr:y>0.30363</cdr:y>
    </cdr:to>
    <cdr:sp macro="" textlink="">
      <cdr:nvSpPr>
        <cdr:cNvPr id="6" name="文字方塊 1"/>
        <cdr:cNvSpPr txBox="1"/>
      </cdr:nvSpPr>
      <cdr:spPr>
        <a:xfrm xmlns:a="http://schemas.openxmlformats.org/drawingml/2006/main">
          <a:off x="2105025" y="460939"/>
          <a:ext cx="1028700" cy="335346"/>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altLang="zh-TW" sz="800">
              <a:latin typeface="Times New Roman" pitchFamily="18" charset="0"/>
              <a:ea typeface="標楷體" pitchFamily="65" charset="-120"/>
              <a:cs typeface="Times New Roman" pitchFamily="18" charset="0"/>
            </a:rPr>
            <a:t>NT$3 Million</a:t>
          </a:r>
          <a:r>
            <a:rPr lang="zh-TW" altLang="en-US" sz="800">
              <a:latin typeface="Times New Roman" pitchFamily="18" charset="0"/>
              <a:ea typeface="標楷體" pitchFamily="65" charset="-120"/>
              <a:cs typeface="Times New Roman" pitchFamily="18" charset="0"/>
            </a:rPr>
            <a:t>（</a:t>
          </a:r>
          <a:r>
            <a:rPr lang="en-US" altLang="zh-TW" sz="800">
              <a:latin typeface="Times New Roman" pitchFamily="18" charset="0"/>
              <a:ea typeface="標楷體" pitchFamily="65" charset="-120"/>
              <a:cs typeface="Times New Roman" pitchFamily="18" charset="0"/>
            </a:rPr>
            <a:t>1.5%</a:t>
          </a:r>
          <a:r>
            <a:rPr lang="zh-TW" altLang="en-US" sz="800">
              <a:latin typeface="Times New Roman" pitchFamily="18" charset="0"/>
              <a:ea typeface="標楷體" pitchFamily="65" charset="-120"/>
              <a:cs typeface="Times New Roman" pitchFamily="18" charset="0"/>
            </a:rPr>
            <a:t>）</a:t>
          </a:r>
          <a:endParaRPr lang="en-US" altLang="zh-TW" sz="800">
            <a:latin typeface="Times New Roman" pitchFamily="18" charset="0"/>
            <a:ea typeface="標楷體" pitchFamily="65" charset="-120"/>
            <a:cs typeface="Times New Roman" pitchFamily="18" charset="0"/>
          </a:endParaRPr>
        </a:p>
        <a:p xmlns:a="http://schemas.openxmlformats.org/drawingml/2006/main">
          <a:pPr algn="ctr"/>
          <a:r>
            <a:rPr lang="en-US" altLang="zh-TW" sz="800">
              <a:latin typeface="Times New Roman" pitchFamily="18" charset="0"/>
              <a:ea typeface="標楷體" pitchFamily="65" charset="-120"/>
              <a:cs typeface="Times New Roman" pitchFamily="18" charset="0"/>
            </a:rPr>
            <a:t>Collection Rate</a:t>
          </a:r>
          <a:r>
            <a:rPr lang="zh-TW" altLang="en-US" sz="800">
              <a:latin typeface="Times New Roman" pitchFamily="18" charset="0"/>
              <a:ea typeface="標楷體" pitchFamily="65" charset="-120"/>
              <a:cs typeface="Times New Roman" pitchFamily="18" charset="0"/>
            </a:rPr>
            <a:t> </a:t>
          </a:r>
          <a:r>
            <a:rPr lang="en-US" altLang="zh-TW" sz="800">
              <a:latin typeface="Times New Roman" pitchFamily="18" charset="0"/>
              <a:ea typeface="標楷體" pitchFamily="65" charset="-120"/>
              <a:cs typeface="Times New Roman" pitchFamily="18" charset="0"/>
            </a:rPr>
            <a:t>40.9%</a:t>
          </a:r>
          <a:endParaRPr lang="zh-TW" altLang="en-US" sz="800">
            <a:latin typeface="Times New Roman" pitchFamily="18" charset="0"/>
            <a:ea typeface="標楷體" pitchFamily="65" charset="-120"/>
            <a:cs typeface="Times New Roman" pitchFamily="18" charset="0"/>
          </a:endParaRPr>
        </a:p>
      </cdr:txBody>
    </cdr:sp>
  </cdr:relSizeAnchor>
  <cdr:relSizeAnchor xmlns:cdr="http://schemas.openxmlformats.org/drawingml/2006/chartDrawing">
    <cdr:from>
      <cdr:x>0.06485</cdr:x>
      <cdr:y>0.89709</cdr:y>
    </cdr:from>
    <cdr:to>
      <cdr:x>0.95188</cdr:x>
      <cdr:y>0.97337</cdr:y>
    </cdr:to>
    <cdr:sp macro="" textlink="">
      <cdr:nvSpPr>
        <cdr:cNvPr id="7" name="文字方塊 6"/>
        <cdr:cNvSpPr txBox="1"/>
      </cdr:nvSpPr>
      <cdr:spPr>
        <a:xfrm xmlns:a="http://schemas.openxmlformats.org/drawingml/2006/main">
          <a:off x="295275" y="2352662"/>
          <a:ext cx="4038600" cy="20003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Overflow="clip" wrap="square" rtlCol="0" anchor="t"/>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altLang="zh-TW" sz="800">
              <a:latin typeface="Times New Roman" pitchFamily="18" charset="0"/>
              <a:ea typeface="標楷體" pitchFamily="65" charset="-120"/>
              <a:cs typeface="Times New Roman" pitchFamily="18" charset="0"/>
            </a:rPr>
            <a:t>Delinquent charge</a:t>
          </a:r>
          <a:r>
            <a:rPr lang="en-US" altLang="zh-TW" sz="800" baseline="0">
              <a:latin typeface="Times New Roman" pitchFamily="18" charset="0"/>
              <a:ea typeface="標楷體" pitchFamily="65" charset="-120"/>
              <a:cs typeface="Times New Roman" pitchFamily="18" charset="0"/>
            </a:rPr>
            <a:t> receivables were NT$179 million in 2011, collection rate  6</a:t>
          </a:r>
          <a:r>
            <a:rPr lang="en-US" altLang="zh-TW" sz="800">
              <a:latin typeface="Times New Roman" pitchFamily="18" charset="0"/>
              <a:ea typeface="標楷體" pitchFamily="65" charset="-120"/>
              <a:cs typeface="Times New Roman" pitchFamily="18" charset="0"/>
            </a:rPr>
            <a:t>1.7%.</a:t>
          </a:r>
          <a:endParaRPr lang="zh-TW" altLang="en-US" sz="800">
            <a:latin typeface="Times New Roman" pitchFamily="18" charset="0"/>
            <a:ea typeface="標楷體" pitchFamily="65" charset="-12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0.06861</cdr:x>
      <cdr:y>0.03042</cdr:y>
    </cdr:from>
    <cdr:to>
      <cdr:x>0.90041</cdr:x>
      <cdr:y>0.10266</cdr:y>
    </cdr:to>
    <cdr:sp macro="" textlink="">
      <cdr:nvSpPr>
        <cdr:cNvPr id="2" name="文字方塊 1"/>
        <cdr:cNvSpPr txBox="1"/>
      </cdr:nvSpPr>
      <cdr:spPr>
        <a:xfrm xmlns:a="http://schemas.openxmlformats.org/drawingml/2006/main">
          <a:off x="419100" y="98516"/>
          <a:ext cx="5081265" cy="233955"/>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Overflow="clip" wrap="square" rtlCol="0" anchor="t"/>
        <a:lstStyle xmlns:a="http://schemas.openxmlformats.org/drawingml/2006/main"/>
        <a:p xmlns:a="http://schemas.openxmlformats.org/drawingml/2006/main">
          <a:pPr algn="ctr"/>
          <a:r>
            <a:rPr lang="en-US" altLang="zh-TW" sz="1000">
              <a:latin typeface="Times New Roman" pitchFamily="18" charset="0"/>
              <a:ea typeface="標楷體" pitchFamily="65" charset="-120"/>
              <a:cs typeface="Times New Roman" pitchFamily="18" charset="0"/>
            </a:rPr>
            <a:t>Figure 16</a:t>
          </a:r>
          <a:r>
            <a:rPr lang="zh-TW" altLang="en-US" sz="1000">
              <a:latin typeface="Times New Roman" pitchFamily="18" charset="0"/>
              <a:ea typeface="標楷體" pitchFamily="65" charset="-120"/>
              <a:cs typeface="Times New Roman" pitchFamily="18" charset="0"/>
            </a:rPr>
            <a:t>　</a:t>
          </a:r>
          <a:r>
            <a:rPr lang="en-US" altLang="zh-TW" sz="1000">
              <a:latin typeface="Times New Roman" pitchFamily="18" charset="0"/>
              <a:ea typeface="標楷體" pitchFamily="65" charset="-120"/>
              <a:cs typeface="Times New Roman" pitchFamily="18" charset="0"/>
            </a:rPr>
            <a:t>Financial</a:t>
          </a:r>
          <a:r>
            <a:rPr lang="en-US" altLang="zh-TW" sz="1000" baseline="0">
              <a:latin typeface="Times New Roman" pitchFamily="18" charset="0"/>
              <a:ea typeface="標楷體" pitchFamily="65" charset="-120"/>
              <a:cs typeface="Times New Roman" pitchFamily="18" charset="0"/>
            </a:rPr>
            <a:t> Status </a:t>
          </a:r>
          <a:r>
            <a:rPr lang="zh-TW" altLang="en-US" sz="1000">
              <a:latin typeface="Times New Roman" pitchFamily="18" charset="0"/>
              <a:ea typeface="標楷體" pitchFamily="65" charset="-120"/>
              <a:cs typeface="Times New Roman" pitchFamily="18" charset="0"/>
            </a:rPr>
            <a:t>─ </a:t>
          </a:r>
          <a:r>
            <a:rPr lang="en-US" altLang="zh-TW" sz="1000">
              <a:latin typeface="Times New Roman" pitchFamily="18" charset="0"/>
              <a:ea typeface="標楷體" pitchFamily="65" charset="-120"/>
              <a:cs typeface="Times New Roman" pitchFamily="18" charset="0"/>
            </a:rPr>
            <a:t>Accrual Basis</a:t>
          </a:r>
          <a:endParaRPr lang="zh-TW" altLang="en-US" sz="1000">
            <a:latin typeface="Times New Roman" pitchFamily="18" charset="0"/>
            <a:ea typeface="標楷體" pitchFamily="65" charset="-120"/>
            <a:cs typeface="Times New Roman" pitchFamily="18" charset="0"/>
          </a:endParaRPr>
        </a:p>
      </cdr:txBody>
    </cdr:sp>
  </cdr:relSizeAnchor>
  <cdr:relSizeAnchor xmlns:cdr="http://schemas.openxmlformats.org/drawingml/2006/chartDrawing">
    <cdr:from>
      <cdr:x>0.93087</cdr:x>
      <cdr:y>0.08243</cdr:y>
    </cdr:from>
    <cdr:to>
      <cdr:x>0.97311</cdr:x>
      <cdr:y>0.13627</cdr:y>
    </cdr:to>
    <cdr:sp macro="" textlink="">
      <cdr:nvSpPr>
        <cdr:cNvPr id="3" name="文字方塊 2"/>
        <cdr:cNvSpPr txBox="1"/>
      </cdr:nvSpPr>
      <cdr:spPr>
        <a:xfrm xmlns:a="http://schemas.openxmlformats.org/drawingml/2006/main">
          <a:off x="5686425" y="266954"/>
          <a:ext cx="257993" cy="174371"/>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Overflow="clip" wrap="square" rtlCol="0" anchor="t"/>
        <a:lstStyle xmlns:a="http://schemas.openxmlformats.org/drawingml/2006/main"/>
        <a:p xmlns:a="http://schemas.openxmlformats.org/drawingml/2006/main">
          <a:r>
            <a:rPr lang="en-US" altLang="zh-TW" sz="800">
              <a:latin typeface="Times New Roman" pitchFamily="18" charset="0"/>
              <a:ea typeface="標楷體" pitchFamily="65" charset="-120"/>
              <a:cs typeface="Times New Roman" pitchFamily="18" charset="0"/>
            </a:rPr>
            <a:t>%</a:t>
          </a:r>
          <a:endParaRPr lang="zh-TW" altLang="en-US" sz="800">
            <a:latin typeface="Times New Roman" pitchFamily="18" charset="0"/>
            <a:ea typeface="標楷體" pitchFamily="65" charset="-120"/>
            <a:cs typeface="Times New Roman" pitchFamily="18" charset="0"/>
          </a:endParaRPr>
        </a:p>
      </cdr:txBody>
    </cdr:sp>
  </cdr:relSizeAnchor>
  <cdr:relSizeAnchor xmlns:cdr="http://schemas.openxmlformats.org/drawingml/2006/chartDrawing">
    <cdr:from>
      <cdr:x>0.00929</cdr:x>
      <cdr:y>0.10392</cdr:y>
    </cdr:from>
    <cdr:to>
      <cdr:x>0.10392</cdr:x>
      <cdr:y>0.15098</cdr:y>
    </cdr:to>
    <cdr:sp macro="" textlink="">
      <cdr:nvSpPr>
        <cdr:cNvPr id="4" name="文字方塊 3"/>
        <cdr:cNvSpPr txBox="1"/>
      </cdr:nvSpPr>
      <cdr:spPr>
        <a:xfrm xmlns:a="http://schemas.openxmlformats.org/drawingml/2006/main">
          <a:off x="51947" y="336550"/>
          <a:ext cx="529078" cy="152401"/>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Overflow="clip" wrap="square" lIns="0" tIns="0" rIns="0" bIns="0" rtlCol="0" anchor="t"/>
        <a:lstStyle xmlns:a="http://schemas.openxmlformats.org/drawingml/2006/main"/>
        <a:p xmlns:a="http://schemas.openxmlformats.org/drawingml/2006/main">
          <a:r>
            <a:rPr lang="en-US" altLang="zh-TW" sz="800">
              <a:latin typeface="Times New Roman" pitchFamily="18" charset="0"/>
              <a:ea typeface="標楷體" pitchFamily="65" charset="-120"/>
              <a:cs typeface="Times New Roman" pitchFamily="18" charset="0"/>
            </a:rPr>
            <a:t>Billion NT$</a:t>
          </a:r>
          <a:endParaRPr lang="zh-TW" altLang="en-US" sz="800">
            <a:latin typeface="Times New Roman" pitchFamily="18" charset="0"/>
            <a:ea typeface="標楷體" pitchFamily="65" charset="-120"/>
            <a:cs typeface="Times New Roman"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0.09544</cdr:x>
      <cdr:y>0.03042</cdr:y>
    </cdr:from>
    <cdr:to>
      <cdr:x>0.8527</cdr:x>
      <cdr:y>0.10646</cdr:y>
    </cdr:to>
    <cdr:sp macro="" textlink="">
      <cdr:nvSpPr>
        <cdr:cNvPr id="2" name="文字方塊 1"/>
        <cdr:cNvSpPr txBox="1"/>
      </cdr:nvSpPr>
      <cdr:spPr>
        <a:xfrm xmlns:a="http://schemas.openxmlformats.org/drawingml/2006/main">
          <a:off x="584200" y="101600"/>
          <a:ext cx="4635500" cy="254000"/>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Overflow="clip" wrap="square" rtlCol="0" anchor="t"/>
        <a:lstStyle xmlns:a="http://schemas.openxmlformats.org/drawingml/2006/main"/>
        <a:p xmlns:a="http://schemas.openxmlformats.org/drawingml/2006/main">
          <a:pPr algn="ctr"/>
          <a:r>
            <a:rPr lang="en-US" altLang="zh-TW" sz="1000">
              <a:solidFill>
                <a:schemeClr val="dk1"/>
              </a:solidFill>
              <a:latin typeface="Times New Roman" pitchFamily="18" charset="0"/>
              <a:ea typeface="+mn-ea"/>
              <a:cs typeface="Times New Roman" pitchFamily="18" charset="0"/>
            </a:rPr>
            <a:t>Figure 17</a:t>
          </a:r>
          <a:r>
            <a:rPr lang="zh-TW" altLang="zh-TW" sz="1000">
              <a:solidFill>
                <a:schemeClr val="dk1"/>
              </a:solidFill>
              <a:latin typeface="Times New Roman" pitchFamily="18" charset="0"/>
              <a:ea typeface="+mn-ea"/>
              <a:cs typeface="Times New Roman" pitchFamily="18" charset="0"/>
            </a:rPr>
            <a:t>　</a:t>
          </a:r>
          <a:r>
            <a:rPr lang="en-US" altLang="zh-TW" sz="1000">
              <a:solidFill>
                <a:schemeClr val="dk1"/>
              </a:solidFill>
              <a:latin typeface="Times New Roman" pitchFamily="18" charset="0"/>
              <a:ea typeface="+mn-ea"/>
              <a:cs typeface="Times New Roman" pitchFamily="18" charset="0"/>
            </a:rPr>
            <a:t>Financial</a:t>
          </a:r>
          <a:r>
            <a:rPr lang="en-US" altLang="zh-TW" sz="1000" baseline="0">
              <a:solidFill>
                <a:schemeClr val="dk1"/>
              </a:solidFill>
              <a:latin typeface="Times New Roman" pitchFamily="18" charset="0"/>
              <a:ea typeface="+mn-ea"/>
              <a:cs typeface="Times New Roman" pitchFamily="18" charset="0"/>
            </a:rPr>
            <a:t> </a:t>
          </a:r>
          <a:r>
            <a:rPr lang="en-US" altLang="zh-TW" sz="1000">
              <a:solidFill>
                <a:schemeClr val="dk1"/>
              </a:solidFill>
              <a:latin typeface="Times New Roman" pitchFamily="18" charset="0"/>
              <a:ea typeface="+mn-ea"/>
              <a:cs typeface="Times New Roman" pitchFamily="18" charset="0"/>
            </a:rPr>
            <a:t>Cash Flow </a:t>
          </a:r>
          <a:r>
            <a:rPr lang="en-US" altLang="zh-TW" sz="1000" baseline="0">
              <a:solidFill>
                <a:schemeClr val="dk1"/>
              </a:solidFill>
              <a:latin typeface="Times New Roman" pitchFamily="18" charset="0"/>
              <a:ea typeface="+mn-ea"/>
              <a:cs typeface="Times New Roman" pitchFamily="18" charset="0"/>
            </a:rPr>
            <a:t>Status</a:t>
          </a:r>
          <a:endParaRPr lang="zh-TW" altLang="zh-TW" sz="1000">
            <a:solidFill>
              <a:schemeClr val="dk1"/>
            </a:solidFill>
            <a:latin typeface="Times New Roman" pitchFamily="18" charset="0"/>
            <a:ea typeface="+mn-ea"/>
            <a:cs typeface="Times New Roman" pitchFamily="18" charset="0"/>
          </a:endParaRPr>
        </a:p>
      </cdr:txBody>
    </cdr:sp>
  </cdr:relSizeAnchor>
  <cdr:relSizeAnchor xmlns:cdr="http://schemas.openxmlformats.org/drawingml/2006/chartDrawing">
    <cdr:from>
      <cdr:x>0.89834</cdr:x>
      <cdr:y>0.07224</cdr:y>
    </cdr:from>
    <cdr:to>
      <cdr:x>0.94398</cdr:x>
      <cdr:y>0.13688</cdr:y>
    </cdr:to>
    <cdr:sp macro="" textlink="">
      <cdr:nvSpPr>
        <cdr:cNvPr id="3" name="文字方塊 2"/>
        <cdr:cNvSpPr txBox="1"/>
      </cdr:nvSpPr>
      <cdr:spPr>
        <a:xfrm xmlns:a="http://schemas.openxmlformats.org/drawingml/2006/main">
          <a:off x="5499100" y="241300"/>
          <a:ext cx="279400" cy="215900"/>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Overflow="clip" wrap="square" rtlCol="0" anchor="t"/>
        <a:lstStyle xmlns:a="http://schemas.openxmlformats.org/drawingml/2006/main"/>
        <a:p xmlns:a="http://schemas.openxmlformats.org/drawingml/2006/main">
          <a:r>
            <a:rPr lang="en-US" altLang="zh-TW" sz="800">
              <a:latin typeface="Times New Roman" pitchFamily="18" charset="0"/>
              <a:ea typeface="標楷體" pitchFamily="65" charset="-120"/>
              <a:cs typeface="Times New Roman" pitchFamily="18" charset="0"/>
            </a:rPr>
            <a:t>%</a:t>
          </a:r>
          <a:endParaRPr lang="zh-TW" altLang="en-US" sz="800">
            <a:latin typeface="Times New Roman" pitchFamily="18" charset="0"/>
            <a:ea typeface="標楷體" pitchFamily="65" charset="-120"/>
            <a:cs typeface="Times New Roman" pitchFamily="18" charset="0"/>
          </a:endParaRPr>
        </a:p>
      </cdr:txBody>
    </cdr:sp>
  </cdr:relSizeAnchor>
  <cdr:relSizeAnchor xmlns:cdr="http://schemas.openxmlformats.org/drawingml/2006/chartDrawing">
    <cdr:from>
      <cdr:x>0.02905</cdr:x>
      <cdr:y>0.08745</cdr:y>
    </cdr:from>
    <cdr:to>
      <cdr:x>0.12863</cdr:x>
      <cdr:y>0.14829</cdr:y>
    </cdr:to>
    <cdr:sp macro="" textlink="">
      <cdr:nvSpPr>
        <cdr:cNvPr id="4" name="文字方塊 3"/>
        <cdr:cNvSpPr txBox="1"/>
      </cdr:nvSpPr>
      <cdr:spPr>
        <a:xfrm xmlns:a="http://schemas.openxmlformats.org/drawingml/2006/main">
          <a:off x="177800" y="292092"/>
          <a:ext cx="609600" cy="203208"/>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Overflow="clip" wrap="square" lIns="0" tIns="0" rIns="0" bIns="0" rtlCol="0" anchor="t"/>
        <a:lstStyle xmlns:a="http://schemas.openxmlformats.org/drawingml/2006/main"/>
        <a:p xmlns:a="http://schemas.openxmlformats.org/drawingml/2006/main">
          <a:r>
            <a:rPr lang="en-US" altLang="zh-TW" sz="800">
              <a:latin typeface="Times New Roman" pitchFamily="18" charset="0"/>
              <a:ea typeface="標楷體" pitchFamily="65" charset="-120"/>
              <a:cs typeface="Times New Roman" pitchFamily="18" charset="0"/>
            </a:rPr>
            <a:t>Billion NT$</a:t>
          </a:r>
          <a:endParaRPr lang="zh-TW" altLang="en-US" sz="800">
            <a:latin typeface="Times New Roman" pitchFamily="18" charset="0"/>
            <a:ea typeface="標楷體" pitchFamily="65" charset="-120"/>
            <a:cs typeface="Times New Roman"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0.28661</cdr:x>
      <cdr:y>0.53935</cdr:y>
    </cdr:from>
    <cdr:to>
      <cdr:x>0.48525</cdr:x>
      <cdr:y>0.71113</cdr:y>
    </cdr:to>
    <cdr:sp macro="" textlink="">
      <cdr:nvSpPr>
        <cdr:cNvPr id="2" name="文字方塊 1"/>
        <cdr:cNvSpPr txBox="1"/>
      </cdr:nvSpPr>
      <cdr:spPr>
        <a:xfrm xmlns:a="http://schemas.openxmlformats.org/drawingml/2006/main">
          <a:off x="1292180" y="1265493"/>
          <a:ext cx="895583" cy="403043"/>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n-US" altLang="zh-TW" sz="800">
              <a:latin typeface="Times New Roman" pitchFamily="18" charset="0"/>
              <a:ea typeface="標楷體" pitchFamily="65" charset="-120"/>
              <a:cs typeface="Times New Roman" pitchFamily="18" charset="0"/>
            </a:rPr>
            <a:t>Operating Fund</a:t>
          </a:r>
        </a:p>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altLang="zh-TW" sz="800">
              <a:latin typeface="Times New Roman" pitchFamily="18" charset="0"/>
              <a:ea typeface="標楷體" pitchFamily="65" charset="-120"/>
              <a:cs typeface="Times New Roman" pitchFamily="18" charset="0"/>
            </a:rPr>
            <a:t>NT$7,100 Million </a:t>
          </a:r>
        </a:p>
        <a:p xmlns:a="http://schemas.openxmlformats.org/drawingml/2006/main">
          <a:pPr algn="ctr"/>
          <a:r>
            <a:rPr lang="en-US" altLang="zh-TW" sz="800">
              <a:latin typeface="Times New Roman" pitchFamily="18" charset="0"/>
              <a:ea typeface="標楷體" pitchFamily="65" charset="-120"/>
              <a:cs typeface="Times New Roman" pitchFamily="18" charset="0"/>
            </a:rPr>
            <a:t>98%</a:t>
          </a:r>
          <a:endParaRPr lang="zh-TW" altLang="en-US" sz="800">
            <a:latin typeface="Times New Roman" pitchFamily="18" charset="0"/>
            <a:ea typeface="標楷體" pitchFamily="65" charset="-120"/>
            <a:cs typeface="Times New Roman" pitchFamily="18" charset="0"/>
          </a:endParaRPr>
        </a:p>
      </cdr:txBody>
    </cdr:sp>
  </cdr:relSizeAnchor>
  <cdr:relSizeAnchor xmlns:cdr="http://schemas.openxmlformats.org/drawingml/2006/chartDrawing">
    <cdr:from>
      <cdr:x>0.58245</cdr:x>
      <cdr:y>0.27738</cdr:y>
    </cdr:from>
    <cdr:to>
      <cdr:x>0.78028</cdr:x>
      <cdr:y>0.43287</cdr:y>
    </cdr:to>
    <cdr:sp macro="" textlink="">
      <cdr:nvSpPr>
        <cdr:cNvPr id="3" name="文字方塊 1"/>
        <cdr:cNvSpPr txBox="1"/>
      </cdr:nvSpPr>
      <cdr:spPr>
        <a:xfrm xmlns:a="http://schemas.openxmlformats.org/drawingml/2006/main">
          <a:off x="2625975" y="650824"/>
          <a:ext cx="891925" cy="36483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altLang="zh-TW" sz="800">
              <a:latin typeface="Times New Roman" pitchFamily="18" charset="0"/>
              <a:ea typeface="標楷體" pitchFamily="65" charset="-120"/>
              <a:cs typeface="Times New Roman" pitchFamily="18" charset="0"/>
            </a:rPr>
            <a:t>Reserve Fund</a:t>
          </a:r>
        </a:p>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altLang="zh-TW" sz="800">
              <a:latin typeface="Times New Roman" pitchFamily="18" charset="0"/>
              <a:ea typeface="標楷體" pitchFamily="65" charset="-120"/>
              <a:cs typeface="Times New Roman" pitchFamily="18" charset="0"/>
            </a:rPr>
            <a:t>NT$172 Million</a:t>
          </a:r>
        </a:p>
        <a:p xmlns:a="http://schemas.openxmlformats.org/drawingml/2006/main">
          <a:pPr algn="ctr"/>
          <a:r>
            <a:rPr lang="en-US" altLang="zh-TW" sz="800">
              <a:latin typeface="Times New Roman" pitchFamily="18" charset="0"/>
              <a:ea typeface="標楷體" pitchFamily="65" charset="-120"/>
              <a:cs typeface="Times New Roman" pitchFamily="18" charset="0"/>
            </a:rPr>
            <a:t>2%</a:t>
          </a:r>
          <a:endParaRPr lang="zh-TW" altLang="en-US" sz="800">
            <a:latin typeface="Times New Roman" pitchFamily="18" charset="0"/>
            <a:ea typeface="標楷體" pitchFamily="65" charset="-120"/>
            <a:cs typeface="Times New Roman" pitchFamily="18" charset="0"/>
          </a:endParaRPr>
        </a:p>
      </cdr:txBody>
    </cdr:sp>
  </cdr:relSizeAnchor>
  <cdr:relSizeAnchor xmlns:cdr="http://schemas.openxmlformats.org/drawingml/2006/chartDrawing">
    <cdr:from>
      <cdr:x>0.82042</cdr:x>
      <cdr:y>0.52368</cdr:y>
    </cdr:from>
    <cdr:to>
      <cdr:x>1</cdr:x>
      <cdr:y>0.63599</cdr:y>
    </cdr:to>
    <cdr:sp macro="" textlink="">
      <cdr:nvSpPr>
        <cdr:cNvPr id="4" name="文字方塊 1"/>
        <cdr:cNvSpPr txBox="1"/>
      </cdr:nvSpPr>
      <cdr:spPr>
        <a:xfrm xmlns:a="http://schemas.openxmlformats.org/drawingml/2006/main">
          <a:off x="3698876" y="1228722"/>
          <a:ext cx="809624" cy="26352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lang="de-DE" altLang="zh-TW" sz="800">
              <a:latin typeface="Times New Roman" pitchFamily="18" charset="0"/>
              <a:ea typeface="標楷體" pitchFamily="65" charset="-120"/>
              <a:cs typeface="Times New Roman" pitchFamily="18" charset="0"/>
            </a:rPr>
            <a:t>Demand Deposits</a:t>
          </a:r>
        </a:p>
        <a:p xmlns:a="http://schemas.openxmlformats.org/drawingml/2006/main">
          <a:pPr marL="0" marR="0" indent="0" algn="l" defTabSz="914400" eaLnBrk="1" fontAlgn="auto" latinLnBrk="0" hangingPunct="1">
            <a:lnSpc>
              <a:spcPct val="100000"/>
            </a:lnSpc>
            <a:spcBef>
              <a:spcPts val="0"/>
            </a:spcBef>
            <a:spcAft>
              <a:spcPts val="0"/>
            </a:spcAft>
            <a:buClrTx/>
            <a:buSzTx/>
            <a:buFontTx/>
            <a:buNone/>
            <a:tabLst/>
            <a:defRPr/>
          </a:pPr>
          <a:r>
            <a:rPr lang="en-US" altLang="zh-TW" sz="800">
              <a:latin typeface="Times New Roman" pitchFamily="18" charset="0"/>
              <a:ea typeface="標楷體" pitchFamily="65" charset="-120"/>
              <a:cs typeface="Times New Roman" pitchFamily="18" charset="0"/>
            </a:rPr>
            <a:t>NT$85 Million </a:t>
          </a:r>
        </a:p>
        <a:p xmlns:a="http://schemas.openxmlformats.org/drawingml/2006/main">
          <a:pPr algn="l"/>
          <a:endParaRPr lang="zh-TW" altLang="en-US" sz="800">
            <a:latin typeface="Times New Roman" pitchFamily="18" charset="0"/>
            <a:ea typeface="標楷體" pitchFamily="65" charset="-120"/>
            <a:cs typeface="Times New Roman" pitchFamily="18" charset="0"/>
          </a:endParaRPr>
        </a:p>
      </cdr:txBody>
    </cdr:sp>
  </cdr:relSizeAnchor>
  <cdr:relSizeAnchor xmlns:cdr="http://schemas.openxmlformats.org/drawingml/2006/chartDrawing">
    <cdr:from>
      <cdr:x>0.81781</cdr:x>
      <cdr:y>0.40866</cdr:y>
    </cdr:from>
    <cdr:to>
      <cdr:x>0.98096</cdr:x>
      <cdr:y>0.50408</cdr:y>
    </cdr:to>
    <cdr:sp macro="" textlink="">
      <cdr:nvSpPr>
        <cdr:cNvPr id="5" name="文字方塊 1"/>
        <cdr:cNvSpPr txBox="1"/>
      </cdr:nvSpPr>
      <cdr:spPr>
        <a:xfrm xmlns:a="http://schemas.openxmlformats.org/drawingml/2006/main">
          <a:off x="3687094" y="958851"/>
          <a:ext cx="735562" cy="223886"/>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lang="de-DE" altLang="zh-TW" sz="800">
              <a:latin typeface="Times New Roman" pitchFamily="18" charset="0"/>
              <a:ea typeface="標楷體" pitchFamily="65" charset="-120"/>
              <a:cs typeface="Times New Roman" pitchFamily="18" charset="0"/>
            </a:rPr>
            <a:t>Trust Property</a:t>
          </a:r>
          <a:r>
            <a:rPr lang="en-US" altLang="zh-TW" sz="800" baseline="0">
              <a:latin typeface="Times New Roman" pitchFamily="18" charset="0"/>
              <a:ea typeface="標楷體" pitchFamily="65" charset="-120"/>
              <a:cs typeface="Times New Roman" pitchFamily="18" charset="0"/>
            </a:rPr>
            <a:t> </a:t>
          </a:r>
        </a:p>
        <a:p xmlns:a="http://schemas.openxmlformats.org/drawingml/2006/main">
          <a:pPr marL="0" marR="0" indent="0" algn="l" defTabSz="914400" eaLnBrk="1" fontAlgn="auto" latinLnBrk="0" hangingPunct="1">
            <a:lnSpc>
              <a:spcPct val="100000"/>
            </a:lnSpc>
            <a:spcBef>
              <a:spcPts val="0"/>
            </a:spcBef>
            <a:spcAft>
              <a:spcPts val="0"/>
            </a:spcAft>
            <a:buClrTx/>
            <a:buSzTx/>
            <a:buFontTx/>
            <a:buNone/>
            <a:tabLst/>
            <a:defRPr/>
          </a:pPr>
          <a:r>
            <a:rPr lang="en-US" altLang="zh-TW" sz="800" baseline="0">
              <a:latin typeface="Times New Roman" pitchFamily="18" charset="0"/>
              <a:ea typeface="標楷體" pitchFamily="65" charset="-120"/>
              <a:cs typeface="Times New Roman" pitchFamily="18" charset="0"/>
            </a:rPr>
            <a:t>NT$88 Million </a:t>
          </a:r>
          <a:endParaRPr lang="en-US" altLang="zh-TW" sz="800">
            <a:latin typeface="Times New Roman" pitchFamily="18" charset="0"/>
            <a:ea typeface="標楷體" pitchFamily="65" charset="-120"/>
            <a:cs typeface="Times New Roman" pitchFamily="18" charset="0"/>
          </a:endParaRPr>
        </a:p>
      </cdr:txBody>
    </cdr:sp>
  </cdr:relSizeAnchor>
  <cdr:relSizeAnchor xmlns:cdr="http://schemas.openxmlformats.org/drawingml/2006/chartDrawing">
    <cdr:from>
      <cdr:x>0.0426</cdr:x>
      <cdr:y>0.03248</cdr:y>
    </cdr:from>
    <cdr:to>
      <cdr:x>0.96195</cdr:x>
      <cdr:y>0.22733</cdr:y>
    </cdr:to>
    <cdr:sp macro="" textlink="">
      <cdr:nvSpPr>
        <cdr:cNvPr id="6" name="文字方塊 5"/>
        <cdr:cNvSpPr txBox="1"/>
      </cdr:nvSpPr>
      <cdr:spPr>
        <a:xfrm xmlns:a="http://schemas.openxmlformats.org/drawingml/2006/main">
          <a:off x="191918" y="76200"/>
          <a:ext cx="4141958" cy="45719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Overflow="clip" wrap="square" lIns="0" tIns="0" rIns="0" bIns="0" rtlCol="0" anchor="t"/>
        <a:lstStyle xmlns:a="http://schemas.openxmlformats.org/drawingml/2006/main"/>
        <a:p xmlns:a="http://schemas.openxmlformats.org/drawingml/2006/main">
          <a:pPr algn="ctr"/>
          <a:r>
            <a:rPr lang="en-US" altLang="zh-TW" sz="1000">
              <a:latin typeface="Times New Roman" pitchFamily="18" charset="0"/>
              <a:ea typeface="標楷體" pitchFamily="65" charset="-120"/>
              <a:cs typeface="Times New Roman" pitchFamily="18" charset="0"/>
            </a:rPr>
            <a:t>Figure  18</a:t>
          </a:r>
          <a:r>
            <a:rPr lang="zh-TW" altLang="en-US" sz="1000">
              <a:latin typeface="Times New Roman" pitchFamily="18" charset="0"/>
              <a:ea typeface="標楷體" pitchFamily="65" charset="-120"/>
              <a:cs typeface="Times New Roman" pitchFamily="18" charset="0"/>
            </a:rPr>
            <a:t>　</a:t>
          </a:r>
          <a:r>
            <a:rPr lang="en-US" altLang="zh-TW" sz="1000">
              <a:latin typeface="Times New Roman" pitchFamily="18" charset="0"/>
              <a:ea typeface="標楷體" pitchFamily="65" charset="-120"/>
              <a:cs typeface="Times New Roman" pitchFamily="18" charset="0"/>
            </a:rPr>
            <a:t>Fund Operation</a:t>
          </a:r>
        </a:p>
        <a:p xmlns:a="http://schemas.openxmlformats.org/drawingml/2006/main">
          <a:pPr algn="ctr"/>
          <a:endParaRPr lang="en-US" altLang="zh-TW" sz="300">
            <a:latin typeface="Times New Roman" pitchFamily="18" charset="0"/>
            <a:ea typeface="標楷體" pitchFamily="65" charset="-120"/>
            <a:cs typeface="Times New Roman" pitchFamily="18" charset="0"/>
          </a:endParaRPr>
        </a:p>
        <a:p xmlns:a="http://schemas.openxmlformats.org/drawingml/2006/main">
          <a:pPr algn="ctr"/>
          <a:r>
            <a:rPr lang="en-US" altLang="zh-TW" sz="800">
              <a:latin typeface="Times New Roman" pitchFamily="18" charset="0"/>
              <a:ea typeface="標楷體" pitchFamily="65" charset="-120"/>
              <a:cs typeface="Times New Roman" pitchFamily="18" charset="0"/>
            </a:rPr>
            <a:t>End of 2011</a:t>
          </a:r>
          <a:endParaRPr lang="zh-TW" altLang="en-US" sz="800">
            <a:latin typeface="Times New Roman" pitchFamily="18" charset="0"/>
            <a:ea typeface="標楷體" pitchFamily="65" charset="-120"/>
            <a:cs typeface="Times New Roman" pitchFamily="18" charset="0"/>
          </a:endParaRPr>
        </a:p>
      </cdr:txBody>
    </cdr:sp>
  </cdr:relSizeAnchor>
  <cdr:relSizeAnchor xmlns:cdr="http://schemas.openxmlformats.org/drawingml/2006/chartDrawing">
    <cdr:from>
      <cdr:x>0.02958</cdr:x>
      <cdr:y>0.61705</cdr:y>
    </cdr:from>
    <cdr:to>
      <cdr:x>0.20141</cdr:x>
      <cdr:y>0.7659</cdr:y>
    </cdr:to>
    <cdr:sp macro="" textlink="">
      <cdr:nvSpPr>
        <cdr:cNvPr id="7" name="文字方塊 1"/>
        <cdr:cNvSpPr txBox="1"/>
      </cdr:nvSpPr>
      <cdr:spPr>
        <a:xfrm xmlns:a="http://schemas.openxmlformats.org/drawingml/2006/main">
          <a:off x="133380" y="1447798"/>
          <a:ext cx="774671" cy="349252"/>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l"/>
          <a:r>
            <a:rPr lang="de-DE" altLang="zh-TW" sz="800">
              <a:latin typeface="Times New Roman" pitchFamily="18" charset="0"/>
              <a:ea typeface="標楷體" pitchFamily="65" charset="-120"/>
              <a:cs typeface="Times New Roman" pitchFamily="18" charset="0"/>
            </a:rPr>
            <a:t>Other Short-term Investments</a:t>
          </a:r>
        </a:p>
        <a:p xmlns:a="http://schemas.openxmlformats.org/drawingml/2006/main">
          <a:pPr marL="0" marR="0" indent="0" algn="l" defTabSz="914400" eaLnBrk="1" fontAlgn="auto" latinLnBrk="0" hangingPunct="1">
            <a:lnSpc>
              <a:spcPct val="100000"/>
            </a:lnSpc>
            <a:spcBef>
              <a:spcPts val="0"/>
            </a:spcBef>
            <a:spcAft>
              <a:spcPts val="0"/>
            </a:spcAft>
            <a:buClrTx/>
            <a:buSzTx/>
            <a:buFontTx/>
            <a:buNone/>
            <a:tabLst/>
            <a:defRPr/>
          </a:pPr>
          <a:r>
            <a:rPr lang="en-US" altLang="zh-TW" sz="800">
              <a:latin typeface="Times New Roman" pitchFamily="18" charset="0"/>
              <a:ea typeface="標楷體" pitchFamily="65" charset="-120"/>
              <a:cs typeface="Times New Roman" pitchFamily="18" charset="0"/>
            </a:rPr>
            <a:t>NT$839 Million </a:t>
          </a:r>
        </a:p>
      </cdr:txBody>
    </cdr:sp>
  </cdr:relSizeAnchor>
  <cdr:relSizeAnchor xmlns:cdr="http://schemas.openxmlformats.org/drawingml/2006/chartDrawing">
    <cdr:from>
      <cdr:x>0</cdr:x>
      <cdr:y>0.49803</cdr:y>
    </cdr:from>
    <cdr:to>
      <cdr:x>0.22736</cdr:x>
      <cdr:y>0.61367</cdr:y>
    </cdr:to>
    <cdr:sp macro="" textlink="">
      <cdr:nvSpPr>
        <cdr:cNvPr id="8" name="文字方塊 1"/>
        <cdr:cNvSpPr txBox="1"/>
      </cdr:nvSpPr>
      <cdr:spPr>
        <a:xfrm xmlns:a="http://schemas.openxmlformats.org/drawingml/2006/main">
          <a:off x="0" y="1203325"/>
          <a:ext cx="1027940" cy="279399"/>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de-DE" altLang="zh-TW" sz="800">
              <a:latin typeface="Times New Roman" pitchFamily="18" charset="0"/>
              <a:ea typeface="標楷體" pitchFamily="65" charset="-120"/>
              <a:cs typeface="Times New Roman" pitchFamily="18" charset="0"/>
            </a:rPr>
            <a:t>Demand Deposits</a:t>
          </a:r>
        </a:p>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de-DE" altLang="zh-TW" sz="800">
              <a:latin typeface="Times New Roman" pitchFamily="18" charset="0"/>
              <a:ea typeface="標楷體" pitchFamily="65" charset="-120"/>
              <a:cs typeface="Times New Roman" pitchFamily="18" charset="0"/>
            </a:rPr>
            <a:t>NT$</a:t>
          </a:r>
          <a:r>
            <a:rPr lang="en-US" altLang="zh-TW" sz="800">
              <a:latin typeface="Times New Roman" pitchFamily="18" charset="0"/>
              <a:ea typeface="標楷體" pitchFamily="65" charset="-120"/>
              <a:cs typeface="Times New Roman" pitchFamily="18" charset="0"/>
            </a:rPr>
            <a:t>6,261 Million</a:t>
          </a:r>
        </a:p>
      </cdr:txBody>
    </cdr:sp>
  </cdr:relSizeAnchor>
  <cdr:relSizeAnchor xmlns:cdr="http://schemas.openxmlformats.org/drawingml/2006/chartDrawing">
    <cdr:from>
      <cdr:x>0.78339</cdr:x>
      <cdr:y>0.42625</cdr:y>
    </cdr:from>
    <cdr:to>
      <cdr:x>0.80549</cdr:x>
      <cdr:y>0.59675</cdr:y>
    </cdr:to>
    <cdr:sp macro="" textlink="">
      <cdr:nvSpPr>
        <cdr:cNvPr id="10" name="左大括弧 9"/>
        <cdr:cNvSpPr/>
      </cdr:nvSpPr>
      <cdr:spPr>
        <a:xfrm xmlns:a="http://schemas.openxmlformats.org/drawingml/2006/main">
          <a:off x="3531908" y="1000118"/>
          <a:ext cx="99638" cy="400048"/>
        </a:xfrm>
        <a:prstGeom xmlns:a="http://schemas.openxmlformats.org/drawingml/2006/main" prst="leftBrace">
          <a:avLst/>
        </a:prstGeom>
        <a:ln xmlns:a="http://schemas.openxmlformats.org/drawingml/2006/main">
          <a:headEnd type="none" w="med" len="med"/>
          <a:tailEnd type="none" w="med" len="med"/>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zh-TW"/>
        </a:p>
      </cdr:txBody>
    </cdr:sp>
  </cdr:relSizeAnchor>
  <cdr:relSizeAnchor xmlns:cdr="http://schemas.openxmlformats.org/drawingml/2006/chartDrawing">
    <cdr:from>
      <cdr:x>0.2051</cdr:x>
      <cdr:y>0.5318</cdr:y>
    </cdr:from>
    <cdr:to>
      <cdr:x>0.22835</cdr:x>
      <cdr:y>0.69418</cdr:y>
    </cdr:to>
    <cdr:sp macro="" textlink="">
      <cdr:nvSpPr>
        <cdr:cNvPr id="11" name="左大括弧 10"/>
        <cdr:cNvSpPr/>
      </cdr:nvSpPr>
      <cdr:spPr>
        <a:xfrm xmlns:a="http://schemas.openxmlformats.org/drawingml/2006/main" flipH="1">
          <a:off x="924672" y="1247768"/>
          <a:ext cx="104822" cy="380996"/>
        </a:xfrm>
        <a:prstGeom xmlns:a="http://schemas.openxmlformats.org/drawingml/2006/main" prst="leftBrace">
          <a:avLst/>
        </a:prstGeom>
        <a:ln xmlns:a="http://schemas.openxmlformats.org/drawingml/2006/main">
          <a:headEnd type="none" w="med" len="med"/>
          <a:tailEnd type="none" w="med" len="med"/>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zh-TW"/>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D734D-A4C3-4029-AF25-7826F711A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1042</Words>
  <Characters>5945</Characters>
  <Application>Microsoft Office Word</Application>
  <DocSecurity>0</DocSecurity>
  <Lines>49</Lines>
  <Paragraphs>13</Paragraphs>
  <ScaleCrop>false</ScaleCrop>
  <Company>NHI</Company>
  <LinksUpToDate>false</LinksUpToDate>
  <CharactersWithSpaces>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第壹篇</dc:title>
  <dc:subject/>
  <dc:creator>NHIUSER</dc:creator>
  <cp:keywords/>
  <dc:description/>
  <cp:lastModifiedBy>NHI</cp:lastModifiedBy>
  <cp:revision>2</cp:revision>
  <cp:lastPrinted>2012-10-12T03:46:00Z</cp:lastPrinted>
  <dcterms:created xsi:type="dcterms:W3CDTF">2012-12-13T08:46:00Z</dcterms:created>
  <dcterms:modified xsi:type="dcterms:W3CDTF">2012-12-13T08:46:00Z</dcterms:modified>
</cp:coreProperties>
</file>