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harts/chart10.xml" ContentType="application/vnd.openxmlformats-officedocument.drawingml.chart+xml"/>
  <Override PartName="/customXml/itemProps1.xml" ContentType="application/vnd.openxmlformats-officedocument.customXmlProperties+xml"/>
  <Override PartName="/word/drawings/drawing8.xml" ContentType="application/vnd.openxmlformats-officedocument.drawingml.chartshapes+xml"/>
  <Override PartName="/word/drawings/drawing9.xml" ContentType="application/vnd.openxmlformats-officedocument.drawingml.chartshapes+xml"/>
  <Default Extension="emf" ContentType="image/x-emf"/>
  <Override PartName="/word/drawings/drawing6.xml" ContentType="application/vnd.openxmlformats-officedocument.drawingml.chartshapes+xml"/>
  <Override PartName="/word/drawings/drawing7.xml" ContentType="application/vnd.openxmlformats-officedocument.drawingml.chartshap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drawings/drawing3.xml" ContentType="application/vnd.openxmlformats-officedocument.drawingml.chartshapes+xml"/>
  <Override PartName="/word/drawings/drawing4.xml" ContentType="application/vnd.openxmlformats-officedocument.drawingml.chartshapes+xml"/>
  <Override PartName="/word/drawings/drawing5.xml" ContentType="application/vnd.openxmlformats-officedocument.drawingml.chartshap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drawings/drawing1.xml" ContentType="application/vnd.openxmlformats-officedocument.drawingml.chartshapes+xml"/>
  <Override PartName="/word/drawings/drawing2.xml" ContentType="application/vnd.openxmlformats-officedocument.drawingml.chartshapes+xml"/>
  <Override PartName="/word/charts/chart6.xml" ContentType="application/vnd.openxmlformats-officedocument.drawingml.chart+xml"/>
  <Override PartName="/word/charts/chart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drawings/drawing10.xml" ContentType="application/vnd.openxmlformats-officedocument.drawingml.chartshapes+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charts/chart1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068C" w:rsidRPr="003156B5" w:rsidRDefault="00747A79" w:rsidP="003D1237">
      <w:pPr>
        <w:spacing w:after="360" w:line="240" w:lineRule="atLeast"/>
        <w:jc w:val="center"/>
        <w:rPr>
          <w:b/>
          <w:sz w:val="36"/>
          <w:szCs w:val="36"/>
        </w:rPr>
      </w:pPr>
      <w:r w:rsidRPr="003156B5">
        <w:rPr>
          <w:b/>
          <w:sz w:val="36"/>
          <w:szCs w:val="36"/>
        </w:rPr>
        <w:fldChar w:fldCharType="begin"/>
      </w:r>
      <w:r w:rsidR="00C618FB" w:rsidRPr="003156B5">
        <w:rPr>
          <w:b/>
          <w:sz w:val="36"/>
          <w:szCs w:val="36"/>
        </w:rPr>
        <w:instrText xml:space="preserve"> </w:instrText>
      </w:r>
      <w:r w:rsidR="00C618FB" w:rsidRPr="003156B5">
        <w:rPr>
          <w:rFonts w:hint="eastAsia"/>
          <w:b/>
          <w:sz w:val="36"/>
          <w:szCs w:val="36"/>
        </w:rPr>
        <w:instrText>= 3 \* ROMAN</w:instrText>
      </w:r>
      <w:r w:rsidR="00C618FB" w:rsidRPr="003156B5">
        <w:rPr>
          <w:b/>
          <w:sz w:val="36"/>
          <w:szCs w:val="36"/>
        </w:rPr>
        <w:instrText xml:space="preserve"> </w:instrText>
      </w:r>
      <w:r w:rsidRPr="003156B5">
        <w:rPr>
          <w:b/>
          <w:sz w:val="36"/>
          <w:szCs w:val="36"/>
        </w:rPr>
        <w:fldChar w:fldCharType="separate"/>
      </w:r>
      <w:proofErr w:type="gramStart"/>
      <w:r w:rsidR="00C618FB" w:rsidRPr="003156B5">
        <w:rPr>
          <w:b/>
          <w:noProof/>
          <w:sz w:val="36"/>
          <w:szCs w:val="36"/>
        </w:rPr>
        <w:t>III</w:t>
      </w:r>
      <w:r w:rsidRPr="003156B5">
        <w:rPr>
          <w:b/>
          <w:sz w:val="36"/>
          <w:szCs w:val="36"/>
        </w:rPr>
        <w:fldChar w:fldCharType="end"/>
      </w:r>
      <w:r w:rsidR="00800649" w:rsidRPr="003156B5">
        <w:rPr>
          <w:rFonts w:hint="eastAsia"/>
          <w:b/>
          <w:sz w:val="36"/>
          <w:szCs w:val="36"/>
        </w:rPr>
        <w:t>.</w:t>
      </w:r>
      <w:proofErr w:type="gramEnd"/>
      <w:r w:rsidR="0033068C" w:rsidRPr="003156B5">
        <w:rPr>
          <w:rFonts w:hint="eastAsia"/>
          <w:b/>
          <w:sz w:val="36"/>
          <w:szCs w:val="36"/>
        </w:rPr>
        <w:t xml:space="preserve"> Statistical Analysis</w:t>
      </w:r>
    </w:p>
    <w:p w:rsidR="006C7309" w:rsidRPr="003156B5" w:rsidRDefault="001535C8" w:rsidP="00800649">
      <w:pPr>
        <w:pStyle w:val="af0"/>
        <w:numPr>
          <w:ilvl w:val="0"/>
          <w:numId w:val="10"/>
        </w:numPr>
        <w:spacing w:after="360" w:line="240" w:lineRule="atLeast"/>
        <w:ind w:leftChars="0"/>
        <w:jc w:val="center"/>
        <w:rPr>
          <w:b/>
          <w:sz w:val="30"/>
          <w:szCs w:val="30"/>
        </w:rPr>
      </w:pPr>
      <w:r w:rsidRPr="003156B5">
        <w:rPr>
          <w:b/>
          <w:sz w:val="30"/>
          <w:szCs w:val="30"/>
        </w:rPr>
        <w:t>Enrollment and Underwriting</w:t>
      </w:r>
      <w:r w:rsidRPr="003156B5">
        <w:rPr>
          <w:rFonts w:hint="eastAsia"/>
          <w:b/>
          <w:sz w:val="30"/>
          <w:szCs w:val="30"/>
        </w:rPr>
        <w:t xml:space="preserve"> </w:t>
      </w:r>
    </w:p>
    <w:p w:rsidR="006C7309" w:rsidRPr="003156B5" w:rsidRDefault="006C7309" w:rsidP="00874D2F">
      <w:pPr>
        <w:autoSpaceDN w:val="0"/>
        <w:spacing w:line="320" w:lineRule="atLeast"/>
        <w:ind w:firstLine="601"/>
        <w:jc w:val="both"/>
        <w:rPr>
          <w:rFonts w:eastAsia="標楷體"/>
          <w:sz w:val="26"/>
          <w:szCs w:val="26"/>
        </w:rPr>
      </w:pPr>
      <w:r w:rsidRPr="003156B5">
        <w:rPr>
          <w:rFonts w:eastAsia="標楷體"/>
          <w:sz w:val="26"/>
          <w:szCs w:val="26"/>
        </w:rPr>
        <w:t xml:space="preserve">National Health Insurance (NHI) provides all nationals with compulsory coverage. The purpose </w:t>
      </w:r>
      <w:r w:rsidR="00800649" w:rsidRPr="003156B5">
        <w:rPr>
          <w:rFonts w:eastAsia="標楷體" w:hint="eastAsia"/>
          <w:sz w:val="26"/>
          <w:szCs w:val="26"/>
        </w:rPr>
        <w:t>is</w:t>
      </w:r>
      <w:r w:rsidRPr="003156B5">
        <w:rPr>
          <w:rFonts w:eastAsia="標楷體"/>
          <w:sz w:val="26"/>
          <w:szCs w:val="26"/>
        </w:rPr>
        <w:t xml:space="preserve"> to ensure </w:t>
      </w:r>
      <w:r w:rsidR="00800649" w:rsidRPr="003156B5">
        <w:rPr>
          <w:rFonts w:eastAsia="標楷體" w:hint="eastAsia"/>
          <w:sz w:val="26"/>
          <w:szCs w:val="26"/>
        </w:rPr>
        <w:t xml:space="preserve">that </w:t>
      </w:r>
      <w:r w:rsidRPr="003156B5">
        <w:rPr>
          <w:rFonts w:eastAsia="標楷體"/>
          <w:sz w:val="26"/>
          <w:szCs w:val="26"/>
        </w:rPr>
        <w:t xml:space="preserve">individuals receive adequate </w:t>
      </w:r>
      <w:r w:rsidR="00800649" w:rsidRPr="003156B5">
        <w:rPr>
          <w:rFonts w:eastAsia="標楷體"/>
          <w:sz w:val="26"/>
          <w:szCs w:val="26"/>
        </w:rPr>
        <w:t>healthcare</w:t>
      </w:r>
      <w:r w:rsidRPr="003156B5">
        <w:rPr>
          <w:rFonts w:eastAsia="標楷體"/>
          <w:sz w:val="26"/>
          <w:szCs w:val="26"/>
        </w:rPr>
        <w:t xml:space="preserve"> through the arrangement of a cooperative scheme. </w:t>
      </w:r>
      <w:r w:rsidR="00800649" w:rsidRPr="003156B5">
        <w:rPr>
          <w:rFonts w:eastAsia="標楷體" w:hint="eastAsia"/>
          <w:sz w:val="26"/>
          <w:szCs w:val="26"/>
        </w:rPr>
        <w:t>U</w:t>
      </w:r>
      <w:r w:rsidRPr="003156B5">
        <w:rPr>
          <w:rFonts w:eastAsia="標楷體"/>
          <w:sz w:val="26"/>
          <w:szCs w:val="26"/>
        </w:rPr>
        <w:t>nder the NHI scheme</w:t>
      </w:r>
      <w:r w:rsidR="00800649" w:rsidRPr="003156B5">
        <w:rPr>
          <w:rFonts w:eastAsia="標楷體" w:hint="eastAsia"/>
          <w:sz w:val="26"/>
          <w:szCs w:val="26"/>
        </w:rPr>
        <w:t>,</w:t>
      </w:r>
      <w:r w:rsidRPr="003156B5">
        <w:rPr>
          <w:rFonts w:eastAsia="標楷體"/>
          <w:sz w:val="26"/>
          <w:szCs w:val="26"/>
        </w:rPr>
        <w:t xml:space="preserve"> </w:t>
      </w:r>
      <w:r w:rsidR="00800649" w:rsidRPr="003156B5">
        <w:rPr>
          <w:rFonts w:eastAsia="標楷體"/>
          <w:sz w:val="26"/>
          <w:szCs w:val="26"/>
        </w:rPr>
        <w:t xml:space="preserve">beneficiaries </w:t>
      </w:r>
      <w:r w:rsidR="00800649" w:rsidRPr="003156B5">
        <w:rPr>
          <w:rFonts w:eastAsia="標楷體" w:hint="eastAsia"/>
          <w:sz w:val="26"/>
          <w:szCs w:val="26"/>
        </w:rPr>
        <w:t>are</w:t>
      </w:r>
      <w:r w:rsidRPr="003156B5">
        <w:rPr>
          <w:rFonts w:eastAsia="標楷體"/>
          <w:sz w:val="26"/>
          <w:szCs w:val="26"/>
        </w:rPr>
        <w:t xml:space="preserve"> divided into six categories; each differs in </w:t>
      </w:r>
      <w:r w:rsidR="00800649" w:rsidRPr="003156B5">
        <w:rPr>
          <w:rFonts w:eastAsia="標楷體" w:hint="eastAsia"/>
          <w:sz w:val="26"/>
          <w:szCs w:val="26"/>
        </w:rPr>
        <w:t>their</w:t>
      </w:r>
      <w:r w:rsidRPr="003156B5">
        <w:rPr>
          <w:rFonts w:eastAsia="標楷體"/>
          <w:sz w:val="26"/>
          <w:szCs w:val="26"/>
        </w:rPr>
        <w:t xml:space="preserve"> insured payroll-related amount, premium contribution rate, and premium calculation method. Application</w:t>
      </w:r>
      <w:r w:rsidR="00441DA7" w:rsidRPr="003156B5">
        <w:rPr>
          <w:rFonts w:eastAsia="標楷體"/>
          <w:sz w:val="26"/>
          <w:szCs w:val="26"/>
        </w:rPr>
        <w:t>(s)</w:t>
      </w:r>
      <w:r w:rsidRPr="003156B5">
        <w:rPr>
          <w:rFonts w:eastAsia="標楷體"/>
          <w:sz w:val="26"/>
          <w:szCs w:val="26"/>
        </w:rPr>
        <w:t xml:space="preserve"> </w:t>
      </w:r>
      <w:r w:rsidR="00DE561C" w:rsidRPr="003156B5">
        <w:rPr>
          <w:rFonts w:eastAsia="標楷體" w:hint="eastAsia"/>
          <w:sz w:val="26"/>
          <w:szCs w:val="26"/>
        </w:rPr>
        <w:t>ar</w:t>
      </w:r>
      <w:r w:rsidRPr="003156B5">
        <w:rPr>
          <w:rFonts w:eastAsia="標楷體"/>
          <w:sz w:val="26"/>
          <w:szCs w:val="26"/>
        </w:rPr>
        <w:t xml:space="preserve">e to be made at the </w:t>
      </w:r>
      <w:r w:rsidR="00800649" w:rsidRPr="003156B5">
        <w:rPr>
          <w:rFonts w:eastAsia="標楷體" w:hint="eastAsia"/>
          <w:sz w:val="26"/>
          <w:szCs w:val="26"/>
        </w:rPr>
        <w:t>a</w:t>
      </w:r>
      <w:r w:rsidR="00800649" w:rsidRPr="003156B5">
        <w:rPr>
          <w:rFonts w:eastAsia="標楷體"/>
          <w:sz w:val="26"/>
          <w:szCs w:val="26"/>
        </w:rPr>
        <w:t>gency, school</w:t>
      </w:r>
      <w:r w:rsidRPr="003156B5">
        <w:rPr>
          <w:rFonts w:eastAsia="標楷體"/>
          <w:sz w:val="26"/>
          <w:szCs w:val="26"/>
        </w:rPr>
        <w:t>, enterprise, institution, employer, group, or designated departments to which the insured belong</w:t>
      </w:r>
      <w:r w:rsidR="00800649" w:rsidRPr="003156B5">
        <w:rPr>
          <w:rFonts w:eastAsia="標楷體" w:hint="eastAsia"/>
          <w:sz w:val="26"/>
          <w:szCs w:val="26"/>
        </w:rPr>
        <w:t>s</w:t>
      </w:r>
      <w:r w:rsidRPr="003156B5">
        <w:rPr>
          <w:rFonts w:eastAsia="標楷體"/>
          <w:sz w:val="26"/>
          <w:szCs w:val="26"/>
        </w:rPr>
        <w:t>.</w:t>
      </w:r>
    </w:p>
    <w:p w:rsidR="006C7309" w:rsidRPr="003156B5" w:rsidRDefault="00FE0F54" w:rsidP="00790124">
      <w:pPr>
        <w:spacing w:before="200" w:line="360" w:lineRule="exact"/>
        <w:jc w:val="both"/>
        <w:rPr>
          <w:rFonts w:eastAsia="標楷體"/>
          <w:b/>
          <w:sz w:val="26"/>
          <w:szCs w:val="26"/>
        </w:rPr>
      </w:pPr>
      <w:r w:rsidRPr="003156B5">
        <w:rPr>
          <w:rFonts w:eastAsia="標楷體" w:hint="eastAsia"/>
          <w:b/>
          <w:sz w:val="26"/>
          <w:szCs w:val="26"/>
        </w:rPr>
        <w:t>（</w:t>
      </w:r>
      <w:r w:rsidRPr="003156B5">
        <w:rPr>
          <w:rFonts w:eastAsia="標楷體" w:hint="eastAsia"/>
          <w:b/>
          <w:sz w:val="26"/>
          <w:szCs w:val="26"/>
        </w:rPr>
        <w:t>1</w:t>
      </w:r>
      <w:r w:rsidRPr="003156B5">
        <w:rPr>
          <w:rFonts w:eastAsia="標楷體" w:hint="eastAsia"/>
          <w:b/>
          <w:sz w:val="26"/>
          <w:szCs w:val="26"/>
        </w:rPr>
        <w:t>）</w:t>
      </w:r>
      <w:r w:rsidR="006C7309" w:rsidRPr="003156B5">
        <w:rPr>
          <w:rFonts w:eastAsia="標楷體"/>
          <w:b/>
          <w:sz w:val="26"/>
          <w:szCs w:val="26"/>
        </w:rPr>
        <w:t>Group Insurance Applicants</w:t>
      </w:r>
    </w:p>
    <w:p w:rsidR="006C7309" w:rsidRPr="003156B5" w:rsidRDefault="003160D9" w:rsidP="00FE0F54">
      <w:pPr>
        <w:spacing w:before="120" w:line="300" w:lineRule="exact"/>
        <w:ind w:left="284"/>
        <w:jc w:val="both"/>
        <w:rPr>
          <w:rFonts w:eastAsia="標楷體"/>
          <w:b/>
          <w:sz w:val="26"/>
          <w:szCs w:val="26"/>
        </w:rPr>
      </w:pPr>
      <w:r w:rsidRPr="003156B5">
        <w:rPr>
          <w:rFonts w:eastAsia="標楷體" w:hint="eastAsia"/>
          <w:b/>
          <w:sz w:val="26"/>
          <w:szCs w:val="26"/>
        </w:rPr>
        <w:t xml:space="preserve">There was a maximum </w:t>
      </w:r>
      <w:r w:rsidR="006C7309" w:rsidRPr="003156B5">
        <w:rPr>
          <w:rFonts w:eastAsia="標楷體"/>
          <w:b/>
          <w:sz w:val="26"/>
          <w:szCs w:val="26"/>
        </w:rPr>
        <w:t xml:space="preserve">average annual increase </w:t>
      </w:r>
      <w:r w:rsidRPr="003156B5">
        <w:rPr>
          <w:rFonts w:eastAsia="標楷體"/>
          <w:b/>
          <w:sz w:val="26"/>
          <w:szCs w:val="26"/>
        </w:rPr>
        <w:t>of 4.</w:t>
      </w:r>
      <w:r w:rsidR="007B1436" w:rsidRPr="003156B5">
        <w:rPr>
          <w:rFonts w:eastAsia="標楷體" w:hint="eastAsia"/>
          <w:b/>
          <w:sz w:val="26"/>
          <w:szCs w:val="26"/>
        </w:rPr>
        <w:t>3</w:t>
      </w:r>
      <w:r w:rsidRPr="003156B5">
        <w:rPr>
          <w:rFonts w:eastAsia="標楷體"/>
          <w:b/>
          <w:sz w:val="26"/>
          <w:szCs w:val="26"/>
        </w:rPr>
        <w:t>%</w:t>
      </w:r>
      <w:r w:rsidRPr="003156B5">
        <w:rPr>
          <w:rFonts w:eastAsia="標楷體" w:hint="eastAsia"/>
          <w:b/>
          <w:sz w:val="26"/>
          <w:szCs w:val="26"/>
        </w:rPr>
        <w:t xml:space="preserve"> </w:t>
      </w:r>
      <w:r w:rsidR="006C7309" w:rsidRPr="003156B5">
        <w:rPr>
          <w:rFonts w:eastAsia="標楷體"/>
          <w:b/>
          <w:sz w:val="26"/>
          <w:szCs w:val="26"/>
        </w:rPr>
        <w:t xml:space="preserve">in </w:t>
      </w:r>
      <w:r w:rsidR="00655F73" w:rsidRPr="003156B5">
        <w:rPr>
          <w:rFonts w:eastAsia="標楷體" w:hint="eastAsia"/>
          <w:b/>
          <w:sz w:val="26"/>
          <w:szCs w:val="26"/>
        </w:rPr>
        <w:t>200</w:t>
      </w:r>
      <w:r w:rsidR="007B1436" w:rsidRPr="003156B5">
        <w:rPr>
          <w:rFonts w:eastAsia="標楷體" w:hint="eastAsia"/>
          <w:b/>
          <w:sz w:val="26"/>
          <w:szCs w:val="26"/>
        </w:rPr>
        <w:t>1</w:t>
      </w:r>
      <w:r w:rsidR="002602B7" w:rsidRPr="003156B5">
        <w:rPr>
          <w:rFonts w:eastAsia="標楷體"/>
          <w:b/>
          <w:sz w:val="26"/>
          <w:szCs w:val="26"/>
        </w:rPr>
        <w:t>–</w:t>
      </w:r>
      <w:r w:rsidRPr="003156B5">
        <w:rPr>
          <w:rFonts w:eastAsia="標楷體" w:hint="eastAsia"/>
          <w:b/>
          <w:sz w:val="26"/>
          <w:szCs w:val="26"/>
        </w:rPr>
        <w:t>20</w:t>
      </w:r>
      <w:r w:rsidR="00655F73" w:rsidRPr="003156B5">
        <w:rPr>
          <w:rFonts w:eastAsia="標楷體" w:hint="eastAsia"/>
          <w:b/>
          <w:sz w:val="26"/>
          <w:szCs w:val="26"/>
        </w:rPr>
        <w:t>1</w:t>
      </w:r>
      <w:r w:rsidR="007B1436" w:rsidRPr="003156B5">
        <w:rPr>
          <w:rFonts w:eastAsia="標楷體" w:hint="eastAsia"/>
          <w:b/>
          <w:sz w:val="26"/>
          <w:szCs w:val="26"/>
        </w:rPr>
        <w:t>1</w:t>
      </w:r>
      <w:r w:rsidR="006C7309" w:rsidRPr="003156B5">
        <w:rPr>
          <w:rFonts w:eastAsia="標楷體"/>
          <w:b/>
          <w:sz w:val="26"/>
          <w:szCs w:val="26"/>
        </w:rPr>
        <w:t xml:space="preserve"> from the Eastern </w:t>
      </w:r>
      <w:r w:rsidR="00DD0D86" w:rsidRPr="003156B5">
        <w:rPr>
          <w:rFonts w:eastAsia="標楷體"/>
          <w:b/>
          <w:sz w:val="26"/>
          <w:szCs w:val="26"/>
        </w:rPr>
        <w:t>Division</w:t>
      </w:r>
      <w:r w:rsidR="006C7309" w:rsidRPr="003156B5">
        <w:rPr>
          <w:rFonts w:eastAsia="標楷體"/>
          <w:b/>
          <w:sz w:val="26"/>
          <w:szCs w:val="26"/>
        </w:rPr>
        <w:t xml:space="preserve"> and a minimum of </w:t>
      </w:r>
      <w:r w:rsidR="007B1436" w:rsidRPr="003156B5">
        <w:rPr>
          <w:rFonts w:eastAsia="標楷體" w:hint="eastAsia"/>
          <w:b/>
          <w:sz w:val="26"/>
          <w:szCs w:val="26"/>
        </w:rPr>
        <w:t>2.1</w:t>
      </w:r>
      <w:r w:rsidR="006C7309" w:rsidRPr="003156B5">
        <w:rPr>
          <w:rFonts w:eastAsia="標楷體"/>
          <w:b/>
          <w:sz w:val="26"/>
          <w:szCs w:val="26"/>
        </w:rPr>
        <w:t xml:space="preserve">% from the </w:t>
      </w:r>
      <w:r w:rsidR="00655F73" w:rsidRPr="003156B5">
        <w:rPr>
          <w:rFonts w:eastAsia="標楷體"/>
          <w:b/>
          <w:sz w:val="26"/>
          <w:szCs w:val="26"/>
        </w:rPr>
        <w:t>Taipei</w:t>
      </w:r>
      <w:r w:rsidR="006C7309" w:rsidRPr="003156B5">
        <w:rPr>
          <w:rFonts w:eastAsia="標楷體"/>
          <w:b/>
          <w:sz w:val="26"/>
          <w:szCs w:val="26"/>
        </w:rPr>
        <w:t xml:space="preserve"> </w:t>
      </w:r>
      <w:r w:rsidR="00DD0D86" w:rsidRPr="003156B5">
        <w:rPr>
          <w:rFonts w:eastAsia="標楷體"/>
          <w:b/>
          <w:sz w:val="26"/>
          <w:szCs w:val="26"/>
        </w:rPr>
        <w:t>Division</w:t>
      </w:r>
      <w:r w:rsidR="006C7309" w:rsidRPr="003156B5">
        <w:rPr>
          <w:rFonts w:eastAsia="標楷體"/>
          <w:b/>
          <w:sz w:val="26"/>
          <w:szCs w:val="26"/>
        </w:rPr>
        <w:t xml:space="preserve">. </w:t>
      </w:r>
    </w:p>
    <w:p w:rsidR="006C7309" w:rsidRPr="003156B5" w:rsidRDefault="006C7309" w:rsidP="00747A79">
      <w:pPr>
        <w:spacing w:before="120" w:afterLines="25" w:line="400" w:lineRule="exact"/>
        <w:ind w:left="284" w:firstLineChars="235" w:firstLine="611"/>
        <w:jc w:val="both"/>
        <w:rPr>
          <w:rFonts w:eastAsia="標楷體"/>
          <w:sz w:val="26"/>
          <w:szCs w:val="26"/>
        </w:rPr>
      </w:pPr>
      <w:r w:rsidRPr="003156B5">
        <w:rPr>
          <w:rFonts w:eastAsia="標楷體"/>
          <w:sz w:val="26"/>
          <w:szCs w:val="26"/>
        </w:rPr>
        <w:t>As of the end of 20</w:t>
      </w:r>
      <w:r w:rsidR="00B17B21" w:rsidRPr="003156B5">
        <w:rPr>
          <w:rFonts w:eastAsia="標楷體" w:hint="eastAsia"/>
          <w:sz w:val="26"/>
          <w:szCs w:val="26"/>
        </w:rPr>
        <w:t>1</w:t>
      </w:r>
      <w:r w:rsidR="007B1436" w:rsidRPr="003156B5">
        <w:rPr>
          <w:rFonts w:eastAsia="標楷體" w:hint="eastAsia"/>
          <w:sz w:val="26"/>
          <w:szCs w:val="26"/>
        </w:rPr>
        <w:t>1</w:t>
      </w:r>
      <w:r w:rsidRPr="003156B5">
        <w:rPr>
          <w:rFonts w:eastAsia="標楷體"/>
          <w:sz w:val="26"/>
          <w:szCs w:val="26"/>
        </w:rPr>
        <w:t xml:space="preserve">, the number of group insurance applicants was </w:t>
      </w:r>
      <w:r w:rsidR="007B1436" w:rsidRPr="003156B5">
        <w:rPr>
          <w:rFonts w:eastAsia="標楷體" w:hint="eastAsia"/>
          <w:sz w:val="26"/>
          <w:szCs w:val="26"/>
        </w:rPr>
        <w:t>730,720</w:t>
      </w:r>
      <w:r w:rsidRPr="003156B5">
        <w:rPr>
          <w:rFonts w:eastAsia="標楷體"/>
          <w:sz w:val="26"/>
          <w:szCs w:val="26"/>
        </w:rPr>
        <w:t xml:space="preserve"> in total, an increase of </w:t>
      </w:r>
      <w:r w:rsidR="007B1436" w:rsidRPr="003156B5">
        <w:rPr>
          <w:rFonts w:eastAsia="標楷體" w:hint="eastAsia"/>
          <w:sz w:val="26"/>
          <w:szCs w:val="26"/>
        </w:rPr>
        <w:t>24,121</w:t>
      </w:r>
      <w:r w:rsidRPr="003156B5">
        <w:rPr>
          <w:rFonts w:eastAsia="標楷體"/>
          <w:sz w:val="26"/>
          <w:szCs w:val="26"/>
        </w:rPr>
        <w:t xml:space="preserve"> from the previous year</w:t>
      </w:r>
      <w:r w:rsidR="002602B7" w:rsidRPr="003156B5">
        <w:rPr>
          <w:rFonts w:eastAsia="標楷體" w:hint="eastAsia"/>
          <w:sz w:val="26"/>
          <w:szCs w:val="26"/>
        </w:rPr>
        <w:t>.</w:t>
      </w:r>
      <w:r w:rsidRPr="003156B5">
        <w:rPr>
          <w:rFonts w:eastAsia="標楷體"/>
          <w:sz w:val="26"/>
          <w:szCs w:val="26"/>
        </w:rPr>
        <w:t xml:space="preserve"> </w:t>
      </w:r>
      <w:r w:rsidR="002602B7" w:rsidRPr="003156B5">
        <w:rPr>
          <w:rFonts w:eastAsia="標楷體"/>
          <w:sz w:val="26"/>
          <w:szCs w:val="26"/>
        </w:rPr>
        <w:t xml:space="preserve">There has been </w:t>
      </w:r>
      <w:r w:rsidR="00AC04AE" w:rsidRPr="003156B5">
        <w:rPr>
          <w:rFonts w:eastAsia="標楷體" w:hint="eastAsia"/>
          <w:sz w:val="26"/>
          <w:szCs w:val="26"/>
        </w:rPr>
        <w:t xml:space="preserve">an </w:t>
      </w:r>
      <w:r w:rsidR="00F74F42" w:rsidRPr="003156B5">
        <w:rPr>
          <w:rFonts w:eastAsia="標楷體" w:hint="eastAsia"/>
          <w:sz w:val="26"/>
          <w:szCs w:val="26"/>
        </w:rPr>
        <w:t xml:space="preserve">average annual </w:t>
      </w:r>
      <w:r w:rsidR="00A75835" w:rsidRPr="003156B5">
        <w:rPr>
          <w:rFonts w:eastAsia="標楷體" w:hint="eastAsia"/>
          <w:sz w:val="26"/>
          <w:szCs w:val="26"/>
        </w:rPr>
        <w:t>increase</w:t>
      </w:r>
      <w:r w:rsidR="00F74F42" w:rsidRPr="003156B5">
        <w:rPr>
          <w:rFonts w:eastAsia="標楷體" w:hint="eastAsia"/>
          <w:sz w:val="26"/>
          <w:szCs w:val="26"/>
        </w:rPr>
        <w:t xml:space="preserve"> of</w:t>
      </w:r>
      <w:r w:rsidRPr="003156B5">
        <w:rPr>
          <w:rFonts w:eastAsia="標楷體"/>
          <w:sz w:val="26"/>
          <w:szCs w:val="26"/>
        </w:rPr>
        <w:t xml:space="preserve"> </w:t>
      </w:r>
      <w:r w:rsidR="00B17B21" w:rsidRPr="003156B5">
        <w:rPr>
          <w:rFonts w:eastAsia="標楷體" w:hint="eastAsia"/>
          <w:sz w:val="26"/>
          <w:szCs w:val="26"/>
        </w:rPr>
        <w:t>2.</w:t>
      </w:r>
      <w:r w:rsidR="007B1436" w:rsidRPr="003156B5">
        <w:rPr>
          <w:rFonts w:eastAsia="標楷體" w:hint="eastAsia"/>
          <w:sz w:val="26"/>
          <w:szCs w:val="26"/>
        </w:rPr>
        <w:t>6</w:t>
      </w:r>
      <w:r w:rsidRPr="003156B5">
        <w:rPr>
          <w:rFonts w:eastAsia="標楷體"/>
          <w:sz w:val="26"/>
          <w:szCs w:val="26"/>
        </w:rPr>
        <w:t>%</w:t>
      </w:r>
      <w:r w:rsidR="001378D5" w:rsidRPr="003156B5">
        <w:rPr>
          <w:rFonts w:eastAsia="標楷體" w:hint="eastAsia"/>
          <w:sz w:val="26"/>
          <w:szCs w:val="26"/>
        </w:rPr>
        <w:t xml:space="preserve"> </w:t>
      </w:r>
      <w:r w:rsidR="002602B7" w:rsidRPr="003156B5">
        <w:rPr>
          <w:rFonts w:eastAsia="標楷體"/>
          <w:sz w:val="26"/>
          <w:szCs w:val="26"/>
        </w:rPr>
        <w:t>since 200</w:t>
      </w:r>
      <w:r w:rsidR="007B1436" w:rsidRPr="003156B5">
        <w:rPr>
          <w:rFonts w:eastAsia="標楷體" w:hint="eastAsia"/>
          <w:sz w:val="26"/>
          <w:szCs w:val="26"/>
        </w:rPr>
        <w:t>1</w:t>
      </w:r>
      <w:r w:rsidRPr="003156B5">
        <w:rPr>
          <w:rFonts w:eastAsia="標楷體"/>
          <w:sz w:val="26"/>
          <w:szCs w:val="26"/>
        </w:rPr>
        <w:t>.</w:t>
      </w:r>
    </w:p>
    <w:p w:rsidR="006C7309" w:rsidRPr="003156B5" w:rsidRDefault="002602B7" w:rsidP="00747A79">
      <w:pPr>
        <w:spacing w:before="120" w:afterLines="25" w:line="400" w:lineRule="exact"/>
        <w:ind w:left="284" w:firstLineChars="235" w:firstLine="611"/>
        <w:jc w:val="both"/>
        <w:rPr>
          <w:rFonts w:eastAsia="標楷體"/>
          <w:sz w:val="26"/>
          <w:szCs w:val="26"/>
        </w:rPr>
      </w:pPr>
      <w:r w:rsidRPr="003156B5">
        <w:rPr>
          <w:rFonts w:eastAsia="標楷體" w:hint="eastAsia"/>
          <w:sz w:val="26"/>
          <w:szCs w:val="26"/>
        </w:rPr>
        <w:t>When b</w:t>
      </w:r>
      <w:r w:rsidR="006C7309" w:rsidRPr="003156B5">
        <w:rPr>
          <w:rFonts w:eastAsia="標楷體"/>
          <w:sz w:val="26"/>
          <w:szCs w:val="26"/>
        </w:rPr>
        <w:t xml:space="preserve">roken down </w:t>
      </w:r>
      <w:r w:rsidR="00DD0D86" w:rsidRPr="003156B5">
        <w:rPr>
          <w:rFonts w:eastAsia="標楷體"/>
          <w:sz w:val="26"/>
          <w:szCs w:val="26"/>
        </w:rPr>
        <w:t>by NHI Regional Division</w:t>
      </w:r>
      <w:r w:rsidR="006C7309" w:rsidRPr="003156B5">
        <w:rPr>
          <w:rFonts w:eastAsia="標楷體"/>
          <w:sz w:val="26"/>
          <w:szCs w:val="26"/>
        </w:rPr>
        <w:t xml:space="preserve">, the Taipei </w:t>
      </w:r>
      <w:r w:rsidR="00DD0D86" w:rsidRPr="003156B5">
        <w:rPr>
          <w:rFonts w:eastAsia="標楷體"/>
          <w:sz w:val="26"/>
          <w:szCs w:val="26"/>
        </w:rPr>
        <w:t>Division</w:t>
      </w:r>
      <w:r w:rsidR="006C7309" w:rsidRPr="003156B5">
        <w:rPr>
          <w:rFonts w:eastAsia="標楷體"/>
          <w:sz w:val="26"/>
          <w:szCs w:val="26"/>
        </w:rPr>
        <w:t xml:space="preserve"> accounted for the greatest number at </w:t>
      </w:r>
      <w:r w:rsidR="00421E35" w:rsidRPr="003156B5">
        <w:rPr>
          <w:rFonts w:eastAsia="標楷體" w:hint="eastAsia"/>
          <w:sz w:val="26"/>
          <w:szCs w:val="26"/>
        </w:rPr>
        <w:t>39.9</w:t>
      </w:r>
      <w:r w:rsidR="006C7309" w:rsidRPr="003156B5">
        <w:rPr>
          <w:rFonts w:eastAsia="標楷體"/>
          <w:sz w:val="26"/>
          <w:szCs w:val="26"/>
        </w:rPr>
        <w:t xml:space="preserve">%, followed by the Central </w:t>
      </w:r>
      <w:r w:rsidR="00DD0D86" w:rsidRPr="003156B5">
        <w:rPr>
          <w:rFonts w:eastAsia="標楷體"/>
          <w:sz w:val="26"/>
          <w:szCs w:val="26"/>
        </w:rPr>
        <w:t>Division</w:t>
      </w:r>
      <w:r w:rsidR="006C7309" w:rsidRPr="003156B5">
        <w:rPr>
          <w:rFonts w:eastAsia="標楷體"/>
          <w:sz w:val="26"/>
          <w:szCs w:val="26"/>
        </w:rPr>
        <w:t xml:space="preserve"> at 21.</w:t>
      </w:r>
      <w:r w:rsidR="00421E35" w:rsidRPr="003156B5">
        <w:rPr>
          <w:rFonts w:eastAsia="標楷體" w:hint="eastAsia"/>
          <w:sz w:val="26"/>
          <w:szCs w:val="26"/>
        </w:rPr>
        <w:t>0</w:t>
      </w:r>
      <w:r w:rsidR="006C7309" w:rsidRPr="003156B5">
        <w:rPr>
          <w:rFonts w:eastAsia="標楷體"/>
          <w:sz w:val="26"/>
          <w:szCs w:val="26"/>
        </w:rPr>
        <w:t xml:space="preserve">%, the Northern </w:t>
      </w:r>
      <w:r w:rsidR="00DD0D86" w:rsidRPr="003156B5">
        <w:rPr>
          <w:rFonts w:eastAsia="標楷體"/>
          <w:sz w:val="26"/>
          <w:szCs w:val="26"/>
        </w:rPr>
        <w:t xml:space="preserve">Division at 13.5%, the </w:t>
      </w:r>
      <w:proofErr w:type="spellStart"/>
      <w:r w:rsidR="00DD0D86" w:rsidRPr="003156B5">
        <w:rPr>
          <w:rFonts w:eastAsia="標楷體"/>
          <w:sz w:val="26"/>
          <w:szCs w:val="26"/>
        </w:rPr>
        <w:t>Kao</w:t>
      </w:r>
      <w:r w:rsidR="006C7309" w:rsidRPr="003156B5">
        <w:rPr>
          <w:rFonts w:eastAsia="標楷體"/>
          <w:sz w:val="26"/>
          <w:szCs w:val="26"/>
        </w:rPr>
        <w:t>Ping</w:t>
      </w:r>
      <w:proofErr w:type="spellEnd"/>
      <w:r w:rsidR="006C7309" w:rsidRPr="003156B5">
        <w:rPr>
          <w:rFonts w:eastAsia="標楷體"/>
          <w:sz w:val="26"/>
          <w:szCs w:val="26"/>
        </w:rPr>
        <w:t xml:space="preserve"> </w:t>
      </w:r>
      <w:r w:rsidR="00DD0D86" w:rsidRPr="003156B5">
        <w:rPr>
          <w:rFonts w:eastAsia="標楷體"/>
          <w:sz w:val="26"/>
          <w:szCs w:val="26"/>
        </w:rPr>
        <w:t>Division</w:t>
      </w:r>
      <w:r w:rsidR="006C7309" w:rsidRPr="003156B5">
        <w:rPr>
          <w:rFonts w:eastAsia="標楷體"/>
          <w:sz w:val="26"/>
          <w:szCs w:val="26"/>
        </w:rPr>
        <w:t xml:space="preserve"> at 12.</w:t>
      </w:r>
      <w:r w:rsidR="00421E35" w:rsidRPr="003156B5">
        <w:rPr>
          <w:rFonts w:eastAsia="標楷體" w:hint="eastAsia"/>
          <w:sz w:val="26"/>
          <w:szCs w:val="26"/>
        </w:rPr>
        <w:t>8</w:t>
      </w:r>
      <w:r w:rsidR="006C7309" w:rsidRPr="003156B5">
        <w:rPr>
          <w:rFonts w:eastAsia="標楷體"/>
          <w:sz w:val="26"/>
          <w:szCs w:val="26"/>
        </w:rPr>
        <w:t xml:space="preserve">%, the Southern </w:t>
      </w:r>
      <w:r w:rsidR="00DD0D86" w:rsidRPr="003156B5">
        <w:rPr>
          <w:rFonts w:eastAsia="標楷體"/>
          <w:sz w:val="26"/>
          <w:szCs w:val="26"/>
        </w:rPr>
        <w:t>Division</w:t>
      </w:r>
      <w:r w:rsidR="006C7309" w:rsidRPr="003156B5">
        <w:rPr>
          <w:rFonts w:eastAsia="標楷體"/>
          <w:sz w:val="26"/>
          <w:szCs w:val="26"/>
        </w:rPr>
        <w:t xml:space="preserve"> at 11.0% and the Eastern </w:t>
      </w:r>
      <w:r w:rsidR="00DD0D86" w:rsidRPr="003156B5">
        <w:rPr>
          <w:rFonts w:eastAsia="標楷體"/>
          <w:sz w:val="26"/>
          <w:szCs w:val="26"/>
        </w:rPr>
        <w:t>Division</w:t>
      </w:r>
      <w:r w:rsidR="00DD0D86" w:rsidRPr="003156B5">
        <w:rPr>
          <w:rFonts w:eastAsia="標楷體" w:hint="eastAsia"/>
          <w:sz w:val="26"/>
          <w:szCs w:val="26"/>
        </w:rPr>
        <w:t xml:space="preserve"> </w:t>
      </w:r>
      <w:r w:rsidR="006C7309" w:rsidRPr="003156B5">
        <w:rPr>
          <w:rFonts w:eastAsia="標楷體"/>
          <w:sz w:val="26"/>
          <w:szCs w:val="26"/>
        </w:rPr>
        <w:t>at 1.</w:t>
      </w:r>
      <w:r w:rsidR="00421E35" w:rsidRPr="003156B5">
        <w:rPr>
          <w:rFonts w:eastAsia="標楷體" w:hint="eastAsia"/>
          <w:sz w:val="26"/>
          <w:szCs w:val="26"/>
        </w:rPr>
        <w:t>8</w:t>
      </w:r>
      <w:r w:rsidR="006C7309" w:rsidRPr="003156B5">
        <w:rPr>
          <w:rFonts w:eastAsia="標楷體"/>
          <w:sz w:val="26"/>
          <w:szCs w:val="26"/>
        </w:rPr>
        <w:t>%.</w:t>
      </w:r>
    </w:p>
    <w:p w:rsidR="006C7309" w:rsidRPr="003156B5" w:rsidRDefault="00173157" w:rsidP="00173157">
      <w:pPr>
        <w:autoSpaceDN w:val="0"/>
        <w:ind w:firstLineChars="109" w:firstLine="283"/>
        <w:jc w:val="center"/>
        <w:rPr>
          <w:rFonts w:eastAsia="標楷體"/>
          <w:sz w:val="26"/>
          <w:szCs w:val="26"/>
        </w:rPr>
      </w:pPr>
      <w:r w:rsidRPr="00173157">
        <w:rPr>
          <w:rFonts w:eastAsia="標楷體"/>
          <w:noProof/>
          <w:sz w:val="26"/>
          <w:szCs w:val="26"/>
        </w:rPr>
        <w:drawing>
          <wp:inline distT="0" distB="0" distL="0" distR="0">
            <wp:extent cx="5326093" cy="3516507"/>
            <wp:effectExtent l="0" t="0" r="0" b="0"/>
            <wp:docPr id="1" name="圖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81796E" w:rsidRPr="003156B5" w:rsidRDefault="002602B7" w:rsidP="00747A79">
      <w:pPr>
        <w:spacing w:beforeLines="50" w:afterLines="50" w:line="400" w:lineRule="exact"/>
        <w:ind w:left="284" w:firstLineChars="235" w:firstLine="611"/>
        <w:jc w:val="both"/>
        <w:rPr>
          <w:rFonts w:eastAsia="標楷體"/>
          <w:sz w:val="26"/>
          <w:szCs w:val="26"/>
        </w:rPr>
      </w:pPr>
      <w:r w:rsidRPr="003156B5">
        <w:rPr>
          <w:rFonts w:eastAsia="標楷體" w:hint="eastAsia"/>
          <w:sz w:val="26"/>
          <w:szCs w:val="26"/>
        </w:rPr>
        <w:lastRenderedPageBreak/>
        <w:t>When b</w:t>
      </w:r>
      <w:r w:rsidR="0081796E" w:rsidRPr="003156B5">
        <w:rPr>
          <w:rFonts w:eastAsia="標楷體" w:hint="eastAsia"/>
          <w:sz w:val="26"/>
          <w:szCs w:val="26"/>
        </w:rPr>
        <w:t xml:space="preserve">roken down </w:t>
      </w:r>
      <w:r w:rsidR="00F344E8" w:rsidRPr="003156B5">
        <w:rPr>
          <w:rFonts w:eastAsia="標楷體"/>
          <w:sz w:val="26"/>
          <w:szCs w:val="26"/>
        </w:rPr>
        <w:t>by NHI Regional Division</w:t>
      </w:r>
      <w:r w:rsidR="00BE5D77" w:rsidRPr="003156B5">
        <w:rPr>
          <w:rFonts w:eastAsia="標楷體" w:hint="eastAsia"/>
          <w:sz w:val="26"/>
          <w:szCs w:val="26"/>
        </w:rPr>
        <w:t xml:space="preserve">, the number of </w:t>
      </w:r>
      <w:r w:rsidR="00710239" w:rsidRPr="003156B5">
        <w:rPr>
          <w:rFonts w:eastAsia="標楷體"/>
          <w:sz w:val="26"/>
          <w:szCs w:val="26"/>
        </w:rPr>
        <w:t>group</w:t>
      </w:r>
      <w:r w:rsidR="00710239" w:rsidRPr="003156B5">
        <w:rPr>
          <w:rFonts w:eastAsia="標楷體" w:hint="eastAsia"/>
          <w:sz w:val="26"/>
          <w:szCs w:val="26"/>
        </w:rPr>
        <w:t xml:space="preserve"> insurance applicant</w:t>
      </w:r>
      <w:r w:rsidR="00BE5D77" w:rsidRPr="003156B5">
        <w:rPr>
          <w:rFonts w:eastAsia="標楷體"/>
          <w:sz w:val="26"/>
          <w:szCs w:val="26"/>
        </w:rPr>
        <w:t>s</w:t>
      </w:r>
      <w:r w:rsidR="00BE5D77" w:rsidRPr="003156B5">
        <w:rPr>
          <w:rFonts w:eastAsia="標楷體" w:hint="eastAsia"/>
          <w:sz w:val="26"/>
          <w:szCs w:val="26"/>
        </w:rPr>
        <w:t xml:space="preserve"> showed positive growth for all </w:t>
      </w:r>
      <w:r w:rsidR="00873240" w:rsidRPr="003156B5">
        <w:rPr>
          <w:rFonts w:eastAsia="標楷體" w:hint="eastAsia"/>
          <w:sz w:val="26"/>
          <w:szCs w:val="26"/>
        </w:rPr>
        <w:t>division</w:t>
      </w:r>
      <w:r w:rsidR="00BE5D77" w:rsidRPr="003156B5">
        <w:rPr>
          <w:rFonts w:eastAsia="標楷體" w:hint="eastAsia"/>
          <w:sz w:val="26"/>
          <w:szCs w:val="26"/>
        </w:rPr>
        <w:t xml:space="preserve">s </w:t>
      </w:r>
      <w:r w:rsidRPr="003156B5">
        <w:rPr>
          <w:rFonts w:eastAsia="標楷體" w:hint="eastAsia"/>
          <w:sz w:val="26"/>
          <w:szCs w:val="26"/>
        </w:rPr>
        <w:t>over</w:t>
      </w:r>
      <w:r w:rsidR="0081796E" w:rsidRPr="003156B5">
        <w:rPr>
          <w:rFonts w:eastAsia="標楷體" w:hint="eastAsia"/>
          <w:sz w:val="26"/>
          <w:szCs w:val="26"/>
        </w:rPr>
        <w:t xml:space="preserve"> the past ten years</w:t>
      </w:r>
      <w:r w:rsidRPr="003156B5">
        <w:rPr>
          <w:rFonts w:eastAsia="標楷體" w:hint="eastAsia"/>
          <w:sz w:val="26"/>
          <w:szCs w:val="26"/>
        </w:rPr>
        <w:t>;</w:t>
      </w:r>
      <w:r w:rsidR="00710239" w:rsidRPr="003156B5">
        <w:rPr>
          <w:rFonts w:eastAsia="標楷體" w:hint="eastAsia"/>
          <w:sz w:val="26"/>
          <w:szCs w:val="26"/>
        </w:rPr>
        <w:t xml:space="preserve"> </w:t>
      </w:r>
      <w:r w:rsidR="00710239" w:rsidRPr="003156B5">
        <w:rPr>
          <w:rFonts w:eastAsia="標楷體"/>
          <w:sz w:val="26"/>
          <w:szCs w:val="26"/>
        </w:rPr>
        <w:t xml:space="preserve">the Northern </w:t>
      </w:r>
      <w:r w:rsidR="00F344E8" w:rsidRPr="003156B5">
        <w:rPr>
          <w:rFonts w:eastAsia="標楷體"/>
          <w:sz w:val="26"/>
          <w:szCs w:val="26"/>
        </w:rPr>
        <w:t>Division</w:t>
      </w:r>
      <w:r w:rsidRPr="003156B5">
        <w:rPr>
          <w:rFonts w:eastAsia="標楷體" w:hint="eastAsia"/>
          <w:sz w:val="26"/>
          <w:szCs w:val="26"/>
        </w:rPr>
        <w:t>,</w:t>
      </w:r>
      <w:r w:rsidR="00710239" w:rsidRPr="003156B5">
        <w:rPr>
          <w:rFonts w:eastAsia="標楷體" w:hint="eastAsia"/>
          <w:sz w:val="26"/>
          <w:szCs w:val="26"/>
        </w:rPr>
        <w:t xml:space="preserve"> </w:t>
      </w:r>
      <w:r w:rsidRPr="003156B5">
        <w:rPr>
          <w:rFonts w:eastAsia="標楷體" w:hint="eastAsia"/>
          <w:sz w:val="26"/>
          <w:szCs w:val="26"/>
        </w:rPr>
        <w:t>at 0.</w:t>
      </w:r>
      <w:r w:rsidR="0027217B" w:rsidRPr="003156B5">
        <w:rPr>
          <w:rFonts w:eastAsia="標楷體" w:hint="eastAsia"/>
          <w:sz w:val="26"/>
          <w:szCs w:val="26"/>
        </w:rPr>
        <w:t>7</w:t>
      </w:r>
      <w:r w:rsidRPr="003156B5">
        <w:rPr>
          <w:rFonts w:eastAsia="標楷體" w:hint="eastAsia"/>
          <w:sz w:val="26"/>
          <w:szCs w:val="26"/>
        </w:rPr>
        <w:t xml:space="preserve"> percentage points, </w:t>
      </w:r>
      <w:r w:rsidR="00710239" w:rsidRPr="003156B5">
        <w:rPr>
          <w:rFonts w:eastAsia="標楷體" w:hint="eastAsia"/>
          <w:sz w:val="26"/>
          <w:szCs w:val="26"/>
        </w:rPr>
        <w:t xml:space="preserve">had the highest </w:t>
      </w:r>
      <w:r w:rsidR="00C00BBA" w:rsidRPr="003156B5">
        <w:rPr>
          <w:rFonts w:eastAsia="標楷體" w:hint="eastAsia"/>
          <w:sz w:val="26"/>
          <w:szCs w:val="26"/>
        </w:rPr>
        <w:t>increase</w:t>
      </w:r>
      <w:r w:rsidR="00710239" w:rsidRPr="003156B5">
        <w:rPr>
          <w:rFonts w:eastAsia="標楷體" w:hint="eastAsia"/>
          <w:sz w:val="26"/>
          <w:szCs w:val="26"/>
        </w:rPr>
        <w:t xml:space="preserve"> </w:t>
      </w:r>
      <w:r w:rsidR="00C00BBA" w:rsidRPr="003156B5">
        <w:rPr>
          <w:rFonts w:eastAsia="標楷體" w:hint="eastAsia"/>
          <w:sz w:val="26"/>
          <w:szCs w:val="26"/>
        </w:rPr>
        <w:t xml:space="preserve">in </w:t>
      </w:r>
      <w:r w:rsidR="00C00BBA" w:rsidRPr="003156B5">
        <w:rPr>
          <w:rFonts w:eastAsia="標楷體"/>
          <w:sz w:val="26"/>
          <w:szCs w:val="26"/>
        </w:rPr>
        <w:t xml:space="preserve">share </w:t>
      </w:r>
      <w:r w:rsidR="00C00BBA" w:rsidRPr="003156B5">
        <w:rPr>
          <w:rFonts w:eastAsia="標楷體" w:hint="eastAsia"/>
          <w:sz w:val="26"/>
          <w:szCs w:val="26"/>
        </w:rPr>
        <w:t xml:space="preserve">of </w:t>
      </w:r>
      <w:r w:rsidR="00C00BBA" w:rsidRPr="003156B5">
        <w:rPr>
          <w:rFonts w:eastAsia="標楷體"/>
          <w:sz w:val="26"/>
          <w:szCs w:val="26"/>
        </w:rPr>
        <w:t>group</w:t>
      </w:r>
      <w:r w:rsidR="00C00BBA" w:rsidRPr="003156B5">
        <w:rPr>
          <w:rFonts w:eastAsia="標楷體" w:hint="eastAsia"/>
          <w:sz w:val="26"/>
          <w:szCs w:val="26"/>
        </w:rPr>
        <w:t xml:space="preserve"> insurance applicant</w:t>
      </w:r>
      <w:r w:rsidR="00C00BBA" w:rsidRPr="003156B5">
        <w:rPr>
          <w:rFonts w:eastAsia="標楷體"/>
          <w:sz w:val="26"/>
          <w:szCs w:val="26"/>
        </w:rPr>
        <w:t>s</w:t>
      </w:r>
      <w:r w:rsidRPr="003156B5">
        <w:rPr>
          <w:rFonts w:eastAsia="標楷體" w:hint="eastAsia"/>
          <w:sz w:val="26"/>
          <w:szCs w:val="26"/>
        </w:rPr>
        <w:t>.</w:t>
      </w:r>
      <w:r w:rsidR="00C00BBA" w:rsidRPr="003156B5">
        <w:rPr>
          <w:rFonts w:eastAsia="標楷體" w:hint="eastAsia"/>
          <w:sz w:val="26"/>
          <w:szCs w:val="26"/>
        </w:rPr>
        <w:t xml:space="preserve"> </w:t>
      </w:r>
      <w:r w:rsidR="00541F37" w:rsidRPr="003156B5">
        <w:rPr>
          <w:rFonts w:eastAsia="標楷體" w:hint="eastAsia"/>
          <w:sz w:val="26"/>
          <w:szCs w:val="26"/>
        </w:rPr>
        <w:t>T</w:t>
      </w:r>
      <w:r w:rsidR="00C00BBA" w:rsidRPr="003156B5">
        <w:rPr>
          <w:rFonts w:eastAsia="標楷體"/>
          <w:sz w:val="26"/>
          <w:szCs w:val="26"/>
        </w:rPr>
        <w:t xml:space="preserve">he Taipei </w:t>
      </w:r>
      <w:r w:rsidR="00F344E8" w:rsidRPr="003156B5">
        <w:rPr>
          <w:rFonts w:eastAsia="標楷體"/>
          <w:sz w:val="26"/>
          <w:szCs w:val="26"/>
        </w:rPr>
        <w:t>Division</w:t>
      </w:r>
      <w:r w:rsidR="00C00BBA" w:rsidRPr="003156B5">
        <w:rPr>
          <w:rFonts w:eastAsia="標楷體" w:hint="eastAsia"/>
          <w:sz w:val="26"/>
          <w:szCs w:val="26"/>
        </w:rPr>
        <w:t xml:space="preserve"> </w:t>
      </w:r>
      <w:r w:rsidRPr="003156B5">
        <w:rPr>
          <w:rFonts w:eastAsia="標楷體"/>
          <w:sz w:val="26"/>
          <w:szCs w:val="26"/>
        </w:rPr>
        <w:t>exhibited a</w:t>
      </w:r>
      <w:r w:rsidR="008B7DF1" w:rsidRPr="003156B5">
        <w:rPr>
          <w:rFonts w:eastAsia="標楷體" w:hint="eastAsia"/>
          <w:sz w:val="26"/>
          <w:szCs w:val="26"/>
        </w:rPr>
        <w:t xml:space="preserve"> negative trend and </w:t>
      </w:r>
      <w:r w:rsidR="00C00BBA" w:rsidRPr="003156B5">
        <w:rPr>
          <w:rFonts w:eastAsia="標楷體" w:hint="eastAsia"/>
          <w:sz w:val="26"/>
          <w:szCs w:val="26"/>
        </w:rPr>
        <w:t xml:space="preserve">the highest decrease at </w:t>
      </w:r>
      <w:r w:rsidR="00541F37" w:rsidRPr="003156B5">
        <w:rPr>
          <w:rFonts w:eastAsia="標楷體" w:hint="eastAsia"/>
          <w:sz w:val="26"/>
          <w:szCs w:val="26"/>
        </w:rPr>
        <w:t>1.7</w:t>
      </w:r>
      <w:r w:rsidR="00C00BBA" w:rsidRPr="003156B5">
        <w:rPr>
          <w:rFonts w:eastAsia="標楷體" w:hint="eastAsia"/>
          <w:sz w:val="26"/>
          <w:szCs w:val="26"/>
        </w:rPr>
        <w:t xml:space="preserve"> percentage points.</w:t>
      </w:r>
    </w:p>
    <w:p w:rsidR="009F6EEE" w:rsidRPr="003156B5" w:rsidRDefault="009F6EEE" w:rsidP="00747A79">
      <w:pPr>
        <w:spacing w:beforeLines="50" w:afterLines="50" w:line="320" w:lineRule="exact"/>
        <w:ind w:left="284" w:firstLineChars="235" w:firstLine="611"/>
        <w:jc w:val="both"/>
        <w:rPr>
          <w:rFonts w:eastAsia="標楷體"/>
          <w:sz w:val="26"/>
          <w:szCs w:val="26"/>
        </w:rPr>
      </w:pPr>
    </w:p>
    <w:p w:rsidR="006C7309" w:rsidRPr="003156B5" w:rsidRDefault="00793063" w:rsidP="00B60B35">
      <w:pPr>
        <w:autoSpaceDN w:val="0"/>
        <w:ind w:leftChars="54" w:left="130" w:firstLineChars="59" w:firstLine="153"/>
        <w:jc w:val="center"/>
        <w:rPr>
          <w:rFonts w:eastAsia="標楷體"/>
          <w:sz w:val="26"/>
          <w:szCs w:val="26"/>
        </w:rPr>
      </w:pPr>
      <w:r w:rsidRPr="003156B5">
        <w:rPr>
          <w:rFonts w:eastAsia="標楷體"/>
          <w:noProof/>
          <w:sz w:val="26"/>
          <w:szCs w:val="26"/>
        </w:rPr>
        <w:drawing>
          <wp:inline distT="0" distB="0" distL="0" distR="0">
            <wp:extent cx="5486400" cy="3379304"/>
            <wp:effectExtent l="0" t="0" r="0" b="0"/>
            <wp:docPr id="10" name="圖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6C7309" w:rsidRPr="003156B5" w:rsidRDefault="00FE0F54" w:rsidP="00A7798B">
      <w:pPr>
        <w:spacing w:before="200" w:line="360" w:lineRule="exact"/>
        <w:jc w:val="both"/>
        <w:rPr>
          <w:rFonts w:eastAsia="標楷體"/>
          <w:b/>
          <w:sz w:val="26"/>
          <w:szCs w:val="26"/>
        </w:rPr>
      </w:pPr>
      <w:r w:rsidRPr="003156B5">
        <w:rPr>
          <w:rFonts w:eastAsia="標楷體" w:hint="eastAsia"/>
          <w:b/>
          <w:sz w:val="26"/>
          <w:szCs w:val="26"/>
        </w:rPr>
        <w:t>（</w:t>
      </w:r>
      <w:r w:rsidRPr="003156B5">
        <w:rPr>
          <w:rFonts w:eastAsia="標楷體" w:hint="eastAsia"/>
          <w:b/>
          <w:sz w:val="26"/>
          <w:szCs w:val="26"/>
        </w:rPr>
        <w:t>2</w:t>
      </w:r>
      <w:r w:rsidRPr="003156B5">
        <w:rPr>
          <w:rFonts w:eastAsia="標楷體" w:hint="eastAsia"/>
          <w:b/>
          <w:sz w:val="26"/>
          <w:szCs w:val="26"/>
        </w:rPr>
        <w:t>）</w:t>
      </w:r>
      <w:r w:rsidR="006C7309" w:rsidRPr="003156B5">
        <w:rPr>
          <w:rFonts w:eastAsia="標楷體"/>
          <w:b/>
          <w:sz w:val="26"/>
          <w:szCs w:val="26"/>
        </w:rPr>
        <w:t>Beneficiaries</w:t>
      </w:r>
    </w:p>
    <w:p w:rsidR="006C7309" w:rsidRPr="007F4963" w:rsidRDefault="007855EF" w:rsidP="0005046E">
      <w:pPr>
        <w:spacing w:before="200" w:line="300" w:lineRule="exact"/>
        <w:ind w:left="284"/>
        <w:jc w:val="both"/>
        <w:rPr>
          <w:rFonts w:eastAsia="標楷體"/>
          <w:b/>
          <w:sz w:val="26"/>
          <w:szCs w:val="26"/>
        </w:rPr>
      </w:pPr>
      <w:r w:rsidRPr="007F4963">
        <w:rPr>
          <w:rFonts w:eastAsia="標楷體"/>
          <w:b/>
          <w:sz w:val="26"/>
          <w:szCs w:val="26"/>
        </w:rPr>
        <w:t>Over</w:t>
      </w:r>
      <w:r w:rsidR="006C7309" w:rsidRPr="007F4963">
        <w:rPr>
          <w:rFonts w:eastAsia="標楷體"/>
          <w:b/>
          <w:sz w:val="26"/>
          <w:szCs w:val="26"/>
        </w:rPr>
        <w:t xml:space="preserve"> the past ten years, in terms of structural ratio, Categories 3 </w:t>
      </w:r>
      <w:r w:rsidRPr="007F4963">
        <w:rPr>
          <w:rFonts w:eastAsia="標楷體"/>
          <w:b/>
          <w:sz w:val="26"/>
          <w:szCs w:val="26"/>
        </w:rPr>
        <w:t>ha</w:t>
      </w:r>
      <w:r w:rsidR="008C3319" w:rsidRPr="007F4963">
        <w:rPr>
          <w:rFonts w:eastAsia="標楷體" w:hint="eastAsia"/>
          <w:b/>
          <w:sz w:val="26"/>
          <w:szCs w:val="26"/>
        </w:rPr>
        <w:t>s</w:t>
      </w:r>
      <w:r w:rsidR="006C7309" w:rsidRPr="007F4963">
        <w:rPr>
          <w:rFonts w:eastAsia="標楷體"/>
          <w:b/>
          <w:sz w:val="26"/>
          <w:szCs w:val="26"/>
        </w:rPr>
        <w:t xml:space="preserve"> gone down, while Categories </w:t>
      </w:r>
      <w:r w:rsidR="008C3319" w:rsidRPr="007F4963">
        <w:rPr>
          <w:rFonts w:eastAsia="標楷體" w:hint="eastAsia"/>
          <w:b/>
          <w:sz w:val="26"/>
          <w:szCs w:val="26"/>
        </w:rPr>
        <w:t xml:space="preserve">1, 2, </w:t>
      </w:r>
      <w:r w:rsidR="006C7309" w:rsidRPr="007F4963">
        <w:rPr>
          <w:rFonts w:eastAsia="標楷體"/>
          <w:b/>
          <w:sz w:val="26"/>
          <w:szCs w:val="26"/>
        </w:rPr>
        <w:t xml:space="preserve">5 and 6 </w:t>
      </w:r>
      <w:r w:rsidRPr="007F4963">
        <w:rPr>
          <w:rFonts w:eastAsia="標楷體"/>
          <w:b/>
          <w:sz w:val="26"/>
          <w:szCs w:val="26"/>
        </w:rPr>
        <w:t>have</w:t>
      </w:r>
      <w:r w:rsidR="006C7309" w:rsidRPr="007F4963">
        <w:rPr>
          <w:rFonts w:eastAsia="標楷體"/>
          <w:b/>
          <w:sz w:val="26"/>
          <w:szCs w:val="26"/>
        </w:rPr>
        <w:t xml:space="preserve"> gone up</w:t>
      </w:r>
      <w:r w:rsidR="005379F2" w:rsidRPr="007F4963">
        <w:rPr>
          <w:rFonts w:eastAsia="標楷體" w:hint="eastAsia"/>
          <w:b/>
          <w:sz w:val="26"/>
          <w:szCs w:val="26"/>
        </w:rPr>
        <w:t>.</w:t>
      </w:r>
      <w:r w:rsidR="006C7309" w:rsidRPr="007F4963">
        <w:rPr>
          <w:rFonts w:eastAsia="標楷體"/>
          <w:b/>
          <w:sz w:val="26"/>
          <w:szCs w:val="26"/>
        </w:rPr>
        <w:t xml:space="preserve"> </w:t>
      </w:r>
    </w:p>
    <w:p w:rsidR="006C7309" w:rsidRPr="003156B5" w:rsidRDefault="006C7309" w:rsidP="00747A79">
      <w:pPr>
        <w:spacing w:beforeLines="50" w:afterLines="50" w:line="400" w:lineRule="exact"/>
        <w:ind w:left="284" w:firstLineChars="235" w:firstLine="611"/>
        <w:jc w:val="both"/>
        <w:rPr>
          <w:rFonts w:eastAsia="標楷體"/>
          <w:sz w:val="26"/>
          <w:szCs w:val="26"/>
        </w:rPr>
      </w:pPr>
      <w:r w:rsidRPr="003156B5">
        <w:rPr>
          <w:rFonts w:eastAsia="標楷體"/>
          <w:sz w:val="26"/>
        </w:rPr>
        <w:t xml:space="preserve">The purpose of NHI </w:t>
      </w:r>
      <w:r w:rsidR="00781EF1" w:rsidRPr="003156B5">
        <w:rPr>
          <w:rFonts w:eastAsia="標楷體" w:hint="eastAsia"/>
          <w:sz w:val="26"/>
        </w:rPr>
        <w:t>i</w:t>
      </w:r>
      <w:r w:rsidRPr="003156B5">
        <w:rPr>
          <w:rFonts w:eastAsia="標楷體"/>
          <w:sz w:val="26"/>
        </w:rPr>
        <w:t xml:space="preserve">s to enhance the health of all nationals and </w:t>
      </w:r>
      <w:r w:rsidR="00AC4973" w:rsidRPr="003156B5">
        <w:rPr>
          <w:rFonts w:eastAsia="標楷體"/>
          <w:sz w:val="26"/>
          <w:szCs w:val="26"/>
        </w:rPr>
        <w:t xml:space="preserve">provide </w:t>
      </w:r>
      <w:r w:rsidRPr="003156B5">
        <w:rPr>
          <w:rFonts w:eastAsia="標楷體"/>
          <w:sz w:val="26"/>
          <w:szCs w:val="26"/>
        </w:rPr>
        <w:t>f</w:t>
      </w:r>
      <w:r w:rsidRPr="003156B5">
        <w:rPr>
          <w:rFonts w:eastAsia="標楷體"/>
          <w:sz w:val="26"/>
        </w:rPr>
        <w:t>air access to medical treatment. At present, with the exception of those in corrective institutions, all nationals are covered under the insurance scheme.</w:t>
      </w:r>
    </w:p>
    <w:p w:rsidR="000053C4" w:rsidRPr="003156B5" w:rsidRDefault="00AC4973" w:rsidP="00747A79">
      <w:pPr>
        <w:spacing w:beforeLines="50" w:afterLines="50" w:line="400" w:lineRule="exact"/>
        <w:ind w:left="284" w:firstLineChars="235" w:firstLine="611"/>
        <w:jc w:val="both"/>
        <w:rPr>
          <w:rFonts w:eastAsia="標楷體"/>
          <w:sz w:val="26"/>
        </w:rPr>
      </w:pPr>
      <w:r w:rsidRPr="003156B5">
        <w:rPr>
          <w:rFonts w:eastAsia="標楷體" w:hint="eastAsia"/>
          <w:sz w:val="26"/>
        </w:rPr>
        <w:t>By</w:t>
      </w:r>
      <w:r w:rsidR="00004398" w:rsidRPr="003156B5">
        <w:rPr>
          <w:rFonts w:eastAsia="標楷體"/>
          <w:sz w:val="26"/>
        </w:rPr>
        <w:t xml:space="preserve"> the end of 20</w:t>
      </w:r>
      <w:r w:rsidR="00487BD0" w:rsidRPr="003156B5">
        <w:rPr>
          <w:rFonts w:eastAsia="標楷體" w:hint="eastAsia"/>
          <w:sz w:val="26"/>
        </w:rPr>
        <w:t>1</w:t>
      </w:r>
      <w:r w:rsidR="006C6E7A" w:rsidRPr="003156B5">
        <w:rPr>
          <w:rFonts w:eastAsia="標楷體" w:hint="eastAsia"/>
          <w:sz w:val="26"/>
        </w:rPr>
        <w:t>1</w:t>
      </w:r>
      <w:r w:rsidRPr="003156B5">
        <w:rPr>
          <w:rFonts w:eastAsia="標楷體"/>
          <w:sz w:val="26"/>
        </w:rPr>
        <w:t xml:space="preserve">, the number of </w:t>
      </w:r>
      <w:r w:rsidR="00004398" w:rsidRPr="003156B5">
        <w:rPr>
          <w:rFonts w:eastAsia="標楷體"/>
          <w:sz w:val="26"/>
        </w:rPr>
        <w:t xml:space="preserve">NHI </w:t>
      </w:r>
      <w:r w:rsidR="00E679DF" w:rsidRPr="003156B5">
        <w:rPr>
          <w:rFonts w:eastAsia="標楷體"/>
          <w:sz w:val="26"/>
        </w:rPr>
        <w:t>beneficiaries</w:t>
      </w:r>
      <w:r w:rsidR="00004398" w:rsidRPr="003156B5">
        <w:rPr>
          <w:rFonts w:eastAsia="標楷體"/>
          <w:sz w:val="26"/>
        </w:rPr>
        <w:t xml:space="preserve"> </w:t>
      </w:r>
      <w:r w:rsidR="004A3DFC">
        <w:rPr>
          <w:rFonts w:eastAsia="標楷體" w:hint="eastAsia"/>
          <w:sz w:val="26"/>
        </w:rPr>
        <w:t xml:space="preserve">was 23,198,664, </w:t>
      </w:r>
      <w:r w:rsidR="00004398" w:rsidRPr="003156B5">
        <w:rPr>
          <w:rFonts w:eastAsia="標楷體"/>
          <w:sz w:val="26"/>
        </w:rPr>
        <w:t xml:space="preserve">increased by </w:t>
      </w:r>
      <w:r w:rsidR="006C6E7A" w:rsidRPr="003156B5">
        <w:rPr>
          <w:rFonts w:eastAsia="標楷體" w:hint="eastAsia"/>
          <w:sz w:val="26"/>
        </w:rPr>
        <w:t>124,177</w:t>
      </w:r>
      <w:r w:rsidR="00004398" w:rsidRPr="003156B5">
        <w:rPr>
          <w:rFonts w:eastAsia="標楷體"/>
          <w:sz w:val="26"/>
        </w:rPr>
        <w:t xml:space="preserve"> from the </w:t>
      </w:r>
      <w:r w:rsidR="00FA303F" w:rsidRPr="003156B5">
        <w:rPr>
          <w:rFonts w:eastAsia="標楷體" w:hint="eastAsia"/>
          <w:sz w:val="26"/>
        </w:rPr>
        <w:t xml:space="preserve">end of the </w:t>
      </w:r>
      <w:r w:rsidR="00004398" w:rsidRPr="003156B5">
        <w:rPr>
          <w:rFonts w:eastAsia="標楷體"/>
          <w:sz w:val="26"/>
        </w:rPr>
        <w:t>previous year</w:t>
      </w:r>
      <w:r w:rsidR="004A3DFC">
        <w:rPr>
          <w:rFonts w:eastAsia="標楷體" w:hint="eastAsia"/>
          <w:sz w:val="26"/>
        </w:rPr>
        <w:t>,</w:t>
      </w:r>
      <w:r w:rsidR="00004398" w:rsidRPr="003156B5">
        <w:rPr>
          <w:rFonts w:eastAsia="標楷體" w:hint="eastAsia"/>
          <w:sz w:val="26"/>
        </w:rPr>
        <w:t xml:space="preserve"> with an </w:t>
      </w:r>
      <w:r w:rsidR="00F74F42" w:rsidRPr="003156B5">
        <w:rPr>
          <w:rFonts w:eastAsia="標楷體" w:hint="eastAsia"/>
          <w:sz w:val="26"/>
        </w:rPr>
        <w:t xml:space="preserve">average annual </w:t>
      </w:r>
      <w:r w:rsidR="00A75835" w:rsidRPr="003156B5">
        <w:rPr>
          <w:rFonts w:eastAsia="標楷體" w:hint="eastAsia"/>
          <w:sz w:val="26"/>
        </w:rPr>
        <w:t>increase</w:t>
      </w:r>
      <w:r w:rsidR="00F74F42" w:rsidRPr="003156B5">
        <w:rPr>
          <w:rFonts w:eastAsia="標楷體" w:hint="eastAsia"/>
          <w:sz w:val="26"/>
        </w:rPr>
        <w:t xml:space="preserve"> of</w:t>
      </w:r>
      <w:r w:rsidR="00004398" w:rsidRPr="003156B5">
        <w:rPr>
          <w:rFonts w:eastAsia="標楷體" w:hint="eastAsia"/>
          <w:sz w:val="26"/>
        </w:rPr>
        <w:t xml:space="preserve"> 0.</w:t>
      </w:r>
      <w:r w:rsidR="006C6E7A" w:rsidRPr="003156B5">
        <w:rPr>
          <w:rFonts w:eastAsia="標楷體" w:hint="eastAsia"/>
          <w:sz w:val="26"/>
        </w:rPr>
        <w:t>7</w:t>
      </w:r>
      <w:r w:rsidR="00004398" w:rsidRPr="003156B5">
        <w:rPr>
          <w:rFonts w:eastAsia="標楷體" w:hint="eastAsia"/>
          <w:sz w:val="26"/>
        </w:rPr>
        <w:t>%</w:t>
      </w:r>
      <w:r w:rsidR="004A3DFC">
        <w:rPr>
          <w:rFonts w:eastAsia="標楷體" w:hint="eastAsia"/>
          <w:sz w:val="26"/>
        </w:rPr>
        <w:t xml:space="preserve"> over the past ten years.</w:t>
      </w:r>
      <w:r w:rsidR="00004398" w:rsidRPr="003156B5">
        <w:rPr>
          <w:rFonts w:eastAsia="標楷體" w:hint="eastAsia"/>
          <w:sz w:val="26"/>
        </w:rPr>
        <w:t xml:space="preserve"> </w:t>
      </w:r>
      <w:r w:rsidR="004A3DFC">
        <w:rPr>
          <w:rFonts w:eastAsia="標楷體" w:hint="eastAsia"/>
          <w:sz w:val="26"/>
        </w:rPr>
        <w:t>T</w:t>
      </w:r>
      <w:r w:rsidR="00004398" w:rsidRPr="003156B5">
        <w:rPr>
          <w:rFonts w:eastAsia="標楷體"/>
          <w:sz w:val="26"/>
        </w:rPr>
        <w:t xml:space="preserve">he insured </w:t>
      </w:r>
      <w:r w:rsidR="00004398" w:rsidRPr="003156B5">
        <w:rPr>
          <w:rFonts w:eastAsia="標楷體" w:hint="eastAsia"/>
          <w:sz w:val="26"/>
        </w:rPr>
        <w:t xml:space="preserve">increased by </w:t>
      </w:r>
      <w:r w:rsidR="006C6E7A" w:rsidRPr="003156B5">
        <w:rPr>
          <w:rFonts w:eastAsia="標楷體" w:hint="eastAsia"/>
          <w:sz w:val="26"/>
        </w:rPr>
        <w:t>2,578,782</w:t>
      </w:r>
      <w:r w:rsidR="00004398" w:rsidRPr="003156B5">
        <w:rPr>
          <w:rFonts w:eastAsia="標楷體"/>
          <w:sz w:val="26"/>
        </w:rPr>
        <w:t xml:space="preserve"> individuals </w:t>
      </w:r>
      <w:r w:rsidR="004A3DFC">
        <w:rPr>
          <w:rFonts w:eastAsia="標楷體" w:hint="eastAsia"/>
          <w:sz w:val="26"/>
        </w:rPr>
        <w:t xml:space="preserve">or </w:t>
      </w:r>
      <w:r w:rsidR="006C6E7A" w:rsidRPr="003156B5">
        <w:rPr>
          <w:rFonts w:eastAsia="標楷體" w:hint="eastAsia"/>
          <w:sz w:val="26"/>
        </w:rPr>
        <w:t>20.7</w:t>
      </w:r>
      <w:r w:rsidR="00004398" w:rsidRPr="003156B5">
        <w:rPr>
          <w:rFonts w:eastAsia="標楷體"/>
          <w:sz w:val="26"/>
        </w:rPr>
        <w:t>%</w:t>
      </w:r>
      <w:r w:rsidR="004A3DFC">
        <w:rPr>
          <w:rFonts w:eastAsia="標楷體" w:hint="eastAsia"/>
          <w:sz w:val="26"/>
        </w:rPr>
        <w:t xml:space="preserve"> from the end of 2001,</w:t>
      </w:r>
      <w:r w:rsidR="00004398" w:rsidRPr="003156B5">
        <w:rPr>
          <w:rFonts w:eastAsia="標楷體"/>
          <w:sz w:val="26"/>
        </w:rPr>
        <w:t xml:space="preserve"> </w:t>
      </w:r>
      <w:r w:rsidR="00004398" w:rsidRPr="003156B5">
        <w:rPr>
          <w:rFonts w:eastAsia="標楷體" w:hint="eastAsia"/>
          <w:sz w:val="26"/>
        </w:rPr>
        <w:t xml:space="preserve">with an </w:t>
      </w:r>
      <w:r w:rsidR="00F74F42" w:rsidRPr="003156B5">
        <w:rPr>
          <w:rFonts w:eastAsia="標楷體" w:hint="eastAsia"/>
          <w:sz w:val="26"/>
        </w:rPr>
        <w:t xml:space="preserve">average annual </w:t>
      </w:r>
      <w:r w:rsidR="00A75835" w:rsidRPr="003156B5">
        <w:rPr>
          <w:rFonts w:eastAsia="標楷體" w:hint="eastAsia"/>
          <w:sz w:val="26"/>
        </w:rPr>
        <w:t>increase</w:t>
      </w:r>
      <w:r w:rsidR="00F74F42" w:rsidRPr="003156B5">
        <w:rPr>
          <w:rFonts w:eastAsia="標楷體" w:hint="eastAsia"/>
          <w:sz w:val="26"/>
        </w:rPr>
        <w:t xml:space="preserve"> of</w:t>
      </w:r>
      <w:r w:rsidR="00004398" w:rsidRPr="003156B5">
        <w:rPr>
          <w:rFonts w:eastAsia="標楷體" w:hint="eastAsia"/>
          <w:sz w:val="26"/>
        </w:rPr>
        <w:t xml:space="preserve"> 1.</w:t>
      </w:r>
      <w:r w:rsidR="006C6E7A" w:rsidRPr="003156B5">
        <w:rPr>
          <w:rFonts w:eastAsia="標楷體" w:hint="eastAsia"/>
          <w:sz w:val="26"/>
        </w:rPr>
        <w:t>9</w:t>
      </w:r>
      <w:r w:rsidR="00004398" w:rsidRPr="003156B5">
        <w:rPr>
          <w:rFonts w:eastAsia="標楷體" w:hint="eastAsia"/>
          <w:sz w:val="26"/>
        </w:rPr>
        <w:t xml:space="preserve">%; </w:t>
      </w:r>
      <w:r w:rsidR="00004398" w:rsidRPr="003156B5">
        <w:rPr>
          <w:rFonts w:eastAsia="標楷體"/>
          <w:sz w:val="26"/>
        </w:rPr>
        <w:t xml:space="preserve">dependents decreased by </w:t>
      </w:r>
      <w:r w:rsidR="006C6E7A" w:rsidRPr="003156B5">
        <w:rPr>
          <w:rFonts w:eastAsia="標楷體" w:hint="eastAsia"/>
          <w:sz w:val="26"/>
        </w:rPr>
        <w:t>1,033,673</w:t>
      </w:r>
      <w:r w:rsidR="004A3DFC">
        <w:rPr>
          <w:rFonts w:eastAsia="標楷體" w:hint="eastAsia"/>
          <w:sz w:val="26"/>
        </w:rPr>
        <w:t xml:space="preserve"> or 11.3%</w:t>
      </w:r>
      <w:r w:rsidR="00004398" w:rsidRPr="003156B5">
        <w:rPr>
          <w:rFonts w:eastAsia="標楷體" w:hint="eastAsia"/>
          <w:sz w:val="26"/>
        </w:rPr>
        <w:t xml:space="preserve"> with an average annual decrease rate </w:t>
      </w:r>
      <w:r w:rsidR="006C6E7A" w:rsidRPr="003156B5">
        <w:rPr>
          <w:rFonts w:eastAsia="標楷體" w:hint="eastAsia"/>
          <w:sz w:val="26"/>
        </w:rPr>
        <w:t>1.2</w:t>
      </w:r>
      <w:r w:rsidR="00004398" w:rsidRPr="003156B5">
        <w:rPr>
          <w:rFonts w:eastAsia="標楷體" w:hint="eastAsia"/>
          <w:sz w:val="26"/>
        </w:rPr>
        <w:t xml:space="preserve">%. </w:t>
      </w:r>
      <w:r w:rsidR="00004398" w:rsidRPr="003156B5">
        <w:rPr>
          <w:rFonts w:eastAsia="標楷體"/>
          <w:sz w:val="26"/>
        </w:rPr>
        <w:t>A</w:t>
      </w:r>
      <w:r w:rsidR="00004398" w:rsidRPr="003156B5">
        <w:rPr>
          <w:rFonts w:eastAsia="標楷體" w:hint="eastAsia"/>
          <w:sz w:val="26"/>
        </w:rPr>
        <w:t>t</w:t>
      </w:r>
      <w:r w:rsidR="00004398" w:rsidRPr="003156B5">
        <w:rPr>
          <w:rFonts w:eastAsia="標楷體"/>
          <w:sz w:val="26"/>
        </w:rPr>
        <w:t xml:space="preserve"> the end of 20</w:t>
      </w:r>
      <w:r w:rsidR="00844FEF" w:rsidRPr="003156B5">
        <w:rPr>
          <w:rFonts w:eastAsia="標楷體" w:hint="eastAsia"/>
          <w:sz w:val="26"/>
        </w:rPr>
        <w:t>1</w:t>
      </w:r>
      <w:r w:rsidR="006C6E7A" w:rsidRPr="003156B5">
        <w:rPr>
          <w:rFonts w:eastAsia="標楷體" w:hint="eastAsia"/>
          <w:sz w:val="26"/>
        </w:rPr>
        <w:t>1</w:t>
      </w:r>
      <w:r w:rsidR="00004398" w:rsidRPr="003156B5">
        <w:rPr>
          <w:rFonts w:eastAsia="標楷體"/>
          <w:sz w:val="26"/>
        </w:rPr>
        <w:t xml:space="preserve">, </w:t>
      </w:r>
      <w:r w:rsidR="00004398" w:rsidRPr="003156B5">
        <w:rPr>
          <w:rFonts w:eastAsia="標楷體" w:hint="eastAsia"/>
          <w:sz w:val="26"/>
        </w:rPr>
        <w:t>the</w:t>
      </w:r>
      <w:r w:rsidR="00004398" w:rsidRPr="003156B5">
        <w:rPr>
          <w:rFonts w:eastAsia="標楷體"/>
          <w:sz w:val="26"/>
        </w:rPr>
        <w:t xml:space="preserve"> </w:t>
      </w:r>
      <w:r w:rsidR="00004398" w:rsidRPr="003156B5">
        <w:rPr>
          <w:rFonts w:eastAsia="標楷體" w:hint="eastAsia"/>
          <w:sz w:val="26"/>
        </w:rPr>
        <w:t xml:space="preserve">insured accounted </w:t>
      </w:r>
      <w:r w:rsidR="00004398" w:rsidRPr="003156B5">
        <w:rPr>
          <w:rFonts w:eastAsia="標楷體"/>
          <w:sz w:val="26"/>
        </w:rPr>
        <w:t xml:space="preserve">for </w:t>
      </w:r>
      <w:r w:rsidR="006C6E7A" w:rsidRPr="003156B5">
        <w:rPr>
          <w:rFonts w:eastAsia="標楷體" w:hint="eastAsia"/>
          <w:sz w:val="26"/>
        </w:rPr>
        <w:t>64.9</w:t>
      </w:r>
      <w:r w:rsidR="00004398" w:rsidRPr="003156B5">
        <w:rPr>
          <w:rFonts w:eastAsia="標楷體"/>
          <w:sz w:val="26"/>
        </w:rPr>
        <w:t xml:space="preserve">% of </w:t>
      </w:r>
      <w:r w:rsidR="00004398" w:rsidRPr="003156B5">
        <w:rPr>
          <w:rFonts w:eastAsia="標楷體" w:hint="eastAsia"/>
          <w:sz w:val="26"/>
        </w:rPr>
        <w:t xml:space="preserve">beneficiaries, </w:t>
      </w:r>
      <w:r w:rsidR="00FA303F" w:rsidRPr="003156B5">
        <w:rPr>
          <w:rFonts w:eastAsia="標楷體" w:hint="eastAsia"/>
          <w:sz w:val="26"/>
        </w:rPr>
        <w:t xml:space="preserve">an </w:t>
      </w:r>
      <w:r w:rsidR="00004398" w:rsidRPr="003156B5">
        <w:rPr>
          <w:rFonts w:eastAsia="標楷體"/>
          <w:sz w:val="26"/>
        </w:rPr>
        <w:t>increas</w:t>
      </w:r>
      <w:r w:rsidR="00FA303F" w:rsidRPr="003156B5">
        <w:rPr>
          <w:rFonts w:eastAsia="標楷體" w:hint="eastAsia"/>
          <w:sz w:val="26"/>
        </w:rPr>
        <w:t>e</w:t>
      </w:r>
      <w:r w:rsidR="00004398" w:rsidRPr="003156B5">
        <w:rPr>
          <w:rFonts w:eastAsia="標楷體"/>
          <w:sz w:val="26"/>
        </w:rPr>
        <w:t xml:space="preserve"> </w:t>
      </w:r>
      <w:r w:rsidR="00FA303F" w:rsidRPr="003156B5">
        <w:rPr>
          <w:rFonts w:eastAsia="標楷體" w:hint="eastAsia"/>
          <w:sz w:val="26"/>
        </w:rPr>
        <w:t>of</w:t>
      </w:r>
      <w:r w:rsidR="00004398" w:rsidRPr="003156B5">
        <w:rPr>
          <w:rFonts w:eastAsia="標楷體"/>
          <w:sz w:val="26"/>
        </w:rPr>
        <w:t xml:space="preserve"> </w:t>
      </w:r>
      <w:r w:rsidR="006C6E7A" w:rsidRPr="003156B5">
        <w:rPr>
          <w:rFonts w:eastAsia="標楷體" w:hint="eastAsia"/>
          <w:sz w:val="26"/>
        </w:rPr>
        <w:t>7</w:t>
      </w:r>
      <w:r w:rsidR="00844FEF" w:rsidRPr="003156B5">
        <w:rPr>
          <w:rFonts w:eastAsia="標楷體" w:hint="eastAsia"/>
          <w:sz w:val="26"/>
        </w:rPr>
        <w:t>.3</w:t>
      </w:r>
      <w:r w:rsidR="00004398" w:rsidRPr="003156B5">
        <w:rPr>
          <w:rFonts w:eastAsia="標楷體"/>
          <w:sz w:val="26"/>
        </w:rPr>
        <w:t xml:space="preserve">% from </w:t>
      </w:r>
      <w:r w:rsidR="00FA303F" w:rsidRPr="003156B5">
        <w:rPr>
          <w:rFonts w:eastAsia="標楷體" w:hint="eastAsia"/>
          <w:sz w:val="26"/>
        </w:rPr>
        <w:t xml:space="preserve">the end of </w:t>
      </w:r>
      <w:r w:rsidR="00844FEF" w:rsidRPr="003156B5">
        <w:rPr>
          <w:rFonts w:eastAsia="標楷體" w:hint="eastAsia"/>
          <w:sz w:val="26"/>
        </w:rPr>
        <w:t>200</w:t>
      </w:r>
      <w:r w:rsidR="006C6E7A" w:rsidRPr="003156B5">
        <w:rPr>
          <w:rFonts w:eastAsia="標楷體" w:hint="eastAsia"/>
          <w:sz w:val="26"/>
        </w:rPr>
        <w:t>1</w:t>
      </w:r>
      <w:r w:rsidR="00004398" w:rsidRPr="003156B5">
        <w:rPr>
          <w:rFonts w:eastAsia="標楷體"/>
          <w:sz w:val="26"/>
        </w:rPr>
        <w:t>; the average number of dependent</w:t>
      </w:r>
      <w:r w:rsidR="00004398" w:rsidRPr="003156B5">
        <w:rPr>
          <w:rFonts w:eastAsia="標楷體" w:hint="eastAsia"/>
          <w:sz w:val="26"/>
        </w:rPr>
        <w:t>s</w:t>
      </w:r>
      <w:r w:rsidR="00004398" w:rsidRPr="003156B5">
        <w:rPr>
          <w:rFonts w:eastAsia="標楷體"/>
          <w:sz w:val="26"/>
        </w:rPr>
        <w:t xml:space="preserve"> </w:t>
      </w:r>
      <w:r w:rsidR="00FA303F" w:rsidRPr="003156B5">
        <w:rPr>
          <w:rFonts w:eastAsia="標楷體" w:hint="eastAsia"/>
          <w:sz w:val="26"/>
        </w:rPr>
        <w:t>decreased</w:t>
      </w:r>
      <w:r w:rsidR="00004398" w:rsidRPr="003156B5">
        <w:rPr>
          <w:rFonts w:eastAsia="標楷體"/>
          <w:sz w:val="26"/>
        </w:rPr>
        <w:t xml:space="preserve"> by 0.2 individuals.</w:t>
      </w:r>
    </w:p>
    <w:p w:rsidR="000053C4" w:rsidRPr="003156B5" w:rsidRDefault="00173157" w:rsidP="00BF51B1">
      <w:pPr>
        <w:autoSpaceDN w:val="0"/>
        <w:jc w:val="center"/>
        <w:rPr>
          <w:rFonts w:eastAsia="標楷體"/>
          <w:sz w:val="26"/>
        </w:rPr>
      </w:pPr>
      <w:r w:rsidRPr="00173157">
        <w:rPr>
          <w:rFonts w:eastAsia="標楷體"/>
          <w:noProof/>
          <w:sz w:val="26"/>
        </w:rPr>
        <w:lastRenderedPageBreak/>
        <w:drawing>
          <wp:inline distT="0" distB="0" distL="0" distR="0">
            <wp:extent cx="5486400" cy="3395207"/>
            <wp:effectExtent l="0" t="0" r="0" b="0"/>
            <wp:docPr id="3" name="圖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0020EE" w:rsidRPr="003156B5" w:rsidRDefault="00DA765C" w:rsidP="00747A79">
      <w:pPr>
        <w:spacing w:beforeLines="50" w:afterLines="50" w:line="380" w:lineRule="exact"/>
        <w:ind w:left="284" w:firstLineChars="235" w:firstLine="611"/>
        <w:jc w:val="both"/>
        <w:rPr>
          <w:sz w:val="26"/>
          <w:szCs w:val="26"/>
        </w:rPr>
      </w:pPr>
      <w:r w:rsidRPr="003156B5">
        <w:rPr>
          <w:sz w:val="26"/>
          <w:szCs w:val="26"/>
        </w:rPr>
        <w:t xml:space="preserve">Broken down by the gender of beneficiaries, there were </w:t>
      </w:r>
      <w:r w:rsidR="00C4307E">
        <w:rPr>
          <w:rFonts w:hint="eastAsia"/>
          <w:sz w:val="26"/>
          <w:szCs w:val="26"/>
        </w:rPr>
        <w:t>11,529</w:t>
      </w:r>
      <w:r w:rsidR="002250EE">
        <w:rPr>
          <w:rFonts w:hint="eastAsia"/>
          <w:sz w:val="26"/>
          <w:szCs w:val="26"/>
        </w:rPr>
        <w:t>,</w:t>
      </w:r>
      <w:r w:rsidR="00C4307E">
        <w:rPr>
          <w:rFonts w:hint="eastAsia"/>
          <w:sz w:val="26"/>
          <w:szCs w:val="26"/>
        </w:rPr>
        <w:t xml:space="preserve">426 </w:t>
      </w:r>
      <w:r w:rsidR="003E326D">
        <w:rPr>
          <w:sz w:val="26"/>
          <w:szCs w:val="26"/>
        </w:rPr>
        <w:t>(</w:t>
      </w:r>
      <w:r w:rsidRPr="003156B5">
        <w:rPr>
          <w:sz w:val="26"/>
          <w:szCs w:val="26"/>
        </w:rPr>
        <w:t>49.7%</w:t>
      </w:r>
      <w:r w:rsidR="003E326D">
        <w:rPr>
          <w:sz w:val="26"/>
          <w:szCs w:val="26"/>
        </w:rPr>
        <w:t>)</w:t>
      </w:r>
      <w:r w:rsidRPr="003156B5">
        <w:rPr>
          <w:sz w:val="26"/>
          <w:szCs w:val="26"/>
        </w:rPr>
        <w:t xml:space="preserve"> male beneficiaries as at the end of 2011, an increase of </w:t>
      </w:r>
      <w:r w:rsidR="00C4307E">
        <w:rPr>
          <w:rFonts w:hint="eastAsia"/>
          <w:sz w:val="26"/>
          <w:szCs w:val="26"/>
        </w:rPr>
        <w:t>52,566</w:t>
      </w:r>
      <w:r w:rsidRPr="003156B5">
        <w:rPr>
          <w:sz w:val="26"/>
          <w:szCs w:val="26"/>
        </w:rPr>
        <w:t xml:space="preserve"> from the previous year. The average annual rate of growth in five years was 0.3%. Males of 60–64 had increased by 194</w:t>
      </w:r>
      <w:r w:rsidR="00C4307E">
        <w:rPr>
          <w:rFonts w:hint="eastAsia"/>
          <w:sz w:val="26"/>
          <w:szCs w:val="26"/>
        </w:rPr>
        <w:t>,426</w:t>
      </w:r>
      <w:r w:rsidRPr="003156B5">
        <w:rPr>
          <w:sz w:val="26"/>
          <w:szCs w:val="26"/>
        </w:rPr>
        <w:t xml:space="preserve"> from 2006, being the most significant increase of all. It was followed by the 55–59 </w:t>
      </w:r>
      <w:proofErr w:type="gramStart"/>
      <w:r w:rsidRPr="003156B5">
        <w:rPr>
          <w:sz w:val="26"/>
          <w:szCs w:val="26"/>
        </w:rPr>
        <w:t>group</w:t>
      </w:r>
      <w:proofErr w:type="gramEnd"/>
      <w:r w:rsidRPr="003156B5">
        <w:rPr>
          <w:sz w:val="26"/>
          <w:szCs w:val="26"/>
        </w:rPr>
        <w:t xml:space="preserve"> </w:t>
      </w:r>
      <w:r w:rsidR="003E326D">
        <w:rPr>
          <w:sz w:val="26"/>
          <w:szCs w:val="26"/>
        </w:rPr>
        <w:t>(</w:t>
      </w:r>
      <w:r w:rsidRPr="003156B5">
        <w:rPr>
          <w:sz w:val="26"/>
          <w:szCs w:val="26"/>
        </w:rPr>
        <w:t>18</w:t>
      </w:r>
      <w:r w:rsidR="00C4307E">
        <w:rPr>
          <w:rFonts w:hint="eastAsia"/>
          <w:sz w:val="26"/>
          <w:szCs w:val="26"/>
        </w:rPr>
        <w:t>7,641</w:t>
      </w:r>
      <w:r w:rsidR="003E326D">
        <w:rPr>
          <w:sz w:val="26"/>
          <w:szCs w:val="26"/>
        </w:rPr>
        <w:t>)</w:t>
      </w:r>
      <w:r w:rsidRPr="003156B5">
        <w:rPr>
          <w:sz w:val="26"/>
          <w:szCs w:val="26"/>
        </w:rPr>
        <w:t>. Males in the age group of 5–9, however, showed a decrease of 16</w:t>
      </w:r>
      <w:r w:rsidR="00C4307E">
        <w:rPr>
          <w:rFonts w:hint="eastAsia"/>
          <w:sz w:val="26"/>
          <w:szCs w:val="26"/>
        </w:rPr>
        <w:t>2,500</w:t>
      </w:r>
      <w:r w:rsidRPr="003156B5">
        <w:rPr>
          <w:sz w:val="26"/>
          <w:szCs w:val="26"/>
        </w:rPr>
        <w:t>. As at the end of 2011, there were 11</w:t>
      </w:r>
      <w:r w:rsidR="00C4307E">
        <w:rPr>
          <w:rFonts w:hint="eastAsia"/>
          <w:sz w:val="26"/>
          <w:szCs w:val="26"/>
        </w:rPr>
        <w:t>,</w:t>
      </w:r>
      <w:r w:rsidRPr="003156B5">
        <w:rPr>
          <w:sz w:val="26"/>
          <w:szCs w:val="26"/>
        </w:rPr>
        <w:t>669</w:t>
      </w:r>
      <w:r w:rsidR="00C4307E">
        <w:rPr>
          <w:rFonts w:hint="eastAsia"/>
          <w:sz w:val="26"/>
          <w:szCs w:val="26"/>
        </w:rPr>
        <w:t>,238</w:t>
      </w:r>
      <w:r w:rsidRPr="003156B5">
        <w:rPr>
          <w:sz w:val="26"/>
          <w:szCs w:val="26"/>
        </w:rPr>
        <w:t xml:space="preserve"> </w:t>
      </w:r>
      <w:r w:rsidR="003E326D">
        <w:rPr>
          <w:sz w:val="26"/>
          <w:szCs w:val="26"/>
        </w:rPr>
        <w:t>(</w:t>
      </w:r>
      <w:r w:rsidRPr="003156B5">
        <w:rPr>
          <w:sz w:val="26"/>
          <w:szCs w:val="26"/>
        </w:rPr>
        <w:t>50.3%</w:t>
      </w:r>
      <w:r w:rsidR="003E326D">
        <w:rPr>
          <w:sz w:val="26"/>
          <w:szCs w:val="26"/>
        </w:rPr>
        <w:t>)</w:t>
      </w:r>
      <w:r w:rsidRPr="003156B5">
        <w:rPr>
          <w:sz w:val="26"/>
          <w:szCs w:val="26"/>
        </w:rPr>
        <w:t xml:space="preserve"> female employees, an increase of </w:t>
      </w:r>
      <w:r w:rsidR="00C4307E">
        <w:rPr>
          <w:rFonts w:hint="eastAsia"/>
          <w:sz w:val="26"/>
          <w:szCs w:val="26"/>
        </w:rPr>
        <w:t>71,611</w:t>
      </w:r>
      <w:r w:rsidRPr="003156B5">
        <w:rPr>
          <w:sz w:val="26"/>
          <w:szCs w:val="26"/>
        </w:rPr>
        <w:t xml:space="preserve"> from the previous year. The average annual rate of growth in five years was 0.6%. The number of female beneficiaries of 60–64 has increased by </w:t>
      </w:r>
      <w:r w:rsidR="00C4307E">
        <w:rPr>
          <w:rFonts w:hint="eastAsia"/>
          <w:sz w:val="26"/>
          <w:szCs w:val="26"/>
        </w:rPr>
        <w:t>204,160</w:t>
      </w:r>
      <w:r w:rsidRPr="003156B5">
        <w:rPr>
          <w:sz w:val="26"/>
          <w:szCs w:val="26"/>
        </w:rPr>
        <w:t xml:space="preserve"> since 2006, being the most significant increase of all. It was followed by the 55–59 </w:t>
      </w:r>
      <w:proofErr w:type="gramStart"/>
      <w:r w:rsidRPr="003156B5">
        <w:rPr>
          <w:sz w:val="26"/>
          <w:szCs w:val="26"/>
        </w:rPr>
        <w:t>group</w:t>
      </w:r>
      <w:proofErr w:type="gramEnd"/>
      <w:r w:rsidRPr="003156B5">
        <w:rPr>
          <w:sz w:val="26"/>
          <w:szCs w:val="26"/>
        </w:rPr>
        <w:t xml:space="preserve"> </w:t>
      </w:r>
      <w:r w:rsidR="003E326D">
        <w:rPr>
          <w:sz w:val="26"/>
          <w:szCs w:val="26"/>
        </w:rPr>
        <w:t>(</w:t>
      </w:r>
      <w:r w:rsidR="00C4307E">
        <w:rPr>
          <w:rFonts w:hint="eastAsia"/>
          <w:sz w:val="26"/>
          <w:szCs w:val="26"/>
        </w:rPr>
        <w:t>200,628</w:t>
      </w:r>
      <w:r w:rsidR="003E326D">
        <w:rPr>
          <w:sz w:val="26"/>
          <w:szCs w:val="26"/>
        </w:rPr>
        <w:t>)</w:t>
      </w:r>
      <w:r w:rsidRPr="003156B5">
        <w:rPr>
          <w:sz w:val="26"/>
          <w:szCs w:val="26"/>
        </w:rPr>
        <w:t>. Females in the age group of 5–9, however, showed a decrease of 15</w:t>
      </w:r>
      <w:r w:rsidR="00C4307E">
        <w:rPr>
          <w:rFonts w:hint="eastAsia"/>
          <w:sz w:val="26"/>
          <w:szCs w:val="26"/>
        </w:rPr>
        <w:t>2,788</w:t>
      </w:r>
      <w:r w:rsidRPr="003156B5">
        <w:rPr>
          <w:sz w:val="26"/>
          <w:szCs w:val="26"/>
        </w:rPr>
        <w:t>. Furthermore, the male/female ratio of NHI</w:t>
      </w:r>
      <w:r w:rsidR="00C4307E">
        <w:rPr>
          <w:rFonts w:hint="eastAsia"/>
          <w:sz w:val="26"/>
          <w:szCs w:val="26"/>
        </w:rPr>
        <w:t xml:space="preserve"> </w:t>
      </w:r>
      <w:r w:rsidRPr="003156B5">
        <w:rPr>
          <w:sz w:val="26"/>
          <w:szCs w:val="26"/>
        </w:rPr>
        <w:t>beneficiaries in 2011 was 98.8. It was 99.9 five years ago.</w:t>
      </w:r>
    </w:p>
    <w:p w:rsidR="00A309B3" w:rsidRPr="003156B5" w:rsidRDefault="00A309B3" w:rsidP="00747A79">
      <w:pPr>
        <w:spacing w:beforeLines="50" w:afterLines="50" w:line="380" w:lineRule="exact"/>
        <w:ind w:left="284" w:firstLineChars="235" w:firstLine="611"/>
        <w:jc w:val="both"/>
        <w:rPr>
          <w:rFonts w:eastAsia="標楷體"/>
          <w:sz w:val="26"/>
          <w:szCs w:val="26"/>
        </w:rPr>
      </w:pPr>
      <w:r w:rsidRPr="003156B5">
        <w:rPr>
          <w:rFonts w:eastAsia="標楷體"/>
          <w:sz w:val="26"/>
          <w:szCs w:val="26"/>
        </w:rPr>
        <w:t>When broken down by age, there were more male beneficiaries than females in the &lt;</w:t>
      </w:r>
      <w:r w:rsidRPr="003156B5">
        <w:rPr>
          <w:rFonts w:eastAsia="標楷體" w:hint="eastAsia"/>
          <w:sz w:val="26"/>
          <w:szCs w:val="26"/>
        </w:rPr>
        <w:t xml:space="preserve"> </w:t>
      </w:r>
      <w:r w:rsidRPr="003156B5">
        <w:rPr>
          <w:rFonts w:eastAsia="標楷體"/>
          <w:sz w:val="26"/>
          <w:szCs w:val="26"/>
        </w:rPr>
        <w:t>25 age group, whereas females outnumbered males for age 25 and over.</w:t>
      </w:r>
      <w:r w:rsidRPr="003156B5">
        <w:rPr>
          <w:rFonts w:eastAsia="標楷體" w:hint="eastAsia"/>
          <w:sz w:val="26"/>
          <w:szCs w:val="26"/>
        </w:rPr>
        <w:t xml:space="preserve"> At</w:t>
      </w:r>
      <w:r w:rsidRPr="003156B5">
        <w:rPr>
          <w:rFonts w:eastAsia="標楷體"/>
          <w:sz w:val="26"/>
          <w:szCs w:val="26"/>
        </w:rPr>
        <w:t xml:space="preserve"> the end of 20</w:t>
      </w:r>
      <w:r w:rsidRPr="003156B5">
        <w:rPr>
          <w:rFonts w:eastAsia="標楷體" w:hint="eastAsia"/>
          <w:sz w:val="26"/>
          <w:szCs w:val="26"/>
        </w:rPr>
        <w:t>11</w:t>
      </w:r>
      <w:r w:rsidRPr="003156B5">
        <w:rPr>
          <w:rFonts w:eastAsia="標楷體"/>
          <w:sz w:val="26"/>
          <w:szCs w:val="26"/>
        </w:rPr>
        <w:t xml:space="preserve">, the average age of beneficiaries was </w:t>
      </w:r>
      <w:r w:rsidRPr="003156B5">
        <w:rPr>
          <w:rFonts w:eastAsia="標楷體" w:hint="eastAsia"/>
          <w:sz w:val="26"/>
          <w:szCs w:val="26"/>
        </w:rPr>
        <w:t>38.0</w:t>
      </w:r>
      <w:r w:rsidRPr="003156B5">
        <w:rPr>
          <w:rFonts w:eastAsia="標楷體"/>
          <w:sz w:val="26"/>
          <w:szCs w:val="26"/>
        </w:rPr>
        <w:t xml:space="preserve">, </w:t>
      </w:r>
      <w:r w:rsidRPr="003156B5">
        <w:rPr>
          <w:rFonts w:eastAsia="標楷體" w:hint="eastAsia"/>
          <w:sz w:val="26"/>
          <w:szCs w:val="26"/>
        </w:rPr>
        <w:t xml:space="preserve">an </w:t>
      </w:r>
      <w:r w:rsidRPr="003156B5">
        <w:rPr>
          <w:rFonts w:eastAsia="標楷體"/>
          <w:sz w:val="26"/>
          <w:szCs w:val="26"/>
        </w:rPr>
        <w:t>increas</w:t>
      </w:r>
      <w:r w:rsidRPr="003156B5">
        <w:rPr>
          <w:rFonts w:eastAsia="標楷體" w:hint="eastAsia"/>
          <w:sz w:val="26"/>
          <w:szCs w:val="26"/>
        </w:rPr>
        <w:t>e</w:t>
      </w:r>
      <w:r w:rsidRPr="003156B5">
        <w:rPr>
          <w:rFonts w:eastAsia="標楷體"/>
          <w:sz w:val="26"/>
          <w:szCs w:val="26"/>
        </w:rPr>
        <w:t xml:space="preserve"> </w:t>
      </w:r>
      <w:r w:rsidRPr="003156B5">
        <w:rPr>
          <w:rFonts w:eastAsia="標楷體" w:hint="eastAsia"/>
          <w:sz w:val="26"/>
          <w:szCs w:val="26"/>
        </w:rPr>
        <w:t>of</w:t>
      </w:r>
      <w:r w:rsidRPr="003156B5">
        <w:rPr>
          <w:rFonts w:eastAsia="標楷體"/>
          <w:sz w:val="26"/>
          <w:szCs w:val="26"/>
        </w:rPr>
        <w:t xml:space="preserve"> </w:t>
      </w:r>
      <w:r w:rsidRPr="003156B5">
        <w:rPr>
          <w:rFonts w:eastAsia="標楷體" w:hint="eastAsia"/>
          <w:sz w:val="26"/>
          <w:szCs w:val="26"/>
        </w:rPr>
        <w:t>4.4</w:t>
      </w:r>
      <w:r w:rsidRPr="003156B5">
        <w:rPr>
          <w:rFonts w:eastAsia="標楷體"/>
          <w:sz w:val="26"/>
          <w:szCs w:val="26"/>
        </w:rPr>
        <w:t xml:space="preserve"> from </w:t>
      </w:r>
      <w:r w:rsidRPr="003156B5">
        <w:rPr>
          <w:rFonts w:eastAsia="標楷體" w:hint="eastAsia"/>
          <w:sz w:val="26"/>
          <w:szCs w:val="26"/>
        </w:rPr>
        <w:t>2001; t</w:t>
      </w:r>
      <w:r w:rsidRPr="003156B5">
        <w:rPr>
          <w:rFonts w:eastAsia="標楷體"/>
          <w:sz w:val="26"/>
          <w:szCs w:val="26"/>
        </w:rPr>
        <w:t xml:space="preserve">he average age of </w:t>
      </w:r>
      <w:r w:rsidRPr="003156B5">
        <w:rPr>
          <w:rFonts w:eastAsia="標楷體" w:hint="eastAsia"/>
          <w:sz w:val="26"/>
          <w:szCs w:val="26"/>
        </w:rPr>
        <w:t xml:space="preserve">the </w:t>
      </w:r>
      <w:r w:rsidRPr="003156B5">
        <w:rPr>
          <w:rFonts w:eastAsia="標楷體"/>
          <w:sz w:val="26"/>
          <w:szCs w:val="26"/>
        </w:rPr>
        <w:t xml:space="preserve">insured </w:t>
      </w:r>
      <w:proofErr w:type="gramStart"/>
      <w:r w:rsidRPr="003156B5">
        <w:rPr>
          <w:rFonts w:eastAsia="標楷體" w:hint="eastAsia"/>
          <w:sz w:val="26"/>
          <w:szCs w:val="26"/>
        </w:rPr>
        <w:t>who</w:t>
      </w:r>
      <w:proofErr w:type="gramEnd"/>
      <w:r w:rsidRPr="003156B5">
        <w:rPr>
          <w:rFonts w:eastAsia="標楷體" w:hint="eastAsia"/>
          <w:sz w:val="26"/>
          <w:szCs w:val="26"/>
        </w:rPr>
        <w:t xml:space="preserve"> paid</w:t>
      </w:r>
      <w:r w:rsidRPr="003156B5">
        <w:rPr>
          <w:rFonts w:eastAsia="標楷體"/>
          <w:sz w:val="26"/>
          <w:szCs w:val="26"/>
        </w:rPr>
        <w:t xml:space="preserve"> </w:t>
      </w:r>
      <w:r w:rsidRPr="003156B5">
        <w:rPr>
          <w:rFonts w:eastAsia="標楷體" w:hint="eastAsia"/>
          <w:sz w:val="26"/>
          <w:szCs w:val="26"/>
        </w:rPr>
        <w:t xml:space="preserve">the premium </w:t>
      </w:r>
      <w:r w:rsidRPr="003156B5">
        <w:rPr>
          <w:rFonts w:eastAsia="標楷體"/>
          <w:sz w:val="26"/>
          <w:szCs w:val="26"/>
        </w:rPr>
        <w:t xml:space="preserve">was </w:t>
      </w:r>
      <w:r w:rsidRPr="003156B5">
        <w:rPr>
          <w:rFonts w:eastAsia="標楷體" w:hint="eastAsia"/>
          <w:sz w:val="26"/>
          <w:szCs w:val="26"/>
        </w:rPr>
        <w:t>43.6</w:t>
      </w:r>
      <w:r w:rsidRPr="003156B5">
        <w:rPr>
          <w:rFonts w:eastAsia="標楷體"/>
          <w:sz w:val="26"/>
          <w:szCs w:val="26"/>
        </w:rPr>
        <w:t xml:space="preserve">, </w:t>
      </w:r>
      <w:r w:rsidRPr="003156B5">
        <w:rPr>
          <w:rFonts w:eastAsia="標楷體" w:hint="eastAsia"/>
          <w:sz w:val="26"/>
          <w:szCs w:val="26"/>
        </w:rPr>
        <w:t xml:space="preserve">an </w:t>
      </w:r>
      <w:r w:rsidRPr="003156B5">
        <w:rPr>
          <w:rFonts w:eastAsia="標楷體"/>
          <w:sz w:val="26"/>
          <w:szCs w:val="26"/>
        </w:rPr>
        <w:t>increas</w:t>
      </w:r>
      <w:r w:rsidRPr="003156B5">
        <w:rPr>
          <w:rFonts w:eastAsia="標楷體" w:hint="eastAsia"/>
          <w:sz w:val="26"/>
          <w:szCs w:val="26"/>
        </w:rPr>
        <w:t>e</w:t>
      </w:r>
      <w:r w:rsidRPr="003156B5">
        <w:rPr>
          <w:rFonts w:eastAsia="標楷體"/>
          <w:sz w:val="26"/>
          <w:szCs w:val="26"/>
        </w:rPr>
        <w:t xml:space="preserve"> </w:t>
      </w:r>
      <w:r w:rsidRPr="003156B5">
        <w:rPr>
          <w:rFonts w:eastAsia="標楷體" w:hint="eastAsia"/>
          <w:sz w:val="26"/>
          <w:szCs w:val="26"/>
        </w:rPr>
        <w:t>of</w:t>
      </w:r>
      <w:r w:rsidRPr="003156B5">
        <w:rPr>
          <w:rFonts w:eastAsia="標楷體"/>
          <w:sz w:val="26"/>
          <w:szCs w:val="26"/>
        </w:rPr>
        <w:t xml:space="preserve"> 1.</w:t>
      </w:r>
      <w:r w:rsidRPr="003156B5">
        <w:rPr>
          <w:rFonts w:eastAsia="標楷體" w:hint="eastAsia"/>
          <w:sz w:val="26"/>
          <w:szCs w:val="26"/>
        </w:rPr>
        <w:t>6</w:t>
      </w:r>
      <w:r w:rsidRPr="003156B5">
        <w:rPr>
          <w:rFonts w:eastAsia="標楷體"/>
          <w:sz w:val="26"/>
          <w:szCs w:val="26"/>
        </w:rPr>
        <w:t xml:space="preserve"> years from </w:t>
      </w:r>
      <w:r w:rsidRPr="003156B5">
        <w:rPr>
          <w:rFonts w:eastAsia="標楷體" w:hint="eastAsia"/>
          <w:sz w:val="26"/>
          <w:szCs w:val="26"/>
        </w:rPr>
        <w:t>2001</w:t>
      </w:r>
      <w:r w:rsidRPr="003156B5">
        <w:rPr>
          <w:rFonts w:eastAsia="標楷體"/>
          <w:sz w:val="26"/>
          <w:szCs w:val="26"/>
        </w:rPr>
        <w:t>.</w:t>
      </w:r>
      <w:r w:rsidRPr="003156B5">
        <w:rPr>
          <w:rFonts w:eastAsia="標楷體" w:hint="eastAsia"/>
          <w:sz w:val="26"/>
          <w:szCs w:val="26"/>
        </w:rPr>
        <w:t xml:space="preserve"> </w:t>
      </w:r>
      <w:r w:rsidRPr="003156B5">
        <w:rPr>
          <w:rFonts w:eastAsia="標楷體"/>
          <w:sz w:val="26"/>
          <w:szCs w:val="26"/>
        </w:rPr>
        <w:t xml:space="preserve">In addition, the number of beneficiaries above 65 had reached </w:t>
      </w:r>
      <w:r w:rsidR="00C4307E">
        <w:rPr>
          <w:rFonts w:eastAsia="標楷體" w:hint="eastAsia"/>
          <w:sz w:val="26"/>
          <w:szCs w:val="26"/>
        </w:rPr>
        <w:t>2,495,895</w:t>
      </w:r>
      <w:r w:rsidRPr="003156B5">
        <w:rPr>
          <w:rFonts w:eastAsia="標楷體"/>
          <w:sz w:val="26"/>
          <w:szCs w:val="26"/>
        </w:rPr>
        <w:t xml:space="preserve">, </w:t>
      </w:r>
      <w:r w:rsidRPr="003156B5">
        <w:rPr>
          <w:rFonts w:eastAsia="標楷體" w:hint="eastAsia"/>
          <w:sz w:val="26"/>
          <w:szCs w:val="26"/>
        </w:rPr>
        <w:t xml:space="preserve">an </w:t>
      </w:r>
      <w:r w:rsidRPr="003156B5">
        <w:rPr>
          <w:rFonts w:eastAsia="標楷體"/>
          <w:sz w:val="26"/>
          <w:szCs w:val="26"/>
        </w:rPr>
        <w:t>increas</w:t>
      </w:r>
      <w:r w:rsidRPr="003156B5">
        <w:rPr>
          <w:rFonts w:eastAsia="標楷體" w:hint="eastAsia"/>
          <w:sz w:val="26"/>
          <w:szCs w:val="26"/>
        </w:rPr>
        <w:t>e</w:t>
      </w:r>
      <w:r w:rsidRPr="003156B5">
        <w:rPr>
          <w:rFonts w:eastAsia="標楷體"/>
          <w:sz w:val="26"/>
          <w:szCs w:val="26"/>
        </w:rPr>
        <w:t xml:space="preserve"> </w:t>
      </w:r>
      <w:r w:rsidRPr="003156B5">
        <w:rPr>
          <w:rFonts w:eastAsia="標楷體" w:hint="eastAsia"/>
          <w:sz w:val="26"/>
          <w:szCs w:val="26"/>
        </w:rPr>
        <w:t>of</w:t>
      </w:r>
      <w:r w:rsidRPr="003156B5">
        <w:rPr>
          <w:rFonts w:eastAsia="標楷體"/>
          <w:sz w:val="26"/>
          <w:szCs w:val="26"/>
        </w:rPr>
        <w:t xml:space="preserve"> 5</w:t>
      </w:r>
      <w:r w:rsidRPr="003156B5">
        <w:rPr>
          <w:rFonts w:eastAsia="標楷體" w:hint="eastAsia"/>
          <w:sz w:val="26"/>
          <w:szCs w:val="26"/>
        </w:rPr>
        <w:t>45</w:t>
      </w:r>
      <w:r w:rsidRPr="003156B5">
        <w:rPr>
          <w:rFonts w:eastAsia="標楷體"/>
          <w:sz w:val="26"/>
          <w:szCs w:val="26"/>
        </w:rPr>
        <w:t>,</w:t>
      </w:r>
      <w:r w:rsidRPr="003156B5">
        <w:rPr>
          <w:rFonts w:eastAsia="標楷體" w:hint="eastAsia"/>
          <w:sz w:val="26"/>
          <w:szCs w:val="26"/>
        </w:rPr>
        <w:t>161</w:t>
      </w:r>
      <w:r w:rsidRPr="003156B5">
        <w:rPr>
          <w:rFonts w:eastAsia="標楷體"/>
          <w:sz w:val="26"/>
          <w:szCs w:val="26"/>
        </w:rPr>
        <w:t xml:space="preserve"> from </w:t>
      </w:r>
      <w:r w:rsidRPr="003156B5">
        <w:rPr>
          <w:rFonts w:eastAsia="標楷體" w:hint="eastAsia"/>
          <w:sz w:val="26"/>
          <w:szCs w:val="26"/>
        </w:rPr>
        <w:t>2001,</w:t>
      </w:r>
      <w:r w:rsidRPr="003156B5">
        <w:rPr>
          <w:rFonts w:eastAsia="標楷體"/>
          <w:sz w:val="26"/>
          <w:szCs w:val="26"/>
        </w:rPr>
        <w:t xml:space="preserve"> </w:t>
      </w:r>
      <w:r w:rsidRPr="003156B5">
        <w:rPr>
          <w:rFonts w:eastAsia="標楷體" w:hint="eastAsia"/>
          <w:sz w:val="26"/>
          <w:szCs w:val="26"/>
        </w:rPr>
        <w:t>of which 376</w:t>
      </w:r>
      <w:r w:rsidRPr="003156B5">
        <w:rPr>
          <w:rFonts w:eastAsia="標楷體"/>
          <w:sz w:val="26"/>
          <w:szCs w:val="26"/>
        </w:rPr>
        <w:t>,</w:t>
      </w:r>
      <w:r w:rsidRPr="003156B5">
        <w:rPr>
          <w:rFonts w:eastAsia="標楷體" w:hint="eastAsia"/>
          <w:sz w:val="26"/>
          <w:szCs w:val="26"/>
        </w:rPr>
        <w:t>498</w:t>
      </w:r>
      <w:r w:rsidRPr="003156B5">
        <w:rPr>
          <w:rFonts w:eastAsia="標楷體"/>
          <w:sz w:val="26"/>
          <w:szCs w:val="26"/>
        </w:rPr>
        <w:t xml:space="preserve"> were female.</w:t>
      </w:r>
    </w:p>
    <w:p w:rsidR="006C7309" w:rsidRPr="003156B5" w:rsidRDefault="000020EE" w:rsidP="00747A79">
      <w:pPr>
        <w:spacing w:beforeLines="50" w:afterLines="50" w:line="380" w:lineRule="exact"/>
        <w:ind w:left="284" w:firstLineChars="235" w:firstLine="611"/>
        <w:jc w:val="both"/>
        <w:rPr>
          <w:rFonts w:eastAsia="標楷體"/>
          <w:sz w:val="26"/>
        </w:rPr>
      </w:pPr>
      <w:r w:rsidRPr="003156B5">
        <w:rPr>
          <w:rFonts w:eastAsia="標楷體" w:hint="eastAsia"/>
          <w:sz w:val="26"/>
        </w:rPr>
        <w:t>At the end of 2011,</w:t>
      </w:r>
      <w:r w:rsidR="006C7309" w:rsidRPr="003156B5">
        <w:rPr>
          <w:rFonts w:eastAsia="標楷體"/>
          <w:sz w:val="26"/>
        </w:rPr>
        <w:t xml:space="preserve"> </w:t>
      </w:r>
      <w:r w:rsidRPr="003156B5">
        <w:rPr>
          <w:rFonts w:eastAsia="標楷體" w:hint="eastAsia"/>
          <w:sz w:val="26"/>
        </w:rPr>
        <w:t>7</w:t>
      </w:r>
      <w:r w:rsidR="00DD2D08" w:rsidRPr="003156B5">
        <w:rPr>
          <w:rFonts w:eastAsia="標楷體" w:hint="eastAsia"/>
          <w:sz w:val="26"/>
        </w:rPr>
        <w:t>,</w:t>
      </w:r>
      <w:r w:rsidRPr="003156B5">
        <w:rPr>
          <w:rFonts w:eastAsia="標楷體" w:hint="eastAsia"/>
          <w:sz w:val="26"/>
        </w:rPr>
        <w:t>819</w:t>
      </w:r>
      <w:r w:rsidR="00DD2D08" w:rsidRPr="003156B5">
        <w:rPr>
          <w:rFonts w:eastAsia="標楷體" w:hint="eastAsia"/>
          <w:sz w:val="26"/>
        </w:rPr>
        <w:t>,</w:t>
      </w:r>
      <w:r w:rsidRPr="003156B5">
        <w:rPr>
          <w:rFonts w:eastAsia="標楷體" w:hint="eastAsia"/>
          <w:sz w:val="26"/>
        </w:rPr>
        <w:t>576 individuals were male insured and 7</w:t>
      </w:r>
      <w:r w:rsidR="00DD2D08" w:rsidRPr="003156B5">
        <w:rPr>
          <w:rFonts w:eastAsia="標楷體" w:hint="eastAsia"/>
          <w:sz w:val="26"/>
        </w:rPr>
        <w:t>,</w:t>
      </w:r>
      <w:r w:rsidRPr="003156B5">
        <w:rPr>
          <w:rFonts w:eastAsia="標楷體" w:hint="eastAsia"/>
          <w:sz w:val="26"/>
        </w:rPr>
        <w:t>225</w:t>
      </w:r>
      <w:r w:rsidR="00DD2D08" w:rsidRPr="003156B5">
        <w:rPr>
          <w:rFonts w:eastAsia="標楷體" w:hint="eastAsia"/>
          <w:sz w:val="26"/>
        </w:rPr>
        <w:t>,</w:t>
      </w:r>
      <w:r w:rsidRPr="003156B5">
        <w:rPr>
          <w:rFonts w:eastAsia="標楷體" w:hint="eastAsia"/>
          <w:sz w:val="26"/>
        </w:rPr>
        <w:t>153 were female insured, and the sex ratio of 108.2</w:t>
      </w:r>
      <w:r w:rsidR="000D6511">
        <w:rPr>
          <w:rFonts w:eastAsia="標楷體" w:hint="eastAsia"/>
          <w:sz w:val="26"/>
        </w:rPr>
        <w:t>;</w:t>
      </w:r>
      <w:r w:rsidRPr="003156B5">
        <w:rPr>
          <w:rFonts w:eastAsia="標楷體" w:hint="eastAsia"/>
          <w:sz w:val="26"/>
        </w:rPr>
        <w:t xml:space="preserve"> 3</w:t>
      </w:r>
      <w:r w:rsidR="00DD2D08" w:rsidRPr="003156B5">
        <w:rPr>
          <w:rFonts w:eastAsia="標楷體" w:hint="eastAsia"/>
          <w:sz w:val="26"/>
        </w:rPr>
        <w:t>,</w:t>
      </w:r>
      <w:r w:rsidRPr="003156B5">
        <w:rPr>
          <w:rFonts w:eastAsia="標楷體" w:hint="eastAsia"/>
          <w:sz w:val="26"/>
        </w:rPr>
        <w:t>709</w:t>
      </w:r>
      <w:r w:rsidR="00DD2D08" w:rsidRPr="003156B5">
        <w:rPr>
          <w:rFonts w:eastAsia="標楷體" w:hint="eastAsia"/>
          <w:sz w:val="26"/>
        </w:rPr>
        <w:t>,</w:t>
      </w:r>
      <w:r w:rsidRPr="003156B5">
        <w:rPr>
          <w:rFonts w:eastAsia="標楷體" w:hint="eastAsia"/>
          <w:sz w:val="26"/>
        </w:rPr>
        <w:t>850</w:t>
      </w:r>
      <w:r w:rsidR="00285CA9">
        <w:rPr>
          <w:rFonts w:eastAsia="標楷體" w:hint="eastAsia"/>
          <w:sz w:val="26"/>
        </w:rPr>
        <w:t xml:space="preserve"> individual were male </w:t>
      </w:r>
      <w:r w:rsidR="00285CA9" w:rsidRPr="003156B5">
        <w:rPr>
          <w:rFonts w:eastAsia="標楷體" w:hint="eastAsia"/>
          <w:sz w:val="26"/>
        </w:rPr>
        <w:t>dependents</w:t>
      </w:r>
      <w:r w:rsidRPr="003156B5">
        <w:rPr>
          <w:rFonts w:eastAsia="標楷體" w:hint="eastAsia"/>
          <w:sz w:val="26"/>
        </w:rPr>
        <w:t>, 4</w:t>
      </w:r>
      <w:r w:rsidR="00DD2D08" w:rsidRPr="003156B5">
        <w:rPr>
          <w:rFonts w:eastAsia="標楷體" w:hint="eastAsia"/>
          <w:sz w:val="26"/>
        </w:rPr>
        <w:t>,</w:t>
      </w:r>
      <w:r w:rsidRPr="003156B5">
        <w:rPr>
          <w:rFonts w:eastAsia="標楷體" w:hint="eastAsia"/>
          <w:sz w:val="26"/>
        </w:rPr>
        <w:t>444</w:t>
      </w:r>
      <w:r w:rsidR="00DD2D08" w:rsidRPr="003156B5">
        <w:rPr>
          <w:rFonts w:eastAsia="標楷體" w:hint="eastAsia"/>
          <w:sz w:val="26"/>
        </w:rPr>
        <w:t>,</w:t>
      </w:r>
      <w:r w:rsidRPr="003156B5">
        <w:rPr>
          <w:rFonts w:eastAsia="標楷體" w:hint="eastAsia"/>
          <w:sz w:val="26"/>
        </w:rPr>
        <w:t>085</w:t>
      </w:r>
      <w:r w:rsidR="00285CA9">
        <w:rPr>
          <w:rFonts w:eastAsia="標楷體" w:hint="eastAsia"/>
          <w:sz w:val="26"/>
        </w:rPr>
        <w:t xml:space="preserve"> were </w:t>
      </w:r>
      <w:r w:rsidR="00285CA9" w:rsidRPr="003156B5">
        <w:rPr>
          <w:rFonts w:eastAsia="標楷體" w:hint="eastAsia"/>
          <w:sz w:val="26"/>
        </w:rPr>
        <w:t>female dependents</w:t>
      </w:r>
      <w:r w:rsidRPr="003156B5">
        <w:rPr>
          <w:rFonts w:eastAsia="標楷體" w:hint="eastAsia"/>
          <w:sz w:val="26"/>
        </w:rPr>
        <w:t>, the sex ratio of 83.5.</w:t>
      </w:r>
    </w:p>
    <w:p w:rsidR="006C7309" w:rsidRPr="003156B5" w:rsidRDefault="00197ECA" w:rsidP="00B06B7A">
      <w:pPr>
        <w:autoSpaceDN w:val="0"/>
        <w:jc w:val="center"/>
        <w:rPr>
          <w:rFonts w:eastAsia="標楷體"/>
          <w:sz w:val="26"/>
        </w:rPr>
      </w:pPr>
      <w:r w:rsidRPr="00197ECA">
        <w:rPr>
          <w:noProof/>
        </w:rPr>
        <w:lastRenderedPageBreak/>
        <w:drawing>
          <wp:inline distT="0" distB="0" distL="0" distR="0">
            <wp:extent cx="6120765" cy="3094437"/>
            <wp:effectExtent l="0" t="0" r="0" b="0"/>
            <wp:docPr id="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6120765" cy="3094437"/>
                    </a:xfrm>
                    <a:prstGeom prst="rect">
                      <a:avLst/>
                    </a:prstGeom>
                    <a:noFill/>
                    <a:ln w="9525">
                      <a:noFill/>
                      <a:miter lim="800000"/>
                      <a:headEnd/>
                      <a:tailEnd/>
                    </a:ln>
                  </pic:spPr>
                </pic:pic>
              </a:graphicData>
            </a:graphic>
          </wp:inline>
        </w:drawing>
      </w:r>
    </w:p>
    <w:p w:rsidR="00A309B3" w:rsidRPr="003156B5" w:rsidRDefault="00A309B3" w:rsidP="00747A79">
      <w:pPr>
        <w:spacing w:beforeLines="50" w:afterLines="50" w:line="400" w:lineRule="exact"/>
        <w:ind w:left="284" w:firstLineChars="235" w:firstLine="611"/>
        <w:jc w:val="both"/>
        <w:rPr>
          <w:rFonts w:eastAsia="標楷體"/>
          <w:noProof/>
          <w:sz w:val="26"/>
          <w:szCs w:val="26"/>
        </w:rPr>
      </w:pPr>
      <w:r w:rsidRPr="003156B5">
        <w:rPr>
          <w:rFonts w:eastAsia="標楷體" w:hint="eastAsia"/>
          <w:noProof/>
          <w:sz w:val="26"/>
          <w:szCs w:val="26"/>
        </w:rPr>
        <w:t>When broken down by</w:t>
      </w:r>
      <w:r w:rsidRPr="003156B5">
        <w:rPr>
          <w:rFonts w:eastAsia="標楷體"/>
          <w:noProof/>
          <w:sz w:val="26"/>
          <w:szCs w:val="26"/>
        </w:rPr>
        <w:t xml:space="preserve"> city/county, Taipei City had the </w:t>
      </w:r>
      <w:r w:rsidRPr="003156B5">
        <w:rPr>
          <w:rFonts w:eastAsia="標楷體" w:hint="eastAsia"/>
          <w:noProof/>
          <w:sz w:val="26"/>
          <w:szCs w:val="26"/>
        </w:rPr>
        <w:t xml:space="preserve">highest number of </w:t>
      </w:r>
      <w:r w:rsidRPr="003156B5">
        <w:rPr>
          <w:rFonts w:eastAsia="標楷體"/>
          <w:noProof/>
          <w:sz w:val="26"/>
          <w:szCs w:val="26"/>
        </w:rPr>
        <w:t xml:space="preserve">beneficiaries </w:t>
      </w:r>
      <w:r w:rsidRPr="003156B5">
        <w:rPr>
          <w:rFonts w:eastAsia="標楷體" w:hint="eastAsia"/>
          <w:noProof/>
          <w:sz w:val="26"/>
          <w:szCs w:val="26"/>
        </w:rPr>
        <w:t>at</w:t>
      </w:r>
      <w:r w:rsidRPr="003156B5">
        <w:rPr>
          <w:rFonts w:eastAsia="標楷體"/>
          <w:noProof/>
          <w:sz w:val="26"/>
          <w:szCs w:val="26"/>
        </w:rPr>
        <w:t xml:space="preserve"> </w:t>
      </w:r>
      <w:r w:rsidRPr="003156B5">
        <w:rPr>
          <w:rFonts w:eastAsia="標楷體" w:hint="eastAsia"/>
          <w:noProof/>
          <w:sz w:val="26"/>
          <w:szCs w:val="26"/>
        </w:rPr>
        <w:t>4,608,881</w:t>
      </w:r>
      <w:r w:rsidRPr="003156B5">
        <w:rPr>
          <w:rFonts w:eastAsia="標楷體"/>
          <w:noProof/>
          <w:sz w:val="26"/>
          <w:szCs w:val="26"/>
        </w:rPr>
        <w:t xml:space="preserve"> </w:t>
      </w:r>
      <w:r w:rsidR="003E326D">
        <w:rPr>
          <w:rFonts w:eastAsia="標楷體"/>
          <w:noProof/>
          <w:sz w:val="26"/>
          <w:szCs w:val="26"/>
        </w:rPr>
        <w:t>(</w:t>
      </w:r>
      <w:r w:rsidRPr="003156B5">
        <w:rPr>
          <w:rFonts w:eastAsia="標楷體"/>
          <w:noProof/>
          <w:sz w:val="26"/>
          <w:szCs w:val="26"/>
        </w:rPr>
        <w:t>19.</w:t>
      </w:r>
      <w:r w:rsidRPr="003156B5">
        <w:rPr>
          <w:rFonts w:eastAsia="標楷體" w:hint="eastAsia"/>
          <w:noProof/>
          <w:sz w:val="26"/>
          <w:szCs w:val="26"/>
        </w:rPr>
        <w:t>9</w:t>
      </w:r>
      <w:r w:rsidRPr="003156B5">
        <w:rPr>
          <w:rFonts w:eastAsia="標楷體"/>
          <w:noProof/>
          <w:sz w:val="26"/>
          <w:szCs w:val="26"/>
        </w:rPr>
        <w:t>%</w:t>
      </w:r>
      <w:r w:rsidR="003E326D">
        <w:rPr>
          <w:rFonts w:eastAsia="標楷體"/>
          <w:noProof/>
          <w:sz w:val="26"/>
          <w:szCs w:val="26"/>
        </w:rPr>
        <w:t>)</w:t>
      </w:r>
      <w:r w:rsidRPr="003156B5">
        <w:rPr>
          <w:rFonts w:eastAsia="標楷體"/>
          <w:noProof/>
          <w:sz w:val="26"/>
          <w:szCs w:val="26"/>
        </w:rPr>
        <w:t xml:space="preserve">, followed by </w:t>
      </w:r>
      <w:r w:rsidRPr="003156B5">
        <w:rPr>
          <w:rFonts w:eastAsia="標楷體" w:hint="eastAsia"/>
          <w:noProof/>
          <w:sz w:val="26"/>
          <w:szCs w:val="26"/>
        </w:rPr>
        <w:t xml:space="preserve">New </w:t>
      </w:r>
      <w:r w:rsidRPr="003156B5">
        <w:rPr>
          <w:rFonts w:eastAsia="標楷體"/>
          <w:noProof/>
          <w:sz w:val="26"/>
          <w:szCs w:val="26"/>
        </w:rPr>
        <w:t>Taipei C</w:t>
      </w:r>
      <w:r w:rsidRPr="003156B5">
        <w:rPr>
          <w:rFonts w:eastAsia="標楷體" w:hint="eastAsia"/>
          <w:noProof/>
          <w:sz w:val="26"/>
          <w:szCs w:val="26"/>
        </w:rPr>
        <w:t>ity</w:t>
      </w:r>
      <w:r w:rsidRPr="003156B5">
        <w:rPr>
          <w:rFonts w:eastAsia="標楷體"/>
          <w:noProof/>
          <w:sz w:val="26"/>
          <w:szCs w:val="26"/>
        </w:rPr>
        <w:t xml:space="preserve"> </w:t>
      </w:r>
      <w:r w:rsidRPr="003156B5">
        <w:rPr>
          <w:rFonts w:eastAsia="標楷體" w:hint="eastAsia"/>
          <w:noProof/>
          <w:sz w:val="26"/>
          <w:szCs w:val="26"/>
        </w:rPr>
        <w:t>at</w:t>
      </w:r>
      <w:r w:rsidRPr="003156B5">
        <w:rPr>
          <w:rFonts w:eastAsia="標楷體"/>
          <w:noProof/>
          <w:sz w:val="26"/>
          <w:szCs w:val="26"/>
        </w:rPr>
        <w:t xml:space="preserve"> </w:t>
      </w:r>
      <w:r w:rsidRPr="003156B5">
        <w:rPr>
          <w:rFonts w:eastAsia="標楷體" w:hint="eastAsia"/>
          <w:noProof/>
          <w:sz w:val="26"/>
          <w:szCs w:val="26"/>
        </w:rPr>
        <w:t>3,199,246</w:t>
      </w:r>
      <w:r w:rsidRPr="003156B5">
        <w:rPr>
          <w:rFonts w:eastAsia="標楷體"/>
          <w:noProof/>
          <w:sz w:val="26"/>
          <w:szCs w:val="26"/>
        </w:rPr>
        <w:t xml:space="preserve"> </w:t>
      </w:r>
      <w:r w:rsidR="003E326D">
        <w:rPr>
          <w:rFonts w:eastAsia="標楷體"/>
          <w:noProof/>
          <w:sz w:val="26"/>
          <w:szCs w:val="26"/>
        </w:rPr>
        <w:t>(</w:t>
      </w:r>
      <w:r w:rsidRPr="003156B5">
        <w:rPr>
          <w:rFonts w:eastAsia="標楷體"/>
          <w:noProof/>
          <w:sz w:val="26"/>
          <w:szCs w:val="26"/>
        </w:rPr>
        <w:t>13.</w:t>
      </w:r>
      <w:r w:rsidRPr="003156B5">
        <w:rPr>
          <w:rFonts w:eastAsia="標楷體" w:hint="eastAsia"/>
          <w:noProof/>
          <w:sz w:val="26"/>
          <w:szCs w:val="26"/>
        </w:rPr>
        <w:t>8</w:t>
      </w:r>
      <w:r w:rsidRPr="003156B5">
        <w:rPr>
          <w:rFonts w:eastAsia="標楷體"/>
          <w:noProof/>
          <w:sz w:val="26"/>
          <w:szCs w:val="26"/>
        </w:rPr>
        <w:t>%</w:t>
      </w:r>
      <w:r w:rsidR="003E326D">
        <w:rPr>
          <w:rFonts w:eastAsia="標楷體"/>
          <w:noProof/>
          <w:sz w:val="26"/>
          <w:szCs w:val="26"/>
        </w:rPr>
        <w:t>)</w:t>
      </w:r>
      <w:r w:rsidRPr="003156B5">
        <w:rPr>
          <w:rFonts w:eastAsia="標楷體"/>
          <w:noProof/>
          <w:sz w:val="36"/>
          <w:szCs w:val="36"/>
        </w:rPr>
        <w:t xml:space="preserve">, </w:t>
      </w:r>
      <w:r w:rsidRPr="003156B5">
        <w:rPr>
          <w:rFonts w:eastAsia="標楷體" w:hint="eastAsia"/>
          <w:noProof/>
          <w:sz w:val="26"/>
          <w:szCs w:val="26"/>
        </w:rPr>
        <w:t xml:space="preserve"> while</w:t>
      </w:r>
      <w:r w:rsidRPr="003156B5">
        <w:rPr>
          <w:rFonts w:eastAsia="標楷體"/>
          <w:noProof/>
          <w:sz w:val="26"/>
          <w:szCs w:val="26"/>
        </w:rPr>
        <w:t xml:space="preserve"> Lienjiang County had the </w:t>
      </w:r>
      <w:r w:rsidRPr="003156B5">
        <w:rPr>
          <w:rFonts w:eastAsia="標楷體" w:hint="eastAsia"/>
          <w:noProof/>
          <w:sz w:val="26"/>
          <w:szCs w:val="26"/>
        </w:rPr>
        <w:t>smallest</w:t>
      </w:r>
      <w:r w:rsidRPr="003156B5">
        <w:rPr>
          <w:rFonts w:eastAsia="標楷體"/>
          <w:noProof/>
          <w:sz w:val="26"/>
          <w:szCs w:val="26"/>
        </w:rPr>
        <w:t xml:space="preserve"> number </w:t>
      </w:r>
      <w:r w:rsidRPr="003156B5">
        <w:rPr>
          <w:rFonts w:eastAsia="標楷體" w:hint="eastAsia"/>
          <w:noProof/>
          <w:sz w:val="26"/>
          <w:szCs w:val="26"/>
        </w:rPr>
        <w:t>at</w:t>
      </w:r>
      <w:r w:rsidRPr="003156B5">
        <w:rPr>
          <w:rFonts w:eastAsia="標楷體"/>
          <w:noProof/>
          <w:sz w:val="26"/>
          <w:szCs w:val="26"/>
        </w:rPr>
        <w:t xml:space="preserve"> </w:t>
      </w:r>
      <w:r w:rsidRPr="003156B5">
        <w:rPr>
          <w:rFonts w:eastAsia="標楷體" w:hint="eastAsia"/>
          <w:noProof/>
          <w:sz w:val="26"/>
          <w:szCs w:val="26"/>
        </w:rPr>
        <w:t>7,034</w:t>
      </w:r>
      <w:r w:rsidRPr="003156B5">
        <w:rPr>
          <w:rFonts w:eastAsia="標楷體"/>
          <w:noProof/>
          <w:sz w:val="26"/>
          <w:szCs w:val="26"/>
        </w:rPr>
        <w:t xml:space="preserve"> </w:t>
      </w:r>
      <w:r w:rsidR="003E326D">
        <w:rPr>
          <w:rFonts w:eastAsia="標楷體"/>
          <w:noProof/>
          <w:sz w:val="26"/>
          <w:szCs w:val="26"/>
        </w:rPr>
        <w:t>(</w:t>
      </w:r>
      <w:r w:rsidRPr="003156B5">
        <w:rPr>
          <w:rFonts w:eastAsia="標楷體"/>
          <w:noProof/>
          <w:sz w:val="26"/>
          <w:szCs w:val="26"/>
        </w:rPr>
        <w:t>0.0%</w:t>
      </w:r>
      <w:r w:rsidR="003E326D">
        <w:rPr>
          <w:rFonts w:eastAsia="標楷體"/>
          <w:noProof/>
          <w:sz w:val="26"/>
          <w:szCs w:val="26"/>
        </w:rPr>
        <w:t>)</w:t>
      </w:r>
      <w:r w:rsidRPr="003156B5">
        <w:rPr>
          <w:rFonts w:eastAsia="標楷體"/>
          <w:noProof/>
          <w:sz w:val="26"/>
          <w:szCs w:val="26"/>
        </w:rPr>
        <w:t xml:space="preserve">. Excluding the outer islands, Taitung County had the </w:t>
      </w:r>
      <w:r w:rsidRPr="003156B5">
        <w:rPr>
          <w:rFonts w:eastAsia="標楷體" w:hint="eastAsia"/>
          <w:noProof/>
          <w:sz w:val="26"/>
          <w:szCs w:val="26"/>
        </w:rPr>
        <w:t>smallest</w:t>
      </w:r>
      <w:r w:rsidRPr="003156B5">
        <w:rPr>
          <w:rFonts w:eastAsia="標楷體"/>
          <w:noProof/>
          <w:sz w:val="26"/>
          <w:szCs w:val="26"/>
        </w:rPr>
        <w:t xml:space="preserve"> number of beneficiaries</w:t>
      </w:r>
      <w:r w:rsidRPr="003156B5">
        <w:rPr>
          <w:rFonts w:eastAsia="標楷體" w:hint="eastAsia"/>
          <w:noProof/>
          <w:sz w:val="26"/>
          <w:szCs w:val="26"/>
        </w:rPr>
        <w:t xml:space="preserve"> at</w:t>
      </w:r>
      <w:r w:rsidRPr="003156B5">
        <w:rPr>
          <w:rFonts w:eastAsia="標楷體"/>
          <w:noProof/>
          <w:sz w:val="26"/>
          <w:szCs w:val="26"/>
        </w:rPr>
        <w:t xml:space="preserve"> </w:t>
      </w:r>
      <w:r w:rsidRPr="003156B5">
        <w:rPr>
          <w:rFonts w:eastAsia="標楷體" w:hint="eastAsia"/>
          <w:noProof/>
          <w:sz w:val="26"/>
          <w:szCs w:val="26"/>
        </w:rPr>
        <w:t>193,801</w:t>
      </w:r>
      <w:r w:rsidRPr="003156B5">
        <w:rPr>
          <w:rFonts w:eastAsia="標楷體"/>
          <w:noProof/>
          <w:sz w:val="26"/>
          <w:szCs w:val="26"/>
        </w:rPr>
        <w:t xml:space="preserve"> </w:t>
      </w:r>
      <w:r w:rsidR="003E326D">
        <w:rPr>
          <w:rFonts w:eastAsia="標楷體"/>
          <w:noProof/>
          <w:sz w:val="26"/>
          <w:szCs w:val="26"/>
        </w:rPr>
        <w:t>(</w:t>
      </w:r>
      <w:r w:rsidRPr="003156B5">
        <w:rPr>
          <w:rFonts w:eastAsia="標楷體"/>
          <w:noProof/>
          <w:sz w:val="26"/>
          <w:szCs w:val="26"/>
        </w:rPr>
        <w:t>0.</w:t>
      </w:r>
      <w:r w:rsidRPr="003156B5">
        <w:rPr>
          <w:rFonts w:eastAsia="標楷體" w:hint="eastAsia"/>
          <w:noProof/>
          <w:sz w:val="26"/>
          <w:szCs w:val="26"/>
        </w:rPr>
        <w:t>8</w:t>
      </w:r>
      <w:r w:rsidRPr="003156B5">
        <w:rPr>
          <w:rFonts w:eastAsia="標楷體"/>
          <w:noProof/>
          <w:sz w:val="26"/>
          <w:szCs w:val="26"/>
        </w:rPr>
        <w:t>%</w:t>
      </w:r>
      <w:r w:rsidR="003E326D">
        <w:rPr>
          <w:rFonts w:eastAsia="標楷體"/>
          <w:noProof/>
          <w:sz w:val="26"/>
          <w:szCs w:val="26"/>
        </w:rPr>
        <w:t>)</w:t>
      </w:r>
      <w:r w:rsidRPr="003156B5">
        <w:rPr>
          <w:rFonts w:eastAsia="標楷體"/>
          <w:noProof/>
          <w:sz w:val="26"/>
          <w:szCs w:val="26"/>
        </w:rPr>
        <w:t xml:space="preserve">, followed by Chiayi City </w:t>
      </w:r>
      <w:r w:rsidRPr="003156B5">
        <w:rPr>
          <w:rFonts w:eastAsia="標楷體" w:hint="eastAsia"/>
          <w:noProof/>
          <w:sz w:val="26"/>
          <w:szCs w:val="26"/>
        </w:rPr>
        <w:t>at</w:t>
      </w:r>
      <w:r w:rsidRPr="003156B5">
        <w:rPr>
          <w:rFonts w:eastAsia="標楷體"/>
          <w:noProof/>
          <w:sz w:val="26"/>
          <w:szCs w:val="26"/>
        </w:rPr>
        <w:t xml:space="preserve"> 27</w:t>
      </w:r>
      <w:r w:rsidRPr="003156B5">
        <w:rPr>
          <w:rFonts w:eastAsia="標楷體" w:hint="eastAsia"/>
          <w:noProof/>
          <w:sz w:val="26"/>
          <w:szCs w:val="26"/>
        </w:rPr>
        <w:t>4</w:t>
      </w:r>
      <w:r w:rsidRPr="003156B5">
        <w:rPr>
          <w:rFonts w:eastAsia="標楷體"/>
          <w:noProof/>
          <w:sz w:val="26"/>
          <w:szCs w:val="26"/>
        </w:rPr>
        <w:t>,</w:t>
      </w:r>
      <w:r w:rsidRPr="003156B5">
        <w:rPr>
          <w:rFonts w:eastAsia="標楷體" w:hint="eastAsia"/>
          <w:noProof/>
          <w:sz w:val="26"/>
          <w:szCs w:val="26"/>
        </w:rPr>
        <w:t>508</w:t>
      </w:r>
      <w:r w:rsidRPr="003156B5">
        <w:rPr>
          <w:rFonts w:eastAsia="標楷體"/>
          <w:noProof/>
          <w:sz w:val="26"/>
          <w:szCs w:val="26"/>
        </w:rPr>
        <w:t xml:space="preserve"> </w:t>
      </w:r>
      <w:r w:rsidR="003E326D">
        <w:rPr>
          <w:rFonts w:eastAsia="標楷體"/>
          <w:noProof/>
          <w:sz w:val="26"/>
          <w:szCs w:val="26"/>
        </w:rPr>
        <w:t>(</w:t>
      </w:r>
      <w:r w:rsidRPr="003156B5">
        <w:rPr>
          <w:rFonts w:eastAsia="標楷體"/>
          <w:noProof/>
          <w:sz w:val="26"/>
          <w:szCs w:val="26"/>
        </w:rPr>
        <w:t>1.2%</w:t>
      </w:r>
      <w:r w:rsidR="003E326D">
        <w:rPr>
          <w:rFonts w:eastAsia="標楷體"/>
          <w:noProof/>
          <w:sz w:val="26"/>
          <w:szCs w:val="26"/>
        </w:rPr>
        <w:t>)</w:t>
      </w:r>
      <w:r w:rsidRPr="003156B5">
        <w:rPr>
          <w:rFonts w:eastAsia="標楷體"/>
          <w:noProof/>
          <w:sz w:val="26"/>
          <w:szCs w:val="26"/>
        </w:rPr>
        <w:t>.</w:t>
      </w:r>
    </w:p>
    <w:p w:rsidR="00A309B3" w:rsidRPr="003156B5" w:rsidRDefault="00A309B3" w:rsidP="00A309B3">
      <w:pPr>
        <w:autoSpaceDN w:val="0"/>
        <w:rPr>
          <w:rFonts w:eastAsia="標楷體"/>
          <w:sz w:val="26"/>
        </w:rPr>
      </w:pPr>
    </w:p>
    <w:p w:rsidR="006C7309" w:rsidRPr="003156B5" w:rsidRDefault="00793063" w:rsidP="00793063">
      <w:pPr>
        <w:autoSpaceDN w:val="0"/>
        <w:ind w:firstLineChars="200" w:firstLine="520"/>
        <w:jc w:val="center"/>
        <w:rPr>
          <w:rFonts w:eastAsia="標楷體"/>
          <w:noProof/>
          <w:sz w:val="26"/>
          <w:szCs w:val="26"/>
        </w:rPr>
      </w:pPr>
      <w:r w:rsidRPr="003156B5">
        <w:rPr>
          <w:rFonts w:eastAsia="標楷體"/>
          <w:noProof/>
          <w:sz w:val="26"/>
          <w:szCs w:val="26"/>
        </w:rPr>
        <w:drawing>
          <wp:inline distT="0" distB="0" distL="0" distR="0">
            <wp:extent cx="5883965" cy="3816626"/>
            <wp:effectExtent l="0" t="0" r="0" b="0"/>
            <wp:docPr id="22" name="圖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6C7309" w:rsidRPr="003156B5" w:rsidRDefault="00F408B8" w:rsidP="00747A79">
      <w:pPr>
        <w:spacing w:afterLines="50" w:line="440" w:lineRule="exact"/>
        <w:ind w:left="284" w:firstLineChars="235" w:firstLine="611"/>
        <w:jc w:val="both"/>
        <w:rPr>
          <w:rFonts w:eastAsia="標楷體"/>
          <w:noProof/>
          <w:sz w:val="26"/>
          <w:szCs w:val="26"/>
        </w:rPr>
      </w:pPr>
      <w:r w:rsidRPr="003156B5">
        <w:rPr>
          <w:rFonts w:eastAsia="標楷體"/>
          <w:sz w:val="26"/>
          <w:szCs w:val="26"/>
        </w:rPr>
        <w:lastRenderedPageBreak/>
        <w:t>When b</w:t>
      </w:r>
      <w:r w:rsidR="006C7309" w:rsidRPr="003156B5">
        <w:rPr>
          <w:rFonts w:eastAsia="標楷體"/>
          <w:sz w:val="26"/>
          <w:szCs w:val="26"/>
        </w:rPr>
        <w:t>roken</w:t>
      </w:r>
      <w:r w:rsidR="006C7309" w:rsidRPr="003156B5">
        <w:rPr>
          <w:rFonts w:eastAsia="標楷體"/>
          <w:sz w:val="26"/>
        </w:rPr>
        <w:t xml:space="preserve"> down </w:t>
      </w:r>
      <w:r w:rsidR="0010556C" w:rsidRPr="003156B5">
        <w:rPr>
          <w:rFonts w:eastAsia="標楷體"/>
          <w:sz w:val="26"/>
          <w:szCs w:val="26"/>
        </w:rPr>
        <w:t>by NHI Regional Division</w:t>
      </w:r>
      <w:r w:rsidR="006C7309" w:rsidRPr="003156B5">
        <w:rPr>
          <w:rFonts w:eastAsia="標楷體"/>
          <w:sz w:val="26"/>
        </w:rPr>
        <w:t>,</w:t>
      </w:r>
      <w:r w:rsidR="006C7309" w:rsidRPr="003156B5">
        <w:t xml:space="preserve"> </w:t>
      </w:r>
      <w:r w:rsidR="006C7309" w:rsidRPr="00C9138A">
        <w:rPr>
          <w:sz w:val="26"/>
          <w:szCs w:val="26"/>
        </w:rPr>
        <w:t xml:space="preserve">the </w:t>
      </w:r>
      <w:r w:rsidR="006C7309" w:rsidRPr="003156B5">
        <w:rPr>
          <w:rFonts w:eastAsia="標楷體"/>
          <w:sz w:val="26"/>
        </w:rPr>
        <w:t xml:space="preserve">Taipei </w:t>
      </w:r>
      <w:r w:rsidR="0010556C" w:rsidRPr="003156B5">
        <w:rPr>
          <w:rFonts w:eastAsia="標楷體"/>
          <w:sz w:val="26"/>
          <w:szCs w:val="26"/>
        </w:rPr>
        <w:t>Division</w:t>
      </w:r>
      <w:r w:rsidR="006C7309" w:rsidRPr="003156B5">
        <w:rPr>
          <w:rFonts w:eastAsia="標楷體"/>
          <w:sz w:val="26"/>
        </w:rPr>
        <w:t xml:space="preserve"> accounted for the greatest number</w:t>
      </w:r>
      <w:r w:rsidR="00570057" w:rsidRPr="003156B5">
        <w:rPr>
          <w:rFonts w:eastAsia="標楷體" w:hint="eastAsia"/>
          <w:sz w:val="26"/>
        </w:rPr>
        <w:t xml:space="preserve"> of beneficiaries </w:t>
      </w:r>
      <w:r w:rsidR="006C7309" w:rsidRPr="003156B5">
        <w:rPr>
          <w:rFonts w:eastAsia="標楷體"/>
          <w:sz w:val="26"/>
        </w:rPr>
        <w:t>at 8</w:t>
      </w:r>
      <w:r w:rsidR="007575C6" w:rsidRPr="003156B5">
        <w:rPr>
          <w:rFonts w:eastAsia="標楷體" w:hint="eastAsia"/>
          <w:sz w:val="26"/>
        </w:rPr>
        <w:t>,5</w:t>
      </w:r>
      <w:r w:rsidR="007B5E4E" w:rsidRPr="003156B5">
        <w:rPr>
          <w:rFonts w:eastAsia="標楷體" w:hint="eastAsia"/>
          <w:sz w:val="26"/>
        </w:rPr>
        <w:t>72,980</w:t>
      </w:r>
      <w:r w:rsidR="006C7309" w:rsidRPr="003156B5">
        <w:rPr>
          <w:rFonts w:eastAsia="標楷體"/>
          <w:noProof/>
          <w:sz w:val="26"/>
          <w:szCs w:val="26"/>
        </w:rPr>
        <w:t xml:space="preserve"> </w:t>
      </w:r>
      <w:r w:rsidR="003E326D">
        <w:rPr>
          <w:rFonts w:eastAsia="標楷體"/>
          <w:noProof/>
          <w:sz w:val="26"/>
          <w:szCs w:val="26"/>
        </w:rPr>
        <w:t>(</w:t>
      </w:r>
      <w:r w:rsidR="007B5E4E" w:rsidRPr="003156B5">
        <w:rPr>
          <w:rFonts w:eastAsia="標楷體" w:hint="eastAsia"/>
          <w:sz w:val="26"/>
        </w:rPr>
        <w:t>37.0</w:t>
      </w:r>
      <w:r w:rsidR="006C7309" w:rsidRPr="003156B5">
        <w:rPr>
          <w:rFonts w:eastAsia="標楷體"/>
          <w:noProof/>
          <w:sz w:val="26"/>
          <w:szCs w:val="26"/>
        </w:rPr>
        <w:t>%</w:t>
      </w:r>
      <w:r w:rsidR="003E326D">
        <w:rPr>
          <w:rFonts w:eastAsia="標楷體"/>
          <w:noProof/>
          <w:sz w:val="26"/>
          <w:szCs w:val="26"/>
        </w:rPr>
        <w:t>)</w:t>
      </w:r>
      <w:r w:rsidR="00570057" w:rsidRPr="003156B5">
        <w:rPr>
          <w:rFonts w:eastAsia="標楷體" w:hint="eastAsia"/>
          <w:noProof/>
          <w:sz w:val="26"/>
          <w:szCs w:val="26"/>
        </w:rPr>
        <w:t>,</w:t>
      </w:r>
      <w:r w:rsidR="006C7309" w:rsidRPr="003156B5">
        <w:rPr>
          <w:rFonts w:eastAsia="標楷體"/>
          <w:noProof/>
          <w:sz w:val="26"/>
          <w:szCs w:val="26"/>
        </w:rPr>
        <w:t xml:space="preserve"> followed by the Central </w:t>
      </w:r>
      <w:r w:rsidR="0010556C" w:rsidRPr="003156B5">
        <w:rPr>
          <w:rFonts w:eastAsia="標楷體"/>
          <w:sz w:val="26"/>
          <w:szCs w:val="26"/>
        </w:rPr>
        <w:t>Division</w:t>
      </w:r>
      <w:r w:rsidR="006C7309" w:rsidRPr="003156B5">
        <w:rPr>
          <w:rFonts w:eastAsia="標楷體"/>
          <w:noProof/>
          <w:sz w:val="26"/>
          <w:szCs w:val="26"/>
        </w:rPr>
        <w:t xml:space="preserve"> at </w:t>
      </w:r>
      <w:r w:rsidR="006C7309" w:rsidRPr="003156B5">
        <w:rPr>
          <w:rFonts w:eastAsia="標楷體"/>
          <w:sz w:val="26"/>
        </w:rPr>
        <w:t>4</w:t>
      </w:r>
      <w:r w:rsidR="00A0678A" w:rsidRPr="003156B5">
        <w:rPr>
          <w:rFonts w:eastAsia="標楷體" w:hint="eastAsia"/>
          <w:sz w:val="26"/>
        </w:rPr>
        <w:t>,</w:t>
      </w:r>
      <w:r w:rsidR="007B5E4E" w:rsidRPr="003156B5">
        <w:rPr>
          <w:rFonts w:eastAsia="標楷體" w:hint="eastAsia"/>
          <w:sz w:val="26"/>
        </w:rPr>
        <w:t>198,625</w:t>
      </w:r>
      <w:r w:rsidR="006C7309" w:rsidRPr="003156B5">
        <w:rPr>
          <w:rFonts w:eastAsia="標楷體"/>
          <w:noProof/>
          <w:sz w:val="26"/>
          <w:szCs w:val="26"/>
        </w:rPr>
        <w:t xml:space="preserve"> </w:t>
      </w:r>
      <w:r w:rsidR="003E326D">
        <w:rPr>
          <w:rFonts w:eastAsia="標楷體"/>
          <w:noProof/>
          <w:sz w:val="26"/>
          <w:szCs w:val="26"/>
        </w:rPr>
        <w:t>(</w:t>
      </w:r>
      <w:r w:rsidR="006C7309" w:rsidRPr="003156B5">
        <w:rPr>
          <w:rFonts w:eastAsia="標楷體"/>
          <w:sz w:val="26"/>
        </w:rPr>
        <w:t>18.1</w:t>
      </w:r>
      <w:r w:rsidR="006C7309" w:rsidRPr="003156B5">
        <w:rPr>
          <w:rFonts w:eastAsia="標楷體"/>
          <w:noProof/>
          <w:sz w:val="26"/>
          <w:szCs w:val="26"/>
        </w:rPr>
        <w:t>%</w:t>
      </w:r>
      <w:r w:rsidR="003E326D">
        <w:rPr>
          <w:rFonts w:eastAsia="標楷體"/>
          <w:noProof/>
          <w:sz w:val="26"/>
          <w:szCs w:val="26"/>
        </w:rPr>
        <w:t>)</w:t>
      </w:r>
      <w:r w:rsidR="00570057" w:rsidRPr="003156B5">
        <w:rPr>
          <w:rFonts w:eastAsia="標楷體" w:hint="eastAsia"/>
          <w:noProof/>
          <w:sz w:val="26"/>
          <w:szCs w:val="26"/>
        </w:rPr>
        <w:t xml:space="preserve"> while</w:t>
      </w:r>
      <w:r w:rsidR="006C7309" w:rsidRPr="003156B5">
        <w:rPr>
          <w:rFonts w:eastAsia="標楷體"/>
          <w:noProof/>
          <w:sz w:val="26"/>
          <w:szCs w:val="26"/>
        </w:rPr>
        <w:t xml:space="preserve"> </w:t>
      </w:r>
      <w:r w:rsidR="00570057" w:rsidRPr="003156B5">
        <w:rPr>
          <w:rFonts w:eastAsia="標楷體" w:hint="eastAsia"/>
          <w:noProof/>
          <w:sz w:val="26"/>
          <w:szCs w:val="26"/>
        </w:rPr>
        <w:t>t</w:t>
      </w:r>
      <w:r w:rsidR="006C7309" w:rsidRPr="003156B5">
        <w:rPr>
          <w:rFonts w:eastAsia="標楷體"/>
          <w:noProof/>
          <w:sz w:val="26"/>
          <w:szCs w:val="26"/>
        </w:rPr>
        <w:t xml:space="preserve">he Eastern </w:t>
      </w:r>
      <w:r w:rsidR="0010556C" w:rsidRPr="003156B5">
        <w:rPr>
          <w:rFonts w:eastAsia="標楷體"/>
          <w:sz w:val="26"/>
          <w:szCs w:val="26"/>
        </w:rPr>
        <w:t>Division</w:t>
      </w:r>
      <w:r w:rsidR="006C7309" w:rsidRPr="003156B5">
        <w:rPr>
          <w:rFonts w:eastAsia="標楷體"/>
          <w:noProof/>
          <w:sz w:val="26"/>
          <w:szCs w:val="26"/>
        </w:rPr>
        <w:t xml:space="preserve"> accounted for the smallest number at </w:t>
      </w:r>
      <w:r w:rsidR="007575C6" w:rsidRPr="003156B5">
        <w:rPr>
          <w:rFonts w:eastAsia="標楷體" w:hint="eastAsia"/>
          <w:sz w:val="26"/>
        </w:rPr>
        <w:t>4</w:t>
      </w:r>
      <w:r w:rsidR="007B5E4E" w:rsidRPr="003156B5">
        <w:rPr>
          <w:rFonts w:eastAsia="標楷體" w:hint="eastAsia"/>
          <w:sz w:val="26"/>
        </w:rPr>
        <w:t>89,948</w:t>
      </w:r>
      <w:r w:rsidRPr="003156B5">
        <w:rPr>
          <w:rFonts w:eastAsia="標楷體"/>
          <w:sz w:val="26"/>
          <w:szCs w:val="26"/>
        </w:rPr>
        <w:t xml:space="preserve"> </w:t>
      </w:r>
      <w:r w:rsidR="003E326D">
        <w:rPr>
          <w:rFonts w:eastAsia="標楷體"/>
          <w:noProof/>
          <w:sz w:val="26"/>
          <w:szCs w:val="26"/>
        </w:rPr>
        <w:t>(</w:t>
      </w:r>
      <w:r w:rsidR="006C7309" w:rsidRPr="003156B5">
        <w:rPr>
          <w:rFonts w:eastAsia="標楷體"/>
          <w:sz w:val="26"/>
        </w:rPr>
        <w:t>2.</w:t>
      </w:r>
      <w:r w:rsidR="007575C6" w:rsidRPr="003156B5">
        <w:rPr>
          <w:rFonts w:eastAsia="標楷體" w:hint="eastAsia"/>
          <w:sz w:val="26"/>
        </w:rPr>
        <w:t>1</w:t>
      </w:r>
      <w:r w:rsidR="006C7309" w:rsidRPr="003156B5">
        <w:rPr>
          <w:rFonts w:eastAsia="標楷體"/>
          <w:noProof/>
          <w:sz w:val="26"/>
          <w:szCs w:val="26"/>
        </w:rPr>
        <w:t>%</w:t>
      </w:r>
      <w:r w:rsidR="003E326D">
        <w:rPr>
          <w:rFonts w:eastAsia="標楷體"/>
          <w:noProof/>
          <w:sz w:val="26"/>
          <w:szCs w:val="26"/>
        </w:rPr>
        <w:t>)</w:t>
      </w:r>
      <w:r w:rsidR="006C7309" w:rsidRPr="003156B5">
        <w:rPr>
          <w:rFonts w:eastAsia="標楷體"/>
          <w:noProof/>
          <w:sz w:val="26"/>
          <w:szCs w:val="26"/>
        </w:rPr>
        <w:t>. Compar</w:t>
      </w:r>
      <w:r w:rsidR="00570057" w:rsidRPr="003156B5">
        <w:rPr>
          <w:rFonts w:eastAsia="標楷體" w:hint="eastAsia"/>
          <w:noProof/>
          <w:sz w:val="26"/>
          <w:szCs w:val="26"/>
        </w:rPr>
        <w:t xml:space="preserve">ed to </w:t>
      </w:r>
      <w:r w:rsidR="006C7309" w:rsidRPr="003156B5">
        <w:rPr>
          <w:rFonts w:eastAsia="標楷體"/>
          <w:noProof/>
          <w:sz w:val="26"/>
          <w:szCs w:val="26"/>
        </w:rPr>
        <w:t xml:space="preserve">the end of </w:t>
      </w:r>
      <w:r w:rsidR="007575C6" w:rsidRPr="003156B5">
        <w:rPr>
          <w:rFonts w:eastAsia="標楷體" w:hint="eastAsia"/>
          <w:noProof/>
          <w:sz w:val="26"/>
          <w:szCs w:val="26"/>
        </w:rPr>
        <w:t>200</w:t>
      </w:r>
      <w:r w:rsidR="007B5E4E" w:rsidRPr="003156B5">
        <w:rPr>
          <w:rFonts w:eastAsia="標楷體" w:hint="eastAsia"/>
          <w:noProof/>
          <w:sz w:val="26"/>
          <w:szCs w:val="26"/>
        </w:rPr>
        <w:t>1</w:t>
      </w:r>
      <w:r w:rsidR="00F45D00" w:rsidRPr="003156B5">
        <w:rPr>
          <w:rFonts w:eastAsia="標楷體" w:hint="eastAsia"/>
          <w:noProof/>
          <w:sz w:val="26"/>
          <w:szCs w:val="26"/>
        </w:rPr>
        <w:t>,</w:t>
      </w:r>
      <w:r w:rsidR="006C7309" w:rsidRPr="003156B5">
        <w:rPr>
          <w:rFonts w:eastAsia="標楷體"/>
          <w:noProof/>
          <w:sz w:val="26"/>
          <w:szCs w:val="26"/>
        </w:rPr>
        <w:t xml:space="preserve"> </w:t>
      </w:r>
      <w:r w:rsidR="00F45D00" w:rsidRPr="003156B5">
        <w:rPr>
          <w:rFonts w:eastAsia="標楷體"/>
          <w:sz w:val="26"/>
          <w:szCs w:val="26"/>
        </w:rPr>
        <w:t xml:space="preserve">the Taipei and Northern </w:t>
      </w:r>
      <w:r w:rsidR="0010556C" w:rsidRPr="003156B5">
        <w:rPr>
          <w:rFonts w:eastAsia="標楷體"/>
          <w:sz w:val="26"/>
          <w:szCs w:val="26"/>
        </w:rPr>
        <w:t>Division</w:t>
      </w:r>
      <w:r w:rsidR="0010556C" w:rsidRPr="003156B5">
        <w:rPr>
          <w:rFonts w:eastAsia="標楷體" w:hint="eastAsia"/>
          <w:sz w:val="26"/>
          <w:szCs w:val="26"/>
        </w:rPr>
        <w:t>s</w:t>
      </w:r>
      <w:r w:rsidR="00F45D00" w:rsidRPr="003156B5">
        <w:rPr>
          <w:rFonts w:eastAsia="標楷體"/>
          <w:sz w:val="26"/>
          <w:szCs w:val="26"/>
        </w:rPr>
        <w:t xml:space="preserve"> </w:t>
      </w:r>
      <w:r w:rsidRPr="003156B5">
        <w:rPr>
          <w:rFonts w:eastAsia="標楷體"/>
          <w:sz w:val="26"/>
          <w:szCs w:val="26"/>
        </w:rPr>
        <w:t>showed</w:t>
      </w:r>
      <w:r w:rsidR="00F45D00" w:rsidRPr="003156B5">
        <w:rPr>
          <w:rFonts w:eastAsia="標楷體"/>
          <w:sz w:val="26"/>
          <w:szCs w:val="26"/>
        </w:rPr>
        <w:t xml:space="preserve"> positive </w:t>
      </w:r>
      <w:r w:rsidR="00F45D00" w:rsidRPr="003156B5">
        <w:rPr>
          <w:rFonts w:eastAsia="標楷體" w:hint="eastAsia"/>
          <w:sz w:val="26"/>
          <w:szCs w:val="26"/>
        </w:rPr>
        <w:t xml:space="preserve">trends </w:t>
      </w:r>
      <w:r w:rsidR="00F45D00" w:rsidRPr="003156B5">
        <w:rPr>
          <w:rFonts w:eastAsia="標楷體"/>
          <w:sz w:val="26"/>
          <w:szCs w:val="26"/>
        </w:rPr>
        <w:t xml:space="preserve">in </w:t>
      </w:r>
      <w:r w:rsidR="00F45D00" w:rsidRPr="003156B5">
        <w:rPr>
          <w:rFonts w:eastAsia="標楷體" w:hint="eastAsia"/>
          <w:sz w:val="26"/>
          <w:szCs w:val="26"/>
        </w:rPr>
        <w:t xml:space="preserve">both </w:t>
      </w:r>
      <w:r w:rsidR="00F45D00" w:rsidRPr="003156B5">
        <w:rPr>
          <w:rFonts w:eastAsia="標楷體"/>
          <w:sz w:val="26"/>
          <w:szCs w:val="26"/>
        </w:rPr>
        <w:t xml:space="preserve">number of </w:t>
      </w:r>
      <w:r w:rsidR="00F45D00" w:rsidRPr="003156B5">
        <w:rPr>
          <w:rFonts w:eastAsia="標楷體" w:hint="eastAsia"/>
          <w:sz w:val="26"/>
          <w:szCs w:val="26"/>
        </w:rPr>
        <w:t xml:space="preserve">beneficiaries </w:t>
      </w:r>
      <w:r w:rsidR="00F45D00" w:rsidRPr="003156B5">
        <w:rPr>
          <w:rFonts w:eastAsia="標楷體"/>
          <w:sz w:val="26"/>
          <w:szCs w:val="26"/>
        </w:rPr>
        <w:t xml:space="preserve">and share </w:t>
      </w:r>
      <w:r w:rsidR="00F45D00" w:rsidRPr="003156B5">
        <w:rPr>
          <w:rFonts w:eastAsia="標楷體" w:hint="eastAsia"/>
          <w:sz w:val="26"/>
          <w:szCs w:val="26"/>
        </w:rPr>
        <w:t xml:space="preserve">of beneficiaries; </w:t>
      </w:r>
      <w:r w:rsidR="00F45D00" w:rsidRPr="003156B5">
        <w:rPr>
          <w:rFonts w:eastAsia="標楷體"/>
          <w:sz w:val="26"/>
          <w:szCs w:val="26"/>
        </w:rPr>
        <w:t xml:space="preserve">the Northern </w:t>
      </w:r>
      <w:r w:rsidR="0010556C" w:rsidRPr="003156B5">
        <w:rPr>
          <w:rFonts w:eastAsia="標楷體"/>
          <w:sz w:val="26"/>
          <w:szCs w:val="26"/>
        </w:rPr>
        <w:t>Division</w:t>
      </w:r>
      <w:r w:rsidR="00F45D00" w:rsidRPr="003156B5">
        <w:rPr>
          <w:rFonts w:eastAsia="標楷體" w:hint="eastAsia"/>
          <w:sz w:val="26"/>
          <w:szCs w:val="26"/>
        </w:rPr>
        <w:t xml:space="preserve"> had the highest increase in </w:t>
      </w:r>
      <w:r w:rsidR="00F45D00" w:rsidRPr="003156B5">
        <w:rPr>
          <w:rFonts w:eastAsia="標楷體"/>
          <w:sz w:val="26"/>
          <w:szCs w:val="26"/>
        </w:rPr>
        <w:t xml:space="preserve">share </w:t>
      </w:r>
      <w:r w:rsidR="00F45D00" w:rsidRPr="003156B5">
        <w:rPr>
          <w:rFonts w:eastAsia="標楷體" w:hint="eastAsia"/>
          <w:sz w:val="26"/>
          <w:szCs w:val="26"/>
        </w:rPr>
        <w:t>of beneficiarie</w:t>
      </w:r>
      <w:r w:rsidR="00F45D00" w:rsidRPr="003156B5">
        <w:rPr>
          <w:rFonts w:eastAsia="標楷體"/>
          <w:sz w:val="26"/>
          <w:szCs w:val="26"/>
        </w:rPr>
        <w:t>s</w:t>
      </w:r>
      <w:r w:rsidR="00F45D00" w:rsidRPr="003156B5">
        <w:rPr>
          <w:rFonts w:eastAsia="標楷體" w:hint="eastAsia"/>
          <w:sz w:val="26"/>
          <w:szCs w:val="26"/>
        </w:rPr>
        <w:t xml:space="preserve"> at 1.</w:t>
      </w:r>
      <w:r w:rsidR="007B5E4E" w:rsidRPr="003156B5">
        <w:rPr>
          <w:rFonts w:eastAsia="標楷體" w:hint="eastAsia"/>
          <w:sz w:val="26"/>
          <w:szCs w:val="26"/>
        </w:rPr>
        <w:t>4</w:t>
      </w:r>
      <w:r w:rsidR="00F45D00" w:rsidRPr="003156B5">
        <w:rPr>
          <w:rFonts w:eastAsia="標楷體" w:hint="eastAsia"/>
          <w:sz w:val="26"/>
          <w:szCs w:val="26"/>
        </w:rPr>
        <w:t xml:space="preserve"> percentage points. </w:t>
      </w:r>
      <w:r w:rsidR="00F45D00" w:rsidRPr="003156B5">
        <w:rPr>
          <w:rFonts w:eastAsia="標楷體"/>
          <w:sz w:val="26"/>
          <w:szCs w:val="26"/>
        </w:rPr>
        <w:t>On the other hand,</w:t>
      </w:r>
      <w:r w:rsidR="00F45D00" w:rsidRPr="003156B5">
        <w:rPr>
          <w:rFonts w:eastAsia="標楷體" w:hint="eastAsia"/>
          <w:sz w:val="26"/>
          <w:szCs w:val="26"/>
        </w:rPr>
        <w:t xml:space="preserve"> </w:t>
      </w:r>
      <w:r w:rsidR="00F45D00" w:rsidRPr="003156B5">
        <w:rPr>
          <w:rFonts w:eastAsia="標楷體"/>
          <w:sz w:val="26"/>
          <w:szCs w:val="26"/>
        </w:rPr>
        <w:t xml:space="preserve">the </w:t>
      </w:r>
      <w:r w:rsidR="009E6533" w:rsidRPr="003156B5">
        <w:rPr>
          <w:rFonts w:eastAsia="標楷體"/>
          <w:sz w:val="26"/>
          <w:szCs w:val="26"/>
        </w:rPr>
        <w:t>Eastern</w:t>
      </w:r>
      <w:r w:rsidR="009E6533" w:rsidRPr="003156B5">
        <w:rPr>
          <w:rFonts w:eastAsia="標楷體" w:hint="eastAsia"/>
          <w:sz w:val="26"/>
          <w:szCs w:val="26"/>
        </w:rPr>
        <w:t>,</w:t>
      </w:r>
      <w:r w:rsidR="009E6533" w:rsidRPr="003156B5">
        <w:rPr>
          <w:rFonts w:eastAsia="標楷體"/>
          <w:sz w:val="26"/>
          <w:szCs w:val="26"/>
        </w:rPr>
        <w:t xml:space="preserve"> </w:t>
      </w:r>
      <w:r w:rsidR="0010556C" w:rsidRPr="003156B5">
        <w:rPr>
          <w:rFonts w:eastAsia="標楷體"/>
          <w:sz w:val="26"/>
          <w:szCs w:val="26"/>
        </w:rPr>
        <w:t xml:space="preserve">Central, Southern, and </w:t>
      </w:r>
      <w:proofErr w:type="spellStart"/>
      <w:r w:rsidR="0010556C" w:rsidRPr="003156B5">
        <w:rPr>
          <w:rFonts w:eastAsia="標楷體"/>
          <w:sz w:val="26"/>
          <w:szCs w:val="26"/>
        </w:rPr>
        <w:t>Kao</w:t>
      </w:r>
      <w:r w:rsidR="00F45D00" w:rsidRPr="003156B5">
        <w:rPr>
          <w:rFonts w:eastAsia="標楷體"/>
          <w:sz w:val="26"/>
          <w:szCs w:val="26"/>
        </w:rPr>
        <w:t>Ping</w:t>
      </w:r>
      <w:proofErr w:type="spellEnd"/>
      <w:r w:rsidR="00F45D00" w:rsidRPr="003156B5">
        <w:rPr>
          <w:rFonts w:eastAsia="標楷體"/>
          <w:sz w:val="26"/>
          <w:szCs w:val="26"/>
        </w:rPr>
        <w:t xml:space="preserve"> </w:t>
      </w:r>
      <w:r w:rsidR="0010556C" w:rsidRPr="003156B5">
        <w:rPr>
          <w:rFonts w:eastAsia="標楷體"/>
          <w:sz w:val="26"/>
          <w:szCs w:val="26"/>
        </w:rPr>
        <w:t>Division</w:t>
      </w:r>
      <w:r w:rsidR="0010556C" w:rsidRPr="003156B5">
        <w:rPr>
          <w:rFonts w:eastAsia="標楷體" w:hint="eastAsia"/>
          <w:sz w:val="26"/>
          <w:szCs w:val="26"/>
        </w:rPr>
        <w:t>s</w:t>
      </w:r>
      <w:r w:rsidR="00F45D00" w:rsidRPr="003156B5">
        <w:rPr>
          <w:rFonts w:eastAsia="標楷體" w:hint="eastAsia"/>
          <w:sz w:val="26"/>
          <w:szCs w:val="26"/>
        </w:rPr>
        <w:t xml:space="preserve"> </w:t>
      </w:r>
      <w:r w:rsidRPr="003156B5">
        <w:rPr>
          <w:rFonts w:eastAsia="標楷體"/>
          <w:sz w:val="26"/>
          <w:szCs w:val="26"/>
        </w:rPr>
        <w:t>showed</w:t>
      </w:r>
      <w:r w:rsidR="00F45D00" w:rsidRPr="003156B5">
        <w:rPr>
          <w:rFonts w:eastAsia="標楷體" w:hint="eastAsia"/>
          <w:sz w:val="26"/>
          <w:szCs w:val="26"/>
        </w:rPr>
        <w:t xml:space="preserve"> negative trends in </w:t>
      </w:r>
      <w:r w:rsidR="00F45D00" w:rsidRPr="003156B5">
        <w:rPr>
          <w:rFonts w:eastAsia="標楷體"/>
          <w:sz w:val="26"/>
          <w:szCs w:val="26"/>
        </w:rPr>
        <w:t xml:space="preserve">share </w:t>
      </w:r>
      <w:r w:rsidR="00F45D00" w:rsidRPr="003156B5">
        <w:rPr>
          <w:rFonts w:eastAsia="標楷體" w:hint="eastAsia"/>
          <w:sz w:val="26"/>
          <w:szCs w:val="26"/>
        </w:rPr>
        <w:t>of beneficiarie</w:t>
      </w:r>
      <w:r w:rsidR="00F45D00" w:rsidRPr="003156B5">
        <w:rPr>
          <w:rFonts w:eastAsia="標楷體"/>
          <w:sz w:val="26"/>
          <w:szCs w:val="26"/>
        </w:rPr>
        <w:t>s</w:t>
      </w:r>
      <w:r w:rsidR="00F45D00" w:rsidRPr="003156B5">
        <w:rPr>
          <w:rFonts w:eastAsia="標楷體" w:hint="eastAsia"/>
          <w:sz w:val="26"/>
          <w:szCs w:val="26"/>
        </w:rPr>
        <w:t xml:space="preserve">; </w:t>
      </w:r>
      <w:r w:rsidR="00F45D00" w:rsidRPr="003156B5">
        <w:rPr>
          <w:rFonts w:eastAsia="標楷體"/>
          <w:sz w:val="26"/>
          <w:szCs w:val="26"/>
        </w:rPr>
        <w:t xml:space="preserve">the </w:t>
      </w:r>
      <w:proofErr w:type="spellStart"/>
      <w:r w:rsidR="0010556C" w:rsidRPr="003156B5">
        <w:rPr>
          <w:rFonts w:eastAsia="標楷體"/>
          <w:sz w:val="26"/>
          <w:szCs w:val="26"/>
        </w:rPr>
        <w:t>Kao</w:t>
      </w:r>
      <w:r w:rsidR="00F45D00" w:rsidRPr="003156B5">
        <w:rPr>
          <w:rFonts w:eastAsia="標楷體"/>
          <w:sz w:val="26"/>
          <w:szCs w:val="26"/>
        </w:rPr>
        <w:t>Ping</w:t>
      </w:r>
      <w:proofErr w:type="spellEnd"/>
      <w:r w:rsidR="00F45D00" w:rsidRPr="003156B5">
        <w:rPr>
          <w:rFonts w:eastAsia="標楷體"/>
          <w:sz w:val="26"/>
          <w:szCs w:val="26"/>
        </w:rPr>
        <w:t xml:space="preserve"> </w:t>
      </w:r>
      <w:r w:rsidR="0010556C" w:rsidRPr="003156B5">
        <w:rPr>
          <w:rFonts w:eastAsia="標楷體"/>
          <w:sz w:val="26"/>
          <w:szCs w:val="26"/>
        </w:rPr>
        <w:t>Division</w:t>
      </w:r>
      <w:r w:rsidR="00F45D00" w:rsidRPr="003156B5">
        <w:rPr>
          <w:rFonts w:eastAsia="標楷體" w:hint="eastAsia"/>
          <w:sz w:val="26"/>
          <w:szCs w:val="26"/>
        </w:rPr>
        <w:t xml:space="preserve"> had the highest decrease at 0.</w:t>
      </w:r>
      <w:r w:rsidR="007B5E4E" w:rsidRPr="003156B5">
        <w:rPr>
          <w:rFonts w:eastAsia="標楷體" w:hint="eastAsia"/>
          <w:sz w:val="26"/>
          <w:szCs w:val="26"/>
        </w:rPr>
        <w:t>8</w:t>
      </w:r>
      <w:r w:rsidR="00F45D00" w:rsidRPr="003156B5">
        <w:rPr>
          <w:rFonts w:eastAsia="標楷體" w:hint="eastAsia"/>
          <w:sz w:val="26"/>
          <w:szCs w:val="26"/>
        </w:rPr>
        <w:t xml:space="preserve"> percentage points. </w:t>
      </w:r>
    </w:p>
    <w:p w:rsidR="006C7309" w:rsidRPr="003156B5" w:rsidRDefault="00ED1E7C" w:rsidP="00747A79">
      <w:pPr>
        <w:autoSpaceDN w:val="0"/>
        <w:spacing w:afterLines="100"/>
        <w:ind w:firstLineChars="109" w:firstLine="283"/>
        <w:jc w:val="center"/>
        <w:rPr>
          <w:rFonts w:eastAsia="標楷體"/>
          <w:noProof/>
          <w:sz w:val="26"/>
          <w:szCs w:val="26"/>
        </w:rPr>
      </w:pPr>
      <w:r w:rsidRPr="00ED1E7C">
        <w:rPr>
          <w:rFonts w:eastAsia="標楷體"/>
          <w:noProof/>
          <w:sz w:val="26"/>
          <w:szCs w:val="26"/>
        </w:rPr>
        <w:drawing>
          <wp:inline distT="0" distB="0" distL="0" distR="0">
            <wp:extent cx="5486400" cy="3713259"/>
            <wp:effectExtent l="0" t="0" r="0" b="0"/>
            <wp:docPr id="7" name="圖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6C7309" w:rsidRPr="003156B5" w:rsidRDefault="006C7309" w:rsidP="00747A79">
      <w:pPr>
        <w:spacing w:afterLines="50" w:line="440" w:lineRule="exact"/>
        <w:ind w:left="284" w:firstLineChars="235" w:firstLine="611"/>
        <w:jc w:val="both"/>
        <w:rPr>
          <w:rFonts w:eastAsia="標楷體"/>
          <w:sz w:val="26"/>
          <w:szCs w:val="26"/>
        </w:rPr>
      </w:pPr>
      <w:r w:rsidRPr="003156B5">
        <w:rPr>
          <w:rFonts w:eastAsia="標楷體"/>
          <w:sz w:val="26"/>
          <w:szCs w:val="26"/>
        </w:rPr>
        <w:t xml:space="preserve">The national economy </w:t>
      </w:r>
      <w:r w:rsidR="00A40B0B" w:rsidRPr="003156B5">
        <w:rPr>
          <w:rFonts w:eastAsia="標楷體" w:hint="eastAsia"/>
          <w:sz w:val="26"/>
          <w:szCs w:val="26"/>
        </w:rPr>
        <w:t>was</w:t>
      </w:r>
      <w:r w:rsidRPr="003156B5">
        <w:rPr>
          <w:rFonts w:eastAsia="標楷體"/>
          <w:sz w:val="26"/>
          <w:szCs w:val="26"/>
        </w:rPr>
        <w:t xml:space="preserve"> adversely affected by the international financial crisis.</w:t>
      </w:r>
      <w:r w:rsidR="008222AD" w:rsidRPr="003156B5">
        <w:rPr>
          <w:rFonts w:eastAsia="標楷體" w:hint="eastAsia"/>
          <w:sz w:val="26"/>
          <w:szCs w:val="26"/>
        </w:rPr>
        <w:t xml:space="preserve"> In 20</w:t>
      </w:r>
      <w:r w:rsidR="00AE0A43" w:rsidRPr="003156B5">
        <w:rPr>
          <w:rFonts w:eastAsia="標楷體" w:hint="eastAsia"/>
          <w:sz w:val="26"/>
          <w:szCs w:val="26"/>
        </w:rPr>
        <w:t>1</w:t>
      </w:r>
      <w:r w:rsidR="006C4ED7" w:rsidRPr="003156B5">
        <w:rPr>
          <w:rFonts w:eastAsia="標楷體" w:hint="eastAsia"/>
          <w:sz w:val="26"/>
          <w:szCs w:val="26"/>
        </w:rPr>
        <w:t>1</w:t>
      </w:r>
      <w:r w:rsidRPr="003156B5">
        <w:rPr>
          <w:rFonts w:eastAsia="標楷體"/>
          <w:sz w:val="26"/>
          <w:szCs w:val="26"/>
        </w:rPr>
        <w:t xml:space="preserve">, </w:t>
      </w:r>
      <w:r w:rsidR="008222AD" w:rsidRPr="003156B5">
        <w:rPr>
          <w:rFonts w:eastAsia="標楷體" w:hint="eastAsia"/>
          <w:sz w:val="26"/>
          <w:szCs w:val="26"/>
        </w:rPr>
        <w:t xml:space="preserve">while </w:t>
      </w:r>
      <w:r w:rsidRPr="003156B5">
        <w:rPr>
          <w:rFonts w:eastAsia="標楷體"/>
          <w:sz w:val="26"/>
          <w:szCs w:val="26"/>
        </w:rPr>
        <w:t xml:space="preserve">Category 1 </w:t>
      </w:r>
      <w:r w:rsidR="00106B3F" w:rsidRPr="003156B5">
        <w:rPr>
          <w:rFonts w:eastAsia="標楷體" w:hint="eastAsia"/>
          <w:sz w:val="26"/>
          <w:szCs w:val="26"/>
        </w:rPr>
        <w:t xml:space="preserve">had the </w:t>
      </w:r>
      <w:r w:rsidR="008222AD" w:rsidRPr="003156B5">
        <w:rPr>
          <w:rFonts w:eastAsia="標楷體" w:hint="eastAsia"/>
          <w:sz w:val="26"/>
          <w:szCs w:val="26"/>
        </w:rPr>
        <w:t xml:space="preserve">highest number of beneficiaries </w:t>
      </w:r>
      <w:r w:rsidR="003E326D">
        <w:rPr>
          <w:rFonts w:eastAsia="標楷體"/>
          <w:sz w:val="26"/>
          <w:szCs w:val="26"/>
        </w:rPr>
        <w:t>(</w:t>
      </w:r>
      <w:r w:rsidRPr="003156B5">
        <w:rPr>
          <w:rFonts w:eastAsia="標楷體"/>
          <w:sz w:val="26"/>
          <w:szCs w:val="26"/>
        </w:rPr>
        <w:t>5</w:t>
      </w:r>
      <w:r w:rsidR="00AE0A43" w:rsidRPr="003156B5">
        <w:rPr>
          <w:rFonts w:eastAsia="標楷體" w:hint="eastAsia"/>
          <w:sz w:val="26"/>
          <w:szCs w:val="26"/>
        </w:rPr>
        <w:t>3.</w:t>
      </w:r>
      <w:r w:rsidR="006C4ED7" w:rsidRPr="003156B5">
        <w:rPr>
          <w:rFonts w:eastAsia="標楷體" w:hint="eastAsia"/>
          <w:sz w:val="26"/>
          <w:szCs w:val="26"/>
        </w:rPr>
        <w:t>8</w:t>
      </w:r>
      <w:r w:rsidRPr="003156B5">
        <w:rPr>
          <w:rFonts w:eastAsia="標楷體"/>
          <w:sz w:val="26"/>
          <w:szCs w:val="26"/>
        </w:rPr>
        <w:t>%</w:t>
      </w:r>
      <w:r w:rsidR="003E326D">
        <w:rPr>
          <w:rFonts w:eastAsia="標楷體"/>
          <w:sz w:val="26"/>
          <w:szCs w:val="26"/>
        </w:rPr>
        <w:t>)</w:t>
      </w:r>
      <w:r w:rsidRPr="003156B5">
        <w:rPr>
          <w:rFonts w:eastAsia="標楷體"/>
          <w:sz w:val="26"/>
          <w:szCs w:val="26"/>
        </w:rPr>
        <w:t xml:space="preserve">, </w:t>
      </w:r>
      <w:r w:rsidR="00106B3F" w:rsidRPr="003156B5">
        <w:rPr>
          <w:rFonts w:eastAsia="標楷體" w:hint="eastAsia"/>
          <w:sz w:val="26"/>
          <w:szCs w:val="26"/>
        </w:rPr>
        <w:t>the</w:t>
      </w:r>
      <w:r w:rsidRPr="003156B5">
        <w:rPr>
          <w:rFonts w:eastAsia="標楷體"/>
          <w:sz w:val="26"/>
          <w:szCs w:val="26"/>
        </w:rPr>
        <w:t xml:space="preserve"> </w:t>
      </w:r>
      <w:r w:rsidR="00106B3F" w:rsidRPr="003156B5">
        <w:rPr>
          <w:rFonts w:eastAsia="標楷體" w:hint="eastAsia"/>
          <w:sz w:val="26"/>
          <w:szCs w:val="26"/>
        </w:rPr>
        <w:t xml:space="preserve">proportion of Category 1 </w:t>
      </w:r>
      <w:r w:rsidR="006C4ED7" w:rsidRPr="003156B5">
        <w:rPr>
          <w:rFonts w:eastAsia="標楷體" w:hint="eastAsia"/>
          <w:sz w:val="26"/>
          <w:szCs w:val="26"/>
        </w:rPr>
        <w:t>in</w:t>
      </w:r>
      <w:r w:rsidRPr="003156B5">
        <w:rPr>
          <w:rFonts w:eastAsia="標楷體"/>
          <w:sz w:val="26"/>
          <w:szCs w:val="26"/>
        </w:rPr>
        <w:t xml:space="preserve">creased by </w:t>
      </w:r>
      <w:r w:rsidR="00AE0A43" w:rsidRPr="003156B5">
        <w:rPr>
          <w:rFonts w:eastAsia="標楷體" w:hint="eastAsia"/>
          <w:sz w:val="26"/>
          <w:szCs w:val="26"/>
        </w:rPr>
        <w:t>0.</w:t>
      </w:r>
      <w:r w:rsidR="006C4ED7" w:rsidRPr="003156B5">
        <w:rPr>
          <w:rFonts w:eastAsia="標楷體" w:hint="eastAsia"/>
          <w:sz w:val="26"/>
          <w:szCs w:val="26"/>
        </w:rPr>
        <w:t>9</w:t>
      </w:r>
      <w:r w:rsidRPr="003156B5">
        <w:rPr>
          <w:rFonts w:eastAsia="標楷體"/>
          <w:sz w:val="26"/>
          <w:szCs w:val="26"/>
        </w:rPr>
        <w:t xml:space="preserve"> percentage points</w:t>
      </w:r>
      <w:r w:rsidR="008222AD" w:rsidRPr="003156B5">
        <w:rPr>
          <w:rFonts w:eastAsia="標楷體" w:hint="eastAsia"/>
          <w:sz w:val="26"/>
          <w:szCs w:val="26"/>
        </w:rPr>
        <w:t xml:space="preserve"> c</w:t>
      </w:r>
      <w:r w:rsidR="008222AD" w:rsidRPr="003156B5">
        <w:rPr>
          <w:rFonts w:eastAsia="標楷體"/>
          <w:sz w:val="26"/>
          <w:szCs w:val="26"/>
        </w:rPr>
        <w:t xml:space="preserve">ompared to </w:t>
      </w:r>
      <w:r w:rsidR="00AE0A43" w:rsidRPr="003156B5">
        <w:rPr>
          <w:rFonts w:eastAsia="標楷體" w:hint="eastAsia"/>
          <w:sz w:val="26"/>
          <w:szCs w:val="26"/>
        </w:rPr>
        <w:t>200</w:t>
      </w:r>
      <w:r w:rsidR="006C4ED7" w:rsidRPr="003156B5">
        <w:rPr>
          <w:rFonts w:eastAsia="標楷體" w:hint="eastAsia"/>
          <w:sz w:val="26"/>
          <w:szCs w:val="26"/>
        </w:rPr>
        <w:t>1</w:t>
      </w:r>
      <w:r w:rsidR="00106B3F" w:rsidRPr="003156B5">
        <w:rPr>
          <w:rFonts w:eastAsia="標楷體" w:hint="eastAsia"/>
          <w:sz w:val="26"/>
          <w:szCs w:val="26"/>
        </w:rPr>
        <w:t>,</w:t>
      </w:r>
      <w:r w:rsidRPr="003156B5">
        <w:rPr>
          <w:rFonts w:eastAsia="標楷體"/>
          <w:sz w:val="26"/>
          <w:szCs w:val="26"/>
        </w:rPr>
        <w:t xml:space="preserve"> Category </w:t>
      </w:r>
      <w:r w:rsidRPr="000B5B2A">
        <w:rPr>
          <w:rFonts w:eastAsia="標楷體"/>
          <w:sz w:val="26"/>
          <w:szCs w:val="26"/>
        </w:rPr>
        <w:t xml:space="preserve">2 </w:t>
      </w:r>
      <w:r w:rsidR="007176C4" w:rsidRPr="000B5B2A">
        <w:rPr>
          <w:rFonts w:eastAsia="標楷體" w:hint="eastAsia"/>
          <w:sz w:val="26"/>
          <w:szCs w:val="26"/>
        </w:rPr>
        <w:t xml:space="preserve">decreased by </w:t>
      </w:r>
      <w:r w:rsidRPr="000B5B2A">
        <w:rPr>
          <w:rFonts w:eastAsia="標楷體"/>
          <w:sz w:val="26"/>
          <w:szCs w:val="26"/>
        </w:rPr>
        <w:t>0.</w:t>
      </w:r>
      <w:r w:rsidR="00AE0A43" w:rsidRPr="000B5B2A">
        <w:rPr>
          <w:rFonts w:eastAsia="標楷體" w:hint="eastAsia"/>
          <w:sz w:val="26"/>
          <w:szCs w:val="26"/>
        </w:rPr>
        <w:t>3</w:t>
      </w:r>
      <w:r w:rsidRPr="000B5B2A">
        <w:rPr>
          <w:rFonts w:eastAsia="標楷體"/>
          <w:sz w:val="26"/>
          <w:szCs w:val="26"/>
        </w:rPr>
        <w:t xml:space="preserve"> percentage points</w:t>
      </w:r>
      <w:r w:rsidR="00A40B0B" w:rsidRPr="000B5B2A">
        <w:rPr>
          <w:rFonts w:eastAsia="標楷體"/>
          <w:sz w:val="26"/>
          <w:szCs w:val="26"/>
        </w:rPr>
        <w:t xml:space="preserve">, and </w:t>
      </w:r>
      <w:r w:rsidRPr="000B5B2A">
        <w:rPr>
          <w:rFonts w:eastAsia="標楷體"/>
          <w:sz w:val="26"/>
          <w:szCs w:val="26"/>
        </w:rPr>
        <w:t xml:space="preserve">Category 3 </w:t>
      </w:r>
      <w:r w:rsidR="007176C4" w:rsidRPr="000B5B2A">
        <w:rPr>
          <w:rFonts w:eastAsia="標楷體" w:hint="eastAsia"/>
          <w:sz w:val="26"/>
          <w:szCs w:val="26"/>
        </w:rPr>
        <w:t xml:space="preserve">decreased by </w:t>
      </w:r>
      <w:r w:rsidR="00AE0A43" w:rsidRPr="000B5B2A">
        <w:rPr>
          <w:rFonts w:eastAsia="標楷體" w:hint="eastAsia"/>
          <w:sz w:val="26"/>
          <w:szCs w:val="26"/>
        </w:rPr>
        <w:t>3.</w:t>
      </w:r>
      <w:r w:rsidR="006C4ED7" w:rsidRPr="000B5B2A">
        <w:rPr>
          <w:rFonts w:eastAsia="標楷體" w:hint="eastAsia"/>
          <w:sz w:val="26"/>
          <w:szCs w:val="26"/>
        </w:rPr>
        <w:t>5</w:t>
      </w:r>
      <w:r w:rsidRPr="000B5B2A">
        <w:rPr>
          <w:rFonts w:eastAsia="標楷體"/>
          <w:sz w:val="26"/>
          <w:szCs w:val="26"/>
        </w:rPr>
        <w:t xml:space="preserve"> percentage points.</w:t>
      </w:r>
      <w:r w:rsidRPr="003156B5">
        <w:rPr>
          <w:rFonts w:eastAsia="標楷體"/>
          <w:sz w:val="26"/>
          <w:szCs w:val="26"/>
        </w:rPr>
        <w:t xml:space="preserve"> </w:t>
      </w:r>
      <w:r w:rsidRPr="000B5B2A">
        <w:rPr>
          <w:rFonts w:eastAsia="標楷體"/>
          <w:sz w:val="26"/>
          <w:szCs w:val="26"/>
        </w:rPr>
        <w:t>On the other hand, Categories 5 and 6 increased b</w:t>
      </w:r>
      <w:r w:rsidR="008222AD" w:rsidRPr="000B5B2A">
        <w:rPr>
          <w:rFonts w:eastAsia="標楷體"/>
          <w:sz w:val="26"/>
          <w:szCs w:val="26"/>
        </w:rPr>
        <w:t>y 0.</w:t>
      </w:r>
      <w:r w:rsidR="006C4ED7" w:rsidRPr="000B5B2A">
        <w:rPr>
          <w:rFonts w:eastAsia="標楷體" w:hint="eastAsia"/>
          <w:sz w:val="26"/>
          <w:szCs w:val="26"/>
        </w:rPr>
        <w:t>6</w:t>
      </w:r>
      <w:r w:rsidR="008222AD" w:rsidRPr="000B5B2A">
        <w:rPr>
          <w:rFonts w:eastAsia="標楷體"/>
          <w:sz w:val="26"/>
          <w:szCs w:val="26"/>
        </w:rPr>
        <w:t xml:space="preserve"> and </w:t>
      </w:r>
      <w:r w:rsidR="006C4ED7" w:rsidRPr="000B5B2A">
        <w:rPr>
          <w:rFonts w:eastAsia="標楷體" w:hint="eastAsia"/>
          <w:sz w:val="26"/>
          <w:szCs w:val="26"/>
        </w:rPr>
        <w:t>1.6</w:t>
      </w:r>
      <w:r w:rsidR="008222AD" w:rsidRPr="000B5B2A">
        <w:rPr>
          <w:rFonts w:eastAsia="標楷體"/>
          <w:sz w:val="26"/>
          <w:szCs w:val="26"/>
        </w:rPr>
        <w:t xml:space="preserve"> percentage points</w:t>
      </w:r>
      <w:r w:rsidR="00A40B0B" w:rsidRPr="000B5B2A">
        <w:rPr>
          <w:rFonts w:eastAsia="標楷體"/>
          <w:sz w:val="26"/>
          <w:szCs w:val="26"/>
        </w:rPr>
        <w:t>,</w:t>
      </w:r>
      <w:r w:rsidR="00A40B0B" w:rsidRPr="003156B5">
        <w:rPr>
          <w:rFonts w:eastAsia="標楷體"/>
          <w:sz w:val="36"/>
          <w:szCs w:val="36"/>
        </w:rPr>
        <w:t xml:space="preserve"> </w:t>
      </w:r>
      <w:r w:rsidR="004548F5" w:rsidRPr="003156B5">
        <w:rPr>
          <w:rFonts w:eastAsia="標楷體" w:hint="eastAsia"/>
          <w:sz w:val="26"/>
          <w:szCs w:val="26"/>
        </w:rPr>
        <w:t>respectively</w:t>
      </w:r>
      <w:r w:rsidR="008222AD" w:rsidRPr="003156B5">
        <w:rPr>
          <w:rFonts w:eastAsia="標楷體" w:hint="eastAsia"/>
          <w:sz w:val="26"/>
          <w:szCs w:val="26"/>
        </w:rPr>
        <w:t>.</w:t>
      </w:r>
      <w:r w:rsidRPr="003156B5">
        <w:rPr>
          <w:rFonts w:eastAsia="標楷體"/>
          <w:sz w:val="26"/>
          <w:szCs w:val="26"/>
        </w:rPr>
        <w:t xml:space="preserve"> </w:t>
      </w:r>
      <w:r w:rsidR="008222AD" w:rsidRPr="003156B5">
        <w:rPr>
          <w:rFonts w:eastAsia="標楷體" w:hint="eastAsia"/>
          <w:sz w:val="26"/>
          <w:szCs w:val="26"/>
        </w:rPr>
        <w:t>T</w:t>
      </w:r>
      <w:r w:rsidRPr="003156B5">
        <w:rPr>
          <w:rFonts w:eastAsia="標楷體"/>
          <w:sz w:val="26"/>
          <w:szCs w:val="26"/>
        </w:rPr>
        <w:t xml:space="preserve">he </w:t>
      </w:r>
      <w:r w:rsidR="007C416D" w:rsidRPr="003156B5">
        <w:rPr>
          <w:rFonts w:eastAsia="標楷體" w:hint="eastAsia"/>
          <w:sz w:val="26"/>
          <w:szCs w:val="26"/>
        </w:rPr>
        <w:t>proportion</w:t>
      </w:r>
      <w:r w:rsidRPr="003156B5">
        <w:rPr>
          <w:rFonts w:eastAsia="標楷體"/>
          <w:sz w:val="26"/>
          <w:szCs w:val="26"/>
        </w:rPr>
        <w:t xml:space="preserve"> of disadvantaged </w:t>
      </w:r>
      <w:r w:rsidR="007C416D" w:rsidRPr="003156B5">
        <w:rPr>
          <w:rFonts w:eastAsia="標楷體" w:hint="eastAsia"/>
          <w:sz w:val="26"/>
          <w:szCs w:val="26"/>
        </w:rPr>
        <w:t xml:space="preserve">minority </w:t>
      </w:r>
      <w:r w:rsidRPr="003156B5">
        <w:rPr>
          <w:rFonts w:eastAsia="標楷體"/>
          <w:sz w:val="26"/>
          <w:szCs w:val="26"/>
        </w:rPr>
        <w:t>group</w:t>
      </w:r>
      <w:r w:rsidR="007C416D" w:rsidRPr="003156B5">
        <w:rPr>
          <w:rFonts w:eastAsia="標楷體" w:hint="eastAsia"/>
          <w:sz w:val="26"/>
          <w:szCs w:val="26"/>
        </w:rPr>
        <w:t>s</w:t>
      </w:r>
      <w:r w:rsidR="00A40B0B" w:rsidRPr="003156B5">
        <w:rPr>
          <w:rFonts w:eastAsia="標楷體" w:hint="eastAsia"/>
          <w:sz w:val="26"/>
          <w:szCs w:val="26"/>
        </w:rPr>
        <w:t xml:space="preserve"> </w:t>
      </w:r>
      <w:r w:rsidR="00A40B0B" w:rsidRPr="003156B5">
        <w:rPr>
          <w:rFonts w:eastAsia="標楷體"/>
          <w:sz w:val="26"/>
          <w:szCs w:val="26"/>
        </w:rPr>
        <w:t>also</w:t>
      </w:r>
      <w:r w:rsidR="00A40B0B" w:rsidRPr="003156B5">
        <w:rPr>
          <w:rFonts w:eastAsia="標楷體" w:hint="eastAsia"/>
          <w:sz w:val="26"/>
          <w:szCs w:val="26"/>
        </w:rPr>
        <w:t xml:space="preserve"> </w:t>
      </w:r>
      <w:r w:rsidRPr="003156B5">
        <w:rPr>
          <w:rFonts w:eastAsia="標楷體"/>
          <w:sz w:val="26"/>
          <w:szCs w:val="26"/>
        </w:rPr>
        <w:t xml:space="preserve">significantly </w:t>
      </w:r>
      <w:r w:rsidR="00A40B0B" w:rsidRPr="003156B5">
        <w:rPr>
          <w:rFonts w:eastAsia="標楷體"/>
          <w:sz w:val="26"/>
          <w:szCs w:val="26"/>
        </w:rPr>
        <w:t>increased</w:t>
      </w:r>
      <w:r w:rsidR="00A40B0B" w:rsidRPr="003156B5">
        <w:rPr>
          <w:rFonts w:eastAsia="標楷體" w:hint="eastAsia"/>
          <w:sz w:val="26"/>
          <w:szCs w:val="26"/>
        </w:rPr>
        <w:t>.</w:t>
      </w:r>
    </w:p>
    <w:p w:rsidR="006C7309" w:rsidRPr="003156B5" w:rsidRDefault="00914480" w:rsidP="00747A79">
      <w:pPr>
        <w:autoSpaceDN w:val="0"/>
        <w:spacing w:afterLines="100" w:line="320" w:lineRule="atLeast"/>
        <w:jc w:val="center"/>
        <w:rPr>
          <w:rFonts w:eastAsia="標楷體"/>
          <w:b/>
          <w:sz w:val="26"/>
          <w:szCs w:val="26"/>
        </w:rPr>
      </w:pPr>
      <w:r w:rsidRPr="00914480">
        <w:rPr>
          <w:rFonts w:eastAsia="標楷體"/>
          <w:b/>
          <w:noProof/>
          <w:sz w:val="26"/>
          <w:szCs w:val="26"/>
        </w:rPr>
        <w:lastRenderedPageBreak/>
        <w:drawing>
          <wp:inline distT="0" distB="0" distL="0" distR="0">
            <wp:extent cx="5486400" cy="3053301"/>
            <wp:effectExtent l="0" t="0" r="0" b="0"/>
            <wp:docPr id="8" name="圖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6C7309" w:rsidRPr="003156B5" w:rsidRDefault="00FE0F54" w:rsidP="00C226E8">
      <w:pPr>
        <w:autoSpaceDN w:val="0"/>
        <w:spacing w:line="360" w:lineRule="exact"/>
        <w:rPr>
          <w:rFonts w:eastAsia="標楷體"/>
          <w:b/>
          <w:sz w:val="26"/>
          <w:szCs w:val="26"/>
        </w:rPr>
      </w:pPr>
      <w:r w:rsidRPr="003156B5">
        <w:rPr>
          <w:rFonts w:eastAsia="標楷體" w:hint="eastAsia"/>
          <w:b/>
          <w:sz w:val="26"/>
          <w:szCs w:val="26"/>
        </w:rPr>
        <w:t>（</w:t>
      </w:r>
      <w:r w:rsidRPr="003156B5">
        <w:rPr>
          <w:rFonts w:eastAsia="標楷體" w:hint="eastAsia"/>
          <w:b/>
          <w:sz w:val="26"/>
          <w:szCs w:val="26"/>
        </w:rPr>
        <w:t>3</w:t>
      </w:r>
      <w:r w:rsidRPr="003156B5">
        <w:rPr>
          <w:rFonts w:eastAsia="標楷體" w:hint="eastAsia"/>
          <w:b/>
          <w:sz w:val="26"/>
          <w:szCs w:val="26"/>
        </w:rPr>
        <w:t>）</w:t>
      </w:r>
      <w:r w:rsidR="006C7309" w:rsidRPr="003156B5">
        <w:rPr>
          <w:rFonts w:eastAsia="標楷體"/>
          <w:b/>
          <w:sz w:val="26"/>
          <w:szCs w:val="26"/>
        </w:rPr>
        <w:t>The Insured Payroll-Related Amount</w:t>
      </w:r>
    </w:p>
    <w:p w:rsidR="006C7309" w:rsidRPr="003156B5" w:rsidRDefault="00B60C7A" w:rsidP="00FE0F54">
      <w:pPr>
        <w:autoSpaceDN w:val="0"/>
        <w:spacing w:line="360" w:lineRule="exact"/>
        <w:ind w:left="284"/>
        <w:jc w:val="both"/>
        <w:rPr>
          <w:rFonts w:eastAsia="標楷體"/>
          <w:b/>
          <w:sz w:val="26"/>
          <w:szCs w:val="26"/>
        </w:rPr>
      </w:pPr>
      <w:r w:rsidRPr="003156B5">
        <w:rPr>
          <w:rFonts w:eastAsia="標楷體"/>
          <w:b/>
          <w:sz w:val="26"/>
          <w:szCs w:val="26"/>
        </w:rPr>
        <w:t>At the end of 201</w:t>
      </w:r>
      <w:r w:rsidR="006E0F4E" w:rsidRPr="003156B5">
        <w:rPr>
          <w:rFonts w:eastAsia="標楷體" w:hint="eastAsia"/>
          <w:b/>
          <w:sz w:val="26"/>
          <w:szCs w:val="26"/>
        </w:rPr>
        <w:t>1</w:t>
      </w:r>
      <w:r w:rsidRPr="003156B5">
        <w:rPr>
          <w:rFonts w:eastAsia="標楷體"/>
          <w:b/>
          <w:sz w:val="26"/>
          <w:szCs w:val="26"/>
        </w:rPr>
        <w:t>, the average insured payroll-related amount was NT$</w:t>
      </w:r>
      <w:r w:rsidR="006E0F4E" w:rsidRPr="003156B5">
        <w:rPr>
          <w:rFonts w:eastAsia="標楷體" w:hint="eastAsia"/>
          <w:b/>
          <w:sz w:val="26"/>
          <w:szCs w:val="26"/>
        </w:rPr>
        <w:t>33,505</w:t>
      </w:r>
      <w:r w:rsidRPr="003156B5">
        <w:rPr>
          <w:rFonts w:eastAsia="標楷體"/>
          <w:b/>
          <w:sz w:val="26"/>
          <w:szCs w:val="26"/>
        </w:rPr>
        <w:t>;</w:t>
      </w:r>
      <w:r w:rsidRPr="003156B5">
        <w:rPr>
          <w:rFonts w:eastAsia="標楷體"/>
          <w:sz w:val="26"/>
          <w:szCs w:val="26"/>
        </w:rPr>
        <w:t xml:space="preserve"> </w:t>
      </w:r>
      <w:r w:rsidRPr="003156B5">
        <w:rPr>
          <w:rFonts w:eastAsia="標楷體"/>
          <w:b/>
          <w:sz w:val="26"/>
          <w:szCs w:val="26"/>
        </w:rPr>
        <w:t>the average increase of the insured payroll-related amount from 200</w:t>
      </w:r>
      <w:r w:rsidR="006E0F4E" w:rsidRPr="003156B5">
        <w:rPr>
          <w:rFonts w:eastAsia="標楷體" w:hint="eastAsia"/>
          <w:b/>
          <w:sz w:val="26"/>
          <w:szCs w:val="26"/>
        </w:rPr>
        <w:t>1</w:t>
      </w:r>
      <w:r w:rsidRPr="003156B5">
        <w:rPr>
          <w:rFonts w:eastAsia="標楷體"/>
          <w:b/>
          <w:sz w:val="26"/>
          <w:szCs w:val="26"/>
        </w:rPr>
        <w:t>–201</w:t>
      </w:r>
      <w:r w:rsidR="006E0F4E" w:rsidRPr="003156B5">
        <w:rPr>
          <w:rFonts w:eastAsia="標楷體" w:hint="eastAsia"/>
          <w:b/>
          <w:sz w:val="26"/>
          <w:szCs w:val="26"/>
        </w:rPr>
        <w:t>1</w:t>
      </w:r>
      <w:r w:rsidRPr="003156B5">
        <w:rPr>
          <w:rFonts w:eastAsia="標楷體"/>
          <w:b/>
          <w:sz w:val="26"/>
          <w:szCs w:val="26"/>
        </w:rPr>
        <w:t xml:space="preserve"> was 2.</w:t>
      </w:r>
      <w:r w:rsidR="006E0F4E" w:rsidRPr="003156B5">
        <w:rPr>
          <w:rFonts w:eastAsia="標楷體" w:hint="eastAsia"/>
          <w:b/>
          <w:sz w:val="26"/>
          <w:szCs w:val="26"/>
        </w:rPr>
        <w:t>7</w:t>
      </w:r>
      <w:r w:rsidRPr="003156B5">
        <w:rPr>
          <w:rFonts w:eastAsia="標楷體"/>
          <w:b/>
          <w:sz w:val="26"/>
          <w:szCs w:val="26"/>
        </w:rPr>
        <w:t xml:space="preserve">% </w:t>
      </w:r>
      <w:r w:rsidR="00A75835" w:rsidRPr="003156B5">
        <w:rPr>
          <w:rFonts w:eastAsia="標楷體" w:hint="eastAsia"/>
          <w:b/>
          <w:sz w:val="26"/>
          <w:szCs w:val="26"/>
        </w:rPr>
        <w:t xml:space="preserve"> </w:t>
      </w:r>
    </w:p>
    <w:p w:rsidR="00C01625" w:rsidRPr="003156B5" w:rsidRDefault="00560354" w:rsidP="00747A79">
      <w:pPr>
        <w:spacing w:beforeLines="50" w:afterLines="50" w:line="360" w:lineRule="exact"/>
        <w:ind w:left="284" w:firstLineChars="235" w:firstLine="611"/>
        <w:jc w:val="both"/>
        <w:rPr>
          <w:rFonts w:eastAsia="標楷體"/>
          <w:sz w:val="26"/>
          <w:szCs w:val="26"/>
        </w:rPr>
      </w:pPr>
      <w:r w:rsidRPr="003156B5">
        <w:rPr>
          <w:rFonts w:eastAsia="標楷體"/>
          <w:sz w:val="26"/>
          <w:szCs w:val="26"/>
        </w:rPr>
        <w:t>In 20</w:t>
      </w:r>
      <w:r w:rsidR="006E0F4E" w:rsidRPr="003156B5">
        <w:rPr>
          <w:rFonts w:eastAsia="標楷體" w:hint="eastAsia"/>
          <w:sz w:val="26"/>
          <w:szCs w:val="26"/>
        </w:rPr>
        <w:t>11</w:t>
      </w:r>
      <w:r w:rsidRPr="003156B5">
        <w:rPr>
          <w:rFonts w:eastAsia="標楷體"/>
          <w:sz w:val="26"/>
          <w:szCs w:val="26"/>
        </w:rPr>
        <w:t>, in order to strengthen the premium collection base,</w:t>
      </w:r>
      <w:r w:rsidR="00244E9D" w:rsidRPr="003156B5">
        <w:rPr>
          <w:rFonts w:eastAsia="標楷體" w:hint="eastAsia"/>
          <w:sz w:val="26"/>
          <w:szCs w:val="26"/>
        </w:rPr>
        <w:t xml:space="preserve"> </w:t>
      </w:r>
      <w:r w:rsidR="00876E31" w:rsidRPr="003156B5">
        <w:rPr>
          <w:rFonts w:eastAsia="標楷體" w:hint="eastAsia"/>
          <w:sz w:val="26"/>
          <w:szCs w:val="26"/>
        </w:rPr>
        <w:t xml:space="preserve">the BNHI guided people to insure </w:t>
      </w:r>
      <w:r w:rsidR="005A7DB8" w:rsidRPr="003156B5">
        <w:rPr>
          <w:rFonts w:eastAsia="標楷體" w:hint="eastAsia"/>
          <w:sz w:val="26"/>
          <w:szCs w:val="26"/>
        </w:rPr>
        <w:t>in</w:t>
      </w:r>
      <w:r w:rsidR="00876E31" w:rsidRPr="003156B5">
        <w:rPr>
          <w:rFonts w:eastAsia="標楷體" w:hint="eastAsia"/>
          <w:sz w:val="26"/>
          <w:szCs w:val="26"/>
        </w:rPr>
        <w:t xml:space="preserve"> correct insurance status. </w:t>
      </w:r>
      <w:r w:rsidRPr="003156B5">
        <w:rPr>
          <w:rFonts w:eastAsia="標楷體"/>
          <w:sz w:val="26"/>
          <w:szCs w:val="26"/>
        </w:rPr>
        <w:t>In addition</w:t>
      </w:r>
      <w:r w:rsidR="00876E31" w:rsidRPr="003156B5">
        <w:rPr>
          <w:rFonts w:eastAsia="標楷體" w:hint="eastAsia"/>
          <w:sz w:val="26"/>
          <w:szCs w:val="26"/>
        </w:rPr>
        <w:t>,</w:t>
      </w:r>
      <w:r w:rsidRPr="003156B5">
        <w:rPr>
          <w:rFonts w:eastAsia="標楷體" w:hint="eastAsia"/>
          <w:sz w:val="26"/>
          <w:szCs w:val="26"/>
        </w:rPr>
        <w:t xml:space="preserve"> </w:t>
      </w:r>
      <w:r w:rsidR="005A7DB8" w:rsidRPr="003156B5">
        <w:rPr>
          <w:rFonts w:eastAsia="標楷體" w:hint="eastAsia"/>
          <w:sz w:val="26"/>
          <w:szCs w:val="26"/>
        </w:rPr>
        <w:t xml:space="preserve">the BNHI also held </w:t>
      </w:r>
      <w:r w:rsidR="00732D5F" w:rsidRPr="003156B5">
        <w:rPr>
          <w:rFonts w:eastAsia="標楷體" w:hint="eastAsia"/>
          <w:sz w:val="26"/>
          <w:szCs w:val="26"/>
        </w:rPr>
        <w:t xml:space="preserve">reviews regarding the insured payroll-related amount. </w:t>
      </w:r>
      <w:r w:rsidR="002D1B23" w:rsidRPr="003156B5">
        <w:rPr>
          <w:rFonts w:eastAsia="標楷體" w:hint="eastAsia"/>
          <w:sz w:val="26"/>
          <w:szCs w:val="26"/>
        </w:rPr>
        <w:t xml:space="preserve">For those with lower than the correct insured amount, the BNHI </w:t>
      </w:r>
      <w:r w:rsidR="00F80E54" w:rsidRPr="003156B5">
        <w:rPr>
          <w:rFonts w:eastAsia="標楷體" w:hint="eastAsia"/>
          <w:sz w:val="26"/>
          <w:szCs w:val="26"/>
        </w:rPr>
        <w:t xml:space="preserve">notified </w:t>
      </w:r>
      <w:r w:rsidR="00C01625" w:rsidRPr="003156B5">
        <w:rPr>
          <w:rFonts w:eastAsia="標楷體"/>
          <w:sz w:val="26"/>
          <w:szCs w:val="26"/>
        </w:rPr>
        <w:t>group insurance applicants</w:t>
      </w:r>
      <w:r w:rsidR="00C01625" w:rsidRPr="003156B5">
        <w:rPr>
          <w:rFonts w:eastAsia="標楷體" w:hint="eastAsia"/>
          <w:sz w:val="26"/>
          <w:szCs w:val="26"/>
        </w:rPr>
        <w:t xml:space="preserve"> to adjust premiums directly to increase premium revenues.</w:t>
      </w:r>
    </w:p>
    <w:p w:rsidR="00B102C0" w:rsidRPr="003156B5" w:rsidRDefault="006C7309" w:rsidP="00747A79">
      <w:pPr>
        <w:spacing w:beforeLines="50" w:afterLines="50" w:line="360" w:lineRule="exact"/>
        <w:ind w:left="284" w:firstLineChars="235" w:firstLine="611"/>
        <w:jc w:val="both"/>
        <w:rPr>
          <w:rFonts w:eastAsia="標楷體"/>
          <w:sz w:val="26"/>
          <w:szCs w:val="26"/>
        </w:rPr>
      </w:pPr>
      <w:r w:rsidRPr="003156B5">
        <w:rPr>
          <w:rFonts w:eastAsia="標楷體"/>
          <w:sz w:val="26"/>
          <w:szCs w:val="26"/>
        </w:rPr>
        <w:t>At the end of 20</w:t>
      </w:r>
      <w:r w:rsidR="00E01E97" w:rsidRPr="003156B5">
        <w:rPr>
          <w:rFonts w:eastAsia="標楷體" w:hint="eastAsia"/>
          <w:sz w:val="26"/>
          <w:szCs w:val="26"/>
        </w:rPr>
        <w:t>1</w:t>
      </w:r>
      <w:r w:rsidR="006E0F4E" w:rsidRPr="003156B5">
        <w:rPr>
          <w:rFonts w:eastAsia="標楷體" w:hint="eastAsia"/>
          <w:sz w:val="26"/>
          <w:szCs w:val="26"/>
        </w:rPr>
        <w:t>1</w:t>
      </w:r>
      <w:r w:rsidRPr="003156B5">
        <w:rPr>
          <w:rFonts w:eastAsia="標楷體"/>
          <w:sz w:val="26"/>
          <w:szCs w:val="26"/>
        </w:rPr>
        <w:t>, the average insured payroll</w:t>
      </w:r>
      <w:r w:rsidR="00DB1EE7" w:rsidRPr="003156B5">
        <w:rPr>
          <w:rFonts w:eastAsia="標楷體" w:hint="eastAsia"/>
          <w:sz w:val="26"/>
          <w:szCs w:val="26"/>
        </w:rPr>
        <w:t>-</w:t>
      </w:r>
      <w:r w:rsidRPr="003156B5">
        <w:rPr>
          <w:rFonts w:eastAsia="標楷體"/>
          <w:sz w:val="26"/>
          <w:szCs w:val="26"/>
        </w:rPr>
        <w:t xml:space="preserve">related </w:t>
      </w:r>
      <w:r w:rsidR="00F80E54" w:rsidRPr="003156B5">
        <w:rPr>
          <w:rFonts w:eastAsia="標楷體"/>
          <w:sz w:val="26"/>
          <w:szCs w:val="26"/>
        </w:rPr>
        <w:t>amount was</w:t>
      </w:r>
      <w:r w:rsidRPr="003156B5">
        <w:rPr>
          <w:rFonts w:eastAsia="標楷體"/>
          <w:sz w:val="26"/>
          <w:szCs w:val="26"/>
        </w:rPr>
        <w:t xml:space="preserve"> NT$</w:t>
      </w:r>
      <w:r w:rsidR="006E0F4E" w:rsidRPr="003156B5">
        <w:rPr>
          <w:rFonts w:eastAsia="標楷體" w:hint="eastAsia"/>
          <w:sz w:val="26"/>
          <w:szCs w:val="26"/>
        </w:rPr>
        <w:t>33,505</w:t>
      </w:r>
      <w:r w:rsidR="00E01E97" w:rsidRPr="003156B5">
        <w:rPr>
          <w:rFonts w:eastAsia="標楷體" w:hint="eastAsia"/>
          <w:sz w:val="26"/>
          <w:szCs w:val="26"/>
        </w:rPr>
        <w:t>.</w:t>
      </w:r>
      <w:r w:rsidRPr="003156B5">
        <w:rPr>
          <w:rFonts w:eastAsia="標楷體"/>
          <w:sz w:val="26"/>
          <w:szCs w:val="26"/>
        </w:rPr>
        <w:t xml:space="preserve"> The average insured payroll</w:t>
      </w:r>
      <w:r w:rsidR="00DB1EE7" w:rsidRPr="003156B5">
        <w:rPr>
          <w:rFonts w:eastAsia="標楷體" w:hint="eastAsia"/>
          <w:sz w:val="26"/>
          <w:szCs w:val="26"/>
        </w:rPr>
        <w:t>-</w:t>
      </w:r>
      <w:r w:rsidRPr="003156B5">
        <w:rPr>
          <w:rFonts w:eastAsia="標楷體"/>
          <w:sz w:val="26"/>
          <w:szCs w:val="26"/>
        </w:rPr>
        <w:t>related amounts for Categories 1 to 3 were NT$</w:t>
      </w:r>
      <w:r w:rsidR="006E0F4E" w:rsidRPr="003156B5">
        <w:rPr>
          <w:rFonts w:eastAsia="標楷體" w:hint="eastAsia"/>
          <w:sz w:val="26"/>
          <w:szCs w:val="26"/>
        </w:rPr>
        <w:t>38,343</w:t>
      </w:r>
      <w:r w:rsidRPr="003156B5">
        <w:rPr>
          <w:rFonts w:eastAsia="標楷體"/>
          <w:sz w:val="26"/>
          <w:szCs w:val="26"/>
        </w:rPr>
        <w:t>, NT$</w:t>
      </w:r>
      <w:r w:rsidR="006E0F4E" w:rsidRPr="003156B5">
        <w:rPr>
          <w:rFonts w:eastAsia="標楷體" w:hint="eastAsia"/>
          <w:sz w:val="26"/>
          <w:szCs w:val="26"/>
        </w:rPr>
        <w:t>26,884</w:t>
      </w:r>
      <w:r w:rsidRPr="003156B5">
        <w:rPr>
          <w:rFonts w:eastAsia="標楷體"/>
          <w:sz w:val="26"/>
          <w:szCs w:val="26"/>
        </w:rPr>
        <w:t>, and NT$21,</w:t>
      </w:r>
      <w:r w:rsidR="006E0F4E" w:rsidRPr="003156B5">
        <w:rPr>
          <w:rFonts w:eastAsia="標楷體" w:hint="eastAsia"/>
          <w:sz w:val="26"/>
          <w:szCs w:val="26"/>
        </w:rPr>
        <w:t>9</w:t>
      </w:r>
      <w:r w:rsidRPr="003156B5">
        <w:rPr>
          <w:rFonts w:eastAsia="標楷體"/>
          <w:sz w:val="26"/>
          <w:szCs w:val="26"/>
        </w:rPr>
        <w:t>00</w:t>
      </w:r>
      <w:r w:rsidR="00F80E54" w:rsidRPr="003156B5">
        <w:rPr>
          <w:rFonts w:eastAsia="標楷體"/>
          <w:sz w:val="26"/>
          <w:szCs w:val="26"/>
        </w:rPr>
        <w:t xml:space="preserve">, </w:t>
      </w:r>
      <w:r w:rsidRPr="003156B5">
        <w:rPr>
          <w:rFonts w:eastAsia="標楷體"/>
          <w:sz w:val="26"/>
          <w:szCs w:val="26"/>
        </w:rPr>
        <w:t xml:space="preserve">respectively, with </w:t>
      </w:r>
      <w:r w:rsidR="00DB1EE7" w:rsidRPr="003156B5">
        <w:rPr>
          <w:rFonts w:eastAsia="標楷體"/>
          <w:sz w:val="26"/>
          <w:szCs w:val="26"/>
        </w:rPr>
        <w:t xml:space="preserve">the highest </w:t>
      </w:r>
      <w:r w:rsidR="00DB1EE7" w:rsidRPr="003156B5">
        <w:rPr>
          <w:rFonts w:eastAsia="標楷體" w:hint="eastAsia"/>
          <w:sz w:val="26"/>
          <w:szCs w:val="26"/>
        </w:rPr>
        <w:t>for</w:t>
      </w:r>
      <w:r w:rsidR="00DB1EE7" w:rsidRPr="003156B5">
        <w:rPr>
          <w:rFonts w:eastAsia="標楷體"/>
          <w:sz w:val="26"/>
          <w:szCs w:val="26"/>
        </w:rPr>
        <w:t xml:space="preserve"> professional and technical personnel </w:t>
      </w:r>
      <w:r w:rsidR="00DB1EE7" w:rsidRPr="003156B5">
        <w:rPr>
          <w:rFonts w:eastAsia="標楷體" w:hint="eastAsia"/>
          <w:sz w:val="26"/>
          <w:szCs w:val="26"/>
        </w:rPr>
        <w:t xml:space="preserve">at </w:t>
      </w:r>
      <w:r w:rsidR="00DB1EE7" w:rsidRPr="003156B5">
        <w:rPr>
          <w:rFonts w:eastAsia="標楷體"/>
          <w:sz w:val="26"/>
          <w:szCs w:val="26"/>
        </w:rPr>
        <w:t>NT$</w:t>
      </w:r>
      <w:r w:rsidR="00E01E97" w:rsidRPr="003156B5">
        <w:rPr>
          <w:rFonts w:eastAsia="標楷體" w:hint="eastAsia"/>
          <w:sz w:val="26"/>
          <w:szCs w:val="26"/>
        </w:rPr>
        <w:t>70</w:t>
      </w:r>
      <w:r w:rsidR="00DB1EE7" w:rsidRPr="003156B5">
        <w:rPr>
          <w:rFonts w:eastAsia="標楷體"/>
          <w:sz w:val="26"/>
          <w:szCs w:val="26"/>
        </w:rPr>
        <w:t>,</w:t>
      </w:r>
      <w:r w:rsidR="006E0F4E" w:rsidRPr="003156B5">
        <w:rPr>
          <w:rFonts w:eastAsia="標楷體" w:hint="eastAsia"/>
          <w:sz w:val="26"/>
          <w:szCs w:val="26"/>
        </w:rPr>
        <w:t>709</w:t>
      </w:r>
      <w:r w:rsidRPr="003156B5">
        <w:rPr>
          <w:rFonts w:eastAsia="標楷體"/>
          <w:sz w:val="26"/>
          <w:szCs w:val="26"/>
        </w:rPr>
        <w:t xml:space="preserve">, followed by teaching personnel from public and private institutions </w:t>
      </w:r>
      <w:r w:rsidR="00F80E54" w:rsidRPr="003156B5">
        <w:rPr>
          <w:rFonts w:eastAsia="標楷體"/>
          <w:sz w:val="26"/>
          <w:szCs w:val="26"/>
        </w:rPr>
        <w:t>and</w:t>
      </w:r>
      <w:r w:rsidRPr="003156B5">
        <w:rPr>
          <w:rFonts w:eastAsia="標楷體"/>
          <w:sz w:val="26"/>
          <w:szCs w:val="26"/>
        </w:rPr>
        <w:t xml:space="preserve"> government employees</w:t>
      </w:r>
      <w:r w:rsidR="001C0A12" w:rsidRPr="003156B5">
        <w:rPr>
          <w:rFonts w:eastAsia="標楷體" w:hint="eastAsia"/>
          <w:sz w:val="26"/>
          <w:szCs w:val="26"/>
        </w:rPr>
        <w:t xml:space="preserve"> at </w:t>
      </w:r>
      <w:r w:rsidR="001C0A12" w:rsidRPr="003156B5">
        <w:rPr>
          <w:rFonts w:eastAsia="標楷體"/>
          <w:sz w:val="26"/>
          <w:szCs w:val="26"/>
        </w:rPr>
        <w:t>NT$</w:t>
      </w:r>
      <w:r w:rsidR="006E0F4E" w:rsidRPr="003156B5">
        <w:rPr>
          <w:rFonts w:eastAsia="標楷體" w:hint="eastAsia"/>
          <w:sz w:val="26"/>
          <w:szCs w:val="26"/>
        </w:rPr>
        <w:t>57,758</w:t>
      </w:r>
      <w:r w:rsidRPr="003156B5">
        <w:rPr>
          <w:rFonts w:eastAsia="標楷體"/>
          <w:sz w:val="26"/>
          <w:szCs w:val="26"/>
        </w:rPr>
        <w:t xml:space="preserve">. </w:t>
      </w:r>
      <w:r w:rsidR="004548F5" w:rsidRPr="003156B5">
        <w:rPr>
          <w:rStyle w:val="yiv783880447apple-style-span"/>
          <w:rFonts w:ascii="'Times New Roman'" w:hAnsi="'Times New Roman'"/>
          <w:sz w:val="26"/>
          <w:szCs w:val="26"/>
        </w:rPr>
        <w:t xml:space="preserve">The premiums for Category 4 and 5 were </w:t>
      </w:r>
      <w:r w:rsidR="00B102C0" w:rsidRPr="003156B5">
        <w:rPr>
          <w:rStyle w:val="yiv783880447apple-style-span"/>
          <w:rFonts w:ascii="'Times New Roman'" w:hAnsi="'Times New Roman'"/>
          <w:sz w:val="26"/>
          <w:szCs w:val="26"/>
        </w:rPr>
        <w:t>the same,</w:t>
      </w:r>
      <w:r w:rsidR="004548F5" w:rsidRPr="003156B5">
        <w:rPr>
          <w:rStyle w:val="yiv783880447apple-style-span"/>
          <w:rFonts w:ascii="'Times New Roman'" w:hAnsi="'Times New Roman'"/>
          <w:sz w:val="26"/>
          <w:szCs w:val="26"/>
        </w:rPr>
        <w:t xml:space="preserve"> at NT$1,367</w:t>
      </w:r>
      <w:r w:rsidR="00B102C0" w:rsidRPr="003156B5">
        <w:rPr>
          <w:rStyle w:val="yiv783880447apple-style-span"/>
          <w:rFonts w:ascii="'Times New Roman'" w:hAnsi="'Times New Roman'"/>
          <w:sz w:val="26"/>
          <w:szCs w:val="26"/>
        </w:rPr>
        <w:t>,</w:t>
      </w:r>
      <w:r w:rsidR="00B102C0" w:rsidRPr="003156B5">
        <w:rPr>
          <w:rFonts w:eastAsia="標楷體"/>
          <w:sz w:val="26"/>
          <w:szCs w:val="26"/>
        </w:rPr>
        <w:t xml:space="preserve"> and</w:t>
      </w:r>
      <w:r w:rsidR="00641D74" w:rsidRPr="003156B5">
        <w:rPr>
          <w:rFonts w:eastAsia="標楷體" w:hint="eastAsia"/>
          <w:sz w:val="26"/>
          <w:szCs w:val="26"/>
        </w:rPr>
        <w:t xml:space="preserve"> was</w:t>
      </w:r>
      <w:r w:rsidRPr="003156B5">
        <w:rPr>
          <w:rFonts w:eastAsia="標楷體"/>
          <w:sz w:val="26"/>
          <w:szCs w:val="26"/>
        </w:rPr>
        <w:t xml:space="preserve"> NT$1,</w:t>
      </w:r>
      <w:r w:rsidR="00E01E97" w:rsidRPr="003156B5">
        <w:rPr>
          <w:rFonts w:eastAsia="標楷體" w:hint="eastAsia"/>
          <w:sz w:val="26"/>
          <w:szCs w:val="26"/>
        </w:rPr>
        <w:t>249</w:t>
      </w:r>
      <w:r w:rsidR="00641D74" w:rsidRPr="003156B5">
        <w:rPr>
          <w:rFonts w:eastAsia="標楷體" w:hint="eastAsia"/>
          <w:sz w:val="26"/>
          <w:szCs w:val="26"/>
        </w:rPr>
        <w:t xml:space="preserve"> for Category 6</w:t>
      </w:r>
      <w:r w:rsidRPr="003156B5">
        <w:rPr>
          <w:rFonts w:eastAsia="標楷體"/>
          <w:sz w:val="26"/>
          <w:szCs w:val="26"/>
        </w:rPr>
        <w:t>.</w:t>
      </w:r>
      <w:r w:rsidR="006E0F4E" w:rsidRPr="003156B5">
        <w:rPr>
          <w:rFonts w:eastAsia="標楷體" w:hint="eastAsia"/>
          <w:sz w:val="26"/>
          <w:szCs w:val="26"/>
        </w:rPr>
        <w:t xml:space="preserve"> </w:t>
      </w:r>
      <w:r w:rsidR="00B102C0" w:rsidRPr="003156B5">
        <w:rPr>
          <w:rFonts w:eastAsia="標楷體"/>
          <w:sz w:val="26"/>
          <w:szCs w:val="26"/>
        </w:rPr>
        <w:t>When broken down by the insured payroll-related amount, the number of insured was largest at NT$21,</w:t>
      </w:r>
      <w:r w:rsidR="00D26B0A" w:rsidRPr="003156B5">
        <w:rPr>
          <w:rFonts w:eastAsia="標楷體" w:hint="eastAsia"/>
          <w:sz w:val="26"/>
          <w:szCs w:val="26"/>
        </w:rPr>
        <w:t>9</w:t>
      </w:r>
      <w:r w:rsidR="00B102C0" w:rsidRPr="003156B5">
        <w:rPr>
          <w:rFonts w:eastAsia="標楷體"/>
          <w:sz w:val="26"/>
          <w:szCs w:val="26"/>
        </w:rPr>
        <w:t xml:space="preserve">00, with </w:t>
      </w:r>
      <w:r w:rsidR="00D26B0A" w:rsidRPr="003156B5">
        <w:rPr>
          <w:rFonts w:eastAsia="標楷體" w:hint="eastAsia"/>
          <w:sz w:val="26"/>
          <w:szCs w:val="26"/>
        </w:rPr>
        <w:t>3,374,015</w:t>
      </w:r>
      <w:r w:rsidR="00B102C0" w:rsidRPr="003156B5">
        <w:rPr>
          <w:rFonts w:eastAsia="標楷體"/>
          <w:sz w:val="26"/>
          <w:szCs w:val="26"/>
        </w:rPr>
        <w:t xml:space="preserve"> individuals </w:t>
      </w:r>
      <w:r w:rsidR="003E326D">
        <w:rPr>
          <w:rFonts w:eastAsia="標楷體"/>
          <w:sz w:val="26"/>
          <w:szCs w:val="26"/>
        </w:rPr>
        <w:t>(</w:t>
      </w:r>
      <w:r w:rsidR="00D26B0A" w:rsidRPr="003156B5">
        <w:rPr>
          <w:rFonts w:eastAsia="標楷體" w:hint="eastAsia"/>
          <w:sz w:val="26"/>
          <w:szCs w:val="26"/>
        </w:rPr>
        <w:t>22.4</w:t>
      </w:r>
      <w:r w:rsidR="00B102C0" w:rsidRPr="003156B5">
        <w:rPr>
          <w:rFonts w:eastAsia="標楷體"/>
          <w:sz w:val="26"/>
          <w:szCs w:val="26"/>
        </w:rPr>
        <w:t>%</w:t>
      </w:r>
      <w:r w:rsidR="003E326D">
        <w:rPr>
          <w:rFonts w:eastAsia="標楷體"/>
          <w:sz w:val="26"/>
          <w:szCs w:val="26"/>
        </w:rPr>
        <w:t>)</w:t>
      </w:r>
      <w:r w:rsidR="00B102C0" w:rsidRPr="003156B5">
        <w:rPr>
          <w:rFonts w:eastAsia="標楷體"/>
          <w:sz w:val="26"/>
          <w:szCs w:val="26"/>
        </w:rPr>
        <w:t>, followed by NT$17,</w:t>
      </w:r>
      <w:r w:rsidR="00D26B0A" w:rsidRPr="003156B5">
        <w:rPr>
          <w:rFonts w:eastAsia="標楷體" w:hint="eastAsia"/>
          <w:sz w:val="26"/>
          <w:szCs w:val="26"/>
        </w:rPr>
        <w:t>8</w:t>
      </w:r>
      <w:r w:rsidR="00B102C0" w:rsidRPr="003156B5">
        <w:rPr>
          <w:rFonts w:eastAsia="標楷體"/>
          <w:sz w:val="26"/>
          <w:szCs w:val="26"/>
        </w:rPr>
        <w:t xml:space="preserve">80, with </w:t>
      </w:r>
      <w:r w:rsidR="00D26B0A" w:rsidRPr="003156B5">
        <w:rPr>
          <w:rFonts w:eastAsia="標楷體" w:hint="eastAsia"/>
          <w:sz w:val="26"/>
          <w:szCs w:val="26"/>
        </w:rPr>
        <w:t>1,568,616</w:t>
      </w:r>
      <w:r w:rsidR="00B102C0" w:rsidRPr="003156B5">
        <w:rPr>
          <w:rFonts w:eastAsia="標楷體"/>
          <w:sz w:val="26"/>
          <w:szCs w:val="26"/>
        </w:rPr>
        <w:t xml:space="preserve"> individuals </w:t>
      </w:r>
      <w:r w:rsidR="003E326D">
        <w:rPr>
          <w:rFonts w:eastAsia="標楷體"/>
          <w:sz w:val="26"/>
          <w:szCs w:val="26"/>
        </w:rPr>
        <w:t>(</w:t>
      </w:r>
      <w:r w:rsidR="00D26B0A" w:rsidRPr="003156B5">
        <w:rPr>
          <w:rFonts w:eastAsia="標楷體" w:hint="eastAsia"/>
          <w:sz w:val="26"/>
          <w:szCs w:val="26"/>
        </w:rPr>
        <w:t>10.4</w:t>
      </w:r>
      <w:r w:rsidR="00B102C0" w:rsidRPr="003156B5">
        <w:rPr>
          <w:rFonts w:eastAsia="標楷體"/>
          <w:sz w:val="26"/>
          <w:szCs w:val="26"/>
        </w:rPr>
        <w:t>%</w:t>
      </w:r>
      <w:r w:rsidR="003E326D">
        <w:rPr>
          <w:rFonts w:eastAsia="標楷體"/>
          <w:sz w:val="26"/>
          <w:szCs w:val="26"/>
        </w:rPr>
        <w:t>)</w:t>
      </w:r>
      <w:r w:rsidR="00B102C0" w:rsidRPr="003156B5">
        <w:rPr>
          <w:rFonts w:eastAsia="標楷體"/>
          <w:sz w:val="26"/>
          <w:szCs w:val="26"/>
        </w:rPr>
        <w:t>.</w:t>
      </w:r>
    </w:p>
    <w:p w:rsidR="00DA765C" w:rsidRPr="003156B5" w:rsidRDefault="00DA765C" w:rsidP="00747A79">
      <w:pPr>
        <w:spacing w:beforeLines="50" w:afterLines="50" w:line="360" w:lineRule="exact"/>
        <w:ind w:left="284" w:firstLineChars="235" w:firstLine="611"/>
        <w:jc w:val="both"/>
        <w:rPr>
          <w:rStyle w:val="yiv783880447apple-style-span"/>
          <w:rFonts w:ascii="'Times New Roman'" w:hAnsi="'Times New Roman'"/>
          <w:sz w:val="26"/>
          <w:szCs w:val="26"/>
        </w:rPr>
      </w:pPr>
      <w:r w:rsidRPr="003156B5">
        <w:rPr>
          <w:rStyle w:val="yiv783880447apple-style-span"/>
          <w:rFonts w:ascii="'Times New Roman'" w:hAnsi="'Times New Roman'"/>
          <w:sz w:val="26"/>
          <w:szCs w:val="26"/>
        </w:rPr>
        <w:t xml:space="preserve">Analyzed by gender and age group, the average insured payroll-rated amount for category 1, 2 and 3 beneficiaries as at the end of 2011 was NT$36,653 for males and NT$30,347 for females. For males, the age group of 55–59 had the highest average insured amount of NT$41,767, which was followed by the group of 40–44 </w:t>
      </w:r>
      <w:r w:rsidR="003E326D">
        <w:rPr>
          <w:rStyle w:val="yiv783880447apple-style-span"/>
          <w:sz w:val="26"/>
          <w:szCs w:val="26"/>
        </w:rPr>
        <w:t>(</w:t>
      </w:r>
      <w:r w:rsidRPr="003156B5">
        <w:rPr>
          <w:rStyle w:val="yiv783880447apple-style-span"/>
          <w:rFonts w:ascii="'Times New Roman'" w:hAnsi="'Times New Roman'"/>
          <w:sz w:val="26"/>
          <w:szCs w:val="26"/>
        </w:rPr>
        <w:t>NT$41,760</w:t>
      </w:r>
      <w:r w:rsidR="003E326D">
        <w:rPr>
          <w:rStyle w:val="yiv783880447apple-style-span"/>
          <w:sz w:val="26"/>
          <w:szCs w:val="26"/>
        </w:rPr>
        <w:t>)</w:t>
      </w:r>
      <w:r w:rsidRPr="003156B5">
        <w:rPr>
          <w:rStyle w:val="yiv783880447apple-style-span"/>
          <w:rFonts w:ascii="'Times New Roman'" w:hAnsi="'Times New Roman'"/>
          <w:sz w:val="26"/>
          <w:szCs w:val="26"/>
        </w:rPr>
        <w:t xml:space="preserve">. For females, the age group of 55–59 and 40–44 had the highest average insured amount of NT$33,239. It was followed by the group of 45–49 </w:t>
      </w:r>
      <w:r w:rsidR="00DB2AAC">
        <w:rPr>
          <w:rStyle w:val="yiv783880447apple-style-span"/>
          <w:sz w:val="26"/>
          <w:szCs w:val="26"/>
        </w:rPr>
        <w:t>(</w:t>
      </w:r>
      <w:r w:rsidRPr="003156B5">
        <w:rPr>
          <w:rStyle w:val="yiv783880447apple-style-span"/>
          <w:rFonts w:ascii="'Times New Roman'" w:hAnsi="'Times New Roman'"/>
          <w:sz w:val="26"/>
          <w:szCs w:val="26"/>
        </w:rPr>
        <w:t>NT$33,161</w:t>
      </w:r>
      <w:r w:rsidR="00DB2AAC">
        <w:rPr>
          <w:rStyle w:val="yiv783880447apple-style-span"/>
          <w:sz w:val="26"/>
          <w:szCs w:val="26"/>
        </w:rPr>
        <w:t>)</w:t>
      </w:r>
      <w:r w:rsidRPr="003156B5">
        <w:rPr>
          <w:rStyle w:val="yiv783880447apple-style-span"/>
          <w:rFonts w:ascii="'Times New Roman'" w:hAnsi="'Times New Roman'"/>
          <w:sz w:val="26"/>
          <w:szCs w:val="26"/>
        </w:rPr>
        <w:t>.</w:t>
      </w:r>
    </w:p>
    <w:p w:rsidR="00D2787E" w:rsidRPr="003156B5" w:rsidRDefault="001738EA" w:rsidP="00921AC8">
      <w:pPr>
        <w:autoSpaceDN w:val="0"/>
        <w:spacing w:line="240" w:lineRule="auto"/>
        <w:jc w:val="center"/>
        <w:rPr>
          <w:rFonts w:eastAsia="標楷體"/>
          <w:sz w:val="26"/>
          <w:szCs w:val="26"/>
        </w:rPr>
      </w:pPr>
      <w:r w:rsidRPr="001738EA">
        <w:rPr>
          <w:noProof/>
          <w:szCs w:val="26"/>
        </w:rPr>
        <w:lastRenderedPageBreak/>
        <w:drawing>
          <wp:inline distT="0" distB="0" distL="0" distR="0">
            <wp:extent cx="5928525" cy="3196425"/>
            <wp:effectExtent l="19050" t="0" r="0" b="0"/>
            <wp:docPr id="12" name="圖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6F5ED5" w:rsidRPr="003156B5" w:rsidRDefault="00B102C0" w:rsidP="00747A79">
      <w:pPr>
        <w:spacing w:beforeLines="50" w:afterLines="50" w:line="420" w:lineRule="exact"/>
        <w:ind w:left="284" w:firstLineChars="235" w:firstLine="611"/>
        <w:jc w:val="both"/>
        <w:rPr>
          <w:rFonts w:eastAsia="標楷體"/>
          <w:sz w:val="26"/>
          <w:szCs w:val="26"/>
        </w:rPr>
      </w:pPr>
      <w:r w:rsidRPr="003156B5">
        <w:rPr>
          <w:rFonts w:eastAsia="標楷體"/>
          <w:sz w:val="26"/>
          <w:szCs w:val="26"/>
        </w:rPr>
        <w:t xml:space="preserve">When broken down by the average insured payroll-related amount and taking into consideration the effects of the global economic recession, the average insured payroll-related amount for Category 1 increased by only </w:t>
      </w:r>
      <w:r w:rsidR="000E2D2C" w:rsidRPr="003156B5">
        <w:rPr>
          <w:rFonts w:eastAsia="標楷體" w:hint="eastAsia"/>
          <w:sz w:val="26"/>
          <w:szCs w:val="26"/>
        </w:rPr>
        <w:t>2.0</w:t>
      </w:r>
      <w:r w:rsidRPr="003156B5">
        <w:rPr>
          <w:rFonts w:eastAsia="標楷體"/>
          <w:sz w:val="26"/>
          <w:szCs w:val="26"/>
        </w:rPr>
        <w:t xml:space="preserve">% over the previous year, of which Item </w:t>
      </w:r>
      <w:r w:rsidR="000E2D2C" w:rsidRPr="003156B5">
        <w:rPr>
          <w:rFonts w:eastAsia="標楷體" w:hint="eastAsia"/>
          <w:sz w:val="26"/>
          <w:szCs w:val="26"/>
        </w:rPr>
        <w:t>5</w:t>
      </w:r>
      <w:r w:rsidRPr="003156B5">
        <w:rPr>
          <w:rFonts w:eastAsia="標楷體"/>
          <w:sz w:val="26"/>
          <w:szCs w:val="26"/>
        </w:rPr>
        <w:t xml:space="preserve"> of Category 1 had the highest average annual increase </w:t>
      </w:r>
      <w:r w:rsidR="003E326D">
        <w:rPr>
          <w:rFonts w:eastAsia="標楷體"/>
          <w:sz w:val="26"/>
          <w:szCs w:val="26"/>
        </w:rPr>
        <w:t>(</w:t>
      </w:r>
      <w:r w:rsidR="000E2D2C" w:rsidRPr="003156B5">
        <w:rPr>
          <w:rFonts w:eastAsia="標楷體" w:hint="eastAsia"/>
          <w:sz w:val="26"/>
          <w:szCs w:val="26"/>
        </w:rPr>
        <w:t>7.5</w:t>
      </w:r>
      <w:r w:rsidRPr="003156B5">
        <w:rPr>
          <w:rFonts w:eastAsia="標楷體"/>
          <w:sz w:val="26"/>
          <w:szCs w:val="26"/>
        </w:rPr>
        <w:t>%</w:t>
      </w:r>
      <w:r w:rsidR="003E326D">
        <w:rPr>
          <w:rFonts w:eastAsia="標楷體"/>
          <w:sz w:val="26"/>
          <w:szCs w:val="26"/>
        </w:rPr>
        <w:t>)</w:t>
      </w:r>
      <w:r w:rsidRPr="003156B5">
        <w:rPr>
          <w:rFonts w:eastAsia="標楷體"/>
          <w:sz w:val="26"/>
          <w:szCs w:val="26"/>
        </w:rPr>
        <w:t xml:space="preserve"> over the past ten years; Category 2 increased by </w:t>
      </w:r>
      <w:r w:rsidR="000E2D2C" w:rsidRPr="003156B5">
        <w:rPr>
          <w:rFonts w:eastAsia="標楷體" w:hint="eastAsia"/>
          <w:sz w:val="26"/>
          <w:szCs w:val="26"/>
        </w:rPr>
        <w:t>4.2</w:t>
      </w:r>
      <w:r w:rsidRPr="003156B5">
        <w:rPr>
          <w:rFonts w:eastAsia="標楷體"/>
          <w:sz w:val="26"/>
          <w:szCs w:val="26"/>
        </w:rPr>
        <w:t>%, with an average annual increase of 2.</w:t>
      </w:r>
      <w:r w:rsidR="000E2D2C" w:rsidRPr="003156B5">
        <w:rPr>
          <w:rFonts w:eastAsia="標楷體" w:hint="eastAsia"/>
          <w:sz w:val="26"/>
          <w:szCs w:val="26"/>
        </w:rPr>
        <w:t>9</w:t>
      </w:r>
      <w:r w:rsidRPr="003156B5">
        <w:rPr>
          <w:rFonts w:eastAsia="標楷體"/>
          <w:sz w:val="26"/>
          <w:szCs w:val="26"/>
        </w:rPr>
        <w:t>%. The average insured payroll-related amount for Category 3 increased from NT$16,501 by the end of 1995 to NT$19,200 by the end of 1998, and was adjusted a</w:t>
      </w:r>
      <w:r w:rsidR="003E326D">
        <w:rPr>
          <w:rFonts w:eastAsia="標楷體"/>
          <w:sz w:val="26"/>
          <w:szCs w:val="26"/>
        </w:rPr>
        <w:t>gain to NT$21,000 by the end of</w:t>
      </w:r>
      <w:r w:rsidR="003E326D">
        <w:rPr>
          <w:rFonts w:eastAsia="標楷體" w:hint="eastAsia"/>
          <w:sz w:val="26"/>
          <w:szCs w:val="26"/>
        </w:rPr>
        <w:t xml:space="preserve"> </w:t>
      </w:r>
      <w:r w:rsidRPr="003156B5">
        <w:rPr>
          <w:rFonts w:eastAsia="標楷體"/>
          <w:sz w:val="26"/>
          <w:szCs w:val="26"/>
        </w:rPr>
        <w:t>2007</w:t>
      </w:r>
      <w:r w:rsidR="00476810" w:rsidRPr="003156B5">
        <w:rPr>
          <w:rFonts w:eastAsia="標楷體" w:hint="eastAsia"/>
          <w:sz w:val="26"/>
          <w:szCs w:val="26"/>
        </w:rPr>
        <w:t>.</w:t>
      </w:r>
      <w:r w:rsidR="00F024D3" w:rsidRPr="003156B5">
        <w:rPr>
          <w:rFonts w:eastAsia="標楷體"/>
          <w:sz w:val="26"/>
          <w:szCs w:val="26"/>
        </w:rPr>
        <w:t xml:space="preserve"> </w:t>
      </w:r>
      <w:proofErr w:type="gramStart"/>
      <w:r w:rsidR="00F024D3" w:rsidRPr="003156B5">
        <w:rPr>
          <w:rFonts w:eastAsia="標楷體" w:hint="eastAsia"/>
          <w:sz w:val="26"/>
          <w:szCs w:val="26"/>
        </w:rPr>
        <w:t>it</w:t>
      </w:r>
      <w:proofErr w:type="gramEnd"/>
      <w:r w:rsidR="00F024D3" w:rsidRPr="003156B5">
        <w:rPr>
          <w:rFonts w:eastAsia="標楷體"/>
          <w:sz w:val="26"/>
          <w:szCs w:val="26"/>
        </w:rPr>
        <w:t xml:space="preserve"> was adjusted again to NT$21,</w:t>
      </w:r>
      <w:r w:rsidR="00F024D3" w:rsidRPr="003156B5">
        <w:rPr>
          <w:rFonts w:eastAsia="標楷體" w:hint="eastAsia"/>
          <w:sz w:val="26"/>
          <w:szCs w:val="26"/>
        </w:rPr>
        <w:t>9</w:t>
      </w:r>
      <w:r w:rsidR="00F024D3" w:rsidRPr="003156B5">
        <w:rPr>
          <w:rFonts w:eastAsia="標楷體"/>
          <w:sz w:val="26"/>
          <w:szCs w:val="26"/>
        </w:rPr>
        <w:t>00</w:t>
      </w:r>
      <w:r w:rsidR="00F024D3" w:rsidRPr="003156B5">
        <w:rPr>
          <w:rFonts w:eastAsia="標楷體" w:hint="eastAsia"/>
          <w:sz w:val="26"/>
          <w:szCs w:val="26"/>
        </w:rPr>
        <w:t xml:space="preserve"> from Apr 201</w:t>
      </w:r>
      <w:r w:rsidR="006A63EA">
        <w:rPr>
          <w:rFonts w:eastAsia="標楷體" w:hint="eastAsia"/>
          <w:sz w:val="26"/>
          <w:szCs w:val="26"/>
        </w:rPr>
        <w:t>1</w:t>
      </w:r>
      <w:r w:rsidR="000E2D2C" w:rsidRPr="003156B5">
        <w:rPr>
          <w:rFonts w:eastAsia="標楷體" w:hint="eastAsia"/>
          <w:sz w:val="26"/>
          <w:szCs w:val="26"/>
        </w:rPr>
        <w:t>.</w:t>
      </w:r>
      <w:r w:rsidR="00F024D3" w:rsidRPr="003156B5">
        <w:rPr>
          <w:rFonts w:eastAsia="標楷體" w:hint="eastAsia"/>
          <w:sz w:val="26"/>
          <w:szCs w:val="26"/>
        </w:rPr>
        <w:t xml:space="preserve"> </w:t>
      </w:r>
    </w:p>
    <w:p w:rsidR="006C7309" w:rsidRPr="003156B5" w:rsidRDefault="00F3777B" w:rsidP="00921AC8">
      <w:pPr>
        <w:autoSpaceDN w:val="0"/>
        <w:spacing w:line="240" w:lineRule="auto"/>
        <w:ind w:firstLineChars="109" w:firstLine="283"/>
        <w:jc w:val="center"/>
        <w:rPr>
          <w:rFonts w:eastAsia="標楷體"/>
          <w:sz w:val="26"/>
          <w:szCs w:val="26"/>
        </w:rPr>
      </w:pPr>
      <w:r w:rsidRPr="003156B5">
        <w:rPr>
          <w:rFonts w:eastAsia="標楷體"/>
          <w:noProof/>
          <w:sz w:val="26"/>
          <w:szCs w:val="26"/>
        </w:rPr>
        <w:drawing>
          <wp:inline distT="0" distB="0" distL="0" distR="0">
            <wp:extent cx="5263764" cy="3108960"/>
            <wp:effectExtent l="0" t="0" r="0" b="0"/>
            <wp:docPr id="28" name="圖表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6C7309" w:rsidRPr="003156B5" w:rsidRDefault="00FE0F54" w:rsidP="001F159B">
      <w:pPr>
        <w:autoSpaceDN w:val="0"/>
        <w:spacing w:after="120"/>
        <w:jc w:val="both"/>
        <w:rPr>
          <w:rFonts w:eastAsia="標楷體"/>
          <w:b/>
          <w:sz w:val="26"/>
          <w:szCs w:val="26"/>
        </w:rPr>
      </w:pPr>
      <w:r w:rsidRPr="003156B5">
        <w:rPr>
          <w:rFonts w:eastAsia="標楷體" w:hint="eastAsia"/>
          <w:b/>
          <w:sz w:val="26"/>
          <w:szCs w:val="26"/>
        </w:rPr>
        <w:lastRenderedPageBreak/>
        <w:t>（</w:t>
      </w:r>
      <w:r w:rsidRPr="003156B5">
        <w:rPr>
          <w:rFonts w:eastAsia="標楷體" w:hint="eastAsia"/>
          <w:b/>
          <w:sz w:val="26"/>
          <w:szCs w:val="26"/>
        </w:rPr>
        <w:t>4</w:t>
      </w:r>
      <w:r w:rsidRPr="003156B5">
        <w:rPr>
          <w:rFonts w:eastAsia="標楷體" w:hint="eastAsia"/>
          <w:b/>
          <w:sz w:val="26"/>
          <w:szCs w:val="26"/>
        </w:rPr>
        <w:t>）</w:t>
      </w:r>
      <w:r w:rsidR="006C7309" w:rsidRPr="003156B5">
        <w:rPr>
          <w:rFonts w:eastAsia="標楷體"/>
          <w:b/>
          <w:sz w:val="26"/>
          <w:szCs w:val="26"/>
        </w:rPr>
        <w:t>Premium Receivable</w:t>
      </w:r>
      <w:r w:rsidR="00D969D0" w:rsidRPr="003156B5">
        <w:rPr>
          <w:rFonts w:eastAsia="標楷體" w:hint="eastAsia"/>
          <w:b/>
          <w:sz w:val="26"/>
          <w:szCs w:val="26"/>
        </w:rPr>
        <w:t>s</w:t>
      </w:r>
    </w:p>
    <w:p w:rsidR="006C7309" w:rsidRPr="003156B5" w:rsidRDefault="004F76F6" w:rsidP="00FE0F54">
      <w:pPr>
        <w:autoSpaceDN w:val="0"/>
        <w:spacing w:after="120" w:line="320" w:lineRule="atLeast"/>
        <w:ind w:left="284"/>
        <w:jc w:val="both"/>
        <w:rPr>
          <w:rFonts w:eastAsia="標楷體"/>
          <w:b/>
          <w:sz w:val="26"/>
          <w:szCs w:val="26"/>
        </w:rPr>
      </w:pPr>
      <w:r w:rsidRPr="003156B5">
        <w:rPr>
          <w:rFonts w:eastAsia="標楷體"/>
          <w:b/>
          <w:sz w:val="26"/>
          <w:szCs w:val="26"/>
        </w:rPr>
        <w:t>The average annual increase of premium contributions in 200</w:t>
      </w:r>
      <w:r w:rsidR="00652384" w:rsidRPr="003156B5">
        <w:rPr>
          <w:rFonts w:eastAsia="標楷體" w:hint="eastAsia"/>
          <w:b/>
          <w:sz w:val="26"/>
          <w:szCs w:val="26"/>
        </w:rPr>
        <w:t>1</w:t>
      </w:r>
      <w:r w:rsidRPr="003156B5">
        <w:rPr>
          <w:rFonts w:eastAsia="標楷體"/>
          <w:b/>
          <w:sz w:val="26"/>
          <w:szCs w:val="26"/>
        </w:rPr>
        <w:t>–201</w:t>
      </w:r>
      <w:r w:rsidR="00652384" w:rsidRPr="003156B5">
        <w:rPr>
          <w:rFonts w:eastAsia="標楷體" w:hint="eastAsia"/>
          <w:b/>
          <w:sz w:val="26"/>
          <w:szCs w:val="26"/>
        </w:rPr>
        <w:t>1</w:t>
      </w:r>
      <w:r w:rsidRPr="003156B5">
        <w:rPr>
          <w:rFonts w:eastAsia="標楷體"/>
          <w:b/>
          <w:sz w:val="26"/>
          <w:szCs w:val="26"/>
        </w:rPr>
        <w:t xml:space="preserve"> was 4.</w:t>
      </w:r>
      <w:r w:rsidR="00652384" w:rsidRPr="003156B5">
        <w:rPr>
          <w:rFonts w:eastAsia="標楷體" w:hint="eastAsia"/>
          <w:b/>
          <w:sz w:val="26"/>
          <w:szCs w:val="26"/>
        </w:rPr>
        <w:t>3</w:t>
      </w:r>
      <w:r w:rsidRPr="003156B5">
        <w:rPr>
          <w:rFonts w:eastAsia="標楷體"/>
          <w:b/>
          <w:sz w:val="26"/>
          <w:szCs w:val="26"/>
        </w:rPr>
        <w:t xml:space="preserve">% for beneficiaries, </w:t>
      </w:r>
      <w:r w:rsidR="00652384" w:rsidRPr="003156B5">
        <w:rPr>
          <w:rFonts w:eastAsia="標楷體" w:hint="eastAsia"/>
          <w:b/>
          <w:sz w:val="26"/>
          <w:szCs w:val="26"/>
        </w:rPr>
        <w:t>6.4</w:t>
      </w:r>
      <w:r w:rsidRPr="003156B5">
        <w:rPr>
          <w:rFonts w:eastAsia="標楷體"/>
          <w:b/>
          <w:sz w:val="26"/>
          <w:szCs w:val="26"/>
        </w:rPr>
        <w:t xml:space="preserve">% for group insurance applicants, and </w:t>
      </w:r>
      <w:r w:rsidR="00652384" w:rsidRPr="003156B5">
        <w:rPr>
          <w:rFonts w:eastAsia="標楷體" w:hint="eastAsia"/>
          <w:b/>
          <w:sz w:val="26"/>
          <w:szCs w:val="26"/>
        </w:rPr>
        <w:t>3.8</w:t>
      </w:r>
      <w:r w:rsidRPr="003156B5">
        <w:rPr>
          <w:rFonts w:eastAsia="標楷體"/>
          <w:b/>
          <w:sz w:val="26"/>
          <w:szCs w:val="26"/>
        </w:rPr>
        <w:t>% for government subsidies</w:t>
      </w:r>
      <w:r w:rsidR="006C7309" w:rsidRPr="003156B5">
        <w:rPr>
          <w:rFonts w:eastAsia="標楷體"/>
          <w:b/>
          <w:sz w:val="26"/>
          <w:szCs w:val="26"/>
        </w:rPr>
        <w:t>.</w:t>
      </w:r>
    </w:p>
    <w:p w:rsidR="004F76F6" w:rsidRPr="007F4963" w:rsidRDefault="004F76F6" w:rsidP="00747A79">
      <w:pPr>
        <w:spacing w:beforeLines="50" w:line="340" w:lineRule="exact"/>
        <w:ind w:left="284" w:firstLineChars="235" w:firstLine="611"/>
        <w:jc w:val="both"/>
        <w:rPr>
          <w:rFonts w:eastAsia="標楷體"/>
          <w:sz w:val="26"/>
          <w:szCs w:val="26"/>
        </w:rPr>
      </w:pPr>
      <w:r w:rsidRPr="003156B5">
        <w:rPr>
          <w:rFonts w:eastAsia="標楷體"/>
          <w:sz w:val="26"/>
          <w:szCs w:val="26"/>
        </w:rPr>
        <w:t xml:space="preserve">Premium revenues are the main source of funds for NHI. The rates of premium </w:t>
      </w:r>
      <w:r w:rsidRPr="007F4963">
        <w:rPr>
          <w:rFonts w:eastAsia="標楷體"/>
          <w:sz w:val="26"/>
          <w:szCs w:val="26"/>
        </w:rPr>
        <w:t xml:space="preserve">contributions vary by the type of insured. Category 4 </w:t>
      </w:r>
      <w:r w:rsidR="006E251F" w:rsidRPr="007F4963">
        <w:rPr>
          <w:rFonts w:eastAsia="標楷體" w:hint="eastAsia"/>
          <w:sz w:val="26"/>
          <w:szCs w:val="26"/>
        </w:rPr>
        <w:t>Compulsory Military Servicemen, and the Social Servicemen</w:t>
      </w:r>
      <w:r w:rsidRPr="007F4963">
        <w:rPr>
          <w:rFonts w:eastAsia="標楷體"/>
          <w:sz w:val="26"/>
          <w:szCs w:val="26"/>
        </w:rPr>
        <w:t>,</w:t>
      </w:r>
      <w:r w:rsidR="00502AF6" w:rsidRPr="007F4963">
        <w:rPr>
          <w:rFonts w:eastAsia="標楷體" w:hint="eastAsia"/>
          <w:sz w:val="26"/>
          <w:szCs w:val="26"/>
        </w:rPr>
        <w:t xml:space="preserve"> </w:t>
      </w:r>
      <w:r w:rsidR="00502AF6" w:rsidRPr="007F4963">
        <w:rPr>
          <w:rFonts w:eastAsia="標楷體"/>
          <w:sz w:val="26"/>
          <w:szCs w:val="26"/>
        </w:rPr>
        <w:t xml:space="preserve">Category </w:t>
      </w:r>
      <w:r w:rsidR="00502AF6" w:rsidRPr="007F4963">
        <w:rPr>
          <w:rFonts w:eastAsia="標楷體" w:hint="eastAsia"/>
          <w:sz w:val="26"/>
          <w:szCs w:val="26"/>
        </w:rPr>
        <w:t>5</w:t>
      </w:r>
      <w:r w:rsidRPr="007F4963">
        <w:rPr>
          <w:rFonts w:eastAsia="標楷體"/>
          <w:sz w:val="26"/>
          <w:szCs w:val="26"/>
        </w:rPr>
        <w:t xml:space="preserve"> low-income households, and </w:t>
      </w:r>
      <w:r w:rsidR="00502AF6" w:rsidRPr="007F4963">
        <w:rPr>
          <w:rFonts w:eastAsia="標楷體"/>
          <w:sz w:val="26"/>
          <w:szCs w:val="26"/>
        </w:rPr>
        <w:t xml:space="preserve">Category </w:t>
      </w:r>
      <w:r w:rsidR="00502AF6" w:rsidRPr="007F4963">
        <w:rPr>
          <w:rFonts w:eastAsia="標楷體" w:hint="eastAsia"/>
          <w:sz w:val="26"/>
          <w:szCs w:val="26"/>
        </w:rPr>
        <w:t xml:space="preserve">6 </w:t>
      </w:r>
      <w:r w:rsidRPr="007F4963">
        <w:rPr>
          <w:rFonts w:eastAsia="標楷體"/>
          <w:sz w:val="26"/>
          <w:szCs w:val="26"/>
        </w:rPr>
        <w:t>unemployed veterans receive full subsidies from the government.</w:t>
      </w:r>
    </w:p>
    <w:p w:rsidR="006C7309" w:rsidRPr="003156B5" w:rsidRDefault="008719B7" w:rsidP="00747A79">
      <w:pPr>
        <w:autoSpaceDN w:val="0"/>
        <w:spacing w:beforeLines="100" w:afterLines="100" w:line="240" w:lineRule="auto"/>
        <w:ind w:firstLineChars="200" w:firstLine="520"/>
        <w:jc w:val="center"/>
        <w:rPr>
          <w:rFonts w:eastAsia="標楷體"/>
          <w:sz w:val="26"/>
          <w:szCs w:val="26"/>
        </w:rPr>
      </w:pPr>
      <w:r w:rsidRPr="008719B7">
        <w:rPr>
          <w:rFonts w:eastAsia="標楷體"/>
          <w:noProof/>
          <w:sz w:val="26"/>
          <w:szCs w:val="26"/>
        </w:rPr>
        <w:drawing>
          <wp:inline distT="0" distB="0" distL="0" distR="0">
            <wp:extent cx="5497996" cy="2994494"/>
            <wp:effectExtent l="57150" t="19050" r="26504" b="0"/>
            <wp:docPr id="14" name="圖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6C7309" w:rsidRPr="003156B5" w:rsidRDefault="004F76F6" w:rsidP="00747A79">
      <w:pPr>
        <w:spacing w:beforeLines="50" w:line="380" w:lineRule="exact"/>
        <w:ind w:left="284" w:firstLineChars="235" w:firstLine="611"/>
        <w:jc w:val="both"/>
        <w:rPr>
          <w:rFonts w:eastAsia="標楷體"/>
          <w:sz w:val="26"/>
          <w:szCs w:val="26"/>
        </w:rPr>
      </w:pPr>
      <w:r w:rsidRPr="003156B5">
        <w:rPr>
          <w:rFonts w:eastAsia="標楷體"/>
          <w:sz w:val="26"/>
          <w:szCs w:val="26"/>
        </w:rPr>
        <w:t>Premium receivables were NT$4</w:t>
      </w:r>
      <w:r w:rsidR="00652384" w:rsidRPr="003156B5">
        <w:rPr>
          <w:rFonts w:eastAsia="標楷體" w:hint="eastAsia"/>
          <w:sz w:val="26"/>
          <w:szCs w:val="26"/>
        </w:rPr>
        <w:t>69</w:t>
      </w:r>
      <w:r w:rsidR="00B6049F" w:rsidRPr="003156B5">
        <w:rPr>
          <w:rFonts w:eastAsia="標楷體" w:hint="eastAsia"/>
          <w:sz w:val="26"/>
          <w:szCs w:val="26"/>
        </w:rPr>
        <w:t xml:space="preserve"> </w:t>
      </w:r>
      <w:r w:rsidRPr="003156B5">
        <w:rPr>
          <w:rFonts w:eastAsia="標楷體"/>
          <w:sz w:val="26"/>
          <w:szCs w:val="26"/>
        </w:rPr>
        <w:t>billion in 201</w:t>
      </w:r>
      <w:r w:rsidR="00652384" w:rsidRPr="003156B5">
        <w:rPr>
          <w:rFonts w:eastAsia="標楷體" w:hint="eastAsia"/>
          <w:sz w:val="26"/>
          <w:szCs w:val="26"/>
        </w:rPr>
        <w:t>1</w:t>
      </w:r>
      <w:r w:rsidRPr="003156B5">
        <w:rPr>
          <w:rFonts w:eastAsia="標楷體"/>
          <w:sz w:val="26"/>
          <w:szCs w:val="26"/>
        </w:rPr>
        <w:t>, an increase of NT$</w:t>
      </w:r>
      <w:r w:rsidR="00652384" w:rsidRPr="003156B5">
        <w:rPr>
          <w:rFonts w:eastAsia="標楷體" w:hint="eastAsia"/>
          <w:sz w:val="26"/>
          <w:szCs w:val="26"/>
        </w:rPr>
        <w:t>31,422</w:t>
      </w:r>
      <w:r w:rsidRPr="003156B5">
        <w:rPr>
          <w:rFonts w:eastAsia="標楷體"/>
          <w:sz w:val="26"/>
          <w:szCs w:val="26"/>
        </w:rPr>
        <w:t xml:space="preserve"> million from the previous year</w:t>
      </w:r>
      <w:r w:rsidR="002F6246">
        <w:rPr>
          <w:rFonts w:eastAsia="標楷體" w:hint="eastAsia"/>
          <w:sz w:val="26"/>
          <w:szCs w:val="26"/>
        </w:rPr>
        <w:t>.</w:t>
      </w:r>
      <w:r w:rsidRPr="003156B5">
        <w:rPr>
          <w:rFonts w:eastAsia="標楷體"/>
          <w:sz w:val="26"/>
          <w:szCs w:val="26"/>
        </w:rPr>
        <w:t xml:space="preserve"> </w:t>
      </w:r>
      <w:r w:rsidR="002F6246">
        <w:rPr>
          <w:rFonts w:eastAsia="標楷體" w:hint="eastAsia"/>
          <w:sz w:val="26"/>
          <w:szCs w:val="26"/>
        </w:rPr>
        <w:t>The</w:t>
      </w:r>
      <w:r w:rsidRPr="003156B5">
        <w:rPr>
          <w:rFonts w:eastAsia="標楷體"/>
          <w:sz w:val="26"/>
          <w:szCs w:val="26"/>
        </w:rPr>
        <w:t xml:space="preserve"> average annual increase </w:t>
      </w:r>
      <w:r w:rsidR="002F6246">
        <w:rPr>
          <w:rFonts w:eastAsia="標楷體" w:hint="eastAsia"/>
          <w:sz w:val="26"/>
          <w:szCs w:val="26"/>
        </w:rPr>
        <w:t>in the most recent 10 years was</w:t>
      </w:r>
      <w:r w:rsidRPr="003156B5">
        <w:rPr>
          <w:rFonts w:eastAsia="標楷體"/>
          <w:sz w:val="26"/>
          <w:szCs w:val="26"/>
        </w:rPr>
        <w:t xml:space="preserve"> 4.</w:t>
      </w:r>
      <w:r w:rsidR="00652384" w:rsidRPr="003156B5">
        <w:rPr>
          <w:rFonts w:eastAsia="標楷體" w:hint="eastAsia"/>
          <w:sz w:val="26"/>
          <w:szCs w:val="26"/>
        </w:rPr>
        <w:t>9</w:t>
      </w:r>
      <w:r w:rsidRPr="003156B5">
        <w:rPr>
          <w:rFonts w:eastAsia="標楷體"/>
          <w:sz w:val="26"/>
          <w:szCs w:val="26"/>
        </w:rPr>
        <w:t>%</w:t>
      </w:r>
      <w:r w:rsidR="002F6246">
        <w:rPr>
          <w:rFonts w:eastAsia="標楷體" w:hint="eastAsia"/>
          <w:sz w:val="26"/>
          <w:szCs w:val="26"/>
        </w:rPr>
        <w:t>.</w:t>
      </w:r>
      <w:r w:rsidRPr="003156B5">
        <w:rPr>
          <w:rFonts w:eastAsia="標楷體"/>
          <w:sz w:val="26"/>
          <w:szCs w:val="26"/>
        </w:rPr>
        <w:t xml:space="preserve"> </w:t>
      </w:r>
      <w:r w:rsidR="002F6246">
        <w:rPr>
          <w:rFonts w:eastAsia="標楷體" w:hint="eastAsia"/>
          <w:sz w:val="26"/>
          <w:szCs w:val="26"/>
        </w:rPr>
        <w:t>O</w:t>
      </w:r>
      <w:r w:rsidRPr="003156B5">
        <w:rPr>
          <w:rFonts w:eastAsia="標楷體"/>
          <w:sz w:val="26"/>
          <w:szCs w:val="26"/>
        </w:rPr>
        <w:t>f which, C</w:t>
      </w:r>
      <w:r w:rsidR="00B6049F" w:rsidRPr="003156B5">
        <w:rPr>
          <w:rFonts w:eastAsia="標楷體"/>
          <w:sz w:val="26"/>
          <w:szCs w:val="26"/>
        </w:rPr>
        <w:t>ategory 1 showed an increase of</w:t>
      </w:r>
      <w:r w:rsidR="00B6049F" w:rsidRPr="003156B5">
        <w:rPr>
          <w:rFonts w:eastAsia="標楷體" w:hint="eastAsia"/>
          <w:sz w:val="26"/>
          <w:szCs w:val="26"/>
        </w:rPr>
        <w:t xml:space="preserve"> </w:t>
      </w:r>
      <w:r w:rsidRPr="003156B5">
        <w:rPr>
          <w:rFonts w:eastAsia="標楷體"/>
          <w:sz w:val="26"/>
          <w:szCs w:val="26"/>
        </w:rPr>
        <w:t>NT$</w:t>
      </w:r>
      <w:r w:rsidR="00652384" w:rsidRPr="003156B5">
        <w:rPr>
          <w:rFonts w:eastAsia="標楷體" w:hint="eastAsia"/>
          <w:sz w:val="26"/>
          <w:szCs w:val="26"/>
        </w:rPr>
        <w:t>23,357</w:t>
      </w:r>
      <w:r w:rsidRPr="003156B5">
        <w:rPr>
          <w:rFonts w:eastAsia="標楷體"/>
          <w:sz w:val="26"/>
          <w:szCs w:val="26"/>
        </w:rPr>
        <w:t xml:space="preserve"> million from the previous year, with an average annual increase of </w:t>
      </w:r>
      <w:r w:rsidR="00652384" w:rsidRPr="003156B5">
        <w:rPr>
          <w:rFonts w:eastAsia="標楷體" w:hint="eastAsia"/>
          <w:sz w:val="26"/>
          <w:szCs w:val="26"/>
        </w:rPr>
        <w:t>6.0</w:t>
      </w:r>
      <w:r w:rsidRPr="003156B5">
        <w:rPr>
          <w:rFonts w:eastAsia="標楷體"/>
          <w:sz w:val="26"/>
          <w:szCs w:val="26"/>
        </w:rPr>
        <w:t>%. Category 2 showed an increase of NT$</w:t>
      </w:r>
      <w:r w:rsidR="00652384" w:rsidRPr="003156B5">
        <w:rPr>
          <w:rFonts w:eastAsia="標楷體" w:hint="eastAsia"/>
          <w:sz w:val="26"/>
          <w:szCs w:val="26"/>
        </w:rPr>
        <w:t>5,228</w:t>
      </w:r>
      <w:r w:rsidRPr="003156B5">
        <w:rPr>
          <w:rFonts w:eastAsia="標楷體"/>
          <w:sz w:val="26"/>
          <w:szCs w:val="26"/>
        </w:rPr>
        <w:t xml:space="preserve"> million from the previous year, with an average annual increase of </w:t>
      </w:r>
      <w:r w:rsidR="00652384" w:rsidRPr="003156B5">
        <w:rPr>
          <w:rFonts w:eastAsia="標楷體" w:hint="eastAsia"/>
          <w:sz w:val="26"/>
          <w:szCs w:val="26"/>
        </w:rPr>
        <w:t>5</w:t>
      </w:r>
      <w:r w:rsidRPr="003156B5">
        <w:rPr>
          <w:rFonts w:eastAsia="標楷體"/>
          <w:sz w:val="26"/>
          <w:szCs w:val="26"/>
        </w:rPr>
        <w:t>.8%. Category 3 showed an increase of NT$</w:t>
      </w:r>
      <w:r w:rsidR="00652384" w:rsidRPr="003156B5">
        <w:rPr>
          <w:rFonts w:eastAsia="標楷體" w:hint="eastAsia"/>
          <w:sz w:val="26"/>
          <w:szCs w:val="26"/>
        </w:rPr>
        <w:t>1,834</w:t>
      </w:r>
      <w:r w:rsidRPr="003156B5">
        <w:rPr>
          <w:rFonts w:eastAsia="標楷體"/>
          <w:sz w:val="26"/>
          <w:szCs w:val="26"/>
        </w:rPr>
        <w:t xml:space="preserve"> million from the previous year, with an average annual increase rate </w:t>
      </w:r>
      <w:r w:rsidR="00652384" w:rsidRPr="003156B5">
        <w:rPr>
          <w:rFonts w:eastAsia="標楷體" w:hint="eastAsia"/>
          <w:sz w:val="26"/>
          <w:szCs w:val="26"/>
        </w:rPr>
        <w:t>1.5</w:t>
      </w:r>
      <w:r w:rsidRPr="003156B5">
        <w:rPr>
          <w:rFonts w:eastAsia="標楷體"/>
          <w:sz w:val="26"/>
          <w:szCs w:val="26"/>
        </w:rPr>
        <w:t>%. Category 4 showed a decrease of NT$</w:t>
      </w:r>
      <w:r w:rsidR="00652384" w:rsidRPr="003156B5">
        <w:rPr>
          <w:rFonts w:eastAsia="標楷體" w:hint="eastAsia"/>
          <w:sz w:val="26"/>
          <w:szCs w:val="26"/>
        </w:rPr>
        <w:t>34</w:t>
      </w:r>
      <w:r w:rsidRPr="003156B5">
        <w:rPr>
          <w:rFonts w:eastAsia="標楷體"/>
          <w:sz w:val="26"/>
          <w:szCs w:val="26"/>
        </w:rPr>
        <w:t xml:space="preserve"> million from the previous year, with an average annual </w:t>
      </w:r>
      <w:r w:rsidR="00652384" w:rsidRPr="003156B5">
        <w:rPr>
          <w:rFonts w:eastAsia="標楷體" w:hint="eastAsia"/>
          <w:sz w:val="26"/>
          <w:szCs w:val="26"/>
        </w:rPr>
        <w:t>de</w:t>
      </w:r>
      <w:r w:rsidRPr="003156B5">
        <w:rPr>
          <w:rFonts w:eastAsia="標楷體"/>
          <w:sz w:val="26"/>
          <w:szCs w:val="26"/>
        </w:rPr>
        <w:t xml:space="preserve">crease of </w:t>
      </w:r>
      <w:r w:rsidR="00652384" w:rsidRPr="003156B5">
        <w:rPr>
          <w:rFonts w:eastAsia="標楷體" w:hint="eastAsia"/>
          <w:sz w:val="26"/>
          <w:szCs w:val="26"/>
        </w:rPr>
        <w:t>2.6</w:t>
      </w:r>
      <w:r w:rsidRPr="003156B5">
        <w:rPr>
          <w:rFonts w:eastAsia="標楷體"/>
          <w:sz w:val="26"/>
          <w:szCs w:val="26"/>
        </w:rPr>
        <w:t>%. Category 5 showed an increase of NT$</w:t>
      </w:r>
      <w:r w:rsidR="00652384" w:rsidRPr="003156B5">
        <w:rPr>
          <w:rFonts w:eastAsia="標楷體" w:hint="eastAsia"/>
          <w:sz w:val="26"/>
          <w:szCs w:val="26"/>
        </w:rPr>
        <w:t>409</w:t>
      </w:r>
      <w:r w:rsidRPr="003156B5">
        <w:rPr>
          <w:rFonts w:eastAsia="標楷體"/>
          <w:sz w:val="26"/>
          <w:szCs w:val="26"/>
        </w:rPr>
        <w:t xml:space="preserve"> million from the previous year, with an average annual increase of </w:t>
      </w:r>
      <w:r w:rsidR="00652384" w:rsidRPr="003156B5">
        <w:rPr>
          <w:rFonts w:eastAsia="標楷體" w:hint="eastAsia"/>
          <w:sz w:val="26"/>
          <w:szCs w:val="26"/>
        </w:rPr>
        <w:t>10.4</w:t>
      </w:r>
      <w:r w:rsidRPr="003156B5">
        <w:rPr>
          <w:rFonts w:eastAsia="標楷體"/>
          <w:sz w:val="26"/>
          <w:szCs w:val="26"/>
        </w:rPr>
        <w:t>%. Category 6 showed an increase of NT$</w:t>
      </w:r>
      <w:r w:rsidR="00652384" w:rsidRPr="003156B5">
        <w:rPr>
          <w:rFonts w:eastAsia="標楷體" w:hint="eastAsia"/>
          <w:sz w:val="26"/>
          <w:szCs w:val="26"/>
        </w:rPr>
        <w:t>628</w:t>
      </w:r>
      <w:r w:rsidRPr="003156B5">
        <w:rPr>
          <w:rFonts w:eastAsia="標楷體"/>
          <w:sz w:val="26"/>
          <w:szCs w:val="26"/>
        </w:rPr>
        <w:t xml:space="preserve"> </w:t>
      </w:r>
      <w:r w:rsidR="002F6246">
        <w:rPr>
          <w:rFonts w:eastAsia="標楷體"/>
          <w:sz w:val="26"/>
          <w:szCs w:val="26"/>
        </w:rPr>
        <w:t>million from the previous year</w:t>
      </w:r>
      <w:r w:rsidRPr="003156B5">
        <w:rPr>
          <w:rFonts w:eastAsia="標楷體"/>
          <w:sz w:val="26"/>
          <w:szCs w:val="26"/>
        </w:rPr>
        <w:t xml:space="preserve">, with an average annual increase of </w:t>
      </w:r>
      <w:r w:rsidR="00652384" w:rsidRPr="003156B5">
        <w:rPr>
          <w:rFonts w:eastAsia="標楷體" w:hint="eastAsia"/>
          <w:sz w:val="26"/>
          <w:szCs w:val="26"/>
        </w:rPr>
        <w:t>2.3</w:t>
      </w:r>
      <w:r w:rsidRPr="003156B5">
        <w:rPr>
          <w:rFonts w:eastAsia="標楷體"/>
          <w:sz w:val="26"/>
          <w:szCs w:val="26"/>
        </w:rPr>
        <w:t>%</w:t>
      </w:r>
      <w:r w:rsidR="0030571B" w:rsidRPr="003156B5">
        <w:rPr>
          <w:rFonts w:eastAsia="標楷體"/>
          <w:sz w:val="26"/>
          <w:szCs w:val="26"/>
        </w:rPr>
        <w:t>.</w:t>
      </w:r>
    </w:p>
    <w:p w:rsidR="006C7309" w:rsidRPr="003156B5" w:rsidRDefault="00D128D3" w:rsidP="00D128D3">
      <w:pPr>
        <w:autoSpaceDN w:val="0"/>
        <w:ind w:leftChars="59" w:left="142" w:firstLineChars="200" w:firstLine="520"/>
        <w:rPr>
          <w:rFonts w:eastAsia="標楷體"/>
          <w:noProof/>
          <w:sz w:val="26"/>
          <w:szCs w:val="26"/>
        </w:rPr>
      </w:pPr>
      <w:r w:rsidRPr="00D128D3">
        <w:rPr>
          <w:rFonts w:eastAsia="標楷體"/>
          <w:noProof/>
          <w:sz w:val="26"/>
          <w:szCs w:val="26"/>
        </w:rPr>
        <w:lastRenderedPageBreak/>
        <w:drawing>
          <wp:inline distT="0" distB="0" distL="0" distR="0">
            <wp:extent cx="5486400" cy="2885440"/>
            <wp:effectExtent l="19050" t="0" r="0" b="0"/>
            <wp:docPr id="15" name="圖表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6C7309" w:rsidRPr="003156B5" w:rsidRDefault="00BC0FD1" w:rsidP="00747A79">
      <w:pPr>
        <w:spacing w:beforeLines="100" w:afterLines="100" w:line="360" w:lineRule="exact"/>
        <w:ind w:left="284" w:firstLineChars="235" w:firstLine="611"/>
        <w:jc w:val="both"/>
        <w:rPr>
          <w:rFonts w:eastAsia="標楷體"/>
          <w:sz w:val="26"/>
          <w:szCs w:val="26"/>
        </w:rPr>
      </w:pPr>
      <w:r w:rsidRPr="003156B5">
        <w:rPr>
          <w:rFonts w:eastAsia="標楷體"/>
          <w:sz w:val="26"/>
          <w:szCs w:val="26"/>
        </w:rPr>
        <w:t>When broken down by source, the amount of premium receivables in 201</w:t>
      </w:r>
      <w:r w:rsidR="007B4C2E" w:rsidRPr="003156B5">
        <w:rPr>
          <w:rFonts w:eastAsia="標楷體" w:hint="eastAsia"/>
          <w:sz w:val="26"/>
          <w:szCs w:val="26"/>
        </w:rPr>
        <w:t>1</w:t>
      </w:r>
      <w:r w:rsidRPr="003156B5">
        <w:rPr>
          <w:rFonts w:eastAsia="標楷體"/>
          <w:sz w:val="26"/>
          <w:szCs w:val="26"/>
        </w:rPr>
        <w:t xml:space="preserve"> was NT$1</w:t>
      </w:r>
      <w:r w:rsidR="007B4C2E" w:rsidRPr="003156B5">
        <w:rPr>
          <w:rFonts w:eastAsia="標楷體" w:hint="eastAsia"/>
          <w:sz w:val="26"/>
          <w:szCs w:val="26"/>
        </w:rPr>
        <w:t>7</w:t>
      </w:r>
      <w:r w:rsidR="002528FE">
        <w:rPr>
          <w:rFonts w:eastAsia="標楷體" w:hint="eastAsia"/>
          <w:sz w:val="26"/>
          <w:szCs w:val="26"/>
        </w:rPr>
        <w:t>7</w:t>
      </w:r>
      <w:r w:rsidRPr="003156B5">
        <w:rPr>
          <w:rFonts w:eastAsia="標楷體"/>
          <w:sz w:val="26"/>
          <w:szCs w:val="26"/>
        </w:rPr>
        <w:t xml:space="preserve"> billion </w:t>
      </w:r>
      <w:r w:rsidR="009354F3">
        <w:rPr>
          <w:rFonts w:eastAsia="標楷體"/>
          <w:sz w:val="26"/>
          <w:szCs w:val="26"/>
        </w:rPr>
        <w:t>(</w:t>
      </w:r>
      <w:r w:rsidR="007B4C2E" w:rsidRPr="003156B5">
        <w:rPr>
          <w:rFonts w:eastAsia="標楷體" w:hint="eastAsia"/>
          <w:sz w:val="26"/>
          <w:szCs w:val="26"/>
        </w:rPr>
        <w:t>37.6</w:t>
      </w:r>
      <w:r w:rsidRPr="003156B5">
        <w:rPr>
          <w:rFonts w:eastAsia="標楷體"/>
          <w:sz w:val="26"/>
          <w:szCs w:val="26"/>
        </w:rPr>
        <w:t>%</w:t>
      </w:r>
      <w:r w:rsidR="009354F3">
        <w:rPr>
          <w:rFonts w:eastAsia="標楷體"/>
          <w:sz w:val="26"/>
          <w:szCs w:val="26"/>
        </w:rPr>
        <w:t>)</w:t>
      </w:r>
      <w:r w:rsidRPr="003156B5">
        <w:rPr>
          <w:rFonts w:eastAsia="標楷體"/>
          <w:sz w:val="26"/>
          <w:szCs w:val="26"/>
        </w:rPr>
        <w:t xml:space="preserve"> from the insured, an increase of </w:t>
      </w:r>
      <w:r w:rsidR="007B4C2E" w:rsidRPr="003156B5">
        <w:rPr>
          <w:rFonts w:eastAsia="標楷體" w:hint="eastAsia"/>
          <w:sz w:val="26"/>
          <w:szCs w:val="26"/>
        </w:rPr>
        <w:t>10</w:t>
      </w:r>
      <w:r w:rsidRPr="003156B5">
        <w:rPr>
          <w:rFonts w:eastAsia="標楷體"/>
          <w:sz w:val="26"/>
          <w:szCs w:val="26"/>
        </w:rPr>
        <w:t xml:space="preserve"> </w:t>
      </w:r>
      <w:r w:rsidR="002C0551">
        <w:rPr>
          <w:rFonts w:eastAsia="標楷體" w:hint="eastAsia"/>
          <w:sz w:val="26"/>
          <w:szCs w:val="26"/>
        </w:rPr>
        <w:t>b</w:t>
      </w:r>
      <w:r w:rsidRPr="003156B5">
        <w:rPr>
          <w:rFonts w:eastAsia="標楷體"/>
          <w:sz w:val="26"/>
          <w:szCs w:val="26"/>
        </w:rPr>
        <w:t>illion from the previous year</w:t>
      </w:r>
      <w:r w:rsidR="002528FE">
        <w:rPr>
          <w:rFonts w:eastAsia="標楷體" w:hint="eastAsia"/>
          <w:sz w:val="26"/>
          <w:szCs w:val="26"/>
        </w:rPr>
        <w:t>. The</w:t>
      </w:r>
      <w:r w:rsidRPr="003156B5">
        <w:rPr>
          <w:rFonts w:eastAsia="標楷體"/>
          <w:sz w:val="26"/>
          <w:szCs w:val="26"/>
        </w:rPr>
        <w:t xml:space="preserve"> average annual increase </w:t>
      </w:r>
      <w:r w:rsidR="002528FE">
        <w:rPr>
          <w:rFonts w:eastAsia="標楷體" w:hint="eastAsia"/>
          <w:sz w:val="26"/>
          <w:szCs w:val="26"/>
        </w:rPr>
        <w:t>in the most recent 10 years was</w:t>
      </w:r>
      <w:r w:rsidRPr="003156B5">
        <w:rPr>
          <w:rFonts w:eastAsia="標楷體"/>
          <w:sz w:val="26"/>
          <w:szCs w:val="26"/>
        </w:rPr>
        <w:t xml:space="preserve"> 4.</w:t>
      </w:r>
      <w:r w:rsidR="007B4C2E" w:rsidRPr="003156B5">
        <w:rPr>
          <w:rFonts w:eastAsia="標楷體" w:hint="eastAsia"/>
          <w:sz w:val="26"/>
          <w:szCs w:val="26"/>
        </w:rPr>
        <w:t>3</w:t>
      </w:r>
      <w:r w:rsidRPr="003156B5">
        <w:rPr>
          <w:rFonts w:eastAsia="標楷體"/>
          <w:sz w:val="26"/>
          <w:szCs w:val="26"/>
        </w:rPr>
        <w:t>%</w:t>
      </w:r>
      <w:r w:rsidR="002528FE">
        <w:rPr>
          <w:rFonts w:eastAsia="標楷體" w:hint="eastAsia"/>
          <w:sz w:val="26"/>
          <w:szCs w:val="26"/>
        </w:rPr>
        <w:t>. Of which,</w:t>
      </w:r>
      <w:r w:rsidRPr="003156B5">
        <w:rPr>
          <w:rFonts w:eastAsia="標楷體"/>
          <w:sz w:val="26"/>
          <w:szCs w:val="26"/>
        </w:rPr>
        <w:t xml:space="preserve"> NT$1</w:t>
      </w:r>
      <w:r w:rsidR="007B4C2E" w:rsidRPr="003156B5">
        <w:rPr>
          <w:rFonts w:eastAsia="標楷體" w:hint="eastAsia"/>
          <w:sz w:val="26"/>
          <w:szCs w:val="26"/>
        </w:rPr>
        <w:t>74</w:t>
      </w:r>
      <w:r w:rsidRPr="003156B5">
        <w:rPr>
          <w:rFonts w:eastAsia="標楷體"/>
          <w:sz w:val="26"/>
          <w:szCs w:val="26"/>
        </w:rPr>
        <w:t xml:space="preserve"> billion </w:t>
      </w:r>
      <w:r w:rsidR="009354F3">
        <w:rPr>
          <w:rFonts w:eastAsia="標楷體"/>
          <w:sz w:val="26"/>
          <w:szCs w:val="26"/>
        </w:rPr>
        <w:t>(</w:t>
      </w:r>
      <w:r w:rsidR="007B4C2E" w:rsidRPr="003156B5">
        <w:rPr>
          <w:rFonts w:eastAsia="標楷體" w:hint="eastAsia"/>
          <w:sz w:val="26"/>
          <w:szCs w:val="26"/>
        </w:rPr>
        <w:t>37.2</w:t>
      </w:r>
      <w:r w:rsidRPr="003156B5">
        <w:rPr>
          <w:rFonts w:eastAsia="標楷體"/>
          <w:sz w:val="26"/>
          <w:szCs w:val="26"/>
        </w:rPr>
        <w:t>%</w:t>
      </w:r>
      <w:r w:rsidR="009354F3">
        <w:rPr>
          <w:rFonts w:eastAsia="標楷體"/>
          <w:sz w:val="26"/>
          <w:szCs w:val="26"/>
        </w:rPr>
        <w:t>)</w:t>
      </w:r>
      <w:r w:rsidRPr="003156B5">
        <w:rPr>
          <w:rFonts w:eastAsia="標楷體"/>
          <w:sz w:val="26"/>
          <w:szCs w:val="26"/>
        </w:rPr>
        <w:t xml:space="preserve"> </w:t>
      </w:r>
      <w:r w:rsidR="002528FE">
        <w:rPr>
          <w:rFonts w:eastAsia="標楷體" w:hint="eastAsia"/>
          <w:sz w:val="26"/>
          <w:szCs w:val="26"/>
        </w:rPr>
        <w:t xml:space="preserve">was </w:t>
      </w:r>
      <w:r w:rsidRPr="003156B5">
        <w:rPr>
          <w:rFonts w:eastAsia="標楷體"/>
          <w:sz w:val="26"/>
          <w:szCs w:val="26"/>
        </w:rPr>
        <w:t>from the group insurance applicants, an increase of NT$</w:t>
      </w:r>
      <w:r w:rsidR="007B4C2E" w:rsidRPr="003156B5">
        <w:rPr>
          <w:rFonts w:eastAsia="標楷體" w:hint="eastAsia"/>
          <w:sz w:val="26"/>
          <w:szCs w:val="26"/>
        </w:rPr>
        <w:t>1</w:t>
      </w:r>
      <w:r w:rsidR="002528FE">
        <w:rPr>
          <w:rFonts w:eastAsia="標楷體" w:hint="eastAsia"/>
          <w:sz w:val="26"/>
          <w:szCs w:val="26"/>
        </w:rPr>
        <w:t>5</w:t>
      </w:r>
      <w:r w:rsidRPr="003156B5">
        <w:rPr>
          <w:rFonts w:eastAsia="標楷體"/>
          <w:sz w:val="26"/>
          <w:szCs w:val="26"/>
        </w:rPr>
        <w:t xml:space="preserve"> </w:t>
      </w:r>
      <w:r w:rsidR="002528FE">
        <w:rPr>
          <w:rFonts w:eastAsia="標楷體" w:hint="eastAsia"/>
          <w:sz w:val="26"/>
          <w:szCs w:val="26"/>
        </w:rPr>
        <w:t>b</w:t>
      </w:r>
      <w:r w:rsidRPr="003156B5">
        <w:rPr>
          <w:rFonts w:eastAsia="標楷體"/>
          <w:sz w:val="26"/>
          <w:szCs w:val="26"/>
        </w:rPr>
        <w:t xml:space="preserve">illion from the previous year, and an increase of </w:t>
      </w:r>
      <w:r w:rsidR="007B4C2E" w:rsidRPr="003156B5">
        <w:rPr>
          <w:rFonts w:eastAsia="標楷體" w:hint="eastAsia"/>
          <w:sz w:val="26"/>
          <w:szCs w:val="26"/>
        </w:rPr>
        <w:t>81</w:t>
      </w:r>
      <w:r w:rsidRPr="003156B5">
        <w:rPr>
          <w:rFonts w:eastAsia="標楷體"/>
          <w:sz w:val="26"/>
          <w:szCs w:val="26"/>
        </w:rPr>
        <w:t xml:space="preserve"> billion from 200</w:t>
      </w:r>
      <w:r w:rsidR="007B4C2E" w:rsidRPr="003156B5">
        <w:rPr>
          <w:rFonts w:eastAsia="標楷體" w:hint="eastAsia"/>
          <w:sz w:val="26"/>
          <w:szCs w:val="26"/>
        </w:rPr>
        <w:t>1</w:t>
      </w:r>
      <w:r w:rsidRPr="003156B5">
        <w:rPr>
          <w:rFonts w:eastAsia="標楷體"/>
          <w:sz w:val="26"/>
          <w:szCs w:val="26"/>
        </w:rPr>
        <w:t xml:space="preserve"> with an average annual increase of </w:t>
      </w:r>
      <w:r w:rsidR="007B4C2E" w:rsidRPr="003156B5">
        <w:rPr>
          <w:rFonts w:eastAsia="標楷體" w:hint="eastAsia"/>
          <w:sz w:val="26"/>
          <w:szCs w:val="26"/>
        </w:rPr>
        <w:t>6.4</w:t>
      </w:r>
      <w:r w:rsidRPr="003156B5">
        <w:rPr>
          <w:rFonts w:eastAsia="標楷體"/>
          <w:sz w:val="26"/>
          <w:szCs w:val="26"/>
        </w:rPr>
        <w:t>%</w:t>
      </w:r>
      <w:r w:rsidR="002528FE">
        <w:rPr>
          <w:rFonts w:eastAsia="標楷體" w:hint="eastAsia"/>
          <w:sz w:val="26"/>
          <w:szCs w:val="26"/>
        </w:rPr>
        <w:t>,</w:t>
      </w:r>
      <w:r w:rsidRPr="003156B5">
        <w:rPr>
          <w:rFonts w:eastAsia="標楷體"/>
          <w:sz w:val="26"/>
          <w:szCs w:val="26"/>
        </w:rPr>
        <w:t xml:space="preserve"> NT$11</w:t>
      </w:r>
      <w:r w:rsidR="007B4C2E" w:rsidRPr="003156B5">
        <w:rPr>
          <w:rFonts w:eastAsia="標楷體" w:hint="eastAsia"/>
          <w:sz w:val="26"/>
          <w:szCs w:val="26"/>
        </w:rPr>
        <w:t>8</w:t>
      </w:r>
      <w:r w:rsidRPr="003156B5">
        <w:rPr>
          <w:rFonts w:eastAsia="標楷體"/>
          <w:sz w:val="26"/>
          <w:szCs w:val="26"/>
        </w:rPr>
        <w:t xml:space="preserve"> billion </w:t>
      </w:r>
      <w:r w:rsidR="009354F3">
        <w:rPr>
          <w:rFonts w:eastAsia="標楷體"/>
          <w:sz w:val="26"/>
          <w:szCs w:val="26"/>
        </w:rPr>
        <w:t>(</w:t>
      </w:r>
      <w:r w:rsidRPr="003156B5">
        <w:rPr>
          <w:rFonts w:eastAsia="標楷體"/>
          <w:sz w:val="26"/>
          <w:szCs w:val="26"/>
        </w:rPr>
        <w:t>25.</w:t>
      </w:r>
      <w:r w:rsidR="007B4C2E" w:rsidRPr="003156B5">
        <w:rPr>
          <w:rFonts w:eastAsia="標楷體" w:hint="eastAsia"/>
          <w:sz w:val="26"/>
          <w:szCs w:val="26"/>
        </w:rPr>
        <w:t>2</w:t>
      </w:r>
      <w:r w:rsidRPr="003156B5">
        <w:rPr>
          <w:rFonts w:eastAsia="標楷體"/>
          <w:sz w:val="26"/>
          <w:szCs w:val="26"/>
        </w:rPr>
        <w:t>%</w:t>
      </w:r>
      <w:r w:rsidR="009354F3">
        <w:rPr>
          <w:rFonts w:eastAsia="標楷體"/>
          <w:sz w:val="26"/>
          <w:szCs w:val="26"/>
        </w:rPr>
        <w:t>)</w:t>
      </w:r>
      <w:r w:rsidRPr="003156B5">
        <w:rPr>
          <w:rFonts w:eastAsia="標楷體"/>
          <w:sz w:val="26"/>
          <w:szCs w:val="26"/>
        </w:rPr>
        <w:t xml:space="preserve"> </w:t>
      </w:r>
      <w:r w:rsidR="002528FE">
        <w:rPr>
          <w:rFonts w:eastAsia="標楷體" w:hint="eastAsia"/>
          <w:sz w:val="26"/>
          <w:szCs w:val="26"/>
        </w:rPr>
        <w:t xml:space="preserve">was </w:t>
      </w:r>
      <w:r w:rsidRPr="003156B5">
        <w:rPr>
          <w:rFonts w:eastAsia="標楷體"/>
          <w:sz w:val="26"/>
          <w:szCs w:val="26"/>
        </w:rPr>
        <w:t xml:space="preserve">from government subsidies </w:t>
      </w:r>
      <w:r w:rsidR="009354F3">
        <w:rPr>
          <w:rFonts w:eastAsia="標楷體"/>
          <w:sz w:val="26"/>
          <w:szCs w:val="26"/>
        </w:rPr>
        <w:t>(</w:t>
      </w:r>
      <w:r w:rsidRPr="003156B5">
        <w:rPr>
          <w:rFonts w:eastAsia="標楷體"/>
          <w:sz w:val="26"/>
          <w:szCs w:val="26"/>
        </w:rPr>
        <w:t>NT$8</w:t>
      </w:r>
      <w:r w:rsidR="007B4C2E" w:rsidRPr="003156B5">
        <w:rPr>
          <w:rFonts w:eastAsia="標楷體" w:hint="eastAsia"/>
          <w:sz w:val="26"/>
          <w:szCs w:val="26"/>
        </w:rPr>
        <w:t>0</w:t>
      </w:r>
      <w:r w:rsidRPr="003156B5">
        <w:rPr>
          <w:rFonts w:eastAsia="標楷體"/>
          <w:sz w:val="26"/>
          <w:szCs w:val="26"/>
        </w:rPr>
        <w:t xml:space="preserve"> billion </w:t>
      </w:r>
      <w:r w:rsidR="009354F3">
        <w:rPr>
          <w:rFonts w:eastAsia="標楷體"/>
          <w:sz w:val="26"/>
          <w:szCs w:val="26"/>
        </w:rPr>
        <w:t>(</w:t>
      </w:r>
      <w:r w:rsidR="007B4C2E" w:rsidRPr="003156B5">
        <w:rPr>
          <w:rFonts w:eastAsia="標楷體" w:hint="eastAsia"/>
          <w:sz w:val="26"/>
          <w:szCs w:val="26"/>
        </w:rPr>
        <w:t>17.1</w:t>
      </w:r>
      <w:r w:rsidRPr="003156B5">
        <w:rPr>
          <w:rFonts w:eastAsia="標楷體"/>
          <w:sz w:val="26"/>
          <w:szCs w:val="26"/>
        </w:rPr>
        <w:t>%</w:t>
      </w:r>
      <w:r w:rsidR="009354F3">
        <w:rPr>
          <w:rFonts w:eastAsia="標楷體"/>
          <w:sz w:val="26"/>
          <w:szCs w:val="26"/>
        </w:rPr>
        <w:t>)</w:t>
      </w:r>
      <w:r w:rsidRPr="003156B5">
        <w:rPr>
          <w:rFonts w:eastAsia="標楷體"/>
          <w:sz w:val="26"/>
          <w:szCs w:val="26"/>
        </w:rPr>
        <w:t xml:space="preserve"> from the central government, NT$</w:t>
      </w:r>
      <w:r w:rsidR="007B4C2E" w:rsidRPr="003156B5">
        <w:rPr>
          <w:rFonts w:eastAsia="標楷體" w:hint="eastAsia"/>
          <w:sz w:val="26"/>
          <w:szCs w:val="26"/>
        </w:rPr>
        <w:t>35</w:t>
      </w:r>
      <w:r w:rsidRPr="003156B5">
        <w:rPr>
          <w:rFonts w:eastAsia="標楷體"/>
          <w:sz w:val="26"/>
          <w:szCs w:val="26"/>
        </w:rPr>
        <w:t xml:space="preserve"> billion </w:t>
      </w:r>
      <w:r w:rsidR="009354F3">
        <w:rPr>
          <w:rFonts w:eastAsia="標楷體"/>
          <w:sz w:val="26"/>
          <w:szCs w:val="26"/>
        </w:rPr>
        <w:t>(</w:t>
      </w:r>
      <w:r w:rsidR="007B4C2E" w:rsidRPr="003156B5">
        <w:rPr>
          <w:rFonts w:eastAsia="標楷體" w:hint="eastAsia"/>
          <w:sz w:val="26"/>
          <w:szCs w:val="26"/>
        </w:rPr>
        <w:t>7.5</w:t>
      </w:r>
      <w:r w:rsidRPr="003156B5">
        <w:rPr>
          <w:rFonts w:eastAsia="標楷體"/>
          <w:sz w:val="26"/>
          <w:szCs w:val="26"/>
        </w:rPr>
        <w:t>%</w:t>
      </w:r>
      <w:r w:rsidR="009354F3">
        <w:rPr>
          <w:rFonts w:eastAsia="標楷體"/>
          <w:sz w:val="26"/>
          <w:szCs w:val="26"/>
        </w:rPr>
        <w:t>)</w:t>
      </w:r>
      <w:r w:rsidRPr="003156B5">
        <w:rPr>
          <w:rFonts w:eastAsia="標楷體"/>
          <w:sz w:val="26"/>
          <w:szCs w:val="26"/>
        </w:rPr>
        <w:t xml:space="preserve"> from the provincial/municipal governments, and NT$</w:t>
      </w:r>
      <w:r w:rsidR="007B4C2E" w:rsidRPr="003156B5">
        <w:rPr>
          <w:rFonts w:eastAsia="標楷體" w:hint="eastAsia"/>
          <w:sz w:val="26"/>
          <w:szCs w:val="26"/>
        </w:rPr>
        <w:t>3</w:t>
      </w:r>
      <w:r w:rsidRPr="003156B5">
        <w:rPr>
          <w:rFonts w:eastAsia="標楷體"/>
          <w:sz w:val="26"/>
          <w:szCs w:val="26"/>
        </w:rPr>
        <w:t xml:space="preserve"> billion </w:t>
      </w:r>
      <w:r w:rsidR="009354F3">
        <w:rPr>
          <w:rFonts w:eastAsia="標楷體"/>
          <w:sz w:val="26"/>
          <w:szCs w:val="26"/>
        </w:rPr>
        <w:t>(</w:t>
      </w:r>
      <w:r w:rsidR="007B4C2E" w:rsidRPr="003156B5">
        <w:rPr>
          <w:rFonts w:eastAsia="標楷體" w:hint="eastAsia"/>
          <w:sz w:val="26"/>
          <w:szCs w:val="26"/>
        </w:rPr>
        <w:t>0.6</w:t>
      </w:r>
      <w:r w:rsidRPr="003156B5">
        <w:rPr>
          <w:rFonts w:eastAsia="標楷體"/>
          <w:sz w:val="26"/>
          <w:szCs w:val="26"/>
        </w:rPr>
        <w:t>%</w:t>
      </w:r>
      <w:r w:rsidR="009354F3">
        <w:rPr>
          <w:rFonts w:eastAsia="標楷體"/>
          <w:sz w:val="26"/>
          <w:szCs w:val="26"/>
        </w:rPr>
        <w:t>)</w:t>
      </w:r>
      <w:r w:rsidRPr="003156B5">
        <w:rPr>
          <w:rFonts w:eastAsia="標楷體"/>
          <w:sz w:val="26"/>
          <w:szCs w:val="26"/>
        </w:rPr>
        <w:t xml:space="preserve"> from the county/city governments), an increase of NT$</w:t>
      </w:r>
      <w:r w:rsidR="002528FE">
        <w:rPr>
          <w:rFonts w:eastAsia="標楷體" w:hint="eastAsia"/>
          <w:sz w:val="26"/>
          <w:szCs w:val="26"/>
        </w:rPr>
        <w:t>7</w:t>
      </w:r>
      <w:r w:rsidRPr="003156B5">
        <w:rPr>
          <w:rFonts w:eastAsia="標楷體"/>
          <w:sz w:val="26"/>
          <w:szCs w:val="26"/>
        </w:rPr>
        <w:t xml:space="preserve"> </w:t>
      </w:r>
      <w:r w:rsidR="002528FE">
        <w:rPr>
          <w:rFonts w:eastAsia="標楷體" w:hint="eastAsia"/>
          <w:sz w:val="26"/>
          <w:szCs w:val="26"/>
        </w:rPr>
        <w:t>b</w:t>
      </w:r>
      <w:r w:rsidRPr="003156B5">
        <w:rPr>
          <w:rFonts w:eastAsia="標楷體"/>
          <w:sz w:val="26"/>
          <w:szCs w:val="26"/>
        </w:rPr>
        <w:t>illion from the previous year with an average annual increase of 3.</w:t>
      </w:r>
      <w:r w:rsidR="007B4C2E" w:rsidRPr="003156B5">
        <w:rPr>
          <w:rFonts w:eastAsia="標楷體" w:hint="eastAsia"/>
          <w:sz w:val="26"/>
          <w:szCs w:val="26"/>
        </w:rPr>
        <w:t>8</w:t>
      </w:r>
      <w:r w:rsidRPr="003156B5">
        <w:rPr>
          <w:rFonts w:eastAsia="標楷體"/>
          <w:sz w:val="26"/>
          <w:szCs w:val="26"/>
        </w:rPr>
        <w:t>%</w:t>
      </w:r>
      <w:r w:rsidR="006C7309" w:rsidRPr="003156B5">
        <w:rPr>
          <w:rFonts w:eastAsia="標楷體"/>
          <w:sz w:val="26"/>
          <w:szCs w:val="26"/>
        </w:rPr>
        <w:t>.</w:t>
      </w:r>
    </w:p>
    <w:p w:rsidR="006C7309" w:rsidRPr="003156B5" w:rsidRDefault="00B60B35" w:rsidP="00747A79">
      <w:pPr>
        <w:autoSpaceDN w:val="0"/>
        <w:spacing w:beforeLines="150" w:line="240" w:lineRule="auto"/>
        <w:ind w:leftChars="118" w:left="283"/>
        <w:jc w:val="center"/>
        <w:rPr>
          <w:sz w:val="26"/>
          <w:szCs w:val="26"/>
        </w:rPr>
      </w:pPr>
      <w:r w:rsidRPr="00B60B35">
        <w:rPr>
          <w:noProof/>
          <w:sz w:val="26"/>
          <w:szCs w:val="26"/>
        </w:rPr>
        <w:drawing>
          <wp:inline distT="0" distB="0" distL="0" distR="0">
            <wp:extent cx="5486400" cy="3039110"/>
            <wp:effectExtent l="0" t="0" r="0" b="0"/>
            <wp:docPr id="17" name="圖表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sectPr w:rsidR="006C7309" w:rsidRPr="003156B5" w:rsidSect="000860D2">
      <w:footerReference w:type="default" r:id="rId20"/>
      <w:pgSz w:w="11907" w:h="16840" w:code="9"/>
      <w:pgMar w:top="1701" w:right="1134" w:bottom="1304" w:left="1134" w:header="567" w:footer="680" w:gutter="0"/>
      <w:pgNumType w:start="53"/>
      <w:cols w:space="425"/>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32E6" w:rsidRDefault="001632E6">
      <w:pPr>
        <w:spacing w:line="240" w:lineRule="auto"/>
      </w:pPr>
      <w:r>
        <w:separator/>
      </w:r>
    </w:p>
  </w:endnote>
  <w:endnote w:type="continuationSeparator" w:id="0">
    <w:p w:rsidR="001632E6" w:rsidRDefault="001632E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細明體">
    <w:altName w:val="MingLiU"/>
    <w:panose1 w:val="02020309000000000000"/>
    <w:charset w:val="88"/>
    <w:family w:val="modern"/>
    <w:pitch w:val="fixed"/>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Times New Roman'">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E76" w:rsidRPr="00874D2F" w:rsidRDefault="00FD6E76" w:rsidP="00B6113D">
    <w:pPr>
      <w:pStyle w:val="a5"/>
      <w:spacing w:line="360" w:lineRule="exact"/>
      <w:jc w:val="center"/>
      <w:rPr>
        <w:sz w:val="24"/>
        <w:szCs w:val="24"/>
      </w:rPr>
    </w:pPr>
    <w:r>
      <w:rPr>
        <w:rFonts w:hint="eastAsia"/>
        <w:sz w:val="24"/>
        <w:szCs w:val="24"/>
      </w:rPr>
      <w:t xml:space="preserve">- </w:t>
    </w:r>
    <w:r w:rsidR="00747A79" w:rsidRPr="00301622">
      <w:rPr>
        <w:sz w:val="24"/>
        <w:szCs w:val="24"/>
      </w:rPr>
      <w:fldChar w:fldCharType="begin"/>
    </w:r>
    <w:r w:rsidRPr="00301622">
      <w:rPr>
        <w:sz w:val="24"/>
        <w:szCs w:val="24"/>
      </w:rPr>
      <w:instrText xml:space="preserve"> PAGE   \* MERGEFORMAT </w:instrText>
    </w:r>
    <w:r w:rsidR="00747A79" w:rsidRPr="00301622">
      <w:rPr>
        <w:sz w:val="24"/>
        <w:szCs w:val="24"/>
      </w:rPr>
      <w:fldChar w:fldCharType="separate"/>
    </w:r>
    <w:r w:rsidR="00C2698B" w:rsidRPr="00C2698B">
      <w:rPr>
        <w:noProof/>
        <w:sz w:val="24"/>
        <w:szCs w:val="24"/>
        <w:lang w:val="zh-TW"/>
      </w:rPr>
      <w:t>61</w:t>
    </w:r>
    <w:r w:rsidR="00747A79" w:rsidRPr="00301622">
      <w:rPr>
        <w:sz w:val="24"/>
        <w:szCs w:val="24"/>
      </w:rPr>
      <w:fldChar w:fldCharType="end"/>
    </w:r>
    <w:r>
      <w:rPr>
        <w:rFonts w:hint="eastAsia"/>
        <w:sz w:val="24"/>
        <w:szCs w:val="24"/>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32E6" w:rsidRDefault="001632E6">
      <w:pPr>
        <w:spacing w:line="240" w:lineRule="auto"/>
      </w:pPr>
      <w:r>
        <w:separator/>
      </w:r>
    </w:p>
  </w:footnote>
  <w:footnote w:type="continuationSeparator" w:id="0">
    <w:p w:rsidR="001632E6" w:rsidRDefault="001632E6">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B204E"/>
    <w:multiLevelType w:val="hybridMultilevel"/>
    <w:tmpl w:val="4E60152C"/>
    <w:lvl w:ilvl="0" w:tplc="BA20FB9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10DF5E2F"/>
    <w:multiLevelType w:val="hybridMultilevel"/>
    <w:tmpl w:val="0A3C094C"/>
    <w:lvl w:ilvl="0" w:tplc="23DC2F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9B96020"/>
    <w:multiLevelType w:val="hybridMultilevel"/>
    <w:tmpl w:val="97F2C400"/>
    <w:lvl w:ilvl="0" w:tplc="BA20FB9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2BD54889"/>
    <w:multiLevelType w:val="hybridMultilevel"/>
    <w:tmpl w:val="FAF08A76"/>
    <w:lvl w:ilvl="0" w:tplc="BA20FB9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nsid w:val="32B57429"/>
    <w:multiLevelType w:val="hybridMultilevel"/>
    <w:tmpl w:val="B6C2E230"/>
    <w:lvl w:ilvl="0" w:tplc="8B5CD7F0">
      <w:start w:val="1"/>
      <w:numFmt w:val="upperRoman"/>
      <w:lvlText w:val="%1."/>
      <w:lvlJc w:val="left"/>
      <w:pPr>
        <w:ind w:left="862" w:hanging="720"/>
      </w:pPr>
      <w:rPr>
        <w:rFonts w:cs="Times New Roman" w:hint="eastAsia"/>
        <w:snapToGrid w:val="0"/>
        <w:kern w:val="0"/>
      </w:rPr>
    </w:lvl>
    <w:lvl w:ilvl="1" w:tplc="04090019" w:tentative="1">
      <w:start w:val="1"/>
      <w:numFmt w:val="ideographTraditional"/>
      <w:lvlText w:val="%2、"/>
      <w:lvlJc w:val="left"/>
      <w:pPr>
        <w:ind w:left="1102" w:hanging="480"/>
      </w:pPr>
      <w:rPr>
        <w:rFonts w:cs="Times New Roman"/>
      </w:rPr>
    </w:lvl>
    <w:lvl w:ilvl="2" w:tplc="0409001B" w:tentative="1">
      <w:start w:val="1"/>
      <w:numFmt w:val="lowerRoman"/>
      <w:lvlText w:val="%3."/>
      <w:lvlJc w:val="right"/>
      <w:pPr>
        <w:ind w:left="1582" w:hanging="480"/>
      </w:pPr>
      <w:rPr>
        <w:rFonts w:cs="Times New Roman"/>
      </w:rPr>
    </w:lvl>
    <w:lvl w:ilvl="3" w:tplc="0409000F" w:tentative="1">
      <w:start w:val="1"/>
      <w:numFmt w:val="decimal"/>
      <w:lvlText w:val="%4."/>
      <w:lvlJc w:val="left"/>
      <w:pPr>
        <w:ind w:left="2062" w:hanging="480"/>
      </w:pPr>
      <w:rPr>
        <w:rFonts w:cs="Times New Roman"/>
      </w:rPr>
    </w:lvl>
    <w:lvl w:ilvl="4" w:tplc="04090019" w:tentative="1">
      <w:start w:val="1"/>
      <w:numFmt w:val="ideographTraditional"/>
      <w:lvlText w:val="%5、"/>
      <w:lvlJc w:val="left"/>
      <w:pPr>
        <w:ind w:left="2542" w:hanging="480"/>
      </w:pPr>
      <w:rPr>
        <w:rFonts w:cs="Times New Roman"/>
      </w:rPr>
    </w:lvl>
    <w:lvl w:ilvl="5" w:tplc="0409001B" w:tentative="1">
      <w:start w:val="1"/>
      <w:numFmt w:val="lowerRoman"/>
      <w:lvlText w:val="%6."/>
      <w:lvlJc w:val="right"/>
      <w:pPr>
        <w:ind w:left="3022" w:hanging="480"/>
      </w:pPr>
      <w:rPr>
        <w:rFonts w:cs="Times New Roman"/>
      </w:rPr>
    </w:lvl>
    <w:lvl w:ilvl="6" w:tplc="0409000F" w:tentative="1">
      <w:start w:val="1"/>
      <w:numFmt w:val="decimal"/>
      <w:lvlText w:val="%7."/>
      <w:lvlJc w:val="left"/>
      <w:pPr>
        <w:ind w:left="3502" w:hanging="480"/>
      </w:pPr>
      <w:rPr>
        <w:rFonts w:cs="Times New Roman"/>
      </w:rPr>
    </w:lvl>
    <w:lvl w:ilvl="7" w:tplc="04090019" w:tentative="1">
      <w:start w:val="1"/>
      <w:numFmt w:val="ideographTraditional"/>
      <w:lvlText w:val="%8、"/>
      <w:lvlJc w:val="left"/>
      <w:pPr>
        <w:ind w:left="3982" w:hanging="480"/>
      </w:pPr>
      <w:rPr>
        <w:rFonts w:cs="Times New Roman"/>
      </w:rPr>
    </w:lvl>
    <w:lvl w:ilvl="8" w:tplc="0409001B" w:tentative="1">
      <w:start w:val="1"/>
      <w:numFmt w:val="lowerRoman"/>
      <w:lvlText w:val="%9."/>
      <w:lvlJc w:val="right"/>
      <w:pPr>
        <w:ind w:left="4462" w:hanging="480"/>
      </w:pPr>
      <w:rPr>
        <w:rFonts w:cs="Times New Roman"/>
      </w:rPr>
    </w:lvl>
  </w:abstractNum>
  <w:abstractNum w:abstractNumId="5">
    <w:nsid w:val="52BA72D3"/>
    <w:multiLevelType w:val="hybridMultilevel"/>
    <w:tmpl w:val="DE6433EE"/>
    <w:lvl w:ilvl="0" w:tplc="E9F873B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54191544"/>
    <w:multiLevelType w:val="hybridMultilevel"/>
    <w:tmpl w:val="0C7C7496"/>
    <w:lvl w:ilvl="0" w:tplc="231E8C26">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573B489A"/>
    <w:multiLevelType w:val="hybridMultilevel"/>
    <w:tmpl w:val="F9F840FC"/>
    <w:lvl w:ilvl="0" w:tplc="2A7C336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nsid w:val="5EC9038F"/>
    <w:multiLevelType w:val="hybridMultilevel"/>
    <w:tmpl w:val="6ADCD03C"/>
    <w:lvl w:ilvl="0" w:tplc="5AD0484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nsid w:val="73862C81"/>
    <w:multiLevelType w:val="hybridMultilevel"/>
    <w:tmpl w:val="8E028BD8"/>
    <w:lvl w:ilvl="0" w:tplc="BA20FB90">
      <w:start w:val="4"/>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7"/>
  </w:num>
  <w:num w:numId="2">
    <w:abstractNumId w:val="8"/>
  </w:num>
  <w:num w:numId="3">
    <w:abstractNumId w:val="6"/>
  </w:num>
  <w:num w:numId="4">
    <w:abstractNumId w:val="0"/>
  </w:num>
  <w:num w:numId="5">
    <w:abstractNumId w:val="3"/>
  </w:num>
  <w:num w:numId="6">
    <w:abstractNumId w:val="2"/>
  </w:num>
  <w:num w:numId="7">
    <w:abstractNumId w:val="9"/>
  </w:num>
  <w:num w:numId="8">
    <w:abstractNumId w:val="4"/>
  </w:num>
  <w:num w:numId="9">
    <w:abstractNumId w:val="1"/>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bordersDoNotSurroundHeader/>
  <w:bordersDoNotSurroundFooter/>
  <w:proofState w:spelling="clean" w:grammar="clean"/>
  <w:stylePaneFormatFilter w:val="3F01"/>
  <w:defaultTabStop w:val="480"/>
  <w:doNotHyphenateCaps/>
  <w:drawingGridHorizontalSpacing w:val="120"/>
  <w:drawingGridVerticalSpacing w:val="163"/>
  <w:displayHorizontalDrawingGridEvery w:val="0"/>
  <w:displayVerticalDrawingGridEvery w:val="2"/>
  <w:characterSpacingControl w:val="compressPunctuation"/>
  <w:noLineBreaksAfter w:lang="zh-TW" w:val="([{‘“‵〈《「『【〔〝︵︷︹︻︽︿﹁﹃﹙﹛﹝（｛"/>
  <w:noLineBreaksBefore w:lang="zh-TW" w:val="!),.:;?]}·–—’”‥…‧′╴、。〉》」』】〕〞︰︱︳︴︶︸︺︼︾﹀﹂﹄﹏﹐﹑﹒﹔﹕﹖﹗﹚﹜﹞！），．：；？｜｝"/>
  <w:hdrShapeDefaults>
    <o:shapedefaults v:ext="edit" spidmax="187394"/>
  </w:hdrShapeDefaults>
  <w:footnotePr>
    <w:footnote w:id="-1"/>
    <w:footnote w:id="0"/>
  </w:footnotePr>
  <w:endnotePr>
    <w:endnote w:id="-1"/>
    <w:endnote w:id="0"/>
  </w:endnotePr>
  <w:compat>
    <w:spaceForUL/>
    <w:balanceSingleByteDoubleByteWidth/>
    <w:doNotLeaveBackslashAlone/>
    <w:ulTrailSpace/>
    <w:doNotExpandShiftReturn/>
    <w:useFELayout/>
  </w:compat>
  <w:rsids>
    <w:rsidRoot w:val="002538A1"/>
    <w:rsid w:val="000020EE"/>
    <w:rsid w:val="00002526"/>
    <w:rsid w:val="00004398"/>
    <w:rsid w:val="000053C4"/>
    <w:rsid w:val="00006D59"/>
    <w:rsid w:val="00007303"/>
    <w:rsid w:val="00007FBB"/>
    <w:rsid w:val="00011508"/>
    <w:rsid w:val="00014150"/>
    <w:rsid w:val="0001490E"/>
    <w:rsid w:val="00014B6B"/>
    <w:rsid w:val="0001632D"/>
    <w:rsid w:val="000177CB"/>
    <w:rsid w:val="0002145C"/>
    <w:rsid w:val="000236F2"/>
    <w:rsid w:val="00023AD3"/>
    <w:rsid w:val="00023F04"/>
    <w:rsid w:val="000247CA"/>
    <w:rsid w:val="00026F5C"/>
    <w:rsid w:val="000323A1"/>
    <w:rsid w:val="00032B03"/>
    <w:rsid w:val="00033713"/>
    <w:rsid w:val="000346EC"/>
    <w:rsid w:val="00036B45"/>
    <w:rsid w:val="00036BB8"/>
    <w:rsid w:val="00040897"/>
    <w:rsid w:val="00041374"/>
    <w:rsid w:val="00042658"/>
    <w:rsid w:val="0004342F"/>
    <w:rsid w:val="00044274"/>
    <w:rsid w:val="000500AB"/>
    <w:rsid w:val="0005046E"/>
    <w:rsid w:val="00050C4A"/>
    <w:rsid w:val="000523D2"/>
    <w:rsid w:val="00053A84"/>
    <w:rsid w:val="00053C00"/>
    <w:rsid w:val="000556C6"/>
    <w:rsid w:val="0005758B"/>
    <w:rsid w:val="00060BEE"/>
    <w:rsid w:val="00060FE6"/>
    <w:rsid w:val="00061394"/>
    <w:rsid w:val="00061F98"/>
    <w:rsid w:val="00065E61"/>
    <w:rsid w:val="00070C27"/>
    <w:rsid w:val="00072499"/>
    <w:rsid w:val="00080EA2"/>
    <w:rsid w:val="000822E4"/>
    <w:rsid w:val="00082465"/>
    <w:rsid w:val="00082590"/>
    <w:rsid w:val="00082B5B"/>
    <w:rsid w:val="00083A5C"/>
    <w:rsid w:val="000860D2"/>
    <w:rsid w:val="00086450"/>
    <w:rsid w:val="00086BDA"/>
    <w:rsid w:val="0009036D"/>
    <w:rsid w:val="000911A6"/>
    <w:rsid w:val="00092C83"/>
    <w:rsid w:val="00095F16"/>
    <w:rsid w:val="0009791C"/>
    <w:rsid w:val="000A0ABF"/>
    <w:rsid w:val="000A137B"/>
    <w:rsid w:val="000A277C"/>
    <w:rsid w:val="000A3A5D"/>
    <w:rsid w:val="000A7F07"/>
    <w:rsid w:val="000B1C54"/>
    <w:rsid w:val="000B2319"/>
    <w:rsid w:val="000B360C"/>
    <w:rsid w:val="000B4461"/>
    <w:rsid w:val="000B4A40"/>
    <w:rsid w:val="000B5B2A"/>
    <w:rsid w:val="000B6CB0"/>
    <w:rsid w:val="000B7492"/>
    <w:rsid w:val="000C111F"/>
    <w:rsid w:val="000C1564"/>
    <w:rsid w:val="000C42D4"/>
    <w:rsid w:val="000C53AA"/>
    <w:rsid w:val="000C7A42"/>
    <w:rsid w:val="000D19C9"/>
    <w:rsid w:val="000D289A"/>
    <w:rsid w:val="000D4A1A"/>
    <w:rsid w:val="000D621B"/>
    <w:rsid w:val="000D635F"/>
    <w:rsid w:val="000D6511"/>
    <w:rsid w:val="000D683B"/>
    <w:rsid w:val="000E0873"/>
    <w:rsid w:val="000E0E6C"/>
    <w:rsid w:val="000E2670"/>
    <w:rsid w:val="000E2D2C"/>
    <w:rsid w:val="000E4071"/>
    <w:rsid w:val="000E498B"/>
    <w:rsid w:val="000E66AC"/>
    <w:rsid w:val="000E6B00"/>
    <w:rsid w:val="000E772A"/>
    <w:rsid w:val="000E77EC"/>
    <w:rsid w:val="000F249A"/>
    <w:rsid w:val="000F2661"/>
    <w:rsid w:val="000F3864"/>
    <w:rsid w:val="000F3B56"/>
    <w:rsid w:val="000F4F92"/>
    <w:rsid w:val="000F7C6C"/>
    <w:rsid w:val="0010110E"/>
    <w:rsid w:val="00101F50"/>
    <w:rsid w:val="00102DF2"/>
    <w:rsid w:val="001044F2"/>
    <w:rsid w:val="001048C6"/>
    <w:rsid w:val="0010556C"/>
    <w:rsid w:val="00106AAF"/>
    <w:rsid w:val="00106B3F"/>
    <w:rsid w:val="00106B5C"/>
    <w:rsid w:val="00106B7F"/>
    <w:rsid w:val="00107A71"/>
    <w:rsid w:val="00110A2B"/>
    <w:rsid w:val="001131CA"/>
    <w:rsid w:val="001133CB"/>
    <w:rsid w:val="001134AD"/>
    <w:rsid w:val="00113506"/>
    <w:rsid w:val="00114CF7"/>
    <w:rsid w:val="001161E7"/>
    <w:rsid w:val="00120F27"/>
    <w:rsid w:val="001212C5"/>
    <w:rsid w:val="00125AE0"/>
    <w:rsid w:val="00126AE4"/>
    <w:rsid w:val="001305BF"/>
    <w:rsid w:val="00132E5A"/>
    <w:rsid w:val="00134721"/>
    <w:rsid w:val="001378D5"/>
    <w:rsid w:val="001379C9"/>
    <w:rsid w:val="00137C73"/>
    <w:rsid w:val="00140556"/>
    <w:rsid w:val="0014122E"/>
    <w:rsid w:val="00141C1F"/>
    <w:rsid w:val="001428BA"/>
    <w:rsid w:val="0014363F"/>
    <w:rsid w:val="00146EE7"/>
    <w:rsid w:val="001500B9"/>
    <w:rsid w:val="00151CD5"/>
    <w:rsid w:val="001535C8"/>
    <w:rsid w:val="001543AC"/>
    <w:rsid w:val="0015505A"/>
    <w:rsid w:val="00155203"/>
    <w:rsid w:val="00155B51"/>
    <w:rsid w:val="001573B8"/>
    <w:rsid w:val="001573BF"/>
    <w:rsid w:val="00160FDC"/>
    <w:rsid w:val="00161C8E"/>
    <w:rsid w:val="001632E6"/>
    <w:rsid w:val="00164102"/>
    <w:rsid w:val="00164FF1"/>
    <w:rsid w:val="00165BD7"/>
    <w:rsid w:val="00166733"/>
    <w:rsid w:val="00171C3E"/>
    <w:rsid w:val="00173038"/>
    <w:rsid w:val="00173157"/>
    <w:rsid w:val="001738EA"/>
    <w:rsid w:val="00174484"/>
    <w:rsid w:val="001754E7"/>
    <w:rsid w:val="00176013"/>
    <w:rsid w:val="00176334"/>
    <w:rsid w:val="00176CFF"/>
    <w:rsid w:val="0017783F"/>
    <w:rsid w:val="00180663"/>
    <w:rsid w:val="00180815"/>
    <w:rsid w:val="001826B0"/>
    <w:rsid w:val="00182860"/>
    <w:rsid w:val="00183976"/>
    <w:rsid w:val="001857E0"/>
    <w:rsid w:val="00185A54"/>
    <w:rsid w:val="00186723"/>
    <w:rsid w:val="001909A4"/>
    <w:rsid w:val="001920A0"/>
    <w:rsid w:val="00192757"/>
    <w:rsid w:val="00192BC9"/>
    <w:rsid w:val="001944AC"/>
    <w:rsid w:val="00197159"/>
    <w:rsid w:val="00197685"/>
    <w:rsid w:val="00197ECA"/>
    <w:rsid w:val="001A3432"/>
    <w:rsid w:val="001A3829"/>
    <w:rsid w:val="001A3A27"/>
    <w:rsid w:val="001A3E30"/>
    <w:rsid w:val="001A5429"/>
    <w:rsid w:val="001A5E6E"/>
    <w:rsid w:val="001B13AD"/>
    <w:rsid w:val="001B1759"/>
    <w:rsid w:val="001B50EA"/>
    <w:rsid w:val="001B5830"/>
    <w:rsid w:val="001B5BA8"/>
    <w:rsid w:val="001B5FB8"/>
    <w:rsid w:val="001B7280"/>
    <w:rsid w:val="001C0A12"/>
    <w:rsid w:val="001C0A47"/>
    <w:rsid w:val="001C0F9F"/>
    <w:rsid w:val="001C52FF"/>
    <w:rsid w:val="001C63EA"/>
    <w:rsid w:val="001C6C76"/>
    <w:rsid w:val="001D2C23"/>
    <w:rsid w:val="001D2D27"/>
    <w:rsid w:val="001D4C63"/>
    <w:rsid w:val="001E0CAA"/>
    <w:rsid w:val="001E1313"/>
    <w:rsid w:val="001E1C0E"/>
    <w:rsid w:val="001E4D31"/>
    <w:rsid w:val="001E5F3E"/>
    <w:rsid w:val="001E5F63"/>
    <w:rsid w:val="001E7472"/>
    <w:rsid w:val="001E7D96"/>
    <w:rsid w:val="001F02C7"/>
    <w:rsid w:val="001F159B"/>
    <w:rsid w:val="001F1C61"/>
    <w:rsid w:val="001F4158"/>
    <w:rsid w:val="001F4BAA"/>
    <w:rsid w:val="001F551F"/>
    <w:rsid w:val="001F61B7"/>
    <w:rsid w:val="001F7CF3"/>
    <w:rsid w:val="00201176"/>
    <w:rsid w:val="00201C87"/>
    <w:rsid w:val="00202B21"/>
    <w:rsid w:val="00204095"/>
    <w:rsid w:val="00204C6A"/>
    <w:rsid w:val="00204DCC"/>
    <w:rsid w:val="00204FCD"/>
    <w:rsid w:val="002067E6"/>
    <w:rsid w:val="00206990"/>
    <w:rsid w:val="00206CCE"/>
    <w:rsid w:val="00213D90"/>
    <w:rsid w:val="00213DC6"/>
    <w:rsid w:val="0021421A"/>
    <w:rsid w:val="00214331"/>
    <w:rsid w:val="002172E0"/>
    <w:rsid w:val="00222A79"/>
    <w:rsid w:val="00222C20"/>
    <w:rsid w:val="002250EE"/>
    <w:rsid w:val="00226C24"/>
    <w:rsid w:val="00226C48"/>
    <w:rsid w:val="002274F5"/>
    <w:rsid w:val="00234DC2"/>
    <w:rsid w:val="0023764C"/>
    <w:rsid w:val="0024085D"/>
    <w:rsid w:val="00241B46"/>
    <w:rsid w:val="0024275C"/>
    <w:rsid w:val="00242E3B"/>
    <w:rsid w:val="00244CB4"/>
    <w:rsid w:val="00244E9D"/>
    <w:rsid w:val="00245107"/>
    <w:rsid w:val="00247248"/>
    <w:rsid w:val="0025047E"/>
    <w:rsid w:val="00250EB5"/>
    <w:rsid w:val="00251BB8"/>
    <w:rsid w:val="00251C6E"/>
    <w:rsid w:val="002528FE"/>
    <w:rsid w:val="002529B2"/>
    <w:rsid w:val="002538A1"/>
    <w:rsid w:val="0025530C"/>
    <w:rsid w:val="002553F8"/>
    <w:rsid w:val="00255A15"/>
    <w:rsid w:val="00257C0E"/>
    <w:rsid w:val="00257D0D"/>
    <w:rsid w:val="002602B7"/>
    <w:rsid w:val="00261A5D"/>
    <w:rsid w:val="00263028"/>
    <w:rsid w:val="002641B1"/>
    <w:rsid w:val="0026723F"/>
    <w:rsid w:val="00267B50"/>
    <w:rsid w:val="00267B9E"/>
    <w:rsid w:val="002702AC"/>
    <w:rsid w:val="0027217B"/>
    <w:rsid w:val="00273F5F"/>
    <w:rsid w:val="00274937"/>
    <w:rsid w:val="00285288"/>
    <w:rsid w:val="00285CA9"/>
    <w:rsid w:val="00290ADE"/>
    <w:rsid w:val="00290C03"/>
    <w:rsid w:val="002932F0"/>
    <w:rsid w:val="002947F5"/>
    <w:rsid w:val="002955A6"/>
    <w:rsid w:val="00296138"/>
    <w:rsid w:val="0029733A"/>
    <w:rsid w:val="002A1000"/>
    <w:rsid w:val="002A20A4"/>
    <w:rsid w:val="002A3158"/>
    <w:rsid w:val="002A334D"/>
    <w:rsid w:val="002A4B77"/>
    <w:rsid w:val="002A625E"/>
    <w:rsid w:val="002A724E"/>
    <w:rsid w:val="002B0499"/>
    <w:rsid w:val="002B073E"/>
    <w:rsid w:val="002B0F74"/>
    <w:rsid w:val="002B1677"/>
    <w:rsid w:val="002B316E"/>
    <w:rsid w:val="002B39F0"/>
    <w:rsid w:val="002B43FE"/>
    <w:rsid w:val="002B48C7"/>
    <w:rsid w:val="002B53A1"/>
    <w:rsid w:val="002B62F4"/>
    <w:rsid w:val="002B6374"/>
    <w:rsid w:val="002B689B"/>
    <w:rsid w:val="002C0551"/>
    <w:rsid w:val="002C0EDD"/>
    <w:rsid w:val="002C146D"/>
    <w:rsid w:val="002C384B"/>
    <w:rsid w:val="002C3CC8"/>
    <w:rsid w:val="002C597E"/>
    <w:rsid w:val="002C5981"/>
    <w:rsid w:val="002C5F5B"/>
    <w:rsid w:val="002D1B23"/>
    <w:rsid w:val="002D4015"/>
    <w:rsid w:val="002D4C61"/>
    <w:rsid w:val="002D5881"/>
    <w:rsid w:val="002D5BA6"/>
    <w:rsid w:val="002D78C4"/>
    <w:rsid w:val="002E193F"/>
    <w:rsid w:val="002E4A37"/>
    <w:rsid w:val="002E6DF0"/>
    <w:rsid w:val="002E6EA4"/>
    <w:rsid w:val="002E6EDA"/>
    <w:rsid w:val="002F07F7"/>
    <w:rsid w:val="002F1385"/>
    <w:rsid w:val="002F2FC3"/>
    <w:rsid w:val="002F3161"/>
    <w:rsid w:val="002F3775"/>
    <w:rsid w:val="002F4CDE"/>
    <w:rsid w:val="002F5D82"/>
    <w:rsid w:val="002F6246"/>
    <w:rsid w:val="002F71DB"/>
    <w:rsid w:val="002F76C3"/>
    <w:rsid w:val="00300E15"/>
    <w:rsid w:val="00301622"/>
    <w:rsid w:val="00302225"/>
    <w:rsid w:val="003026D5"/>
    <w:rsid w:val="003028A1"/>
    <w:rsid w:val="00302BFC"/>
    <w:rsid w:val="003039DC"/>
    <w:rsid w:val="0030481F"/>
    <w:rsid w:val="003052D5"/>
    <w:rsid w:val="0030571B"/>
    <w:rsid w:val="0030782E"/>
    <w:rsid w:val="00307CB9"/>
    <w:rsid w:val="0031069A"/>
    <w:rsid w:val="00310A8A"/>
    <w:rsid w:val="00313F8B"/>
    <w:rsid w:val="00314025"/>
    <w:rsid w:val="003156B5"/>
    <w:rsid w:val="003160D9"/>
    <w:rsid w:val="003171F1"/>
    <w:rsid w:val="003205CC"/>
    <w:rsid w:val="003209B2"/>
    <w:rsid w:val="00321B6D"/>
    <w:rsid w:val="00323648"/>
    <w:rsid w:val="003243E6"/>
    <w:rsid w:val="00325B1D"/>
    <w:rsid w:val="00326D36"/>
    <w:rsid w:val="0033068C"/>
    <w:rsid w:val="00330A3B"/>
    <w:rsid w:val="0033105B"/>
    <w:rsid w:val="00331D88"/>
    <w:rsid w:val="00334191"/>
    <w:rsid w:val="0033535A"/>
    <w:rsid w:val="0033552E"/>
    <w:rsid w:val="00335ABE"/>
    <w:rsid w:val="00340D93"/>
    <w:rsid w:val="0034147C"/>
    <w:rsid w:val="0034258A"/>
    <w:rsid w:val="0034567A"/>
    <w:rsid w:val="00345919"/>
    <w:rsid w:val="00346518"/>
    <w:rsid w:val="00352474"/>
    <w:rsid w:val="00352E63"/>
    <w:rsid w:val="00353BBA"/>
    <w:rsid w:val="00354753"/>
    <w:rsid w:val="00357967"/>
    <w:rsid w:val="00364044"/>
    <w:rsid w:val="003650A7"/>
    <w:rsid w:val="00366CB9"/>
    <w:rsid w:val="00370E3C"/>
    <w:rsid w:val="00370E7D"/>
    <w:rsid w:val="00371CA4"/>
    <w:rsid w:val="0037203F"/>
    <w:rsid w:val="00372BCD"/>
    <w:rsid w:val="003733C9"/>
    <w:rsid w:val="003740F2"/>
    <w:rsid w:val="0037600F"/>
    <w:rsid w:val="00381817"/>
    <w:rsid w:val="00381C96"/>
    <w:rsid w:val="003832BD"/>
    <w:rsid w:val="00383FDC"/>
    <w:rsid w:val="0038627C"/>
    <w:rsid w:val="003862EE"/>
    <w:rsid w:val="003914F4"/>
    <w:rsid w:val="00391D00"/>
    <w:rsid w:val="00395181"/>
    <w:rsid w:val="00396B1A"/>
    <w:rsid w:val="00396FB9"/>
    <w:rsid w:val="00397072"/>
    <w:rsid w:val="00397CD0"/>
    <w:rsid w:val="00397D34"/>
    <w:rsid w:val="003A3B20"/>
    <w:rsid w:val="003A3E8D"/>
    <w:rsid w:val="003A51A2"/>
    <w:rsid w:val="003A537B"/>
    <w:rsid w:val="003B1F4E"/>
    <w:rsid w:val="003B21EA"/>
    <w:rsid w:val="003B325D"/>
    <w:rsid w:val="003B3E1E"/>
    <w:rsid w:val="003B4506"/>
    <w:rsid w:val="003B7B5A"/>
    <w:rsid w:val="003C0F72"/>
    <w:rsid w:val="003C1047"/>
    <w:rsid w:val="003C177A"/>
    <w:rsid w:val="003C1DEF"/>
    <w:rsid w:val="003C4232"/>
    <w:rsid w:val="003C5500"/>
    <w:rsid w:val="003C55EA"/>
    <w:rsid w:val="003D0718"/>
    <w:rsid w:val="003D0A18"/>
    <w:rsid w:val="003D0B6C"/>
    <w:rsid w:val="003D1237"/>
    <w:rsid w:val="003D21C5"/>
    <w:rsid w:val="003D3CFA"/>
    <w:rsid w:val="003D55AC"/>
    <w:rsid w:val="003D5EEB"/>
    <w:rsid w:val="003D76F1"/>
    <w:rsid w:val="003D7C5E"/>
    <w:rsid w:val="003E1B39"/>
    <w:rsid w:val="003E326D"/>
    <w:rsid w:val="003E6296"/>
    <w:rsid w:val="003E647B"/>
    <w:rsid w:val="003E6B26"/>
    <w:rsid w:val="003E6E90"/>
    <w:rsid w:val="003F0929"/>
    <w:rsid w:val="003F36F6"/>
    <w:rsid w:val="003F58CC"/>
    <w:rsid w:val="00400B9F"/>
    <w:rsid w:val="00400BEC"/>
    <w:rsid w:val="004014D0"/>
    <w:rsid w:val="004016BF"/>
    <w:rsid w:val="0040170F"/>
    <w:rsid w:val="00401FE4"/>
    <w:rsid w:val="00402305"/>
    <w:rsid w:val="004030EA"/>
    <w:rsid w:val="0040335F"/>
    <w:rsid w:val="00404239"/>
    <w:rsid w:val="00404819"/>
    <w:rsid w:val="00406659"/>
    <w:rsid w:val="00406F70"/>
    <w:rsid w:val="004111AA"/>
    <w:rsid w:val="004166CF"/>
    <w:rsid w:val="00417236"/>
    <w:rsid w:val="0041727B"/>
    <w:rsid w:val="004173BF"/>
    <w:rsid w:val="00417502"/>
    <w:rsid w:val="00421E35"/>
    <w:rsid w:val="00424200"/>
    <w:rsid w:val="00425B0C"/>
    <w:rsid w:val="0042651C"/>
    <w:rsid w:val="00433822"/>
    <w:rsid w:val="004339A4"/>
    <w:rsid w:val="004341BA"/>
    <w:rsid w:val="004365B5"/>
    <w:rsid w:val="0044010B"/>
    <w:rsid w:val="00441DA7"/>
    <w:rsid w:val="00441F95"/>
    <w:rsid w:val="0044235B"/>
    <w:rsid w:val="00445343"/>
    <w:rsid w:val="00445E89"/>
    <w:rsid w:val="00451F97"/>
    <w:rsid w:val="00453497"/>
    <w:rsid w:val="004548F5"/>
    <w:rsid w:val="0045568C"/>
    <w:rsid w:val="004605B0"/>
    <w:rsid w:val="00463F7B"/>
    <w:rsid w:val="004656DA"/>
    <w:rsid w:val="00466CEF"/>
    <w:rsid w:val="00466CF6"/>
    <w:rsid w:val="0047108E"/>
    <w:rsid w:val="004723EE"/>
    <w:rsid w:val="0047359E"/>
    <w:rsid w:val="0047451D"/>
    <w:rsid w:val="00474BBC"/>
    <w:rsid w:val="00474E44"/>
    <w:rsid w:val="00475D51"/>
    <w:rsid w:val="004760A9"/>
    <w:rsid w:val="00476810"/>
    <w:rsid w:val="00480CAC"/>
    <w:rsid w:val="004832B0"/>
    <w:rsid w:val="004845ED"/>
    <w:rsid w:val="00486491"/>
    <w:rsid w:val="00486562"/>
    <w:rsid w:val="004877F9"/>
    <w:rsid w:val="00487A23"/>
    <w:rsid w:val="00487BD0"/>
    <w:rsid w:val="004909E9"/>
    <w:rsid w:val="0049509D"/>
    <w:rsid w:val="004A084A"/>
    <w:rsid w:val="004A232B"/>
    <w:rsid w:val="004A386F"/>
    <w:rsid w:val="004A3DFC"/>
    <w:rsid w:val="004A737A"/>
    <w:rsid w:val="004B29C8"/>
    <w:rsid w:val="004B3C29"/>
    <w:rsid w:val="004B49EC"/>
    <w:rsid w:val="004B5174"/>
    <w:rsid w:val="004B5B31"/>
    <w:rsid w:val="004B6514"/>
    <w:rsid w:val="004B6692"/>
    <w:rsid w:val="004B7077"/>
    <w:rsid w:val="004B7797"/>
    <w:rsid w:val="004B77FF"/>
    <w:rsid w:val="004C0BA6"/>
    <w:rsid w:val="004C16DE"/>
    <w:rsid w:val="004C4166"/>
    <w:rsid w:val="004C4FC1"/>
    <w:rsid w:val="004C70C0"/>
    <w:rsid w:val="004D1D5C"/>
    <w:rsid w:val="004D22A2"/>
    <w:rsid w:val="004D2E9C"/>
    <w:rsid w:val="004D4920"/>
    <w:rsid w:val="004E0F0A"/>
    <w:rsid w:val="004E0FEB"/>
    <w:rsid w:val="004E1496"/>
    <w:rsid w:val="004E2E8A"/>
    <w:rsid w:val="004E5ABC"/>
    <w:rsid w:val="004E7E18"/>
    <w:rsid w:val="004F076B"/>
    <w:rsid w:val="004F15CB"/>
    <w:rsid w:val="004F37DD"/>
    <w:rsid w:val="004F59E3"/>
    <w:rsid w:val="004F5DE9"/>
    <w:rsid w:val="004F76F6"/>
    <w:rsid w:val="00501444"/>
    <w:rsid w:val="00502AF6"/>
    <w:rsid w:val="0050368C"/>
    <w:rsid w:val="0050559E"/>
    <w:rsid w:val="005057AA"/>
    <w:rsid w:val="00515233"/>
    <w:rsid w:val="00515311"/>
    <w:rsid w:val="00515CDB"/>
    <w:rsid w:val="00525206"/>
    <w:rsid w:val="00525410"/>
    <w:rsid w:val="00527559"/>
    <w:rsid w:val="0053071B"/>
    <w:rsid w:val="005309F8"/>
    <w:rsid w:val="005316A0"/>
    <w:rsid w:val="0053175C"/>
    <w:rsid w:val="0053678F"/>
    <w:rsid w:val="005379F2"/>
    <w:rsid w:val="005418D5"/>
    <w:rsid w:val="00541F37"/>
    <w:rsid w:val="00542A58"/>
    <w:rsid w:val="00543651"/>
    <w:rsid w:val="00546101"/>
    <w:rsid w:val="00546116"/>
    <w:rsid w:val="0054666D"/>
    <w:rsid w:val="00550161"/>
    <w:rsid w:val="0055032F"/>
    <w:rsid w:val="0055407A"/>
    <w:rsid w:val="00554659"/>
    <w:rsid w:val="00555EBA"/>
    <w:rsid w:val="00556D5B"/>
    <w:rsid w:val="0055735C"/>
    <w:rsid w:val="0055757F"/>
    <w:rsid w:val="00557AE8"/>
    <w:rsid w:val="00560354"/>
    <w:rsid w:val="00560654"/>
    <w:rsid w:val="00561349"/>
    <w:rsid w:val="005618DB"/>
    <w:rsid w:val="005643ED"/>
    <w:rsid w:val="0056557C"/>
    <w:rsid w:val="00565EAF"/>
    <w:rsid w:val="005670EA"/>
    <w:rsid w:val="00567360"/>
    <w:rsid w:val="00567EDB"/>
    <w:rsid w:val="00570057"/>
    <w:rsid w:val="005705DB"/>
    <w:rsid w:val="00570727"/>
    <w:rsid w:val="0057183E"/>
    <w:rsid w:val="00572B42"/>
    <w:rsid w:val="005738D9"/>
    <w:rsid w:val="00576E48"/>
    <w:rsid w:val="00577446"/>
    <w:rsid w:val="005813CF"/>
    <w:rsid w:val="00581BFD"/>
    <w:rsid w:val="0058203F"/>
    <w:rsid w:val="005903E1"/>
    <w:rsid w:val="005915D0"/>
    <w:rsid w:val="00594424"/>
    <w:rsid w:val="00597D64"/>
    <w:rsid w:val="005A01F4"/>
    <w:rsid w:val="005A04CD"/>
    <w:rsid w:val="005A346B"/>
    <w:rsid w:val="005A3545"/>
    <w:rsid w:val="005A4082"/>
    <w:rsid w:val="005A450C"/>
    <w:rsid w:val="005A7DB8"/>
    <w:rsid w:val="005B1A06"/>
    <w:rsid w:val="005B2706"/>
    <w:rsid w:val="005B62F7"/>
    <w:rsid w:val="005B6FB3"/>
    <w:rsid w:val="005C267A"/>
    <w:rsid w:val="005C26BD"/>
    <w:rsid w:val="005C5F7E"/>
    <w:rsid w:val="005C6C42"/>
    <w:rsid w:val="005D1B22"/>
    <w:rsid w:val="005D2073"/>
    <w:rsid w:val="005D398A"/>
    <w:rsid w:val="005D3B4C"/>
    <w:rsid w:val="005D5D0E"/>
    <w:rsid w:val="005D6A67"/>
    <w:rsid w:val="005D6C3C"/>
    <w:rsid w:val="005E01BB"/>
    <w:rsid w:val="005E0886"/>
    <w:rsid w:val="005E0AE1"/>
    <w:rsid w:val="005E0B5A"/>
    <w:rsid w:val="005E29EC"/>
    <w:rsid w:val="005E3BD4"/>
    <w:rsid w:val="005E6281"/>
    <w:rsid w:val="005E645D"/>
    <w:rsid w:val="005F084E"/>
    <w:rsid w:val="005F5770"/>
    <w:rsid w:val="005F75D5"/>
    <w:rsid w:val="00600825"/>
    <w:rsid w:val="00601837"/>
    <w:rsid w:val="00603D71"/>
    <w:rsid w:val="00604CF7"/>
    <w:rsid w:val="006051B4"/>
    <w:rsid w:val="00605906"/>
    <w:rsid w:val="00605E51"/>
    <w:rsid w:val="00606CAF"/>
    <w:rsid w:val="0060794F"/>
    <w:rsid w:val="006104C5"/>
    <w:rsid w:val="00610516"/>
    <w:rsid w:val="0061093C"/>
    <w:rsid w:val="00611875"/>
    <w:rsid w:val="00613E67"/>
    <w:rsid w:val="006145A9"/>
    <w:rsid w:val="0061531E"/>
    <w:rsid w:val="006165CB"/>
    <w:rsid w:val="006177E1"/>
    <w:rsid w:val="00621277"/>
    <w:rsid w:val="00621A87"/>
    <w:rsid w:val="00626CA6"/>
    <w:rsid w:val="00626DAE"/>
    <w:rsid w:val="00627FB9"/>
    <w:rsid w:val="00630C8B"/>
    <w:rsid w:val="00630FD7"/>
    <w:rsid w:val="006317C0"/>
    <w:rsid w:val="00632EBA"/>
    <w:rsid w:val="006343D4"/>
    <w:rsid w:val="0063493F"/>
    <w:rsid w:val="0063552B"/>
    <w:rsid w:val="00635B94"/>
    <w:rsid w:val="00640075"/>
    <w:rsid w:val="006411A6"/>
    <w:rsid w:val="00641D74"/>
    <w:rsid w:val="006426C1"/>
    <w:rsid w:val="006441F3"/>
    <w:rsid w:val="006442AC"/>
    <w:rsid w:val="00650AB2"/>
    <w:rsid w:val="00651AF5"/>
    <w:rsid w:val="00652384"/>
    <w:rsid w:val="00653989"/>
    <w:rsid w:val="00653C21"/>
    <w:rsid w:val="00654DAF"/>
    <w:rsid w:val="00655F73"/>
    <w:rsid w:val="0065747D"/>
    <w:rsid w:val="006606C5"/>
    <w:rsid w:val="00661743"/>
    <w:rsid w:val="0066197D"/>
    <w:rsid w:val="00661B92"/>
    <w:rsid w:val="00667BDA"/>
    <w:rsid w:val="00670B2A"/>
    <w:rsid w:val="00670E51"/>
    <w:rsid w:val="0067166A"/>
    <w:rsid w:val="00675D99"/>
    <w:rsid w:val="00676831"/>
    <w:rsid w:val="006779CF"/>
    <w:rsid w:val="00677D5F"/>
    <w:rsid w:val="00680427"/>
    <w:rsid w:val="0068087F"/>
    <w:rsid w:val="006825CF"/>
    <w:rsid w:val="00683193"/>
    <w:rsid w:val="00684253"/>
    <w:rsid w:val="00685973"/>
    <w:rsid w:val="0069050C"/>
    <w:rsid w:val="00691172"/>
    <w:rsid w:val="006913DE"/>
    <w:rsid w:val="0069141E"/>
    <w:rsid w:val="00691569"/>
    <w:rsid w:val="00691E27"/>
    <w:rsid w:val="006929C2"/>
    <w:rsid w:val="00693791"/>
    <w:rsid w:val="006974A1"/>
    <w:rsid w:val="006A00AF"/>
    <w:rsid w:val="006A0864"/>
    <w:rsid w:val="006A0BC9"/>
    <w:rsid w:val="006A2A7C"/>
    <w:rsid w:val="006A609E"/>
    <w:rsid w:val="006A63EA"/>
    <w:rsid w:val="006A7081"/>
    <w:rsid w:val="006A7E09"/>
    <w:rsid w:val="006B11AE"/>
    <w:rsid w:val="006B12C8"/>
    <w:rsid w:val="006B30BD"/>
    <w:rsid w:val="006B6325"/>
    <w:rsid w:val="006B6AF8"/>
    <w:rsid w:val="006C00AF"/>
    <w:rsid w:val="006C00BC"/>
    <w:rsid w:val="006C229C"/>
    <w:rsid w:val="006C270E"/>
    <w:rsid w:val="006C3102"/>
    <w:rsid w:val="006C4ED7"/>
    <w:rsid w:val="006C509F"/>
    <w:rsid w:val="006C5C16"/>
    <w:rsid w:val="006C6C74"/>
    <w:rsid w:val="006C6E7A"/>
    <w:rsid w:val="006C72CA"/>
    <w:rsid w:val="006C7309"/>
    <w:rsid w:val="006C7612"/>
    <w:rsid w:val="006D08A9"/>
    <w:rsid w:val="006D198D"/>
    <w:rsid w:val="006D2D6B"/>
    <w:rsid w:val="006D2F97"/>
    <w:rsid w:val="006D4200"/>
    <w:rsid w:val="006D466A"/>
    <w:rsid w:val="006D4AEC"/>
    <w:rsid w:val="006E0F4E"/>
    <w:rsid w:val="006E251F"/>
    <w:rsid w:val="006E2D08"/>
    <w:rsid w:val="006E2D84"/>
    <w:rsid w:val="006E313B"/>
    <w:rsid w:val="006E38FB"/>
    <w:rsid w:val="006E5DFA"/>
    <w:rsid w:val="006E611F"/>
    <w:rsid w:val="006E6B65"/>
    <w:rsid w:val="006F0A5F"/>
    <w:rsid w:val="006F273A"/>
    <w:rsid w:val="006F3855"/>
    <w:rsid w:val="006F5ED5"/>
    <w:rsid w:val="00701371"/>
    <w:rsid w:val="00701C62"/>
    <w:rsid w:val="00702CA8"/>
    <w:rsid w:val="00702DB6"/>
    <w:rsid w:val="007033CF"/>
    <w:rsid w:val="007037A0"/>
    <w:rsid w:val="00705183"/>
    <w:rsid w:val="00710239"/>
    <w:rsid w:val="00710A14"/>
    <w:rsid w:val="007123D1"/>
    <w:rsid w:val="00713B4C"/>
    <w:rsid w:val="00716291"/>
    <w:rsid w:val="00716B24"/>
    <w:rsid w:val="00717004"/>
    <w:rsid w:val="007176C4"/>
    <w:rsid w:val="00721CCE"/>
    <w:rsid w:val="00722390"/>
    <w:rsid w:val="00722ACA"/>
    <w:rsid w:val="007304A3"/>
    <w:rsid w:val="00731E74"/>
    <w:rsid w:val="00732D5F"/>
    <w:rsid w:val="00734103"/>
    <w:rsid w:val="0073454E"/>
    <w:rsid w:val="007355A9"/>
    <w:rsid w:val="007356FF"/>
    <w:rsid w:val="00735A7E"/>
    <w:rsid w:val="00736C40"/>
    <w:rsid w:val="00736FB9"/>
    <w:rsid w:val="00744BCD"/>
    <w:rsid w:val="00747A79"/>
    <w:rsid w:val="007506BC"/>
    <w:rsid w:val="007518D5"/>
    <w:rsid w:val="00752552"/>
    <w:rsid w:val="00754714"/>
    <w:rsid w:val="007548FE"/>
    <w:rsid w:val="00754F37"/>
    <w:rsid w:val="00756F93"/>
    <w:rsid w:val="007571A8"/>
    <w:rsid w:val="007575C6"/>
    <w:rsid w:val="00757E92"/>
    <w:rsid w:val="007646D0"/>
    <w:rsid w:val="00765242"/>
    <w:rsid w:val="007661FB"/>
    <w:rsid w:val="00770D92"/>
    <w:rsid w:val="00771A99"/>
    <w:rsid w:val="00771BE4"/>
    <w:rsid w:val="0077295D"/>
    <w:rsid w:val="00773438"/>
    <w:rsid w:val="00774CB3"/>
    <w:rsid w:val="007778B3"/>
    <w:rsid w:val="00781EF1"/>
    <w:rsid w:val="007845DD"/>
    <w:rsid w:val="007850F3"/>
    <w:rsid w:val="007855EF"/>
    <w:rsid w:val="00786CF4"/>
    <w:rsid w:val="00790124"/>
    <w:rsid w:val="00793063"/>
    <w:rsid w:val="00793728"/>
    <w:rsid w:val="00795606"/>
    <w:rsid w:val="0079598A"/>
    <w:rsid w:val="0079669B"/>
    <w:rsid w:val="00796F4F"/>
    <w:rsid w:val="007A2DBF"/>
    <w:rsid w:val="007A33C3"/>
    <w:rsid w:val="007A5A52"/>
    <w:rsid w:val="007A5C4C"/>
    <w:rsid w:val="007A72B7"/>
    <w:rsid w:val="007B00E3"/>
    <w:rsid w:val="007B1436"/>
    <w:rsid w:val="007B1E23"/>
    <w:rsid w:val="007B44D9"/>
    <w:rsid w:val="007B4C2E"/>
    <w:rsid w:val="007B5E4E"/>
    <w:rsid w:val="007B7520"/>
    <w:rsid w:val="007C3B18"/>
    <w:rsid w:val="007C416D"/>
    <w:rsid w:val="007C6543"/>
    <w:rsid w:val="007C75D8"/>
    <w:rsid w:val="007C7FB4"/>
    <w:rsid w:val="007D15AD"/>
    <w:rsid w:val="007D46AF"/>
    <w:rsid w:val="007D48CC"/>
    <w:rsid w:val="007D7009"/>
    <w:rsid w:val="007E1751"/>
    <w:rsid w:val="007E2058"/>
    <w:rsid w:val="007E2657"/>
    <w:rsid w:val="007E3205"/>
    <w:rsid w:val="007E4742"/>
    <w:rsid w:val="007E57B9"/>
    <w:rsid w:val="007E6E34"/>
    <w:rsid w:val="007F022A"/>
    <w:rsid w:val="007F05F9"/>
    <w:rsid w:val="007F2B4E"/>
    <w:rsid w:val="007F3C11"/>
    <w:rsid w:val="007F4963"/>
    <w:rsid w:val="007F55BE"/>
    <w:rsid w:val="007F56BC"/>
    <w:rsid w:val="007F6662"/>
    <w:rsid w:val="0080031E"/>
    <w:rsid w:val="00800464"/>
    <w:rsid w:val="00800649"/>
    <w:rsid w:val="00800D19"/>
    <w:rsid w:val="00802BB8"/>
    <w:rsid w:val="00803754"/>
    <w:rsid w:val="0080386F"/>
    <w:rsid w:val="008038A6"/>
    <w:rsid w:val="008049E6"/>
    <w:rsid w:val="00806014"/>
    <w:rsid w:val="008074C9"/>
    <w:rsid w:val="00807DFA"/>
    <w:rsid w:val="00807FF9"/>
    <w:rsid w:val="00810B07"/>
    <w:rsid w:val="008163F3"/>
    <w:rsid w:val="0081647B"/>
    <w:rsid w:val="0081796E"/>
    <w:rsid w:val="00820CB6"/>
    <w:rsid w:val="008222AD"/>
    <w:rsid w:val="008276DE"/>
    <w:rsid w:val="00830BC0"/>
    <w:rsid w:val="008314D2"/>
    <w:rsid w:val="008335F8"/>
    <w:rsid w:val="008337DD"/>
    <w:rsid w:val="008343FE"/>
    <w:rsid w:val="00840573"/>
    <w:rsid w:val="00840588"/>
    <w:rsid w:val="00840D19"/>
    <w:rsid w:val="0084151E"/>
    <w:rsid w:val="00844FEF"/>
    <w:rsid w:val="00845F61"/>
    <w:rsid w:val="00846633"/>
    <w:rsid w:val="0084664A"/>
    <w:rsid w:val="00851F96"/>
    <w:rsid w:val="00864901"/>
    <w:rsid w:val="00864D01"/>
    <w:rsid w:val="008651D3"/>
    <w:rsid w:val="00866493"/>
    <w:rsid w:val="0086661A"/>
    <w:rsid w:val="00867642"/>
    <w:rsid w:val="0087109F"/>
    <w:rsid w:val="00871481"/>
    <w:rsid w:val="008719B7"/>
    <w:rsid w:val="00873240"/>
    <w:rsid w:val="00874D2F"/>
    <w:rsid w:val="00876E31"/>
    <w:rsid w:val="00877DAD"/>
    <w:rsid w:val="0088063C"/>
    <w:rsid w:val="0088082F"/>
    <w:rsid w:val="00882DE9"/>
    <w:rsid w:val="00882EE7"/>
    <w:rsid w:val="008850A6"/>
    <w:rsid w:val="00885385"/>
    <w:rsid w:val="00885514"/>
    <w:rsid w:val="00885C1A"/>
    <w:rsid w:val="00886951"/>
    <w:rsid w:val="00890A04"/>
    <w:rsid w:val="00890E07"/>
    <w:rsid w:val="00893074"/>
    <w:rsid w:val="00893A95"/>
    <w:rsid w:val="008963FA"/>
    <w:rsid w:val="00897514"/>
    <w:rsid w:val="008A141D"/>
    <w:rsid w:val="008A3018"/>
    <w:rsid w:val="008A3EEA"/>
    <w:rsid w:val="008A4C85"/>
    <w:rsid w:val="008A54E8"/>
    <w:rsid w:val="008A5DB3"/>
    <w:rsid w:val="008B1BF3"/>
    <w:rsid w:val="008B4A80"/>
    <w:rsid w:val="008B6177"/>
    <w:rsid w:val="008B671A"/>
    <w:rsid w:val="008B6815"/>
    <w:rsid w:val="008B7DF1"/>
    <w:rsid w:val="008B7EE0"/>
    <w:rsid w:val="008C0FF0"/>
    <w:rsid w:val="008C11CF"/>
    <w:rsid w:val="008C17B4"/>
    <w:rsid w:val="008C3319"/>
    <w:rsid w:val="008C3D4D"/>
    <w:rsid w:val="008C45F4"/>
    <w:rsid w:val="008C4C04"/>
    <w:rsid w:val="008C6003"/>
    <w:rsid w:val="008D18D7"/>
    <w:rsid w:val="008D2007"/>
    <w:rsid w:val="008D2712"/>
    <w:rsid w:val="008D2F3A"/>
    <w:rsid w:val="008D4E62"/>
    <w:rsid w:val="008D5147"/>
    <w:rsid w:val="008D52F6"/>
    <w:rsid w:val="008D63D5"/>
    <w:rsid w:val="008D6C23"/>
    <w:rsid w:val="008E08CE"/>
    <w:rsid w:val="008E12CF"/>
    <w:rsid w:val="008E16DC"/>
    <w:rsid w:val="008E425A"/>
    <w:rsid w:val="008F21D7"/>
    <w:rsid w:val="008F4D78"/>
    <w:rsid w:val="00902071"/>
    <w:rsid w:val="0090399F"/>
    <w:rsid w:val="00904852"/>
    <w:rsid w:val="009050CC"/>
    <w:rsid w:val="0090512E"/>
    <w:rsid w:val="00905F26"/>
    <w:rsid w:val="00907037"/>
    <w:rsid w:val="00910901"/>
    <w:rsid w:val="00914480"/>
    <w:rsid w:val="009167D1"/>
    <w:rsid w:val="00916AB8"/>
    <w:rsid w:val="00916D1E"/>
    <w:rsid w:val="009178BD"/>
    <w:rsid w:val="0091798B"/>
    <w:rsid w:val="00921AC8"/>
    <w:rsid w:val="00923E90"/>
    <w:rsid w:val="00923F80"/>
    <w:rsid w:val="00924059"/>
    <w:rsid w:val="00926FC2"/>
    <w:rsid w:val="0092751D"/>
    <w:rsid w:val="009335A7"/>
    <w:rsid w:val="009337C1"/>
    <w:rsid w:val="009338C1"/>
    <w:rsid w:val="009340B4"/>
    <w:rsid w:val="0093519E"/>
    <w:rsid w:val="009354F3"/>
    <w:rsid w:val="00935A8E"/>
    <w:rsid w:val="00935C22"/>
    <w:rsid w:val="00937DDB"/>
    <w:rsid w:val="00941725"/>
    <w:rsid w:val="00941CB9"/>
    <w:rsid w:val="009433EA"/>
    <w:rsid w:val="009437E1"/>
    <w:rsid w:val="00944C7D"/>
    <w:rsid w:val="00945BDF"/>
    <w:rsid w:val="00945E62"/>
    <w:rsid w:val="00950B63"/>
    <w:rsid w:val="00950FC6"/>
    <w:rsid w:val="00952D8E"/>
    <w:rsid w:val="009539D0"/>
    <w:rsid w:val="00955B86"/>
    <w:rsid w:val="0096219B"/>
    <w:rsid w:val="00964C08"/>
    <w:rsid w:val="00965787"/>
    <w:rsid w:val="00965C9B"/>
    <w:rsid w:val="00965CA6"/>
    <w:rsid w:val="00965F8C"/>
    <w:rsid w:val="00971964"/>
    <w:rsid w:val="009723DF"/>
    <w:rsid w:val="00974107"/>
    <w:rsid w:val="00975EB8"/>
    <w:rsid w:val="00981B9B"/>
    <w:rsid w:val="00981E4C"/>
    <w:rsid w:val="00982F1E"/>
    <w:rsid w:val="00983BC4"/>
    <w:rsid w:val="00984DA2"/>
    <w:rsid w:val="009871BB"/>
    <w:rsid w:val="00987552"/>
    <w:rsid w:val="00987BC4"/>
    <w:rsid w:val="0099007B"/>
    <w:rsid w:val="00990B55"/>
    <w:rsid w:val="00991B63"/>
    <w:rsid w:val="00993E49"/>
    <w:rsid w:val="00994AE2"/>
    <w:rsid w:val="00996306"/>
    <w:rsid w:val="00996CDC"/>
    <w:rsid w:val="009976F1"/>
    <w:rsid w:val="009A2FB0"/>
    <w:rsid w:val="009A4637"/>
    <w:rsid w:val="009A5DA4"/>
    <w:rsid w:val="009B0AC7"/>
    <w:rsid w:val="009B3060"/>
    <w:rsid w:val="009B37B3"/>
    <w:rsid w:val="009B3E85"/>
    <w:rsid w:val="009B67FC"/>
    <w:rsid w:val="009B7229"/>
    <w:rsid w:val="009C1FD9"/>
    <w:rsid w:val="009C27B2"/>
    <w:rsid w:val="009C32BD"/>
    <w:rsid w:val="009C3A0B"/>
    <w:rsid w:val="009C5CEA"/>
    <w:rsid w:val="009C7300"/>
    <w:rsid w:val="009D0F06"/>
    <w:rsid w:val="009D1DB5"/>
    <w:rsid w:val="009D1F79"/>
    <w:rsid w:val="009D24DF"/>
    <w:rsid w:val="009D3E51"/>
    <w:rsid w:val="009D45F6"/>
    <w:rsid w:val="009D7C00"/>
    <w:rsid w:val="009E3A29"/>
    <w:rsid w:val="009E5415"/>
    <w:rsid w:val="009E63D4"/>
    <w:rsid w:val="009E6517"/>
    <w:rsid w:val="009E6533"/>
    <w:rsid w:val="009E7F4C"/>
    <w:rsid w:val="009F2352"/>
    <w:rsid w:val="009F236B"/>
    <w:rsid w:val="009F3C5E"/>
    <w:rsid w:val="009F3C8C"/>
    <w:rsid w:val="009F41B1"/>
    <w:rsid w:val="009F6EEE"/>
    <w:rsid w:val="00A056DF"/>
    <w:rsid w:val="00A0678A"/>
    <w:rsid w:val="00A06D6D"/>
    <w:rsid w:val="00A10094"/>
    <w:rsid w:val="00A10FCF"/>
    <w:rsid w:val="00A11051"/>
    <w:rsid w:val="00A15C5D"/>
    <w:rsid w:val="00A16A93"/>
    <w:rsid w:val="00A176D4"/>
    <w:rsid w:val="00A2268C"/>
    <w:rsid w:val="00A23266"/>
    <w:rsid w:val="00A240B7"/>
    <w:rsid w:val="00A242B4"/>
    <w:rsid w:val="00A2733B"/>
    <w:rsid w:val="00A27B4A"/>
    <w:rsid w:val="00A27DEB"/>
    <w:rsid w:val="00A309B3"/>
    <w:rsid w:val="00A33C75"/>
    <w:rsid w:val="00A34614"/>
    <w:rsid w:val="00A37735"/>
    <w:rsid w:val="00A40A5D"/>
    <w:rsid w:val="00A40B0B"/>
    <w:rsid w:val="00A42EDA"/>
    <w:rsid w:val="00A44B35"/>
    <w:rsid w:val="00A46C01"/>
    <w:rsid w:val="00A504F9"/>
    <w:rsid w:val="00A5196D"/>
    <w:rsid w:val="00A565DD"/>
    <w:rsid w:val="00A56CBC"/>
    <w:rsid w:val="00A574FE"/>
    <w:rsid w:val="00A60867"/>
    <w:rsid w:val="00A6118A"/>
    <w:rsid w:val="00A63A1B"/>
    <w:rsid w:val="00A651BF"/>
    <w:rsid w:val="00A6666F"/>
    <w:rsid w:val="00A70FCA"/>
    <w:rsid w:val="00A70FE7"/>
    <w:rsid w:val="00A73F2E"/>
    <w:rsid w:val="00A74B72"/>
    <w:rsid w:val="00A75835"/>
    <w:rsid w:val="00A75E4D"/>
    <w:rsid w:val="00A76429"/>
    <w:rsid w:val="00A7798B"/>
    <w:rsid w:val="00A80284"/>
    <w:rsid w:val="00A81D99"/>
    <w:rsid w:val="00A835D9"/>
    <w:rsid w:val="00A83860"/>
    <w:rsid w:val="00A84CB3"/>
    <w:rsid w:val="00A84E7E"/>
    <w:rsid w:val="00A85071"/>
    <w:rsid w:val="00A853F9"/>
    <w:rsid w:val="00A865BE"/>
    <w:rsid w:val="00A8759C"/>
    <w:rsid w:val="00A876C1"/>
    <w:rsid w:val="00A87C27"/>
    <w:rsid w:val="00A940B7"/>
    <w:rsid w:val="00A95526"/>
    <w:rsid w:val="00A95AB6"/>
    <w:rsid w:val="00A96997"/>
    <w:rsid w:val="00AA1BAA"/>
    <w:rsid w:val="00AA3076"/>
    <w:rsid w:val="00AA4D54"/>
    <w:rsid w:val="00AA6672"/>
    <w:rsid w:val="00AA70DD"/>
    <w:rsid w:val="00AB0062"/>
    <w:rsid w:val="00AB15AF"/>
    <w:rsid w:val="00AB17D1"/>
    <w:rsid w:val="00AB1DE2"/>
    <w:rsid w:val="00AB29FE"/>
    <w:rsid w:val="00AB2AE4"/>
    <w:rsid w:val="00AB2BA3"/>
    <w:rsid w:val="00AB3349"/>
    <w:rsid w:val="00AB3951"/>
    <w:rsid w:val="00AB4593"/>
    <w:rsid w:val="00AB5440"/>
    <w:rsid w:val="00AB556C"/>
    <w:rsid w:val="00AB58F5"/>
    <w:rsid w:val="00AB62DC"/>
    <w:rsid w:val="00AC04AE"/>
    <w:rsid w:val="00AC2C71"/>
    <w:rsid w:val="00AC4973"/>
    <w:rsid w:val="00AC4A90"/>
    <w:rsid w:val="00AC4C02"/>
    <w:rsid w:val="00AC53C1"/>
    <w:rsid w:val="00AC5504"/>
    <w:rsid w:val="00AC7C0E"/>
    <w:rsid w:val="00AD123D"/>
    <w:rsid w:val="00AD247E"/>
    <w:rsid w:val="00AD3B7A"/>
    <w:rsid w:val="00AD4FEA"/>
    <w:rsid w:val="00AD7DAE"/>
    <w:rsid w:val="00AE02DE"/>
    <w:rsid w:val="00AE0A43"/>
    <w:rsid w:val="00AE110E"/>
    <w:rsid w:val="00AE1F85"/>
    <w:rsid w:val="00AE316C"/>
    <w:rsid w:val="00AE52DD"/>
    <w:rsid w:val="00AE7B57"/>
    <w:rsid w:val="00AF1AEE"/>
    <w:rsid w:val="00AF27B2"/>
    <w:rsid w:val="00AF2DAB"/>
    <w:rsid w:val="00AF4243"/>
    <w:rsid w:val="00AF4277"/>
    <w:rsid w:val="00AF614E"/>
    <w:rsid w:val="00B00273"/>
    <w:rsid w:val="00B01412"/>
    <w:rsid w:val="00B02298"/>
    <w:rsid w:val="00B02511"/>
    <w:rsid w:val="00B031A3"/>
    <w:rsid w:val="00B0489C"/>
    <w:rsid w:val="00B06A4B"/>
    <w:rsid w:val="00B06B7A"/>
    <w:rsid w:val="00B102C0"/>
    <w:rsid w:val="00B1100C"/>
    <w:rsid w:val="00B11DC9"/>
    <w:rsid w:val="00B13B82"/>
    <w:rsid w:val="00B13CA2"/>
    <w:rsid w:val="00B14A0E"/>
    <w:rsid w:val="00B14D91"/>
    <w:rsid w:val="00B16BC5"/>
    <w:rsid w:val="00B17904"/>
    <w:rsid w:val="00B17B21"/>
    <w:rsid w:val="00B20E8B"/>
    <w:rsid w:val="00B2102A"/>
    <w:rsid w:val="00B251A2"/>
    <w:rsid w:val="00B25321"/>
    <w:rsid w:val="00B25D08"/>
    <w:rsid w:val="00B26FA5"/>
    <w:rsid w:val="00B275CA"/>
    <w:rsid w:val="00B301C5"/>
    <w:rsid w:val="00B31AB0"/>
    <w:rsid w:val="00B34689"/>
    <w:rsid w:val="00B3513C"/>
    <w:rsid w:val="00B356C5"/>
    <w:rsid w:val="00B37EDD"/>
    <w:rsid w:val="00B41000"/>
    <w:rsid w:val="00B43195"/>
    <w:rsid w:val="00B43AE6"/>
    <w:rsid w:val="00B44A69"/>
    <w:rsid w:val="00B468DC"/>
    <w:rsid w:val="00B46906"/>
    <w:rsid w:val="00B46AA7"/>
    <w:rsid w:val="00B47CA6"/>
    <w:rsid w:val="00B5501F"/>
    <w:rsid w:val="00B550B6"/>
    <w:rsid w:val="00B577A1"/>
    <w:rsid w:val="00B6049F"/>
    <w:rsid w:val="00B60B35"/>
    <w:rsid w:val="00B60C7A"/>
    <w:rsid w:val="00B60DA8"/>
    <w:rsid w:val="00B6113D"/>
    <w:rsid w:val="00B629C3"/>
    <w:rsid w:val="00B63154"/>
    <w:rsid w:val="00B64017"/>
    <w:rsid w:val="00B64592"/>
    <w:rsid w:val="00B64EAD"/>
    <w:rsid w:val="00B668A0"/>
    <w:rsid w:val="00B6781D"/>
    <w:rsid w:val="00B706D8"/>
    <w:rsid w:val="00B73EBF"/>
    <w:rsid w:val="00B8193D"/>
    <w:rsid w:val="00B81E49"/>
    <w:rsid w:val="00B826B1"/>
    <w:rsid w:val="00B8352F"/>
    <w:rsid w:val="00B84207"/>
    <w:rsid w:val="00B84B3C"/>
    <w:rsid w:val="00B86076"/>
    <w:rsid w:val="00B87E97"/>
    <w:rsid w:val="00B90C7A"/>
    <w:rsid w:val="00B92479"/>
    <w:rsid w:val="00B92E36"/>
    <w:rsid w:val="00B937D8"/>
    <w:rsid w:val="00B93F1A"/>
    <w:rsid w:val="00B968EB"/>
    <w:rsid w:val="00BA176B"/>
    <w:rsid w:val="00BA3F16"/>
    <w:rsid w:val="00BA51B9"/>
    <w:rsid w:val="00BA5835"/>
    <w:rsid w:val="00BB15BB"/>
    <w:rsid w:val="00BB1769"/>
    <w:rsid w:val="00BB34B4"/>
    <w:rsid w:val="00BB48D3"/>
    <w:rsid w:val="00BB4E70"/>
    <w:rsid w:val="00BB5CED"/>
    <w:rsid w:val="00BB654C"/>
    <w:rsid w:val="00BB7434"/>
    <w:rsid w:val="00BC0FD1"/>
    <w:rsid w:val="00BC30B5"/>
    <w:rsid w:val="00BC3423"/>
    <w:rsid w:val="00BC3738"/>
    <w:rsid w:val="00BC6FF3"/>
    <w:rsid w:val="00BD0474"/>
    <w:rsid w:val="00BD05CA"/>
    <w:rsid w:val="00BD0C47"/>
    <w:rsid w:val="00BD0C67"/>
    <w:rsid w:val="00BD24B9"/>
    <w:rsid w:val="00BD5B79"/>
    <w:rsid w:val="00BD7AEE"/>
    <w:rsid w:val="00BE2379"/>
    <w:rsid w:val="00BE36FE"/>
    <w:rsid w:val="00BE5D77"/>
    <w:rsid w:val="00BE5DDD"/>
    <w:rsid w:val="00BE6C57"/>
    <w:rsid w:val="00BE7ED7"/>
    <w:rsid w:val="00BF26D3"/>
    <w:rsid w:val="00BF51B1"/>
    <w:rsid w:val="00BF60D5"/>
    <w:rsid w:val="00C00AF5"/>
    <w:rsid w:val="00C00BBA"/>
    <w:rsid w:val="00C01625"/>
    <w:rsid w:val="00C01EF0"/>
    <w:rsid w:val="00C03620"/>
    <w:rsid w:val="00C06D3A"/>
    <w:rsid w:val="00C1048A"/>
    <w:rsid w:val="00C13C04"/>
    <w:rsid w:val="00C1524F"/>
    <w:rsid w:val="00C15798"/>
    <w:rsid w:val="00C15EC9"/>
    <w:rsid w:val="00C15F06"/>
    <w:rsid w:val="00C170FF"/>
    <w:rsid w:val="00C20A78"/>
    <w:rsid w:val="00C22202"/>
    <w:rsid w:val="00C226E8"/>
    <w:rsid w:val="00C23188"/>
    <w:rsid w:val="00C24549"/>
    <w:rsid w:val="00C246FA"/>
    <w:rsid w:val="00C2698B"/>
    <w:rsid w:val="00C27AA4"/>
    <w:rsid w:val="00C31AAD"/>
    <w:rsid w:val="00C335E0"/>
    <w:rsid w:val="00C33651"/>
    <w:rsid w:val="00C3425A"/>
    <w:rsid w:val="00C346CB"/>
    <w:rsid w:val="00C348EE"/>
    <w:rsid w:val="00C356DB"/>
    <w:rsid w:val="00C366A3"/>
    <w:rsid w:val="00C36CB6"/>
    <w:rsid w:val="00C404C5"/>
    <w:rsid w:val="00C4060D"/>
    <w:rsid w:val="00C413CA"/>
    <w:rsid w:val="00C42CA6"/>
    <w:rsid w:val="00C4307E"/>
    <w:rsid w:val="00C4670F"/>
    <w:rsid w:val="00C46833"/>
    <w:rsid w:val="00C46FE5"/>
    <w:rsid w:val="00C51600"/>
    <w:rsid w:val="00C51CFA"/>
    <w:rsid w:val="00C52F8E"/>
    <w:rsid w:val="00C574CF"/>
    <w:rsid w:val="00C60A99"/>
    <w:rsid w:val="00C618FB"/>
    <w:rsid w:val="00C61F33"/>
    <w:rsid w:val="00C62902"/>
    <w:rsid w:val="00C638C7"/>
    <w:rsid w:val="00C670D7"/>
    <w:rsid w:val="00C74641"/>
    <w:rsid w:val="00C75C5D"/>
    <w:rsid w:val="00C77025"/>
    <w:rsid w:val="00C7735C"/>
    <w:rsid w:val="00C77B74"/>
    <w:rsid w:val="00C77D87"/>
    <w:rsid w:val="00C80AAB"/>
    <w:rsid w:val="00C85989"/>
    <w:rsid w:val="00C9138A"/>
    <w:rsid w:val="00C94894"/>
    <w:rsid w:val="00C96462"/>
    <w:rsid w:val="00C97074"/>
    <w:rsid w:val="00C972CF"/>
    <w:rsid w:val="00C975E0"/>
    <w:rsid w:val="00CA3ED9"/>
    <w:rsid w:val="00CA415F"/>
    <w:rsid w:val="00CA4C47"/>
    <w:rsid w:val="00CB1EA5"/>
    <w:rsid w:val="00CB32D9"/>
    <w:rsid w:val="00CB3C93"/>
    <w:rsid w:val="00CB47C2"/>
    <w:rsid w:val="00CB4E17"/>
    <w:rsid w:val="00CC0E4A"/>
    <w:rsid w:val="00CC19FA"/>
    <w:rsid w:val="00CC1EBE"/>
    <w:rsid w:val="00CC49DF"/>
    <w:rsid w:val="00CC60E4"/>
    <w:rsid w:val="00CC6F66"/>
    <w:rsid w:val="00CD0E2B"/>
    <w:rsid w:val="00CD1A0B"/>
    <w:rsid w:val="00CD1AFF"/>
    <w:rsid w:val="00CD3FF1"/>
    <w:rsid w:val="00CD41EE"/>
    <w:rsid w:val="00CD43DD"/>
    <w:rsid w:val="00CD44B2"/>
    <w:rsid w:val="00CD57AA"/>
    <w:rsid w:val="00CD6F75"/>
    <w:rsid w:val="00CD7D42"/>
    <w:rsid w:val="00CE00F6"/>
    <w:rsid w:val="00CE02AE"/>
    <w:rsid w:val="00CE02D6"/>
    <w:rsid w:val="00CE08B8"/>
    <w:rsid w:val="00CE1140"/>
    <w:rsid w:val="00CE5878"/>
    <w:rsid w:val="00CE5C4A"/>
    <w:rsid w:val="00CE7912"/>
    <w:rsid w:val="00CE7971"/>
    <w:rsid w:val="00CE7DB1"/>
    <w:rsid w:val="00CF0CF6"/>
    <w:rsid w:val="00CF17F1"/>
    <w:rsid w:val="00CF219C"/>
    <w:rsid w:val="00CF26D8"/>
    <w:rsid w:val="00CF35F5"/>
    <w:rsid w:val="00CF490B"/>
    <w:rsid w:val="00CF53C4"/>
    <w:rsid w:val="00CF6090"/>
    <w:rsid w:val="00CF6C98"/>
    <w:rsid w:val="00D00B67"/>
    <w:rsid w:val="00D03548"/>
    <w:rsid w:val="00D04EE4"/>
    <w:rsid w:val="00D071B9"/>
    <w:rsid w:val="00D109F1"/>
    <w:rsid w:val="00D11941"/>
    <w:rsid w:val="00D11CDB"/>
    <w:rsid w:val="00D128D3"/>
    <w:rsid w:val="00D1339A"/>
    <w:rsid w:val="00D1356C"/>
    <w:rsid w:val="00D15965"/>
    <w:rsid w:val="00D168FF"/>
    <w:rsid w:val="00D17084"/>
    <w:rsid w:val="00D1785A"/>
    <w:rsid w:val="00D2042C"/>
    <w:rsid w:val="00D22D30"/>
    <w:rsid w:val="00D25325"/>
    <w:rsid w:val="00D25C44"/>
    <w:rsid w:val="00D26B0A"/>
    <w:rsid w:val="00D2787E"/>
    <w:rsid w:val="00D3011D"/>
    <w:rsid w:val="00D316AA"/>
    <w:rsid w:val="00D34760"/>
    <w:rsid w:val="00D43AF8"/>
    <w:rsid w:val="00D43C0E"/>
    <w:rsid w:val="00D45A46"/>
    <w:rsid w:val="00D4652E"/>
    <w:rsid w:val="00D4708A"/>
    <w:rsid w:val="00D511DA"/>
    <w:rsid w:val="00D524A5"/>
    <w:rsid w:val="00D528B0"/>
    <w:rsid w:val="00D52EBA"/>
    <w:rsid w:val="00D53082"/>
    <w:rsid w:val="00D55930"/>
    <w:rsid w:val="00D5730E"/>
    <w:rsid w:val="00D57A4C"/>
    <w:rsid w:val="00D63EC0"/>
    <w:rsid w:val="00D65085"/>
    <w:rsid w:val="00D65BB0"/>
    <w:rsid w:val="00D6620D"/>
    <w:rsid w:val="00D665E5"/>
    <w:rsid w:val="00D70D04"/>
    <w:rsid w:val="00D71932"/>
    <w:rsid w:val="00D72BE9"/>
    <w:rsid w:val="00D76072"/>
    <w:rsid w:val="00D76292"/>
    <w:rsid w:val="00D76D8C"/>
    <w:rsid w:val="00D810EA"/>
    <w:rsid w:val="00D83C14"/>
    <w:rsid w:val="00D85E33"/>
    <w:rsid w:val="00D85F72"/>
    <w:rsid w:val="00D85FEA"/>
    <w:rsid w:val="00D87B95"/>
    <w:rsid w:val="00D87BBE"/>
    <w:rsid w:val="00D910C1"/>
    <w:rsid w:val="00D91B48"/>
    <w:rsid w:val="00D92D52"/>
    <w:rsid w:val="00D94021"/>
    <w:rsid w:val="00D9475D"/>
    <w:rsid w:val="00D9634F"/>
    <w:rsid w:val="00D969D0"/>
    <w:rsid w:val="00D96B03"/>
    <w:rsid w:val="00D97FBA"/>
    <w:rsid w:val="00DA132C"/>
    <w:rsid w:val="00DA5DC4"/>
    <w:rsid w:val="00DA765C"/>
    <w:rsid w:val="00DB0040"/>
    <w:rsid w:val="00DB1EE7"/>
    <w:rsid w:val="00DB210F"/>
    <w:rsid w:val="00DB255D"/>
    <w:rsid w:val="00DB2AAC"/>
    <w:rsid w:val="00DB2F32"/>
    <w:rsid w:val="00DB37B5"/>
    <w:rsid w:val="00DB5BA5"/>
    <w:rsid w:val="00DB7F4B"/>
    <w:rsid w:val="00DC06FE"/>
    <w:rsid w:val="00DC4781"/>
    <w:rsid w:val="00DC5E21"/>
    <w:rsid w:val="00DC692D"/>
    <w:rsid w:val="00DC6F46"/>
    <w:rsid w:val="00DC76AF"/>
    <w:rsid w:val="00DD0D86"/>
    <w:rsid w:val="00DD175C"/>
    <w:rsid w:val="00DD26C5"/>
    <w:rsid w:val="00DD2D08"/>
    <w:rsid w:val="00DD607F"/>
    <w:rsid w:val="00DD7450"/>
    <w:rsid w:val="00DE128F"/>
    <w:rsid w:val="00DE2251"/>
    <w:rsid w:val="00DE2F59"/>
    <w:rsid w:val="00DE3C37"/>
    <w:rsid w:val="00DE561C"/>
    <w:rsid w:val="00DE5C87"/>
    <w:rsid w:val="00DE5CFB"/>
    <w:rsid w:val="00DE7CA2"/>
    <w:rsid w:val="00DF05A0"/>
    <w:rsid w:val="00DF0917"/>
    <w:rsid w:val="00DF109B"/>
    <w:rsid w:val="00DF1F46"/>
    <w:rsid w:val="00DF21CA"/>
    <w:rsid w:val="00DF30EA"/>
    <w:rsid w:val="00DF4871"/>
    <w:rsid w:val="00DF5A02"/>
    <w:rsid w:val="00E00179"/>
    <w:rsid w:val="00E005B2"/>
    <w:rsid w:val="00E00A67"/>
    <w:rsid w:val="00E01E3A"/>
    <w:rsid w:val="00E01E97"/>
    <w:rsid w:val="00E022EA"/>
    <w:rsid w:val="00E02382"/>
    <w:rsid w:val="00E031D2"/>
    <w:rsid w:val="00E03EEB"/>
    <w:rsid w:val="00E03F9D"/>
    <w:rsid w:val="00E103B1"/>
    <w:rsid w:val="00E131C3"/>
    <w:rsid w:val="00E17A2E"/>
    <w:rsid w:val="00E21185"/>
    <w:rsid w:val="00E23842"/>
    <w:rsid w:val="00E23D76"/>
    <w:rsid w:val="00E250B2"/>
    <w:rsid w:val="00E25C9F"/>
    <w:rsid w:val="00E262F5"/>
    <w:rsid w:val="00E26617"/>
    <w:rsid w:val="00E26F79"/>
    <w:rsid w:val="00E277D5"/>
    <w:rsid w:val="00E3289A"/>
    <w:rsid w:val="00E34764"/>
    <w:rsid w:val="00E405D2"/>
    <w:rsid w:val="00E4324C"/>
    <w:rsid w:val="00E46209"/>
    <w:rsid w:val="00E50D11"/>
    <w:rsid w:val="00E52631"/>
    <w:rsid w:val="00E54085"/>
    <w:rsid w:val="00E54136"/>
    <w:rsid w:val="00E554B1"/>
    <w:rsid w:val="00E60D7B"/>
    <w:rsid w:val="00E6202F"/>
    <w:rsid w:val="00E620B2"/>
    <w:rsid w:val="00E6348E"/>
    <w:rsid w:val="00E65B21"/>
    <w:rsid w:val="00E66296"/>
    <w:rsid w:val="00E66641"/>
    <w:rsid w:val="00E66AF0"/>
    <w:rsid w:val="00E672B3"/>
    <w:rsid w:val="00E679DF"/>
    <w:rsid w:val="00E74413"/>
    <w:rsid w:val="00E76CF6"/>
    <w:rsid w:val="00E808BC"/>
    <w:rsid w:val="00E8186A"/>
    <w:rsid w:val="00E82E1F"/>
    <w:rsid w:val="00E852A2"/>
    <w:rsid w:val="00E87962"/>
    <w:rsid w:val="00E9094C"/>
    <w:rsid w:val="00E91938"/>
    <w:rsid w:val="00E93486"/>
    <w:rsid w:val="00E936EB"/>
    <w:rsid w:val="00E960D5"/>
    <w:rsid w:val="00E96AB1"/>
    <w:rsid w:val="00EA0743"/>
    <w:rsid w:val="00EA0BEE"/>
    <w:rsid w:val="00EA1C13"/>
    <w:rsid w:val="00EA3C5E"/>
    <w:rsid w:val="00EA4F66"/>
    <w:rsid w:val="00EA592C"/>
    <w:rsid w:val="00EA6992"/>
    <w:rsid w:val="00EA709E"/>
    <w:rsid w:val="00EA7F6A"/>
    <w:rsid w:val="00EB612C"/>
    <w:rsid w:val="00EB6D4E"/>
    <w:rsid w:val="00EB721A"/>
    <w:rsid w:val="00EB79F0"/>
    <w:rsid w:val="00EB7FED"/>
    <w:rsid w:val="00EC05ED"/>
    <w:rsid w:val="00EC0775"/>
    <w:rsid w:val="00EC2D4D"/>
    <w:rsid w:val="00EC2D96"/>
    <w:rsid w:val="00EC6A29"/>
    <w:rsid w:val="00EC6ABC"/>
    <w:rsid w:val="00EC6E0D"/>
    <w:rsid w:val="00ED0750"/>
    <w:rsid w:val="00ED194B"/>
    <w:rsid w:val="00ED1E7C"/>
    <w:rsid w:val="00ED421D"/>
    <w:rsid w:val="00ED4428"/>
    <w:rsid w:val="00ED494B"/>
    <w:rsid w:val="00ED5CAB"/>
    <w:rsid w:val="00ED60B9"/>
    <w:rsid w:val="00ED624D"/>
    <w:rsid w:val="00EE064E"/>
    <w:rsid w:val="00EE1E60"/>
    <w:rsid w:val="00EE1F7F"/>
    <w:rsid w:val="00EE225E"/>
    <w:rsid w:val="00EE6D29"/>
    <w:rsid w:val="00EF0EC4"/>
    <w:rsid w:val="00EF10C5"/>
    <w:rsid w:val="00EF1B6F"/>
    <w:rsid w:val="00EF340B"/>
    <w:rsid w:val="00EF38BC"/>
    <w:rsid w:val="00F00A8A"/>
    <w:rsid w:val="00F00CAA"/>
    <w:rsid w:val="00F01E0A"/>
    <w:rsid w:val="00F024D3"/>
    <w:rsid w:val="00F02FAB"/>
    <w:rsid w:val="00F039A5"/>
    <w:rsid w:val="00F03CE4"/>
    <w:rsid w:val="00F06ECE"/>
    <w:rsid w:val="00F10CEC"/>
    <w:rsid w:val="00F115C2"/>
    <w:rsid w:val="00F11753"/>
    <w:rsid w:val="00F130B2"/>
    <w:rsid w:val="00F143D3"/>
    <w:rsid w:val="00F14610"/>
    <w:rsid w:val="00F147D3"/>
    <w:rsid w:val="00F17A5E"/>
    <w:rsid w:val="00F20357"/>
    <w:rsid w:val="00F21D30"/>
    <w:rsid w:val="00F260E7"/>
    <w:rsid w:val="00F266A2"/>
    <w:rsid w:val="00F30287"/>
    <w:rsid w:val="00F33370"/>
    <w:rsid w:val="00F344E8"/>
    <w:rsid w:val="00F34C04"/>
    <w:rsid w:val="00F35D22"/>
    <w:rsid w:val="00F35EFF"/>
    <w:rsid w:val="00F3777B"/>
    <w:rsid w:val="00F37C33"/>
    <w:rsid w:val="00F408B8"/>
    <w:rsid w:val="00F45757"/>
    <w:rsid w:val="00F45D00"/>
    <w:rsid w:val="00F4636C"/>
    <w:rsid w:val="00F463CA"/>
    <w:rsid w:val="00F50862"/>
    <w:rsid w:val="00F51DA7"/>
    <w:rsid w:val="00F54053"/>
    <w:rsid w:val="00F5429E"/>
    <w:rsid w:val="00F5448C"/>
    <w:rsid w:val="00F557E6"/>
    <w:rsid w:val="00F55EA7"/>
    <w:rsid w:val="00F604A8"/>
    <w:rsid w:val="00F61AB8"/>
    <w:rsid w:val="00F62072"/>
    <w:rsid w:val="00F6410C"/>
    <w:rsid w:val="00F65E28"/>
    <w:rsid w:val="00F67CC5"/>
    <w:rsid w:val="00F73F1B"/>
    <w:rsid w:val="00F74D75"/>
    <w:rsid w:val="00F74F42"/>
    <w:rsid w:val="00F75B19"/>
    <w:rsid w:val="00F764D1"/>
    <w:rsid w:val="00F77608"/>
    <w:rsid w:val="00F80BFC"/>
    <w:rsid w:val="00F80E54"/>
    <w:rsid w:val="00F812B1"/>
    <w:rsid w:val="00F81844"/>
    <w:rsid w:val="00F8686A"/>
    <w:rsid w:val="00F868AB"/>
    <w:rsid w:val="00F92787"/>
    <w:rsid w:val="00FA282F"/>
    <w:rsid w:val="00FA303F"/>
    <w:rsid w:val="00FA65F9"/>
    <w:rsid w:val="00FA72C8"/>
    <w:rsid w:val="00FB2448"/>
    <w:rsid w:val="00FB3A9F"/>
    <w:rsid w:val="00FC0452"/>
    <w:rsid w:val="00FC082A"/>
    <w:rsid w:val="00FC1F68"/>
    <w:rsid w:val="00FC31FE"/>
    <w:rsid w:val="00FC3AC3"/>
    <w:rsid w:val="00FC45BB"/>
    <w:rsid w:val="00FC473F"/>
    <w:rsid w:val="00FD0041"/>
    <w:rsid w:val="00FD068E"/>
    <w:rsid w:val="00FD2158"/>
    <w:rsid w:val="00FD38A7"/>
    <w:rsid w:val="00FD480A"/>
    <w:rsid w:val="00FD64A1"/>
    <w:rsid w:val="00FD6E76"/>
    <w:rsid w:val="00FD70D4"/>
    <w:rsid w:val="00FE0F54"/>
    <w:rsid w:val="00FE248C"/>
    <w:rsid w:val="00FE24CB"/>
    <w:rsid w:val="00FE2A6E"/>
    <w:rsid w:val="00FE3240"/>
    <w:rsid w:val="00FE3AFD"/>
    <w:rsid w:val="00FE52BB"/>
    <w:rsid w:val="00FE5318"/>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73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5ABC"/>
    <w:pPr>
      <w:widowControl w:val="0"/>
      <w:adjustRightInd w:val="0"/>
      <w:spacing w:line="360" w:lineRule="atLeast"/>
      <w:textAlignment w:val="baseline"/>
    </w:pPr>
    <w:rPr>
      <w:rFonts w:eastAsia="細明體"/>
      <w:kern w:val="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4E5ABC"/>
    <w:pPr>
      <w:tabs>
        <w:tab w:val="center" w:pos="4153"/>
        <w:tab w:val="right" w:pos="8306"/>
      </w:tabs>
    </w:pPr>
    <w:rPr>
      <w:sz w:val="20"/>
    </w:rPr>
  </w:style>
  <w:style w:type="character" w:customStyle="1" w:styleId="a4">
    <w:name w:val="頁首 字元"/>
    <w:basedOn w:val="a0"/>
    <w:link w:val="a3"/>
    <w:uiPriority w:val="99"/>
    <w:semiHidden/>
    <w:locked/>
    <w:rsid w:val="00370E3C"/>
    <w:rPr>
      <w:rFonts w:eastAsia="細明體" w:cs="Times New Roman"/>
      <w:kern w:val="0"/>
      <w:sz w:val="20"/>
      <w:szCs w:val="20"/>
    </w:rPr>
  </w:style>
  <w:style w:type="paragraph" w:styleId="a5">
    <w:name w:val="footer"/>
    <w:basedOn w:val="a"/>
    <w:link w:val="a6"/>
    <w:uiPriority w:val="99"/>
    <w:rsid w:val="004E5ABC"/>
    <w:pPr>
      <w:tabs>
        <w:tab w:val="center" w:pos="4153"/>
        <w:tab w:val="right" w:pos="8306"/>
      </w:tabs>
    </w:pPr>
    <w:rPr>
      <w:sz w:val="20"/>
    </w:rPr>
  </w:style>
  <w:style w:type="character" w:customStyle="1" w:styleId="a6">
    <w:name w:val="頁尾 字元"/>
    <w:basedOn w:val="a0"/>
    <w:link w:val="a5"/>
    <w:uiPriority w:val="99"/>
    <w:locked/>
    <w:rsid w:val="00CC49DF"/>
    <w:rPr>
      <w:rFonts w:eastAsia="細明體" w:cs="Times New Roman"/>
    </w:rPr>
  </w:style>
  <w:style w:type="character" w:styleId="a7">
    <w:name w:val="page number"/>
    <w:basedOn w:val="a0"/>
    <w:uiPriority w:val="99"/>
    <w:rsid w:val="004E5ABC"/>
    <w:rPr>
      <w:rFonts w:cs="Times New Roman"/>
    </w:rPr>
  </w:style>
  <w:style w:type="paragraph" w:styleId="a8">
    <w:name w:val="Body Text"/>
    <w:basedOn w:val="a"/>
    <w:link w:val="a9"/>
    <w:uiPriority w:val="99"/>
    <w:rsid w:val="004E5ABC"/>
    <w:pPr>
      <w:autoSpaceDN w:val="0"/>
      <w:jc w:val="both"/>
    </w:pPr>
    <w:rPr>
      <w:rFonts w:ascii="標楷體" w:eastAsia="標楷體"/>
      <w:sz w:val="26"/>
    </w:rPr>
  </w:style>
  <w:style w:type="character" w:customStyle="1" w:styleId="a9">
    <w:name w:val="本文 字元"/>
    <w:basedOn w:val="a0"/>
    <w:link w:val="a8"/>
    <w:uiPriority w:val="99"/>
    <w:semiHidden/>
    <w:locked/>
    <w:rsid w:val="00370E3C"/>
    <w:rPr>
      <w:rFonts w:eastAsia="細明體" w:cs="Times New Roman"/>
      <w:kern w:val="0"/>
      <w:sz w:val="20"/>
      <w:szCs w:val="20"/>
    </w:rPr>
  </w:style>
  <w:style w:type="paragraph" w:styleId="aa">
    <w:name w:val="Note Heading"/>
    <w:basedOn w:val="a"/>
    <w:next w:val="a"/>
    <w:link w:val="ab"/>
    <w:uiPriority w:val="99"/>
    <w:rsid w:val="004E5ABC"/>
    <w:pPr>
      <w:jc w:val="center"/>
    </w:pPr>
    <w:rPr>
      <w:rFonts w:ascii="標楷體" w:eastAsia="標楷體"/>
      <w:sz w:val="26"/>
    </w:rPr>
  </w:style>
  <w:style w:type="character" w:customStyle="1" w:styleId="ab">
    <w:name w:val="註釋標題 字元"/>
    <w:basedOn w:val="a0"/>
    <w:link w:val="aa"/>
    <w:uiPriority w:val="99"/>
    <w:semiHidden/>
    <w:locked/>
    <w:rsid w:val="00370E3C"/>
    <w:rPr>
      <w:rFonts w:eastAsia="細明體" w:cs="Times New Roman"/>
      <w:kern w:val="0"/>
      <w:sz w:val="20"/>
      <w:szCs w:val="20"/>
    </w:rPr>
  </w:style>
  <w:style w:type="paragraph" w:styleId="ac">
    <w:name w:val="Closing"/>
    <w:basedOn w:val="a"/>
    <w:next w:val="a"/>
    <w:link w:val="ad"/>
    <w:uiPriority w:val="99"/>
    <w:rsid w:val="004E5ABC"/>
    <w:pPr>
      <w:ind w:left="4320"/>
    </w:pPr>
    <w:rPr>
      <w:rFonts w:ascii="標楷體" w:eastAsia="標楷體"/>
      <w:sz w:val="26"/>
    </w:rPr>
  </w:style>
  <w:style w:type="character" w:customStyle="1" w:styleId="ad">
    <w:name w:val="結語 字元"/>
    <w:basedOn w:val="a0"/>
    <w:link w:val="ac"/>
    <w:uiPriority w:val="99"/>
    <w:semiHidden/>
    <w:locked/>
    <w:rsid w:val="00370E3C"/>
    <w:rPr>
      <w:rFonts w:eastAsia="細明體" w:cs="Times New Roman"/>
      <w:kern w:val="0"/>
      <w:sz w:val="20"/>
      <w:szCs w:val="20"/>
    </w:rPr>
  </w:style>
  <w:style w:type="paragraph" w:styleId="ae">
    <w:name w:val="Balloon Text"/>
    <w:basedOn w:val="a"/>
    <w:link w:val="1"/>
    <w:uiPriority w:val="99"/>
    <w:semiHidden/>
    <w:rsid w:val="004E5ABC"/>
    <w:pPr>
      <w:spacing w:line="240" w:lineRule="auto"/>
    </w:pPr>
    <w:rPr>
      <w:rFonts w:ascii="Cambria" w:eastAsia="新細明體" w:hAnsi="Cambria"/>
      <w:sz w:val="18"/>
      <w:szCs w:val="18"/>
    </w:rPr>
  </w:style>
  <w:style w:type="character" w:customStyle="1" w:styleId="1">
    <w:name w:val="註解方塊文字 字元1"/>
    <w:basedOn w:val="a0"/>
    <w:link w:val="ae"/>
    <w:uiPriority w:val="99"/>
    <w:semiHidden/>
    <w:locked/>
    <w:rsid w:val="00370E3C"/>
    <w:rPr>
      <w:rFonts w:ascii="Cambria" w:eastAsia="新細明體" w:hAnsi="Cambria" w:cs="Times New Roman"/>
      <w:kern w:val="0"/>
      <w:sz w:val="2"/>
    </w:rPr>
  </w:style>
  <w:style w:type="character" w:customStyle="1" w:styleId="af">
    <w:name w:val="註解方塊文字 字元"/>
    <w:basedOn w:val="a0"/>
    <w:uiPriority w:val="99"/>
    <w:semiHidden/>
    <w:rsid w:val="004E5ABC"/>
    <w:rPr>
      <w:rFonts w:ascii="Cambria" w:eastAsia="新細明體" w:hAnsi="Cambria" w:cs="Times New Roman"/>
      <w:sz w:val="18"/>
      <w:szCs w:val="18"/>
    </w:rPr>
  </w:style>
  <w:style w:type="paragraph" w:styleId="af0">
    <w:name w:val="List Paragraph"/>
    <w:basedOn w:val="a"/>
    <w:uiPriority w:val="99"/>
    <w:qFormat/>
    <w:rsid w:val="00556D5B"/>
    <w:pPr>
      <w:ind w:leftChars="200" w:left="480"/>
    </w:pPr>
  </w:style>
  <w:style w:type="paragraph" w:styleId="Web">
    <w:name w:val="Normal (Web)"/>
    <w:basedOn w:val="a"/>
    <w:uiPriority w:val="99"/>
    <w:semiHidden/>
    <w:rsid w:val="009A2FB0"/>
    <w:pPr>
      <w:widowControl/>
      <w:adjustRightInd/>
      <w:spacing w:before="100" w:beforeAutospacing="1" w:after="100" w:afterAutospacing="1" w:line="240" w:lineRule="auto"/>
      <w:textAlignment w:val="auto"/>
    </w:pPr>
    <w:rPr>
      <w:rFonts w:ascii="新細明體" w:eastAsia="新細明體" w:hAnsi="新細明體" w:cs="新細明體"/>
      <w:szCs w:val="24"/>
    </w:rPr>
  </w:style>
  <w:style w:type="character" w:customStyle="1" w:styleId="apple-style-span">
    <w:name w:val="apple-style-span"/>
    <w:basedOn w:val="a0"/>
    <w:uiPriority w:val="99"/>
    <w:rsid w:val="00796F4F"/>
    <w:rPr>
      <w:rFonts w:cs="Times New Roman"/>
    </w:rPr>
  </w:style>
  <w:style w:type="character" w:styleId="af1">
    <w:name w:val="Hyperlink"/>
    <w:basedOn w:val="a0"/>
    <w:uiPriority w:val="99"/>
    <w:rsid w:val="001A5429"/>
    <w:rPr>
      <w:rFonts w:cs="Times New Roman"/>
      <w:color w:val="0000FF"/>
      <w:u w:val="single"/>
    </w:rPr>
  </w:style>
  <w:style w:type="character" w:customStyle="1" w:styleId="yiv783880447apple-style-span">
    <w:name w:val="yiv783880447apple-style-span"/>
    <w:basedOn w:val="a0"/>
    <w:rsid w:val="004548F5"/>
  </w:style>
</w:styles>
</file>

<file path=word/webSettings.xml><?xml version="1.0" encoding="utf-8"?>
<w:webSettings xmlns:r="http://schemas.openxmlformats.org/officeDocument/2006/relationships" xmlns:w="http://schemas.openxmlformats.org/wordprocessingml/2006/main">
  <w:divs>
    <w:div w:id="580140305">
      <w:marLeft w:val="0"/>
      <w:marRight w:val="0"/>
      <w:marTop w:val="0"/>
      <w:marBottom w:val="0"/>
      <w:divBdr>
        <w:top w:val="none" w:sz="0" w:space="0" w:color="auto"/>
        <w:left w:val="none" w:sz="0" w:space="0" w:color="auto"/>
        <w:bottom w:val="none" w:sz="0" w:space="0" w:color="auto"/>
        <w:right w:val="none" w:sz="0" w:space="0" w:color="auto"/>
      </w:divBdr>
    </w:div>
    <w:div w:id="580140306">
      <w:marLeft w:val="0"/>
      <w:marRight w:val="0"/>
      <w:marTop w:val="0"/>
      <w:marBottom w:val="0"/>
      <w:divBdr>
        <w:top w:val="none" w:sz="0" w:space="0" w:color="auto"/>
        <w:left w:val="none" w:sz="0" w:space="0" w:color="auto"/>
        <w:bottom w:val="none" w:sz="0" w:space="0" w:color="auto"/>
        <w:right w:val="none" w:sz="0" w:space="0" w:color="auto"/>
      </w:divBdr>
    </w:div>
    <w:div w:id="580140307">
      <w:marLeft w:val="0"/>
      <w:marRight w:val="0"/>
      <w:marTop w:val="0"/>
      <w:marBottom w:val="0"/>
      <w:divBdr>
        <w:top w:val="none" w:sz="0" w:space="0" w:color="auto"/>
        <w:left w:val="none" w:sz="0" w:space="0" w:color="auto"/>
        <w:bottom w:val="none" w:sz="0" w:space="0" w:color="auto"/>
        <w:right w:val="none" w:sz="0" w:space="0" w:color="auto"/>
      </w:divBdr>
    </w:div>
    <w:div w:id="58014030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5.xml"/><Relationship Id="rId18" Type="http://schemas.openxmlformats.org/officeDocument/2006/relationships/chart" Target="charts/chart10.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chart" Target="charts/chart9.xm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chart" Target="charts/chart7.xml"/><Relationship Id="rId10" Type="http://schemas.openxmlformats.org/officeDocument/2006/relationships/chart" Target="charts/chart3.xml"/><Relationship Id="rId19" Type="http://schemas.openxmlformats.org/officeDocument/2006/relationships/chart" Target="charts/chart1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6.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NHIHFS11\L00A\&#26371;&#35336;&#23460;&#20849;&#21516;&#27284;&#26696;\&#31532;&#20116;&#31185;\&#24180;&#22577;\100\Analysis\Excel\100&#25215;&#20445;-en.xlsx" TargetMode="External"/></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D:\1%20yan-&#32113;&#35336;&#24180;&#22577;\&#32626;&#32113;&#35336;&#23460;&#20462;&#25913;\100&#25215;&#20445;1-en.xlsx" TargetMode="External"/></Relationships>
</file>

<file path=word/charts/_rels/chart3.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oleObject" Target="file:///\\NHIHFS11\L00A\&#26371;&#35336;&#23460;&#20849;&#21516;&#27284;&#26696;\&#31532;&#20116;&#31185;\&#24180;&#22577;\100\Analysis\Excel\100&#25215;&#20445;-en.xlsx" TargetMode="External"/></Relationships>
</file>

<file path=word/charts/_rels/chart4.xml.rels><?xml version="1.0" encoding="UTF-8" standalone="yes"?>
<Relationships xmlns="http://schemas.openxmlformats.org/package/2006/relationships"><Relationship Id="rId2" Type="http://schemas.openxmlformats.org/officeDocument/2006/relationships/chartUserShapes" Target="../drawings/drawing4.xml"/><Relationship Id="rId1" Type="http://schemas.openxmlformats.org/officeDocument/2006/relationships/oleObject" Target="file:///D:\1%20yan-&#32113;&#35336;&#24180;&#22577;\&#32626;&#32113;&#35336;&#23460;&#20462;&#25913;\100&#25215;&#20445;1-en.xlsx" TargetMode="External"/></Relationships>
</file>

<file path=word/charts/_rels/chart5.xml.rels><?xml version="1.0" encoding="UTF-8" standalone="yes"?>
<Relationships xmlns="http://schemas.openxmlformats.org/package/2006/relationships"><Relationship Id="rId2" Type="http://schemas.openxmlformats.org/officeDocument/2006/relationships/chartUserShapes" Target="../drawings/drawing5.xml"/><Relationship Id="rId1" Type="http://schemas.openxmlformats.org/officeDocument/2006/relationships/oleObject" Target="file:///\\NHIHFS11\L00A\&#26371;&#35336;&#23460;&#20849;&#21516;&#27284;&#26696;\&#31532;&#20116;&#31185;\&#24180;&#22577;\100\Analysis\Excel\100&#25215;&#20445;-en.xlsx" TargetMode="External"/></Relationships>
</file>

<file path=word/charts/_rels/chart6.xml.rels><?xml version="1.0" encoding="UTF-8" standalone="yes"?>
<Relationships xmlns="http://schemas.openxmlformats.org/package/2006/relationships"><Relationship Id="rId2" Type="http://schemas.openxmlformats.org/officeDocument/2006/relationships/chartUserShapes" Target="../drawings/drawing6.xml"/><Relationship Id="rId1" Type="http://schemas.openxmlformats.org/officeDocument/2006/relationships/oleObject" Target="file:///\\NHIHFS11\L00A\&#26371;&#35336;&#23460;&#20849;&#21516;&#27284;&#26696;\&#31532;&#20116;&#31185;\&#24180;&#22577;\100\Analysis\Excel\100&#25215;&#20445;-en.xlsx" TargetMode="External"/></Relationships>
</file>

<file path=word/charts/_rels/chart7.xml.rels><?xml version="1.0" encoding="UTF-8" standalone="yes"?>
<Relationships xmlns="http://schemas.openxmlformats.org/package/2006/relationships"><Relationship Id="rId2" Type="http://schemas.openxmlformats.org/officeDocument/2006/relationships/chartUserShapes" Target="../drawings/drawing7.xml"/><Relationship Id="rId1" Type="http://schemas.openxmlformats.org/officeDocument/2006/relationships/oleObject" Target="file:///\\NHIHFS11\L00A\&#26371;&#35336;&#23460;&#20849;&#21516;&#27284;&#26696;\&#31532;&#20116;&#31185;\&#24180;&#22577;\100\Analysis\Excel\100&#25215;&#20445;-en.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D:\1%20yan-&#32113;&#35336;&#24180;&#22577;\&#32626;&#32113;&#35336;&#23460;&#20462;&#25913;\100&#25215;&#20445;1-en.xlsx" TargetMode="External"/></Relationships>
</file>

<file path=word/charts/_rels/chart9.xml.rels><?xml version="1.0" encoding="UTF-8" standalone="yes"?>
<Relationships xmlns="http://schemas.openxmlformats.org/package/2006/relationships"><Relationship Id="rId2" Type="http://schemas.openxmlformats.org/officeDocument/2006/relationships/chartUserShapes" Target="../drawings/drawing8.xml"/><Relationship Id="rId1" Type="http://schemas.openxmlformats.org/officeDocument/2006/relationships/oleObject" Target="file:///\\NHIHFS11\L00A\&#26371;&#35336;&#23460;&#20849;&#21516;&#27284;&#26696;\&#31532;&#20116;&#31185;\&#24180;&#22577;\100\Analysis\Excel\100&#25215;&#20445;-en.xlsx" TargetMode="External"/></Relationships>
</file>

<file path=word/charts/_rels/chart10.xml.rels><?xml version="1.0" encoding="UTF-8" standalone="yes"?>
<Relationships xmlns="http://schemas.openxmlformats.org/package/2006/relationships"><Relationship Id="rId2" Type="http://schemas.openxmlformats.org/officeDocument/2006/relationships/chartUserShapes" Target="../drawings/drawing9.xml"/><Relationship Id="rId1" Type="http://schemas.openxmlformats.org/officeDocument/2006/relationships/oleObject" Target="file:///\\NHIHFS11\L00A\&#26371;&#35336;&#23460;&#20849;&#21516;&#27284;&#26696;\&#31532;&#20116;&#31185;\&#24180;&#22577;\100\Analysis\Excel\100&#25215;&#20445;-en.xlsx" TargetMode="External"/></Relationships>
</file>

<file path=word/charts/_rels/chart11.xml.rels><?xml version="1.0" encoding="UTF-8" standalone="yes"?>
<Relationships xmlns="http://schemas.openxmlformats.org/package/2006/relationships"><Relationship Id="rId2" Type="http://schemas.openxmlformats.org/officeDocument/2006/relationships/chartUserShapes" Target="../drawings/drawing10.xml"/><Relationship Id="rId1" Type="http://schemas.openxmlformats.org/officeDocument/2006/relationships/oleObject" Target="file:///\\NHIHFS11\L00A\&#26371;&#35336;&#23460;&#20849;&#21516;&#27284;&#26696;\&#31532;&#20116;&#31185;\&#24180;&#22577;\100\Analysis\Excel\100&#25215;&#20445;-en.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zh-TW"/>
  <c:style val="5"/>
  <c:chart>
    <c:title>
      <c:tx>
        <c:rich>
          <a:bodyPr/>
          <a:lstStyle/>
          <a:p>
            <a:pPr>
              <a:defRPr sz="1000" b="0">
                <a:latin typeface="Times New Roman" pitchFamily="18" charset="0"/>
                <a:ea typeface="標楷體" pitchFamily="65" charset="-120"/>
                <a:cs typeface="Times New Roman" pitchFamily="18" charset="0"/>
              </a:defRPr>
            </a:pPr>
            <a:r>
              <a:rPr lang="en-US" altLang="zh-TW" sz="1000" b="0" i="0" baseline="0"/>
              <a:t>Figure 1   Numbers &amp; Growth Rate of Group Insurance Applicants</a:t>
            </a:r>
            <a:endParaRPr lang="zh-TW" altLang="zh-TW" sz="1000" b="0" i="0" baseline="0"/>
          </a:p>
        </c:rich>
      </c:tx>
      <c:layout>
        <c:manualLayout>
          <c:xMode val="edge"/>
          <c:yMode val="edge"/>
          <c:x val="0.1677901606299404"/>
          <c:y val="3.8521464623844058E-2"/>
        </c:manualLayout>
      </c:layout>
      <c:spPr>
        <a:noFill/>
        <a:ln w="25400">
          <a:noFill/>
        </a:ln>
      </c:spPr>
    </c:title>
    <c:plotArea>
      <c:layout>
        <c:manualLayout>
          <c:layoutTarget val="inner"/>
          <c:xMode val="edge"/>
          <c:yMode val="edge"/>
          <c:x val="0.10020534752209546"/>
          <c:y val="0.17447512545830279"/>
          <c:w val="0.81353498709091021"/>
          <c:h val="0.64028651158663952"/>
        </c:manualLayout>
      </c:layout>
      <c:barChart>
        <c:barDir val="col"/>
        <c:grouping val="stacked"/>
        <c:ser>
          <c:idx val="1"/>
          <c:order val="0"/>
          <c:tx>
            <c:strRef>
              <c:f>'圖1與圖2-data'!$C$8</c:f>
              <c:strCache>
                <c:ptCount val="1"/>
                <c:pt idx="0">
                  <c:v>Taipei Division</c:v>
                </c:pt>
              </c:strCache>
            </c:strRef>
          </c:tx>
          <c:spPr>
            <a:solidFill>
              <a:srgbClr val="D7E4BD"/>
            </a:solidFill>
          </c:spPr>
          <c:dLbls>
            <c:dLbl>
              <c:idx val="0"/>
              <c:layout>
                <c:manualLayout>
                  <c:x val="-2.3844870902554696E-3"/>
                  <c:y val="3.2503845435257438E-2"/>
                </c:manualLayout>
              </c:layout>
              <c:showVal val="1"/>
            </c:dLbl>
            <c:dLbl>
              <c:idx val="5"/>
              <c:layout>
                <c:manualLayout>
                  <c:x val="4.7689741805109383E-3"/>
                  <c:y val="-6.1396152488819161E-2"/>
                </c:manualLayout>
              </c:layout>
              <c:showVal val="1"/>
            </c:dLbl>
            <c:dLbl>
              <c:idx val="10"/>
              <c:layout>
                <c:manualLayout>
                  <c:x val="0"/>
                  <c:y val="-7.2230767633904902E-2"/>
                </c:manualLayout>
              </c:layout>
              <c:showVal val="1"/>
            </c:dLbl>
            <c:dLbl>
              <c:idx val="15"/>
              <c:layout>
                <c:manualLayout>
                  <c:x val="0"/>
                  <c:y val="-5.7040998217468823E-2"/>
                </c:manualLayout>
              </c:layout>
              <c:showVal val="1"/>
            </c:dLbl>
            <c:delete val="1"/>
            <c:numFmt formatCode="#,##0_);\(#,##0\)" sourceLinked="0"/>
            <c:txPr>
              <a:bodyPr/>
              <a:lstStyle/>
              <a:p>
                <a:pPr>
                  <a:defRPr sz="800">
                    <a:latin typeface="Times New Roman" pitchFamily="18" charset="0"/>
                    <a:cs typeface="Times New Roman" pitchFamily="18" charset="0"/>
                  </a:defRPr>
                </a:pPr>
                <a:endParaRPr lang="zh-TW"/>
              </a:p>
            </c:txPr>
          </c:dLbls>
          <c:cat>
            <c:strRef>
              <c:f>'圖1與圖2-data'!$A$9:$A$19</c:f>
              <c:strCache>
                <c:ptCount val="11"/>
                <c:pt idx="0">
                  <c:v>2001</c:v>
                </c:pt>
                <c:pt idx="1">
                  <c:v>2002</c:v>
                </c:pt>
                <c:pt idx="2">
                  <c:v>2003</c:v>
                </c:pt>
                <c:pt idx="3">
                  <c:v>2004</c:v>
                </c:pt>
                <c:pt idx="4">
                  <c:v>2005</c:v>
                </c:pt>
                <c:pt idx="5">
                  <c:v>2006</c:v>
                </c:pt>
                <c:pt idx="6">
                  <c:v>2007</c:v>
                </c:pt>
                <c:pt idx="7">
                  <c:v>2008</c:v>
                </c:pt>
                <c:pt idx="8">
                  <c:v>2009</c:v>
                </c:pt>
                <c:pt idx="9">
                  <c:v>2010</c:v>
                </c:pt>
                <c:pt idx="10">
                  <c:v>2011</c:v>
                </c:pt>
              </c:strCache>
            </c:strRef>
          </c:cat>
          <c:val>
            <c:numRef>
              <c:f>'圖1與圖2-data'!$C$9:$C$19</c:f>
              <c:numCache>
                <c:formatCode>General</c:formatCode>
                <c:ptCount val="11"/>
                <c:pt idx="0">
                  <c:v>236179</c:v>
                </c:pt>
                <c:pt idx="1">
                  <c:v>241159</c:v>
                </c:pt>
                <c:pt idx="2">
                  <c:v>240860</c:v>
                </c:pt>
                <c:pt idx="3">
                  <c:v>246369</c:v>
                </c:pt>
                <c:pt idx="4">
                  <c:v>256567</c:v>
                </c:pt>
                <c:pt idx="5">
                  <c:v>265011</c:v>
                </c:pt>
                <c:pt idx="6">
                  <c:v>269355</c:v>
                </c:pt>
                <c:pt idx="7">
                  <c:v>271040</c:v>
                </c:pt>
                <c:pt idx="8">
                  <c:v>274098</c:v>
                </c:pt>
                <c:pt idx="9">
                  <c:v>282227</c:v>
                </c:pt>
                <c:pt idx="10">
                  <c:v>291739</c:v>
                </c:pt>
              </c:numCache>
            </c:numRef>
          </c:val>
        </c:ser>
        <c:ser>
          <c:idx val="2"/>
          <c:order val="1"/>
          <c:tx>
            <c:strRef>
              <c:f>'圖1與圖2-data'!$D$8</c:f>
              <c:strCache>
                <c:ptCount val="1"/>
                <c:pt idx="0">
                  <c:v>Northern Division</c:v>
                </c:pt>
              </c:strCache>
            </c:strRef>
          </c:tx>
          <c:spPr>
            <a:solidFill>
              <a:srgbClr val="FFFF99"/>
            </a:solidFill>
          </c:spPr>
          <c:dLbls>
            <c:dLbl>
              <c:idx val="1"/>
              <c:delete val="1"/>
            </c:dLbl>
            <c:dLbl>
              <c:idx val="2"/>
              <c:delete val="1"/>
            </c:dLbl>
            <c:dLbl>
              <c:idx val="3"/>
              <c:delete val="1"/>
            </c:dLbl>
            <c:dLbl>
              <c:idx val="4"/>
              <c:delete val="1"/>
            </c:dLbl>
            <c:dLbl>
              <c:idx val="5"/>
              <c:showVal val="1"/>
            </c:dLbl>
            <c:dLbl>
              <c:idx val="6"/>
              <c:delete val="1"/>
            </c:dLbl>
            <c:dLbl>
              <c:idx val="7"/>
              <c:delete val="1"/>
            </c:dLbl>
            <c:dLbl>
              <c:idx val="8"/>
              <c:delete val="1"/>
            </c:dLbl>
            <c:dLbl>
              <c:idx val="9"/>
              <c:delete val="1"/>
            </c:dLbl>
            <c:dLbl>
              <c:idx val="10"/>
              <c:showVal val="1"/>
            </c:dLbl>
            <c:dLbl>
              <c:idx val="11"/>
              <c:delete val="1"/>
            </c:dLbl>
            <c:dLbl>
              <c:idx val="12"/>
              <c:delete val="1"/>
            </c:dLbl>
            <c:dLbl>
              <c:idx val="13"/>
              <c:delete val="1"/>
            </c:dLbl>
            <c:dLbl>
              <c:idx val="14"/>
              <c:delete val="1"/>
            </c:dLbl>
            <c:dLbl>
              <c:idx val="15"/>
              <c:layout>
                <c:manualLayout>
                  <c:x val="0"/>
                  <c:y val="-2.5235308153326298E-2"/>
                </c:manualLayout>
              </c:layout>
              <c:dLblPos val="ctr"/>
              <c:showVal val="1"/>
            </c:dLbl>
            <c:dLbl>
              <c:idx val="16"/>
              <c:layout>
                <c:manualLayout>
                  <c:x val="0"/>
                  <c:y val="-2.6538266524138886E-2"/>
                </c:manualLayout>
              </c:layout>
              <c:dLblPos val="ctr"/>
              <c:showVal val="1"/>
            </c:dLbl>
            <c:numFmt formatCode="#,##0;[Red]\-#,##0" sourceLinked="0"/>
            <c:spPr>
              <a:noFill/>
              <a:ln w="25400">
                <a:noFill/>
              </a:ln>
            </c:spPr>
            <c:txPr>
              <a:bodyPr/>
              <a:lstStyle/>
              <a:p>
                <a:pPr>
                  <a:defRPr sz="800" baseline="0">
                    <a:latin typeface="Times New Roman" pitchFamily="18" charset="0"/>
                    <a:ea typeface="標楷體" pitchFamily="65" charset="-120"/>
                  </a:defRPr>
                </a:pPr>
                <a:endParaRPr lang="zh-TW"/>
              </a:p>
            </c:txPr>
            <c:dLblPos val="inEnd"/>
            <c:showVal val="1"/>
          </c:dLbls>
          <c:cat>
            <c:strRef>
              <c:f>'圖1與圖2-data'!$A$9:$A$19</c:f>
              <c:strCache>
                <c:ptCount val="11"/>
                <c:pt idx="0">
                  <c:v>2001</c:v>
                </c:pt>
                <c:pt idx="1">
                  <c:v>2002</c:v>
                </c:pt>
                <c:pt idx="2">
                  <c:v>2003</c:v>
                </c:pt>
                <c:pt idx="3">
                  <c:v>2004</c:v>
                </c:pt>
                <c:pt idx="4">
                  <c:v>2005</c:v>
                </c:pt>
                <c:pt idx="5">
                  <c:v>2006</c:v>
                </c:pt>
                <c:pt idx="6">
                  <c:v>2007</c:v>
                </c:pt>
                <c:pt idx="7">
                  <c:v>2008</c:v>
                </c:pt>
                <c:pt idx="8">
                  <c:v>2009</c:v>
                </c:pt>
                <c:pt idx="9">
                  <c:v>2010</c:v>
                </c:pt>
                <c:pt idx="10">
                  <c:v>2011</c:v>
                </c:pt>
              </c:strCache>
            </c:strRef>
          </c:cat>
          <c:val>
            <c:numRef>
              <c:f>'圖1與圖2-data'!$D$9:$D$19</c:f>
              <c:numCache>
                <c:formatCode>General</c:formatCode>
                <c:ptCount val="11"/>
                <c:pt idx="0">
                  <c:v>72485</c:v>
                </c:pt>
                <c:pt idx="1">
                  <c:v>73625</c:v>
                </c:pt>
                <c:pt idx="2">
                  <c:v>75300</c:v>
                </c:pt>
                <c:pt idx="3">
                  <c:v>78446</c:v>
                </c:pt>
                <c:pt idx="4">
                  <c:v>82638</c:v>
                </c:pt>
                <c:pt idx="5">
                  <c:v>88244</c:v>
                </c:pt>
                <c:pt idx="6">
                  <c:v>90796</c:v>
                </c:pt>
                <c:pt idx="7">
                  <c:v>91513</c:v>
                </c:pt>
                <c:pt idx="8">
                  <c:v>92301</c:v>
                </c:pt>
                <c:pt idx="9">
                  <c:v>95286</c:v>
                </c:pt>
                <c:pt idx="10">
                  <c:v>98857</c:v>
                </c:pt>
              </c:numCache>
            </c:numRef>
          </c:val>
        </c:ser>
        <c:ser>
          <c:idx val="3"/>
          <c:order val="2"/>
          <c:tx>
            <c:strRef>
              <c:f>'圖1與圖2-data'!$E$8</c:f>
              <c:strCache>
                <c:ptCount val="1"/>
                <c:pt idx="0">
                  <c:v>Central Division</c:v>
                </c:pt>
              </c:strCache>
            </c:strRef>
          </c:tx>
          <c:spPr>
            <a:solidFill>
              <a:srgbClr val="FFD5AB"/>
            </a:solidFill>
          </c:spPr>
          <c:dLbls>
            <c:dLbl>
              <c:idx val="1"/>
              <c:delete val="1"/>
            </c:dLbl>
            <c:dLbl>
              <c:idx val="2"/>
              <c:delete val="1"/>
            </c:dLbl>
            <c:dLbl>
              <c:idx val="3"/>
              <c:delete val="1"/>
            </c:dLbl>
            <c:dLbl>
              <c:idx val="4"/>
              <c:delete val="1"/>
            </c:dLbl>
            <c:dLbl>
              <c:idx val="5"/>
              <c:showVal val="1"/>
            </c:dLbl>
            <c:dLbl>
              <c:idx val="6"/>
              <c:delete val="1"/>
            </c:dLbl>
            <c:dLbl>
              <c:idx val="7"/>
              <c:delete val="1"/>
            </c:dLbl>
            <c:dLbl>
              <c:idx val="8"/>
              <c:delete val="1"/>
            </c:dLbl>
            <c:dLbl>
              <c:idx val="9"/>
              <c:delete val="1"/>
            </c:dLbl>
            <c:dLbl>
              <c:idx val="10"/>
              <c:layout>
                <c:manualLayout>
                  <c:x val="0"/>
                  <c:y val="-2.5280768671866898E-2"/>
                </c:manualLayout>
              </c:layout>
              <c:showVal val="1"/>
            </c:dLbl>
            <c:dLbl>
              <c:idx val="11"/>
              <c:delete val="1"/>
            </c:dLbl>
            <c:dLbl>
              <c:idx val="12"/>
              <c:delete val="1"/>
            </c:dLbl>
            <c:dLbl>
              <c:idx val="13"/>
              <c:delete val="1"/>
            </c:dLbl>
            <c:dLbl>
              <c:idx val="14"/>
              <c:delete val="1"/>
            </c:dLbl>
            <c:numFmt formatCode="#,##0;[Red]\-#,##0" sourceLinked="0"/>
            <c:spPr>
              <a:noFill/>
              <a:ln w="25400">
                <a:noFill/>
              </a:ln>
            </c:spPr>
            <c:txPr>
              <a:bodyPr/>
              <a:lstStyle/>
              <a:p>
                <a:pPr>
                  <a:defRPr sz="800" baseline="0">
                    <a:latin typeface="Times New Roman" pitchFamily="18" charset="0"/>
                    <a:ea typeface="標楷體" pitchFamily="65" charset="-120"/>
                  </a:defRPr>
                </a:pPr>
                <a:endParaRPr lang="zh-TW"/>
              </a:p>
            </c:txPr>
            <c:dLblPos val="ctr"/>
            <c:showVal val="1"/>
          </c:dLbls>
          <c:cat>
            <c:strRef>
              <c:f>'圖1與圖2-data'!$A$9:$A$19</c:f>
              <c:strCache>
                <c:ptCount val="11"/>
                <c:pt idx="0">
                  <c:v>2001</c:v>
                </c:pt>
                <c:pt idx="1">
                  <c:v>2002</c:v>
                </c:pt>
                <c:pt idx="2">
                  <c:v>2003</c:v>
                </c:pt>
                <c:pt idx="3">
                  <c:v>2004</c:v>
                </c:pt>
                <c:pt idx="4">
                  <c:v>2005</c:v>
                </c:pt>
                <c:pt idx="5">
                  <c:v>2006</c:v>
                </c:pt>
                <c:pt idx="6">
                  <c:v>2007</c:v>
                </c:pt>
                <c:pt idx="7">
                  <c:v>2008</c:v>
                </c:pt>
                <c:pt idx="8">
                  <c:v>2009</c:v>
                </c:pt>
                <c:pt idx="9">
                  <c:v>2010</c:v>
                </c:pt>
                <c:pt idx="10">
                  <c:v>2011</c:v>
                </c:pt>
              </c:strCache>
            </c:strRef>
          </c:cat>
          <c:val>
            <c:numRef>
              <c:f>'圖1與圖2-data'!$E$9:$E$19</c:f>
              <c:numCache>
                <c:formatCode>General</c:formatCode>
                <c:ptCount val="11"/>
                <c:pt idx="0">
                  <c:v>116847</c:v>
                </c:pt>
                <c:pt idx="1">
                  <c:v>119397</c:v>
                </c:pt>
                <c:pt idx="2">
                  <c:v>120574</c:v>
                </c:pt>
                <c:pt idx="3">
                  <c:v>125691</c:v>
                </c:pt>
                <c:pt idx="4">
                  <c:v>133428</c:v>
                </c:pt>
                <c:pt idx="5">
                  <c:v>138502</c:v>
                </c:pt>
                <c:pt idx="6">
                  <c:v>140739</c:v>
                </c:pt>
                <c:pt idx="7">
                  <c:v>142397</c:v>
                </c:pt>
                <c:pt idx="8">
                  <c:v>144434</c:v>
                </c:pt>
                <c:pt idx="9">
                  <c:v>148620</c:v>
                </c:pt>
                <c:pt idx="10">
                  <c:v>153371</c:v>
                </c:pt>
              </c:numCache>
            </c:numRef>
          </c:val>
        </c:ser>
        <c:ser>
          <c:idx val="4"/>
          <c:order val="3"/>
          <c:tx>
            <c:strRef>
              <c:f>'圖1與圖2-data'!$F$8</c:f>
              <c:strCache>
                <c:ptCount val="1"/>
                <c:pt idx="0">
                  <c:v>Southern Division</c:v>
                </c:pt>
              </c:strCache>
            </c:strRef>
          </c:tx>
          <c:spPr>
            <a:solidFill>
              <a:srgbClr val="FFAFCD"/>
            </a:solidFill>
          </c:spPr>
          <c:dLbls>
            <c:dLbl>
              <c:idx val="1"/>
              <c:delete val="1"/>
            </c:dLbl>
            <c:dLbl>
              <c:idx val="2"/>
              <c:delete val="1"/>
            </c:dLbl>
            <c:dLbl>
              <c:idx val="3"/>
              <c:delete val="1"/>
            </c:dLbl>
            <c:dLbl>
              <c:idx val="4"/>
              <c:delete val="1"/>
            </c:dLbl>
            <c:dLbl>
              <c:idx val="5"/>
              <c:layout>
                <c:manualLayout>
                  <c:x val="0"/>
                  <c:y val="2.8892307053562091E-2"/>
                </c:manualLayout>
              </c:layout>
              <c:showVal val="1"/>
            </c:dLbl>
            <c:dLbl>
              <c:idx val="6"/>
              <c:delete val="1"/>
            </c:dLbl>
            <c:dLbl>
              <c:idx val="7"/>
              <c:delete val="1"/>
            </c:dLbl>
            <c:dLbl>
              <c:idx val="8"/>
              <c:delete val="1"/>
            </c:dLbl>
            <c:dLbl>
              <c:idx val="9"/>
              <c:delete val="1"/>
            </c:dLbl>
            <c:dLbl>
              <c:idx val="11"/>
              <c:delete val="1"/>
            </c:dLbl>
            <c:dLbl>
              <c:idx val="12"/>
              <c:delete val="1"/>
            </c:dLbl>
            <c:dLbl>
              <c:idx val="13"/>
              <c:delete val="1"/>
            </c:dLbl>
            <c:dLbl>
              <c:idx val="14"/>
              <c:delete val="1"/>
            </c:dLbl>
            <c:numFmt formatCode="#,##0;[Red]\-#,##0" sourceLinked="0"/>
            <c:spPr>
              <a:noFill/>
              <a:ln w="25400">
                <a:noFill/>
              </a:ln>
            </c:spPr>
            <c:txPr>
              <a:bodyPr/>
              <a:lstStyle/>
              <a:p>
                <a:pPr>
                  <a:defRPr sz="800" baseline="0">
                    <a:latin typeface="Times New Roman" pitchFamily="18" charset="0"/>
                    <a:ea typeface="標楷體" pitchFamily="65" charset="-120"/>
                  </a:defRPr>
                </a:pPr>
                <a:endParaRPr lang="zh-TW"/>
              </a:p>
            </c:txPr>
            <c:showVal val="1"/>
          </c:dLbls>
          <c:cat>
            <c:strRef>
              <c:f>'圖1與圖2-data'!$A$9:$A$19</c:f>
              <c:strCache>
                <c:ptCount val="11"/>
                <c:pt idx="0">
                  <c:v>2001</c:v>
                </c:pt>
                <c:pt idx="1">
                  <c:v>2002</c:v>
                </c:pt>
                <c:pt idx="2">
                  <c:v>2003</c:v>
                </c:pt>
                <c:pt idx="3">
                  <c:v>2004</c:v>
                </c:pt>
                <c:pt idx="4">
                  <c:v>2005</c:v>
                </c:pt>
                <c:pt idx="5">
                  <c:v>2006</c:v>
                </c:pt>
                <c:pt idx="6">
                  <c:v>2007</c:v>
                </c:pt>
                <c:pt idx="7">
                  <c:v>2008</c:v>
                </c:pt>
                <c:pt idx="8">
                  <c:v>2009</c:v>
                </c:pt>
                <c:pt idx="9">
                  <c:v>2010</c:v>
                </c:pt>
                <c:pt idx="10">
                  <c:v>2011</c:v>
                </c:pt>
              </c:strCache>
            </c:strRef>
          </c:cat>
          <c:val>
            <c:numRef>
              <c:f>'圖1與圖2-data'!$F$9:$F$19</c:f>
              <c:numCache>
                <c:formatCode>General</c:formatCode>
                <c:ptCount val="11"/>
                <c:pt idx="0">
                  <c:v>60994</c:v>
                </c:pt>
                <c:pt idx="1">
                  <c:v>63101</c:v>
                </c:pt>
                <c:pt idx="2">
                  <c:v>63388</c:v>
                </c:pt>
                <c:pt idx="3">
                  <c:v>66385</c:v>
                </c:pt>
                <c:pt idx="4">
                  <c:v>69897</c:v>
                </c:pt>
                <c:pt idx="5">
                  <c:v>72760</c:v>
                </c:pt>
                <c:pt idx="6">
                  <c:v>73948</c:v>
                </c:pt>
                <c:pt idx="7">
                  <c:v>74178</c:v>
                </c:pt>
                <c:pt idx="8">
                  <c:v>75111</c:v>
                </c:pt>
                <c:pt idx="9">
                  <c:v>77583</c:v>
                </c:pt>
                <c:pt idx="10">
                  <c:v>80522</c:v>
                </c:pt>
              </c:numCache>
            </c:numRef>
          </c:val>
        </c:ser>
        <c:ser>
          <c:idx val="5"/>
          <c:order val="4"/>
          <c:tx>
            <c:strRef>
              <c:f>'圖1與圖2-data'!$G$8</c:f>
              <c:strCache>
                <c:ptCount val="1"/>
                <c:pt idx="0">
                  <c:v>KaoPing Division</c:v>
                </c:pt>
              </c:strCache>
            </c:strRef>
          </c:tx>
          <c:spPr>
            <a:solidFill>
              <a:srgbClr val="A7CDFF"/>
            </a:solidFill>
          </c:spPr>
          <c:dLbls>
            <c:dLbl>
              <c:idx val="1"/>
              <c:delete val="1"/>
            </c:dLbl>
            <c:dLbl>
              <c:idx val="2"/>
              <c:delete val="1"/>
            </c:dLbl>
            <c:dLbl>
              <c:idx val="3"/>
              <c:delete val="1"/>
            </c:dLbl>
            <c:dLbl>
              <c:idx val="4"/>
              <c:delete val="1"/>
            </c:dLbl>
            <c:dLbl>
              <c:idx val="5"/>
              <c:layout>
                <c:manualLayout>
                  <c:x val="0"/>
                  <c:y val="-7.2230767633904933E-3"/>
                </c:manualLayout>
              </c:layout>
              <c:showVal val="1"/>
            </c:dLbl>
            <c:dLbl>
              <c:idx val="6"/>
              <c:delete val="1"/>
            </c:dLbl>
            <c:dLbl>
              <c:idx val="7"/>
              <c:delete val="1"/>
            </c:dLbl>
            <c:dLbl>
              <c:idx val="8"/>
              <c:delete val="1"/>
            </c:dLbl>
            <c:dLbl>
              <c:idx val="9"/>
              <c:delete val="1"/>
            </c:dLbl>
            <c:dLbl>
              <c:idx val="11"/>
              <c:delete val="1"/>
            </c:dLbl>
            <c:dLbl>
              <c:idx val="12"/>
              <c:delete val="1"/>
            </c:dLbl>
            <c:dLbl>
              <c:idx val="13"/>
              <c:delete val="1"/>
            </c:dLbl>
            <c:dLbl>
              <c:idx val="14"/>
              <c:delete val="1"/>
            </c:dLbl>
            <c:numFmt formatCode="#,##0;[Red]\-#,##0" sourceLinked="0"/>
            <c:spPr>
              <a:noFill/>
              <a:ln w="25400">
                <a:noFill/>
              </a:ln>
            </c:spPr>
            <c:txPr>
              <a:bodyPr/>
              <a:lstStyle/>
              <a:p>
                <a:pPr>
                  <a:defRPr sz="800" baseline="0">
                    <a:latin typeface="Times New Roman" pitchFamily="18" charset="0"/>
                    <a:ea typeface="標楷體" pitchFamily="65" charset="-120"/>
                    <a:cs typeface="Times New Roman" pitchFamily="18" charset="0"/>
                  </a:defRPr>
                </a:pPr>
                <a:endParaRPr lang="zh-TW"/>
              </a:p>
            </c:txPr>
            <c:showVal val="1"/>
          </c:dLbls>
          <c:cat>
            <c:strRef>
              <c:f>'圖1與圖2-data'!$A$9:$A$19</c:f>
              <c:strCache>
                <c:ptCount val="11"/>
                <c:pt idx="0">
                  <c:v>2001</c:v>
                </c:pt>
                <c:pt idx="1">
                  <c:v>2002</c:v>
                </c:pt>
                <c:pt idx="2">
                  <c:v>2003</c:v>
                </c:pt>
                <c:pt idx="3">
                  <c:v>2004</c:v>
                </c:pt>
                <c:pt idx="4">
                  <c:v>2005</c:v>
                </c:pt>
                <c:pt idx="5">
                  <c:v>2006</c:v>
                </c:pt>
                <c:pt idx="6">
                  <c:v>2007</c:v>
                </c:pt>
                <c:pt idx="7">
                  <c:v>2008</c:v>
                </c:pt>
                <c:pt idx="8">
                  <c:v>2009</c:v>
                </c:pt>
                <c:pt idx="9">
                  <c:v>2010</c:v>
                </c:pt>
                <c:pt idx="10">
                  <c:v>2011</c:v>
                </c:pt>
              </c:strCache>
            </c:strRef>
          </c:cat>
          <c:val>
            <c:numRef>
              <c:f>'圖1與圖2-data'!$G$9:$G$19</c:f>
              <c:numCache>
                <c:formatCode>General</c:formatCode>
                <c:ptCount val="11"/>
                <c:pt idx="0">
                  <c:v>71839</c:v>
                </c:pt>
                <c:pt idx="1">
                  <c:v>73257</c:v>
                </c:pt>
                <c:pt idx="2">
                  <c:v>73914</c:v>
                </c:pt>
                <c:pt idx="3">
                  <c:v>77060</c:v>
                </c:pt>
                <c:pt idx="4">
                  <c:v>80507</c:v>
                </c:pt>
                <c:pt idx="5">
                  <c:v>83023</c:v>
                </c:pt>
                <c:pt idx="6">
                  <c:v>84881</c:v>
                </c:pt>
                <c:pt idx="7">
                  <c:v>85724</c:v>
                </c:pt>
                <c:pt idx="8">
                  <c:v>86860</c:v>
                </c:pt>
                <c:pt idx="9">
                  <c:v>90343</c:v>
                </c:pt>
                <c:pt idx="10">
                  <c:v>93257</c:v>
                </c:pt>
              </c:numCache>
            </c:numRef>
          </c:val>
        </c:ser>
        <c:ser>
          <c:idx val="6"/>
          <c:order val="5"/>
          <c:tx>
            <c:strRef>
              <c:f>'圖1與圖2-data'!$H$8</c:f>
              <c:strCache>
                <c:ptCount val="1"/>
                <c:pt idx="0">
                  <c:v>Eastern Division</c:v>
                </c:pt>
              </c:strCache>
            </c:strRef>
          </c:tx>
          <c:spPr>
            <a:solidFill>
              <a:srgbClr val="C799DB"/>
            </a:solidFill>
          </c:spPr>
          <c:dLbls>
            <c:dLbl>
              <c:idx val="0"/>
              <c:layout>
                <c:manualLayout>
                  <c:x val="0"/>
                  <c:y val="-1.0834615145085782E-2"/>
                </c:manualLayout>
              </c:layout>
              <c:showVal val="1"/>
            </c:dLbl>
            <c:dLbl>
              <c:idx val="1"/>
              <c:delete val="1"/>
            </c:dLbl>
            <c:dLbl>
              <c:idx val="2"/>
              <c:delete val="1"/>
            </c:dLbl>
            <c:dLbl>
              <c:idx val="3"/>
              <c:delete val="1"/>
            </c:dLbl>
            <c:dLbl>
              <c:idx val="4"/>
              <c:delete val="1"/>
            </c:dLbl>
            <c:dLbl>
              <c:idx val="5"/>
              <c:layout>
                <c:manualLayout>
                  <c:x val="2.3844870902554696E-3"/>
                  <c:y val="-2.1669230290171492E-2"/>
                </c:manualLayout>
              </c:layout>
              <c:showVal val="1"/>
            </c:dLbl>
            <c:dLbl>
              <c:idx val="6"/>
              <c:delete val="1"/>
            </c:dLbl>
            <c:dLbl>
              <c:idx val="7"/>
              <c:delete val="1"/>
            </c:dLbl>
            <c:dLbl>
              <c:idx val="8"/>
              <c:delete val="1"/>
            </c:dLbl>
            <c:dLbl>
              <c:idx val="9"/>
              <c:delete val="1"/>
            </c:dLbl>
            <c:dLbl>
              <c:idx val="10"/>
              <c:layout>
                <c:manualLayout>
                  <c:x val="0"/>
                  <c:y val="-2.1669230290171492E-2"/>
                </c:manualLayout>
              </c:layout>
              <c:showVal val="1"/>
            </c:dLbl>
            <c:dLbl>
              <c:idx val="11"/>
              <c:delete val="1"/>
            </c:dLbl>
            <c:dLbl>
              <c:idx val="12"/>
              <c:delete val="1"/>
            </c:dLbl>
            <c:dLbl>
              <c:idx val="13"/>
              <c:delete val="1"/>
            </c:dLbl>
            <c:dLbl>
              <c:idx val="14"/>
              <c:delete val="1"/>
            </c:dLbl>
            <c:dLbl>
              <c:idx val="15"/>
              <c:layout>
                <c:manualLayout>
                  <c:x val="0"/>
                  <c:y val="-1.0834615145085763E-2"/>
                </c:manualLayout>
              </c:layout>
              <c:showVal val="1"/>
            </c:dLbl>
            <c:dLbl>
              <c:idx val="16"/>
              <c:layout>
                <c:manualLayout>
                  <c:x val="0"/>
                  <c:y val="-1.444615352678098E-2"/>
                </c:manualLayout>
              </c:layout>
              <c:showVal val="1"/>
            </c:dLbl>
            <c:numFmt formatCode="#,##0;[Red]\-#,##0" sourceLinked="0"/>
            <c:txPr>
              <a:bodyPr/>
              <a:lstStyle/>
              <a:p>
                <a:pPr>
                  <a:defRPr sz="800">
                    <a:latin typeface="Times New Roman" pitchFamily="18" charset="0"/>
                    <a:cs typeface="Times New Roman" pitchFamily="18" charset="0"/>
                  </a:defRPr>
                </a:pPr>
                <a:endParaRPr lang="zh-TW"/>
              </a:p>
            </c:txPr>
            <c:showVal val="1"/>
          </c:dLbls>
          <c:cat>
            <c:strRef>
              <c:f>'圖1與圖2-data'!$A$9:$A$19</c:f>
              <c:strCache>
                <c:ptCount val="11"/>
                <c:pt idx="0">
                  <c:v>2001</c:v>
                </c:pt>
                <c:pt idx="1">
                  <c:v>2002</c:v>
                </c:pt>
                <c:pt idx="2">
                  <c:v>2003</c:v>
                </c:pt>
                <c:pt idx="3">
                  <c:v>2004</c:v>
                </c:pt>
                <c:pt idx="4">
                  <c:v>2005</c:v>
                </c:pt>
                <c:pt idx="5">
                  <c:v>2006</c:v>
                </c:pt>
                <c:pt idx="6">
                  <c:v>2007</c:v>
                </c:pt>
                <c:pt idx="7">
                  <c:v>2008</c:v>
                </c:pt>
                <c:pt idx="8">
                  <c:v>2009</c:v>
                </c:pt>
                <c:pt idx="9">
                  <c:v>2010</c:v>
                </c:pt>
                <c:pt idx="10">
                  <c:v>2011</c:v>
                </c:pt>
              </c:strCache>
            </c:strRef>
          </c:cat>
          <c:val>
            <c:numRef>
              <c:f>'圖1與圖2-data'!$H$9:$H$19</c:f>
              <c:numCache>
                <c:formatCode>General</c:formatCode>
                <c:ptCount val="11"/>
                <c:pt idx="0">
                  <c:v>8510</c:v>
                </c:pt>
                <c:pt idx="1">
                  <c:v>8854</c:v>
                </c:pt>
                <c:pt idx="2">
                  <c:v>9115</c:v>
                </c:pt>
                <c:pt idx="3">
                  <c:v>9541</c:v>
                </c:pt>
                <c:pt idx="4">
                  <c:v>10266</c:v>
                </c:pt>
                <c:pt idx="5">
                  <c:v>11025</c:v>
                </c:pt>
                <c:pt idx="6">
                  <c:v>11304</c:v>
                </c:pt>
                <c:pt idx="7">
                  <c:v>11428</c:v>
                </c:pt>
                <c:pt idx="8">
                  <c:v>11873</c:v>
                </c:pt>
                <c:pt idx="9">
                  <c:v>12540</c:v>
                </c:pt>
                <c:pt idx="10">
                  <c:v>12974</c:v>
                </c:pt>
              </c:numCache>
            </c:numRef>
          </c:val>
        </c:ser>
        <c:dLbls>
          <c:showVal val="1"/>
        </c:dLbls>
        <c:gapWidth val="55"/>
        <c:overlap val="100"/>
        <c:axId val="272222464"/>
        <c:axId val="272340480"/>
      </c:barChart>
      <c:lineChart>
        <c:grouping val="standard"/>
        <c:ser>
          <c:idx val="0"/>
          <c:order val="6"/>
          <c:tx>
            <c:strRef>
              <c:f>'圖1與圖2-data'!$I$8</c:f>
              <c:strCache>
                <c:ptCount val="1"/>
                <c:pt idx="0">
                  <c:v>Growth Rate</c:v>
                </c:pt>
              </c:strCache>
            </c:strRef>
          </c:tx>
          <c:spPr>
            <a:ln w="31750">
              <a:solidFill>
                <a:srgbClr val="A7A7A7"/>
              </a:solidFill>
              <a:prstDash val="solid"/>
            </a:ln>
          </c:spPr>
          <c:marker>
            <c:symbol val="circle"/>
            <c:size val="7"/>
            <c:spPr>
              <a:solidFill>
                <a:schemeClr val="bg2"/>
              </a:solidFill>
              <a:ln>
                <a:solidFill>
                  <a:srgbClr val="A7A7A7"/>
                </a:solidFill>
              </a:ln>
              <a:scene3d>
                <a:camera prst="orthographicFront"/>
                <a:lightRig rig="threePt" dir="t"/>
              </a:scene3d>
              <a:sp3d>
                <a:bevelT w="190500" h="38100"/>
              </a:sp3d>
            </c:spPr>
          </c:marker>
          <c:dLbls>
            <c:dLbl>
              <c:idx val="1"/>
              <c:delete val="1"/>
            </c:dLbl>
            <c:dLbl>
              <c:idx val="2"/>
              <c:delete val="1"/>
            </c:dLbl>
            <c:dLbl>
              <c:idx val="3"/>
              <c:delete val="1"/>
            </c:dLbl>
            <c:dLbl>
              <c:idx val="4"/>
              <c:delete val="1"/>
            </c:dLbl>
            <c:dLbl>
              <c:idx val="5"/>
              <c:layout>
                <c:manualLayout>
                  <c:x val="-1.9075896722043718E-2"/>
                  <c:y val="-2.1669230290171492E-2"/>
                </c:manualLayout>
              </c:layout>
              <c:showVal val="1"/>
            </c:dLbl>
            <c:dLbl>
              <c:idx val="6"/>
              <c:delete val="1"/>
            </c:dLbl>
            <c:dLbl>
              <c:idx val="7"/>
              <c:delete val="1"/>
            </c:dLbl>
            <c:dLbl>
              <c:idx val="8"/>
              <c:delete val="1"/>
            </c:dLbl>
            <c:dLbl>
              <c:idx val="9"/>
              <c:delete val="1"/>
            </c:dLbl>
            <c:dLbl>
              <c:idx val="10"/>
              <c:layout>
                <c:manualLayout>
                  <c:x val="-3.3382819263576571E-2"/>
                  <c:y val="2.8892307053562091E-2"/>
                </c:manualLayout>
              </c:layout>
              <c:showVal val="1"/>
            </c:dLbl>
            <c:dLbl>
              <c:idx val="11"/>
              <c:delete val="1"/>
            </c:dLbl>
            <c:dLbl>
              <c:idx val="12"/>
              <c:delete val="1"/>
            </c:dLbl>
            <c:dLbl>
              <c:idx val="13"/>
              <c:delete val="1"/>
            </c:dLbl>
            <c:dLbl>
              <c:idx val="14"/>
              <c:delete val="1"/>
            </c:dLbl>
            <c:dLbl>
              <c:idx val="15"/>
              <c:layout>
                <c:manualLayout>
                  <c:x val="-2.9806088628193492E-2"/>
                  <c:y val="-2.734262495262961E-2"/>
                </c:manualLayout>
              </c:layout>
              <c:dLblPos val="r"/>
              <c:showVal val="1"/>
            </c:dLbl>
            <c:dLbl>
              <c:idx val="16"/>
              <c:layout>
                <c:manualLayout>
                  <c:x val="-3.4575062808704496E-2"/>
                  <c:y val="3.7559999169630605E-2"/>
                </c:manualLayout>
              </c:layout>
              <c:dLblPos val="r"/>
              <c:showVal val="1"/>
            </c:dLbl>
            <c:numFmt formatCode="#,##0.0_);[Red]\(#,##0.0\)" sourceLinked="0"/>
            <c:spPr>
              <a:noFill/>
            </c:spPr>
            <c:txPr>
              <a:bodyPr/>
              <a:lstStyle/>
              <a:p>
                <a:pPr>
                  <a:defRPr sz="800" b="1" baseline="0">
                    <a:solidFill>
                      <a:schemeClr val="accent2">
                        <a:lumMod val="50000"/>
                      </a:schemeClr>
                    </a:solidFill>
                    <a:latin typeface="Times New Roman" pitchFamily="18" charset="0"/>
                    <a:ea typeface="標楷體" pitchFamily="65" charset="-120"/>
                  </a:defRPr>
                </a:pPr>
                <a:endParaRPr lang="zh-TW"/>
              </a:p>
            </c:txPr>
            <c:dLblPos val="t"/>
            <c:showVal val="1"/>
          </c:dLbls>
          <c:cat>
            <c:strRef>
              <c:f>'圖1與圖2-data'!$A$9:$A$19</c:f>
              <c:strCache>
                <c:ptCount val="11"/>
                <c:pt idx="0">
                  <c:v>2001</c:v>
                </c:pt>
                <c:pt idx="1">
                  <c:v>2002</c:v>
                </c:pt>
                <c:pt idx="2">
                  <c:v>2003</c:v>
                </c:pt>
                <c:pt idx="3">
                  <c:v>2004</c:v>
                </c:pt>
                <c:pt idx="4">
                  <c:v>2005</c:v>
                </c:pt>
                <c:pt idx="5">
                  <c:v>2006</c:v>
                </c:pt>
                <c:pt idx="6">
                  <c:v>2007</c:v>
                </c:pt>
                <c:pt idx="7">
                  <c:v>2008</c:v>
                </c:pt>
                <c:pt idx="8">
                  <c:v>2009</c:v>
                </c:pt>
                <c:pt idx="9">
                  <c:v>2010</c:v>
                </c:pt>
                <c:pt idx="10">
                  <c:v>2011</c:v>
                </c:pt>
              </c:strCache>
            </c:strRef>
          </c:cat>
          <c:val>
            <c:numRef>
              <c:f>'圖1與圖2-data'!$I$9:$I$19</c:f>
              <c:numCache>
                <c:formatCode>0.00_ </c:formatCode>
                <c:ptCount val="11"/>
                <c:pt idx="0">
                  <c:v>0.8633421233376305</c:v>
                </c:pt>
                <c:pt idx="1">
                  <c:v>2.2120334336530929</c:v>
                </c:pt>
                <c:pt idx="2">
                  <c:v>0.64860983822726104</c:v>
                </c:pt>
                <c:pt idx="3">
                  <c:v>3.4881188577229669</c:v>
                </c:pt>
                <c:pt idx="4">
                  <c:v>4.9397506512099483</c:v>
                </c:pt>
                <c:pt idx="5">
                  <c:v>3.9889278907568695</c:v>
                </c:pt>
                <c:pt idx="6">
                  <c:v>1.8916887475040478</c:v>
                </c:pt>
                <c:pt idx="7">
                  <c:v>0.78343067227204699</c:v>
                </c:pt>
                <c:pt idx="8">
                  <c:v>1.2416454722895758</c:v>
                </c:pt>
                <c:pt idx="9">
                  <c:v>3.2018017254851685</c:v>
                </c:pt>
                <c:pt idx="10">
                  <c:v>3.4136759321765169</c:v>
                </c:pt>
              </c:numCache>
            </c:numRef>
          </c:val>
        </c:ser>
        <c:marker val="1"/>
        <c:axId val="272785408"/>
        <c:axId val="272342400"/>
      </c:lineChart>
      <c:catAx>
        <c:axId val="272222464"/>
        <c:scaling>
          <c:orientation val="minMax"/>
        </c:scaling>
        <c:axPos val="b"/>
        <c:numFmt formatCode="@" sourceLinked="1"/>
        <c:majorTickMark val="none"/>
        <c:tickLblPos val="nextTo"/>
        <c:txPr>
          <a:bodyPr/>
          <a:lstStyle/>
          <a:p>
            <a:pPr>
              <a:defRPr sz="800" baseline="0">
                <a:latin typeface="Times New Roman" pitchFamily="18" charset="0"/>
                <a:ea typeface="標楷體" pitchFamily="65" charset="-120"/>
                <a:cs typeface="Times New Roman" pitchFamily="18" charset="0"/>
              </a:defRPr>
            </a:pPr>
            <a:endParaRPr lang="zh-TW"/>
          </a:p>
        </c:txPr>
        <c:crossAx val="272340480"/>
        <c:crosses val="autoZero"/>
        <c:auto val="1"/>
        <c:lblAlgn val="ctr"/>
        <c:lblOffset val="100"/>
        <c:tickLblSkip val="1"/>
        <c:tickMarkSkip val="4"/>
      </c:catAx>
      <c:valAx>
        <c:axId val="272340480"/>
        <c:scaling>
          <c:orientation val="minMax"/>
          <c:max val="800000"/>
        </c:scaling>
        <c:axPos val="l"/>
        <c:numFmt formatCode="General" sourceLinked="1"/>
        <c:majorTickMark val="in"/>
        <c:tickLblPos val="nextTo"/>
        <c:txPr>
          <a:bodyPr/>
          <a:lstStyle/>
          <a:p>
            <a:pPr>
              <a:defRPr sz="800" baseline="0">
                <a:latin typeface="Times New Roman" pitchFamily="18" charset="0"/>
                <a:ea typeface="標楷體" pitchFamily="65" charset="-120"/>
                <a:cs typeface="Times New Roman" pitchFamily="18" charset="0"/>
              </a:defRPr>
            </a:pPr>
            <a:endParaRPr lang="zh-TW"/>
          </a:p>
        </c:txPr>
        <c:crossAx val="272222464"/>
        <c:crosses val="autoZero"/>
        <c:crossBetween val="between"/>
        <c:dispUnits>
          <c:builtInUnit val="thousands"/>
          <c:dispUnitsLbl>
            <c:layout>
              <c:manualLayout>
                <c:xMode val="edge"/>
                <c:yMode val="edge"/>
                <c:x val="2.5779121768996591E-2"/>
                <c:y val="8.8970674592713753E-2"/>
              </c:manualLayout>
            </c:layout>
            <c:tx>
              <c:rich>
                <a:bodyPr rot="0" vert="horz"/>
                <a:lstStyle/>
                <a:p>
                  <a:pPr>
                    <a:defRPr sz="800" b="0">
                      <a:latin typeface="標楷體" pitchFamily="65" charset="-120"/>
                      <a:ea typeface="標楷體" pitchFamily="65" charset="-120"/>
                    </a:defRPr>
                  </a:pPr>
                  <a:r>
                    <a:rPr lang="en-US" altLang="zh-TW" sz="800" b="0" i="0" baseline="0">
                      <a:latin typeface="Times New Roman" pitchFamily="18" charset="0"/>
                      <a:cs typeface="Times New Roman" pitchFamily="18" charset="0"/>
                    </a:rPr>
                    <a:t>1,000  No.</a:t>
                  </a:r>
                  <a:endParaRPr lang="zh-TW" altLang="zh-TW" sz="800" b="0" i="0" baseline="0">
                    <a:latin typeface="Times New Roman" pitchFamily="18" charset="0"/>
                    <a:cs typeface="Times New Roman" pitchFamily="18" charset="0"/>
                  </a:endParaRPr>
                </a:p>
                <a:p>
                  <a:pPr>
                    <a:defRPr sz="800" b="0">
                      <a:latin typeface="標楷體" pitchFamily="65" charset="-120"/>
                      <a:ea typeface="標楷體" pitchFamily="65" charset="-120"/>
                    </a:defRPr>
                  </a:pPr>
                  <a:endParaRPr lang="zh-TW" sz="800" b="0">
                    <a:latin typeface="標楷體" pitchFamily="65" charset="-120"/>
                    <a:ea typeface="標楷體" pitchFamily="65" charset="-120"/>
                  </a:endParaRPr>
                </a:p>
              </c:rich>
            </c:tx>
            <c:spPr>
              <a:noFill/>
              <a:ln w="25400">
                <a:noFill/>
              </a:ln>
            </c:spPr>
          </c:dispUnitsLbl>
        </c:dispUnits>
      </c:valAx>
      <c:valAx>
        <c:axId val="272342400"/>
        <c:scaling>
          <c:orientation val="minMax"/>
        </c:scaling>
        <c:axPos val="r"/>
        <c:numFmt formatCode="0.0_ " sourceLinked="0"/>
        <c:majorTickMark val="in"/>
        <c:tickLblPos val="nextTo"/>
        <c:txPr>
          <a:bodyPr/>
          <a:lstStyle/>
          <a:p>
            <a:pPr>
              <a:defRPr sz="800" baseline="0">
                <a:latin typeface="Times New Roman" pitchFamily="18" charset="0"/>
                <a:ea typeface="標楷體" pitchFamily="65" charset="-120"/>
                <a:cs typeface="Times New Roman" pitchFamily="18" charset="0"/>
              </a:defRPr>
            </a:pPr>
            <a:endParaRPr lang="zh-TW"/>
          </a:p>
        </c:txPr>
        <c:crossAx val="272785408"/>
        <c:crosses val="max"/>
        <c:crossBetween val="between"/>
      </c:valAx>
      <c:catAx>
        <c:axId val="272785408"/>
        <c:scaling>
          <c:orientation val="minMax"/>
        </c:scaling>
        <c:delete val="1"/>
        <c:axPos val="b"/>
        <c:tickLblPos val="none"/>
        <c:crossAx val="272342400"/>
        <c:crosses val="autoZero"/>
        <c:auto val="1"/>
        <c:lblAlgn val="ctr"/>
        <c:lblOffset val="100"/>
      </c:catAx>
      <c:spPr>
        <a:noFill/>
      </c:spPr>
    </c:plotArea>
    <c:legend>
      <c:legendPos val="r"/>
      <c:layout>
        <c:manualLayout>
          <c:xMode val="edge"/>
          <c:yMode val="edge"/>
          <c:x val="4.6205163897813956E-2"/>
          <c:y val="0.89871426449052461"/>
          <c:w val="0.89418265884579951"/>
          <c:h val="9.7988411825880181E-2"/>
        </c:manualLayout>
      </c:layout>
      <c:txPr>
        <a:bodyPr/>
        <a:lstStyle/>
        <a:p>
          <a:pPr>
            <a:defRPr sz="800">
              <a:latin typeface="Times New Roman" pitchFamily="18" charset="0"/>
              <a:ea typeface="標楷體" pitchFamily="65" charset="-120"/>
              <a:cs typeface="Times New Roman" pitchFamily="18" charset="0"/>
            </a:defRPr>
          </a:pPr>
          <a:endParaRPr lang="zh-TW"/>
        </a:p>
      </c:txPr>
    </c:legend>
    <c:plotVisOnly val="1"/>
    <c:dispBlanksAs val="gap"/>
  </c:chart>
  <c:spPr>
    <a:noFill/>
    <a:ln>
      <a:noFill/>
    </a:ln>
  </c:spPr>
  <c:externalData r:id="rId1"/>
  <c:userShapes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zh-TW"/>
  <c:chart>
    <c:title>
      <c:tx>
        <c:rich>
          <a:bodyPr/>
          <a:lstStyle/>
          <a:p>
            <a:pPr>
              <a:defRPr sz="1000">
                <a:latin typeface="Times New Roman" pitchFamily="18" charset="0"/>
                <a:cs typeface="Times New Roman" pitchFamily="18" charset="0"/>
              </a:defRPr>
            </a:pPr>
            <a:r>
              <a:rPr lang="en-US" altLang="zh-TW" sz="1000" b="0" i="0" baseline="0">
                <a:latin typeface="Times New Roman" pitchFamily="18" charset="0"/>
                <a:cs typeface="Times New Roman" pitchFamily="18" charset="0"/>
              </a:rPr>
              <a:t>Figure 2   Group Insurance Applicants 2011 vs. 2001</a:t>
            </a:r>
            <a:endParaRPr lang="zh-TW" altLang="zh-TW" sz="1000" b="0" i="0" baseline="0">
              <a:latin typeface="Times New Roman" pitchFamily="18" charset="0"/>
              <a:cs typeface="Times New Roman" pitchFamily="18" charset="0"/>
            </a:endParaRPr>
          </a:p>
        </c:rich>
      </c:tx>
      <c:layout>
        <c:manualLayout>
          <c:xMode val="edge"/>
          <c:yMode val="edge"/>
          <c:x val="0.27802110673665792"/>
          <c:y val="2.4703945669286477E-5"/>
        </c:manualLayout>
      </c:layout>
    </c:title>
    <c:plotArea>
      <c:layout>
        <c:manualLayout>
          <c:layoutTarget val="inner"/>
          <c:xMode val="edge"/>
          <c:yMode val="edge"/>
          <c:x val="3.4392497812773405E-2"/>
          <c:y val="0.16107625294303388"/>
          <c:w val="0.78208340673154453"/>
          <c:h val="0.68928015281564747"/>
        </c:manualLayout>
      </c:layout>
      <c:scatterChart>
        <c:scatterStyle val="lineMarker"/>
        <c:ser>
          <c:idx val="0"/>
          <c:order val="0"/>
          <c:spPr>
            <a:ln w="38100">
              <a:noFill/>
            </a:ln>
          </c:spPr>
          <c:marker>
            <c:symbol val="circle"/>
            <c:size val="7"/>
            <c:spPr>
              <a:solidFill>
                <a:srgbClr val="77933C"/>
              </a:solidFill>
              <a:ln w="9525">
                <a:solidFill>
                  <a:srgbClr val="77933C"/>
                </a:solidFill>
                <a:prstDash val="solid"/>
              </a:ln>
              <a:scene3d>
                <a:camera prst="orthographicFront"/>
                <a:lightRig rig="threePt" dir="t"/>
              </a:scene3d>
              <a:sp3d>
                <a:bevelT w="190500" h="38100"/>
              </a:sp3d>
            </c:spPr>
          </c:marker>
          <c:dPt>
            <c:idx val="0"/>
            <c:marker>
              <c:spPr>
                <a:gradFill flip="none" rotWithShape="1">
                  <a:gsLst>
                    <a:gs pos="0">
                      <a:srgbClr val="77933C"/>
                    </a:gs>
                    <a:gs pos="50000">
                      <a:srgbClr val="77933C"/>
                    </a:gs>
                    <a:gs pos="0">
                      <a:srgbClr val="77933C"/>
                    </a:gs>
                  </a:gsLst>
                  <a:path path="circle">
                    <a:fillToRect l="100000" t="100000"/>
                  </a:path>
                  <a:tileRect r="-100000" b="-100000"/>
                </a:gradFill>
                <a:ln w="9525">
                  <a:solidFill>
                    <a:srgbClr val="77933C"/>
                  </a:solidFill>
                  <a:prstDash val="solid"/>
                </a:ln>
                <a:scene3d>
                  <a:camera prst="orthographicFront"/>
                  <a:lightRig rig="threePt" dir="t"/>
                </a:scene3d>
                <a:sp3d>
                  <a:bevelT w="190500" h="38100"/>
                </a:sp3d>
              </c:spPr>
            </c:marker>
            <c:spPr>
              <a:ln w="9525">
                <a:solidFill>
                  <a:srgbClr val="77933C"/>
                </a:solidFill>
              </a:ln>
            </c:spPr>
          </c:dPt>
          <c:dPt>
            <c:idx val="1"/>
            <c:marker>
              <c:spPr>
                <a:solidFill>
                  <a:srgbClr val="DB6FBF"/>
                </a:solidFill>
                <a:ln w="9525">
                  <a:solidFill>
                    <a:srgbClr val="DB6FBF"/>
                  </a:solidFill>
                  <a:prstDash val="solid"/>
                </a:ln>
                <a:scene3d>
                  <a:camera prst="orthographicFront"/>
                  <a:lightRig rig="threePt" dir="t"/>
                </a:scene3d>
                <a:sp3d>
                  <a:bevelT w="190500" h="38100"/>
                </a:sp3d>
              </c:spPr>
            </c:marker>
          </c:dPt>
          <c:dPt>
            <c:idx val="2"/>
            <c:marker>
              <c:spPr>
                <a:solidFill>
                  <a:srgbClr val="95B3D7"/>
                </a:solidFill>
                <a:ln w="9525">
                  <a:solidFill>
                    <a:srgbClr val="95B3D7"/>
                  </a:solidFill>
                  <a:prstDash val="solid"/>
                </a:ln>
                <a:scene3d>
                  <a:camera prst="orthographicFront"/>
                  <a:lightRig rig="threePt" dir="t"/>
                </a:scene3d>
                <a:sp3d>
                  <a:bevelT w="190500" h="38100"/>
                </a:sp3d>
              </c:spPr>
            </c:marker>
          </c:dPt>
          <c:dPt>
            <c:idx val="3"/>
            <c:marker>
              <c:spPr>
                <a:solidFill>
                  <a:srgbClr val="B3A2C7"/>
                </a:solidFill>
                <a:ln w="9525">
                  <a:solidFill>
                    <a:srgbClr val="B3A2C7"/>
                  </a:solidFill>
                  <a:prstDash val="solid"/>
                </a:ln>
                <a:scene3d>
                  <a:camera prst="orthographicFront"/>
                  <a:lightRig rig="threePt" dir="t"/>
                </a:scene3d>
                <a:sp3d>
                  <a:bevelT w="190500" h="38100"/>
                </a:sp3d>
              </c:spPr>
            </c:marker>
          </c:dPt>
          <c:dPt>
            <c:idx val="4"/>
            <c:marker>
              <c:spPr>
                <a:solidFill>
                  <a:srgbClr val="7F7F7F"/>
                </a:solidFill>
                <a:ln w="9525">
                  <a:solidFill>
                    <a:srgbClr val="7F7F7F"/>
                  </a:solidFill>
                  <a:prstDash val="solid"/>
                </a:ln>
                <a:scene3d>
                  <a:camera prst="orthographicFront"/>
                  <a:lightRig rig="threePt" dir="t"/>
                </a:scene3d>
                <a:sp3d>
                  <a:bevelT w="190500" h="38100"/>
                </a:sp3d>
              </c:spPr>
            </c:marker>
          </c:dPt>
          <c:dPt>
            <c:idx val="5"/>
            <c:marker>
              <c:spPr>
                <a:solidFill>
                  <a:srgbClr val="E46C0A"/>
                </a:solidFill>
                <a:ln w="9525">
                  <a:solidFill>
                    <a:srgbClr val="E46C0A"/>
                  </a:solidFill>
                  <a:prstDash val="solid"/>
                </a:ln>
                <a:scene3d>
                  <a:camera prst="orthographicFront"/>
                  <a:lightRig rig="threePt" dir="t"/>
                </a:scene3d>
                <a:sp3d>
                  <a:bevelT w="190500" h="38100"/>
                </a:sp3d>
              </c:spPr>
            </c:marker>
          </c:dPt>
          <c:xVal>
            <c:numRef>
              <c:f>'圖1與圖2-data'!$C$25:$H$25</c:f>
              <c:numCache>
                <c:formatCode>0.0_ </c:formatCode>
                <c:ptCount val="6"/>
                <c:pt idx="0">
                  <c:v>-1.7400045192095135</c:v>
                </c:pt>
                <c:pt idx="1">
                  <c:v>0.74146813188003857</c:v>
                </c:pt>
                <c:pt idx="2">
                  <c:v>0.37578019629388487</c:v>
                </c:pt>
                <c:pt idx="3">
                  <c:v>0.25945246947815032</c:v>
                </c:pt>
                <c:pt idx="4">
                  <c:v>8.9063038839388015E-2</c:v>
                </c:pt>
                <c:pt idx="5">
                  <c:v>0.27424068271805901</c:v>
                </c:pt>
              </c:numCache>
            </c:numRef>
          </c:xVal>
          <c:yVal>
            <c:numRef>
              <c:f>'圖1與圖2-data'!$C$26:$H$26</c:f>
              <c:numCache>
                <c:formatCode>0.0_ </c:formatCode>
                <c:ptCount val="6"/>
                <c:pt idx="0">
                  <c:v>1.2352453012333866</c:v>
                </c:pt>
                <c:pt idx="1">
                  <c:v>1.3638269986893738</c:v>
                </c:pt>
                <c:pt idx="2">
                  <c:v>1.3125796982378577</c:v>
                </c:pt>
                <c:pt idx="3">
                  <c:v>1.320162638948094</c:v>
                </c:pt>
                <c:pt idx="4">
                  <c:v>1.2981388939155611</c:v>
                </c:pt>
                <c:pt idx="5">
                  <c:v>1.5245593419506462</c:v>
                </c:pt>
              </c:numCache>
            </c:numRef>
          </c:yVal>
        </c:ser>
        <c:axId val="273350656"/>
        <c:axId val="273352192"/>
      </c:scatterChart>
      <c:valAx>
        <c:axId val="273350656"/>
        <c:scaling>
          <c:orientation val="minMax"/>
        </c:scaling>
        <c:axPos val="b"/>
        <c:numFmt formatCode="0.0_ " sourceLinked="1"/>
        <c:majorTickMark val="in"/>
        <c:tickLblPos val="nextTo"/>
        <c:spPr>
          <a:ln w="3175">
            <a:solidFill>
              <a:srgbClr val="000000"/>
            </a:solidFill>
            <a:prstDash val="solid"/>
          </a:ln>
        </c:spPr>
        <c:txPr>
          <a:bodyPr rot="0" vert="horz"/>
          <a:lstStyle/>
          <a:p>
            <a:pPr>
              <a:defRPr sz="800" b="0" i="0" u="none" strike="noStrike" baseline="0">
                <a:solidFill>
                  <a:srgbClr val="000000"/>
                </a:solidFill>
                <a:latin typeface="Times New Roman" pitchFamily="18" charset="0"/>
                <a:ea typeface="標楷體"/>
                <a:cs typeface="Times New Roman" pitchFamily="18" charset="0"/>
              </a:defRPr>
            </a:pPr>
            <a:endParaRPr lang="zh-TW"/>
          </a:p>
        </c:txPr>
        <c:crossAx val="273352192"/>
        <c:crossesAt val="1.3"/>
        <c:crossBetween val="midCat"/>
        <c:majorUnit val="0.4"/>
      </c:valAx>
      <c:valAx>
        <c:axId val="273352192"/>
        <c:scaling>
          <c:orientation val="minMax"/>
          <c:max val="1.6"/>
          <c:min val="1.2"/>
        </c:scaling>
        <c:axPos val="l"/>
        <c:numFmt formatCode="0.0_ " sourceLinked="1"/>
        <c:majorTickMark val="in"/>
        <c:tickLblPos val="nextTo"/>
        <c:spPr>
          <a:ln w="3175">
            <a:solidFill>
              <a:srgbClr val="000000"/>
            </a:solidFill>
            <a:prstDash val="solid"/>
          </a:ln>
        </c:spPr>
        <c:txPr>
          <a:bodyPr rot="0" vert="horz"/>
          <a:lstStyle/>
          <a:p>
            <a:pPr>
              <a:defRPr sz="800" b="0" i="0" u="none" strike="noStrike" baseline="0">
                <a:solidFill>
                  <a:srgbClr val="000000"/>
                </a:solidFill>
                <a:latin typeface="Times New Roman" pitchFamily="18" charset="0"/>
                <a:ea typeface="標楷體"/>
                <a:cs typeface="Times New Roman" pitchFamily="18" charset="0"/>
              </a:defRPr>
            </a:pPr>
            <a:endParaRPr lang="zh-TW"/>
          </a:p>
        </c:txPr>
        <c:crossAx val="273350656"/>
        <c:crossesAt val="0.30000000000000032"/>
        <c:crossBetween val="midCat"/>
        <c:majorUnit val="0.1"/>
      </c:valAx>
      <c:spPr>
        <a:noFill/>
        <a:ln w="25400">
          <a:noFill/>
        </a:ln>
      </c:spPr>
    </c:plotArea>
    <c:plotVisOnly val="1"/>
    <c:dispBlanksAs val="gap"/>
  </c:chart>
  <c:spPr>
    <a:noFill/>
    <a:ln w="12700">
      <a:noFill/>
    </a:ln>
  </c:spPr>
  <c:txPr>
    <a:bodyPr/>
    <a:lstStyle/>
    <a:p>
      <a:pPr>
        <a:defRPr sz="1200" b="0" i="0" u="none" strike="noStrike" baseline="0">
          <a:solidFill>
            <a:srgbClr val="000000"/>
          </a:solidFill>
          <a:latin typeface="標楷體"/>
          <a:ea typeface="標楷體"/>
          <a:cs typeface="標楷體"/>
        </a:defRPr>
      </a:pPr>
      <a:endParaRPr lang="zh-TW"/>
    </a:p>
  </c:txPr>
  <c:externalData r:id="rId1"/>
  <c:userShapes r:id="rId2"/>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zh-TW"/>
  <c:style val="5"/>
  <c:chart>
    <c:autoTitleDeleted val="1"/>
    <c:plotArea>
      <c:layout>
        <c:manualLayout>
          <c:layoutTarget val="inner"/>
          <c:xMode val="edge"/>
          <c:yMode val="edge"/>
          <c:x val="0.12094700320347102"/>
          <c:y val="0.24111214542817824"/>
          <c:w val="0.76278587935545961"/>
          <c:h val="0.64118681252633491"/>
        </c:manualLayout>
      </c:layout>
      <c:barChart>
        <c:barDir val="col"/>
        <c:grouping val="stacked"/>
        <c:ser>
          <c:idx val="0"/>
          <c:order val="0"/>
          <c:tx>
            <c:strRef>
              <c:f>'圖3-data1'!$D$8</c:f>
              <c:strCache>
                <c:ptCount val="1"/>
                <c:pt idx="0">
                  <c:v>Insureds</c:v>
                </c:pt>
              </c:strCache>
            </c:strRef>
          </c:tx>
          <c:spPr>
            <a:solidFill>
              <a:srgbClr val="C4D79D"/>
            </a:solidFill>
            <a:ln w="3175">
              <a:noFill/>
            </a:ln>
            <a:effectLst/>
            <a:scene3d>
              <a:camera prst="orthographicFront"/>
              <a:lightRig rig="threePt" dir="t"/>
            </a:scene3d>
            <a:sp3d/>
          </c:spPr>
          <c:dLbls>
            <c:dLbl>
              <c:idx val="1"/>
              <c:delete val="1"/>
            </c:dLbl>
            <c:dLbl>
              <c:idx val="2"/>
              <c:delete val="1"/>
            </c:dLbl>
            <c:dLbl>
              <c:idx val="3"/>
              <c:delete val="1"/>
            </c:dLbl>
            <c:dLbl>
              <c:idx val="4"/>
              <c:delete val="1"/>
            </c:dLbl>
            <c:dLbl>
              <c:idx val="5"/>
              <c:layout>
                <c:manualLayout>
                  <c:x val="0"/>
                  <c:y val="-0.13176467333279646"/>
                </c:manualLayout>
              </c:layout>
              <c:showVal val="1"/>
            </c:dLbl>
            <c:dLbl>
              <c:idx val="6"/>
              <c:delete val="1"/>
            </c:dLbl>
            <c:dLbl>
              <c:idx val="7"/>
              <c:delete val="1"/>
            </c:dLbl>
            <c:dLbl>
              <c:idx val="8"/>
              <c:delete val="1"/>
            </c:dLbl>
            <c:dLbl>
              <c:idx val="9"/>
              <c:delete val="1"/>
            </c:dLbl>
            <c:dLbl>
              <c:idx val="10"/>
              <c:layout>
                <c:manualLayout>
                  <c:x val="0"/>
                  <c:y val="-0.14431368984068191"/>
                </c:manualLayout>
              </c:layout>
              <c:showVal val="1"/>
            </c:dLbl>
            <c:dLbl>
              <c:idx val="11"/>
              <c:delete val="1"/>
            </c:dLbl>
            <c:dLbl>
              <c:idx val="12"/>
              <c:delete val="1"/>
            </c:dLbl>
            <c:dLbl>
              <c:idx val="13"/>
              <c:delete val="1"/>
            </c:dLbl>
            <c:dLbl>
              <c:idx val="14"/>
              <c:delete val="1"/>
            </c:dLbl>
            <c:txPr>
              <a:bodyPr/>
              <a:lstStyle/>
              <a:p>
                <a:pPr>
                  <a:defRPr sz="800" baseline="0">
                    <a:solidFill>
                      <a:schemeClr val="tx1"/>
                    </a:solidFill>
                    <a:latin typeface="Times New Roman" pitchFamily="18" charset="0"/>
                    <a:ea typeface="+mn-ea"/>
                    <a:cs typeface="Times New Roman" pitchFamily="18" charset="0"/>
                  </a:defRPr>
                </a:pPr>
                <a:endParaRPr lang="zh-TW"/>
              </a:p>
            </c:txPr>
            <c:dLblPos val="inEnd"/>
            <c:showVal val="1"/>
          </c:dLbls>
          <c:cat>
            <c:strRef>
              <c:f>'圖3-data1'!$C$9:$C$19</c:f>
              <c:strCache>
                <c:ptCount val="11"/>
                <c:pt idx="0">
                  <c:v>2001</c:v>
                </c:pt>
                <c:pt idx="1">
                  <c:v>2002</c:v>
                </c:pt>
                <c:pt idx="2">
                  <c:v>2003</c:v>
                </c:pt>
                <c:pt idx="3">
                  <c:v>2004</c:v>
                </c:pt>
                <c:pt idx="4">
                  <c:v>2005</c:v>
                </c:pt>
                <c:pt idx="5">
                  <c:v>2006</c:v>
                </c:pt>
                <c:pt idx="6">
                  <c:v>2007</c:v>
                </c:pt>
                <c:pt idx="7">
                  <c:v>2008</c:v>
                </c:pt>
                <c:pt idx="8">
                  <c:v>2009</c:v>
                </c:pt>
                <c:pt idx="9">
                  <c:v>2010</c:v>
                </c:pt>
                <c:pt idx="10">
                  <c:v>2011</c:v>
                </c:pt>
              </c:strCache>
            </c:strRef>
          </c:cat>
          <c:val>
            <c:numRef>
              <c:f>'圖3-data1'!$D$9:$D$19</c:f>
              <c:numCache>
                <c:formatCode>#,##0,</c:formatCode>
                <c:ptCount val="11"/>
                <c:pt idx="0">
                  <c:v>12465947</c:v>
                </c:pt>
                <c:pt idx="1">
                  <c:v>12683752</c:v>
                </c:pt>
                <c:pt idx="2">
                  <c:v>12878979</c:v>
                </c:pt>
                <c:pt idx="3">
                  <c:v>13163135</c:v>
                </c:pt>
                <c:pt idx="4">
                  <c:v>13410088</c:v>
                </c:pt>
                <c:pt idx="5">
                  <c:v>13668247</c:v>
                </c:pt>
                <c:pt idx="6">
                  <c:v>14076979</c:v>
                </c:pt>
                <c:pt idx="7">
                  <c:v>14238210</c:v>
                </c:pt>
                <c:pt idx="8">
                  <c:v>14487278</c:v>
                </c:pt>
                <c:pt idx="9">
                  <c:v>14757430</c:v>
                </c:pt>
                <c:pt idx="10">
                  <c:v>15044729</c:v>
                </c:pt>
              </c:numCache>
            </c:numRef>
          </c:val>
        </c:ser>
        <c:ser>
          <c:idx val="1"/>
          <c:order val="1"/>
          <c:tx>
            <c:strRef>
              <c:f>'圖3-data1'!$E$8</c:f>
              <c:strCache>
                <c:ptCount val="1"/>
                <c:pt idx="0">
                  <c:v>Dependents</c:v>
                </c:pt>
              </c:strCache>
            </c:strRef>
          </c:tx>
          <c:spPr>
            <a:solidFill>
              <a:srgbClr val="FFFF99"/>
            </a:solidFill>
            <a:ln>
              <a:noFill/>
            </a:ln>
            <a:effectLst/>
            <a:scene3d>
              <a:camera prst="orthographicFront"/>
              <a:lightRig rig="threePt" dir="t"/>
            </a:scene3d>
            <a:sp3d/>
          </c:spPr>
          <c:dLbls>
            <c:dLbl>
              <c:idx val="0"/>
              <c:layout>
                <c:manualLayout>
                  <c:x val="2.0083071172823114E-3"/>
                  <c:y val="-0.13744285627473071"/>
                </c:manualLayout>
              </c:layout>
              <c:dLblPos val="ctr"/>
              <c:showVal val="1"/>
            </c:dLbl>
            <c:dLbl>
              <c:idx val="1"/>
              <c:delete val="1"/>
            </c:dLbl>
            <c:dLbl>
              <c:idx val="2"/>
              <c:delete val="1"/>
            </c:dLbl>
            <c:dLbl>
              <c:idx val="3"/>
              <c:delete val="1"/>
            </c:dLbl>
            <c:dLbl>
              <c:idx val="4"/>
              <c:delete val="1"/>
            </c:dLbl>
            <c:dLbl>
              <c:idx val="5"/>
              <c:layout>
                <c:manualLayout>
                  <c:x val="-4.0166142345645804E-3"/>
                  <c:y val="-0.12862741920582513"/>
                </c:manualLayout>
              </c:layout>
              <c:showVal val="1"/>
            </c:dLbl>
            <c:dLbl>
              <c:idx val="6"/>
              <c:delete val="1"/>
            </c:dLbl>
            <c:dLbl>
              <c:idx val="7"/>
              <c:delete val="1"/>
            </c:dLbl>
            <c:dLbl>
              <c:idx val="8"/>
              <c:delete val="1"/>
            </c:dLbl>
            <c:dLbl>
              <c:idx val="9"/>
              <c:delete val="1"/>
            </c:dLbl>
            <c:dLbl>
              <c:idx val="10"/>
              <c:layout>
                <c:manualLayout>
                  <c:x val="0"/>
                  <c:y val="-0.11921565682491159"/>
                </c:manualLayout>
              </c:layout>
              <c:showVal val="1"/>
            </c:dLbl>
            <c:dLbl>
              <c:idx val="11"/>
              <c:delete val="1"/>
            </c:dLbl>
            <c:dLbl>
              <c:idx val="12"/>
              <c:delete val="1"/>
            </c:dLbl>
            <c:dLbl>
              <c:idx val="13"/>
              <c:delete val="1"/>
            </c:dLbl>
            <c:dLbl>
              <c:idx val="14"/>
              <c:delete val="1"/>
            </c:dLbl>
            <c:dLbl>
              <c:idx val="15"/>
              <c:layout>
                <c:manualLayout>
                  <c:x val="-4.0166142345645804E-3"/>
                  <c:y val="-0.13010662217529786"/>
                </c:manualLayout>
              </c:layout>
              <c:dLblPos val="ctr"/>
              <c:showVal val="1"/>
            </c:dLbl>
            <c:dLbl>
              <c:idx val="16"/>
              <c:layout>
                <c:manualLayout>
                  <c:x val="-4.0166142345645804E-3"/>
                  <c:y val="-0.12174028179952896"/>
                </c:manualLayout>
              </c:layout>
              <c:dLblPos val="ctr"/>
              <c:showVal val="1"/>
            </c:dLbl>
            <c:txPr>
              <a:bodyPr/>
              <a:lstStyle/>
              <a:p>
                <a:pPr>
                  <a:defRPr sz="800" baseline="0">
                    <a:solidFill>
                      <a:schemeClr val="tx1"/>
                    </a:solidFill>
                    <a:latin typeface="Times New Roman" pitchFamily="18" charset="0"/>
                    <a:ea typeface="+mn-ea"/>
                    <a:cs typeface="Times New Roman" pitchFamily="18" charset="0"/>
                  </a:defRPr>
                </a:pPr>
                <a:endParaRPr lang="zh-TW"/>
              </a:p>
            </c:txPr>
            <c:dLblPos val="inEnd"/>
            <c:showVal val="1"/>
          </c:dLbls>
          <c:cat>
            <c:strRef>
              <c:f>'圖3-data1'!$C$9:$C$19</c:f>
              <c:strCache>
                <c:ptCount val="11"/>
                <c:pt idx="0">
                  <c:v>2001</c:v>
                </c:pt>
                <c:pt idx="1">
                  <c:v>2002</c:v>
                </c:pt>
                <c:pt idx="2">
                  <c:v>2003</c:v>
                </c:pt>
                <c:pt idx="3">
                  <c:v>2004</c:v>
                </c:pt>
                <c:pt idx="4">
                  <c:v>2005</c:v>
                </c:pt>
                <c:pt idx="5">
                  <c:v>2006</c:v>
                </c:pt>
                <c:pt idx="6">
                  <c:v>2007</c:v>
                </c:pt>
                <c:pt idx="7">
                  <c:v>2008</c:v>
                </c:pt>
                <c:pt idx="8">
                  <c:v>2009</c:v>
                </c:pt>
                <c:pt idx="9">
                  <c:v>2010</c:v>
                </c:pt>
                <c:pt idx="10">
                  <c:v>2011</c:v>
                </c:pt>
              </c:strCache>
            </c:strRef>
          </c:cat>
          <c:val>
            <c:numRef>
              <c:f>'圖3-data1'!$E$9:$E$19</c:f>
              <c:numCache>
                <c:formatCode>#,##0,</c:formatCode>
                <c:ptCount val="11"/>
                <c:pt idx="0">
                  <c:v>9187608</c:v>
                </c:pt>
                <c:pt idx="1">
                  <c:v>9185726</c:v>
                </c:pt>
                <c:pt idx="2">
                  <c:v>9105436</c:v>
                </c:pt>
                <c:pt idx="3">
                  <c:v>8971135</c:v>
                </c:pt>
                <c:pt idx="4">
                  <c:v>8904559</c:v>
                </c:pt>
                <c:pt idx="5">
                  <c:v>8816180</c:v>
                </c:pt>
                <c:pt idx="6">
                  <c:v>8726069</c:v>
                </c:pt>
                <c:pt idx="7">
                  <c:v>8679934</c:v>
                </c:pt>
                <c:pt idx="8">
                  <c:v>8538495</c:v>
                </c:pt>
                <c:pt idx="9">
                  <c:v>8317057</c:v>
                </c:pt>
                <c:pt idx="10">
                  <c:v>8153935</c:v>
                </c:pt>
              </c:numCache>
            </c:numRef>
          </c:val>
        </c:ser>
        <c:dLbls>
          <c:showVal val="1"/>
        </c:dLbls>
        <c:overlap val="100"/>
        <c:axId val="273826944"/>
        <c:axId val="273828480"/>
      </c:barChart>
      <c:lineChart>
        <c:grouping val="standard"/>
        <c:ser>
          <c:idx val="2"/>
          <c:order val="2"/>
          <c:tx>
            <c:strRef>
              <c:f>'圖3-data1'!$G$8</c:f>
              <c:strCache>
                <c:ptCount val="1"/>
                <c:pt idx="0">
                  <c:v>Growth Rate</c:v>
                </c:pt>
              </c:strCache>
            </c:strRef>
          </c:tx>
          <c:spPr>
            <a:ln w="28575">
              <a:solidFill>
                <a:srgbClr val="938EFC"/>
              </a:solidFill>
            </a:ln>
          </c:spPr>
          <c:marker>
            <c:symbol val="diamond"/>
            <c:size val="6"/>
            <c:spPr>
              <a:solidFill>
                <a:srgbClr val="7030A0"/>
              </a:solidFill>
              <a:ln>
                <a:solidFill>
                  <a:srgbClr val="B77DD1"/>
                </a:solidFill>
              </a:ln>
            </c:spPr>
          </c:marker>
          <c:dLbls>
            <c:dLbl>
              <c:idx val="0"/>
              <c:layout>
                <c:manualLayout>
                  <c:x val="-3.2132913876516879E-2"/>
                  <c:y val="-1.8823524761828244E-2"/>
                </c:manualLayout>
              </c:layout>
              <c:showVal val="1"/>
            </c:dLbl>
            <c:dLbl>
              <c:idx val="5"/>
              <c:layout>
                <c:manualLayout>
                  <c:x val="-2.8116299641952027E-2"/>
                  <c:y val="-3.7647049523656474E-2"/>
                </c:manualLayout>
              </c:layout>
              <c:showVal val="1"/>
            </c:dLbl>
            <c:dLbl>
              <c:idx val="15"/>
              <c:layout>
                <c:manualLayout>
                  <c:x val="-3.2132913876517011E-2"/>
                  <c:y val="-3.7647049523656627E-2"/>
                </c:manualLayout>
              </c:layout>
              <c:showVal val="1"/>
            </c:dLbl>
            <c:dLbl>
              <c:idx val="16"/>
              <c:layout>
                <c:manualLayout>
                  <c:x val="-2.6107992524670231E-2"/>
                  <c:y val="-2.509803301577081E-2"/>
                </c:manualLayout>
              </c:layout>
              <c:showVal val="1"/>
            </c:dLbl>
            <c:delete val="1"/>
            <c:txPr>
              <a:bodyPr/>
              <a:lstStyle/>
              <a:p>
                <a:pPr>
                  <a:defRPr sz="800">
                    <a:latin typeface="Times New Roman" pitchFamily="18" charset="0"/>
                    <a:cs typeface="Times New Roman" pitchFamily="18" charset="0"/>
                  </a:defRPr>
                </a:pPr>
                <a:endParaRPr lang="zh-TW"/>
              </a:p>
            </c:txPr>
          </c:dLbls>
          <c:cat>
            <c:strRef>
              <c:f>'圖3-data1'!$C$9:$C$19</c:f>
              <c:strCache>
                <c:ptCount val="11"/>
                <c:pt idx="0">
                  <c:v>2001</c:v>
                </c:pt>
                <c:pt idx="1">
                  <c:v>2002</c:v>
                </c:pt>
                <c:pt idx="2">
                  <c:v>2003</c:v>
                </c:pt>
                <c:pt idx="3">
                  <c:v>2004</c:v>
                </c:pt>
                <c:pt idx="4">
                  <c:v>2005</c:v>
                </c:pt>
                <c:pt idx="5">
                  <c:v>2006</c:v>
                </c:pt>
                <c:pt idx="6">
                  <c:v>2007</c:v>
                </c:pt>
                <c:pt idx="7">
                  <c:v>2008</c:v>
                </c:pt>
                <c:pt idx="8">
                  <c:v>2009</c:v>
                </c:pt>
                <c:pt idx="9">
                  <c:v>2010</c:v>
                </c:pt>
                <c:pt idx="10">
                  <c:v>2011</c:v>
                </c:pt>
              </c:strCache>
            </c:strRef>
          </c:cat>
          <c:val>
            <c:numRef>
              <c:f>'圖3-data1'!$G$9:$G$19</c:f>
              <c:numCache>
                <c:formatCode>0.00_ </c:formatCode>
                <c:ptCount val="11"/>
                <c:pt idx="0">
                  <c:v>1.1809310537826958</c:v>
                </c:pt>
                <c:pt idx="1">
                  <c:v>0.9971711342548597</c:v>
                </c:pt>
                <c:pt idx="2">
                  <c:v>0.52555895481365356</c:v>
                </c:pt>
                <c:pt idx="3">
                  <c:v>0.68164197227900547</c:v>
                </c:pt>
                <c:pt idx="4">
                  <c:v>0.81492183839811283</c:v>
                </c:pt>
                <c:pt idx="5">
                  <c:v>0.76084555583604274</c:v>
                </c:pt>
                <c:pt idx="6">
                  <c:v>1.417074137579762</c:v>
                </c:pt>
                <c:pt idx="7">
                  <c:v>0.50473954183669556</c:v>
                </c:pt>
                <c:pt idx="8">
                  <c:v>0.46962354368660381</c:v>
                </c:pt>
                <c:pt idx="9">
                  <c:v>0.21156292993942394</c:v>
                </c:pt>
                <c:pt idx="10">
                  <c:v>0.53815714299520956</c:v>
                </c:pt>
              </c:numCache>
            </c:numRef>
          </c:val>
        </c:ser>
        <c:marker val="1"/>
        <c:axId val="273837440"/>
        <c:axId val="273834752"/>
      </c:lineChart>
      <c:catAx>
        <c:axId val="273826944"/>
        <c:scaling>
          <c:orientation val="minMax"/>
        </c:scaling>
        <c:axPos val="b"/>
        <c:numFmt formatCode="General" sourceLinked="1"/>
        <c:majorTickMark val="in"/>
        <c:tickLblPos val="nextTo"/>
        <c:txPr>
          <a:bodyPr/>
          <a:lstStyle/>
          <a:p>
            <a:pPr>
              <a:defRPr sz="800" baseline="0">
                <a:latin typeface="Times New Roman" pitchFamily="18" charset="0"/>
                <a:ea typeface="新細明體" pitchFamily="18" charset="-120"/>
                <a:cs typeface="Times New Roman" pitchFamily="18" charset="0"/>
              </a:defRPr>
            </a:pPr>
            <a:endParaRPr lang="zh-TW"/>
          </a:p>
        </c:txPr>
        <c:crossAx val="273828480"/>
        <c:crosses val="autoZero"/>
        <c:auto val="1"/>
        <c:lblAlgn val="ctr"/>
        <c:lblOffset val="100"/>
      </c:catAx>
      <c:valAx>
        <c:axId val="273828480"/>
        <c:scaling>
          <c:orientation val="minMax"/>
        </c:scaling>
        <c:axPos val="l"/>
        <c:title>
          <c:tx>
            <c:rich>
              <a:bodyPr rot="0" vert="horz"/>
              <a:lstStyle/>
              <a:p>
                <a:pPr>
                  <a:defRPr sz="800" b="0">
                    <a:latin typeface="標楷體" pitchFamily="65" charset="-120"/>
                    <a:ea typeface="標楷體" pitchFamily="65" charset="-120"/>
                  </a:defRPr>
                </a:pPr>
                <a:r>
                  <a:rPr lang="en-US" altLang="zh-TW" sz="800" b="0" i="0" baseline="0">
                    <a:latin typeface="Times New Roman" pitchFamily="18" charset="0"/>
                    <a:cs typeface="Times New Roman" pitchFamily="18" charset="0"/>
                  </a:rPr>
                  <a:t>1,000 Persons</a:t>
                </a:r>
                <a:endParaRPr lang="zh-TW" altLang="zh-TW" sz="800" b="0" i="0" baseline="0">
                  <a:latin typeface="Times New Roman" pitchFamily="18" charset="0"/>
                  <a:cs typeface="Times New Roman" pitchFamily="18" charset="0"/>
                </a:endParaRPr>
              </a:p>
            </c:rich>
          </c:tx>
          <c:layout>
            <c:manualLayout>
              <c:xMode val="edge"/>
              <c:yMode val="edge"/>
              <c:x val="2.7585758667268492E-2"/>
              <c:y val="0.15806597917159801"/>
            </c:manualLayout>
          </c:layout>
        </c:title>
        <c:numFmt formatCode="##,###," sourceLinked="0"/>
        <c:majorTickMark val="in"/>
        <c:tickLblPos val="nextTo"/>
        <c:txPr>
          <a:bodyPr/>
          <a:lstStyle/>
          <a:p>
            <a:pPr>
              <a:defRPr sz="800" baseline="0">
                <a:latin typeface="Times New Roman" pitchFamily="18" charset="0"/>
                <a:ea typeface="新細明體" pitchFamily="18" charset="-120"/>
                <a:cs typeface="Times New Roman" pitchFamily="18" charset="0"/>
              </a:defRPr>
            </a:pPr>
            <a:endParaRPr lang="zh-TW"/>
          </a:p>
        </c:txPr>
        <c:crossAx val="273826944"/>
        <c:crosses val="autoZero"/>
        <c:crossBetween val="between"/>
      </c:valAx>
      <c:valAx>
        <c:axId val="273834752"/>
        <c:scaling>
          <c:orientation val="minMax"/>
          <c:max val="5"/>
          <c:min val="0"/>
        </c:scaling>
        <c:axPos val="r"/>
        <c:numFmt formatCode="#,##0.0_);[Red]\(#,##0.0\)" sourceLinked="0"/>
        <c:majorTickMark val="in"/>
        <c:tickLblPos val="nextTo"/>
        <c:txPr>
          <a:bodyPr/>
          <a:lstStyle/>
          <a:p>
            <a:pPr>
              <a:defRPr sz="800" baseline="0">
                <a:latin typeface="Times New Roman" pitchFamily="18" charset="0"/>
                <a:ea typeface="標楷體" pitchFamily="65" charset="-120"/>
                <a:cs typeface="Times New Roman" pitchFamily="18" charset="0"/>
              </a:defRPr>
            </a:pPr>
            <a:endParaRPr lang="zh-TW"/>
          </a:p>
        </c:txPr>
        <c:crossAx val="273837440"/>
        <c:crosses val="max"/>
        <c:crossBetween val="between"/>
      </c:valAx>
      <c:catAx>
        <c:axId val="273837440"/>
        <c:scaling>
          <c:orientation val="minMax"/>
        </c:scaling>
        <c:delete val="1"/>
        <c:axPos val="b"/>
        <c:numFmt formatCode="General" sourceLinked="1"/>
        <c:tickLblPos val="none"/>
        <c:crossAx val="273834752"/>
        <c:crosses val="autoZero"/>
        <c:auto val="1"/>
        <c:lblAlgn val="ctr"/>
        <c:lblOffset val="100"/>
      </c:catAx>
      <c:spPr>
        <a:noFill/>
      </c:spPr>
    </c:plotArea>
    <c:legend>
      <c:legendPos val="t"/>
      <c:layout>
        <c:manualLayout>
          <c:xMode val="edge"/>
          <c:yMode val="edge"/>
          <c:x val="0.47132311384381698"/>
          <c:y val="0.20472534698771741"/>
          <c:w val="0.40266083298253846"/>
          <c:h val="4.0427712686623492E-2"/>
        </c:manualLayout>
      </c:layout>
      <c:txPr>
        <a:bodyPr/>
        <a:lstStyle/>
        <a:p>
          <a:pPr>
            <a:defRPr sz="800" baseline="0">
              <a:latin typeface="Times New Roman" pitchFamily="18" charset="0"/>
              <a:ea typeface="標楷體" pitchFamily="65" charset="-120"/>
              <a:cs typeface="Times New Roman" pitchFamily="18" charset="0"/>
            </a:defRPr>
          </a:pPr>
          <a:endParaRPr lang="zh-TW"/>
        </a:p>
      </c:txPr>
    </c:legend>
    <c:plotVisOnly val="1"/>
    <c:dispBlanksAs val="gap"/>
  </c:chart>
  <c:spPr>
    <a:noFill/>
    <a:ln>
      <a:noFill/>
    </a:ln>
  </c:spPr>
  <c:externalData r:id="rId1"/>
  <c:userShapes r:id="rId2"/>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zh-TW"/>
  <c:chart>
    <c:title>
      <c:tx>
        <c:rich>
          <a:bodyPr/>
          <a:lstStyle/>
          <a:p>
            <a:pPr algn="ctr">
              <a:defRPr sz="1000" b="0" baseline="0">
                <a:latin typeface="Times New Roman" pitchFamily="18" charset="0"/>
                <a:ea typeface="標楷體" pitchFamily="65" charset="-120"/>
              </a:defRPr>
            </a:pPr>
            <a:r>
              <a:rPr lang="en-US" altLang="zh-TW" sz="1000" b="0" i="0" baseline="0">
                <a:latin typeface="Times New Roman" pitchFamily="18" charset="0"/>
                <a:cs typeface="Times New Roman" pitchFamily="18" charset="0"/>
              </a:rPr>
              <a:t>Figure 5    Numbers of  Beneficiaries by Age and Gender</a:t>
            </a:r>
            <a:endParaRPr lang="zh-TW" altLang="zh-TW" sz="1000" b="0" i="0" baseline="0">
              <a:latin typeface="Times New Roman" pitchFamily="18" charset="0"/>
              <a:cs typeface="Times New Roman" pitchFamily="18" charset="0"/>
            </a:endParaRPr>
          </a:p>
          <a:p>
            <a:pPr algn="ctr">
              <a:defRPr sz="1000" b="0" baseline="0">
                <a:latin typeface="Times New Roman" pitchFamily="18" charset="0"/>
                <a:ea typeface="標楷體" pitchFamily="65" charset="-120"/>
              </a:defRPr>
            </a:pPr>
            <a:endParaRPr lang="en-US" altLang="zh-TW" sz="800" b="0" i="0" baseline="0">
              <a:latin typeface="Times New Roman" pitchFamily="18" charset="0"/>
              <a:cs typeface="Times New Roman" pitchFamily="18" charset="0"/>
            </a:endParaRPr>
          </a:p>
          <a:p>
            <a:pPr algn="ctr">
              <a:defRPr sz="1000" b="0" baseline="0">
                <a:latin typeface="Times New Roman" pitchFamily="18" charset="0"/>
                <a:ea typeface="標楷體" pitchFamily="65" charset="-120"/>
              </a:defRPr>
            </a:pPr>
            <a:r>
              <a:rPr lang="en-US" altLang="zh-TW" sz="800" b="0" i="0" baseline="0">
                <a:latin typeface="Times New Roman" pitchFamily="18" charset="0"/>
                <a:cs typeface="Times New Roman" pitchFamily="18" charset="0"/>
              </a:rPr>
              <a:t>End of 2011</a:t>
            </a:r>
            <a:endParaRPr lang="zh-TW" altLang="zh-TW" sz="800" b="0" i="0" baseline="0">
              <a:latin typeface="Times New Roman" pitchFamily="18" charset="0"/>
              <a:cs typeface="Times New Roman" pitchFamily="18" charset="0"/>
            </a:endParaRPr>
          </a:p>
        </c:rich>
      </c:tx>
      <c:layout>
        <c:manualLayout>
          <c:xMode val="edge"/>
          <c:yMode val="edge"/>
          <c:x val="0.22426662973012246"/>
          <c:y val="5.7814589736972124E-4"/>
        </c:manualLayout>
      </c:layout>
    </c:title>
    <c:plotArea>
      <c:layout>
        <c:manualLayout>
          <c:layoutTarget val="inner"/>
          <c:xMode val="edge"/>
          <c:yMode val="edge"/>
          <c:x val="7.2958406240886939E-2"/>
          <c:y val="0.11826493660886774"/>
          <c:w val="0.83065042025232982"/>
          <c:h val="0.58852061287219304"/>
        </c:manualLayout>
      </c:layout>
      <c:barChart>
        <c:barDir val="col"/>
        <c:grouping val="clustered"/>
        <c:ser>
          <c:idx val="0"/>
          <c:order val="0"/>
          <c:spPr>
            <a:scene3d>
              <a:camera prst="orthographicFront"/>
              <a:lightRig rig="threePt" dir="t"/>
            </a:scene3d>
            <a:sp3d prstMaterial="plastic">
              <a:bevelT w="6350" h="19050"/>
            </a:sp3d>
          </c:spPr>
          <c:dPt>
            <c:idx val="0"/>
            <c:spPr>
              <a:solidFill>
                <a:srgbClr val="C3D69B"/>
              </a:solidFill>
              <a:scene3d>
                <a:camera prst="orthographicFront"/>
                <a:lightRig rig="threePt" dir="t"/>
              </a:scene3d>
              <a:sp3d prstMaterial="plastic">
                <a:bevelT w="6350" h="19050"/>
              </a:sp3d>
            </c:spPr>
          </c:dPt>
          <c:dPt>
            <c:idx val="1"/>
            <c:spPr>
              <a:solidFill>
                <a:srgbClr val="C3D69B"/>
              </a:solidFill>
              <a:scene3d>
                <a:camera prst="orthographicFront"/>
                <a:lightRig rig="threePt" dir="t"/>
              </a:scene3d>
              <a:sp3d prstMaterial="plastic">
                <a:bevelT w="6350" h="19050"/>
              </a:sp3d>
            </c:spPr>
          </c:dPt>
          <c:dPt>
            <c:idx val="2"/>
            <c:spPr>
              <a:solidFill>
                <a:srgbClr val="C3D69B"/>
              </a:solidFill>
              <a:scene3d>
                <a:camera prst="orthographicFront"/>
                <a:lightRig rig="threePt" dir="t"/>
              </a:scene3d>
              <a:sp3d prstMaterial="plastic">
                <a:bevelT w="6350" h="19050"/>
              </a:sp3d>
            </c:spPr>
          </c:dPt>
          <c:dPt>
            <c:idx val="3"/>
            <c:spPr>
              <a:solidFill>
                <a:srgbClr val="C3D69B"/>
              </a:solidFill>
              <a:scene3d>
                <a:camera prst="orthographicFront"/>
                <a:lightRig rig="threePt" dir="t"/>
              </a:scene3d>
              <a:sp3d prstMaterial="plastic">
                <a:bevelT w="6350" h="19050"/>
              </a:sp3d>
            </c:spPr>
          </c:dPt>
          <c:dPt>
            <c:idx val="4"/>
            <c:spPr>
              <a:solidFill>
                <a:srgbClr val="C3D69B"/>
              </a:solidFill>
              <a:scene3d>
                <a:camera prst="orthographicFront"/>
                <a:lightRig rig="threePt" dir="t"/>
              </a:scene3d>
              <a:sp3d prstMaterial="plastic">
                <a:bevelT w="6350" h="19050"/>
              </a:sp3d>
            </c:spPr>
          </c:dPt>
          <c:dPt>
            <c:idx val="5"/>
            <c:spPr>
              <a:solidFill>
                <a:schemeClr val="accent3">
                  <a:lumMod val="60000"/>
                  <a:lumOff val="40000"/>
                </a:schemeClr>
              </a:solidFill>
              <a:scene3d>
                <a:camera prst="orthographicFront"/>
                <a:lightRig rig="threePt" dir="t"/>
              </a:scene3d>
              <a:sp3d prstMaterial="plastic">
                <a:bevelT w="6350" h="19050"/>
              </a:sp3d>
            </c:spPr>
          </c:dPt>
          <c:dPt>
            <c:idx val="6"/>
            <c:spPr>
              <a:solidFill>
                <a:srgbClr val="F3B7E2"/>
              </a:solidFill>
              <a:scene3d>
                <a:camera prst="orthographicFront"/>
                <a:lightRig rig="threePt" dir="t"/>
              </a:scene3d>
              <a:sp3d prstMaterial="plastic">
                <a:bevelT w="6350" h="19050"/>
              </a:sp3d>
            </c:spPr>
          </c:dPt>
          <c:dPt>
            <c:idx val="7"/>
            <c:spPr>
              <a:solidFill>
                <a:srgbClr val="F3B7E2"/>
              </a:solidFill>
              <a:scene3d>
                <a:camera prst="orthographicFront"/>
                <a:lightRig rig="threePt" dir="t"/>
              </a:scene3d>
              <a:sp3d prstMaterial="plastic">
                <a:bevelT w="6350" h="19050"/>
              </a:sp3d>
            </c:spPr>
          </c:dPt>
          <c:dPt>
            <c:idx val="8"/>
            <c:spPr>
              <a:solidFill>
                <a:srgbClr val="F3B7E2"/>
              </a:solidFill>
              <a:scene3d>
                <a:camera prst="orthographicFront"/>
                <a:lightRig rig="threePt" dir="t"/>
              </a:scene3d>
              <a:sp3d prstMaterial="plastic">
                <a:bevelT w="6350" h="19050"/>
              </a:sp3d>
            </c:spPr>
          </c:dPt>
          <c:dPt>
            <c:idx val="9"/>
            <c:spPr>
              <a:solidFill>
                <a:srgbClr val="F3B7E2"/>
              </a:solidFill>
              <a:scene3d>
                <a:camera prst="orthographicFront"/>
                <a:lightRig rig="threePt" dir="t"/>
              </a:scene3d>
              <a:sp3d prstMaterial="plastic">
                <a:bevelT w="6350" h="19050"/>
              </a:sp3d>
            </c:spPr>
          </c:dPt>
          <c:dPt>
            <c:idx val="10"/>
            <c:spPr>
              <a:solidFill>
                <a:srgbClr val="A38FBB"/>
              </a:solidFill>
              <a:scene3d>
                <a:camera prst="orthographicFront"/>
                <a:lightRig rig="threePt" dir="t"/>
              </a:scene3d>
              <a:sp3d prstMaterial="plastic">
                <a:bevelT w="6350" h="19050"/>
              </a:sp3d>
            </c:spPr>
          </c:dPt>
          <c:dPt>
            <c:idx val="11"/>
            <c:spPr>
              <a:solidFill>
                <a:srgbClr val="A38FBB"/>
              </a:solidFill>
              <a:scene3d>
                <a:camera prst="orthographicFront"/>
                <a:lightRig rig="threePt" dir="t"/>
              </a:scene3d>
              <a:sp3d prstMaterial="plastic">
                <a:bevelT w="6350" h="19050"/>
              </a:sp3d>
            </c:spPr>
          </c:dPt>
          <c:dPt>
            <c:idx val="12"/>
            <c:spPr>
              <a:solidFill>
                <a:srgbClr val="A38FBB"/>
              </a:solidFill>
              <a:scene3d>
                <a:camera prst="orthographicFront"/>
                <a:lightRig rig="threePt" dir="t"/>
              </a:scene3d>
              <a:sp3d prstMaterial="plastic">
                <a:bevelT w="6350" h="19050"/>
              </a:sp3d>
            </c:spPr>
          </c:dPt>
          <c:dPt>
            <c:idx val="13"/>
            <c:spPr>
              <a:solidFill>
                <a:schemeClr val="accent2">
                  <a:lumMod val="40000"/>
                  <a:lumOff val="60000"/>
                </a:schemeClr>
              </a:solidFill>
              <a:scene3d>
                <a:camera prst="orthographicFront"/>
                <a:lightRig rig="threePt" dir="t"/>
              </a:scene3d>
              <a:sp3d prstMaterial="plastic">
                <a:bevelT w="6350" h="19050"/>
              </a:sp3d>
            </c:spPr>
          </c:dPt>
          <c:dPt>
            <c:idx val="14"/>
            <c:spPr>
              <a:solidFill>
                <a:schemeClr val="accent2">
                  <a:lumMod val="40000"/>
                  <a:lumOff val="60000"/>
                </a:schemeClr>
              </a:solidFill>
              <a:scene3d>
                <a:camera prst="orthographicFront"/>
                <a:lightRig rig="threePt" dir="t"/>
              </a:scene3d>
              <a:sp3d prstMaterial="plastic">
                <a:bevelT w="6350" h="19050"/>
              </a:sp3d>
            </c:spPr>
          </c:dPt>
          <c:dPt>
            <c:idx val="15"/>
            <c:spPr>
              <a:solidFill>
                <a:schemeClr val="accent2">
                  <a:lumMod val="40000"/>
                  <a:lumOff val="60000"/>
                </a:schemeClr>
              </a:solidFill>
              <a:scene3d>
                <a:camera prst="orthographicFront"/>
                <a:lightRig rig="threePt" dir="t"/>
              </a:scene3d>
              <a:sp3d prstMaterial="plastic">
                <a:bevelT w="6350" h="19050"/>
              </a:sp3d>
            </c:spPr>
          </c:dPt>
          <c:dPt>
            <c:idx val="16"/>
            <c:spPr>
              <a:solidFill>
                <a:schemeClr val="accent2">
                  <a:lumMod val="40000"/>
                  <a:lumOff val="60000"/>
                </a:schemeClr>
              </a:solidFill>
              <a:scene3d>
                <a:camera prst="orthographicFront"/>
                <a:lightRig rig="threePt" dir="t"/>
              </a:scene3d>
              <a:sp3d prstMaterial="plastic">
                <a:bevelT w="6350" h="19050"/>
              </a:sp3d>
            </c:spPr>
          </c:dPt>
          <c:dPt>
            <c:idx val="17"/>
            <c:spPr>
              <a:solidFill>
                <a:srgbClr val="FFFF99"/>
              </a:solidFill>
              <a:scene3d>
                <a:camera prst="orthographicFront"/>
                <a:lightRig rig="threePt" dir="t"/>
              </a:scene3d>
              <a:sp3d prstMaterial="plastic">
                <a:bevelT w="6350" h="19050"/>
              </a:sp3d>
            </c:spPr>
          </c:dPt>
          <c:dPt>
            <c:idx val="18"/>
            <c:spPr>
              <a:solidFill>
                <a:srgbClr val="FFFF99"/>
              </a:solidFill>
              <a:scene3d>
                <a:camera prst="orthographicFront"/>
                <a:lightRig rig="threePt" dir="t"/>
              </a:scene3d>
              <a:sp3d prstMaterial="plastic">
                <a:bevelT w="6350" h="19050"/>
              </a:sp3d>
            </c:spPr>
          </c:dPt>
          <c:dPt>
            <c:idx val="19"/>
            <c:spPr>
              <a:solidFill>
                <a:srgbClr val="FFFF99"/>
              </a:solidFill>
              <a:scene3d>
                <a:camera prst="orthographicFront"/>
                <a:lightRig rig="threePt" dir="t"/>
              </a:scene3d>
              <a:sp3d prstMaterial="plastic">
                <a:bevelT w="6350" h="19050"/>
              </a:sp3d>
            </c:spPr>
          </c:dPt>
          <c:dPt>
            <c:idx val="20"/>
            <c:spPr>
              <a:solidFill>
                <a:srgbClr val="95B3D7"/>
              </a:solidFill>
              <a:scene3d>
                <a:camera prst="orthographicFront"/>
                <a:lightRig rig="threePt" dir="t"/>
              </a:scene3d>
              <a:sp3d prstMaterial="plastic">
                <a:bevelT w="6350" h="19050"/>
              </a:sp3d>
            </c:spPr>
          </c:dPt>
          <c:dPt>
            <c:idx val="21"/>
            <c:spPr>
              <a:solidFill>
                <a:srgbClr val="95B3D7"/>
              </a:solidFill>
              <a:scene3d>
                <a:camera prst="orthographicFront"/>
                <a:lightRig rig="threePt" dir="t"/>
              </a:scene3d>
              <a:sp3d prstMaterial="plastic">
                <a:bevelT w="6350" h="19050"/>
              </a:sp3d>
            </c:spPr>
          </c:dPt>
          <c:dLbls>
            <c:dLbl>
              <c:idx val="0"/>
              <c:layout>
                <c:manualLayout>
                  <c:x val="9.7226954952995166E-3"/>
                  <c:y val="5.3393887850387411E-3"/>
                </c:manualLayout>
              </c:layout>
              <c:showVal val="1"/>
            </c:dLbl>
            <c:dLbl>
              <c:idx val="1"/>
              <c:layout>
                <c:manualLayout>
                  <c:x val="6.8737662443607841E-3"/>
                  <c:y val="6.9637694611252871E-3"/>
                </c:manualLayout>
              </c:layout>
              <c:showVal val="1"/>
            </c:dLbl>
            <c:dLbl>
              <c:idx val="2"/>
              <c:layout>
                <c:manualLayout>
                  <c:x val="-4.2564580743197132E-4"/>
                  <c:y val="1.1422514042809908E-16"/>
                </c:manualLayout>
              </c:layout>
              <c:showVal val="1"/>
            </c:dLbl>
            <c:dLbl>
              <c:idx val="3"/>
              <c:layout>
                <c:manualLayout>
                  <c:x val="-2.8184817704962092E-3"/>
                  <c:y val="5.3815261044177134E-3"/>
                </c:manualLayout>
              </c:layout>
              <c:showVal val="1"/>
            </c:dLbl>
            <c:dLbl>
              <c:idx val="4"/>
              <c:layout>
                <c:manualLayout>
                  <c:x val="-1.1011534742368472E-3"/>
                  <c:y val="-7.7072198399832134E-4"/>
                </c:manualLayout>
              </c:layout>
              <c:showVal val="1"/>
            </c:dLbl>
            <c:dLbl>
              <c:idx val="5"/>
              <c:layout>
                <c:manualLayout>
                  <c:x val="-9.9462903459937536E-4"/>
                  <c:y val="-2.8791280607995402E-3"/>
                </c:manualLayout>
              </c:layout>
              <c:showVal val="1"/>
            </c:dLbl>
            <c:dLbl>
              <c:idx val="6"/>
              <c:layout>
                <c:manualLayout>
                  <c:x val="-3.7991439410880452E-3"/>
                  <c:y val="1.266167030326076E-3"/>
                </c:manualLayout>
              </c:layout>
              <c:showVal val="1"/>
            </c:dLbl>
            <c:dLbl>
              <c:idx val="7"/>
              <c:layout>
                <c:manualLayout>
                  <c:x val="-9.9749256155547096E-4"/>
                  <c:y val="-2.6506708452905419E-3"/>
                </c:manualLayout>
              </c:layout>
              <c:showVal val="1"/>
            </c:dLbl>
            <c:dLbl>
              <c:idx val="8"/>
              <c:layout>
                <c:manualLayout>
                  <c:x val="-2.4928498287489827E-3"/>
                  <c:y val="1.0028144072352399E-2"/>
                </c:manualLayout>
              </c:layout>
              <c:showVal val="1"/>
            </c:dLbl>
            <c:dLbl>
              <c:idx val="9"/>
              <c:layout>
                <c:manualLayout>
                  <c:x val="-1.3884859787264279E-3"/>
                  <c:y val="-5.4904742736583073E-3"/>
                </c:manualLayout>
              </c:layout>
              <c:showVal val="1"/>
            </c:dLbl>
            <c:dLbl>
              <c:idx val="10"/>
              <c:layout>
                <c:manualLayout>
                  <c:x val="7.2606601419345277E-4"/>
                  <c:y val="5.3776517482255915E-3"/>
                </c:manualLayout>
              </c:layout>
              <c:showVal val="1"/>
            </c:dLbl>
            <c:dLbl>
              <c:idx val="11"/>
              <c:layout>
                <c:manualLayout>
                  <c:x val="-9.0588610182078548E-4"/>
                  <c:y val="5.4344112952340188E-3"/>
                </c:manualLayout>
              </c:layout>
              <c:showVal val="1"/>
            </c:dLbl>
            <c:dLbl>
              <c:idx val="12"/>
              <c:layout>
                <c:manualLayout>
                  <c:x val="-5.2955319390326334E-4"/>
                  <c:y val="4.9456485293287028E-3"/>
                </c:manualLayout>
              </c:layout>
              <c:showVal val="1"/>
            </c:dLbl>
            <c:dLbl>
              <c:idx val="13"/>
              <c:layout>
                <c:manualLayout>
                  <c:x val="3.7428056918894256E-4"/>
                  <c:y val="5.1540545383633955E-3"/>
                </c:manualLayout>
              </c:layout>
              <c:showVal val="1"/>
            </c:dLbl>
            <c:dLbl>
              <c:idx val="14"/>
              <c:layout>
                <c:manualLayout>
                  <c:x val="2.8074965965578101E-4"/>
                  <c:y val="8.0852544034405345E-3"/>
                </c:manualLayout>
              </c:layout>
              <c:showVal val="1"/>
            </c:dLbl>
            <c:dLbl>
              <c:idx val="15"/>
              <c:layout>
                <c:manualLayout>
                  <c:x val="3.1280552450737441E-3"/>
                  <c:y val="-2.6698009148377654E-3"/>
                </c:manualLayout>
              </c:layout>
              <c:showVal val="1"/>
            </c:dLbl>
            <c:dLbl>
              <c:idx val="16"/>
              <c:layout>
                <c:manualLayout>
                  <c:x val="-2.3580181302076575E-3"/>
                  <c:y val="2.7648206009406998E-3"/>
                </c:manualLayout>
              </c:layout>
              <c:showVal val="1"/>
            </c:dLbl>
            <c:dLbl>
              <c:idx val="17"/>
              <c:layout>
                <c:manualLayout>
                  <c:x val="-1.08000623195355E-3"/>
                  <c:y val="2.7572526613395452E-3"/>
                </c:manualLayout>
              </c:layout>
              <c:showVal val="1"/>
            </c:dLbl>
            <c:dLbl>
              <c:idx val="18"/>
              <c:layout>
                <c:manualLayout>
                  <c:x val="0"/>
                  <c:y val="-2.6507620941020552E-3"/>
                </c:manualLayout>
              </c:layout>
              <c:showVal val="1"/>
            </c:dLbl>
            <c:dLbl>
              <c:idx val="19"/>
              <c:layout>
                <c:manualLayout>
                  <c:x val="1.2979767663571201E-3"/>
                  <c:y val="3.4683616355184652E-3"/>
                </c:manualLayout>
              </c:layout>
              <c:showVal val="1"/>
            </c:dLbl>
            <c:dLbl>
              <c:idx val="20"/>
              <c:layout>
                <c:manualLayout>
                  <c:x val="3.7473566925211857E-3"/>
                  <c:y val="6.4469953304029824E-3"/>
                </c:manualLayout>
              </c:layout>
              <c:showVal val="1"/>
            </c:dLbl>
            <c:dLbl>
              <c:idx val="21"/>
              <c:layout>
                <c:manualLayout>
                  <c:x val="4.8494835006610724E-3"/>
                  <c:y val="2.6567161032581771E-3"/>
                </c:manualLayout>
              </c:layout>
              <c:showVal val="1"/>
            </c:dLbl>
            <c:dLbl>
              <c:idx val="22"/>
              <c:layout>
                <c:manualLayout>
                  <c:x val="-2.3268167712220092E-3"/>
                  <c:y val="1.6736763326270962E-3"/>
                </c:manualLayout>
              </c:layout>
              <c:showVal val="1"/>
            </c:dLbl>
            <c:dLbl>
              <c:idx val="23"/>
              <c:layout>
                <c:manualLayout>
                  <c:x val="5.7421073486890392E-4"/>
                  <c:y val="3.358104333343874E-3"/>
                </c:manualLayout>
              </c:layout>
              <c:showVal val="1"/>
            </c:dLbl>
            <c:dLbl>
              <c:idx val="24"/>
              <c:layout>
                <c:manualLayout>
                  <c:x val="1.7303218263636341E-3"/>
                  <c:y val="1.105355806427848E-2"/>
                </c:manualLayout>
              </c:layout>
              <c:showVal val="1"/>
            </c:dLbl>
            <c:numFmt formatCode="##,###," sourceLinked="0"/>
            <c:txPr>
              <a:bodyPr/>
              <a:lstStyle/>
              <a:p>
                <a:pPr>
                  <a:defRPr sz="800" baseline="0">
                    <a:latin typeface="Times New Roman" pitchFamily="18" charset="0"/>
                    <a:cs typeface="Times New Roman" pitchFamily="18" charset="0"/>
                  </a:defRPr>
                </a:pPr>
                <a:endParaRPr lang="zh-TW"/>
              </a:p>
            </c:txPr>
            <c:showVal val="1"/>
          </c:dLbls>
          <c:cat>
            <c:strRef>
              <c:f>圖5!$K$4:$K$25</c:f>
              <c:strCache>
                <c:ptCount val="22"/>
                <c:pt idx="0">
                  <c:v>Taipei City</c:v>
                </c:pt>
                <c:pt idx="1">
                  <c:v>New Taipei City</c:v>
                </c:pt>
                <c:pt idx="2">
                  <c:v>Keelung City</c:v>
                </c:pt>
                <c:pt idx="3">
                  <c:v>Yilan County</c:v>
                </c:pt>
                <c:pt idx="4">
                  <c:v>Kinmen County</c:v>
                </c:pt>
                <c:pt idx="5">
                  <c:v>Lienchiang County</c:v>
                </c:pt>
                <c:pt idx="6">
                  <c:v>Hsinchu City</c:v>
                </c:pt>
                <c:pt idx="7">
                  <c:v>Taoyuan County</c:v>
                </c:pt>
                <c:pt idx="8">
                  <c:v>Hsinchu County</c:v>
                </c:pt>
                <c:pt idx="9">
                  <c:v>Miaoli County</c:v>
                </c:pt>
                <c:pt idx="10">
                  <c:v>Taichung City</c:v>
                </c:pt>
                <c:pt idx="11">
                  <c:v>Changhua County</c:v>
                </c:pt>
                <c:pt idx="12">
                  <c:v>Nantou County</c:v>
                </c:pt>
                <c:pt idx="13">
                  <c:v>Tainan City</c:v>
                </c:pt>
                <c:pt idx="14">
                  <c:v>Chiayi City</c:v>
                </c:pt>
                <c:pt idx="15">
                  <c:v>Yulin County</c:v>
                </c:pt>
                <c:pt idx="16">
                  <c:v>Chiayi County</c:v>
                </c:pt>
                <c:pt idx="17">
                  <c:v>Kaohsiung City</c:v>
                </c:pt>
                <c:pt idx="18">
                  <c:v>Pingtung County</c:v>
                </c:pt>
                <c:pt idx="19">
                  <c:v>Penghu County</c:v>
                </c:pt>
                <c:pt idx="20">
                  <c:v>Hualien County</c:v>
                </c:pt>
                <c:pt idx="21">
                  <c:v>Taitung County</c:v>
                </c:pt>
              </c:strCache>
            </c:strRef>
          </c:cat>
          <c:val>
            <c:numRef>
              <c:f>圖5!$L$4:$L$25</c:f>
              <c:numCache>
                <c:formatCode>General</c:formatCode>
                <c:ptCount val="22"/>
                <c:pt idx="0">
                  <c:v>4608881</c:v>
                </c:pt>
                <c:pt idx="1">
                  <c:v>3199246</c:v>
                </c:pt>
                <c:pt idx="2">
                  <c:v>300066</c:v>
                </c:pt>
                <c:pt idx="3">
                  <c:v>402593</c:v>
                </c:pt>
                <c:pt idx="4">
                  <c:v>55160</c:v>
                </c:pt>
                <c:pt idx="5">
                  <c:v>7034</c:v>
                </c:pt>
                <c:pt idx="6">
                  <c:v>627611</c:v>
                </c:pt>
                <c:pt idx="7">
                  <c:v>1961904</c:v>
                </c:pt>
                <c:pt idx="8">
                  <c:v>467570</c:v>
                </c:pt>
                <c:pt idx="9">
                  <c:v>470057</c:v>
                </c:pt>
                <c:pt idx="10">
                  <c:v>2561058</c:v>
                </c:pt>
                <c:pt idx="11">
                  <c:v>1154649</c:v>
                </c:pt>
                <c:pt idx="12">
                  <c:v>482918</c:v>
                </c:pt>
                <c:pt idx="13">
                  <c:v>1730145</c:v>
                </c:pt>
                <c:pt idx="14">
                  <c:v>274508</c:v>
                </c:pt>
                <c:pt idx="15">
                  <c:v>665765</c:v>
                </c:pt>
                <c:pt idx="16">
                  <c:v>442438</c:v>
                </c:pt>
                <c:pt idx="17">
                  <c:v>2504276</c:v>
                </c:pt>
                <c:pt idx="18">
                  <c:v>715178</c:v>
                </c:pt>
                <c:pt idx="19">
                  <c:v>77659</c:v>
                </c:pt>
                <c:pt idx="20">
                  <c:v>296147</c:v>
                </c:pt>
                <c:pt idx="21">
                  <c:v>193801</c:v>
                </c:pt>
              </c:numCache>
            </c:numRef>
          </c:val>
        </c:ser>
        <c:gapWidth val="0"/>
        <c:axId val="275746176"/>
        <c:axId val="275747968"/>
      </c:barChart>
      <c:catAx>
        <c:axId val="275746176"/>
        <c:scaling>
          <c:orientation val="minMax"/>
        </c:scaling>
        <c:axPos val="b"/>
        <c:numFmt formatCode="@" sourceLinked="0"/>
        <c:majorTickMark val="in"/>
        <c:minorTickMark val="in"/>
        <c:tickLblPos val="nextTo"/>
        <c:spPr>
          <a:noFill/>
        </c:spPr>
        <c:txPr>
          <a:bodyPr rot="0" vert="eaVert" anchor="ctr" anchorCtr="0"/>
          <a:lstStyle/>
          <a:p>
            <a:pPr>
              <a:defRPr sz="800" b="0" i="0" baseline="0">
                <a:latin typeface="Times New Roman" pitchFamily="18" charset="0"/>
                <a:ea typeface="標楷體" pitchFamily="65" charset="-120"/>
                <a:cs typeface="Times New Roman" pitchFamily="18" charset="0"/>
              </a:defRPr>
            </a:pPr>
            <a:endParaRPr lang="zh-TW"/>
          </a:p>
        </c:txPr>
        <c:crossAx val="275747968"/>
        <c:crosses val="autoZero"/>
        <c:auto val="1"/>
        <c:lblAlgn val="l"/>
        <c:lblOffset val="100"/>
      </c:catAx>
      <c:valAx>
        <c:axId val="275747968"/>
        <c:scaling>
          <c:orientation val="minMax"/>
        </c:scaling>
        <c:axPos val="l"/>
        <c:title>
          <c:tx>
            <c:rich>
              <a:bodyPr rot="0" vert="horz"/>
              <a:lstStyle/>
              <a:p>
                <a:pPr>
                  <a:defRPr sz="800" b="0">
                    <a:latin typeface="標楷體" pitchFamily="65" charset="-120"/>
                    <a:ea typeface="標楷體" pitchFamily="65" charset="-120"/>
                  </a:defRPr>
                </a:pPr>
                <a:r>
                  <a:rPr lang="en-US" altLang="zh-TW" sz="800" b="0">
                    <a:latin typeface="Times New Roman" pitchFamily="18" charset="0"/>
                    <a:ea typeface="標楷體" pitchFamily="65" charset="-120"/>
                    <a:cs typeface="Times New Roman" pitchFamily="18" charset="0"/>
                  </a:rPr>
                  <a:t>1,000 Persons</a:t>
                </a:r>
                <a:endParaRPr lang="zh-TW" altLang="en-US" sz="800" b="0">
                  <a:latin typeface="Times New Roman" pitchFamily="18" charset="0"/>
                  <a:ea typeface="標楷體" pitchFamily="65" charset="-120"/>
                  <a:cs typeface="Times New Roman" pitchFamily="18" charset="0"/>
                </a:endParaRPr>
              </a:p>
            </c:rich>
          </c:tx>
          <c:layout>
            <c:manualLayout>
              <c:xMode val="edge"/>
              <c:yMode val="edge"/>
              <c:x val="1.7686203096041533E-2"/>
              <c:y val="3.3704529278803665E-2"/>
            </c:manualLayout>
          </c:layout>
        </c:title>
        <c:numFmt formatCode="##,###," sourceLinked="0"/>
        <c:majorTickMark val="in"/>
        <c:tickLblPos val="nextTo"/>
        <c:txPr>
          <a:bodyPr/>
          <a:lstStyle/>
          <a:p>
            <a:pPr>
              <a:defRPr sz="800">
                <a:latin typeface="Times New Roman" pitchFamily="18" charset="0"/>
                <a:cs typeface="Times New Roman" pitchFamily="18" charset="0"/>
              </a:defRPr>
            </a:pPr>
            <a:endParaRPr lang="zh-TW"/>
          </a:p>
        </c:txPr>
        <c:crossAx val="275746176"/>
        <c:crosses val="autoZero"/>
        <c:crossBetween val="between"/>
      </c:valAx>
      <c:spPr>
        <a:noFill/>
      </c:spPr>
    </c:plotArea>
    <c:plotVisOnly val="1"/>
    <c:dispBlanksAs val="zero"/>
  </c:chart>
  <c:spPr>
    <a:ln>
      <a:noFill/>
    </a:ln>
  </c:spPr>
  <c:externalData r:id="rId1"/>
  <c:userShapes r:id="rId2"/>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zh-TW"/>
  <c:chart>
    <c:title>
      <c:tx>
        <c:rich>
          <a:bodyPr/>
          <a:lstStyle/>
          <a:p>
            <a:pPr>
              <a:defRPr sz="1000"/>
            </a:pPr>
            <a:r>
              <a:rPr lang="en-US" altLang="zh-TW" sz="1000" b="0" i="0" baseline="0">
                <a:latin typeface="Times New Roman" pitchFamily="18" charset="0"/>
                <a:cs typeface="Times New Roman" pitchFamily="18" charset="0"/>
              </a:rPr>
              <a:t>Figure 6    Beneficiaries 2011  vs. 2001</a:t>
            </a:r>
            <a:endParaRPr lang="zh-TW" altLang="zh-TW" sz="1000" b="0" i="0" baseline="0">
              <a:latin typeface="Times New Roman" pitchFamily="18" charset="0"/>
              <a:cs typeface="Times New Roman" pitchFamily="18" charset="0"/>
            </a:endParaRPr>
          </a:p>
        </c:rich>
      </c:tx>
      <c:layout>
        <c:manualLayout>
          <c:xMode val="edge"/>
          <c:yMode val="edge"/>
          <c:x val="0.3337128171478706"/>
          <c:y val="1.5691417530592316E-2"/>
        </c:manualLayout>
      </c:layout>
    </c:title>
    <c:plotArea>
      <c:layout>
        <c:manualLayout>
          <c:layoutTarget val="inner"/>
          <c:xMode val="edge"/>
          <c:yMode val="edge"/>
          <c:x val="3.4445094701000219E-2"/>
          <c:y val="0.1758558600967367"/>
          <c:w val="0.78565416302128899"/>
          <c:h val="0.69601582422156383"/>
        </c:manualLayout>
      </c:layout>
      <c:scatterChart>
        <c:scatterStyle val="lineMarker"/>
        <c:ser>
          <c:idx val="0"/>
          <c:order val="0"/>
          <c:spPr>
            <a:ln w="38100">
              <a:noFill/>
            </a:ln>
          </c:spPr>
          <c:marker>
            <c:symbol val="circle"/>
            <c:size val="7"/>
            <c:spPr>
              <a:solidFill>
                <a:srgbClr val="77933C"/>
              </a:solidFill>
              <a:ln w="9525">
                <a:solidFill>
                  <a:srgbClr val="77933C"/>
                </a:solidFill>
                <a:prstDash val="solid"/>
              </a:ln>
              <a:scene3d>
                <a:camera prst="orthographicFront"/>
                <a:lightRig rig="threePt" dir="t"/>
              </a:scene3d>
              <a:sp3d>
                <a:bevelT w="190500" h="38100"/>
              </a:sp3d>
            </c:spPr>
          </c:marker>
          <c:dPt>
            <c:idx val="1"/>
            <c:marker>
              <c:spPr>
                <a:solidFill>
                  <a:srgbClr val="DB6FBF"/>
                </a:solidFill>
                <a:ln w="9525">
                  <a:solidFill>
                    <a:srgbClr val="DB6FBF"/>
                  </a:solidFill>
                  <a:prstDash val="solid"/>
                </a:ln>
                <a:scene3d>
                  <a:camera prst="orthographicFront"/>
                  <a:lightRig rig="threePt" dir="t"/>
                </a:scene3d>
                <a:sp3d>
                  <a:bevelT w="190500" h="38100"/>
                </a:sp3d>
              </c:spPr>
            </c:marker>
          </c:dPt>
          <c:dPt>
            <c:idx val="2"/>
            <c:marker>
              <c:spPr>
                <a:solidFill>
                  <a:srgbClr val="95B3D7"/>
                </a:solidFill>
                <a:ln w="9525">
                  <a:solidFill>
                    <a:srgbClr val="95B3D7"/>
                  </a:solidFill>
                  <a:prstDash val="solid"/>
                </a:ln>
                <a:scene3d>
                  <a:camera prst="orthographicFront"/>
                  <a:lightRig rig="threePt" dir="t"/>
                </a:scene3d>
                <a:sp3d>
                  <a:bevelT w="190500" h="38100"/>
                </a:sp3d>
              </c:spPr>
            </c:marker>
          </c:dPt>
          <c:dPt>
            <c:idx val="3"/>
            <c:marker>
              <c:spPr>
                <a:solidFill>
                  <a:srgbClr val="B3A2C7"/>
                </a:solidFill>
                <a:ln w="9525">
                  <a:solidFill>
                    <a:srgbClr val="B3A2C7"/>
                  </a:solidFill>
                  <a:prstDash val="solid"/>
                </a:ln>
                <a:scene3d>
                  <a:camera prst="orthographicFront"/>
                  <a:lightRig rig="threePt" dir="t"/>
                </a:scene3d>
                <a:sp3d>
                  <a:bevelT w="190500" h="38100"/>
                </a:sp3d>
              </c:spPr>
            </c:marker>
          </c:dPt>
          <c:dPt>
            <c:idx val="4"/>
            <c:marker>
              <c:spPr>
                <a:solidFill>
                  <a:srgbClr val="7F7F7F"/>
                </a:solidFill>
                <a:ln w="9525">
                  <a:solidFill>
                    <a:srgbClr val="7F7F7F"/>
                  </a:solidFill>
                  <a:prstDash val="solid"/>
                </a:ln>
                <a:scene3d>
                  <a:camera prst="orthographicFront"/>
                  <a:lightRig rig="threePt" dir="t"/>
                </a:scene3d>
                <a:sp3d>
                  <a:bevelT w="190500" h="38100"/>
                </a:sp3d>
              </c:spPr>
            </c:marker>
          </c:dPt>
          <c:dPt>
            <c:idx val="5"/>
            <c:marker>
              <c:spPr>
                <a:solidFill>
                  <a:srgbClr val="E46C0A"/>
                </a:solidFill>
                <a:ln w="9525">
                  <a:solidFill>
                    <a:srgbClr val="E46C0A"/>
                  </a:solidFill>
                  <a:prstDash val="solid"/>
                </a:ln>
                <a:scene3d>
                  <a:camera prst="orthographicFront"/>
                  <a:lightRig rig="threePt" dir="t"/>
                </a:scene3d>
                <a:sp3d>
                  <a:bevelT w="190500" h="38100"/>
                </a:sp3d>
              </c:spPr>
            </c:marker>
          </c:dPt>
          <c:xVal>
            <c:numRef>
              <c:f>'圖6-data'!$D$45:$I$45</c:f>
              <c:numCache>
                <c:formatCode>0.0_ </c:formatCode>
                <c:ptCount val="6"/>
                <c:pt idx="0">
                  <c:v>0.63856357844214529</c:v>
                </c:pt>
                <c:pt idx="1">
                  <c:v>1.3991858936240824</c:v>
                </c:pt>
                <c:pt idx="2">
                  <c:v>-0.35378272909768943</c:v>
                </c:pt>
                <c:pt idx="3">
                  <c:v>-0.65051984689615061</c:v>
                </c:pt>
                <c:pt idx="4">
                  <c:v>-0.78730170808478162</c:v>
                </c:pt>
                <c:pt idx="5">
                  <c:v>-0.24614518798760207</c:v>
                </c:pt>
              </c:numCache>
            </c:numRef>
          </c:xVal>
          <c:yVal>
            <c:numRef>
              <c:f>'圖6-data'!$D$46:$I$46</c:f>
              <c:numCache>
                <c:formatCode>0.0_ </c:formatCode>
                <c:ptCount val="6"/>
                <c:pt idx="0">
                  <c:v>1.0901940926424207</c:v>
                </c:pt>
                <c:pt idx="1">
                  <c:v>1.1799425206799441</c:v>
                </c:pt>
                <c:pt idx="2">
                  <c:v>1.0508150362812643</c:v>
                </c:pt>
                <c:pt idx="3">
                  <c:v>1.0218179550221738</c:v>
                </c:pt>
                <c:pt idx="4">
                  <c:v>1.0151231853024267</c:v>
                </c:pt>
                <c:pt idx="5">
                  <c:v>0.95952527834082646</c:v>
                </c:pt>
              </c:numCache>
            </c:numRef>
          </c:yVal>
        </c:ser>
        <c:axId val="275892480"/>
        <c:axId val="275894272"/>
      </c:scatterChart>
      <c:valAx>
        <c:axId val="275892480"/>
        <c:scaling>
          <c:orientation val="minMax"/>
        </c:scaling>
        <c:axPos val="b"/>
        <c:numFmt formatCode="0.0_ " sourceLinked="1"/>
        <c:majorTickMark val="cross"/>
        <c:tickLblPos val="nextTo"/>
        <c:spPr>
          <a:ln w="3175">
            <a:solidFill>
              <a:srgbClr val="000000"/>
            </a:solidFill>
            <a:prstDash val="solid"/>
          </a:ln>
        </c:spPr>
        <c:txPr>
          <a:bodyPr rot="0" vert="horz"/>
          <a:lstStyle/>
          <a:p>
            <a:pPr>
              <a:defRPr sz="800" b="0" i="0" u="none" strike="noStrike" baseline="0">
                <a:solidFill>
                  <a:srgbClr val="000000"/>
                </a:solidFill>
                <a:latin typeface="Times New Roman" pitchFamily="18" charset="0"/>
                <a:ea typeface="標楷體"/>
                <a:cs typeface="Times New Roman" pitchFamily="18" charset="0"/>
              </a:defRPr>
            </a:pPr>
            <a:endParaRPr lang="zh-TW"/>
          </a:p>
        </c:txPr>
        <c:crossAx val="275894272"/>
        <c:crossesAt val="1"/>
        <c:crossBetween val="midCat"/>
        <c:majorUnit val="0.4"/>
      </c:valAx>
      <c:valAx>
        <c:axId val="275894272"/>
        <c:scaling>
          <c:orientation val="minMax"/>
          <c:max val="1.6"/>
          <c:min val="0"/>
        </c:scaling>
        <c:axPos val="l"/>
        <c:numFmt formatCode="0.0_ " sourceLinked="1"/>
        <c:majorTickMark val="cross"/>
        <c:tickLblPos val="nextTo"/>
        <c:spPr>
          <a:ln w="3175">
            <a:solidFill>
              <a:srgbClr val="000000"/>
            </a:solidFill>
            <a:prstDash val="solid"/>
          </a:ln>
        </c:spPr>
        <c:txPr>
          <a:bodyPr rot="0" vert="horz"/>
          <a:lstStyle/>
          <a:p>
            <a:pPr>
              <a:defRPr sz="800" b="0" i="0" u="none" strike="noStrike" baseline="0">
                <a:solidFill>
                  <a:srgbClr val="000000"/>
                </a:solidFill>
                <a:latin typeface="Times New Roman" pitchFamily="18" charset="0"/>
                <a:ea typeface="標楷體"/>
                <a:cs typeface="Times New Roman" pitchFamily="18" charset="0"/>
              </a:defRPr>
            </a:pPr>
            <a:endParaRPr lang="zh-TW"/>
          </a:p>
        </c:txPr>
        <c:crossAx val="275892480"/>
        <c:crossesAt val="-0.30000000000000032"/>
        <c:crossBetween val="midCat"/>
        <c:majorUnit val="0.4"/>
      </c:valAx>
      <c:spPr>
        <a:noFill/>
        <a:ln w="25400">
          <a:noFill/>
        </a:ln>
      </c:spPr>
    </c:plotArea>
    <c:plotVisOnly val="1"/>
    <c:dispBlanksAs val="gap"/>
  </c:chart>
  <c:spPr>
    <a:noFill/>
    <a:ln w="12700">
      <a:noFill/>
    </a:ln>
  </c:spPr>
  <c:txPr>
    <a:bodyPr/>
    <a:lstStyle/>
    <a:p>
      <a:pPr>
        <a:defRPr sz="1200" b="0" i="0" u="none" strike="noStrike" baseline="0">
          <a:solidFill>
            <a:srgbClr val="000000"/>
          </a:solidFill>
          <a:latin typeface="標楷體"/>
          <a:ea typeface="標楷體"/>
          <a:cs typeface="標楷體"/>
        </a:defRPr>
      </a:pPr>
      <a:endParaRPr lang="zh-TW"/>
    </a:p>
  </c:txPr>
  <c:externalData r:id="rId1"/>
  <c:userShapes r:id="rId2"/>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zh-TW"/>
  <c:chart>
    <c:title>
      <c:tx>
        <c:rich>
          <a:bodyPr/>
          <a:lstStyle/>
          <a:p>
            <a:pPr>
              <a:defRPr sz="1000" b="0">
                <a:latin typeface="標楷體" pitchFamily="65" charset="-120"/>
                <a:ea typeface="標楷體" pitchFamily="65" charset="-120"/>
              </a:defRPr>
            </a:pPr>
            <a:r>
              <a:rPr lang="en-US" altLang="zh-TW" sz="1000" b="0" i="0" baseline="0">
                <a:latin typeface="Times New Roman" pitchFamily="18" charset="0"/>
                <a:cs typeface="Times New Roman" pitchFamily="18" charset="0"/>
              </a:rPr>
              <a:t>Figure 7   Numbers of  Beneficiaries by Category</a:t>
            </a:r>
            <a:endParaRPr lang="zh-TW" altLang="zh-TW" sz="1000" b="0" i="0" baseline="0">
              <a:latin typeface="Times New Roman" pitchFamily="18" charset="0"/>
              <a:cs typeface="Times New Roman" pitchFamily="18" charset="0"/>
            </a:endParaRPr>
          </a:p>
        </c:rich>
      </c:tx>
      <c:layout>
        <c:manualLayout>
          <c:xMode val="edge"/>
          <c:yMode val="edge"/>
          <c:x val="0.22561278798483522"/>
          <c:y val="3.8341454052515614E-2"/>
        </c:manualLayout>
      </c:layout>
    </c:title>
    <c:plotArea>
      <c:layout>
        <c:manualLayout>
          <c:layoutTarget val="inner"/>
          <c:xMode val="edge"/>
          <c:yMode val="edge"/>
          <c:x val="7.3838035870516433E-2"/>
          <c:y val="0.1513818930339404"/>
          <c:w val="0.78949423774858674"/>
          <c:h val="0.69582769946372836"/>
        </c:manualLayout>
      </c:layout>
      <c:barChart>
        <c:barDir val="bar"/>
        <c:grouping val="stacked"/>
        <c:ser>
          <c:idx val="1"/>
          <c:order val="0"/>
          <c:tx>
            <c:strRef>
              <c:f>'圖7-data'!$E$2</c:f>
              <c:strCache>
                <c:ptCount val="1"/>
                <c:pt idx="0">
                  <c:v>Category 1</c:v>
                </c:pt>
              </c:strCache>
            </c:strRef>
          </c:tx>
          <c:spPr>
            <a:solidFill>
              <a:srgbClr val="D7E4BD"/>
            </a:solidFill>
          </c:spPr>
          <c:cat>
            <c:strRef>
              <c:f>'圖7-data'!$A$4:$A$20</c:f>
              <c:strCache>
                <c:ptCount val="17"/>
                <c:pt idx="0">
                  <c:v>1995</c:v>
                </c:pt>
                <c:pt idx="1">
                  <c:v>1996</c:v>
                </c:pt>
                <c:pt idx="2">
                  <c:v>1997</c:v>
                </c:pt>
                <c:pt idx="3">
                  <c:v>1998</c:v>
                </c:pt>
                <c:pt idx="4">
                  <c:v>1999</c:v>
                </c:pt>
                <c:pt idx="5">
                  <c:v>2000</c:v>
                </c:pt>
                <c:pt idx="6">
                  <c:v>2001</c:v>
                </c:pt>
                <c:pt idx="7">
                  <c:v>2002</c:v>
                </c:pt>
                <c:pt idx="8">
                  <c:v>2003</c:v>
                </c:pt>
                <c:pt idx="9">
                  <c:v>2004</c:v>
                </c:pt>
                <c:pt idx="10">
                  <c:v>2005</c:v>
                </c:pt>
                <c:pt idx="11">
                  <c:v>2006</c:v>
                </c:pt>
                <c:pt idx="12">
                  <c:v>2007</c:v>
                </c:pt>
                <c:pt idx="13">
                  <c:v>2008</c:v>
                </c:pt>
                <c:pt idx="14">
                  <c:v>2009</c:v>
                </c:pt>
                <c:pt idx="15">
                  <c:v>2010</c:v>
                </c:pt>
                <c:pt idx="16">
                  <c:v>2011</c:v>
                </c:pt>
              </c:strCache>
            </c:strRef>
          </c:cat>
          <c:val>
            <c:numRef>
              <c:f>'圖7-data'!$E$4:$E$20</c:f>
              <c:numCache>
                <c:formatCode>##,##0,</c:formatCode>
                <c:ptCount val="17"/>
                <c:pt idx="0">
                  <c:v>10437339</c:v>
                </c:pt>
                <c:pt idx="1">
                  <c:v>10678558</c:v>
                </c:pt>
                <c:pt idx="2">
                  <c:v>10914783</c:v>
                </c:pt>
                <c:pt idx="3">
                  <c:v>11043998</c:v>
                </c:pt>
                <c:pt idx="4">
                  <c:v>11236257</c:v>
                </c:pt>
                <c:pt idx="5">
                  <c:v>11465521</c:v>
                </c:pt>
                <c:pt idx="6">
                  <c:v>11447046</c:v>
                </c:pt>
                <c:pt idx="7">
                  <c:v>11458910</c:v>
                </c:pt>
                <c:pt idx="8">
                  <c:v>11630008</c:v>
                </c:pt>
                <c:pt idx="9">
                  <c:v>11780375</c:v>
                </c:pt>
                <c:pt idx="10">
                  <c:v>11798491</c:v>
                </c:pt>
                <c:pt idx="11">
                  <c:v>11919580</c:v>
                </c:pt>
                <c:pt idx="12">
                  <c:v>11993100</c:v>
                </c:pt>
                <c:pt idx="13">
                  <c:v>11929887</c:v>
                </c:pt>
                <c:pt idx="14">
                  <c:v>11954639</c:v>
                </c:pt>
                <c:pt idx="15">
                  <c:v>12240752</c:v>
                </c:pt>
                <c:pt idx="16">
                  <c:v>12470563</c:v>
                </c:pt>
              </c:numCache>
            </c:numRef>
          </c:val>
        </c:ser>
        <c:ser>
          <c:idx val="2"/>
          <c:order val="1"/>
          <c:tx>
            <c:strRef>
              <c:f>'圖7-data'!$H$2</c:f>
              <c:strCache>
                <c:ptCount val="1"/>
                <c:pt idx="0">
                  <c:v>Category 2</c:v>
                </c:pt>
              </c:strCache>
            </c:strRef>
          </c:tx>
          <c:spPr>
            <a:solidFill>
              <a:srgbClr val="FFFF99"/>
            </a:solidFill>
          </c:spPr>
          <c:cat>
            <c:strRef>
              <c:f>'圖7-data'!$A$4:$A$20</c:f>
              <c:strCache>
                <c:ptCount val="17"/>
                <c:pt idx="0">
                  <c:v>1995</c:v>
                </c:pt>
                <c:pt idx="1">
                  <c:v>1996</c:v>
                </c:pt>
                <c:pt idx="2">
                  <c:v>1997</c:v>
                </c:pt>
                <c:pt idx="3">
                  <c:v>1998</c:v>
                </c:pt>
                <c:pt idx="4">
                  <c:v>1999</c:v>
                </c:pt>
                <c:pt idx="5">
                  <c:v>2000</c:v>
                </c:pt>
                <c:pt idx="6">
                  <c:v>2001</c:v>
                </c:pt>
                <c:pt idx="7">
                  <c:v>2002</c:v>
                </c:pt>
                <c:pt idx="8">
                  <c:v>2003</c:v>
                </c:pt>
                <c:pt idx="9">
                  <c:v>2004</c:v>
                </c:pt>
                <c:pt idx="10">
                  <c:v>2005</c:v>
                </c:pt>
                <c:pt idx="11">
                  <c:v>2006</c:v>
                </c:pt>
                <c:pt idx="12">
                  <c:v>2007</c:v>
                </c:pt>
                <c:pt idx="13">
                  <c:v>2008</c:v>
                </c:pt>
                <c:pt idx="14">
                  <c:v>2009</c:v>
                </c:pt>
                <c:pt idx="15">
                  <c:v>2010</c:v>
                </c:pt>
                <c:pt idx="16">
                  <c:v>2011</c:v>
                </c:pt>
              </c:strCache>
            </c:strRef>
          </c:cat>
          <c:val>
            <c:numRef>
              <c:f>'圖7-data'!$H$4:$H$20</c:f>
              <c:numCache>
                <c:formatCode>##,##0,</c:formatCode>
                <c:ptCount val="17"/>
                <c:pt idx="0">
                  <c:v>4029716</c:v>
                </c:pt>
                <c:pt idx="1">
                  <c:v>3991729</c:v>
                </c:pt>
                <c:pt idx="2">
                  <c:v>3908469</c:v>
                </c:pt>
                <c:pt idx="3">
                  <c:v>3852144</c:v>
                </c:pt>
                <c:pt idx="4">
                  <c:v>3799093</c:v>
                </c:pt>
                <c:pt idx="5">
                  <c:v>3750883</c:v>
                </c:pt>
                <c:pt idx="6">
                  <c:v>3772174</c:v>
                </c:pt>
                <c:pt idx="7">
                  <c:v>3768633</c:v>
                </c:pt>
                <c:pt idx="8">
                  <c:v>3711081</c:v>
                </c:pt>
                <c:pt idx="9">
                  <c:v>3683993</c:v>
                </c:pt>
                <c:pt idx="10">
                  <c:v>3742726</c:v>
                </c:pt>
                <c:pt idx="11">
                  <c:v>3748498</c:v>
                </c:pt>
                <c:pt idx="12">
                  <c:v>3775260</c:v>
                </c:pt>
                <c:pt idx="13">
                  <c:v>3875407</c:v>
                </c:pt>
                <c:pt idx="14">
                  <c:v>3999953</c:v>
                </c:pt>
                <c:pt idx="15">
                  <c:v>3976004</c:v>
                </c:pt>
                <c:pt idx="16">
                  <c:v>3962392</c:v>
                </c:pt>
              </c:numCache>
            </c:numRef>
          </c:val>
        </c:ser>
        <c:ser>
          <c:idx val="3"/>
          <c:order val="2"/>
          <c:tx>
            <c:strRef>
              <c:f>'圖7-data'!$K$2</c:f>
              <c:strCache>
                <c:ptCount val="1"/>
                <c:pt idx="0">
                  <c:v>Category 3</c:v>
                </c:pt>
              </c:strCache>
            </c:strRef>
          </c:tx>
          <c:spPr>
            <a:solidFill>
              <a:srgbClr val="FFD5AB"/>
            </a:solidFill>
          </c:spPr>
          <c:cat>
            <c:strRef>
              <c:f>'圖7-data'!$A$4:$A$20</c:f>
              <c:strCache>
                <c:ptCount val="17"/>
                <c:pt idx="0">
                  <c:v>1995</c:v>
                </c:pt>
                <c:pt idx="1">
                  <c:v>1996</c:v>
                </c:pt>
                <c:pt idx="2">
                  <c:v>1997</c:v>
                </c:pt>
                <c:pt idx="3">
                  <c:v>1998</c:v>
                </c:pt>
                <c:pt idx="4">
                  <c:v>1999</c:v>
                </c:pt>
                <c:pt idx="5">
                  <c:v>2000</c:v>
                </c:pt>
                <c:pt idx="6">
                  <c:v>2001</c:v>
                </c:pt>
                <c:pt idx="7">
                  <c:v>2002</c:v>
                </c:pt>
                <c:pt idx="8">
                  <c:v>2003</c:v>
                </c:pt>
                <c:pt idx="9">
                  <c:v>2004</c:v>
                </c:pt>
                <c:pt idx="10">
                  <c:v>2005</c:v>
                </c:pt>
                <c:pt idx="11">
                  <c:v>2006</c:v>
                </c:pt>
                <c:pt idx="12">
                  <c:v>2007</c:v>
                </c:pt>
                <c:pt idx="13">
                  <c:v>2008</c:v>
                </c:pt>
                <c:pt idx="14">
                  <c:v>2009</c:v>
                </c:pt>
                <c:pt idx="15">
                  <c:v>2010</c:v>
                </c:pt>
                <c:pt idx="16">
                  <c:v>2011</c:v>
                </c:pt>
              </c:strCache>
            </c:strRef>
          </c:cat>
          <c:val>
            <c:numRef>
              <c:f>'圖7-data'!$K$4:$K$20</c:f>
              <c:numCache>
                <c:formatCode>##,##0,</c:formatCode>
                <c:ptCount val="17"/>
                <c:pt idx="0">
                  <c:v>2998439</c:v>
                </c:pt>
                <c:pt idx="1">
                  <c:v>3152680</c:v>
                </c:pt>
                <c:pt idx="2">
                  <c:v>3225240</c:v>
                </c:pt>
                <c:pt idx="3">
                  <c:v>3267892</c:v>
                </c:pt>
                <c:pt idx="4">
                  <c:v>3297840</c:v>
                </c:pt>
                <c:pt idx="5">
                  <c:v>3304109</c:v>
                </c:pt>
                <c:pt idx="6">
                  <c:v>3327657</c:v>
                </c:pt>
                <c:pt idx="7">
                  <c:v>3328171</c:v>
                </c:pt>
                <c:pt idx="8">
                  <c:v>3276065</c:v>
                </c:pt>
                <c:pt idx="9">
                  <c:v>3209126</c:v>
                </c:pt>
                <c:pt idx="10">
                  <c:v>3141774</c:v>
                </c:pt>
                <c:pt idx="11">
                  <c:v>3087747</c:v>
                </c:pt>
                <c:pt idx="12">
                  <c:v>3036617</c:v>
                </c:pt>
                <c:pt idx="13">
                  <c:v>2993633</c:v>
                </c:pt>
                <c:pt idx="14">
                  <c:v>2924081</c:v>
                </c:pt>
                <c:pt idx="15">
                  <c:v>2828337</c:v>
                </c:pt>
                <c:pt idx="16">
                  <c:v>2750311</c:v>
                </c:pt>
              </c:numCache>
            </c:numRef>
          </c:val>
        </c:ser>
        <c:ser>
          <c:idx val="4"/>
          <c:order val="3"/>
          <c:tx>
            <c:strRef>
              <c:f>'圖7-data'!$N$2</c:f>
              <c:strCache>
                <c:ptCount val="1"/>
                <c:pt idx="0">
                  <c:v>Category 4</c:v>
                </c:pt>
              </c:strCache>
            </c:strRef>
          </c:tx>
          <c:spPr>
            <a:solidFill>
              <a:srgbClr val="7030A0"/>
            </a:solidFill>
          </c:spPr>
          <c:cat>
            <c:strRef>
              <c:f>'圖7-data'!$A$4:$A$20</c:f>
              <c:strCache>
                <c:ptCount val="17"/>
                <c:pt idx="0">
                  <c:v>1995</c:v>
                </c:pt>
                <c:pt idx="1">
                  <c:v>1996</c:v>
                </c:pt>
                <c:pt idx="2">
                  <c:v>1997</c:v>
                </c:pt>
                <c:pt idx="3">
                  <c:v>1998</c:v>
                </c:pt>
                <c:pt idx="4">
                  <c:v>1999</c:v>
                </c:pt>
                <c:pt idx="5">
                  <c:v>2000</c:v>
                </c:pt>
                <c:pt idx="6">
                  <c:v>2001</c:v>
                </c:pt>
                <c:pt idx="7">
                  <c:v>2002</c:v>
                </c:pt>
                <c:pt idx="8">
                  <c:v>2003</c:v>
                </c:pt>
                <c:pt idx="9">
                  <c:v>2004</c:v>
                </c:pt>
                <c:pt idx="10">
                  <c:v>2005</c:v>
                </c:pt>
                <c:pt idx="11">
                  <c:v>2006</c:v>
                </c:pt>
                <c:pt idx="12">
                  <c:v>2007</c:v>
                </c:pt>
                <c:pt idx="13">
                  <c:v>2008</c:v>
                </c:pt>
                <c:pt idx="14">
                  <c:v>2009</c:v>
                </c:pt>
                <c:pt idx="15">
                  <c:v>2010</c:v>
                </c:pt>
                <c:pt idx="16">
                  <c:v>2011</c:v>
                </c:pt>
              </c:strCache>
            </c:strRef>
          </c:cat>
          <c:val>
            <c:numRef>
              <c:f>'圖7-data'!$N$4:$N$20</c:f>
              <c:numCache>
                <c:formatCode>##,##0,</c:formatCode>
                <c:ptCount val="17"/>
                <c:pt idx="0">
                  <c:v>69059</c:v>
                </c:pt>
                <c:pt idx="1">
                  <c:v>82816</c:v>
                </c:pt>
                <c:pt idx="2">
                  <c:v>78802</c:v>
                </c:pt>
                <c:pt idx="3">
                  <c:v>78379</c:v>
                </c:pt>
                <c:pt idx="4">
                  <c:v>69259</c:v>
                </c:pt>
                <c:pt idx="5">
                  <c:v>68579</c:v>
                </c:pt>
                <c:pt idx="6" formatCode="_-* #,##0_-;\-* #,##0_-;_-* &quot;-&quot;_-;_-@_-">
                  <c:v>0</c:v>
                </c:pt>
                <c:pt idx="7" formatCode="_-* #,##0_-;\-* #,##0_-;_-* &quot;-&quot;_-;_-@_-">
                  <c:v>0</c:v>
                </c:pt>
                <c:pt idx="8" formatCode="_-* #,##0_-;\-* #,##0_-;_-* &quot;-&quot;_-;_-@_-">
                  <c:v>0</c:v>
                </c:pt>
                <c:pt idx="9" formatCode="_-* #,##0_-;\-* #,##0_-;_-* &quot;-&quot;_-;_-@_-">
                  <c:v>0</c:v>
                </c:pt>
                <c:pt idx="10" formatCode="_-* #,##0_-;\-* #,##0_-;_-* &quot;-&quot;_-;_-@_-">
                  <c:v>0</c:v>
                </c:pt>
                <c:pt idx="11" formatCode="_-* #,##0_-;\-* #,##0_-;_-* &quot;-&quot;_-;_-@_-">
                  <c:v>0</c:v>
                </c:pt>
                <c:pt idx="12">
                  <c:v>173413</c:v>
                </c:pt>
                <c:pt idx="13">
                  <c:v>161766</c:v>
                </c:pt>
                <c:pt idx="14">
                  <c:v>160189</c:v>
                </c:pt>
                <c:pt idx="15">
                  <c:v>157576</c:v>
                </c:pt>
                <c:pt idx="16">
                  <c:v>160591</c:v>
                </c:pt>
              </c:numCache>
            </c:numRef>
          </c:val>
        </c:ser>
        <c:ser>
          <c:idx val="5"/>
          <c:order val="4"/>
          <c:tx>
            <c:strRef>
              <c:f>'圖7-data'!$Q$2</c:f>
              <c:strCache>
                <c:ptCount val="1"/>
                <c:pt idx="0">
                  <c:v>Category 5</c:v>
                </c:pt>
              </c:strCache>
            </c:strRef>
          </c:tx>
          <c:spPr>
            <a:solidFill>
              <a:srgbClr val="FF8EBA"/>
            </a:solidFill>
          </c:spPr>
          <c:cat>
            <c:strRef>
              <c:f>'圖7-data'!$A$4:$A$20</c:f>
              <c:strCache>
                <c:ptCount val="17"/>
                <c:pt idx="0">
                  <c:v>1995</c:v>
                </c:pt>
                <c:pt idx="1">
                  <c:v>1996</c:v>
                </c:pt>
                <c:pt idx="2">
                  <c:v>1997</c:v>
                </c:pt>
                <c:pt idx="3">
                  <c:v>1998</c:v>
                </c:pt>
                <c:pt idx="4">
                  <c:v>1999</c:v>
                </c:pt>
                <c:pt idx="5">
                  <c:v>2000</c:v>
                </c:pt>
                <c:pt idx="6">
                  <c:v>2001</c:v>
                </c:pt>
                <c:pt idx="7">
                  <c:v>2002</c:v>
                </c:pt>
                <c:pt idx="8">
                  <c:v>2003</c:v>
                </c:pt>
                <c:pt idx="9">
                  <c:v>2004</c:v>
                </c:pt>
                <c:pt idx="10">
                  <c:v>2005</c:v>
                </c:pt>
                <c:pt idx="11">
                  <c:v>2006</c:v>
                </c:pt>
                <c:pt idx="12">
                  <c:v>2007</c:v>
                </c:pt>
                <c:pt idx="13">
                  <c:v>2008</c:v>
                </c:pt>
                <c:pt idx="14">
                  <c:v>2009</c:v>
                </c:pt>
                <c:pt idx="15">
                  <c:v>2010</c:v>
                </c:pt>
                <c:pt idx="16">
                  <c:v>2011</c:v>
                </c:pt>
              </c:strCache>
            </c:strRef>
          </c:cat>
          <c:val>
            <c:numRef>
              <c:f>'圖7-data'!$Q$4:$Q$20</c:f>
              <c:numCache>
                <c:formatCode>##,##0,</c:formatCode>
                <c:ptCount val="17"/>
                <c:pt idx="0">
                  <c:v>111452</c:v>
                </c:pt>
                <c:pt idx="1">
                  <c:v>110162</c:v>
                </c:pt>
                <c:pt idx="2">
                  <c:v>108564</c:v>
                </c:pt>
                <c:pt idx="3">
                  <c:v>117480</c:v>
                </c:pt>
                <c:pt idx="4">
                  <c:v>129890</c:v>
                </c:pt>
                <c:pt idx="5">
                  <c:v>146335</c:v>
                </c:pt>
                <c:pt idx="6">
                  <c:v>152882</c:v>
                </c:pt>
                <c:pt idx="7">
                  <c:v>167637</c:v>
                </c:pt>
                <c:pt idx="8">
                  <c:v>186033</c:v>
                </c:pt>
                <c:pt idx="9">
                  <c:v>204218</c:v>
                </c:pt>
                <c:pt idx="10">
                  <c:v>211614</c:v>
                </c:pt>
                <c:pt idx="11">
                  <c:v>218559</c:v>
                </c:pt>
                <c:pt idx="12">
                  <c:v>221916</c:v>
                </c:pt>
                <c:pt idx="13">
                  <c:v>225609</c:v>
                </c:pt>
                <c:pt idx="14">
                  <c:v>254677</c:v>
                </c:pt>
                <c:pt idx="15">
                  <c:v>271211</c:v>
                </c:pt>
                <c:pt idx="16">
                  <c:v>310273</c:v>
                </c:pt>
              </c:numCache>
            </c:numRef>
          </c:val>
        </c:ser>
        <c:ser>
          <c:idx val="6"/>
          <c:order val="5"/>
          <c:tx>
            <c:strRef>
              <c:f>'圖7-data'!$T$2</c:f>
              <c:strCache>
                <c:ptCount val="1"/>
                <c:pt idx="0">
                  <c:v>Category 6</c:v>
                </c:pt>
              </c:strCache>
            </c:strRef>
          </c:tx>
          <c:spPr>
            <a:solidFill>
              <a:srgbClr val="B9D7FF"/>
            </a:solidFill>
          </c:spPr>
          <c:cat>
            <c:strRef>
              <c:f>'圖7-data'!$A$4:$A$20</c:f>
              <c:strCache>
                <c:ptCount val="17"/>
                <c:pt idx="0">
                  <c:v>1995</c:v>
                </c:pt>
                <c:pt idx="1">
                  <c:v>1996</c:v>
                </c:pt>
                <c:pt idx="2">
                  <c:v>1997</c:v>
                </c:pt>
                <c:pt idx="3">
                  <c:v>1998</c:v>
                </c:pt>
                <c:pt idx="4">
                  <c:v>1999</c:v>
                </c:pt>
                <c:pt idx="5">
                  <c:v>2000</c:v>
                </c:pt>
                <c:pt idx="6">
                  <c:v>2001</c:v>
                </c:pt>
                <c:pt idx="7">
                  <c:v>2002</c:v>
                </c:pt>
                <c:pt idx="8">
                  <c:v>2003</c:v>
                </c:pt>
                <c:pt idx="9">
                  <c:v>2004</c:v>
                </c:pt>
                <c:pt idx="10">
                  <c:v>2005</c:v>
                </c:pt>
                <c:pt idx="11">
                  <c:v>2006</c:v>
                </c:pt>
                <c:pt idx="12">
                  <c:v>2007</c:v>
                </c:pt>
                <c:pt idx="13">
                  <c:v>2008</c:v>
                </c:pt>
                <c:pt idx="14">
                  <c:v>2009</c:v>
                </c:pt>
                <c:pt idx="15">
                  <c:v>2010</c:v>
                </c:pt>
                <c:pt idx="16">
                  <c:v>2011</c:v>
                </c:pt>
              </c:strCache>
            </c:strRef>
          </c:cat>
          <c:val>
            <c:numRef>
              <c:f>'圖7-data'!$T$4:$T$20</c:f>
              <c:numCache>
                <c:formatCode>##,##0,</c:formatCode>
                <c:ptCount val="17"/>
                <c:pt idx="0">
                  <c:v>1477273</c:v>
                </c:pt>
                <c:pt idx="1">
                  <c:v>2025543</c:v>
                </c:pt>
                <c:pt idx="2">
                  <c:v>2256459</c:v>
                </c:pt>
                <c:pt idx="3">
                  <c:v>2397292</c:v>
                </c:pt>
                <c:pt idx="4">
                  <c:v>2557520</c:v>
                </c:pt>
                <c:pt idx="5">
                  <c:v>2665399</c:v>
                </c:pt>
                <c:pt idx="6">
                  <c:v>2953796</c:v>
                </c:pt>
                <c:pt idx="7">
                  <c:v>3146127</c:v>
                </c:pt>
                <c:pt idx="8">
                  <c:v>3181228</c:v>
                </c:pt>
                <c:pt idx="9">
                  <c:v>3256558</c:v>
                </c:pt>
                <c:pt idx="10">
                  <c:v>3420042</c:v>
                </c:pt>
                <c:pt idx="11">
                  <c:v>3510043</c:v>
                </c:pt>
                <c:pt idx="12">
                  <c:v>3602742</c:v>
                </c:pt>
                <c:pt idx="13">
                  <c:v>3731842</c:v>
                </c:pt>
                <c:pt idx="14">
                  <c:v>3732234</c:v>
                </c:pt>
                <c:pt idx="15">
                  <c:v>3600607</c:v>
                </c:pt>
                <c:pt idx="16">
                  <c:v>3544534</c:v>
                </c:pt>
              </c:numCache>
            </c:numRef>
          </c:val>
        </c:ser>
        <c:overlap val="100"/>
        <c:axId val="275909632"/>
        <c:axId val="275976960"/>
      </c:barChart>
      <c:catAx>
        <c:axId val="275909632"/>
        <c:scaling>
          <c:orientation val="minMax"/>
        </c:scaling>
        <c:axPos val="l"/>
        <c:numFmt formatCode="@" sourceLinked="1"/>
        <c:majorTickMark val="none"/>
        <c:tickLblPos val="nextTo"/>
        <c:txPr>
          <a:bodyPr rot="0" vert="horz"/>
          <a:lstStyle/>
          <a:p>
            <a:pPr>
              <a:defRPr sz="800" baseline="0">
                <a:latin typeface="Times New Roman" pitchFamily="18" charset="0"/>
                <a:ea typeface="新細明體" pitchFamily="18" charset="-120"/>
                <a:cs typeface="Times New Roman" pitchFamily="18" charset="0"/>
              </a:defRPr>
            </a:pPr>
            <a:endParaRPr lang="zh-TW"/>
          </a:p>
        </c:txPr>
        <c:crossAx val="275976960"/>
        <c:crosses val="autoZero"/>
        <c:lblAlgn val="ctr"/>
        <c:lblOffset val="100"/>
        <c:tickMarkSkip val="1"/>
      </c:catAx>
      <c:valAx>
        <c:axId val="275976960"/>
        <c:scaling>
          <c:orientation val="minMax"/>
          <c:max val="26000000"/>
          <c:min val="0"/>
        </c:scaling>
        <c:axPos val="b"/>
        <c:majorGridlines/>
        <c:title>
          <c:tx>
            <c:rich>
              <a:bodyPr rot="0" vert="horz"/>
              <a:lstStyle/>
              <a:p>
                <a:pPr>
                  <a:defRPr sz="800" b="0">
                    <a:latin typeface="標楷體" pitchFamily="65" charset="-120"/>
                    <a:ea typeface="標楷體" pitchFamily="65" charset="-120"/>
                  </a:defRPr>
                </a:pPr>
                <a:r>
                  <a:rPr lang="en-US" altLang="zh-TW" sz="800" b="0" i="0" baseline="0">
                    <a:latin typeface="Times New Roman" pitchFamily="18" charset="0"/>
                    <a:cs typeface="Times New Roman" pitchFamily="18" charset="0"/>
                  </a:rPr>
                  <a:t>1,000 Persons</a:t>
                </a:r>
                <a:endParaRPr lang="zh-TW" altLang="zh-TW" sz="800" b="0" i="0" baseline="0">
                  <a:latin typeface="Times New Roman" pitchFamily="18" charset="0"/>
                  <a:cs typeface="Times New Roman" pitchFamily="18" charset="0"/>
                </a:endParaRPr>
              </a:p>
            </c:rich>
          </c:tx>
          <c:layout>
            <c:manualLayout>
              <c:xMode val="edge"/>
              <c:yMode val="edge"/>
              <c:x val="0.8762201079031815"/>
              <c:y val="0.86093140379186583"/>
            </c:manualLayout>
          </c:layout>
        </c:title>
        <c:numFmt formatCode="#,##0;[Red]\-#,##0" sourceLinked="0"/>
        <c:majorTickMark val="in"/>
        <c:tickLblPos val="nextTo"/>
        <c:txPr>
          <a:bodyPr rot="0" vert="horz"/>
          <a:lstStyle/>
          <a:p>
            <a:pPr>
              <a:defRPr sz="800" baseline="0">
                <a:latin typeface="Times New Roman" pitchFamily="18" charset="0"/>
                <a:ea typeface="新細明體" pitchFamily="18" charset="-120"/>
                <a:cs typeface="Times New Roman" pitchFamily="18" charset="0"/>
              </a:defRPr>
            </a:pPr>
            <a:endParaRPr lang="zh-TW"/>
          </a:p>
        </c:txPr>
        <c:crossAx val="275909632"/>
        <c:crosses val="autoZero"/>
        <c:crossBetween val="between"/>
        <c:dispUnits>
          <c:builtInUnit val="thousands"/>
        </c:dispUnits>
      </c:valAx>
    </c:plotArea>
    <c:legend>
      <c:legendPos val="r"/>
      <c:layout>
        <c:manualLayout>
          <c:xMode val="edge"/>
          <c:yMode val="edge"/>
          <c:x val="0.86635970122963568"/>
          <c:y val="0.23638500411329191"/>
          <c:w val="0.11652104172366411"/>
          <c:h val="0.50989807351156691"/>
        </c:manualLayout>
      </c:layout>
      <c:txPr>
        <a:bodyPr/>
        <a:lstStyle/>
        <a:p>
          <a:pPr>
            <a:defRPr sz="800" baseline="0">
              <a:latin typeface="Times New Roman" pitchFamily="18" charset="0"/>
              <a:ea typeface="標楷體" pitchFamily="65" charset="-120"/>
              <a:cs typeface="Times New Roman" pitchFamily="18" charset="0"/>
            </a:defRPr>
          </a:pPr>
          <a:endParaRPr lang="zh-TW"/>
        </a:p>
      </c:txPr>
    </c:legend>
    <c:plotVisOnly val="1"/>
    <c:dispBlanksAs val="gap"/>
  </c:chart>
  <c:spPr>
    <a:ln>
      <a:noFill/>
    </a:ln>
  </c:spPr>
  <c:externalData r:id="rId1"/>
  <c:userShapes r:id="rId2"/>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zh-TW"/>
  <c:chart>
    <c:title>
      <c:tx>
        <c:rich>
          <a:bodyPr/>
          <a:lstStyle/>
          <a:p>
            <a:pPr algn="ctr">
              <a:defRPr sz="1000"/>
            </a:pPr>
            <a:r>
              <a:rPr lang="en-US" altLang="zh-TW" sz="1000" b="0" i="0" baseline="0">
                <a:latin typeface="Times New Roman" pitchFamily="18" charset="0"/>
                <a:cs typeface="Times New Roman" pitchFamily="18" charset="0"/>
              </a:rPr>
              <a:t>Figure 8   The Insured Payroll-Related Amount for </a:t>
            </a:r>
            <a:r>
              <a:rPr lang="en-US" altLang="zh-TW" sz="1000" b="0" baseline="0">
                <a:latin typeface="Times New Roman" pitchFamily="18" charset="0"/>
                <a:cs typeface="Times New Roman" pitchFamily="18" charset="0"/>
              </a:rPr>
              <a:t>Categorites 1 to 3 by  Age and Gender</a:t>
            </a:r>
            <a:endParaRPr lang="zh-TW" altLang="zh-TW" sz="1000" b="0">
              <a:latin typeface="Times New Roman" pitchFamily="18" charset="0"/>
              <a:cs typeface="Times New Roman" pitchFamily="18" charset="0"/>
            </a:endParaRPr>
          </a:p>
          <a:p>
            <a:pPr algn="ctr">
              <a:defRPr sz="1000"/>
            </a:pPr>
            <a:endParaRPr lang="en-US" altLang="zh-TW" sz="800" b="0" baseline="0">
              <a:latin typeface="Times New Roman" pitchFamily="18" charset="0"/>
              <a:cs typeface="Times New Roman" pitchFamily="18" charset="0"/>
            </a:endParaRPr>
          </a:p>
          <a:p>
            <a:pPr algn="ctr">
              <a:defRPr sz="1000"/>
            </a:pPr>
            <a:r>
              <a:rPr lang="en-US" altLang="zh-TW" sz="1000" b="0" baseline="0">
                <a:latin typeface="Times New Roman" pitchFamily="18" charset="0"/>
                <a:cs typeface="Times New Roman" pitchFamily="18" charset="0"/>
              </a:rPr>
              <a:t>      </a:t>
            </a:r>
            <a:r>
              <a:rPr lang="en-US" altLang="zh-TW" sz="800" b="0" baseline="0">
                <a:latin typeface="Times New Roman" pitchFamily="18" charset="0"/>
                <a:cs typeface="Times New Roman" pitchFamily="18" charset="0"/>
              </a:rPr>
              <a:t>End of 2011</a:t>
            </a:r>
            <a:endParaRPr lang="zh-TW" altLang="zh-TW" sz="800" b="0">
              <a:latin typeface="Times New Roman" pitchFamily="18" charset="0"/>
              <a:cs typeface="Times New Roman" pitchFamily="18" charset="0"/>
            </a:endParaRPr>
          </a:p>
        </c:rich>
      </c:tx>
      <c:overlay val="1"/>
    </c:title>
    <c:view3D>
      <c:rAngAx val="1"/>
    </c:view3D>
    <c:sideWall>
      <c:spPr>
        <a:noFill/>
      </c:spPr>
    </c:sideWall>
    <c:backWall>
      <c:spPr>
        <a:noFill/>
      </c:spPr>
    </c:backWall>
    <c:plotArea>
      <c:layout>
        <c:manualLayout>
          <c:layoutTarget val="inner"/>
          <c:xMode val="edge"/>
          <c:yMode val="edge"/>
          <c:x val="9.072788915500786E-2"/>
          <c:y val="0.1887984849512116"/>
          <c:w val="0.87290292513808165"/>
          <c:h val="0.74120387282576061"/>
        </c:manualLayout>
      </c:layout>
      <c:bar3DChart>
        <c:barDir val="col"/>
        <c:grouping val="clustered"/>
        <c:ser>
          <c:idx val="0"/>
          <c:order val="0"/>
          <c:tx>
            <c:strRef>
              <c:f>'圖8-data'!$B$45</c:f>
              <c:strCache>
                <c:ptCount val="1"/>
                <c:pt idx="0">
                  <c:v>Male</c:v>
                </c:pt>
              </c:strCache>
            </c:strRef>
          </c:tx>
          <c:spPr>
            <a:solidFill>
              <a:srgbClr val="D7E4BD"/>
            </a:solidFill>
          </c:spPr>
          <c:dLbls>
            <c:dLbl>
              <c:idx val="5"/>
              <c:layout>
                <c:manualLayout>
                  <c:x val="0"/>
                  <c:y val="1.0075566750629716E-2"/>
                </c:manualLayout>
              </c:layout>
              <c:showVal val="1"/>
            </c:dLbl>
            <c:dLbl>
              <c:idx val="6"/>
              <c:layout>
                <c:manualLayout>
                  <c:x val="0"/>
                  <c:y val="-6.7170445004198194E-3"/>
                </c:manualLayout>
              </c:layout>
              <c:showVal val="1"/>
            </c:dLbl>
            <c:dLbl>
              <c:idx val="7"/>
              <c:layout>
                <c:manualLayout>
                  <c:x val="7.47665031402963E-3"/>
                  <c:y val="5.2665331191284019E-3"/>
                </c:manualLayout>
              </c:layout>
              <c:showVal val="1"/>
            </c:dLbl>
            <c:dLbl>
              <c:idx val="8"/>
              <c:layout>
                <c:manualLayout>
                  <c:x val="1.3875750353300263E-2"/>
                  <c:y val="0"/>
                </c:manualLayout>
              </c:layout>
              <c:showVal val="1"/>
            </c:dLbl>
            <c:dLbl>
              <c:idx val="9"/>
              <c:layout>
                <c:manualLayout>
                  <c:x val="4.9843846661072845E-3"/>
                  <c:y val="5.9157592706453332E-4"/>
                </c:manualLayout>
              </c:layout>
              <c:showVal val="1"/>
            </c:dLbl>
            <c:delete val="1"/>
            <c:numFmt formatCode="#,##0_);\(#,##0\)" sourceLinked="0"/>
            <c:txPr>
              <a:bodyPr/>
              <a:lstStyle/>
              <a:p>
                <a:pPr>
                  <a:defRPr sz="800">
                    <a:latin typeface="Times New Roman" pitchFamily="18" charset="0"/>
                    <a:cs typeface="Times New Roman" pitchFamily="18" charset="0"/>
                  </a:defRPr>
                </a:pPr>
                <a:endParaRPr lang="zh-TW"/>
              </a:p>
            </c:txPr>
          </c:dLbls>
          <c:cat>
            <c:strRef>
              <c:f>'圖8-data'!$C$44:$R$44</c:f>
              <c:strCache>
                <c:ptCount val="16"/>
                <c:pt idx="0">
                  <c:v>15 - 19</c:v>
                </c:pt>
                <c:pt idx="1">
                  <c:v>20 - 24</c:v>
                </c:pt>
                <c:pt idx="2">
                  <c:v>25 - 29</c:v>
                </c:pt>
                <c:pt idx="3">
                  <c:v>30 - 34</c:v>
                </c:pt>
                <c:pt idx="4">
                  <c:v>35 - 39</c:v>
                </c:pt>
                <c:pt idx="5">
                  <c:v>40 - 44</c:v>
                </c:pt>
                <c:pt idx="6">
                  <c:v>45 - 49</c:v>
                </c:pt>
                <c:pt idx="7">
                  <c:v>50 - 54</c:v>
                </c:pt>
                <c:pt idx="8">
                  <c:v>55 - 59</c:v>
                </c:pt>
                <c:pt idx="9">
                  <c:v>60 - 64</c:v>
                </c:pt>
                <c:pt idx="10">
                  <c:v>65 - 69</c:v>
                </c:pt>
                <c:pt idx="11">
                  <c:v>70 - 74</c:v>
                </c:pt>
                <c:pt idx="12">
                  <c:v>75 - 79</c:v>
                </c:pt>
                <c:pt idx="13">
                  <c:v>80 - 84</c:v>
                </c:pt>
                <c:pt idx="14">
                  <c:v>85 - 89</c:v>
                </c:pt>
                <c:pt idx="15">
                  <c:v>90 - 94</c:v>
                </c:pt>
              </c:strCache>
            </c:strRef>
          </c:cat>
          <c:val>
            <c:numRef>
              <c:f>'圖8-data'!$C$45:$R$45</c:f>
              <c:numCache>
                <c:formatCode>0_ </c:formatCode>
                <c:ptCount val="16"/>
                <c:pt idx="0">
                  <c:v>19447.772179627609</c:v>
                </c:pt>
                <c:pt idx="1">
                  <c:v>23768.430179793471</c:v>
                </c:pt>
                <c:pt idx="2">
                  <c:v>29618.525047847656</c:v>
                </c:pt>
                <c:pt idx="3">
                  <c:v>35067.067215187009</c:v>
                </c:pt>
                <c:pt idx="4">
                  <c:v>40456.340335345623</c:v>
                </c:pt>
                <c:pt idx="5">
                  <c:v>41759.604612804462</c:v>
                </c:pt>
                <c:pt idx="6">
                  <c:v>41509.510274103013</c:v>
                </c:pt>
                <c:pt idx="7">
                  <c:v>41218.073722649584</c:v>
                </c:pt>
                <c:pt idx="8">
                  <c:v>41767.399906033585</c:v>
                </c:pt>
                <c:pt idx="9">
                  <c:v>39521.446309496685</c:v>
                </c:pt>
                <c:pt idx="10">
                  <c:v>28269.161893349319</c:v>
                </c:pt>
                <c:pt idx="11">
                  <c:v>24769.09461756374</c:v>
                </c:pt>
                <c:pt idx="12">
                  <c:v>23551.357391579615</c:v>
                </c:pt>
                <c:pt idx="13">
                  <c:v>23174.06018213469</c:v>
                </c:pt>
                <c:pt idx="14">
                  <c:v>23168.121840163301</c:v>
                </c:pt>
                <c:pt idx="15">
                  <c:v>0</c:v>
                </c:pt>
              </c:numCache>
            </c:numRef>
          </c:val>
        </c:ser>
        <c:ser>
          <c:idx val="1"/>
          <c:order val="1"/>
          <c:tx>
            <c:strRef>
              <c:f>'圖8-data'!$B$46</c:f>
              <c:strCache>
                <c:ptCount val="1"/>
                <c:pt idx="0">
                  <c:v>Female</c:v>
                </c:pt>
              </c:strCache>
            </c:strRef>
          </c:tx>
          <c:spPr>
            <a:solidFill>
              <a:srgbClr val="FFFF99"/>
            </a:solidFill>
          </c:spPr>
          <c:dLbls>
            <c:dLbl>
              <c:idx val="5"/>
              <c:layout>
                <c:manualLayout>
                  <c:x val="2.2466168487246065E-2"/>
                  <c:y val="1.0075566750629716E-2"/>
                </c:manualLayout>
              </c:layout>
              <c:showVal val="1"/>
            </c:dLbl>
            <c:dLbl>
              <c:idx val="6"/>
              <c:layout>
                <c:manualLayout>
                  <c:x val="2.0539893625990652E-2"/>
                  <c:y val="-7.4421679657801351E-3"/>
                </c:manualLayout>
              </c:layout>
              <c:showVal val="1"/>
            </c:dLbl>
            <c:dLbl>
              <c:idx val="7"/>
              <c:layout>
                <c:manualLayout>
                  <c:x val="2.0539746996253206E-2"/>
                  <c:y val="5.9157592706453332E-4"/>
                </c:manualLayout>
              </c:layout>
              <c:showVal val="1"/>
            </c:dLbl>
            <c:dLbl>
              <c:idx val="8"/>
              <c:layout>
                <c:manualLayout>
                  <c:x val="2.3847420614293641E-2"/>
                  <c:y val="-2.9007583120120172E-3"/>
                </c:manualLayout>
              </c:layout>
              <c:showVal val="1"/>
            </c:dLbl>
            <c:dLbl>
              <c:idx val="9"/>
              <c:layout>
                <c:manualLayout>
                  <c:x val="2.3018082819115066E-2"/>
                  <c:y val="4.5414096537680923E-3"/>
                </c:manualLayout>
              </c:layout>
              <c:showVal val="1"/>
            </c:dLbl>
            <c:delete val="1"/>
            <c:numFmt formatCode="#,##0_);\(#,##0\)" sourceLinked="0"/>
            <c:txPr>
              <a:bodyPr/>
              <a:lstStyle/>
              <a:p>
                <a:pPr>
                  <a:defRPr sz="800">
                    <a:latin typeface="Times New Roman" pitchFamily="18" charset="0"/>
                    <a:cs typeface="Times New Roman" pitchFamily="18" charset="0"/>
                  </a:defRPr>
                </a:pPr>
                <a:endParaRPr lang="zh-TW"/>
              </a:p>
            </c:txPr>
          </c:dLbls>
          <c:cat>
            <c:strRef>
              <c:f>'圖8-data'!$C$44:$R$44</c:f>
              <c:strCache>
                <c:ptCount val="16"/>
                <c:pt idx="0">
                  <c:v>15 - 19</c:v>
                </c:pt>
                <c:pt idx="1">
                  <c:v>20 - 24</c:v>
                </c:pt>
                <c:pt idx="2">
                  <c:v>25 - 29</c:v>
                </c:pt>
                <c:pt idx="3">
                  <c:v>30 - 34</c:v>
                </c:pt>
                <c:pt idx="4">
                  <c:v>35 - 39</c:v>
                </c:pt>
                <c:pt idx="5">
                  <c:v>40 - 44</c:v>
                </c:pt>
                <c:pt idx="6">
                  <c:v>45 - 49</c:v>
                </c:pt>
                <c:pt idx="7">
                  <c:v>50 - 54</c:v>
                </c:pt>
                <c:pt idx="8">
                  <c:v>55 - 59</c:v>
                </c:pt>
                <c:pt idx="9">
                  <c:v>60 - 64</c:v>
                </c:pt>
                <c:pt idx="10">
                  <c:v>65 - 69</c:v>
                </c:pt>
                <c:pt idx="11">
                  <c:v>70 - 74</c:v>
                </c:pt>
                <c:pt idx="12">
                  <c:v>75 - 79</c:v>
                </c:pt>
                <c:pt idx="13">
                  <c:v>80 - 84</c:v>
                </c:pt>
                <c:pt idx="14">
                  <c:v>85 - 89</c:v>
                </c:pt>
                <c:pt idx="15">
                  <c:v>90 - 94</c:v>
                </c:pt>
              </c:strCache>
            </c:strRef>
          </c:cat>
          <c:val>
            <c:numRef>
              <c:f>'圖8-data'!$C$46:$R$46</c:f>
              <c:numCache>
                <c:formatCode>0_ </c:formatCode>
                <c:ptCount val="16"/>
                <c:pt idx="0">
                  <c:v>19290.769293340112</c:v>
                </c:pt>
                <c:pt idx="1">
                  <c:v>23049.511987158836</c:v>
                </c:pt>
                <c:pt idx="2">
                  <c:v>27081.197046418056</c:v>
                </c:pt>
                <c:pt idx="3">
                  <c:v>30179.354034177792</c:v>
                </c:pt>
                <c:pt idx="4">
                  <c:v>32317.073668131696</c:v>
                </c:pt>
                <c:pt idx="5">
                  <c:v>33238.604680009528</c:v>
                </c:pt>
                <c:pt idx="6">
                  <c:v>33160.76563298767</c:v>
                </c:pt>
                <c:pt idx="7">
                  <c:v>33027.1978907991</c:v>
                </c:pt>
                <c:pt idx="8">
                  <c:v>33239.191979325384</c:v>
                </c:pt>
                <c:pt idx="9">
                  <c:v>31960.101371297442</c:v>
                </c:pt>
                <c:pt idx="10">
                  <c:v>23934.835586305318</c:v>
                </c:pt>
                <c:pt idx="11">
                  <c:v>22622.861615264304</c:v>
                </c:pt>
                <c:pt idx="12">
                  <c:v>22350.655121556687</c:v>
                </c:pt>
                <c:pt idx="13">
                  <c:v>22183.988544510521</c:v>
                </c:pt>
                <c:pt idx="14">
                  <c:v>22115.949655402619</c:v>
                </c:pt>
                <c:pt idx="15" formatCode="General">
                  <c:v>0</c:v>
                </c:pt>
              </c:numCache>
            </c:numRef>
          </c:val>
        </c:ser>
        <c:shape val="box"/>
        <c:axId val="275926016"/>
        <c:axId val="276013824"/>
        <c:axId val="0"/>
      </c:bar3DChart>
      <c:catAx>
        <c:axId val="275926016"/>
        <c:scaling>
          <c:orientation val="minMax"/>
        </c:scaling>
        <c:axPos val="b"/>
        <c:majorTickMark val="in"/>
        <c:tickLblPos val="nextTo"/>
        <c:txPr>
          <a:bodyPr/>
          <a:lstStyle/>
          <a:p>
            <a:pPr>
              <a:defRPr sz="800" baseline="0">
                <a:latin typeface="Times New Roman" pitchFamily="18" charset="0"/>
                <a:cs typeface="Times New Roman" pitchFamily="18" charset="0"/>
              </a:defRPr>
            </a:pPr>
            <a:endParaRPr lang="zh-TW"/>
          </a:p>
        </c:txPr>
        <c:crossAx val="276013824"/>
        <c:crosses val="autoZero"/>
        <c:auto val="1"/>
        <c:lblAlgn val="ctr"/>
        <c:lblOffset val="100"/>
      </c:catAx>
      <c:valAx>
        <c:axId val="276013824"/>
        <c:scaling>
          <c:orientation val="minMax"/>
        </c:scaling>
        <c:axPos val="l"/>
        <c:title>
          <c:tx>
            <c:rich>
              <a:bodyPr rot="0" vert="horz"/>
              <a:lstStyle/>
              <a:p>
                <a:pPr>
                  <a:defRPr sz="800" b="0"/>
                </a:pPr>
                <a:r>
                  <a:rPr lang="en-US" altLang="zh-TW" sz="800" b="0">
                    <a:latin typeface="Times New Roman" pitchFamily="18" charset="0"/>
                    <a:ea typeface="標楷體" pitchFamily="65" charset="-120"/>
                    <a:cs typeface="Times New Roman" pitchFamily="18" charset="0"/>
                  </a:rPr>
                  <a:t>NT$</a:t>
                </a:r>
                <a:endParaRPr lang="zh-TW" altLang="en-US" sz="800" b="0">
                  <a:latin typeface="Times New Roman" pitchFamily="18" charset="0"/>
                  <a:ea typeface="標楷體" pitchFamily="65" charset="-120"/>
                  <a:cs typeface="Times New Roman" pitchFamily="18" charset="0"/>
                </a:endParaRPr>
              </a:p>
            </c:rich>
          </c:tx>
          <c:layout>
            <c:manualLayout>
              <c:xMode val="edge"/>
              <c:yMode val="edge"/>
              <c:x val="4.5834525891053572E-2"/>
              <c:y val="0.13747910749174971"/>
            </c:manualLayout>
          </c:layout>
        </c:title>
        <c:numFmt formatCode="#,##0;\-#,##0" sourceLinked="0"/>
        <c:majorTickMark val="in"/>
        <c:tickLblPos val="nextTo"/>
        <c:txPr>
          <a:bodyPr/>
          <a:lstStyle/>
          <a:p>
            <a:pPr>
              <a:defRPr sz="800">
                <a:latin typeface="Times New Roman" pitchFamily="18" charset="0"/>
                <a:cs typeface="Times New Roman" pitchFamily="18" charset="0"/>
              </a:defRPr>
            </a:pPr>
            <a:endParaRPr lang="zh-TW"/>
          </a:p>
        </c:txPr>
        <c:crossAx val="275926016"/>
        <c:crosses val="autoZero"/>
        <c:crossBetween val="between"/>
      </c:valAx>
      <c:spPr>
        <a:ln>
          <a:noFill/>
        </a:ln>
      </c:spPr>
    </c:plotArea>
    <c:legend>
      <c:legendPos val="r"/>
      <c:layout>
        <c:manualLayout>
          <c:xMode val="edge"/>
          <c:yMode val="edge"/>
          <c:x val="0.79275392729643868"/>
          <c:y val="0.20721570825899929"/>
          <c:w val="8.2426553764268731E-2"/>
          <c:h val="0.15969987029405489"/>
        </c:manualLayout>
      </c:layout>
      <c:txPr>
        <a:bodyPr/>
        <a:lstStyle/>
        <a:p>
          <a:pPr>
            <a:defRPr sz="800">
              <a:latin typeface="Times New Roman" pitchFamily="18" charset="0"/>
              <a:ea typeface="標楷體" pitchFamily="65" charset="-120"/>
              <a:cs typeface="Times New Roman" pitchFamily="18" charset="0"/>
            </a:defRPr>
          </a:pPr>
          <a:endParaRPr lang="zh-TW"/>
        </a:p>
      </c:txPr>
    </c:legend>
    <c:plotVisOnly val="1"/>
  </c:chart>
  <c:spPr>
    <a:ln>
      <a:noFill/>
    </a:ln>
  </c:spPr>
  <c:externalData r:id="rId1"/>
  <c:userShapes r:id="rId2"/>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zh-TW"/>
  <c:chart>
    <c:title>
      <c:tx>
        <c:rich>
          <a:bodyPr/>
          <a:lstStyle/>
          <a:p>
            <a:pPr>
              <a:defRPr sz="1000" b="0" i="0" u="none" strike="noStrike" baseline="0">
                <a:solidFill>
                  <a:srgbClr val="000000"/>
                </a:solidFill>
                <a:latin typeface="標楷體" pitchFamily="65" charset="-120"/>
                <a:ea typeface="標楷體" pitchFamily="65" charset="-120"/>
                <a:cs typeface="Times New Roman" pitchFamily="18" charset="0"/>
              </a:defRPr>
            </a:pPr>
            <a:r>
              <a:rPr lang="en-US" altLang="zh-TW" sz="1000" b="0" i="0" baseline="0">
                <a:latin typeface="Times New Roman" pitchFamily="18" charset="0"/>
                <a:cs typeface="Times New Roman" pitchFamily="18" charset="0"/>
              </a:rPr>
              <a:t>Figure 9    Historical Average Insured  Payroll-Related Amounts by Category</a:t>
            </a:r>
            <a:endParaRPr lang="zh-TW" altLang="zh-TW" sz="1000" b="0" i="0" baseline="0">
              <a:latin typeface="Times New Roman" pitchFamily="18" charset="0"/>
              <a:cs typeface="Times New Roman" pitchFamily="18" charset="0"/>
            </a:endParaRPr>
          </a:p>
        </c:rich>
      </c:tx>
      <c:layout>
        <c:manualLayout>
          <c:xMode val="edge"/>
          <c:yMode val="edge"/>
          <c:x val="0.12354430379746834"/>
          <c:y val="4.0736465805276338E-2"/>
        </c:manualLayout>
      </c:layout>
      <c:spPr>
        <a:noFill/>
        <a:ln w="25400">
          <a:noFill/>
        </a:ln>
      </c:spPr>
    </c:title>
    <c:plotArea>
      <c:layout>
        <c:manualLayout>
          <c:layoutTarget val="inner"/>
          <c:xMode val="edge"/>
          <c:yMode val="edge"/>
          <c:x val="0.11106377087479449"/>
          <c:y val="0.19622692641465767"/>
          <c:w val="0.81252960385765738"/>
          <c:h val="0.68426432617106436"/>
        </c:manualLayout>
      </c:layout>
      <c:lineChart>
        <c:grouping val="standard"/>
        <c:ser>
          <c:idx val="0"/>
          <c:order val="0"/>
          <c:tx>
            <c:strRef>
              <c:f>'圖9-data'!$B$11</c:f>
              <c:strCache>
                <c:ptCount val="1"/>
                <c:pt idx="0">
                  <c:v>Category 1</c:v>
                </c:pt>
              </c:strCache>
            </c:strRef>
          </c:tx>
          <c:spPr>
            <a:ln w="38100">
              <a:solidFill>
                <a:srgbClr val="B477CF"/>
              </a:solidFill>
              <a:prstDash val="solid"/>
            </a:ln>
          </c:spPr>
          <c:marker>
            <c:symbol val="square"/>
            <c:size val="5"/>
            <c:spPr>
              <a:gradFill flip="none" rotWithShape="1">
                <a:gsLst>
                  <a:gs pos="0">
                    <a:srgbClr val="B477CF">
                      <a:tint val="66000"/>
                      <a:satMod val="160000"/>
                    </a:srgbClr>
                  </a:gs>
                  <a:gs pos="50000">
                    <a:srgbClr val="B477CF">
                      <a:tint val="44500"/>
                      <a:satMod val="160000"/>
                    </a:srgbClr>
                  </a:gs>
                  <a:gs pos="100000">
                    <a:srgbClr val="B477CF">
                      <a:tint val="23500"/>
                      <a:satMod val="160000"/>
                    </a:srgbClr>
                  </a:gs>
                </a:gsLst>
                <a:lin ang="13500000" scaled="1"/>
                <a:tileRect/>
              </a:gradFill>
              <a:ln>
                <a:solidFill>
                  <a:srgbClr val="B477CF"/>
                </a:solidFill>
              </a:ln>
              <a:scene3d>
                <a:camera prst="orthographicFront"/>
                <a:lightRig rig="threePt" dir="t"/>
              </a:scene3d>
              <a:sp3d>
                <a:bevelT/>
              </a:sp3d>
            </c:spPr>
          </c:marker>
          <c:dLbls>
            <c:dLbl>
              <c:idx val="0"/>
              <c:layout>
                <c:manualLayout>
                  <c:x val="-3.134418324291742E-2"/>
                  <c:y val="-4.7833205802252803E-2"/>
                </c:manualLayout>
              </c:layout>
              <c:showVal val="1"/>
            </c:dLbl>
            <c:dLbl>
              <c:idx val="1"/>
              <c:delete val="1"/>
            </c:dLbl>
            <c:dLbl>
              <c:idx val="2"/>
              <c:delete val="1"/>
            </c:dLbl>
            <c:dLbl>
              <c:idx val="3"/>
              <c:delete val="1"/>
            </c:dLbl>
            <c:dLbl>
              <c:idx val="4"/>
              <c:delete val="1"/>
            </c:dLbl>
            <c:dLbl>
              <c:idx val="5"/>
              <c:layout>
                <c:manualLayout>
                  <c:x val="-3.37552742616034E-2"/>
                  <c:y val="-3.9564787339268027E-2"/>
                </c:manualLayout>
              </c:layout>
              <c:showVal val="1"/>
            </c:dLbl>
            <c:dLbl>
              <c:idx val="6"/>
              <c:delete val="1"/>
            </c:dLbl>
            <c:dLbl>
              <c:idx val="7"/>
              <c:delete val="1"/>
            </c:dLbl>
            <c:dLbl>
              <c:idx val="8"/>
              <c:delete val="1"/>
            </c:dLbl>
            <c:dLbl>
              <c:idx val="9"/>
              <c:delete val="1"/>
            </c:dLbl>
            <c:dLbl>
              <c:idx val="10"/>
              <c:layout>
                <c:manualLayout>
                  <c:x val="-3.134418324291742E-2"/>
                  <c:y val="-3.1651829871414787E-2"/>
                </c:manualLayout>
              </c:layout>
              <c:showVal val="1"/>
            </c:dLbl>
            <c:dLbl>
              <c:idx val="11"/>
              <c:delete val="1"/>
            </c:dLbl>
            <c:dLbl>
              <c:idx val="12"/>
              <c:delete val="1"/>
            </c:dLbl>
            <c:dLbl>
              <c:idx val="13"/>
              <c:delete val="1"/>
            </c:dLbl>
            <c:dLbl>
              <c:idx val="14"/>
              <c:delete val="1"/>
            </c:dLbl>
            <c:dLbl>
              <c:idx val="15"/>
              <c:layout>
                <c:manualLayout>
                  <c:x val="-2.8933092224231471E-2"/>
                  <c:y val="-4.7477744807122024E-2"/>
                </c:manualLayout>
              </c:layout>
              <c:showVal val="1"/>
            </c:dLbl>
            <c:dLbl>
              <c:idx val="16"/>
              <c:layout>
                <c:manualLayout>
                  <c:x val="-3.134418324291742E-2"/>
                  <c:y val="-4.3521266073194766E-2"/>
                </c:manualLayout>
              </c:layout>
              <c:showVal val="1"/>
            </c:dLbl>
            <c:txPr>
              <a:bodyPr/>
              <a:lstStyle/>
              <a:p>
                <a:pPr>
                  <a:defRPr sz="800" baseline="0">
                    <a:latin typeface="Times New Roman" pitchFamily="18" charset="0"/>
                    <a:ea typeface="標楷體" pitchFamily="65" charset="-120"/>
                    <a:cs typeface="Times New Roman" pitchFamily="18" charset="0"/>
                  </a:defRPr>
                </a:pPr>
                <a:endParaRPr lang="zh-TW"/>
              </a:p>
            </c:txPr>
            <c:showVal val="1"/>
          </c:dLbls>
          <c:cat>
            <c:strRef>
              <c:f>'圖9-data'!$A$12:$A$22</c:f>
              <c:strCache>
                <c:ptCount val="11"/>
                <c:pt idx="0">
                  <c:v>2001</c:v>
                </c:pt>
                <c:pt idx="1">
                  <c:v>2002</c:v>
                </c:pt>
                <c:pt idx="2">
                  <c:v>2003</c:v>
                </c:pt>
                <c:pt idx="3">
                  <c:v>2004</c:v>
                </c:pt>
                <c:pt idx="4">
                  <c:v>2005</c:v>
                </c:pt>
                <c:pt idx="5">
                  <c:v>2006</c:v>
                </c:pt>
                <c:pt idx="6">
                  <c:v>2007</c:v>
                </c:pt>
                <c:pt idx="7">
                  <c:v>2008</c:v>
                </c:pt>
                <c:pt idx="8">
                  <c:v>2009</c:v>
                </c:pt>
                <c:pt idx="9">
                  <c:v>2010</c:v>
                </c:pt>
                <c:pt idx="10">
                  <c:v>2011</c:v>
                </c:pt>
              </c:strCache>
            </c:strRef>
          </c:cat>
          <c:val>
            <c:numRef>
              <c:f>'圖9-data'!$B$12:$B$22</c:f>
              <c:numCache>
                <c:formatCode>##,###,</c:formatCode>
                <c:ptCount val="11"/>
                <c:pt idx="0">
                  <c:v>29575</c:v>
                </c:pt>
                <c:pt idx="1">
                  <c:v>32662</c:v>
                </c:pt>
                <c:pt idx="2">
                  <c:v>32904</c:v>
                </c:pt>
                <c:pt idx="3">
                  <c:v>33172</c:v>
                </c:pt>
                <c:pt idx="4">
                  <c:v>34841</c:v>
                </c:pt>
                <c:pt idx="5">
                  <c:v>35423</c:v>
                </c:pt>
                <c:pt idx="6">
                  <c:v>36507</c:v>
                </c:pt>
                <c:pt idx="7">
                  <c:v>36903.585728381586</c:v>
                </c:pt>
                <c:pt idx="8">
                  <c:v>37004.640118886491</c:v>
                </c:pt>
                <c:pt idx="9">
                  <c:v>37596</c:v>
                </c:pt>
                <c:pt idx="10">
                  <c:v>38347.672131971376</c:v>
                </c:pt>
              </c:numCache>
            </c:numRef>
          </c:val>
        </c:ser>
        <c:ser>
          <c:idx val="1"/>
          <c:order val="1"/>
          <c:tx>
            <c:strRef>
              <c:f>'圖9-data'!$C$11</c:f>
              <c:strCache>
                <c:ptCount val="1"/>
                <c:pt idx="0">
                  <c:v>Category 2</c:v>
                </c:pt>
              </c:strCache>
            </c:strRef>
          </c:tx>
          <c:spPr>
            <a:ln w="38100">
              <a:solidFill>
                <a:srgbClr val="5457CC"/>
              </a:solidFill>
              <a:prstDash val="solid"/>
            </a:ln>
          </c:spPr>
          <c:marker>
            <c:symbol val="diamond"/>
            <c:size val="7"/>
            <c:spPr>
              <a:gradFill flip="none" rotWithShape="1">
                <a:gsLst>
                  <a:gs pos="0">
                    <a:srgbClr val="5457CC">
                      <a:tint val="66000"/>
                      <a:satMod val="160000"/>
                    </a:srgbClr>
                  </a:gs>
                  <a:gs pos="50000">
                    <a:srgbClr val="5457CC">
                      <a:tint val="44500"/>
                      <a:satMod val="160000"/>
                    </a:srgbClr>
                  </a:gs>
                  <a:gs pos="100000">
                    <a:srgbClr val="5457CC">
                      <a:tint val="23500"/>
                      <a:satMod val="160000"/>
                    </a:srgbClr>
                  </a:gs>
                </a:gsLst>
                <a:lin ang="13500000" scaled="1"/>
                <a:tileRect/>
              </a:gradFill>
              <a:ln w="10000">
                <a:noFill/>
              </a:ln>
              <a:scene3d>
                <a:camera prst="orthographicFront"/>
                <a:lightRig rig="threePt" dir="t"/>
              </a:scene3d>
              <a:sp3d>
                <a:bevelT/>
              </a:sp3d>
            </c:spPr>
          </c:marker>
          <c:cat>
            <c:strRef>
              <c:f>'圖9-data'!$A$12:$A$22</c:f>
              <c:strCache>
                <c:ptCount val="11"/>
                <c:pt idx="0">
                  <c:v>2001</c:v>
                </c:pt>
                <c:pt idx="1">
                  <c:v>2002</c:v>
                </c:pt>
                <c:pt idx="2">
                  <c:v>2003</c:v>
                </c:pt>
                <c:pt idx="3">
                  <c:v>2004</c:v>
                </c:pt>
                <c:pt idx="4">
                  <c:v>2005</c:v>
                </c:pt>
                <c:pt idx="5">
                  <c:v>2006</c:v>
                </c:pt>
                <c:pt idx="6">
                  <c:v>2007</c:v>
                </c:pt>
                <c:pt idx="7">
                  <c:v>2008</c:v>
                </c:pt>
                <c:pt idx="8">
                  <c:v>2009</c:v>
                </c:pt>
                <c:pt idx="9">
                  <c:v>2010</c:v>
                </c:pt>
                <c:pt idx="10">
                  <c:v>2011</c:v>
                </c:pt>
              </c:strCache>
            </c:strRef>
          </c:cat>
          <c:val>
            <c:numRef>
              <c:f>'圖9-data'!$C$12:$C$22</c:f>
              <c:numCache>
                <c:formatCode>##,###,</c:formatCode>
                <c:ptCount val="11"/>
                <c:pt idx="0">
                  <c:v>20260</c:v>
                </c:pt>
                <c:pt idx="1">
                  <c:v>20687</c:v>
                </c:pt>
                <c:pt idx="2">
                  <c:v>20917</c:v>
                </c:pt>
                <c:pt idx="3">
                  <c:v>21271</c:v>
                </c:pt>
                <c:pt idx="4">
                  <c:v>21763</c:v>
                </c:pt>
                <c:pt idx="5">
                  <c:v>22494</c:v>
                </c:pt>
                <c:pt idx="6">
                  <c:v>24203</c:v>
                </c:pt>
                <c:pt idx="7">
                  <c:v>24471.638112884357</c:v>
                </c:pt>
                <c:pt idx="8">
                  <c:v>25095.159675482497</c:v>
                </c:pt>
                <c:pt idx="9">
                  <c:v>25813</c:v>
                </c:pt>
                <c:pt idx="10">
                  <c:v>26884.249664041436</c:v>
                </c:pt>
              </c:numCache>
            </c:numRef>
          </c:val>
        </c:ser>
        <c:ser>
          <c:idx val="2"/>
          <c:order val="2"/>
          <c:tx>
            <c:strRef>
              <c:f>'圖9-data'!$D$11</c:f>
              <c:strCache>
                <c:ptCount val="1"/>
                <c:pt idx="0">
                  <c:v>Category 3</c:v>
                </c:pt>
              </c:strCache>
            </c:strRef>
          </c:tx>
          <c:spPr>
            <a:ln w="38100">
              <a:solidFill>
                <a:srgbClr val="44B647"/>
              </a:solidFill>
              <a:prstDash val="solid"/>
            </a:ln>
          </c:spPr>
          <c:marker>
            <c:symbol val="circle"/>
            <c:size val="6"/>
            <c:spPr>
              <a:gradFill flip="none" rotWithShape="1">
                <a:gsLst>
                  <a:gs pos="0">
                    <a:srgbClr val="44B647">
                      <a:tint val="66000"/>
                      <a:satMod val="160000"/>
                    </a:srgbClr>
                  </a:gs>
                  <a:gs pos="50000">
                    <a:srgbClr val="44B647">
                      <a:tint val="44500"/>
                      <a:satMod val="160000"/>
                    </a:srgbClr>
                  </a:gs>
                  <a:gs pos="100000">
                    <a:srgbClr val="44B647">
                      <a:tint val="23500"/>
                      <a:satMod val="160000"/>
                    </a:srgbClr>
                  </a:gs>
                </a:gsLst>
                <a:lin ang="13500000" scaled="1"/>
                <a:tileRect/>
              </a:gradFill>
              <a:ln w="10000">
                <a:solidFill>
                  <a:srgbClr val="44B647">
                    <a:alpha val="0"/>
                  </a:srgbClr>
                </a:solidFill>
              </a:ln>
              <a:scene3d>
                <a:camera prst="orthographicFront"/>
                <a:lightRig rig="threePt" dir="t"/>
              </a:scene3d>
              <a:sp3d>
                <a:bevelT/>
              </a:sp3d>
            </c:spPr>
          </c:marker>
          <c:dLbls>
            <c:dLbl>
              <c:idx val="0"/>
              <c:layout>
                <c:manualLayout>
                  <c:x val="-3.134418324291742E-2"/>
                  <c:y val="4.3447123968438112E-2"/>
                </c:manualLayout>
              </c:layout>
              <c:showVal val="1"/>
            </c:dLbl>
            <c:dLbl>
              <c:idx val="1"/>
              <c:delete val="1"/>
            </c:dLbl>
            <c:dLbl>
              <c:idx val="2"/>
              <c:delete val="1"/>
            </c:dLbl>
            <c:dLbl>
              <c:idx val="3"/>
              <c:delete val="1"/>
            </c:dLbl>
            <c:dLbl>
              <c:idx val="4"/>
              <c:delete val="1"/>
            </c:dLbl>
            <c:dLbl>
              <c:idx val="5"/>
              <c:layout>
                <c:manualLayout>
                  <c:x val="-2.8933092224231471E-2"/>
                  <c:y val="3.9564787339268125E-2"/>
                </c:manualLayout>
              </c:layout>
              <c:showVal val="1"/>
            </c:dLbl>
            <c:dLbl>
              <c:idx val="6"/>
              <c:delete val="1"/>
            </c:dLbl>
            <c:dLbl>
              <c:idx val="7"/>
              <c:delete val="1"/>
            </c:dLbl>
            <c:dLbl>
              <c:idx val="8"/>
              <c:delete val="1"/>
            </c:dLbl>
            <c:dLbl>
              <c:idx val="9"/>
              <c:delete val="1"/>
            </c:dLbl>
            <c:dLbl>
              <c:idx val="10"/>
              <c:layout>
                <c:manualLayout>
                  <c:x val="-2.8933092224231471E-2"/>
                  <c:y val="4.3521266073194766E-2"/>
                </c:manualLayout>
              </c:layout>
              <c:showVal val="1"/>
            </c:dLbl>
            <c:dLbl>
              <c:idx val="11"/>
              <c:delete val="1"/>
            </c:dLbl>
            <c:dLbl>
              <c:idx val="12"/>
              <c:delete val="1"/>
            </c:dLbl>
            <c:dLbl>
              <c:idx val="13"/>
              <c:delete val="1"/>
            </c:dLbl>
            <c:dLbl>
              <c:idx val="14"/>
              <c:delete val="1"/>
            </c:dLbl>
            <c:dLbl>
              <c:idx val="15"/>
              <c:layout>
                <c:manualLayout>
                  <c:x val="-2.4110910186859652E-2"/>
                  <c:y val="4.7477744807122024E-2"/>
                </c:manualLayout>
              </c:layout>
              <c:showVal val="1"/>
            </c:dLbl>
            <c:dLbl>
              <c:idx val="16"/>
              <c:layout>
                <c:manualLayout>
                  <c:x val="-2.8933092224231471E-2"/>
                  <c:y val="5.1434223541049033E-2"/>
                </c:manualLayout>
              </c:layout>
              <c:showVal val="1"/>
            </c:dLbl>
            <c:txPr>
              <a:bodyPr/>
              <a:lstStyle/>
              <a:p>
                <a:pPr>
                  <a:defRPr sz="800" baseline="0">
                    <a:latin typeface="Times New Roman" pitchFamily="18" charset="0"/>
                    <a:ea typeface="標楷體" pitchFamily="65" charset="-120"/>
                  </a:defRPr>
                </a:pPr>
                <a:endParaRPr lang="zh-TW"/>
              </a:p>
            </c:txPr>
            <c:showVal val="1"/>
          </c:dLbls>
          <c:cat>
            <c:strRef>
              <c:f>'圖9-data'!$A$12:$A$22</c:f>
              <c:strCache>
                <c:ptCount val="11"/>
                <c:pt idx="0">
                  <c:v>2001</c:v>
                </c:pt>
                <c:pt idx="1">
                  <c:v>2002</c:v>
                </c:pt>
                <c:pt idx="2">
                  <c:v>2003</c:v>
                </c:pt>
                <c:pt idx="3">
                  <c:v>2004</c:v>
                </c:pt>
                <c:pt idx="4">
                  <c:v>2005</c:v>
                </c:pt>
                <c:pt idx="5">
                  <c:v>2006</c:v>
                </c:pt>
                <c:pt idx="6">
                  <c:v>2007</c:v>
                </c:pt>
                <c:pt idx="7">
                  <c:v>2008</c:v>
                </c:pt>
                <c:pt idx="8">
                  <c:v>2009</c:v>
                </c:pt>
                <c:pt idx="9">
                  <c:v>2010</c:v>
                </c:pt>
                <c:pt idx="10">
                  <c:v>2011</c:v>
                </c:pt>
              </c:strCache>
            </c:strRef>
          </c:cat>
          <c:val>
            <c:numRef>
              <c:f>'圖9-data'!$D$12:$D$22</c:f>
              <c:numCache>
                <c:formatCode>##,###,</c:formatCode>
                <c:ptCount val="11"/>
                <c:pt idx="0">
                  <c:v>19200</c:v>
                </c:pt>
                <c:pt idx="1">
                  <c:v>19200</c:v>
                </c:pt>
                <c:pt idx="2">
                  <c:v>19200</c:v>
                </c:pt>
                <c:pt idx="3">
                  <c:v>19200</c:v>
                </c:pt>
                <c:pt idx="4">
                  <c:v>19200</c:v>
                </c:pt>
                <c:pt idx="5">
                  <c:v>19200</c:v>
                </c:pt>
                <c:pt idx="6">
                  <c:v>21000</c:v>
                </c:pt>
                <c:pt idx="7">
                  <c:v>21000</c:v>
                </c:pt>
                <c:pt idx="8">
                  <c:v>21000</c:v>
                </c:pt>
                <c:pt idx="9">
                  <c:v>21000</c:v>
                </c:pt>
                <c:pt idx="10">
                  <c:v>21900</c:v>
                </c:pt>
              </c:numCache>
            </c:numRef>
          </c:val>
        </c:ser>
        <c:marker val="1"/>
        <c:axId val="276974592"/>
        <c:axId val="276996864"/>
      </c:lineChart>
      <c:catAx>
        <c:axId val="276974592"/>
        <c:scaling>
          <c:orientation val="minMax"/>
        </c:scaling>
        <c:axPos val="b"/>
        <c:numFmt formatCode="General" sourceLinked="1"/>
        <c:majorTickMark val="in"/>
        <c:tickLblPos val="nextTo"/>
        <c:txPr>
          <a:bodyPr rot="0" vert="horz"/>
          <a:lstStyle/>
          <a:p>
            <a:pPr>
              <a:defRPr sz="800" b="0" i="0" u="none" strike="noStrike" baseline="0">
                <a:solidFill>
                  <a:srgbClr val="000000"/>
                </a:solidFill>
                <a:latin typeface="Times New Roman" pitchFamily="18" charset="0"/>
                <a:ea typeface="新細明體" pitchFamily="18" charset="-120"/>
                <a:cs typeface="Times New Roman" pitchFamily="18" charset="0"/>
              </a:defRPr>
            </a:pPr>
            <a:endParaRPr lang="zh-TW"/>
          </a:p>
        </c:txPr>
        <c:crossAx val="276996864"/>
        <c:crossesAt val="0"/>
        <c:auto val="1"/>
        <c:lblAlgn val="ctr"/>
        <c:lblOffset val="100"/>
      </c:catAx>
      <c:valAx>
        <c:axId val="276996864"/>
        <c:scaling>
          <c:orientation val="minMax"/>
        </c:scaling>
        <c:axPos val="l"/>
        <c:title>
          <c:tx>
            <c:rich>
              <a:bodyPr rot="0" vert="horz"/>
              <a:lstStyle/>
              <a:p>
                <a:pPr algn="ctr">
                  <a:defRPr sz="800" b="0" i="0" u="none" strike="noStrike" baseline="0">
                    <a:solidFill>
                      <a:srgbClr val="000000"/>
                    </a:solidFill>
                    <a:latin typeface="Times New Roman" pitchFamily="18" charset="0"/>
                    <a:ea typeface="標楷體"/>
                    <a:cs typeface="Times New Roman" pitchFamily="18" charset="0"/>
                  </a:defRPr>
                </a:pPr>
                <a:r>
                  <a:rPr lang="en-US" altLang="zh-TW" sz="800" b="0" i="0" baseline="0">
                    <a:latin typeface="Times New Roman" pitchFamily="18" charset="0"/>
                    <a:cs typeface="Times New Roman" pitchFamily="18" charset="0"/>
                  </a:rPr>
                  <a:t>1,000 NT$</a:t>
                </a:r>
                <a:endParaRPr lang="zh-TW" altLang="zh-TW" sz="800" b="0" i="0" baseline="0">
                  <a:latin typeface="Times New Roman" pitchFamily="18" charset="0"/>
                  <a:cs typeface="Times New Roman" pitchFamily="18" charset="0"/>
                </a:endParaRPr>
              </a:p>
            </c:rich>
          </c:tx>
          <c:layout>
            <c:manualLayout>
              <c:xMode val="edge"/>
              <c:yMode val="edge"/>
              <c:x val="3.1405884391033402E-2"/>
              <c:y val="0.10467378521305125"/>
            </c:manualLayout>
          </c:layout>
          <c:spPr>
            <a:noFill/>
            <a:ln w="25400">
              <a:noFill/>
            </a:ln>
          </c:spPr>
        </c:title>
        <c:numFmt formatCode="##,###," sourceLinked="1"/>
        <c:majorTickMark val="in"/>
        <c:tickLblPos val="nextTo"/>
        <c:txPr>
          <a:bodyPr rot="0" vert="horz"/>
          <a:lstStyle/>
          <a:p>
            <a:pPr>
              <a:defRPr sz="800" b="0" i="0" u="none" strike="noStrike" baseline="0">
                <a:solidFill>
                  <a:srgbClr val="000000"/>
                </a:solidFill>
                <a:latin typeface="Times New Roman" pitchFamily="18" charset="0"/>
                <a:ea typeface="Times New Roman"/>
                <a:cs typeface="Times New Roman" pitchFamily="18" charset="0"/>
              </a:defRPr>
            </a:pPr>
            <a:endParaRPr lang="zh-TW"/>
          </a:p>
        </c:txPr>
        <c:crossAx val="276974592"/>
        <c:crosses val="autoZero"/>
        <c:crossBetween val="between"/>
      </c:valAx>
    </c:plotArea>
    <c:legend>
      <c:legendPos val="r"/>
      <c:layout>
        <c:manualLayout>
          <c:xMode val="edge"/>
          <c:yMode val="edge"/>
          <c:x val="0.26308295002728632"/>
          <c:y val="0.75418177724194568"/>
          <c:w val="0.51228814220004659"/>
          <c:h val="7.7577730894367591E-2"/>
        </c:manualLayout>
      </c:layout>
      <c:spPr>
        <a:ln cmpd="sng">
          <a:prstDash val="solid"/>
        </a:ln>
      </c:spPr>
      <c:txPr>
        <a:bodyPr/>
        <a:lstStyle/>
        <a:p>
          <a:pPr>
            <a:defRPr sz="800" b="0" i="0" u="none" strike="noStrike" baseline="0">
              <a:solidFill>
                <a:srgbClr val="000000"/>
              </a:solidFill>
              <a:latin typeface="Times New Roman" pitchFamily="18" charset="0"/>
              <a:ea typeface="標楷體"/>
              <a:cs typeface="Times New Roman" pitchFamily="18" charset="0"/>
            </a:defRPr>
          </a:pPr>
          <a:endParaRPr lang="zh-TW"/>
        </a:p>
      </c:txPr>
    </c:legend>
    <c:plotVisOnly val="1"/>
    <c:dispBlanksAs val="gap"/>
  </c:chart>
  <c:spPr>
    <a:noFill/>
    <a:ln w="10000">
      <a:noFill/>
    </a:ln>
    <a:effectLst>
      <a:glow rad="63500">
        <a:schemeClr val="accent2">
          <a:satMod val="175000"/>
          <a:alpha val="40000"/>
        </a:schemeClr>
      </a:glow>
    </a:effectLst>
  </c:spPr>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zh-TW"/>
  <c:style val="5"/>
  <c:chart>
    <c:autoTitleDeleted val="1"/>
    <c:plotArea>
      <c:layout>
        <c:manualLayout>
          <c:layoutTarget val="inner"/>
          <c:xMode val="edge"/>
          <c:yMode val="edge"/>
          <c:x val="8.4616386422017048E-2"/>
          <c:y val="0.19187585700944318"/>
          <c:w val="0.83396381388399565"/>
          <c:h val="0.73129538807649064"/>
        </c:manualLayout>
      </c:layout>
      <c:barChart>
        <c:barDir val="col"/>
        <c:grouping val="stacked"/>
        <c:ser>
          <c:idx val="0"/>
          <c:order val="0"/>
          <c:tx>
            <c:strRef>
              <c:f>'圖10-data'!$C$10</c:f>
              <c:strCache>
                <c:ptCount val="1"/>
                <c:pt idx="0">
                  <c:v>Beneficiaries</c:v>
                </c:pt>
              </c:strCache>
            </c:strRef>
          </c:tx>
          <c:spPr>
            <a:solidFill>
              <a:srgbClr val="D7E4BD"/>
            </a:solidFill>
            <a:effectLst/>
          </c:spPr>
          <c:dLbls>
            <c:dLbl>
              <c:idx val="1"/>
              <c:delete val="1"/>
            </c:dLbl>
            <c:dLbl>
              <c:idx val="2"/>
              <c:delete val="1"/>
            </c:dLbl>
            <c:dLbl>
              <c:idx val="3"/>
              <c:delete val="1"/>
            </c:dLbl>
            <c:dLbl>
              <c:idx val="4"/>
              <c:delete val="1"/>
            </c:dLbl>
            <c:dLbl>
              <c:idx val="5"/>
              <c:showVal val="1"/>
            </c:dLbl>
            <c:dLbl>
              <c:idx val="6"/>
              <c:delete val="1"/>
            </c:dLbl>
            <c:dLbl>
              <c:idx val="7"/>
              <c:delete val="1"/>
            </c:dLbl>
            <c:dLbl>
              <c:idx val="8"/>
              <c:delete val="1"/>
            </c:dLbl>
            <c:dLbl>
              <c:idx val="9"/>
              <c:delete val="1"/>
            </c:dLbl>
            <c:dLbl>
              <c:idx val="10"/>
              <c:layout>
                <c:manualLayout>
                  <c:x val="0"/>
                  <c:y val="-8.1102980093880228E-2"/>
                </c:manualLayout>
              </c:layout>
              <c:showVal val="1"/>
            </c:dLbl>
            <c:dLbl>
              <c:idx val="11"/>
              <c:delete val="1"/>
            </c:dLbl>
            <c:dLbl>
              <c:idx val="12"/>
              <c:delete val="1"/>
            </c:dLbl>
            <c:dLbl>
              <c:idx val="13"/>
              <c:delete val="1"/>
            </c:dLbl>
            <c:dLbl>
              <c:idx val="14"/>
              <c:delete val="1"/>
            </c:dLbl>
            <c:numFmt formatCode="##,##0,,," sourceLinked="0"/>
            <c:txPr>
              <a:bodyPr/>
              <a:lstStyle/>
              <a:p>
                <a:pPr>
                  <a:defRPr sz="800" baseline="0">
                    <a:latin typeface="Times New Roman" pitchFamily="18" charset="0"/>
                    <a:ea typeface="標楷體" pitchFamily="65" charset="-120"/>
                    <a:cs typeface="Times New Roman" pitchFamily="18" charset="0"/>
                  </a:defRPr>
                </a:pPr>
                <a:endParaRPr lang="zh-TW"/>
              </a:p>
            </c:txPr>
            <c:dLblPos val="inEnd"/>
            <c:showVal val="1"/>
          </c:dLbls>
          <c:cat>
            <c:strRef>
              <c:f>'圖10-data'!$B$11:$B$21</c:f>
              <c:strCache>
                <c:ptCount val="11"/>
                <c:pt idx="0">
                  <c:v>2001</c:v>
                </c:pt>
                <c:pt idx="1">
                  <c:v>2002</c:v>
                </c:pt>
                <c:pt idx="2">
                  <c:v>2003</c:v>
                </c:pt>
                <c:pt idx="3">
                  <c:v>2004</c:v>
                </c:pt>
                <c:pt idx="4">
                  <c:v>2005</c:v>
                </c:pt>
                <c:pt idx="5">
                  <c:v>2006</c:v>
                </c:pt>
                <c:pt idx="6">
                  <c:v>2007</c:v>
                </c:pt>
                <c:pt idx="7">
                  <c:v>2008</c:v>
                </c:pt>
                <c:pt idx="8">
                  <c:v>2009</c:v>
                </c:pt>
                <c:pt idx="9">
                  <c:v>2010</c:v>
                </c:pt>
                <c:pt idx="10">
                  <c:v>2011</c:v>
                </c:pt>
              </c:strCache>
            </c:strRef>
          </c:cat>
          <c:val>
            <c:numRef>
              <c:f>'圖10-data'!$C$11:$C$21</c:f>
              <c:numCache>
                <c:formatCode>#,##0_ </c:formatCode>
                <c:ptCount val="11"/>
                <c:pt idx="0">
                  <c:v>115355243119</c:v>
                </c:pt>
                <c:pt idx="1">
                  <c:v>118317366946</c:v>
                </c:pt>
                <c:pt idx="2">
                  <c:v>125768313450</c:v>
                </c:pt>
                <c:pt idx="3">
                  <c:v>130650942165</c:v>
                </c:pt>
                <c:pt idx="4">
                  <c:v>134921752722</c:v>
                </c:pt>
                <c:pt idx="5">
                  <c:v>139358185303</c:v>
                </c:pt>
                <c:pt idx="6">
                  <c:v>142921203026</c:v>
                </c:pt>
                <c:pt idx="7">
                  <c:v>148027309508</c:v>
                </c:pt>
                <c:pt idx="8">
                  <c:v>148417846141</c:v>
                </c:pt>
                <c:pt idx="9">
                  <c:v>166370749204</c:v>
                </c:pt>
                <c:pt idx="10">
                  <c:v>176458688917</c:v>
                </c:pt>
              </c:numCache>
            </c:numRef>
          </c:val>
        </c:ser>
        <c:ser>
          <c:idx val="1"/>
          <c:order val="1"/>
          <c:tx>
            <c:strRef>
              <c:f>'圖10-data'!$D$10</c:f>
              <c:strCache>
                <c:ptCount val="1"/>
                <c:pt idx="0">
                  <c:v>Group Insurance Applicants</c:v>
                </c:pt>
              </c:strCache>
            </c:strRef>
          </c:tx>
          <c:spPr>
            <a:solidFill>
              <a:srgbClr val="FFFF99"/>
            </a:solidFill>
          </c:spPr>
          <c:invertIfNegative val="1"/>
          <c:dLbls>
            <c:dLbl>
              <c:idx val="1"/>
              <c:delete val="1"/>
            </c:dLbl>
            <c:dLbl>
              <c:idx val="2"/>
              <c:delete val="1"/>
            </c:dLbl>
            <c:dLbl>
              <c:idx val="3"/>
              <c:delete val="1"/>
            </c:dLbl>
            <c:dLbl>
              <c:idx val="4"/>
              <c:delete val="1"/>
            </c:dLbl>
            <c:dLbl>
              <c:idx val="5"/>
              <c:showVal val="1"/>
            </c:dLbl>
            <c:dLbl>
              <c:idx val="6"/>
              <c:delete val="1"/>
            </c:dLbl>
            <c:dLbl>
              <c:idx val="7"/>
              <c:delete val="1"/>
            </c:dLbl>
            <c:dLbl>
              <c:idx val="8"/>
              <c:delete val="1"/>
            </c:dLbl>
            <c:dLbl>
              <c:idx val="9"/>
              <c:delete val="1"/>
            </c:dLbl>
            <c:dLbl>
              <c:idx val="10"/>
              <c:layout>
                <c:manualLayout>
                  <c:x val="2.0294266869609412E-3"/>
                  <c:y val="-8.1102980093880228E-2"/>
                </c:manualLayout>
              </c:layout>
              <c:showVal val="1"/>
            </c:dLbl>
            <c:dLbl>
              <c:idx val="11"/>
              <c:delete val="1"/>
            </c:dLbl>
            <c:dLbl>
              <c:idx val="12"/>
              <c:delete val="1"/>
            </c:dLbl>
            <c:dLbl>
              <c:idx val="13"/>
              <c:delete val="1"/>
            </c:dLbl>
            <c:dLbl>
              <c:idx val="14"/>
              <c:delete val="1"/>
            </c:dLbl>
            <c:dLbl>
              <c:idx val="15"/>
              <c:layout>
                <c:manualLayout>
                  <c:x val="2.0294266869609412E-3"/>
                  <c:y val="-6.9524795288414973E-2"/>
                </c:manualLayout>
              </c:layout>
              <c:dLblPos val="ctr"/>
              <c:showVal val="1"/>
            </c:dLbl>
            <c:numFmt formatCode="##,##0,,," sourceLinked="0"/>
            <c:txPr>
              <a:bodyPr/>
              <a:lstStyle/>
              <a:p>
                <a:pPr>
                  <a:defRPr sz="800" baseline="0">
                    <a:latin typeface="Times New Roman" pitchFamily="18" charset="0"/>
                    <a:ea typeface="標楷體" pitchFamily="65" charset="-120"/>
                    <a:cs typeface="Times New Roman" pitchFamily="18" charset="0"/>
                  </a:defRPr>
                </a:pPr>
                <a:endParaRPr lang="zh-TW"/>
              </a:p>
            </c:txPr>
            <c:dLblPos val="inEnd"/>
            <c:showVal val="1"/>
          </c:dLbls>
          <c:cat>
            <c:strRef>
              <c:f>'圖10-data'!$B$11:$B$21</c:f>
              <c:strCache>
                <c:ptCount val="11"/>
                <c:pt idx="0">
                  <c:v>2001</c:v>
                </c:pt>
                <c:pt idx="1">
                  <c:v>2002</c:v>
                </c:pt>
                <c:pt idx="2">
                  <c:v>2003</c:v>
                </c:pt>
                <c:pt idx="3">
                  <c:v>2004</c:v>
                </c:pt>
                <c:pt idx="4">
                  <c:v>2005</c:v>
                </c:pt>
                <c:pt idx="5">
                  <c:v>2006</c:v>
                </c:pt>
                <c:pt idx="6">
                  <c:v>2007</c:v>
                </c:pt>
                <c:pt idx="7">
                  <c:v>2008</c:v>
                </c:pt>
                <c:pt idx="8">
                  <c:v>2009</c:v>
                </c:pt>
                <c:pt idx="9">
                  <c:v>2010</c:v>
                </c:pt>
                <c:pt idx="10">
                  <c:v>2011</c:v>
                </c:pt>
              </c:strCache>
            </c:strRef>
          </c:cat>
          <c:val>
            <c:numRef>
              <c:f>'圖10-data'!$D$11:$D$21</c:f>
              <c:numCache>
                <c:formatCode>#,##0_ </c:formatCode>
                <c:ptCount val="11"/>
                <c:pt idx="0">
                  <c:v>93566224898</c:v>
                </c:pt>
                <c:pt idx="1">
                  <c:v>101228502620</c:v>
                </c:pt>
                <c:pt idx="2">
                  <c:v>116725242428</c:v>
                </c:pt>
                <c:pt idx="3">
                  <c:v>121791847238</c:v>
                </c:pt>
                <c:pt idx="4">
                  <c:v>128533301869</c:v>
                </c:pt>
                <c:pt idx="5">
                  <c:v>134778148411</c:v>
                </c:pt>
                <c:pt idx="6">
                  <c:v>133196412273</c:v>
                </c:pt>
                <c:pt idx="7">
                  <c:v>137645491862</c:v>
                </c:pt>
                <c:pt idx="8">
                  <c:v>136656499868</c:v>
                </c:pt>
                <c:pt idx="9">
                  <c:v>159505367212</c:v>
                </c:pt>
                <c:pt idx="10">
                  <c:v>174165740422</c:v>
                </c:pt>
              </c:numCache>
            </c:numRef>
          </c:val>
        </c:ser>
        <c:ser>
          <c:idx val="2"/>
          <c:order val="2"/>
          <c:tx>
            <c:strRef>
              <c:f>'圖10-data'!$E$10</c:f>
              <c:strCache>
                <c:ptCount val="1"/>
                <c:pt idx="0">
                  <c:v>Government Subsidies</c:v>
                </c:pt>
              </c:strCache>
            </c:strRef>
          </c:tx>
          <c:spPr>
            <a:solidFill>
              <a:srgbClr val="FFD5AB"/>
            </a:solidFill>
          </c:spPr>
          <c:dLbls>
            <c:dLbl>
              <c:idx val="1"/>
              <c:delete val="1"/>
            </c:dLbl>
            <c:dLbl>
              <c:idx val="2"/>
              <c:delete val="1"/>
            </c:dLbl>
            <c:dLbl>
              <c:idx val="3"/>
              <c:delete val="1"/>
            </c:dLbl>
            <c:dLbl>
              <c:idx val="4"/>
              <c:delete val="1"/>
            </c:dLbl>
            <c:dLbl>
              <c:idx val="5"/>
              <c:showVal val="1"/>
            </c:dLbl>
            <c:dLbl>
              <c:idx val="6"/>
              <c:delete val="1"/>
            </c:dLbl>
            <c:dLbl>
              <c:idx val="7"/>
              <c:delete val="1"/>
            </c:dLbl>
            <c:dLbl>
              <c:idx val="8"/>
              <c:delete val="1"/>
            </c:dLbl>
            <c:dLbl>
              <c:idx val="9"/>
              <c:delete val="1"/>
            </c:dLbl>
            <c:dLbl>
              <c:idx val="10"/>
              <c:layout>
                <c:manualLayout>
                  <c:x val="-2.0294266869609412E-3"/>
                  <c:y val="-3.2441192037552212E-2"/>
                </c:manualLayout>
              </c:layout>
              <c:showVal val="1"/>
            </c:dLbl>
            <c:dLbl>
              <c:idx val="11"/>
              <c:delete val="1"/>
            </c:dLbl>
            <c:dLbl>
              <c:idx val="12"/>
              <c:delete val="1"/>
            </c:dLbl>
            <c:dLbl>
              <c:idx val="13"/>
              <c:delete val="1"/>
            </c:dLbl>
            <c:dLbl>
              <c:idx val="14"/>
              <c:delete val="1"/>
            </c:dLbl>
            <c:dLbl>
              <c:idx val="15"/>
              <c:layout>
                <c:manualLayout>
                  <c:x val="0"/>
                  <c:y val="-8.3080871038342968E-2"/>
                </c:manualLayout>
              </c:layout>
              <c:dLblPos val="ctr"/>
              <c:showVal val="1"/>
            </c:dLbl>
            <c:dLbl>
              <c:idx val="16"/>
              <c:layout>
                <c:manualLayout>
                  <c:x val="2.0294266869609412E-3"/>
                  <c:y val="-9.7693967675289747E-2"/>
                </c:manualLayout>
              </c:layout>
              <c:dLblPos val="ctr"/>
              <c:showVal val="1"/>
            </c:dLbl>
            <c:numFmt formatCode="##,##0,,," sourceLinked="0"/>
            <c:txPr>
              <a:bodyPr/>
              <a:lstStyle/>
              <a:p>
                <a:pPr>
                  <a:defRPr sz="800" baseline="0">
                    <a:latin typeface="Times New Roman" pitchFamily="18" charset="0"/>
                    <a:ea typeface="標楷體" pitchFamily="65" charset="-120"/>
                    <a:cs typeface="Times New Roman" pitchFamily="18" charset="0"/>
                  </a:defRPr>
                </a:pPr>
                <a:endParaRPr lang="zh-TW"/>
              </a:p>
            </c:txPr>
            <c:dLblPos val="inEnd"/>
            <c:showVal val="1"/>
          </c:dLbls>
          <c:cat>
            <c:strRef>
              <c:f>'圖10-data'!$B$11:$B$21</c:f>
              <c:strCache>
                <c:ptCount val="11"/>
                <c:pt idx="0">
                  <c:v>2001</c:v>
                </c:pt>
                <c:pt idx="1">
                  <c:v>2002</c:v>
                </c:pt>
                <c:pt idx="2">
                  <c:v>2003</c:v>
                </c:pt>
                <c:pt idx="3">
                  <c:v>2004</c:v>
                </c:pt>
                <c:pt idx="4">
                  <c:v>2005</c:v>
                </c:pt>
                <c:pt idx="5">
                  <c:v>2006</c:v>
                </c:pt>
                <c:pt idx="6">
                  <c:v>2007</c:v>
                </c:pt>
                <c:pt idx="7">
                  <c:v>2008</c:v>
                </c:pt>
                <c:pt idx="8">
                  <c:v>2009</c:v>
                </c:pt>
                <c:pt idx="9">
                  <c:v>2010</c:v>
                </c:pt>
                <c:pt idx="10">
                  <c:v>2011</c:v>
                </c:pt>
              </c:strCache>
            </c:strRef>
          </c:cat>
          <c:val>
            <c:numRef>
              <c:f>'圖10-data'!$E$11:$E$21</c:f>
              <c:numCache>
                <c:formatCode>#,##0_ </c:formatCode>
                <c:ptCount val="11"/>
                <c:pt idx="0">
                  <c:v>81148997828</c:v>
                </c:pt>
                <c:pt idx="1">
                  <c:v>83015768613</c:v>
                </c:pt>
                <c:pt idx="2">
                  <c:v>87806250984</c:v>
                </c:pt>
                <c:pt idx="3">
                  <c:v>90702748475</c:v>
                </c:pt>
                <c:pt idx="4">
                  <c:v>91719240968</c:v>
                </c:pt>
                <c:pt idx="5">
                  <c:v>93450682599</c:v>
                </c:pt>
                <c:pt idx="6">
                  <c:v>93884800448</c:v>
                </c:pt>
                <c:pt idx="7">
                  <c:v>98316590824</c:v>
                </c:pt>
                <c:pt idx="8">
                  <c:v>100119742791</c:v>
                </c:pt>
                <c:pt idx="9">
                  <c:v>111500840244</c:v>
                </c:pt>
                <c:pt idx="10">
                  <c:v>118174720829</c:v>
                </c:pt>
              </c:numCache>
            </c:numRef>
          </c:val>
        </c:ser>
        <c:dLbls>
          <c:showVal val="1"/>
        </c:dLbls>
        <c:gapWidth val="54"/>
        <c:overlap val="100"/>
        <c:axId val="277084032"/>
        <c:axId val="277085568"/>
      </c:barChart>
      <c:lineChart>
        <c:grouping val="standard"/>
        <c:ser>
          <c:idx val="3"/>
          <c:order val="3"/>
          <c:tx>
            <c:strRef>
              <c:f>'圖10-data'!$G$10</c:f>
              <c:strCache>
                <c:ptCount val="1"/>
                <c:pt idx="0">
                  <c:v>Growth Rate</c:v>
                </c:pt>
              </c:strCache>
            </c:strRef>
          </c:tx>
          <c:spPr>
            <a:ln w="38100">
              <a:solidFill>
                <a:srgbClr val="AF92E2"/>
              </a:solidFill>
            </a:ln>
          </c:spPr>
          <c:marker>
            <c:symbol val="circle"/>
            <c:size val="6"/>
            <c:spPr>
              <a:gradFill flip="none" rotWithShape="1">
                <a:gsLst>
                  <a:gs pos="32000">
                    <a:srgbClr val="A557FB"/>
                  </a:gs>
                  <a:gs pos="50000">
                    <a:srgbClr val="FF388C">
                      <a:tint val="44500"/>
                      <a:satMod val="160000"/>
                    </a:srgbClr>
                  </a:gs>
                  <a:gs pos="100000">
                    <a:srgbClr val="FF388C">
                      <a:tint val="23500"/>
                      <a:satMod val="160000"/>
                    </a:srgbClr>
                  </a:gs>
                </a:gsLst>
                <a:path path="circle">
                  <a:fillToRect l="50000" t="50000" r="50000" b="50000"/>
                </a:path>
                <a:tileRect/>
              </a:gradFill>
              <a:ln>
                <a:solidFill>
                  <a:srgbClr val="AF92E2"/>
                </a:solidFill>
              </a:ln>
              <a:scene3d>
                <a:camera prst="orthographicFront"/>
                <a:lightRig rig="threePt" dir="t"/>
              </a:scene3d>
              <a:sp3d>
                <a:bevelT w="190500" h="38100"/>
              </a:sp3d>
            </c:spPr>
          </c:marker>
          <c:dLbls>
            <c:dLbl>
              <c:idx val="0"/>
              <c:layout>
                <c:manualLayout>
                  <c:x val="-4.0588533739218833E-3"/>
                  <c:y val="-4.5548669095276922E-3"/>
                </c:manualLayout>
              </c:layout>
              <c:dLblPos val="r"/>
              <c:showVal val="1"/>
            </c:dLbl>
            <c:dLbl>
              <c:idx val="1"/>
              <c:delete val="1"/>
            </c:dLbl>
            <c:dLbl>
              <c:idx val="2"/>
              <c:delete val="1"/>
            </c:dLbl>
            <c:dLbl>
              <c:idx val="3"/>
              <c:delete val="1"/>
            </c:dLbl>
            <c:dLbl>
              <c:idx val="4"/>
              <c:delete val="1"/>
            </c:dLbl>
            <c:dLbl>
              <c:idx val="5"/>
              <c:layout>
                <c:manualLayout>
                  <c:x val="0"/>
                  <c:y val="-5.2490194972431613E-3"/>
                </c:manualLayout>
              </c:layout>
              <c:showVal val="1"/>
            </c:dLbl>
            <c:dLbl>
              <c:idx val="6"/>
              <c:delete val="1"/>
            </c:dLbl>
            <c:dLbl>
              <c:idx val="7"/>
              <c:delete val="1"/>
            </c:dLbl>
            <c:dLbl>
              <c:idx val="8"/>
              <c:delete val="1"/>
            </c:dLbl>
            <c:dLbl>
              <c:idx val="9"/>
              <c:delete val="1"/>
            </c:dLbl>
            <c:dLbl>
              <c:idx val="10"/>
              <c:layout>
                <c:manualLayout>
                  <c:x val="-2.0294266869609412E-3"/>
                  <c:y val="3.3752313706106492E-3"/>
                </c:manualLayout>
              </c:layout>
              <c:showVal val="1"/>
            </c:dLbl>
            <c:dLbl>
              <c:idx val="11"/>
              <c:delete val="1"/>
            </c:dLbl>
            <c:dLbl>
              <c:idx val="12"/>
              <c:delete val="1"/>
            </c:dLbl>
            <c:dLbl>
              <c:idx val="13"/>
              <c:delete val="1"/>
            </c:dLbl>
            <c:dLbl>
              <c:idx val="14"/>
              <c:delete val="1"/>
            </c:dLbl>
            <c:numFmt formatCode="#,##0.0_);[Red]\(#,##0.0\)" sourceLinked="0"/>
            <c:txPr>
              <a:bodyPr/>
              <a:lstStyle/>
              <a:p>
                <a:pPr>
                  <a:defRPr sz="800" b="0" baseline="0">
                    <a:solidFill>
                      <a:schemeClr val="accent4">
                        <a:lumMod val="50000"/>
                      </a:schemeClr>
                    </a:solidFill>
                    <a:latin typeface="Times New Roman" pitchFamily="18" charset="0"/>
                    <a:ea typeface="標楷體" pitchFamily="65" charset="-120"/>
                  </a:defRPr>
                </a:pPr>
                <a:endParaRPr lang="zh-TW"/>
              </a:p>
            </c:txPr>
            <c:dLblPos val="t"/>
            <c:showVal val="1"/>
          </c:dLbls>
          <c:cat>
            <c:strRef>
              <c:f>'圖10-data'!$B$11:$B$21</c:f>
              <c:strCache>
                <c:ptCount val="11"/>
                <c:pt idx="0">
                  <c:v>2001</c:v>
                </c:pt>
                <c:pt idx="1">
                  <c:v>2002</c:v>
                </c:pt>
                <c:pt idx="2">
                  <c:v>2003</c:v>
                </c:pt>
                <c:pt idx="3">
                  <c:v>2004</c:v>
                </c:pt>
                <c:pt idx="4">
                  <c:v>2005</c:v>
                </c:pt>
                <c:pt idx="5">
                  <c:v>2006</c:v>
                </c:pt>
                <c:pt idx="6">
                  <c:v>2007</c:v>
                </c:pt>
                <c:pt idx="7">
                  <c:v>2008</c:v>
                </c:pt>
                <c:pt idx="8">
                  <c:v>2009</c:v>
                </c:pt>
                <c:pt idx="9">
                  <c:v>2010</c:v>
                </c:pt>
                <c:pt idx="10">
                  <c:v>2011</c:v>
                </c:pt>
              </c:strCache>
            </c:strRef>
          </c:cat>
          <c:val>
            <c:numRef>
              <c:f>'圖10-data'!$G$11:$G$21</c:f>
              <c:numCache>
                <c:formatCode>#,##0.00_ </c:formatCode>
                <c:ptCount val="11"/>
                <c:pt idx="0">
                  <c:v>0.81604744846277744</c:v>
                </c:pt>
                <c:pt idx="1">
                  <c:v>4.3062544466952755</c:v>
                </c:pt>
                <c:pt idx="2">
                  <c:v>9.1677744904956171</c:v>
                </c:pt>
                <c:pt idx="3">
                  <c:v>3.8891124817905132</c:v>
                </c:pt>
                <c:pt idx="4">
                  <c:v>3.5054390493856946</c:v>
                </c:pt>
                <c:pt idx="5">
                  <c:v>3.4948251912385522</c:v>
                </c:pt>
                <c:pt idx="6">
                  <c:v>0.6570959600878078</c:v>
                </c:pt>
                <c:pt idx="7">
                  <c:v>3.7802392232390236</c:v>
                </c:pt>
                <c:pt idx="8">
                  <c:v>0.31373174116000602</c:v>
                </c:pt>
                <c:pt idx="9">
                  <c:v>13.547162165070013</c:v>
                </c:pt>
                <c:pt idx="10">
                  <c:v>7.1842361673448707</c:v>
                </c:pt>
              </c:numCache>
            </c:numRef>
          </c:val>
        </c:ser>
        <c:marker val="1"/>
        <c:axId val="277220352"/>
        <c:axId val="277218816"/>
      </c:lineChart>
      <c:catAx>
        <c:axId val="277084032"/>
        <c:scaling>
          <c:orientation val="minMax"/>
        </c:scaling>
        <c:axPos val="b"/>
        <c:numFmt formatCode="General" sourceLinked="1"/>
        <c:majorTickMark val="none"/>
        <c:tickLblPos val="nextTo"/>
        <c:txPr>
          <a:bodyPr rot="0" vert="horz" anchor="b" anchorCtr="0"/>
          <a:lstStyle/>
          <a:p>
            <a:pPr>
              <a:defRPr sz="800" baseline="0">
                <a:latin typeface="Times New Roman" pitchFamily="18" charset="0"/>
                <a:ea typeface="標楷體" pitchFamily="65" charset="-120"/>
                <a:cs typeface="Times New Roman" pitchFamily="18" charset="0"/>
              </a:defRPr>
            </a:pPr>
            <a:endParaRPr lang="zh-TW"/>
          </a:p>
        </c:txPr>
        <c:crossAx val="277085568"/>
        <c:crosses val="autoZero"/>
        <c:lblAlgn val="ctr"/>
        <c:lblOffset val="100"/>
        <c:tickLblSkip val="1"/>
      </c:catAx>
      <c:valAx>
        <c:axId val="277085568"/>
        <c:scaling>
          <c:orientation val="minMax"/>
        </c:scaling>
        <c:axPos val="l"/>
        <c:title>
          <c:tx>
            <c:rich>
              <a:bodyPr rot="0" vert="horz"/>
              <a:lstStyle/>
              <a:p>
                <a:pPr>
                  <a:defRPr sz="800" b="0">
                    <a:latin typeface="標楷體" pitchFamily="65" charset="-120"/>
                    <a:ea typeface="標楷體" pitchFamily="65" charset="-120"/>
                  </a:defRPr>
                </a:pPr>
                <a:r>
                  <a:rPr lang="en-US" altLang="zh-TW" sz="800" b="0" i="0" baseline="0">
                    <a:latin typeface="Times New Roman" pitchFamily="18" charset="0"/>
                    <a:cs typeface="Times New Roman" pitchFamily="18" charset="0"/>
                  </a:rPr>
                  <a:t>Billion NT$</a:t>
                </a:r>
                <a:endParaRPr lang="zh-TW" altLang="zh-TW" sz="800" b="0" i="0" baseline="0">
                  <a:latin typeface="Times New Roman" pitchFamily="18" charset="0"/>
                  <a:cs typeface="Times New Roman" pitchFamily="18" charset="0"/>
                </a:endParaRPr>
              </a:p>
            </c:rich>
          </c:tx>
          <c:layout>
            <c:manualLayout>
              <c:xMode val="edge"/>
              <c:yMode val="edge"/>
              <c:x val="1.8409133810853261E-2"/>
              <c:y val="9.5095610098524325E-2"/>
            </c:manualLayout>
          </c:layout>
        </c:title>
        <c:numFmt formatCode="##,##0,,," sourceLinked="0"/>
        <c:majorTickMark val="in"/>
        <c:tickLblPos val="nextTo"/>
        <c:txPr>
          <a:bodyPr rot="0" vert="horz"/>
          <a:lstStyle/>
          <a:p>
            <a:pPr>
              <a:defRPr sz="800" baseline="0">
                <a:latin typeface="Times New Roman" pitchFamily="18" charset="0"/>
                <a:ea typeface="新細明體" pitchFamily="18" charset="-120"/>
                <a:cs typeface="Times New Roman" pitchFamily="18" charset="0"/>
              </a:defRPr>
            </a:pPr>
            <a:endParaRPr lang="zh-TW"/>
          </a:p>
        </c:txPr>
        <c:crossAx val="277084032"/>
        <c:crosses val="autoZero"/>
        <c:crossBetween val="between"/>
      </c:valAx>
      <c:valAx>
        <c:axId val="277218816"/>
        <c:scaling>
          <c:orientation val="minMax"/>
        </c:scaling>
        <c:axPos val="r"/>
        <c:numFmt formatCode="#,##0;\-#,##0" sourceLinked="0"/>
        <c:majorTickMark val="in"/>
        <c:tickLblPos val="nextTo"/>
        <c:txPr>
          <a:bodyPr/>
          <a:lstStyle/>
          <a:p>
            <a:pPr>
              <a:defRPr sz="800" baseline="0">
                <a:latin typeface="Times New Roman" pitchFamily="18" charset="0"/>
                <a:ea typeface="標楷體" pitchFamily="65" charset="-120"/>
              </a:defRPr>
            </a:pPr>
            <a:endParaRPr lang="zh-TW"/>
          </a:p>
        </c:txPr>
        <c:crossAx val="277220352"/>
        <c:crosses val="max"/>
        <c:crossBetween val="between"/>
      </c:valAx>
      <c:catAx>
        <c:axId val="277220352"/>
        <c:scaling>
          <c:orientation val="minMax"/>
        </c:scaling>
        <c:delete val="1"/>
        <c:axPos val="b"/>
        <c:numFmt formatCode="General" sourceLinked="1"/>
        <c:tickLblPos val="none"/>
        <c:crossAx val="277218816"/>
        <c:crosses val="autoZero"/>
        <c:lblAlgn val="ctr"/>
        <c:lblOffset val="100"/>
      </c:catAx>
      <c:spPr>
        <a:ln>
          <a:noFill/>
        </a:ln>
      </c:spPr>
    </c:plotArea>
    <c:legend>
      <c:legendPos val="r"/>
      <c:layout>
        <c:manualLayout>
          <c:xMode val="edge"/>
          <c:yMode val="edge"/>
          <c:x val="9.7214172429359577E-2"/>
          <c:y val="0.20132120484543944"/>
          <c:w val="0.55708549868636215"/>
          <c:h val="0.10809771868659419"/>
        </c:manualLayout>
      </c:layout>
      <c:txPr>
        <a:bodyPr/>
        <a:lstStyle/>
        <a:p>
          <a:pPr>
            <a:defRPr sz="800">
              <a:latin typeface="Times New Roman" pitchFamily="18" charset="0"/>
              <a:ea typeface="標楷體" pitchFamily="65" charset="-120"/>
              <a:cs typeface="Times New Roman" pitchFamily="18" charset="0"/>
            </a:defRPr>
          </a:pPr>
          <a:endParaRPr lang="zh-TW"/>
        </a:p>
      </c:txPr>
    </c:legend>
    <c:plotVisOnly val="1"/>
    <c:dispBlanksAs val="gap"/>
  </c:chart>
  <c:spPr>
    <a:ln>
      <a:noFill/>
    </a:ln>
    <a:scene3d>
      <a:camera prst="orthographicFront"/>
      <a:lightRig rig="threePt" dir="t"/>
    </a:scene3d>
    <a:sp3d prstMaterial="powder"/>
  </c:spPr>
  <c:externalData r:id="rId1"/>
  <c:userShapes r:id="rId2"/>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zh-TW"/>
  <c:chart>
    <c:title>
      <c:tx>
        <c:rich>
          <a:bodyPr/>
          <a:lstStyle/>
          <a:p>
            <a:pPr>
              <a:defRPr>
                <a:latin typeface="Times New Roman" pitchFamily="18" charset="0"/>
                <a:cs typeface="Times New Roman" pitchFamily="18" charset="0"/>
              </a:defRPr>
            </a:pPr>
            <a:r>
              <a:rPr lang="en-US" altLang="zh-TW" sz="1000" b="0" i="0" baseline="0">
                <a:latin typeface="Times New Roman" pitchFamily="18" charset="0"/>
                <a:cs typeface="Times New Roman" pitchFamily="18" charset="0"/>
              </a:rPr>
              <a:t>Figure 11   Premium Receivables by Category</a:t>
            </a:r>
            <a:endParaRPr lang="zh-TW" altLang="zh-TW" sz="1000" b="1" i="0" baseline="0">
              <a:latin typeface="Times New Roman" pitchFamily="18" charset="0"/>
              <a:cs typeface="Times New Roman" pitchFamily="18" charset="0"/>
            </a:endParaRPr>
          </a:p>
          <a:p>
            <a:pPr>
              <a:defRPr>
                <a:latin typeface="Times New Roman" pitchFamily="18" charset="0"/>
                <a:cs typeface="Times New Roman" pitchFamily="18" charset="0"/>
              </a:defRPr>
            </a:pPr>
            <a:endParaRPr lang="zh-TW" altLang="en-US" sz="1000" b="0" baseline="0">
              <a:latin typeface="Times New Roman" pitchFamily="18" charset="0"/>
              <a:ea typeface="標楷體" pitchFamily="65" charset="-120"/>
              <a:cs typeface="Times New Roman" pitchFamily="18" charset="0"/>
            </a:endParaRPr>
          </a:p>
        </c:rich>
      </c:tx>
    </c:title>
    <c:view3D>
      <c:rAngAx val="1"/>
    </c:view3D>
    <c:plotArea>
      <c:layout>
        <c:manualLayout>
          <c:layoutTarget val="inner"/>
          <c:xMode val="edge"/>
          <c:yMode val="edge"/>
          <c:x val="0.11534751623383745"/>
          <c:y val="0.12183523328240717"/>
          <c:w val="0.74251731597683257"/>
          <c:h val="0.77065914521879186"/>
        </c:manualLayout>
      </c:layout>
      <c:bar3DChart>
        <c:barDir val="bar"/>
        <c:grouping val="percentStacked"/>
        <c:ser>
          <c:idx val="0"/>
          <c:order val="0"/>
          <c:tx>
            <c:strRef>
              <c:f>'圖11-data'!$B$57</c:f>
              <c:strCache>
                <c:ptCount val="1"/>
                <c:pt idx="0">
                  <c:v>Category 1</c:v>
                </c:pt>
              </c:strCache>
            </c:strRef>
          </c:tx>
          <c:spPr>
            <a:solidFill>
              <a:srgbClr val="FFFF99"/>
            </a:solidFill>
          </c:spPr>
          <c:dLbls>
            <c:txPr>
              <a:bodyPr/>
              <a:lstStyle/>
              <a:p>
                <a:pPr>
                  <a:defRPr sz="800">
                    <a:latin typeface="Times New Roman" pitchFamily="18" charset="0"/>
                    <a:cs typeface="Times New Roman" pitchFamily="18" charset="0"/>
                  </a:defRPr>
                </a:pPr>
                <a:endParaRPr lang="zh-TW"/>
              </a:p>
            </c:txPr>
            <c:showVal val="1"/>
          </c:dLbls>
          <c:cat>
            <c:numRef>
              <c:f>'圖11-data'!$A$58:$A$60</c:f>
              <c:numCache>
                <c:formatCode>General</c:formatCode>
                <c:ptCount val="3"/>
                <c:pt idx="0">
                  <c:v>2001</c:v>
                </c:pt>
                <c:pt idx="1">
                  <c:v>2010</c:v>
                </c:pt>
                <c:pt idx="2">
                  <c:v>2011</c:v>
                </c:pt>
              </c:numCache>
            </c:numRef>
          </c:cat>
          <c:val>
            <c:numRef>
              <c:f>'圖11-data'!$B$58:$B$60</c:f>
              <c:numCache>
                <c:formatCode>#,##0.0_ </c:formatCode>
                <c:ptCount val="3"/>
                <c:pt idx="0">
                  <c:v>57.639477911322821</c:v>
                </c:pt>
                <c:pt idx="1">
                  <c:v>62.786479741884079</c:v>
                </c:pt>
                <c:pt idx="2">
                  <c:v>63.560361697161476</c:v>
                </c:pt>
              </c:numCache>
            </c:numRef>
          </c:val>
        </c:ser>
        <c:ser>
          <c:idx val="1"/>
          <c:order val="1"/>
          <c:tx>
            <c:strRef>
              <c:f>'圖11-data'!$C$57</c:f>
              <c:strCache>
                <c:ptCount val="1"/>
                <c:pt idx="0">
                  <c:v>Category 2</c:v>
                </c:pt>
              </c:strCache>
            </c:strRef>
          </c:tx>
          <c:spPr>
            <a:solidFill>
              <a:srgbClr val="D7E4BD"/>
            </a:solidFill>
          </c:spPr>
          <c:dLbls>
            <c:txPr>
              <a:bodyPr/>
              <a:lstStyle/>
              <a:p>
                <a:pPr>
                  <a:defRPr sz="800">
                    <a:latin typeface="Times New Roman" pitchFamily="18" charset="0"/>
                    <a:cs typeface="Times New Roman" pitchFamily="18" charset="0"/>
                  </a:defRPr>
                </a:pPr>
                <a:endParaRPr lang="zh-TW"/>
              </a:p>
            </c:txPr>
            <c:showVal val="1"/>
          </c:dLbls>
          <c:cat>
            <c:numRef>
              <c:f>'圖11-data'!$A$58:$A$60</c:f>
              <c:numCache>
                <c:formatCode>General</c:formatCode>
                <c:ptCount val="3"/>
                <c:pt idx="0">
                  <c:v>2001</c:v>
                </c:pt>
                <c:pt idx="1">
                  <c:v>2010</c:v>
                </c:pt>
                <c:pt idx="2">
                  <c:v>2011</c:v>
                </c:pt>
              </c:numCache>
            </c:numRef>
          </c:cat>
          <c:val>
            <c:numRef>
              <c:f>'圖11-data'!$C$58:$C$60</c:f>
              <c:numCache>
                <c:formatCode>#,##0.0_ </c:formatCode>
                <c:ptCount val="3"/>
                <c:pt idx="0">
                  <c:v>12.923662153882178</c:v>
                </c:pt>
                <c:pt idx="1">
                  <c:v>13.808266856854123</c:v>
                </c:pt>
                <c:pt idx="2">
                  <c:v>13.997969467624548</c:v>
                </c:pt>
              </c:numCache>
            </c:numRef>
          </c:val>
        </c:ser>
        <c:ser>
          <c:idx val="2"/>
          <c:order val="2"/>
          <c:tx>
            <c:strRef>
              <c:f>'圖11-data'!$D$57</c:f>
              <c:strCache>
                <c:ptCount val="1"/>
                <c:pt idx="0">
                  <c:v>Category 3</c:v>
                </c:pt>
              </c:strCache>
            </c:strRef>
          </c:tx>
          <c:spPr>
            <a:solidFill>
              <a:srgbClr val="FFD5AB"/>
            </a:solidFill>
          </c:spPr>
          <c:dLbls>
            <c:dLbl>
              <c:idx val="0"/>
              <c:layout>
                <c:manualLayout>
                  <c:x val="-1.9002375296912493E-2"/>
                  <c:y val="0"/>
                </c:manualLayout>
              </c:layout>
              <c:showVal val="1"/>
            </c:dLbl>
            <c:dLbl>
              <c:idx val="1"/>
              <c:layout>
                <c:manualLayout>
                  <c:x val="-1.108471892319873E-2"/>
                  <c:y val="0"/>
                </c:manualLayout>
              </c:layout>
              <c:showVal val="1"/>
            </c:dLbl>
            <c:dLbl>
              <c:idx val="2"/>
              <c:layout>
                <c:manualLayout>
                  <c:x val="-1.2668250197941404E-2"/>
                  <c:y val="6.2893081761007108E-3"/>
                </c:manualLayout>
              </c:layout>
              <c:showVal val="1"/>
            </c:dLbl>
            <c:txPr>
              <a:bodyPr/>
              <a:lstStyle/>
              <a:p>
                <a:pPr>
                  <a:defRPr sz="800">
                    <a:latin typeface="Times New Roman" pitchFamily="18" charset="0"/>
                    <a:cs typeface="Times New Roman" pitchFamily="18" charset="0"/>
                  </a:defRPr>
                </a:pPr>
                <a:endParaRPr lang="zh-TW"/>
              </a:p>
            </c:txPr>
            <c:showVal val="1"/>
          </c:dLbls>
          <c:cat>
            <c:numRef>
              <c:f>'圖11-data'!$A$58:$A$60</c:f>
              <c:numCache>
                <c:formatCode>General</c:formatCode>
                <c:ptCount val="3"/>
                <c:pt idx="0">
                  <c:v>2001</c:v>
                </c:pt>
                <c:pt idx="1">
                  <c:v>2010</c:v>
                </c:pt>
                <c:pt idx="2">
                  <c:v>2011</c:v>
                </c:pt>
              </c:numCache>
            </c:numRef>
          </c:cat>
          <c:val>
            <c:numRef>
              <c:f>'圖11-data'!$D$58:$D$60</c:f>
              <c:numCache>
                <c:formatCode>#,##0.0_ </c:formatCode>
                <c:ptCount val="3"/>
                <c:pt idx="0">
                  <c:v>11.723183576080073</c:v>
                </c:pt>
                <c:pt idx="1">
                  <c:v>8.6250638780966273</c:v>
                </c:pt>
                <c:pt idx="2">
                  <c:v>8.4381815310083006</c:v>
                </c:pt>
              </c:numCache>
            </c:numRef>
          </c:val>
        </c:ser>
        <c:ser>
          <c:idx val="3"/>
          <c:order val="3"/>
          <c:tx>
            <c:strRef>
              <c:f>'圖11-data'!$E$57</c:f>
              <c:strCache>
                <c:ptCount val="1"/>
                <c:pt idx="0">
                  <c:v>Category 4</c:v>
                </c:pt>
              </c:strCache>
            </c:strRef>
          </c:tx>
          <c:spPr>
            <a:solidFill>
              <a:srgbClr val="FF8EBA">
                <a:alpha val="99000"/>
              </a:srgbClr>
            </a:solidFill>
          </c:spPr>
          <c:dLbls>
            <c:dLbl>
              <c:idx val="0"/>
              <c:layout>
                <c:manualLayout>
                  <c:x val="-7.9176563737134113E-3"/>
                  <c:y val="0"/>
                </c:manualLayout>
              </c:layout>
              <c:showVal val="1"/>
            </c:dLbl>
            <c:dLbl>
              <c:idx val="1"/>
              <c:layout>
                <c:manualLayout>
                  <c:x val="-7.9176563737134113E-3"/>
                  <c:y val="0"/>
                </c:manualLayout>
              </c:layout>
              <c:showVal val="1"/>
            </c:dLbl>
            <c:dLbl>
              <c:idx val="2"/>
              <c:layout>
                <c:manualLayout>
                  <c:x val="-7.9176563737134113E-3"/>
                  <c:y val="6.2893081761007108E-3"/>
                </c:manualLayout>
              </c:layout>
              <c:showVal val="1"/>
            </c:dLbl>
            <c:txPr>
              <a:bodyPr/>
              <a:lstStyle/>
              <a:p>
                <a:pPr>
                  <a:defRPr sz="800">
                    <a:latin typeface="Times New Roman" pitchFamily="18" charset="0"/>
                    <a:cs typeface="Times New Roman" pitchFamily="18" charset="0"/>
                  </a:defRPr>
                </a:pPr>
                <a:endParaRPr lang="zh-TW"/>
              </a:p>
            </c:txPr>
            <c:showVal val="1"/>
          </c:dLbls>
          <c:cat>
            <c:numRef>
              <c:f>'圖11-data'!$A$58:$A$60</c:f>
              <c:numCache>
                <c:formatCode>General</c:formatCode>
                <c:ptCount val="3"/>
                <c:pt idx="0">
                  <c:v>2001</c:v>
                </c:pt>
                <c:pt idx="1">
                  <c:v>2010</c:v>
                </c:pt>
                <c:pt idx="2">
                  <c:v>2011</c:v>
                </c:pt>
              </c:numCache>
            </c:numRef>
          </c:cat>
          <c:val>
            <c:numRef>
              <c:f>'圖11-data'!$E$58:$E$60</c:f>
              <c:numCache>
                <c:formatCode>#,##0.0_ </c:formatCode>
                <c:ptCount val="3"/>
                <c:pt idx="0">
                  <c:v>1.0470804561754228</c:v>
                </c:pt>
                <c:pt idx="1">
                  <c:v>0.54153118218370289</c:v>
                </c:pt>
                <c:pt idx="2">
                  <c:v>0.49798108703127925</c:v>
                </c:pt>
              </c:numCache>
            </c:numRef>
          </c:val>
        </c:ser>
        <c:ser>
          <c:idx val="4"/>
          <c:order val="4"/>
          <c:tx>
            <c:strRef>
              <c:f>'圖11-data'!$F$57</c:f>
              <c:strCache>
                <c:ptCount val="1"/>
                <c:pt idx="0">
                  <c:v>Category 5</c:v>
                </c:pt>
              </c:strCache>
            </c:strRef>
          </c:tx>
          <c:spPr>
            <a:solidFill>
              <a:srgbClr val="B9D7FF">
                <a:alpha val="98000"/>
              </a:srgbClr>
            </a:solidFill>
          </c:spPr>
          <c:dLbls>
            <c:dLbl>
              <c:idx val="0"/>
              <c:layout>
                <c:manualLayout>
                  <c:x val="2.5336500395882727E-2"/>
                  <c:y val="9.4339622641509448E-3"/>
                </c:manualLayout>
              </c:layout>
              <c:showVal val="1"/>
            </c:dLbl>
            <c:dLbl>
              <c:idx val="1"/>
              <c:layout>
                <c:manualLayout>
                  <c:x val="1.9002375296912493E-2"/>
                  <c:y val="0"/>
                </c:manualLayout>
              </c:layout>
              <c:showVal val="1"/>
            </c:dLbl>
            <c:dLbl>
              <c:idx val="2"/>
              <c:layout>
                <c:manualLayout>
                  <c:x val="1.9002375296912493E-2"/>
                  <c:y val="0"/>
                </c:manualLayout>
              </c:layout>
              <c:showVal val="1"/>
            </c:dLbl>
            <c:txPr>
              <a:bodyPr/>
              <a:lstStyle/>
              <a:p>
                <a:pPr>
                  <a:defRPr sz="800">
                    <a:latin typeface="Times New Roman" pitchFamily="18" charset="0"/>
                    <a:cs typeface="Times New Roman" pitchFamily="18" charset="0"/>
                  </a:defRPr>
                </a:pPr>
                <a:endParaRPr lang="zh-TW"/>
              </a:p>
            </c:txPr>
            <c:showVal val="1"/>
          </c:dLbls>
          <c:cat>
            <c:numRef>
              <c:f>'圖11-data'!$A$58:$A$60</c:f>
              <c:numCache>
                <c:formatCode>General</c:formatCode>
                <c:ptCount val="3"/>
                <c:pt idx="0">
                  <c:v>2001</c:v>
                </c:pt>
                <c:pt idx="1">
                  <c:v>2010</c:v>
                </c:pt>
                <c:pt idx="2">
                  <c:v>2011</c:v>
                </c:pt>
              </c:numCache>
            </c:numRef>
          </c:cat>
          <c:val>
            <c:numRef>
              <c:f>'圖11-data'!$F$58:$F$60</c:f>
              <c:numCache>
                <c:formatCode>#,##0.0_ </c:formatCode>
                <c:ptCount val="3"/>
                <c:pt idx="0">
                  <c:v>0.60329485454583198</c:v>
                </c:pt>
                <c:pt idx="1">
                  <c:v>0.97993495444520662</c:v>
                </c:pt>
                <c:pt idx="2">
                  <c:v>1.0014813615420399</c:v>
                </c:pt>
              </c:numCache>
            </c:numRef>
          </c:val>
        </c:ser>
        <c:ser>
          <c:idx val="5"/>
          <c:order val="5"/>
          <c:tx>
            <c:strRef>
              <c:f>'圖11-data'!$G$57</c:f>
              <c:strCache>
                <c:ptCount val="1"/>
                <c:pt idx="0">
                  <c:v>Category 6</c:v>
                </c:pt>
              </c:strCache>
            </c:strRef>
          </c:tx>
          <c:spPr>
            <a:solidFill>
              <a:srgbClr val="E0CAEC"/>
            </a:solidFill>
          </c:spPr>
          <c:dLbls>
            <c:dLbl>
              <c:idx val="0"/>
              <c:layout>
                <c:manualLayout>
                  <c:x val="2.8503562945368172E-2"/>
                  <c:y val="6.2893081761007108E-3"/>
                </c:manualLayout>
              </c:layout>
              <c:showVal val="1"/>
            </c:dLbl>
            <c:dLbl>
              <c:idx val="1"/>
              <c:layout>
                <c:manualLayout>
                  <c:x val="2.8503562945368172E-2"/>
                  <c:y val="0"/>
                </c:manualLayout>
              </c:layout>
              <c:showVal val="1"/>
            </c:dLbl>
            <c:dLbl>
              <c:idx val="2"/>
              <c:layout>
                <c:manualLayout>
                  <c:x val="2.0585906571655103E-2"/>
                  <c:y val="0"/>
                </c:manualLayout>
              </c:layout>
              <c:showVal val="1"/>
            </c:dLbl>
            <c:txPr>
              <a:bodyPr/>
              <a:lstStyle/>
              <a:p>
                <a:pPr>
                  <a:defRPr sz="800" baseline="0">
                    <a:latin typeface="Times New Roman" pitchFamily="18" charset="0"/>
                  </a:defRPr>
                </a:pPr>
                <a:endParaRPr lang="zh-TW"/>
              </a:p>
            </c:txPr>
            <c:showVal val="1"/>
          </c:dLbls>
          <c:cat>
            <c:numRef>
              <c:f>'圖11-data'!$A$58:$A$60</c:f>
              <c:numCache>
                <c:formatCode>General</c:formatCode>
                <c:ptCount val="3"/>
                <c:pt idx="0">
                  <c:v>2001</c:v>
                </c:pt>
                <c:pt idx="1">
                  <c:v>2010</c:v>
                </c:pt>
                <c:pt idx="2">
                  <c:v>2011</c:v>
                </c:pt>
              </c:numCache>
            </c:numRef>
          </c:cat>
          <c:val>
            <c:numRef>
              <c:f>'圖11-data'!$G$58:$G$60</c:f>
              <c:numCache>
                <c:formatCode>#,##0.0_ </c:formatCode>
                <c:ptCount val="3"/>
                <c:pt idx="0">
                  <c:v>16.063301047993669</c:v>
                </c:pt>
                <c:pt idx="1">
                  <c:v>13.258723386536261</c:v>
                </c:pt>
                <c:pt idx="2">
                  <c:v>12.504024855632364</c:v>
                </c:pt>
              </c:numCache>
            </c:numRef>
          </c:val>
        </c:ser>
        <c:shape val="box"/>
        <c:axId val="277390464"/>
        <c:axId val="277392000"/>
        <c:axId val="0"/>
      </c:bar3DChart>
      <c:catAx>
        <c:axId val="277390464"/>
        <c:scaling>
          <c:orientation val="minMax"/>
        </c:scaling>
        <c:axPos val="l"/>
        <c:numFmt formatCode="General" sourceLinked="1"/>
        <c:majorTickMark val="in"/>
        <c:tickLblPos val="nextTo"/>
        <c:txPr>
          <a:bodyPr/>
          <a:lstStyle/>
          <a:p>
            <a:pPr>
              <a:defRPr sz="800" baseline="0">
                <a:latin typeface="Times New Roman" pitchFamily="18" charset="0"/>
                <a:ea typeface="標楷體" pitchFamily="65" charset="-120"/>
                <a:cs typeface="Times New Roman" pitchFamily="18" charset="0"/>
              </a:defRPr>
            </a:pPr>
            <a:endParaRPr lang="zh-TW"/>
          </a:p>
        </c:txPr>
        <c:crossAx val="277392000"/>
        <c:crossesAt val="0"/>
        <c:auto val="1"/>
        <c:lblAlgn val="ctr"/>
        <c:lblOffset val="100"/>
      </c:catAx>
      <c:valAx>
        <c:axId val="277392000"/>
        <c:scaling>
          <c:orientation val="minMax"/>
        </c:scaling>
        <c:axPos val="b"/>
        <c:numFmt formatCode="#,##0;[Red]\-#,##0" sourceLinked="0"/>
        <c:majorTickMark val="in"/>
        <c:tickLblPos val="none"/>
        <c:txPr>
          <a:bodyPr/>
          <a:lstStyle/>
          <a:p>
            <a:pPr>
              <a:defRPr sz="800" baseline="0">
                <a:latin typeface="Times New Roman" pitchFamily="18" charset="0"/>
              </a:defRPr>
            </a:pPr>
            <a:endParaRPr lang="zh-TW"/>
          </a:p>
        </c:txPr>
        <c:crossAx val="277390464"/>
        <c:crosses val="autoZero"/>
        <c:crossBetween val="between"/>
        <c:majorUnit val="0.2"/>
      </c:valAx>
    </c:plotArea>
    <c:legend>
      <c:legendPos val="r"/>
      <c:layout>
        <c:manualLayout>
          <c:xMode val="edge"/>
          <c:yMode val="edge"/>
          <c:x val="0.85491991892973174"/>
          <c:y val="0.27039793160183334"/>
          <c:w val="0.13557885666301717"/>
          <c:h val="0.42338324127394744"/>
        </c:manualLayout>
      </c:layout>
      <c:txPr>
        <a:bodyPr/>
        <a:lstStyle/>
        <a:p>
          <a:pPr>
            <a:defRPr sz="800" baseline="0">
              <a:latin typeface="Times New Roman" pitchFamily="18" charset="0"/>
              <a:ea typeface="標楷體" pitchFamily="65" charset="-120"/>
              <a:cs typeface="Times New Roman" pitchFamily="18" charset="0"/>
            </a:defRPr>
          </a:pPr>
          <a:endParaRPr lang="zh-TW"/>
        </a:p>
      </c:txPr>
    </c:legend>
    <c:plotVisOnly val="1"/>
  </c:chart>
  <c:spPr>
    <a:ln>
      <a:noFill/>
    </a:ln>
  </c:spPr>
  <c:externalData r:id="rId1"/>
  <c:userShapes r:id="rId2"/>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zh-TW"/>
  <c:style val="26"/>
  <c:chart>
    <c:title>
      <c:tx>
        <c:rich>
          <a:bodyPr/>
          <a:lstStyle/>
          <a:p>
            <a:pPr algn="l">
              <a:defRPr sz="1000" b="0">
                <a:latin typeface="標楷體" pitchFamily="65" charset="-120"/>
                <a:ea typeface="標楷體" pitchFamily="65" charset="-120"/>
              </a:defRPr>
            </a:pPr>
            <a:r>
              <a:rPr lang="en-US" altLang="zh-TW" sz="1000" b="0" i="0" baseline="0">
                <a:latin typeface="Times New Roman" pitchFamily="18" charset="0"/>
                <a:cs typeface="Times New Roman" pitchFamily="18" charset="0"/>
              </a:rPr>
              <a:t>Figure 12   Premium Receivables by Source</a:t>
            </a:r>
            <a:endParaRPr lang="zh-TW" altLang="zh-TW" sz="1000" b="0" i="0" baseline="0">
              <a:latin typeface="Times New Roman" pitchFamily="18" charset="0"/>
              <a:cs typeface="Times New Roman" pitchFamily="18" charset="0"/>
            </a:endParaRPr>
          </a:p>
          <a:p>
            <a:pPr algn="l">
              <a:defRPr sz="1000" b="0">
                <a:latin typeface="標楷體" pitchFamily="65" charset="-120"/>
                <a:ea typeface="標楷體" pitchFamily="65" charset="-120"/>
              </a:defRPr>
            </a:pPr>
            <a:endParaRPr lang="en-US" altLang="zh-TW" sz="800" b="0" i="0" baseline="0">
              <a:latin typeface="Times New Roman" pitchFamily="18" charset="0"/>
              <a:cs typeface="Times New Roman" pitchFamily="18" charset="0"/>
            </a:endParaRPr>
          </a:p>
          <a:p>
            <a:pPr algn="l">
              <a:defRPr sz="1000" b="0">
                <a:latin typeface="標楷體" pitchFamily="65" charset="-120"/>
                <a:ea typeface="標楷體" pitchFamily="65" charset="-120"/>
              </a:defRPr>
            </a:pPr>
            <a:r>
              <a:rPr lang="en-US" altLang="zh-TW" sz="1000" b="0" i="0" baseline="0">
                <a:latin typeface="Times New Roman" pitchFamily="18" charset="0"/>
                <a:cs typeface="Times New Roman" pitchFamily="18" charset="0"/>
              </a:rPr>
              <a:t>                   </a:t>
            </a:r>
            <a:r>
              <a:rPr lang="en-US" altLang="zh-TW" sz="800" b="0" i="0" baseline="0">
                <a:latin typeface="Times New Roman" pitchFamily="18" charset="0"/>
                <a:cs typeface="Times New Roman" pitchFamily="18" charset="0"/>
              </a:rPr>
              <a:t>End of  2011 vs . End of  2001</a:t>
            </a:r>
            <a:endParaRPr lang="zh-TW" altLang="en-US" sz="800" b="0">
              <a:latin typeface="Times New Roman" pitchFamily="18" charset="0"/>
              <a:ea typeface="標楷體" pitchFamily="65" charset="-120"/>
              <a:cs typeface="Times New Roman" pitchFamily="18" charset="0"/>
            </a:endParaRPr>
          </a:p>
        </c:rich>
      </c:tx>
      <c:layout>
        <c:manualLayout>
          <c:xMode val="edge"/>
          <c:yMode val="edge"/>
          <c:x val="0.25501810224808918"/>
          <c:y val="1.3333033529330197E-2"/>
        </c:manualLayout>
      </c:layout>
      <c:overlay val="1"/>
    </c:title>
    <c:plotArea>
      <c:layout>
        <c:manualLayout>
          <c:layoutTarget val="inner"/>
          <c:xMode val="edge"/>
          <c:yMode val="edge"/>
          <c:x val="0.25514231119120062"/>
          <c:y val="0.24848766985326112"/>
          <c:w val="0.36371670882990464"/>
          <c:h val="0.63520623392457576"/>
        </c:manualLayout>
      </c:layout>
      <c:doughnutChart>
        <c:varyColors val="1"/>
        <c:ser>
          <c:idx val="0"/>
          <c:order val="0"/>
          <c:tx>
            <c:strRef>
              <c:f>'圖12-data'!$A$3</c:f>
              <c:strCache>
                <c:ptCount val="1"/>
                <c:pt idx="0">
                  <c:v>90年</c:v>
                </c:pt>
              </c:strCache>
            </c:strRef>
          </c:tx>
          <c:spPr>
            <a:solidFill>
              <a:srgbClr val="D7E4BD"/>
            </a:solidFill>
            <a:ln>
              <a:solidFill>
                <a:prstClr val="white">
                  <a:lumMod val="75000"/>
                </a:prstClr>
              </a:solidFill>
            </a:ln>
            <a:scene3d>
              <a:camera prst="orthographicFront"/>
              <a:lightRig rig="contrasting" dir="tl">
                <a:rot lat="0" lon="0" rev="14220000"/>
              </a:lightRig>
            </a:scene3d>
            <a:sp3d>
              <a:bevelT w="19050" h="19050"/>
              <a:bevelB w="0" h="0"/>
              <a:contourClr>
                <a:srgbClr val="000000"/>
              </a:contourClr>
            </a:sp3d>
          </c:spPr>
          <c:dPt>
            <c:idx val="1"/>
            <c:spPr>
              <a:solidFill>
                <a:srgbClr val="FFFF99"/>
              </a:solidFill>
              <a:ln>
                <a:solidFill>
                  <a:prstClr val="white">
                    <a:lumMod val="75000"/>
                  </a:prstClr>
                </a:solidFill>
              </a:ln>
              <a:scene3d>
                <a:camera prst="orthographicFront"/>
                <a:lightRig rig="contrasting" dir="tl">
                  <a:rot lat="0" lon="0" rev="14220000"/>
                </a:lightRig>
              </a:scene3d>
              <a:sp3d>
                <a:bevelT w="19050" h="19050"/>
                <a:bevelB w="0" h="0"/>
                <a:contourClr>
                  <a:srgbClr val="000000"/>
                </a:contourClr>
              </a:sp3d>
            </c:spPr>
          </c:dPt>
          <c:dPt>
            <c:idx val="2"/>
            <c:spPr>
              <a:solidFill>
                <a:srgbClr val="FFD5AB"/>
              </a:solidFill>
              <a:ln>
                <a:solidFill>
                  <a:prstClr val="white">
                    <a:lumMod val="75000"/>
                  </a:prstClr>
                </a:solidFill>
              </a:ln>
              <a:scene3d>
                <a:camera prst="orthographicFront"/>
                <a:lightRig rig="contrasting" dir="tl">
                  <a:rot lat="0" lon="0" rev="14220000"/>
                </a:lightRig>
              </a:scene3d>
              <a:sp3d>
                <a:bevelT w="19050" h="19050"/>
                <a:bevelB w="0" h="0"/>
                <a:contourClr>
                  <a:srgbClr val="000000"/>
                </a:contourClr>
              </a:sp3d>
            </c:spPr>
          </c:dPt>
          <c:dPt>
            <c:idx val="3"/>
            <c:spPr>
              <a:solidFill>
                <a:srgbClr val="FFB7FF"/>
              </a:solidFill>
              <a:ln>
                <a:solidFill>
                  <a:prstClr val="white">
                    <a:lumMod val="75000"/>
                  </a:prstClr>
                </a:solidFill>
              </a:ln>
              <a:scene3d>
                <a:camera prst="orthographicFront"/>
                <a:lightRig rig="contrasting" dir="tl">
                  <a:rot lat="0" lon="0" rev="14220000"/>
                </a:lightRig>
              </a:scene3d>
              <a:sp3d>
                <a:bevelT w="19050" h="19050"/>
                <a:bevelB w="0" h="0"/>
                <a:contourClr>
                  <a:srgbClr val="000000"/>
                </a:contourClr>
              </a:sp3d>
            </c:spPr>
          </c:dPt>
          <c:dPt>
            <c:idx val="4"/>
            <c:spPr>
              <a:solidFill>
                <a:srgbClr val="B9D7FF"/>
              </a:solidFill>
              <a:ln>
                <a:solidFill>
                  <a:prstClr val="white">
                    <a:lumMod val="75000"/>
                  </a:prstClr>
                </a:solidFill>
              </a:ln>
              <a:scene3d>
                <a:camera prst="orthographicFront"/>
                <a:lightRig rig="contrasting" dir="tl">
                  <a:rot lat="0" lon="0" rev="14220000"/>
                </a:lightRig>
              </a:scene3d>
              <a:sp3d>
                <a:bevelT w="19050" h="19050"/>
                <a:bevelB w="0" h="0"/>
                <a:contourClr>
                  <a:srgbClr val="000000"/>
                </a:contourClr>
              </a:sp3d>
            </c:spPr>
          </c:dPt>
          <c:dLbls>
            <c:dLbl>
              <c:idx val="3"/>
              <c:layout>
                <c:manualLayout>
                  <c:x val="5.4504160913450023E-3"/>
                  <c:y val="1.2691702799294959E-2"/>
                </c:manualLayout>
              </c:layout>
              <c:showPercent val="1"/>
            </c:dLbl>
            <c:dLbl>
              <c:idx val="4"/>
              <c:layout>
                <c:manualLayout>
                  <c:x val="3.6336107275634034E-3"/>
                  <c:y val="-1.9037554198942788E-2"/>
                </c:manualLayout>
              </c:layout>
              <c:showPercent val="1"/>
            </c:dLbl>
            <c:numFmt formatCode="0.0%" sourceLinked="0"/>
            <c:txPr>
              <a:bodyPr/>
              <a:lstStyle/>
              <a:p>
                <a:pPr>
                  <a:defRPr sz="800" baseline="0">
                    <a:latin typeface="Times New Roman" pitchFamily="18" charset="0"/>
                    <a:ea typeface="新細明體" pitchFamily="18" charset="-120"/>
                  </a:defRPr>
                </a:pPr>
                <a:endParaRPr lang="zh-TW"/>
              </a:p>
            </c:txPr>
            <c:showPercent val="1"/>
          </c:dLbls>
          <c:cat>
            <c:strRef>
              <c:f>'圖12-data'!$B$2:$F$2</c:f>
              <c:strCache>
                <c:ptCount val="5"/>
                <c:pt idx="0">
                  <c:v>Beneficiaries</c:v>
                </c:pt>
                <c:pt idx="1">
                  <c:v>Group Insurance Applicants</c:v>
                </c:pt>
                <c:pt idx="2">
                  <c:v>Central Government Subsidies                           </c:v>
                </c:pt>
                <c:pt idx="3">
                  <c:v>Provincial/Municipal Government Subsidies</c:v>
                </c:pt>
                <c:pt idx="4">
                  <c:v>County/City Government Subsidies          </c:v>
                </c:pt>
              </c:strCache>
            </c:strRef>
          </c:cat>
          <c:val>
            <c:numRef>
              <c:f>'圖12-data'!$B$3:$F$3</c:f>
              <c:numCache>
                <c:formatCode>_-* #,##0_-;\-* #,##0_-;_-* "-"_-;_-@_-</c:formatCode>
                <c:ptCount val="5"/>
                <c:pt idx="0">
                  <c:v>115355243119</c:v>
                </c:pt>
                <c:pt idx="1">
                  <c:v>93566224898</c:v>
                </c:pt>
                <c:pt idx="2">
                  <c:v>69064829990</c:v>
                </c:pt>
                <c:pt idx="3">
                  <c:v>7827463010</c:v>
                </c:pt>
                <c:pt idx="4">
                  <c:v>4256704828</c:v>
                </c:pt>
              </c:numCache>
            </c:numRef>
          </c:val>
        </c:ser>
        <c:ser>
          <c:idx val="1"/>
          <c:order val="1"/>
          <c:tx>
            <c:strRef>
              <c:f>'圖12-data'!$A$11</c:f>
              <c:strCache>
                <c:ptCount val="1"/>
                <c:pt idx="0">
                  <c:v>100年</c:v>
                </c:pt>
              </c:strCache>
            </c:strRef>
          </c:tx>
          <c:spPr>
            <a:ln>
              <a:solidFill>
                <a:schemeClr val="bg1">
                  <a:lumMod val="75000"/>
                </a:schemeClr>
              </a:solidFill>
            </a:ln>
            <a:scene3d>
              <a:camera prst="orthographicFront"/>
              <a:lightRig rig="threePt" dir="t"/>
            </a:scene3d>
            <a:sp3d>
              <a:bevelT w="19050" h="19050"/>
              <a:bevelB w="0" h="0"/>
              <a:contourClr>
                <a:srgbClr val="000000"/>
              </a:contourClr>
            </a:sp3d>
          </c:spPr>
          <c:dPt>
            <c:idx val="0"/>
            <c:spPr>
              <a:solidFill>
                <a:srgbClr val="D7E4BD"/>
              </a:solidFill>
              <a:ln>
                <a:solidFill>
                  <a:schemeClr val="bg1">
                    <a:lumMod val="75000"/>
                  </a:schemeClr>
                </a:solidFill>
              </a:ln>
              <a:scene3d>
                <a:camera prst="orthographicFront"/>
                <a:lightRig rig="threePt" dir="t"/>
              </a:scene3d>
              <a:sp3d>
                <a:bevelT w="19050" h="19050"/>
                <a:bevelB w="0" h="0"/>
                <a:contourClr>
                  <a:srgbClr val="000000"/>
                </a:contourClr>
              </a:sp3d>
            </c:spPr>
          </c:dPt>
          <c:dPt>
            <c:idx val="1"/>
            <c:spPr>
              <a:solidFill>
                <a:srgbClr val="FFFF99"/>
              </a:solidFill>
              <a:ln>
                <a:solidFill>
                  <a:schemeClr val="bg1">
                    <a:lumMod val="75000"/>
                  </a:schemeClr>
                </a:solidFill>
              </a:ln>
              <a:scene3d>
                <a:camera prst="orthographicFront"/>
                <a:lightRig rig="threePt" dir="t"/>
              </a:scene3d>
              <a:sp3d>
                <a:bevelT w="19050" h="19050"/>
                <a:bevelB w="0" h="0"/>
                <a:contourClr>
                  <a:srgbClr val="000000"/>
                </a:contourClr>
              </a:sp3d>
            </c:spPr>
          </c:dPt>
          <c:dPt>
            <c:idx val="2"/>
            <c:spPr>
              <a:solidFill>
                <a:srgbClr val="FFD5AB"/>
              </a:solidFill>
              <a:ln>
                <a:solidFill>
                  <a:schemeClr val="bg1">
                    <a:lumMod val="75000"/>
                  </a:schemeClr>
                </a:solidFill>
              </a:ln>
              <a:scene3d>
                <a:camera prst="orthographicFront"/>
                <a:lightRig rig="threePt" dir="t"/>
              </a:scene3d>
              <a:sp3d>
                <a:bevelT w="19050" h="19050"/>
                <a:bevelB w="0" h="0"/>
                <a:contourClr>
                  <a:srgbClr val="000000"/>
                </a:contourClr>
              </a:sp3d>
            </c:spPr>
          </c:dPt>
          <c:dPt>
            <c:idx val="3"/>
            <c:spPr>
              <a:solidFill>
                <a:srgbClr val="FFB7FF"/>
              </a:solidFill>
              <a:ln>
                <a:solidFill>
                  <a:schemeClr val="bg1">
                    <a:lumMod val="75000"/>
                  </a:schemeClr>
                </a:solidFill>
              </a:ln>
              <a:scene3d>
                <a:camera prst="orthographicFront"/>
                <a:lightRig rig="threePt" dir="t"/>
              </a:scene3d>
              <a:sp3d>
                <a:bevelT w="19050" h="19050"/>
                <a:bevelB w="0" h="0"/>
                <a:contourClr>
                  <a:srgbClr val="000000"/>
                </a:contourClr>
              </a:sp3d>
            </c:spPr>
          </c:dPt>
          <c:dPt>
            <c:idx val="4"/>
            <c:spPr>
              <a:solidFill>
                <a:srgbClr val="B9D7FF"/>
              </a:solidFill>
              <a:ln>
                <a:solidFill>
                  <a:schemeClr val="bg1">
                    <a:lumMod val="75000"/>
                  </a:schemeClr>
                </a:solidFill>
              </a:ln>
              <a:scene3d>
                <a:camera prst="orthographicFront"/>
                <a:lightRig rig="threePt" dir="t"/>
              </a:scene3d>
              <a:sp3d>
                <a:bevelT w="19050" h="19050"/>
                <a:bevelB w="0" h="0"/>
                <a:contourClr>
                  <a:srgbClr val="000000"/>
                </a:contourClr>
              </a:sp3d>
            </c:spPr>
          </c:dPt>
          <c:dLbls>
            <c:dLbl>
              <c:idx val="3"/>
              <c:layout>
                <c:manualLayout>
                  <c:x val="1.8690117006402742E-3"/>
                  <c:y val="1.6042783450719363E-2"/>
                </c:manualLayout>
              </c:layout>
              <c:showPercent val="1"/>
            </c:dLbl>
            <c:dLbl>
              <c:idx val="4"/>
              <c:layout>
                <c:manualLayout>
                  <c:x val="0"/>
                  <c:y val="-1.9037554198942788E-2"/>
                </c:manualLayout>
              </c:layout>
              <c:showPercent val="1"/>
            </c:dLbl>
            <c:numFmt formatCode="0.0%" sourceLinked="0"/>
            <c:txPr>
              <a:bodyPr/>
              <a:lstStyle/>
              <a:p>
                <a:pPr>
                  <a:defRPr sz="800" baseline="0">
                    <a:latin typeface="Times New Roman" pitchFamily="18" charset="0"/>
                    <a:ea typeface="新細明體" pitchFamily="18" charset="-120"/>
                    <a:cs typeface="Times New Roman" pitchFamily="18" charset="0"/>
                  </a:defRPr>
                </a:pPr>
                <a:endParaRPr lang="zh-TW"/>
              </a:p>
            </c:txPr>
            <c:showPercent val="1"/>
          </c:dLbls>
          <c:cat>
            <c:numRef>
              <c:f>'圖12-data'!$B$11:$F$11</c:f>
              <c:numCache>
                <c:formatCode>_-* #,##0_-;\-* #,##0_-;_-* "-"_-;_-@_-</c:formatCode>
                <c:ptCount val="5"/>
                <c:pt idx="0">
                  <c:v>176458688917</c:v>
                </c:pt>
                <c:pt idx="1">
                  <c:v>174165740422</c:v>
                </c:pt>
                <c:pt idx="2">
                  <c:v>79988648466</c:v>
                </c:pt>
                <c:pt idx="3">
                  <c:v>35165805584</c:v>
                </c:pt>
                <c:pt idx="4">
                  <c:v>3020266779</c:v>
                </c:pt>
              </c:numCache>
            </c:numRef>
          </c:cat>
          <c:val>
            <c:numRef>
              <c:f>'圖12-data'!$B$11:$F$11</c:f>
              <c:numCache>
                <c:formatCode>_-* #,##0_-;\-* #,##0_-;_-* "-"_-;_-@_-</c:formatCode>
                <c:ptCount val="5"/>
                <c:pt idx="0">
                  <c:v>176458688917</c:v>
                </c:pt>
                <c:pt idx="1">
                  <c:v>174165740422</c:v>
                </c:pt>
                <c:pt idx="2">
                  <c:v>79988648466</c:v>
                </c:pt>
                <c:pt idx="3">
                  <c:v>35165805584</c:v>
                </c:pt>
                <c:pt idx="4">
                  <c:v>3020266779</c:v>
                </c:pt>
              </c:numCache>
            </c:numRef>
          </c:val>
        </c:ser>
        <c:dLbls>
          <c:showLegendKey val="1"/>
          <c:showPercent val="1"/>
        </c:dLbls>
        <c:firstSliceAng val="0"/>
        <c:holeSize val="50"/>
      </c:doughnutChart>
    </c:plotArea>
    <c:legend>
      <c:legendPos val="r"/>
      <c:layout>
        <c:manualLayout>
          <c:xMode val="edge"/>
          <c:yMode val="edge"/>
          <c:x val="0.62813160792711864"/>
          <c:y val="0.37563278973793951"/>
          <c:w val="0.35931157858999108"/>
          <c:h val="0.37566915628907632"/>
        </c:manualLayout>
      </c:layout>
      <c:txPr>
        <a:bodyPr/>
        <a:lstStyle/>
        <a:p>
          <a:pPr>
            <a:defRPr sz="800" baseline="0">
              <a:latin typeface="Times New Roman" pitchFamily="18" charset="0"/>
              <a:ea typeface="標楷體" pitchFamily="65" charset="-120"/>
              <a:cs typeface="Times New Roman" pitchFamily="18" charset="0"/>
            </a:defRPr>
          </a:pPr>
          <a:endParaRPr lang="zh-TW"/>
        </a:p>
      </c:txPr>
    </c:legend>
    <c:plotVisOnly val="1"/>
    <c:dispBlanksAs val="zero"/>
  </c:chart>
  <c:spPr>
    <a:noFill/>
    <a:ln>
      <a:noFill/>
    </a:ln>
  </c:spPr>
  <c:externalData r:id="rId1"/>
  <c:userShapes r:id="rId2"/>
</c:chartSpace>
</file>

<file path=word/drawings/_rels/drawing1.xml.rels><?xml version="1.0" encoding="UTF-8" standalone="yes"?>
<Relationships xmlns="http://schemas.openxmlformats.org/package/2006/relationships"><Relationship Id="rId1" Type="http://schemas.openxmlformats.org/officeDocument/2006/relationships/image" Target="../media/image1.png"/></Relationships>
</file>

<file path=word/drawings/drawing1.xml><?xml version="1.0" encoding="utf-8"?>
<c:userShapes xmlns:c="http://schemas.openxmlformats.org/drawingml/2006/chart">
  <cdr:relSizeAnchor xmlns:cdr="http://schemas.openxmlformats.org/drawingml/2006/chartDrawing">
    <cdr:from>
      <cdr:x>0</cdr:x>
      <cdr:y>0</cdr:y>
    </cdr:from>
    <cdr:to>
      <cdr:x>0.00379</cdr:x>
      <cdr:y>0.00889</cdr:y>
    </cdr:to>
    <cdr:pic>
      <cdr:nvPicPr>
        <cdr:cNvPr id="7"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0" y="0"/>
          <a:ext cx="24386" cy="24386"/>
        </a:xfrm>
        <a:prstGeom xmlns:a="http://schemas.openxmlformats.org/drawingml/2006/main" prst="rect">
          <a:avLst/>
        </a:prstGeom>
      </cdr:spPr>
    </cdr:pic>
  </cdr:relSizeAnchor>
  <cdr:relSizeAnchor xmlns:cdr="http://schemas.openxmlformats.org/drawingml/2006/chartDrawing">
    <cdr:from>
      <cdr:x>0</cdr:x>
      <cdr:y>0</cdr:y>
    </cdr:from>
    <cdr:to>
      <cdr:x>0.00379</cdr:x>
      <cdr:y>0.00889</cdr:y>
    </cdr:to>
    <cdr:pic>
      <cdr:nvPicPr>
        <cdr:cNvPr id="4"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0" y="0"/>
          <a:ext cx="24386" cy="24386"/>
        </a:xfrm>
        <a:prstGeom xmlns:a="http://schemas.openxmlformats.org/drawingml/2006/main" prst="rect">
          <a:avLst/>
        </a:prstGeom>
      </cdr:spPr>
    </cdr:pic>
  </cdr:relSizeAnchor>
  <cdr:relSizeAnchor xmlns:cdr="http://schemas.openxmlformats.org/drawingml/2006/chartDrawing">
    <cdr:from>
      <cdr:x>0</cdr:x>
      <cdr:y>0</cdr:y>
    </cdr:from>
    <cdr:to>
      <cdr:x>0.00379</cdr:x>
      <cdr:y>0.00889</cdr:y>
    </cdr:to>
    <cdr:pic>
      <cdr:nvPicPr>
        <cdr:cNvPr id="6"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0" y="0"/>
          <a:ext cx="24386" cy="24386"/>
        </a:xfrm>
        <a:prstGeom xmlns:a="http://schemas.openxmlformats.org/drawingml/2006/main" prst="rect">
          <a:avLst/>
        </a:prstGeom>
      </cdr:spPr>
    </cdr:pic>
  </cdr:relSizeAnchor>
  <cdr:relSizeAnchor xmlns:cdr="http://schemas.openxmlformats.org/drawingml/2006/chartDrawing">
    <cdr:from>
      <cdr:x>0</cdr:x>
      <cdr:y>0</cdr:y>
    </cdr:from>
    <cdr:to>
      <cdr:x>0.00379</cdr:x>
      <cdr:y>0.00889</cdr:y>
    </cdr:to>
    <cdr:pic>
      <cdr:nvPicPr>
        <cdr:cNvPr id="9"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0" y="0"/>
          <a:ext cx="24386" cy="24386"/>
        </a:xfrm>
        <a:prstGeom xmlns:a="http://schemas.openxmlformats.org/drawingml/2006/main" prst="rect">
          <a:avLst/>
        </a:prstGeom>
      </cdr:spPr>
    </cdr:pic>
  </cdr:relSizeAnchor>
  <cdr:relSizeAnchor xmlns:cdr="http://schemas.openxmlformats.org/drawingml/2006/chartDrawing">
    <cdr:from>
      <cdr:x>0</cdr:x>
      <cdr:y>0</cdr:y>
    </cdr:from>
    <cdr:to>
      <cdr:x>0.00379</cdr:x>
      <cdr:y>0.00889</cdr:y>
    </cdr:to>
    <cdr:pic>
      <cdr:nvPicPr>
        <cdr:cNvPr id="2"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0" y="0"/>
          <a:ext cx="24386" cy="24386"/>
        </a:xfrm>
        <a:prstGeom xmlns:a="http://schemas.openxmlformats.org/drawingml/2006/main" prst="rect">
          <a:avLst/>
        </a:prstGeom>
      </cdr:spPr>
    </cdr:pic>
  </cdr:relSizeAnchor>
  <cdr:relSizeAnchor xmlns:cdr="http://schemas.openxmlformats.org/drawingml/2006/chartDrawing">
    <cdr:from>
      <cdr:x>0</cdr:x>
      <cdr:y>0</cdr:y>
    </cdr:from>
    <cdr:to>
      <cdr:x>0.00379</cdr:x>
      <cdr:y>0.00889</cdr:y>
    </cdr:to>
    <cdr:pic>
      <cdr:nvPicPr>
        <cdr:cNvPr id="12"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0" y="0"/>
          <a:ext cx="24386" cy="24386"/>
        </a:xfrm>
        <a:prstGeom xmlns:a="http://schemas.openxmlformats.org/drawingml/2006/main" prst="rect">
          <a:avLst/>
        </a:prstGeom>
      </cdr:spPr>
    </cdr:pic>
  </cdr:relSizeAnchor>
  <cdr:relSizeAnchor xmlns:cdr="http://schemas.openxmlformats.org/drawingml/2006/chartDrawing">
    <cdr:from>
      <cdr:x>0</cdr:x>
      <cdr:y>0</cdr:y>
    </cdr:from>
    <cdr:to>
      <cdr:x>0.00379</cdr:x>
      <cdr:y>0.00889</cdr:y>
    </cdr:to>
    <cdr:pic>
      <cdr:nvPicPr>
        <cdr:cNvPr id="14"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0" y="0"/>
          <a:ext cx="24386" cy="24386"/>
        </a:xfrm>
        <a:prstGeom xmlns:a="http://schemas.openxmlformats.org/drawingml/2006/main" prst="rect">
          <a:avLst/>
        </a:prstGeom>
      </cdr:spPr>
    </cdr:pic>
  </cdr:relSizeAnchor>
  <cdr:relSizeAnchor xmlns:cdr="http://schemas.openxmlformats.org/drawingml/2006/chartDrawing">
    <cdr:from>
      <cdr:x>0</cdr:x>
      <cdr:y>0</cdr:y>
    </cdr:from>
    <cdr:to>
      <cdr:x>0.00379</cdr:x>
      <cdr:y>0.00889</cdr:y>
    </cdr:to>
    <cdr:pic>
      <cdr:nvPicPr>
        <cdr:cNvPr id="16"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0" y="0"/>
          <a:ext cx="24386" cy="24386"/>
        </a:xfrm>
        <a:prstGeom xmlns:a="http://schemas.openxmlformats.org/drawingml/2006/main" prst="rect">
          <a:avLst/>
        </a:prstGeom>
      </cdr:spPr>
    </cdr:pic>
  </cdr:relSizeAnchor>
  <cdr:relSizeAnchor xmlns:cdr="http://schemas.openxmlformats.org/drawingml/2006/chartDrawing">
    <cdr:from>
      <cdr:x>0.90923</cdr:x>
      <cdr:y>0.08039</cdr:y>
    </cdr:from>
    <cdr:to>
      <cdr:x>0.96572</cdr:x>
      <cdr:y>0.14373</cdr:y>
    </cdr:to>
    <cdr:sp macro="" textlink="">
      <cdr:nvSpPr>
        <cdr:cNvPr id="11" name="文字方塊 10"/>
        <cdr:cNvSpPr txBox="1"/>
      </cdr:nvSpPr>
      <cdr:spPr>
        <a:xfrm xmlns:a="http://schemas.openxmlformats.org/drawingml/2006/main">
          <a:off x="4842624" y="282694"/>
          <a:ext cx="300871" cy="222728"/>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US" altLang="zh-TW" sz="800">
              <a:latin typeface="Times New Roman" pitchFamily="18" charset="0"/>
              <a:cs typeface="Times New Roman" pitchFamily="18" charset="0"/>
            </a:rPr>
            <a:t>%</a:t>
          </a:r>
          <a:endParaRPr lang="zh-TW" altLang="en-US" sz="800">
            <a:latin typeface="Times New Roman" pitchFamily="18" charset="0"/>
            <a:cs typeface="Times New Roman" pitchFamily="18" charset="0"/>
          </a:endParaRPr>
        </a:p>
      </cdr:txBody>
    </cdr:sp>
  </cdr:relSizeAnchor>
</c:userShapes>
</file>

<file path=word/drawings/drawing2.xml><?xml version="1.0" encoding="utf-8"?>
<c:userShapes xmlns:c="http://schemas.openxmlformats.org/drawingml/2006/chart">
  <cdr:relSizeAnchor xmlns:cdr="http://schemas.openxmlformats.org/drawingml/2006/chartDrawing">
    <cdr:from>
      <cdr:x>0.11012</cdr:x>
      <cdr:y>0.76022</cdr:y>
    </cdr:from>
    <cdr:to>
      <cdr:x>0.25017</cdr:x>
      <cdr:y>0.82564</cdr:y>
    </cdr:to>
    <cdr:sp macro="" textlink="">
      <cdr:nvSpPr>
        <cdr:cNvPr id="23553" name="Text Box 1"/>
        <cdr:cNvSpPr txBox="1">
          <a:spLocks xmlns:a="http://schemas.openxmlformats.org/drawingml/2006/main" noChangeArrowheads="1"/>
        </cdr:cNvSpPr>
      </cdr:nvSpPr>
      <cdr:spPr bwMode="auto">
        <a:xfrm xmlns:a="http://schemas.openxmlformats.org/drawingml/2006/main">
          <a:off x="604187" y="2569027"/>
          <a:ext cx="768370" cy="221074"/>
        </a:xfrm>
        <a:prstGeom xmlns:a="http://schemas.openxmlformats.org/drawingml/2006/main" prst="rect">
          <a:avLst/>
        </a:prstGeom>
        <a:noFill xmlns:a="http://schemas.openxmlformats.org/drawingml/2006/main"/>
        <a:ln xmlns:a="http://schemas.openxmlformats.org/drawingml/2006/main" w="1">
          <a:noFill/>
          <a:miter lim="800000"/>
          <a:headEnd/>
          <a:tailEnd/>
        </a:ln>
        <a:effectLst xmlns:a="http://schemas.openxmlformats.org/drawingml/2006/main"/>
      </cdr:spPr>
      <cdr:txBody>
        <a:bodyPr xmlns:a="http://schemas.openxmlformats.org/drawingml/2006/main" vertOverflow="clip" wrap="square" lIns="27432" tIns="27432" rIns="27432" bIns="27432" anchor="ctr" upright="1"/>
        <a:lstStyle xmlns:a="http://schemas.openxmlformats.org/drawingml/2006/main"/>
        <a:p xmlns:a="http://schemas.openxmlformats.org/drawingml/2006/main">
          <a:pPr rtl="0" fontAlgn="base"/>
          <a:r>
            <a:rPr lang="en-US" altLang="zh-TW" sz="800" b="0" i="0" baseline="0">
              <a:latin typeface="Times New Roman" pitchFamily="18" charset="0"/>
              <a:ea typeface="+mn-ea"/>
              <a:cs typeface="Times New Roman" pitchFamily="18" charset="0"/>
            </a:rPr>
            <a:t>Taipei Division</a:t>
          </a:r>
          <a:endParaRPr lang="zh-TW" altLang="zh-TW" sz="800" b="0" i="0" baseline="0">
            <a:latin typeface="Times New Roman" pitchFamily="18" charset="0"/>
            <a:ea typeface="+mn-ea"/>
            <a:cs typeface="Times New Roman" pitchFamily="18" charset="0"/>
          </a:endParaRPr>
        </a:p>
      </cdr:txBody>
    </cdr:sp>
  </cdr:relSizeAnchor>
  <cdr:relSizeAnchor xmlns:cdr="http://schemas.openxmlformats.org/drawingml/2006/chartDrawing">
    <cdr:from>
      <cdr:x>0.65614</cdr:x>
      <cdr:y>0.49358</cdr:y>
    </cdr:from>
    <cdr:to>
      <cdr:x>0.82564</cdr:x>
      <cdr:y>0.55178</cdr:y>
    </cdr:to>
    <cdr:sp macro="" textlink="">
      <cdr:nvSpPr>
        <cdr:cNvPr id="23554" name="Text Box 2"/>
        <cdr:cNvSpPr txBox="1">
          <a:spLocks xmlns:a="http://schemas.openxmlformats.org/drawingml/2006/main" noChangeArrowheads="1"/>
        </cdr:cNvSpPr>
      </cdr:nvSpPr>
      <cdr:spPr bwMode="auto">
        <a:xfrm xmlns:a="http://schemas.openxmlformats.org/drawingml/2006/main">
          <a:off x="3599859" y="1667965"/>
          <a:ext cx="929945" cy="196676"/>
        </a:xfrm>
        <a:prstGeom xmlns:a="http://schemas.openxmlformats.org/drawingml/2006/main" prst="rect">
          <a:avLst/>
        </a:prstGeom>
        <a:noFill xmlns:a="http://schemas.openxmlformats.org/drawingml/2006/main"/>
        <a:ln xmlns:a="http://schemas.openxmlformats.org/drawingml/2006/main" w="1">
          <a:noFill/>
          <a:miter lim="800000"/>
          <a:headEnd/>
          <a:tailEnd/>
        </a:ln>
        <a:effectLst xmlns:a="http://schemas.openxmlformats.org/drawingml/2006/main"/>
      </cdr:spPr>
      <cdr:txBody>
        <a:bodyPr xmlns:a="http://schemas.openxmlformats.org/drawingml/2006/main" vertOverflow="clip" wrap="square" lIns="27432" tIns="27432" rIns="27432" bIns="27432" anchor="ctr" upright="1"/>
        <a:lstStyle xmlns:a="http://schemas.openxmlformats.org/drawingml/2006/main"/>
        <a:p xmlns:a="http://schemas.openxmlformats.org/drawingml/2006/main">
          <a:pPr rtl="0" fontAlgn="base"/>
          <a:r>
            <a:rPr lang="en-US" altLang="zh-TW" sz="800" b="0" i="0" baseline="0">
              <a:latin typeface="Times New Roman" pitchFamily="18" charset="0"/>
              <a:ea typeface="+mn-ea"/>
              <a:cs typeface="Times New Roman" pitchFamily="18" charset="0"/>
            </a:rPr>
            <a:t>Northern Division</a:t>
          </a:r>
          <a:endParaRPr lang="zh-TW" altLang="zh-TW" sz="800" b="0" i="0" baseline="0">
            <a:latin typeface="Times New Roman" pitchFamily="18" charset="0"/>
            <a:ea typeface="+mn-ea"/>
            <a:cs typeface="Times New Roman" pitchFamily="18" charset="0"/>
          </a:endParaRPr>
        </a:p>
      </cdr:txBody>
    </cdr:sp>
  </cdr:relSizeAnchor>
  <cdr:relSizeAnchor xmlns:cdr="http://schemas.openxmlformats.org/drawingml/2006/chartDrawing">
    <cdr:from>
      <cdr:x>0.61408</cdr:x>
      <cdr:y>0.59732</cdr:y>
    </cdr:from>
    <cdr:to>
      <cdr:x>0.7884</cdr:x>
      <cdr:y>0.64801</cdr:y>
    </cdr:to>
    <cdr:sp macro="" textlink="">
      <cdr:nvSpPr>
        <cdr:cNvPr id="23555" name="Text Box 3"/>
        <cdr:cNvSpPr txBox="1">
          <a:spLocks xmlns:a="http://schemas.openxmlformats.org/drawingml/2006/main" noChangeArrowheads="1"/>
        </cdr:cNvSpPr>
      </cdr:nvSpPr>
      <cdr:spPr bwMode="auto">
        <a:xfrm xmlns:a="http://schemas.openxmlformats.org/drawingml/2006/main">
          <a:off x="3369108" y="2018516"/>
          <a:ext cx="956389" cy="171296"/>
        </a:xfrm>
        <a:prstGeom xmlns:a="http://schemas.openxmlformats.org/drawingml/2006/main" prst="rect">
          <a:avLst/>
        </a:prstGeom>
        <a:noFill xmlns:a="http://schemas.openxmlformats.org/drawingml/2006/main"/>
        <a:ln xmlns:a="http://schemas.openxmlformats.org/drawingml/2006/main" w="1">
          <a:noFill/>
          <a:miter lim="800000"/>
          <a:headEnd/>
          <a:tailEnd/>
        </a:ln>
        <a:effectLst xmlns:a="http://schemas.openxmlformats.org/drawingml/2006/main"/>
      </cdr:spPr>
      <cdr:txBody>
        <a:bodyPr xmlns:a="http://schemas.openxmlformats.org/drawingml/2006/main" vertOverflow="clip" wrap="square" lIns="27432" tIns="27432" rIns="27432" bIns="27432" anchor="ctr" upright="1"/>
        <a:lstStyle xmlns:a="http://schemas.openxmlformats.org/drawingml/2006/main"/>
        <a:p xmlns:a="http://schemas.openxmlformats.org/drawingml/2006/main">
          <a:pPr rtl="0" fontAlgn="base"/>
          <a:r>
            <a:rPr lang="en-US" altLang="zh-TW" sz="800" b="0" i="0" baseline="0">
              <a:latin typeface="Times New Roman" pitchFamily="18" charset="0"/>
              <a:ea typeface="+mn-ea"/>
              <a:cs typeface="Times New Roman" pitchFamily="18" charset="0"/>
            </a:rPr>
            <a:t>Central Division</a:t>
          </a:r>
          <a:endParaRPr lang="zh-TW" altLang="zh-TW" sz="800" b="0" i="0" baseline="0">
            <a:latin typeface="Times New Roman" pitchFamily="18" charset="0"/>
            <a:ea typeface="+mn-ea"/>
            <a:cs typeface="Times New Roman" pitchFamily="18" charset="0"/>
          </a:endParaRPr>
        </a:p>
      </cdr:txBody>
    </cdr:sp>
  </cdr:relSizeAnchor>
  <cdr:relSizeAnchor xmlns:cdr="http://schemas.openxmlformats.org/drawingml/2006/chartDrawing">
    <cdr:from>
      <cdr:x>0.44293</cdr:x>
      <cdr:y>0.58658</cdr:y>
    </cdr:from>
    <cdr:to>
      <cdr:x>0.61795</cdr:x>
      <cdr:y>0.63017</cdr:y>
    </cdr:to>
    <cdr:sp macro="" textlink="">
      <cdr:nvSpPr>
        <cdr:cNvPr id="23556" name="Text Box 4"/>
        <cdr:cNvSpPr txBox="1">
          <a:spLocks xmlns:a="http://schemas.openxmlformats.org/drawingml/2006/main" noChangeArrowheads="1"/>
        </cdr:cNvSpPr>
      </cdr:nvSpPr>
      <cdr:spPr bwMode="auto">
        <a:xfrm xmlns:a="http://schemas.openxmlformats.org/drawingml/2006/main">
          <a:off x="2430107" y="1982221"/>
          <a:ext cx="960230" cy="147304"/>
        </a:xfrm>
        <a:prstGeom xmlns:a="http://schemas.openxmlformats.org/drawingml/2006/main" prst="rect">
          <a:avLst/>
        </a:prstGeom>
        <a:noFill xmlns:a="http://schemas.openxmlformats.org/drawingml/2006/main"/>
        <a:ln xmlns:a="http://schemas.openxmlformats.org/drawingml/2006/main" w="1">
          <a:noFill/>
          <a:miter lim="800000"/>
          <a:headEnd/>
          <a:tailEnd/>
        </a:ln>
        <a:effectLst xmlns:a="http://schemas.openxmlformats.org/drawingml/2006/main"/>
      </cdr:spPr>
      <cdr:txBody>
        <a:bodyPr xmlns:a="http://schemas.openxmlformats.org/drawingml/2006/main" vertOverflow="clip" wrap="square" lIns="27432" tIns="27432" rIns="27432" bIns="27432" anchor="ctr" upright="1"/>
        <a:lstStyle xmlns:a="http://schemas.openxmlformats.org/drawingml/2006/main"/>
        <a:p xmlns:a="http://schemas.openxmlformats.org/drawingml/2006/main">
          <a:pPr rtl="0" fontAlgn="base"/>
          <a:r>
            <a:rPr lang="en-US" altLang="zh-TW" sz="800" b="0" i="0" baseline="0">
              <a:latin typeface="Times New Roman" pitchFamily="18" charset="0"/>
              <a:ea typeface="+mn-ea"/>
              <a:cs typeface="Times New Roman" pitchFamily="18" charset="0"/>
            </a:rPr>
            <a:t>Southern Division</a:t>
          </a:r>
          <a:endParaRPr lang="zh-TW" altLang="zh-TW" sz="800" b="0" i="0" baseline="0">
            <a:latin typeface="Times New Roman" pitchFamily="18" charset="0"/>
            <a:ea typeface="+mn-ea"/>
            <a:cs typeface="Times New Roman" pitchFamily="18" charset="0"/>
          </a:endParaRPr>
        </a:p>
      </cdr:txBody>
    </cdr:sp>
  </cdr:relSizeAnchor>
  <cdr:relSizeAnchor xmlns:cdr="http://schemas.openxmlformats.org/drawingml/2006/chartDrawing">
    <cdr:from>
      <cdr:x>0.44209</cdr:x>
      <cdr:y>0.72027</cdr:y>
    </cdr:from>
    <cdr:to>
      <cdr:x>0.62608</cdr:x>
      <cdr:y>0.7775</cdr:y>
    </cdr:to>
    <cdr:sp macro="" textlink="">
      <cdr:nvSpPr>
        <cdr:cNvPr id="23557" name="Text Box 5"/>
        <cdr:cNvSpPr txBox="1">
          <a:spLocks xmlns:a="http://schemas.openxmlformats.org/drawingml/2006/main" noChangeArrowheads="1"/>
        </cdr:cNvSpPr>
      </cdr:nvSpPr>
      <cdr:spPr bwMode="auto">
        <a:xfrm xmlns:a="http://schemas.openxmlformats.org/drawingml/2006/main">
          <a:off x="2425495" y="2434019"/>
          <a:ext cx="1009443" cy="193398"/>
        </a:xfrm>
        <a:prstGeom xmlns:a="http://schemas.openxmlformats.org/drawingml/2006/main" prst="rect">
          <a:avLst/>
        </a:prstGeom>
        <a:noFill xmlns:a="http://schemas.openxmlformats.org/drawingml/2006/main"/>
        <a:ln xmlns:a="http://schemas.openxmlformats.org/drawingml/2006/main" w="1">
          <a:noFill/>
          <a:miter lim="800000"/>
          <a:headEnd/>
          <a:tailEnd/>
        </a:ln>
        <a:effectLst xmlns:a="http://schemas.openxmlformats.org/drawingml/2006/main"/>
      </cdr:spPr>
      <cdr:txBody>
        <a:bodyPr xmlns:a="http://schemas.openxmlformats.org/drawingml/2006/main" vertOverflow="clip" wrap="square" lIns="27432" tIns="27432" rIns="27432" bIns="27432" anchor="ctr" upright="1"/>
        <a:lstStyle xmlns:a="http://schemas.openxmlformats.org/drawingml/2006/main"/>
        <a:p xmlns:a="http://schemas.openxmlformats.org/drawingml/2006/main">
          <a:pPr rtl="0" fontAlgn="base"/>
          <a:r>
            <a:rPr lang="en-US" altLang="zh-TW" sz="800" b="0" i="0" baseline="0">
              <a:latin typeface="Times New Roman" pitchFamily="18" charset="0"/>
              <a:ea typeface="+mn-ea"/>
              <a:cs typeface="Times New Roman" pitchFamily="18" charset="0"/>
            </a:rPr>
            <a:t>KaoPing Division</a:t>
          </a:r>
          <a:endParaRPr lang="zh-TW" altLang="zh-TW" sz="800" b="0" i="0" baseline="0">
            <a:latin typeface="Times New Roman" pitchFamily="18" charset="0"/>
            <a:ea typeface="+mn-ea"/>
            <a:cs typeface="Times New Roman" pitchFamily="18" charset="0"/>
          </a:endParaRPr>
        </a:p>
      </cdr:txBody>
    </cdr:sp>
  </cdr:relSizeAnchor>
  <cdr:relSizeAnchor xmlns:cdr="http://schemas.openxmlformats.org/drawingml/2006/chartDrawing">
    <cdr:from>
      <cdr:x>0.60273</cdr:x>
      <cdr:y>0.25906</cdr:y>
    </cdr:from>
    <cdr:to>
      <cdr:x>0.7391</cdr:x>
      <cdr:y>0.30109</cdr:y>
    </cdr:to>
    <cdr:sp macro="" textlink="">
      <cdr:nvSpPr>
        <cdr:cNvPr id="23558" name="Text Box 6"/>
        <cdr:cNvSpPr txBox="1">
          <a:spLocks xmlns:a="http://schemas.openxmlformats.org/drawingml/2006/main" noChangeArrowheads="1"/>
        </cdr:cNvSpPr>
      </cdr:nvSpPr>
      <cdr:spPr bwMode="auto">
        <a:xfrm xmlns:a="http://schemas.openxmlformats.org/drawingml/2006/main">
          <a:off x="3306818" y="875437"/>
          <a:ext cx="748180" cy="142032"/>
        </a:xfrm>
        <a:prstGeom xmlns:a="http://schemas.openxmlformats.org/drawingml/2006/main" prst="rect">
          <a:avLst/>
        </a:prstGeom>
        <a:noFill xmlns:a="http://schemas.openxmlformats.org/drawingml/2006/main"/>
        <a:ln xmlns:a="http://schemas.openxmlformats.org/drawingml/2006/main" w="1">
          <a:noFill/>
          <a:miter lim="800000"/>
          <a:headEnd/>
          <a:tailEnd/>
        </a:ln>
        <a:effectLst xmlns:a="http://schemas.openxmlformats.org/drawingml/2006/main"/>
      </cdr:spPr>
      <cdr:txBody>
        <a:bodyPr xmlns:a="http://schemas.openxmlformats.org/drawingml/2006/main" vertOverflow="clip" wrap="square" lIns="27432" tIns="27432" rIns="27432" bIns="27432" anchor="ctr" upright="1"/>
        <a:lstStyle xmlns:a="http://schemas.openxmlformats.org/drawingml/2006/main"/>
        <a:p xmlns:a="http://schemas.openxmlformats.org/drawingml/2006/main">
          <a:pPr rtl="0" fontAlgn="base"/>
          <a:r>
            <a:rPr lang="en-US" altLang="zh-TW" sz="800" b="0" i="0" baseline="0">
              <a:latin typeface="Times New Roman" pitchFamily="18" charset="0"/>
              <a:ea typeface="+mn-ea"/>
              <a:cs typeface="Times New Roman" pitchFamily="18" charset="0"/>
            </a:rPr>
            <a:t>Eastern Division</a:t>
          </a:r>
          <a:endParaRPr lang="zh-TW" altLang="zh-TW" sz="800" b="0" i="0" baseline="0">
            <a:latin typeface="Times New Roman" pitchFamily="18" charset="0"/>
            <a:ea typeface="+mn-ea"/>
            <a:cs typeface="Times New Roman" pitchFamily="18" charset="0"/>
          </a:endParaRPr>
        </a:p>
      </cdr:txBody>
    </cdr:sp>
  </cdr:relSizeAnchor>
  <cdr:relSizeAnchor xmlns:cdr="http://schemas.openxmlformats.org/drawingml/2006/chartDrawing">
    <cdr:from>
      <cdr:x>0.42736</cdr:x>
      <cdr:y>0.06636</cdr:y>
    </cdr:from>
    <cdr:to>
      <cdr:x>0.85206</cdr:x>
      <cdr:y>0.13526</cdr:y>
    </cdr:to>
    <cdr:sp macro="" textlink="">
      <cdr:nvSpPr>
        <cdr:cNvPr id="23559" name="Text Box 7"/>
        <cdr:cNvSpPr txBox="1">
          <a:spLocks xmlns:a="http://schemas.openxmlformats.org/drawingml/2006/main" noChangeArrowheads="1"/>
        </cdr:cNvSpPr>
      </cdr:nvSpPr>
      <cdr:spPr bwMode="auto">
        <a:xfrm xmlns:a="http://schemas.openxmlformats.org/drawingml/2006/main">
          <a:off x="2496388" y="235638"/>
          <a:ext cx="2480852" cy="244670"/>
        </a:xfrm>
        <a:prstGeom xmlns:a="http://schemas.openxmlformats.org/drawingml/2006/main" prst="rect">
          <a:avLst/>
        </a:prstGeom>
        <a:noFill xmlns:a="http://schemas.openxmlformats.org/drawingml/2006/main"/>
        <a:ln xmlns:a="http://schemas.openxmlformats.org/drawingml/2006/main" w="1">
          <a:noFill/>
          <a:miter lim="800000"/>
          <a:headEnd/>
          <a:tailEnd/>
        </a:ln>
        <a:effectLst xmlns:a="http://schemas.openxmlformats.org/drawingml/2006/main"/>
      </cdr:spPr>
      <cdr:txBody>
        <a:bodyPr xmlns:a="http://schemas.openxmlformats.org/drawingml/2006/main" vertOverflow="clip" wrap="square" lIns="36576" tIns="22860" rIns="36576" bIns="22860" anchor="ctr" upright="1"/>
        <a:lstStyle xmlns:a="http://schemas.openxmlformats.org/drawingml/2006/main"/>
        <a:p xmlns:a="http://schemas.openxmlformats.org/drawingml/2006/main">
          <a:pPr rtl="0" eaLnBrk="1" fontAlgn="auto" latinLnBrk="0" hangingPunct="1"/>
          <a:r>
            <a:rPr lang="en-US" altLang="zh-TW" sz="800" b="0" i="0" baseline="0">
              <a:latin typeface="Times New Roman" pitchFamily="18" charset="0"/>
              <a:ea typeface="+mn-ea"/>
              <a:cs typeface="Times New Roman" pitchFamily="18" charset="0"/>
            </a:rPr>
            <a:t>No. of group insurance applicants (</a:t>
          </a:r>
          <a:r>
            <a:rPr lang="en-US" altLang="zh-TW" sz="800">
              <a:latin typeface="Times New Roman" pitchFamily="18" charset="0"/>
              <a:ea typeface="+mn-ea"/>
              <a:cs typeface="Times New Roman" pitchFamily="18" charset="0"/>
            </a:rPr>
            <a:t>Fold)</a:t>
          </a:r>
          <a:endParaRPr lang="zh-TW" altLang="zh-TW" sz="800">
            <a:latin typeface="Times New Roman" pitchFamily="18" charset="0"/>
            <a:ea typeface="+mn-ea"/>
            <a:cs typeface="Times New Roman" pitchFamily="18" charset="0"/>
          </a:endParaRPr>
        </a:p>
      </cdr:txBody>
    </cdr:sp>
  </cdr:relSizeAnchor>
  <cdr:relSizeAnchor xmlns:cdr="http://schemas.openxmlformats.org/drawingml/2006/chartDrawing">
    <cdr:from>
      <cdr:x>0.02884</cdr:x>
      <cdr:y>0.86396</cdr:y>
    </cdr:from>
    <cdr:to>
      <cdr:x>0.96812</cdr:x>
      <cdr:y>0.99512</cdr:y>
    </cdr:to>
    <cdr:sp macro="" textlink="">
      <cdr:nvSpPr>
        <cdr:cNvPr id="10" name="文字方塊 9"/>
        <cdr:cNvSpPr txBox="1"/>
      </cdr:nvSpPr>
      <cdr:spPr>
        <a:xfrm xmlns:a="http://schemas.openxmlformats.org/drawingml/2006/main">
          <a:off x="158227" y="2878372"/>
          <a:ext cx="5153244" cy="436967"/>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eaLnBrk="0"/>
          <a:r>
            <a:rPr lang="en-US" altLang="zh-TW" sz="800">
              <a:latin typeface="Times New Roman" pitchFamily="18" charset="0"/>
              <a:ea typeface="+mn-ea"/>
              <a:cs typeface="Times New Roman" pitchFamily="18" charset="0"/>
            </a:rPr>
            <a:t>The X-axis and Y-axis value at the Origin (0.3, 1.3) respectively represents the "median of growth (percentage point)in the share of group insurance applicants' and 'the median of folds in the number of group insurance applicants" in the six BNHI branches.  </a:t>
          </a:r>
          <a:endParaRPr lang="zh-TW" altLang="zh-TW" sz="800">
            <a:latin typeface="Times New Roman" pitchFamily="18" charset="0"/>
            <a:ea typeface="+mn-ea"/>
            <a:cs typeface="Times New Roman" pitchFamily="18" charset="0"/>
          </a:endParaRPr>
        </a:p>
        <a:p xmlns:a="http://schemas.openxmlformats.org/drawingml/2006/main">
          <a:endParaRPr lang="zh-TW" altLang="en-US" sz="1000">
            <a:latin typeface="標楷體" pitchFamily="65" charset="-120"/>
            <a:ea typeface="標楷體" pitchFamily="65" charset="-120"/>
          </a:endParaRPr>
        </a:p>
      </cdr:txBody>
    </cdr:sp>
  </cdr:relSizeAnchor>
  <cdr:relSizeAnchor xmlns:cdr="http://schemas.openxmlformats.org/drawingml/2006/chartDrawing">
    <cdr:from>
      <cdr:x>0.85362</cdr:x>
      <cdr:y>0.20706</cdr:y>
    </cdr:from>
    <cdr:to>
      <cdr:x>0.91159</cdr:x>
      <cdr:y>0.85881</cdr:y>
    </cdr:to>
    <cdr:sp macro="" textlink="">
      <cdr:nvSpPr>
        <cdr:cNvPr id="11" name="文字方塊 1"/>
        <cdr:cNvSpPr txBox="1"/>
      </cdr:nvSpPr>
      <cdr:spPr>
        <a:xfrm xmlns:a="http://schemas.openxmlformats.org/drawingml/2006/main">
          <a:off x="4683318" y="699715"/>
          <a:ext cx="318053" cy="2202450"/>
        </a:xfrm>
        <a:prstGeom xmlns:a="http://schemas.openxmlformats.org/drawingml/2006/main" prst="rect">
          <a:avLst/>
        </a:prstGeom>
      </cdr:spPr>
      <cdr:txBody>
        <a:bodyPr xmlns:a="http://schemas.openxmlformats.org/drawingml/2006/main" vert="eaVert"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marL="0" marR="0" indent="0" defTabSz="914400" eaLnBrk="1" fontAlgn="auto" latinLnBrk="0" hangingPunct="1">
            <a:lnSpc>
              <a:spcPct val="100000"/>
            </a:lnSpc>
            <a:spcBef>
              <a:spcPts val="0"/>
            </a:spcBef>
            <a:spcAft>
              <a:spcPts val="0"/>
            </a:spcAft>
            <a:buClrTx/>
            <a:buSzTx/>
            <a:buFontTx/>
            <a:buNone/>
            <a:tabLst/>
            <a:defRPr/>
          </a:pPr>
          <a:r>
            <a:rPr lang="en-US" altLang="zh-TW" sz="800">
              <a:latin typeface="Times New Roman" pitchFamily="18" charset="0"/>
              <a:ea typeface="+mn-ea"/>
              <a:cs typeface="Times New Roman" pitchFamily="18" charset="0"/>
            </a:rPr>
            <a:t>Differences in share of group insurance</a:t>
          </a:r>
          <a:r>
            <a:rPr lang="en-US" altLang="zh-TW" sz="800" baseline="0">
              <a:latin typeface="Times New Roman" pitchFamily="18" charset="0"/>
              <a:ea typeface="+mn-ea"/>
              <a:cs typeface="Times New Roman" pitchFamily="18" charset="0"/>
            </a:rPr>
            <a:t> applicants</a:t>
          </a:r>
          <a:endParaRPr lang="zh-TW" altLang="zh-TW" sz="800">
            <a:latin typeface="Times New Roman" pitchFamily="18" charset="0"/>
            <a:ea typeface="+mn-ea"/>
            <a:cs typeface="Times New Roman" pitchFamily="18" charset="0"/>
          </a:endParaRPr>
        </a:p>
        <a:p xmlns:a="http://schemas.openxmlformats.org/drawingml/2006/main">
          <a:r>
            <a:rPr lang="en-US" altLang="zh-TW" sz="800">
              <a:latin typeface="Times New Roman" pitchFamily="18" charset="0"/>
              <a:ea typeface="新細明體"/>
              <a:cs typeface="Times New Roman" pitchFamily="18" charset="0"/>
            </a:rPr>
            <a:t> (Percentage</a:t>
          </a:r>
          <a:r>
            <a:rPr lang="en-US" altLang="zh-TW" sz="800" baseline="0">
              <a:latin typeface="Times New Roman" pitchFamily="18" charset="0"/>
              <a:ea typeface="新細明體"/>
              <a:cs typeface="Times New Roman" pitchFamily="18" charset="0"/>
            </a:rPr>
            <a:t> point)</a:t>
          </a:r>
          <a:endParaRPr lang="zh-TW" altLang="zh-TW" sz="800">
            <a:latin typeface="Times New Roman" pitchFamily="18" charset="0"/>
            <a:ea typeface="新細明體"/>
            <a:cs typeface="Times New Roman" pitchFamily="18" charset="0"/>
          </a:endParaRPr>
        </a:p>
        <a:p xmlns:a="http://schemas.openxmlformats.org/drawingml/2006/main">
          <a:endParaRPr lang="zh-TW" altLang="en-US" sz="800">
            <a:latin typeface="Times New Roman" pitchFamily="18" charset="0"/>
            <a:cs typeface="Times New Roman" pitchFamily="18" charset="0"/>
          </a:endParaRPr>
        </a:p>
      </cdr:txBody>
    </cdr:sp>
  </cdr:relSizeAnchor>
</c:userShapes>
</file>

<file path=word/drawings/drawing3.xml><?xml version="1.0" encoding="utf-8"?>
<c:userShapes xmlns:c="http://schemas.openxmlformats.org/drawingml/2006/chart">
  <cdr:relSizeAnchor xmlns:cdr="http://schemas.openxmlformats.org/drawingml/2006/chartDrawing">
    <cdr:from>
      <cdr:x>0.26057</cdr:x>
      <cdr:y>0.03918</cdr:y>
    </cdr:from>
    <cdr:to>
      <cdr:x>0.90223</cdr:x>
      <cdr:y>0.1117</cdr:y>
    </cdr:to>
    <cdr:sp macro="" textlink="">
      <cdr:nvSpPr>
        <cdr:cNvPr id="9" name="文字方塊 1"/>
        <cdr:cNvSpPr txBox="1"/>
      </cdr:nvSpPr>
      <cdr:spPr>
        <a:xfrm xmlns:a="http://schemas.openxmlformats.org/drawingml/2006/main">
          <a:off x="1647800" y="158589"/>
          <a:ext cx="4057675" cy="293570"/>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rtl="0" eaLnBrk="1" fontAlgn="auto" latinLnBrk="0" hangingPunct="1"/>
          <a:r>
            <a:rPr lang="en-US" altLang="zh-TW" sz="1000" b="0" i="0" baseline="0">
              <a:latin typeface="Times New Roman" pitchFamily="18" charset="0"/>
              <a:ea typeface="+mn-ea"/>
              <a:cs typeface="Times New Roman" pitchFamily="18" charset="0"/>
            </a:rPr>
            <a:t>Figure 3   Numbers &amp; Growth Rate of  Beneficiaries  </a:t>
          </a:r>
          <a:endParaRPr lang="zh-TW" altLang="zh-TW" sz="1000">
            <a:latin typeface="Times New Roman" pitchFamily="18" charset="0"/>
            <a:ea typeface="+mn-ea"/>
            <a:cs typeface="Times New Roman" pitchFamily="18" charset="0"/>
          </a:endParaRPr>
        </a:p>
        <a:p xmlns:a="http://schemas.openxmlformats.org/drawingml/2006/main">
          <a:pPr algn="ctr"/>
          <a:endParaRPr lang="zh-TW" altLang="en-US" sz="1000">
            <a:latin typeface="Times New Roman" pitchFamily="18" charset="0"/>
            <a:cs typeface="Times New Roman" pitchFamily="18" charset="0"/>
          </a:endParaRPr>
        </a:p>
      </cdr:txBody>
    </cdr:sp>
  </cdr:relSizeAnchor>
  <cdr:relSizeAnchor xmlns:cdr="http://schemas.openxmlformats.org/drawingml/2006/chartDrawing">
    <cdr:from>
      <cdr:x>0.88385</cdr:x>
      <cdr:y>0.15255</cdr:y>
    </cdr:from>
    <cdr:to>
      <cdr:x>0.9272</cdr:x>
      <cdr:y>0.21109</cdr:y>
    </cdr:to>
    <cdr:sp macro="" textlink="">
      <cdr:nvSpPr>
        <cdr:cNvPr id="10" name="文字方塊 3"/>
        <cdr:cNvSpPr txBox="1"/>
      </cdr:nvSpPr>
      <cdr:spPr>
        <a:xfrm xmlns:a="http://schemas.openxmlformats.org/drawingml/2006/main">
          <a:off x="5337448" y="587028"/>
          <a:ext cx="261784" cy="225267"/>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US" altLang="zh-TW" sz="800">
              <a:latin typeface="Times New Roman" pitchFamily="18" charset="0"/>
              <a:cs typeface="Times New Roman" pitchFamily="18" charset="0"/>
            </a:rPr>
            <a:t>%</a:t>
          </a:r>
          <a:endParaRPr lang="zh-TW" altLang="en-US" sz="800">
            <a:latin typeface="Times New Roman" pitchFamily="18" charset="0"/>
            <a:cs typeface="Times New Roman" pitchFamily="18" charset="0"/>
          </a:endParaRPr>
        </a:p>
      </cdr:txBody>
    </cdr:sp>
  </cdr:relSizeAnchor>
</c:userShapes>
</file>

<file path=word/drawings/drawing4.xml><?xml version="1.0" encoding="utf-8"?>
<c:userShapes xmlns:c="http://schemas.openxmlformats.org/drawingml/2006/chart">
  <cdr:relSizeAnchor xmlns:cdr="http://schemas.openxmlformats.org/drawingml/2006/chartDrawing">
    <cdr:from>
      <cdr:x>0.02457</cdr:x>
      <cdr:y>0.98403</cdr:y>
    </cdr:from>
    <cdr:to>
      <cdr:x>0.03211</cdr:x>
      <cdr:y>1</cdr:y>
    </cdr:to>
    <cdr:sp macro="" textlink="">
      <cdr:nvSpPr>
        <cdr:cNvPr id="9" name="矩形 8"/>
        <cdr:cNvSpPr/>
      </cdr:nvSpPr>
      <cdr:spPr>
        <a:xfrm xmlns:a="http://schemas.openxmlformats.org/drawingml/2006/main" flipH="1" flipV="1">
          <a:off x="144559" y="3145378"/>
          <a:ext cx="44365" cy="51047"/>
        </a:xfrm>
        <a:prstGeom xmlns:a="http://schemas.openxmlformats.org/drawingml/2006/main" prst="rect">
          <a:avLst/>
        </a:prstGeom>
        <a:solidFill xmlns:a="http://schemas.openxmlformats.org/drawingml/2006/main">
          <a:srgbClr val="92D050">
            <a:alpha val="70000"/>
          </a:srgbClr>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p xmlns:a="http://schemas.openxmlformats.org/drawingml/2006/main">
          <a:endParaRPr lang="zh-TW"/>
        </a:p>
      </cdr:txBody>
    </cdr:sp>
  </cdr:relSizeAnchor>
  <cdr:relSizeAnchor xmlns:cdr="http://schemas.openxmlformats.org/drawingml/2006/chartDrawing">
    <cdr:from>
      <cdr:x>0.16249</cdr:x>
      <cdr:y>0.98017</cdr:y>
    </cdr:from>
    <cdr:to>
      <cdr:x>0.17026</cdr:x>
      <cdr:y>1</cdr:y>
    </cdr:to>
    <cdr:sp macro="" textlink="">
      <cdr:nvSpPr>
        <cdr:cNvPr id="17" name="矩形 16"/>
        <cdr:cNvSpPr/>
      </cdr:nvSpPr>
      <cdr:spPr>
        <a:xfrm xmlns:a="http://schemas.openxmlformats.org/drawingml/2006/main" flipH="1">
          <a:off x="956076" y="3133041"/>
          <a:ext cx="45719" cy="63384"/>
        </a:xfrm>
        <a:prstGeom xmlns:a="http://schemas.openxmlformats.org/drawingml/2006/main" prst="rect">
          <a:avLst/>
        </a:prstGeom>
        <a:solidFill xmlns:a="http://schemas.openxmlformats.org/drawingml/2006/main">
          <a:srgbClr val="F3B7E2"/>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p xmlns:a="http://schemas.openxmlformats.org/drawingml/2006/main">
          <a:endParaRPr lang="zh-TW"/>
        </a:p>
      </cdr:txBody>
    </cdr:sp>
  </cdr:relSizeAnchor>
  <cdr:relSizeAnchor xmlns:cdr="http://schemas.openxmlformats.org/drawingml/2006/chartDrawing">
    <cdr:from>
      <cdr:x>0.31964</cdr:x>
      <cdr:y>0.9842</cdr:y>
    </cdr:from>
    <cdr:to>
      <cdr:x>0.32965</cdr:x>
      <cdr:y>1</cdr:y>
    </cdr:to>
    <cdr:sp macro="" textlink="">
      <cdr:nvSpPr>
        <cdr:cNvPr id="18" name="矩形 17"/>
        <cdr:cNvSpPr/>
      </cdr:nvSpPr>
      <cdr:spPr>
        <a:xfrm xmlns:a="http://schemas.openxmlformats.org/drawingml/2006/main">
          <a:off x="1880756" y="3145921"/>
          <a:ext cx="58899" cy="50504"/>
        </a:xfrm>
        <a:prstGeom xmlns:a="http://schemas.openxmlformats.org/drawingml/2006/main" prst="rect">
          <a:avLst/>
        </a:prstGeom>
        <a:solidFill xmlns:a="http://schemas.openxmlformats.org/drawingml/2006/main">
          <a:srgbClr val="B77DD1"/>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p xmlns:a="http://schemas.openxmlformats.org/drawingml/2006/main">
          <a:endParaRPr lang="zh-TW"/>
        </a:p>
      </cdr:txBody>
    </cdr:sp>
  </cdr:relSizeAnchor>
  <cdr:relSizeAnchor xmlns:cdr="http://schemas.openxmlformats.org/drawingml/2006/chartDrawing">
    <cdr:from>
      <cdr:x>0.46942</cdr:x>
      <cdr:y>0.9857</cdr:y>
    </cdr:from>
    <cdr:to>
      <cdr:x>0.47719</cdr:x>
      <cdr:y>1</cdr:y>
    </cdr:to>
    <cdr:sp macro="" textlink="">
      <cdr:nvSpPr>
        <cdr:cNvPr id="19" name="矩形 18"/>
        <cdr:cNvSpPr/>
      </cdr:nvSpPr>
      <cdr:spPr>
        <a:xfrm xmlns:a="http://schemas.openxmlformats.org/drawingml/2006/main" flipH="1" flipV="1">
          <a:off x="2762071" y="3150706"/>
          <a:ext cx="45719" cy="45719"/>
        </a:xfrm>
        <a:prstGeom xmlns:a="http://schemas.openxmlformats.org/drawingml/2006/main" prst="rect">
          <a:avLst/>
        </a:prstGeom>
        <a:solidFill xmlns:a="http://schemas.openxmlformats.org/drawingml/2006/main">
          <a:schemeClr val="accent2">
            <a:lumMod val="40000"/>
            <a:lumOff val="60000"/>
          </a:schemeClr>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p xmlns:a="http://schemas.openxmlformats.org/drawingml/2006/main">
          <a:endParaRPr lang="zh-TW"/>
        </a:p>
      </cdr:txBody>
    </cdr:sp>
  </cdr:relSizeAnchor>
  <cdr:relSizeAnchor xmlns:cdr="http://schemas.openxmlformats.org/drawingml/2006/chartDrawing">
    <cdr:from>
      <cdr:x>0.63737</cdr:x>
      <cdr:y>0.98655</cdr:y>
    </cdr:from>
    <cdr:to>
      <cdr:x>0.6463</cdr:x>
      <cdr:y>1</cdr:y>
    </cdr:to>
    <cdr:sp macro="" textlink="">
      <cdr:nvSpPr>
        <cdr:cNvPr id="20" name="矩形 19"/>
        <cdr:cNvSpPr/>
      </cdr:nvSpPr>
      <cdr:spPr>
        <a:xfrm xmlns:a="http://schemas.openxmlformats.org/drawingml/2006/main" flipH="1" flipV="1">
          <a:off x="3750270" y="3153433"/>
          <a:ext cx="52544" cy="42992"/>
        </a:xfrm>
        <a:prstGeom xmlns:a="http://schemas.openxmlformats.org/drawingml/2006/main" prst="rect">
          <a:avLst/>
        </a:prstGeom>
        <a:solidFill xmlns:a="http://schemas.openxmlformats.org/drawingml/2006/main">
          <a:srgbClr val="FFFF99"/>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p xmlns:a="http://schemas.openxmlformats.org/drawingml/2006/main">
          <a:endParaRPr lang="zh-TW"/>
        </a:p>
      </cdr:txBody>
    </cdr:sp>
  </cdr:relSizeAnchor>
  <cdr:relSizeAnchor xmlns:cdr="http://schemas.openxmlformats.org/drawingml/2006/chartDrawing">
    <cdr:from>
      <cdr:x>0.8006</cdr:x>
      <cdr:y>0.97288</cdr:y>
    </cdr:from>
    <cdr:to>
      <cdr:x>0.80895</cdr:x>
      <cdr:y>0.98687</cdr:y>
    </cdr:to>
    <cdr:sp macro="" textlink="">
      <cdr:nvSpPr>
        <cdr:cNvPr id="21" name="矩形 20"/>
        <cdr:cNvSpPr/>
      </cdr:nvSpPr>
      <cdr:spPr>
        <a:xfrm xmlns:a="http://schemas.openxmlformats.org/drawingml/2006/main" flipH="1">
          <a:off x="4710716" y="3109753"/>
          <a:ext cx="49132" cy="44718"/>
        </a:xfrm>
        <a:prstGeom xmlns:a="http://schemas.openxmlformats.org/drawingml/2006/main" prst="rect">
          <a:avLst/>
        </a:prstGeom>
        <a:solidFill xmlns:a="http://schemas.openxmlformats.org/drawingml/2006/main">
          <a:srgbClr val="95B3D7"/>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p xmlns:a="http://schemas.openxmlformats.org/drawingml/2006/main">
          <a:endParaRPr lang="zh-TW"/>
        </a:p>
      </cdr:txBody>
    </cdr:sp>
  </cdr:relSizeAnchor>
  <cdr:relSizeAnchor xmlns:cdr="http://schemas.openxmlformats.org/drawingml/2006/chartDrawing">
    <cdr:from>
      <cdr:x>0</cdr:x>
      <cdr:y>0.95388</cdr:y>
    </cdr:from>
    <cdr:to>
      <cdr:x>0.96081</cdr:x>
      <cdr:y>1</cdr:y>
    </cdr:to>
    <cdr:sp macro="" textlink="">
      <cdr:nvSpPr>
        <cdr:cNvPr id="2" name="文字方塊 2"/>
        <cdr:cNvSpPr txBox="1"/>
      </cdr:nvSpPr>
      <cdr:spPr>
        <a:xfrm xmlns:a="http://schemas.openxmlformats.org/drawingml/2006/main">
          <a:off x="-15902" y="3048995"/>
          <a:ext cx="5653378" cy="147430"/>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algn="l">
            <a:lnSpc>
              <a:spcPts val="1000"/>
            </a:lnSpc>
          </a:pPr>
          <a:r>
            <a:rPr lang="zh-TW" altLang="en-US" sz="800" b="0"/>
            <a:t>  </a:t>
          </a:r>
          <a:r>
            <a:rPr lang="zh-TW" altLang="en-US" sz="800" b="0">
              <a:latin typeface="標楷體" pitchFamily="65" charset="-120"/>
              <a:ea typeface="標楷體" pitchFamily="65" charset="-120"/>
            </a:rPr>
            <a:t>  </a:t>
          </a:r>
          <a:r>
            <a:rPr lang="en-US" altLang="zh-TW" sz="800" b="0">
              <a:latin typeface="Times New Roman" pitchFamily="18" charset="0"/>
              <a:ea typeface="+mn-ea"/>
              <a:cs typeface="Times New Roman" pitchFamily="18" charset="0"/>
            </a:rPr>
            <a:t>Taipei Division</a:t>
          </a:r>
          <a:r>
            <a:rPr lang="en-US" altLang="zh-TW" sz="800" b="0" baseline="0">
              <a:latin typeface="Times New Roman" pitchFamily="18" charset="0"/>
              <a:ea typeface="+mn-ea"/>
              <a:cs typeface="Times New Roman" pitchFamily="18" charset="0"/>
            </a:rPr>
            <a:t>        </a:t>
          </a:r>
          <a:r>
            <a:rPr lang="en-US" altLang="zh-TW" sz="800" b="0">
              <a:latin typeface="Times New Roman" pitchFamily="18" charset="0"/>
              <a:ea typeface="+mn-ea"/>
              <a:cs typeface="Times New Roman" pitchFamily="18" charset="0"/>
            </a:rPr>
            <a:t>Northern Division</a:t>
          </a:r>
          <a:r>
            <a:rPr lang="en-US" altLang="zh-TW" sz="800" b="0" baseline="0">
              <a:latin typeface="Times New Roman" pitchFamily="18" charset="0"/>
              <a:ea typeface="+mn-ea"/>
              <a:cs typeface="Times New Roman" pitchFamily="18" charset="0"/>
            </a:rPr>
            <a:t>       </a:t>
          </a:r>
          <a:r>
            <a:rPr lang="en-US" altLang="zh-TW" sz="800" b="0">
              <a:latin typeface="Times New Roman" pitchFamily="18" charset="0"/>
              <a:ea typeface="+mn-ea"/>
              <a:cs typeface="Times New Roman" pitchFamily="18" charset="0"/>
            </a:rPr>
            <a:t>Central Division</a:t>
          </a:r>
          <a:r>
            <a:rPr lang="en-US" altLang="zh-TW" sz="800" b="0" baseline="0">
              <a:latin typeface="Times New Roman" pitchFamily="18" charset="0"/>
              <a:ea typeface="+mn-ea"/>
              <a:cs typeface="Times New Roman" pitchFamily="18" charset="0"/>
            </a:rPr>
            <a:t>         </a:t>
          </a:r>
          <a:r>
            <a:rPr lang="en-US" altLang="zh-TW" sz="800" b="0">
              <a:latin typeface="Times New Roman" pitchFamily="18" charset="0"/>
              <a:ea typeface="+mn-ea"/>
              <a:cs typeface="Times New Roman" pitchFamily="18" charset="0"/>
            </a:rPr>
            <a:t>Southern Division</a:t>
          </a:r>
          <a:r>
            <a:rPr lang="en-US" altLang="zh-TW" sz="800" b="0" baseline="0">
              <a:latin typeface="Times New Roman" pitchFamily="18" charset="0"/>
              <a:ea typeface="+mn-ea"/>
              <a:cs typeface="Times New Roman" pitchFamily="18" charset="0"/>
            </a:rPr>
            <a:t>        KaoPing</a:t>
          </a:r>
          <a:r>
            <a:rPr lang="en-US" altLang="zh-TW" sz="800" b="0">
              <a:latin typeface="Times New Roman" pitchFamily="18" charset="0"/>
              <a:ea typeface="+mn-ea"/>
              <a:cs typeface="Times New Roman" pitchFamily="18" charset="0"/>
            </a:rPr>
            <a:t> </a:t>
          </a:r>
          <a:r>
            <a:rPr lang="en-US" altLang="zh-TW" sz="800" b="0" baseline="0">
              <a:latin typeface="Times New Roman" pitchFamily="18" charset="0"/>
              <a:ea typeface="+mn-ea"/>
              <a:cs typeface="Times New Roman" pitchFamily="18" charset="0"/>
            </a:rPr>
            <a:t> Division         </a:t>
          </a:r>
          <a:r>
            <a:rPr lang="en-US" altLang="zh-TW" sz="800" b="0">
              <a:latin typeface="Times New Roman" pitchFamily="18" charset="0"/>
              <a:ea typeface="+mn-ea"/>
              <a:cs typeface="Times New Roman" pitchFamily="18" charset="0"/>
            </a:rPr>
            <a:t>Eastern Division</a:t>
          </a:r>
          <a:endParaRPr lang="en-US" altLang="zh-TW" sz="800" b="0" baseline="0">
            <a:latin typeface="Times New Roman" pitchFamily="18" charset="0"/>
            <a:ea typeface="標楷體" pitchFamily="65" charset="-120"/>
            <a:cs typeface="Times New Roman" pitchFamily="18" charset="0"/>
          </a:endParaRPr>
        </a:p>
        <a:p xmlns:a="http://schemas.openxmlformats.org/drawingml/2006/main">
          <a:pPr algn="l">
            <a:lnSpc>
              <a:spcPts val="1000"/>
            </a:lnSpc>
          </a:pPr>
          <a:endParaRPr lang="zh-TW" altLang="en-US" sz="800" b="0">
            <a:latin typeface="標楷體" pitchFamily="65" charset="-120"/>
            <a:ea typeface="標楷體" pitchFamily="65" charset="-120"/>
          </a:endParaRPr>
        </a:p>
      </cdr:txBody>
    </cdr:sp>
  </cdr:relSizeAnchor>
  <cdr:relSizeAnchor xmlns:cdr="http://schemas.openxmlformats.org/drawingml/2006/chartDrawing">
    <cdr:from>
      <cdr:x>0.36472</cdr:x>
      <cdr:y>0.2008</cdr:y>
    </cdr:from>
    <cdr:to>
      <cdr:x>0.3722</cdr:x>
      <cdr:y>0.21044</cdr:y>
    </cdr:to>
    <cdr:sp macro="" textlink="">
      <cdr:nvSpPr>
        <cdr:cNvPr id="14" name="直線接點 13"/>
        <cdr:cNvSpPr/>
      </cdr:nvSpPr>
      <cdr:spPr bwMode="auto">
        <a:xfrm xmlns:a="http://schemas.openxmlformats.org/drawingml/2006/main" flipV="1">
          <a:off x="2324099" y="952499"/>
          <a:ext cx="47625" cy="45719"/>
        </a:xfrm>
        <a:prstGeom xmlns:a="http://schemas.openxmlformats.org/drawingml/2006/main" prst="line">
          <a:avLst/>
        </a:prstGeom>
        <a:solidFill xmlns:a="http://schemas.openxmlformats.org/drawingml/2006/main">
          <a:srgbClr val="CCFFCC"/>
        </a:solidFill>
        <a:ln xmlns:a="http://schemas.openxmlformats.org/drawingml/2006/main" w="9525" cap="flat" cmpd="sng" algn="ctr">
          <a:noFill/>
          <a:prstDash val="solid"/>
          <a:round/>
          <a:headEnd type="none" w="med" len="med"/>
          <a:tailEnd type="none" w="med" len="med"/>
        </a:ln>
        <a:effectLst xmlns:a="http://schemas.openxmlformats.org/drawingml/2006/main"/>
      </cdr:spPr>
      <cdr:txBody>
        <a:bodyPr xmlns:a="http://schemas.openxmlformats.org/drawingml/2006/main" vertOverflow="clip" vert="vert" wrap="square" lIns="18288" tIns="0" rIns="0" bIns="0" upright="1"/>
        <a:lstStyle xmlns:a="http://schemas.openxmlformats.org/drawingml/2006/main"/>
        <a:p xmlns:a="http://schemas.openxmlformats.org/drawingml/2006/main">
          <a:endParaRPr lang="zh-TW"/>
        </a:p>
      </cdr:txBody>
    </cdr:sp>
  </cdr:relSizeAnchor>
  <cdr:relSizeAnchor xmlns:cdr="http://schemas.openxmlformats.org/drawingml/2006/chartDrawing">
    <cdr:from>
      <cdr:x>0.28102</cdr:x>
      <cdr:y>0.11044</cdr:y>
    </cdr:from>
    <cdr:to>
      <cdr:x>0.42451</cdr:x>
      <cdr:y>0.30321</cdr:y>
    </cdr:to>
    <cdr:sp macro="" textlink="">
      <cdr:nvSpPr>
        <cdr:cNvPr id="16" name="直線接點 15"/>
        <cdr:cNvSpPr/>
      </cdr:nvSpPr>
      <cdr:spPr bwMode="auto">
        <a:xfrm xmlns:a="http://schemas.openxmlformats.org/drawingml/2006/main">
          <a:off x="1790700" y="523875"/>
          <a:ext cx="914400" cy="914400"/>
        </a:xfrm>
        <a:prstGeom xmlns:a="http://schemas.openxmlformats.org/drawingml/2006/main" prst="line">
          <a:avLst/>
        </a:prstGeom>
        <a:solidFill xmlns:a="http://schemas.openxmlformats.org/drawingml/2006/main">
          <a:srgbClr val="CCFFCC"/>
        </a:solidFill>
        <a:ln xmlns:a="http://schemas.openxmlformats.org/drawingml/2006/main" w="9525" cap="flat" cmpd="sng" algn="ctr">
          <a:noFill/>
          <a:prstDash val="solid"/>
          <a:round/>
          <a:headEnd type="none" w="med" len="med"/>
          <a:tailEnd type="none" w="med" len="med"/>
        </a:ln>
        <a:effectLst xmlns:a="http://schemas.openxmlformats.org/drawingml/2006/main"/>
      </cdr:spPr>
      <cdr:txBody>
        <a:bodyPr xmlns:a="http://schemas.openxmlformats.org/drawingml/2006/main" vertOverflow="clip" vert="vert" wrap="square" lIns="18288" tIns="0" rIns="0" bIns="0" upright="1"/>
        <a:lstStyle xmlns:a="http://schemas.openxmlformats.org/drawingml/2006/main"/>
        <a:p xmlns:a="http://schemas.openxmlformats.org/drawingml/2006/main">
          <a:endParaRPr lang="zh-TW"/>
        </a:p>
      </cdr:txBody>
    </cdr:sp>
  </cdr:relSizeAnchor>
</c:userShapes>
</file>

<file path=word/drawings/drawing5.xml><?xml version="1.0" encoding="utf-8"?>
<c:userShapes xmlns:c="http://schemas.openxmlformats.org/drawingml/2006/chart">
  <cdr:relSizeAnchor xmlns:cdr="http://schemas.openxmlformats.org/drawingml/2006/chartDrawing">
    <cdr:from>
      <cdr:x>0.48996</cdr:x>
      <cdr:y>0.29793</cdr:y>
    </cdr:from>
    <cdr:to>
      <cdr:x>0.62712</cdr:x>
      <cdr:y>0.37659</cdr:y>
    </cdr:to>
    <cdr:sp macro="" textlink="">
      <cdr:nvSpPr>
        <cdr:cNvPr id="23553" name="Text Box 1"/>
        <cdr:cNvSpPr txBox="1">
          <a:spLocks xmlns:a="http://schemas.openxmlformats.org/drawingml/2006/main" noChangeArrowheads="1"/>
        </cdr:cNvSpPr>
      </cdr:nvSpPr>
      <cdr:spPr bwMode="auto">
        <a:xfrm xmlns:a="http://schemas.openxmlformats.org/drawingml/2006/main">
          <a:off x="2762767" y="962013"/>
          <a:ext cx="773417" cy="253992"/>
        </a:xfrm>
        <a:prstGeom xmlns:a="http://schemas.openxmlformats.org/drawingml/2006/main" prst="rect">
          <a:avLst/>
        </a:prstGeom>
        <a:noFill xmlns:a="http://schemas.openxmlformats.org/drawingml/2006/main"/>
        <a:ln xmlns:a="http://schemas.openxmlformats.org/drawingml/2006/main" w="1">
          <a:noFill/>
          <a:miter lim="800000"/>
          <a:headEnd/>
          <a:tailEnd/>
        </a:ln>
        <a:effectLst xmlns:a="http://schemas.openxmlformats.org/drawingml/2006/main"/>
      </cdr:spPr>
      <cdr:txBody>
        <a:bodyPr xmlns:a="http://schemas.openxmlformats.org/drawingml/2006/main" vertOverflow="clip" wrap="square" lIns="27432" tIns="27432" rIns="27432" bIns="27432" anchor="ctr" upright="1"/>
        <a:lstStyle xmlns:a="http://schemas.openxmlformats.org/drawingml/2006/main"/>
        <a:p xmlns:a="http://schemas.openxmlformats.org/drawingml/2006/main">
          <a:pPr marL="0" marR="0" indent="0" defTabSz="914400" rtl="0" eaLnBrk="1" fontAlgn="base" latinLnBrk="0" hangingPunct="1">
            <a:lnSpc>
              <a:spcPct val="100000"/>
            </a:lnSpc>
            <a:spcBef>
              <a:spcPts val="0"/>
            </a:spcBef>
            <a:spcAft>
              <a:spcPts val="0"/>
            </a:spcAft>
            <a:buClrTx/>
            <a:buSzTx/>
            <a:buFontTx/>
            <a:buNone/>
            <a:tabLst/>
            <a:defRPr/>
          </a:pPr>
          <a:r>
            <a:rPr lang="en-US" altLang="zh-TW" sz="800" b="0" i="0" baseline="0">
              <a:latin typeface="Times New Roman" pitchFamily="18" charset="0"/>
              <a:ea typeface="+mn-ea"/>
              <a:cs typeface="Times New Roman" pitchFamily="18" charset="0"/>
            </a:rPr>
            <a:t>Taipei Division</a:t>
          </a:r>
          <a:endParaRPr lang="zh-TW" altLang="zh-TW" sz="800" b="0" i="0" baseline="0">
            <a:latin typeface="Times New Roman" pitchFamily="18" charset="0"/>
            <a:ea typeface="+mn-ea"/>
            <a:cs typeface="Times New Roman" pitchFamily="18" charset="0"/>
          </a:endParaRPr>
        </a:p>
        <a:p xmlns:a="http://schemas.openxmlformats.org/drawingml/2006/main">
          <a:pPr rtl="0" fontAlgn="base"/>
          <a:endParaRPr lang="zh-TW" altLang="zh-TW" sz="800" b="0" i="0" baseline="0">
            <a:latin typeface="Times New Roman" pitchFamily="18" charset="0"/>
            <a:ea typeface="+mn-ea"/>
            <a:cs typeface="Times New Roman" pitchFamily="18" charset="0"/>
          </a:endParaRPr>
        </a:p>
      </cdr:txBody>
    </cdr:sp>
  </cdr:relSizeAnchor>
  <cdr:relSizeAnchor xmlns:cdr="http://schemas.openxmlformats.org/drawingml/2006/chartDrawing">
    <cdr:from>
      <cdr:x>0.68444</cdr:x>
      <cdr:y>0.26736</cdr:y>
    </cdr:from>
    <cdr:to>
      <cdr:x>0.85632</cdr:x>
      <cdr:y>0.32743</cdr:y>
    </cdr:to>
    <cdr:sp macro="" textlink="">
      <cdr:nvSpPr>
        <cdr:cNvPr id="23554" name="Text Box 2"/>
        <cdr:cNvSpPr txBox="1">
          <a:spLocks xmlns:a="http://schemas.openxmlformats.org/drawingml/2006/main" noChangeArrowheads="1"/>
        </cdr:cNvSpPr>
      </cdr:nvSpPr>
      <cdr:spPr bwMode="auto">
        <a:xfrm xmlns:a="http://schemas.openxmlformats.org/drawingml/2006/main">
          <a:off x="3859405" y="863303"/>
          <a:ext cx="969197" cy="193964"/>
        </a:xfrm>
        <a:prstGeom xmlns:a="http://schemas.openxmlformats.org/drawingml/2006/main" prst="rect">
          <a:avLst/>
        </a:prstGeom>
        <a:noFill xmlns:a="http://schemas.openxmlformats.org/drawingml/2006/main"/>
        <a:ln xmlns:a="http://schemas.openxmlformats.org/drawingml/2006/main" w="1">
          <a:noFill/>
          <a:miter lim="800000"/>
          <a:headEnd/>
          <a:tailEnd/>
        </a:ln>
        <a:effectLst xmlns:a="http://schemas.openxmlformats.org/drawingml/2006/main"/>
      </cdr:spPr>
      <cdr:txBody>
        <a:bodyPr xmlns:a="http://schemas.openxmlformats.org/drawingml/2006/main" vertOverflow="clip" wrap="square" lIns="27432" tIns="27432" rIns="27432" bIns="27432" anchor="ctr" upright="1"/>
        <a:lstStyle xmlns:a="http://schemas.openxmlformats.org/drawingml/2006/main"/>
        <a:p xmlns:a="http://schemas.openxmlformats.org/drawingml/2006/main">
          <a:pPr rtl="0" fontAlgn="base"/>
          <a:r>
            <a:rPr lang="en-US" altLang="zh-TW" sz="800" b="0" i="0" baseline="0">
              <a:latin typeface="Times New Roman" pitchFamily="18" charset="0"/>
              <a:ea typeface="+mn-ea"/>
              <a:cs typeface="Times New Roman" pitchFamily="18" charset="0"/>
            </a:rPr>
            <a:t>Northern Division</a:t>
          </a:r>
          <a:endParaRPr lang="zh-TW" altLang="zh-TW" sz="800" b="0" i="0" baseline="0">
            <a:latin typeface="Times New Roman" pitchFamily="18" charset="0"/>
            <a:ea typeface="+mn-ea"/>
            <a:cs typeface="Times New Roman" pitchFamily="18" charset="0"/>
          </a:endParaRPr>
        </a:p>
      </cdr:txBody>
    </cdr:sp>
  </cdr:relSizeAnchor>
  <cdr:relSizeAnchor xmlns:cdr="http://schemas.openxmlformats.org/drawingml/2006/chartDrawing">
    <cdr:from>
      <cdr:x>0.28702</cdr:x>
      <cdr:y>0.37758</cdr:y>
    </cdr:from>
    <cdr:to>
      <cdr:x>0.43243</cdr:x>
      <cdr:y>0.42478</cdr:y>
    </cdr:to>
    <cdr:sp macro="" textlink="">
      <cdr:nvSpPr>
        <cdr:cNvPr id="23555" name="Text Box 3"/>
        <cdr:cNvSpPr txBox="1">
          <a:spLocks xmlns:a="http://schemas.openxmlformats.org/drawingml/2006/main" noChangeArrowheads="1"/>
        </cdr:cNvSpPr>
      </cdr:nvSpPr>
      <cdr:spPr bwMode="auto">
        <a:xfrm xmlns:a="http://schemas.openxmlformats.org/drawingml/2006/main">
          <a:off x="1618438" y="1219199"/>
          <a:ext cx="819961" cy="152403"/>
        </a:xfrm>
        <a:prstGeom xmlns:a="http://schemas.openxmlformats.org/drawingml/2006/main" prst="rect">
          <a:avLst/>
        </a:prstGeom>
        <a:noFill xmlns:a="http://schemas.openxmlformats.org/drawingml/2006/main"/>
        <a:ln xmlns:a="http://schemas.openxmlformats.org/drawingml/2006/main" w="1">
          <a:noFill/>
          <a:miter lim="800000"/>
          <a:headEnd/>
          <a:tailEnd/>
        </a:ln>
        <a:effectLst xmlns:a="http://schemas.openxmlformats.org/drawingml/2006/main"/>
      </cdr:spPr>
      <cdr:txBody>
        <a:bodyPr xmlns:a="http://schemas.openxmlformats.org/drawingml/2006/main" vertOverflow="clip" wrap="square" lIns="27432" tIns="27432" rIns="27432" bIns="27432" anchor="ctr" upright="1"/>
        <a:lstStyle xmlns:a="http://schemas.openxmlformats.org/drawingml/2006/main"/>
        <a:p xmlns:a="http://schemas.openxmlformats.org/drawingml/2006/main">
          <a:pPr rtl="0" fontAlgn="base"/>
          <a:r>
            <a:rPr lang="en-US" altLang="zh-TW" sz="800" b="0" i="0" baseline="0">
              <a:latin typeface="Times New Roman" pitchFamily="18" charset="0"/>
              <a:ea typeface="+mn-ea"/>
              <a:cs typeface="Times New Roman" pitchFamily="18" charset="0"/>
            </a:rPr>
            <a:t>Central Division</a:t>
          </a:r>
          <a:endParaRPr lang="zh-TW" altLang="zh-TW" sz="800" b="0" i="0" baseline="0">
            <a:latin typeface="Times New Roman" pitchFamily="18" charset="0"/>
            <a:ea typeface="+mn-ea"/>
            <a:cs typeface="Times New Roman" pitchFamily="18" charset="0"/>
          </a:endParaRPr>
        </a:p>
      </cdr:txBody>
    </cdr:sp>
  </cdr:relSizeAnchor>
  <cdr:relSizeAnchor xmlns:cdr="http://schemas.openxmlformats.org/drawingml/2006/chartDrawing">
    <cdr:from>
      <cdr:x>0.14166</cdr:x>
      <cdr:y>0.28614</cdr:y>
    </cdr:from>
    <cdr:to>
      <cdr:x>0.23452</cdr:x>
      <cdr:y>0.39831</cdr:y>
    </cdr:to>
    <cdr:sp macro="" textlink="">
      <cdr:nvSpPr>
        <cdr:cNvPr id="23556" name="Text Box 4"/>
        <cdr:cNvSpPr txBox="1">
          <a:spLocks xmlns:a="http://schemas.openxmlformats.org/drawingml/2006/main" noChangeArrowheads="1"/>
        </cdr:cNvSpPr>
      </cdr:nvSpPr>
      <cdr:spPr bwMode="auto">
        <a:xfrm xmlns:a="http://schemas.openxmlformats.org/drawingml/2006/main">
          <a:off x="798806" y="923924"/>
          <a:ext cx="523619" cy="362214"/>
        </a:xfrm>
        <a:prstGeom xmlns:a="http://schemas.openxmlformats.org/drawingml/2006/main" prst="rect">
          <a:avLst/>
        </a:prstGeom>
        <a:noFill xmlns:a="http://schemas.openxmlformats.org/drawingml/2006/main"/>
        <a:ln xmlns:a="http://schemas.openxmlformats.org/drawingml/2006/main" w="1">
          <a:noFill/>
          <a:miter lim="800000"/>
          <a:headEnd/>
          <a:tailEnd/>
        </a:ln>
        <a:effectLst xmlns:a="http://schemas.openxmlformats.org/drawingml/2006/main"/>
      </cdr:spPr>
      <cdr:txBody>
        <a:bodyPr xmlns:a="http://schemas.openxmlformats.org/drawingml/2006/main" vertOverflow="clip" wrap="square" lIns="27432" tIns="27432" rIns="27432" bIns="27432" anchor="ctr" upright="1"/>
        <a:lstStyle xmlns:a="http://schemas.openxmlformats.org/drawingml/2006/main"/>
        <a:p xmlns:a="http://schemas.openxmlformats.org/drawingml/2006/main">
          <a:pPr marL="0" marR="0" indent="0" algn="ctr" defTabSz="914400" rtl="0" eaLnBrk="1" fontAlgn="base" latinLnBrk="0" hangingPunct="1">
            <a:lnSpc>
              <a:spcPct val="100000"/>
            </a:lnSpc>
            <a:spcBef>
              <a:spcPts val="0"/>
            </a:spcBef>
            <a:spcAft>
              <a:spcPts val="0"/>
            </a:spcAft>
            <a:buClrTx/>
            <a:buSzTx/>
            <a:buFontTx/>
            <a:buNone/>
            <a:tabLst/>
            <a:defRPr/>
          </a:pPr>
          <a:r>
            <a:rPr lang="en-US" altLang="zh-TW" sz="800" b="0" i="0" baseline="0">
              <a:latin typeface="Times New Roman" pitchFamily="18" charset="0"/>
              <a:ea typeface="+mn-ea"/>
              <a:cs typeface="Times New Roman" pitchFamily="18" charset="0"/>
            </a:rPr>
            <a:t>Southern Division</a:t>
          </a:r>
          <a:endParaRPr lang="zh-TW" altLang="zh-TW" sz="800" b="0" i="0" baseline="0">
            <a:latin typeface="Times New Roman" pitchFamily="18" charset="0"/>
            <a:ea typeface="+mn-ea"/>
            <a:cs typeface="Times New Roman" pitchFamily="18" charset="0"/>
          </a:endParaRPr>
        </a:p>
        <a:p xmlns:a="http://schemas.openxmlformats.org/drawingml/2006/main">
          <a:pPr algn="ctr" rtl="0" fontAlgn="base"/>
          <a:endParaRPr lang="zh-TW" altLang="zh-TW" sz="800" b="0" i="0" baseline="0">
            <a:latin typeface="Times New Roman" pitchFamily="18" charset="0"/>
            <a:ea typeface="+mn-ea"/>
            <a:cs typeface="Times New Roman" pitchFamily="18" charset="0"/>
          </a:endParaRPr>
        </a:p>
      </cdr:txBody>
    </cdr:sp>
  </cdr:relSizeAnchor>
  <cdr:relSizeAnchor xmlns:cdr="http://schemas.openxmlformats.org/drawingml/2006/chartDrawing">
    <cdr:from>
      <cdr:x>0.04524</cdr:x>
      <cdr:y>0.33038</cdr:y>
    </cdr:from>
    <cdr:to>
      <cdr:x>0.1402</cdr:x>
      <cdr:y>0.43068</cdr:y>
    </cdr:to>
    <cdr:sp macro="" textlink="">
      <cdr:nvSpPr>
        <cdr:cNvPr id="23557" name="Text Box 5"/>
        <cdr:cNvSpPr txBox="1">
          <a:spLocks xmlns:a="http://schemas.openxmlformats.org/drawingml/2006/main" noChangeArrowheads="1"/>
        </cdr:cNvSpPr>
      </cdr:nvSpPr>
      <cdr:spPr bwMode="auto">
        <a:xfrm xmlns:a="http://schemas.openxmlformats.org/drawingml/2006/main">
          <a:off x="255108" y="1066800"/>
          <a:ext cx="535467" cy="323850"/>
        </a:xfrm>
        <a:prstGeom xmlns:a="http://schemas.openxmlformats.org/drawingml/2006/main" prst="rect">
          <a:avLst/>
        </a:prstGeom>
        <a:noFill xmlns:a="http://schemas.openxmlformats.org/drawingml/2006/main"/>
        <a:ln xmlns:a="http://schemas.openxmlformats.org/drawingml/2006/main" w="1">
          <a:noFill/>
          <a:miter lim="800000"/>
          <a:headEnd/>
          <a:tailEnd/>
        </a:ln>
        <a:effectLst xmlns:a="http://schemas.openxmlformats.org/drawingml/2006/main"/>
      </cdr:spPr>
      <cdr:txBody>
        <a:bodyPr xmlns:a="http://schemas.openxmlformats.org/drawingml/2006/main" vertOverflow="clip" wrap="square" lIns="27432" tIns="27432" rIns="27432" bIns="27432" anchor="ctr" upright="1"/>
        <a:lstStyle xmlns:a="http://schemas.openxmlformats.org/drawingml/2006/main"/>
        <a:p xmlns:a="http://schemas.openxmlformats.org/drawingml/2006/main">
          <a:pPr marL="0" marR="0" indent="0" algn="ctr" defTabSz="914400" rtl="0" eaLnBrk="1" fontAlgn="base" latinLnBrk="0" hangingPunct="1">
            <a:lnSpc>
              <a:spcPct val="100000"/>
            </a:lnSpc>
            <a:spcBef>
              <a:spcPts val="0"/>
            </a:spcBef>
            <a:spcAft>
              <a:spcPts val="0"/>
            </a:spcAft>
            <a:buClrTx/>
            <a:buSzTx/>
            <a:buFontTx/>
            <a:buNone/>
            <a:tabLst/>
            <a:defRPr/>
          </a:pPr>
          <a:r>
            <a:rPr lang="en-US" altLang="zh-TW" sz="800" b="0" i="0" baseline="0">
              <a:latin typeface="Times New Roman" pitchFamily="18" charset="0"/>
              <a:ea typeface="+mn-ea"/>
              <a:cs typeface="Times New Roman" pitchFamily="18" charset="0"/>
            </a:rPr>
            <a:t>KaoPing   Division</a:t>
          </a:r>
          <a:endParaRPr lang="zh-TW" altLang="zh-TW" sz="800" b="0" i="0" baseline="0">
            <a:latin typeface="Times New Roman" pitchFamily="18" charset="0"/>
            <a:ea typeface="+mn-ea"/>
            <a:cs typeface="Times New Roman" pitchFamily="18" charset="0"/>
          </a:endParaRPr>
        </a:p>
        <a:p xmlns:a="http://schemas.openxmlformats.org/drawingml/2006/main">
          <a:pPr algn="ctr" rtl="0" fontAlgn="base"/>
          <a:endParaRPr lang="zh-TW" altLang="zh-TW" sz="800" b="0" i="0" baseline="0">
            <a:latin typeface="Times New Roman" pitchFamily="18" charset="0"/>
            <a:ea typeface="+mn-ea"/>
            <a:cs typeface="Times New Roman" pitchFamily="18" charset="0"/>
          </a:endParaRPr>
        </a:p>
      </cdr:txBody>
    </cdr:sp>
  </cdr:relSizeAnchor>
  <cdr:relSizeAnchor xmlns:cdr="http://schemas.openxmlformats.org/drawingml/2006/chartDrawing">
    <cdr:from>
      <cdr:x>0.29814</cdr:x>
      <cdr:y>0.46903</cdr:y>
    </cdr:from>
    <cdr:to>
      <cdr:x>0.38176</cdr:x>
      <cdr:y>0.56637</cdr:y>
    </cdr:to>
    <cdr:sp macro="" textlink="">
      <cdr:nvSpPr>
        <cdr:cNvPr id="23558" name="Text Box 6"/>
        <cdr:cNvSpPr txBox="1">
          <a:spLocks xmlns:a="http://schemas.openxmlformats.org/drawingml/2006/main" noChangeArrowheads="1"/>
        </cdr:cNvSpPr>
      </cdr:nvSpPr>
      <cdr:spPr bwMode="auto">
        <a:xfrm xmlns:a="http://schemas.openxmlformats.org/drawingml/2006/main">
          <a:off x="1681163" y="1514474"/>
          <a:ext cx="471487" cy="314325"/>
        </a:xfrm>
        <a:prstGeom xmlns:a="http://schemas.openxmlformats.org/drawingml/2006/main" prst="rect">
          <a:avLst/>
        </a:prstGeom>
        <a:noFill xmlns:a="http://schemas.openxmlformats.org/drawingml/2006/main"/>
        <a:ln xmlns:a="http://schemas.openxmlformats.org/drawingml/2006/main" w="1">
          <a:noFill/>
          <a:miter lim="800000"/>
          <a:headEnd/>
          <a:tailEnd/>
        </a:ln>
        <a:effectLst xmlns:a="http://schemas.openxmlformats.org/drawingml/2006/main"/>
      </cdr:spPr>
      <cdr:txBody>
        <a:bodyPr xmlns:a="http://schemas.openxmlformats.org/drawingml/2006/main" vertOverflow="clip" wrap="square" lIns="27432" tIns="27432" rIns="27432" bIns="27432" anchor="ctr" upright="1"/>
        <a:lstStyle xmlns:a="http://schemas.openxmlformats.org/drawingml/2006/main"/>
        <a:p xmlns:a="http://schemas.openxmlformats.org/drawingml/2006/main">
          <a:pPr rtl="0" fontAlgn="base"/>
          <a:r>
            <a:rPr lang="en-US" altLang="zh-TW" sz="800" b="0" i="0" baseline="0">
              <a:latin typeface="Times New Roman" pitchFamily="18" charset="0"/>
              <a:ea typeface="+mn-ea"/>
              <a:cs typeface="Times New Roman" pitchFamily="18" charset="0"/>
            </a:rPr>
            <a:t>Eastern </a:t>
          </a:r>
        </a:p>
        <a:p xmlns:a="http://schemas.openxmlformats.org/drawingml/2006/main">
          <a:pPr rtl="0" fontAlgn="base"/>
          <a:r>
            <a:rPr lang="en-US" altLang="zh-TW" sz="800" b="0" i="0" baseline="0">
              <a:latin typeface="Times New Roman" pitchFamily="18" charset="0"/>
              <a:ea typeface="+mn-ea"/>
              <a:cs typeface="Times New Roman" pitchFamily="18" charset="0"/>
            </a:rPr>
            <a:t>Division</a:t>
          </a:r>
          <a:endParaRPr lang="zh-TW" altLang="zh-TW" sz="800" b="0" i="0" baseline="0">
            <a:latin typeface="Times New Roman" pitchFamily="18" charset="0"/>
            <a:ea typeface="+mn-ea"/>
            <a:cs typeface="Times New Roman" pitchFamily="18" charset="0"/>
          </a:endParaRPr>
        </a:p>
      </cdr:txBody>
    </cdr:sp>
  </cdr:relSizeAnchor>
  <cdr:relSizeAnchor xmlns:cdr="http://schemas.openxmlformats.org/drawingml/2006/chartDrawing">
    <cdr:from>
      <cdr:x>0.1943</cdr:x>
      <cdr:y>0.08731</cdr:y>
    </cdr:from>
    <cdr:to>
      <cdr:x>0.56936</cdr:x>
      <cdr:y>0.15474</cdr:y>
    </cdr:to>
    <cdr:sp macro="" textlink="">
      <cdr:nvSpPr>
        <cdr:cNvPr id="23559" name="Text Box 7"/>
        <cdr:cNvSpPr txBox="1">
          <a:spLocks xmlns:a="http://schemas.openxmlformats.org/drawingml/2006/main" noChangeArrowheads="1"/>
        </cdr:cNvSpPr>
      </cdr:nvSpPr>
      <cdr:spPr bwMode="auto">
        <a:xfrm xmlns:a="http://schemas.openxmlformats.org/drawingml/2006/main">
          <a:off x="1095610" y="281924"/>
          <a:ext cx="2114888" cy="217730"/>
        </a:xfrm>
        <a:prstGeom xmlns:a="http://schemas.openxmlformats.org/drawingml/2006/main" prst="rect">
          <a:avLst/>
        </a:prstGeom>
        <a:noFill xmlns:a="http://schemas.openxmlformats.org/drawingml/2006/main"/>
        <a:ln xmlns:a="http://schemas.openxmlformats.org/drawingml/2006/main" w="1">
          <a:noFill/>
          <a:miter lim="800000"/>
          <a:headEnd/>
          <a:tailEnd/>
        </a:ln>
        <a:effectLst xmlns:a="http://schemas.openxmlformats.org/drawingml/2006/main"/>
      </cdr:spPr>
      <cdr:txBody>
        <a:bodyPr xmlns:a="http://schemas.openxmlformats.org/drawingml/2006/main" vertOverflow="clip" wrap="square" lIns="36576" tIns="22860" rIns="36576" bIns="22860" anchor="ctr" upright="1"/>
        <a:lstStyle xmlns:a="http://schemas.openxmlformats.org/drawingml/2006/main"/>
        <a:p xmlns:a="http://schemas.openxmlformats.org/drawingml/2006/main">
          <a:pPr rtl="0" fontAlgn="base"/>
          <a:r>
            <a:rPr lang="en-US" altLang="zh-TW" sz="800" b="0" i="0" baseline="0">
              <a:latin typeface="Times New Roman" pitchFamily="18" charset="0"/>
              <a:ea typeface="+mn-ea"/>
              <a:cs typeface="Times New Roman" pitchFamily="18" charset="0"/>
            </a:rPr>
            <a:t>No. of  beneficiaries (Fold) </a:t>
          </a:r>
          <a:endParaRPr lang="zh-TW" altLang="zh-TW" sz="800" b="0" i="0" baseline="0">
            <a:latin typeface="Times New Roman" pitchFamily="18" charset="0"/>
            <a:ea typeface="+mn-ea"/>
            <a:cs typeface="Times New Roman" pitchFamily="18" charset="0"/>
          </a:endParaRPr>
        </a:p>
      </cdr:txBody>
    </cdr:sp>
  </cdr:relSizeAnchor>
  <cdr:relSizeAnchor xmlns:cdr="http://schemas.openxmlformats.org/drawingml/2006/chartDrawing">
    <cdr:from>
      <cdr:x>0.87674</cdr:x>
      <cdr:y>0.79351</cdr:y>
    </cdr:from>
    <cdr:to>
      <cdr:x>0.99479</cdr:x>
      <cdr:y>0.96165</cdr:y>
    </cdr:to>
    <cdr:sp macro="" textlink="">
      <cdr:nvSpPr>
        <cdr:cNvPr id="10" name="文字方塊 9"/>
        <cdr:cNvSpPr txBox="1"/>
      </cdr:nvSpPr>
      <cdr:spPr>
        <a:xfrm xmlns:a="http://schemas.openxmlformats.org/drawingml/2006/main">
          <a:off x="4810125" y="2562224"/>
          <a:ext cx="647700" cy="54292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zh-TW" altLang="en-US" sz="1100"/>
        </a:p>
      </cdr:txBody>
    </cdr:sp>
  </cdr:relSizeAnchor>
  <cdr:relSizeAnchor xmlns:cdr="http://schemas.openxmlformats.org/drawingml/2006/chartDrawing">
    <cdr:from>
      <cdr:x>0</cdr:x>
      <cdr:y>0.88791</cdr:y>
    </cdr:from>
    <cdr:to>
      <cdr:x>0.9809</cdr:x>
      <cdr:y>1</cdr:y>
    </cdr:to>
    <cdr:sp macro="" textlink="">
      <cdr:nvSpPr>
        <cdr:cNvPr id="12" name="文字方塊 11"/>
        <cdr:cNvSpPr txBox="1"/>
      </cdr:nvSpPr>
      <cdr:spPr>
        <a:xfrm xmlns:a="http://schemas.openxmlformats.org/drawingml/2006/main">
          <a:off x="0" y="2867024"/>
          <a:ext cx="5531099" cy="3619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eaLnBrk="0"/>
          <a:r>
            <a:rPr lang="en-US" altLang="zh-TW" sz="800">
              <a:latin typeface="Times New Roman" pitchFamily="18" charset="0"/>
              <a:ea typeface="+mn-ea"/>
              <a:cs typeface="Times New Roman" pitchFamily="18" charset="0"/>
            </a:rPr>
            <a:t>The X-axis and Y-axis Values at the Origin (-0.3, 1.0) respectively represents "the median of growth (percentage point) in share in terms of the number of NHI beneficiaries" and "the median of folds in the number of NHI beneficiaries" in the six BNHI branches.</a:t>
          </a:r>
          <a:endParaRPr lang="zh-TW" altLang="zh-TW" sz="800">
            <a:latin typeface="Times New Roman" pitchFamily="18" charset="0"/>
            <a:ea typeface="+mn-ea"/>
            <a:cs typeface="Times New Roman" pitchFamily="18" charset="0"/>
          </a:endParaRPr>
        </a:p>
      </cdr:txBody>
    </cdr:sp>
  </cdr:relSizeAnchor>
  <cdr:relSizeAnchor xmlns:cdr="http://schemas.openxmlformats.org/drawingml/2006/chartDrawing">
    <cdr:from>
      <cdr:x>0.85362</cdr:x>
      <cdr:y>0.21842</cdr:y>
    </cdr:from>
    <cdr:to>
      <cdr:x>0.91159</cdr:x>
      <cdr:y>0.66808</cdr:y>
    </cdr:to>
    <cdr:sp macro="" textlink="">
      <cdr:nvSpPr>
        <cdr:cNvPr id="13" name="文字方塊 1"/>
        <cdr:cNvSpPr txBox="1"/>
      </cdr:nvSpPr>
      <cdr:spPr>
        <a:xfrm xmlns:a="http://schemas.openxmlformats.org/drawingml/2006/main">
          <a:off x="4683320" y="811034"/>
          <a:ext cx="318053" cy="1669712"/>
        </a:xfrm>
        <a:prstGeom xmlns:a="http://schemas.openxmlformats.org/drawingml/2006/main" prst="rect">
          <a:avLst/>
        </a:prstGeom>
      </cdr:spPr>
      <cdr:txBody>
        <a:bodyPr xmlns:a="http://schemas.openxmlformats.org/drawingml/2006/main" vert="eaVert"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marL="0" marR="0" indent="0" defTabSz="914400" eaLnBrk="1" fontAlgn="auto" latinLnBrk="0" hangingPunct="1">
            <a:lnSpc>
              <a:spcPct val="100000"/>
            </a:lnSpc>
            <a:spcBef>
              <a:spcPts val="0"/>
            </a:spcBef>
            <a:spcAft>
              <a:spcPts val="0"/>
            </a:spcAft>
            <a:buClrTx/>
            <a:buSzTx/>
            <a:buFontTx/>
            <a:buNone/>
            <a:tabLst/>
            <a:defRPr/>
          </a:pPr>
          <a:r>
            <a:rPr lang="en-US" altLang="zh-TW" sz="800">
              <a:latin typeface="Times New Roman" pitchFamily="18" charset="0"/>
              <a:ea typeface="新細明體"/>
              <a:cs typeface="Times New Roman" pitchFamily="18" charset="0"/>
            </a:rPr>
            <a:t>Differences in share of g</a:t>
          </a:r>
          <a:r>
            <a:rPr lang="en-US" altLang="zh-TW" sz="800">
              <a:latin typeface="Times New Roman" pitchFamily="18" charset="0"/>
              <a:ea typeface="+mn-ea"/>
              <a:cs typeface="Times New Roman" pitchFamily="18" charset="0"/>
            </a:rPr>
            <a:t>beneficiaries </a:t>
          </a:r>
          <a:endParaRPr lang="zh-TW" altLang="zh-TW" sz="800">
            <a:latin typeface="Times New Roman" pitchFamily="18" charset="0"/>
            <a:ea typeface="新細明體"/>
            <a:cs typeface="Times New Roman" pitchFamily="18" charset="0"/>
          </a:endParaRPr>
        </a:p>
        <a:p xmlns:a="http://schemas.openxmlformats.org/drawingml/2006/main">
          <a:r>
            <a:rPr lang="en-US" altLang="zh-TW" sz="800">
              <a:latin typeface="Times New Roman" pitchFamily="18" charset="0"/>
              <a:ea typeface="新細明體"/>
              <a:cs typeface="Times New Roman" pitchFamily="18" charset="0"/>
            </a:rPr>
            <a:t> (Percentage</a:t>
          </a:r>
          <a:r>
            <a:rPr lang="en-US" altLang="zh-TW" sz="800" baseline="0">
              <a:latin typeface="Times New Roman" pitchFamily="18" charset="0"/>
              <a:ea typeface="新細明體"/>
              <a:cs typeface="Times New Roman" pitchFamily="18" charset="0"/>
            </a:rPr>
            <a:t> point)</a:t>
          </a:r>
          <a:endParaRPr lang="zh-TW" altLang="zh-TW" sz="800">
            <a:latin typeface="Times New Roman" pitchFamily="18" charset="0"/>
            <a:ea typeface="新細明體"/>
            <a:cs typeface="Times New Roman" pitchFamily="18" charset="0"/>
          </a:endParaRPr>
        </a:p>
        <a:p xmlns:a="http://schemas.openxmlformats.org/drawingml/2006/main">
          <a:endParaRPr lang="zh-TW" altLang="en-US" sz="800">
            <a:latin typeface="Times New Roman" pitchFamily="18" charset="0"/>
            <a:cs typeface="Times New Roman" pitchFamily="18" charset="0"/>
          </a:endParaRPr>
        </a:p>
      </cdr:txBody>
    </cdr:sp>
  </cdr:relSizeAnchor>
</c:userShapes>
</file>

<file path=word/drawings/drawing6.xml><?xml version="1.0" encoding="utf-8"?>
<c:userShapes xmlns:c="http://schemas.openxmlformats.org/drawingml/2006/chart">
  <cdr:relSizeAnchor xmlns:cdr="http://schemas.openxmlformats.org/drawingml/2006/chartDrawing">
    <cdr:from>
      <cdr:x>0.01669</cdr:x>
      <cdr:y>0.91418</cdr:y>
    </cdr:from>
    <cdr:to>
      <cdr:x>0.77971</cdr:x>
      <cdr:y>1</cdr:y>
    </cdr:to>
    <cdr:sp macro="" textlink="">
      <cdr:nvSpPr>
        <cdr:cNvPr id="3" name="文字方塊 2"/>
        <cdr:cNvSpPr txBox="1"/>
      </cdr:nvSpPr>
      <cdr:spPr>
        <a:xfrm xmlns:a="http://schemas.openxmlformats.org/drawingml/2006/main">
          <a:off x="91567" y="2791267"/>
          <a:ext cx="4186234" cy="262034"/>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altLang="zh-TW" sz="800">
              <a:latin typeface="Times New Roman" pitchFamily="18" charset="0"/>
              <a:ea typeface="+mn-ea"/>
              <a:cs typeface="Times New Roman" pitchFamily="18" charset="0"/>
            </a:rPr>
            <a:t>Note</a:t>
          </a:r>
          <a:r>
            <a:rPr lang="zh-TW" altLang="zh-TW" sz="800">
              <a:latin typeface="Times New Roman" pitchFamily="18" charset="0"/>
              <a:ea typeface="+mn-ea"/>
              <a:cs typeface="Times New Roman" pitchFamily="18" charset="0"/>
            </a:rPr>
            <a:t>：</a:t>
          </a:r>
          <a:r>
            <a:rPr lang="en-US" altLang="zh-TW" sz="800">
              <a:latin typeface="Times New Roman" pitchFamily="18" charset="0"/>
              <a:ea typeface="+mn-ea"/>
              <a:cs typeface="Times New Roman" pitchFamily="18" charset="0"/>
            </a:rPr>
            <a:t>Numbers of  beneficiaries of category 4 where not included between 2001 and  2006</a:t>
          </a:r>
          <a:r>
            <a:rPr lang="en-US" altLang="zh-TW" sz="1100">
              <a:latin typeface="+mn-lt"/>
              <a:ea typeface="+mn-ea"/>
              <a:cs typeface="+mn-cs"/>
            </a:rPr>
            <a:t>.</a:t>
          </a:r>
          <a:endParaRPr lang="zh-TW" altLang="zh-TW" sz="1100">
            <a:latin typeface="+mn-lt"/>
            <a:ea typeface="+mn-ea"/>
            <a:cs typeface="+mn-cs"/>
          </a:endParaRPr>
        </a:p>
      </cdr:txBody>
    </cdr:sp>
  </cdr:relSizeAnchor>
</c:userShapes>
</file>

<file path=word/drawings/drawing7.xml><?xml version="1.0" encoding="utf-8"?>
<c:userShapes xmlns:c="http://schemas.openxmlformats.org/drawingml/2006/chart">
  <cdr:relSizeAnchor xmlns:cdr="http://schemas.openxmlformats.org/drawingml/2006/chartDrawing">
    <cdr:from>
      <cdr:x>0.91308</cdr:x>
      <cdr:y>0.92802</cdr:y>
    </cdr:from>
    <cdr:to>
      <cdr:x>0.95607</cdr:x>
      <cdr:y>0.94946</cdr:y>
    </cdr:to>
    <cdr:sp macro="" textlink="">
      <cdr:nvSpPr>
        <cdr:cNvPr id="2" name="文字方塊 1"/>
        <cdr:cNvSpPr txBox="1"/>
      </cdr:nvSpPr>
      <cdr:spPr>
        <a:xfrm xmlns:a="http://schemas.openxmlformats.org/drawingml/2006/main">
          <a:off x="9305924" y="5772151"/>
          <a:ext cx="438150" cy="1333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zh-TW" altLang="en-US" sz="1100"/>
        </a:p>
      </cdr:txBody>
    </cdr:sp>
  </cdr:relSizeAnchor>
</c:userShapes>
</file>

<file path=word/drawings/drawing8.xml><?xml version="1.0" encoding="utf-8"?>
<c:userShapes xmlns:c="http://schemas.openxmlformats.org/drawingml/2006/chart">
  <cdr:relSizeAnchor xmlns:cdr="http://schemas.openxmlformats.org/drawingml/2006/chartDrawing">
    <cdr:from>
      <cdr:x>0.28433</cdr:x>
      <cdr:y>0.01217</cdr:y>
    </cdr:from>
    <cdr:to>
      <cdr:x>0.75764</cdr:x>
      <cdr:y>0.09979</cdr:y>
    </cdr:to>
    <cdr:sp macro="" textlink="">
      <cdr:nvSpPr>
        <cdr:cNvPr id="27649" name="Text Box 1"/>
        <cdr:cNvSpPr txBox="1">
          <a:spLocks xmlns:a="http://schemas.openxmlformats.org/drawingml/2006/main" noChangeArrowheads="1"/>
        </cdr:cNvSpPr>
      </cdr:nvSpPr>
      <cdr:spPr bwMode="auto">
        <a:xfrm xmlns:a="http://schemas.openxmlformats.org/drawingml/2006/main">
          <a:off x="1779344" y="47625"/>
          <a:ext cx="2961939" cy="343013"/>
        </a:xfrm>
        <a:prstGeom xmlns:a="http://schemas.openxmlformats.org/drawingml/2006/main" prst="rect">
          <a:avLst/>
        </a:prstGeom>
        <a:noFill xmlns:a="http://schemas.openxmlformats.org/drawingml/2006/main"/>
        <a:ln xmlns:a="http://schemas.openxmlformats.org/drawingml/2006/main" w="1">
          <a:noFill/>
          <a:miter lim="800000"/>
          <a:headEnd/>
          <a:tailEnd/>
        </a:ln>
        <a:effectLst xmlns:a="http://schemas.openxmlformats.org/drawingml/2006/main"/>
      </cdr:spPr>
      <cdr:txBody>
        <a:bodyPr xmlns:a="http://schemas.openxmlformats.org/drawingml/2006/main" vertOverflow="clip" wrap="square" lIns="27432" tIns="27432" rIns="27432" bIns="27432" anchor="ctr" upright="1"/>
        <a:lstStyle xmlns:a="http://schemas.openxmlformats.org/drawingml/2006/main"/>
        <a:p xmlns:a="http://schemas.openxmlformats.org/drawingml/2006/main">
          <a:pPr rtl="0" eaLnBrk="1" fontAlgn="auto" latinLnBrk="0" hangingPunct="1"/>
          <a:r>
            <a:rPr lang="en-US" altLang="zh-TW" sz="1000" b="0" i="0" baseline="0">
              <a:latin typeface="Times New Roman" pitchFamily="18" charset="0"/>
              <a:ea typeface="+mn-ea"/>
              <a:cs typeface="Times New Roman" pitchFamily="18" charset="0"/>
            </a:rPr>
            <a:t>Figure 10   Historical Premium Receivables</a:t>
          </a:r>
          <a:endParaRPr lang="zh-TW" altLang="zh-TW" sz="1000">
            <a:latin typeface="Times New Roman" pitchFamily="18" charset="0"/>
            <a:ea typeface="+mn-ea"/>
            <a:cs typeface="Times New Roman" pitchFamily="18" charset="0"/>
          </a:endParaRPr>
        </a:p>
      </cdr:txBody>
    </cdr:sp>
  </cdr:relSizeAnchor>
  <cdr:relSizeAnchor xmlns:cdr="http://schemas.openxmlformats.org/drawingml/2006/chartDrawing">
    <cdr:from>
      <cdr:x>0.91484</cdr:x>
      <cdr:y>0.08356</cdr:y>
    </cdr:from>
    <cdr:to>
      <cdr:x>0.96659</cdr:x>
      <cdr:y>0.15031</cdr:y>
    </cdr:to>
    <cdr:sp macro="" textlink="">
      <cdr:nvSpPr>
        <cdr:cNvPr id="3" name="文字方塊 2"/>
        <cdr:cNvSpPr txBox="1"/>
      </cdr:nvSpPr>
      <cdr:spPr>
        <a:xfrm xmlns:a="http://schemas.openxmlformats.org/drawingml/2006/main">
          <a:off x="5025709" y="209016"/>
          <a:ext cx="284290" cy="166976"/>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US" altLang="zh-TW" sz="900">
              <a:latin typeface="Times New Roman" pitchFamily="18" charset="0"/>
              <a:cs typeface="Times New Roman" pitchFamily="18" charset="0"/>
            </a:rPr>
            <a:t>%</a:t>
          </a:r>
          <a:endParaRPr lang="zh-TW" altLang="en-US" sz="900">
            <a:latin typeface="Times New Roman" pitchFamily="18" charset="0"/>
            <a:cs typeface="Times New Roman" pitchFamily="18" charset="0"/>
          </a:endParaRPr>
        </a:p>
      </cdr:txBody>
    </cdr:sp>
  </cdr:relSizeAnchor>
</c:userShapes>
</file>

<file path=word/drawings/drawing9.xml><?xml version="1.0" encoding="utf-8"?>
<c:userShapes xmlns:c="http://schemas.openxmlformats.org/drawingml/2006/chart">
  <cdr:relSizeAnchor xmlns:cdr="http://schemas.openxmlformats.org/drawingml/2006/chartDrawing">
    <cdr:from>
      <cdr:x>0.10926</cdr:x>
      <cdr:y>0.89387</cdr:y>
    </cdr:from>
    <cdr:to>
      <cdr:x>0.89549</cdr:x>
      <cdr:y>0.96934</cdr:y>
    </cdr:to>
    <cdr:sp macro="" textlink="">
      <cdr:nvSpPr>
        <cdr:cNvPr id="2" name="文字方塊 1"/>
        <cdr:cNvSpPr txBox="1"/>
      </cdr:nvSpPr>
      <cdr:spPr>
        <a:xfrm xmlns:a="http://schemas.openxmlformats.org/drawingml/2006/main">
          <a:off x="876300" y="3609975"/>
          <a:ext cx="6305550" cy="3048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altLang="zh-TW" sz="800" baseline="0">
              <a:latin typeface="Times New Roman" pitchFamily="18" charset="0"/>
              <a:cs typeface="Times New Roman" pitchFamily="18" charset="0"/>
            </a:rPr>
            <a:t>0                         20                         40                         60                          80                       10</a:t>
          </a:r>
          <a:r>
            <a:rPr lang="en-US" altLang="zh-TW" sz="800">
              <a:latin typeface="Times New Roman" pitchFamily="18" charset="0"/>
              <a:cs typeface="Times New Roman" pitchFamily="18" charset="0"/>
            </a:rPr>
            <a:t>0  </a:t>
          </a:r>
          <a:r>
            <a:rPr lang="en-US" altLang="zh-TW" sz="900">
              <a:latin typeface="Times New Roman" pitchFamily="18" charset="0"/>
              <a:cs typeface="Times New Roman" pitchFamily="18" charset="0"/>
            </a:rPr>
            <a:t>   </a:t>
          </a:r>
          <a:endParaRPr lang="zh-TW" altLang="en-US" sz="900">
            <a:latin typeface="Times New Roman" pitchFamily="18" charset="0"/>
            <a:cs typeface="Times New Roman" pitchFamily="18" charset="0"/>
          </a:endParaRPr>
        </a:p>
      </cdr:txBody>
    </cdr:sp>
  </cdr:relSizeAnchor>
  <cdr:relSizeAnchor xmlns:cdr="http://schemas.openxmlformats.org/drawingml/2006/chartDrawing">
    <cdr:from>
      <cdr:x>0.82436</cdr:x>
      <cdr:y>0.89278</cdr:y>
    </cdr:from>
    <cdr:to>
      <cdr:x>0.86355</cdr:x>
      <cdr:y>0.94231</cdr:y>
    </cdr:to>
    <cdr:sp macro="" textlink="">
      <cdr:nvSpPr>
        <cdr:cNvPr id="3" name="文字方塊 2"/>
        <cdr:cNvSpPr txBox="1"/>
      </cdr:nvSpPr>
      <cdr:spPr>
        <a:xfrm xmlns:a="http://schemas.openxmlformats.org/drawingml/2006/main">
          <a:off x="4522748" y="2576067"/>
          <a:ext cx="215012" cy="142916"/>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altLang="zh-TW" sz="800" baseline="0">
              <a:latin typeface="Times New Roman" pitchFamily="18" charset="0"/>
              <a:cs typeface="Times New Roman" pitchFamily="18" charset="0"/>
            </a:rPr>
            <a:t>%</a:t>
          </a:r>
          <a:endParaRPr lang="zh-TW" altLang="en-US" sz="800" baseline="0">
            <a:latin typeface="Times New Roman" pitchFamily="18" charset="0"/>
            <a:cs typeface="Times New Roman" pitchFamily="18" charset="0"/>
          </a:endParaRPr>
        </a:p>
      </cdr:txBody>
    </cdr:sp>
  </cdr:relSizeAnchor>
</c:userShapes>
</file>

<file path=word/drawings/drawing10.xml><?xml version="1.0" encoding="utf-8"?>
<c:userShapes xmlns:c="http://schemas.openxmlformats.org/drawingml/2006/chart">
  <cdr:relSizeAnchor xmlns:cdr="http://schemas.openxmlformats.org/drawingml/2006/chartDrawing">
    <cdr:from>
      <cdr:x>0.02322</cdr:x>
      <cdr:y>0.38024</cdr:y>
    </cdr:from>
    <cdr:to>
      <cdr:x>0.24876</cdr:x>
      <cdr:y>0.6976</cdr:y>
    </cdr:to>
    <cdr:sp macro="" textlink="">
      <cdr:nvSpPr>
        <cdr:cNvPr id="36865" name="Text Box 1"/>
        <cdr:cNvSpPr txBox="1">
          <a:spLocks xmlns:a="http://schemas.openxmlformats.org/drawingml/2006/main" noChangeArrowheads="1"/>
        </cdr:cNvSpPr>
      </cdr:nvSpPr>
      <cdr:spPr bwMode="auto">
        <a:xfrm xmlns:a="http://schemas.openxmlformats.org/drawingml/2006/main">
          <a:off x="133350" y="1209674"/>
          <a:ext cx="1295399" cy="1009650"/>
        </a:xfrm>
        <a:prstGeom xmlns:a="http://schemas.openxmlformats.org/drawingml/2006/main" prst="rect">
          <a:avLst/>
        </a:prstGeom>
        <a:noFill xmlns:a="http://schemas.openxmlformats.org/drawingml/2006/main"/>
        <a:ln xmlns:a="http://schemas.openxmlformats.org/drawingml/2006/main" w="1">
          <a:noFill/>
          <a:miter lim="800000"/>
          <a:headEnd/>
          <a:tailEnd/>
        </a:ln>
        <a:effectLst xmlns:a="http://schemas.openxmlformats.org/drawingml/2006/main"/>
      </cdr:spPr>
      <cdr:txBody>
        <a:bodyPr xmlns:a="http://schemas.openxmlformats.org/drawingml/2006/main" vertOverflow="clip" wrap="square" lIns="27432" tIns="27432" rIns="0" bIns="27432" anchor="ctr" upright="1"/>
        <a:lstStyle xmlns:a="http://schemas.openxmlformats.org/drawingml/2006/main"/>
        <a:p xmlns:a="http://schemas.openxmlformats.org/drawingml/2006/main">
          <a:pPr rtl="0"/>
          <a:r>
            <a:rPr lang="en-US" altLang="zh-TW" sz="800" b="1" i="0">
              <a:solidFill>
                <a:srgbClr val="7030A0"/>
              </a:solidFill>
              <a:latin typeface="Times New Roman" pitchFamily="18" charset="0"/>
              <a:ea typeface="+mn-ea"/>
              <a:cs typeface="Times New Roman" pitchFamily="18" charset="0"/>
            </a:rPr>
            <a:t>Inner ring: </a:t>
          </a:r>
          <a:endParaRPr lang="zh-TW" altLang="zh-TW" sz="800">
            <a:solidFill>
              <a:srgbClr val="7030A0"/>
            </a:solidFill>
            <a:latin typeface="Times New Roman" pitchFamily="18" charset="0"/>
            <a:cs typeface="Times New Roman" pitchFamily="18" charset="0"/>
          </a:endParaRPr>
        </a:p>
        <a:p xmlns:a="http://schemas.openxmlformats.org/drawingml/2006/main">
          <a:pPr rtl="0"/>
          <a:r>
            <a:rPr lang="en-US" altLang="zh-TW" sz="800" b="1" i="0">
              <a:solidFill>
                <a:srgbClr val="7030A0"/>
              </a:solidFill>
              <a:latin typeface="Times New Roman" pitchFamily="18" charset="0"/>
              <a:ea typeface="+mn-ea"/>
              <a:cs typeface="Times New Roman" pitchFamily="18" charset="0"/>
            </a:rPr>
            <a:t>Premium receivable of  </a:t>
          </a:r>
        </a:p>
        <a:p xmlns:a="http://schemas.openxmlformats.org/drawingml/2006/main">
          <a:pPr rtl="0"/>
          <a:r>
            <a:rPr lang="en-US" altLang="zh-TW" sz="800" b="1" i="0">
              <a:solidFill>
                <a:srgbClr val="7030A0"/>
              </a:solidFill>
              <a:latin typeface="Times New Roman" pitchFamily="18" charset="0"/>
              <a:ea typeface="+mn-ea"/>
              <a:cs typeface="Times New Roman" pitchFamily="18" charset="0"/>
            </a:rPr>
            <a:t>$290 billion in 2001</a:t>
          </a:r>
          <a:endParaRPr lang="zh-TW" altLang="zh-TW" sz="800" b="0" i="0">
            <a:solidFill>
              <a:srgbClr val="7030A0"/>
            </a:solidFill>
            <a:latin typeface="Times New Roman" pitchFamily="18" charset="0"/>
            <a:ea typeface="+mn-ea"/>
            <a:cs typeface="Times New Roman" pitchFamily="18" charset="0"/>
          </a:endParaRPr>
        </a:p>
        <a:p xmlns:a="http://schemas.openxmlformats.org/drawingml/2006/main">
          <a:pPr algn="l" rtl="0">
            <a:defRPr sz="1000"/>
          </a:pPr>
          <a:endParaRPr lang="en-US" altLang="zh-TW" sz="800" b="1" i="0" strike="noStrike" baseline="0">
            <a:solidFill>
              <a:srgbClr val="FF0000"/>
            </a:solidFill>
            <a:latin typeface="Times New Roman" pitchFamily="18" charset="0"/>
            <a:ea typeface="標楷體"/>
            <a:cs typeface="Times New Roman" pitchFamily="18" charset="0"/>
          </a:endParaRPr>
        </a:p>
        <a:p xmlns:a="http://schemas.openxmlformats.org/drawingml/2006/main">
          <a:pPr rtl="0"/>
          <a:r>
            <a:rPr lang="en-US" altLang="zh-TW" sz="800" b="1" i="0">
              <a:solidFill>
                <a:srgbClr val="336600"/>
              </a:solidFill>
              <a:latin typeface="Times New Roman" pitchFamily="18" charset="0"/>
              <a:ea typeface="+mn-ea"/>
              <a:cs typeface="Times New Roman" pitchFamily="18" charset="0"/>
            </a:rPr>
            <a:t>Outer r</a:t>
          </a:r>
          <a:r>
            <a:rPr lang="en-US" altLang="zh-TW" sz="800" b="1" i="0" baseline="0">
              <a:solidFill>
                <a:srgbClr val="336600"/>
              </a:solidFill>
              <a:latin typeface="Times New Roman" pitchFamily="18" charset="0"/>
              <a:ea typeface="+mn-ea"/>
              <a:cs typeface="Times New Roman" pitchFamily="18" charset="0"/>
            </a:rPr>
            <a:t>i</a:t>
          </a:r>
          <a:r>
            <a:rPr lang="en-US" altLang="zh-TW" sz="800" b="1" i="0">
              <a:solidFill>
                <a:srgbClr val="336600"/>
              </a:solidFill>
              <a:latin typeface="Times New Roman" pitchFamily="18" charset="0"/>
              <a:ea typeface="+mn-ea"/>
              <a:cs typeface="Times New Roman" pitchFamily="18" charset="0"/>
            </a:rPr>
            <a:t>ng: </a:t>
          </a:r>
          <a:endParaRPr lang="zh-TW" altLang="zh-TW" sz="800">
            <a:solidFill>
              <a:srgbClr val="336600"/>
            </a:solidFill>
            <a:latin typeface="Times New Roman" pitchFamily="18" charset="0"/>
            <a:cs typeface="Times New Roman" pitchFamily="18" charset="0"/>
          </a:endParaRPr>
        </a:p>
        <a:p xmlns:a="http://schemas.openxmlformats.org/drawingml/2006/main">
          <a:pPr rtl="0"/>
          <a:r>
            <a:rPr lang="en-US" altLang="zh-TW" sz="800" b="1" i="0">
              <a:solidFill>
                <a:srgbClr val="336600"/>
              </a:solidFill>
              <a:latin typeface="Times New Roman" pitchFamily="18" charset="0"/>
              <a:ea typeface="+mn-ea"/>
              <a:cs typeface="Times New Roman" pitchFamily="18" charset="0"/>
            </a:rPr>
            <a:t>Premium receivable of </a:t>
          </a:r>
          <a:endParaRPr lang="zh-TW" altLang="zh-TW" sz="800">
            <a:solidFill>
              <a:srgbClr val="336600"/>
            </a:solidFill>
            <a:latin typeface="Times New Roman" pitchFamily="18" charset="0"/>
            <a:cs typeface="Times New Roman" pitchFamily="18" charset="0"/>
          </a:endParaRPr>
        </a:p>
        <a:p xmlns:a="http://schemas.openxmlformats.org/drawingml/2006/main">
          <a:r>
            <a:rPr lang="en-US" altLang="zh-TW" sz="800" b="1" i="0">
              <a:solidFill>
                <a:srgbClr val="336600"/>
              </a:solidFill>
              <a:latin typeface="Times New Roman" pitchFamily="18" charset="0"/>
              <a:ea typeface="+mn-ea"/>
              <a:cs typeface="Times New Roman" pitchFamily="18" charset="0"/>
            </a:rPr>
            <a:t>$469 billion in 2011</a:t>
          </a:r>
          <a:endParaRPr lang="zh-TW" altLang="zh-TW" sz="800" b="1" i="0" strike="noStrike">
            <a:solidFill>
              <a:srgbClr val="336600"/>
            </a:solidFill>
            <a:latin typeface="Times New Roman" pitchFamily="18" charset="0"/>
            <a:ea typeface="標楷體"/>
            <a:cs typeface="Times New Roman" pitchFamily="18" charset="0"/>
          </a:endParaRPr>
        </a:p>
        <a:p xmlns:a="http://schemas.openxmlformats.org/drawingml/2006/main">
          <a:pPr algn="l" rtl="0">
            <a:defRPr sz="1000"/>
          </a:pPr>
          <a:endParaRPr lang="zh-TW" altLang="en-US" sz="800" b="1" i="0" strike="noStrike">
            <a:solidFill>
              <a:schemeClr val="tx1"/>
            </a:solidFill>
            <a:latin typeface="Times New Roman" pitchFamily="18" charset="0"/>
            <a:ea typeface="標楷體"/>
            <a:cs typeface="Times New Roman" pitchFamily="18" charset="0"/>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87AA2ED7-D3E6-4883-A111-2302B14D2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1540</Words>
  <Characters>8778</Characters>
  <Application>Microsoft Office Word</Application>
  <DocSecurity>0</DocSecurity>
  <Lines>73</Lines>
  <Paragraphs>20</Paragraphs>
  <ScaleCrop>false</ScaleCrop>
  <Company>NHI</Company>
  <LinksUpToDate>false</LinksUpToDate>
  <CharactersWithSpaces>10298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第壹篇</dc:title>
  <dc:subject/>
  <dc:creator>hw003212</dc:creator>
  <cp:keywords/>
  <dc:description/>
  <cp:lastModifiedBy>NHI</cp:lastModifiedBy>
  <cp:revision>2</cp:revision>
  <cp:lastPrinted>2012-10-12T03:37:00Z</cp:lastPrinted>
  <dcterms:created xsi:type="dcterms:W3CDTF">2012-12-13T08:45:00Z</dcterms:created>
  <dcterms:modified xsi:type="dcterms:W3CDTF">2012-12-13T08:45:00Z</dcterms:modified>
</cp:coreProperties>
</file>