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F89" w:rsidRPr="008C1F89" w:rsidRDefault="008C1F89" w:rsidP="008C1F89">
      <w:pPr>
        <w:widowControl/>
        <w:autoSpaceDN/>
        <w:spacing w:before="100" w:beforeAutospacing="1" w:after="100" w:afterAutospacing="1"/>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fldChar w:fldCharType="begin"/>
      </w:r>
      <w:r w:rsidRPr="008C1F89">
        <w:rPr>
          <w:rFonts w:ascii="Times New Roman" w:hAnsi="Times New Roman" w:cs="Times New Roman"/>
          <w:color w:val="000000"/>
          <w:kern w:val="0"/>
          <w:sz w:val="27"/>
          <w:szCs w:val="27"/>
        </w:rPr>
        <w:instrText xml:space="preserve"> </w:instrText>
      </w:r>
      <w:r w:rsidRPr="008C1F89">
        <w:rPr>
          <w:rFonts w:ascii="Times New Roman" w:hAnsi="Times New Roman" w:cs="Times New Roman" w:hint="eastAsia"/>
          <w:color w:val="000000"/>
          <w:kern w:val="0"/>
          <w:sz w:val="27"/>
          <w:szCs w:val="27"/>
        </w:rPr>
        <w:instrText>HYPERLINK "http://w3.mohw.gov.tw/MOHW_Upload/doc/appraise/report/97/97report-5.htm" \o "</w:instrText>
      </w:r>
      <w:r w:rsidRPr="008C1F89">
        <w:rPr>
          <w:rFonts w:ascii="Times New Roman" w:hAnsi="Times New Roman" w:cs="Times New Roman" w:hint="eastAsia"/>
          <w:color w:val="000000"/>
          <w:kern w:val="0"/>
          <w:sz w:val="27"/>
          <w:szCs w:val="27"/>
        </w:rPr>
        <w:instrText>中間主要內容區</w:instrText>
      </w:r>
      <w:r w:rsidRPr="008C1F89">
        <w:rPr>
          <w:rFonts w:ascii="Times New Roman" w:hAnsi="Times New Roman" w:cs="Times New Roman" w:hint="eastAsia"/>
          <w:color w:val="000000"/>
          <w:kern w:val="0"/>
          <w:sz w:val="27"/>
          <w:szCs w:val="27"/>
        </w:rPr>
        <w:instrText>"</w:instrText>
      </w:r>
      <w:r w:rsidRPr="008C1F89">
        <w:rPr>
          <w:rFonts w:ascii="Times New Roman" w:hAnsi="Times New Roman" w:cs="Times New Roman"/>
          <w:color w:val="000000"/>
          <w:kern w:val="0"/>
          <w:sz w:val="27"/>
          <w:szCs w:val="27"/>
        </w:rPr>
        <w:instrText xml:space="preserve"> </w:instrText>
      </w:r>
      <w:r w:rsidRPr="008C1F89">
        <w:rPr>
          <w:rFonts w:ascii="Times New Roman" w:hAnsi="Times New Roman" w:cs="Times New Roman"/>
          <w:color w:val="000000"/>
          <w:kern w:val="0"/>
          <w:sz w:val="27"/>
          <w:szCs w:val="27"/>
        </w:rPr>
        <w:fldChar w:fldCharType="separate"/>
      </w:r>
      <w:r w:rsidRPr="008C1F89">
        <w:rPr>
          <w:rFonts w:ascii="Times New Roman" w:hAnsi="Times New Roman" w:cs="Times New Roman"/>
          <w:color w:val="FFFFFF"/>
          <w:kern w:val="0"/>
          <w:sz w:val="27"/>
          <w:szCs w:val="27"/>
          <w:u w:val="single"/>
        </w:rPr>
        <w:t>:::</w:t>
      </w:r>
      <w:r w:rsidRPr="008C1F89">
        <w:rPr>
          <w:rFonts w:ascii="Times New Roman" w:hAnsi="Times New Roman" w:cs="Times New Roman"/>
          <w:color w:val="000000"/>
          <w:kern w:val="0"/>
          <w:sz w:val="27"/>
          <w:szCs w:val="27"/>
        </w:rPr>
        <w:fldChar w:fldCharType="end"/>
      </w:r>
    </w:p>
    <w:p w:rsidR="008C1F89" w:rsidRPr="008C1F89" w:rsidRDefault="008C1F89" w:rsidP="008C1F89">
      <w:pPr>
        <w:widowControl/>
        <w:autoSpaceDN/>
        <w:spacing w:before="100" w:beforeAutospacing="1" w:after="100" w:afterAutospacing="1" w:line="400" w:lineRule="atLeast"/>
        <w:jc w:val="center"/>
        <w:textAlignment w:val="auto"/>
        <w:rPr>
          <w:rFonts w:ascii="Times New Roman" w:hAnsi="Times New Roman" w:cs="Times New Roman"/>
          <w:color w:val="000000"/>
          <w:kern w:val="0"/>
          <w:sz w:val="27"/>
          <w:szCs w:val="27"/>
        </w:rPr>
      </w:pPr>
      <w:bookmarkStart w:id="0" w:name="_GoBack"/>
      <w:bookmarkEnd w:id="0"/>
      <w:r w:rsidRPr="008C1F89">
        <w:rPr>
          <w:rFonts w:ascii="標楷體" w:eastAsia="標楷體" w:hAnsi="標楷體" w:cs="Times New Roman" w:hint="eastAsia"/>
          <w:b/>
          <w:bCs/>
          <w:color w:val="000000"/>
          <w:kern w:val="0"/>
          <w:sz w:val="48"/>
          <w:szCs w:val="48"/>
        </w:rPr>
        <w:t>肆、評鑑綜合評論</w:t>
      </w:r>
    </w:p>
    <w:p w:rsidR="008C1F89" w:rsidRPr="008C1F89" w:rsidRDefault="008C1F89" w:rsidP="008C1F89">
      <w:pPr>
        <w:widowControl/>
        <w:autoSpaceDN/>
        <w:spacing w:before="100" w:beforeAutospacing="1" w:after="100" w:afterAutospacing="1"/>
        <w:textAlignment w:val="auto"/>
        <w:rPr>
          <w:rFonts w:ascii="Times New Roman" w:hAnsi="Times New Roman" w:cs="Times New Roman"/>
          <w:color w:val="000000"/>
          <w:kern w:val="0"/>
          <w:sz w:val="27"/>
          <w:szCs w:val="27"/>
        </w:rPr>
      </w:pPr>
      <w:r w:rsidRPr="008C1F89">
        <w:rPr>
          <w:rFonts w:ascii="標楷體" w:eastAsia="標楷體" w:hAnsi="標楷體" w:cs="Times New Roman" w:hint="eastAsia"/>
          <w:b/>
          <w:bCs/>
          <w:color w:val="000000"/>
          <w:kern w:val="0"/>
          <w:sz w:val="27"/>
          <w:szCs w:val="27"/>
        </w:rPr>
        <w:t>評鑑總論（一）縣市政府部分</w:t>
      </w:r>
    </w:p>
    <w:p w:rsidR="008C1F89" w:rsidRPr="008C1F89" w:rsidRDefault="008C1F89" w:rsidP="008C1F89">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建構社區能力提升之社區發展策略</w:t>
      </w:r>
    </w:p>
    <w:p w:rsidR="008C1F89" w:rsidRPr="008C1F89" w:rsidRDefault="008C1F89" w:rsidP="008C1F89">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吳明儒</w:t>
      </w:r>
    </w:p>
    <w:p w:rsidR="008C1F89" w:rsidRPr="008C1F89" w:rsidRDefault="008C1F89" w:rsidP="008C1F89">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國立中正大學社會福利學系副教授</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今年是內政部社區評鑑工作邁入第</w:t>
      </w:r>
      <w:r w:rsidRPr="008C1F89">
        <w:rPr>
          <w:rFonts w:ascii="Times New Roman" w:hAnsi="Times New Roman" w:cs="Times New Roman"/>
          <w:color w:val="000000"/>
          <w:kern w:val="0"/>
          <w:sz w:val="27"/>
          <w:szCs w:val="27"/>
        </w:rPr>
        <w:t>8</w:t>
      </w:r>
      <w:r w:rsidRPr="008C1F89">
        <w:rPr>
          <w:rFonts w:ascii="Times New Roman" w:hAnsi="Times New Roman" w:cs="Times New Roman"/>
          <w:color w:val="000000"/>
          <w:kern w:val="0"/>
          <w:sz w:val="27"/>
          <w:szCs w:val="27"/>
        </w:rPr>
        <w:t>年，同時也是經歷</w:t>
      </w:r>
      <w:r w:rsidRPr="008C1F89">
        <w:rPr>
          <w:rFonts w:ascii="Times New Roman" w:hAnsi="Times New Roman" w:cs="Times New Roman"/>
          <w:color w:val="000000"/>
          <w:kern w:val="0"/>
          <w:sz w:val="27"/>
          <w:szCs w:val="27"/>
        </w:rPr>
        <w:t>2</w:t>
      </w:r>
      <w:r w:rsidRPr="008C1F89">
        <w:rPr>
          <w:rFonts w:ascii="Times New Roman" w:hAnsi="Times New Roman" w:cs="Times New Roman"/>
          <w:color w:val="000000"/>
          <w:kern w:val="0"/>
          <w:sz w:val="27"/>
          <w:szCs w:val="27"/>
        </w:rPr>
        <w:t>次政黨輪替之後的第</w:t>
      </w:r>
      <w:r w:rsidRPr="008C1F89">
        <w:rPr>
          <w:rFonts w:ascii="Times New Roman" w:hAnsi="Times New Roman" w:cs="Times New Roman"/>
          <w:color w:val="000000"/>
          <w:kern w:val="0"/>
          <w:sz w:val="27"/>
          <w:szCs w:val="27"/>
        </w:rPr>
        <w:t>1</w:t>
      </w:r>
      <w:r w:rsidRPr="008C1F89">
        <w:rPr>
          <w:rFonts w:ascii="Times New Roman" w:hAnsi="Times New Roman" w:cs="Times New Roman"/>
          <w:color w:val="000000"/>
          <w:kern w:val="0"/>
          <w:sz w:val="27"/>
          <w:szCs w:val="27"/>
        </w:rPr>
        <w:t>次社區評鑑，臺灣民間力量好似再一次歷經孕育的過程，有些許的新鮮與卻也滿懷著期待。從無米樂的</w:t>
      </w:r>
      <w:proofErr w:type="gramStart"/>
      <w:r w:rsidRPr="008C1F89">
        <w:rPr>
          <w:rFonts w:ascii="Times New Roman" w:hAnsi="Times New Roman" w:cs="Times New Roman"/>
          <w:color w:val="000000"/>
          <w:kern w:val="0"/>
          <w:sz w:val="27"/>
          <w:szCs w:val="27"/>
        </w:rPr>
        <w:t>崑濱伯</w:t>
      </w:r>
      <w:proofErr w:type="gramEnd"/>
      <w:r w:rsidRPr="008C1F89">
        <w:rPr>
          <w:rFonts w:ascii="Times New Roman" w:hAnsi="Times New Roman" w:cs="Times New Roman"/>
          <w:color w:val="000000"/>
          <w:kern w:val="0"/>
          <w:sz w:val="27"/>
          <w:szCs w:val="27"/>
        </w:rPr>
        <w:t>到了海角七號的茂伯仔，民間社會力總是訴說著最簡單卻也最有力的語言，臺灣社區發展已經進入『後六星計畫』時期，前方的目標也許還不</w:t>
      </w:r>
      <w:proofErr w:type="gramStart"/>
      <w:r w:rsidRPr="008C1F89">
        <w:rPr>
          <w:rFonts w:ascii="Times New Roman" w:hAnsi="Times New Roman" w:cs="Times New Roman"/>
          <w:color w:val="000000"/>
          <w:kern w:val="0"/>
          <w:sz w:val="27"/>
          <w:szCs w:val="27"/>
        </w:rPr>
        <w:t>清楚，</w:t>
      </w:r>
      <w:proofErr w:type="gramEnd"/>
      <w:r w:rsidRPr="008C1F89">
        <w:rPr>
          <w:rFonts w:ascii="Times New Roman" w:hAnsi="Times New Roman" w:cs="Times New Roman"/>
          <w:color w:val="000000"/>
          <w:kern w:val="0"/>
          <w:sz w:val="27"/>
          <w:szCs w:val="27"/>
        </w:rPr>
        <w:t>在等待中，社區的步伐卻又要繼續向前了。</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今年同時也是首次辦理南、北分區隔年實地評鑑的第一年，此一評鑑時間上的改變，一部分的理由來自縣市政府認為社區培力及社區執行成果需要時間累積，不是</w:t>
      </w:r>
      <w:proofErr w:type="gramStart"/>
      <w:r w:rsidRPr="008C1F89">
        <w:rPr>
          <w:rFonts w:ascii="Times New Roman" w:hAnsi="Times New Roman" w:cs="Times New Roman"/>
          <w:color w:val="000000"/>
          <w:kern w:val="0"/>
          <w:sz w:val="27"/>
          <w:szCs w:val="27"/>
        </w:rPr>
        <w:t>一蹴</w:t>
      </w:r>
      <w:proofErr w:type="gramEnd"/>
      <w:r w:rsidRPr="008C1F89">
        <w:rPr>
          <w:rFonts w:ascii="Times New Roman" w:hAnsi="Times New Roman" w:cs="Times New Roman"/>
          <w:color w:val="000000"/>
          <w:kern w:val="0"/>
          <w:sz w:val="27"/>
          <w:szCs w:val="27"/>
        </w:rPr>
        <w:t>可及的；另外的原因，則是參與內政部社區評鑑工作對於地方政府社區承辦者來說壓力非常的大。不過，今年首輪的北部區縣市及社區並無此影響，倒是明年的南部縣市及受評社區應該成效更為顯著才對。今年評鑑的縣市以南投縣以北的</w:t>
      </w:r>
      <w:r w:rsidRPr="008C1F89">
        <w:rPr>
          <w:rFonts w:ascii="Times New Roman" w:hAnsi="Times New Roman" w:cs="Times New Roman"/>
          <w:color w:val="000000"/>
          <w:kern w:val="0"/>
          <w:sz w:val="27"/>
          <w:szCs w:val="27"/>
        </w:rPr>
        <w:t>14</w:t>
      </w:r>
      <w:r w:rsidRPr="008C1F89">
        <w:rPr>
          <w:rFonts w:ascii="Times New Roman" w:hAnsi="Times New Roman" w:cs="Times New Roman"/>
          <w:color w:val="000000"/>
          <w:kern w:val="0"/>
          <w:sz w:val="27"/>
          <w:szCs w:val="27"/>
        </w:rPr>
        <w:t>縣市政府</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含金門及馬祖</w:t>
      </w:r>
      <w:r w:rsidRPr="008C1F89">
        <w:rPr>
          <w:rFonts w:ascii="Times New Roman" w:hAnsi="Times New Roman" w:cs="Times New Roman"/>
          <w:color w:val="000000"/>
          <w:kern w:val="0"/>
          <w:sz w:val="27"/>
          <w:szCs w:val="27"/>
        </w:rPr>
        <w:t>2</w:t>
      </w:r>
      <w:r w:rsidRPr="008C1F89">
        <w:rPr>
          <w:rFonts w:ascii="Times New Roman" w:hAnsi="Times New Roman" w:cs="Times New Roman"/>
          <w:color w:val="000000"/>
          <w:kern w:val="0"/>
          <w:sz w:val="27"/>
          <w:szCs w:val="27"/>
        </w:rPr>
        <w:t>個離島</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；上述縣市所轄社區，共有</w:t>
      </w:r>
      <w:r w:rsidRPr="008C1F89">
        <w:rPr>
          <w:rFonts w:ascii="Times New Roman" w:hAnsi="Times New Roman" w:cs="Times New Roman"/>
          <w:color w:val="000000"/>
          <w:kern w:val="0"/>
          <w:sz w:val="27"/>
          <w:szCs w:val="27"/>
        </w:rPr>
        <w:t>37</w:t>
      </w:r>
      <w:r w:rsidRPr="008C1F89">
        <w:rPr>
          <w:rFonts w:ascii="Times New Roman" w:hAnsi="Times New Roman" w:cs="Times New Roman"/>
          <w:color w:val="000000"/>
          <w:kern w:val="0"/>
          <w:sz w:val="27"/>
          <w:szCs w:val="27"/>
        </w:rPr>
        <w:t>個社區參加績效組及</w:t>
      </w:r>
      <w:r w:rsidRPr="008C1F89">
        <w:rPr>
          <w:rFonts w:ascii="Times New Roman" w:hAnsi="Times New Roman" w:cs="Times New Roman"/>
          <w:color w:val="000000"/>
          <w:kern w:val="0"/>
          <w:sz w:val="27"/>
          <w:szCs w:val="27"/>
        </w:rPr>
        <w:t>6</w:t>
      </w:r>
      <w:r w:rsidRPr="008C1F89">
        <w:rPr>
          <w:rFonts w:ascii="Times New Roman" w:hAnsi="Times New Roman" w:cs="Times New Roman"/>
          <w:color w:val="000000"/>
          <w:kern w:val="0"/>
          <w:sz w:val="27"/>
          <w:szCs w:val="27"/>
        </w:rPr>
        <w:t>個社區參加卓越組之評選。</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今年評鑑工作的委員組成仍採取學者專家聯合模式，依照慣例由內政部邀請國內大專院校社會工作相關系所中教授或從事社區研究工作的老師</w:t>
      </w:r>
      <w:r w:rsidRPr="008C1F89">
        <w:rPr>
          <w:rFonts w:ascii="Times New Roman" w:hAnsi="Times New Roman" w:cs="Times New Roman"/>
          <w:color w:val="000000"/>
          <w:kern w:val="0"/>
          <w:sz w:val="27"/>
          <w:szCs w:val="27"/>
        </w:rPr>
        <w:t>8</w:t>
      </w:r>
      <w:r w:rsidRPr="008C1F89">
        <w:rPr>
          <w:rFonts w:ascii="Times New Roman" w:hAnsi="Times New Roman" w:cs="Times New Roman"/>
          <w:color w:val="000000"/>
          <w:kern w:val="0"/>
          <w:sz w:val="27"/>
          <w:szCs w:val="27"/>
        </w:rPr>
        <w:t>人，以及兩位實務工作者，共同組成</w:t>
      </w:r>
      <w:r w:rsidRPr="008C1F89">
        <w:rPr>
          <w:rFonts w:ascii="Times New Roman" w:hAnsi="Times New Roman" w:cs="Times New Roman"/>
          <w:color w:val="000000"/>
          <w:kern w:val="0"/>
          <w:sz w:val="27"/>
          <w:szCs w:val="27"/>
        </w:rPr>
        <w:t>10</w:t>
      </w:r>
      <w:r w:rsidRPr="008C1F89">
        <w:rPr>
          <w:rFonts w:ascii="Times New Roman" w:hAnsi="Times New Roman" w:cs="Times New Roman"/>
          <w:color w:val="000000"/>
          <w:kern w:val="0"/>
          <w:sz w:val="27"/>
          <w:szCs w:val="27"/>
        </w:rPr>
        <w:t>人評鑑小組，分成兩組進行評鑑工作，其中實務工作者今年由縣市政府公開推選方式產生，每</w:t>
      </w:r>
      <w:r w:rsidRPr="008C1F89">
        <w:rPr>
          <w:rFonts w:ascii="Times New Roman" w:hAnsi="Times New Roman" w:cs="Times New Roman"/>
          <w:color w:val="000000"/>
          <w:kern w:val="0"/>
          <w:sz w:val="27"/>
          <w:szCs w:val="27"/>
        </w:rPr>
        <w:t>1</w:t>
      </w:r>
      <w:r w:rsidRPr="008C1F89">
        <w:rPr>
          <w:rFonts w:ascii="Times New Roman" w:hAnsi="Times New Roman" w:cs="Times New Roman"/>
          <w:color w:val="000000"/>
          <w:kern w:val="0"/>
          <w:sz w:val="27"/>
          <w:szCs w:val="27"/>
        </w:rPr>
        <w:t>位</w:t>
      </w:r>
      <w:proofErr w:type="gramStart"/>
      <w:r w:rsidRPr="008C1F89">
        <w:rPr>
          <w:rFonts w:ascii="Times New Roman" w:hAnsi="Times New Roman" w:cs="Times New Roman"/>
          <w:color w:val="000000"/>
          <w:kern w:val="0"/>
          <w:sz w:val="27"/>
          <w:szCs w:val="27"/>
        </w:rPr>
        <w:t>委員均有不同</w:t>
      </w:r>
      <w:proofErr w:type="gramEnd"/>
      <w:r w:rsidRPr="008C1F89">
        <w:rPr>
          <w:rFonts w:ascii="Times New Roman" w:hAnsi="Times New Roman" w:cs="Times New Roman"/>
          <w:color w:val="000000"/>
          <w:kern w:val="0"/>
          <w:sz w:val="27"/>
          <w:szCs w:val="27"/>
        </w:rPr>
        <w:t>的專業背景及實務操作經驗，依其個人的獨立自主的角色進行評鑑工作。</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總結報告的目的是要從</w:t>
      </w:r>
      <w:proofErr w:type="gramStart"/>
      <w:r w:rsidRPr="008C1F89">
        <w:rPr>
          <w:rFonts w:ascii="Times New Roman" w:hAnsi="Times New Roman" w:cs="Times New Roman"/>
          <w:color w:val="000000"/>
          <w:kern w:val="0"/>
          <w:sz w:val="27"/>
          <w:szCs w:val="27"/>
        </w:rPr>
        <w:t>較為巨視的</w:t>
      </w:r>
      <w:proofErr w:type="gramEnd"/>
      <w:r w:rsidRPr="008C1F89">
        <w:rPr>
          <w:rFonts w:ascii="Times New Roman" w:hAnsi="Times New Roman" w:cs="Times New Roman"/>
          <w:color w:val="000000"/>
          <w:kern w:val="0"/>
          <w:sz w:val="27"/>
          <w:szCs w:val="27"/>
        </w:rPr>
        <w:t>角度，依據參與評鑑過程及委員意見觀察並整理出一些重點或方向，提供未來內政部及縣市政府推動社區發展業務之參考。因此，討論的重點比較在於縣市政府社區推動策略與社會需求變遷的關係，而各別縣市政府的表現，透過平均每一社區的</w:t>
      </w:r>
      <w:r w:rsidRPr="008C1F89">
        <w:rPr>
          <w:rFonts w:ascii="Times New Roman" w:hAnsi="Times New Roman" w:cs="Times New Roman"/>
          <w:color w:val="000000"/>
          <w:kern w:val="0"/>
          <w:sz w:val="27"/>
          <w:szCs w:val="27"/>
        </w:rPr>
        <w:lastRenderedPageBreak/>
        <w:t>經費數、預算執行率及內政部核定補助等來觀察，可以提供各縣市瞭解自己與其它縣市所處的相對位置，除了數字的管理，另一方面希望從評鑑中看到社區底層民眾的聲音，及未來縣市政府推動社區發展工作的方向。</w:t>
      </w:r>
    </w:p>
    <w:p w:rsidR="008C1F89" w:rsidRPr="008C1F89" w:rsidRDefault="008C1F89" w:rsidP="008C1F89">
      <w:pPr>
        <w:widowControl/>
        <w:autoSpaceDN/>
        <w:spacing w:before="180"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壹、整體縣市社區輔導成效持續成長</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就整體來看，今年受評縣市具有以下幾個值得鼓勵的現象：</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第一、地方首長瞭解社區發展的重要性，重視程度愈來愈高，各地鄉鎮市長幾乎都會出席參加並致詞勉勵，對社區民眾具有莫大的鼓勵作用。</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二、社區輔導逐漸朝向有策略性的目標發展，這是相當不容易的，因為公部門在承辦業務日益加重的情況下，已經無暇顧及創新業務；故而，引入專業輔導團隊的協助，協助各縣市政府逐漸從思維創新進而業務創新，最終達到社區創新的目的。</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三、縣市政府在社區業務上實施制度變革及激勵措施，前者如鼓勵社工人員協助社區，後者如縣市自評之績優社區，輔導之鄉鎮公所亦能獲得實質之鼓勵等；足以見得社區業務承辦單位的協力整合與創新機制，已經初露曙光，過去鄉鎮公所對於社區發展持冷漠態度已較少見。</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第四、社區內外資源連結有顯著提升，在本次評鑑委員發現將近九成的社區組織都能夠有效協調運用當地資源，建構社區資源運用網絡</w:t>
      </w:r>
      <w:r w:rsidRPr="008C1F89">
        <w:rPr>
          <w:rFonts w:ascii="Times New Roman" w:hAnsi="Times New Roman" w:cs="Times New Roman"/>
          <w:color w:val="FF0000"/>
          <w:kern w:val="0"/>
          <w:sz w:val="27"/>
          <w:szCs w:val="27"/>
        </w:rPr>
        <w:t>。</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第五、社區組織的領導模式，能夠激發民眾的認同及參與的熱忱，而且兼顧到不同年齡層的需求，每</w:t>
      </w:r>
      <w:proofErr w:type="gramStart"/>
      <w:r w:rsidRPr="008C1F89">
        <w:rPr>
          <w:rFonts w:ascii="Times New Roman" w:hAnsi="Times New Roman" w:cs="Times New Roman"/>
          <w:color w:val="000000"/>
          <w:kern w:val="0"/>
          <w:sz w:val="27"/>
          <w:szCs w:val="27"/>
        </w:rPr>
        <w:t>場次均達百</w:t>
      </w:r>
      <w:proofErr w:type="gramEnd"/>
      <w:r w:rsidRPr="008C1F89">
        <w:rPr>
          <w:rFonts w:ascii="Times New Roman" w:hAnsi="Times New Roman" w:cs="Times New Roman"/>
          <w:color w:val="000000"/>
          <w:kern w:val="0"/>
          <w:sz w:val="27"/>
          <w:szCs w:val="27"/>
        </w:rPr>
        <w:t>人以上的規模，甚至也有達到近千人的情況，真可謂是盛況空前。</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不過，在本次評鑑中也有下列幾個值得注意的問題：</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一、後健康社區六星計畫的社區發展，縣府社區整合平台及單一窗口若有似無，大致上來說雖然社區產業、社區治安、社福醫療、人文教育、環境景觀及環保生態等名稱仍然繼續延用，但是其資源整合精神意涵卻已逐漸消失。</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二、社區特色及自主性仍待強化，評鑑委員認為由於社區推動的工作項目多以政府政策補助或施政計畫的重點工作項目為主，因此失去社區的自主性及獨特性。例如福利社區化的推動，多傾向以推動老人關懷的社區照顧關懷據點活動為主，而其它弱勢</w:t>
      </w:r>
      <w:proofErr w:type="gramStart"/>
      <w:r w:rsidRPr="008C1F89">
        <w:rPr>
          <w:rFonts w:ascii="Times New Roman" w:hAnsi="Times New Roman" w:cs="Times New Roman"/>
          <w:color w:val="000000"/>
          <w:kern w:val="0"/>
          <w:sz w:val="27"/>
          <w:szCs w:val="27"/>
        </w:rPr>
        <w:t>人口群卻反而</w:t>
      </w:r>
      <w:proofErr w:type="gramEnd"/>
      <w:r w:rsidRPr="008C1F89">
        <w:rPr>
          <w:rFonts w:ascii="Times New Roman" w:hAnsi="Times New Roman" w:cs="Times New Roman"/>
          <w:color w:val="000000"/>
          <w:kern w:val="0"/>
          <w:sz w:val="27"/>
          <w:szCs w:val="27"/>
        </w:rPr>
        <w:t>受到忽略。</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lastRenderedPageBreak/>
        <w:t>第三、社區組織運作及內部治理的能力仍待加強，負責此次會務項目的評鑑委員觀察發現，各社區組織對於會員大會、理事會及監事會之權責，真正瞭解且照章運作者，非常少數；其次會員人數偏少也是另一個值得注意的現象。</w:t>
      </w:r>
    </w:p>
    <w:p w:rsidR="008C1F89" w:rsidRPr="008C1F89" w:rsidRDefault="008C1F89" w:rsidP="008C1F89">
      <w:pPr>
        <w:widowControl/>
        <w:autoSpaceDN/>
        <w:spacing w:before="180"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貳、各縣市在社區預算經費的比例上產生落差</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根據內政部所提供的資料顯示</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參見表</w:t>
      </w:r>
      <w:proofErr w:type="gramStart"/>
      <w:r w:rsidRPr="008C1F89">
        <w:rPr>
          <w:rFonts w:ascii="Times New Roman" w:hAnsi="Times New Roman" w:cs="Times New Roman"/>
          <w:color w:val="000000"/>
          <w:kern w:val="0"/>
          <w:sz w:val="27"/>
          <w:szCs w:val="27"/>
        </w:rPr>
        <w:t>一</w:t>
      </w:r>
      <w:proofErr w:type="gramEnd"/>
      <w:r w:rsidRPr="008C1F89">
        <w:rPr>
          <w:rFonts w:ascii="Times New Roman" w:hAnsi="Times New Roman" w:cs="Times New Roman"/>
          <w:color w:val="000000"/>
          <w:kern w:val="0"/>
          <w:sz w:val="27"/>
          <w:szCs w:val="27"/>
        </w:rPr>
        <w:t xml:space="preserve">) </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 xml:space="preserve"> 96</w:t>
      </w:r>
      <w:r w:rsidRPr="008C1F89">
        <w:rPr>
          <w:rFonts w:ascii="Times New Roman" w:hAnsi="Times New Roman" w:cs="Times New Roman"/>
          <w:color w:val="000000"/>
          <w:kern w:val="0"/>
          <w:sz w:val="27"/>
          <w:szCs w:val="27"/>
        </w:rPr>
        <w:t>年度的社區成果是今年社區評鑑的重點，在今年受評的</w:t>
      </w:r>
      <w:r w:rsidRPr="008C1F89">
        <w:rPr>
          <w:rFonts w:ascii="Times New Roman" w:hAnsi="Times New Roman" w:cs="Times New Roman"/>
          <w:color w:val="000000"/>
          <w:kern w:val="0"/>
          <w:sz w:val="27"/>
          <w:szCs w:val="27"/>
        </w:rPr>
        <w:t>14</w:t>
      </w:r>
      <w:r w:rsidRPr="008C1F89">
        <w:rPr>
          <w:rFonts w:ascii="Times New Roman" w:hAnsi="Times New Roman" w:cs="Times New Roman"/>
          <w:color w:val="000000"/>
          <w:kern w:val="0"/>
          <w:sz w:val="27"/>
          <w:szCs w:val="27"/>
        </w:rPr>
        <w:t>個縣市政府中，其社區工作編列的預算數平均每一社區的經費數的前</w:t>
      </w:r>
      <w:r w:rsidRPr="008C1F89">
        <w:rPr>
          <w:rFonts w:ascii="Times New Roman" w:hAnsi="Times New Roman" w:cs="Times New Roman"/>
          <w:color w:val="000000"/>
          <w:kern w:val="0"/>
          <w:sz w:val="27"/>
          <w:szCs w:val="27"/>
        </w:rPr>
        <w:t>3</w:t>
      </w:r>
      <w:r w:rsidRPr="008C1F89">
        <w:rPr>
          <w:rFonts w:ascii="Times New Roman" w:hAnsi="Times New Roman" w:cs="Times New Roman"/>
          <w:color w:val="000000"/>
          <w:kern w:val="0"/>
          <w:sz w:val="27"/>
          <w:szCs w:val="27"/>
        </w:rPr>
        <w:t>名縣市為：</w:t>
      </w:r>
      <w:r w:rsidRPr="008C1F89">
        <w:rPr>
          <w:rFonts w:ascii="標楷體" w:eastAsia="標楷體" w:hAnsi="標楷體" w:cs="Times New Roman" w:hint="eastAsia"/>
          <w:color w:val="000000"/>
          <w:kern w:val="0"/>
          <w:sz w:val="27"/>
          <w:szCs w:val="27"/>
        </w:rPr>
        <w:t>桃園縣(317,000元)、宜蘭縣(249,769元)、</w:t>
      </w:r>
      <w:r w:rsidRPr="008C1F89">
        <w:rPr>
          <w:rFonts w:ascii="Times New Roman" w:hAnsi="Times New Roman" w:cs="Times New Roman"/>
          <w:color w:val="000000"/>
          <w:kern w:val="0"/>
          <w:sz w:val="27"/>
          <w:szCs w:val="27"/>
        </w:rPr>
        <w:t>連江縣</w:t>
      </w:r>
      <w:r w:rsidRPr="008C1F89">
        <w:rPr>
          <w:rFonts w:ascii="Times New Roman" w:hAnsi="Times New Roman" w:cs="Times New Roman"/>
          <w:color w:val="000000"/>
          <w:kern w:val="0"/>
          <w:sz w:val="27"/>
          <w:szCs w:val="27"/>
        </w:rPr>
        <w:t>(180,000</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；而後</w:t>
      </w:r>
      <w:r w:rsidRPr="008C1F89">
        <w:rPr>
          <w:rFonts w:ascii="Times New Roman" w:hAnsi="Times New Roman" w:cs="Times New Roman"/>
          <w:color w:val="000000"/>
          <w:kern w:val="0"/>
          <w:sz w:val="27"/>
          <w:szCs w:val="27"/>
        </w:rPr>
        <w:t>3</w:t>
      </w:r>
      <w:r w:rsidRPr="008C1F89">
        <w:rPr>
          <w:rFonts w:ascii="Times New Roman" w:hAnsi="Times New Roman" w:cs="Times New Roman"/>
          <w:color w:val="000000"/>
          <w:kern w:val="0"/>
          <w:sz w:val="27"/>
          <w:szCs w:val="27"/>
        </w:rPr>
        <w:t>名縣市為：臺北縣</w:t>
      </w:r>
      <w:r w:rsidRPr="008C1F89">
        <w:rPr>
          <w:rFonts w:ascii="Times New Roman" w:hAnsi="Times New Roman" w:cs="Times New Roman"/>
          <w:color w:val="000000"/>
          <w:kern w:val="0"/>
          <w:sz w:val="27"/>
          <w:szCs w:val="27"/>
        </w:rPr>
        <w:t>(21,968</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 xml:space="preserve"> </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w:t>
      </w:r>
      <w:r w:rsidRPr="008C1F89">
        <w:rPr>
          <w:rFonts w:ascii="Times New Roman" w:hAnsi="Times New Roman" w:cs="Times New Roman"/>
          <w:color w:val="000000"/>
          <w:kern w:val="0"/>
          <w:sz w:val="27"/>
          <w:szCs w:val="27"/>
        </w:rPr>
        <w:t>(28,287</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、臺北市</w:t>
      </w:r>
      <w:r w:rsidRPr="008C1F89">
        <w:rPr>
          <w:rFonts w:ascii="Times New Roman" w:hAnsi="Times New Roman" w:cs="Times New Roman"/>
          <w:color w:val="000000"/>
          <w:kern w:val="0"/>
          <w:sz w:val="27"/>
          <w:szCs w:val="27"/>
        </w:rPr>
        <w:t>(37,027</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w:t>
      </w:r>
      <w:proofErr w:type="gramStart"/>
      <w:r w:rsidRPr="008C1F89">
        <w:rPr>
          <w:rFonts w:ascii="Times New Roman" w:hAnsi="Times New Roman" w:cs="Times New Roman"/>
          <w:color w:val="000000"/>
          <w:kern w:val="0"/>
          <w:sz w:val="27"/>
          <w:szCs w:val="27"/>
        </w:rPr>
        <w:t>此外，</w:t>
      </w:r>
      <w:proofErr w:type="gramEnd"/>
      <w:r w:rsidRPr="008C1F89">
        <w:rPr>
          <w:rFonts w:ascii="Times New Roman" w:hAnsi="Times New Roman" w:cs="Times New Roman"/>
          <w:color w:val="000000"/>
          <w:kern w:val="0"/>
          <w:sz w:val="27"/>
          <w:szCs w:val="27"/>
        </w:rPr>
        <w:t>影響各縣市平均每</w:t>
      </w:r>
      <w:r w:rsidRPr="008C1F89">
        <w:rPr>
          <w:rFonts w:ascii="Times New Roman" w:hAnsi="Times New Roman" w:cs="Times New Roman"/>
          <w:color w:val="000000"/>
          <w:kern w:val="0"/>
          <w:sz w:val="27"/>
          <w:szCs w:val="27"/>
        </w:rPr>
        <w:t>1</w:t>
      </w:r>
      <w:r w:rsidRPr="008C1F89">
        <w:rPr>
          <w:rFonts w:ascii="Times New Roman" w:hAnsi="Times New Roman" w:cs="Times New Roman"/>
          <w:color w:val="000000"/>
          <w:kern w:val="0"/>
          <w:sz w:val="27"/>
          <w:szCs w:val="27"/>
        </w:rPr>
        <w:t>個社區能夠多分配的預算多寡與是否編列資本門額度大小有關，不過社區分配的金額並不是決定社區工作成效的決定因素。其次，</w:t>
      </w:r>
      <w:r w:rsidRPr="008C1F89">
        <w:rPr>
          <w:rFonts w:ascii="Times New Roman" w:hAnsi="Times New Roman" w:cs="Times New Roman"/>
          <w:color w:val="000000"/>
          <w:kern w:val="0"/>
          <w:sz w:val="27"/>
          <w:szCs w:val="27"/>
        </w:rPr>
        <w:t>96</w:t>
      </w:r>
      <w:r w:rsidRPr="008C1F89">
        <w:rPr>
          <w:rFonts w:ascii="Times New Roman" w:hAnsi="Times New Roman" w:cs="Times New Roman"/>
          <w:color w:val="000000"/>
          <w:kern w:val="0"/>
          <w:sz w:val="27"/>
          <w:szCs w:val="27"/>
        </w:rPr>
        <w:t>年度較</w:t>
      </w:r>
      <w:r w:rsidRPr="008C1F89">
        <w:rPr>
          <w:rFonts w:ascii="Times New Roman" w:hAnsi="Times New Roman" w:cs="Times New Roman"/>
          <w:color w:val="000000"/>
          <w:kern w:val="0"/>
          <w:sz w:val="27"/>
          <w:szCs w:val="27"/>
        </w:rPr>
        <w:t>95</w:t>
      </w:r>
      <w:r w:rsidRPr="008C1F89">
        <w:rPr>
          <w:rFonts w:ascii="Times New Roman" w:hAnsi="Times New Roman" w:cs="Times New Roman"/>
          <w:color w:val="000000"/>
          <w:kern w:val="0"/>
          <w:sz w:val="27"/>
          <w:szCs w:val="27"/>
        </w:rPr>
        <w:t>年度縣市政府社區預算編列成長的幅度，成長最多的是桃園縣政府平均每一個社區增加</w:t>
      </w:r>
      <w:r w:rsidRPr="008C1F89">
        <w:rPr>
          <w:rFonts w:ascii="Times New Roman" w:hAnsi="Times New Roman" w:cs="Times New Roman"/>
          <w:color w:val="000000"/>
          <w:kern w:val="0"/>
          <w:sz w:val="27"/>
          <w:szCs w:val="27"/>
        </w:rPr>
        <w:t>10</w:t>
      </w:r>
      <w:r w:rsidRPr="008C1F89">
        <w:rPr>
          <w:rFonts w:ascii="Times New Roman" w:hAnsi="Times New Roman" w:cs="Times New Roman"/>
          <w:color w:val="000000"/>
          <w:kern w:val="0"/>
          <w:sz w:val="27"/>
          <w:szCs w:val="27"/>
        </w:rPr>
        <w:t>萬</w:t>
      </w:r>
      <w:r w:rsidRPr="008C1F89">
        <w:rPr>
          <w:rFonts w:ascii="Times New Roman" w:hAnsi="Times New Roman" w:cs="Times New Roman"/>
          <w:color w:val="000000"/>
          <w:kern w:val="0"/>
          <w:sz w:val="27"/>
          <w:szCs w:val="27"/>
        </w:rPr>
        <w:t>4,623</w:t>
      </w:r>
      <w:r w:rsidRPr="008C1F89">
        <w:rPr>
          <w:rFonts w:ascii="Times New Roman" w:hAnsi="Times New Roman" w:cs="Times New Roman"/>
          <w:color w:val="000000"/>
          <w:kern w:val="0"/>
          <w:sz w:val="27"/>
          <w:szCs w:val="27"/>
        </w:rPr>
        <w:t>元，其次連江縣政府平均每一個社區也增加</w:t>
      </w:r>
      <w:r w:rsidRPr="008C1F89">
        <w:rPr>
          <w:rFonts w:ascii="Times New Roman" w:hAnsi="Times New Roman" w:cs="Times New Roman"/>
          <w:color w:val="000000"/>
          <w:kern w:val="0"/>
          <w:sz w:val="27"/>
          <w:szCs w:val="27"/>
        </w:rPr>
        <w:t>9</w:t>
      </w:r>
      <w:r w:rsidRPr="008C1F89">
        <w:rPr>
          <w:rFonts w:ascii="Times New Roman" w:hAnsi="Times New Roman" w:cs="Times New Roman"/>
          <w:color w:val="000000"/>
          <w:kern w:val="0"/>
          <w:sz w:val="27"/>
          <w:szCs w:val="27"/>
        </w:rPr>
        <w:t>萬</w:t>
      </w:r>
      <w:r w:rsidRPr="008C1F89">
        <w:rPr>
          <w:rFonts w:ascii="Times New Roman" w:hAnsi="Times New Roman" w:cs="Times New Roman"/>
          <w:color w:val="000000"/>
          <w:kern w:val="0"/>
          <w:sz w:val="27"/>
          <w:szCs w:val="27"/>
        </w:rPr>
        <w:t>4,737</w:t>
      </w:r>
      <w:r w:rsidRPr="008C1F89">
        <w:rPr>
          <w:rFonts w:ascii="Times New Roman" w:hAnsi="Times New Roman" w:cs="Times New Roman"/>
          <w:color w:val="000000"/>
          <w:kern w:val="0"/>
          <w:sz w:val="27"/>
          <w:szCs w:val="27"/>
        </w:rPr>
        <w:t>元，宜蘭縣增加</w:t>
      </w:r>
      <w:r w:rsidRPr="008C1F89">
        <w:rPr>
          <w:rFonts w:ascii="Times New Roman" w:hAnsi="Times New Roman" w:cs="Times New Roman"/>
          <w:color w:val="000000"/>
          <w:kern w:val="0"/>
          <w:sz w:val="27"/>
          <w:szCs w:val="27"/>
        </w:rPr>
        <w:t>8</w:t>
      </w:r>
      <w:r w:rsidRPr="008C1F89">
        <w:rPr>
          <w:rFonts w:ascii="Times New Roman" w:hAnsi="Times New Roman" w:cs="Times New Roman"/>
          <w:color w:val="000000"/>
          <w:kern w:val="0"/>
          <w:sz w:val="27"/>
          <w:szCs w:val="27"/>
        </w:rPr>
        <w:t>萬</w:t>
      </w:r>
      <w:r w:rsidRPr="008C1F89">
        <w:rPr>
          <w:rFonts w:ascii="Times New Roman" w:hAnsi="Times New Roman" w:cs="Times New Roman"/>
          <w:color w:val="000000"/>
          <w:kern w:val="0"/>
          <w:sz w:val="27"/>
          <w:szCs w:val="27"/>
        </w:rPr>
        <w:t>6,076</w:t>
      </w:r>
      <w:r w:rsidRPr="008C1F89">
        <w:rPr>
          <w:rFonts w:ascii="Times New Roman" w:hAnsi="Times New Roman" w:cs="Times New Roman"/>
          <w:color w:val="000000"/>
          <w:kern w:val="0"/>
          <w:sz w:val="27"/>
          <w:szCs w:val="27"/>
        </w:rPr>
        <w:t>元，多數的縣市是呈現微幅成長的情況；不過，有</w:t>
      </w:r>
      <w:r w:rsidRPr="008C1F89">
        <w:rPr>
          <w:rFonts w:ascii="Times New Roman" w:hAnsi="Times New Roman" w:cs="Times New Roman"/>
          <w:color w:val="000000"/>
          <w:kern w:val="0"/>
          <w:sz w:val="27"/>
          <w:szCs w:val="27"/>
        </w:rPr>
        <w:t>5</w:t>
      </w:r>
      <w:r w:rsidRPr="008C1F89">
        <w:rPr>
          <w:rFonts w:ascii="Times New Roman" w:hAnsi="Times New Roman" w:cs="Times New Roman"/>
          <w:color w:val="000000"/>
          <w:kern w:val="0"/>
          <w:sz w:val="27"/>
          <w:szCs w:val="27"/>
        </w:rPr>
        <w:t>個縣市是負成長，依序分別為：苗栗縣</w:t>
      </w:r>
      <w:r w:rsidRPr="008C1F89">
        <w:rPr>
          <w:rFonts w:ascii="Times New Roman" w:hAnsi="Times New Roman" w:cs="Times New Roman"/>
          <w:color w:val="000000"/>
          <w:kern w:val="0"/>
          <w:sz w:val="27"/>
          <w:szCs w:val="27"/>
        </w:rPr>
        <w:t>(-74,659</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中縣</w:t>
      </w:r>
      <w:r w:rsidRPr="008C1F89">
        <w:rPr>
          <w:rFonts w:ascii="Times New Roman" w:hAnsi="Times New Roman" w:cs="Times New Roman"/>
          <w:color w:val="000000"/>
          <w:kern w:val="0"/>
          <w:sz w:val="27"/>
          <w:szCs w:val="27"/>
        </w:rPr>
        <w:t>(-17,750</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、南投縣</w:t>
      </w:r>
      <w:r w:rsidRPr="008C1F89">
        <w:rPr>
          <w:rFonts w:ascii="Times New Roman" w:hAnsi="Times New Roman" w:cs="Times New Roman"/>
          <w:color w:val="000000"/>
          <w:kern w:val="0"/>
          <w:sz w:val="27"/>
          <w:szCs w:val="27"/>
        </w:rPr>
        <w:t>(-15,822</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、臺北縣</w:t>
      </w:r>
      <w:r w:rsidRPr="008C1F89">
        <w:rPr>
          <w:rFonts w:ascii="Times New Roman" w:hAnsi="Times New Roman" w:cs="Times New Roman"/>
          <w:color w:val="000000"/>
          <w:kern w:val="0"/>
          <w:sz w:val="27"/>
          <w:szCs w:val="27"/>
        </w:rPr>
        <w:t>(-10,590</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及新竹縣</w:t>
      </w:r>
      <w:r w:rsidRPr="008C1F89">
        <w:rPr>
          <w:rFonts w:ascii="Times New Roman" w:hAnsi="Times New Roman" w:cs="Times New Roman"/>
          <w:color w:val="000000"/>
          <w:kern w:val="0"/>
          <w:sz w:val="27"/>
          <w:szCs w:val="27"/>
        </w:rPr>
        <w:t>(-3,931</w:t>
      </w:r>
      <w:r w:rsidRPr="008C1F89">
        <w:rPr>
          <w:rFonts w:ascii="Times New Roman" w:hAnsi="Times New Roman" w:cs="Times New Roman"/>
          <w:color w:val="000000"/>
          <w:kern w:val="0"/>
          <w:sz w:val="27"/>
          <w:szCs w:val="27"/>
        </w:rPr>
        <w:t>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其次，就執行率來看，剛好可以分成兩個群組：一個是執行率達</w:t>
      </w:r>
      <w:r w:rsidRPr="008C1F89">
        <w:rPr>
          <w:rFonts w:ascii="Times New Roman" w:hAnsi="Times New Roman" w:cs="Times New Roman"/>
          <w:color w:val="000000"/>
          <w:kern w:val="0"/>
          <w:sz w:val="27"/>
          <w:szCs w:val="27"/>
        </w:rPr>
        <w:t>90%</w:t>
      </w:r>
      <w:r w:rsidRPr="008C1F89">
        <w:rPr>
          <w:rFonts w:ascii="Times New Roman" w:hAnsi="Times New Roman" w:cs="Times New Roman"/>
          <w:color w:val="000000"/>
          <w:kern w:val="0"/>
          <w:sz w:val="27"/>
          <w:szCs w:val="27"/>
        </w:rPr>
        <w:t>以上的群組，這些縣市政府有：臺北市、宜蘭縣、臺北縣、桃園縣、苗栗縣、南投縣、基隆市、</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中市及金門縣，共計</w:t>
      </w:r>
      <w:r w:rsidRPr="008C1F89">
        <w:rPr>
          <w:rFonts w:ascii="Times New Roman" w:hAnsi="Times New Roman" w:cs="Times New Roman"/>
          <w:color w:val="000000"/>
          <w:kern w:val="0"/>
          <w:sz w:val="27"/>
          <w:szCs w:val="27"/>
        </w:rPr>
        <w:t>9</w:t>
      </w:r>
      <w:r w:rsidRPr="008C1F89">
        <w:rPr>
          <w:rFonts w:ascii="Times New Roman" w:hAnsi="Times New Roman" w:cs="Times New Roman"/>
          <w:color w:val="000000"/>
          <w:kern w:val="0"/>
          <w:sz w:val="27"/>
          <w:szCs w:val="27"/>
        </w:rPr>
        <w:t>個縣市。另一個是執行率達</w:t>
      </w:r>
      <w:r w:rsidRPr="008C1F89">
        <w:rPr>
          <w:rFonts w:ascii="Times New Roman" w:hAnsi="Times New Roman" w:cs="Times New Roman"/>
          <w:color w:val="000000"/>
          <w:kern w:val="0"/>
          <w:sz w:val="27"/>
          <w:szCs w:val="27"/>
        </w:rPr>
        <w:t>70%</w:t>
      </w:r>
      <w:r w:rsidRPr="008C1F89">
        <w:rPr>
          <w:rFonts w:ascii="Times New Roman" w:hAnsi="Times New Roman" w:cs="Times New Roman"/>
          <w:color w:val="000000"/>
          <w:kern w:val="0"/>
          <w:sz w:val="27"/>
          <w:szCs w:val="27"/>
        </w:rPr>
        <w:t>左右的群組，這些縣市政府有：新竹縣、</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中縣、桃園縣、花蓮縣、新竹市及連江縣，共計</w:t>
      </w:r>
      <w:r w:rsidRPr="008C1F89">
        <w:rPr>
          <w:rFonts w:ascii="Times New Roman" w:hAnsi="Times New Roman" w:cs="Times New Roman"/>
          <w:color w:val="000000"/>
          <w:kern w:val="0"/>
          <w:sz w:val="27"/>
          <w:szCs w:val="27"/>
        </w:rPr>
        <w:t>5</w:t>
      </w:r>
      <w:r w:rsidRPr="008C1F89">
        <w:rPr>
          <w:rFonts w:ascii="Times New Roman" w:hAnsi="Times New Roman" w:cs="Times New Roman"/>
          <w:color w:val="000000"/>
          <w:kern w:val="0"/>
          <w:sz w:val="27"/>
          <w:szCs w:val="27"/>
        </w:rPr>
        <w:t>個縣市。</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除了縣市政府所編列的社區預算之外，</w:t>
      </w:r>
      <w:r w:rsidRPr="008C1F89">
        <w:rPr>
          <w:rFonts w:ascii="Times New Roman" w:hAnsi="Times New Roman" w:cs="Times New Roman"/>
          <w:color w:val="000000"/>
          <w:kern w:val="0"/>
          <w:sz w:val="27"/>
          <w:szCs w:val="27"/>
        </w:rPr>
        <w:t>96</w:t>
      </w:r>
      <w:r w:rsidRPr="008C1F89">
        <w:rPr>
          <w:rFonts w:ascii="Times New Roman" w:hAnsi="Times New Roman" w:cs="Times New Roman"/>
          <w:color w:val="000000"/>
          <w:kern w:val="0"/>
          <w:sz w:val="27"/>
          <w:szCs w:val="27"/>
        </w:rPr>
        <w:t>年度內政部所核定補助的社區申請案件，以臺北市的</w:t>
      </w:r>
      <w:r w:rsidRPr="008C1F89">
        <w:rPr>
          <w:rFonts w:ascii="Times New Roman" w:hAnsi="Times New Roman" w:cs="Times New Roman"/>
          <w:color w:val="000000"/>
          <w:kern w:val="0"/>
          <w:sz w:val="27"/>
          <w:szCs w:val="27"/>
        </w:rPr>
        <w:t>109</w:t>
      </w:r>
      <w:r w:rsidRPr="008C1F89">
        <w:rPr>
          <w:rFonts w:ascii="Times New Roman" w:hAnsi="Times New Roman" w:cs="Times New Roman"/>
          <w:color w:val="000000"/>
          <w:kern w:val="0"/>
          <w:sz w:val="27"/>
          <w:szCs w:val="27"/>
        </w:rPr>
        <w:t>件最多，平均每件補助金額為</w:t>
      </w:r>
      <w:r w:rsidRPr="008C1F89">
        <w:rPr>
          <w:rFonts w:ascii="Times New Roman" w:hAnsi="Times New Roman" w:cs="Times New Roman"/>
          <w:color w:val="000000"/>
          <w:kern w:val="0"/>
          <w:sz w:val="27"/>
          <w:szCs w:val="27"/>
        </w:rPr>
        <w:t>3.44</w:t>
      </w:r>
      <w:r w:rsidRPr="008C1F89">
        <w:rPr>
          <w:rFonts w:ascii="Times New Roman" w:hAnsi="Times New Roman" w:cs="Times New Roman"/>
          <w:color w:val="000000"/>
          <w:kern w:val="0"/>
          <w:sz w:val="27"/>
          <w:szCs w:val="27"/>
        </w:rPr>
        <w:t>萬元；其次為南投縣的</w:t>
      </w:r>
      <w:r w:rsidRPr="008C1F89">
        <w:rPr>
          <w:rFonts w:ascii="Times New Roman" w:hAnsi="Times New Roman" w:cs="Times New Roman"/>
          <w:color w:val="000000"/>
          <w:kern w:val="0"/>
          <w:sz w:val="27"/>
          <w:szCs w:val="27"/>
        </w:rPr>
        <w:t>74</w:t>
      </w:r>
      <w:r w:rsidRPr="008C1F89">
        <w:rPr>
          <w:rFonts w:ascii="Times New Roman" w:hAnsi="Times New Roman" w:cs="Times New Roman"/>
          <w:color w:val="000000"/>
          <w:kern w:val="0"/>
          <w:sz w:val="27"/>
          <w:szCs w:val="27"/>
        </w:rPr>
        <w:t>件，平均每件補助金額為</w:t>
      </w:r>
      <w:r w:rsidRPr="008C1F89">
        <w:rPr>
          <w:rFonts w:ascii="Times New Roman" w:hAnsi="Times New Roman" w:cs="Times New Roman"/>
          <w:color w:val="000000"/>
          <w:kern w:val="0"/>
          <w:sz w:val="27"/>
          <w:szCs w:val="27"/>
        </w:rPr>
        <w:t>3.93</w:t>
      </w:r>
      <w:r w:rsidRPr="008C1F89">
        <w:rPr>
          <w:rFonts w:ascii="Times New Roman" w:hAnsi="Times New Roman" w:cs="Times New Roman"/>
          <w:color w:val="000000"/>
          <w:kern w:val="0"/>
          <w:sz w:val="27"/>
          <w:szCs w:val="27"/>
        </w:rPr>
        <w:t>萬元，第三為</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中市的</w:t>
      </w:r>
      <w:r w:rsidRPr="008C1F89">
        <w:rPr>
          <w:rFonts w:ascii="Times New Roman" w:hAnsi="Times New Roman" w:cs="Times New Roman"/>
          <w:color w:val="000000"/>
          <w:kern w:val="0"/>
          <w:sz w:val="27"/>
          <w:szCs w:val="27"/>
        </w:rPr>
        <w:t>47</w:t>
      </w:r>
      <w:r w:rsidRPr="008C1F89">
        <w:rPr>
          <w:rFonts w:ascii="Times New Roman" w:hAnsi="Times New Roman" w:cs="Times New Roman"/>
          <w:color w:val="000000"/>
          <w:kern w:val="0"/>
          <w:sz w:val="27"/>
          <w:szCs w:val="27"/>
        </w:rPr>
        <w:t>件，平均每件補助金額為</w:t>
      </w:r>
      <w:r w:rsidRPr="008C1F89">
        <w:rPr>
          <w:rFonts w:ascii="Times New Roman" w:hAnsi="Times New Roman" w:cs="Times New Roman"/>
          <w:color w:val="000000"/>
          <w:kern w:val="0"/>
          <w:sz w:val="27"/>
          <w:szCs w:val="27"/>
        </w:rPr>
        <w:t>10.36</w:t>
      </w:r>
      <w:r w:rsidRPr="008C1F89">
        <w:rPr>
          <w:rFonts w:ascii="Times New Roman" w:hAnsi="Times New Roman" w:cs="Times New Roman"/>
          <w:color w:val="000000"/>
          <w:kern w:val="0"/>
          <w:sz w:val="27"/>
          <w:szCs w:val="27"/>
        </w:rPr>
        <w:t>萬元。這</w:t>
      </w:r>
      <w:r w:rsidRPr="008C1F89">
        <w:rPr>
          <w:rFonts w:ascii="Times New Roman" w:hAnsi="Times New Roman" w:cs="Times New Roman"/>
          <w:color w:val="000000"/>
          <w:kern w:val="0"/>
          <w:sz w:val="27"/>
          <w:szCs w:val="27"/>
        </w:rPr>
        <w:t>3</w:t>
      </w:r>
      <w:r w:rsidRPr="008C1F89">
        <w:rPr>
          <w:rFonts w:ascii="Times New Roman" w:hAnsi="Times New Roman" w:cs="Times New Roman"/>
          <w:color w:val="000000"/>
          <w:kern w:val="0"/>
          <w:sz w:val="27"/>
          <w:szCs w:val="27"/>
        </w:rPr>
        <w:t>個縣市若以社區數及核定補助件數的比率來看臺北市、南投縣及</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中市分別為：</w:t>
      </w:r>
      <w:r w:rsidRPr="008C1F89">
        <w:rPr>
          <w:rFonts w:ascii="Times New Roman" w:hAnsi="Times New Roman" w:cs="Times New Roman"/>
          <w:color w:val="000000"/>
          <w:kern w:val="0"/>
          <w:sz w:val="27"/>
          <w:szCs w:val="27"/>
        </w:rPr>
        <w:t>29%</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29%</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28%</w:t>
      </w:r>
      <w:r w:rsidRPr="008C1F89">
        <w:rPr>
          <w:rFonts w:ascii="Times New Roman" w:hAnsi="Times New Roman" w:cs="Times New Roman"/>
          <w:color w:val="000000"/>
          <w:kern w:val="0"/>
          <w:sz w:val="27"/>
          <w:szCs w:val="27"/>
        </w:rPr>
        <w:t>。換言之，在這些積極申請內政部社區補助的比率，大致上約每三</w:t>
      </w:r>
      <w:proofErr w:type="gramStart"/>
      <w:r w:rsidRPr="008C1F89">
        <w:rPr>
          <w:rFonts w:ascii="Times New Roman" w:hAnsi="Times New Roman" w:cs="Times New Roman"/>
          <w:color w:val="000000"/>
          <w:kern w:val="0"/>
          <w:sz w:val="27"/>
          <w:szCs w:val="27"/>
        </w:rPr>
        <w:t>個</w:t>
      </w:r>
      <w:proofErr w:type="gramEnd"/>
      <w:r w:rsidRPr="008C1F89">
        <w:rPr>
          <w:rFonts w:ascii="Times New Roman" w:hAnsi="Times New Roman" w:cs="Times New Roman"/>
          <w:color w:val="000000"/>
          <w:kern w:val="0"/>
          <w:sz w:val="27"/>
          <w:szCs w:val="27"/>
        </w:rPr>
        <w:t>社區就有一個社區向內政部申請補助。而另一方面向內政部申請社區補助在</w:t>
      </w:r>
      <w:r w:rsidRPr="008C1F89">
        <w:rPr>
          <w:rFonts w:ascii="Times New Roman" w:hAnsi="Times New Roman" w:cs="Times New Roman"/>
          <w:color w:val="000000"/>
          <w:kern w:val="0"/>
          <w:sz w:val="27"/>
          <w:szCs w:val="27"/>
        </w:rPr>
        <w:t>10</w:t>
      </w:r>
      <w:r w:rsidRPr="008C1F89">
        <w:rPr>
          <w:rFonts w:ascii="Times New Roman" w:hAnsi="Times New Roman" w:cs="Times New Roman"/>
          <w:color w:val="000000"/>
          <w:kern w:val="0"/>
          <w:sz w:val="27"/>
          <w:szCs w:val="27"/>
        </w:rPr>
        <w:t>件以下的縣市計有</w:t>
      </w:r>
      <w:r w:rsidRPr="008C1F89">
        <w:rPr>
          <w:rFonts w:ascii="Times New Roman" w:hAnsi="Times New Roman" w:cs="Times New Roman"/>
          <w:color w:val="000000"/>
          <w:kern w:val="0"/>
          <w:sz w:val="27"/>
          <w:szCs w:val="27"/>
        </w:rPr>
        <w:t>6</w:t>
      </w:r>
      <w:r w:rsidRPr="008C1F89">
        <w:rPr>
          <w:rFonts w:ascii="Times New Roman" w:hAnsi="Times New Roman" w:cs="Times New Roman"/>
          <w:color w:val="000000"/>
          <w:kern w:val="0"/>
          <w:sz w:val="27"/>
          <w:szCs w:val="27"/>
        </w:rPr>
        <w:t>個，快接近二分之</w:t>
      </w:r>
      <w:proofErr w:type="gramStart"/>
      <w:r w:rsidRPr="008C1F89">
        <w:rPr>
          <w:rFonts w:ascii="Times New Roman" w:hAnsi="Times New Roman" w:cs="Times New Roman"/>
          <w:color w:val="000000"/>
          <w:kern w:val="0"/>
          <w:sz w:val="27"/>
          <w:szCs w:val="27"/>
        </w:rPr>
        <w:t>ㄧ</w:t>
      </w:r>
      <w:proofErr w:type="gramEnd"/>
      <w:r w:rsidRPr="008C1F89">
        <w:rPr>
          <w:rFonts w:ascii="Times New Roman" w:hAnsi="Times New Roman" w:cs="Times New Roman"/>
          <w:color w:val="000000"/>
          <w:kern w:val="0"/>
          <w:sz w:val="27"/>
          <w:szCs w:val="27"/>
        </w:rPr>
        <w:t>；分別為宜蘭縣</w:t>
      </w:r>
      <w:r w:rsidRPr="008C1F89">
        <w:rPr>
          <w:rFonts w:ascii="Times New Roman" w:hAnsi="Times New Roman" w:cs="Times New Roman"/>
          <w:color w:val="000000"/>
          <w:kern w:val="0"/>
          <w:sz w:val="27"/>
          <w:szCs w:val="27"/>
        </w:rPr>
        <w:t>(6</w:t>
      </w:r>
      <w:r w:rsidRPr="008C1F89">
        <w:rPr>
          <w:rFonts w:ascii="Times New Roman" w:hAnsi="Times New Roman" w:cs="Times New Roman"/>
          <w:color w:val="000000"/>
          <w:kern w:val="0"/>
          <w:sz w:val="27"/>
          <w:szCs w:val="27"/>
        </w:rPr>
        <w:t>件</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、臺北縣</w:t>
      </w:r>
      <w:r w:rsidRPr="008C1F89">
        <w:rPr>
          <w:rFonts w:ascii="Times New Roman" w:hAnsi="Times New Roman" w:cs="Times New Roman"/>
          <w:color w:val="000000"/>
          <w:kern w:val="0"/>
          <w:sz w:val="27"/>
          <w:szCs w:val="27"/>
        </w:rPr>
        <w:t>(5</w:t>
      </w:r>
      <w:r w:rsidRPr="008C1F89">
        <w:rPr>
          <w:rFonts w:ascii="Times New Roman" w:hAnsi="Times New Roman" w:cs="Times New Roman"/>
          <w:color w:val="000000"/>
          <w:kern w:val="0"/>
          <w:sz w:val="27"/>
          <w:szCs w:val="27"/>
        </w:rPr>
        <w:t>件</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、苗栗縣</w:t>
      </w:r>
      <w:r w:rsidRPr="008C1F89">
        <w:rPr>
          <w:rFonts w:ascii="Times New Roman" w:hAnsi="Times New Roman" w:cs="Times New Roman"/>
          <w:color w:val="000000"/>
          <w:kern w:val="0"/>
          <w:sz w:val="27"/>
          <w:szCs w:val="27"/>
        </w:rPr>
        <w:t>(6</w:t>
      </w:r>
      <w:r w:rsidRPr="008C1F89">
        <w:rPr>
          <w:rFonts w:ascii="Times New Roman" w:hAnsi="Times New Roman" w:cs="Times New Roman"/>
          <w:color w:val="000000"/>
          <w:kern w:val="0"/>
          <w:sz w:val="27"/>
          <w:szCs w:val="27"/>
        </w:rPr>
        <w:t>件</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、花蓮縣</w:t>
      </w:r>
      <w:r w:rsidRPr="008C1F89">
        <w:rPr>
          <w:rFonts w:ascii="Times New Roman" w:hAnsi="Times New Roman" w:cs="Times New Roman"/>
          <w:color w:val="000000"/>
          <w:kern w:val="0"/>
          <w:sz w:val="27"/>
          <w:szCs w:val="27"/>
        </w:rPr>
        <w:t>(3</w:t>
      </w:r>
      <w:r w:rsidRPr="008C1F89">
        <w:rPr>
          <w:rFonts w:ascii="Times New Roman" w:hAnsi="Times New Roman" w:cs="Times New Roman"/>
          <w:color w:val="000000"/>
          <w:kern w:val="0"/>
          <w:sz w:val="27"/>
          <w:szCs w:val="27"/>
        </w:rPr>
        <w:t>件</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、新竹市</w:t>
      </w:r>
      <w:r w:rsidRPr="008C1F89">
        <w:rPr>
          <w:rFonts w:ascii="Times New Roman" w:hAnsi="Times New Roman" w:cs="Times New Roman"/>
          <w:color w:val="000000"/>
          <w:kern w:val="0"/>
          <w:sz w:val="27"/>
          <w:szCs w:val="27"/>
        </w:rPr>
        <w:t>(7</w:t>
      </w:r>
      <w:r w:rsidRPr="008C1F89">
        <w:rPr>
          <w:rFonts w:ascii="Times New Roman" w:hAnsi="Times New Roman" w:cs="Times New Roman"/>
          <w:color w:val="000000"/>
          <w:kern w:val="0"/>
          <w:sz w:val="27"/>
          <w:szCs w:val="27"/>
        </w:rPr>
        <w:t>件</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、連江縣</w:t>
      </w:r>
      <w:r w:rsidRPr="008C1F89">
        <w:rPr>
          <w:rFonts w:ascii="Times New Roman" w:hAnsi="Times New Roman" w:cs="Times New Roman"/>
          <w:color w:val="000000"/>
          <w:kern w:val="0"/>
          <w:sz w:val="27"/>
          <w:szCs w:val="27"/>
        </w:rPr>
        <w:t>(0</w:t>
      </w:r>
      <w:r w:rsidRPr="008C1F89">
        <w:rPr>
          <w:rFonts w:ascii="Times New Roman" w:hAnsi="Times New Roman" w:cs="Times New Roman"/>
          <w:color w:val="000000"/>
          <w:kern w:val="0"/>
          <w:sz w:val="27"/>
          <w:szCs w:val="27"/>
        </w:rPr>
        <w:t>件</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。不過，各縣市在</w:t>
      </w:r>
      <w:r w:rsidRPr="008C1F89">
        <w:rPr>
          <w:rFonts w:ascii="Times New Roman" w:hAnsi="Times New Roman" w:cs="Times New Roman"/>
          <w:color w:val="000000"/>
          <w:kern w:val="0"/>
          <w:sz w:val="27"/>
          <w:szCs w:val="27"/>
        </w:rPr>
        <w:t>96</w:t>
      </w:r>
      <w:r w:rsidRPr="008C1F89">
        <w:rPr>
          <w:rFonts w:ascii="Times New Roman" w:hAnsi="Times New Roman" w:cs="Times New Roman"/>
          <w:color w:val="000000"/>
          <w:kern w:val="0"/>
          <w:sz w:val="27"/>
          <w:szCs w:val="27"/>
        </w:rPr>
        <w:t>年度向內政部申請補助的核銷</w:t>
      </w:r>
      <w:proofErr w:type="gramStart"/>
      <w:r w:rsidRPr="008C1F89">
        <w:rPr>
          <w:rFonts w:ascii="Times New Roman" w:hAnsi="Times New Roman" w:cs="Times New Roman"/>
          <w:color w:val="000000"/>
          <w:kern w:val="0"/>
          <w:sz w:val="27"/>
          <w:szCs w:val="27"/>
        </w:rPr>
        <w:t>率均達</w:t>
      </w:r>
      <w:proofErr w:type="gramEnd"/>
      <w:r w:rsidRPr="008C1F89">
        <w:rPr>
          <w:rFonts w:ascii="Times New Roman" w:hAnsi="Times New Roman" w:cs="Times New Roman"/>
          <w:color w:val="000000"/>
          <w:kern w:val="0"/>
          <w:sz w:val="27"/>
          <w:szCs w:val="27"/>
        </w:rPr>
        <w:t>100%</w:t>
      </w:r>
      <w:r w:rsidRPr="008C1F89">
        <w:rPr>
          <w:rFonts w:ascii="Times New Roman" w:hAnsi="Times New Roman" w:cs="Times New Roman"/>
          <w:color w:val="000000"/>
          <w:kern w:val="0"/>
          <w:sz w:val="27"/>
          <w:szCs w:val="27"/>
        </w:rPr>
        <w:t>。</w:t>
      </w:r>
    </w:p>
    <w:p w:rsidR="008C1F89" w:rsidRPr="008C1F89" w:rsidRDefault="008C1F89" w:rsidP="008C1F89">
      <w:pPr>
        <w:widowControl/>
        <w:autoSpaceDN/>
        <w:spacing w:before="100" w:beforeAutospacing="1" w:after="100" w:afterAutospacing="1"/>
        <w:ind w:firstLine="480"/>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表</w:t>
      </w:r>
      <w:proofErr w:type="gramStart"/>
      <w:r w:rsidRPr="008C1F89">
        <w:rPr>
          <w:rFonts w:ascii="Times New Roman" w:hAnsi="Times New Roman" w:cs="Times New Roman"/>
          <w:color w:val="000000"/>
          <w:kern w:val="0"/>
          <w:sz w:val="27"/>
          <w:szCs w:val="27"/>
        </w:rPr>
        <w:t>一</w:t>
      </w:r>
      <w:proofErr w:type="gramEnd"/>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96</w:t>
      </w:r>
      <w:r w:rsidRPr="008C1F89">
        <w:rPr>
          <w:rFonts w:ascii="Times New Roman" w:hAnsi="Times New Roman" w:cs="Times New Roman"/>
          <w:color w:val="000000"/>
          <w:kern w:val="0"/>
          <w:sz w:val="27"/>
          <w:szCs w:val="27"/>
        </w:rPr>
        <w:t>年度北部縣市政府社區發展預算及內政部核定補助彙整表</w:t>
      </w:r>
    </w:p>
    <w:tbl>
      <w:tblPr>
        <w:tblW w:w="8856" w:type="dxa"/>
        <w:jc w:val="center"/>
        <w:tblCellMar>
          <w:left w:w="0" w:type="dxa"/>
          <w:right w:w="0" w:type="dxa"/>
        </w:tblCellMar>
        <w:tblLook w:val="04A0" w:firstRow="1" w:lastRow="0" w:firstColumn="1" w:lastColumn="0" w:noHBand="0" w:noVBand="1"/>
        <w:tblDescription w:val="96年度北部縣市政府社區發展預算及內政部核定補助彙整表"/>
      </w:tblPr>
      <w:tblGrid>
        <w:gridCol w:w="900"/>
        <w:gridCol w:w="916"/>
        <w:gridCol w:w="917"/>
        <w:gridCol w:w="903"/>
        <w:gridCol w:w="900"/>
        <w:gridCol w:w="900"/>
        <w:gridCol w:w="900"/>
        <w:gridCol w:w="720"/>
        <w:gridCol w:w="900"/>
        <w:gridCol w:w="900"/>
      </w:tblGrid>
      <w:tr w:rsidR="008C1F89" w:rsidRPr="008C1F89" w:rsidTr="008C1F89">
        <w:trPr>
          <w:jc w:val="center"/>
        </w:trPr>
        <w:tc>
          <w:tcPr>
            <w:tcW w:w="900" w:type="dxa"/>
            <w:vMerge w:val="restart"/>
            <w:tcBorders>
              <w:top w:val="single" w:sz="8" w:space="0" w:color="auto"/>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lastRenderedPageBreak/>
              <w:t>縣市別</w:t>
            </w:r>
          </w:p>
        </w:tc>
        <w:tc>
          <w:tcPr>
            <w:tcW w:w="916" w:type="dxa"/>
            <w:vMerge w:val="restart"/>
            <w:tcBorders>
              <w:top w:val="single" w:sz="8" w:space="0" w:color="auto"/>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95年度</w:t>
            </w:r>
          </w:p>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社區數</w:t>
            </w:r>
          </w:p>
        </w:tc>
        <w:tc>
          <w:tcPr>
            <w:tcW w:w="917" w:type="dxa"/>
            <w:vMerge w:val="restart"/>
            <w:tcBorders>
              <w:top w:val="single" w:sz="8" w:space="0" w:color="auto"/>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96年度</w:t>
            </w:r>
          </w:p>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社區數</w:t>
            </w:r>
          </w:p>
        </w:tc>
        <w:tc>
          <w:tcPr>
            <w:tcW w:w="3603" w:type="dxa"/>
            <w:gridSpan w:val="4"/>
            <w:tcBorders>
              <w:top w:val="single" w:sz="8" w:space="0" w:color="auto"/>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縣市政府社區工作編列預算</w:t>
            </w:r>
          </w:p>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平均每一社區分配數（元）</w:t>
            </w:r>
          </w:p>
        </w:tc>
        <w:tc>
          <w:tcPr>
            <w:tcW w:w="2520" w:type="dxa"/>
            <w:gridSpan w:val="3"/>
            <w:tcBorders>
              <w:top w:val="single" w:sz="8" w:space="0" w:color="auto"/>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96年度內政部</w:t>
            </w:r>
          </w:p>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b/>
                <w:bCs/>
                <w:kern w:val="0"/>
                <w:szCs w:val="24"/>
              </w:rPr>
            </w:pPr>
            <w:r w:rsidRPr="008C1F89">
              <w:rPr>
                <w:rFonts w:ascii="新細明體" w:hAnsi="新細明體" w:cs="新細明體"/>
                <w:b/>
                <w:bCs/>
                <w:color w:val="000000"/>
                <w:kern w:val="0"/>
                <w:szCs w:val="24"/>
              </w:rPr>
              <w:t>核定補助</w:t>
            </w:r>
          </w:p>
        </w:tc>
      </w:tr>
      <w:tr w:rsidR="008C1F89" w:rsidRPr="008C1F89" w:rsidTr="008C1F8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8C1F89" w:rsidRPr="008C1F89" w:rsidRDefault="008C1F89" w:rsidP="008C1F89">
            <w:pPr>
              <w:widowControl/>
              <w:autoSpaceDN/>
              <w:textAlignment w:val="auto"/>
              <w:rPr>
                <w:rFonts w:ascii="新細明體" w:hAnsi="新細明體" w:cs="新細明體"/>
                <w:b/>
                <w:bCs/>
                <w:kern w:val="0"/>
                <w:szCs w:val="24"/>
              </w:rPr>
            </w:pPr>
          </w:p>
        </w:tc>
        <w:tc>
          <w:tcPr>
            <w:tcW w:w="0" w:type="auto"/>
            <w:vMerge/>
            <w:tcBorders>
              <w:top w:val="single" w:sz="8" w:space="0" w:color="auto"/>
              <w:left w:val="nil"/>
              <w:bottom w:val="single" w:sz="8" w:space="0" w:color="auto"/>
              <w:right w:val="single" w:sz="8" w:space="0" w:color="auto"/>
            </w:tcBorders>
            <w:vAlign w:val="center"/>
            <w:hideMark/>
          </w:tcPr>
          <w:p w:rsidR="008C1F89" w:rsidRPr="008C1F89" w:rsidRDefault="008C1F89" w:rsidP="008C1F89">
            <w:pPr>
              <w:widowControl/>
              <w:autoSpaceDN/>
              <w:textAlignment w:val="auto"/>
              <w:rPr>
                <w:rFonts w:ascii="新細明體" w:hAnsi="新細明體" w:cs="新細明體"/>
                <w:b/>
                <w:bCs/>
                <w:kern w:val="0"/>
                <w:szCs w:val="24"/>
              </w:rPr>
            </w:pPr>
          </w:p>
        </w:tc>
        <w:tc>
          <w:tcPr>
            <w:tcW w:w="0" w:type="auto"/>
            <w:vMerge/>
            <w:tcBorders>
              <w:top w:val="single" w:sz="8" w:space="0" w:color="auto"/>
              <w:left w:val="nil"/>
              <w:bottom w:val="single" w:sz="8" w:space="0" w:color="auto"/>
              <w:right w:val="single" w:sz="8" w:space="0" w:color="auto"/>
            </w:tcBorders>
            <w:vAlign w:val="center"/>
            <w:hideMark/>
          </w:tcPr>
          <w:p w:rsidR="008C1F89" w:rsidRPr="008C1F89" w:rsidRDefault="008C1F89" w:rsidP="008C1F89">
            <w:pPr>
              <w:widowControl/>
              <w:autoSpaceDN/>
              <w:textAlignment w:val="auto"/>
              <w:rPr>
                <w:rFonts w:ascii="新細明體" w:hAnsi="新細明體" w:cs="新細明體"/>
                <w:b/>
                <w:bCs/>
                <w:kern w:val="0"/>
                <w:szCs w:val="24"/>
              </w:rPr>
            </w:pP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95年度</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96年度</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增減數</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96年度執行率</w:t>
            </w:r>
          </w:p>
        </w:tc>
        <w:tc>
          <w:tcPr>
            <w:tcW w:w="72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件數</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金額</w:t>
            </w:r>
            <w:r w:rsidRPr="008C1F89">
              <w:rPr>
                <w:rFonts w:ascii="新細明體" w:hAnsi="新細明體" w:cs="新細明體"/>
                <w:kern w:val="0"/>
                <w:szCs w:val="24"/>
              </w:rPr>
              <w:t>(</w:t>
            </w:r>
            <w:r w:rsidRPr="008C1F89">
              <w:rPr>
                <w:rFonts w:ascii="新細明體" w:hAnsi="新細明體" w:cs="新細明體"/>
                <w:color w:val="000000"/>
                <w:kern w:val="0"/>
                <w:szCs w:val="24"/>
              </w:rPr>
              <w:t>萬</w:t>
            </w:r>
            <w:r w:rsidRPr="008C1F89">
              <w:rPr>
                <w:rFonts w:ascii="新細明體" w:hAnsi="新細明體" w:cs="新細明體"/>
                <w:kern w:val="0"/>
                <w:szCs w:val="24"/>
              </w:rPr>
              <w:t>)</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核銷率(%)</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臺北市</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370</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380</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33,906</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37,027</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3,121</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99.07%</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109</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375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臺北縣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400</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412</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32,558</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21,968</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-10,590</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91.04%</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26</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宜蘭縣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228</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229</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163,693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249,769</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86,076</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92.80%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6</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24.5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桃園縣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223</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230</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212,377</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317,000</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104,623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99.20%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21</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90.5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新竹縣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173</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173</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43,659</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39,728</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-3,931</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72.00%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22</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181.5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苗栗縣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276</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276</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187,884</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113,225</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-74,659</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92.00%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6</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proofErr w:type="gramStart"/>
            <w:r w:rsidRPr="008C1F89">
              <w:rPr>
                <w:rFonts w:ascii="新細明體" w:hAnsi="新細明體" w:cs="新細明體"/>
                <w:color w:val="000000"/>
                <w:kern w:val="0"/>
                <w:szCs w:val="24"/>
              </w:rPr>
              <w:t>臺</w:t>
            </w:r>
            <w:proofErr w:type="gramEnd"/>
            <w:r w:rsidRPr="008C1F89">
              <w:rPr>
                <w:rFonts w:ascii="新細明體" w:hAnsi="新細明體" w:cs="新細明體"/>
                <w:color w:val="000000"/>
                <w:kern w:val="0"/>
                <w:szCs w:val="24"/>
              </w:rPr>
              <w:t>中縣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379</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400</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90,063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72,313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-17,750</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70.00%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31</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133.5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南投縣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253</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253</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134,731</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118,909</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-15,822</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90.90%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74</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291</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花蓮縣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160</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162</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149,763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157,049</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7,286</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73.00%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11.5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基隆市</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141</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142</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137,035</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136,070</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-965</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96.50%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12</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43</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新竹市</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108</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111</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163,037</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171,793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8,756</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70.95%</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57.5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proofErr w:type="gramStart"/>
            <w:r w:rsidRPr="008C1F89">
              <w:rPr>
                <w:rFonts w:ascii="新細明體" w:hAnsi="新細明體" w:cs="新細明體"/>
                <w:color w:val="000000"/>
                <w:kern w:val="0"/>
                <w:szCs w:val="24"/>
              </w:rPr>
              <w:t>臺</w:t>
            </w:r>
            <w:proofErr w:type="gramEnd"/>
            <w:r w:rsidRPr="008C1F89">
              <w:rPr>
                <w:rFonts w:ascii="新細明體" w:hAnsi="新細明體" w:cs="新細明體"/>
                <w:color w:val="000000"/>
                <w:kern w:val="0"/>
                <w:szCs w:val="24"/>
              </w:rPr>
              <w:t>中市</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156</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167</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26,436</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28,287</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1,851</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97.30%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47</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487</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金門縣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80</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84</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101,463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97,905</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3,558</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96.00%</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11</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57.5</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100</w:t>
            </w:r>
          </w:p>
        </w:tc>
      </w:tr>
      <w:tr w:rsidR="008C1F89" w:rsidRPr="008C1F89" w:rsidTr="008C1F89">
        <w:trPr>
          <w:jc w:val="center"/>
        </w:trPr>
        <w:tc>
          <w:tcPr>
            <w:tcW w:w="900" w:type="dxa"/>
            <w:tcBorders>
              <w:top w:val="nil"/>
              <w:left w:val="single" w:sz="8" w:space="0" w:color="auto"/>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連江縣</w:t>
            </w:r>
          </w:p>
        </w:tc>
        <w:tc>
          <w:tcPr>
            <w:tcW w:w="916" w:type="dxa"/>
            <w:tcBorders>
              <w:top w:val="nil"/>
              <w:left w:val="nil"/>
              <w:bottom w:val="single" w:sz="8" w:space="0" w:color="auto"/>
              <w:right w:val="single" w:sz="8" w:space="0" w:color="auto"/>
            </w:tcBorders>
            <w:tcMar>
              <w:top w:w="0" w:type="dxa"/>
              <w:left w:w="108" w:type="dxa"/>
              <w:bottom w:w="0" w:type="dxa"/>
              <w:right w:w="108" w:type="dxa"/>
            </w:tcMar>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19</w:t>
            </w:r>
          </w:p>
        </w:tc>
        <w:tc>
          <w:tcPr>
            <w:tcW w:w="917"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center"/>
              <w:textAlignment w:val="auto"/>
              <w:rPr>
                <w:rFonts w:ascii="新細明體" w:hAnsi="新細明體" w:cs="新細明體"/>
                <w:kern w:val="0"/>
                <w:szCs w:val="24"/>
              </w:rPr>
            </w:pPr>
            <w:r w:rsidRPr="008C1F89">
              <w:rPr>
                <w:rFonts w:ascii="新細明體" w:hAnsi="新細明體" w:cs="新細明體"/>
                <w:color w:val="000000"/>
                <w:kern w:val="0"/>
                <w:szCs w:val="24"/>
              </w:rPr>
              <w:t>20</w:t>
            </w:r>
          </w:p>
        </w:tc>
        <w:tc>
          <w:tcPr>
            <w:tcW w:w="903"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85,263</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180,000</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94,737</w:t>
            </w:r>
          </w:p>
        </w:tc>
        <w:tc>
          <w:tcPr>
            <w:tcW w:w="900" w:type="dxa"/>
            <w:tcBorders>
              <w:top w:val="nil"/>
              <w:left w:val="nil"/>
              <w:bottom w:val="single" w:sz="8" w:space="0" w:color="auto"/>
              <w:right w:val="single" w:sz="8" w:space="0" w:color="auto"/>
            </w:tcBorders>
            <w:vAlign w:val="center"/>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73.88%</w:t>
            </w:r>
          </w:p>
        </w:tc>
        <w:tc>
          <w:tcPr>
            <w:tcW w:w="72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0</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0</w:t>
            </w:r>
          </w:p>
        </w:tc>
        <w:tc>
          <w:tcPr>
            <w:tcW w:w="900" w:type="dxa"/>
            <w:tcBorders>
              <w:top w:val="nil"/>
              <w:left w:val="nil"/>
              <w:bottom w:val="single" w:sz="8" w:space="0" w:color="auto"/>
              <w:right w:val="single" w:sz="8" w:space="0" w:color="auto"/>
            </w:tcBorders>
            <w:hideMark/>
          </w:tcPr>
          <w:p w:rsidR="008C1F89" w:rsidRPr="008C1F89" w:rsidRDefault="008C1F89" w:rsidP="008C1F89">
            <w:pPr>
              <w:widowControl/>
              <w:autoSpaceDN/>
              <w:spacing w:before="100" w:beforeAutospacing="1" w:after="100" w:afterAutospacing="1"/>
              <w:jc w:val="right"/>
              <w:textAlignment w:val="auto"/>
              <w:rPr>
                <w:rFonts w:ascii="新細明體" w:hAnsi="新細明體" w:cs="新細明體"/>
                <w:kern w:val="0"/>
                <w:szCs w:val="24"/>
              </w:rPr>
            </w:pPr>
            <w:r w:rsidRPr="008C1F89">
              <w:rPr>
                <w:rFonts w:ascii="新細明體" w:hAnsi="新細明體" w:cs="新細明體"/>
                <w:color w:val="000000"/>
                <w:kern w:val="0"/>
                <w:szCs w:val="24"/>
              </w:rPr>
              <w:t>0</w:t>
            </w:r>
          </w:p>
        </w:tc>
      </w:tr>
    </w:tbl>
    <w:p w:rsidR="008C1F89" w:rsidRPr="008C1F89" w:rsidRDefault="008C1F89" w:rsidP="008C1F89">
      <w:pPr>
        <w:widowControl/>
        <w:autoSpaceDN/>
        <w:spacing w:before="100" w:beforeAutospacing="1" w:after="100" w:afterAutospacing="1"/>
        <w:ind w:left="276" w:hanging="456"/>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w:t>
      </w:r>
      <w:proofErr w:type="gramStart"/>
      <w:r w:rsidRPr="008C1F89">
        <w:rPr>
          <w:rFonts w:ascii="Times New Roman" w:hAnsi="Times New Roman" w:cs="Times New Roman"/>
          <w:color w:val="000000"/>
          <w:kern w:val="0"/>
          <w:sz w:val="27"/>
          <w:szCs w:val="27"/>
        </w:rPr>
        <w:t>註</w:t>
      </w:r>
      <w:proofErr w:type="gramEnd"/>
      <w:r w:rsidRPr="008C1F89">
        <w:rPr>
          <w:rFonts w:ascii="Times New Roman" w:hAnsi="Times New Roman" w:cs="Times New Roman"/>
          <w:color w:val="000000"/>
          <w:kern w:val="0"/>
          <w:sz w:val="27"/>
          <w:szCs w:val="27"/>
        </w:rPr>
        <w:t>：臺北市、基隆市、宜蘭縣及</w:t>
      </w:r>
      <w:proofErr w:type="gramStart"/>
      <w:r w:rsidRPr="008C1F89">
        <w:rPr>
          <w:rFonts w:ascii="Times New Roman" w:hAnsi="Times New Roman" w:cs="Times New Roman"/>
          <w:color w:val="000000"/>
          <w:kern w:val="0"/>
          <w:sz w:val="27"/>
          <w:szCs w:val="27"/>
        </w:rPr>
        <w:t>連江縣均未編列</w:t>
      </w:r>
      <w:proofErr w:type="gramEnd"/>
      <w:r w:rsidRPr="008C1F89">
        <w:rPr>
          <w:rFonts w:ascii="Times New Roman" w:hAnsi="Times New Roman" w:cs="Times New Roman"/>
          <w:color w:val="000000"/>
          <w:kern w:val="0"/>
          <w:sz w:val="27"/>
          <w:szCs w:val="27"/>
        </w:rPr>
        <w:t>資本門，因此各縣市平均每一社區</w:t>
      </w:r>
      <w:r w:rsidRPr="008C1F89">
        <w:rPr>
          <w:rFonts w:ascii="Times New Roman" w:hAnsi="Times New Roman" w:cs="Times New Roman"/>
          <w:color w:val="000000"/>
          <w:kern w:val="0"/>
          <w:sz w:val="27"/>
          <w:szCs w:val="27"/>
        </w:rPr>
        <w:br/>
        <w:t>              </w:t>
      </w:r>
      <w:r w:rsidRPr="008C1F89">
        <w:rPr>
          <w:rFonts w:ascii="Times New Roman" w:hAnsi="Times New Roman" w:cs="Times New Roman"/>
          <w:color w:val="000000"/>
          <w:kern w:val="0"/>
          <w:sz w:val="27"/>
          <w:szCs w:val="27"/>
        </w:rPr>
        <w:t>預算分配數的差異必需考量此一因素。</w:t>
      </w:r>
    </w:p>
    <w:p w:rsidR="008C1F89" w:rsidRPr="008C1F89" w:rsidRDefault="008C1F89" w:rsidP="008C1F89">
      <w:pPr>
        <w:widowControl/>
        <w:autoSpaceDN/>
        <w:spacing w:before="100" w:beforeAutospacing="1" w:after="100" w:afterAutospacing="1"/>
        <w:ind w:left="1464" w:hanging="1176"/>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w:t>
      </w:r>
      <w:r w:rsidRPr="008C1F89">
        <w:rPr>
          <w:rFonts w:ascii="Times New Roman" w:hAnsi="Times New Roman" w:cs="Times New Roman"/>
          <w:color w:val="000000"/>
          <w:kern w:val="0"/>
          <w:sz w:val="27"/>
          <w:szCs w:val="27"/>
        </w:rPr>
        <w:t>資料來源：內政部社會司</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感謝內政部社會司黃淑梅小姐及各縣市同仁提供相</w:t>
      </w:r>
      <w:r w:rsidRPr="008C1F89">
        <w:rPr>
          <w:rFonts w:ascii="Times New Roman" w:hAnsi="Times New Roman" w:cs="Times New Roman"/>
          <w:color w:val="000000"/>
          <w:kern w:val="0"/>
          <w:sz w:val="27"/>
          <w:szCs w:val="27"/>
        </w:rPr>
        <w:br/>
        <w:t>              </w:t>
      </w:r>
      <w:r w:rsidRPr="008C1F89">
        <w:rPr>
          <w:rFonts w:ascii="Times New Roman" w:hAnsi="Times New Roman" w:cs="Times New Roman"/>
          <w:color w:val="000000"/>
          <w:kern w:val="0"/>
          <w:sz w:val="27"/>
          <w:szCs w:val="27"/>
        </w:rPr>
        <w:t>關基本資料）</w:t>
      </w:r>
    </w:p>
    <w:p w:rsidR="008C1F89" w:rsidRPr="008C1F89" w:rsidRDefault="008C1F89" w:rsidP="008C1F89">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参、縣市政府願景與社區發展策略之再精進</w:t>
      </w:r>
    </w:p>
    <w:p w:rsidR="008C1F89" w:rsidRPr="008C1F89" w:rsidRDefault="008C1F89" w:rsidP="008C1F89">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xml:space="preserve">    </w:t>
      </w:r>
      <w:r w:rsidRPr="008C1F89">
        <w:rPr>
          <w:rFonts w:ascii="Times New Roman" w:hAnsi="Times New Roman" w:cs="Times New Roman"/>
          <w:color w:val="000000"/>
          <w:kern w:val="0"/>
          <w:sz w:val="27"/>
          <w:szCs w:val="27"/>
        </w:rPr>
        <w:t>縣市政府應扮演整體縣市願景的規劃角色，因此縣市政府的社區發展重點、縣市社區發展（社會福利）白皮書或年度重點相當重要，社區發展方向與縣市政府的施政重點應該具有關聯性。例如</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以『愛心城市』做為城市願景，並以『社區總動員，福利向前行』為年度重點。這些口號或目標似乎多半是「由上而下」，而非「由下而上」的過程，是否能夠獲得多數民眾的認同與參與，則有待評估。因此，未來內政部應該多鼓勵地方政府辦理社區</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城市</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願景或社區發展相關的論壇及座談，結合產、官、學、</w:t>
      </w:r>
      <w:proofErr w:type="gramStart"/>
      <w:r w:rsidRPr="008C1F89">
        <w:rPr>
          <w:rFonts w:ascii="Times New Roman" w:hAnsi="Times New Roman" w:cs="Times New Roman"/>
          <w:color w:val="000000"/>
          <w:kern w:val="0"/>
          <w:sz w:val="27"/>
          <w:szCs w:val="27"/>
        </w:rPr>
        <w:t>研</w:t>
      </w:r>
      <w:proofErr w:type="gramEnd"/>
      <w:r w:rsidRPr="008C1F89">
        <w:rPr>
          <w:rFonts w:ascii="Times New Roman" w:hAnsi="Times New Roman" w:cs="Times New Roman"/>
          <w:color w:val="000000"/>
          <w:kern w:val="0"/>
          <w:sz w:val="27"/>
          <w:szCs w:val="27"/>
        </w:rPr>
        <w:t>的方式共同提出願景目標。</w:t>
      </w:r>
    </w:p>
    <w:p w:rsidR="008C1F89" w:rsidRPr="008C1F89" w:rsidRDefault="008C1F89" w:rsidP="008C1F89">
      <w:pPr>
        <w:widowControl/>
        <w:autoSpaceDN/>
        <w:spacing w:before="180"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lastRenderedPageBreak/>
        <w:t>    </w:t>
      </w:r>
      <w:r w:rsidRPr="008C1F89">
        <w:rPr>
          <w:rFonts w:ascii="Times New Roman" w:hAnsi="Times New Roman" w:cs="Times New Roman"/>
          <w:color w:val="000000"/>
          <w:kern w:val="0"/>
          <w:sz w:val="27"/>
          <w:szCs w:val="27"/>
        </w:rPr>
        <w:t>縣府內部行政整合問題可以分成兩個層次，一個是社會處內部的整合問題，例如有些縣市成立社區發展科，有些縣市是將社區發展與志願服務的業務加以整合，這些業務歸併或整合背後應該有些理念才對，但是卻無法感受其背後的意義。另外是有關縣市政府內跨局處整合社區單一窗口的問題，評鑑過程發現縣市政府內部的整合則逐漸產生不同的模式，從每一個縣市評鑑最後，在縣市政府舉行綜合座談中可以發現，有些縣市會邀請府內相關單位列席縣府評鑑會議，有些則以各鄉鎮派代表與會的方式呈現。總體來說，跨部門的整合效果仍相當有限。甚至在社會處內部看到，推動社區照顧關懷據點雖然是縣府推動福利社區化的重要指標，但是有時候卻看不到掌管社區</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如：社會行政科</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及縣府關懷據點</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如：老人福利科</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兩個單位有任何的整合機制，例如建立類似聯繫會報的溝通平台。</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社區輔導培力策略普遍提升，各有其特色。許多縣市政府已經開始引入外部的學者或專家進行社區</w:t>
      </w:r>
      <w:proofErr w:type="gramStart"/>
      <w:r w:rsidRPr="008C1F89">
        <w:rPr>
          <w:rFonts w:ascii="Times New Roman" w:hAnsi="Times New Roman" w:cs="Times New Roman"/>
          <w:color w:val="000000"/>
          <w:kern w:val="0"/>
          <w:sz w:val="27"/>
          <w:szCs w:val="27"/>
        </w:rPr>
        <w:t>輔導及培力</w:t>
      </w:r>
      <w:proofErr w:type="gramEnd"/>
      <w:r w:rsidRPr="008C1F89">
        <w:rPr>
          <w:rFonts w:ascii="Times New Roman" w:hAnsi="Times New Roman" w:cs="Times New Roman"/>
          <w:color w:val="000000"/>
          <w:kern w:val="0"/>
          <w:sz w:val="27"/>
          <w:szCs w:val="27"/>
        </w:rPr>
        <w:t>，例如：南投縣委請鄰近大學協助內政部福利化社區旗艦競爭型計畫培力工作，</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委託鄰近大學設立社區發展中心、花蓮縣委託專業團體進行社區調查、桃園縣以鄉為單位推動旗艦輔導計畫，金門縣委託學術團體進行縣府的輔導工作等。南投縣另外也制定『南投縣政府各社會福利服務中心協同社區發展協會推動社區發展工作計畫』，動員專業社工員進行社區培力工作，普遍提升該縣社區工作之服務績效。</w:t>
      </w:r>
    </w:p>
    <w:p w:rsidR="008C1F89" w:rsidRPr="008C1F89" w:rsidRDefault="008C1F89" w:rsidP="008C1F89">
      <w:pPr>
        <w:widowControl/>
        <w:autoSpaceDN/>
        <w:spacing w:before="180"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xml:space="preserve">    </w:t>
      </w:r>
      <w:r w:rsidRPr="008C1F89">
        <w:rPr>
          <w:rFonts w:ascii="Times New Roman" w:hAnsi="Times New Roman" w:cs="Times New Roman"/>
          <w:color w:val="000000"/>
          <w:kern w:val="0"/>
          <w:sz w:val="27"/>
          <w:szCs w:val="27"/>
        </w:rPr>
        <w:t>縣市社區承辦人力不足是地方推動社區工作的主要困境之一，在相同的人力下，若縣市政府輔導社區向中央所申請的計畫愈多，則承辦人員的負擔愈重。縣市若無相關激勵政策，實在很難推動。未來中央若能考慮讓推動社區工作績優之縣市，能獲得補助專案人力之經費</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如內政部福利化社區旗艦競爭型計畫</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，對地方縣市將更有誘因。</w:t>
      </w:r>
    </w:p>
    <w:p w:rsidR="008C1F89" w:rsidRPr="008C1F89" w:rsidRDefault="008C1F89" w:rsidP="008C1F89">
      <w:pPr>
        <w:widowControl/>
        <w:autoSpaceDN/>
        <w:spacing w:before="180"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xml:space="preserve">    </w:t>
      </w:r>
      <w:r w:rsidRPr="008C1F89">
        <w:rPr>
          <w:rFonts w:ascii="Times New Roman" w:hAnsi="Times New Roman" w:cs="Times New Roman"/>
          <w:color w:val="000000"/>
          <w:kern w:val="0"/>
          <w:sz w:val="27"/>
          <w:szCs w:val="27"/>
        </w:rPr>
        <w:t>在行政指導取向的補助策略下，社區特色發展容易陷入困境，同時弱化了社區創新的動能，社區一旦缺乏創新性及投入熱忱，社區永續發展似乎很快就會面臨挑戰，這是未來必須要嚴肅思考的問題。培養社區自主能力可能比社區配合政府政策的能力更為重要，社區回應社會變遷的能力可能比社區補助的核銷能力更為切實，但是社區自主的力量在缺乏社區集體意識的情況下是不容易存在的，然而許多社區卻認為社區沒有自主財源就無法社區自主，這樣的迷失普遍存在社區之中，因此有些縣市也認為社區依賴公部門補助比率仍然很高，推動社區工作的意願低，缺乏自立自主的精神。而另一方面，縣市政府的特色則是在地方派系政治的壓力下，弱化了地方政府的自主空間，在每一年的評鑑工作總有縣市會提到社區內派系紛爭的問題，形成社區理事長與</w:t>
      </w:r>
      <w:proofErr w:type="gramStart"/>
      <w:r w:rsidRPr="008C1F89">
        <w:rPr>
          <w:rFonts w:ascii="Times New Roman" w:hAnsi="Times New Roman" w:cs="Times New Roman"/>
          <w:color w:val="000000"/>
          <w:kern w:val="0"/>
          <w:sz w:val="27"/>
          <w:szCs w:val="27"/>
        </w:rPr>
        <w:t>村里長雙頭</w:t>
      </w:r>
      <w:proofErr w:type="gramEnd"/>
      <w:r w:rsidRPr="008C1F89">
        <w:rPr>
          <w:rFonts w:ascii="Times New Roman" w:hAnsi="Times New Roman" w:cs="Times New Roman"/>
          <w:color w:val="000000"/>
          <w:kern w:val="0"/>
          <w:sz w:val="27"/>
          <w:szCs w:val="27"/>
        </w:rPr>
        <w:t>馬車現</w:t>
      </w:r>
      <w:r w:rsidRPr="008C1F89">
        <w:rPr>
          <w:rFonts w:ascii="Times New Roman" w:hAnsi="Times New Roman" w:cs="Times New Roman"/>
          <w:color w:val="000000"/>
          <w:kern w:val="0"/>
          <w:sz w:val="27"/>
          <w:szCs w:val="27"/>
        </w:rPr>
        <w:lastRenderedPageBreak/>
        <w:t>象，今年似乎也不例外，再次突顯現行社區發展工作的結構困境。但是有些縣市仍有創新之舉，如桃園縣以『鄉』、『生活圈』為範圍推動社區發展工作，甚或以河流的流域來營造社區特色，可以沖淡村里與社區的重疊行，是值得嘗試的一種新的社區工作概念。</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另外一個值得觀察的現象是社區組織掌握當地特產、環境、景觀、班隊組織等多元面向，比社區尋找福利社區議題更為容易而有特色，換言之，『福利社區化』概念的具體內容社區幹部不容易理解。社區組織運用當地特產、環境、景觀、班隊組織所呈現的社區成果只是一種手段，其背後真正的「人本關懷」目的卻未能</w:t>
      </w:r>
      <w:proofErr w:type="gramStart"/>
      <w:r w:rsidRPr="008C1F89">
        <w:rPr>
          <w:rFonts w:ascii="Times New Roman" w:hAnsi="Times New Roman" w:cs="Times New Roman"/>
          <w:color w:val="000000"/>
          <w:kern w:val="0"/>
          <w:sz w:val="27"/>
          <w:szCs w:val="27"/>
        </w:rPr>
        <w:t>清楚的</w:t>
      </w:r>
      <w:proofErr w:type="gramEnd"/>
      <w:r w:rsidRPr="008C1F89">
        <w:rPr>
          <w:rFonts w:ascii="Times New Roman" w:hAnsi="Times New Roman" w:cs="Times New Roman"/>
          <w:color w:val="000000"/>
          <w:kern w:val="0"/>
          <w:sz w:val="27"/>
          <w:szCs w:val="27"/>
        </w:rPr>
        <w:t>結合。因此，縣市政府及鄉鎮層級的地方行政單位，應該要協助社區在呈現自身的特色之外，應該融入社區關懷的相關議題。</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proofErr w:type="gramStart"/>
      <w:r w:rsidRPr="008C1F89">
        <w:rPr>
          <w:rFonts w:ascii="Times New Roman" w:hAnsi="Times New Roman" w:cs="Times New Roman"/>
          <w:color w:val="000000"/>
          <w:kern w:val="0"/>
          <w:sz w:val="27"/>
          <w:szCs w:val="27"/>
        </w:rPr>
        <w:t>再者，</w:t>
      </w:r>
      <w:proofErr w:type="gramEnd"/>
      <w:r w:rsidRPr="008C1F89">
        <w:rPr>
          <w:rFonts w:ascii="Times New Roman" w:hAnsi="Times New Roman" w:cs="Times New Roman"/>
          <w:color w:val="000000"/>
          <w:kern w:val="0"/>
          <w:sz w:val="27"/>
          <w:szCs w:val="27"/>
        </w:rPr>
        <w:t>社區組織缺乏系統性規劃能力也是普遍的現象，以致社區對於推動相關業務經常以『單點式』的思考模式，缺乏『線』及『面』的整體思考與規劃。由於各縣市內社區組織所處的環境不同，因此有些縣市缺乏社區活動中心必須結合學校的資源，例如評鑑過程中看到</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及新竹市的社區、宜蘭縣及南投縣的原住民社區均透過學校提供評鑑會場，這樣的結合除了社區資源連結的意義之外，同時也看見社區巡守隊對學校學區內的治安的維護，與原住民學校共同投入傳統文化的保存，這種具備共同關懷主題卻未能產生有意義的連結，顯示社區較缺乏系統整合的概念，不過縣市政府若能站在資源提供者與協調者的立場提供社區協助，則社區系統性與整合性思考會較佳。</w:t>
      </w:r>
    </w:p>
    <w:p w:rsidR="008C1F89" w:rsidRPr="008C1F89" w:rsidRDefault="008C1F89" w:rsidP="008C1F89">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肆、指導性社區發展模式</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社區發展的政策可能採取一種指導性（</w:t>
      </w:r>
      <w:r w:rsidRPr="008C1F89">
        <w:rPr>
          <w:rFonts w:ascii="Times New Roman" w:hAnsi="Times New Roman" w:cs="Times New Roman"/>
          <w:color w:val="000000"/>
          <w:kern w:val="0"/>
          <w:sz w:val="27"/>
          <w:szCs w:val="27"/>
        </w:rPr>
        <w:t>directive approach</w:t>
      </w:r>
      <w:r w:rsidRPr="008C1F89">
        <w:rPr>
          <w:rFonts w:ascii="Times New Roman" w:hAnsi="Times New Roman" w:cs="Times New Roman"/>
          <w:color w:val="000000"/>
          <w:kern w:val="0"/>
          <w:sz w:val="27"/>
          <w:szCs w:val="27"/>
        </w:rPr>
        <w:t>）的方式，</w:t>
      </w:r>
      <w:r w:rsidRPr="008C1F89">
        <w:rPr>
          <w:rFonts w:ascii="Times New Roman" w:hAnsi="Times New Roman" w:cs="Times New Roman"/>
          <w:color w:val="000000"/>
          <w:kern w:val="0"/>
          <w:sz w:val="27"/>
          <w:szCs w:val="27"/>
        </w:rPr>
        <w:t>Gay Craig</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1986)</w:t>
      </w:r>
      <w:r w:rsidRPr="008C1F89">
        <w:rPr>
          <w:rFonts w:ascii="Times New Roman" w:hAnsi="Times New Roman" w:cs="Times New Roman"/>
          <w:color w:val="000000"/>
          <w:kern w:val="0"/>
          <w:sz w:val="27"/>
          <w:szCs w:val="27"/>
        </w:rPr>
        <w:t>認為指導性的社區工作模式普遍來說屬於較傳統的模式。臺灣所</w:t>
      </w:r>
      <w:proofErr w:type="gramStart"/>
      <w:r w:rsidRPr="008C1F89">
        <w:rPr>
          <w:rFonts w:ascii="Times New Roman" w:hAnsi="Times New Roman" w:cs="Times New Roman"/>
          <w:color w:val="000000"/>
          <w:kern w:val="0"/>
          <w:sz w:val="27"/>
          <w:szCs w:val="27"/>
        </w:rPr>
        <w:t>採</w:t>
      </w:r>
      <w:proofErr w:type="gramEnd"/>
      <w:r w:rsidRPr="008C1F89">
        <w:rPr>
          <w:rFonts w:ascii="Times New Roman" w:hAnsi="Times New Roman" w:cs="Times New Roman"/>
          <w:color w:val="000000"/>
          <w:kern w:val="0"/>
          <w:sz w:val="27"/>
          <w:szCs w:val="27"/>
        </w:rPr>
        <w:t>行的社區發展策略仍留下過去的政策遺跡，現行政府的社區策略也因循舊</w:t>
      </w:r>
      <w:proofErr w:type="gramStart"/>
      <w:r w:rsidRPr="008C1F89">
        <w:rPr>
          <w:rFonts w:ascii="Times New Roman" w:hAnsi="Times New Roman" w:cs="Times New Roman"/>
          <w:color w:val="000000"/>
          <w:kern w:val="0"/>
          <w:sz w:val="27"/>
          <w:szCs w:val="27"/>
        </w:rPr>
        <w:t>規</w:t>
      </w:r>
      <w:proofErr w:type="gramEnd"/>
      <w:r w:rsidRPr="008C1F89">
        <w:rPr>
          <w:rFonts w:ascii="Times New Roman" w:hAnsi="Times New Roman" w:cs="Times New Roman"/>
          <w:color w:val="000000"/>
          <w:kern w:val="0"/>
          <w:sz w:val="27"/>
          <w:szCs w:val="27"/>
        </w:rPr>
        <w:t>，設定了許多社區議題的框架，以計畫補助的方式引導社區發展的方向，過去可能是由上而下的行政指導</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例如：生產福利建設、基礎工程建設以及精神倫理建設</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，現在則逐步轉變為由下而上的指導性提案</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例如：臺灣健康社區六星計畫、社區照顧關懷據點</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。而另外一種非指導性（</w:t>
      </w:r>
      <w:r w:rsidRPr="008C1F89">
        <w:rPr>
          <w:rFonts w:ascii="Times New Roman" w:hAnsi="Times New Roman" w:cs="Times New Roman"/>
          <w:color w:val="000000"/>
          <w:kern w:val="0"/>
          <w:sz w:val="27"/>
          <w:szCs w:val="27"/>
        </w:rPr>
        <w:t>non-directive approach</w:t>
      </w:r>
      <w:r w:rsidRPr="008C1F89">
        <w:rPr>
          <w:rFonts w:ascii="Times New Roman" w:hAnsi="Times New Roman" w:cs="Times New Roman"/>
          <w:color w:val="000000"/>
          <w:kern w:val="0"/>
          <w:sz w:val="27"/>
          <w:szCs w:val="27"/>
        </w:rPr>
        <w:t>）的方式，卻不企圖說服或指引社區接受政府所期盼發展的方向，而是刺激社區居民思考他們自己的需求是什麼？政府及社區工作者只是提供各種達成需求的訊息，並鼓勵社區居民勇於實踐，以滿足需求而已。因此，政府不應該設限社區自發性需求的發展，否則計畫性補助，很容易使得社區「馴服」在政府的</w:t>
      </w:r>
      <w:r w:rsidRPr="008C1F89">
        <w:rPr>
          <w:rFonts w:ascii="Times New Roman" w:hAnsi="Times New Roman" w:cs="Times New Roman"/>
          <w:color w:val="000000"/>
          <w:kern w:val="0"/>
          <w:sz w:val="27"/>
          <w:szCs w:val="27"/>
        </w:rPr>
        <w:lastRenderedPageBreak/>
        <w:t>補助規定之下，失去了社區創新的能力，社區發展所能產生的「進步的社會變遷」的力量更是緣木求魚。</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如何逐漸走出過度強調行政指導模式，阻礙社區公民意識的覺醒及在地創造力的展現，擬從以下幾點說明：</w:t>
      </w:r>
    </w:p>
    <w:p w:rsidR="008C1F89" w:rsidRPr="008C1F89" w:rsidRDefault="008C1F89" w:rsidP="008C1F89">
      <w:pPr>
        <w:widowControl/>
        <w:autoSpaceDN/>
        <w:spacing w:before="100" w:beforeAutospacing="1" w:after="100" w:afterAutospacing="1"/>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一、重新思考學者專家評鑑模式</w:t>
      </w:r>
    </w:p>
    <w:p w:rsidR="008C1F89" w:rsidRPr="008C1F89" w:rsidRDefault="008C1F89" w:rsidP="008C1F89">
      <w:pPr>
        <w:widowControl/>
        <w:autoSpaceDN/>
        <w:spacing w:before="100" w:beforeAutospacing="1"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w:t>
      </w:r>
      <w:r w:rsidRPr="008C1F89">
        <w:rPr>
          <w:rFonts w:ascii="Times New Roman" w:hAnsi="Times New Roman" w:cs="Times New Roman"/>
          <w:color w:val="000000"/>
          <w:kern w:val="0"/>
          <w:sz w:val="27"/>
          <w:szCs w:val="27"/>
        </w:rPr>
        <w:t>從民國</w:t>
      </w:r>
      <w:r w:rsidRPr="008C1F89">
        <w:rPr>
          <w:rFonts w:ascii="Times New Roman" w:hAnsi="Times New Roman" w:cs="Times New Roman"/>
          <w:color w:val="000000"/>
          <w:kern w:val="0"/>
          <w:sz w:val="27"/>
          <w:szCs w:val="27"/>
        </w:rPr>
        <w:t>90</w:t>
      </w:r>
      <w:r w:rsidRPr="008C1F89">
        <w:rPr>
          <w:rFonts w:ascii="Times New Roman" w:hAnsi="Times New Roman" w:cs="Times New Roman"/>
          <w:color w:val="000000"/>
          <w:kern w:val="0"/>
          <w:sz w:val="27"/>
          <w:szCs w:val="27"/>
        </w:rPr>
        <w:t>年內政部發布「</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閩地區社區發展工作評鑑實施要點」開始，社區評鑑</w:t>
      </w:r>
      <w:proofErr w:type="gramStart"/>
      <w:r w:rsidRPr="008C1F89">
        <w:rPr>
          <w:rFonts w:ascii="Times New Roman" w:hAnsi="Times New Roman" w:cs="Times New Roman"/>
          <w:color w:val="000000"/>
          <w:kern w:val="0"/>
          <w:sz w:val="27"/>
          <w:szCs w:val="27"/>
        </w:rPr>
        <w:t>採</w:t>
      </w:r>
      <w:proofErr w:type="gramEnd"/>
      <w:r w:rsidRPr="008C1F89">
        <w:rPr>
          <w:rFonts w:ascii="Times New Roman" w:hAnsi="Times New Roman" w:cs="Times New Roman"/>
          <w:color w:val="000000"/>
          <w:kern w:val="0"/>
          <w:sz w:val="27"/>
          <w:szCs w:val="27"/>
        </w:rPr>
        <w:t>行『成果評鑑』及『學者專家評鑑模式』，此一模式的推動，較強調社區最終成果評估（</w:t>
      </w:r>
      <w:r w:rsidRPr="008C1F89">
        <w:rPr>
          <w:rFonts w:ascii="Times New Roman" w:hAnsi="Times New Roman" w:cs="Times New Roman"/>
          <w:color w:val="000000"/>
          <w:kern w:val="0"/>
          <w:sz w:val="27"/>
          <w:szCs w:val="27"/>
        </w:rPr>
        <w:t>outcome evaluation</w:t>
      </w:r>
      <w:r w:rsidRPr="008C1F89">
        <w:rPr>
          <w:rFonts w:ascii="Times New Roman" w:hAnsi="Times New Roman" w:cs="Times New Roman"/>
          <w:color w:val="000000"/>
          <w:kern w:val="0"/>
          <w:sz w:val="27"/>
          <w:szCs w:val="27"/>
        </w:rPr>
        <w:t>）而較忽略社區工作過程評估（</w:t>
      </w:r>
      <w:r w:rsidRPr="008C1F89">
        <w:rPr>
          <w:rFonts w:ascii="Times New Roman" w:hAnsi="Times New Roman" w:cs="Times New Roman"/>
          <w:color w:val="000000"/>
          <w:kern w:val="0"/>
          <w:sz w:val="27"/>
          <w:szCs w:val="27"/>
        </w:rPr>
        <w:t>process evaluation</w:t>
      </w:r>
      <w:r w:rsidRPr="008C1F89">
        <w:rPr>
          <w:rFonts w:ascii="Times New Roman" w:hAnsi="Times New Roman" w:cs="Times New Roman"/>
          <w:color w:val="000000"/>
          <w:kern w:val="0"/>
          <w:sz w:val="27"/>
          <w:szCs w:val="27"/>
        </w:rPr>
        <w:t>）。因此，以社區最後成果做為評鑑的判</w:t>
      </w:r>
      <w:proofErr w:type="gramStart"/>
      <w:r w:rsidRPr="008C1F89">
        <w:rPr>
          <w:rFonts w:ascii="Times New Roman" w:hAnsi="Times New Roman" w:cs="Times New Roman"/>
          <w:color w:val="000000"/>
          <w:kern w:val="0"/>
          <w:sz w:val="27"/>
          <w:szCs w:val="27"/>
        </w:rPr>
        <w:t>準</w:t>
      </w:r>
      <w:proofErr w:type="gramEnd"/>
      <w:r w:rsidRPr="008C1F89">
        <w:rPr>
          <w:rFonts w:ascii="Times New Roman" w:hAnsi="Times New Roman" w:cs="Times New Roman"/>
          <w:color w:val="000000"/>
          <w:kern w:val="0"/>
          <w:sz w:val="27"/>
          <w:szCs w:val="27"/>
        </w:rPr>
        <w:t>，結果可能與評鑑當天社區動員能力、社區資料整理能力比較有關，而無法看到社區對於社區議題倡導的能力及社區民主參與的能力。因此，平日如何善用學者專家的經驗，</w:t>
      </w:r>
      <w:proofErr w:type="gramStart"/>
      <w:r w:rsidRPr="008C1F89">
        <w:rPr>
          <w:rFonts w:ascii="Times New Roman" w:hAnsi="Times New Roman" w:cs="Times New Roman"/>
          <w:color w:val="000000"/>
          <w:kern w:val="0"/>
          <w:sz w:val="27"/>
          <w:szCs w:val="27"/>
        </w:rPr>
        <w:t>採</w:t>
      </w:r>
      <w:proofErr w:type="gramEnd"/>
      <w:r w:rsidRPr="008C1F89">
        <w:rPr>
          <w:rFonts w:ascii="Times New Roman" w:hAnsi="Times New Roman" w:cs="Times New Roman"/>
          <w:color w:val="000000"/>
          <w:kern w:val="0"/>
          <w:sz w:val="27"/>
          <w:szCs w:val="27"/>
        </w:rPr>
        <w:t>行『過程輔導』及『學者專家派遣模式』協助社區解決相關問題，似乎愈來愈重要。內政部雖然在推展社會福利補助經費申請補助項目及基準中有相關的補助項目，但是由於宣導不是很積極，成效仍然相當有限。</w:t>
      </w:r>
    </w:p>
    <w:p w:rsidR="008C1F89" w:rsidRPr="008C1F89" w:rsidRDefault="008C1F89" w:rsidP="008C1F89">
      <w:pPr>
        <w:widowControl/>
        <w:autoSpaceDN/>
        <w:spacing w:before="180" w:after="100" w:afterAutospacing="1"/>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二、「福利社區化」內涵之再建構</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從民國</w:t>
      </w:r>
      <w:r w:rsidRPr="008C1F89">
        <w:rPr>
          <w:rFonts w:ascii="Times New Roman" w:hAnsi="Times New Roman" w:cs="Times New Roman"/>
          <w:color w:val="000000"/>
          <w:kern w:val="0"/>
          <w:sz w:val="27"/>
          <w:szCs w:val="27"/>
        </w:rPr>
        <w:t>90</w:t>
      </w:r>
      <w:r w:rsidRPr="008C1F89">
        <w:rPr>
          <w:rFonts w:ascii="Times New Roman" w:hAnsi="Times New Roman" w:cs="Times New Roman"/>
          <w:color w:val="000000"/>
          <w:kern w:val="0"/>
          <w:sz w:val="27"/>
          <w:szCs w:val="27"/>
        </w:rPr>
        <w:t>年開始內政部辦理社區發展評鑑工作，</w:t>
      </w:r>
      <w:r w:rsidRPr="008C1F89">
        <w:rPr>
          <w:rFonts w:ascii="Times New Roman" w:hAnsi="Times New Roman" w:cs="Times New Roman"/>
          <w:color w:val="000000"/>
          <w:kern w:val="0"/>
          <w:sz w:val="27"/>
          <w:szCs w:val="27"/>
        </w:rPr>
        <w:t>94</w:t>
      </w:r>
      <w:r w:rsidRPr="008C1F89">
        <w:rPr>
          <w:rFonts w:ascii="Times New Roman" w:hAnsi="Times New Roman" w:cs="Times New Roman"/>
          <w:color w:val="000000"/>
          <w:kern w:val="0"/>
          <w:sz w:val="27"/>
          <w:szCs w:val="27"/>
        </w:rPr>
        <w:t>年評鑑開始規定社區在社區評鑑主題自選三項中，其中至少須有一福利社區化工作或社區守望相助工作項目，</w:t>
      </w:r>
      <w:r w:rsidRPr="008C1F89">
        <w:rPr>
          <w:rFonts w:ascii="Times New Roman" w:hAnsi="Times New Roman" w:cs="Times New Roman"/>
          <w:color w:val="000000"/>
          <w:kern w:val="0"/>
          <w:sz w:val="27"/>
          <w:szCs w:val="27"/>
        </w:rPr>
        <w:t>95</w:t>
      </w:r>
      <w:r w:rsidRPr="008C1F89">
        <w:rPr>
          <w:rFonts w:ascii="Times New Roman" w:hAnsi="Times New Roman" w:cs="Times New Roman"/>
          <w:color w:val="000000"/>
          <w:kern w:val="0"/>
          <w:sz w:val="27"/>
          <w:szCs w:val="27"/>
        </w:rPr>
        <w:t>年則將『社區照顧關懷據點辦理情況』列入縣市政府辦理福利社區化業務的考核項目之中。可見福利社區化隨著中央政府重點政策的改變其內容也會隨之調整。因此，對於『福利社區化』的內涵是需要地方政府、社區組織、學者專家充份討論而取得共識的。若按目前內政部社區評鑑主題對於『推展福利社區化工作』的說明，大致上分成兩種類型：</w:t>
      </w:r>
      <w:r w:rsidRPr="008C1F89">
        <w:rPr>
          <w:rFonts w:ascii="Times New Roman" w:hAnsi="Times New Roman" w:cs="Times New Roman"/>
          <w:color w:val="000000"/>
          <w:kern w:val="0"/>
          <w:sz w:val="27"/>
          <w:szCs w:val="27"/>
        </w:rPr>
        <w:t>(</w:t>
      </w:r>
      <w:proofErr w:type="gramStart"/>
      <w:r w:rsidRPr="008C1F89">
        <w:rPr>
          <w:rFonts w:ascii="Times New Roman" w:hAnsi="Times New Roman" w:cs="Times New Roman"/>
          <w:color w:val="000000"/>
          <w:kern w:val="0"/>
          <w:sz w:val="27"/>
          <w:szCs w:val="27"/>
        </w:rPr>
        <w:t>一</w:t>
      </w:r>
      <w:proofErr w:type="gramEnd"/>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提供</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一般性</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福利措施</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辦理老人、兒童、青少年、身心障礙及婦女等福利人口群的社區服務；</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二</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提供支援性福利措施</w:t>
      </w:r>
      <w:proofErr w:type="gramStart"/>
      <w:r w:rsidRPr="008C1F89">
        <w:rPr>
          <w:rFonts w:ascii="Times New Roman" w:hAnsi="Times New Roman" w:cs="Times New Roman"/>
          <w:color w:val="000000"/>
          <w:kern w:val="0"/>
          <w:sz w:val="27"/>
          <w:szCs w:val="27"/>
        </w:rPr>
        <w:t>—</w:t>
      </w:r>
      <w:proofErr w:type="gramEnd"/>
      <w:r w:rsidRPr="008C1F89">
        <w:rPr>
          <w:rFonts w:ascii="Times New Roman" w:hAnsi="Times New Roman" w:cs="Times New Roman"/>
          <w:color w:val="000000"/>
          <w:kern w:val="0"/>
          <w:sz w:val="27"/>
          <w:szCs w:val="27"/>
        </w:rPr>
        <w:t>其一為辦理</w:t>
      </w:r>
      <w:proofErr w:type="gramStart"/>
      <w:r w:rsidRPr="008C1F89">
        <w:rPr>
          <w:rFonts w:ascii="Times New Roman" w:hAnsi="Times New Roman" w:cs="Times New Roman"/>
          <w:color w:val="000000"/>
          <w:kern w:val="0"/>
          <w:sz w:val="27"/>
          <w:szCs w:val="27"/>
        </w:rPr>
        <w:t>日間托</w:t>
      </w:r>
      <w:proofErr w:type="gramEnd"/>
      <w:r w:rsidRPr="008C1F89">
        <w:rPr>
          <w:rFonts w:ascii="Times New Roman" w:hAnsi="Times New Roman" w:cs="Times New Roman"/>
          <w:color w:val="000000"/>
          <w:kern w:val="0"/>
          <w:sz w:val="27"/>
          <w:szCs w:val="27"/>
        </w:rPr>
        <w:t>兒</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老</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、居家服務、喘息服務及長期照顧等社區支持性服務，其二為建構社區福利網絡。前述兩種類型的界定十分的模糊，如</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一</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項中的老人社區服務與</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二</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項中的</w:t>
      </w:r>
      <w:proofErr w:type="gramStart"/>
      <w:r w:rsidRPr="008C1F89">
        <w:rPr>
          <w:rFonts w:ascii="Times New Roman" w:hAnsi="Times New Roman" w:cs="Times New Roman"/>
          <w:color w:val="000000"/>
          <w:kern w:val="0"/>
          <w:sz w:val="27"/>
          <w:szCs w:val="27"/>
        </w:rPr>
        <w:t>日間托</w:t>
      </w:r>
      <w:proofErr w:type="gramEnd"/>
      <w:r w:rsidRPr="008C1F89">
        <w:rPr>
          <w:rFonts w:ascii="Times New Roman" w:hAnsi="Times New Roman" w:cs="Times New Roman"/>
          <w:color w:val="000000"/>
          <w:kern w:val="0"/>
          <w:sz w:val="27"/>
          <w:szCs w:val="27"/>
        </w:rPr>
        <w:t>老的差異為何呢？如果將</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一</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項視為『一般性』社區服務，將</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二</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項視為『特殊性』社區服務，則第</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二</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項中的『特殊性』社區服務項目如居家服務、喘息服務及長期照顧都非社區發展協會中只有志工而無專業人員所能勝任的工作。而『建構社區福利網絡』則缺乏操作性的指標，社區根本無所適從。另外，在推展社區發展工作的第</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，也提到社區組織『設置福利服務工作小組，運用社會資源辦理社區福利服務工作』，但是該『福利服務</w:t>
      </w:r>
      <w:r w:rsidRPr="008C1F89">
        <w:rPr>
          <w:rFonts w:ascii="Times New Roman" w:hAnsi="Times New Roman" w:cs="Times New Roman"/>
          <w:color w:val="000000"/>
          <w:kern w:val="0"/>
          <w:sz w:val="27"/>
          <w:szCs w:val="27"/>
        </w:rPr>
        <w:lastRenderedPageBreak/>
        <w:t>工作小組』到底如何組成，其功能、運作、管理</w:t>
      </w:r>
      <w:r w:rsidRPr="008C1F89">
        <w:rPr>
          <w:rFonts w:ascii="Times New Roman" w:hAnsi="Times New Roman" w:cs="Times New Roman"/>
          <w:color w:val="000000"/>
          <w:kern w:val="0"/>
          <w:sz w:val="27"/>
          <w:szCs w:val="27"/>
        </w:rPr>
        <w:t>…</w:t>
      </w:r>
      <w:proofErr w:type="gramStart"/>
      <w:r w:rsidRPr="008C1F89">
        <w:rPr>
          <w:rFonts w:ascii="Times New Roman" w:hAnsi="Times New Roman" w:cs="Times New Roman"/>
          <w:color w:val="000000"/>
          <w:kern w:val="0"/>
          <w:sz w:val="27"/>
          <w:szCs w:val="27"/>
        </w:rPr>
        <w:t>等等均未見</w:t>
      </w:r>
      <w:proofErr w:type="gramEnd"/>
      <w:r w:rsidRPr="008C1F89">
        <w:rPr>
          <w:rFonts w:ascii="Times New Roman" w:hAnsi="Times New Roman" w:cs="Times New Roman"/>
          <w:color w:val="000000"/>
          <w:kern w:val="0"/>
          <w:sz w:val="27"/>
          <w:szCs w:val="27"/>
        </w:rPr>
        <w:t>說明，社區組織中有設立類似小組的也少見。誠如</w:t>
      </w:r>
      <w:proofErr w:type="gramStart"/>
      <w:r w:rsidRPr="008C1F89">
        <w:rPr>
          <w:rFonts w:ascii="Times New Roman" w:hAnsi="Times New Roman" w:cs="Times New Roman"/>
          <w:color w:val="000000"/>
          <w:kern w:val="0"/>
          <w:sz w:val="27"/>
          <w:szCs w:val="27"/>
        </w:rPr>
        <w:t>李聲吼</w:t>
      </w:r>
      <w:proofErr w:type="gramEnd"/>
      <w:r w:rsidRPr="008C1F89">
        <w:rPr>
          <w:rFonts w:ascii="Times New Roman" w:hAnsi="Times New Roman" w:cs="Times New Roman"/>
          <w:color w:val="000000"/>
          <w:kern w:val="0"/>
          <w:sz w:val="27"/>
          <w:szCs w:val="27"/>
        </w:rPr>
        <w:t>委員所提到，到底『福利社區化』的內涵為何應該經由社區學者專家以舉辦工作坊的方式充分討論，找出社區有所依循的內涵或操作性指標。</w:t>
      </w:r>
    </w:p>
    <w:p w:rsidR="008C1F89" w:rsidRPr="008C1F89" w:rsidRDefault="008C1F89" w:rsidP="008C1F89">
      <w:pPr>
        <w:widowControl/>
        <w:autoSpaceDN/>
        <w:spacing w:before="180"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三、城市型縣市社區推動之瓶頸</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今年北部組社區評鑑的結果，在</w:t>
      </w:r>
      <w:r w:rsidRPr="008C1F89">
        <w:rPr>
          <w:rFonts w:ascii="Times New Roman" w:hAnsi="Times New Roman" w:cs="Times New Roman"/>
          <w:color w:val="000000"/>
          <w:kern w:val="0"/>
          <w:sz w:val="27"/>
          <w:szCs w:val="27"/>
        </w:rPr>
        <w:t>14</w:t>
      </w:r>
      <w:r w:rsidRPr="008C1F89">
        <w:rPr>
          <w:rFonts w:ascii="Times New Roman" w:hAnsi="Times New Roman" w:cs="Times New Roman"/>
          <w:color w:val="000000"/>
          <w:kern w:val="0"/>
          <w:sz w:val="27"/>
          <w:szCs w:val="27"/>
        </w:rPr>
        <w:t>個縣市中共有</w:t>
      </w:r>
      <w:r w:rsidRPr="008C1F89">
        <w:rPr>
          <w:rFonts w:ascii="Times New Roman" w:hAnsi="Times New Roman" w:cs="Times New Roman"/>
          <w:color w:val="000000"/>
          <w:kern w:val="0"/>
          <w:sz w:val="27"/>
          <w:szCs w:val="27"/>
        </w:rPr>
        <w:t>5</w:t>
      </w:r>
      <w:r w:rsidRPr="008C1F89">
        <w:rPr>
          <w:rFonts w:ascii="Times New Roman" w:hAnsi="Times New Roman" w:cs="Times New Roman"/>
          <w:color w:val="000000"/>
          <w:kern w:val="0"/>
          <w:sz w:val="27"/>
          <w:szCs w:val="27"/>
        </w:rPr>
        <w:t>個獲得優等，包括臺北縣、宜蘭縣、桃園縣、</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中縣、南投縣。臺北市、</w:t>
      </w:r>
      <w:proofErr w:type="gramStart"/>
      <w:r w:rsidRPr="008C1F89">
        <w:rPr>
          <w:rFonts w:ascii="Times New Roman" w:hAnsi="Times New Roman" w:cs="Times New Roman"/>
          <w:color w:val="000000"/>
          <w:kern w:val="0"/>
          <w:sz w:val="27"/>
          <w:szCs w:val="27"/>
        </w:rPr>
        <w:t>臺</w:t>
      </w:r>
      <w:proofErr w:type="gramEnd"/>
      <w:r w:rsidRPr="008C1F89">
        <w:rPr>
          <w:rFonts w:ascii="Times New Roman" w:hAnsi="Times New Roman" w:cs="Times New Roman"/>
          <w:color w:val="000000"/>
          <w:kern w:val="0"/>
          <w:sz w:val="27"/>
          <w:szCs w:val="27"/>
        </w:rPr>
        <w:t>中市、新竹市等城市型的市政府似乎在社區工作的推動上遭遇到一些瓶頸。雖然，無法對這些縣市進行全面性的瞭解，是否如有些人認為都會型的社區缺乏社區意識，因此社區工作成效較差，不過在縣市政府的層級缺乏社區推動策略及創新精神卻是最重要的關鍵因素。當然城鄉社區工作模式的差異，卻是值得注意的問題，例如都會地區社區活動空間取得不易及大樓林立自有管理委員會的情況與鄉村不同，未來也應該將社區城鄉基本型態的差異納入考量。</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除了社區工作的創新模式之外，引入學術團體成為專業輔導團隊及社區實務工作者分享平台的建立</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如設立理事長聯誼會或另成立協會</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也是縣市政府逐漸關切與努力的方向，透過輔導團隊及具有經驗的社區工作者進行社區協力，可以分擔縣市政府一部分的業務，同時也較能激盪出創新模式。但是縣市政府必須扮演社區策略的規劃者的角色，透過社區調查掌握社區基本資料</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以鄉或區為單位更佳</w:t>
      </w:r>
      <w:r w:rsidRPr="008C1F89">
        <w:rPr>
          <w:rFonts w:ascii="Times New Roman" w:hAnsi="Times New Roman" w:cs="Times New Roman"/>
          <w:color w:val="000000"/>
          <w:kern w:val="0"/>
          <w:sz w:val="27"/>
          <w:szCs w:val="27"/>
        </w:rPr>
        <w:t>)</w:t>
      </w:r>
      <w:r w:rsidRPr="008C1F89">
        <w:rPr>
          <w:rFonts w:ascii="Times New Roman" w:hAnsi="Times New Roman" w:cs="Times New Roman"/>
          <w:color w:val="000000"/>
          <w:kern w:val="0"/>
          <w:sz w:val="27"/>
          <w:szCs w:val="27"/>
        </w:rPr>
        <w:t>，以及特殊需求人口群的分布，以利界定推動社區福利服務的內容，這一點是縣市政府責無旁貸的工作，另方面再輔以社區補助項目採取『福利優先』及『弱勢優先』原則，則社區工作才能善用公部門資源，走向較符合社會正義的方向。</w:t>
      </w:r>
    </w:p>
    <w:p w:rsidR="008C1F89" w:rsidRPr="008C1F89" w:rsidRDefault="008C1F89" w:rsidP="008C1F89">
      <w:pPr>
        <w:widowControl/>
        <w:autoSpaceDN/>
        <w:spacing w:before="180" w:after="100" w:afterAutospacing="1"/>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四、政府、專業者與社區三方關係的</w:t>
      </w:r>
      <w:proofErr w:type="gramStart"/>
      <w:r w:rsidRPr="008C1F89">
        <w:rPr>
          <w:rFonts w:ascii="Times New Roman" w:hAnsi="Times New Roman" w:cs="Times New Roman"/>
          <w:color w:val="000000"/>
          <w:kern w:val="0"/>
          <w:sz w:val="27"/>
          <w:szCs w:val="27"/>
        </w:rPr>
        <w:t>釐</w:t>
      </w:r>
      <w:proofErr w:type="gramEnd"/>
      <w:r w:rsidRPr="008C1F89">
        <w:rPr>
          <w:rFonts w:ascii="Times New Roman" w:hAnsi="Times New Roman" w:cs="Times New Roman"/>
          <w:color w:val="000000"/>
          <w:kern w:val="0"/>
          <w:sz w:val="27"/>
          <w:szCs w:val="27"/>
        </w:rPr>
        <w:t>清</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未來社區發展工作的推動，政府與社區彼此之間存在著『夥伴關係』、『補助關係』，而社區與專業工作者則可能存在著『培力關係』、『委託關係』等，這些『關係』必須適當的</w:t>
      </w:r>
      <w:proofErr w:type="gramStart"/>
      <w:r w:rsidRPr="008C1F89">
        <w:rPr>
          <w:rFonts w:ascii="Times New Roman" w:hAnsi="Times New Roman" w:cs="Times New Roman"/>
          <w:color w:val="000000"/>
          <w:kern w:val="0"/>
          <w:sz w:val="27"/>
          <w:szCs w:val="27"/>
        </w:rPr>
        <w:t>釐</w:t>
      </w:r>
      <w:proofErr w:type="gramEnd"/>
      <w:r w:rsidRPr="008C1F89">
        <w:rPr>
          <w:rFonts w:ascii="Times New Roman" w:hAnsi="Times New Roman" w:cs="Times New Roman"/>
          <w:color w:val="000000"/>
          <w:kern w:val="0"/>
          <w:sz w:val="27"/>
          <w:szCs w:val="27"/>
        </w:rPr>
        <w:t>清，以免模糊社區的主體性及自主力量的發展與形成。社區發展工作有其在地性，必須建立合作團隊始能勝任完成，社區發展協會應該建立縣市政府、鄉鎮公所與村里辦公室等彼此之間的信任關係，否則造成社區空轉、虛耗資源的結果十分可惜。在此次評鑑中雖然發現許多縣市政府逐漸引入專業團隊，但是如何</w:t>
      </w:r>
      <w:proofErr w:type="gramStart"/>
      <w:r w:rsidRPr="008C1F89">
        <w:rPr>
          <w:rFonts w:ascii="Times New Roman" w:hAnsi="Times New Roman" w:cs="Times New Roman"/>
          <w:color w:val="000000"/>
          <w:kern w:val="0"/>
          <w:sz w:val="27"/>
          <w:szCs w:val="27"/>
        </w:rPr>
        <w:t>釐</w:t>
      </w:r>
      <w:proofErr w:type="gramEnd"/>
      <w:r w:rsidRPr="008C1F89">
        <w:rPr>
          <w:rFonts w:ascii="Times New Roman" w:hAnsi="Times New Roman" w:cs="Times New Roman"/>
          <w:color w:val="000000"/>
          <w:kern w:val="0"/>
          <w:sz w:val="27"/>
          <w:szCs w:val="27"/>
        </w:rPr>
        <w:t>清彼此之間的關係，仍有待加強。</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lastRenderedPageBreak/>
        <w:t>其次，社區工作者在社區組織之外另外成立人民團體的現象今年較多，這些社區多半有專業者的介入，因此運用不同的團體向不同單位申請社區計畫，成為社區幹部在經費上容易操作的模式，但是也要注意社區在不同計畫之間所產生的經費管理以及計畫成果呈現的問題。</w:t>
      </w:r>
    </w:p>
    <w:p w:rsidR="008C1F89" w:rsidRPr="008C1F89" w:rsidRDefault="008C1F89" w:rsidP="008C1F89">
      <w:pPr>
        <w:widowControl/>
        <w:autoSpaceDN/>
        <w:spacing w:before="180" w:after="100" w:afterAutospacing="1"/>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五、後健康社區六星計畫的社區發展方向</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從過去「挑戰</w:t>
      </w:r>
      <w:r w:rsidRPr="008C1F89">
        <w:rPr>
          <w:rFonts w:ascii="Times New Roman" w:hAnsi="Times New Roman" w:cs="Times New Roman"/>
          <w:color w:val="000000"/>
          <w:kern w:val="0"/>
          <w:sz w:val="27"/>
          <w:szCs w:val="27"/>
        </w:rPr>
        <w:t>2008</w:t>
      </w:r>
      <w:r w:rsidRPr="008C1F89">
        <w:rPr>
          <w:rFonts w:ascii="Times New Roman" w:hAnsi="Times New Roman" w:cs="Times New Roman"/>
          <w:color w:val="000000"/>
          <w:kern w:val="0"/>
          <w:sz w:val="27"/>
          <w:szCs w:val="27"/>
        </w:rPr>
        <w:t>國家發展重點計畫」中的「新故鄉社區營造計畫」，到「臺灣健康社區六星計畫」，其中特別針對臺灣人口老化所設置的『社區照顧關懷據點』，已經成為目前社區政策的延續性方向。對於社區六星計畫之後的社區發展重點，應該召開全國社區發展會議，並就以下幾個問題進行討論：</w:t>
      </w:r>
    </w:p>
    <w:p w:rsidR="008C1F89" w:rsidRPr="008C1F89" w:rsidRDefault="008C1F89" w:rsidP="008C1F89">
      <w:pPr>
        <w:widowControl/>
        <w:autoSpaceDN/>
        <w:spacing w:before="100" w:beforeAutospacing="1" w:after="100" w:afterAutospacing="1"/>
        <w:ind w:left="482"/>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1.</w:t>
      </w:r>
      <w:r w:rsidRPr="008C1F89">
        <w:rPr>
          <w:rFonts w:ascii="Times New Roman" w:hAnsi="Times New Roman" w:cs="Times New Roman"/>
          <w:color w:val="000000"/>
          <w:kern w:val="0"/>
          <w:sz w:val="27"/>
          <w:szCs w:val="27"/>
        </w:rPr>
        <w:t>社區發展法制化的議題，解決長期以來村里與社區之間的結構矛盾。</w:t>
      </w:r>
    </w:p>
    <w:p w:rsidR="008C1F89" w:rsidRPr="008C1F89" w:rsidRDefault="008C1F89" w:rsidP="008C1F89">
      <w:pPr>
        <w:widowControl/>
        <w:autoSpaceDN/>
        <w:spacing w:before="100" w:beforeAutospacing="1" w:after="100" w:afterAutospacing="1"/>
        <w:ind w:left="48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2.</w:t>
      </w:r>
      <w:r w:rsidRPr="008C1F89">
        <w:rPr>
          <w:rFonts w:ascii="Times New Roman" w:hAnsi="Times New Roman" w:cs="Times New Roman"/>
          <w:color w:val="000000"/>
          <w:kern w:val="0"/>
          <w:sz w:val="27"/>
          <w:szCs w:val="27"/>
        </w:rPr>
        <w:t>以補助引導社區發展的政策目標應該檢討並逐步改革。</w:t>
      </w:r>
    </w:p>
    <w:p w:rsidR="008C1F89" w:rsidRPr="008C1F89" w:rsidRDefault="008C1F89" w:rsidP="008C1F89">
      <w:pPr>
        <w:widowControl/>
        <w:autoSpaceDN/>
        <w:spacing w:before="100" w:beforeAutospacing="1" w:after="100" w:afterAutospacing="1"/>
        <w:ind w:left="48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3.</w:t>
      </w:r>
      <w:r w:rsidRPr="008C1F89">
        <w:rPr>
          <w:rFonts w:ascii="Times New Roman" w:hAnsi="Times New Roman" w:cs="Times New Roman"/>
          <w:color w:val="000000"/>
          <w:kern w:val="0"/>
          <w:sz w:val="27"/>
          <w:szCs w:val="27"/>
        </w:rPr>
        <w:t>社區發展目的不只是回應社區在地問題，而是重建社區價值。</w:t>
      </w:r>
    </w:p>
    <w:p w:rsidR="008C1F89" w:rsidRPr="008C1F89" w:rsidRDefault="008C1F89" w:rsidP="008C1F89">
      <w:pPr>
        <w:widowControl/>
        <w:autoSpaceDN/>
        <w:spacing w:before="100" w:beforeAutospacing="1" w:after="100" w:afterAutospacing="1"/>
        <w:ind w:left="720" w:hanging="36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4.</w:t>
      </w:r>
      <w:r w:rsidRPr="008C1F89">
        <w:rPr>
          <w:rFonts w:ascii="Times New Roman" w:hAnsi="Times New Roman" w:cs="Times New Roman"/>
          <w:color w:val="000000"/>
          <w:kern w:val="0"/>
          <w:sz w:val="27"/>
          <w:szCs w:val="27"/>
        </w:rPr>
        <w:t>重視社區能力之培養及社區自主的解決模式，更重要的是社區發展是要反</w:t>
      </w:r>
      <w:r w:rsidRPr="008C1F89">
        <w:rPr>
          <w:rFonts w:ascii="Times New Roman" w:hAnsi="Times New Roman" w:cs="Times New Roman"/>
          <w:color w:val="000000"/>
          <w:kern w:val="0"/>
          <w:sz w:val="27"/>
          <w:szCs w:val="27"/>
        </w:rPr>
        <w:t xml:space="preserve">  </w:t>
      </w:r>
      <w:r w:rsidRPr="008C1F89">
        <w:rPr>
          <w:rFonts w:ascii="Times New Roman" w:hAnsi="Times New Roman" w:cs="Times New Roman"/>
          <w:color w:val="000000"/>
          <w:kern w:val="0"/>
          <w:sz w:val="27"/>
          <w:szCs w:val="27"/>
        </w:rPr>
        <w:t>應當時社會結構的矛盾與困境。</w:t>
      </w:r>
    </w:p>
    <w:p w:rsidR="008C1F89" w:rsidRPr="008C1F89" w:rsidRDefault="008C1F89" w:rsidP="008C1F89">
      <w:pPr>
        <w:widowControl/>
        <w:autoSpaceDN/>
        <w:spacing w:before="100" w:beforeAutospacing="1" w:after="100" w:afterAutospacing="1"/>
        <w:ind w:left="48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5.</w:t>
      </w:r>
      <w:r w:rsidRPr="008C1F89">
        <w:rPr>
          <w:rFonts w:ascii="Times New Roman" w:hAnsi="Times New Roman" w:cs="Times New Roman"/>
          <w:color w:val="000000"/>
          <w:kern w:val="0"/>
          <w:sz w:val="27"/>
          <w:szCs w:val="27"/>
        </w:rPr>
        <w:t>重視具有公民社會議題取向的社區發展模式。</w:t>
      </w:r>
    </w:p>
    <w:p w:rsidR="008C1F89" w:rsidRPr="008C1F89" w:rsidRDefault="008C1F89" w:rsidP="008C1F89">
      <w:pPr>
        <w:widowControl/>
        <w:autoSpaceDN/>
        <w:spacing w:before="100" w:beforeAutospacing="1" w:after="100" w:afterAutospacing="1"/>
        <w:ind w:left="48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6.</w:t>
      </w:r>
      <w:r w:rsidRPr="008C1F89">
        <w:rPr>
          <w:rFonts w:ascii="Times New Roman" w:hAnsi="Times New Roman" w:cs="Times New Roman"/>
          <w:color w:val="000000"/>
          <w:kern w:val="0"/>
          <w:sz w:val="27"/>
          <w:szCs w:val="27"/>
        </w:rPr>
        <w:t>掌握社會變遷中社區福利需求脈絡，重視民間力量及在地資源之結合。</w:t>
      </w:r>
    </w:p>
    <w:p w:rsidR="008C1F89" w:rsidRPr="008C1F89" w:rsidRDefault="008C1F89" w:rsidP="008C1F89">
      <w:pPr>
        <w:widowControl/>
        <w:autoSpaceDN/>
        <w:spacing w:before="180" w:after="100" w:afterAutospacing="1"/>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伍、結論與建議</w:t>
      </w:r>
    </w:p>
    <w:p w:rsidR="008C1F89" w:rsidRPr="008C1F89" w:rsidRDefault="008C1F89" w:rsidP="008C1F89">
      <w:pPr>
        <w:widowControl/>
        <w:autoSpaceDN/>
        <w:spacing w:before="100" w:beforeAutospacing="1"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今年社區評鑑結果顯示社區發展逐漸受到地方政府的重視，社區成果也朝多元方向發展。但是隨著全球化衝擊下在地力量的反撲，社會快速變遷家庭功能逐漸式微，『社區』作為一個保存文化資產及滿足、提升人民生活需求的角色愈來愈重要。而『社區組織』也逐步掙脫過去威權時期政府行政過度干預的情況，邁向一個以人民自主的社區主義理想的前進。社區能力的建立必須符合在地社區及社區組織的特質，而非全盤</w:t>
      </w:r>
      <w:proofErr w:type="gramStart"/>
      <w:r w:rsidRPr="008C1F89">
        <w:rPr>
          <w:rFonts w:ascii="Times New Roman" w:hAnsi="Times New Roman" w:cs="Times New Roman"/>
          <w:color w:val="000000"/>
          <w:kern w:val="0"/>
          <w:sz w:val="27"/>
          <w:szCs w:val="27"/>
        </w:rPr>
        <w:t>採</w:t>
      </w:r>
      <w:proofErr w:type="gramEnd"/>
      <w:r w:rsidRPr="008C1F89">
        <w:rPr>
          <w:rFonts w:ascii="Times New Roman" w:hAnsi="Times New Roman" w:cs="Times New Roman"/>
          <w:color w:val="000000"/>
          <w:kern w:val="0"/>
          <w:sz w:val="27"/>
          <w:szCs w:val="27"/>
        </w:rPr>
        <w:t>借自西方國家的經驗即可，因此為了建立臺灣社區永續發展策略。本文有以下幾點建議：</w:t>
      </w:r>
    </w:p>
    <w:p w:rsidR="008C1F89" w:rsidRPr="008C1F89" w:rsidRDefault="008C1F89" w:rsidP="008C1F89">
      <w:pPr>
        <w:widowControl/>
        <w:autoSpaceDN/>
        <w:spacing w:before="180"/>
        <w:ind w:left="720" w:hanging="72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第一、建議設置『社區及公民社會研習中心』，並建立臺灣社區資料檔案室，收集社區成果並分析掌握社區發展對社會所產生的影響。</w:t>
      </w:r>
      <w:r w:rsidRPr="008C1F89">
        <w:rPr>
          <w:rFonts w:ascii="Times New Roman" w:hAnsi="Times New Roman" w:cs="Times New Roman"/>
          <w:color w:val="000000"/>
          <w:kern w:val="0"/>
          <w:sz w:val="27"/>
          <w:szCs w:val="27"/>
        </w:rPr>
        <w:lastRenderedPageBreak/>
        <w:t>其次，政府計畫補助應該儘量減少社區行政化的負面效果，社區申請計畫之核銷工作可朝專業委託的方向思考，如此更有利於社區財務的透明化，社區組織必能有較大的突破。同時，社區培力儘量朝向非指導性的功能發展，提供社區更多的揮灑空間。</w:t>
      </w:r>
    </w:p>
    <w:p w:rsidR="008C1F89" w:rsidRPr="008C1F89" w:rsidRDefault="008C1F89" w:rsidP="008C1F89">
      <w:pPr>
        <w:widowControl/>
        <w:autoSpaceDN/>
        <w:spacing w:before="180"/>
        <w:ind w:left="720" w:hanging="72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第二、鼓勵民間單位設立『社區發展組織全國聯合會』做為推展社區發展工作的中介平台，未來可長期投入研發並建立臺灣本土社區能力指標的認證系統，定期公布社區能力成長或降低指數。</w:t>
      </w:r>
    </w:p>
    <w:p w:rsidR="008C1F89" w:rsidRPr="008C1F89" w:rsidRDefault="008C1F89" w:rsidP="008C1F89">
      <w:pPr>
        <w:widowControl/>
        <w:autoSpaceDN/>
        <w:spacing w:before="180"/>
        <w:ind w:left="720" w:hanging="72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三、志願服務與社區發展兩者應該配套發展，達到訓用合一的效果，並責成鄉鎮公所與地方志願服務協會共同辦理，以符合效益及地方特色。最後，將「社會排除」的議題納入社會福利社區化的內容之中，建議可以擇定福利社區化的優先區，主動提供福利資源及專業人力，縮短社區之間資源分配的落差。</w:t>
      </w:r>
    </w:p>
    <w:p w:rsidR="008C1F89" w:rsidRPr="008C1F89" w:rsidRDefault="008C1F89" w:rsidP="008C1F89">
      <w:pPr>
        <w:widowControl/>
        <w:autoSpaceDN/>
        <w:spacing w:before="180"/>
        <w:ind w:left="720" w:hanging="72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第四、將評鑑指標納入城市型與鄉村型的差異考量，並轉變成為「實驗區」或「實驗方案」的方式，將不同成功的案例分享及推廣至同類型的社區之中。</w:t>
      </w:r>
    </w:p>
    <w:p w:rsidR="008C1F89" w:rsidRPr="008C1F89" w:rsidRDefault="008C1F89" w:rsidP="008C1F89">
      <w:pPr>
        <w:widowControl/>
        <w:autoSpaceDN/>
        <w:spacing w:before="180"/>
        <w:ind w:left="720" w:hanging="72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第五、定期檢討各縣市申請內政部社區補助之成效，並鼓勵縣市政府提出創新型計畫。同時，比照內政部社區旗艦競爭型計畫之構想，考慮鼓勵資源匱乏地區提出實驗方案，同時輔以專業團體之培力協助。</w:t>
      </w:r>
    </w:p>
    <w:p w:rsidR="008C1F89" w:rsidRPr="008C1F89" w:rsidRDefault="008C1F89" w:rsidP="008C1F89">
      <w:pPr>
        <w:widowControl/>
        <w:autoSpaceDN/>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br w:type="textWrapping" w:clear="all"/>
      </w:r>
    </w:p>
    <w:p w:rsidR="008C1F89" w:rsidRPr="008C1F89" w:rsidRDefault="008C1F89" w:rsidP="008C1F89">
      <w:pPr>
        <w:widowControl/>
        <w:autoSpaceDN/>
        <w:spacing w:before="100" w:beforeAutospacing="1" w:after="100" w:afterAutospacing="1" w:line="360" w:lineRule="atLeast"/>
        <w:jc w:val="both"/>
        <w:textAlignment w:val="auto"/>
        <w:rPr>
          <w:rFonts w:ascii="Times New Roman" w:hAnsi="Times New Roman" w:cs="Times New Roman"/>
          <w:color w:val="000000"/>
          <w:kern w:val="0"/>
          <w:sz w:val="27"/>
          <w:szCs w:val="27"/>
        </w:rPr>
      </w:pPr>
      <w:r w:rsidRPr="008C1F89">
        <w:rPr>
          <w:rFonts w:ascii="標楷體" w:eastAsia="標楷體" w:hAnsi="標楷體" w:cs="Times New Roman" w:hint="eastAsia"/>
          <w:b/>
          <w:bCs/>
          <w:color w:val="000000"/>
          <w:kern w:val="0"/>
          <w:sz w:val="27"/>
          <w:szCs w:val="27"/>
        </w:rPr>
        <w:t>評鑑總論（二）社區發展協會部分</w:t>
      </w:r>
    </w:p>
    <w:p w:rsidR="008C1F89" w:rsidRPr="008C1F89" w:rsidRDefault="008C1F89" w:rsidP="008C1F89">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從社區評鑑談社區發展協會運作</w:t>
      </w:r>
    </w:p>
    <w:p w:rsidR="008C1F89" w:rsidRPr="008C1F89" w:rsidRDefault="008C1F89" w:rsidP="008C1F89">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盧禹</w:t>
      </w:r>
      <w:proofErr w:type="gramStart"/>
      <w:r w:rsidRPr="008C1F89">
        <w:rPr>
          <w:rFonts w:ascii="Times New Roman" w:hAnsi="Times New Roman" w:cs="Times New Roman"/>
          <w:b/>
          <w:bCs/>
          <w:color w:val="000000"/>
          <w:kern w:val="0"/>
          <w:sz w:val="27"/>
          <w:szCs w:val="27"/>
        </w:rPr>
        <w:t>璁</w:t>
      </w:r>
      <w:proofErr w:type="gramEnd"/>
    </w:p>
    <w:p w:rsidR="008C1F89" w:rsidRPr="008C1F89" w:rsidRDefault="008C1F89" w:rsidP="008C1F89">
      <w:pPr>
        <w:widowControl/>
        <w:autoSpaceDN/>
        <w:spacing w:before="100" w:beforeAutospacing="1" w:after="100" w:afterAutospacing="1"/>
        <w:jc w:val="center"/>
        <w:textAlignment w:val="auto"/>
        <w:rPr>
          <w:rFonts w:ascii="Times New Roman" w:hAnsi="Times New Roman" w:cs="Times New Roman"/>
          <w:color w:val="000000"/>
          <w:kern w:val="0"/>
          <w:sz w:val="27"/>
          <w:szCs w:val="27"/>
        </w:rPr>
      </w:pPr>
      <w:r w:rsidRPr="008C1F89">
        <w:rPr>
          <w:rFonts w:ascii="Times New Roman" w:hAnsi="Times New Roman" w:cs="Times New Roman"/>
          <w:b/>
          <w:bCs/>
          <w:color w:val="000000"/>
          <w:kern w:val="0"/>
          <w:sz w:val="27"/>
          <w:szCs w:val="27"/>
        </w:rPr>
        <w:t>嘉南藥理科技大學社會工作系助理教授</w:t>
      </w:r>
    </w:p>
    <w:p w:rsidR="008C1F89" w:rsidRPr="008C1F89" w:rsidRDefault="008C1F89" w:rsidP="008C1F89">
      <w:pPr>
        <w:widowControl/>
        <w:autoSpaceDN/>
        <w:spacing w:before="180" w:after="100" w:afterAutospacing="1"/>
        <w:ind w:firstLine="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本次的社區發展評鑑工作是以北部地區為評鑑區域，歷經本次評鑑，也深深感覺社區在各層面皆迅速成長之中，社區民間力量也逐漸興起。事實上，臺灣歷經超過</w:t>
      </w:r>
      <w:r w:rsidRPr="008C1F89">
        <w:rPr>
          <w:rFonts w:ascii="Times New Roman" w:hAnsi="Times New Roman" w:cs="Times New Roman"/>
          <w:color w:val="000000"/>
          <w:kern w:val="0"/>
          <w:sz w:val="27"/>
          <w:szCs w:val="27"/>
        </w:rPr>
        <w:t>10</w:t>
      </w:r>
      <w:r w:rsidRPr="008C1F89">
        <w:rPr>
          <w:rFonts w:ascii="Times New Roman" w:hAnsi="Times New Roman" w:cs="Times New Roman"/>
          <w:color w:val="000000"/>
          <w:kern w:val="0"/>
          <w:sz w:val="27"/>
          <w:szCs w:val="27"/>
        </w:rPr>
        <w:t>年的社區營造工作，不管是人文、文化、社會福利、環保、空間營造、治安、教育等資源的投入與培力，許多社區皆有大幅度的成長與自主性的發展，也展現臺灣社區發展的多元性。就社區發展評鑑制度來看，許多縣市政府與社區對於此一制度有</w:t>
      </w:r>
      <w:proofErr w:type="gramStart"/>
      <w:r w:rsidRPr="008C1F89">
        <w:rPr>
          <w:rFonts w:ascii="Times New Roman" w:hAnsi="Times New Roman" w:cs="Times New Roman"/>
          <w:color w:val="000000"/>
          <w:kern w:val="0"/>
          <w:sz w:val="27"/>
          <w:szCs w:val="27"/>
        </w:rPr>
        <w:t>褒有貶</w:t>
      </w:r>
      <w:proofErr w:type="gramEnd"/>
      <w:r w:rsidRPr="008C1F89">
        <w:rPr>
          <w:rFonts w:ascii="Times New Roman" w:hAnsi="Times New Roman" w:cs="Times New Roman"/>
          <w:color w:val="000000"/>
          <w:kern w:val="0"/>
          <w:sz w:val="27"/>
          <w:szCs w:val="27"/>
        </w:rPr>
        <w:t>，但是至少是一種協助社區與縣市政府發現社區發展問題之機制。從本次</w:t>
      </w:r>
      <w:r w:rsidRPr="008C1F89">
        <w:rPr>
          <w:rFonts w:ascii="Times New Roman" w:hAnsi="Times New Roman" w:cs="Times New Roman"/>
          <w:color w:val="000000"/>
          <w:kern w:val="0"/>
          <w:sz w:val="27"/>
          <w:szCs w:val="27"/>
        </w:rPr>
        <w:lastRenderedPageBreak/>
        <w:t>的社區發展評鑑工作中，許多評鑑委員的參與，發現許多共同性的問題，以下提出參考，以期社區伙伴未來可以共同思考改善。</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 </w:t>
      </w:r>
      <w:r w:rsidRPr="008C1F89">
        <w:rPr>
          <w:rFonts w:ascii="Times New Roman" w:hAnsi="Times New Roman" w:cs="Times New Roman"/>
          <w:color w:val="000000"/>
          <w:kern w:val="0"/>
          <w:sz w:val="27"/>
          <w:szCs w:val="27"/>
        </w:rPr>
        <w:t>一、會務資料不夠完整或是不合程序。會務資料與程序是社區發展協會運作的基</w:t>
      </w:r>
      <w:r w:rsidRPr="008C1F89">
        <w:rPr>
          <w:rFonts w:ascii="Times New Roman" w:hAnsi="Times New Roman" w:cs="Times New Roman"/>
          <w:color w:val="000000"/>
          <w:kern w:val="0"/>
          <w:sz w:val="27"/>
          <w:szCs w:val="27"/>
        </w:rPr>
        <w:t xml:space="preserve"> </w:t>
      </w:r>
      <w:proofErr w:type="gramStart"/>
      <w:r w:rsidRPr="008C1F89">
        <w:rPr>
          <w:rFonts w:ascii="Times New Roman" w:hAnsi="Times New Roman" w:cs="Times New Roman"/>
          <w:color w:val="000000"/>
          <w:kern w:val="0"/>
          <w:sz w:val="27"/>
          <w:szCs w:val="27"/>
        </w:rPr>
        <w:t>礎</w:t>
      </w:r>
      <w:proofErr w:type="gramEnd"/>
      <w:r w:rsidRPr="008C1F89">
        <w:rPr>
          <w:rFonts w:ascii="Times New Roman" w:hAnsi="Times New Roman" w:cs="Times New Roman"/>
          <w:color w:val="000000"/>
          <w:kern w:val="0"/>
          <w:sz w:val="27"/>
          <w:szCs w:val="27"/>
        </w:rPr>
        <w:t>，包含各項會議的舉行、紀錄與核備、公文收發、協會組織運作、相關記錄等，有部分社區並非完備。</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二、財務資料不完整或是徵信不足。財務的呈現代表社區發展協會對於會員與社會</w:t>
      </w:r>
      <w:proofErr w:type="gramStart"/>
      <w:r w:rsidRPr="008C1F89">
        <w:rPr>
          <w:rFonts w:ascii="Times New Roman" w:hAnsi="Times New Roman" w:cs="Times New Roman"/>
          <w:color w:val="000000"/>
          <w:kern w:val="0"/>
          <w:sz w:val="27"/>
          <w:szCs w:val="27"/>
        </w:rPr>
        <w:t>的責信</w:t>
      </w:r>
      <w:proofErr w:type="gramEnd"/>
      <w:r w:rsidRPr="008C1F89">
        <w:rPr>
          <w:rFonts w:ascii="Times New Roman" w:hAnsi="Times New Roman" w:cs="Times New Roman"/>
          <w:color w:val="000000"/>
          <w:kern w:val="0"/>
          <w:sz w:val="27"/>
          <w:szCs w:val="27"/>
        </w:rPr>
        <w:t>，也通常牽扯許多的法律問題，包含捐款的徵信、良好仔細的會計制度、財務與會務人員之分離、經費使用控制與核銷等問題，需要加以注意。</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三、活動辦理之相關文件呈現不足。社區發展協會對於社區的貢獻就是辦理活動，並提供社區居民之參與平台，許多社區辦理大量的活動，但是由於呈現不足，造成財主單位或是評鑑委員的誤解，也希望社區辦完各項活動之後，做好各項詳細活動記錄，更可展現社區發展的成果。</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四、社區活動的呈現與社會福利主軸較無關聯。社區評鑑的辦理單位是內政部社會司，推動的主力是放於有關於福利社區化的層面，許多參與評鑑的社區把評鑑的呈現主力放於其他面向，這對於社區評鑑而言，可能得分不高。</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五、社區志願服務人力薄弱。社區發展的本質是培養地區自主性的運作與成長，重要因素是社區志願服務的人力，若社區志工短少的話，則不易達成發展目標，永續發展也大有問題，社區志工的招募、運用與訓練為大多數社區應該要考慮的問題。</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六、未做好社區概況、問題與需求之呈現。社區概況、問題與需求的呈現是要社區進行年度計畫之前的評估，也藉以反省年度執行績效的優缺點，在非營利組織經營的觀點上，是為了要減少資源配置浪費，符合需求與改進組織運作方式，若社區發展協會想要更進一步發展，則此一評估需要重視。</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七、對於公部門資源依賴過深。社區發展的另一本質為社區民間力量的呈現，發展初期，需要公部門的大量</w:t>
      </w:r>
      <w:proofErr w:type="gramStart"/>
      <w:r w:rsidRPr="008C1F89">
        <w:rPr>
          <w:rFonts w:ascii="Times New Roman" w:hAnsi="Times New Roman" w:cs="Times New Roman"/>
          <w:color w:val="000000"/>
          <w:kern w:val="0"/>
          <w:sz w:val="27"/>
          <w:szCs w:val="27"/>
        </w:rPr>
        <w:t>挹</w:t>
      </w:r>
      <w:proofErr w:type="gramEnd"/>
      <w:r w:rsidRPr="008C1F89">
        <w:rPr>
          <w:rFonts w:ascii="Times New Roman" w:hAnsi="Times New Roman" w:cs="Times New Roman"/>
          <w:color w:val="000000"/>
          <w:kern w:val="0"/>
          <w:sz w:val="27"/>
          <w:szCs w:val="27"/>
        </w:rPr>
        <w:t>注，但是到達轉型的階段或是政府經費短少時，則社區應該要自主性發展，尋求其他資源，許多社區依賴公部門資源過深，若不思考轉型，恐怕於未來永續發展上，大有問題。</w:t>
      </w:r>
    </w:p>
    <w:p w:rsidR="008C1F89" w:rsidRPr="008C1F89" w:rsidRDefault="008C1F89" w:rsidP="008C1F89">
      <w:pPr>
        <w:widowControl/>
        <w:autoSpaceDN/>
        <w:spacing w:before="180"/>
        <w:ind w:left="540" w:hanging="540"/>
        <w:jc w:val="both"/>
        <w:textAlignment w:val="auto"/>
        <w:rPr>
          <w:rFonts w:ascii="Times New Roman" w:hAnsi="Times New Roman" w:cs="Times New Roman"/>
          <w:color w:val="000000"/>
          <w:kern w:val="0"/>
          <w:sz w:val="27"/>
          <w:szCs w:val="27"/>
        </w:rPr>
      </w:pPr>
      <w:r w:rsidRPr="008C1F89">
        <w:rPr>
          <w:rFonts w:ascii="Times New Roman" w:hAnsi="Times New Roman" w:cs="Times New Roman"/>
          <w:color w:val="000000"/>
          <w:kern w:val="0"/>
          <w:sz w:val="27"/>
          <w:szCs w:val="27"/>
        </w:rPr>
        <w:t>八、社區產業形成的可能性。社區產業確實為社區財源開拓的好方法，但是並非所有的社區都有同樣的機會與條件，若是抄襲與翻版，並</w:t>
      </w:r>
      <w:r w:rsidRPr="008C1F89">
        <w:rPr>
          <w:rFonts w:ascii="Times New Roman" w:hAnsi="Times New Roman" w:cs="Times New Roman"/>
          <w:color w:val="000000"/>
          <w:kern w:val="0"/>
          <w:sz w:val="27"/>
          <w:szCs w:val="27"/>
        </w:rPr>
        <w:lastRenderedPageBreak/>
        <w:t>不會促成社區產業，故對於社區產業的形成，仍應持保留性的態度，也鼓勵多看多學，找出屬於社區自己的特色。</w:t>
      </w:r>
    </w:p>
    <w:p w:rsidR="001E6A87" w:rsidRPr="008C1F89" w:rsidRDefault="008C1F89"/>
    <w:sectPr w:rsidR="001E6A87" w:rsidRPr="008C1F8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22"/>
    <w:rsid w:val="005852D7"/>
    <w:rsid w:val="006B0795"/>
    <w:rsid w:val="00847A7A"/>
    <w:rsid w:val="008C1F89"/>
    <w:rsid w:val="00924ECA"/>
    <w:rsid w:val="00E82B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unhideWhenUsed/>
    <w:rsid w:val="008C1F89"/>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8C1F89"/>
    <w:rPr>
      <w:color w:val="0000FF"/>
      <w:u w:val="single"/>
    </w:rPr>
  </w:style>
  <w:style w:type="character" w:customStyle="1" w:styleId="apple-converted-space">
    <w:name w:val="apple-converted-space"/>
    <w:basedOn w:val="a0"/>
    <w:rsid w:val="008C1F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unhideWhenUsed/>
    <w:rsid w:val="008C1F89"/>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8C1F89"/>
    <w:rPr>
      <w:color w:val="0000FF"/>
      <w:u w:val="single"/>
    </w:rPr>
  </w:style>
  <w:style w:type="character" w:customStyle="1" w:styleId="apple-converted-space">
    <w:name w:val="apple-converted-space"/>
    <w:basedOn w:val="a0"/>
    <w:rsid w:val="008C1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27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1570</Words>
  <Characters>8954</Characters>
  <Application>Microsoft Office Word</Application>
  <DocSecurity>0</DocSecurity>
  <Lines>74</Lines>
  <Paragraphs>21</Paragraphs>
  <ScaleCrop>false</ScaleCrop>
  <Company/>
  <LinksUpToDate>false</LinksUpToDate>
  <CharactersWithSpaces>10503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2017-05-17T01:15:00Z</dcterms:created>
  <dcterms:modified xsi:type="dcterms:W3CDTF">2017-05-17T01:16:00Z</dcterms:modified>
</cp:coreProperties>
</file>