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0FF" w:rsidRPr="00801B15" w:rsidRDefault="00EF30FF" w:rsidP="00801B15">
      <w:pPr>
        <w:snapToGrid w:val="0"/>
        <w:spacing w:line="480" w:lineRule="exact"/>
        <w:jc w:val="center"/>
        <w:rPr>
          <w:rFonts w:eastAsia="標楷體" w:cs="Calibri"/>
          <w:sz w:val="36"/>
          <w:szCs w:val="36"/>
        </w:rPr>
      </w:pPr>
      <w:bookmarkStart w:id="0" w:name="_Toc62036949"/>
      <w:r w:rsidRPr="00801B15">
        <w:rPr>
          <w:rFonts w:eastAsia="標楷體" w:cs="Calibri" w:hint="eastAsia"/>
          <w:sz w:val="36"/>
          <w:szCs w:val="36"/>
        </w:rPr>
        <w:t>立法院第</w:t>
      </w:r>
      <w:r w:rsidRPr="00801B15">
        <w:rPr>
          <w:rFonts w:eastAsia="標楷體" w:cs="Calibri"/>
          <w:sz w:val="36"/>
          <w:szCs w:val="36"/>
        </w:rPr>
        <w:t>8</w:t>
      </w:r>
      <w:r w:rsidRPr="00801B15">
        <w:rPr>
          <w:rFonts w:eastAsia="標楷體" w:cs="Calibri" w:hint="eastAsia"/>
          <w:sz w:val="36"/>
          <w:szCs w:val="36"/>
        </w:rPr>
        <w:t>屆第</w:t>
      </w:r>
      <w:r w:rsidRPr="00801B15">
        <w:rPr>
          <w:rFonts w:eastAsia="標楷體" w:cs="Calibri"/>
          <w:sz w:val="36"/>
          <w:szCs w:val="36"/>
        </w:rPr>
        <w:t>7</w:t>
      </w:r>
      <w:r w:rsidRPr="00801B15">
        <w:rPr>
          <w:rFonts w:eastAsia="標楷體" w:cs="Calibri" w:hint="eastAsia"/>
          <w:sz w:val="36"/>
          <w:szCs w:val="36"/>
        </w:rPr>
        <w:t>會期</w:t>
      </w:r>
    </w:p>
    <w:p w:rsidR="00EF30FF" w:rsidRPr="00801B15" w:rsidRDefault="00EF30FF" w:rsidP="00801B15">
      <w:pPr>
        <w:snapToGrid w:val="0"/>
        <w:spacing w:line="480" w:lineRule="exact"/>
        <w:jc w:val="center"/>
        <w:rPr>
          <w:rFonts w:eastAsia="標楷體" w:cs="Calibri"/>
          <w:sz w:val="36"/>
          <w:szCs w:val="36"/>
        </w:rPr>
      </w:pPr>
      <w:r w:rsidRPr="00801B15">
        <w:rPr>
          <w:rFonts w:eastAsia="標楷體" w:cs="Calibri" w:hint="eastAsia"/>
          <w:sz w:val="36"/>
          <w:szCs w:val="36"/>
        </w:rPr>
        <w:t>社會福利及衛生環境委員會全體委員會議</w:t>
      </w:r>
    </w:p>
    <w:p w:rsidR="00EF30FF" w:rsidRPr="00801B15" w:rsidRDefault="00EF30FF" w:rsidP="00801B15">
      <w:pPr>
        <w:spacing w:line="480" w:lineRule="exact"/>
        <w:rPr>
          <w:rFonts w:cs="Calibri"/>
          <w:sz w:val="28"/>
          <w:szCs w:val="24"/>
        </w:rPr>
      </w:pPr>
    </w:p>
    <w:p w:rsidR="00EF30FF" w:rsidRPr="00801B15" w:rsidRDefault="00EF30FF" w:rsidP="00801B15">
      <w:pPr>
        <w:spacing w:line="480" w:lineRule="exact"/>
        <w:rPr>
          <w:rFonts w:cs="Calibri"/>
          <w:sz w:val="28"/>
          <w:szCs w:val="24"/>
        </w:rPr>
      </w:pPr>
    </w:p>
    <w:p w:rsidR="00EF30FF" w:rsidRPr="00801B15" w:rsidRDefault="00EF30FF" w:rsidP="00801B15">
      <w:pPr>
        <w:spacing w:line="480" w:lineRule="exact"/>
        <w:jc w:val="center"/>
        <w:rPr>
          <w:rFonts w:eastAsia="標楷體" w:cs="Calibri"/>
          <w:sz w:val="28"/>
          <w:szCs w:val="28"/>
        </w:rPr>
      </w:pPr>
    </w:p>
    <w:p w:rsidR="00EF30FF" w:rsidRPr="00801B15" w:rsidRDefault="00EF30FF" w:rsidP="00801B15">
      <w:pPr>
        <w:spacing w:line="480" w:lineRule="exact"/>
        <w:jc w:val="center"/>
        <w:rPr>
          <w:rFonts w:eastAsia="標楷體" w:cs="Calibri"/>
          <w:sz w:val="52"/>
          <w:szCs w:val="52"/>
        </w:rPr>
      </w:pPr>
    </w:p>
    <w:p w:rsidR="00EF30FF" w:rsidRPr="00801B15" w:rsidRDefault="00EF30FF" w:rsidP="00801B15">
      <w:pPr>
        <w:ind w:left="1272" w:hangingChars="212" w:hanging="1272"/>
        <w:jc w:val="both"/>
        <w:rPr>
          <w:rFonts w:ascii="Times New Roman" w:eastAsia="標楷體" w:hAnsi="Times New Roman"/>
          <w:sz w:val="60"/>
          <w:szCs w:val="60"/>
        </w:rPr>
      </w:pPr>
      <w:r w:rsidRPr="00801B15">
        <w:rPr>
          <w:rFonts w:ascii="標楷體" w:eastAsia="標楷體" w:hAnsi="標楷體"/>
          <w:sz w:val="60"/>
          <w:szCs w:val="60"/>
        </w:rPr>
        <w:t xml:space="preserve">    </w:t>
      </w:r>
      <w:r w:rsidRPr="00801B15">
        <w:rPr>
          <w:rFonts w:ascii="標楷體" w:eastAsia="標楷體" w:hAnsi="標楷體" w:hint="eastAsia"/>
          <w:sz w:val="60"/>
          <w:szCs w:val="60"/>
        </w:rPr>
        <w:t>藥品主成分及賦形劑之原料應如何依藥事法、中華藥典規範及相關法規管理</w:t>
      </w:r>
    </w:p>
    <w:p w:rsidR="00EF30FF" w:rsidRPr="00801B15" w:rsidRDefault="00EF30FF" w:rsidP="00801B15">
      <w:pPr>
        <w:jc w:val="center"/>
        <w:rPr>
          <w:rFonts w:ascii="Times New Roman" w:eastAsia="標楷體" w:hAnsi="Times New Roman"/>
          <w:sz w:val="60"/>
          <w:szCs w:val="24"/>
        </w:rPr>
      </w:pPr>
    </w:p>
    <w:p w:rsidR="00EF30FF" w:rsidRPr="00801B15" w:rsidRDefault="00EF30FF" w:rsidP="00801B15">
      <w:pPr>
        <w:jc w:val="center"/>
        <w:rPr>
          <w:rFonts w:ascii="Times New Roman" w:eastAsia="標楷體" w:hAnsi="Times New Roman"/>
          <w:sz w:val="60"/>
          <w:szCs w:val="24"/>
        </w:rPr>
      </w:pPr>
      <w:r w:rsidRPr="00801B15">
        <w:rPr>
          <w:rFonts w:ascii="Times New Roman" w:eastAsia="標楷體" w:hAnsi="Times New Roman" w:hint="eastAsia"/>
          <w:sz w:val="60"/>
          <w:szCs w:val="24"/>
        </w:rPr>
        <w:t>專案報告</w:t>
      </w:r>
      <w:bookmarkStart w:id="1" w:name="_GoBack"/>
      <w:bookmarkEnd w:id="1"/>
    </w:p>
    <w:p w:rsidR="00EF30FF" w:rsidRPr="00801B15" w:rsidRDefault="00EF30FF" w:rsidP="00801B15">
      <w:pPr>
        <w:spacing w:line="480" w:lineRule="exact"/>
        <w:jc w:val="center"/>
        <w:rPr>
          <w:rFonts w:eastAsia="標楷體" w:cs="Calibri"/>
          <w:sz w:val="36"/>
          <w:szCs w:val="36"/>
        </w:rPr>
      </w:pPr>
    </w:p>
    <w:p w:rsidR="00EF30FF" w:rsidRPr="00801B15" w:rsidRDefault="00EF30FF" w:rsidP="00801B15">
      <w:pPr>
        <w:spacing w:line="480" w:lineRule="exact"/>
        <w:jc w:val="center"/>
        <w:rPr>
          <w:rFonts w:eastAsia="標楷體" w:cs="Calibri"/>
          <w:szCs w:val="24"/>
        </w:rPr>
      </w:pPr>
    </w:p>
    <w:p w:rsidR="00EF30FF" w:rsidRPr="00801B15" w:rsidRDefault="00EF30FF" w:rsidP="00801B15">
      <w:pPr>
        <w:spacing w:line="480" w:lineRule="exact"/>
        <w:jc w:val="center"/>
        <w:rPr>
          <w:rFonts w:eastAsia="標楷體" w:cs="Calibri"/>
          <w:szCs w:val="24"/>
        </w:rPr>
      </w:pPr>
    </w:p>
    <w:p w:rsidR="00EF30FF" w:rsidRPr="00801B15" w:rsidRDefault="00EF30FF" w:rsidP="00801B15">
      <w:pPr>
        <w:spacing w:line="480" w:lineRule="exact"/>
        <w:jc w:val="center"/>
        <w:rPr>
          <w:rFonts w:eastAsia="標楷體" w:cs="Calibri"/>
          <w:szCs w:val="24"/>
        </w:rPr>
      </w:pPr>
    </w:p>
    <w:p w:rsidR="00EF30FF" w:rsidRPr="00801B15" w:rsidRDefault="00EF30FF" w:rsidP="00801B15">
      <w:pPr>
        <w:spacing w:line="480" w:lineRule="exact"/>
        <w:jc w:val="center"/>
        <w:rPr>
          <w:rFonts w:eastAsia="標楷體" w:cs="Calibri"/>
          <w:szCs w:val="24"/>
        </w:rPr>
      </w:pPr>
      <w:r w:rsidRPr="00801B15">
        <w:rPr>
          <w:rFonts w:eastAsia="標楷體" w:cs="Calibri" w:hint="eastAsia"/>
          <w:sz w:val="36"/>
          <w:szCs w:val="24"/>
        </w:rPr>
        <w:t>報告人：衛生福利部</w:t>
      </w:r>
    </w:p>
    <w:p w:rsidR="00EF30FF" w:rsidRPr="00801B15" w:rsidRDefault="00EF30FF" w:rsidP="00801B15">
      <w:pPr>
        <w:spacing w:line="480" w:lineRule="exact"/>
        <w:jc w:val="center"/>
        <w:rPr>
          <w:rFonts w:eastAsia="標楷體" w:cs="Calibri"/>
          <w:sz w:val="36"/>
          <w:szCs w:val="24"/>
        </w:rPr>
      </w:pPr>
      <w:r w:rsidRPr="00801B15">
        <w:rPr>
          <w:rFonts w:eastAsia="標楷體" w:cs="Calibri" w:hint="eastAsia"/>
          <w:sz w:val="36"/>
          <w:szCs w:val="24"/>
        </w:rPr>
        <w:t>報告日期：中華民國</w:t>
      </w:r>
      <w:r w:rsidRPr="00801B15">
        <w:rPr>
          <w:rFonts w:eastAsia="標楷體" w:cs="Calibri"/>
          <w:sz w:val="36"/>
          <w:szCs w:val="24"/>
        </w:rPr>
        <w:t>104</w:t>
      </w:r>
      <w:r w:rsidRPr="00801B15">
        <w:rPr>
          <w:rFonts w:eastAsia="標楷體" w:cs="Calibri" w:hint="eastAsia"/>
          <w:sz w:val="36"/>
          <w:szCs w:val="24"/>
        </w:rPr>
        <w:t>年</w:t>
      </w:r>
      <w:r w:rsidRPr="00801B15">
        <w:rPr>
          <w:rFonts w:eastAsia="標楷體" w:cs="Calibri"/>
          <w:sz w:val="36"/>
          <w:szCs w:val="24"/>
        </w:rPr>
        <w:t>4</w:t>
      </w:r>
      <w:r w:rsidRPr="00801B15">
        <w:rPr>
          <w:rFonts w:eastAsia="標楷體" w:cs="Calibri" w:hint="eastAsia"/>
          <w:sz w:val="36"/>
          <w:szCs w:val="24"/>
        </w:rPr>
        <w:t>月</w:t>
      </w:r>
      <w:r w:rsidRPr="00801B15">
        <w:rPr>
          <w:rFonts w:eastAsia="標楷體" w:cs="Calibri"/>
          <w:sz w:val="36"/>
          <w:szCs w:val="24"/>
        </w:rPr>
        <w:t>20</w:t>
      </w:r>
      <w:r w:rsidRPr="00801B15">
        <w:rPr>
          <w:rFonts w:eastAsia="標楷體" w:cs="Calibri" w:hint="eastAsia"/>
          <w:sz w:val="36"/>
          <w:szCs w:val="24"/>
        </w:rPr>
        <w:t>日</w:t>
      </w:r>
    </w:p>
    <w:p w:rsidR="00EF30FF" w:rsidRPr="00801B15" w:rsidRDefault="00B43E62" w:rsidP="00801B15">
      <w:pPr>
        <w:widowControl/>
        <w:spacing w:line="480" w:lineRule="exact"/>
        <w:jc w:val="center"/>
        <w:rPr>
          <w:rFonts w:cs="Calibri"/>
          <w:szCs w:val="24"/>
        </w:rPr>
        <w:sectPr w:rsidR="00EF30FF" w:rsidRPr="00801B15" w:rsidSect="00801B15">
          <w:footerReference w:type="default" r:id="rId8"/>
          <w:pgSz w:w="11906" w:h="16838"/>
          <w:pgMar w:top="1644" w:right="1559" w:bottom="1701" w:left="1701" w:header="851" w:footer="992" w:gutter="0"/>
          <w:pgNumType w:start="1" w:chapStyle="1"/>
          <w:cols w:space="425"/>
          <w:docGrid w:type="lines" w:linePitch="360"/>
        </w:sectPr>
      </w:pPr>
      <w:r>
        <w:rPr>
          <w:noProof/>
        </w:rPr>
        <mc:AlternateContent>
          <mc:Choice Requires="wps">
            <w:drawing>
              <wp:anchor distT="0" distB="0" distL="114300" distR="114300" simplePos="0" relativeHeight="251658240" behindDoc="0" locked="0" layoutInCell="1" allowOverlap="1">
                <wp:simplePos x="0" y="0"/>
                <wp:positionH relativeFrom="column">
                  <wp:posOffset>2514600</wp:posOffset>
                </wp:positionH>
                <wp:positionV relativeFrom="paragraph">
                  <wp:posOffset>698500</wp:posOffset>
                </wp:positionV>
                <wp:extent cx="342900" cy="3429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254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98pt;margin-top:55pt;width:2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" strokecolor="white" strokeweight="2pt">
                <v:path arrowok="t"/>
              </v:rect>
            </w:pict>
          </mc:Fallback>
        </mc:AlternateContent>
      </w:r>
    </w:p>
    <w:p w:rsidR="00EF30FF" w:rsidRPr="00801B15" w:rsidRDefault="00EF30FF" w:rsidP="00801B15">
      <w:pPr>
        <w:adjustRightInd w:val="0"/>
        <w:snapToGrid w:val="0"/>
        <w:spacing w:line="480" w:lineRule="exact"/>
        <w:ind w:left="598" w:rightChars="-7" w:right="-17" w:hangingChars="187" w:hanging="598"/>
        <w:jc w:val="both"/>
        <w:rPr>
          <w:rFonts w:eastAsia="標楷體" w:cs="Calibri"/>
          <w:bCs/>
          <w:kern w:val="0"/>
          <w:sz w:val="32"/>
          <w:szCs w:val="32"/>
        </w:rPr>
      </w:pPr>
      <w:r w:rsidRPr="00801B15">
        <w:rPr>
          <w:rFonts w:eastAsia="標楷體" w:cs="Calibri" w:hint="eastAsia"/>
          <w:bCs/>
          <w:kern w:val="0"/>
          <w:sz w:val="32"/>
          <w:szCs w:val="32"/>
        </w:rPr>
        <w:lastRenderedPageBreak/>
        <w:t>主席、各位委員女士、先生：</w:t>
      </w:r>
    </w:p>
    <w:bookmarkEnd w:id="0"/>
    <w:p w:rsidR="00EF30FF" w:rsidRPr="00801B15" w:rsidRDefault="00EF30FF" w:rsidP="00801B15">
      <w:pPr>
        <w:spacing w:line="480" w:lineRule="exact"/>
        <w:ind w:firstLineChars="200" w:firstLine="640"/>
        <w:jc w:val="both"/>
        <w:rPr>
          <w:rFonts w:eastAsia="標楷體" w:cs="Calibri"/>
          <w:sz w:val="32"/>
          <w:szCs w:val="32"/>
        </w:rPr>
      </w:pPr>
      <w:r w:rsidRPr="00801B15">
        <w:rPr>
          <w:rFonts w:eastAsia="標楷體" w:cs="Calibri" w:hint="eastAsia"/>
          <w:sz w:val="32"/>
          <w:szCs w:val="32"/>
        </w:rPr>
        <w:t>今天</w:t>
      </w:r>
      <w:r w:rsidRPr="00801B15">
        <w:rPr>
          <w:rFonts w:eastAsia="標楷體" w:cs="Calibri"/>
          <w:sz w:val="32"/>
          <w:szCs w:val="32"/>
        </w:rPr>
        <w:t xml:space="preserve">  </w:t>
      </w:r>
      <w:r w:rsidRPr="00801B15">
        <w:rPr>
          <w:rFonts w:eastAsia="標楷體" w:cs="Calibri" w:hint="eastAsia"/>
          <w:sz w:val="32"/>
          <w:szCs w:val="32"/>
        </w:rPr>
        <w:t>大院第</w:t>
      </w:r>
      <w:r w:rsidRPr="00801B15">
        <w:rPr>
          <w:rFonts w:eastAsia="標楷體" w:cs="Calibri"/>
          <w:sz w:val="32"/>
          <w:szCs w:val="32"/>
        </w:rPr>
        <w:t>8</w:t>
      </w:r>
      <w:r w:rsidRPr="00801B15">
        <w:rPr>
          <w:rFonts w:eastAsia="標楷體" w:cs="Calibri" w:hint="eastAsia"/>
          <w:sz w:val="32"/>
          <w:szCs w:val="32"/>
        </w:rPr>
        <w:t>屆第</w:t>
      </w:r>
      <w:r w:rsidRPr="00801B15">
        <w:rPr>
          <w:rFonts w:eastAsia="標楷體" w:cs="Calibri"/>
          <w:sz w:val="32"/>
          <w:szCs w:val="32"/>
        </w:rPr>
        <w:t>7</w:t>
      </w:r>
      <w:r w:rsidRPr="00801B15">
        <w:rPr>
          <w:rFonts w:eastAsia="標楷體" w:cs="Calibri" w:hint="eastAsia"/>
          <w:sz w:val="32"/>
          <w:szCs w:val="32"/>
        </w:rPr>
        <w:t>會期社會福利及衛生環境委員會全體委員會議，邀本部針對</w:t>
      </w:r>
      <w:r w:rsidRPr="00801B15">
        <w:rPr>
          <w:rFonts w:ascii="標楷體" w:eastAsia="標楷體" w:hAnsi="標楷體" w:cs="Calibri" w:hint="eastAsia"/>
          <w:sz w:val="32"/>
          <w:szCs w:val="32"/>
        </w:rPr>
        <w:t>「</w:t>
      </w:r>
      <w:r w:rsidRPr="00801B15">
        <w:rPr>
          <w:rFonts w:eastAsia="標楷體" w:cs="Calibri" w:hint="eastAsia"/>
          <w:sz w:val="32"/>
          <w:szCs w:val="32"/>
        </w:rPr>
        <w:t>藥品主成分及賦形劑之原料藥應如何依藥事法、中華藥典規範及相關法規管理</w:t>
      </w:r>
      <w:r w:rsidRPr="00801B15">
        <w:rPr>
          <w:rFonts w:ascii="標楷體" w:eastAsia="標楷體" w:hAnsi="標楷體" w:cs="Calibri" w:hint="eastAsia"/>
          <w:sz w:val="32"/>
          <w:szCs w:val="32"/>
        </w:rPr>
        <w:t>」</w:t>
      </w:r>
      <w:r w:rsidRPr="00801B15">
        <w:rPr>
          <w:rFonts w:eastAsia="標楷體" w:cs="Calibri" w:hint="eastAsia"/>
          <w:sz w:val="32"/>
          <w:szCs w:val="32"/>
        </w:rPr>
        <w:t>提出報告，敬請各位委員不吝指教。</w:t>
      </w:r>
    </w:p>
    <w:p w:rsidR="00EF30FF" w:rsidRPr="00801B15" w:rsidRDefault="00EF30FF" w:rsidP="00801B15">
      <w:pPr>
        <w:spacing w:line="480" w:lineRule="exact"/>
        <w:ind w:firstLineChars="200" w:firstLine="640"/>
        <w:jc w:val="center"/>
        <w:rPr>
          <w:rFonts w:eastAsia="標楷體" w:cs="Calibri"/>
          <w:sz w:val="32"/>
          <w:szCs w:val="32"/>
        </w:rPr>
      </w:pPr>
    </w:p>
    <w:p w:rsidR="00EF30FF" w:rsidRPr="00801B15" w:rsidRDefault="00EF30FF" w:rsidP="00801B15">
      <w:pPr>
        <w:spacing w:line="480" w:lineRule="exact"/>
        <w:ind w:left="643" w:hangingChars="201" w:hanging="643"/>
        <w:rPr>
          <w:rFonts w:eastAsia="標楷體" w:cs="Calibri"/>
          <w:sz w:val="32"/>
          <w:szCs w:val="32"/>
        </w:rPr>
      </w:pPr>
    </w:p>
    <w:p w:rsidR="00EF30FF" w:rsidRPr="00801B15" w:rsidRDefault="00EF30FF" w:rsidP="00801B15">
      <w:pPr>
        <w:spacing w:line="480" w:lineRule="exact"/>
        <w:ind w:left="644" w:hangingChars="201" w:hanging="644"/>
        <w:rPr>
          <w:rFonts w:eastAsia="標楷體" w:cs="Calibri"/>
          <w:b/>
          <w:sz w:val="32"/>
          <w:szCs w:val="32"/>
        </w:rPr>
      </w:pPr>
      <w:r w:rsidRPr="00801B15">
        <w:rPr>
          <w:rFonts w:eastAsia="標楷體" w:cs="Calibri" w:hint="eastAsia"/>
          <w:b/>
          <w:sz w:val="32"/>
          <w:szCs w:val="32"/>
        </w:rPr>
        <w:t>壹、</w:t>
      </w:r>
      <w:r w:rsidRPr="00801B15">
        <w:rPr>
          <w:rFonts w:ascii="Times New Roman" w:eastAsia="標楷體" w:hAnsi="Times New Roman" w:hint="eastAsia"/>
          <w:b/>
          <w:sz w:val="32"/>
          <w:szCs w:val="32"/>
        </w:rPr>
        <w:t>現行</w:t>
      </w:r>
      <w:r w:rsidRPr="00801B15">
        <w:rPr>
          <w:rFonts w:eastAsia="標楷體" w:cs="Calibri" w:hint="eastAsia"/>
          <w:b/>
          <w:sz w:val="32"/>
          <w:szCs w:val="32"/>
        </w:rPr>
        <w:t>政策</w:t>
      </w:r>
    </w:p>
    <w:p w:rsidR="00EF30FF" w:rsidRPr="00801B15" w:rsidRDefault="00EF30FF" w:rsidP="00801B15">
      <w:pPr>
        <w:spacing w:line="480" w:lineRule="exact"/>
        <w:jc w:val="both"/>
        <w:rPr>
          <w:rFonts w:ascii="新細明體"/>
          <w:b/>
          <w:sz w:val="32"/>
          <w:szCs w:val="32"/>
        </w:rPr>
      </w:pPr>
      <w:r w:rsidRPr="00801B15">
        <w:rPr>
          <w:rFonts w:ascii="Times New Roman" w:eastAsia="標楷體" w:hAnsi="Times New Roman"/>
          <w:sz w:val="32"/>
          <w:szCs w:val="32"/>
        </w:rPr>
        <w:t xml:space="preserve">  </w:t>
      </w:r>
      <w:r w:rsidRPr="00801B15">
        <w:rPr>
          <w:rFonts w:ascii="Times New Roman" w:eastAsia="標楷體" w:hAnsi="Times New Roman" w:hint="eastAsia"/>
          <w:b/>
          <w:sz w:val="32"/>
          <w:szCs w:val="32"/>
        </w:rPr>
        <w:t>一、藥政管理機制</w:t>
      </w:r>
      <w:r w:rsidRPr="00801B15">
        <w:rPr>
          <w:rFonts w:ascii="新細明體" w:hAnsi="新細明體" w:hint="eastAsia"/>
          <w:b/>
          <w:sz w:val="32"/>
          <w:szCs w:val="32"/>
        </w:rPr>
        <w:t>：</w:t>
      </w:r>
    </w:p>
    <w:p w:rsidR="00EF30FF" w:rsidRPr="00801B15" w:rsidRDefault="00EF30FF" w:rsidP="00801B15">
      <w:pPr>
        <w:spacing w:line="480" w:lineRule="exact"/>
        <w:ind w:left="848" w:hangingChars="265" w:hanging="848"/>
        <w:jc w:val="both"/>
        <w:rPr>
          <w:rFonts w:ascii="Times New Roman" w:eastAsia="標楷體" w:hAnsi="Times New Roman"/>
          <w:sz w:val="32"/>
          <w:szCs w:val="32"/>
        </w:rPr>
      </w:pPr>
      <w:r w:rsidRPr="00801B15">
        <w:rPr>
          <w:rFonts w:ascii="Times New Roman" w:eastAsia="標楷體" w:hAnsi="Times New Roman"/>
          <w:sz w:val="32"/>
          <w:szCs w:val="32"/>
        </w:rPr>
        <w:t xml:space="preserve">         </w:t>
      </w:r>
      <w:r w:rsidRPr="00801B15">
        <w:rPr>
          <w:rFonts w:ascii="Times New Roman" w:eastAsia="標楷體" w:hAnsi="Times New Roman" w:hint="eastAsia"/>
          <w:sz w:val="32"/>
          <w:szCs w:val="32"/>
        </w:rPr>
        <w:t>藥品須依藥事法第</w:t>
      </w:r>
      <w:r w:rsidRPr="00801B15">
        <w:rPr>
          <w:rFonts w:ascii="Times New Roman" w:eastAsia="標楷體" w:hAnsi="Times New Roman"/>
          <w:sz w:val="32"/>
          <w:szCs w:val="32"/>
        </w:rPr>
        <w:t>39</w:t>
      </w:r>
      <w:r w:rsidRPr="00801B15">
        <w:rPr>
          <w:rFonts w:ascii="Times New Roman" w:eastAsia="標楷體" w:hAnsi="Times New Roman" w:hint="eastAsia"/>
          <w:sz w:val="32"/>
          <w:szCs w:val="32"/>
        </w:rPr>
        <w:t>條規定申請查驗登記並取得藥品許可證始得製造或輸入。國內藥品審查主要以安全、療效及品質為其三大目的，可分為上市前管理以及上市後之</w:t>
      </w:r>
      <w:r>
        <w:rPr>
          <w:rFonts w:ascii="Times New Roman" w:eastAsia="標楷體" w:hAnsi="Times New Roman" w:hint="eastAsia"/>
          <w:sz w:val="32"/>
          <w:szCs w:val="32"/>
        </w:rPr>
        <w:t>管理</w:t>
      </w:r>
      <w:r w:rsidRPr="00801B15">
        <w:rPr>
          <w:rFonts w:ascii="Times New Roman" w:eastAsia="標楷體" w:hAnsi="Times New Roman" w:hint="eastAsia"/>
          <w:sz w:val="32"/>
          <w:szCs w:val="32"/>
        </w:rPr>
        <w:t>。</w:t>
      </w:r>
    </w:p>
    <w:p w:rsidR="00EF30FF" w:rsidRPr="00801B15" w:rsidRDefault="00EF30FF" w:rsidP="00801B15">
      <w:pPr>
        <w:numPr>
          <w:ilvl w:val="1"/>
          <w:numId w:val="1"/>
        </w:numPr>
        <w:tabs>
          <w:tab w:val="left" w:pos="709"/>
        </w:tabs>
        <w:spacing w:line="480" w:lineRule="exact"/>
        <w:jc w:val="both"/>
        <w:rPr>
          <w:rFonts w:ascii="Times New Roman" w:eastAsia="標楷體" w:hAnsi="Times New Roman"/>
          <w:sz w:val="32"/>
          <w:szCs w:val="32"/>
        </w:rPr>
      </w:pPr>
      <w:r w:rsidRPr="00801B15">
        <w:rPr>
          <w:rFonts w:ascii="Times New Roman" w:eastAsia="標楷體" w:hAnsi="Times New Roman" w:hint="eastAsia"/>
          <w:b/>
          <w:sz w:val="32"/>
          <w:szCs w:val="32"/>
        </w:rPr>
        <w:t>上市前管理部分</w:t>
      </w:r>
    </w:p>
    <w:p w:rsidR="00EF30FF" w:rsidRPr="00801B15" w:rsidRDefault="00EF30FF" w:rsidP="00801B15">
      <w:pPr>
        <w:tabs>
          <w:tab w:val="left" w:pos="709"/>
        </w:tabs>
        <w:spacing w:line="480" w:lineRule="exact"/>
        <w:ind w:leftChars="413" w:left="991" w:firstLineChars="88" w:firstLine="282"/>
        <w:jc w:val="both"/>
        <w:rPr>
          <w:rFonts w:ascii="Times New Roman" w:eastAsia="標楷體" w:hAnsi="Times New Roman"/>
          <w:sz w:val="32"/>
          <w:szCs w:val="32"/>
        </w:rPr>
      </w:pPr>
      <w:r w:rsidRPr="00801B15">
        <w:rPr>
          <w:rFonts w:ascii="Times New Roman" w:eastAsia="標楷體" w:hAnsi="Times New Roman"/>
          <w:sz w:val="32"/>
          <w:szCs w:val="32"/>
        </w:rPr>
        <w:t xml:space="preserve">  </w:t>
      </w:r>
      <w:r w:rsidRPr="00801B15">
        <w:rPr>
          <w:rFonts w:ascii="Times New Roman" w:eastAsia="標楷體" w:hAnsi="Times New Roman" w:hint="eastAsia"/>
          <w:sz w:val="32"/>
          <w:szCs w:val="32"/>
        </w:rPr>
        <w:t>製劑上市前依藥事法以審查其安全、療效及品質，藥廠應符合</w:t>
      </w:r>
      <w:r w:rsidRPr="00801B15">
        <w:rPr>
          <w:rFonts w:ascii="Times New Roman" w:eastAsia="標楷體" w:hAnsi="Times New Roman"/>
          <w:sz w:val="32"/>
          <w:szCs w:val="32"/>
        </w:rPr>
        <w:t>GMP</w:t>
      </w:r>
      <w:r w:rsidRPr="00801B15">
        <w:rPr>
          <w:rFonts w:ascii="Times New Roman" w:eastAsia="標楷體" w:hAnsi="Times New Roman" w:hint="eastAsia"/>
          <w:sz w:val="32"/>
          <w:szCs w:val="32"/>
        </w:rPr>
        <w:t>規範，以確保製造之質量、強度、純度及恆定性。</w:t>
      </w:r>
    </w:p>
    <w:p w:rsidR="00EF30FF" w:rsidRDefault="00EF30FF" w:rsidP="00801B15">
      <w:pPr>
        <w:tabs>
          <w:tab w:val="left" w:pos="709"/>
        </w:tabs>
        <w:spacing w:line="480" w:lineRule="exact"/>
        <w:ind w:leftChars="413" w:left="991" w:firstLineChars="88" w:firstLine="282"/>
        <w:jc w:val="both"/>
        <w:rPr>
          <w:rFonts w:ascii="Times New Roman" w:eastAsia="標楷體" w:hAnsi="Times New Roman"/>
          <w:sz w:val="32"/>
          <w:szCs w:val="32"/>
        </w:rPr>
      </w:pPr>
      <w:r>
        <w:rPr>
          <w:rFonts w:ascii="Times New Roman" w:eastAsia="標楷體" w:hAnsi="Times New Roman"/>
          <w:sz w:val="32"/>
          <w:szCs w:val="32"/>
        </w:rPr>
        <w:t xml:space="preserve">  </w:t>
      </w:r>
      <w:r w:rsidRPr="00801B15">
        <w:rPr>
          <w:rFonts w:ascii="Times New Roman" w:eastAsia="標楷體" w:hAnsi="Times New Roman" w:hint="eastAsia"/>
          <w:sz w:val="32"/>
          <w:szCs w:val="32"/>
        </w:rPr>
        <w:t>西藥製劑賦形劑審查方面</w:t>
      </w:r>
      <w:r w:rsidRPr="009349A2">
        <w:rPr>
          <w:rFonts w:ascii="Times New Roman" w:eastAsia="標楷體" w:hAnsi="Times New Roman" w:hint="eastAsia"/>
          <w:color w:val="000000"/>
          <w:sz w:val="32"/>
          <w:szCs w:val="32"/>
        </w:rPr>
        <w:t>，</w:t>
      </w:r>
      <w:r w:rsidRPr="00A63745">
        <w:rPr>
          <w:rFonts w:ascii="Times New Roman" w:eastAsia="標楷體" w:hAnsi="Times New Roman" w:hint="eastAsia"/>
          <w:sz w:val="32"/>
          <w:szCs w:val="32"/>
        </w:rPr>
        <w:t>與</w:t>
      </w:r>
      <w:r>
        <w:rPr>
          <w:rFonts w:ascii="Times New Roman" w:eastAsia="標楷體" w:hAnsi="Times New Roman" w:hint="eastAsia"/>
          <w:sz w:val="32"/>
          <w:szCs w:val="32"/>
        </w:rPr>
        <w:t>醫藥</w:t>
      </w:r>
      <w:r w:rsidRPr="00A63745">
        <w:rPr>
          <w:rFonts w:ascii="Times New Roman" w:eastAsia="標楷體" w:hAnsi="Times New Roman" w:hint="eastAsia"/>
          <w:sz w:val="32"/>
          <w:szCs w:val="32"/>
        </w:rPr>
        <w:t>先進國家做法一致，</w:t>
      </w:r>
      <w:r w:rsidRPr="009349A2">
        <w:rPr>
          <w:rFonts w:ascii="Times New Roman" w:eastAsia="標楷體" w:hAnsi="Times New Roman" w:hint="eastAsia"/>
          <w:color w:val="000000"/>
          <w:sz w:val="32"/>
          <w:szCs w:val="32"/>
        </w:rPr>
        <w:t>著重於賦形劑品質的要求</w:t>
      </w:r>
      <w:r>
        <w:rPr>
          <w:rFonts w:ascii="Times New Roman" w:eastAsia="標楷體" w:hAnsi="Times New Roman" w:hint="eastAsia"/>
          <w:color w:val="000000"/>
          <w:sz w:val="32"/>
          <w:szCs w:val="32"/>
        </w:rPr>
        <w:t>，</w:t>
      </w:r>
      <w:r w:rsidRPr="009349A2">
        <w:rPr>
          <w:rFonts w:ascii="Times New Roman" w:eastAsia="標楷體" w:hAnsi="Times New Roman" w:hint="eastAsia"/>
          <w:color w:val="000000"/>
          <w:sz w:val="32"/>
          <w:szCs w:val="32"/>
        </w:rPr>
        <w:t>皆要求須符合該國藥典的規範，</w:t>
      </w:r>
      <w:r>
        <w:rPr>
          <w:rFonts w:ascii="Times New Roman" w:eastAsia="標楷體" w:hAnsi="Times New Roman" w:hint="eastAsia"/>
          <w:color w:val="000000"/>
          <w:sz w:val="32"/>
          <w:szCs w:val="32"/>
        </w:rPr>
        <w:t>無</w:t>
      </w:r>
      <w:r w:rsidRPr="009349A2">
        <w:rPr>
          <w:rFonts w:ascii="Times New Roman" w:eastAsia="標楷體" w:hAnsi="Times New Roman" w:hint="eastAsia"/>
          <w:color w:val="000000"/>
          <w:sz w:val="32"/>
          <w:szCs w:val="32"/>
        </w:rPr>
        <w:t>許可證管理</w:t>
      </w:r>
      <w:r>
        <w:rPr>
          <w:rFonts w:ascii="Times New Roman" w:eastAsia="標楷體" w:hAnsi="Times New Roman" w:hint="eastAsia"/>
          <w:color w:val="000000"/>
          <w:sz w:val="32"/>
          <w:szCs w:val="32"/>
        </w:rPr>
        <w:t>制度</w:t>
      </w:r>
      <w:r>
        <w:rPr>
          <w:rFonts w:ascii="Times New Roman" w:eastAsia="標楷體" w:hAnsi="Times New Roman" w:hint="eastAsia"/>
          <w:sz w:val="32"/>
          <w:szCs w:val="32"/>
        </w:rPr>
        <w:t>，</w:t>
      </w:r>
      <w:r w:rsidRPr="00801B15">
        <w:rPr>
          <w:rFonts w:ascii="Times New Roman" w:eastAsia="標楷體" w:hAnsi="Times New Roman" w:hint="eastAsia"/>
          <w:sz w:val="32"/>
          <w:szCs w:val="32"/>
        </w:rPr>
        <w:t>中藥製劑已實施全成分標示，賦形劑如有變更，也必須依據準則規定申請核可。</w:t>
      </w:r>
    </w:p>
    <w:p w:rsidR="00EF30FF" w:rsidRPr="00801B15" w:rsidRDefault="00EF30FF" w:rsidP="00801B15">
      <w:pPr>
        <w:numPr>
          <w:ilvl w:val="1"/>
          <w:numId w:val="1"/>
        </w:numPr>
        <w:spacing w:line="480" w:lineRule="exact"/>
        <w:ind w:left="1134" w:hanging="283"/>
        <w:jc w:val="both"/>
        <w:rPr>
          <w:rFonts w:ascii="Times New Roman" w:eastAsia="標楷體" w:hAnsi="Times New Roman"/>
          <w:sz w:val="32"/>
          <w:szCs w:val="32"/>
        </w:rPr>
      </w:pPr>
      <w:r w:rsidRPr="00801B15">
        <w:rPr>
          <w:rFonts w:ascii="Times New Roman" w:eastAsia="標楷體" w:hAnsi="Times New Roman" w:hint="eastAsia"/>
          <w:b/>
          <w:sz w:val="32"/>
          <w:szCs w:val="32"/>
        </w:rPr>
        <w:t>上市後管理部分</w:t>
      </w:r>
    </w:p>
    <w:p w:rsidR="00EF30FF" w:rsidRPr="00801B15" w:rsidRDefault="00EF30FF" w:rsidP="005C76CE">
      <w:pPr>
        <w:spacing w:line="480" w:lineRule="exact"/>
        <w:ind w:left="1134" w:firstLineChars="133" w:firstLine="426"/>
        <w:jc w:val="both"/>
        <w:rPr>
          <w:rFonts w:ascii="Times New Roman" w:eastAsia="標楷體" w:hAnsi="Times New Roman"/>
          <w:sz w:val="32"/>
          <w:szCs w:val="32"/>
        </w:rPr>
      </w:pPr>
      <w:r w:rsidRPr="005C76CE">
        <w:rPr>
          <w:rFonts w:ascii="Times New Roman" w:eastAsia="標楷體" w:hAnsi="Times New Roman" w:hint="eastAsia"/>
          <w:sz w:val="32"/>
          <w:szCs w:val="32"/>
        </w:rPr>
        <w:t>要求藥品許可證須依規定辦理變更，另亦建立包括療效相等性及不良反應等各種監控機制，確保上市後藥品之安全及品質</w:t>
      </w:r>
      <w:r w:rsidRPr="00801B15">
        <w:rPr>
          <w:rFonts w:ascii="Times New Roman" w:eastAsia="標楷體" w:hAnsi="Times New Roman" w:hint="eastAsia"/>
          <w:sz w:val="32"/>
          <w:szCs w:val="32"/>
        </w:rPr>
        <w:t>。</w:t>
      </w:r>
    </w:p>
    <w:p w:rsidR="00EF30FF" w:rsidRPr="00801B15" w:rsidRDefault="00EF30FF" w:rsidP="00801B15">
      <w:pPr>
        <w:spacing w:line="480" w:lineRule="exact"/>
        <w:ind w:left="480"/>
        <w:jc w:val="both"/>
        <w:rPr>
          <w:rFonts w:ascii="Times New Roman" w:eastAsia="標楷體" w:hAnsi="Times New Roman"/>
          <w:sz w:val="32"/>
          <w:szCs w:val="32"/>
        </w:rPr>
      </w:pPr>
    </w:p>
    <w:p w:rsidR="00EF30FF" w:rsidRPr="00801B15" w:rsidRDefault="00EF30FF" w:rsidP="00801B15">
      <w:pPr>
        <w:spacing w:line="480" w:lineRule="exact"/>
        <w:ind w:left="538" w:hangingChars="168" w:hanging="538"/>
        <w:rPr>
          <w:rFonts w:eastAsia="標楷體" w:cs="Calibri"/>
          <w:b/>
          <w:sz w:val="32"/>
          <w:szCs w:val="32"/>
        </w:rPr>
      </w:pPr>
      <w:r w:rsidRPr="00801B15">
        <w:rPr>
          <w:rFonts w:eastAsia="標楷體" w:cs="Calibri" w:hint="eastAsia"/>
          <w:b/>
          <w:sz w:val="32"/>
          <w:szCs w:val="32"/>
        </w:rPr>
        <w:t>貳、原料藥及賦形劑管理之未來規劃</w:t>
      </w:r>
    </w:p>
    <w:p w:rsidR="00EF30FF" w:rsidRPr="00801B15" w:rsidRDefault="00EF30FF" w:rsidP="002C245C">
      <w:pPr>
        <w:spacing w:line="480" w:lineRule="exact"/>
        <w:ind w:left="992" w:hangingChars="310" w:hanging="992"/>
        <w:jc w:val="both"/>
        <w:rPr>
          <w:rFonts w:ascii="Times New Roman" w:eastAsia="標楷體" w:hAnsi="Times New Roman"/>
          <w:sz w:val="32"/>
          <w:szCs w:val="32"/>
        </w:rPr>
      </w:pPr>
      <w:r w:rsidRPr="00801B15">
        <w:rPr>
          <w:rFonts w:eastAsia="標楷體" w:cs="Calibri"/>
          <w:sz w:val="32"/>
          <w:szCs w:val="32"/>
        </w:rPr>
        <w:t xml:space="preserve">  </w:t>
      </w:r>
      <w:r w:rsidRPr="00801B15">
        <w:rPr>
          <w:rFonts w:eastAsia="標楷體" w:cs="Calibri" w:hint="eastAsia"/>
          <w:b/>
          <w:sz w:val="32"/>
          <w:szCs w:val="32"/>
        </w:rPr>
        <w:t>一、</w:t>
      </w:r>
      <w:r w:rsidRPr="00801B15">
        <w:rPr>
          <w:rFonts w:ascii="Times New Roman" w:eastAsia="標楷體" w:hAnsi="Times New Roman" w:hint="eastAsia"/>
          <w:color w:val="000000"/>
          <w:sz w:val="32"/>
          <w:szCs w:val="32"/>
        </w:rPr>
        <w:t>國際間原料安全事件層出不窮，各國皆重新探討並強</w:t>
      </w:r>
      <w:r w:rsidRPr="00801B15">
        <w:rPr>
          <w:rFonts w:ascii="Times New Roman" w:eastAsia="標楷體" w:hAnsi="Times New Roman" w:hint="eastAsia"/>
          <w:color w:val="000000"/>
          <w:sz w:val="32"/>
          <w:szCs w:val="32"/>
        </w:rPr>
        <w:lastRenderedPageBreak/>
        <w:t>化源頭審查與稽查管理，以充分確保國人用藥安全。</w:t>
      </w:r>
      <w:r>
        <w:rPr>
          <w:rFonts w:ascii="Times New Roman" w:eastAsia="標楷體" w:hAnsi="Times New Roman" w:hint="eastAsia"/>
          <w:color w:val="000000"/>
          <w:sz w:val="32"/>
          <w:szCs w:val="32"/>
        </w:rPr>
        <w:t>我國</w:t>
      </w:r>
      <w:r w:rsidRPr="00801B15">
        <w:rPr>
          <w:rFonts w:ascii="Times New Roman" w:eastAsia="標楷體" w:hAnsi="Times New Roman" w:hint="eastAsia"/>
          <w:color w:val="000000"/>
          <w:sz w:val="32"/>
          <w:szCs w:val="32"/>
        </w:rPr>
        <w:t>預定自</w:t>
      </w:r>
      <w:r w:rsidRPr="00801B15">
        <w:rPr>
          <w:rFonts w:ascii="Times New Roman" w:eastAsia="標楷體" w:hAnsi="Times New Roman"/>
          <w:color w:val="000000"/>
          <w:sz w:val="32"/>
          <w:szCs w:val="32"/>
        </w:rPr>
        <w:t>105</w:t>
      </w:r>
      <w:r w:rsidRPr="00801B15">
        <w:rPr>
          <w:rFonts w:ascii="Times New Roman" w:eastAsia="標楷體" w:hAnsi="Times New Roman" w:hint="eastAsia"/>
          <w:color w:val="000000"/>
          <w:sz w:val="32"/>
          <w:szCs w:val="32"/>
        </w:rPr>
        <w:t>年</w:t>
      </w:r>
      <w:r w:rsidRPr="00801B15">
        <w:rPr>
          <w:rFonts w:ascii="Times New Roman" w:eastAsia="標楷體" w:hAnsi="Times New Roman"/>
          <w:color w:val="000000"/>
          <w:sz w:val="32"/>
          <w:szCs w:val="32"/>
        </w:rPr>
        <w:t>1</w:t>
      </w:r>
      <w:r w:rsidRPr="00801B15">
        <w:rPr>
          <w:rFonts w:ascii="Times New Roman" w:eastAsia="標楷體" w:hAnsi="Times New Roman" w:hint="eastAsia"/>
          <w:color w:val="000000"/>
          <w:sz w:val="32"/>
          <w:szCs w:val="32"/>
        </w:rPr>
        <w:t>月</w:t>
      </w:r>
      <w:r w:rsidRPr="00801B15">
        <w:rPr>
          <w:rFonts w:ascii="Times New Roman" w:eastAsia="標楷體" w:hAnsi="Times New Roman"/>
          <w:color w:val="000000"/>
          <w:sz w:val="32"/>
          <w:szCs w:val="32"/>
        </w:rPr>
        <w:t>1</w:t>
      </w:r>
      <w:r w:rsidRPr="00801B15">
        <w:rPr>
          <w:rFonts w:ascii="Times New Roman" w:eastAsia="標楷體" w:hAnsi="Times New Roman" w:hint="eastAsia"/>
          <w:color w:val="000000"/>
          <w:sz w:val="32"/>
          <w:szCs w:val="32"/>
        </w:rPr>
        <w:t>日起所有製劑產品應使用符合</w:t>
      </w:r>
      <w:r w:rsidRPr="00801B15">
        <w:rPr>
          <w:rFonts w:ascii="Times New Roman" w:eastAsia="標楷體" w:hAnsi="Times New Roman"/>
          <w:color w:val="000000"/>
          <w:sz w:val="32"/>
          <w:szCs w:val="32"/>
        </w:rPr>
        <w:t>GMP</w:t>
      </w:r>
      <w:r w:rsidRPr="00801B15">
        <w:rPr>
          <w:rFonts w:ascii="Times New Roman" w:eastAsia="標楷體" w:hAnsi="Times New Roman" w:hint="eastAsia"/>
          <w:color w:val="000000"/>
          <w:sz w:val="32"/>
          <w:szCs w:val="32"/>
        </w:rPr>
        <w:t>規範之原料藥並完成來源登錄</w:t>
      </w:r>
      <w:r w:rsidRPr="00801B15">
        <w:rPr>
          <w:rFonts w:ascii="標楷體" w:eastAsia="標楷體" w:hAnsi="標楷體" w:hint="eastAsia"/>
          <w:color w:val="000000"/>
          <w:sz w:val="32"/>
          <w:szCs w:val="32"/>
        </w:rPr>
        <w:t>。</w:t>
      </w:r>
    </w:p>
    <w:p w:rsidR="00EF30FF" w:rsidRPr="005C76CE" w:rsidRDefault="00EF30FF" w:rsidP="005C76CE">
      <w:pPr>
        <w:spacing w:line="480" w:lineRule="exact"/>
        <w:ind w:leftChars="177" w:left="851" w:hangingChars="133" w:hanging="426"/>
        <w:jc w:val="both"/>
        <w:rPr>
          <w:rFonts w:ascii="標楷體" w:eastAsia="標楷體" w:hAnsi="標楷體"/>
          <w:color w:val="000000"/>
          <w:sz w:val="32"/>
          <w:szCs w:val="32"/>
        </w:rPr>
      </w:pPr>
      <w:r w:rsidRPr="00801B15">
        <w:rPr>
          <w:rFonts w:ascii="Times New Roman" w:eastAsia="標楷體" w:hAnsi="Times New Roman" w:hint="eastAsia"/>
          <w:b/>
          <w:sz w:val="32"/>
          <w:szCs w:val="32"/>
        </w:rPr>
        <w:t>二、</w:t>
      </w:r>
      <w:r w:rsidRPr="005C76CE">
        <w:rPr>
          <w:rFonts w:ascii="標楷體" w:eastAsia="標楷體" w:hAnsi="標楷體" w:hint="eastAsia"/>
          <w:color w:val="000000"/>
          <w:sz w:val="32"/>
          <w:szCs w:val="32"/>
        </w:rPr>
        <w:t>為確保無以不實資料申報之情事</w:t>
      </w:r>
      <w:r w:rsidRPr="005C76CE">
        <w:rPr>
          <w:rFonts w:ascii="Times New Roman" w:eastAsia="標楷體" w:hAnsi="Times New Roman" w:hint="eastAsia"/>
          <w:color w:val="000000"/>
          <w:sz w:val="32"/>
          <w:szCs w:val="32"/>
        </w:rPr>
        <w:t>，已規劃查核上市後產品是否符合原查驗登記規範，另將於查廠時進行產品抽驗並</w:t>
      </w:r>
      <w:r w:rsidRPr="005C76CE">
        <w:rPr>
          <w:rFonts w:ascii="標楷體" w:eastAsia="標楷體" w:hAnsi="標楷體" w:hint="eastAsia"/>
          <w:color w:val="000000"/>
          <w:sz w:val="32"/>
          <w:szCs w:val="32"/>
        </w:rPr>
        <w:t>強化</w:t>
      </w:r>
      <w:r w:rsidRPr="005C76CE">
        <w:rPr>
          <w:rFonts w:ascii="標楷體" w:eastAsia="標楷體" w:hAnsi="標楷體"/>
          <w:color w:val="000000"/>
          <w:sz w:val="32"/>
          <w:szCs w:val="32"/>
        </w:rPr>
        <w:t>PIC/S GMP</w:t>
      </w:r>
      <w:r w:rsidRPr="005C76CE">
        <w:rPr>
          <w:rFonts w:ascii="標楷體" w:eastAsia="標楷體" w:hAnsi="標楷體" w:hint="eastAsia"/>
          <w:color w:val="000000"/>
          <w:sz w:val="32"/>
          <w:szCs w:val="32"/>
        </w:rPr>
        <w:t>對供應商稽查。</w:t>
      </w:r>
      <w:r w:rsidRPr="00DB14B8">
        <w:rPr>
          <w:rFonts w:ascii="標楷體" w:eastAsia="標楷體" w:hAnsi="標楷體" w:hint="eastAsia"/>
          <w:color w:val="000000"/>
          <w:sz w:val="32"/>
          <w:szCs w:val="32"/>
        </w:rPr>
        <w:t>中藥方面雖尚未實施</w:t>
      </w:r>
      <w:r w:rsidRPr="00DB14B8">
        <w:rPr>
          <w:rFonts w:ascii="標楷體" w:eastAsia="標楷體" w:hAnsi="標楷體"/>
          <w:color w:val="000000"/>
          <w:sz w:val="32"/>
          <w:szCs w:val="32"/>
        </w:rPr>
        <w:t>PIC/S GMP</w:t>
      </w:r>
      <w:r w:rsidRPr="00DB14B8">
        <w:rPr>
          <w:rFonts w:ascii="標楷體" w:eastAsia="標楷體" w:hAnsi="標楷體" w:hint="eastAsia"/>
          <w:color w:val="000000"/>
          <w:sz w:val="32"/>
          <w:szCs w:val="32"/>
        </w:rPr>
        <w:t>，惟其管理精神一致，也將強化藥廠對供應商品質監控責任，共同維護藥品品質與安全。</w:t>
      </w:r>
    </w:p>
    <w:p w:rsidR="00EF30FF" w:rsidRPr="005C76CE" w:rsidRDefault="00EF30FF" w:rsidP="005C76CE">
      <w:pPr>
        <w:spacing w:line="480" w:lineRule="exact"/>
        <w:ind w:leftChars="117" w:left="847" w:hangingChars="177" w:hanging="566"/>
        <w:jc w:val="both"/>
        <w:rPr>
          <w:rFonts w:ascii="標楷體" w:eastAsia="標楷體" w:hAnsi="標楷體"/>
          <w:color w:val="000000"/>
          <w:sz w:val="32"/>
          <w:szCs w:val="32"/>
        </w:rPr>
      </w:pPr>
    </w:p>
    <w:p w:rsidR="00EF30FF" w:rsidRPr="00801B15" w:rsidRDefault="00EF30FF" w:rsidP="00801B15">
      <w:pPr>
        <w:spacing w:line="480" w:lineRule="exact"/>
        <w:ind w:leftChars="177" w:left="425"/>
        <w:jc w:val="both"/>
        <w:rPr>
          <w:rFonts w:ascii="標楷體" w:eastAsia="標楷體" w:hAnsi="標楷體"/>
          <w:color w:val="000000"/>
          <w:sz w:val="32"/>
          <w:szCs w:val="32"/>
        </w:rPr>
      </w:pPr>
    </w:p>
    <w:p w:rsidR="00EF30FF" w:rsidRPr="00801B15" w:rsidRDefault="00EF30FF" w:rsidP="00801B15">
      <w:pPr>
        <w:spacing w:line="480" w:lineRule="exact"/>
        <w:ind w:left="538" w:hangingChars="168" w:hanging="538"/>
        <w:jc w:val="both"/>
        <w:rPr>
          <w:rFonts w:eastAsia="標楷體" w:cs="Calibri"/>
          <w:b/>
          <w:sz w:val="32"/>
          <w:szCs w:val="32"/>
        </w:rPr>
      </w:pPr>
      <w:r w:rsidRPr="00801B15">
        <w:rPr>
          <w:rFonts w:eastAsia="標楷體" w:cs="Calibri" w:hint="eastAsia"/>
          <w:b/>
          <w:sz w:val="32"/>
          <w:szCs w:val="32"/>
        </w:rPr>
        <w:t>叁、總結</w:t>
      </w:r>
    </w:p>
    <w:p w:rsidR="00EF30FF" w:rsidRPr="00801B15" w:rsidRDefault="00EF30FF" w:rsidP="00801B15">
      <w:pPr>
        <w:spacing w:line="480" w:lineRule="exact"/>
        <w:ind w:left="538" w:hangingChars="168" w:hanging="538"/>
        <w:jc w:val="both"/>
        <w:rPr>
          <w:rFonts w:eastAsia="標楷體" w:cs="Calibri"/>
          <w:sz w:val="32"/>
          <w:szCs w:val="32"/>
        </w:rPr>
      </w:pPr>
      <w:r w:rsidRPr="00801B15">
        <w:rPr>
          <w:rFonts w:eastAsia="標楷體" w:cs="Calibri"/>
          <w:sz w:val="32"/>
          <w:szCs w:val="32"/>
        </w:rPr>
        <w:t xml:space="preserve">       </w:t>
      </w:r>
      <w:r w:rsidRPr="00801B15">
        <w:rPr>
          <w:rFonts w:eastAsia="標楷體" w:cs="Calibri" w:hint="eastAsia"/>
          <w:sz w:val="32"/>
          <w:szCs w:val="32"/>
        </w:rPr>
        <w:t>台灣製藥管理制度不論在原料藥及賦形劑均與時俱進並與國際持續接軌，在藥品查驗登記審查作業上與國際進行合作，各項精進管理措施，包含原料藥及賦形劑等原料管理亦持續積極推動，並責成藥廠持續改進，其目的都是要提升民眾用藥品質，讓民眾用藥更安心，更放心。</w:t>
      </w:r>
    </w:p>
    <w:p w:rsidR="00EF30FF" w:rsidRPr="00801B15" w:rsidRDefault="00EF30FF" w:rsidP="00801B15">
      <w:pPr>
        <w:spacing w:line="480" w:lineRule="exact"/>
        <w:ind w:left="538" w:hangingChars="168" w:hanging="538"/>
        <w:jc w:val="both"/>
        <w:rPr>
          <w:rFonts w:eastAsia="標楷體" w:cs="Calibri"/>
          <w:sz w:val="32"/>
          <w:szCs w:val="32"/>
        </w:rPr>
      </w:pPr>
      <w:r w:rsidRPr="00801B15">
        <w:rPr>
          <w:rFonts w:eastAsia="標楷體" w:cs="Calibri"/>
          <w:sz w:val="32"/>
          <w:szCs w:val="32"/>
        </w:rPr>
        <w:t xml:space="preserve">       </w:t>
      </w:r>
      <w:r w:rsidRPr="00801B15">
        <w:rPr>
          <w:rFonts w:eastAsia="標楷體" w:cs="Calibri" w:hint="eastAsia"/>
          <w:sz w:val="32"/>
          <w:szCs w:val="32"/>
        </w:rPr>
        <w:t>本部承　大院各委員對業務推動之支持與協助，在此敬致謝忱。尚祈　各位委員，繼續給予支持。</w:t>
      </w:r>
    </w:p>
    <w:p w:rsidR="00EF30FF" w:rsidRPr="00801B15" w:rsidRDefault="00EF30FF"/>
    <w:sectPr w:rsidR="00EF30FF" w:rsidRPr="00801B15" w:rsidSect="00C6415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A8E" w:rsidRDefault="00793A8E" w:rsidP="00801B15">
      <w:r>
        <w:separator/>
      </w:r>
    </w:p>
  </w:endnote>
  <w:endnote w:type="continuationSeparator" w:id="0">
    <w:p w:rsidR="00793A8E" w:rsidRDefault="00793A8E" w:rsidP="00801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0FF" w:rsidRDefault="00793A8E">
    <w:pPr>
      <w:pStyle w:val="a5"/>
      <w:jc w:val="center"/>
    </w:pPr>
    <w:r>
      <w:fldChar w:fldCharType="begin"/>
    </w:r>
    <w:r>
      <w:instrText>PAGE   \* MERGEFORMAT</w:instrText>
    </w:r>
    <w:r>
      <w:fldChar w:fldCharType="separate"/>
    </w:r>
    <w:r w:rsidR="00B43E62" w:rsidRPr="00B43E62">
      <w:rPr>
        <w:noProof/>
        <w:lang w:val="zh-TW"/>
      </w:rPr>
      <w:t>1</w:t>
    </w:r>
    <w:r>
      <w:rPr>
        <w:noProof/>
        <w:lang w:val="zh-TW"/>
      </w:rPr>
      <w:fldChar w:fldCharType="end"/>
    </w:r>
  </w:p>
  <w:p w:rsidR="00EF30FF" w:rsidRDefault="00EF30F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A8E" w:rsidRDefault="00793A8E" w:rsidP="00801B15">
      <w:r>
        <w:separator/>
      </w:r>
    </w:p>
  </w:footnote>
  <w:footnote w:type="continuationSeparator" w:id="0">
    <w:p w:rsidR="00793A8E" w:rsidRDefault="00793A8E" w:rsidP="00801B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166796"/>
    <w:multiLevelType w:val="hybridMultilevel"/>
    <w:tmpl w:val="10BC3F00"/>
    <w:lvl w:ilvl="0" w:tplc="0FA0A89E">
      <w:start w:val="1"/>
      <w:numFmt w:val="taiwaneseCountingThousand"/>
      <w:lvlText w:val="(%1)"/>
      <w:lvlJc w:val="left"/>
      <w:pPr>
        <w:ind w:left="480" w:hanging="480"/>
      </w:pPr>
      <w:rPr>
        <w:rFonts w:cs="Times New Roman" w:hint="eastAsia"/>
        <w:color w:val="auto"/>
      </w:rPr>
    </w:lvl>
    <w:lvl w:ilvl="1" w:tplc="31E0B32A">
      <w:start w:val="1"/>
      <w:numFmt w:val="decimal"/>
      <w:lvlText w:val="%2."/>
      <w:lvlJc w:val="left"/>
      <w:pPr>
        <w:ind w:left="840" w:hanging="360"/>
      </w:pPr>
      <w:rPr>
        <w:rFonts w:cs="Times New Roman" w:hint="default"/>
        <w:b/>
        <w:color w:val="auto"/>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B15"/>
    <w:rsid w:val="00024424"/>
    <w:rsid w:val="0004758B"/>
    <w:rsid w:val="000D7C5E"/>
    <w:rsid w:val="001E11BC"/>
    <w:rsid w:val="00211E63"/>
    <w:rsid w:val="00236BF7"/>
    <w:rsid w:val="002C245C"/>
    <w:rsid w:val="00342A3F"/>
    <w:rsid w:val="004C79E8"/>
    <w:rsid w:val="005C76CE"/>
    <w:rsid w:val="0063202A"/>
    <w:rsid w:val="0068364A"/>
    <w:rsid w:val="006973A3"/>
    <w:rsid w:val="006F358E"/>
    <w:rsid w:val="006F63B8"/>
    <w:rsid w:val="0077647D"/>
    <w:rsid w:val="00793A8E"/>
    <w:rsid w:val="00801B15"/>
    <w:rsid w:val="00846B4A"/>
    <w:rsid w:val="00924C66"/>
    <w:rsid w:val="009349A2"/>
    <w:rsid w:val="00A63745"/>
    <w:rsid w:val="00B43E62"/>
    <w:rsid w:val="00C6415A"/>
    <w:rsid w:val="00CA3572"/>
    <w:rsid w:val="00CE1D5D"/>
    <w:rsid w:val="00D01D91"/>
    <w:rsid w:val="00D30284"/>
    <w:rsid w:val="00DA30F8"/>
    <w:rsid w:val="00DB14B8"/>
    <w:rsid w:val="00DD3260"/>
    <w:rsid w:val="00E4238E"/>
    <w:rsid w:val="00EE6DB4"/>
    <w:rsid w:val="00EF30FF"/>
    <w:rsid w:val="00F57D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15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01B15"/>
    <w:pPr>
      <w:tabs>
        <w:tab w:val="center" w:pos="4153"/>
        <w:tab w:val="right" w:pos="8306"/>
      </w:tabs>
      <w:snapToGrid w:val="0"/>
    </w:pPr>
    <w:rPr>
      <w:rFonts w:ascii="Times New Roman" w:hAnsi="Times New Roman"/>
      <w:sz w:val="20"/>
      <w:szCs w:val="20"/>
    </w:rPr>
  </w:style>
  <w:style w:type="character" w:customStyle="1" w:styleId="a4">
    <w:name w:val="頁首 字元"/>
    <w:basedOn w:val="a0"/>
    <w:link w:val="a3"/>
    <w:uiPriority w:val="99"/>
    <w:locked/>
    <w:rsid w:val="00801B15"/>
    <w:rPr>
      <w:rFonts w:ascii="Times New Roman" w:eastAsia="新細明體" w:hAnsi="Times New Roman" w:cs="Times New Roman"/>
      <w:sz w:val="20"/>
      <w:szCs w:val="20"/>
    </w:rPr>
  </w:style>
  <w:style w:type="paragraph" w:styleId="a5">
    <w:name w:val="footer"/>
    <w:basedOn w:val="a"/>
    <w:link w:val="a6"/>
    <w:uiPriority w:val="99"/>
    <w:rsid w:val="00801B15"/>
    <w:pPr>
      <w:tabs>
        <w:tab w:val="center" w:pos="4153"/>
        <w:tab w:val="right" w:pos="8306"/>
      </w:tabs>
      <w:snapToGrid w:val="0"/>
    </w:pPr>
    <w:rPr>
      <w:rFonts w:ascii="Times New Roman" w:hAnsi="Times New Roman"/>
      <w:sz w:val="20"/>
      <w:szCs w:val="20"/>
    </w:rPr>
  </w:style>
  <w:style w:type="character" w:customStyle="1" w:styleId="a6">
    <w:name w:val="頁尾 字元"/>
    <w:basedOn w:val="a0"/>
    <w:link w:val="a5"/>
    <w:uiPriority w:val="99"/>
    <w:locked/>
    <w:rsid w:val="00801B15"/>
    <w:rPr>
      <w:rFonts w:ascii="Times New Roman" w:eastAsia="新細明體" w:hAnsi="Times New Roman" w:cs="Times New Roman"/>
      <w:sz w:val="20"/>
      <w:szCs w:val="20"/>
    </w:rPr>
  </w:style>
  <w:style w:type="paragraph" w:styleId="a7">
    <w:name w:val="Balloon Text"/>
    <w:basedOn w:val="a"/>
    <w:link w:val="a8"/>
    <w:uiPriority w:val="99"/>
    <w:semiHidden/>
    <w:rsid w:val="009349A2"/>
    <w:rPr>
      <w:rFonts w:ascii="Cambria" w:hAnsi="Cambria"/>
      <w:sz w:val="18"/>
      <w:szCs w:val="18"/>
    </w:rPr>
  </w:style>
  <w:style w:type="character" w:customStyle="1" w:styleId="a8">
    <w:name w:val="註解方塊文字 字元"/>
    <w:basedOn w:val="a0"/>
    <w:link w:val="a7"/>
    <w:uiPriority w:val="99"/>
    <w:semiHidden/>
    <w:locked/>
    <w:rsid w:val="009349A2"/>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15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01B15"/>
    <w:pPr>
      <w:tabs>
        <w:tab w:val="center" w:pos="4153"/>
        <w:tab w:val="right" w:pos="8306"/>
      </w:tabs>
      <w:snapToGrid w:val="0"/>
    </w:pPr>
    <w:rPr>
      <w:rFonts w:ascii="Times New Roman" w:hAnsi="Times New Roman"/>
      <w:sz w:val="20"/>
      <w:szCs w:val="20"/>
    </w:rPr>
  </w:style>
  <w:style w:type="character" w:customStyle="1" w:styleId="a4">
    <w:name w:val="頁首 字元"/>
    <w:basedOn w:val="a0"/>
    <w:link w:val="a3"/>
    <w:uiPriority w:val="99"/>
    <w:locked/>
    <w:rsid w:val="00801B15"/>
    <w:rPr>
      <w:rFonts w:ascii="Times New Roman" w:eastAsia="新細明體" w:hAnsi="Times New Roman" w:cs="Times New Roman"/>
      <w:sz w:val="20"/>
      <w:szCs w:val="20"/>
    </w:rPr>
  </w:style>
  <w:style w:type="paragraph" w:styleId="a5">
    <w:name w:val="footer"/>
    <w:basedOn w:val="a"/>
    <w:link w:val="a6"/>
    <w:uiPriority w:val="99"/>
    <w:rsid w:val="00801B15"/>
    <w:pPr>
      <w:tabs>
        <w:tab w:val="center" w:pos="4153"/>
        <w:tab w:val="right" w:pos="8306"/>
      </w:tabs>
      <w:snapToGrid w:val="0"/>
    </w:pPr>
    <w:rPr>
      <w:rFonts w:ascii="Times New Roman" w:hAnsi="Times New Roman"/>
      <w:sz w:val="20"/>
      <w:szCs w:val="20"/>
    </w:rPr>
  </w:style>
  <w:style w:type="character" w:customStyle="1" w:styleId="a6">
    <w:name w:val="頁尾 字元"/>
    <w:basedOn w:val="a0"/>
    <w:link w:val="a5"/>
    <w:uiPriority w:val="99"/>
    <w:locked/>
    <w:rsid w:val="00801B15"/>
    <w:rPr>
      <w:rFonts w:ascii="Times New Roman" w:eastAsia="新細明體" w:hAnsi="Times New Roman" w:cs="Times New Roman"/>
      <w:sz w:val="20"/>
      <w:szCs w:val="20"/>
    </w:rPr>
  </w:style>
  <w:style w:type="paragraph" w:styleId="a7">
    <w:name w:val="Balloon Text"/>
    <w:basedOn w:val="a"/>
    <w:link w:val="a8"/>
    <w:uiPriority w:val="99"/>
    <w:semiHidden/>
    <w:rsid w:val="009349A2"/>
    <w:rPr>
      <w:rFonts w:ascii="Cambria" w:hAnsi="Cambria"/>
      <w:sz w:val="18"/>
      <w:szCs w:val="18"/>
    </w:rPr>
  </w:style>
  <w:style w:type="character" w:customStyle="1" w:styleId="a8">
    <w:name w:val="註解方塊文字 字元"/>
    <w:basedOn w:val="a0"/>
    <w:link w:val="a7"/>
    <w:uiPriority w:val="99"/>
    <w:semiHidden/>
    <w:locked/>
    <w:rsid w:val="009349A2"/>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145</Words>
  <Characters>829</Characters>
  <Application>Microsoft Office Word</Application>
  <DocSecurity>0</DocSecurity>
  <Lines>6</Lines>
  <Paragraphs>1</Paragraphs>
  <ScaleCrop>false</ScaleCrop>
  <Company>SYNNEX</Company>
  <LinksUpToDate>false</LinksUpToDate>
  <CharactersWithSpaces>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立法院第8屆第7會期</dc:title>
  <dc:creator>許弼凱</dc:creator>
  <cp:lastModifiedBy>國會聯絡組林玲瑤</cp:lastModifiedBy>
  <cp:revision>2</cp:revision>
  <cp:lastPrinted>2015-04-20T00:30:00Z</cp:lastPrinted>
  <dcterms:created xsi:type="dcterms:W3CDTF">2015-04-20T00:33:00Z</dcterms:created>
  <dcterms:modified xsi:type="dcterms:W3CDTF">2015-04-20T00:33:00Z</dcterms:modified>
</cp:coreProperties>
</file>