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D36" w:rsidRPr="008357EA" w:rsidRDefault="009C7D36">
      <w:pPr>
        <w:snapToGrid w:val="0"/>
        <w:spacing w:line="560" w:lineRule="exact"/>
        <w:jc w:val="center"/>
        <w:rPr>
          <w:rFonts w:ascii="標楷體" w:eastAsia="標楷體" w:hAnsi="標楷體"/>
          <w:b/>
          <w:sz w:val="32"/>
        </w:rPr>
      </w:pPr>
      <w:bookmarkStart w:id="0" w:name="_Toc62036949"/>
      <w:r w:rsidRPr="008357EA">
        <w:rPr>
          <w:rFonts w:ascii="標楷體" w:eastAsia="標楷體" w:hAnsi="標楷體" w:hint="eastAsia"/>
          <w:b/>
          <w:sz w:val="32"/>
        </w:rPr>
        <w:t>立法院第</w:t>
      </w:r>
      <w:r>
        <w:rPr>
          <w:rFonts w:ascii="標楷體" w:eastAsia="標楷體" w:hAnsi="標楷體"/>
          <w:b/>
          <w:sz w:val="32"/>
        </w:rPr>
        <w:t>8</w:t>
      </w:r>
      <w:r w:rsidRPr="008357EA">
        <w:rPr>
          <w:rFonts w:ascii="標楷體" w:eastAsia="標楷體" w:hAnsi="標楷體" w:hint="eastAsia"/>
          <w:b/>
          <w:sz w:val="32"/>
        </w:rPr>
        <w:t>屆第</w:t>
      </w:r>
      <w:r>
        <w:rPr>
          <w:rFonts w:ascii="標楷體" w:eastAsia="標楷體" w:hAnsi="標楷體"/>
          <w:b/>
          <w:sz w:val="32"/>
        </w:rPr>
        <w:t>5</w:t>
      </w:r>
      <w:r w:rsidRPr="008357EA">
        <w:rPr>
          <w:rFonts w:ascii="標楷體" w:eastAsia="標楷體" w:hAnsi="標楷體" w:hint="eastAsia"/>
          <w:b/>
          <w:sz w:val="32"/>
        </w:rPr>
        <w:t>會期</w:t>
      </w:r>
    </w:p>
    <w:p w:rsidR="009C7D36" w:rsidRPr="00A033ED" w:rsidRDefault="009C7D36" w:rsidP="00A033ED">
      <w:pPr>
        <w:ind w:leftChars="-100" w:rightChars="-56" w:right="-134" w:hangingChars="75" w:hanging="240"/>
        <w:rPr>
          <w:rFonts w:ascii="標楷體" w:eastAsia="標楷體" w:hAnsi="標楷體"/>
          <w:b/>
          <w:sz w:val="32"/>
          <w:szCs w:val="32"/>
        </w:rPr>
      </w:pPr>
      <w:r>
        <w:rPr>
          <w:rFonts w:ascii="標楷體" w:eastAsia="標楷體" w:hAnsi="標楷體" w:hint="eastAsia"/>
          <w:b/>
          <w:sz w:val="32"/>
          <w:szCs w:val="32"/>
        </w:rPr>
        <w:t>司</w:t>
      </w:r>
      <w:r w:rsidRPr="00A033ED">
        <w:rPr>
          <w:rFonts w:ascii="標楷體" w:eastAsia="標楷體" w:hAnsi="標楷體" w:hint="eastAsia"/>
          <w:b/>
          <w:sz w:val="32"/>
          <w:szCs w:val="32"/>
        </w:rPr>
        <w:t>法及法制、內政、社會福利及衛生環境委員會第</w:t>
      </w:r>
      <w:r w:rsidRPr="00A033ED">
        <w:rPr>
          <w:rFonts w:ascii="標楷體" w:eastAsia="標楷體" w:hAnsi="標楷體"/>
          <w:b/>
          <w:sz w:val="32"/>
          <w:szCs w:val="32"/>
        </w:rPr>
        <w:t>1</w:t>
      </w:r>
      <w:r w:rsidRPr="00A033ED">
        <w:rPr>
          <w:rFonts w:ascii="標楷體" w:eastAsia="標楷體" w:hAnsi="標楷體" w:hint="eastAsia"/>
          <w:b/>
          <w:sz w:val="32"/>
          <w:szCs w:val="32"/>
        </w:rPr>
        <w:t>次聯席會議</w:t>
      </w:r>
    </w:p>
    <w:p w:rsidR="009C7D36" w:rsidRDefault="009C7D36">
      <w:pPr>
        <w:rPr>
          <w:rFonts w:ascii="標楷體" w:eastAsia="標楷體"/>
          <w:b/>
          <w:sz w:val="28"/>
        </w:rPr>
      </w:pPr>
    </w:p>
    <w:p w:rsidR="009C7D36" w:rsidRDefault="009C7D36">
      <w:pPr>
        <w:rPr>
          <w:rFonts w:ascii="標楷體" w:eastAsia="標楷體"/>
          <w:b/>
          <w:sz w:val="28"/>
        </w:rPr>
      </w:pPr>
    </w:p>
    <w:p w:rsidR="009C7D36" w:rsidRDefault="009C7D36">
      <w:pPr>
        <w:rPr>
          <w:rFonts w:ascii="標楷體" w:eastAsia="標楷體"/>
          <w:b/>
          <w:sz w:val="28"/>
        </w:rPr>
      </w:pPr>
    </w:p>
    <w:p w:rsidR="009C7D36" w:rsidRDefault="009C7D36" w:rsidP="001F065F">
      <w:pPr>
        <w:ind w:leftChars="-202" w:left="-9" w:rightChars="-256" w:right="-614" w:hangingChars="85" w:hanging="476"/>
        <w:jc w:val="center"/>
        <w:rPr>
          <w:rFonts w:ascii="標楷體" w:eastAsia="標楷體" w:hAnsi="標楷體"/>
          <w:b/>
          <w:sz w:val="60"/>
        </w:rPr>
      </w:pPr>
      <w:r w:rsidRPr="001F065F">
        <w:rPr>
          <w:rFonts w:ascii="標楷體" w:eastAsia="標楷體" w:hAnsi="標楷體" w:hint="eastAsia"/>
          <w:b/>
          <w:sz w:val="56"/>
          <w:szCs w:val="56"/>
        </w:rPr>
        <w:t>「家庭暴力防治法部分條文修正草案」</w:t>
      </w:r>
      <w:r>
        <w:rPr>
          <w:rFonts w:ascii="標楷體" w:eastAsia="標楷體" w:hAnsi="標楷體" w:hint="eastAsia"/>
          <w:b/>
          <w:sz w:val="60"/>
        </w:rPr>
        <w:t>書面報告</w:t>
      </w:r>
    </w:p>
    <w:p w:rsidR="009C7D36" w:rsidRDefault="009C7D36">
      <w:pPr>
        <w:jc w:val="center"/>
        <w:rPr>
          <w:rFonts w:ascii="標楷體" w:eastAsia="標楷體"/>
          <w:b/>
          <w:sz w:val="28"/>
        </w:rPr>
      </w:pPr>
    </w:p>
    <w:p w:rsidR="009C7D36" w:rsidRDefault="009C7D36">
      <w:pPr>
        <w:rPr>
          <w:rFonts w:ascii="標楷體" w:eastAsia="標楷體"/>
          <w:b/>
          <w:sz w:val="28"/>
        </w:rPr>
      </w:pPr>
    </w:p>
    <w:p w:rsidR="009C7D36" w:rsidRDefault="009C7D36">
      <w:pPr>
        <w:jc w:val="center"/>
        <w:rPr>
          <w:rFonts w:ascii="標楷體" w:eastAsia="標楷體" w:hAnsi="標楷體"/>
          <w:b/>
          <w:sz w:val="60"/>
        </w:rPr>
      </w:pPr>
    </w:p>
    <w:p w:rsidR="009C7D36" w:rsidRDefault="009C7D36">
      <w:pPr>
        <w:jc w:val="center"/>
        <w:rPr>
          <w:rFonts w:ascii="標楷體" w:eastAsia="標楷體" w:hAnsi="標楷體"/>
          <w:b/>
        </w:rPr>
      </w:pPr>
    </w:p>
    <w:p w:rsidR="009C7D36" w:rsidRDefault="009C7D36">
      <w:pPr>
        <w:jc w:val="center"/>
        <w:rPr>
          <w:rFonts w:ascii="標楷體" w:eastAsia="標楷體" w:hAnsi="標楷體"/>
          <w:b/>
        </w:rPr>
      </w:pPr>
    </w:p>
    <w:p w:rsidR="009C7D36" w:rsidRDefault="009C7D36">
      <w:pPr>
        <w:jc w:val="center"/>
        <w:rPr>
          <w:rFonts w:ascii="標楷體" w:eastAsia="標楷體" w:hAnsi="標楷體"/>
          <w:b/>
        </w:rPr>
      </w:pPr>
    </w:p>
    <w:p w:rsidR="009C7D36" w:rsidRDefault="009C7D36">
      <w:pPr>
        <w:jc w:val="center"/>
        <w:rPr>
          <w:rFonts w:ascii="標楷體" w:eastAsia="標楷體" w:hAnsi="標楷體"/>
          <w:b/>
        </w:rPr>
      </w:pPr>
    </w:p>
    <w:p w:rsidR="009C7D36" w:rsidRDefault="009C7D36">
      <w:pPr>
        <w:jc w:val="center"/>
        <w:rPr>
          <w:rFonts w:ascii="標楷體" w:eastAsia="標楷體" w:hAnsi="標楷體"/>
          <w:b/>
        </w:rPr>
      </w:pPr>
    </w:p>
    <w:p w:rsidR="009C7D36" w:rsidRDefault="009C7D36">
      <w:pPr>
        <w:jc w:val="center"/>
        <w:rPr>
          <w:rFonts w:ascii="標楷體" w:eastAsia="標楷體" w:hAnsi="標楷體"/>
          <w:b/>
        </w:rPr>
      </w:pPr>
    </w:p>
    <w:p w:rsidR="009C7D36" w:rsidRDefault="009C7D36">
      <w:pPr>
        <w:jc w:val="center"/>
        <w:rPr>
          <w:rFonts w:ascii="標楷體" w:eastAsia="標楷體" w:hAnsi="標楷體"/>
          <w:b/>
        </w:rPr>
      </w:pPr>
    </w:p>
    <w:p w:rsidR="009C7D36" w:rsidRPr="001F065F" w:rsidRDefault="009C7D36" w:rsidP="00D92C5D">
      <w:pPr>
        <w:spacing w:line="600" w:lineRule="exact"/>
        <w:ind w:firstLineChars="315" w:firstLine="1135"/>
        <w:rPr>
          <w:rFonts w:ascii="標楷體" w:eastAsia="標楷體" w:hAnsi="標楷體"/>
          <w:b/>
        </w:rPr>
      </w:pPr>
      <w:r>
        <w:rPr>
          <w:rFonts w:ascii="標楷體" w:eastAsia="標楷體" w:hAnsi="標楷體" w:hint="eastAsia"/>
          <w:b/>
          <w:sz w:val="36"/>
        </w:rPr>
        <w:t>報告機關</w:t>
      </w:r>
      <w:r w:rsidRPr="008357EA">
        <w:rPr>
          <w:rFonts w:ascii="標楷體" w:eastAsia="標楷體" w:hAnsi="標楷體" w:hint="eastAsia"/>
          <w:b/>
          <w:sz w:val="36"/>
        </w:rPr>
        <w:t>：</w:t>
      </w:r>
      <w:r>
        <w:rPr>
          <w:rFonts w:ascii="標楷體" w:eastAsia="標楷體" w:hAnsi="標楷體" w:hint="eastAsia"/>
          <w:b/>
          <w:sz w:val="36"/>
        </w:rPr>
        <w:t>衛生福利部</w:t>
      </w:r>
    </w:p>
    <w:p w:rsidR="009C7D36" w:rsidRPr="008357EA" w:rsidRDefault="009C7D36">
      <w:pPr>
        <w:spacing w:line="600" w:lineRule="exact"/>
        <w:jc w:val="center"/>
        <w:rPr>
          <w:rFonts w:ascii="標楷體" w:eastAsia="標楷體" w:hAnsi="標楷體"/>
          <w:b/>
          <w:sz w:val="36"/>
        </w:rPr>
      </w:pPr>
      <w:r w:rsidRPr="008357EA">
        <w:rPr>
          <w:rFonts w:ascii="標楷體" w:eastAsia="標楷體" w:hAnsi="標楷體" w:hint="eastAsia"/>
          <w:b/>
          <w:sz w:val="36"/>
        </w:rPr>
        <w:t>報告日期：中華民國</w:t>
      </w:r>
      <w:r>
        <w:rPr>
          <w:rFonts w:ascii="標楷體" w:eastAsia="標楷體" w:hAnsi="標楷體"/>
          <w:b/>
          <w:sz w:val="36"/>
        </w:rPr>
        <w:t>103</w:t>
      </w:r>
      <w:r w:rsidRPr="008357EA">
        <w:rPr>
          <w:rFonts w:ascii="標楷體" w:eastAsia="標楷體" w:hAnsi="標楷體" w:hint="eastAsia"/>
          <w:b/>
          <w:sz w:val="36"/>
        </w:rPr>
        <w:t>年</w:t>
      </w:r>
      <w:r>
        <w:rPr>
          <w:rFonts w:ascii="標楷體" w:eastAsia="標楷體" w:hAnsi="標楷體"/>
          <w:b/>
          <w:sz w:val="36"/>
        </w:rPr>
        <w:t>3</w:t>
      </w:r>
      <w:r w:rsidRPr="008357EA">
        <w:rPr>
          <w:rFonts w:ascii="標楷體" w:eastAsia="標楷體" w:hAnsi="標楷體" w:hint="eastAsia"/>
          <w:b/>
          <w:sz w:val="36"/>
        </w:rPr>
        <w:t>月</w:t>
      </w:r>
      <w:r>
        <w:rPr>
          <w:rFonts w:ascii="標楷體" w:eastAsia="標楷體" w:hAnsi="標楷體"/>
          <w:b/>
          <w:sz w:val="36"/>
        </w:rPr>
        <w:t>31</w:t>
      </w:r>
      <w:r w:rsidRPr="008357EA">
        <w:rPr>
          <w:rFonts w:ascii="標楷體" w:eastAsia="標楷體" w:hAnsi="標楷體" w:hint="eastAsia"/>
          <w:b/>
          <w:sz w:val="36"/>
        </w:rPr>
        <w:t>日</w:t>
      </w:r>
    </w:p>
    <w:p w:rsidR="009C7D36" w:rsidRDefault="009C7D36" w:rsidP="00A26D2A">
      <w:pPr>
        <w:spacing w:line="500" w:lineRule="exact"/>
        <w:jc w:val="both"/>
        <w:rPr>
          <w:rFonts w:ascii="標楷體" w:eastAsia="標楷體" w:hAnsi="標楷體" w:cs="Arial"/>
          <w:b/>
          <w:bCs/>
          <w:color w:val="000000"/>
          <w:sz w:val="36"/>
          <w:szCs w:val="32"/>
        </w:rPr>
      </w:pPr>
      <w:r>
        <w:rPr>
          <w:rFonts w:ascii="Arial" w:eastAsia="標楷體" w:hAnsi="Arial" w:cs="Arial"/>
          <w:b/>
          <w:sz w:val="48"/>
        </w:rPr>
        <w:br w:type="page"/>
      </w:r>
      <w:r>
        <w:rPr>
          <w:rFonts w:ascii="標楷體" w:eastAsia="標楷體" w:hAnsi="標楷體" w:cs="Arial" w:hint="eastAsia"/>
          <w:b/>
          <w:bCs/>
          <w:color w:val="000000"/>
          <w:sz w:val="36"/>
          <w:szCs w:val="32"/>
        </w:rPr>
        <w:t>主席、各位委員女士、先生：</w:t>
      </w:r>
    </w:p>
    <w:p w:rsidR="009C7D36" w:rsidRPr="008357EA" w:rsidRDefault="009C7D36" w:rsidP="00E32C5E">
      <w:pPr>
        <w:pStyle w:val="PlainText"/>
      </w:pPr>
      <w:r>
        <w:t xml:space="preserve">  </w:t>
      </w:r>
      <w:r>
        <w:rPr>
          <w:rFonts w:hint="eastAsia"/>
        </w:rPr>
        <w:t>大院第</w:t>
      </w:r>
      <w:r>
        <w:t>8</w:t>
      </w:r>
      <w:r>
        <w:rPr>
          <w:rFonts w:hint="eastAsia"/>
        </w:rPr>
        <w:t>屆第</w:t>
      </w:r>
      <w:r>
        <w:t>5</w:t>
      </w:r>
      <w:r>
        <w:rPr>
          <w:rFonts w:hint="eastAsia"/>
        </w:rPr>
        <w:t>會期司法及法制、內政、社會福利及衛生環境委員會召開第</w:t>
      </w:r>
      <w:r>
        <w:t>1</w:t>
      </w:r>
      <w:r w:rsidRPr="008357EA">
        <w:rPr>
          <w:rFonts w:hint="eastAsia"/>
        </w:rPr>
        <w:t>次</w:t>
      </w:r>
      <w:r>
        <w:rPr>
          <w:rFonts w:hint="eastAsia"/>
        </w:rPr>
        <w:t>聯席會議，</w:t>
      </w:r>
      <w:r w:rsidRPr="008357EA">
        <w:rPr>
          <w:rFonts w:hint="eastAsia"/>
        </w:rPr>
        <w:t>承邀列席報告，深感榮幸。</w:t>
      </w:r>
    </w:p>
    <w:p w:rsidR="009C7D36" w:rsidRDefault="009C7D36" w:rsidP="00A26D2A">
      <w:pPr>
        <w:widowControl/>
        <w:spacing w:line="500" w:lineRule="exact"/>
        <w:ind w:firstLineChars="187" w:firstLine="598"/>
        <w:jc w:val="both"/>
        <w:rPr>
          <w:rFonts w:ascii="標楷體" w:eastAsia="標楷體" w:hAnsi="標楷體" w:cs="Arial"/>
          <w:color w:val="000000"/>
          <w:kern w:val="0"/>
          <w:sz w:val="32"/>
          <w:szCs w:val="32"/>
        </w:rPr>
      </w:pPr>
      <w:r w:rsidRPr="001F065F">
        <w:rPr>
          <w:rFonts w:ascii="標楷體" w:eastAsia="標楷體" w:hAnsi="標楷體" w:hint="eastAsia"/>
          <w:bCs/>
          <w:color w:val="000000"/>
          <w:sz w:val="32"/>
          <w:szCs w:val="32"/>
        </w:rPr>
        <w:t>我國家庭暴力防治法於</w:t>
      </w:r>
      <w:r>
        <w:rPr>
          <w:rFonts w:ascii="標楷體" w:eastAsia="標楷體" w:hAnsi="標楷體" w:hint="eastAsia"/>
          <w:bCs/>
          <w:color w:val="000000"/>
          <w:sz w:val="32"/>
          <w:szCs w:val="32"/>
        </w:rPr>
        <w:t>民國</w:t>
      </w:r>
      <w:r w:rsidRPr="001F065F">
        <w:rPr>
          <w:rFonts w:ascii="標楷體" w:eastAsia="標楷體" w:hAnsi="標楷體"/>
          <w:bCs/>
          <w:color w:val="000000"/>
          <w:sz w:val="32"/>
          <w:szCs w:val="32"/>
        </w:rPr>
        <w:t>87</w:t>
      </w:r>
      <w:r>
        <w:rPr>
          <w:rFonts w:ascii="標楷體" w:eastAsia="標楷體" w:hAnsi="標楷體" w:hint="eastAsia"/>
          <w:bCs/>
          <w:color w:val="000000"/>
          <w:sz w:val="32"/>
          <w:szCs w:val="32"/>
        </w:rPr>
        <w:t>年制定</w:t>
      </w:r>
      <w:r w:rsidRPr="001F065F">
        <w:rPr>
          <w:rFonts w:ascii="標楷體" w:eastAsia="標楷體" w:hAnsi="標楷體" w:hint="eastAsia"/>
          <w:bCs/>
          <w:color w:val="000000"/>
          <w:sz w:val="32"/>
          <w:szCs w:val="32"/>
        </w:rPr>
        <w:t>，</w:t>
      </w:r>
      <w:r>
        <w:rPr>
          <w:rFonts w:ascii="標楷體" w:eastAsia="標楷體" w:hAnsi="標楷體" w:hint="eastAsia"/>
          <w:bCs/>
          <w:color w:val="000000"/>
          <w:sz w:val="32"/>
          <w:szCs w:val="32"/>
        </w:rPr>
        <w:t>為</w:t>
      </w:r>
      <w:r w:rsidRPr="001F065F">
        <w:rPr>
          <w:rFonts w:ascii="標楷體" w:eastAsia="標楷體" w:hAnsi="標楷體" w:hint="eastAsia"/>
          <w:bCs/>
          <w:color w:val="000000"/>
          <w:sz w:val="32"/>
          <w:szCs w:val="32"/>
        </w:rPr>
        <w:t>更落實保障民眾人身安全，積極防治家庭暴力，並以建構一個性別平等、對暴力零容忍的安全社會</w:t>
      </w:r>
      <w:r>
        <w:rPr>
          <w:rFonts w:ascii="標楷體" w:eastAsia="標楷體" w:hAnsi="標楷體" w:hint="eastAsia"/>
          <w:bCs/>
          <w:color w:val="000000"/>
          <w:sz w:val="32"/>
          <w:szCs w:val="32"/>
        </w:rPr>
        <w:t>為目標。今天就行政院擬具</w:t>
      </w:r>
      <w:r w:rsidRPr="001F065F">
        <w:rPr>
          <w:rFonts w:ascii="標楷體" w:eastAsia="標楷體" w:hAnsi="標楷體" w:hint="eastAsia"/>
          <w:bCs/>
          <w:color w:val="000000"/>
          <w:sz w:val="32"/>
          <w:szCs w:val="32"/>
        </w:rPr>
        <w:t>家庭暴力防治法部分條文</w:t>
      </w:r>
      <w:r>
        <w:rPr>
          <w:rFonts w:ascii="標楷體" w:eastAsia="標楷體" w:hAnsi="標楷體" w:hint="eastAsia"/>
          <w:bCs/>
          <w:color w:val="000000"/>
          <w:sz w:val="32"/>
          <w:szCs w:val="32"/>
        </w:rPr>
        <w:t>修正草案及</w:t>
      </w:r>
      <w:r w:rsidRPr="00E32C5E">
        <w:rPr>
          <w:rFonts w:ascii="標楷體" w:eastAsia="標楷體" w:hAnsi="標楷體" w:hint="eastAsia"/>
          <w:bCs/>
          <w:color w:val="000000"/>
          <w:sz w:val="32"/>
          <w:szCs w:val="32"/>
        </w:rPr>
        <w:t>趙委員天麟、李委員貴敏、李委員俊俋、蔣委員乃辛、孫委員大千、馬委員</w:t>
      </w:r>
      <w:smartTag w:uri="urn:schemas-microsoft-com:office:smarttags" w:element="PersonName">
        <w:r w:rsidRPr="00E32C5E">
          <w:rPr>
            <w:rFonts w:ascii="標楷體" w:eastAsia="標楷體" w:hAnsi="標楷體" w:hint="eastAsia"/>
            <w:bCs/>
            <w:color w:val="000000"/>
            <w:sz w:val="32"/>
            <w:szCs w:val="32"/>
          </w:rPr>
          <w:t>文</w:t>
        </w:r>
      </w:smartTag>
      <w:r w:rsidRPr="00E32C5E">
        <w:rPr>
          <w:rFonts w:ascii="標楷體" w:eastAsia="標楷體" w:hAnsi="標楷體" w:hint="eastAsia"/>
          <w:bCs/>
          <w:color w:val="000000"/>
          <w:sz w:val="32"/>
          <w:szCs w:val="32"/>
        </w:rPr>
        <w:t>君、吳委員宜臻、王委員育敏、蔡委員其昌、謝委員國樑、邱委員志偉、潘委員維剛</w:t>
      </w:r>
      <w:r>
        <w:rPr>
          <w:rFonts w:ascii="標楷體" w:eastAsia="標楷體" w:hAnsi="標楷體" w:hint="eastAsia"/>
          <w:bCs/>
          <w:color w:val="000000"/>
          <w:sz w:val="32"/>
          <w:szCs w:val="32"/>
        </w:rPr>
        <w:t>、蕭委員美琴、李委員桐豪、李委員昆澤及鄭委員汝芬等人所提草案</w:t>
      </w:r>
      <w:r>
        <w:rPr>
          <w:rFonts w:ascii="標楷體" w:eastAsia="標楷體" w:hAnsi="標楷體" w:hint="eastAsia"/>
          <w:bCs/>
          <w:color w:val="000000"/>
          <w:sz w:val="32"/>
          <w:szCs w:val="54"/>
        </w:rPr>
        <w:t>，</w:t>
      </w:r>
      <w:r>
        <w:rPr>
          <w:rFonts w:ascii="標楷體" w:eastAsia="標楷體" w:hAnsi="標楷體" w:cs="Arial" w:hint="eastAsia"/>
          <w:color w:val="000000"/>
          <w:kern w:val="0"/>
          <w:sz w:val="32"/>
          <w:szCs w:val="32"/>
        </w:rPr>
        <w:t>提出本部意見。敬請各位</w:t>
      </w:r>
      <w:r>
        <w:rPr>
          <w:rFonts w:ascii="標楷體" w:eastAsia="標楷體" w:hAnsi="標楷體" w:cs="Arial"/>
          <w:color w:val="000000"/>
          <w:kern w:val="0"/>
          <w:sz w:val="32"/>
          <w:szCs w:val="32"/>
        </w:rPr>
        <w:t xml:space="preserve">  </w:t>
      </w:r>
      <w:r>
        <w:rPr>
          <w:rFonts w:ascii="標楷體" w:eastAsia="標楷體" w:hAnsi="標楷體" w:cs="Arial" w:hint="eastAsia"/>
          <w:color w:val="000000"/>
          <w:kern w:val="0"/>
          <w:sz w:val="32"/>
          <w:szCs w:val="32"/>
        </w:rPr>
        <w:t>委員不吝指教。</w:t>
      </w:r>
    </w:p>
    <w:p w:rsidR="009C7D36" w:rsidRDefault="009C7D36" w:rsidP="00A26D2A">
      <w:pPr>
        <w:pStyle w:val="Heading1"/>
        <w:spacing w:line="500" w:lineRule="exact"/>
        <w:rPr>
          <w:b w:val="0"/>
          <w:bCs w:val="0"/>
          <w:szCs w:val="54"/>
        </w:rPr>
      </w:pPr>
    </w:p>
    <w:p w:rsidR="009C7D36" w:rsidRDefault="009C7D36" w:rsidP="00A26D2A">
      <w:pPr>
        <w:pStyle w:val="Heading1"/>
        <w:spacing w:line="500" w:lineRule="exact"/>
        <w:ind w:left="720" w:hanging="720"/>
        <w:rPr>
          <w:b w:val="0"/>
          <w:bCs w:val="0"/>
          <w:sz w:val="36"/>
          <w:szCs w:val="54"/>
        </w:rPr>
      </w:pPr>
      <w:r>
        <w:rPr>
          <w:rFonts w:hint="eastAsia"/>
          <w:b w:val="0"/>
          <w:bCs w:val="0"/>
          <w:sz w:val="36"/>
          <w:szCs w:val="54"/>
        </w:rPr>
        <w:t>壹、前言</w:t>
      </w:r>
    </w:p>
    <w:p w:rsidR="009C7D36" w:rsidRPr="001F065F" w:rsidRDefault="009C7D36" w:rsidP="00A26D2A">
      <w:pPr>
        <w:pStyle w:val="BodyText"/>
      </w:pPr>
      <w:r w:rsidRPr="001F065F">
        <w:rPr>
          <w:rFonts w:hint="eastAsia"/>
        </w:rPr>
        <w:t>家庭暴力防治法（以下簡稱本法）自</w:t>
      </w:r>
      <w:smartTag w:uri="urn:schemas-microsoft-com:office:smarttags" w:element="PersonName">
        <w:r w:rsidRPr="001F065F">
          <w:t>87</w:t>
        </w:r>
        <w:r w:rsidRPr="001F065F">
          <w:rPr>
            <w:rFonts w:hint="eastAsia"/>
          </w:rPr>
          <w:t>年</w:t>
        </w:r>
        <w:r w:rsidRPr="001F065F">
          <w:t>6</w:t>
        </w:r>
        <w:r w:rsidRPr="001F065F">
          <w:rPr>
            <w:rFonts w:hint="eastAsia"/>
          </w:rPr>
          <w:t>月</w:t>
        </w:r>
        <w:r w:rsidRPr="001F065F">
          <w:t>24</w:t>
        </w:r>
        <w:r w:rsidRPr="001F065F">
          <w:rPr>
            <w:rFonts w:hint="eastAsia"/>
          </w:rPr>
          <w:t>日</w:t>
        </w:r>
      </w:smartTag>
      <w:r w:rsidRPr="001F065F">
        <w:rPr>
          <w:rFonts w:hint="eastAsia"/>
        </w:rPr>
        <w:t>公布施行，其間歷經</w:t>
      </w:r>
      <w:r w:rsidRPr="001F065F">
        <w:t>4</w:t>
      </w:r>
      <w:r w:rsidRPr="001F065F">
        <w:rPr>
          <w:rFonts w:hint="eastAsia"/>
        </w:rPr>
        <w:t>次修正，對防治家庭暴力行為及保護被害人權益多所助益</w:t>
      </w:r>
      <w:r w:rsidRPr="001F065F">
        <w:rPr>
          <w:rFonts w:hint="eastAsia"/>
          <w:bCs/>
        </w:rPr>
        <w:t>。</w:t>
      </w:r>
    </w:p>
    <w:p w:rsidR="009C7D36" w:rsidRDefault="009C7D36" w:rsidP="00A26D2A">
      <w:pPr>
        <w:pStyle w:val="BodyText"/>
      </w:pPr>
      <w:r w:rsidRPr="001F065F">
        <w:rPr>
          <w:rFonts w:hint="eastAsia"/>
        </w:rPr>
        <w:t>為解決相關機關推展家庭暴力防治業務所遇窒礙難行之處，俾相關機關及實際執行工作人員順利推展家庭暴力防治工作，於</w:t>
      </w:r>
      <w:r w:rsidRPr="001F065F">
        <w:t>98</w:t>
      </w:r>
      <w:r w:rsidRPr="001F065F">
        <w:rPr>
          <w:rFonts w:hint="eastAsia"/>
        </w:rPr>
        <w:t>年起即陸續檢視法規，歷經十餘次會議研商，擬具「家庭暴力防治法」部分條文修正草案，修正</w:t>
      </w:r>
      <w:r w:rsidRPr="001F065F">
        <w:t>19</w:t>
      </w:r>
      <w:r w:rsidRPr="001F065F">
        <w:rPr>
          <w:rFonts w:hint="eastAsia"/>
        </w:rPr>
        <w:t>條，增訂</w:t>
      </w:r>
      <w:r w:rsidRPr="001F065F">
        <w:t>2</w:t>
      </w:r>
      <w:r w:rsidRPr="001F065F">
        <w:rPr>
          <w:rFonts w:hint="eastAsia"/>
        </w:rPr>
        <w:t>條，全案共計修正</w:t>
      </w:r>
      <w:r w:rsidRPr="001F065F">
        <w:t>21</w:t>
      </w:r>
      <w:r w:rsidRPr="001F065F">
        <w:rPr>
          <w:rFonts w:hint="eastAsia"/>
        </w:rPr>
        <w:t>條，於</w:t>
      </w:r>
      <w:r w:rsidRPr="001F065F">
        <w:t>102</w:t>
      </w:r>
      <w:r w:rsidRPr="001F065F">
        <w:rPr>
          <w:rFonts w:hint="eastAsia"/>
        </w:rPr>
        <w:t>年</w:t>
      </w:r>
      <w:r w:rsidRPr="001F065F">
        <w:t>3</w:t>
      </w:r>
      <w:r w:rsidRPr="001F065F">
        <w:rPr>
          <w:rFonts w:hint="eastAsia"/>
        </w:rPr>
        <w:t>月</w:t>
      </w:r>
      <w:r w:rsidRPr="001F065F">
        <w:t>5</w:t>
      </w:r>
      <w:r w:rsidRPr="001F065F">
        <w:rPr>
          <w:rFonts w:hint="eastAsia"/>
        </w:rPr>
        <w:t>日函送</w:t>
      </w:r>
      <w:r w:rsidRPr="001F065F">
        <w:t xml:space="preserve"> </w:t>
      </w:r>
      <w:r w:rsidRPr="001F065F">
        <w:rPr>
          <w:rFonts w:hint="eastAsia"/>
        </w:rPr>
        <w:t>大院，並於</w:t>
      </w:r>
      <w:r w:rsidRPr="001F065F">
        <w:t>102</w:t>
      </w:r>
      <w:r w:rsidRPr="001F065F">
        <w:rPr>
          <w:rFonts w:hint="eastAsia"/>
        </w:rPr>
        <w:t>年</w:t>
      </w:r>
      <w:r w:rsidRPr="001F065F">
        <w:t>3</w:t>
      </w:r>
      <w:r w:rsidRPr="001F065F">
        <w:rPr>
          <w:rFonts w:hint="eastAsia"/>
        </w:rPr>
        <w:t>月</w:t>
      </w:r>
      <w:r w:rsidRPr="001F065F">
        <w:t>15</w:t>
      </w:r>
      <w:r w:rsidRPr="001F065F">
        <w:rPr>
          <w:rFonts w:hint="eastAsia"/>
        </w:rPr>
        <w:t>日院會一讀，交</w:t>
      </w:r>
      <w:r w:rsidRPr="00006F64">
        <w:rPr>
          <w:rFonts w:hint="eastAsia"/>
        </w:rPr>
        <w:t>司法及法制、內政、社會福利及衛生環境</w:t>
      </w:r>
      <w:r w:rsidRPr="001F065F">
        <w:rPr>
          <w:rFonts w:hint="eastAsia"/>
        </w:rPr>
        <w:t>聯席委員會審查，期通過後能達周延法治，尊重多元文化，終止家庭暴力，保障人民身心安全之目標</w:t>
      </w:r>
      <w:r>
        <w:rPr>
          <w:rFonts w:hint="eastAsia"/>
        </w:rPr>
        <w:t>。</w:t>
      </w:r>
    </w:p>
    <w:p w:rsidR="009C7D36" w:rsidRPr="00E07821" w:rsidRDefault="009C7D36" w:rsidP="00A26D2A">
      <w:pPr>
        <w:pStyle w:val="Heading1"/>
        <w:spacing w:line="500" w:lineRule="exact"/>
        <w:ind w:left="960" w:hanging="720"/>
        <w:rPr>
          <w:b w:val="0"/>
          <w:bCs w:val="0"/>
          <w:sz w:val="36"/>
          <w:szCs w:val="54"/>
        </w:rPr>
      </w:pPr>
    </w:p>
    <w:p w:rsidR="009C7D36" w:rsidRDefault="009C7D36" w:rsidP="00A26D2A">
      <w:pPr>
        <w:pStyle w:val="Heading1"/>
        <w:spacing w:line="500" w:lineRule="exact"/>
        <w:ind w:left="960" w:hanging="720"/>
        <w:rPr>
          <w:b w:val="0"/>
          <w:bCs w:val="0"/>
          <w:sz w:val="36"/>
          <w:szCs w:val="54"/>
        </w:rPr>
      </w:pPr>
      <w:r>
        <w:rPr>
          <w:rFonts w:hint="eastAsia"/>
          <w:b w:val="0"/>
          <w:bCs w:val="0"/>
          <w:sz w:val="36"/>
          <w:szCs w:val="54"/>
        </w:rPr>
        <w:t>貳、行政院版本修正重點</w:t>
      </w:r>
    </w:p>
    <w:p w:rsidR="009C7D36" w:rsidRPr="00C24E05" w:rsidRDefault="009C7D36" w:rsidP="00A26D2A">
      <w:pPr>
        <w:pStyle w:val="BodyText"/>
        <w:numPr>
          <w:ilvl w:val="0"/>
          <w:numId w:val="15"/>
        </w:numPr>
        <w:rPr>
          <w:bCs/>
          <w:szCs w:val="54"/>
        </w:rPr>
      </w:pPr>
      <w:r w:rsidRPr="00C24E05">
        <w:rPr>
          <w:rFonts w:hint="eastAsia"/>
        </w:rPr>
        <w:t>增列「目睹家庭暴力」之定義，擴充「跟蹤」內涵，並於加害人處遇計畫增列親職教育輔導項目，以符實務狀況及需求。（修正條文第二條）</w:t>
      </w:r>
    </w:p>
    <w:p w:rsidR="009C7D36" w:rsidRDefault="009C7D36" w:rsidP="00A26D2A">
      <w:pPr>
        <w:pStyle w:val="BodyText"/>
        <w:numPr>
          <w:ilvl w:val="0"/>
          <w:numId w:val="15"/>
        </w:numPr>
      </w:pPr>
      <w:r w:rsidRPr="00C24E05">
        <w:rPr>
          <w:rFonts w:hint="eastAsia"/>
        </w:rPr>
        <w:t>增列主管機關及各目的事業主管機關之權責事項，以積極推動各項業務。（修正條文第四條）</w:t>
      </w:r>
    </w:p>
    <w:p w:rsidR="009C7D36" w:rsidRDefault="009C7D36" w:rsidP="00A26D2A">
      <w:pPr>
        <w:pStyle w:val="BodyText"/>
        <w:numPr>
          <w:ilvl w:val="0"/>
          <w:numId w:val="15"/>
        </w:numPr>
      </w:pPr>
      <w:r w:rsidRPr="00C24E05">
        <w:rPr>
          <w:rFonts w:hint="eastAsia"/>
        </w:rPr>
        <w:t>增列中央主管機關應定期針對家庭暴力問題進行調查、研究，以掌握我國家庭暴力問題並檢討防治工作執行成效。（修正條文第五條）</w:t>
      </w:r>
    </w:p>
    <w:p w:rsidR="009C7D36" w:rsidRDefault="009C7D36" w:rsidP="00A26D2A">
      <w:pPr>
        <w:pStyle w:val="BodyText"/>
        <w:numPr>
          <w:ilvl w:val="0"/>
          <w:numId w:val="15"/>
        </w:numPr>
      </w:pPr>
      <w:r w:rsidRPr="00C24E05">
        <w:rPr>
          <w:rFonts w:hint="eastAsia"/>
        </w:rPr>
        <w:t>增列移民機關為家庭暴力防治中心應協調之機關，並將「經評估有需要之家庭成員」亦納入服務對象，同時增列各地方政府應辦理危險評估及召開跨機構網絡會議之規定。（修正條文第八條）</w:t>
      </w:r>
    </w:p>
    <w:p w:rsidR="009C7D36" w:rsidRPr="00C24E05" w:rsidRDefault="009C7D36" w:rsidP="00A26D2A">
      <w:pPr>
        <w:pStyle w:val="BodyText"/>
        <w:numPr>
          <w:ilvl w:val="0"/>
          <w:numId w:val="15"/>
        </w:numPr>
        <w:rPr>
          <w:bCs/>
          <w:szCs w:val="54"/>
        </w:rPr>
      </w:pPr>
      <w:r w:rsidRPr="00C24E05">
        <w:rPr>
          <w:rFonts w:hint="eastAsia"/>
        </w:rPr>
        <w:t>為周延特定家庭成員及目睹家庭暴力兒童及少年之保護，將其納入核發相當內容保護令之適用範圍，且為保障未成年子女權益，增列法院於定暫時對未成年子女權利義務之行使或負擔及會面交往相關事宜之裁定前，必要時得徵詢未成年子女或社工人員之意見。（修正條文第十四條）</w:t>
      </w:r>
    </w:p>
    <w:p w:rsidR="009C7D36" w:rsidRDefault="009C7D36" w:rsidP="00A26D2A">
      <w:pPr>
        <w:pStyle w:val="BodyText"/>
        <w:numPr>
          <w:ilvl w:val="0"/>
          <w:numId w:val="15"/>
        </w:numPr>
      </w:pPr>
      <w:r w:rsidRPr="00C24E05">
        <w:rPr>
          <w:rFonts w:hint="eastAsia"/>
        </w:rPr>
        <w:t>延長民事通常保護令效期，並放寬延長聲請之次數限制。（修正條文第十五條）</w:t>
      </w:r>
    </w:p>
    <w:p w:rsidR="009C7D36" w:rsidRDefault="009C7D36" w:rsidP="00A26D2A">
      <w:pPr>
        <w:pStyle w:val="BodyText"/>
        <w:numPr>
          <w:ilvl w:val="0"/>
          <w:numId w:val="15"/>
        </w:numPr>
      </w:pPr>
      <w:r w:rsidRPr="00C24E05">
        <w:rPr>
          <w:rFonts w:hint="eastAsia"/>
        </w:rPr>
        <w:t>為周延被害人保護，增列法院得依職權核發暫時保護令及抗告中不停止執行之規定。（修正條文第十六條及第二十條）</w:t>
      </w:r>
    </w:p>
    <w:p w:rsidR="009C7D36" w:rsidRPr="00C24E05" w:rsidRDefault="009C7D36" w:rsidP="00A26D2A">
      <w:pPr>
        <w:pStyle w:val="BodyText"/>
        <w:numPr>
          <w:ilvl w:val="0"/>
          <w:numId w:val="15"/>
        </w:numPr>
        <w:rPr>
          <w:bCs/>
          <w:szCs w:val="54"/>
        </w:rPr>
      </w:pPr>
      <w:r w:rsidRPr="00C24E05">
        <w:rPr>
          <w:rFonts w:hint="eastAsia"/>
        </w:rPr>
        <w:t>為積極預防暴力再發生，法院</w:t>
      </w:r>
      <w:r>
        <w:rPr>
          <w:rFonts w:hint="eastAsia"/>
        </w:rPr>
        <w:t>對於犯家庭暴力罪及違反保護令罪之緩刑宣告，增列除顯無必要者外，應</w:t>
      </w:r>
      <w:r w:rsidRPr="00C24E05">
        <w:rPr>
          <w:rFonts w:hint="eastAsia"/>
        </w:rPr>
        <w:t>附帶條件命令，俾維護被害人人身安全，並配合第十四條保護令核發對象之修正，增列特定家庭成員及目睹家庭暴力兒童及少年之適用。（修正條文第三十八條）</w:t>
      </w:r>
    </w:p>
    <w:p w:rsidR="009C7D36" w:rsidRDefault="009C7D36" w:rsidP="00A26D2A">
      <w:pPr>
        <w:pStyle w:val="BodyText"/>
        <w:numPr>
          <w:ilvl w:val="0"/>
          <w:numId w:val="15"/>
        </w:numPr>
      </w:pPr>
      <w:r w:rsidRPr="00C24E05">
        <w:rPr>
          <w:rFonts w:hint="eastAsia"/>
        </w:rPr>
        <w:t>增列有關被害人資訊保密及違反規定之罰則，俾保障被害人及其未成年子女之權益。（修正條文第五十條之ㄧ及第六十一條之一）</w:t>
      </w:r>
    </w:p>
    <w:p w:rsidR="009C7D36" w:rsidRPr="00C24E05" w:rsidRDefault="009C7D36" w:rsidP="00A26D2A">
      <w:pPr>
        <w:pStyle w:val="BodyText"/>
        <w:numPr>
          <w:ilvl w:val="0"/>
          <w:numId w:val="15"/>
        </w:numPr>
      </w:pPr>
      <w:r w:rsidRPr="00C24E05">
        <w:rPr>
          <w:rFonts w:hint="eastAsia"/>
        </w:rPr>
        <w:t>為辦理家庭暴力被害人各項補助申請之調查及核定，增列各相關機關提供資料之義務，及主管機關應依個人資料保護法規定保障當事人之隱私。（修正條文第五十八條）</w:t>
      </w:r>
    </w:p>
    <w:p w:rsidR="009C7D36" w:rsidRPr="00C24E05" w:rsidRDefault="009C7D36" w:rsidP="00A26D2A">
      <w:pPr>
        <w:widowControl/>
        <w:spacing w:line="500" w:lineRule="exact"/>
        <w:jc w:val="both"/>
        <w:rPr>
          <w:rFonts w:ascii="標楷體" w:eastAsia="標楷體" w:hAnsi="標楷體"/>
          <w:bCs/>
          <w:color w:val="000000"/>
          <w:sz w:val="32"/>
          <w:szCs w:val="54"/>
        </w:rPr>
      </w:pPr>
    </w:p>
    <w:p w:rsidR="009C7D36" w:rsidRDefault="009C7D36" w:rsidP="00A26D2A">
      <w:pPr>
        <w:pStyle w:val="Heading1"/>
        <w:spacing w:line="500" w:lineRule="exact"/>
        <w:ind w:left="960" w:hanging="720"/>
        <w:rPr>
          <w:b w:val="0"/>
          <w:bCs w:val="0"/>
          <w:sz w:val="36"/>
          <w:szCs w:val="36"/>
        </w:rPr>
      </w:pPr>
      <w:r>
        <w:rPr>
          <w:rFonts w:hint="eastAsia"/>
          <w:b w:val="0"/>
          <w:bCs w:val="0"/>
          <w:sz w:val="36"/>
          <w:szCs w:val="54"/>
        </w:rPr>
        <w:t>參、</w:t>
      </w:r>
      <w:r w:rsidRPr="008803E5">
        <w:rPr>
          <w:rFonts w:hint="eastAsia"/>
          <w:b w:val="0"/>
          <w:bCs w:val="0"/>
          <w:sz w:val="36"/>
          <w:szCs w:val="36"/>
        </w:rPr>
        <w:t>對於</w:t>
      </w:r>
      <w:r>
        <w:rPr>
          <w:rFonts w:hint="eastAsia"/>
          <w:b w:val="0"/>
          <w:bCs w:val="0"/>
          <w:sz w:val="36"/>
          <w:szCs w:val="36"/>
        </w:rPr>
        <w:t>趙委員天麟</w:t>
      </w:r>
      <w:r w:rsidRPr="008803E5">
        <w:rPr>
          <w:rFonts w:hint="eastAsia"/>
          <w:b w:val="0"/>
          <w:sz w:val="36"/>
          <w:szCs w:val="36"/>
        </w:rPr>
        <w:t>、李委員貴敏</w:t>
      </w:r>
      <w:r w:rsidRPr="008803E5">
        <w:rPr>
          <w:rFonts w:hint="eastAsia"/>
          <w:b w:val="0"/>
          <w:noProof/>
          <w:sz w:val="36"/>
          <w:szCs w:val="36"/>
        </w:rPr>
        <w:t>、</w:t>
      </w:r>
      <w:r w:rsidRPr="008803E5">
        <w:rPr>
          <w:rFonts w:hint="eastAsia"/>
          <w:b w:val="0"/>
          <w:bCs w:val="0"/>
          <w:sz w:val="36"/>
          <w:szCs w:val="36"/>
        </w:rPr>
        <w:t>李委員</w:t>
      </w:r>
      <w:r w:rsidRPr="008803E5">
        <w:rPr>
          <w:rFonts w:hint="eastAsia"/>
          <w:b w:val="0"/>
          <w:noProof/>
          <w:sz w:val="36"/>
          <w:szCs w:val="36"/>
        </w:rPr>
        <w:t>俊俋</w:t>
      </w:r>
      <w:r>
        <w:rPr>
          <w:rFonts w:hint="eastAsia"/>
          <w:b w:val="0"/>
          <w:bCs w:val="0"/>
          <w:sz w:val="36"/>
          <w:szCs w:val="36"/>
        </w:rPr>
        <w:t>、</w:t>
      </w:r>
      <w:r w:rsidRPr="008803E5">
        <w:rPr>
          <w:rFonts w:hint="eastAsia"/>
          <w:b w:val="0"/>
          <w:sz w:val="36"/>
          <w:szCs w:val="36"/>
        </w:rPr>
        <w:t>蔣委員乃辛、</w:t>
      </w:r>
      <w:r w:rsidRPr="008803E5">
        <w:rPr>
          <w:rFonts w:hint="eastAsia"/>
          <w:b w:val="0"/>
          <w:noProof/>
          <w:sz w:val="36"/>
          <w:szCs w:val="36"/>
        </w:rPr>
        <w:t>孫委員大千、</w:t>
      </w:r>
      <w:r>
        <w:rPr>
          <w:rFonts w:hint="eastAsia"/>
          <w:b w:val="0"/>
          <w:noProof/>
          <w:sz w:val="36"/>
          <w:szCs w:val="36"/>
        </w:rPr>
        <w:t>馬委員</w:t>
      </w:r>
      <w:smartTag w:uri="urn:schemas-microsoft-com:office:smarttags" w:element="PersonName">
        <w:r>
          <w:rPr>
            <w:rFonts w:hint="eastAsia"/>
            <w:b w:val="0"/>
            <w:noProof/>
            <w:sz w:val="36"/>
            <w:szCs w:val="36"/>
          </w:rPr>
          <w:t>文</w:t>
        </w:r>
      </w:smartTag>
      <w:r>
        <w:rPr>
          <w:rFonts w:hint="eastAsia"/>
          <w:b w:val="0"/>
          <w:noProof/>
          <w:sz w:val="36"/>
          <w:szCs w:val="36"/>
        </w:rPr>
        <w:t>君、</w:t>
      </w:r>
      <w:r w:rsidRPr="008803E5">
        <w:rPr>
          <w:rFonts w:hint="eastAsia"/>
          <w:b w:val="0"/>
          <w:bCs w:val="0"/>
          <w:sz w:val="36"/>
          <w:szCs w:val="36"/>
        </w:rPr>
        <w:t>吳委員宜臻、王委員育敏、</w:t>
      </w:r>
      <w:r w:rsidRPr="008803E5">
        <w:rPr>
          <w:rFonts w:hint="eastAsia"/>
          <w:b w:val="0"/>
          <w:sz w:val="36"/>
          <w:szCs w:val="36"/>
        </w:rPr>
        <w:t>蔡委員其昌</w:t>
      </w:r>
      <w:r>
        <w:rPr>
          <w:rFonts w:hint="eastAsia"/>
          <w:b w:val="0"/>
          <w:sz w:val="36"/>
          <w:szCs w:val="36"/>
        </w:rPr>
        <w:t>、</w:t>
      </w:r>
      <w:r w:rsidRPr="008803E5">
        <w:rPr>
          <w:rFonts w:hint="eastAsia"/>
          <w:b w:val="0"/>
          <w:sz w:val="36"/>
          <w:szCs w:val="36"/>
        </w:rPr>
        <w:t>謝委員國樑、</w:t>
      </w:r>
      <w:r w:rsidRPr="008803E5">
        <w:rPr>
          <w:rFonts w:hint="eastAsia"/>
          <w:b w:val="0"/>
          <w:noProof/>
          <w:sz w:val="36"/>
          <w:szCs w:val="36"/>
        </w:rPr>
        <w:t>邱委員志偉、</w:t>
      </w:r>
      <w:r>
        <w:rPr>
          <w:rFonts w:hint="eastAsia"/>
          <w:b w:val="0"/>
          <w:sz w:val="36"/>
          <w:szCs w:val="36"/>
        </w:rPr>
        <w:t>潘委員維剛、蕭委員美琴、李委員桐豪、李委員昆澤及鄭委員汝芬</w:t>
      </w:r>
      <w:r w:rsidRPr="008803E5">
        <w:rPr>
          <w:rFonts w:hint="eastAsia"/>
          <w:b w:val="0"/>
          <w:bCs w:val="0"/>
          <w:sz w:val="36"/>
          <w:szCs w:val="36"/>
        </w:rPr>
        <w:t>等人</w:t>
      </w:r>
      <w:r>
        <w:rPr>
          <w:rFonts w:hint="eastAsia"/>
          <w:b w:val="0"/>
          <w:bCs w:val="0"/>
          <w:sz w:val="36"/>
          <w:szCs w:val="36"/>
        </w:rPr>
        <w:t>所提草案，本部意見說明如下</w:t>
      </w:r>
    </w:p>
    <w:p w:rsidR="009C7D36" w:rsidRDefault="009C7D36" w:rsidP="00A26D2A">
      <w:pPr>
        <w:spacing w:line="460" w:lineRule="exact"/>
        <w:ind w:leftChars="400" w:left="960" w:firstLineChars="203" w:firstLine="650"/>
        <w:jc w:val="both"/>
        <w:rPr>
          <w:rFonts w:eastAsia="標楷體"/>
          <w:sz w:val="32"/>
        </w:rPr>
      </w:pPr>
    </w:p>
    <w:p w:rsidR="009C7D36" w:rsidRPr="00E2482A" w:rsidRDefault="009C7D36" w:rsidP="00A26D2A">
      <w:pPr>
        <w:numPr>
          <w:ilvl w:val="0"/>
          <w:numId w:val="9"/>
        </w:numPr>
        <w:spacing w:line="460" w:lineRule="exact"/>
        <w:jc w:val="both"/>
        <w:rPr>
          <w:rFonts w:eastAsia="標楷體"/>
          <w:sz w:val="32"/>
        </w:rPr>
      </w:pPr>
      <w:r w:rsidRPr="00F84B74">
        <w:rPr>
          <w:rFonts w:ascii="標楷體" w:eastAsia="標楷體" w:hAnsi="標楷體" w:cs="Arial" w:hint="eastAsia"/>
          <w:sz w:val="32"/>
          <w:szCs w:val="32"/>
        </w:rPr>
        <w:t>鄉（鎮、市、區）公所應置家庭暴力防治專責人員</w:t>
      </w:r>
      <w:r>
        <w:rPr>
          <w:rFonts w:ascii="標楷體" w:eastAsia="標楷體" w:hAnsi="標楷體" w:cs="Arial" w:hint="eastAsia"/>
          <w:sz w:val="32"/>
          <w:szCs w:val="32"/>
        </w:rPr>
        <w:t>：</w:t>
      </w:r>
      <w:r w:rsidRPr="00E2482A">
        <w:rPr>
          <w:rFonts w:ascii="標楷體" w:eastAsia="標楷體" w:hAnsi="標楷體" w:cs="Arial" w:hint="eastAsia"/>
          <w:sz w:val="32"/>
          <w:szCs w:val="32"/>
        </w:rPr>
        <w:t>依地方制度法規定，地方組織之設立及管理屬地方自治事項，基於憲法對地方自治制度之保障精神，中央法律不宜規範地方機關之組織。另查中央行政機關組織基準法規定，不得以作用法或其他法規規定機關之組織。該基準法雖規範中央行政機關，然基於提</w:t>
      </w:r>
      <w:r>
        <w:rPr>
          <w:rFonts w:ascii="標楷體" w:eastAsia="標楷體" w:hAnsi="標楷體" w:cs="Arial" w:hint="eastAsia"/>
          <w:sz w:val="32"/>
          <w:szCs w:val="32"/>
        </w:rPr>
        <w:t>升施政效能之立法宗旨，其原則亦應及於地方行政機關之適用。</w:t>
      </w:r>
    </w:p>
    <w:p w:rsidR="009C7D36" w:rsidRPr="00E2482A" w:rsidRDefault="009C7D36" w:rsidP="00A26D2A">
      <w:pPr>
        <w:numPr>
          <w:ilvl w:val="0"/>
          <w:numId w:val="9"/>
        </w:numPr>
        <w:spacing w:line="460" w:lineRule="exact"/>
        <w:jc w:val="both"/>
        <w:rPr>
          <w:rFonts w:eastAsia="標楷體"/>
          <w:sz w:val="32"/>
        </w:rPr>
      </w:pPr>
      <w:r>
        <w:rPr>
          <w:rFonts w:eastAsia="標楷體" w:hint="eastAsia"/>
          <w:sz w:val="32"/>
        </w:rPr>
        <w:t>明定家庭暴力</w:t>
      </w:r>
      <w:r w:rsidRPr="00E2482A">
        <w:rPr>
          <w:rFonts w:eastAsia="標楷體" w:hint="eastAsia"/>
          <w:sz w:val="32"/>
        </w:rPr>
        <w:t>防治基金</w:t>
      </w:r>
      <w:r>
        <w:rPr>
          <w:rFonts w:eastAsia="標楷體" w:hint="eastAsia"/>
          <w:sz w:val="32"/>
        </w:rPr>
        <w:t>來源，因</w:t>
      </w:r>
      <w:r w:rsidRPr="00E2482A">
        <w:rPr>
          <w:rFonts w:eastAsia="標楷體" w:hint="eastAsia"/>
          <w:sz w:val="32"/>
        </w:rPr>
        <w:t>涉及國家財政問題，宜整體評估；本部除編列公務預算外，亦運用公益彩</w:t>
      </w:r>
      <w:r>
        <w:rPr>
          <w:rFonts w:eastAsia="標楷體" w:hint="eastAsia"/>
          <w:sz w:val="32"/>
        </w:rPr>
        <w:t>券回饋金補助機制，鼓勵民間團體共同參與推動家庭暴力防治</w:t>
      </w:r>
      <w:r w:rsidRPr="00E2482A">
        <w:rPr>
          <w:rFonts w:eastAsia="標楷體" w:hint="eastAsia"/>
          <w:sz w:val="32"/>
        </w:rPr>
        <w:t>工作</w:t>
      </w:r>
      <w:r>
        <w:rPr>
          <w:rFonts w:eastAsia="標楷體" w:hint="eastAsia"/>
          <w:sz w:val="32"/>
        </w:rPr>
        <w:t>。</w:t>
      </w:r>
    </w:p>
    <w:p w:rsidR="009C7D36" w:rsidRPr="003F5A79" w:rsidRDefault="009C7D36" w:rsidP="00A26D2A">
      <w:pPr>
        <w:numPr>
          <w:ilvl w:val="0"/>
          <w:numId w:val="9"/>
        </w:numPr>
        <w:spacing w:line="460" w:lineRule="exact"/>
        <w:jc w:val="both"/>
        <w:rPr>
          <w:rFonts w:eastAsia="標楷體"/>
          <w:sz w:val="32"/>
        </w:rPr>
      </w:pPr>
      <w:r>
        <w:rPr>
          <w:rFonts w:ascii="標楷體" w:eastAsia="標楷體" w:hAnsi="標楷體" w:cs="Arial" w:hint="eastAsia"/>
          <w:sz w:val="32"/>
          <w:szCs w:val="32"/>
        </w:rPr>
        <w:t>延長通常保護令有效期間至三年並得同時或先後核發各款保護令：</w:t>
      </w:r>
    </w:p>
    <w:p w:rsidR="009C7D36" w:rsidRDefault="009C7D36" w:rsidP="00A26D2A">
      <w:pPr>
        <w:numPr>
          <w:ilvl w:val="1"/>
          <w:numId w:val="9"/>
        </w:numPr>
        <w:spacing w:line="460" w:lineRule="exact"/>
        <w:jc w:val="both"/>
        <w:rPr>
          <w:rFonts w:eastAsia="標楷體"/>
          <w:sz w:val="32"/>
        </w:rPr>
      </w:pPr>
      <w:r>
        <w:rPr>
          <w:rFonts w:eastAsia="標楷體" w:hint="eastAsia"/>
          <w:sz w:val="32"/>
        </w:rPr>
        <w:t>有關提高通常保護令效期</w:t>
      </w:r>
      <w:r>
        <w:rPr>
          <w:rFonts w:eastAsia="標楷體"/>
          <w:sz w:val="32"/>
        </w:rPr>
        <w:t>1</w:t>
      </w:r>
      <w:r w:rsidRPr="003F5A79">
        <w:rPr>
          <w:rFonts w:eastAsia="標楷體" w:hint="eastAsia"/>
          <w:sz w:val="32"/>
        </w:rPr>
        <w:t>節，經參酌其他國家之經驗及衡酌我國國情，並多次與民間團體、專家學者及機關代表研商結果，行政院版爰將現行一年以下之效期修正提高為二年以下，</w:t>
      </w:r>
      <w:r>
        <w:rPr>
          <w:rFonts w:eastAsia="標楷體" w:hint="eastAsia"/>
          <w:sz w:val="32"/>
        </w:rPr>
        <w:t>已較現行有效期限延長一年。</w:t>
      </w:r>
    </w:p>
    <w:p w:rsidR="009C7D36" w:rsidRDefault="009C7D36" w:rsidP="00A26D2A">
      <w:pPr>
        <w:numPr>
          <w:ilvl w:val="1"/>
          <w:numId w:val="9"/>
        </w:numPr>
        <w:spacing w:line="460" w:lineRule="exact"/>
        <w:jc w:val="both"/>
        <w:rPr>
          <w:rFonts w:eastAsia="標楷體"/>
          <w:sz w:val="32"/>
        </w:rPr>
      </w:pPr>
      <w:r w:rsidRPr="003F5A79">
        <w:rPr>
          <w:rFonts w:eastAsia="標楷體" w:hint="eastAsia"/>
          <w:sz w:val="32"/>
        </w:rPr>
        <w:t>分次核發通常保護令</w:t>
      </w:r>
      <w:r w:rsidRPr="003F5A79">
        <w:rPr>
          <w:rFonts w:eastAsia="標楷體"/>
          <w:sz w:val="32"/>
        </w:rPr>
        <w:t>1</w:t>
      </w:r>
      <w:r w:rsidRPr="003F5A79">
        <w:rPr>
          <w:rFonts w:eastAsia="標楷體" w:hint="eastAsia"/>
          <w:sz w:val="32"/>
        </w:rPr>
        <w:t>節，係為縮短保護令核發時間，查司法實務中，法官於審理通常保護令時，即可依聲請或依職權先行核發部分款項之緊急或暫時保護令，以達快速保護效果，惟倘於條文中明定可分次核發一款或數款保護令，對於先核發者，若因抗告而失其效力，其後核發者之效力恐生爭議</w:t>
      </w:r>
      <w:r>
        <w:rPr>
          <w:rFonts w:eastAsia="標楷體" w:hint="eastAsia"/>
          <w:sz w:val="32"/>
        </w:rPr>
        <w:t>。</w:t>
      </w:r>
    </w:p>
    <w:p w:rsidR="009C7D36" w:rsidRDefault="009C7D36" w:rsidP="00A26D2A">
      <w:pPr>
        <w:numPr>
          <w:ilvl w:val="0"/>
          <w:numId w:val="9"/>
        </w:numPr>
        <w:spacing w:line="460" w:lineRule="exact"/>
        <w:jc w:val="both"/>
        <w:rPr>
          <w:rFonts w:eastAsia="標楷體"/>
          <w:sz w:val="32"/>
        </w:rPr>
      </w:pPr>
      <w:r>
        <w:rPr>
          <w:rFonts w:ascii="標楷體" w:eastAsia="標楷體" w:hAnsi="標楷體" w:cs="Arial" w:hint="eastAsia"/>
          <w:sz w:val="32"/>
          <w:szCs w:val="32"/>
        </w:rPr>
        <w:t>限縮緊急保護令核發款項及效期</w:t>
      </w:r>
      <w:r>
        <w:rPr>
          <w:rFonts w:eastAsia="標楷體" w:hint="eastAsia"/>
          <w:sz w:val="32"/>
        </w:rPr>
        <w:t>：</w:t>
      </w:r>
    </w:p>
    <w:p w:rsidR="009C7D36" w:rsidRDefault="009C7D36" w:rsidP="00A26D2A">
      <w:pPr>
        <w:numPr>
          <w:ilvl w:val="1"/>
          <w:numId w:val="9"/>
        </w:numPr>
        <w:spacing w:line="460" w:lineRule="exact"/>
        <w:jc w:val="both"/>
        <w:rPr>
          <w:rFonts w:eastAsia="標楷體"/>
          <w:sz w:val="32"/>
        </w:rPr>
      </w:pPr>
      <w:r w:rsidRPr="00B9560F">
        <w:rPr>
          <w:rFonts w:eastAsia="標楷體" w:hint="eastAsia"/>
          <w:sz w:val="32"/>
        </w:rPr>
        <w:t>查依家庭暴力防治法第</w:t>
      </w:r>
      <w:r w:rsidRPr="00B9560F">
        <w:rPr>
          <w:rFonts w:eastAsia="標楷體"/>
          <w:sz w:val="32"/>
        </w:rPr>
        <w:t>16</w:t>
      </w:r>
      <w:r w:rsidRPr="00B9560F">
        <w:rPr>
          <w:rFonts w:eastAsia="標楷體" w:hint="eastAsia"/>
          <w:sz w:val="32"/>
        </w:rPr>
        <w:t>條規定，法院核發暫時或緊急保護令時，得依聲請或職權核發本法第</w:t>
      </w:r>
      <w:r w:rsidRPr="00B9560F">
        <w:rPr>
          <w:rFonts w:eastAsia="標楷體"/>
          <w:sz w:val="32"/>
        </w:rPr>
        <w:t>14</w:t>
      </w:r>
      <w:r>
        <w:rPr>
          <w:rFonts w:eastAsia="標楷體" w:hint="eastAsia"/>
          <w:sz w:val="32"/>
        </w:rPr>
        <w:t>條第</w:t>
      </w:r>
      <w:r>
        <w:rPr>
          <w:rFonts w:eastAsia="標楷體"/>
          <w:sz w:val="32"/>
        </w:rPr>
        <w:t>1</w:t>
      </w:r>
      <w:r>
        <w:rPr>
          <w:rFonts w:eastAsia="標楷體" w:hint="eastAsia"/>
          <w:sz w:val="32"/>
        </w:rPr>
        <w:t>項</w:t>
      </w:r>
      <w:r w:rsidRPr="00B9560F">
        <w:rPr>
          <w:rFonts w:eastAsia="標楷體" w:hint="eastAsia"/>
          <w:sz w:val="32"/>
        </w:rPr>
        <w:t>第</w:t>
      </w:r>
      <w:r w:rsidRPr="00B9560F">
        <w:rPr>
          <w:rFonts w:eastAsia="標楷體"/>
          <w:sz w:val="32"/>
        </w:rPr>
        <w:t>1</w:t>
      </w:r>
      <w:r>
        <w:rPr>
          <w:rFonts w:eastAsia="標楷體" w:hint="eastAsia"/>
          <w:sz w:val="32"/>
        </w:rPr>
        <w:t>款</w:t>
      </w:r>
      <w:r w:rsidRPr="00B9560F">
        <w:rPr>
          <w:rFonts w:eastAsia="標楷體" w:hint="eastAsia"/>
          <w:sz w:val="32"/>
        </w:rPr>
        <w:t>至第</w:t>
      </w:r>
      <w:r w:rsidRPr="00B9560F">
        <w:rPr>
          <w:rFonts w:eastAsia="標楷體"/>
          <w:sz w:val="32"/>
        </w:rPr>
        <w:t>6</w:t>
      </w:r>
      <w:r w:rsidRPr="00B9560F">
        <w:rPr>
          <w:rFonts w:eastAsia="標楷體" w:hint="eastAsia"/>
          <w:sz w:val="32"/>
        </w:rPr>
        <w:t>款有關禁</w:t>
      </w:r>
      <w:r>
        <w:rPr>
          <w:rFonts w:eastAsia="標楷體" w:hint="eastAsia"/>
          <w:sz w:val="32"/>
        </w:rPr>
        <w:t>止、遠離、遷出、交付物品及涉未成年子女及特定家屬保護等命令，係因</w:t>
      </w:r>
      <w:r w:rsidRPr="00B9560F">
        <w:rPr>
          <w:rFonts w:eastAsia="標楷體" w:hint="eastAsia"/>
          <w:sz w:val="32"/>
        </w:rPr>
        <w:t>家庭暴力態樣複雜，被害人保護措施與需求</w:t>
      </w:r>
      <w:r>
        <w:rPr>
          <w:rFonts w:eastAsia="標楷體" w:hint="eastAsia"/>
          <w:sz w:val="32"/>
        </w:rPr>
        <w:t>相當</w:t>
      </w:r>
      <w:r w:rsidRPr="00B9560F">
        <w:rPr>
          <w:rFonts w:eastAsia="標楷體" w:hint="eastAsia"/>
          <w:sz w:val="32"/>
        </w:rPr>
        <w:t>多元，如為提高法院核發效率而限縮緊急保護令內容，恐無法周延保護家庭暴力被害人</w:t>
      </w:r>
      <w:r>
        <w:rPr>
          <w:rFonts w:eastAsia="標楷體" w:hint="eastAsia"/>
          <w:sz w:val="32"/>
        </w:rPr>
        <w:t>。</w:t>
      </w:r>
    </w:p>
    <w:p w:rsidR="009C7D36" w:rsidRDefault="009C7D36" w:rsidP="00A26D2A">
      <w:pPr>
        <w:numPr>
          <w:ilvl w:val="1"/>
          <w:numId w:val="9"/>
        </w:numPr>
        <w:spacing w:line="460" w:lineRule="exact"/>
        <w:jc w:val="both"/>
        <w:rPr>
          <w:rFonts w:eastAsia="標楷體"/>
          <w:sz w:val="32"/>
        </w:rPr>
      </w:pPr>
      <w:r w:rsidRPr="00080916">
        <w:rPr>
          <w:rFonts w:eastAsia="標楷體" w:hint="eastAsia"/>
          <w:sz w:val="32"/>
        </w:rPr>
        <w:t>有關限縮緊急保護令之有效期限及次數</w:t>
      </w:r>
      <w:r w:rsidRPr="00080916">
        <w:rPr>
          <w:rFonts w:eastAsia="標楷體"/>
          <w:sz w:val="32"/>
        </w:rPr>
        <w:t>1</w:t>
      </w:r>
      <w:r>
        <w:rPr>
          <w:rFonts w:eastAsia="標楷體" w:hint="eastAsia"/>
          <w:sz w:val="32"/>
        </w:rPr>
        <w:t>節，考量現行法官核發通常保護令之時間往往逾一個月</w:t>
      </w:r>
      <w:r w:rsidRPr="00080916">
        <w:rPr>
          <w:rFonts w:eastAsia="標楷體" w:hint="eastAsia"/>
          <w:sz w:val="32"/>
        </w:rPr>
        <w:t>，倘將緊急保護令有效期間明定，恐讓保護令出現空窗期，危及被害人安全</w:t>
      </w:r>
      <w:r>
        <w:rPr>
          <w:rFonts w:eastAsia="標楷體" w:hint="eastAsia"/>
          <w:sz w:val="32"/>
        </w:rPr>
        <w:t>。</w:t>
      </w:r>
    </w:p>
    <w:p w:rsidR="009C7D36" w:rsidRPr="00CF7DA9" w:rsidRDefault="009C7D36" w:rsidP="00A26D2A">
      <w:pPr>
        <w:numPr>
          <w:ilvl w:val="0"/>
          <w:numId w:val="9"/>
        </w:numPr>
        <w:spacing w:line="460" w:lineRule="exact"/>
        <w:jc w:val="both"/>
        <w:rPr>
          <w:rFonts w:eastAsia="標楷體"/>
          <w:sz w:val="32"/>
        </w:rPr>
      </w:pPr>
      <w:r>
        <w:rPr>
          <w:rFonts w:ascii="標楷體" w:eastAsia="標楷體" w:hAnsi="標楷體" w:cs="Arial" w:hint="eastAsia"/>
          <w:sz w:val="32"/>
          <w:szCs w:val="32"/>
        </w:rPr>
        <w:t>法院對於兒童或少年擔任證人應參考社工人員報告或建議：</w:t>
      </w:r>
    </w:p>
    <w:p w:rsidR="009C7D36" w:rsidRPr="00E2482A" w:rsidRDefault="009C7D36" w:rsidP="00CF7DA9">
      <w:pPr>
        <w:spacing w:line="460" w:lineRule="exact"/>
        <w:ind w:left="1200"/>
        <w:jc w:val="both"/>
        <w:rPr>
          <w:rFonts w:eastAsia="標楷體"/>
          <w:sz w:val="32"/>
        </w:rPr>
      </w:pPr>
      <w:r>
        <w:rPr>
          <w:rFonts w:ascii="標楷體" w:eastAsia="標楷體" w:hAnsi="標楷體" w:cs="Arial" w:hint="eastAsia"/>
          <w:sz w:val="32"/>
          <w:szCs w:val="32"/>
        </w:rPr>
        <w:t>委員版提案之內容係為</w:t>
      </w:r>
      <w:r w:rsidRPr="00080916">
        <w:rPr>
          <w:rFonts w:eastAsia="標楷體" w:hint="eastAsia"/>
          <w:sz w:val="32"/>
        </w:rPr>
        <w:t>提醒法官於被害人或證人為兒童或少年時得參考社工人員對</w:t>
      </w:r>
      <w:r>
        <w:rPr>
          <w:rFonts w:eastAsia="標楷體" w:hint="eastAsia"/>
          <w:sz w:val="32"/>
        </w:rPr>
        <w:t>於兒童或少年之專業身心評估報告，作為其證詞證據力、訊問必要性等</w:t>
      </w:r>
      <w:r w:rsidRPr="00080916">
        <w:rPr>
          <w:rFonts w:eastAsia="標楷體" w:hint="eastAsia"/>
          <w:sz w:val="32"/>
        </w:rPr>
        <w:t>參考，非強制性之程序，實務執行仍視個別法官之審判需求不同</w:t>
      </w:r>
      <w:r>
        <w:rPr>
          <w:rFonts w:eastAsia="標楷體" w:hint="eastAsia"/>
          <w:sz w:val="32"/>
        </w:rPr>
        <w:t>而異，爰</w:t>
      </w:r>
      <w:r w:rsidRPr="00080916">
        <w:rPr>
          <w:rFonts w:eastAsia="標楷體" w:hint="eastAsia"/>
          <w:sz w:val="32"/>
        </w:rPr>
        <w:t>屬於法</w:t>
      </w:r>
      <w:r>
        <w:rPr>
          <w:rFonts w:eastAsia="標楷體" w:hint="eastAsia"/>
          <w:sz w:val="32"/>
        </w:rPr>
        <w:t>官審判案件時之應行注意事項規定，宜列入司法院所訂相關行政作業規範之</w:t>
      </w:r>
      <w:r w:rsidRPr="00080916">
        <w:rPr>
          <w:rFonts w:eastAsia="標楷體" w:hint="eastAsia"/>
          <w:sz w:val="32"/>
        </w:rPr>
        <w:t>。</w:t>
      </w:r>
    </w:p>
    <w:p w:rsidR="009C7D36" w:rsidRDefault="009C7D36" w:rsidP="00A26D2A">
      <w:pPr>
        <w:numPr>
          <w:ilvl w:val="0"/>
          <w:numId w:val="9"/>
        </w:numPr>
        <w:spacing w:line="460" w:lineRule="exact"/>
        <w:jc w:val="both"/>
        <w:rPr>
          <w:rFonts w:eastAsia="標楷體"/>
          <w:sz w:val="32"/>
        </w:rPr>
      </w:pPr>
      <w:r>
        <w:rPr>
          <w:rFonts w:ascii="標楷體" w:eastAsia="標楷體" w:hAnsi="標楷體" w:cs="Arial" w:hint="eastAsia"/>
          <w:sz w:val="32"/>
          <w:szCs w:val="32"/>
        </w:rPr>
        <w:t>年滿</w:t>
      </w:r>
      <w:r>
        <w:rPr>
          <w:rFonts w:ascii="標楷體" w:eastAsia="標楷體" w:hAnsi="標楷體" w:cs="Arial"/>
          <w:sz w:val="32"/>
          <w:szCs w:val="32"/>
        </w:rPr>
        <w:t>16</w:t>
      </w:r>
      <w:r>
        <w:rPr>
          <w:rFonts w:ascii="標楷體" w:eastAsia="標楷體" w:hAnsi="標楷體" w:cs="Arial" w:hint="eastAsia"/>
          <w:sz w:val="32"/>
          <w:szCs w:val="32"/>
        </w:rPr>
        <w:t>歲而曾有或現有遭受未同居親密關係暴力準用民事保護令之規定，本部</w:t>
      </w:r>
      <w:r w:rsidRPr="00A033ED">
        <w:rPr>
          <w:rFonts w:eastAsia="標楷體" w:hint="eastAsia"/>
          <w:sz w:val="32"/>
        </w:rPr>
        <w:t>前經多次與各界召開會議討論，</w:t>
      </w:r>
      <w:r>
        <w:rPr>
          <w:rFonts w:eastAsia="標楷體" w:hint="eastAsia"/>
          <w:sz w:val="32"/>
        </w:rPr>
        <w:t>尚</w:t>
      </w:r>
      <w:r w:rsidRPr="00A033ED">
        <w:rPr>
          <w:rFonts w:eastAsia="標楷體" w:hint="eastAsia"/>
          <w:sz w:val="32"/>
        </w:rPr>
        <w:t>因定義不明、認定不易、適用年齡尚無共識、逾越本法範圍，</w:t>
      </w:r>
      <w:r>
        <w:rPr>
          <w:rFonts w:eastAsia="標楷體" w:hint="eastAsia"/>
          <w:sz w:val="32"/>
        </w:rPr>
        <w:t>且與其他法律競合及造成資源排擠等因素，恐造成實務執行困擾，建議</w:t>
      </w:r>
      <w:r w:rsidRPr="00A033ED">
        <w:rPr>
          <w:rFonts w:eastAsia="標楷體" w:hint="eastAsia"/>
          <w:sz w:val="32"/>
        </w:rPr>
        <w:t>不推動</w:t>
      </w:r>
      <w:r>
        <w:rPr>
          <w:rFonts w:eastAsia="標楷體" w:hint="eastAsia"/>
          <w:sz w:val="32"/>
        </w:rPr>
        <w:t>。</w:t>
      </w:r>
    </w:p>
    <w:p w:rsidR="009C7D36" w:rsidRPr="00527A15" w:rsidRDefault="009C7D36" w:rsidP="0027187A">
      <w:pPr>
        <w:pStyle w:val="Heading1"/>
        <w:spacing w:line="500" w:lineRule="exact"/>
        <w:ind w:left="960" w:hanging="720"/>
        <w:rPr>
          <w:b w:val="0"/>
          <w:bCs w:val="0"/>
          <w:sz w:val="36"/>
          <w:szCs w:val="54"/>
        </w:rPr>
      </w:pPr>
      <w:r>
        <w:rPr>
          <w:rFonts w:hint="eastAsia"/>
          <w:b w:val="0"/>
          <w:bCs w:val="0"/>
          <w:sz w:val="36"/>
          <w:szCs w:val="54"/>
        </w:rPr>
        <w:t>肆、</w:t>
      </w:r>
      <w:r w:rsidRPr="00527A15">
        <w:rPr>
          <w:rFonts w:hint="eastAsia"/>
          <w:b w:val="0"/>
          <w:bCs w:val="0"/>
          <w:sz w:val="36"/>
          <w:szCs w:val="54"/>
        </w:rPr>
        <w:t>結</w:t>
      </w:r>
      <w:r>
        <w:rPr>
          <w:rFonts w:hint="eastAsia"/>
          <w:b w:val="0"/>
          <w:bCs w:val="0"/>
          <w:sz w:val="36"/>
          <w:szCs w:val="54"/>
        </w:rPr>
        <w:t>語</w:t>
      </w:r>
    </w:p>
    <w:p w:rsidR="009C7D36" w:rsidRDefault="009C7D36" w:rsidP="007437C5">
      <w:pPr>
        <w:widowControl/>
        <w:spacing w:line="500" w:lineRule="exact"/>
        <w:ind w:leftChars="400" w:left="960" w:firstLineChars="200" w:firstLine="640"/>
        <w:jc w:val="both"/>
        <w:rPr>
          <w:rFonts w:ascii="標楷體" w:eastAsia="標楷體" w:hAnsi="標楷體"/>
          <w:bCs/>
          <w:color w:val="000000"/>
          <w:sz w:val="32"/>
          <w:szCs w:val="54"/>
        </w:rPr>
      </w:pPr>
      <w:r>
        <w:rPr>
          <w:rFonts w:ascii="標楷體" w:eastAsia="標楷體" w:hAnsi="標楷體" w:hint="eastAsia"/>
          <w:bCs/>
          <w:color w:val="000000"/>
          <w:sz w:val="32"/>
          <w:szCs w:val="54"/>
        </w:rPr>
        <w:t>本部承　大院各委員之支持與協助，完成多項法律</w:t>
      </w:r>
      <w:r w:rsidRPr="008357EA">
        <w:rPr>
          <w:rFonts w:ascii="標楷體" w:eastAsia="標楷體" w:hAnsi="標楷體" w:hint="eastAsia"/>
          <w:bCs/>
          <w:sz w:val="32"/>
          <w:szCs w:val="54"/>
        </w:rPr>
        <w:t>案，對業務之推動，有極大之</w:t>
      </w:r>
      <w:r>
        <w:rPr>
          <w:rFonts w:ascii="標楷體" w:eastAsia="標楷體" w:hAnsi="標楷體" w:hint="eastAsia"/>
          <w:bCs/>
          <w:sz w:val="32"/>
          <w:szCs w:val="54"/>
        </w:rPr>
        <w:t>助益，</w:t>
      </w:r>
      <w:r>
        <w:rPr>
          <w:rFonts w:ascii="標楷體" w:eastAsia="標楷體" w:hAnsi="標楷體" w:hint="eastAsia"/>
          <w:bCs/>
          <w:color w:val="000000"/>
          <w:sz w:val="32"/>
          <w:szCs w:val="54"/>
        </w:rPr>
        <w:t>尚祈　各位委員，繼續給予支持。</w:t>
      </w:r>
    </w:p>
    <w:bookmarkEnd w:id="0"/>
    <w:p w:rsidR="009C7D36" w:rsidRPr="00422E6D" w:rsidRDefault="009C7D36" w:rsidP="00CE5BFB">
      <w:pPr>
        <w:spacing w:afterLines="100" w:line="600" w:lineRule="exact"/>
        <w:jc w:val="both"/>
        <w:rPr>
          <w:rFonts w:ascii="Arial" w:eastAsia="標楷體" w:hAnsi="Arial" w:cs="Arial"/>
          <w:b/>
          <w:sz w:val="48"/>
        </w:rPr>
      </w:pPr>
    </w:p>
    <w:sectPr w:rsidR="009C7D36" w:rsidRPr="00422E6D" w:rsidSect="001B3117">
      <w:headerReference w:type="default" r:id="rId7"/>
      <w:footerReference w:type="even" r:id="rId8"/>
      <w:footerReference w:type="default" r:id="rId9"/>
      <w:pgSz w:w="11906" w:h="16838" w:code="9"/>
      <w:pgMar w:top="1701" w:right="1701" w:bottom="1701" w:left="1701" w:header="851" w:footer="851" w:gutter="0"/>
      <w:pgNumType w:start="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D36" w:rsidRDefault="009C7D36">
      <w:r>
        <w:separator/>
      </w:r>
    </w:p>
  </w:endnote>
  <w:endnote w:type="continuationSeparator" w:id="0">
    <w:p w:rsidR="009C7D36" w:rsidRDefault="009C7D3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華康粗黑體">
    <w:altName w:val="細明體"/>
    <w:panose1 w:val="00000000000000000000"/>
    <w:charset w:val="88"/>
    <w:family w:val="modern"/>
    <w:notTrueType/>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36" w:rsidRDefault="009C7D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9C7D36" w:rsidRDefault="009C7D36">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36" w:rsidRDefault="009C7D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9C7D36" w:rsidRDefault="009C7D36">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D36" w:rsidRDefault="009C7D36">
      <w:r>
        <w:separator/>
      </w:r>
    </w:p>
  </w:footnote>
  <w:footnote w:type="continuationSeparator" w:id="0">
    <w:p w:rsidR="009C7D36" w:rsidRDefault="009C7D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D36" w:rsidRDefault="009C7D36">
    <w:pPr>
      <w:pStyle w:val="Header"/>
      <w:ind w:rightChars="143" w:right="34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27B6FAA6"/>
    <w:lvl w:ilvl="0">
      <w:start w:val="1"/>
      <w:numFmt w:val="bullet"/>
      <w:lvlText w:val=""/>
      <w:lvlJc w:val="left"/>
      <w:pPr>
        <w:tabs>
          <w:tab w:val="num" w:pos="2281"/>
        </w:tabs>
        <w:ind w:left="2281" w:hanging="360"/>
      </w:pPr>
      <w:rPr>
        <w:rFonts w:ascii="Wingdings" w:hAnsi="Wingdings" w:hint="default"/>
      </w:rPr>
    </w:lvl>
  </w:abstractNum>
  <w:abstractNum w:abstractNumId="1">
    <w:nsid w:val="04F97566"/>
    <w:multiLevelType w:val="hybridMultilevel"/>
    <w:tmpl w:val="99909716"/>
    <w:lvl w:ilvl="0" w:tplc="137E5036">
      <w:start w:val="1"/>
      <w:numFmt w:val="taiwaneseCountingThousand"/>
      <w:lvlText w:val="%1、"/>
      <w:lvlJc w:val="left"/>
      <w:pPr>
        <w:tabs>
          <w:tab w:val="num" w:pos="720"/>
        </w:tabs>
        <w:ind w:left="720" w:hanging="720"/>
      </w:pPr>
      <w:rPr>
        <w:rFonts w:cs="Times New Roman" w:hint="default"/>
      </w:rPr>
    </w:lvl>
    <w:lvl w:ilvl="1" w:tplc="04090013">
      <w:start w:val="1"/>
      <w:numFmt w:val="upperRoman"/>
      <w:lvlText w:val="%2."/>
      <w:lvlJc w:val="left"/>
      <w:pPr>
        <w:tabs>
          <w:tab w:val="num" w:pos="960"/>
        </w:tabs>
        <w:ind w:left="960" w:hanging="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66E5C9A"/>
    <w:multiLevelType w:val="multilevel"/>
    <w:tmpl w:val="04090021"/>
    <w:lvl w:ilvl="0">
      <w:start w:val="1"/>
      <w:numFmt w:val="upperRoman"/>
      <w:lvlText w:val="%1."/>
      <w:lvlJc w:val="left"/>
      <w:pPr>
        <w:tabs>
          <w:tab w:val="num" w:pos="360"/>
        </w:tabs>
        <w:ind w:left="360" w:hanging="360"/>
      </w:pPr>
      <w:rPr>
        <w:rFonts w:cs="Times New Roman"/>
      </w:rPr>
    </w:lvl>
    <w:lvl w:ilvl="1">
      <w:start w:val="1"/>
      <w:numFmt w:val="upperLetter"/>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7704B53"/>
    <w:multiLevelType w:val="hybridMultilevel"/>
    <w:tmpl w:val="B5E48C56"/>
    <w:lvl w:ilvl="0" w:tplc="E4D4250E">
      <w:start w:val="1"/>
      <w:numFmt w:val="taiwaneseCountingThousand"/>
      <w:lvlText w:val="%1、"/>
      <w:lvlJc w:val="left"/>
      <w:pPr>
        <w:tabs>
          <w:tab w:val="num" w:pos="720"/>
        </w:tabs>
        <w:ind w:left="720" w:hanging="720"/>
      </w:pPr>
      <w:rPr>
        <w:rFonts w:cs="Times New Roman" w:hint="eastAsia"/>
      </w:rPr>
    </w:lvl>
    <w:lvl w:ilvl="1" w:tplc="34EA5196">
      <w:start w:val="1"/>
      <w:numFmt w:val="decimal"/>
      <w:lvlText w:val="%2."/>
      <w:lvlJc w:val="left"/>
      <w:pPr>
        <w:tabs>
          <w:tab w:val="num" w:pos="840"/>
        </w:tabs>
        <w:ind w:left="840" w:hanging="36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7A1352F"/>
    <w:multiLevelType w:val="multilevel"/>
    <w:tmpl w:val="0F0C7F84"/>
    <w:lvl w:ilvl="0">
      <w:start w:val="1"/>
      <w:numFmt w:val="decimal"/>
      <w:pStyle w:val="1"/>
      <w:suff w:val="nothing"/>
      <w:lvlText w:val="%1、"/>
      <w:lvlJc w:val="left"/>
      <w:pPr>
        <w:ind w:left="340" w:hanging="340"/>
      </w:pPr>
      <w:rPr>
        <w:rFonts w:cs="Times New Roman" w:hint="eastAsia"/>
        <w:b w:val="0"/>
        <w:color w:val="auto"/>
      </w:rPr>
    </w:lvl>
    <w:lvl w:ilvl="1">
      <w:start w:val="1"/>
      <w:numFmt w:val="decimal"/>
      <w:pStyle w:val="10"/>
      <w:suff w:val="nothing"/>
      <w:lvlText w:val="(%2) "/>
      <w:lvlJc w:val="left"/>
      <w:pPr>
        <w:ind w:left="340" w:hanging="340"/>
      </w:pPr>
      <w:rPr>
        <w:rFonts w:cs="Times New Roman" w:hint="eastAsia"/>
        <w:b w:val="0"/>
        <w:sz w:val="22"/>
        <w:szCs w:val="22"/>
      </w:rPr>
    </w:lvl>
    <w:lvl w:ilvl="2">
      <w:start w:val="1"/>
      <w:numFmt w:val="decimalFullWidth"/>
      <w:suff w:val="nothing"/>
      <w:lvlText w:val="%3．"/>
      <w:lvlJc w:val="left"/>
      <w:pPr>
        <w:ind w:left="1191" w:hanging="477"/>
      </w:pPr>
      <w:rPr>
        <w:rFonts w:cs="Times New Roman" w:hint="eastAsia"/>
      </w:rPr>
    </w:lvl>
    <w:lvl w:ilvl="3">
      <w:start w:val="1"/>
      <w:numFmt w:val="decimalFullWidth"/>
      <w:suff w:val="nothing"/>
      <w:lvlText w:val="（%4）"/>
      <w:lvlJc w:val="left"/>
      <w:pPr>
        <w:ind w:left="1667" w:hanging="715"/>
      </w:pPr>
      <w:rPr>
        <w:rFonts w:cs="Times New Roman" w:hint="eastAsia"/>
      </w:rPr>
    </w:lvl>
    <w:lvl w:ilvl="4">
      <w:start w:val="1"/>
      <w:numFmt w:val="lowerLetter"/>
      <w:suff w:val="nothing"/>
      <w:lvlText w:val="%5. "/>
      <w:lvlJc w:val="left"/>
      <w:pPr>
        <w:ind w:left="1667" w:hanging="238"/>
      </w:pPr>
      <w:rPr>
        <w:rFonts w:cs="Times New Roman" w:hint="eastAsia"/>
      </w:rPr>
    </w:lvl>
    <w:lvl w:ilvl="5">
      <w:start w:val="1"/>
      <w:numFmt w:val="lowerLetter"/>
      <w:suff w:val="nothing"/>
      <w:lvlText w:val="（%6）"/>
      <w:lvlJc w:val="left"/>
      <w:pPr>
        <w:ind w:left="2262" w:hanging="595"/>
      </w:pPr>
      <w:rPr>
        <w:rFonts w:cs="Times New Roman" w:hint="eastAsia"/>
      </w:rPr>
    </w:lvl>
    <w:lvl w:ilvl="6">
      <w:start w:val="1"/>
      <w:numFmt w:val="upperLetter"/>
      <w:suff w:val="nothing"/>
      <w:lvlText w:val="%7. "/>
      <w:lvlJc w:val="left"/>
      <w:pPr>
        <w:ind w:left="2381" w:hanging="238"/>
      </w:pPr>
      <w:rPr>
        <w:rFonts w:cs="Times New Roman" w:hint="eastAsia"/>
      </w:rPr>
    </w:lvl>
    <w:lvl w:ilvl="7">
      <w:start w:val="1"/>
      <w:numFmt w:val="upperLetter"/>
      <w:suff w:val="nothing"/>
      <w:lvlText w:val="（%8）"/>
      <w:lvlJc w:val="left"/>
      <w:pPr>
        <w:ind w:left="2976" w:hanging="595"/>
      </w:pPr>
      <w:rPr>
        <w:rFonts w:cs="Times New Roman" w:hint="eastAsia"/>
      </w:rPr>
    </w:lvl>
    <w:lvl w:ilvl="8">
      <w:start w:val="1"/>
      <w:numFmt w:val="upperRoman"/>
      <w:suff w:val="nothing"/>
      <w:lvlText w:val="%9. "/>
      <w:lvlJc w:val="left"/>
      <w:pPr>
        <w:ind w:left="3214" w:hanging="357"/>
      </w:pPr>
      <w:rPr>
        <w:rFonts w:cs="Times New Roman" w:hint="eastAsia"/>
      </w:rPr>
    </w:lvl>
  </w:abstractNum>
  <w:abstractNum w:abstractNumId="5">
    <w:nsid w:val="1FE71323"/>
    <w:multiLevelType w:val="hybridMultilevel"/>
    <w:tmpl w:val="7B501E38"/>
    <w:lvl w:ilvl="0" w:tplc="79D433AE">
      <w:start w:val="1"/>
      <w:numFmt w:val="taiwaneseCountingThousand"/>
      <w:lvlText w:val="%1、"/>
      <w:lvlJc w:val="left"/>
      <w:pPr>
        <w:tabs>
          <w:tab w:val="num" w:pos="1200"/>
        </w:tabs>
        <w:ind w:left="1200" w:hanging="720"/>
      </w:pPr>
      <w:rPr>
        <w:rFonts w:cs="Times New Roman" w:hint="default"/>
      </w:rPr>
    </w:lvl>
    <w:lvl w:ilvl="1" w:tplc="04090013">
      <w:start w:val="1"/>
      <w:numFmt w:val="upperRoman"/>
      <w:lvlText w:val="%2."/>
      <w:lvlJc w:val="left"/>
      <w:pPr>
        <w:tabs>
          <w:tab w:val="num" w:pos="1440"/>
        </w:tabs>
        <w:ind w:left="1440" w:hanging="480"/>
      </w:pPr>
      <w:rPr>
        <w:rFonts w:cs="Times New Roman" w:hint="default"/>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6">
    <w:nsid w:val="30C70F92"/>
    <w:multiLevelType w:val="hybridMultilevel"/>
    <w:tmpl w:val="D7D6AE20"/>
    <w:lvl w:ilvl="0" w:tplc="0CB82C40">
      <w:start w:val="1"/>
      <w:numFmt w:val="taiwaneseCountingThousand"/>
      <w:lvlText w:val="%1、"/>
      <w:lvlJc w:val="left"/>
      <w:pPr>
        <w:tabs>
          <w:tab w:val="num" w:pos="1798"/>
        </w:tabs>
        <w:ind w:left="1798" w:hanging="72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7">
    <w:nsid w:val="49CC5B94"/>
    <w:multiLevelType w:val="hybridMultilevel"/>
    <w:tmpl w:val="233E56FC"/>
    <w:lvl w:ilvl="0" w:tplc="73948E08">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51E91F9F"/>
    <w:multiLevelType w:val="multilevel"/>
    <w:tmpl w:val="FF88A89C"/>
    <w:lvl w:ilvl="0">
      <w:start w:val="1"/>
      <w:numFmt w:val="taiwaneseCountingThousand"/>
      <w:lvlText w:val="%1、"/>
      <w:lvlJc w:val="left"/>
      <w:pPr>
        <w:tabs>
          <w:tab w:val="num" w:pos="1200"/>
        </w:tabs>
        <w:ind w:left="1200" w:hanging="720"/>
      </w:pPr>
      <w:rPr>
        <w:rFonts w:cs="Times New Roman" w:hint="default"/>
      </w:rPr>
    </w:lvl>
    <w:lvl w:ilvl="1">
      <w:start w:val="1"/>
      <w:numFmt w:val="ideographTraditional"/>
      <w:lvlText w:val="%2、"/>
      <w:lvlJc w:val="left"/>
      <w:pPr>
        <w:tabs>
          <w:tab w:val="num" w:pos="1440"/>
        </w:tabs>
        <w:ind w:left="1440" w:hanging="480"/>
      </w:pPr>
      <w:rPr>
        <w:rFonts w:cs="Times New Roman"/>
      </w:rPr>
    </w:lvl>
    <w:lvl w:ilvl="2">
      <w:start w:val="1"/>
      <w:numFmt w:val="lowerRoman"/>
      <w:lvlText w:val="%3."/>
      <w:lvlJc w:val="right"/>
      <w:pPr>
        <w:tabs>
          <w:tab w:val="num" w:pos="1920"/>
        </w:tabs>
        <w:ind w:left="1920" w:hanging="480"/>
      </w:pPr>
      <w:rPr>
        <w:rFonts w:cs="Times New Roman"/>
      </w:rPr>
    </w:lvl>
    <w:lvl w:ilvl="3">
      <w:start w:val="1"/>
      <w:numFmt w:val="decimal"/>
      <w:lvlText w:val="%4."/>
      <w:lvlJc w:val="left"/>
      <w:pPr>
        <w:tabs>
          <w:tab w:val="num" w:pos="2400"/>
        </w:tabs>
        <w:ind w:left="2400" w:hanging="480"/>
      </w:pPr>
      <w:rPr>
        <w:rFonts w:cs="Times New Roman"/>
      </w:rPr>
    </w:lvl>
    <w:lvl w:ilvl="4">
      <w:start w:val="1"/>
      <w:numFmt w:val="ideographTraditional"/>
      <w:lvlText w:val="%5、"/>
      <w:lvlJc w:val="left"/>
      <w:pPr>
        <w:tabs>
          <w:tab w:val="num" w:pos="2880"/>
        </w:tabs>
        <w:ind w:left="2880" w:hanging="480"/>
      </w:pPr>
      <w:rPr>
        <w:rFonts w:cs="Times New Roman"/>
      </w:rPr>
    </w:lvl>
    <w:lvl w:ilvl="5">
      <w:start w:val="1"/>
      <w:numFmt w:val="lowerRoman"/>
      <w:lvlText w:val="%6."/>
      <w:lvlJc w:val="right"/>
      <w:pPr>
        <w:tabs>
          <w:tab w:val="num" w:pos="3360"/>
        </w:tabs>
        <w:ind w:left="3360" w:hanging="480"/>
      </w:pPr>
      <w:rPr>
        <w:rFonts w:cs="Times New Roman"/>
      </w:rPr>
    </w:lvl>
    <w:lvl w:ilvl="6">
      <w:start w:val="1"/>
      <w:numFmt w:val="decimal"/>
      <w:lvlText w:val="%7."/>
      <w:lvlJc w:val="left"/>
      <w:pPr>
        <w:tabs>
          <w:tab w:val="num" w:pos="3840"/>
        </w:tabs>
        <w:ind w:left="3840" w:hanging="480"/>
      </w:pPr>
      <w:rPr>
        <w:rFonts w:cs="Times New Roman"/>
      </w:rPr>
    </w:lvl>
    <w:lvl w:ilvl="7">
      <w:start w:val="1"/>
      <w:numFmt w:val="ideographTraditional"/>
      <w:lvlText w:val="%8、"/>
      <w:lvlJc w:val="left"/>
      <w:pPr>
        <w:tabs>
          <w:tab w:val="num" w:pos="4320"/>
        </w:tabs>
        <w:ind w:left="4320" w:hanging="480"/>
      </w:pPr>
      <w:rPr>
        <w:rFonts w:cs="Times New Roman"/>
      </w:rPr>
    </w:lvl>
    <w:lvl w:ilvl="8">
      <w:start w:val="1"/>
      <w:numFmt w:val="lowerRoman"/>
      <w:lvlText w:val="%9."/>
      <w:lvlJc w:val="right"/>
      <w:pPr>
        <w:tabs>
          <w:tab w:val="num" w:pos="4800"/>
        </w:tabs>
        <w:ind w:left="4800" w:hanging="480"/>
      </w:pPr>
      <w:rPr>
        <w:rFonts w:cs="Times New Roman"/>
      </w:rPr>
    </w:lvl>
  </w:abstractNum>
  <w:abstractNum w:abstractNumId="9">
    <w:nsid w:val="5847606D"/>
    <w:multiLevelType w:val="multilevel"/>
    <w:tmpl w:val="A042B274"/>
    <w:lvl w:ilvl="0">
      <w:start w:val="1"/>
      <w:numFmt w:val="taiwaneseCountingThousand"/>
      <w:suff w:val="nothing"/>
      <w:lvlText w:val="%1、"/>
      <w:lvlJc w:val="left"/>
      <w:pPr>
        <w:ind w:left="1077" w:hanging="714"/>
      </w:pPr>
      <w:rPr>
        <w:rFonts w:cs="Times New Roman" w:hint="eastAsia"/>
      </w:rPr>
    </w:lvl>
    <w:lvl w:ilvl="1">
      <w:start w:val="1"/>
      <w:numFmt w:val="taiwaneseCountingThousand"/>
      <w:suff w:val="nothing"/>
      <w:lvlText w:val="（%2）"/>
      <w:lvlJc w:val="left"/>
      <w:pPr>
        <w:ind w:left="1803" w:hanging="1077"/>
      </w:pPr>
      <w:rPr>
        <w:rFonts w:cs="Times New Roman" w:hint="eastAsia"/>
      </w:rPr>
    </w:lvl>
    <w:lvl w:ilvl="2">
      <w:start w:val="1"/>
      <w:numFmt w:val="decimalFullWidth"/>
      <w:suff w:val="nothing"/>
      <w:lvlText w:val="%3、"/>
      <w:lvlJc w:val="left"/>
      <w:pPr>
        <w:ind w:left="2189" w:hanging="737"/>
      </w:pPr>
      <w:rPr>
        <w:rFonts w:cs="Times New Roman" w:hint="eastAsia"/>
      </w:rPr>
    </w:lvl>
    <w:lvl w:ilvl="3">
      <w:start w:val="1"/>
      <w:numFmt w:val="decimalFullWidth"/>
      <w:suff w:val="nothing"/>
      <w:lvlText w:val="（%4）"/>
      <w:lvlJc w:val="left"/>
      <w:pPr>
        <w:ind w:left="2903" w:hanging="1089"/>
      </w:pPr>
      <w:rPr>
        <w:rFonts w:cs="Times New Roman" w:hint="eastAsia"/>
      </w:rPr>
    </w:lvl>
    <w:lvl w:ilvl="4">
      <w:start w:val="1"/>
      <w:numFmt w:val="ideographTraditional"/>
      <w:suff w:val="nothing"/>
      <w:lvlText w:val="%5、"/>
      <w:lvlJc w:val="left"/>
      <w:pPr>
        <w:ind w:left="3280" w:hanging="640"/>
      </w:pPr>
      <w:rPr>
        <w:rFonts w:cs="Times New Roman" w:hint="eastAsia"/>
      </w:rPr>
    </w:lvl>
    <w:lvl w:ilvl="5">
      <w:start w:val="1"/>
      <w:numFmt w:val="decimal"/>
      <w:lvlText w:val="%6)"/>
      <w:lvlJc w:val="left"/>
      <w:pPr>
        <w:tabs>
          <w:tab w:val="num" w:pos="3260"/>
        </w:tabs>
        <w:ind w:left="3260" w:hanging="113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
    <w:nsid w:val="69A76700"/>
    <w:multiLevelType w:val="multilevel"/>
    <w:tmpl w:val="A7B8E02A"/>
    <w:lvl w:ilvl="0">
      <w:start w:val="1"/>
      <w:numFmt w:val="none"/>
      <w:suff w:val="nothing"/>
      <w:lvlText w:val=""/>
      <w:lvlJc w:val="left"/>
      <w:pPr>
        <w:ind w:left="1080" w:hanging="1080"/>
      </w:pPr>
      <w:rPr>
        <w:rFonts w:cs="Times New Roman" w:hint="eastAsia"/>
      </w:rPr>
    </w:lvl>
    <w:lvl w:ilvl="1">
      <w:start w:val="1"/>
      <w:numFmt w:val="taiwaneseCountingThousand"/>
      <w:suff w:val="nothing"/>
      <w:lvlText w:val="%2、"/>
      <w:lvlJc w:val="left"/>
      <w:pPr>
        <w:ind w:left="1080" w:hanging="720"/>
      </w:pPr>
      <w:rPr>
        <w:rFonts w:cs="Times New Roman" w:hint="eastAsia"/>
      </w:rPr>
    </w:lvl>
    <w:lvl w:ilvl="2">
      <w:start w:val="1"/>
      <w:numFmt w:val="none"/>
      <w:suff w:val="nothing"/>
      <w:lvlText w:val=""/>
      <w:lvlJc w:val="left"/>
      <w:pPr>
        <w:ind w:left="1080"/>
      </w:pPr>
      <w:rPr>
        <w:rFonts w:cs="Times New Roman" w:hint="eastAsia"/>
      </w:rPr>
    </w:lvl>
    <w:lvl w:ilvl="3">
      <w:start w:val="1"/>
      <w:numFmt w:val="taiwaneseCountingThousand"/>
      <w:suff w:val="nothing"/>
      <w:lvlText w:val="︵%4︶"/>
      <w:lvlJc w:val="left"/>
      <w:pPr>
        <w:ind w:left="1800" w:hanging="1080"/>
      </w:pPr>
      <w:rPr>
        <w:rFonts w:cs="Times New Roman" w:hint="eastAsia"/>
      </w:rPr>
    </w:lvl>
    <w:lvl w:ilvl="4">
      <w:start w:val="1"/>
      <w:numFmt w:val="none"/>
      <w:suff w:val="nothing"/>
      <w:lvlText w:val=""/>
      <w:lvlJc w:val="left"/>
      <w:pPr>
        <w:ind w:left="1800"/>
      </w:pPr>
      <w:rPr>
        <w:rFonts w:cs="Times New Roman" w:hint="eastAsia"/>
      </w:rPr>
    </w:lvl>
    <w:lvl w:ilvl="5">
      <w:start w:val="1"/>
      <w:numFmt w:val="decimalFullWidth"/>
      <w:suff w:val="nothing"/>
      <w:lvlText w:val="%6、"/>
      <w:lvlJc w:val="left"/>
      <w:pPr>
        <w:ind w:left="1800" w:hanging="720"/>
      </w:pPr>
      <w:rPr>
        <w:rFonts w:cs="Times New Roman" w:hint="eastAsia"/>
      </w:rPr>
    </w:lvl>
    <w:lvl w:ilvl="6">
      <w:start w:val="1"/>
      <w:numFmt w:val="none"/>
      <w:suff w:val="nothing"/>
      <w:lvlText w:val=""/>
      <w:lvlJc w:val="left"/>
      <w:pPr>
        <w:ind w:left="1800"/>
      </w:pPr>
      <w:rPr>
        <w:rFonts w:cs="Times New Roman" w:hint="eastAsia"/>
      </w:rPr>
    </w:lvl>
    <w:lvl w:ilvl="7">
      <w:start w:val="1"/>
      <w:numFmt w:val="decimalFullWidth"/>
      <w:suff w:val="nothing"/>
      <w:lvlText w:val="︵%8︶"/>
      <w:lvlJc w:val="left"/>
      <w:pPr>
        <w:ind w:left="2520" w:hanging="1080"/>
      </w:pPr>
      <w:rPr>
        <w:rFonts w:cs="Times New Roman" w:hint="eastAsia"/>
      </w:rPr>
    </w:lvl>
    <w:lvl w:ilvl="8">
      <w:start w:val="1"/>
      <w:numFmt w:val="none"/>
      <w:suff w:val="nothing"/>
      <w:lvlText w:val=""/>
      <w:lvlJc w:val="left"/>
      <w:pPr>
        <w:ind w:left="2520"/>
      </w:pPr>
      <w:rPr>
        <w:rFonts w:cs="Times New Roman" w:hint="eastAsia"/>
      </w:rPr>
    </w:lvl>
  </w:abstractNum>
  <w:abstractNum w:abstractNumId="11">
    <w:nsid w:val="6BC94700"/>
    <w:multiLevelType w:val="multilevel"/>
    <w:tmpl w:val="04090021"/>
    <w:lvl w:ilvl="0">
      <w:start w:val="1"/>
      <w:numFmt w:val="upperRoman"/>
      <w:lvlText w:val="%1."/>
      <w:lvlJc w:val="left"/>
      <w:pPr>
        <w:tabs>
          <w:tab w:val="num" w:pos="360"/>
        </w:tabs>
        <w:ind w:left="360" w:hanging="360"/>
      </w:pPr>
      <w:rPr>
        <w:rFonts w:cs="Times New Roman"/>
      </w:rPr>
    </w:lvl>
    <w:lvl w:ilvl="1">
      <w:start w:val="1"/>
      <w:numFmt w:val="upperLetter"/>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2160"/>
        </w:tabs>
        <w:ind w:left="2160" w:hanging="360"/>
      </w:pPr>
      <w:rPr>
        <w:rFonts w:cs="Times New Roman"/>
      </w:rPr>
    </w:lvl>
    <w:lvl w:ilvl="6">
      <w:start w:val="1"/>
      <w:numFmt w:val="lowerRoman"/>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0"/>
  </w:num>
  <w:num w:numId="3">
    <w:abstractNumId w:val="0"/>
  </w:num>
  <w:num w:numId="4">
    <w:abstractNumId w:val="0"/>
  </w:num>
  <w:num w:numId="5">
    <w:abstractNumId w:val="10"/>
  </w:num>
  <w:num w:numId="6">
    <w:abstractNumId w:val="9"/>
  </w:num>
  <w:num w:numId="7">
    <w:abstractNumId w:val="4"/>
  </w:num>
  <w:num w:numId="8">
    <w:abstractNumId w:val="3"/>
  </w:num>
  <w:num w:numId="9">
    <w:abstractNumId w:val="5"/>
  </w:num>
  <w:num w:numId="10">
    <w:abstractNumId w:val="1"/>
  </w:num>
  <w:num w:numId="11">
    <w:abstractNumId w:val="8"/>
  </w:num>
  <w:num w:numId="12">
    <w:abstractNumId w:val="7"/>
  </w:num>
  <w:num w:numId="13">
    <w:abstractNumId w:val="6"/>
  </w:num>
  <w:num w:numId="14">
    <w:abstractNumId w:val="6"/>
    <w:lvlOverride w:ilvl="0">
      <w:startOverride w:val="1"/>
    </w:lvlOverride>
  </w:num>
  <w:num w:numId="15">
    <w:abstractNumId w:val="6"/>
    <w:lvlOverride w:ilvl="0">
      <w:startOverride w:val="1"/>
    </w:lvlOverride>
  </w:num>
  <w:num w:numId="16">
    <w:abstractNumId w:val="11"/>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evenAndOddHeaders/>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2E6D"/>
    <w:rsid w:val="00006F64"/>
    <w:rsid w:val="00041228"/>
    <w:rsid w:val="00054EB4"/>
    <w:rsid w:val="0005762C"/>
    <w:rsid w:val="00080916"/>
    <w:rsid w:val="000939ED"/>
    <w:rsid w:val="000B55A4"/>
    <w:rsid w:val="000C7709"/>
    <w:rsid w:val="00162183"/>
    <w:rsid w:val="001B3117"/>
    <w:rsid w:val="001E020A"/>
    <w:rsid w:val="001F065F"/>
    <w:rsid w:val="002224BE"/>
    <w:rsid w:val="0027187A"/>
    <w:rsid w:val="00291B23"/>
    <w:rsid w:val="002D6F05"/>
    <w:rsid w:val="00311859"/>
    <w:rsid w:val="0034218A"/>
    <w:rsid w:val="003756C9"/>
    <w:rsid w:val="0039196F"/>
    <w:rsid w:val="003F421E"/>
    <w:rsid w:val="003F5A79"/>
    <w:rsid w:val="00417A4D"/>
    <w:rsid w:val="00422E6D"/>
    <w:rsid w:val="00452D46"/>
    <w:rsid w:val="004966BD"/>
    <w:rsid w:val="004B0DB7"/>
    <w:rsid w:val="004B3AB2"/>
    <w:rsid w:val="004F34CF"/>
    <w:rsid w:val="00510BA4"/>
    <w:rsid w:val="00527A15"/>
    <w:rsid w:val="00537B9B"/>
    <w:rsid w:val="00554086"/>
    <w:rsid w:val="00565207"/>
    <w:rsid w:val="005663AE"/>
    <w:rsid w:val="00572294"/>
    <w:rsid w:val="005D2F82"/>
    <w:rsid w:val="005D6BFD"/>
    <w:rsid w:val="005E532E"/>
    <w:rsid w:val="006467E3"/>
    <w:rsid w:val="006579CC"/>
    <w:rsid w:val="0068719D"/>
    <w:rsid w:val="006A3CF8"/>
    <w:rsid w:val="006C32DE"/>
    <w:rsid w:val="006F6F00"/>
    <w:rsid w:val="007437C5"/>
    <w:rsid w:val="0083026A"/>
    <w:rsid w:val="008357EA"/>
    <w:rsid w:val="008545AF"/>
    <w:rsid w:val="008803E5"/>
    <w:rsid w:val="009A5B1E"/>
    <w:rsid w:val="009C7D36"/>
    <w:rsid w:val="009F191F"/>
    <w:rsid w:val="00A033ED"/>
    <w:rsid w:val="00A123ED"/>
    <w:rsid w:val="00A26D2A"/>
    <w:rsid w:val="00AC7C1E"/>
    <w:rsid w:val="00AE5956"/>
    <w:rsid w:val="00B011C5"/>
    <w:rsid w:val="00B03F21"/>
    <w:rsid w:val="00B22BDF"/>
    <w:rsid w:val="00B440FC"/>
    <w:rsid w:val="00B9560F"/>
    <w:rsid w:val="00BA0824"/>
    <w:rsid w:val="00BF2584"/>
    <w:rsid w:val="00C043E0"/>
    <w:rsid w:val="00C149D9"/>
    <w:rsid w:val="00C24E05"/>
    <w:rsid w:val="00CD61BA"/>
    <w:rsid w:val="00CE5BFB"/>
    <w:rsid w:val="00CF7DA9"/>
    <w:rsid w:val="00D07BF1"/>
    <w:rsid w:val="00D92C5D"/>
    <w:rsid w:val="00E07821"/>
    <w:rsid w:val="00E2482A"/>
    <w:rsid w:val="00E30B91"/>
    <w:rsid w:val="00E32C5E"/>
    <w:rsid w:val="00E55C38"/>
    <w:rsid w:val="00E8582D"/>
    <w:rsid w:val="00E96ACE"/>
    <w:rsid w:val="00EA1AF2"/>
    <w:rsid w:val="00EF35F7"/>
    <w:rsid w:val="00F00734"/>
    <w:rsid w:val="00F35C30"/>
    <w:rsid w:val="00F61685"/>
    <w:rsid w:val="00F84B7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B23"/>
    <w:pPr>
      <w:widowControl w:val="0"/>
    </w:pPr>
    <w:rPr>
      <w:szCs w:val="24"/>
    </w:rPr>
  </w:style>
  <w:style w:type="paragraph" w:styleId="Heading1">
    <w:name w:val="heading 1"/>
    <w:basedOn w:val="Normal"/>
    <w:next w:val="Normal"/>
    <w:link w:val="Heading1Char"/>
    <w:autoRedefine/>
    <w:uiPriority w:val="99"/>
    <w:qFormat/>
    <w:rsid w:val="00291B23"/>
    <w:pPr>
      <w:keepNext/>
      <w:adjustRightInd w:val="0"/>
      <w:snapToGrid w:val="0"/>
      <w:spacing w:line="600" w:lineRule="exact"/>
      <w:jc w:val="both"/>
      <w:outlineLvl w:val="0"/>
    </w:pPr>
    <w:rPr>
      <w:rFonts w:ascii="標楷體" w:eastAsia="標楷體" w:hAnsi="標楷體"/>
      <w:b/>
      <w:bCs/>
      <w:color w:val="000000"/>
      <w:kern w:val="0"/>
      <w:sz w:val="32"/>
      <w:szCs w:val="52"/>
    </w:rPr>
  </w:style>
  <w:style w:type="paragraph" w:styleId="Heading2">
    <w:name w:val="heading 2"/>
    <w:basedOn w:val="Normal"/>
    <w:next w:val="NormalIndent"/>
    <w:link w:val="Heading2Char"/>
    <w:autoRedefine/>
    <w:uiPriority w:val="99"/>
    <w:qFormat/>
    <w:rsid w:val="00291B23"/>
    <w:pPr>
      <w:spacing w:beforeLines="50" w:afterLines="50" w:line="400" w:lineRule="exact"/>
      <w:ind w:left="641" w:hangingChars="200" w:hanging="641"/>
      <w:outlineLvl w:val="1"/>
    </w:pPr>
    <w:rPr>
      <w:rFonts w:ascii="標楷體" w:eastAsia="標楷體" w:hAnsi="標楷體"/>
      <w:b/>
      <w:bCs/>
      <w:kern w:val="36"/>
      <w:sz w:val="32"/>
      <w:szCs w:val="20"/>
    </w:rPr>
  </w:style>
  <w:style w:type="paragraph" w:styleId="Heading3">
    <w:name w:val="heading 3"/>
    <w:basedOn w:val="Normal"/>
    <w:next w:val="Normal"/>
    <w:link w:val="Heading3Char"/>
    <w:uiPriority w:val="99"/>
    <w:qFormat/>
    <w:rsid w:val="00291B23"/>
    <w:pPr>
      <w:keepNext/>
      <w:spacing w:line="720" w:lineRule="auto"/>
      <w:outlineLvl w:val="2"/>
    </w:pPr>
    <w:rPr>
      <w:rFonts w:ascii="Arial" w:hAnsi="Arial"/>
      <w:b/>
      <w:bCs/>
      <w:sz w:val="36"/>
      <w:szCs w:val="36"/>
    </w:rPr>
  </w:style>
  <w:style w:type="paragraph" w:styleId="Heading4">
    <w:name w:val="heading 4"/>
    <w:basedOn w:val="Normal"/>
    <w:link w:val="Heading4Char"/>
    <w:uiPriority w:val="99"/>
    <w:qFormat/>
    <w:rsid w:val="00291B23"/>
    <w:pPr>
      <w:keepNext/>
      <w:spacing w:line="360" w:lineRule="auto"/>
      <w:ind w:leftChars="200" w:left="480" w:firstLineChars="200" w:firstLine="640"/>
      <w:outlineLvl w:val="3"/>
    </w:pPr>
    <w:rPr>
      <w:rFonts w:ascii="標楷體" w:eastAsia="標楷體" w:hAnsi="標楷體"/>
      <w:color w:val="000000"/>
      <w:sz w:val="32"/>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eastAsia="新細明體" w:hAnsi="Cambria" w:cs="Times New Roman"/>
      <w:b/>
      <w:bCs/>
      <w:kern w:val="52"/>
      <w:sz w:val="52"/>
      <w:szCs w:val="52"/>
    </w:rPr>
  </w:style>
  <w:style w:type="character" w:customStyle="1" w:styleId="Heading2Char">
    <w:name w:val="Heading 2 Char"/>
    <w:basedOn w:val="DefaultParagraphFont"/>
    <w:link w:val="Heading2"/>
    <w:uiPriority w:val="99"/>
    <w:semiHidden/>
    <w:locked/>
    <w:rPr>
      <w:rFonts w:ascii="Cambria" w:eastAsia="新細明體" w:hAnsi="Cambria" w:cs="Times New Roman"/>
      <w:b/>
      <w:bCs/>
      <w:sz w:val="48"/>
      <w:szCs w:val="48"/>
    </w:rPr>
  </w:style>
  <w:style w:type="character" w:customStyle="1" w:styleId="Heading3Char">
    <w:name w:val="Heading 3 Char"/>
    <w:basedOn w:val="DefaultParagraphFont"/>
    <w:link w:val="Heading3"/>
    <w:uiPriority w:val="99"/>
    <w:semiHidden/>
    <w:locked/>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Pr>
      <w:rFonts w:ascii="Cambria" w:eastAsia="新細明體" w:hAnsi="Cambria" w:cs="Times New Roman"/>
      <w:sz w:val="36"/>
      <w:szCs w:val="36"/>
    </w:rPr>
  </w:style>
  <w:style w:type="paragraph" w:styleId="NormalIndent">
    <w:name w:val="Normal Indent"/>
    <w:basedOn w:val="Normal"/>
    <w:uiPriority w:val="99"/>
    <w:rsid w:val="00291B23"/>
    <w:pPr>
      <w:ind w:leftChars="200" w:left="480"/>
    </w:pPr>
  </w:style>
  <w:style w:type="paragraph" w:styleId="PlainText">
    <w:name w:val="Plain Text"/>
    <w:basedOn w:val="Normal"/>
    <w:link w:val="PlainTextChar"/>
    <w:autoRedefine/>
    <w:uiPriority w:val="99"/>
    <w:rsid w:val="00E32C5E"/>
    <w:pPr>
      <w:adjustRightInd w:val="0"/>
      <w:spacing w:line="500" w:lineRule="exact"/>
      <w:ind w:firstLine="360"/>
      <w:jc w:val="both"/>
    </w:pPr>
    <w:rPr>
      <w:rFonts w:ascii="標楷體" w:eastAsia="標楷體" w:hAnsi="標楷體" w:cs="Arial"/>
      <w:bCs/>
      <w:kern w:val="0"/>
      <w:sz w:val="32"/>
      <w:szCs w:val="20"/>
    </w:rPr>
  </w:style>
  <w:style w:type="character" w:customStyle="1" w:styleId="PlainTextChar">
    <w:name w:val="Plain Text Char"/>
    <w:basedOn w:val="DefaultParagraphFont"/>
    <w:link w:val="PlainText"/>
    <w:uiPriority w:val="99"/>
    <w:semiHidden/>
    <w:locked/>
    <w:rPr>
      <w:rFonts w:ascii="細明體" w:eastAsia="細明體" w:hAnsi="Courier New" w:cs="Courier New"/>
      <w:sz w:val="24"/>
      <w:szCs w:val="24"/>
    </w:rPr>
  </w:style>
  <w:style w:type="paragraph" w:styleId="BodyText">
    <w:name w:val="Body Text"/>
    <w:basedOn w:val="Normal"/>
    <w:link w:val="BodyTextChar"/>
    <w:autoRedefine/>
    <w:uiPriority w:val="99"/>
    <w:rsid w:val="00C24E05"/>
    <w:pPr>
      <w:numPr>
        <w:numId w:val="13"/>
      </w:numPr>
      <w:tabs>
        <w:tab w:val="left" w:pos="546"/>
      </w:tabs>
      <w:adjustRightInd w:val="0"/>
      <w:snapToGrid w:val="0"/>
      <w:spacing w:line="460" w:lineRule="exact"/>
      <w:jc w:val="both"/>
    </w:pPr>
    <w:rPr>
      <w:rFonts w:ascii="標楷體" w:eastAsia="標楷體" w:hAnsi="標楷體"/>
      <w:color w:val="000000"/>
      <w:kern w:val="0"/>
      <w:sz w:val="32"/>
      <w:szCs w:val="20"/>
    </w:rPr>
  </w:style>
  <w:style w:type="character" w:customStyle="1" w:styleId="BodyTextChar">
    <w:name w:val="Body Text Char"/>
    <w:basedOn w:val="DefaultParagraphFont"/>
    <w:link w:val="BodyText"/>
    <w:uiPriority w:val="99"/>
    <w:locked/>
    <w:rPr>
      <w:rFonts w:ascii="標楷體" w:eastAsia="標楷體" w:hAnsi="標楷體" w:cs="Times New Roman"/>
      <w:color w:val="000000"/>
      <w:kern w:val="0"/>
      <w:sz w:val="20"/>
      <w:szCs w:val="20"/>
    </w:rPr>
  </w:style>
  <w:style w:type="character" w:customStyle="1" w:styleId="a011">
    <w:name w:val="a011"/>
    <w:basedOn w:val="DefaultParagraphFont"/>
    <w:uiPriority w:val="99"/>
    <w:rsid w:val="00291B23"/>
    <w:rPr>
      <w:rFonts w:cs="Times New Roman"/>
      <w:color w:val="333333"/>
      <w:sz w:val="18"/>
      <w:szCs w:val="18"/>
      <w:u w:val="none"/>
      <w:effect w:val="none"/>
    </w:rPr>
  </w:style>
  <w:style w:type="paragraph" w:styleId="BodyTextIndent">
    <w:name w:val="Body Text Indent"/>
    <w:basedOn w:val="Normal"/>
    <w:link w:val="BodyTextIndentChar"/>
    <w:autoRedefine/>
    <w:uiPriority w:val="99"/>
    <w:rsid w:val="00291B23"/>
    <w:pPr>
      <w:spacing w:before="36" w:after="50" w:line="600" w:lineRule="exact"/>
    </w:pPr>
    <w:rPr>
      <w:rFonts w:ascii="標楷體" w:eastAsia="標楷體" w:hAnsi="標楷體" w:cs="Arial"/>
      <w:sz w:val="32"/>
    </w:r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Header">
    <w:name w:val="header"/>
    <w:basedOn w:val="Normal"/>
    <w:link w:val="HeaderChar"/>
    <w:uiPriority w:val="99"/>
    <w:rsid w:val="00291B2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rsid w:val="00291B2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Pr>
      <w:rFonts w:cs="Times New Roman"/>
      <w:sz w:val="20"/>
      <w:szCs w:val="20"/>
    </w:rPr>
  </w:style>
  <w:style w:type="character" w:styleId="PageNumber">
    <w:name w:val="page number"/>
    <w:basedOn w:val="DefaultParagraphFont"/>
    <w:uiPriority w:val="99"/>
    <w:rsid w:val="00291B23"/>
    <w:rPr>
      <w:rFonts w:cs="Times New Roman"/>
    </w:rPr>
  </w:style>
  <w:style w:type="paragraph" w:customStyle="1" w:styleId="a">
    <w:name w:val="說明"/>
    <w:next w:val="a0"/>
    <w:uiPriority w:val="99"/>
    <w:rsid w:val="00291B23"/>
    <w:pPr>
      <w:widowControl w:val="0"/>
      <w:kinsoku w:val="0"/>
      <w:wordWrap w:val="0"/>
      <w:overflowPunct w:val="0"/>
      <w:autoSpaceDE w:val="0"/>
      <w:autoSpaceDN w:val="0"/>
      <w:spacing w:line="480" w:lineRule="exact"/>
      <w:ind w:left="1080" w:hanging="1080"/>
      <w:textAlignment w:val="center"/>
    </w:pPr>
    <w:rPr>
      <w:rFonts w:eastAsia="細明體"/>
      <w:noProof/>
      <w:color w:val="FF0000"/>
      <w:kern w:val="0"/>
      <w:sz w:val="36"/>
      <w:szCs w:val="20"/>
    </w:rPr>
  </w:style>
  <w:style w:type="paragraph" w:customStyle="1" w:styleId="a0">
    <w:name w:val="說明一"/>
    <w:uiPriority w:val="99"/>
    <w:rsid w:val="00291B23"/>
    <w:pPr>
      <w:widowControl w:val="0"/>
      <w:kinsoku w:val="0"/>
      <w:wordWrap w:val="0"/>
      <w:overflowPunct w:val="0"/>
      <w:autoSpaceDE w:val="0"/>
      <w:autoSpaceDN w:val="0"/>
      <w:spacing w:line="480" w:lineRule="exact"/>
      <w:ind w:left="1080" w:hanging="720"/>
      <w:textAlignment w:val="center"/>
    </w:pPr>
    <w:rPr>
      <w:rFonts w:eastAsia="細明體"/>
      <w:noProof/>
      <w:color w:val="FF0000"/>
      <w:kern w:val="0"/>
      <w:sz w:val="36"/>
      <w:szCs w:val="20"/>
    </w:rPr>
  </w:style>
  <w:style w:type="paragraph" w:customStyle="1" w:styleId="a1">
    <w:name w:val="說明二"/>
    <w:basedOn w:val="a2"/>
    <w:uiPriority w:val="99"/>
    <w:rsid w:val="00291B23"/>
    <w:pPr>
      <w:tabs>
        <w:tab w:val="num" w:pos="360"/>
        <w:tab w:val="num" w:pos="648"/>
        <w:tab w:val="num" w:pos="720"/>
        <w:tab w:val="num" w:pos="1680"/>
        <w:tab w:val="num" w:pos="1920"/>
      </w:tabs>
      <w:ind w:left="1920" w:hanging="480"/>
    </w:pPr>
  </w:style>
  <w:style w:type="paragraph" w:customStyle="1" w:styleId="a2">
    <w:name w:val="說明一內文"/>
    <w:uiPriority w:val="99"/>
    <w:rsid w:val="00291B23"/>
    <w:pPr>
      <w:widowControl w:val="0"/>
      <w:kinsoku w:val="0"/>
      <w:wordWrap w:val="0"/>
      <w:overflowPunct w:val="0"/>
      <w:autoSpaceDE w:val="0"/>
      <w:autoSpaceDN w:val="0"/>
      <w:spacing w:line="400" w:lineRule="exact"/>
      <w:ind w:left="1080"/>
    </w:pPr>
    <w:rPr>
      <w:rFonts w:eastAsia="細明體"/>
      <w:noProof/>
      <w:color w:val="FF0000"/>
      <w:kern w:val="0"/>
      <w:sz w:val="36"/>
      <w:szCs w:val="20"/>
    </w:rPr>
  </w:style>
  <w:style w:type="paragraph" w:customStyle="1" w:styleId="a3">
    <w:name w:val="說明二內文"/>
    <w:basedOn w:val="a1"/>
    <w:uiPriority w:val="99"/>
    <w:rsid w:val="00291B23"/>
    <w:pPr>
      <w:numPr>
        <w:ilvl w:val="4"/>
      </w:numPr>
      <w:tabs>
        <w:tab w:val="num" w:pos="360"/>
        <w:tab w:val="num" w:pos="2400"/>
      </w:tabs>
      <w:ind w:left="2400" w:hanging="480"/>
    </w:pPr>
  </w:style>
  <w:style w:type="paragraph" w:customStyle="1" w:styleId="a4">
    <w:name w:val="說明三"/>
    <w:basedOn w:val="a3"/>
    <w:uiPriority w:val="99"/>
    <w:rsid w:val="00291B23"/>
    <w:pPr>
      <w:numPr>
        <w:ilvl w:val="5"/>
      </w:numPr>
      <w:tabs>
        <w:tab w:val="num" w:pos="360"/>
        <w:tab w:val="num" w:pos="2880"/>
      </w:tabs>
      <w:ind w:left="2880" w:hanging="480"/>
    </w:pPr>
  </w:style>
  <w:style w:type="paragraph" w:customStyle="1" w:styleId="a5">
    <w:name w:val="說明三內文"/>
    <w:basedOn w:val="a4"/>
    <w:uiPriority w:val="99"/>
    <w:rsid w:val="00291B23"/>
    <w:pPr>
      <w:numPr>
        <w:ilvl w:val="6"/>
      </w:numPr>
      <w:tabs>
        <w:tab w:val="num" w:pos="360"/>
        <w:tab w:val="num" w:pos="3360"/>
      </w:tabs>
      <w:ind w:left="3360" w:hanging="480"/>
    </w:pPr>
  </w:style>
  <w:style w:type="paragraph" w:customStyle="1" w:styleId="a6">
    <w:name w:val="說明四"/>
    <w:basedOn w:val="a5"/>
    <w:uiPriority w:val="99"/>
    <w:rsid w:val="00291B23"/>
    <w:pPr>
      <w:numPr>
        <w:ilvl w:val="7"/>
      </w:numPr>
      <w:tabs>
        <w:tab w:val="num" w:pos="360"/>
        <w:tab w:val="num" w:pos="3840"/>
      </w:tabs>
      <w:ind w:left="3840" w:hanging="480"/>
    </w:pPr>
  </w:style>
  <w:style w:type="paragraph" w:customStyle="1" w:styleId="a7">
    <w:name w:val="說明四內文"/>
    <w:basedOn w:val="a6"/>
    <w:uiPriority w:val="99"/>
    <w:rsid w:val="00291B23"/>
    <w:pPr>
      <w:numPr>
        <w:ilvl w:val="8"/>
      </w:numPr>
      <w:tabs>
        <w:tab w:val="num" w:pos="360"/>
        <w:tab w:val="num" w:pos="4320"/>
      </w:tabs>
      <w:ind w:left="4320" w:hanging="480"/>
    </w:pPr>
  </w:style>
  <w:style w:type="paragraph" w:styleId="ListBullet5">
    <w:name w:val="List Bullet 5"/>
    <w:basedOn w:val="Normal"/>
    <w:autoRedefine/>
    <w:uiPriority w:val="99"/>
    <w:rsid w:val="00291B23"/>
    <w:pPr>
      <w:tabs>
        <w:tab w:val="num" w:pos="2281"/>
      </w:tabs>
      <w:ind w:leftChars="1000" w:left="1000" w:hangingChars="200" w:hanging="200"/>
    </w:pPr>
    <w:rPr>
      <w:rFonts w:eastAsia="標楷體"/>
      <w:sz w:val="36"/>
      <w:szCs w:val="20"/>
    </w:rPr>
  </w:style>
  <w:style w:type="paragraph" w:styleId="BodyTextIndent2">
    <w:name w:val="Body Text Indent 2"/>
    <w:basedOn w:val="Normal"/>
    <w:link w:val="BodyTextIndent2Char"/>
    <w:autoRedefine/>
    <w:uiPriority w:val="99"/>
    <w:rsid w:val="00291B23"/>
    <w:pPr>
      <w:spacing w:line="400" w:lineRule="exact"/>
      <w:ind w:leftChars="225" w:left="940" w:hangingChars="200" w:hanging="400"/>
      <w:jc w:val="both"/>
    </w:pPr>
    <w:rPr>
      <w:rFonts w:ascii="標楷體" w:hAnsi="標楷體"/>
      <w:b/>
      <w:kern w:val="0"/>
      <w:sz w:val="20"/>
      <w:szCs w:val="20"/>
    </w:r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character" w:styleId="CommentReference">
    <w:name w:val="annotation reference"/>
    <w:basedOn w:val="DefaultParagraphFont"/>
    <w:uiPriority w:val="99"/>
    <w:semiHidden/>
    <w:rsid w:val="00291B23"/>
    <w:rPr>
      <w:rFonts w:cs="Times New Roman"/>
      <w:sz w:val="18"/>
      <w:szCs w:val="18"/>
    </w:rPr>
  </w:style>
  <w:style w:type="paragraph" w:styleId="CommentText">
    <w:name w:val="annotation text"/>
    <w:basedOn w:val="Normal"/>
    <w:link w:val="CommentTextChar"/>
    <w:uiPriority w:val="99"/>
    <w:semiHidden/>
    <w:rsid w:val="00291B23"/>
    <w:rPr>
      <w:rFonts w:eastAsia="標楷體"/>
      <w:sz w:val="36"/>
      <w:szCs w:val="20"/>
    </w:rPr>
  </w:style>
  <w:style w:type="character" w:customStyle="1" w:styleId="CommentTextChar">
    <w:name w:val="Comment Text Char"/>
    <w:basedOn w:val="DefaultParagraphFont"/>
    <w:link w:val="CommentText"/>
    <w:uiPriority w:val="99"/>
    <w:semiHidden/>
    <w:locked/>
    <w:rPr>
      <w:rFonts w:cs="Times New Roman"/>
      <w:sz w:val="24"/>
      <w:szCs w:val="24"/>
    </w:rPr>
  </w:style>
  <w:style w:type="paragraph" w:customStyle="1" w:styleId="a8">
    <w:name w:val="分項段落"/>
    <w:basedOn w:val="Normal"/>
    <w:uiPriority w:val="99"/>
    <w:rsid w:val="00291B23"/>
    <w:pPr>
      <w:widowControl/>
      <w:snapToGrid w:val="0"/>
      <w:ind w:left="1077" w:hanging="714"/>
      <w:jc w:val="both"/>
      <w:textAlignment w:val="baseline"/>
    </w:pPr>
    <w:rPr>
      <w:rFonts w:eastAsia="標楷體"/>
      <w:noProof/>
      <w:kern w:val="0"/>
      <w:sz w:val="36"/>
      <w:szCs w:val="20"/>
    </w:rPr>
  </w:style>
  <w:style w:type="paragraph" w:customStyle="1" w:styleId="a9">
    <w:name w:val="１"/>
    <w:basedOn w:val="Normal"/>
    <w:uiPriority w:val="99"/>
    <w:rsid w:val="00291B23"/>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
    <w:name w:val="本文縮排3"/>
    <w:basedOn w:val="BodyTextIndent2"/>
    <w:autoRedefine/>
    <w:uiPriority w:val="99"/>
    <w:rsid w:val="00291B23"/>
    <w:pPr>
      <w:ind w:leftChars="325" w:left="525" w:hanging="200"/>
    </w:pPr>
  </w:style>
  <w:style w:type="paragraph" w:styleId="BodyTextIndent3">
    <w:name w:val="Body Text Indent 3"/>
    <w:basedOn w:val="Normal"/>
    <w:link w:val="BodyTextIndent3Char"/>
    <w:uiPriority w:val="99"/>
    <w:rsid w:val="00291B23"/>
    <w:pPr>
      <w:ind w:left="280"/>
    </w:pPr>
    <w:rPr>
      <w:rFonts w:ascii="標楷體" w:eastAsia="標楷體"/>
      <w:sz w:val="28"/>
      <w:szCs w:val="20"/>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character" w:customStyle="1" w:styleId="30">
    <w:name w:val="本文縮排 3 字元"/>
    <w:basedOn w:val="DefaultParagraphFont"/>
    <w:uiPriority w:val="99"/>
    <w:rsid w:val="00291B23"/>
    <w:rPr>
      <w:rFonts w:ascii="標楷體" w:eastAsia="標楷體" w:hAnsi="標楷體" w:cs="Times New Roman"/>
      <w:kern w:val="2"/>
      <w:sz w:val="28"/>
      <w:lang w:val="en-US" w:eastAsia="zh-TW" w:bidi="ar-SA"/>
    </w:rPr>
  </w:style>
  <w:style w:type="paragraph" w:customStyle="1" w:styleId="2">
    <w:name w:val="標題2"/>
    <w:basedOn w:val="Normal"/>
    <w:uiPriority w:val="99"/>
    <w:rsid w:val="00291B23"/>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character" w:styleId="Strong">
    <w:name w:val="Strong"/>
    <w:basedOn w:val="DefaultParagraphFont"/>
    <w:uiPriority w:val="99"/>
    <w:qFormat/>
    <w:rsid w:val="00291B23"/>
    <w:rPr>
      <w:rFonts w:cs="Times New Roman"/>
      <w:b/>
      <w:bCs/>
    </w:rPr>
  </w:style>
  <w:style w:type="character" w:customStyle="1" w:styleId="w1">
    <w:name w:val="w1"/>
    <w:basedOn w:val="DefaultParagraphFont"/>
    <w:uiPriority w:val="99"/>
    <w:rsid w:val="00291B23"/>
    <w:rPr>
      <w:rFonts w:cs="Times New Roman"/>
      <w:sz w:val="18"/>
      <w:szCs w:val="18"/>
    </w:rPr>
  </w:style>
  <w:style w:type="paragraph" w:customStyle="1" w:styleId="11">
    <w:name w:val="本文1"/>
    <w:basedOn w:val="BodyText"/>
    <w:uiPriority w:val="99"/>
    <w:rsid w:val="00291B23"/>
    <w:pPr>
      <w:ind w:left="335" w:hangingChars="300" w:hanging="300"/>
    </w:pPr>
  </w:style>
  <w:style w:type="character" w:customStyle="1" w:styleId="EmailStyle571">
    <w:name w:val="EmailStyle57"/>
    <w:aliases w:val="EmailStyle57"/>
    <w:basedOn w:val="DefaultParagraphFont"/>
    <w:uiPriority w:val="99"/>
    <w:personal/>
    <w:rsid w:val="00291B23"/>
    <w:rPr>
      <w:rFonts w:ascii="Arial" w:eastAsia="新細明體" w:hAnsi="Arial" w:cs="Arial"/>
      <w:color w:val="000000"/>
      <w:sz w:val="18"/>
    </w:rPr>
  </w:style>
  <w:style w:type="paragraph" w:styleId="BlockText">
    <w:name w:val="Block Text"/>
    <w:basedOn w:val="Normal"/>
    <w:uiPriority w:val="99"/>
    <w:rsid w:val="00291B23"/>
    <w:pPr>
      <w:spacing w:line="500" w:lineRule="exact"/>
      <w:ind w:leftChars="63" w:left="151" w:right="152" w:firstLineChars="213" w:firstLine="682"/>
      <w:jc w:val="both"/>
    </w:pPr>
    <w:rPr>
      <w:rFonts w:ascii="標楷體" w:eastAsia="標楷體"/>
      <w:sz w:val="32"/>
    </w:rPr>
  </w:style>
  <w:style w:type="character" w:customStyle="1" w:styleId="EmailStyle591">
    <w:name w:val="EmailStyle59"/>
    <w:aliases w:val="EmailStyle59"/>
    <w:basedOn w:val="DefaultParagraphFont"/>
    <w:uiPriority w:val="99"/>
    <w:semiHidden/>
    <w:personal/>
    <w:rsid w:val="00291B23"/>
    <w:rPr>
      <w:rFonts w:ascii="Arial" w:eastAsia="新細明體" w:hAnsi="Arial" w:cs="Arial"/>
      <w:color w:val="000080"/>
      <w:sz w:val="20"/>
      <w:szCs w:val="20"/>
    </w:rPr>
  </w:style>
  <w:style w:type="paragraph" w:customStyle="1" w:styleId="1">
    <w:name w:val="施政1"/>
    <w:basedOn w:val="Normal"/>
    <w:uiPriority w:val="99"/>
    <w:rsid w:val="00291B23"/>
    <w:pPr>
      <w:numPr>
        <w:numId w:val="7"/>
      </w:numPr>
      <w:snapToGrid w:val="0"/>
      <w:spacing w:line="320" w:lineRule="atLeast"/>
      <w:jc w:val="both"/>
    </w:pPr>
    <w:rPr>
      <w:rFonts w:ascii="新細明體" w:hAnsi="新細明體"/>
      <w:sz w:val="22"/>
      <w:szCs w:val="22"/>
    </w:rPr>
  </w:style>
  <w:style w:type="paragraph" w:customStyle="1" w:styleId="10">
    <w:name w:val="施政(1)"/>
    <w:basedOn w:val="Normal"/>
    <w:uiPriority w:val="99"/>
    <w:rsid w:val="00291B23"/>
    <w:pPr>
      <w:numPr>
        <w:ilvl w:val="1"/>
        <w:numId w:val="7"/>
      </w:numPr>
      <w:snapToGrid w:val="0"/>
      <w:spacing w:line="320" w:lineRule="atLeast"/>
      <w:jc w:val="both"/>
    </w:pPr>
    <w:rPr>
      <w:rFonts w:ascii="新細明體" w:hAnsi="新細明體"/>
      <w:sz w:val="22"/>
      <w:szCs w:val="22"/>
    </w:rPr>
  </w:style>
  <w:style w:type="paragraph" w:styleId="NormalWeb">
    <w:name w:val="Normal (Web)"/>
    <w:basedOn w:val="Normal"/>
    <w:uiPriority w:val="99"/>
    <w:rsid w:val="00291B23"/>
    <w:pPr>
      <w:widowControl/>
      <w:spacing w:before="100" w:beforeAutospacing="1" w:after="100" w:afterAutospacing="1"/>
    </w:pPr>
    <w:rPr>
      <w:rFonts w:ascii="Arial Unicode MS" w:eastAsia="Arial Unicode MS" w:hAnsi="Arial Unicode MS" w:cs="Arial Unicode MS"/>
      <w:kern w:val="0"/>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386</Words>
  <Characters>2205</Characters>
  <Application>Microsoft Office Outlook</Application>
  <DocSecurity>0</DocSecurity>
  <Lines>0</Lines>
  <Paragraphs>0</Paragraphs>
  <ScaleCrop>false</ScaleCrop>
  <Company>hakka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拾伍、客家事務</dc:title>
  <dc:subject/>
  <dc:creator>0085_連悅容</dc:creator>
  <cp:keywords/>
  <dc:description/>
  <cp:lastModifiedBy>prmaruko</cp:lastModifiedBy>
  <cp:revision>2</cp:revision>
  <cp:lastPrinted>2014-03-28T14:21:00Z</cp:lastPrinted>
  <dcterms:created xsi:type="dcterms:W3CDTF">2014-03-30T23:04:00Z</dcterms:created>
  <dcterms:modified xsi:type="dcterms:W3CDTF">2014-03-30T23:04:00Z</dcterms:modified>
</cp:coreProperties>
</file>