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DD613" w14:textId="77777777" w:rsidR="00000000" w:rsidRDefault="00235485">
      <w:pPr>
        <w:spacing w:line="400" w:lineRule="exact"/>
        <w:jc w:val="center"/>
        <w:rPr>
          <w:rFonts w:ascii="標楷體" w:eastAsia="標楷體" w:hAnsi="標楷體" w:hint="eastAsia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細辛中藥材檢驗規格及方法</w:t>
      </w:r>
    </w:p>
    <w:p w14:paraId="781A7DC7" w14:textId="77777777" w:rsidR="00000000" w:rsidRDefault="00235485">
      <w:pPr>
        <w:spacing w:line="400" w:lineRule="exact"/>
        <w:jc w:val="center"/>
        <w:rPr>
          <w:rFonts w:ascii="標楷體" w:eastAsia="標楷體" w:hAnsi="標楷體" w:hint="eastAsia"/>
          <w:b/>
          <w:bCs/>
          <w:sz w:val="32"/>
        </w:rPr>
      </w:pPr>
    </w:p>
    <w:p w14:paraId="2B582432" w14:textId="77777777" w:rsidR="00000000" w:rsidRDefault="00235485">
      <w:pPr>
        <w:spacing w:line="400" w:lineRule="exact"/>
        <w:rPr>
          <w:rFonts w:ascii="標楷體" w:eastAsia="標楷體" w:hAnsi="標楷體" w:hint="eastAsia"/>
          <w:b/>
          <w:bCs/>
        </w:rPr>
      </w:pPr>
      <w:r>
        <w:rPr>
          <w:rFonts w:ascii="標楷體" w:eastAsia="標楷體" w:hAnsi="標楷體" w:hint="eastAsia"/>
          <w:b/>
          <w:bCs/>
        </w:rPr>
        <w:t>馬</w:t>
      </w:r>
      <w:proofErr w:type="gramStart"/>
      <w:r>
        <w:rPr>
          <w:rFonts w:ascii="標楷體" w:eastAsia="標楷體" w:hAnsi="標楷體" w:hint="eastAsia"/>
          <w:b/>
          <w:bCs/>
        </w:rPr>
        <w:t>兜鈴酸</w:t>
      </w:r>
      <w:proofErr w:type="gramEnd"/>
      <w:r>
        <w:rPr>
          <w:rFonts w:ascii="標楷體" w:eastAsia="標楷體" w:hAnsi="標楷體" w:hint="eastAsia"/>
          <w:b/>
          <w:bCs/>
        </w:rPr>
        <w:t>之含量測定方法：</w:t>
      </w:r>
    </w:p>
    <w:p w14:paraId="6F715107" w14:textId="77777777" w:rsidR="00000000" w:rsidRDefault="00235485">
      <w:pPr>
        <w:tabs>
          <w:tab w:val="left" w:pos="6975"/>
        </w:tabs>
        <w:spacing w:line="400" w:lineRule="exact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依據：日本藥局方第十四版</w:t>
      </w:r>
      <w:r>
        <w:rPr>
          <w:rFonts w:ascii="標楷體" w:eastAsia="標楷體" w:hAnsi="標楷體"/>
        </w:rPr>
        <w:t>p.1229</w:t>
      </w:r>
      <w:r>
        <w:rPr>
          <w:rFonts w:ascii="標楷體" w:eastAsia="標楷體" w:hAnsi="標楷體" w:hint="eastAsia"/>
        </w:rPr>
        <w:t>參考資料</w:t>
      </w:r>
      <w:r>
        <w:rPr>
          <w:rFonts w:ascii="標楷體" w:eastAsia="標楷體" w:hAnsi="標楷體"/>
        </w:rPr>
        <w:tab/>
      </w:r>
    </w:p>
    <w:p w14:paraId="693E6297" w14:textId="77777777" w:rsidR="00000000" w:rsidRDefault="00235485">
      <w:pPr>
        <w:numPr>
          <w:ilvl w:val="0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檢品配製：取</w:t>
      </w:r>
      <w:r>
        <w:rPr>
          <w:rFonts w:ascii="標楷體" w:eastAsia="標楷體" w:hAnsi="標楷體"/>
        </w:rPr>
        <w:t>2.0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g</w:t>
      </w:r>
      <w:r>
        <w:rPr>
          <w:rFonts w:ascii="標楷體" w:eastAsia="標楷體" w:hAnsi="標楷體" w:hint="eastAsia"/>
        </w:rPr>
        <w:t>粉末，加</w:t>
      </w:r>
      <w:r>
        <w:rPr>
          <w:rFonts w:ascii="標楷體" w:eastAsia="標楷體" w:hAnsi="標楷體"/>
        </w:rPr>
        <w:t>75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%</w:t>
      </w:r>
      <w:r>
        <w:rPr>
          <w:rFonts w:ascii="標楷體" w:eastAsia="標楷體" w:hAnsi="標楷體" w:hint="eastAsia"/>
        </w:rPr>
        <w:t>的甲醇溶液</w:t>
      </w:r>
      <w:r>
        <w:rPr>
          <w:rFonts w:ascii="標楷體" w:eastAsia="標楷體" w:hAnsi="標楷體"/>
        </w:rPr>
        <w:t>50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</w:t>
      </w:r>
      <w:r>
        <w:rPr>
          <w:rFonts w:ascii="標楷體" w:eastAsia="標楷體" w:hAnsi="標楷體" w:hint="eastAsia"/>
        </w:rPr>
        <w:t>L</w:t>
      </w:r>
      <w:proofErr w:type="spellEnd"/>
      <w:r>
        <w:rPr>
          <w:rFonts w:ascii="標楷體" w:eastAsia="標楷體" w:hAnsi="標楷體" w:hint="eastAsia"/>
        </w:rPr>
        <w:t>，震盪</w:t>
      </w:r>
      <w:r>
        <w:rPr>
          <w:rFonts w:ascii="標楷體" w:eastAsia="標楷體" w:hAnsi="標楷體"/>
        </w:rPr>
        <w:t>15</w:t>
      </w:r>
      <w:r>
        <w:rPr>
          <w:rFonts w:ascii="標楷體" w:eastAsia="標楷體" w:hAnsi="標楷體" w:hint="eastAsia"/>
        </w:rPr>
        <w:t>分鐘</w:t>
      </w:r>
    </w:p>
    <w:p w14:paraId="19592E2C" w14:textId="77777777" w:rsidR="00000000" w:rsidRDefault="00235485">
      <w:pPr>
        <w:spacing w:line="400" w:lineRule="exact"/>
        <w:ind w:firstLine="144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（如使用超音波震盪</w:t>
      </w:r>
      <w:r>
        <w:rPr>
          <w:rFonts w:ascii="標楷體" w:eastAsia="標楷體" w:hAnsi="標楷體"/>
        </w:rPr>
        <w:t>20</w:t>
      </w:r>
      <w:r>
        <w:rPr>
          <w:rFonts w:ascii="標楷體" w:eastAsia="標楷體" w:hAnsi="標楷體" w:hint="eastAsia"/>
        </w:rPr>
        <w:t>分鐘），過濾後</w:t>
      </w:r>
      <w:proofErr w:type="gramStart"/>
      <w:r>
        <w:rPr>
          <w:rFonts w:ascii="標楷體" w:eastAsia="標楷體" w:hAnsi="標楷體" w:hint="eastAsia"/>
        </w:rPr>
        <w:t>供作檢品</w:t>
      </w:r>
      <w:proofErr w:type="gramEnd"/>
      <w:r>
        <w:rPr>
          <w:rFonts w:ascii="標楷體" w:eastAsia="標楷體" w:hAnsi="標楷體" w:hint="eastAsia"/>
        </w:rPr>
        <w:t>溶液。</w:t>
      </w:r>
    </w:p>
    <w:p w14:paraId="0D4D165E" w14:textId="77777777" w:rsidR="00000000" w:rsidRDefault="00235485">
      <w:pPr>
        <w:spacing w:line="400" w:lineRule="exact"/>
        <w:ind w:firstLine="1440"/>
        <w:jc w:val="both"/>
        <w:rPr>
          <w:rFonts w:ascii="標楷體" w:eastAsia="標楷體" w:hAnsi="標楷體" w:hint="eastAsia"/>
        </w:rPr>
      </w:pPr>
    </w:p>
    <w:p w14:paraId="615FD975" w14:textId="77777777" w:rsidR="00000000" w:rsidRDefault="00235485">
      <w:pPr>
        <w:numPr>
          <w:ilvl w:val="0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標準品配製：精秤</w:t>
      </w:r>
      <w:r>
        <w:rPr>
          <w:rFonts w:ascii="標楷體" w:eastAsia="標楷體" w:hAnsi="標楷體"/>
        </w:rPr>
        <w:t>X mg</w:t>
      </w:r>
      <w:r>
        <w:rPr>
          <w:rFonts w:ascii="標楷體" w:eastAsia="標楷體" w:hAnsi="標楷體"/>
          <w:vertAlign w:val="superscript"/>
        </w:rPr>
        <w:t>(1)</w:t>
      </w:r>
      <w:r>
        <w:rPr>
          <w:rFonts w:ascii="標楷體" w:eastAsia="標楷體" w:hAnsi="標楷體" w:hint="eastAsia"/>
        </w:rPr>
        <w:t>馬</w:t>
      </w:r>
      <w:proofErr w:type="gramStart"/>
      <w:r>
        <w:rPr>
          <w:rFonts w:ascii="標楷體" w:eastAsia="標楷體" w:hAnsi="標楷體" w:hint="eastAsia"/>
        </w:rPr>
        <w:t>兜鈴酸</w:t>
      </w:r>
      <w:proofErr w:type="gramEnd"/>
      <w:r>
        <w:rPr>
          <w:rFonts w:ascii="標楷體" w:eastAsia="標楷體" w:hAnsi="標楷體" w:hint="eastAsia"/>
        </w:rPr>
        <w:t>（相當於</w:t>
      </w:r>
      <w:r>
        <w:rPr>
          <w:rFonts w:ascii="標楷體" w:eastAsia="標楷體" w:hAnsi="標楷體"/>
        </w:rPr>
        <w:t>10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mg</w:t>
      </w:r>
      <w:r>
        <w:rPr>
          <w:rFonts w:ascii="標楷體" w:eastAsia="標楷體" w:hAnsi="標楷體" w:hint="eastAsia"/>
        </w:rPr>
        <w:t>的馬兜鈴酸</w:t>
      </w:r>
      <w:r>
        <w:rPr>
          <w:rFonts w:ascii="標楷體" w:eastAsia="標楷體" w:hAnsi="標楷體"/>
        </w:rPr>
        <w:t>I</w:t>
      </w:r>
      <w:r>
        <w:rPr>
          <w:rFonts w:ascii="標楷體" w:eastAsia="標楷體" w:hAnsi="標楷體" w:hint="eastAsia"/>
        </w:rPr>
        <w:t>），</w:t>
      </w:r>
    </w:p>
    <w:p w14:paraId="35263805" w14:textId="77777777" w:rsidR="00000000" w:rsidRDefault="00235485">
      <w:pPr>
        <w:spacing w:line="400" w:lineRule="exact"/>
        <w:ind w:firstLine="16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溶於</w:t>
      </w:r>
      <w:r>
        <w:rPr>
          <w:rFonts w:ascii="標楷體" w:eastAsia="標楷體" w:hAnsi="標楷體"/>
        </w:rPr>
        <w:t>75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%</w:t>
      </w:r>
      <w:r>
        <w:rPr>
          <w:rFonts w:ascii="標楷體" w:eastAsia="標楷體" w:hAnsi="標楷體" w:hint="eastAsia"/>
        </w:rPr>
        <w:t>甲醇溶液定容至</w:t>
      </w:r>
      <w:r>
        <w:rPr>
          <w:rFonts w:ascii="標楷體" w:eastAsia="標楷體" w:hAnsi="標楷體"/>
        </w:rPr>
        <w:t>200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 w:hint="eastAsia"/>
        </w:rPr>
        <w:t>。取此溶液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 w:hint="eastAsia"/>
        </w:rPr>
        <w:t>，</w:t>
      </w:r>
    </w:p>
    <w:p w14:paraId="163FDB7B" w14:textId="77777777" w:rsidR="00000000" w:rsidRDefault="00235485">
      <w:pPr>
        <w:spacing w:line="400" w:lineRule="exact"/>
        <w:ind w:firstLine="16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再以</w:t>
      </w:r>
      <w:r>
        <w:rPr>
          <w:rFonts w:ascii="標楷體" w:eastAsia="標楷體" w:hAnsi="標楷體"/>
        </w:rPr>
        <w:t>75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%</w:t>
      </w:r>
      <w:r>
        <w:rPr>
          <w:rFonts w:ascii="標楷體" w:eastAsia="標楷體" w:hAnsi="標楷體" w:hint="eastAsia"/>
        </w:rPr>
        <w:t>甲醇溶液定容至</w:t>
      </w:r>
      <w:r>
        <w:rPr>
          <w:rFonts w:ascii="標楷體" w:eastAsia="標楷體" w:hAnsi="標楷體"/>
        </w:rPr>
        <w:t>250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 w:hint="eastAsia"/>
        </w:rPr>
        <w:t>，供作標準品溶液。</w:t>
      </w:r>
    </w:p>
    <w:p w14:paraId="2AD3B1FC" w14:textId="77777777" w:rsidR="00000000" w:rsidRDefault="00235485">
      <w:pPr>
        <w:spacing w:line="400" w:lineRule="exact"/>
        <w:ind w:firstLine="1680"/>
        <w:jc w:val="both"/>
        <w:rPr>
          <w:rFonts w:ascii="標楷體" w:eastAsia="標楷體" w:hAnsi="標楷體" w:hint="eastAsia"/>
        </w:rPr>
      </w:pPr>
    </w:p>
    <w:p w14:paraId="165FE226" w14:textId="77777777" w:rsidR="00000000" w:rsidRDefault="00235485">
      <w:pPr>
        <w:numPr>
          <w:ilvl w:val="0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操作方法：</w:t>
      </w:r>
    </w:p>
    <w:p w14:paraId="777377DC" w14:textId="77777777" w:rsidR="00000000" w:rsidRDefault="00235485">
      <w:pPr>
        <w:numPr>
          <w:ilvl w:val="1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高效液相層析之條件</w:t>
      </w:r>
    </w:p>
    <w:p w14:paraId="23CA2BA2" w14:textId="77777777" w:rsidR="00000000" w:rsidRDefault="00235485">
      <w:pPr>
        <w:spacing w:line="400" w:lineRule="exact"/>
        <w:ind w:left="2040" w:hanging="960"/>
        <w:jc w:val="both"/>
        <w:rPr>
          <w:rFonts w:ascii="標楷體" w:eastAsia="標楷體" w:hAnsi="標楷體" w:hint="eastAsia"/>
        </w:rPr>
      </w:pPr>
      <w:proofErr w:type="gramStart"/>
      <w:r>
        <w:rPr>
          <w:rFonts w:ascii="標楷體" w:eastAsia="標楷體" w:hAnsi="標楷體" w:hint="eastAsia"/>
        </w:rPr>
        <w:t>層析管</w:t>
      </w:r>
      <w:proofErr w:type="gramEnd"/>
      <w:r>
        <w:rPr>
          <w:rFonts w:ascii="標楷體" w:eastAsia="標楷體" w:hAnsi="標楷體" w:hint="eastAsia"/>
        </w:rPr>
        <w:t>：</w:t>
      </w:r>
      <w:proofErr w:type="spellStart"/>
      <w:r>
        <w:rPr>
          <w:rFonts w:ascii="標楷體" w:eastAsia="標楷體" w:hAnsi="標楷體"/>
        </w:rPr>
        <w:t>octadecylsilanized</w:t>
      </w:r>
      <w:proofErr w:type="spellEnd"/>
      <w:r>
        <w:rPr>
          <w:rFonts w:ascii="標楷體" w:eastAsia="標楷體" w:hAnsi="標楷體"/>
        </w:rPr>
        <w:t xml:space="preserve"> silic</w:t>
      </w:r>
      <w:r>
        <w:rPr>
          <w:rFonts w:ascii="標楷體" w:eastAsia="標楷體" w:hAnsi="標楷體"/>
        </w:rPr>
        <w:t>a gel</w:t>
      </w:r>
      <w:r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/>
        </w:rPr>
        <w:t>5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μm</w:t>
      </w:r>
      <w:proofErr w:type="spellEnd"/>
      <w:r>
        <w:rPr>
          <w:rFonts w:ascii="標楷體" w:eastAsia="標楷體" w:hAnsi="標楷體" w:hint="eastAsia"/>
        </w:rPr>
        <w:t>，內徑</w:t>
      </w:r>
      <w:r>
        <w:rPr>
          <w:rFonts w:ascii="標楷體" w:eastAsia="標楷體" w:hAnsi="標楷體"/>
        </w:rPr>
        <w:t>4.6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mm x 250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mm</w:t>
      </w:r>
      <w:r>
        <w:rPr>
          <w:rFonts w:ascii="標楷體" w:eastAsia="標楷體" w:hAnsi="標楷體" w:hint="eastAsia"/>
        </w:rPr>
        <w:t>。</w:t>
      </w:r>
    </w:p>
    <w:p w14:paraId="1DF8B14F" w14:textId="77777777" w:rsidR="00000000" w:rsidRDefault="00235485">
      <w:pPr>
        <w:spacing w:line="400" w:lineRule="exact"/>
        <w:ind w:left="1080"/>
        <w:jc w:val="both"/>
        <w:rPr>
          <w:rFonts w:ascii="標楷體" w:eastAsia="標楷體" w:hAnsi="標楷體" w:hint="eastAsia"/>
        </w:rPr>
      </w:pPr>
      <w:proofErr w:type="gramStart"/>
      <w:r>
        <w:rPr>
          <w:rFonts w:ascii="標楷體" w:eastAsia="標楷體" w:hAnsi="標楷體" w:hint="eastAsia"/>
        </w:rPr>
        <w:t>管柱溫度</w:t>
      </w:r>
      <w:proofErr w:type="gramEnd"/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25~40</w:t>
      </w:r>
      <w:r>
        <w:rPr>
          <w:rFonts w:ascii="標楷體" w:eastAsia="標楷體" w:hAnsi="標楷體" w:hint="eastAsia"/>
        </w:rPr>
        <w:t>℃。</w:t>
      </w:r>
    </w:p>
    <w:p w14:paraId="68B6D3CD" w14:textId="77777777" w:rsidR="00000000" w:rsidRDefault="00235485">
      <w:pPr>
        <w:spacing w:line="400" w:lineRule="exact"/>
        <w:ind w:left="108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檢測波長：</w:t>
      </w:r>
      <w:r>
        <w:rPr>
          <w:rFonts w:ascii="標楷體" w:eastAsia="標楷體" w:hAnsi="標楷體"/>
        </w:rPr>
        <w:t>UV 400nm</w:t>
      </w:r>
      <w:r>
        <w:rPr>
          <w:rFonts w:ascii="標楷體" w:eastAsia="標楷體" w:hAnsi="標楷體" w:hint="eastAsia"/>
        </w:rPr>
        <w:t>。</w:t>
      </w:r>
    </w:p>
    <w:p w14:paraId="48E850D7" w14:textId="77777777" w:rsidR="00000000" w:rsidRDefault="00235485">
      <w:pPr>
        <w:spacing w:line="400" w:lineRule="exact"/>
        <w:ind w:leftChars="450" w:left="2040" w:hangingChars="400" w:hanging="96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移動相：</w:t>
      </w:r>
      <w:r>
        <w:rPr>
          <w:rFonts w:ascii="標楷體" w:eastAsia="標楷體" w:hAnsi="標楷體"/>
        </w:rPr>
        <w:t>0.05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mo1/L NaH</w:t>
      </w:r>
      <w:r>
        <w:rPr>
          <w:rFonts w:ascii="標楷體" w:eastAsia="標楷體" w:hAnsi="標楷體"/>
          <w:vertAlign w:val="subscript"/>
        </w:rPr>
        <w:t>2</w:t>
      </w:r>
      <w:r>
        <w:rPr>
          <w:rFonts w:ascii="標楷體" w:eastAsia="標楷體" w:hAnsi="標楷體"/>
        </w:rPr>
        <w:t>PO</w:t>
      </w:r>
      <w:r>
        <w:rPr>
          <w:rFonts w:ascii="標楷體" w:eastAsia="標楷體" w:hAnsi="標楷體"/>
          <w:vertAlign w:val="subscript"/>
        </w:rPr>
        <w:t>4</w:t>
      </w:r>
      <w:r>
        <w:rPr>
          <w:rFonts w:ascii="標楷體" w:eastAsia="標楷體" w:hAnsi="標楷體" w:hint="eastAsia"/>
          <w:vertAlign w:val="subscript"/>
        </w:rPr>
        <w:t xml:space="preserve"> </w:t>
      </w:r>
      <w:r>
        <w:rPr>
          <w:rFonts w:ascii="標楷體" w:eastAsia="標楷體" w:hAnsi="標楷體"/>
        </w:rPr>
        <w:t>(H</w:t>
      </w:r>
      <w:r>
        <w:rPr>
          <w:rFonts w:ascii="標楷體" w:eastAsia="標楷體" w:hAnsi="標楷體"/>
          <w:vertAlign w:val="subscript"/>
        </w:rPr>
        <w:t>3</w:t>
      </w:r>
      <w:r>
        <w:rPr>
          <w:rFonts w:ascii="標楷體" w:eastAsia="標楷體" w:hAnsi="標楷體"/>
        </w:rPr>
        <w:t>PO</w:t>
      </w:r>
      <w:r>
        <w:rPr>
          <w:rFonts w:ascii="標楷體" w:eastAsia="標楷體" w:hAnsi="標楷體"/>
          <w:vertAlign w:val="subscript"/>
        </w:rPr>
        <w:t>4</w:t>
      </w:r>
      <w:r>
        <w:rPr>
          <w:rFonts w:ascii="標楷體" w:eastAsia="標楷體" w:hAnsi="標楷體"/>
        </w:rPr>
        <w:t>2mL)</w:t>
      </w:r>
      <w:r>
        <w:rPr>
          <w:rFonts w:ascii="標楷體" w:eastAsia="標楷體" w:hAnsi="標楷體"/>
          <w:vertAlign w:val="superscript"/>
        </w:rPr>
        <w:t>(2)</w:t>
      </w:r>
      <w:r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/>
        </w:rPr>
        <w:t>CH</w:t>
      </w:r>
      <w:r>
        <w:rPr>
          <w:rFonts w:ascii="標楷體" w:eastAsia="標楷體" w:hAnsi="標楷體"/>
          <w:vertAlign w:val="subscript"/>
        </w:rPr>
        <w:t>3</w:t>
      </w:r>
      <w:r>
        <w:rPr>
          <w:rFonts w:ascii="標楷體" w:eastAsia="標楷體" w:hAnsi="標楷體"/>
        </w:rPr>
        <w:t>CN</w:t>
      </w:r>
      <w:r>
        <w:rPr>
          <w:rFonts w:ascii="標楷體" w:eastAsia="標楷體" w:hAnsi="標楷體" w:hint="eastAsia"/>
        </w:rPr>
        <w:t>以</w:t>
      </w:r>
      <w:r>
        <w:rPr>
          <w:rFonts w:ascii="標楷體" w:eastAsia="標楷體" w:hAnsi="標楷體"/>
        </w:rPr>
        <w:t>11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9</w:t>
      </w:r>
      <w:r>
        <w:rPr>
          <w:rFonts w:ascii="標楷體" w:eastAsia="標楷體" w:hAnsi="標楷體" w:hint="eastAsia"/>
        </w:rPr>
        <w:t>的比例混合。</w:t>
      </w:r>
    </w:p>
    <w:p w14:paraId="13721B21" w14:textId="77777777" w:rsidR="00000000" w:rsidRDefault="00235485">
      <w:pPr>
        <w:spacing w:line="400" w:lineRule="exact"/>
        <w:ind w:leftChars="450" w:left="2040" w:hangingChars="400" w:hanging="96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流速：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 xml:space="preserve">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/>
        </w:rPr>
        <w:t>/min</w:t>
      </w:r>
      <w:r>
        <w:rPr>
          <w:rFonts w:ascii="標楷體" w:eastAsia="標楷體" w:hAnsi="標楷體" w:hint="eastAsia"/>
        </w:rPr>
        <w:t>。</w:t>
      </w:r>
    </w:p>
    <w:p w14:paraId="1B877E5B" w14:textId="77777777" w:rsidR="00000000" w:rsidRDefault="00235485">
      <w:pPr>
        <w:numPr>
          <w:ilvl w:val="1"/>
          <w:numId w:val="2"/>
        </w:numPr>
        <w:spacing w:line="400" w:lineRule="exact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鑑別及含量測定</w:t>
      </w:r>
    </w:p>
    <w:p w14:paraId="380739D5" w14:textId="77777777" w:rsidR="00000000" w:rsidRDefault="00235485">
      <w:pPr>
        <w:spacing w:line="400" w:lineRule="exact"/>
        <w:ind w:left="10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分別取</w:t>
      </w:r>
      <w:r>
        <w:rPr>
          <w:rFonts w:ascii="標楷體" w:eastAsia="標楷體" w:hAnsi="標楷體"/>
        </w:rPr>
        <w:t>10μl</w:t>
      </w:r>
      <w:r>
        <w:rPr>
          <w:rFonts w:ascii="標楷體" w:eastAsia="標楷體" w:hAnsi="標楷體" w:hint="eastAsia"/>
        </w:rPr>
        <w:t>的檢品溶液及標準品溶液，以高效液相層析儀分析，與標準品溶液層析圖譜比對，檢品溶液層析圖譜中，與馬</w:t>
      </w:r>
      <w:proofErr w:type="gramStart"/>
      <w:r>
        <w:rPr>
          <w:rFonts w:ascii="標楷體" w:eastAsia="標楷體" w:hAnsi="標楷體" w:hint="eastAsia"/>
        </w:rPr>
        <w:t>兜鈴酸</w:t>
      </w:r>
      <w:proofErr w:type="gramEnd"/>
      <w:r>
        <w:rPr>
          <w:rFonts w:ascii="標楷體" w:eastAsia="標楷體" w:hAnsi="標楷體"/>
        </w:rPr>
        <w:t>I</w:t>
      </w:r>
      <w:r>
        <w:rPr>
          <w:rFonts w:ascii="標楷體" w:eastAsia="標楷體" w:hAnsi="標楷體" w:hint="eastAsia"/>
        </w:rPr>
        <w:t>標準品滯留時間相對應處，未顯現波峰，</w:t>
      </w:r>
      <w:proofErr w:type="gramStart"/>
      <w:r>
        <w:rPr>
          <w:rFonts w:ascii="標楷體" w:eastAsia="標楷體" w:hAnsi="標楷體" w:hint="eastAsia"/>
        </w:rPr>
        <w:t>則此檢品</w:t>
      </w:r>
      <w:proofErr w:type="gramEnd"/>
      <w:r>
        <w:rPr>
          <w:rFonts w:ascii="標楷體" w:eastAsia="標楷體" w:hAnsi="標楷體" w:hint="eastAsia"/>
        </w:rPr>
        <w:t>應可接受；若與馬</w:t>
      </w:r>
      <w:proofErr w:type="gramStart"/>
      <w:r>
        <w:rPr>
          <w:rFonts w:ascii="標楷體" w:eastAsia="標楷體" w:hAnsi="標楷體" w:hint="eastAsia"/>
        </w:rPr>
        <w:t>兜鈴酸</w:t>
      </w:r>
      <w:proofErr w:type="gramEnd"/>
      <w:r>
        <w:rPr>
          <w:rFonts w:ascii="標楷體" w:eastAsia="標楷體" w:hAnsi="標楷體"/>
        </w:rPr>
        <w:t>I</w:t>
      </w:r>
      <w:r>
        <w:rPr>
          <w:rFonts w:ascii="標楷體" w:eastAsia="標楷體" w:hAnsi="標楷體" w:hint="eastAsia"/>
        </w:rPr>
        <w:t>標準品滯留時間相對應處顯現波峰，必須另以不同條件重覆試驗，若</w:t>
      </w:r>
      <w:r>
        <w:rPr>
          <w:rFonts w:ascii="標楷體" w:eastAsia="標楷體" w:hAnsi="標楷體" w:hint="eastAsia"/>
        </w:rPr>
        <w:t>檢品溶液層析圖譜中，與標準品溶液層析圖譜馬</w:t>
      </w:r>
      <w:proofErr w:type="gramStart"/>
      <w:r>
        <w:rPr>
          <w:rFonts w:ascii="標楷體" w:eastAsia="標楷體" w:hAnsi="標楷體" w:hint="eastAsia"/>
        </w:rPr>
        <w:t>兜鈴酸</w:t>
      </w:r>
      <w:proofErr w:type="gramEnd"/>
      <w:r>
        <w:rPr>
          <w:rFonts w:ascii="標楷體" w:eastAsia="標楷體" w:hAnsi="標楷體"/>
        </w:rPr>
        <w:t>I</w:t>
      </w:r>
      <w:r>
        <w:rPr>
          <w:rFonts w:ascii="標楷體" w:eastAsia="標楷體" w:hAnsi="標楷體" w:hint="eastAsia"/>
        </w:rPr>
        <w:t>之滯留時間相對應處不再顯現波峰，</w:t>
      </w:r>
      <w:proofErr w:type="gramStart"/>
      <w:r>
        <w:rPr>
          <w:rFonts w:ascii="標楷體" w:eastAsia="標楷體" w:hAnsi="標楷體" w:hint="eastAsia"/>
        </w:rPr>
        <w:t>則此檢品</w:t>
      </w:r>
      <w:proofErr w:type="gramEnd"/>
      <w:r>
        <w:rPr>
          <w:rFonts w:ascii="標楷體" w:eastAsia="標楷體" w:hAnsi="標楷體" w:hint="eastAsia"/>
        </w:rPr>
        <w:t>應可接受。</w:t>
      </w:r>
    </w:p>
    <w:p w14:paraId="084272E1" w14:textId="77777777" w:rsidR="00000000" w:rsidRDefault="00235485">
      <w:pPr>
        <w:spacing w:line="400" w:lineRule="exact"/>
        <w:ind w:left="840" w:hanging="600"/>
        <w:jc w:val="both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/>
        </w:rPr>
        <w:t>X mg = 10 x 100/F</w:t>
      </w:r>
      <w:r>
        <w:rPr>
          <w:rFonts w:ascii="標楷體" w:eastAsia="標楷體" w:hAnsi="標楷體" w:hint="eastAsia"/>
        </w:rPr>
        <w:t>，其中</w:t>
      </w:r>
      <w:r>
        <w:rPr>
          <w:rFonts w:ascii="標楷體" w:eastAsia="標楷體" w:hAnsi="標楷體"/>
        </w:rPr>
        <w:t>F</w:t>
      </w:r>
      <w:r>
        <w:rPr>
          <w:rFonts w:ascii="標楷體" w:eastAsia="標楷體" w:hAnsi="標楷體" w:hint="eastAsia"/>
        </w:rPr>
        <w:t>為</w:t>
      </w:r>
      <w:proofErr w:type="gramStart"/>
      <w:r>
        <w:rPr>
          <w:rFonts w:ascii="標楷體" w:eastAsia="標楷體" w:hAnsi="標楷體" w:hint="eastAsia"/>
        </w:rPr>
        <w:t>標準品瓶上</w:t>
      </w:r>
      <w:proofErr w:type="gramEnd"/>
      <w:r>
        <w:rPr>
          <w:rFonts w:ascii="標楷體" w:eastAsia="標楷體" w:hAnsi="標楷體" w:hint="eastAsia"/>
        </w:rPr>
        <w:t>標示馬</w:t>
      </w:r>
      <w:proofErr w:type="gramStart"/>
      <w:r>
        <w:rPr>
          <w:rFonts w:ascii="標楷體" w:eastAsia="標楷體" w:hAnsi="標楷體" w:hint="eastAsia"/>
        </w:rPr>
        <w:t>兜鈴酸</w:t>
      </w:r>
      <w:proofErr w:type="gramEnd"/>
      <w:r>
        <w:rPr>
          <w:rFonts w:ascii="標楷體" w:eastAsia="標楷體" w:hAnsi="標楷體" w:hint="eastAsia"/>
        </w:rPr>
        <w:t>I</w:t>
      </w:r>
      <w:r>
        <w:rPr>
          <w:rFonts w:ascii="標楷體" w:eastAsia="標楷體" w:hAnsi="標楷體" w:hint="eastAsia"/>
        </w:rPr>
        <w:t>的含量</w:t>
      </w:r>
      <w:r>
        <w:rPr>
          <w:rFonts w:ascii="標楷體" w:eastAsia="標楷體" w:hAnsi="標楷體"/>
        </w:rPr>
        <w:t>(%)</w:t>
      </w:r>
    </w:p>
    <w:p w14:paraId="783DD4B0" w14:textId="77777777" w:rsidR="00235485" w:rsidRDefault="00235485">
      <w:pPr>
        <w:spacing w:line="400" w:lineRule="exact"/>
        <w:ind w:firstLine="240"/>
        <w:jc w:val="both"/>
        <w:rPr>
          <w:rFonts w:ascii="標楷體" w:eastAsia="標楷體" w:hAnsi="標楷體" w:hint="eastAsia"/>
        </w:rPr>
      </w:pPr>
      <w:proofErr w:type="gramStart"/>
      <w:r>
        <w:rPr>
          <w:rFonts w:ascii="標楷體" w:eastAsia="標楷體" w:hAnsi="標楷體" w:hint="eastAsia"/>
        </w:rPr>
        <w:t>註</w:t>
      </w:r>
      <w:proofErr w:type="gramEnd"/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：取</w:t>
      </w:r>
      <w:r>
        <w:rPr>
          <w:rFonts w:ascii="標楷體" w:eastAsia="標楷體" w:hAnsi="標楷體"/>
        </w:rPr>
        <w:t>7.8g NaH</w:t>
      </w:r>
      <w:r>
        <w:rPr>
          <w:rFonts w:ascii="標楷體" w:eastAsia="標楷體" w:hAnsi="標楷體"/>
          <w:vertAlign w:val="subscript"/>
        </w:rPr>
        <w:t>2</w:t>
      </w:r>
      <w:r>
        <w:rPr>
          <w:rFonts w:ascii="標楷體" w:eastAsia="標楷體" w:hAnsi="標楷體"/>
        </w:rPr>
        <w:t>PO</w:t>
      </w:r>
      <w:r>
        <w:rPr>
          <w:rFonts w:ascii="標楷體" w:eastAsia="標楷體" w:hAnsi="標楷體"/>
          <w:vertAlign w:val="subscript"/>
        </w:rPr>
        <w:t>4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和</w:t>
      </w:r>
      <w:r>
        <w:rPr>
          <w:rFonts w:ascii="標楷體" w:eastAsia="標楷體" w:hAnsi="標楷體" w:hint="eastAsia"/>
        </w:rPr>
        <w:t xml:space="preserve"> H</w:t>
      </w:r>
      <w:r>
        <w:rPr>
          <w:rFonts w:ascii="標楷體" w:eastAsia="標楷體" w:hAnsi="標楷體" w:hint="eastAsia"/>
          <w:vertAlign w:val="subscript"/>
        </w:rPr>
        <w:t>3</w:t>
      </w:r>
      <w:r>
        <w:rPr>
          <w:rFonts w:ascii="標楷體" w:eastAsia="標楷體" w:hAnsi="標楷體" w:hint="eastAsia"/>
        </w:rPr>
        <w:t>PO</w:t>
      </w:r>
      <w:r>
        <w:rPr>
          <w:rFonts w:ascii="標楷體" w:eastAsia="標楷體" w:hAnsi="標楷體" w:hint="eastAsia"/>
          <w:vertAlign w:val="subscript"/>
        </w:rPr>
        <w:t>4</w:t>
      </w:r>
      <w:r>
        <w:rPr>
          <w:rFonts w:ascii="標楷體" w:eastAsia="標楷體" w:hAnsi="標楷體" w:hint="eastAsia"/>
        </w:rPr>
        <w:t xml:space="preserve"> 2 </w:t>
      </w:r>
      <w:proofErr w:type="spellStart"/>
      <w:r>
        <w:rPr>
          <w:rFonts w:ascii="標楷體" w:eastAsia="標楷體" w:hAnsi="標楷體" w:hint="eastAsia"/>
        </w:rPr>
        <w:t>mL</w:t>
      </w:r>
      <w:proofErr w:type="spellEnd"/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加水至</w:t>
      </w:r>
      <w:r>
        <w:rPr>
          <w:rFonts w:ascii="標楷體" w:eastAsia="標楷體" w:hAnsi="標楷體"/>
        </w:rPr>
        <w:t xml:space="preserve"> 1000 </w:t>
      </w:r>
      <w:proofErr w:type="spellStart"/>
      <w:r>
        <w:rPr>
          <w:rFonts w:ascii="標楷體" w:eastAsia="標楷體" w:hAnsi="標楷體"/>
        </w:rPr>
        <w:t>mL</w:t>
      </w:r>
      <w:proofErr w:type="spellEnd"/>
      <w:r>
        <w:rPr>
          <w:rFonts w:ascii="標楷體" w:eastAsia="標楷體" w:hAnsi="標楷體" w:hint="eastAsia"/>
        </w:rPr>
        <w:t>。</w:t>
      </w:r>
    </w:p>
    <w:sectPr w:rsidR="002354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489C5" w14:textId="77777777" w:rsidR="00235485" w:rsidRDefault="00235485" w:rsidP="00445247">
      <w:r>
        <w:separator/>
      </w:r>
    </w:p>
  </w:endnote>
  <w:endnote w:type="continuationSeparator" w:id="0">
    <w:p w14:paraId="4D89DCD2" w14:textId="77777777" w:rsidR="00235485" w:rsidRDefault="00235485" w:rsidP="00445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D075E" w14:textId="77777777" w:rsidR="00235485" w:rsidRDefault="00235485" w:rsidP="00445247">
      <w:r>
        <w:separator/>
      </w:r>
    </w:p>
  </w:footnote>
  <w:footnote w:type="continuationSeparator" w:id="0">
    <w:p w14:paraId="5F25B9AA" w14:textId="77777777" w:rsidR="00235485" w:rsidRDefault="00235485" w:rsidP="00445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7CEF"/>
    <w:multiLevelType w:val="hybridMultilevel"/>
    <w:tmpl w:val="5F5EFE0C"/>
    <w:lvl w:ilvl="0" w:tplc="8574185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eastAsia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CBF221A"/>
    <w:multiLevelType w:val="multilevel"/>
    <w:tmpl w:val="87B83D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247"/>
    <w:rsid w:val="00235485"/>
    <w:rsid w:val="0044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7E4BC72"/>
  <w15:chartTrackingRefBased/>
  <w15:docId w15:val="{15C9B1E8-ACC2-4F6D-A71C-AE204C3B7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52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5247"/>
    <w:rPr>
      <w:kern w:val="2"/>
    </w:rPr>
  </w:style>
  <w:style w:type="paragraph" w:styleId="a5">
    <w:name w:val="footer"/>
    <w:basedOn w:val="a"/>
    <w:link w:val="a6"/>
    <w:uiPriority w:val="99"/>
    <w:unhideWhenUsed/>
    <w:rsid w:val="004452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524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馬兜鈴酸之含量測定方法</vt:lpstr>
    </vt:vector>
  </TitlesOfParts>
  <Company>行政院衛生署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中醫藥司藍晨榕</cp:lastModifiedBy>
  <cp:revision>2</cp:revision>
  <cp:lastPrinted>2004-02-03T08:57:00Z</cp:lastPrinted>
  <dcterms:created xsi:type="dcterms:W3CDTF">2025-05-15T07:32:00Z</dcterms:created>
  <dcterms:modified xsi:type="dcterms:W3CDTF">2025-05-15T07:32:00Z</dcterms:modified>
  <cp:category> </cp:category>
</cp:coreProperties>
</file>