
<file path=[Content_Types].xml><?xml version="1.0" encoding="utf-8"?>
<Types xmlns="http://schemas.openxmlformats.org/package/2006/content-types">
  <Override PartName="/_rels/.rels" ContentType="application/vnd.openxmlformats-package.relationships+xml"/>
  <Override PartName="/word/fontTable.xml" ContentType="application/vnd.openxmlformats-officedocument.wordprocessingml.fontTable+xml"/>
  <Override PartName="/word/footer2.xml" ContentType="application/vnd.openxmlformats-officedocument.wordprocessingml.footer+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endnotes.xml" ContentType="application/vnd.openxmlformats-officedocument.wordprocessingml.endnotes+xml"/>
  <Override PartName="/word/styles.xml" ContentType="application/vnd.openxmlformats-officedocument.wordprocessingml.styles+xml"/>
  <Override PartName="/word/numbering.xml" ContentType="application/vnd.openxmlformats-officedocument.wordprocessingml.numbering+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標楷體" w:hAnsi="標楷體" w:eastAsia="標楷體"/>
          <w:sz w:val="40"/>
        </w:rPr>
      </w:pPr>
      <w:r>
        <w:rPr>
          <w:rFonts w:ascii="標楷體" w:hAnsi="標楷體" w:eastAsia="標楷體"/>
          <w:sz w:val="40"/>
        </w:rPr>
        <w:t>目            錄</w:t>
      </w:r>
    </w:p>
    <w:p>
      <w:pPr>
        <w:pStyle w:val="Normal"/>
        <w:snapToGrid w:val="false"/>
        <w:rPr/>
      </w:pPr>
      <w:r>
        <w:rPr>
          <w:rFonts w:ascii="標楷體" w:hAnsi="標楷體" w:eastAsia="標楷體"/>
          <w:sz w:val="32"/>
        </w:rPr>
        <w:t>摘要</w:t>
      </w:r>
      <w:r>
        <w:rPr>
          <w:rFonts w:ascii="標楷體" w:hAnsi="標楷體" w:eastAsia="標楷體"/>
          <w:sz w:val="28"/>
        </w:rPr>
        <w:t>……………………………………………………………………</w:t>
      </w:r>
      <w:r>
        <w:rPr>
          <w:rFonts w:ascii="標楷體" w:hAnsi="標楷體" w:eastAsia="標楷體"/>
          <w:sz w:val="16"/>
        </w:rPr>
        <w:t xml:space="preserve"> </w:t>
      </w:r>
      <w:r>
        <w:rPr>
          <w:rFonts w:eastAsia="標楷體" w:ascii="標楷體" w:hAnsi="標楷體"/>
          <w:sz w:val="28"/>
        </w:rPr>
        <w:t>1</w:t>
      </w:r>
    </w:p>
    <w:p>
      <w:pPr>
        <w:pStyle w:val="Normal"/>
        <w:snapToGrid w:val="false"/>
        <w:rPr>
          <w:rFonts w:ascii="標楷體" w:hAnsi="標楷體" w:eastAsia="標楷體"/>
          <w:sz w:val="32"/>
        </w:rPr>
      </w:pPr>
      <w:r>
        <w:rPr>
          <w:rFonts w:ascii="標楷體" w:hAnsi="標楷體" w:eastAsia="標楷體"/>
          <w:sz w:val="32"/>
        </w:rPr>
        <w:t>前言</w:t>
      </w:r>
      <w:r>
        <w:rPr>
          <w:rFonts w:ascii="標楷體" w:hAnsi="標楷體" w:eastAsia="標楷體"/>
          <w:sz w:val="28"/>
        </w:rPr>
        <w:t>……………………………………………………………………</w:t>
      </w:r>
      <w:r>
        <w:rPr>
          <w:rFonts w:ascii="標楷體" w:hAnsi="標楷體" w:eastAsia="標楷體"/>
          <w:sz w:val="16"/>
        </w:rPr>
        <w:t xml:space="preserve"> </w:t>
      </w:r>
      <w:r>
        <w:rPr>
          <w:rFonts w:eastAsia="標楷體" w:ascii="標楷體" w:hAnsi="標楷體"/>
          <w:sz w:val="28"/>
        </w:rPr>
        <w:t>2</w:t>
      </w:r>
    </w:p>
    <w:p>
      <w:pPr>
        <w:pStyle w:val="Normal"/>
        <w:snapToGrid w:val="false"/>
        <w:rPr/>
      </w:pPr>
      <w:r>
        <w:rPr>
          <w:rFonts w:ascii="標楷體" w:hAnsi="標楷體" w:eastAsia="標楷體"/>
          <w:sz w:val="32"/>
        </w:rPr>
        <w:t>第一篇  中醫腎藏象與西醫腎臟腑的差異</w:t>
      </w:r>
      <w:r>
        <w:rPr>
          <w:rFonts w:ascii="標楷體" w:hAnsi="標楷體" w:eastAsia="標楷體"/>
          <w:sz w:val="28"/>
        </w:rPr>
        <w:t>……………………</w:t>
      </w:r>
      <w:r>
        <w:rPr>
          <w:rFonts w:eastAsia="標楷體" w:ascii="標楷體" w:hAnsi="標楷體"/>
          <w:sz w:val="28"/>
        </w:rPr>
        <w:t>3</w:t>
      </w:r>
    </w:p>
    <w:p>
      <w:pPr>
        <w:pStyle w:val="Normal"/>
        <w:tabs>
          <w:tab w:val="left" w:pos="540" w:leader="none"/>
        </w:tabs>
        <w:snapToGrid w:val="false"/>
        <w:rPr/>
      </w:pPr>
      <w:r>
        <w:rPr>
          <w:rFonts w:eastAsia="標楷體" w:cs="標楷體" w:ascii="標楷體" w:hAnsi="標楷體"/>
          <w:sz w:val="28"/>
        </w:rPr>
        <w:t xml:space="preserve">   </w:t>
      </w:r>
      <w:r>
        <w:rPr>
          <w:rFonts w:ascii="標楷體" w:hAnsi="標楷體" w:eastAsia="標楷體"/>
          <w:sz w:val="28"/>
        </w:rPr>
        <w:t>第一章  從西醫的角度看中醫的腎藏象</w:t>
      </w:r>
      <w:r>
        <w:rPr>
          <w:rFonts w:ascii="標楷體" w:hAnsi="標楷體" w:eastAsia="標楷體"/>
          <w:sz w:val="28"/>
        </w:rPr>
        <w:t>…………………………</w:t>
      </w:r>
      <w:r>
        <w:rPr>
          <w:rFonts w:eastAsia="標楷體" w:ascii="標楷體" w:hAnsi="標楷體"/>
          <w:sz w:val="28"/>
        </w:rPr>
        <w:t>3</w:t>
      </w:r>
    </w:p>
    <w:p>
      <w:pPr>
        <w:pStyle w:val="Normal"/>
        <w:numPr>
          <w:ilvl w:val="0"/>
          <w:numId w:val="15"/>
        </w:numPr>
        <w:snapToGrid w:val="false"/>
        <w:rPr/>
      </w:pPr>
      <w:r>
        <w:rPr>
          <w:rFonts w:ascii="標楷體" w:hAnsi="標楷體" w:eastAsia="標楷體"/>
          <w:sz w:val="28"/>
        </w:rPr>
        <w:t>腎之生理</w:t>
      </w:r>
      <w:r>
        <w:rPr>
          <w:rFonts w:ascii="標楷體" w:hAnsi="標楷體" w:eastAsia="標楷體"/>
          <w:sz w:val="28"/>
        </w:rPr>
        <w:t>………………………………………………</w:t>
      </w:r>
      <w:r>
        <w:rPr>
          <w:rFonts w:eastAsia="標楷體" w:ascii="標楷體" w:hAnsi="標楷體"/>
          <w:sz w:val="28"/>
        </w:rPr>
        <w:t>3</w:t>
      </w:r>
    </w:p>
    <w:p>
      <w:pPr>
        <w:pStyle w:val="Normal"/>
        <w:snapToGrid w:val="false"/>
        <w:rPr/>
      </w:pPr>
      <w:r>
        <w:rPr>
          <w:rFonts w:eastAsia="標楷體" w:cs="標楷體" w:ascii="標楷體" w:hAnsi="標楷體"/>
          <w:sz w:val="28"/>
        </w:rPr>
        <w:t xml:space="preserve">       </w:t>
      </w:r>
      <w:r>
        <w:rPr>
          <w:rFonts w:ascii="標楷體" w:hAnsi="標楷體" w:eastAsia="標楷體"/>
          <w:sz w:val="28"/>
        </w:rPr>
        <w:t>一、腎氣的作用</w:t>
      </w:r>
      <w:r>
        <w:rPr>
          <w:rFonts w:ascii="標楷體" w:hAnsi="標楷體" w:eastAsia="標楷體"/>
          <w:sz w:val="28"/>
        </w:rPr>
        <w:t>………………………………………………</w:t>
      </w:r>
      <w:r>
        <w:rPr>
          <w:rFonts w:eastAsia="標楷體" w:ascii="標楷體" w:hAnsi="標楷體"/>
          <w:sz w:val="28"/>
        </w:rPr>
        <w:t>3</w:t>
      </w:r>
    </w:p>
    <w:p>
      <w:pPr>
        <w:pStyle w:val="Normal"/>
        <w:snapToGrid w:val="false"/>
        <w:rPr/>
      </w:pPr>
      <w:r>
        <w:rPr>
          <w:rFonts w:eastAsia="標楷體" w:cs="標楷體" w:ascii="標楷體" w:hAnsi="標楷體"/>
          <w:sz w:val="28"/>
        </w:rPr>
        <w:t xml:space="preserve">       </w:t>
      </w:r>
      <w:r>
        <w:rPr>
          <w:rFonts w:ascii="標楷體" w:hAnsi="標楷體" w:eastAsia="標楷體"/>
          <w:sz w:val="28"/>
        </w:rPr>
        <w:t>二、腎實質的研究</w:t>
      </w:r>
      <w:r>
        <w:rPr>
          <w:rFonts w:ascii="標楷體" w:hAnsi="標楷體" w:eastAsia="標楷體"/>
          <w:sz w:val="28"/>
        </w:rPr>
        <w:t>……………………………………………</w:t>
      </w:r>
      <w:r>
        <w:rPr>
          <w:rFonts w:eastAsia="標楷體" w:ascii="標楷體" w:hAnsi="標楷體"/>
          <w:sz w:val="28"/>
        </w:rPr>
        <w:t>4</w:t>
      </w:r>
    </w:p>
    <w:p>
      <w:pPr>
        <w:pStyle w:val="Normal"/>
        <w:snapToGrid w:val="false"/>
        <w:rPr/>
      </w:pPr>
      <w:r>
        <w:rPr>
          <w:rFonts w:eastAsia="標楷體" w:cs="標楷體" w:ascii="標楷體" w:hAnsi="標楷體"/>
          <w:sz w:val="28"/>
        </w:rPr>
        <w:t xml:space="preserve">       </w:t>
      </w:r>
      <w:r>
        <w:rPr>
          <w:rFonts w:ascii="標楷體" w:hAnsi="標楷體" w:eastAsia="標楷體"/>
          <w:sz w:val="28"/>
        </w:rPr>
        <w:t>三、腎主水</w:t>
      </w:r>
      <w:r>
        <w:rPr>
          <w:rFonts w:ascii="標楷體" w:hAnsi="標楷體" w:eastAsia="標楷體"/>
          <w:sz w:val="28"/>
        </w:rPr>
        <w:t>……………………………………………………</w:t>
      </w:r>
      <w:r>
        <w:rPr>
          <w:rFonts w:eastAsia="標楷體" w:ascii="標楷體" w:hAnsi="標楷體"/>
          <w:sz w:val="28"/>
        </w:rPr>
        <w:t>4</w:t>
      </w:r>
    </w:p>
    <w:p>
      <w:pPr>
        <w:pStyle w:val="Normal"/>
        <w:snapToGrid w:val="false"/>
        <w:rPr/>
      </w:pPr>
      <w:r>
        <w:rPr>
          <w:rFonts w:eastAsia="標楷體" w:cs="標楷體" w:ascii="標楷體" w:hAnsi="標楷體"/>
          <w:sz w:val="28"/>
        </w:rPr>
        <w:t xml:space="preserve">       </w:t>
      </w:r>
      <w:r>
        <w:rPr>
          <w:rFonts w:ascii="標楷體" w:hAnsi="標楷體" w:eastAsia="標楷體"/>
          <w:sz w:val="28"/>
        </w:rPr>
        <w:t>四、腎主納氣</w:t>
      </w:r>
      <w:r>
        <w:rPr>
          <w:rFonts w:ascii="標楷體" w:hAnsi="標楷體" w:eastAsia="標楷體"/>
          <w:sz w:val="28"/>
        </w:rPr>
        <w:t>…………………………………………………</w:t>
      </w:r>
      <w:r>
        <w:rPr>
          <w:rFonts w:eastAsia="標楷體" w:ascii="標楷體" w:hAnsi="標楷體"/>
          <w:sz w:val="28"/>
        </w:rPr>
        <w:t>5</w:t>
      </w:r>
    </w:p>
    <w:p>
      <w:pPr>
        <w:pStyle w:val="Normal"/>
        <w:snapToGrid w:val="false"/>
        <w:rPr/>
      </w:pPr>
      <w:r>
        <w:rPr>
          <w:rFonts w:eastAsia="標楷體" w:cs="標楷體" w:ascii="標楷體" w:hAnsi="標楷體"/>
          <w:sz w:val="28"/>
        </w:rPr>
        <w:t xml:space="preserve">       </w:t>
      </w:r>
      <w:r>
        <w:rPr>
          <w:rFonts w:ascii="標楷體" w:hAnsi="標楷體" w:eastAsia="標楷體"/>
          <w:sz w:val="28"/>
        </w:rPr>
        <w:t>五、腎在志為恐</w:t>
      </w:r>
      <w:r>
        <w:rPr>
          <w:rFonts w:ascii="標楷體" w:hAnsi="標楷體" w:eastAsia="標楷體"/>
          <w:sz w:val="28"/>
        </w:rPr>
        <w:t>………………………………………………</w:t>
      </w:r>
      <w:r>
        <w:rPr>
          <w:rFonts w:eastAsia="標楷體" w:ascii="標楷體" w:hAnsi="標楷體"/>
          <w:sz w:val="28"/>
        </w:rPr>
        <w:t>5</w:t>
      </w:r>
    </w:p>
    <w:p>
      <w:pPr>
        <w:pStyle w:val="Normal"/>
        <w:snapToGrid w:val="false"/>
        <w:rPr/>
      </w:pPr>
      <w:r>
        <w:rPr>
          <w:rFonts w:eastAsia="標楷體" w:cs="標楷體" w:ascii="標楷體" w:hAnsi="標楷體"/>
          <w:sz w:val="28"/>
        </w:rPr>
        <w:t xml:space="preserve">       </w:t>
      </w:r>
      <w:r>
        <w:rPr>
          <w:rFonts w:ascii="標楷體" w:hAnsi="標楷體" w:eastAsia="標楷體"/>
          <w:sz w:val="28"/>
        </w:rPr>
        <w:t>六、腎藏精</w:t>
      </w:r>
      <w:r>
        <w:rPr>
          <w:rFonts w:ascii="標楷體" w:hAnsi="標楷體" w:eastAsia="標楷體"/>
          <w:sz w:val="28"/>
        </w:rPr>
        <w:t>……………………………………………………</w:t>
      </w:r>
      <w:r>
        <w:rPr>
          <w:rFonts w:eastAsia="標楷體" w:ascii="標楷體" w:hAnsi="標楷體"/>
          <w:sz w:val="28"/>
        </w:rPr>
        <w:t>5</w:t>
      </w:r>
    </w:p>
    <w:p>
      <w:pPr>
        <w:pStyle w:val="Normal"/>
        <w:snapToGrid w:val="false"/>
        <w:rPr/>
      </w:pPr>
      <w:r>
        <w:rPr>
          <w:rFonts w:eastAsia="標楷體" w:cs="標楷體" w:ascii="標楷體" w:hAnsi="標楷體"/>
          <w:sz w:val="28"/>
        </w:rPr>
        <w:t xml:space="preserve">       </w:t>
      </w:r>
      <w:r>
        <w:rPr>
          <w:rFonts w:ascii="標楷體" w:hAnsi="標楷體" w:eastAsia="標楷體"/>
          <w:sz w:val="28"/>
        </w:rPr>
        <w:t>七、腎開竅於二陰</w:t>
      </w:r>
      <w:r>
        <w:rPr>
          <w:rFonts w:ascii="標楷體" w:hAnsi="標楷體" w:eastAsia="標楷體"/>
          <w:sz w:val="28"/>
        </w:rPr>
        <w:t>……………………………………………</w:t>
      </w:r>
      <w:r>
        <w:rPr>
          <w:rFonts w:eastAsia="標楷體" w:ascii="標楷體" w:hAnsi="標楷體"/>
          <w:sz w:val="28"/>
        </w:rPr>
        <w:t>6</w:t>
      </w:r>
    </w:p>
    <w:p>
      <w:pPr>
        <w:pStyle w:val="Normal"/>
        <w:snapToGrid w:val="false"/>
        <w:rPr/>
      </w:pPr>
      <w:r>
        <w:rPr>
          <w:rFonts w:eastAsia="標楷體" w:cs="標楷體" w:ascii="標楷體" w:hAnsi="標楷體"/>
          <w:sz w:val="28"/>
        </w:rPr>
        <w:t xml:space="preserve">       </w:t>
      </w:r>
      <w:r>
        <w:rPr>
          <w:rFonts w:ascii="標楷體" w:hAnsi="標楷體" w:eastAsia="標楷體"/>
          <w:sz w:val="28"/>
        </w:rPr>
        <w:t>八、腎主伎巧</w:t>
      </w:r>
      <w:r>
        <w:rPr>
          <w:rFonts w:ascii="標楷體" w:hAnsi="標楷體" w:eastAsia="標楷體"/>
          <w:sz w:val="28"/>
        </w:rPr>
        <w:t>…………………………………………………</w:t>
      </w:r>
      <w:r>
        <w:rPr>
          <w:rFonts w:eastAsia="標楷體" w:ascii="標楷體" w:hAnsi="標楷體"/>
          <w:sz w:val="28"/>
        </w:rPr>
        <w:t>6</w:t>
      </w:r>
    </w:p>
    <w:p>
      <w:pPr>
        <w:pStyle w:val="Normal"/>
        <w:tabs>
          <w:tab w:val="left" w:pos="720" w:leader="none"/>
        </w:tabs>
        <w:snapToGrid w:val="false"/>
        <w:rPr/>
      </w:pPr>
      <w:r>
        <w:rPr>
          <w:rFonts w:eastAsia="標楷體" w:cs="標楷體" w:ascii="標楷體" w:hAnsi="標楷體"/>
          <w:sz w:val="28"/>
        </w:rPr>
        <w:t xml:space="preserve">     </w:t>
      </w:r>
      <w:r>
        <w:rPr>
          <w:rFonts w:ascii="標楷體" w:hAnsi="標楷體" w:eastAsia="標楷體"/>
          <w:sz w:val="28"/>
        </w:rPr>
        <w:t>第二節  腎之病理</w:t>
      </w:r>
      <w:r>
        <w:rPr>
          <w:rFonts w:ascii="標楷體" w:hAnsi="標楷體" w:eastAsia="標楷體"/>
          <w:sz w:val="28"/>
        </w:rPr>
        <w:t>………………</w:t>
      </w:r>
      <w:r>
        <w:rPr>
          <w:rFonts w:eastAsia="標楷體" w:ascii="標楷體" w:hAnsi="標楷體"/>
          <w:sz w:val="28"/>
        </w:rPr>
        <w:t>..</w:t>
      </w:r>
      <w:r>
        <w:rPr>
          <w:rFonts w:eastAsia="標楷體" w:ascii="標楷體" w:hAnsi="標楷體"/>
          <w:sz w:val="28"/>
        </w:rPr>
        <w:t>……………………………</w:t>
      </w:r>
      <w:r>
        <w:rPr>
          <w:rFonts w:eastAsia="標楷體" w:ascii="標楷體" w:hAnsi="標楷體"/>
          <w:sz w:val="28"/>
        </w:rPr>
        <w:t>6</w:t>
      </w:r>
    </w:p>
    <w:p>
      <w:pPr>
        <w:pStyle w:val="Normal"/>
        <w:snapToGrid w:val="false"/>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一、從現代醫學探討腎陰虛</w:t>
      </w:r>
      <w:r>
        <w:rPr>
          <w:rFonts w:ascii="標楷體" w:hAnsi="標楷體" w:eastAsia="標楷體"/>
          <w:sz w:val="28"/>
        </w:rPr>
        <w:t>…………………………………</w:t>
      </w:r>
      <w:r>
        <w:rPr>
          <w:rFonts w:eastAsia="標楷體" w:ascii="標楷體" w:hAnsi="標楷體"/>
          <w:sz w:val="28"/>
        </w:rPr>
        <w:t>6</w:t>
      </w:r>
    </w:p>
    <w:p>
      <w:pPr>
        <w:pStyle w:val="Normal"/>
        <w:snapToGrid w:val="false"/>
        <w:rPr/>
      </w:pPr>
      <w:r>
        <w:rPr>
          <w:rFonts w:eastAsia="標楷體" w:cs="標楷體" w:ascii="標楷體" w:hAnsi="標楷體"/>
          <w:sz w:val="28"/>
        </w:rPr>
        <w:t xml:space="preserve">       </w:t>
      </w:r>
      <w:r>
        <w:rPr>
          <w:rFonts w:ascii="標楷體" w:hAnsi="標楷體" w:eastAsia="標楷體"/>
          <w:sz w:val="28"/>
        </w:rPr>
        <w:t>二、腎陽虛之實質</w:t>
      </w:r>
      <w:r>
        <w:rPr>
          <w:rFonts w:ascii="標楷體" w:hAnsi="標楷體" w:eastAsia="標楷體"/>
          <w:sz w:val="28"/>
        </w:rPr>
        <w:t>……………………………………………</w:t>
      </w:r>
      <w:r>
        <w:rPr>
          <w:rFonts w:eastAsia="標楷體" w:ascii="標楷體" w:hAnsi="標楷體"/>
          <w:sz w:val="28"/>
        </w:rPr>
        <w:t>7</w:t>
      </w:r>
    </w:p>
    <w:p>
      <w:pPr>
        <w:pStyle w:val="Normal"/>
        <w:snapToGrid w:val="false"/>
        <w:rPr/>
      </w:pPr>
      <w:r>
        <w:rPr>
          <w:rFonts w:eastAsia="標楷體" w:cs="標楷體" w:ascii="標楷體" w:hAnsi="標楷體"/>
          <w:sz w:val="28"/>
        </w:rPr>
        <w:t xml:space="preserve">       </w:t>
      </w:r>
      <w:r>
        <w:rPr>
          <w:rFonts w:ascii="標楷體" w:hAnsi="標楷體" w:eastAsia="標楷體"/>
          <w:sz w:val="28"/>
        </w:rPr>
        <w:t>三、腎精不足</w:t>
      </w:r>
      <w:r>
        <w:rPr>
          <w:rFonts w:ascii="標楷體" w:hAnsi="標楷體" w:eastAsia="標楷體"/>
          <w:sz w:val="28"/>
        </w:rPr>
        <w:t>…………………………………………………</w:t>
      </w:r>
      <w:r>
        <w:rPr>
          <w:rFonts w:eastAsia="標楷體" w:ascii="標楷體" w:hAnsi="標楷體"/>
          <w:sz w:val="28"/>
        </w:rPr>
        <w:t>7</w:t>
      </w:r>
    </w:p>
    <w:p>
      <w:pPr>
        <w:pStyle w:val="Normal"/>
        <w:snapToGrid w:val="false"/>
        <w:rPr/>
      </w:pPr>
      <w:r>
        <w:rPr>
          <w:rFonts w:eastAsia="標楷體" w:cs="標楷體" w:ascii="標楷體" w:hAnsi="標楷體"/>
          <w:sz w:val="28"/>
        </w:rPr>
        <w:t xml:space="preserve">       </w:t>
      </w:r>
      <w:r>
        <w:rPr>
          <w:rFonts w:ascii="標楷體" w:hAnsi="標楷體" w:eastAsia="標楷體"/>
          <w:sz w:val="28"/>
        </w:rPr>
        <w:t>四、腎虛水泛</w:t>
      </w:r>
      <w:r>
        <w:rPr>
          <w:rFonts w:ascii="標楷體" w:hAnsi="標楷體" w:eastAsia="標楷體"/>
          <w:sz w:val="28"/>
        </w:rPr>
        <w:t>…………………………………………………</w:t>
      </w:r>
      <w:r>
        <w:rPr>
          <w:rFonts w:eastAsia="標楷體" w:ascii="標楷體" w:hAnsi="標楷體"/>
          <w:sz w:val="28"/>
        </w:rPr>
        <w:t>8</w:t>
      </w:r>
    </w:p>
    <w:p>
      <w:pPr>
        <w:pStyle w:val="Normal"/>
        <w:snapToGrid w:val="false"/>
        <w:rPr/>
      </w:pPr>
      <w:r>
        <w:rPr>
          <w:rFonts w:eastAsia="標楷體" w:cs="標楷體" w:ascii="標楷體" w:hAnsi="標楷體"/>
          <w:sz w:val="28"/>
        </w:rPr>
        <w:t xml:space="preserve">       </w:t>
      </w:r>
      <w:r>
        <w:rPr>
          <w:rFonts w:ascii="標楷體" w:hAnsi="標楷體" w:eastAsia="標楷體"/>
          <w:sz w:val="28"/>
        </w:rPr>
        <w:t>五、腎氣不固</w:t>
      </w:r>
      <w:r>
        <w:rPr>
          <w:rFonts w:ascii="標楷體" w:hAnsi="標楷體" w:eastAsia="標楷體"/>
          <w:sz w:val="28"/>
        </w:rPr>
        <w:t>…………………………………………………</w:t>
      </w:r>
      <w:r>
        <w:rPr>
          <w:rFonts w:eastAsia="標楷體" w:ascii="標楷體" w:hAnsi="標楷體"/>
          <w:sz w:val="28"/>
        </w:rPr>
        <w:t>8</w:t>
      </w:r>
    </w:p>
    <w:p>
      <w:pPr>
        <w:pStyle w:val="Normal"/>
        <w:snapToGrid w:val="false"/>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六、腎不納氣</w:t>
      </w:r>
      <w:r>
        <w:rPr>
          <w:rFonts w:ascii="標楷體" w:hAnsi="標楷體" w:eastAsia="標楷體"/>
          <w:sz w:val="28"/>
        </w:rPr>
        <w:t>…………………………………………………</w:t>
      </w:r>
      <w:r>
        <w:rPr>
          <w:rFonts w:eastAsia="標楷體" w:ascii="標楷體" w:hAnsi="標楷體"/>
          <w:sz w:val="28"/>
        </w:rPr>
        <w:t xml:space="preserve">8 </w:t>
      </w:r>
    </w:p>
    <w:p>
      <w:pPr>
        <w:pStyle w:val="Normal"/>
        <w:snapToGrid w:val="false"/>
        <w:rPr/>
      </w:pPr>
      <w:r>
        <w:rPr>
          <w:rFonts w:eastAsia="標楷體" w:cs="標楷體" w:ascii="標楷體" w:hAnsi="標楷體"/>
          <w:sz w:val="28"/>
        </w:rPr>
        <w:t xml:space="preserve">     </w:t>
      </w:r>
      <w:r>
        <w:rPr>
          <w:rFonts w:ascii="標楷體" w:hAnsi="標楷體" w:eastAsia="標楷體"/>
          <w:sz w:val="28"/>
        </w:rPr>
        <w:t>第三節  腎與心肝藏象的關係</w:t>
      </w:r>
      <w:r>
        <w:rPr>
          <w:rFonts w:ascii="標楷體" w:hAnsi="標楷體" w:eastAsia="標楷體"/>
          <w:sz w:val="28"/>
        </w:rPr>
        <w:t>…………………………………</w:t>
      </w:r>
      <w:r>
        <w:rPr>
          <w:rFonts w:eastAsia="標楷體" w:ascii="標楷體" w:hAnsi="標楷體"/>
          <w:sz w:val="28"/>
        </w:rPr>
        <w:t>8</w:t>
      </w:r>
    </w:p>
    <w:p>
      <w:pPr>
        <w:pStyle w:val="Normal"/>
        <w:numPr>
          <w:ilvl w:val="0"/>
          <w:numId w:val="11"/>
        </w:numPr>
        <w:snapToGrid w:val="false"/>
        <w:rPr/>
      </w:pPr>
      <w:r>
        <w:rPr>
          <w:rFonts w:ascii="標楷體" w:hAnsi="標楷體" w:eastAsia="標楷體"/>
          <w:sz w:val="28"/>
        </w:rPr>
        <w:t>從中樞自主神經系統看心肝腎的關係</w:t>
      </w:r>
      <w:r>
        <w:rPr>
          <w:rFonts w:ascii="標楷體" w:hAnsi="標楷體" w:eastAsia="標楷體"/>
          <w:sz w:val="28"/>
        </w:rPr>
        <w:t>…………………</w:t>
      </w:r>
      <w:r>
        <w:rPr>
          <w:rFonts w:eastAsia="標楷體" w:ascii="標楷體" w:hAnsi="標楷體"/>
          <w:sz w:val="28"/>
        </w:rPr>
        <w:t>8</w:t>
      </w:r>
    </w:p>
    <w:p>
      <w:pPr>
        <w:pStyle w:val="Normal"/>
        <w:numPr>
          <w:ilvl w:val="0"/>
          <w:numId w:val="11"/>
        </w:numPr>
        <w:snapToGrid w:val="false"/>
        <w:rPr>
          <w:rFonts w:ascii="標楷體" w:hAnsi="標楷體" w:eastAsia="標楷體"/>
          <w:sz w:val="28"/>
        </w:rPr>
      </w:pPr>
      <w:r>
        <w:rPr>
          <w:rFonts w:ascii="標楷體" w:hAnsi="標楷體" w:eastAsia="標楷體"/>
          <w:sz w:val="28"/>
        </w:rPr>
        <w:t>從腦中結構特殊性看心肝腎的關係</w:t>
      </w:r>
      <w:r>
        <w:rPr>
          <w:rFonts w:ascii="標楷體" w:hAnsi="標楷體" w:eastAsia="標楷體"/>
          <w:sz w:val="28"/>
        </w:rPr>
        <w:t>……………………</w:t>
      </w:r>
      <w:r>
        <w:rPr>
          <w:rFonts w:eastAsia="標楷體" w:ascii="標楷體" w:hAnsi="標楷體"/>
          <w:sz w:val="28"/>
        </w:rPr>
        <w:t>9</w:t>
      </w:r>
    </w:p>
    <w:p>
      <w:pPr>
        <w:pStyle w:val="Normal"/>
        <w:numPr>
          <w:ilvl w:val="0"/>
          <w:numId w:val="11"/>
        </w:numPr>
        <w:snapToGrid w:val="false"/>
        <w:rPr/>
      </w:pPr>
      <w:r>
        <w:rPr>
          <w:rFonts w:ascii="標楷體" w:hAnsi="標楷體" w:eastAsia="標楷體"/>
          <w:sz w:val="28"/>
        </w:rPr>
        <w:t>從朱丹溪「相火」的觀念看心肝腎的關係</w:t>
      </w:r>
      <w:r>
        <w:rPr>
          <w:rFonts w:ascii="標楷體" w:hAnsi="標楷體" w:eastAsia="標楷體"/>
          <w:sz w:val="28"/>
        </w:rPr>
        <w:t>… ……</w:t>
      </w:r>
      <w:r>
        <w:rPr>
          <w:rFonts w:eastAsia="標楷體" w:ascii="標楷體" w:hAnsi="標楷體"/>
          <w:sz w:val="28"/>
        </w:rPr>
        <w:t>..</w:t>
      </w:r>
      <w:r>
        <w:rPr>
          <w:rFonts w:eastAsia="標楷體" w:ascii="標楷體" w:hAnsi="標楷體"/>
          <w:sz w:val="28"/>
        </w:rPr>
        <w:t>10</w:t>
      </w:r>
    </w:p>
    <w:p>
      <w:pPr>
        <w:pStyle w:val="Normal"/>
        <w:tabs>
          <w:tab w:val="left" w:pos="360" w:leader="none"/>
        </w:tabs>
        <w:snapToGrid w:val="false"/>
        <w:rPr/>
      </w:pPr>
      <w:r>
        <w:rPr>
          <w:rFonts w:eastAsia="標楷體" w:cs="標楷體" w:ascii="標楷體" w:hAnsi="標楷體"/>
          <w:sz w:val="28"/>
        </w:rPr>
        <w:t xml:space="preserve">  </w:t>
      </w:r>
      <w:r>
        <w:rPr>
          <w:rFonts w:ascii="標楷體" w:hAnsi="標楷體" w:eastAsia="標楷體"/>
          <w:sz w:val="28"/>
        </w:rPr>
        <w:t>第二章  從中醫的角度看西醫的腎臟</w:t>
      </w:r>
      <w:r>
        <w:rPr>
          <w:rFonts w:ascii="標楷體" w:hAnsi="標楷體" w:eastAsia="標楷體"/>
          <w:sz w:val="28"/>
        </w:rPr>
        <w:t>… …</w:t>
      </w:r>
      <w:r>
        <w:rPr>
          <w:rFonts w:eastAsia="標楷體" w:ascii="標楷體" w:hAnsi="標楷體"/>
          <w:sz w:val="28"/>
        </w:rPr>
        <w:t>.……………………12</w:t>
      </w:r>
      <w:r>
        <w:rPr>
          <w:rFonts w:eastAsia="標楷體" w:ascii="標楷體" w:hAnsi="標楷體"/>
          <w:sz w:val="28"/>
        </w:rPr>
        <w:t xml:space="preserve">                  </w:t>
      </w:r>
    </w:p>
    <w:p>
      <w:pPr>
        <w:pStyle w:val="Normal"/>
        <w:tabs>
          <w:tab w:val="left" w:pos="900" w:leader="none"/>
        </w:tabs>
        <w:snapToGrid w:val="false"/>
        <w:rPr/>
      </w:pPr>
      <w:r>
        <w:rPr>
          <w:rFonts w:eastAsia="標楷體" w:cs="標楷體" w:ascii="標楷體" w:hAnsi="標楷體"/>
          <w:sz w:val="28"/>
        </w:rPr>
        <w:t xml:space="preserve">     </w:t>
      </w:r>
      <w:r>
        <w:rPr>
          <w:rFonts w:ascii="標楷體" w:hAnsi="標楷體" w:eastAsia="標楷體"/>
          <w:sz w:val="28"/>
        </w:rPr>
        <w:t>第一節 腎臟的功能</w:t>
      </w:r>
      <w:r>
        <w:rPr>
          <w:rFonts w:ascii="標楷體" w:hAnsi="標楷體" w:eastAsia="標楷體"/>
          <w:sz w:val="28"/>
        </w:rPr>
        <w:t>…………………</w:t>
      </w:r>
      <w:r>
        <w:rPr>
          <w:rFonts w:eastAsia="標楷體" w:ascii="標楷體" w:hAnsi="標楷體"/>
          <w:sz w:val="28"/>
        </w:rPr>
        <w:t>..………………………12</w:t>
      </w:r>
    </w:p>
    <w:p>
      <w:pPr>
        <w:pStyle w:val="Normal"/>
        <w:tabs>
          <w:tab w:val="left" w:pos="900" w:leader="none"/>
        </w:tabs>
        <w:snapToGrid w:val="false"/>
        <w:rPr/>
      </w:pPr>
      <w:r>
        <w:rPr>
          <w:rFonts w:eastAsia="標楷體" w:cs="標楷體" w:ascii="標楷體" w:hAnsi="標楷體"/>
          <w:sz w:val="28"/>
        </w:rPr>
        <w:t xml:space="preserve">     </w:t>
      </w:r>
      <w:r>
        <w:rPr>
          <w:rFonts w:ascii="標楷體" w:hAnsi="標楷體" w:eastAsia="標楷體"/>
          <w:sz w:val="28"/>
        </w:rPr>
        <w:t>第二節 水液代謝</w:t>
      </w:r>
      <w:r>
        <w:rPr>
          <w:rFonts w:ascii="標楷體" w:hAnsi="標楷體" w:eastAsia="標楷體"/>
          <w:sz w:val="28"/>
        </w:rPr>
        <w:t>……………………</w:t>
      </w:r>
      <w:r>
        <w:rPr>
          <w:rFonts w:eastAsia="標楷體" w:ascii="標楷體" w:hAnsi="標楷體"/>
          <w:sz w:val="28"/>
        </w:rPr>
        <w:t>..………………………12</w:t>
      </w:r>
    </w:p>
    <w:p>
      <w:pPr>
        <w:pStyle w:val="Normal"/>
        <w:tabs>
          <w:tab w:val="left" w:pos="900" w:leader="none"/>
        </w:tabs>
        <w:snapToGrid w:val="false"/>
        <w:rPr/>
      </w:pPr>
      <w:r>
        <w:rPr>
          <w:rFonts w:eastAsia="標楷體" w:cs="標楷體" w:ascii="標楷體" w:hAnsi="標楷體"/>
          <w:sz w:val="28"/>
        </w:rPr>
        <w:t xml:space="preserve">     </w:t>
      </w:r>
      <w:r>
        <w:rPr>
          <w:rFonts w:ascii="標楷體" w:hAnsi="標楷體" w:eastAsia="標楷體"/>
          <w:sz w:val="28"/>
        </w:rPr>
        <w:t>第三節 酸鹼平衡</w:t>
      </w:r>
      <w:r>
        <w:rPr>
          <w:rFonts w:ascii="標楷體" w:hAnsi="標楷體" w:eastAsia="標楷體"/>
          <w:sz w:val="28"/>
        </w:rPr>
        <w:t>…………………</w:t>
      </w:r>
      <w:r>
        <w:rPr>
          <w:rFonts w:eastAsia="標楷體" w:ascii="標楷體" w:hAnsi="標楷體"/>
          <w:sz w:val="28"/>
        </w:rPr>
        <w:t>..…………………………12</w:t>
      </w:r>
    </w:p>
    <w:p>
      <w:pPr>
        <w:pStyle w:val="Normal"/>
        <w:tabs>
          <w:tab w:val="left" w:pos="900" w:leader="none"/>
        </w:tabs>
        <w:snapToGrid w:val="false"/>
        <w:rPr/>
      </w:pPr>
      <w:r>
        <w:rPr>
          <w:rFonts w:eastAsia="標楷體" w:cs="標楷體" w:ascii="標楷體" w:hAnsi="標楷體"/>
          <w:sz w:val="28"/>
        </w:rPr>
        <w:t xml:space="preserve">     </w:t>
      </w:r>
      <w:r>
        <w:rPr>
          <w:rFonts w:ascii="標楷體" w:hAnsi="標楷體" w:eastAsia="標楷體"/>
          <w:sz w:val="28"/>
        </w:rPr>
        <w:t>第四節 電解質平衡</w:t>
      </w:r>
      <w:r>
        <w:rPr>
          <w:rFonts w:ascii="標楷體" w:hAnsi="標楷體" w:eastAsia="標楷體"/>
          <w:sz w:val="28"/>
        </w:rPr>
        <w:t>………………</w:t>
      </w:r>
      <w:r>
        <w:rPr>
          <w:rFonts w:eastAsia="標楷體" w:ascii="標楷體" w:hAnsi="標楷體"/>
          <w:sz w:val="28"/>
        </w:rPr>
        <w:t>..…………………………12</w:t>
      </w:r>
    </w:p>
    <w:p>
      <w:pPr>
        <w:pStyle w:val="Normal"/>
        <w:tabs>
          <w:tab w:val="left" w:pos="900" w:leader="none"/>
        </w:tabs>
        <w:snapToGrid w:val="false"/>
        <w:rPr/>
      </w:pPr>
      <w:r>
        <w:rPr>
          <w:rFonts w:eastAsia="標楷體" w:cs="標楷體" w:ascii="標楷體" w:hAnsi="標楷體"/>
          <w:sz w:val="28"/>
        </w:rPr>
        <w:t xml:space="preserve">     </w:t>
      </w:r>
      <w:r>
        <w:rPr>
          <w:rFonts w:ascii="標楷體" w:hAnsi="標楷體" w:eastAsia="標楷體"/>
          <w:sz w:val="28"/>
        </w:rPr>
        <w:t>第五節 尿素的排泄</w:t>
      </w:r>
      <w:r>
        <w:rPr>
          <w:rFonts w:ascii="標楷體" w:hAnsi="標楷體" w:eastAsia="標楷體"/>
          <w:sz w:val="28"/>
        </w:rPr>
        <w:t>………………</w:t>
      </w:r>
      <w:r>
        <w:rPr>
          <w:rFonts w:eastAsia="標楷體" w:ascii="標楷體" w:hAnsi="標楷體"/>
          <w:sz w:val="28"/>
        </w:rPr>
        <w:t>..…………………………13</w:t>
      </w:r>
    </w:p>
    <w:p>
      <w:pPr>
        <w:pStyle w:val="Normal"/>
        <w:tabs>
          <w:tab w:val="left" w:pos="900" w:leader="none"/>
        </w:tabs>
        <w:snapToGrid w:val="false"/>
        <w:rPr/>
      </w:pPr>
      <w:r>
        <w:rPr>
          <w:rFonts w:eastAsia="標楷體" w:cs="標楷體" w:ascii="標楷體" w:hAnsi="標楷體"/>
          <w:sz w:val="28"/>
        </w:rPr>
        <w:t xml:space="preserve">     </w:t>
      </w:r>
      <w:r>
        <w:rPr>
          <w:rFonts w:ascii="標楷體" w:hAnsi="標楷體" w:eastAsia="標楷體"/>
          <w:sz w:val="28"/>
        </w:rPr>
        <w:t>第六節 腎臟的其他生理功能</w:t>
      </w:r>
      <w:r>
        <w:rPr>
          <w:rFonts w:ascii="標楷體" w:hAnsi="標楷體" w:eastAsia="標楷體"/>
          <w:sz w:val="28"/>
        </w:rPr>
        <w:t>…………………………………</w:t>
      </w:r>
      <w:r>
        <w:rPr>
          <w:rFonts w:eastAsia="標楷體" w:ascii="標楷體" w:hAnsi="標楷體"/>
          <w:sz w:val="28"/>
        </w:rPr>
        <w:t>13</w:t>
      </w:r>
    </w:p>
    <w:p>
      <w:pPr>
        <w:pStyle w:val="Normal"/>
        <w:tabs>
          <w:tab w:val="left" w:pos="900" w:leader="none"/>
        </w:tabs>
        <w:snapToGrid w:val="false"/>
        <w:rPr/>
      </w:pPr>
      <w:r>
        <w:rPr>
          <w:rFonts w:eastAsia="標楷體" w:cs="標楷體" w:ascii="標楷體" w:hAnsi="標楷體"/>
          <w:sz w:val="28"/>
        </w:rPr>
        <w:t xml:space="preserve">     </w:t>
      </w:r>
      <w:r>
        <w:rPr>
          <w:rFonts w:ascii="標楷體" w:hAnsi="標楷體" w:eastAsia="標楷體"/>
          <w:sz w:val="28"/>
        </w:rPr>
        <w:t>第七節 中醫對腎解剖的論述</w:t>
      </w:r>
      <w:r>
        <w:rPr>
          <w:rFonts w:ascii="標楷體" w:hAnsi="標楷體" w:eastAsia="標楷體"/>
          <w:sz w:val="28"/>
        </w:rPr>
        <w:t>…………………………………</w:t>
      </w:r>
      <w:r>
        <w:rPr>
          <w:rFonts w:eastAsia="標楷體" w:ascii="標楷體" w:hAnsi="標楷體"/>
          <w:sz w:val="28"/>
        </w:rPr>
        <w:t>13</w:t>
      </w:r>
    </w:p>
    <w:p>
      <w:pPr>
        <w:pStyle w:val="Normal"/>
        <w:snapToGrid w:val="false"/>
        <w:rPr/>
      </w:pPr>
      <w:r>
        <w:rPr>
          <w:rFonts w:eastAsia="標楷體" w:cs="標楷體" w:ascii="標楷體" w:hAnsi="標楷體"/>
          <w:sz w:val="28"/>
        </w:rPr>
        <w:t xml:space="preserve">  </w:t>
      </w:r>
      <w:r>
        <w:rPr>
          <w:rFonts w:ascii="標楷體" w:hAnsi="標楷體" w:eastAsia="標楷體"/>
          <w:sz w:val="28"/>
        </w:rPr>
        <w:t>第三章  腎病的不同階段</w:t>
      </w:r>
      <w:r>
        <w:rPr>
          <w:rFonts w:ascii="標楷體" w:hAnsi="標楷體" w:eastAsia="標楷體"/>
          <w:sz w:val="28"/>
        </w:rPr>
        <w:t xml:space="preserve">………… …………………………… </w:t>
      </w:r>
      <w:r>
        <w:rPr>
          <w:rFonts w:eastAsia="標楷體" w:ascii="標楷體" w:hAnsi="標楷體"/>
          <w:sz w:val="28"/>
        </w:rPr>
        <w:t>14</w:t>
      </w:r>
    </w:p>
    <w:p>
      <w:pPr>
        <w:pStyle w:val="Normal"/>
        <w:snapToGrid w:val="false"/>
        <w:rPr>
          <w:rFonts w:ascii="標楷體" w:hAnsi="標楷體" w:eastAsia="標楷體"/>
          <w:sz w:val="28"/>
        </w:rPr>
      </w:pPr>
      <w:r>
        <w:rPr>
          <w:rFonts w:eastAsia="標楷體" w:ascii="標楷體" w:hAnsi="標楷體"/>
          <w:sz w:val="28"/>
        </w:rPr>
      </w:r>
    </w:p>
    <w:p>
      <w:pPr>
        <w:pStyle w:val="Normal"/>
        <w:snapToGrid w:val="false"/>
        <w:rPr>
          <w:rFonts w:ascii="標楷體" w:hAnsi="標楷體" w:eastAsia="標楷體"/>
          <w:sz w:val="28"/>
        </w:rPr>
      </w:pPr>
      <w:r>
        <w:rPr>
          <w:rFonts w:eastAsia="標楷體" w:ascii="標楷體" w:hAnsi="標楷體"/>
          <w:sz w:val="28"/>
        </w:rPr>
      </w:r>
    </w:p>
    <w:p>
      <w:pPr>
        <w:pStyle w:val="Normal"/>
        <w:snapToGrid w:val="false"/>
        <w:rPr>
          <w:rFonts w:ascii="標楷體" w:hAnsi="標楷體" w:eastAsia="標楷體"/>
          <w:sz w:val="32"/>
        </w:rPr>
      </w:pPr>
      <w:r>
        <w:rPr>
          <w:rFonts w:eastAsia="標楷體" w:cs="標楷體" w:ascii="標楷體" w:hAnsi="標楷體"/>
          <w:sz w:val="32"/>
        </w:rPr>
        <w:t xml:space="preserve"> </w:t>
      </w:r>
      <w:r>
        <w:rPr>
          <w:rFonts w:ascii="標楷體" w:hAnsi="標楷體" w:eastAsia="標楷體"/>
          <w:sz w:val="32"/>
        </w:rPr>
        <w:t>第二篇  中醫對水腫的論述</w:t>
      </w:r>
      <w:r>
        <w:rPr>
          <w:rFonts w:ascii="標楷體" w:hAnsi="標楷體" w:eastAsia="標楷體"/>
          <w:sz w:val="32"/>
        </w:rPr>
        <w:t>………………………………</w:t>
      </w:r>
      <w:r>
        <w:rPr>
          <w:rFonts w:eastAsia="標楷體" w:ascii="標楷體" w:hAnsi="標楷體"/>
          <w:sz w:val="28"/>
        </w:rPr>
        <w:t>15</w:t>
      </w:r>
    </w:p>
    <w:p>
      <w:pPr>
        <w:pStyle w:val="Normal"/>
        <w:snapToGrid w:val="false"/>
        <w:rPr/>
      </w:pPr>
      <w:r>
        <w:rPr>
          <w:rFonts w:eastAsia="標楷體" w:cs="標楷體" w:ascii="標楷體" w:hAnsi="標楷體"/>
          <w:sz w:val="28"/>
        </w:rPr>
        <w:t xml:space="preserve">   </w:t>
      </w:r>
      <w:r>
        <w:rPr>
          <w:rFonts w:ascii="標楷體" w:hAnsi="標楷體" w:eastAsia="標楷體"/>
          <w:sz w:val="28"/>
        </w:rPr>
        <w:t>第一章  歷代醫家對水腫的論述</w:t>
      </w:r>
      <w:r>
        <w:rPr>
          <w:rFonts w:ascii="標楷體" w:hAnsi="標楷體" w:eastAsia="標楷體"/>
          <w:sz w:val="28"/>
        </w:rPr>
        <w:t>………………………………</w:t>
      </w:r>
      <w:r>
        <w:rPr>
          <w:rFonts w:eastAsia="標楷體" w:ascii="標楷體" w:hAnsi="標楷體"/>
          <w:sz w:val="28"/>
        </w:rPr>
        <w:t>.15</w:t>
      </w:r>
    </w:p>
    <w:p>
      <w:pPr>
        <w:pStyle w:val="Normal"/>
        <w:numPr>
          <w:ilvl w:val="0"/>
          <w:numId w:val="17"/>
        </w:numPr>
        <w:snapToGrid w:val="false"/>
        <w:rPr>
          <w:rFonts w:ascii="標楷體" w:hAnsi="標楷體" w:eastAsia="標楷體"/>
          <w:sz w:val="28"/>
        </w:rPr>
      </w:pPr>
      <w:r>
        <w:rPr>
          <w:rFonts w:eastAsia="標楷體" w:ascii="標楷體" w:hAnsi="標楷體"/>
          <w:sz w:val="28"/>
        </w:rPr>
        <w:t>&lt;&lt;</w:t>
      </w:r>
      <w:r>
        <w:rPr>
          <w:rFonts w:ascii="標楷體" w:hAnsi="標楷體" w:eastAsia="標楷體"/>
          <w:sz w:val="28"/>
        </w:rPr>
        <w:t>內經</w:t>
      </w:r>
      <w:r>
        <w:rPr>
          <w:rFonts w:eastAsia="標楷體" w:ascii="標楷體" w:hAnsi="標楷體"/>
          <w:sz w:val="28"/>
        </w:rPr>
        <w:t>&gt;&gt;</w:t>
      </w:r>
      <w:r>
        <w:rPr>
          <w:rFonts w:ascii="標楷體" w:hAnsi="標楷體" w:eastAsia="標楷體"/>
          <w:sz w:val="28"/>
        </w:rPr>
        <w:t>對水腫病的相關論述</w:t>
      </w:r>
      <w:r>
        <w:rPr>
          <w:rFonts w:ascii="標楷體" w:hAnsi="標楷體" w:eastAsia="標楷體"/>
          <w:sz w:val="28"/>
        </w:rPr>
        <w:t>……………………</w:t>
      </w:r>
      <w:r>
        <w:rPr>
          <w:rFonts w:eastAsia="標楷體" w:ascii="標楷體" w:hAnsi="標楷體"/>
          <w:sz w:val="28"/>
        </w:rPr>
        <w:t>15</w:t>
      </w:r>
    </w:p>
    <w:p>
      <w:pPr>
        <w:pStyle w:val="Normal"/>
        <w:numPr>
          <w:ilvl w:val="0"/>
          <w:numId w:val="17"/>
        </w:numPr>
        <w:snapToGrid w:val="false"/>
        <w:rPr>
          <w:rFonts w:ascii="標楷體" w:hAnsi="標楷體" w:eastAsia="標楷體"/>
          <w:sz w:val="28"/>
        </w:rPr>
      </w:pPr>
      <w:r>
        <w:rPr>
          <w:rFonts w:eastAsia="標楷體" w:ascii="標楷體" w:hAnsi="標楷體"/>
          <w:sz w:val="28"/>
        </w:rPr>
        <w:t>&lt;&lt;</w:t>
      </w:r>
      <w:r>
        <w:rPr>
          <w:rFonts w:ascii="標楷體" w:hAnsi="標楷體" w:eastAsia="標楷體"/>
          <w:sz w:val="28"/>
        </w:rPr>
        <w:t>金匱要略</w:t>
      </w:r>
      <w:r>
        <w:rPr>
          <w:rFonts w:eastAsia="標楷體" w:ascii="標楷體" w:hAnsi="標楷體"/>
          <w:sz w:val="28"/>
        </w:rPr>
        <w:t>&gt;&gt;</w:t>
      </w:r>
      <w:r>
        <w:rPr>
          <w:rFonts w:ascii="標楷體" w:hAnsi="標楷體" w:eastAsia="標楷體"/>
          <w:sz w:val="28"/>
        </w:rPr>
        <w:t>對水腫病的相關論述</w:t>
      </w:r>
      <w:r>
        <w:rPr>
          <w:rFonts w:ascii="標楷體" w:hAnsi="標楷體" w:eastAsia="標楷體"/>
          <w:sz w:val="28"/>
        </w:rPr>
        <w:t>………………</w:t>
      </w:r>
      <w:r>
        <w:rPr>
          <w:rFonts w:eastAsia="標楷體" w:ascii="標楷體" w:hAnsi="標楷體"/>
          <w:sz w:val="28"/>
        </w:rPr>
        <w:t>21</w:t>
      </w:r>
    </w:p>
    <w:p>
      <w:pPr>
        <w:pStyle w:val="Normal"/>
        <w:numPr>
          <w:ilvl w:val="0"/>
          <w:numId w:val="17"/>
        </w:numPr>
        <w:snapToGrid w:val="false"/>
        <w:rPr>
          <w:rFonts w:ascii="標楷體" w:hAnsi="標楷體" w:eastAsia="標楷體"/>
          <w:sz w:val="28"/>
        </w:rPr>
      </w:pPr>
      <w:r>
        <w:rPr>
          <w:rFonts w:eastAsia="標楷體" w:ascii="標楷體" w:hAnsi="標楷體"/>
          <w:sz w:val="28"/>
        </w:rPr>
        <w:t>&lt;&lt;</w:t>
      </w:r>
      <w:r>
        <w:rPr>
          <w:rFonts w:ascii="標楷體" w:hAnsi="標楷體" w:eastAsia="標楷體"/>
          <w:sz w:val="28"/>
        </w:rPr>
        <w:t>諸病源候論</w:t>
      </w:r>
      <w:r>
        <w:rPr>
          <w:rFonts w:eastAsia="標楷體" w:ascii="標楷體" w:hAnsi="標楷體"/>
          <w:sz w:val="28"/>
        </w:rPr>
        <w:t>&gt;&gt;</w:t>
      </w:r>
      <w:r>
        <w:rPr>
          <w:rFonts w:ascii="標楷體" w:hAnsi="標楷體" w:eastAsia="標楷體"/>
          <w:sz w:val="28"/>
        </w:rPr>
        <w:t>對水腫病的相關論述</w:t>
      </w:r>
      <w:r>
        <w:rPr>
          <w:rFonts w:ascii="標楷體" w:hAnsi="標楷體" w:eastAsia="標楷體"/>
          <w:sz w:val="28"/>
        </w:rPr>
        <w:t>……………</w:t>
      </w:r>
      <w:r>
        <w:rPr>
          <w:rFonts w:eastAsia="標楷體" w:ascii="標楷體" w:hAnsi="標楷體"/>
          <w:sz w:val="28"/>
        </w:rPr>
        <w:t>22</w:t>
      </w:r>
    </w:p>
    <w:p>
      <w:pPr>
        <w:pStyle w:val="Normal"/>
        <w:numPr>
          <w:ilvl w:val="0"/>
          <w:numId w:val="17"/>
        </w:numPr>
        <w:snapToGrid w:val="false"/>
        <w:rPr>
          <w:rFonts w:ascii="標楷體" w:hAnsi="標楷體" w:eastAsia="標楷體"/>
          <w:sz w:val="28"/>
        </w:rPr>
      </w:pPr>
      <w:r>
        <w:rPr>
          <w:rFonts w:eastAsia="標楷體" w:ascii="標楷體" w:hAnsi="標楷體"/>
          <w:sz w:val="28"/>
        </w:rPr>
        <w:t>&lt;&lt;</w:t>
      </w:r>
      <w:r>
        <w:rPr>
          <w:rFonts w:ascii="標楷體" w:hAnsi="標楷體" w:eastAsia="標楷體"/>
          <w:sz w:val="28"/>
        </w:rPr>
        <w:t>千金要方</w:t>
      </w:r>
      <w:r>
        <w:rPr>
          <w:rFonts w:eastAsia="標楷體" w:ascii="標楷體" w:hAnsi="標楷體"/>
          <w:sz w:val="28"/>
        </w:rPr>
        <w:t>&gt;&gt;</w:t>
      </w:r>
      <w:r>
        <w:rPr>
          <w:rFonts w:ascii="標楷體" w:hAnsi="標楷體" w:eastAsia="標楷體"/>
          <w:sz w:val="28"/>
        </w:rPr>
        <w:t>對水腫病的相關論述</w:t>
      </w:r>
      <w:r>
        <w:rPr>
          <w:rFonts w:ascii="標楷體" w:hAnsi="標楷體" w:eastAsia="標楷體"/>
          <w:sz w:val="28"/>
        </w:rPr>
        <w:t>………………</w:t>
      </w:r>
      <w:r>
        <w:rPr>
          <w:rFonts w:eastAsia="標楷體" w:ascii="標楷體" w:hAnsi="標楷體"/>
          <w:sz w:val="28"/>
        </w:rPr>
        <w:t>24</w:t>
      </w:r>
    </w:p>
    <w:p>
      <w:pPr>
        <w:pStyle w:val="Normal"/>
        <w:numPr>
          <w:ilvl w:val="0"/>
          <w:numId w:val="17"/>
        </w:numPr>
        <w:snapToGrid w:val="false"/>
        <w:rPr/>
      </w:pPr>
      <w:r>
        <w:rPr>
          <w:rFonts w:eastAsia="標楷體" w:ascii="標楷體" w:hAnsi="標楷體"/>
          <w:sz w:val="28"/>
        </w:rPr>
        <w:t>&lt;&lt;</w:t>
      </w:r>
      <w:r>
        <w:rPr>
          <w:rFonts w:ascii="標楷體" w:hAnsi="標楷體" w:eastAsia="標楷體"/>
          <w:sz w:val="28"/>
        </w:rPr>
        <w:t>外臺秘要</w:t>
      </w:r>
      <w:r>
        <w:rPr>
          <w:rFonts w:eastAsia="標楷體" w:ascii="標楷體" w:hAnsi="標楷體"/>
          <w:sz w:val="28"/>
        </w:rPr>
        <w:t>&gt;&gt;</w:t>
      </w:r>
      <w:r>
        <w:rPr>
          <w:rFonts w:ascii="標楷體" w:hAnsi="標楷體" w:eastAsia="標楷體"/>
          <w:sz w:val="28"/>
        </w:rPr>
        <w:t>對水腫病的相關論述</w:t>
      </w:r>
      <w:r>
        <w:rPr>
          <w:rFonts w:ascii="標楷體" w:hAnsi="標楷體" w:eastAsia="標楷體"/>
          <w:sz w:val="28"/>
        </w:rPr>
        <w:t>………………</w:t>
      </w:r>
      <w:r>
        <w:rPr>
          <w:rFonts w:eastAsia="標楷體" w:ascii="標楷體" w:hAnsi="標楷體"/>
          <w:sz w:val="28"/>
        </w:rPr>
        <w:t>2</w:t>
      </w:r>
      <w:r>
        <w:rPr>
          <w:rFonts w:eastAsia="標楷體" w:ascii="標楷體" w:hAnsi="標楷體"/>
          <w:sz w:val="28"/>
        </w:rPr>
        <w:t>5</w:t>
      </w:r>
    </w:p>
    <w:p>
      <w:pPr>
        <w:pStyle w:val="Normal"/>
        <w:numPr>
          <w:ilvl w:val="0"/>
          <w:numId w:val="17"/>
        </w:numPr>
        <w:snapToGrid w:val="false"/>
        <w:rPr/>
      </w:pPr>
      <w:r>
        <w:rPr>
          <w:rFonts w:eastAsia="標楷體" w:ascii="標楷體" w:hAnsi="標楷體"/>
          <w:sz w:val="28"/>
        </w:rPr>
        <w:t>&lt;&lt;</w:t>
      </w:r>
      <w:r>
        <w:rPr>
          <w:rFonts w:ascii="標楷體" w:hAnsi="標楷體" w:eastAsia="標楷體"/>
          <w:sz w:val="28"/>
        </w:rPr>
        <w:t>太平惠民和劑局方</w:t>
      </w:r>
      <w:r>
        <w:rPr>
          <w:rFonts w:eastAsia="標楷體" w:ascii="標楷體" w:hAnsi="標楷體"/>
          <w:sz w:val="28"/>
        </w:rPr>
        <w:t>&gt;&gt;</w:t>
      </w:r>
      <w:r>
        <w:rPr>
          <w:rFonts w:ascii="標楷體" w:hAnsi="標楷體" w:eastAsia="標楷體"/>
          <w:sz w:val="28"/>
        </w:rPr>
        <w:t>對水腫病的相關論述</w:t>
      </w:r>
      <w:r>
        <w:rPr>
          <w:rFonts w:ascii="標楷體" w:hAnsi="標楷體" w:eastAsia="標楷體"/>
          <w:sz w:val="28"/>
        </w:rPr>
        <w:t>……</w:t>
      </w:r>
      <w:r>
        <w:rPr>
          <w:rFonts w:eastAsia="標楷體" w:ascii="標楷體" w:hAnsi="標楷體"/>
          <w:sz w:val="28"/>
        </w:rPr>
        <w:t>26</w:t>
      </w:r>
    </w:p>
    <w:p>
      <w:pPr>
        <w:pStyle w:val="Normal"/>
        <w:numPr>
          <w:ilvl w:val="0"/>
          <w:numId w:val="17"/>
        </w:numPr>
        <w:snapToGrid w:val="false"/>
        <w:rPr/>
      </w:pPr>
      <w:r>
        <w:rPr>
          <w:rFonts w:eastAsia="標楷體" w:ascii="標楷體" w:hAnsi="標楷體"/>
          <w:sz w:val="28"/>
        </w:rPr>
        <w:t>&lt;&lt;</w:t>
      </w:r>
      <w:r>
        <w:rPr>
          <w:rFonts w:ascii="標楷體" w:hAnsi="標楷體" w:eastAsia="標楷體"/>
          <w:sz w:val="28"/>
        </w:rPr>
        <w:t>臨證指南醫案</w:t>
      </w:r>
      <w:r>
        <w:rPr>
          <w:rFonts w:eastAsia="標楷體" w:ascii="標楷體" w:hAnsi="標楷體"/>
          <w:sz w:val="28"/>
        </w:rPr>
        <w:t>&gt;&gt;</w:t>
      </w:r>
      <w:r>
        <w:rPr>
          <w:rFonts w:ascii="標楷體" w:hAnsi="標楷體" w:eastAsia="標楷體"/>
          <w:sz w:val="28"/>
        </w:rPr>
        <w:t>對水腫病的相關論述</w:t>
      </w:r>
      <w:r>
        <w:rPr>
          <w:rFonts w:ascii="標楷體" w:hAnsi="標楷體" w:eastAsia="標楷體"/>
          <w:sz w:val="28"/>
        </w:rPr>
        <w:t>…………</w:t>
      </w:r>
      <w:r>
        <w:rPr>
          <w:rFonts w:eastAsia="標楷體" w:ascii="標楷體" w:hAnsi="標楷體"/>
          <w:sz w:val="28"/>
        </w:rPr>
        <w:t>26</w:t>
      </w:r>
    </w:p>
    <w:p>
      <w:pPr>
        <w:pStyle w:val="Normal"/>
        <w:numPr>
          <w:ilvl w:val="0"/>
          <w:numId w:val="17"/>
        </w:numPr>
        <w:snapToGrid w:val="false"/>
        <w:rPr/>
      </w:pPr>
      <w:r>
        <w:rPr>
          <w:rFonts w:eastAsia="標楷體" w:ascii="標楷體" w:hAnsi="標楷體"/>
          <w:sz w:val="28"/>
        </w:rPr>
        <w:t>&lt;&lt;</w:t>
      </w:r>
      <w:r>
        <w:rPr>
          <w:rFonts w:ascii="標楷體" w:hAnsi="標楷體" w:eastAsia="標楷體"/>
          <w:sz w:val="28"/>
        </w:rPr>
        <w:t>醫學衷中參西錄</w:t>
      </w:r>
      <w:r>
        <w:rPr>
          <w:rFonts w:eastAsia="標楷體" w:ascii="標楷體" w:hAnsi="標楷體"/>
          <w:sz w:val="28"/>
        </w:rPr>
        <w:t>&gt;&gt;</w:t>
      </w:r>
      <w:r>
        <w:rPr>
          <w:rFonts w:ascii="標楷體" w:hAnsi="標楷體" w:eastAsia="標楷體"/>
          <w:sz w:val="28"/>
        </w:rPr>
        <w:t>對水腫病的相關論述</w:t>
      </w:r>
      <w:r>
        <w:rPr>
          <w:rFonts w:ascii="標楷體" w:hAnsi="標楷體" w:eastAsia="標楷體"/>
          <w:sz w:val="28"/>
        </w:rPr>
        <w:t>………</w:t>
      </w:r>
      <w:r>
        <w:rPr>
          <w:rFonts w:eastAsia="標楷體" w:ascii="標楷體" w:hAnsi="標楷體"/>
          <w:sz w:val="28"/>
        </w:rPr>
        <w:t>27</w:t>
      </w:r>
    </w:p>
    <w:p>
      <w:pPr>
        <w:pStyle w:val="Normal"/>
        <w:numPr>
          <w:ilvl w:val="0"/>
          <w:numId w:val="17"/>
        </w:numPr>
        <w:snapToGrid w:val="false"/>
        <w:rPr>
          <w:rFonts w:ascii="標楷體" w:hAnsi="標楷體" w:eastAsia="標楷體"/>
          <w:sz w:val="28"/>
        </w:rPr>
      </w:pPr>
      <w:r>
        <w:rPr>
          <w:rFonts w:eastAsia="標楷體" w:ascii="標楷體" w:hAnsi="標楷體"/>
          <w:sz w:val="28"/>
        </w:rPr>
        <w:t>&lt;&lt;</w:t>
      </w:r>
      <w:r>
        <w:rPr>
          <w:rFonts w:ascii="標楷體" w:hAnsi="標楷體" w:eastAsia="標楷體"/>
          <w:sz w:val="28"/>
        </w:rPr>
        <w:t>吳鞠通醫案</w:t>
      </w:r>
      <w:r>
        <w:rPr>
          <w:rFonts w:eastAsia="標楷體" w:ascii="標楷體" w:hAnsi="標楷體"/>
          <w:sz w:val="28"/>
        </w:rPr>
        <w:t>&gt;&gt;</w:t>
      </w:r>
      <w:r>
        <w:rPr>
          <w:rFonts w:ascii="標楷體" w:hAnsi="標楷體" w:eastAsia="標楷體"/>
          <w:sz w:val="28"/>
        </w:rPr>
        <w:t>對水腫病的相關論述</w:t>
      </w:r>
      <w:r>
        <w:rPr>
          <w:rFonts w:ascii="標楷體" w:hAnsi="標楷體" w:eastAsia="標楷體"/>
          <w:sz w:val="28"/>
        </w:rPr>
        <w:t>……………</w:t>
      </w:r>
      <w:r>
        <w:rPr>
          <w:rFonts w:eastAsia="標楷體" w:ascii="標楷體" w:hAnsi="標楷體"/>
          <w:sz w:val="28"/>
        </w:rPr>
        <w:t>28</w:t>
      </w:r>
    </w:p>
    <w:p>
      <w:pPr>
        <w:pStyle w:val="Normal"/>
        <w:numPr>
          <w:ilvl w:val="0"/>
          <w:numId w:val="17"/>
        </w:numPr>
        <w:snapToGrid w:val="false"/>
        <w:rPr>
          <w:rFonts w:ascii="標楷體" w:hAnsi="標楷體" w:eastAsia="標楷體"/>
          <w:sz w:val="28"/>
        </w:rPr>
      </w:pPr>
      <w:r>
        <w:rPr>
          <w:rFonts w:eastAsia="標楷體" w:ascii="標楷體" w:hAnsi="標楷體"/>
          <w:sz w:val="28"/>
        </w:rPr>
        <w:t>&lt;&lt;</w:t>
      </w:r>
      <w:r>
        <w:rPr>
          <w:rFonts w:ascii="標楷體" w:hAnsi="標楷體" w:eastAsia="標楷體"/>
          <w:sz w:val="28"/>
        </w:rPr>
        <w:t>針灸大成</w:t>
      </w:r>
      <w:r>
        <w:rPr>
          <w:rFonts w:eastAsia="標楷體" w:ascii="標楷體" w:hAnsi="標楷體"/>
          <w:sz w:val="28"/>
        </w:rPr>
        <w:t>&gt;&gt;</w:t>
      </w:r>
      <w:r>
        <w:rPr>
          <w:rFonts w:ascii="標楷體" w:hAnsi="標楷體" w:eastAsia="標楷體"/>
          <w:sz w:val="28"/>
        </w:rPr>
        <w:t>對水腫病的相關論述</w:t>
      </w:r>
      <w:r>
        <w:rPr>
          <w:rFonts w:ascii="標楷體" w:hAnsi="標楷體" w:eastAsia="標楷體"/>
          <w:sz w:val="28"/>
        </w:rPr>
        <w:t>………………</w:t>
      </w:r>
      <w:r>
        <w:rPr>
          <w:rFonts w:eastAsia="標楷體" w:ascii="標楷體" w:hAnsi="標楷體"/>
          <w:sz w:val="28"/>
        </w:rPr>
        <w:t>28</w:t>
      </w:r>
    </w:p>
    <w:p>
      <w:pPr>
        <w:pStyle w:val="Normal"/>
        <w:snapToGrid w:val="false"/>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第二章  水腫形成的原因與機理</w:t>
      </w:r>
      <w:r>
        <w:rPr>
          <w:rFonts w:ascii="標楷體" w:hAnsi="標楷體" w:eastAsia="標楷體"/>
          <w:sz w:val="28"/>
        </w:rPr>
        <w:t xml:space="preserve">……………………………… </w:t>
      </w:r>
      <w:r>
        <w:rPr>
          <w:rFonts w:eastAsia="標楷體" w:ascii="標楷體" w:hAnsi="標楷體"/>
          <w:sz w:val="28"/>
        </w:rPr>
        <w:t>3</w:t>
      </w:r>
      <w:r>
        <w:rPr>
          <w:rFonts w:eastAsia="標楷體" w:ascii="標楷體" w:hAnsi="標楷體"/>
          <w:sz w:val="28"/>
        </w:rPr>
        <w:t>1</w:t>
      </w:r>
    </w:p>
    <w:p>
      <w:pPr>
        <w:pStyle w:val="Normal"/>
        <w:numPr>
          <w:ilvl w:val="0"/>
          <w:numId w:val="1"/>
        </w:numPr>
        <w:snapToGrid w:val="false"/>
        <w:rPr>
          <w:rFonts w:ascii="標楷體" w:hAnsi="標楷體" w:eastAsia="標楷體"/>
          <w:sz w:val="28"/>
        </w:rPr>
      </w:pPr>
      <w:r>
        <w:rPr>
          <w:rFonts w:ascii="標楷體" w:hAnsi="標楷體" w:eastAsia="標楷體"/>
          <w:sz w:val="28"/>
        </w:rPr>
        <w:t>水腫與外邪的關係</w:t>
      </w:r>
      <w:r>
        <w:rPr>
          <w:rFonts w:ascii="標楷體" w:hAnsi="標楷體" w:eastAsia="標楷體"/>
          <w:sz w:val="28"/>
        </w:rPr>
        <w:t>…………………………………</w:t>
      </w:r>
      <w:r>
        <w:rPr>
          <w:rFonts w:eastAsia="標楷體" w:ascii="標楷體" w:hAnsi="標楷體"/>
          <w:sz w:val="28"/>
        </w:rPr>
        <w:t>31</w:t>
      </w:r>
    </w:p>
    <w:p>
      <w:pPr>
        <w:pStyle w:val="Normal"/>
        <w:numPr>
          <w:ilvl w:val="0"/>
          <w:numId w:val="1"/>
        </w:numPr>
        <w:snapToGrid w:val="false"/>
        <w:rPr>
          <w:rFonts w:ascii="標楷體" w:hAnsi="標楷體" w:eastAsia="標楷體"/>
          <w:sz w:val="28"/>
        </w:rPr>
      </w:pPr>
      <w:r>
        <w:rPr>
          <w:rFonts w:ascii="標楷體" w:hAnsi="標楷體" w:eastAsia="標楷體"/>
          <w:sz w:val="28"/>
        </w:rPr>
        <w:t>水腫與虛勞的關係</w:t>
      </w:r>
      <w:r>
        <w:rPr>
          <w:rFonts w:ascii="標楷體" w:hAnsi="標楷體" w:eastAsia="標楷體"/>
          <w:sz w:val="28"/>
        </w:rPr>
        <w:t>…………………………………</w:t>
      </w:r>
      <w:r>
        <w:rPr>
          <w:rFonts w:eastAsia="標楷體" w:ascii="標楷體" w:hAnsi="標楷體"/>
          <w:sz w:val="28"/>
        </w:rPr>
        <w:t>32</w:t>
      </w:r>
    </w:p>
    <w:p>
      <w:pPr>
        <w:pStyle w:val="Normal"/>
        <w:numPr>
          <w:ilvl w:val="0"/>
          <w:numId w:val="1"/>
        </w:numPr>
        <w:snapToGrid w:val="false"/>
        <w:rPr>
          <w:rFonts w:ascii="標楷體" w:hAnsi="標楷體" w:eastAsia="標楷體"/>
          <w:sz w:val="28"/>
        </w:rPr>
      </w:pPr>
      <w:r>
        <w:rPr>
          <w:rFonts w:ascii="標楷體" w:hAnsi="標楷體" w:eastAsia="標楷體"/>
          <w:sz w:val="28"/>
        </w:rPr>
        <w:t>水腫與氣化的關係</w:t>
      </w:r>
      <w:r>
        <w:rPr>
          <w:rFonts w:ascii="標楷體" w:hAnsi="標楷體" w:eastAsia="標楷體"/>
          <w:sz w:val="28"/>
        </w:rPr>
        <w:t>…………………</w:t>
      </w:r>
      <w:r>
        <w:rPr>
          <w:rFonts w:eastAsia="標楷體" w:ascii="標楷體" w:hAnsi="標楷體"/>
          <w:sz w:val="28"/>
        </w:rPr>
        <w:t>..……………35</w:t>
      </w:r>
    </w:p>
    <w:p>
      <w:pPr>
        <w:pStyle w:val="Normal"/>
        <w:numPr>
          <w:ilvl w:val="0"/>
          <w:numId w:val="1"/>
        </w:numPr>
        <w:snapToGrid w:val="false"/>
        <w:rPr>
          <w:rFonts w:ascii="標楷體" w:hAnsi="標楷體" w:eastAsia="標楷體"/>
          <w:sz w:val="28"/>
        </w:rPr>
      </w:pPr>
      <w:r>
        <w:rPr>
          <w:rFonts w:ascii="標楷體" w:hAnsi="標楷體" w:eastAsia="標楷體"/>
          <w:sz w:val="28"/>
        </w:rPr>
        <w:t>水腫與三焦的關係</w:t>
      </w:r>
      <w:r>
        <w:rPr>
          <w:rFonts w:ascii="標楷體" w:hAnsi="標楷體" w:eastAsia="標楷體"/>
          <w:sz w:val="28"/>
        </w:rPr>
        <w:t>…………………………………</w:t>
      </w:r>
      <w:r>
        <w:rPr>
          <w:rFonts w:eastAsia="標楷體" w:ascii="標楷體" w:hAnsi="標楷體"/>
          <w:sz w:val="28"/>
        </w:rPr>
        <w:t>38</w:t>
      </w:r>
    </w:p>
    <w:p>
      <w:pPr>
        <w:pStyle w:val="Normal"/>
        <w:numPr>
          <w:ilvl w:val="0"/>
          <w:numId w:val="1"/>
        </w:numPr>
        <w:snapToGrid w:val="false"/>
        <w:rPr>
          <w:rFonts w:ascii="標楷體" w:hAnsi="標楷體" w:eastAsia="標楷體"/>
          <w:sz w:val="28"/>
        </w:rPr>
      </w:pPr>
      <w:r>
        <w:rPr>
          <w:rFonts w:ascii="標楷體" w:hAnsi="標楷體" w:eastAsia="標楷體"/>
          <w:sz w:val="28"/>
        </w:rPr>
        <w:t>簡介腎病症候群之中醫發病機理</w:t>
      </w:r>
      <w:r>
        <w:rPr>
          <w:rFonts w:ascii="標楷體" w:hAnsi="標楷體" w:eastAsia="標楷體"/>
          <w:sz w:val="28"/>
        </w:rPr>
        <w:t>…………………</w:t>
      </w:r>
      <w:r>
        <w:rPr>
          <w:rFonts w:eastAsia="標楷體" w:ascii="標楷體" w:hAnsi="標楷體"/>
          <w:sz w:val="28"/>
        </w:rPr>
        <w:t>40</w:t>
      </w:r>
    </w:p>
    <w:p>
      <w:pPr>
        <w:pStyle w:val="Normal"/>
        <w:numPr>
          <w:ilvl w:val="0"/>
          <w:numId w:val="1"/>
        </w:numPr>
        <w:snapToGrid w:val="false"/>
        <w:rPr/>
      </w:pPr>
      <w:r>
        <w:rPr>
          <w:rFonts w:ascii="標楷體" w:hAnsi="標楷體" w:eastAsia="標楷體"/>
          <w:sz w:val="28"/>
        </w:rPr>
        <w:t>腎病症候群的致病因</w:t>
      </w:r>
      <w:r>
        <w:rPr>
          <w:rFonts w:ascii="標楷體" w:hAnsi="標楷體" w:eastAsia="標楷體"/>
          <w:sz w:val="28"/>
        </w:rPr>
        <w:t>………………………………</w:t>
      </w:r>
      <w:r>
        <w:rPr>
          <w:rFonts w:eastAsia="標楷體" w:ascii="標楷體" w:hAnsi="標楷體"/>
          <w:sz w:val="28"/>
        </w:rPr>
        <w:t>40</w:t>
      </w:r>
    </w:p>
    <w:p>
      <w:pPr>
        <w:pStyle w:val="Normal"/>
        <w:snapToGrid w:val="false"/>
        <w:ind w:left="1965" w:hanging="0"/>
        <w:rPr/>
      </w:pPr>
      <w:r>
        <w:rPr>
          <w:rFonts w:ascii="標楷體" w:hAnsi="標楷體" w:eastAsia="標楷體"/>
          <w:sz w:val="28"/>
        </w:rPr>
        <w:t>附論腎病症候群與濕熱的關係</w:t>
      </w:r>
      <w:r>
        <w:rPr>
          <w:rFonts w:ascii="標楷體" w:hAnsi="標楷體" w:eastAsia="標楷體"/>
          <w:sz w:val="28"/>
        </w:rPr>
        <w:t>……………………</w:t>
      </w:r>
      <w:r>
        <w:rPr>
          <w:rFonts w:eastAsia="標楷體" w:ascii="標楷體" w:hAnsi="標楷體"/>
          <w:sz w:val="28"/>
        </w:rPr>
        <w:t>42</w:t>
      </w:r>
    </w:p>
    <w:p>
      <w:pPr>
        <w:pStyle w:val="Normal"/>
        <w:snapToGrid w:val="false"/>
        <w:rPr>
          <w:rFonts w:ascii="標楷體" w:hAnsi="標楷體" w:eastAsia="標楷體"/>
          <w:sz w:val="28"/>
        </w:rPr>
      </w:pPr>
      <w:r>
        <w:rPr>
          <w:rFonts w:ascii="標楷體" w:hAnsi="標楷體" w:eastAsia="標楷體"/>
          <w:sz w:val="32"/>
        </w:rPr>
        <w:t>第三篇  腎病症候群之中西醫觀</w:t>
      </w:r>
      <w:r>
        <w:rPr>
          <w:rFonts w:ascii="標楷體" w:hAnsi="標楷體" w:eastAsia="標楷體"/>
          <w:sz w:val="16"/>
        </w:rPr>
        <w:t xml:space="preserve"> </w:t>
      </w:r>
      <w:r>
        <w:rPr>
          <w:rFonts w:ascii="標楷體" w:hAnsi="標楷體" w:eastAsia="標楷體"/>
          <w:sz w:val="28"/>
        </w:rPr>
        <w:t>………………………………</w:t>
      </w:r>
      <w:r>
        <w:rPr>
          <w:rFonts w:eastAsia="標楷體" w:ascii="標楷體" w:hAnsi="標楷體"/>
          <w:sz w:val="28"/>
        </w:rPr>
        <w:t>43</w:t>
      </w:r>
    </w:p>
    <w:p>
      <w:pPr>
        <w:pStyle w:val="Normal"/>
        <w:numPr>
          <w:ilvl w:val="0"/>
          <w:numId w:val="18"/>
        </w:numPr>
        <w:snapToGrid w:val="false"/>
        <w:rPr>
          <w:rFonts w:ascii="標楷體" w:hAnsi="標楷體" w:eastAsia="標楷體"/>
          <w:sz w:val="28"/>
        </w:rPr>
      </w:pPr>
      <w:r>
        <w:rPr>
          <w:rFonts w:ascii="標楷體" w:hAnsi="標楷體" w:eastAsia="標楷體"/>
          <w:sz w:val="28"/>
        </w:rPr>
        <w:t>簡介腎病症候群</w:t>
      </w:r>
      <w:r>
        <w:rPr>
          <w:rFonts w:ascii="標楷體" w:hAnsi="標楷體" w:eastAsia="標楷體"/>
          <w:sz w:val="28"/>
        </w:rPr>
        <w:t xml:space="preserve">……………………………………… </w:t>
      </w:r>
      <w:r>
        <w:rPr>
          <w:rFonts w:eastAsia="標楷體" w:ascii="標楷體" w:hAnsi="標楷體"/>
          <w:sz w:val="28"/>
        </w:rPr>
        <w:t>43</w:t>
      </w:r>
    </w:p>
    <w:p>
      <w:pPr>
        <w:pStyle w:val="Normal"/>
        <w:numPr>
          <w:ilvl w:val="0"/>
          <w:numId w:val="13"/>
        </w:numPr>
        <w:snapToGrid w:val="false"/>
        <w:rPr>
          <w:rFonts w:ascii="標楷體" w:hAnsi="標楷體" w:eastAsia="標楷體"/>
          <w:sz w:val="28"/>
        </w:rPr>
      </w:pPr>
      <w:r>
        <w:rPr>
          <w:rFonts w:ascii="標楷體" w:hAnsi="標楷體" w:eastAsia="標楷體"/>
          <w:sz w:val="28"/>
        </w:rPr>
        <w:t>腎病症候群的分類</w:t>
      </w:r>
      <w:r>
        <w:rPr>
          <w:rFonts w:ascii="標楷體" w:hAnsi="標楷體" w:eastAsia="標楷體"/>
          <w:sz w:val="28"/>
        </w:rPr>
        <w:t>…………………………………</w:t>
      </w:r>
      <w:r>
        <w:rPr>
          <w:rFonts w:eastAsia="標楷體" w:ascii="標楷體" w:hAnsi="標楷體"/>
          <w:sz w:val="28"/>
        </w:rPr>
        <w:t>43</w:t>
      </w:r>
    </w:p>
    <w:p>
      <w:pPr>
        <w:pStyle w:val="Normal"/>
        <w:numPr>
          <w:ilvl w:val="0"/>
          <w:numId w:val="13"/>
        </w:numPr>
        <w:snapToGrid w:val="false"/>
        <w:rPr>
          <w:rFonts w:ascii="標楷體" w:hAnsi="標楷體" w:eastAsia="標楷體"/>
          <w:sz w:val="28"/>
        </w:rPr>
      </w:pPr>
      <w:r>
        <w:rPr>
          <w:rFonts w:ascii="標楷體" w:hAnsi="標楷體" w:eastAsia="標楷體"/>
          <w:sz w:val="28"/>
        </w:rPr>
        <w:t>腎病症候群的發病機轉</w:t>
      </w:r>
      <w:r>
        <w:rPr>
          <w:rFonts w:ascii="標楷體" w:hAnsi="標楷體" w:eastAsia="標楷體"/>
          <w:sz w:val="28"/>
        </w:rPr>
        <w:t>……………………………</w:t>
      </w:r>
      <w:r>
        <w:rPr>
          <w:rFonts w:eastAsia="標楷體" w:ascii="標楷體" w:hAnsi="標楷體"/>
          <w:sz w:val="28"/>
        </w:rPr>
        <w:t>43</w:t>
      </w:r>
    </w:p>
    <w:p>
      <w:pPr>
        <w:pStyle w:val="Normal"/>
        <w:numPr>
          <w:ilvl w:val="0"/>
          <w:numId w:val="13"/>
        </w:numPr>
        <w:snapToGrid w:val="false"/>
        <w:rPr>
          <w:rFonts w:ascii="標楷體" w:hAnsi="標楷體" w:eastAsia="標楷體"/>
          <w:sz w:val="28"/>
        </w:rPr>
      </w:pPr>
      <w:r>
        <w:rPr>
          <w:rFonts w:ascii="標楷體" w:hAnsi="標楷體" w:eastAsia="標楷體"/>
          <w:sz w:val="28"/>
        </w:rPr>
        <w:t>微小腎病變</w:t>
      </w:r>
      <w:r>
        <w:rPr>
          <w:rFonts w:ascii="標楷體" w:hAnsi="標楷體" w:eastAsia="標楷體"/>
          <w:sz w:val="28"/>
        </w:rPr>
        <w:t>…………………………………………</w:t>
      </w:r>
      <w:r>
        <w:rPr>
          <w:rFonts w:eastAsia="標楷體" w:ascii="標楷體" w:hAnsi="標楷體"/>
          <w:sz w:val="28"/>
        </w:rPr>
        <w:t>44</w:t>
      </w:r>
    </w:p>
    <w:p>
      <w:pPr>
        <w:pStyle w:val="Normal"/>
        <w:numPr>
          <w:ilvl w:val="0"/>
          <w:numId w:val="13"/>
        </w:numPr>
        <w:snapToGrid w:val="false"/>
        <w:rPr>
          <w:rFonts w:ascii="標楷體" w:hAnsi="標楷體" w:eastAsia="標楷體"/>
          <w:sz w:val="28"/>
        </w:rPr>
      </w:pPr>
      <w:r>
        <w:rPr>
          <w:rFonts w:ascii="標楷體" w:hAnsi="標楷體" w:eastAsia="標楷體"/>
          <w:sz w:val="28"/>
        </w:rPr>
        <w:t>膜性腎病變</w:t>
      </w:r>
      <w:r>
        <w:rPr>
          <w:rFonts w:ascii="標楷體" w:hAnsi="標楷體" w:eastAsia="標楷體"/>
          <w:sz w:val="28"/>
        </w:rPr>
        <w:t>…………………………………………</w:t>
      </w:r>
      <w:r>
        <w:rPr>
          <w:rFonts w:eastAsia="標楷體" w:ascii="標楷體" w:hAnsi="標楷體"/>
          <w:sz w:val="28"/>
        </w:rPr>
        <w:t>44</w:t>
      </w:r>
    </w:p>
    <w:p>
      <w:pPr>
        <w:pStyle w:val="Normal"/>
        <w:numPr>
          <w:ilvl w:val="0"/>
          <w:numId w:val="13"/>
        </w:numPr>
        <w:snapToGrid w:val="false"/>
        <w:rPr>
          <w:rFonts w:ascii="標楷體" w:hAnsi="標楷體" w:eastAsia="標楷體"/>
          <w:sz w:val="28"/>
        </w:rPr>
      </w:pPr>
      <w:r>
        <w:rPr>
          <w:rFonts w:ascii="標楷體" w:hAnsi="標楷體" w:eastAsia="標楷體"/>
          <w:sz w:val="28"/>
        </w:rPr>
        <w:t>膜增生型腎病變</w:t>
      </w:r>
      <w:r>
        <w:rPr>
          <w:rFonts w:ascii="標楷體" w:hAnsi="標楷體" w:eastAsia="標楷體"/>
          <w:sz w:val="28"/>
        </w:rPr>
        <w:t>……………………………………</w:t>
      </w:r>
      <w:r>
        <w:rPr>
          <w:rFonts w:eastAsia="標楷體" w:ascii="標楷體" w:hAnsi="標楷體"/>
          <w:sz w:val="28"/>
        </w:rPr>
        <w:t>45</w:t>
      </w:r>
    </w:p>
    <w:p>
      <w:pPr>
        <w:pStyle w:val="Normal"/>
        <w:numPr>
          <w:ilvl w:val="0"/>
          <w:numId w:val="13"/>
        </w:numPr>
        <w:snapToGrid w:val="false"/>
        <w:rPr>
          <w:rFonts w:ascii="標楷體" w:hAnsi="標楷體" w:eastAsia="標楷體"/>
          <w:sz w:val="28"/>
        </w:rPr>
      </w:pPr>
      <w:r>
        <w:rPr>
          <w:rFonts w:ascii="標楷體" w:hAnsi="標楷體" w:eastAsia="標楷體"/>
          <w:sz w:val="28"/>
        </w:rPr>
        <w:t>局部硬化型腎病變</w:t>
      </w:r>
      <w:r>
        <w:rPr>
          <w:rFonts w:ascii="標楷體" w:hAnsi="標楷體" w:eastAsia="標楷體"/>
          <w:sz w:val="28"/>
        </w:rPr>
        <w:t>…………………………………</w:t>
      </w:r>
      <w:r>
        <w:rPr>
          <w:rFonts w:eastAsia="標楷體" w:ascii="標楷體" w:hAnsi="標楷體"/>
          <w:sz w:val="28"/>
        </w:rPr>
        <w:t>45</w:t>
      </w:r>
    </w:p>
    <w:p>
      <w:pPr>
        <w:pStyle w:val="Normal"/>
        <w:numPr>
          <w:ilvl w:val="0"/>
          <w:numId w:val="13"/>
        </w:numPr>
        <w:snapToGrid w:val="false"/>
        <w:rPr>
          <w:rFonts w:ascii="標楷體" w:hAnsi="標楷體" w:eastAsia="標楷體"/>
          <w:sz w:val="28"/>
        </w:rPr>
      </w:pPr>
      <w:r>
        <w:rPr>
          <w:rFonts w:eastAsia="標楷體" w:cs="Arial" w:ascii="標楷體" w:hAnsi="標楷體"/>
          <w:sz w:val="28"/>
        </w:rPr>
        <w:t>IgA</w:t>
      </w:r>
      <w:r>
        <w:rPr>
          <w:rFonts w:ascii="標楷體" w:hAnsi="標楷體" w:eastAsia="標楷體"/>
          <w:sz w:val="28"/>
        </w:rPr>
        <w:t>腎病變之中西醫觀念及療法</w:t>
      </w:r>
      <w:r>
        <w:rPr>
          <w:rFonts w:ascii="標楷體" w:hAnsi="標楷體" w:eastAsia="標楷體"/>
          <w:sz w:val="28"/>
        </w:rPr>
        <w:t>…………………</w:t>
      </w:r>
      <w:r>
        <w:rPr>
          <w:rFonts w:ascii="標楷體" w:hAnsi="標楷體" w:eastAsia="標楷體"/>
          <w:sz w:val="22"/>
        </w:rPr>
        <w:t xml:space="preserve"> </w:t>
      </w:r>
      <w:r>
        <w:rPr>
          <w:rFonts w:eastAsia="標楷體" w:ascii="標楷體" w:hAnsi="標楷體"/>
          <w:sz w:val="28"/>
        </w:rPr>
        <w:t>45</w:t>
      </w:r>
    </w:p>
    <w:p>
      <w:pPr>
        <w:pStyle w:val="Normal"/>
        <w:snapToGrid w:val="false"/>
        <w:ind w:left="1965" w:hanging="0"/>
        <w:rPr/>
      </w:pPr>
      <w:r>
        <w:rPr>
          <w:rFonts w:ascii="標楷體" w:hAnsi="標楷體" w:eastAsia="標楷體"/>
          <w:sz w:val="28"/>
        </w:rPr>
        <w:t>附論西醫水腫形成機理</w:t>
      </w:r>
      <w:r>
        <w:rPr>
          <w:rFonts w:ascii="標楷體" w:hAnsi="標楷體" w:eastAsia="標楷體"/>
          <w:sz w:val="28"/>
        </w:rPr>
        <w:t>……………………………</w:t>
      </w:r>
      <w:r>
        <w:rPr>
          <w:rFonts w:eastAsia="標楷體" w:ascii="標楷體" w:hAnsi="標楷體"/>
          <w:sz w:val="28"/>
        </w:rPr>
        <w:t>47</w:t>
      </w:r>
    </w:p>
    <w:p>
      <w:pPr>
        <w:pStyle w:val="Normal"/>
        <w:snapToGrid w:val="false"/>
        <w:rPr/>
      </w:pPr>
      <w:r>
        <w:rPr>
          <w:rFonts w:eastAsia="標楷體" w:cs="標楷體" w:ascii="標楷體" w:hAnsi="標楷體"/>
          <w:sz w:val="28"/>
        </w:rPr>
        <w:t xml:space="preserve">   </w:t>
      </w:r>
      <w:r>
        <w:rPr>
          <w:rFonts w:ascii="標楷體" w:hAnsi="標楷體" w:eastAsia="標楷體"/>
          <w:sz w:val="28"/>
        </w:rPr>
        <w:t>第二章  低白蛋白血症之中醫觀</w:t>
      </w:r>
      <w:r>
        <w:rPr>
          <w:rFonts w:ascii="標楷體" w:hAnsi="標楷體" w:eastAsia="標楷體"/>
          <w:sz w:val="28"/>
        </w:rPr>
        <w:t xml:space="preserve">……………………………… </w:t>
      </w:r>
      <w:r>
        <w:rPr>
          <w:rFonts w:eastAsia="標楷體" w:ascii="標楷體" w:hAnsi="標楷體"/>
          <w:sz w:val="28"/>
        </w:rPr>
        <w:t>48</w:t>
      </w:r>
    </w:p>
    <w:p>
      <w:pPr>
        <w:pStyle w:val="Normal"/>
        <w:numPr>
          <w:ilvl w:val="0"/>
          <w:numId w:val="8"/>
        </w:numPr>
        <w:snapToGrid w:val="false"/>
        <w:rPr>
          <w:rFonts w:ascii="標楷體" w:hAnsi="標楷體" w:eastAsia="標楷體"/>
          <w:sz w:val="28"/>
        </w:rPr>
      </w:pPr>
      <w:r>
        <w:rPr>
          <w:rFonts w:ascii="標楷體" w:hAnsi="標楷體" w:eastAsia="標楷體"/>
          <w:sz w:val="28"/>
        </w:rPr>
        <w:t>低白蛋白血症的原因</w:t>
      </w:r>
      <w:r>
        <w:rPr>
          <w:rFonts w:ascii="標楷體" w:hAnsi="標楷體" w:eastAsia="標楷體"/>
          <w:sz w:val="28"/>
        </w:rPr>
        <w:t>………………………………</w:t>
      </w:r>
      <w:r>
        <w:rPr>
          <w:rFonts w:eastAsia="標楷體" w:ascii="標楷體" w:hAnsi="標楷體"/>
          <w:sz w:val="28"/>
        </w:rPr>
        <w:t>48</w:t>
      </w:r>
    </w:p>
    <w:p>
      <w:pPr>
        <w:pStyle w:val="Normal"/>
        <w:numPr>
          <w:ilvl w:val="0"/>
          <w:numId w:val="8"/>
        </w:numPr>
        <w:snapToGrid w:val="false"/>
        <w:rPr>
          <w:rFonts w:ascii="標楷體" w:hAnsi="標楷體" w:eastAsia="標楷體"/>
          <w:sz w:val="28"/>
        </w:rPr>
      </w:pPr>
      <w:r>
        <w:rPr>
          <w:rFonts w:ascii="標楷體" w:hAnsi="標楷體" w:eastAsia="標楷體"/>
          <w:sz w:val="28"/>
        </w:rPr>
        <w:t>低白蛋白血症之中醫觀</w:t>
      </w:r>
      <w:r>
        <w:rPr>
          <w:rFonts w:ascii="標楷體" w:hAnsi="標楷體" w:eastAsia="標楷體"/>
          <w:sz w:val="28"/>
        </w:rPr>
        <w:t>……………………………</w:t>
      </w:r>
      <w:r>
        <w:rPr>
          <w:rFonts w:eastAsia="標楷體" w:ascii="標楷體" w:hAnsi="標楷體"/>
          <w:sz w:val="28"/>
        </w:rPr>
        <w:t>48</w:t>
      </w:r>
    </w:p>
    <w:p>
      <w:pPr>
        <w:pStyle w:val="Normal"/>
        <w:snapToGrid w:val="false"/>
        <w:rPr/>
      </w:pPr>
      <w:r>
        <w:rPr>
          <w:rFonts w:eastAsia="標楷體" w:cs="標楷體" w:ascii="標楷體" w:hAnsi="標楷體"/>
          <w:sz w:val="28"/>
        </w:rPr>
        <w:t xml:space="preserve">   </w:t>
      </w:r>
      <w:r>
        <w:rPr>
          <w:rFonts w:ascii="標楷體" w:hAnsi="標楷體" w:eastAsia="標楷體"/>
          <w:sz w:val="28"/>
        </w:rPr>
        <w:t>第三章  蛋白尿的中醫觀</w:t>
      </w:r>
      <w:r>
        <w:rPr>
          <w:rFonts w:ascii="標楷體" w:hAnsi="標楷體" w:eastAsia="標楷體"/>
          <w:sz w:val="28"/>
        </w:rPr>
        <w:t xml:space="preserve">……………………………………… </w:t>
      </w:r>
      <w:r>
        <w:rPr>
          <w:rFonts w:eastAsia="標楷體" w:ascii="標楷體" w:hAnsi="標楷體"/>
          <w:sz w:val="28"/>
        </w:rPr>
        <w:t>51</w:t>
      </w:r>
    </w:p>
    <w:p>
      <w:pPr>
        <w:pStyle w:val="Normal"/>
        <w:snapToGrid w:val="false"/>
        <w:rPr/>
      </w:pPr>
      <w:r>
        <w:rPr>
          <w:rFonts w:eastAsia="標楷體" w:cs="標楷體" w:ascii="標楷體" w:hAnsi="標楷體"/>
          <w:sz w:val="28"/>
        </w:rPr>
        <w:t xml:space="preserve">   </w:t>
      </w:r>
      <w:r>
        <w:rPr>
          <w:rFonts w:ascii="標楷體" w:hAnsi="標楷體" w:eastAsia="標楷體"/>
          <w:sz w:val="28"/>
        </w:rPr>
        <w:t>第四章  高脂血症之中醫觀</w:t>
      </w:r>
      <w:r>
        <w:rPr>
          <w:rFonts w:ascii="標楷體" w:hAnsi="標楷體" w:eastAsia="標楷體"/>
          <w:sz w:val="28"/>
        </w:rPr>
        <w:t>……………………………………</w:t>
      </w:r>
      <w:r>
        <w:rPr>
          <w:rFonts w:eastAsia="標楷體" w:ascii="標楷體" w:hAnsi="標楷體"/>
          <w:sz w:val="28"/>
        </w:rPr>
        <w:t xml:space="preserve">.53 </w:t>
      </w:r>
    </w:p>
    <w:p>
      <w:pPr>
        <w:pStyle w:val="Normal"/>
        <w:snapToGrid w:val="false"/>
        <w:rPr/>
      </w:pPr>
      <w:r>
        <w:rPr>
          <w:rFonts w:eastAsia="標楷體" w:cs="標楷體" w:ascii="標楷體" w:hAnsi="標楷體"/>
          <w:sz w:val="28"/>
        </w:rPr>
        <w:t xml:space="preserve">   </w:t>
      </w:r>
      <w:r>
        <w:rPr>
          <w:rFonts w:ascii="標楷體" w:hAnsi="標楷體" w:eastAsia="標楷體"/>
          <w:sz w:val="28"/>
        </w:rPr>
        <w:t>第五章  高凝血狀態之中醫觀</w:t>
      </w:r>
      <w:r>
        <w:rPr>
          <w:rFonts w:ascii="標楷體" w:hAnsi="標楷體" w:eastAsia="標楷體"/>
          <w:sz w:val="28"/>
        </w:rPr>
        <w:t xml:space="preserve">………………………………… </w:t>
      </w:r>
      <w:r>
        <w:rPr>
          <w:rFonts w:eastAsia="標楷體" w:ascii="標楷體" w:hAnsi="標楷體"/>
          <w:sz w:val="28"/>
        </w:rPr>
        <w:t>54</w:t>
      </w:r>
    </w:p>
    <w:p>
      <w:pPr>
        <w:pStyle w:val="Normal"/>
        <w:numPr>
          <w:ilvl w:val="0"/>
          <w:numId w:val="6"/>
        </w:numPr>
        <w:snapToGrid w:val="false"/>
        <w:rPr>
          <w:rFonts w:ascii="標楷體" w:hAnsi="標楷體" w:eastAsia="標楷體"/>
          <w:sz w:val="28"/>
        </w:rPr>
      </w:pPr>
      <w:r>
        <w:rPr>
          <w:rFonts w:ascii="標楷體" w:hAnsi="標楷體" w:eastAsia="標楷體"/>
          <w:sz w:val="28"/>
        </w:rPr>
        <w:t>血尿的中醫觀</w:t>
      </w:r>
      <w:r>
        <w:rPr>
          <w:rFonts w:ascii="標楷體" w:hAnsi="標楷體" w:eastAsia="標楷體"/>
          <w:sz w:val="28"/>
        </w:rPr>
        <w:t>…………………………………………</w:t>
      </w:r>
      <w:r>
        <w:rPr>
          <w:rFonts w:ascii="標楷體" w:hAnsi="標楷體" w:eastAsia="標楷體"/>
          <w:sz w:val="28"/>
        </w:rPr>
        <w:t xml:space="preserve"> </w:t>
      </w:r>
      <w:r>
        <w:rPr>
          <w:rFonts w:eastAsia="標楷體" w:ascii="標楷體" w:hAnsi="標楷體"/>
          <w:sz w:val="28"/>
        </w:rPr>
        <w:t>55</w:t>
      </w:r>
    </w:p>
    <w:p>
      <w:pPr>
        <w:pStyle w:val="Normal"/>
        <w:snapToGrid w:val="false"/>
        <w:rPr/>
      </w:pPr>
      <w:r>
        <w:rPr>
          <w:rFonts w:eastAsia="標楷體" w:cs="標楷體" w:ascii="標楷體" w:hAnsi="標楷體"/>
          <w:sz w:val="28"/>
        </w:rPr>
        <w:t xml:space="preserve">   </w:t>
      </w:r>
      <w:r>
        <w:rPr>
          <w:rFonts w:ascii="標楷體" w:hAnsi="標楷體" w:eastAsia="標楷體"/>
          <w:sz w:val="28"/>
        </w:rPr>
        <w:t>第七章  腰痛的中醫觀</w:t>
      </w:r>
      <w:r>
        <w:rPr>
          <w:rFonts w:ascii="標楷體" w:hAnsi="標楷體" w:eastAsia="標楷體"/>
          <w:sz w:val="28"/>
        </w:rPr>
        <w:t xml:space="preserve">………………………………………… </w:t>
      </w:r>
      <w:r>
        <w:rPr>
          <w:rFonts w:eastAsia="標楷體" w:ascii="標楷體" w:hAnsi="標楷體"/>
          <w:sz w:val="28"/>
        </w:rPr>
        <w:t>57</w:t>
      </w:r>
    </w:p>
    <w:p>
      <w:pPr>
        <w:pStyle w:val="Normal"/>
        <w:numPr>
          <w:ilvl w:val="0"/>
          <w:numId w:val="14"/>
        </w:numPr>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 xml:space="preserve">腎病症候群預後的中醫相關論述  </w:t>
      </w:r>
      <w:r>
        <w:rPr>
          <w:rFonts w:ascii="標楷體" w:hAnsi="標楷體" w:eastAsia="標楷體"/>
          <w:sz w:val="28"/>
        </w:rPr>
        <w:t xml:space="preserve">………………… </w:t>
      </w:r>
      <w:r>
        <w:rPr>
          <w:rFonts w:ascii="標楷體" w:hAnsi="標楷體" w:eastAsia="標楷體"/>
          <w:sz w:val="28"/>
        </w:rPr>
        <w:t xml:space="preserve"> </w:t>
      </w:r>
      <w:r>
        <w:rPr>
          <w:rFonts w:eastAsia="標楷體" w:ascii="標楷體" w:hAnsi="標楷體"/>
          <w:sz w:val="28"/>
        </w:rPr>
        <w:t>58</w:t>
      </w:r>
    </w:p>
    <w:p>
      <w:pPr>
        <w:pStyle w:val="Normal"/>
        <w:snapToGrid w:val="false"/>
        <w:jc w:val="both"/>
        <w:rPr/>
      </w:pPr>
      <w:r>
        <w:rPr>
          <w:rFonts w:ascii="標楷體" w:hAnsi="標楷體" w:eastAsia="標楷體"/>
          <w:sz w:val="32"/>
        </w:rPr>
        <w:t>第四篇  腎病症候群的治療</w:t>
      </w:r>
      <w:r>
        <w:rPr>
          <w:rFonts w:ascii="標楷體" w:hAnsi="標楷體" w:eastAsia="標楷體"/>
          <w:sz w:val="16"/>
        </w:rPr>
        <w:t xml:space="preserve"> </w:t>
      </w:r>
      <w:r>
        <w:rPr>
          <w:rFonts w:ascii="標楷體" w:hAnsi="標楷體" w:eastAsia="標楷體"/>
          <w:sz w:val="28"/>
        </w:rPr>
        <w:t xml:space="preserve">…………………………………… </w:t>
      </w:r>
      <w:r>
        <w:rPr>
          <w:rFonts w:eastAsia="標楷體" w:ascii="標楷體" w:hAnsi="標楷體"/>
          <w:sz w:val="28"/>
        </w:rPr>
        <w:t>59</w:t>
      </w:r>
    </w:p>
    <w:p>
      <w:pPr>
        <w:pStyle w:val="Normal"/>
        <w:snapToGrid w:val="false"/>
        <w:jc w:val="both"/>
        <w:rPr/>
      </w:pPr>
      <w:r>
        <w:rPr>
          <w:rFonts w:eastAsia="標楷體" w:cs="標楷體" w:ascii="標楷體" w:hAnsi="標楷體"/>
          <w:sz w:val="28"/>
        </w:rPr>
        <w:t xml:space="preserve">   </w:t>
      </w:r>
      <w:r>
        <w:rPr>
          <w:rFonts w:ascii="標楷體" w:hAnsi="標楷體" w:eastAsia="標楷體"/>
          <w:sz w:val="28"/>
        </w:rPr>
        <w:t>第一章  分型治療</w:t>
      </w:r>
      <w:r>
        <w:rPr>
          <w:rFonts w:ascii="標楷體" w:hAnsi="標楷體" w:eastAsia="標楷體"/>
          <w:sz w:val="28"/>
        </w:rPr>
        <w:t>…………………………………………………</w:t>
      </w:r>
      <w:r>
        <w:rPr>
          <w:rFonts w:eastAsia="標楷體" w:ascii="標楷體" w:hAnsi="標楷體"/>
          <w:sz w:val="28"/>
        </w:rPr>
        <w:t>59</w:t>
      </w:r>
    </w:p>
    <w:p>
      <w:pPr>
        <w:pStyle w:val="Normal"/>
        <w:numPr>
          <w:ilvl w:val="0"/>
          <w:numId w:val="18"/>
        </w:numPr>
        <w:snapToGrid w:val="false"/>
        <w:jc w:val="both"/>
        <w:rPr>
          <w:rFonts w:ascii="標楷體" w:hAnsi="標楷體" w:eastAsia="標楷體"/>
          <w:sz w:val="28"/>
        </w:rPr>
      </w:pPr>
      <w:r>
        <w:rPr>
          <w:rFonts w:ascii="標楷體" w:hAnsi="標楷體" w:eastAsia="標楷體"/>
          <w:sz w:val="28"/>
        </w:rPr>
        <w:t>腎病症候群的日常生活保健</w:t>
      </w:r>
      <w:r>
        <w:rPr>
          <w:rFonts w:ascii="標楷體" w:hAnsi="標楷體" w:eastAsia="標楷體"/>
          <w:sz w:val="28"/>
        </w:rPr>
        <w:t>……………………………</w:t>
      </w:r>
      <w:r>
        <w:rPr>
          <w:rFonts w:eastAsia="標楷體" w:ascii="標楷體" w:hAnsi="標楷體"/>
          <w:sz w:val="28"/>
        </w:rPr>
        <w:t>61</w:t>
      </w:r>
    </w:p>
    <w:p>
      <w:pPr>
        <w:pStyle w:val="Normal"/>
        <w:snapToGrid w:val="false"/>
        <w:rPr/>
      </w:pPr>
      <w:r>
        <w:rPr>
          <w:rFonts w:ascii="標楷體" w:hAnsi="標楷體" w:eastAsia="標楷體"/>
          <w:sz w:val="32"/>
        </w:rPr>
        <w:t>第五篇  腎病症候群治驗</w:t>
      </w:r>
      <w:r>
        <w:rPr>
          <w:rFonts w:ascii="標楷體" w:hAnsi="標楷體" w:eastAsia="標楷體"/>
          <w:sz w:val="32"/>
        </w:rPr>
        <w:t>……………………………………</w:t>
      </w:r>
      <w:r>
        <w:rPr>
          <w:rFonts w:eastAsia="標楷體" w:ascii="標楷體" w:hAnsi="標楷體"/>
          <w:sz w:val="28"/>
        </w:rPr>
        <w:t>63</w:t>
      </w:r>
    </w:p>
    <w:p>
      <w:pPr>
        <w:pStyle w:val="Normal"/>
        <w:snapToGrid w:val="false"/>
        <w:jc w:val="both"/>
        <w:rPr/>
      </w:pPr>
      <w:r>
        <w:rPr>
          <w:rFonts w:ascii="標楷體" w:hAnsi="標楷體" w:eastAsia="標楷體"/>
          <w:sz w:val="32"/>
        </w:rPr>
        <w:t>結論</w:t>
      </w:r>
      <w:r>
        <w:rPr>
          <w:rFonts w:ascii="標楷體" w:hAnsi="標楷體" w:eastAsia="標楷體"/>
          <w:sz w:val="32"/>
        </w:rPr>
        <w:t>……………………………………………………………</w:t>
      </w:r>
      <w:r>
        <w:rPr>
          <w:rFonts w:eastAsia="標楷體" w:ascii="標楷體" w:hAnsi="標楷體"/>
          <w:sz w:val="28"/>
        </w:rPr>
        <w:t>72</w:t>
      </w:r>
    </w:p>
    <w:p>
      <w:pPr>
        <w:sectPr>
          <w:footerReference w:type="default" r:id="rId2"/>
          <w:type w:val="nextPage"/>
          <w:pgSz w:w="11906" w:h="16838"/>
          <w:pgMar w:left="1800" w:right="1800" w:header="0" w:top="1440" w:footer="992" w:bottom="1440" w:gutter="0"/>
          <w:pgNumType w:fmt="decimal"/>
          <w:formProt w:val="false"/>
          <w:textDirection w:val="lrTb"/>
          <w:docGrid w:type="lines" w:linePitch="360" w:charSpace="0"/>
        </w:sectPr>
        <w:pStyle w:val="Normal"/>
        <w:snapToGrid w:val="false"/>
        <w:jc w:val="both"/>
        <w:rPr>
          <w:rFonts w:ascii="標楷體" w:hAnsi="標楷體" w:eastAsia="標楷體"/>
          <w:sz w:val="28"/>
        </w:rPr>
      </w:pPr>
      <w:r>
        <w:rPr>
          <w:rFonts w:ascii="標楷體" w:hAnsi="標楷體" w:eastAsia="標楷體"/>
          <w:sz w:val="32"/>
        </w:rPr>
        <w:t>參考文獻</w:t>
      </w:r>
      <w:r>
        <w:rPr>
          <w:rFonts w:ascii="標楷體" w:hAnsi="標楷體" w:eastAsia="標楷體"/>
          <w:sz w:val="32"/>
        </w:rPr>
        <w:t>………………………………………………………</w:t>
      </w:r>
      <w:r>
        <w:rPr>
          <w:rFonts w:eastAsia="標楷體" w:ascii="標楷體" w:hAnsi="標楷體"/>
          <w:sz w:val="28"/>
        </w:rPr>
        <w:t>73</w:t>
      </w:r>
    </w:p>
    <w:p>
      <w:pPr>
        <w:pStyle w:val="Normal"/>
        <w:jc w:val="center"/>
        <w:rPr>
          <w:rFonts w:ascii="標楷體" w:hAnsi="標楷體" w:eastAsia="標楷體"/>
          <w:b/>
          <w:b/>
          <w:sz w:val="32"/>
        </w:rPr>
      </w:pPr>
      <w:r>
        <w:rPr>
          <w:rFonts w:ascii="標楷體" w:hAnsi="標楷體" w:eastAsia="標楷體"/>
          <w:b/>
          <w:sz w:val="32"/>
        </w:rPr>
        <w:t>摘要</w:t>
      </w:r>
    </w:p>
    <w:p>
      <w:pPr>
        <w:pStyle w:val="Normal"/>
        <w:snapToGrid w:val="false"/>
        <w:jc w:val="both"/>
        <w:rPr/>
      </w:pPr>
      <w:r>
        <w:rPr>
          <w:rFonts w:eastAsia="標楷體" w:cs="標楷體" w:ascii="標楷體" w:hAnsi="標楷體"/>
          <w:sz w:val="28"/>
        </w:rPr>
        <w:t xml:space="preserve">    </w:t>
      </w:r>
      <w:r>
        <w:rPr>
          <w:rFonts w:ascii="標楷體" w:hAnsi="標楷體" w:eastAsia="標楷體"/>
          <w:sz w:val="28"/>
        </w:rPr>
        <w:t>中醫歷代典籍並無腎病症候群的名詞，但根據其最主要的臨床表現「水腫」，可在典籍中找到詳細的論述，從</w:t>
      </w:r>
      <w:r>
        <w:rPr>
          <w:rFonts w:eastAsia="標楷體" w:ascii="標楷體" w:hAnsi="標楷體"/>
          <w:sz w:val="28"/>
        </w:rPr>
        <w:t>&lt;&lt;</w:t>
      </w:r>
      <w:r>
        <w:rPr>
          <w:rFonts w:ascii="標楷體" w:hAnsi="標楷體" w:eastAsia="標楷體"/>
          <w:sz w:val="28"/>
        </w:rPr>
        <w:t>內經</w:t>
      </w:r>
      <w:r>
        <w:rPr>
          <w:rFonts w:eastAsia="標楷體" w:ascii="標楷體" w:hAnsi="標楷體"/>
          <w:sz w:val="28"/>
        </w:rPr>
        <w:t>&gt;&gt;</w:t>
      </w:r>
      <w:r>
        <w:rPr>
          <w:rFonts w:ascii="標楷體" w:hAnsi="標楷體" w:eastAsia="標楷體"/>
          <w:sz w:val="28"/>
        </w:rPr>
        <w:t>以降，到漢、唐、宋的</w:t>
      </w:r>
      <w:r>
        <w:rPr>
          <w:rFonts w:eastAsia="標楷體" w:ascii="標楷體" w:hAnsi="標楷體"/>
          <w:sz w:val="28"/>
        </w:rPr>
        <w:t>&lt;&lt;</w:t>
      </w:r>
      <w:r>
        <w:rPr>
          <w:rFonts w:ascii="標楷體" w:hAnsi="標楷體" w:eastAsia="標楷體"/>
          <w:sz w:val="28"/>
        </w:rPr>
        <w:t>金匱要略</w:t>
      </w:r>
      <w:r>
        <w:rPr>
          <w:rFonts w:eastAsia="標楷體" w:ascii="標楷體" w:hAnsi="標楷體"/>
          <w:sz w:val="28"/>
        </w:rPr>
        <w:t>&gt;&gt;</w:t>
      </w:r>
      <w:r>
        <w:rPr>
          <w:rFonts w:ascii="標楷體" w:hAnsi="標楷體" w:eastAsia="標楷體"/>
          <w:sz w:val="28"/>
        </w:rPr>
        <w:t>、</w:t>
      </w:r>
      <w:r>
        <w:rPr>
          <w:rFonts w:eastAsia="標楷體" w:ascii="標楷體" w:hAnsi="標楷體"/>
          <w:sz w:val="28"/>
        </w:rPr>
        <w:t>&lt;&lt;</w:t>
      </w:r>
      <w:r>
        <w:rPr>
          <w:rFonts w:ascii="標楷體" w:hAnsi="標楷體" w:eastAsia="標楷體"/>
          <w:sz w:val="28"/>
        </w:rPr>
        <w:t>諸病源候論</w:t>
      </w:r>
      <w:r>
        <w:rPr>
          <w:rFonts w:eastAsia="標楷體" w:ascii="標楷體" w:hAnsi="標楷體"/>
          <w:sz w:val="28"/>
        </w:rPr>
        <w:t>&gt;&gt;</w:t>
      </w:r>
      <w:r>
        <w:rPr>
          <w:rFonts w:ascii="標楷體" w:hAnsi="標楷體" w:eastAsia="標楷體"/>
          <w:sz w:val="28"/>
        </w:rPr>
        <w:t>、</w:t>
      </w:r>
      <w:r>
        <w:rPr>
          <w:rFonts w:eastAsia="標楷體" w:ascii="標楷體" w:hAnsi="標楷體"/>
          <w:sz w:val="28"/>
        </w:rPr>
        <w:t>&lt;&lt;</w:t>
      </w:r>
      <w:r>
        <w:rPr>
          <w:rFonts w:ascii="標楷體" w:hAnsi="標楷體" w:eastAsia="標楷體"/>
          <w:sz w:val="28"/>
        </w:rPr>
        <w:t>千金要方</w:t>
      </w:r>
      <w:r>
        <w:rPr>
          <w:rFonts w:eastAsia="標楷體" w:ascii="標楷體" w:hAnsi="標楷體"/>
          <w:sz w:val="28"/>
        </w:rPr>
        <w:t>&gt;&gt;</w:t>
      </w:r>
      <w:r>
        <w:rPr>
          <w:rFonts w:ascii="標楷體" w:hAnsi="標楷體" w:eastAsia="標楷體"/>
          <w:sz w:val="28"/>
        </w:rPr>
        <w:t>、</w:t>
      </w:r>
      <w:r>
        <w:rPr>
          <w:rFonts w:eastAsia="標楷體" w:ascii="標楷體" w:hAnsi="標楷體"/>
          <w:sz w:val="28"/>
        </w:rPr>
        <w:t>&lt;&lt;</w:t>
      </w:r>
      <w:r>
        <w:rPr>
          <w:rFonts w:ascii="標楷體" w:hAnsi="標楷體" w:eastAsia="標楷體"/>
          <w:sz w:val="28"/>
        </w:rPr>
        <w:t>外臺祕要</w:t>
      </w:r>
      <w:r>
        <w:rPr>
          <w:rFonts w:eastAsia="標楷體" w:ascii="標楷體" w:hAnsi="標楷體"/>
          <w:sz w:val="28"/>
        </w:rPr>
        <w:t>&gt;&gt;</w:t>
      </w:r>
      <w:r>
        <w:rPr>
          <w:rFonts w:ascii="標楷體" w:hAnsi="標楷體" w:eastAsia="標楷體"/>
          <w:sz w:val="28"/>
        </w:rPr>
        <w:t>及</w:t>
      </w:r>
      <w:r>
        <w:rPr>
          <w:rFonts w:eastAsia="標楷體" w:ascii="標楷體" w:hAnsi="標楷體"/>
          <w:sz w:val="28"/>
        </w:rPr>
        <w:t>&lt;&lt;</w:t>
      </w:r>
      <w:r>
        <w:rPr>
          <w:rFonts w:ascii="標楷體" w:hAnsi="標楷體" w:eastAsia="標楷體"/>
          <w:sz w:val="28"/>
        </w:rPr>
        <w:t>太平惠民和劑局方</w:t>
      </w:r>
      <w:r>
        <w:rPr>
          <w:rFonts w:eastAsia="標楷體" w:ascii="標楷體" w:hAnsi="標楷體"/>
          <w:sz w:val="28"/>
        </w:rPr>
        <w:t>&gt;&gt;</w:t>
      </w:r>
      <w:r>
        <w:rPr>
          <w:rFonts w:ascii="標楷體" w:hAnsi="標楷體" w:eastAsia="標楷體"/>
          <w:sz w:val="28"/>
        </w:rPr>
        <w:t>，</w:t>
      </w:r>
      <w:r>
        <w:rPr>
          <w:rFonts w:ascii="標楷體" w:hAnsi="標楷體" w:eastAsia="標楷體"/>
          <w:sz w:val="28"/>
        </w:rPr>
        <w:t>以及明、清的</w:t>
      </w:r>
      <w:r>
        <w:rPr>
          <w:rFonts w:eastAsia="標楷體" w:ascii="標楷體" w:hAnsi="標楷體"/>
          <w:sz w:val="28"/>
        </w:rPr>
        <w:t>&lt;&lt;</w:t>
      </w:r>
      <w:r>
        <w:rPr>
          <w:rFonts w:ascii="標楷體" w:hAnsi="標楷體" w:eastAsia="標楷體"/>
          <w:sz w:val="28"/>
        </w:rPr>
        <w:t>針灸大成</w:t>
      </w:r>
      <w:r>
        <w:rPr>
          <w:rFonts w:eastAsia="標楷體" w:ascii="標楷體" w:hAnsi="標楷體"/>
          <w:sz w:val="28"/>
        </w:rPr>
        <w:t>&gt;&gt;</w:t>
      </w:r>
      <w:r>
        <w:rPr>
          <w:rFonts w:ascii="標楷體" w:hAnsi="標楷體" w:eastAsia="標楷體"/>
          <w:sz w:val="28"/>
        </w:rPr>
        <w:t>、</w:t>
      </w:r>
      <w:r>
        <w:rPr>
          <w:rFonts w:eastAsia="標楷體" w:ascii="標楷體" w:hAnsi="標楷體"/>
          <w:sz w:val="28"/>
        </w:rPr>
        <w:t>&lt;&lt;</w:t>
      </w:r>
      <w:r>
        <w:rPr>
          <w:rFonts w:ascii="標楷體" w:hAnsi="標楷體" w:eastAsia="標楷體"/>
          <w:sz w:val="28"/>
        </w:rPr>
        <w:t>臨症指南醫案</w:t>
      </w:r>
      <w:r>
        <w:rPr>
          <w:rFonts w:eastAsia="標楷體" w:ascii="標楷體" w:hAnsi="標楷體"/>
          <w:sz w:val="28"/>
        </w:rPr>
        <w:t>&gt;&gt;</w:t>
      </w:r>
      <w:r>
        <w:rPr>
          <w:rFonts w:ascii="標楷體" w:hAnsi="標楷體" w:eastAsia="標楷體"/>
          <w:sz w:val="28"/>
        </w:rPr>
        <w:t>及</w:t>
      </w:r>
      <w:r>
        <w:rPr>
          <w:rFonts w:eastAsia="標楷體" w:ascii="標楷體" w:hAnsi="標楷體"/>
          <w:sz w:val="28"/>
        </w:rPr>
        <w:t>&lt;&lt;</w:t>
      </w:r>
      <w:r>
        <w:rPr>
          <w:rFonts w:ascii="標楷體" w:hAnsi="標楷體" w:eastAsia="標楷體"/>
          <w:sz w:val="28"/>
        </w:rPr>
        <w:t>吳鞠通醫案</w:t>
      </w:r>
      <w:r>
        <w:rPr>
          <w:rFonts w:eastAsia="標楷體" w:ascii="標楷體" w:hAnsi="標楷體"/>
          <w:sz w:val="28"/>
        </w:rPr>
        <w:t>&gt;&gt;</w:t>
      </w:r>
      <w:r>
        <w:rPr>
          <w:rFonts w:ascii="標楷體" w:hAnsi="標楷體" w:eastAsia="標楷體"/>
          <w:sz w:val="28"/>
        </w:rPr>
        <w:t>，</w:t>
      </w:r>
      <w:r>
        <w:rPr>
          <w:rFonts w:ascii="標楷體" w:hAnsi="標楷體" w:eastAsia="標楷體"/>
          <w:sz w:val="28"/>
        </w:rPr>
        <w:t>對水腫病均有相關描述。本計劃即以上述諸書為主，根據所製作的光碟，搜尋相關資料整理之，加以分析描述，並旁及</w:t>
      </w:r>
      <w:r>
        <w:rPr>
          <w:rFonts w:eastAsia="標楷體" w:ascii="標楷體" w:hAnsi="標楷體"/>
          <w:sz w:val="28"/>
        </w:rPr>
        <w:t>&lt;&lt;</w:t>
      </w:r>
      <w:r>
        <w:rPr>
          <w:rFonts w:ascii="標楷體" w:hAnsi="標楷體" w:eastAsia="標楷體"/>
          <w:sz w:val="28"/>
        </w:rPr>
        <w:t>濟生方</w:t>
      </w:r>
      <w:r>
        <w:rPr>
          <w:rFonts w:eastAsia="標楷體" w:ascii="標楷體" w:hAnsi="標楷體"/>
          <w:sz w:val="28"/>
        </w:rPr>
        <w:t>&gt;&gt;</w:t>
      </w:r>
      <w:r>
        <w:rPr>
          <w:rFonts w:ascii="標楷體" w:hAnsi="標楷體" w:eastAsia="標楷體"/>
          <w:sz w:val="28"/>
        </w:rPr>
        <w:t>、</w:t>
      </w:r>
      <w:r>
        <w:rPr>
          <w:rFonts w:eastAsia="標楷體" w:ascii="標楷體" w:hAnsi="標楷體"/>
          <w:sz w:val="28"/>
        </w:rPr>
        <w:t>&lt;&lt;</w:t>
      </w:r>
      <w:r>
        <w:rPr>
          <w:rFonts w:ascii="標楷體" w:hAnsi="標楷體" w:eastAsia="標楷體"/>
          <w:sz w:val="28"/>
        </w:rPr>
        <w:t>丹溪心法</w:t>
      </w:r>
      <w:r>
        <w:rPr>
          <w:rFonts w:eastAsia="標楷體" w:ascii="標楷體" w:hAnsi="標楷體"/>
          <w:sz w:val="28"/>
        </w:rPr>
        <w:t>&gt;&gt;</w:t>
      </w:r>
      <w:r>
        <w:rPr>
          <w:rFonts w:ascii="標楷體" w:hAnsi="標楷體" w:eastAsia="標楷體"/>
          <w:sz w:val="28"/>
        </w:rPr>
        <w:t>、</w:t>
      </w:r>
      <w:r>
        <w:rPr>
          <w:rFonts w:eastAsia="標楷體" w:ascii="標楷體" w:hAnsi="標楷體"/>
          <w:sz w:val="28"/>
        </w:rPr>
        <w:t>&lt;&lt;</w:t>
      </w:r>
      <w:r>
        <w:rPr>
          <w:rFonts w:ascii="標楷體" w:hAnsi="標楷體" w:eastAsia="標楷體"/>
          <w:sz w:val="28"/>
        </w:rPr>
        <w:t>醫宗必讀</w:t>
      </w:r>
      <w:r>
        <w:rPr>
          <w:rFonts w:eastAsia="標楷體" w:ascii="標楷體" w:hAnsi="標楷體"/>
          <w:sz w:val="28"/>
        </w:rPr>
        <w:t>&gt;&gt;</w:t>
      </w:r>
      <w:r>
        <w:rPr>
          <w:rFonts w:ascii="標楷體" w:hAnsi="標楷體" w:eastAsia="標楷體"/>
          <w:sz w:val="28"/>
        </w:rPr>
        <w:t>等數十本著作，加以引用論述。針對腎病症候群有關的水腫，根據外邪、虛勞、氣化、三焦的觀念，加以分類歸納，最後整理出有關腎病症候群中醫發病機轉及其影響因素，期能提供臨床上治療本病的理論基礎。</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 xml:space="preserve">對於腎病症候群的其他表現，如低白蛋白血症、蛋白尿、高脂血症及高凝血狀態，亦以中醫的觀點，從上列古籍對其相關觀念的描述加以整理探討，期能對腎病症候群的治療提供更多觀念及方法。    </w:t>
      </w:r>
    </w:p>
    <w:p>
      <w:pPr>
        <w:pStyle w:val="Normal"/>
        <w:rPr/>
      </w:pPr>
      <w:r>
        <w:rPr>
          <w:rFonts w:ascii="標楷體" w:hAnsi="標楷體" w:eastAsia="標楷體"/>
          <w:b/>
          <w:sz w:val="28"/>
        </w:rPr>
        <w:t>關鍵詞：腎病症候群，水腫</w:t>
      </w:r>
      <w:r>
        <w:rPr>
          <w:rFonts w:ascii="標楷體" w:hAnsi="標楷體" w:eastAsia="標楷體"/>
          <w:b/>
          <w:sz w:val="28"/>
        </w:rPr>
        <w:t>，</w:t>
      </w:r>
      <w:r>
        <w:rPr>
          <w:rFonts w:ascii="標楷體" w:hAnsi="標楷體" w:eastAsia="標楷體"/>
          <w:b/>
          <w:sz w:val="28"/>
        </w:rPr>
        <w:t>中醫典籍</w:t>
      </w:r>
      <w:r>
        <w:rPr>
          <w:rFonts w:eastAsia="標楷體" w:ascii="標楷體" w:hAnsi="標楷體"/>
          <w:b/>
          <w:sz w:val="28"/>
        </w:rPr>
        <w:t>.</w:t>
      </w:r>
      <w:r>
        <w:br w:type="page"/>
      </w:r>
    </w:p>
    <w:p>
      <w:pPr>
        <w:pStyle w:val="Normal"/>
        <w:rPr>
          <w:rFonts w:ascii="標楷體" w:hAnsi="標楷體" w:eastAsia="標楷體"/>
          <w:b/>
          <w:b/>
          <w:sz w:val="28"/>
        </w:rPr>
      </w:pPr>
      <w:r>
        <w:rPr>
          <w:rFonts w:eastAsia="標楷體" w:ascii="標楷體" w:hAnsi="標楷體"/>
          <w:b/>
          <w:sz w:val="28"/>
        </w:rPr>
      </w:r>
    </w:p>
    <w:p>
      <w:pPr>
        <w:pStyle w:val="Normal"/>
        <w:numPr>
          <w:ilvl w:val="0"/>
          <w:numId w:val="0"/>
        </w:numPr>
        <w:jc w:val="center"/>
        <w:outlineLvl w:val="0"/>
        <w:rPr>
          <w:rFonts w:ascii="標楷體" w:hAnsi="標楷體" w:eastAsia="標楷體"/>
          <w:b/>
          <w:b/>
          <w:sz w:val="32"/>
        </w:rPr>
      </w:pPr>
      <w:r>
        <w:rPr>
          <w:rFonts w:ascii="標楷體" w:hAnsi="標楷體" w:eastAsia="標楷體"/>
          <w:b/>
          <w:sz w:val="32"/>
        </w:rPr>
        <w:t>前言</w:t>
      </w:r>
    </w:p>
    <w:p>
      <w:pPr>
        <w:pStyle w:val="Normal"/>
        <w:snapToGrid w:val="false"/>
        <w:jc w:val="both"/>
        <w:rPr/>
      </w:pPr>
      <w:r>
        <w:rPr>
          <w:rFonts w:eastAsia="標楷體" w:cs="標楷體" w:ascii="標楷體" w:hAnsi="標楷體"/>
          <w:sz w:val="28"/>
        </w:rPr>
        <w:t xml:space="preserve">    </w:t>
      </w:r>
      <w:r>
        <w:rPr>
          <w:rFonts w:ascii="標楷體" w:hAnsi="標楷體" w:eastAsia="標楷體"/>
          <w:sz w:val="28"/>
        </w:rPr>
        <w:t>腎病症候群是多種病因所造成的疾病，主要病變為腎絲球結構受損，其臨床表現為水腫、蛋白尿（</w:t>
      </w:r>
      <w:r>
        <w:rPr>
          <w:rFonts w:eastAsia="標楷體" w:ascii="標楷體" w:hAnsi="標楷體"/>
          <w:sz w:val="28"/>
        </w:rPr>
        <w:t>24</w:t>
      </w:r>
      <w:r>
        <w:rPr>
          <w:rFonts w:ascii="標楷體" w:hAnsi="標楷體" w:eastAsia="標楷體"/>
          <w:sz w:val="28"/>
        </w:rPr>
        <w:t>小時大於</w:t>
      </w:r>
      <w:r>
        <w:rPr>
          <w:rFonts w:eastAsia="標楷體" w:ascii="標楷體" w:hAnsi="標楷體"/>
          <w:sz w:val="28"/>
        </w:rPr>
        <w:t>3.5</w:t>
      </w:r>
      <w:r>
        <w:rPr>
          <w:rFonts w:ascii="標楷體" w:hAnsi="標楷體" w:eastAsia="標楷體"/>
          <w:sz w:val="28"/>
        </w:rPr>
        <w:t>克）、低白蛋白血症（小於</w:t>
      </w:r>
      <w:r>
        <w:rPr>
          <w:rFonts w:eastAsia="標楷體" w:cs="Arial" w:ascii="標楷體" w:hAnsi="標楷體"/>
          <w:sz w:val="28"/>
        </w:rPr>
        <w:t>3.0g/dl</w:t>
      </w:r>
      <w:r>
        <w:rPr>
          <w:rFonts w:ascii="標楷體" w:hAnsi="標楷體" w:eastAsia="標楷體"/>
          <w:sz w:val="28"/>
        </w:rPr>
        <w:t>）與高脂血症（</w:t>
      </w:r>
      <w:r>
        <w:rPr>
          <w:rFonts w:eastAsia="標楷體" w:cs="Arial" w:ascii="標楷體" w:hAnsi="標楷體"/>
          <w:sz w:val="28"/>
        </w:rPr>
        <w:t>Cholesterol</w:t>
      </w:r>
      <w:r>
        <w:rPr>
          <w:rFonts w:eastAsia="標楷體" w:cs="Arial" w:ascii="標楷體" w:hAnsi="標楷體"/>
          <w:sz w:val="28"/>
        </w:rPr>
        <w:t xml:space="preserve"> </w:t>
      </w:r>
      <w:r>
        <w:rPr>
          <w:rFonts w:eastAsia="標楷體" w:cs="Arial" w:ascii="標楷體" w:hAnsi="標楷體"/>
          <w:sz w:val="28"/>
        </w:rPr>
        <w:t>&gt;</w:t>
      </w:r>
      <w:r>
        <w:rPr>
          <w:rFonts w:eastAsia="標楷體" w:cs="Arial" w:ascii="標楷體" w:hAnsi="標楷體"/>
          <w:sz w:val="28"/>
        </w:rPr>
        <w:t xml:space="preserve"> </w:t>
      </w:r>
      <w:r>
        <w:rPr>
          <w:rFonts w:eastAsia="標楷體" w:cs="Arial" w:ascii="標楷體" w:hAnsi="標楷體"/>
          <w:sz w:val="28"/>
        </w:rPr>
        <w:t>220mg/dl</w:t>
      </w:r>
      <w:r>
        <w:rPr>
          <w:rFonts w:ascii="標楷體" w:hAnsi="標楷體" w:eastAsia="標楷體"/>
          <w:sz w:val="28"/>
        </w:rPr>
        <w:t>），可分為原發性和繼發性，前者又可分為微小病變型、膜性、膜增生型以及局部硬化型，後者則可分為糖尿病、紅斑性狼瘡及肝炎等疾病所引起，現代醫學對其病理表現、預後、致病機理已研究得非常詳細，唯中醫對其研究尚少有完整的論述，本計畫分別從中西醫的角度，對於腎病症候群從生理、病理到疾病之臨床表現，作一對比的研究探討。主要以現代醫學對腎病症候群之描述為基礎，再從</w:t>
      </w:r>
      <w:r>
        <w:rPr>
          <w:rFonts w:eastAsia="標楷體" w:ascii="標楷體" w:hAnsi="標楷體"/>
          <w:sz w:val="28"/>
        </w:rPr>
        <w:t>&lt;&lt;</w:t>
      </w:r>
      <w:r>
        <w:rPr>
          <w:rFonts w:ascii="標楷體" w:hAnsi="標楷體" w:eastAsia="標楷體"/>
          <w:sz w:val="28"/>
        </w:rPr>
        <w:t>內經</w:t>
      </w:r>
      <w:r>
        <w:rPr>
          <w:rFonts w:eastAsia="標楷體" w:ascii="標楷體" w:hAnsi="標楷體"/>
          <w:sz w:val="28"/>
        </w:rPr>
        <w:t>&gt;&gt;</w:t>
      </w:r>
      <w:r>
        <w:rPr>
          <w:rFonts w:ascii="標楷體" w:hAnsi="標楷體" w:eastAsia="標楷體"/>
          <w:sz w:val="28"/>
        </w:rPr>
        <w:t>、</w:t>
      </w:r>
      <w:r>
        <w:rPr>
          <w:rFonts w:eastAsia="標楷體" w:ascii="標楷體" w:hAnsi="標楷體"/>
          <w:sz w:val="28"/>
        </w:rPr>
        <w:t>&lt;&lt;</w:t>
      </w:r>
      <w:r>
        <w:rPr>
          <w:rFonts w:ascii="標楷體" w:hAnsi="標楷體" w:eastAsia="標楷體"/>
          <w:sz w:val="28"/>
        </w:rPr>
        <w:t>難經</w:t>
      </w:r>
      <w:r>
        <w:rPr>
          <w:rFonts w:eastAsia="標楷體" w:ascii="標楷體" w:hAnsi="標楷體"/>
          <w:sz w:val="28"/>
        </w:rPr>
        <w:t>&gt;&gt;</w:t>
      </w:r>
      <w:r>
        <w:rPr>
          <w:rFonts w:ascii="標楷體" w:hAnsi="標楷體" w:eastAsia="標楷體"/>
          <w:sz w:val="28"/>
        </w:rPr>
        <w:t>、</w:t>
      </w:r>
      <w:r>
        <w:rPr>
          <w:rFonts w:eastAsia="標楷體" w:ascii="標楷體" w:hAnsi="標楷體"/>
          <w:sz w:val="28"/>
        </w:rPr>
        <w:t>&lt;&lt;</w:t>
      </w:r>
      <w:r>
        <w:rPr>
          <w:rFonts w:ascii="標楷體" w:hAnsi="標楷體" w:eastAsia="標楷體"/>
          <w:sz w:val="28"/>
        </w:rPr>
        <w:t>類經</w:t>
      </w:r>
      <w:r>
        <w:rPr>
          <w:rFonts w:eastAsia="標楷體" w:ascii="標楷體" w:hAnsi="標楷體"/>
          <w:sz w:val="28"/>
        </w:rPr>
        <w:t>&gt;&gt;</w:t>
      </w:r>
      <w:r>
        <w:rPr>
          <w:rFonts w:ascii="標楷體" w:hAnsi="標楷體" w:eastAsia="標楷體"/>
          <w:sz w:val="28"/>
        </w:rPr>
        <w:t>、</w:t>
      </w:r>
      <w:r>
        <w:rPr>
          <w:rFonts w:eastAsia="標楷體" w:ascii="標楷體" w:hAnsi="標楷體"/>
          <w:sz w:val="28"/>
        </w:rPr>
        <w:t>&lt;&lt;</w:t>
      </w:r>
      <w:r>
        <w:rPr>
          <w:rFonts w:ascii="標楷體" w:hAnsi="標楷體" w:eastAsia="標楷體"/>
          <w:sz w:val="28"/>
        </w:rPr>
        <w:t>千金要方</w:t>
      </w:r>
      <w:r>
        <w:rPr>
          <w:rFonts w:eastAsia="標楷體" w:ascii="標楷體" w:hAnsi="標楷體"/>
          <w:sz w:val="28"/>
        </w:rPr>
        <w:t>&gt;&gt;</w:t>
      </w:r>
      <w:r>
        <w:rPr>
          <w:rFonts w:ascii="標楷體" w:hAnsi="標楷體" w:eastAsia="標楷體"/>
          <w:sz w:val="28"/>
        </w:rPr>
        <w:t>、</w:t>
      </w:r>
      <w:r>
        <w:rPr>
          <w:rFonts w:eastAsia="標楷體" w:ascii="標楷體" w:hAnsi="標楷體"/>
          <w:sz w:val="28"/>
        </w:rPr>
        <w:t>&lt;&lt;</w:t>
      </w:r>
      <w:r>
        <w:rPr>
          <w:rFonts w:ascii="標楷體" w:hAnsi="標楷體" w:eastAsia="標楷體"/>
          <w:sz w:val="28"/>
        </w:rPr>
        <w:t>外台祕要</w:t>
      </w:r>
      <w:r>
        <w:rPr>
          <w:rFonts w:eastAsia="標楷體" w:ascii="標楷體" w:hAnsi="標楷體"/>
          <w:sz w:val="28"/>
        </w:rPr>
        <w:t>&gt;&gt;</w:t>
      </w:r>
      <w:r>
        <w:rPr>
          <w:rFonts w:ascii="標楷體" w:hAnsi="標楷體" w:eastAsia="標楷體"/>
          <w:sz w:val="28"/>
        </w:rPr>
        <w:t>、</w:t>
      </w:r>
      <w:r>
        <w:rPr>
          <w:rFonts w:eastAsia="標楷體" w:ascii="標楷體" w:hAnsi="標楷體"/>
          <w:sz w:val="28"/>
        </w:rPr>
        <w:t>&lt;&lt;</w:t>
      </w:r>
      <w:r>
        <w:rPr>
          <w:rFonts w:ascii="標楷體" w:hAnsi="標楷體" w:eastAsia="標楷體"/>
          <w:sz w:val="28"/>
        </w:rPr>
        <w:t>諸病源候論</w:t>
      </w:r>
      <w:r>
        <w:rPr>
          <w:rFonts w:eastAsia="標楷體" w:ascii="標楷體" w:hAnsi="標楷體"/>
          <w:sz w:val="28"/>
        </w:rPr>
        <w:t>&gt;&gt;</w:t>
      </w:r>
      <w:r>
        <w:rPr>
          <w:rFonts w:ascii="標楷體" w:hAnsi="標楷體" w:eastAsia="標楷體"/>
          <w:sz w:val="28"/>
        </w:rPr>
        <w:t>等已完成光碟磁片製作之典籍，對本病進行搜尋與整理，期在治療本病時，能夠有較多的古典原文當作參考，在此基礎上，更可以提供對其他疾病的診治觀念，則在此套光碟的運用之下，對醫界當能有所助益。</w:t>
      </w:r>
    </w:p>
    <w:p>
      <w:pPr>
        <w:pStyle w:val="Normal"/>
        <w:snapToGrid w:val="false"/>
        <w:jc w:val="both"/>
        <w:rPr/>
      </w:pPr>
      <w:r>
        <w:rPr>
          <w:rFonts w:eastAsia="標楷體" w:cs="標楷體" w:ascii="標楷體" w:hAnsi="標楷體"/>
          <w:sz w:val="28"/>
        </w:rPr>
        <w:t xml:space="preserve">    </w:t>
      </w:r>
      <w:r>
        <w:rPr>
          <w:rFonts w:ascii="標楷體" w:hAnsi="標楷體" w:eastAsia="標楷體"/>
          <w:sz w:val="28"/>
        </w:rPr>
        <w:t>以古籍探討腎病症候群之前，要了解的是，西醫所稱解剖學的腎臟和中醫所稱的腎藏象，到底有何差異？首先可從西醫解剖生理的角度探討中醫所稱「腎藏象」的生理及病理，再從中醫藏象學說的角度來探討西醫所稱解剖的腎，據上對中西醫所稱腎的差異，做一初步的了解。其次再對腎病症候群作一簡介，並且對其不同的病理分型加以介紹。腎病症候群在古代是沒有這一名詞的，但可在「水腫」及「虛勞」相關的領域中探討，因腎病症候群最主要的臨床表現是水腫，因此可從歷代醫籍當中對水腫的介紹，整理出規律，例如水腫和外邪、虛勞、氣化、三焦的關係。其次再介紹腎病症候群病理及臨床表現，以中醫古籍之描述，如水腫、虛勞、痰濁、血尿、淋、外感</w:t>
      </w:r>
      <w:r>
        <w:rPr>
          <w:rFonts w:ascii="標楷體" w:hAnsi="標楷體" w:eastAsia="標楷體"/>
          <w:sz w:val="28"/>
        </w:rPr>
        <w:t>……</w:t>
      </w:r>
      <w:r>
        <w:rPr>
          <w:rFonts w:ascii="標楷體" w:hAnsi="標楷體" w:eastAsia="標楷體"/>
          <w:sz w:val="28"/>
        </w:rPr>
        <w:t>對其深入的探討</w:t>
      </w:r>
      <w:r>
        <w:rPr>
          <w:rFonts w:ascii="標楷體" w:hAnsi="標楷體" w:eastAsia="標楷體"/>
          <w:sz w:val="28"/>
        </w:rPr>
        <w:t>，</w:t>
      </w:r>
      <w:r>
        <w:rPr>
          <w:rFonts w:ascii="標楷體" w:hAnsi="標楷體" w:eastAsia="標楷體"/>
          <w:sz w:val="28"/>
        </w:rPr>
        <w:t>此外</w:t>
      </w:r>
      <w:r>
        <w:rPr>
          <w:rFonts w:ascii="標楷體" w:hAnsi="標楷體" w:eastAsia="標楷體"/>
          <w:sz w:val="28"/>
        </w:rPr>
        <w:t>對</w:t>
      </w:r>
      <w:r>
        <w:rPr>
          <w:rFonts w:ascii="標楷體" w:hAnsi="標楷體" w:eastAsia="標楷體"/>
          <w:sz w:val="28"/>
        </w:rPr>
        <w:t>西醫所稱低白蛋白血症、蛋白尿、高脂血症、水腫、血尿、小便泡沫等腎病症候群的臨床表現，亦作一比較性的探討，以腎病症候群所表現之症狀在中醫所代表之涵義加以介紹，並對其治療加以評估。本計劃對腎病症候群的中西醫觀念作一整理，並且作成電腦檔以利查詢，冀能拋磚引玉，以供中西結合研究者，在此基礎上能更進一步發揮。</w:t>
      </w:r>
    </w:p>
    <w:p>
      <w:pPr>
        <w:pStyle w:val="Normal"/>
        <w:snapToGrid w:val="false"/>
        <w:jc w:val="both"/>
        <w:rPr>
          <w:rFonts w:ascii="標楷體" w:hAnsi="標楷體" w:eastAsia="標楷體"/>
          <w:sz w:val="28"/>
        </w:rPr>
      </w:pPr>
      <w:r>
        <w:rPr>
          <w:rFonts w:eastAsia="標楷體" w:ascii="標楷體" w:hAnsi="標楷體"/>
          <w:sz w:val="28"/>
        </w:rPr>
      </w:r>
    </w:p>
    <w:p>
      <w:pPr>
        <w:pStyle w:val="Normal"/>
        <w:snapToGrid w:val="false"/>
        <w:jc w:val="both"/>
        <w:rPr>
          <w:rFonts w:ascii="標楷體" w:hAnsi="標楷體" w:eastAsia="標楷體"/>
          <w:sz w:val="28"/>
        </w:rPr>
      </w:pPr>
      <w:r>
        <w:rPr>
          <w:rFonts w:eastAsia="標楷體" w:ascii="標楷體" w:hAnsi="標楷體"/>
          <w:sz w:val="28"/>
        </w:rPr>
      </w:r>
    </w:p>
    <w:p>
      <w:pPr>
        <w:pStyle w:val="Normal"/>
        <w:snapToGrid w:val="false"/>
        <w:jc w:val="both"/>
        <w:rPr>
          <w:rFonts w:ascii="標楷體" w:hAnsi="標楷體" w:eastAsia="標楷體"/>
          <w:sz w:val="28"/>
        </w:rPr>
      </w:pPr>
      <w:r>
        <w:rPr>
          <w:rFonts w:eastAsia="標楷體" w:ascii="標楷體" w:hAnsi="標楷體"/>
          <w:sz w:val="28"/>
        </w:rPr>
      </w:r>
    </w:p>
    <w:p>
      <w:pPr>
        <w:pStyle w:val="Normal"/>
        <w:snapToGrid w:val="false"/>
        <w:jc w:val="both"/>
        <w:rPr>
          <w:rFonts w:ascii="標楷體" w:hAnsi="標楷體" w:eastAsia="標楷體"/>
          <w:sz w:val="28"/>
        </w:rPr>
      </w:pPr>
      <w:r>
        <w:rPr>
          <w:rFonts w:eastAsia="標楷體" w:ascii="標楷體" w:hAnsi="標楷體"/>
          <w:sz w:val="28"/>
        </w:rPr>
      </w:r>
    </w:p>
    <w:p>
      <w:pPr>
        <w:pStyle w:val="Normal"/>
        <w:snapToGrid w:val="false"/>
        <w:jc w:val="both"/>
        <w:rPr>
          <w:rFonts w:ascii="標楷體" w:hAnsi="標楷體" w:eastAsia="標楷體"/>
          <w:sz w:val="28"/>
        </w:rPr>
      </w:pPr>
      <w:r>
        <w:rPr>
          <w:rFonts w:eastAsia="標楷體" w:ascii="標楷體" w:hAnsi="標楷體"/>
          <w:sz w:val="28"/>
        </w:rPr>
      </w:r>
      <w:r>
        <w:br w:type="page"/>
      </w:r>
    </w:p>
    <w:p>
      <w:pPr>
        <w:pStyle w:val="Normal"/>
        <w:snapToGrid w:val="false"/>
        <w:jc w:val="center"/>
        <w:rPr>
          <w:rFonts w:ascii="標楷體" w:hAnsi="標楷體" w:eastAsia="標楷體"/>
          <w:b/>
          <w:b/>
          <w:sz w:val="36"/>
        </w:rPr>
      </w:pPr>
      <w:r>
        <w:rPr>
          <w:rFonts w:ascii="標楷體" w:hAnsi="標楷體" w:eastAsia="標楷體"/>
          <w:b/>
          <w:sz w:val="36"/>
        </w:rPr>
        <w:t>第一篇  中醫腎藏象與西醫腎臟腑的差異</w:t>
      </w:r>
    </w:p>
    <w:p>
      <w:pPr>
        <w:pStyle w:val="Normal"/>
        <w:snapToGrid w:val="false"/>
        <w:spacing w:lineRule="atLeast" w:line="20"/>
        <w:jc w:val="both"/>
        <w:rPr>
          <w:rFonts w:ascii="標楷體" w:hAnsi="標楷體" w:eastAsia="標楷體"/>
          <w:sz w:val="28"/>
        </w:rPr>
      </w:pPr>
      <w:r>
        <w:rPr>
          <w:rFonts w:eastAsia="標楷體" w:cs="標楷體" w:ascii="標楷體" w:hAnsi="標楷體"/>
          <w:sz w:val="16"/>
        </w:rPr>
        <w:t xml:space="preserve">    </w:t>
      </w:r>
    </w:p>
    <w:p>
      <w:pPr>
        <w:pStyle w:val="Normal"/>
        <w:snapToGrid w:val="false"/>
        <w:spacing w:lineRule="atLeast" w:line="20"/>
        <w:jc w:val="center"/>
        <w:rPr>
          <w:rFonts w:ascii="標楷體" w:hAnsi="標楷體" w:eastAsia="標楷體"/>
          <w:b/>
          <w:b/>
          <w:sz w:val="32"/>
        </w:rPr>
      </w:pPr>
      <w:r>
        <w:rPr>
          <w:rFonts w:ascii="標楷體" w:hAnsi="標楷體" w:eastAsia="標楷體"/>
          <w:b/>
          <w:sz w:val="32"/>
        </w:rPr>
        <w:t>第一章  從西醫的角度看中醫的腎藏象</w:t>
      </w:r>
    </w:p>
    <w:p>
      <w:pPr>
        <w:pStyle w:val="Normal"/>
        <w:snapToGrid w:val="false"/>
        <w:spacing w:lineRule="atLeast" w:line="20"/>
        <w:ind w:firstLine="555"/>
        <w:jc w:val="both"/>
        <w:rPr>
          <w:rFonts w:ascii="標楷體" w:hAnsi="標楷體" w:eastAsia="標楷體"/>
          <w:b/>
          <w:b/>
          <w:sz w:val="16"/>
        </w:rPr>
      </w:pPr>
      <w:r>
        <w:rPr>
          <w:rFonts w:eastAsia="標楷體" w:ascii="標楷體" w:hAnsi="標楷體"/>
          <w:b/>
          <w:sz w:val="16"/>
        </w:rPr>
      </w:r>
    </w:p>
    <w:p>
      <w:pPr>
        <w:pStyle w:val="Normal"/>
        <w:snapToGrid w:val="false"/>
        <w:spacing w:lineRule="atLeast" w:line="20"/>
        <w:ind w:firstLine="555"/>
        <w:jc w:val="both"/>
        <w:rPr>
          <w:rFonts w:ascii="標楷體" w:hAnsi="標楷體" w:eastAsia="標楷體"/>
          <w:sz w:val="28"/>
        </w:rPr>
      </w:pPr>
      <w:r>
        <w:rPr>
          <w:rFonts w:ascii="標楷體" w:hAnsi="標楷體" w:eastAsia="標楷體"/>
          <w:sz w:val="28"/>
        </w:rPr>
        <w:t>藏象學說為中醫基礎理論重要的部分，是古人對於人體生理病理長期觀察所獲得的寶貴經驗。藏象學說以五臟為中心，將人體的臟腑，形體、諸竅和精神意識、思維活動均歸屬於五臟。藏象學說的五臟和解剖學的五臟，在生理、病理以及疾病診治上，雖有關連，但亦有所差別。</w:t>
      </w:r>
    </w:p>
    <w:p>
      <w:pPr>
        <w:pStyle w:val="Normal"/>
        <w:snapToGrid w:val="false"/>
        <w:spacing w:lineRule="atLeast" w:line="20"/>
        <w:ind w:firstLine="555"/>
        <w:jc w:val="both"/>
        <w:rPr>
          <w:rFonts w:ascii="標楷體" w:hAnsi="標楷體" w:eastAsia="標楷體"/>
          <w:sz w:val="28"/>
        </w:rPr>
      </w:pPr>
      <w:r>
        <w:rPr>
          <w:rFonts w:ascii="標楷體" w:hAnsi="標楷體" w:eastAsia="標楷體"/>
          <w:sz w:val="28"/>
        </w:rPr>
        <w:t>「腎」是藏象學說中一個重要的概念，以下就內經以降，經過宋元、明清至民國以後之中醫典籍，所記載和「腎」有關的文獻，從現代醫學的角度，對於「腎」藏象的實質做一個初步的探討。首先從</w:t>
      </w:r>
      <w:r>
        <w:rPr>
          <w:rFonts w:eastAsia="標楷體" w:ascii="標楷體" w:hAnsi="標楷體"/>
          <w:sz w:val="28"/>
        </w:rPr>
        <w:t>&lt;&lt;</w:t>
      </w:r>
      <w:r>
        <w:rPr>
          <w:rFonts w:ascii="標楷體" w:hAnsi="標楷體" w:eastAsia="標楷體"/>
          <w:sz w:val="28"/>
        </w:rPr>
        <w:t>上古天真論</w:t>
      </w:r>
      <w:r>
        <w:rPr>
          <w:rFonts w:eastAsia="標楷體" w:ascii="標楷體" w:hAnsi="標楷體"/>
          <w:sz w:val="28"/>
        </w:rPr>
        <w:t>&gt;&gt;</w:t>
      </w:r>
      <w:r>
        <w:rPr>
          <w:rFonts w:ascii="標楷體" w:hAnsi="標楷體" w:eastAsia="標楷體"/>
          <w:sz w:val="28"/>
        </w:rPr>
        <w:t>所描述腎氣的功能</w:t>
      </w:r>
      <w:r>
        <w:rPr>
          <w:rFonts w:eastAsia="標楷體" w:ascii="標楷體" w:hAnsi="標楷體"/>
          <w:sz w:val="28"/>
        </w:rPr>
        <w:t>:</w:t>
      </w:r>
      <w:r>
        <w:rPr>
          <w:rFonts w:ascii="標楷體" w:hAnsi="標楷體" w:eastAsia="標楷體"/>
          <w:sz w:val="28"/>
        </w:rPr>
        <w:t>生長、生殖、發育，以現代醫學對其機轉的描述觀之，再根據現代對腎實質研究所作出的結論，對腎的主要生理功能：「腎主水」、「腎主納氣」、「腎在志為恐」加以探討，再對腎所具有的特性「腎藏精」、「開竅於二陰」、「腎主伎巧」一併論述，最後對腎之病理亦加以探討。</w:t>
      </w:r>
    </w:p>
    <w:p>
      <w:pPr>
        <w:pStyle w:val="Normal"/>
        <w:snapToGrid w:val="false"/>
        <w:spacing w:lineRule="atLeast" w:line="20"/>
        <w:ind w:firstLine="555"/>
        <w:jc w:val="both"/>
        <w:rPr>
          <w:rFonts w:ascii="標楷體" w:hAnsi="標楷體" w:eastAsia="標楷體"/>
          <w:sz w:val="28"/>
        </w:rPr>
      </w:pPr>
      <w:r>
        <w:rPr>
          <w:rFonts w:eastAsia="標楷體" w:ascii="標楷體" w:hAnsi="標楷體"/>
          <w:sz w:val="28"/>
        </w:rPr>
      </w:r>
    </w:p>
    <w:p>
      <w:pPr>
        <w:pStyle w:val="Normal"/>
        <w:snapToGrid w:val="false"/>
        <w:spacing w:lineRule="atLeast" w:line="20"/>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第一節  腎之生理</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eastAsia="標楷體" w:cs="標楷體" w:ascii="標楷體" w:hAnsi="標楷體"/>
          <w:b/>
          <w:sz w:val="28"/>
        </w:rPr>
        <w:t xml:space="preserve"> </w:t>
      </w:r>
      <w:r>
        <w:rPr>
          <w:rFonts w:eastAsia="標楷體" w:cs="標楷體" w:ascii="標楷體" w:hAnsi="標楷體"/>
          <w:b/>
          <w:sz w:val="28"/>
        </w:rPr>
        <w:t xml:space="preserve"> </w:t>
      </w:r>
      <w:r>
        <w:rPr>
          <w:rFonts w:eastAsia="標楷體" w:cs="標楷體" w:ascii="標楷體" w:hAnsi="標楷體"/>
          <w:sz w:val="28"/>
        </w:rPr>
        <w:t xml:space="preserve"> </w:t>
      </w:r>
      <w:r>
        <w:rPr>
          <w:rFonts w:ascii="標楷體" w:hAnsi="標楷體" w:eastAsia="標楷體"/>
          <w:sz w:val="28"/>
        </w:rPr>
        <w:t>以下就腎主生長、生殖、發育的觀點和今人對「腎」實質所做之研究，分別從不同的角度，對「腎」的實質做更進一步之探討。</w:t>
      </w:r>
    </w:p>
    <w:p>
      <w:pPr>
        <w:pStyle w:val="Normal"/>
        <w:snapToGrid w:val="false"/>
        <w:spacing w:lineRule="atLeast" w:line="20"/>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一、腎氣的作用</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eastAsia="標楷體" w:cs="標楷體" w:ascii="標楷體" w:hAnsi="標楷體"/>
          <w:sz w:val="28"/>
        </w:rPr>
        <w:t xml:space="preserve">   </w:t>
      </w:r>
      <w:r>
        <w:rPr>
          <w:rFonts w:eastAsia="標楷體" w:ascii="標楷體" w:hAnsi="標楷體"/>
          <w:sz w:val="28"/>
        </w:rPr>
        <w:t>&lt;&lt;</w:t>
      </w:r>
      <w:r>
        <w:rPr>
          <w:rFonts w:ascii="標楷體" w:hAnsi="標楷體" w:eastAsia="標楷體"/>
          <w:sz w:val="28"/>
        </w:rPr>
        <w:t>素問‧上古天真論</w:t>
      </w:r>
      <w:r>
        <w:rPr>
          <w:rFonts w:eastAsia="標楷體" w:ascii="標楷體" w:hAnsi="標楷體"/>
          <w:sz w:val="28"/>
        </w:rPr>
        <w:t>&gt;&gt;</w:t>
      </w:r>
      <w:r>
        <w:rPr>
          <w:rFonts w:ascii="標楷體" w:hAnsi="標楷體" w:eastAsia="標楷體"/>
          <w:sz w:val="28"/>
        </w:rPr>
        <w:t>云：「女子七歲，腎氣盛，齒更髮長；二七而天癸至，任脈通，太沖脈盛，月事以時下，故有子；三七，腎氣平均，故真牙生而長極；四七，筋骨堅，髮長極，身體盛壯；五七，陽陰脈衰，面始焦，髮始墮；六七，三陽脈于上，面皆焦，髮始白；七七，任脈虛，太沖脈衰少，天癸竭，地道不通，故形壞而無子也。丈夫八歲腎氣實，髮長齒更；二八，腎氣盛，天癸至，精氣溢瀉，陰陽和‧‧‧腎臟衰，形體皆極；八八，則齒髮去。」</w:t>
      </w:r>
      <w:r>
        <w:rPr>
          <w:rStyle w:val="EndnoteCharacters"/>
          <w:rStyle w:val="EndnoteAnchor"/>
          <w:rFonts w:ascii="標楷體" w:hAnsi="標楷體" w:eastAsia="標楷體"/>
          <w:sz w:val="28"/>
        </w:rPr>
        <w:endnoteReference w:customMarkFollows="1" w:id="2"/>
        <w:t>(</w:t>
      </w:r>
      <w:r>
        <w:rPr>
          <w:rStyle w:val="EndnoteCharacters"/>
          <w:rFonts w:eastAsia="標楷體" w:ascii="標楷體" w:hAnsi="標楷體"/>
          <w:sz w:val="28"/>
        </w:rPr>
        <w:t>1)</w:t>
      </w:r>
      <w:r>
        <w:rPr>
          <w:rFonts w:eastAsia="標楷體" w:ascii="標楷體" w:hAnsi="標楷體"/>
          <w:sz w:val="28"/>
        </w:rPr>
        <w:t>&lt;&lt;</w:t>
      </w:r>
      <w:r>
        <w:rPr>
          <w:rFonts w:ascii="標楷體" w:hAnsi="標楷體" w:eastAsia="標楷體"/>
          <w:sz w:val="28"/>
        </w:rPr>
        <w:t>上古天真論</w:t>
      </w:r>
      <w:r>
        <w:rPr>
          <w:rFonts w:eastAsia="標楷體" w:ascii="標楷體" w:hAnsi="標楷體"/>
          <w:sz w:val="28"/>
        </w:rPr>
        <w:t>&gt;&gt;</w:t>
      </w:r>
      <w:r>
        <w:rPr>
          <w:rFonts w:ascii="標楷體" w:hAnsi="標楷體" w:eastAsia="標楷體"/>
          <w:sz w:val="28"/>
        </w:rPr>
        <w:t>這段文字，明確地表示了人一生的生長、發育、生殖的生理功能，以及人體新陳代謝之調節是由腎氣所推動促進的。因此，如果我們由推動人體一生之生長、生殖、發育之生理功能去瞭解腎氣的觀念，進而瞭解腎的實質，也是一個好的方法。</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人一生的生長發育與荷爾蒙的關係，如圖</w:t>
      </w:r>
      <w:r>
        <w:rPr>
          <w:rFonts w:eastAsia="標楷體" w:ascii="標楷體" w:hAnsi="標楷體"/>
          <w:sz w:val="28"/>
        </w:rPr>
        <w:t>(</w:t>
      </w:r>
      <w:r>
        <w:rPr>
          <w:rFonts w:ascii="標楷體" w:hAnsi="標楷體" w:eastAsia="標楷體"/>
          <w:sz w:val="28"/>
        </w:rPr>
        <w:t>一</w:t>
      </w:r>
      <w:r>
        <w:rPr>
          <w:rFonts w:eastAsia="標楷體" w:ascii="標楷體" w:hAnsi="標楷體"/>
          <w:sz w:val="28"/>
        </w:rPr>
        <w:t>)</w:t>
      </w:r>
      <w:r>
        <w:rPr>
          <w:rStyle w:val="EndnoteCharacters"/>
          <w:rStyle w:val="EndnoteAnchor"/>
          <w:rFonts w:eastAsia="標楷體" w:ascii="標楷體" w:hAnsi="標楷體"/>
          <w:sz w:val="28"/>
        </w:rPr>
        <w:endnoteReference w:customMarkFollows="1" w:id="3"/>
        <w:t>(</w:t>
      </w:r>
      <w:r>
        <w:rPr>
          <w:rStyle w:val="EndnoteCharacters"/>
          <w:rFonts w:eastAsia="標楷體" w:ascii="標楷體" w:hAnsi="標楷體"/>
          <w:sz w:val="28"/>
        </w:rPr>
        <w:t>2)</w:t>
      </w:r>
      <w:r>
        <w:rPr>
          <w:rFonts w:ascii="標楷體" w:hAnsi="標楷體" w:eastAsia="標楷體"/>
          <w:sz w:val="28"/>
        </w:rPr>
        <w:t>所示，人體之生長、發育、生殖，和甲狀腺、生長激素、生殖腺等內分泌，有著極密切之關連，而此等內分泌中樞位於下視丘，故而可以初步的認為，腎的實質，和下視丘之關係是非常密切的。</w:t>
      </w:r>
      <w:r>
        <w:br w:type="page"/>
      </w:r>
    </w:p>
    <w:p>
      <w:pPr>
        <w:pStyle w:val="Normal"/>
        <w:snapToGrid w:val="false"/>
        <w:spacing w:lineRule="atLeast" w:line="20"/>
        <w:jc w:val="both"/>
        <w:rPr>
          <w:rFonts w:ascii="標楷體" w:hAnsi="標楷體" w:eastAsia="標楷體"/>
          <w:sz w:val="28"/>
        </w:rPr>
      </w:pPr>
      <w:r>
        <w:rPr>
          <w:rFonts w:eastAsia="標楷體" w:ascii="標楷體" w:hAnsi="標楷體"/>
          <w:sz w:val="28"/>
        </w:rPr>
      </w:r>
    </w:p>
    <w:p>
      <w:pPr>
        <w:pStyle w:val="Normal"/>
        <w:snapToGrid w:val="false"/>
        <w:spacing w:lineRule="atLeast" w:line="20"/>
        <w:jc w:val="both"/>
        <w:rPr>
          <w:rFonts w:ascii="標楷體" w:hAnsi="標楷體" w:eastAsia="標楷體"/>
          <w:sz w:val="28"/>
        </w:rPr>
      </w:pPr>
      <w:r>
        <w:rPr>
          <w:rFonts w:eastAsia="標楷體" w:ascii="標楷體" w:hAnsi="標楷體"/>
          <w:sz w:val="28"/>
        </w:rPr>
        <w:drawing>
          <wp:inline distT="0" distB="0" distL="0" distR="0">
            <wp:extent cx="5144135" cy="28575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3"/>
                    <a:srcRect l="-12" t="-17" r="-12" b="-17"/>
                    <a:stretch>
                      <a:fillRect/>
                    </a:stretch>
                  </pic:blipFill>
                  <pic:spPr bwMode="auto">
                    <a:xfrm>
                      <a:off x="0" y="0"/>
                      <a:ext cx="5144135" cy="2857500"/>
                    </a:xfrm>
                    <a:prstGeom prst="rect">
                      <a:avLst/>
                    </a:prstGeom>
                  </pic:spPr>
                </pic:pic>
              </a:graphicData>
            </a:graphic>
          </wp:inline>
        </w:drawing>
      </w:r>
    </w:p>
    <w:p>
      <w:pPr>
        <w:pStyle w:val="Normal"/>
        <w:snapToGrid w:val="false"/>
        <w:spacing w:lineRule="atLeast" w:line="20"/>
        <w:jc w:val="both"/>
        <w:rPr/>
      </w:pPr>
      <w:r>
        <w:rPr>
          <w:rFonts w:eastAsia="標楷體" w:cs="標楷體" w:ascii="標楷體" w:hAnsi="標楷體"/>
          <w:sz w:val="28"/>
        </w:rPr>
        <w:t xml:space="preserve">             </w:t>
      </w:r>
      <w:r>
        <w:rPr>
          <w:rFonts w:ascii="標楷體" w:hAnsi="標楷體" w:eastAsia="標楷體"/>
          <w:sz w:val="28"/>
        </w:rPr>
        <w:t>圖一</w:t>
      </w:r>
      <w:r>
        <w:rPr>
          <w:rFonts w:eastAsia="標楷體" w:ascii="標楷體" w:hAnsi="標楷體"/>
          <w:sz w:val="28"/>
        </w:rPr>
        <w:t>:</w:t>
      </w:r>
      <w:r>
        <w:rPr>
          <w:rFonts w:ascii="標楷體" w:hAnsi="標楷體" w:eastAsia="標楷體"/>
          <w:sz w:val="28"/>
        </w:rPr>
        <w:t>與人體生長、發育相關之荷爾蒙</w:t>
      </w:r>
      <w:r>
        <w:rPr>
          <w:rFonts w:ascii="標楷體" w:hAnsi="標楷體" w:eastAsia="標楷體"/>
          <w:sz w:val="28"/>
        </w:rPr>
        <w:t xml:space="preserve">     </w:t>
      </w:r>
    </w:p>
    <w:p>
      <w:pPr>
        <w:pStyle w:val="Normal"/>
        <w:snapToGrid w:val="false"/>
        <w:spacing w:lineRule="atLeast" w:line="20"/>
        <w:jc w:val="both"/>
        <w:rPr>
          <w:rFonts w:ascii="標楷體" w:hAnsi="標楷體" w:eastAsia="標楷體"/>
          <w:sz w:val="28"/>
        </w:rPr>
      </w:pPr>
      <w:r>
        <w:rPr>
          <w:rFonts w:eastAsia="標楷體" w:ascii="標楷體" w:hAnsi="標楷體"/>
          <w:sz w:val="28"/>
        </w:rPr>
      </w:r>
    </w:p>
    <w:p>
      <w:pPr>
        <w:pStyle w:val="Normal"/>
        <w:snapToGrid w:val="false"/>
        <w:spacing w:lineRule="atLeast" w:line="20"/>
        <w:jc w:val="both"/>
        <w:rPr>
          <w:rFonts w:ascii="標楷體" w:hAnsi="標楷體" w:eastAsia="標楷體"/>
          <w:b/>
          <w:b/>
          <w:sz w:val="28"/>
        </w:rPr>
      </w:pPr>
      <w:r>
        <w:rPr>
          <w:rFonts w:eastAsia="標楷體" w:cs="標楷體" w:ascii="標楷體" w:hAnsi="標楷體"/>
          <w:sz w:val="32"/>
        </w:rPr>
        <w:t xml:space="preserve">    </w:t>
      </w:r>
      <w:r>
        <w:rPr>
          <w:rFonts w:eastAsia="標楷體" w:cs="標楷體" w:ascii="標楷體" w:hAnsi="標楷體"/>
          <w:b/>
          <w:sz w:val="28"/>
        </w:rPr>
        <w:t xml:space="preserve">    </w:t>
      </w:r>
      <w:r>
        <w:rPr>
          <w:rFonts w:ascii="標楷體" w:hAnsi="標楷體" w:eastAsia="標楷體"/>
          <w:b/>
          <w:sz w:val="28"/>
        </w:rPr>
        <w:t>二、腎實質的研究</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上海醫科大學在五十年代後期，發現了現代醫學認為全然不同的六種疾病（支氣哮喘、無排卵型功能性子宮出血等），可以同樣用補腎的方法提高療效。對於不同的病而同樣表現為腎陽虛證的患者從神經體液方面進行較為系統的觀察，發現了一些共同的改變，其中最明顯的是二十四小時尿</w:t>
      </w:r>
      <w:r>
        <w:rPr>
          <w:rFonts w:eastAsia="標楷體" w:ascii="標楷體" w:hAnsi="標楷體"/>
          <w:sz w:val="28"/>
        </w:rPr>
        <w:t xml:space="preserve">17-OH </w:t>
      </w:r>
      <w:r>
        <w:rPr>
          <w:rFonts w:ascii="標楷體" w:hAnsi="標楷體" w:eastAsia="標楷體"/>
          <w:sz w:val="28"/>
        </w:rPr>
        <w:t>類固醇值普遍低於正常，顯示腎上腺皮質功能不足。為了進一步了解</w:t>
      </w:r>
      <w:r>
        <w:rPr>
          <w:rFonts w:eastAsia="標楷體" w:ascii="標楷體" w:hAnsi="標楷體"/>
          <w:sz w:val="28"/>
        </w:rPr>
        <w:t xml:space="preserve">17-OH </w:t>
      </w:r>
      <w:r>
        <w:rPr>
          <w:rFonts w:ascii="標楷體" w:hAnsi="標楷體" w:eastAsia="標楷體"/>
          <w:sz w:val="28"/>
        </w:rPr>
        <w:t>類固醇低下的原因，對腎陽虛證患者又應用了下丘腦（血皮質醇晝夜節律測定）－垂體（甲酮試驗）－腎上腺皮質（</w:t>
      </w:r>
      <w:r>
        <w:rPr>
          <w:rFonts w:eastAsia="標楷體" w:ascii="標楷體" w:hAnsi="標楷體"/>
          <w:sz w:val="28"/>
        </w:rPr>
        <w:t>ACTH</w:t>
      </w:r>
      <w:r>
        <w:rPr>
          <w:rFonts w:ascii="標楷體" w:hAnsi="標楷體" w:eastAsia="標楷體"/>
          <w:sz w:val="28"/>
        </w:rPr>
        <w:t>興奮試驗）軸，這三個層次的測定方法，對正常人、腎陰虛、腎陽虛進行對比觀察，證明腎陽虛證病人有下丘腦－垂體－腎上腺皮質軸的不同環節、不同程度功能紊亂，從而首次證明腎陽虛證有其物質基礎</w:t>
      </w:r>
      <w:r>
        <w:rPr>
          <w:rStyle w:val="EndnoteCharacters"/>
          <w:rStyle w:val="EndnoteAnchor"/>
          <w:rFonts w:ascii="標楷體" w:hAnsi="標楷體" w:eastAsia="標楷體"/>
          <w:sz w:val="28"/>
        </w:rPr>
        <w:endnoteReference w:customMarkFollows="1" w:id="4"/>
        <w:t>(</w:t>
      </w:r>
      <w:r>
        <w:rPr>
          <w:rStyle w:val="EndnoteCharacters"/>
          <w:rFonts w:eastAsia="標楷體" w:ascii="標楷體" w:hAnsi="標楷體"/>
          <w:sz w:val="28"/>
        </w:rPr>
        <w:t>3)</w:t>
      </w:r>
      <w:r>
        <w:rPr>
          <w:rFonts w:ascii="標楷體" w:hAnsi="標楷體" w:eastAsia="標楷體"/>
          <w:sz w:val="28"/>
        </w:rPr>
        <w:t>，和下視丘關係密切。</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總結內經</w:t>
      </w:r>
      <w:r>
        <w:rPr>
          <w:rFonts w:eastAsia="標楷體" w:ascii="標楷體" w:hAnsi="標楷體"/>
          <w:sz w:val="28"/>
        </w:rPr>
        <w:t>&lt;&lt;</w:t>
      </w:r>
      <w:r>
        <w:rPr>
          <w:rFonts w:ascii="標楷體" w:hAnsi="標楷體" w:eastAsia="標楷體"/>
          <w:sz w:val="28"/>
        </w:rPr>
        <w:t>上古天真論</w:t>
      </w:r>
      <w:r>
        <w:rPr>
          <w:rFonts w:eastAsia="標楷體" w:ascii="標楷體" w:hAnsi="標楷體"/>
          <w:sz w:val="28"/>
        </w:rPr>
        <w:t>&gt;&gt;</w:t>
      </w:r>
      <w:r>
        <w:rPr>
          <w:rFonts w:ascii="標楷體" w:hAnsi="標楷體" w:eastAsia="標楷體"/>
          <w:sz w:val="28"/>
        </w:rPr>
        <w:t>的描述和今人對腎實質的研究，腎藏精、腎主生殖、生長、發育生理功能等，就相當於下視丘的功能軸</w:t>
      </w:r>
      <w:r>
        <w:rPr>
          <w:rFonts w:eastAsia="標楷體" w:ascii="標楷體" w:hAnsi="標楷體"/>
          <w:sz w:val="28"/>
        </w:rPr>
        <w:t>H-P-O</w:t>
      </w:r>
      <w:r>
        <w:rPr>
          <w:rFonts w:ascii="標楷體" w:hAnsi="標楷體" w:eastAsia="標楷體"/>
          <w:sz w:val="28"/>
        </w:rPr>
        <w:t>（下視丘</w:t>
      </w:r>
      <w:r>
        <w:rPr>
          <w:rFonts w:eastAsia="標楷體" w:ascii="標楷體" w:hAnsi="標楷體"/>
          <w:sz w:val="28"/>
        </w:rPr>
        <w:t>-</w:t>
      </w:r>
      <w:r>
        <w:rPr>
          <w:rFonts w:ascii="標楷體" w:hAnsi="標楷體" w:eastAsia="標楷體"/>
          <w:sz w:val="28"/>
        </w:rPr>
        <w:t>垂體</w:t>
      </w:r>
      <w:r>
        <w:rPr>
          <w:rFonts w:eastAsia="標楷體" w:ascii="標楷體" w:hAnsi="標楷體"/>
          <w:sz w:val="28"/>
        </w:rPr>
        <w:t>-</w:t>
      </w:r>
      <w:r>
        <w:rPr>
          <w:rFonts w:ascii="標楷體" w:hAnsi="標楷體" w:eastAsia="標楷體"/>
          <w:sz w:val="28"/>
        </w:rPr>
        <w:t>靶器官）。</w:t>
      </w:r>
    </w:p>
    <w:p>
      <w:pPr>
        <w:pStyle w:val="Normal"/>
        <w:snapToGrid w:val="false"/>
        <w:spacing w:lineRule="atLeast" w:line="20"/>
        <w:jc w:val="both"/>
        <w:rPr/>
      </w:pPr>
      <w:r>
        <w:rPr>
          <w:rFonts w:eastAsia="標楷體" w:cs="標楷體" w:ascii="標楷體" w:hAnsi="標楷體"/>
          <w:sz w:val="28"/>
        </w:rPr>
        <w:t xml:space="preserve">    </w:t>
      </w:r>
      <w:r>
        <w:rPr>
          <w:rFonts w:ascii="標楷體" w:hAnsi="標楷體" w:eastAsia="標楷體"/>
          <w:sz w:val="28"/>
        </w:rPr>
        <w:t>就以上論述，腎的實質和下視丘的關係十分密切，以下再就此觀點，以「腎主水」、「腎主納氣」、「在志為恐」、「腎藏精」、「腎開竅於二陰」、「腎主伎巧」等「腎」的特性，加以說明之。</w:t>
      </w:r>
    </w:p>
    <w:p>
      <w:pPr>
        <w:pStyle w:val="Normal"/>
        <w:snapToGrid w:val="false"/>
        <w:spacing w:lineRule="atLeast" w:line="20"/>
        <w:jc w:val="both"/>
        <w:rPr>
          <w:rFonts w:ascii="標楷體" w:hAnsi="標楷體" w:eastAsia="標楷體" w:cs="Arial"/>
          <w:b/>
          <w:b/>
          <w:sz w:val="28"/>
        </w:rPr>
      </w:pPr>
      <w:r>
        <w:rPr>
          <w:rFonts w:eastAsia="標楷體" w:cs="標楷體" w:ascii="標楷體" w:hAnsi="標楷體"/>
          <w:b/>
          <w:sz w:val="28"/>
        </w:rPr>
        <w:t xml:space="preserve">    </w:t>
      </w:r>
      <w:r>
        <w:rPr>
          <w:rFonts w:ascii="標楷體" w:hAnsi="標楷體" w:eastAsia="標楷體"/>
          <w:b/>
          <w:sz w:val="28"/>
        </w:rPr>
        <w:t>三、腎主水</w:t>
      </w:r>
    </w:p>
    <w:p>
      <w:pPr>
        <w:pStyle w:val="Normal"/>
        <w:snapToGrid w:val="false"/>
        <w:spacing w:lineRule="atLeast" w:line="20"/>
        <w:ind w:firstLine="555"/>
        <w:jc w:val="both"/>
        <w:rPr/>
      </w:pPr>
      <w:r>
        <w:rPr>
          <w:rFonts w:eastAsia="標楷體" w:ascii="標楷體" w:hAnsi="標楷體"/>
          <w:sz w:val="28"/>
        </w:rPr>
        <w:t>&lt;&lt;</w:t>
      </w:r>
      <w:r>
        <w:rPr>
          <w:rFonts w:ascii="標楷體" w:hAnsi="標楷體" w:eastAsia="標楷體"/>
          <w:sz w:val="28"/>
        </w:rPr>
        <w:t>素問‧逆調論</w:t>
      </w:r>
      <w:r>
        <w:rPr>
          <w:rFonts w:eastAsia="標楷體" w:ascii="標楷體" w:hAnsi="標楷體"/>
          <w:sz w:val="28"/>
        </w:rPr>
        <w:t>&gt;&gt;</w:t>
      </w:r>
      <w:r>
        <w:rPr>
          <w:rFonts w:ascii="標楷體" w:hAnsi="標楷體" w:eastAsia="標楷體"/>
          <w:sz w:val="28"/>
        </w:rPr>
        <w:t>「腎者水臟，主津液」</w:t>
      </w:r>
      <w:r>
        <w:rPr>
          <w:rStyle w:val="EndnoteCharacters"/>
          <w:rStyle w:val="EndnoteAnchor"/>
          <w:rFonts w:ascii="標楷體" w:hAnsi="標楷體" w:eastAsia="標楷體"/>
          <w:sz w:val="28"/>
        </w:rPr>
        <w:endnoteReference w:customMarkFollows="1" w:id="5"/>
        <w:t>(</w:t>
      </w:r>
      <w:r>
        <w:rPr>
          <w:rStyle w:val="EndnoteCharacters"/>
          <w:rFonts w:eastAsia="標楷體" w:ascii="標楷體" w:hAnsi="標楷體"/>
          <w:sz w:val="28"/>
        </w:rPr>
        <w:t>4)</w:t>
      </w:r>
      <w:r>
        <w:rPr>
          <w:rFonts w:ascii="標楷體" w:hAnsi="標楷體" w:eastAsia="標楷體"/>
          <w:sz w:val="28"/>
        </w:rPr>
        <w:t>，故知腎主水指腎臟有主持和調節人體津液代謝的作用，除了指解剖之腎臟經由濾過、重吸收等排尿過程以調節體內水分平衡之外，亦包括調控其過程之自主神經、內分泌等功能，此二者之中樞均位於下視丘。前者可通過控制腎小球毛細血管之收縮以調節濾過率</w:t>
      </w:r>
      <w:r>
        <w:rPr>
          <w:rFonts w:eastAsia="標楷體" w:ascii="標楷體" w:hAnsi="標楷體"/>
          <w:sz w:val="28"/>
        </w:rPr>
        <w:t>;</w:t>
      </w:r>
      <w:r>
        <w:rPr>
          <w:rFonts w:ascii="標楷體" w:hAnsi="標楷體" w:eastAsia="標楷體"/>
          <w:sz w:val="28"/>
        </w:rPr>
        <w:t>後者則藉著醛固酮、抗利尿激素等內分泌調控水分之代謝</w:t>
      </w:r>
      <w:r>
        <w:rPr>
          <w:rStyle w:val="EndnoteCharacters"/>
          <w:rStyle w:val="EndnoteAnchor"/>
          <w:rFonts w:ascii="標楷體" w:hAnsi="標楷體" w:eastAsia="標楷體"/>
          <w:sz w:val="28"/>
        </w:rPr>
        <w:endnoteReference w:customMarkFollows="1" w:id="6"/>
        <w:t>(</w:t>
      </w:r>
      <w:r>
        <w:rPr>
          <w:rStyle w:val="EndnoteCharacters"/>
          <w:rFonts w:eastAsia="標楷體" w:ascii="標楷體" w:hAnsi="標楷體"/>
          <w:sz w:val="28"/>
        </w:rPr>
        <w:t>5)</w:t>
      </w:r>
      <w:r>
        <w:rPr>
          <w:rFonts w:ascii="標楷體" w:hAnsi="標楷體" w:eastAsia="標楷體"/>
          <w:sz w:val="28"/>
        </w:rPr>
        <w:t>。在此亦說明了「腎」與下視丘之關係。</w:t>
      </w:r>
    </w:p>
    <w:p>
      <w:pPr>
        <w:pStyle w:val="Normal"/>
        <w:snapToGrid w:val="false"/>
        <w:spacing w:lineRule="atLeast" w:line="20"/>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四、腎主納氣</w:t>
      </w:r>
    </w:p>
    <w:p>
      <w:pPr>
        <w:pStyle w:val="Normal"/>
        <w:snapToGrid w:val="false"/>
        <w:spacing w:lineRule="atLeast" w:line="20"/>
        <w:ind w:firstLine="555"/>
        <w:jc w:val="both"/>
        <w:rPr>
          <w:rFonts w:ascii="標楷體" w:hAnsi="標楷體" w:eastAsia="標楷體"/>
          <w:sz w:val="28"/>
        </w:rPr>
      </w:pPr>
      <w:r>
        <w:rPr>
          <w:rFonts w:ascii="標楷體" w:hAnsi="標楷體" w:eastAsia="標楷體"/>
          <w:sz w:val="28"/>
        </w:rPr>
        <w:t>腎主納氣指的是腎具有調節幫助肺吸氣的功能，</w:t>
      </w:r>
      <w:r>
        <w:rPr>
          <w:rFonts w:eastAsia="標楷體" w:ascii="標楷體" w:hAnsi="標楷體"/>
          <w:sz w:val="28"/>
        </w:rPr>
        <w:t>&lt;&lt;</w:t>
      </w:r>
      <w:r>
        <w:rPr>
          <w:rFonts w:ascii="標楷體" w:hAnsi="標楷體" w:eastAsia="標楷體"/>
          <w:sz w:val="28"/>
        </w:rPr>
        <w:t>難經‧四難</w:t>
      </w:r>
      <w:r>
        <w:rPr>
          <w:rFonts w:eastAsia="標楷體" w:ascii="標楷體" w:hAnsi="標楷體"/>
          <w:sz w:val="28"/>
        </w:rPr>
        <w:t>&gt;&gt;</w:t>
      </w:r>
      <w:r>
        <w:rPr>
          <w:rFonts w:ascii="標楷體" w:hAnsi="標楷體" w:eastAsia="標楷體"/>
          <w:sz w:val="28"/>
        </w:rPr>
        <w:t>云「呼出心與肺，吸入腎與肝」</w:t>
      </w:r>
      <w:r>
        <w:rPr>
          <w:rStyle w:val="EndnoteCharacters"/>
          <w:rStyle w:val="EndnoteAnchor"/>
          <w:rFonts w:ascii="標楷體" w:hAnsi="標楷體" w:eastAsia="標楷體"/>
          <w:sz w:val="28"/>
        </w:rPr>
        <w:endnoteReference w:customMarkFollows="1" w:id="7"/>
        <w:t>(</w:t>
      </w:r>
      <w:r>
        <w:rPr>
          <w:rStyle w:val="EndnoteCharacters"/>
          <w:rFonts w:eastAsia="標楷體" w:ascii="標楷體" w:hAnsi="標楷體"/>
          <w:sz w:val="28"/>
        </w:rPr>
        <w:t>6)</w:t>
      </w:r>
      <w:r>
        <w:rPr>
          <w:rFonts w:ascii="標楷體" w:hAnsi="標楷體" w:eastAsia="標楷體"/>
          <w:sz w:val="28"/>
        </w:rPr>
        <w:t>，清朝醫家林佩琴於其類證治裁中亦曰</w:t>
      </w:r>
      <w:r>
        <w:rPr>
          <w:rFonts w:eastAsia="標楷體" w:ascii="標楷體" w:hAnsi="標楷體"/>
          <w:sz w:val="28"/>
        </w:rPr>
        <w:t>:</w:t>
      </w:r>
      <w:r>
        <w:rPr>
          <w:rFonts w:ascii="標楷體" w:hAnsi="標楷體" w:eastAsia="標楷體"/>
          <w:sz w:val="28"/>
        </w:rPr>
        <w:t>「肺為氣之主，腎為氣之根，肺主出氣，腎主納氣」</w:t>
      </w:r>
      <w:r>
        <w:rPr>
          <w:rStyle w:val="EndnoteCharacters"/>
          <w:rStyle w:val="EndnoteAnchor"/>
          <w:rFonts w:ascii="標楷體" w:hAnsi="標楷體" w:eastAsia="標楷體"/>
          <w:sz w:val="28"/>
        </w:rPr>
        <w:endnoteReference w:customMarkFollows="1" w:id="8"/>
        <w:t>(</w:t>
      </w:r>
      <w:r>
        <w:rPr>
          <w:rStyle w:val="EndnoteCharacters"/>
          <w:rFonts w:eastAsia="標楷體" w:ascii="標楷體" w:hAnsi="標楷體"/>
          <w:sz w:val="28"/>
        </w:rPr>
        <w:t>7)</w:t>
      </w:r>
      <w:r>
        <w:rPr>
          <w:rFonts w:ascii="標楷體" w:hAnsi="標楷體" w:eastAsia="標楷體"/>
          <w:sz w:val="28"/>
        </w:rPr>
        <w:t>均說明了腎對肺部呼吸調節的重要性，何夢瑤在醫碥中更提到</w:t>
      </w:r>
      <w:r>
        <w:rPr>
          <w:rFonts w:eastAsia="標楷體" w:ascii="標楷體" w:hAnsi="標楷體"/>
          <w:sz w:val="28"/>
        </w:rPr>
        <w:t>:</w:t>
      </w:r>
      <w:r>
        <w:rPr>
          <w:rFonts w:ascii="標楷體" w:hAnsi="標楷體" w:eastAsia="標楷體"/>
          <w:sz w:val="28"/>
        </w:rPr>
        <w:t>「氣根於腎，亦歸於腎，故曰腎納氣，其息深深」</w:t>
      </w:r>
      <w:r>
        <w:rPr>
          <w:rStyle w:val="EndnoteCharacters"/>
          <w:rStyle w:val="EndnoteAnchor"/>
          <w:rFonts w:ascii="標楷體" w:hAnsi="標楷體" w:eastAsia="標楷體"/>
          <w:sz w:val="28"/>
        </w:rPr>
        <w:endnoteReference w:customMarkFollows="1" w:id="9"/>
        <w:t>(</w:t>
      </w:r>
      <w:r>
        <w:rPr>
          <w:rStyle w:val="EndnoteCharacters"/>
          <w:rFonts w:eastAsia="標楷體" w:ascii="標楷體" w:hAnsi="標楷體"/>
          <w:sz w:val="28"/>
        </w:rPr>
        <w:t>8)</w:t>
      </w:r>
    </w:p>
    <w:p>
      <w:pPr>
        <w:pStyle w:val="Normal"/>
        <w:snapToGrid w:val="false"/>
        <w:spacing w:lineRule="atLeast" w:line="20"/>
        <w:ind w:firstLine="555"/>
        <w:jc w:val="both"/>
        <w:rPr>
          <w:rFonts w:ascii="標楷體" w:hAnsi="標楷體" w:eastAsia="標楷體"/>
          <w:sz w:val="28"/>
        </w:rPr>
      </w:pPr>
      <w:r>
        <w:rPr>
          <w:rFonts w:ascii="標楷體" w:hAnsi="標楷體" w:eastAsia="標楷體"/>
          <w:sz w:val="28"/>
        </w:rPr>
        <w:t>下視丘中有自主神經的中樞，肺部的呼與吸受其調控，交感神經使得支氣管擴張，肺部容量增加</w:t>
      </w:r>
      <w:r>
        <w:rPr>
          <w:rStyle w:val="EndnoteCharacters"/>
          <w:rStyle w:val="EndnoteAnchor"/>
          <w:rFonts w:ascii="標楷體" w:hAnsi="標楷體" w:eastAsia="標楷體"/>
          <w:sz w:val="28"/>
        </w:rPr>
        <w:endnoteReference w:customMarkFollows="1" w:id="10"/>
        <w:t>(</w:t>
      </w:r>
      <w:r>
        <w:rPr>
          <w:rStyle w:val="EndnoteCharacters"/>
          <w:rFonts w:eastAsia="標楷體" w:ascii="標楷體" w:hAnsi="標楷體"/>
          <w:sz w:val="28"/>
        </w:rPr>
        <w:t>9)</w:t>
      </w:r>
      <w:r>
        <w:rPr>
          <w:rFonts w:ascii="標楷體" w:hAnsi="標楷體" w:eastAsia="標楷體"/>
          <w:sz w:val="28"/>
        </w:rPr>
        <w:t>，和腎主納氣的說法頗為吻合。</w:t>
      </w:r>
    </w:p>
    <w:p>
      <w:pPr>
        <w:pStyle w:val="Normal"/>
        <w:snapToGrid w:val="false"/>
        <w:spacing w:lineRule="atLeast" w:line="20"/>
        <w:jc w:val="both"/>
        <w:rPr/>
      </w:pPr>
      <w:r>
        <w:rPr>
          <w:rFonts w:eastAsia="標楷體" w:cs="標楷體" w:ascii="標楷體" w:hAnsi="標楷體"/>
          <w:b/>
          <w:sz w:val="28"/>
        </w:rPr>
        <w:t xml:space="preserve">    </w:t>
      </w:r>
      <w:r>
        <w:rPr>
          <w:rFonts w:ascii="標楷體" w:hAnsi="標楷體" w:eastAsia="標楷體"/>
          <w:b/>
          <w:sz w:val="28"/>
        </w:rPr>
        <w:t>五、腎在志為恐</w:t>
      </w:r>
      <w:r>
        <w:rPr>
          <w:rFonts w:ascii="標楷體" w:hAnsi="標楷體" w:eastAsia="標楷體"/>
          <w:b/>
          <w:sz w:val="28"/>
        </w:rPr>
        <w:t xml:space="preserve"> </w:t>
      </w:r>
    </w:p>
    <w:p>
      <w:pPr>
        <w:pStyle w:val="Normal"/>
        <w:snapToGrid w:val="false"/>
        <w:spacing w:lineRule="atLeast" w:line="20"/>
        <w:ind w:firstLine="555"/>
        <w:jc w:val="both"/>
        <w:rPr>
          <w:rFonts w:ascii="標楷體" w:hAnsi="標楷體" w:eastAsia="標楷體" w:cs="Roman;Times New Roman"/>
          <w:sz w:val="28"/>
        </w:rPr>
      </w:pPr>
      <w:r>
        <w:rPr>
          <w:rFonts w:eastAsia="標楷體" w:ascii="標楷體" w:hAnsi="標楷體"/>
          <w:sz w:val="28"/>
        </w:rPr>
        <w:t>&lt;&lt;</w:t>
      </w:r>
      <w:r>
        <w:rPr>
          <w:rFonts w:ascii="標楷體" w:hAnsi="標楷體" w:eastAsia="標楷體"/>
          <w:sz w:val="28"/>
        </w:rPr>
        <w:t>素問‧陰陽應象大論</w:t>
      </w:r>
      <w:r>
        <w:rPr>
          <w:rFonts w:eastAsia="標楷體" w:ascii="標楷體" w:hAnsi="標楷體"/>
          <w:sz w:val="28"/>
        </w:rPr>
        <w:t>&gt;&gt;</w:t>
      </w:r>
      <w:r>
        <w:rPr>
          <w:rFonts w:ascii="標楷體" w:hAnsi="標楷體" w:eastAsia="標楷體"/>
          <w:sz w:val="28"/>
        </w:rPr>
        <w:t>提到腎時曰</w:t>
      </w:r>
      <w:r>
        <w:rPr>
          <w:rFonts w:eastAsia="標楷體" w:ascii="標楷體" w:hAnsi="標楷體"/>
          <w:sz w:val="28"/>
        </w:rPr>
        <w:t>:</w:t>
      </w:r>
      <w:r>
        <w:rPr>
          <w:rFonts w:ascii="標楷體" w:hAnsi="標楷體" w:eastAsia="標楷體"/>
          <w:sz w:val="28"/>
        </w:rPr>
        <w:t>「在志為恐，恐傷腎。」</w:t>
      </w:r>
      <w:r>
        <w:rPr>
          <w:rStyle w:val="EndnoteCharacters"/>
          <w:rStyle w:val="EndnoteAnchor"/>
          <w:rFonts w:ascii="標楷體" w:hAnsi="標楷體" w:eastAsia="標楷體"/>
          <w:sz w:val="28"/>
        </w:rPr>
        <w:endnoteReference w:customMarkFollows="1" w:id="11"/>
        <w:t>(</w:t>
      </w:r>
      <w:r>
        <w:rPr>
          <w:rStyle w:val="EndnoteCharacters"/>
          <w:rFonts w:eastAsia="標楷體" w:ascii="標楷體" w:hAnsi="標楷體"/>
          <w:sz w:val="28"/>
        </w:rPr>
        <w:t>10)</w:t>
      </w:r>
      <w:r>
        <w:rPr>
          <w:rFonts w:ascii="標楷體" w:hAnsi="標楷體" w:eastAsia="標楷體"/>
          <w:sz w:val="28"/>
        </w:rPr>
        <w:t>即說明恐懼和腎的關係密切。</w:t>
      </w:r>
      <w:r>
        <w:rPr>
          <w:rFonts w:ascii="標楷體" w:hAnsi="標楷體" w:cs="Roman;Times New Roman" w:eastAsia="標楷體"/>
          <w:sz w:val="28"/>
        </w:rPr>
        <w:t>楊上善在其</w:t>
      </w:r>
      <w:r>
        <w:rPr>
          <w:rFonts w:eastAsia="標楷體" w:cs="Roman;Times New Roman" w:ascii="標楷體" w:hAnsi="標楷體"/>
          <w:sz w:val="28"/>
        </w:rPr>
        <w:t>&lt;&lt;</w:t>
      </w:r>
      <w:r>
        <w:rPr>
          <w:rFonts w:ascii="標楷體" w:hAnsi="標楷體" w:cs="Roman;Times New Roman" w:eastAsia="標楷體"/>
          <w:sz w:val="28"/>
        </w:rPr>
        <w:t>太素‧臟腑</w:t>
      </w:r>
      <w:r>
        <w:rPr>
          <w:rFonts w:eastAsia="標楷體" w:cs="Roman;Times New Roman" w:ascii="標楷體" w:hAnsi="標楷體"/>
          <w:sz w:val="28"/>
        </w:rPr>
        <w:t>&gt;&gt;</w:t>
      </w:r>
      <w:r>
        <w:rPr>
          <w:rFonts w:ascii="標楷體" w:hAnsi="標楷體" w:cs="Roman;Times New Roman" w:eastAsia="標楷體"/>
          <w:sz w:val="28"/>
        </w:rPr>
        <w:t>中亦曰：「腎為水臟，主于恐懼</w:t>
      </w:r>
      <w:r>
        <w:rPr>
          <w:rFonts w:ascii="標楷體" w:hAnsi="標楷體" w:eastAsia="標楷體"/>
          <w:sz w:val="28"/>
        </w:rPr>
        <w:t>。」</w:t>
      </w:r>
      <w:r>
        <w:rPr>
          <w:rStyle w:val="EndnoteCharacters"/>
          <w:rStyle w:val="EndnoteAnchor"/>
          <w:rFonts w:ascii="標楷體" w:hAnsi="標楷體" w:eastAsia="標楷體"/>
          <w:sz w:val="28"/>
        </w:rPr>
        <w:endnoteReference w:customMarkFollows="1" w:id="12"/>
        <w:t>(</w:t>
      </w:r>
      <w:r>
        <w:rPr>
          <w:rStyle w:val="EndnoteCharacters"/>
          <w:rFonts w:eastAsia="標楷體" w:ascii="標楷體" w:hAnsi="標楷體"/>
          <w:sz w:val="28"/>
        </w:rPr>
        <w:t>11)</w:t>
      </w:r>
      <w:r>
        <w:rPr>
          <w:rFonts w:ascii="標楷體" w:hAnsi="標楷體" w:eastAsia="標楷體"/>
          <w:sz w:val="28"/>
        </w:rPr>
        <w:t>，以現代醫學的機理而言，</w:t>
      </w:r>
      <w:r>
        <w:rPr>
          <w:rFonts w:ascii="標楷體" w:hAnsi="標楷體" w:cs="Roman;Times New Roman" w:eastAsia="標楷體"/>
          <w:sz w:val="28"/>
        </w:rPr>
        <w:t>刺激下視丘之外側核會產生恐懼的反應，如心跳加快，皮膚痙攣，臉色蒼白，瞳孔放大，血壓上升</w:t>
      </w:r>
      <w:r>
        <w:rPr>
          <w:rFonts w:ascii="標楷體" w:hAnsi="標楷體" w:cs="Roman;Times New Roman" w:eastAsia="標楷體"/>
          <w:sz w:val="28"/>
        </w:rPr>
        <w:t>……</w:t>
      </w:r>
      <w:r>
        <w:rPr>
          <w:rFonts w:ascii="標楷體" w:hAnsi="標楷體" w:cs="Roman;Times New Roman" w:eastAsia="標楷體"/>
          <w:sz w:val="28"/>
        </w:rPr>
        <w:t>等症狀</w:t>
      </w:r>
      <w:r>
        <w:rPr>
          <w:rStyle w:val="EndnoteCharacters"/>
          <w:rStyle w:val="EndnoteAnchor"/>
          <w:rFonts w:ascii="標楷體" w:hAnsi="標楷體" w:cs="Roman;Times New Roman" w:eastAsia="標楷體"/>
          <w:sz w:val="28"/>
        </w:rPr>
        <w:endnoteReference w:customMarkFollows="1" w:id="13"/>
        <w:t>(</w:t>
      </w:r>
      <w:r>
        <w:rPr>
          <w:rStyle w:val="EndnoteCharacters"/>
          <w:rFonts w:eastAsia="標楷體" w:cs="Roman;Times New Roman" w:ascii="標楷體" w:hAnsi="標楷體"/>
          <w:sz w:val="28"/>
        </w:rPr>
        <w:t>12)</w:t>
      </w:r>
      <w:r>
        <w:rPr>
          <w:rFonts w:ascii="標楷體" w:hAnsi="標楷體" w:cs="Roman;Times New Roman" w:eastAsia="標楷體"/>
          <w:sz w:val="28"/>
        </w:rPr>
        <w:t>。</w:t>
      </w:r>
    </w:p>
    <w:p>
      <w:pPr>
        <w:pStyle w:val="Normal"/>
        <w:snapToGrid w:val="false"/>
        <w:spacing w:lineRule="atLeast" w:line="20"/>
        <w:ind w:firstLine="555"/>
        <w:jc w:val="both"/>
        <w:rPr>
          <w:rFonts w:ascii="標楷體" w:hAnsi="標楷體" w:eastAsia="標楷體" w:cs="Roman;Times New Roman"/>
          <w:sz w:val="28"/>
        </w:rPr>
      </w:pPr>
      <w:r>
        <w:rPr>
          <w:rFonts w:ascii="標楷體" w:hAnsi="標楷體" w:cs="Roman;Times New Roman" w:eastAsia="標楷體"/>
          <w:sz w:val="28"/>
        </w:rPr>
        <w:t>綜上所述，以「腎主恐」的角度來看，腎和下視丘是有相關。</w:t>
      </w:r>
    </w:p>
    <w:p>
      <w:pPr>
        <w:pStyle w:val="Normal"/>
        <w:snapToGrid w:val="false"/>
        <w:spacing w:lineRule="atLeast" w:line="20"/>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六、腎藏精</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在談到腎藏精之前，首先要瞭解的是：精除了指生殖之精之外，主要涵義是指構成人體和推動人體生命活動的基本物質。</w:t>
      </w:r>
      <w:r>
        <w:rPr>
          <w:rFonts w:eastAsia="標楷體" w:ascii="標楷體" w:hAnsi="標楷體"/>
          <w:sz w:val="28"/>
        </w:rPr>
        <w:t>&lt;&lt;</w:t>
      </w:r>
      <w:r>
        <w:rPr>
          <w:rFonts w:ascii="標楷體" w:hAnsi="標楷體" w:eastAsia="標楷體"/>
          <w:sz w:val="28"/>
        </w:rPr>
        <w:t>素問‧金匱真言論</w:t>
      </w:r>
      <w:r>
        <w:rPr>
          <w:rFonts w:eastAsia="標楷體" w:ascii="標楷體" w:hAnsi="標楷體"/>
          <w:sz w:val="28"/>
        </w:rPr>
        <w:t>&gt;&gt;</w:t>
      </w:r>
      <w:r>
        <w:rPr>
          <w:rFonts w:ascii="標楷體" w:hAnsi="標楷體" w:eastAsia="標楷體"/>
          <w:sz w:val="28"/>
        </w:rPr>
        <w:t>言</w:t>
      </w:r>
      <w:r>
        <w:rPr>
          <w:rFonts w:eastAsia="標楷體" w:ascii="標楷體" w:hAnsi="標楷體"/>
          <w:sz w:val="28"/>
        </w:rPr>
        <w:t>:</w:t>
      </w:r>
      <w:r>
        <w:rPr>
          <w:rFonts w:ascii="標楷體" w:hAnsi="標楷體" w:eastAsia="標楷體"/>
          <w:sz w:val="28"/>
        </w:rPr>
        <w:t>「夫精者，生之本也。」</w:t>
      </w:r>
      <w:r>
        <w:rPr>
          <w:rStyle w:val="EndnoteCharacters"/>
          <w:rStyle w:val="EndnoteAnchor"/>
          <w:rFonts w:ascii="標楷體" w:hAnsi="標楷體" w:eastAsia="標楷體"/>
          <w:sz w:val="28"/>
        </w:rPr>
        <w:endnoteReference w:customMarkFollows="1" w:id="14"/>
        <w:t>(</w:t>
      </w:r>
      <w:r>
        <w:rPr>
          <w:rStyle w:val="EndnoteCharacters"/>
          <w:rFonts w:eastAsia="標楷體" w:ascii="標楷體" w:hAnsi="標楷體"/>
          <w:sz w:val="28"/>
        </w:rPr>
        <w:t>13)</w:t>
      </w:r>
      <w:r>
        <w:rPr>
          <w:rFonts w:ascii="標楷體" w:hAnsi="標楷體" w:eastAsia="標楷體"/>
          <w:sz w:val="28"/>
        </w:rPr>
        <w:t>即說明之。再根據</w:t>
      </w:r>
      <w:r>
        <w:rPr>
          <w:rFonts w:eastAsia="標楷體" w:ascii="標楷體" w:hAnsi="標楷體"/>
          <w:sz w:val="28"/>
        </w:rPr>
        <w:t>&lt;&lt;</w:t>
      </w:r>
      <w:r>
        <w:rPr>
          <w:rFonts w:ascii="標楷體" w:hAnsi="標楷體" w:eastAsia="標楷體"/>
          <w:sz w:val="28"/>
        </w:rPr>
        <w:t>素問‧六節藏象論</w:t>
      </w:r>
      <w:r>
        <w:rPr>
          <w:rFonts w:eastAsia="標楷體" w:ascii="標楷體" w:hAnsi="標楷體"/>
          <w:sz w:val="28"/>
        </w:rPr>
        <w:t>&gt;&gt;</w:t>
      </w:r>
      <w:r>
        <w:rPr>
          <w:rFonts w:ascii="標楷體" w:hAnsi="標楷體" w:eastAsia="標楷體"/>
          <w:sz w:val="28"/>
        </w:rPr>
        <w:t>云：「腎者，主蟄，封藏之本，精之處也。」</w:t>
      </w:r>
      <w:r>
        <w:rPr>
          <w:rStyle w:val="EndnoteCharacters"/>
          <w:rStyle w:val="EndnoteAnchor"/>
          <w:rFonts w:ascii="標楷體" w:hAnsi="標楷體" w:eastAsia="標楷體"/>
          <w:sz w:val="28"/>
        </w:rPr>
        <w:endnoteReference w:customMarkFollows="1" w:id="15"/>
        <w:t>(</w:t>
      </w:r>
      <w:r>
        <w:rPr>
          <w:rStyle w:val="EndnoteCharacters"/>
          <w:rFonts w:eastAsia="標楷體" w:ascii="標楷體" w:hAnsi="標楷體"/>
          <w:sz w:val="28"/>
        </w:rPr>
        <w:t>14)</w:t>
      </w:r>
      <w:r>
        <w:rPr>
          <w:rFonts w:ascii="標楷體" w:hAnsi="標楷體" w:eastAsia="標楷體"/>
          <w:sz w:val="28"/>
        </w:rPr>
        <w:t>由此而知精即藏於「腎」。</w:t>
      </w:r>
    </w:p>
    <w:p>
      <w:pPr>
        <w:pStyle w:val="Normal"/>
        <w:snapToGrid w:val="false"/>
        <w:spacing w:lineRule="atLeast" w:line="20"/>
        <w:ind w:firstLine="555"/>
        <w:jc w:val="both"/>
        <w:rPr>
          <w:rFonts w:ascii="標楷體" w:hAnsi="標楷體" w:eastAsia="標楷體"/>
          <w:sz w:val="28"/>
        </w:rPr>
      </w:pPr>
      <w:r>
        <w:rPr>
          <w:rFonts w:ascii="標楷體" w:hAnsi="標楷體" w:eastAsia="標楷體"/>
          <w:sz w:val="28"/>
        </w:rPr>
        <w:t>下視丘有許多核，其主要功能為控制內分泌及自主神經的活動，內有許多作用物質，例如：神經傳遞物質</w:t>
      </w:r>
      <w:r>
        <w:rPr>
          <w:rFonts w:eastAsia="華康細圓體" w:ascii="華康細圓體" w:hAnsi="華康細圓體"/>
          <w:sz w:val="28"/>
        </w:rPr>
        <w:t>(</w:t>
      </w:r>
      <w:r>
        <w:rPr>
          <w:rFonts w:eastAsia="華康細圓體" w:cs="Arial" w:ascii="Arial" w:hAnsi="Arial"/>
          <w:sz w:val="28"/>
        </w:rPr>
        <w:t>Neurotransmitter</w:t>
      </w:r>
      <w:r>
        <w:rPr>
          <w:rFonts w:eastAsia="華康細圓體" w:cs="Arial" w:ascii="華康細圓體" w:hAnsi="華康細圓體"/>
          <w:sz w:val="28"/>
        </w:rPr>
        <w:t>)</w:t>
      </w:r>
      <w:r>
        <w:rPr>
          <w:rFonts w:ascii="標楷體" w:hAnsi="標楷體" w:eastAsia="標楷體"/>
          <w:sz w:val="28"/>
        </w:rPr>
        <w:t>可比擬為「腎中之精」。而荷爾蒙和神經傳遞物質是由</w:t>
      </w:r>
      <w:r>
        <w:rPr>
          <w:rFonts w:eastAsia="華康細圓體" w:cs="Arial" w:ascii="Arial" w:hAnsi="Arial"/>
          <w:sz w:val="28"/>
        </w:rPr>
        <w:t>DNA</w:t>
      </w:r>
      <w:r>
        <w:rPr>
          <w:rFonts w:ascii="標楷體" w:hAnsi="標楷體" w:eastAsia="標楷體"/>
          <w:sz w:val="28"/>
        </w:rPr>
        <w:t>經由以下過程所形成</w:t>
      </w:r>
      <w:r>
        <w:rPr>
          <w:rStyle w:val="EndnoteCharacters"/>
          <w:rStyle w:val="EndnoteAnchor"/>
          <w:rFonts w:ascii="標楷體" w:hAnsi="標楷體" w:eastAsia="標楷體"/>
          <w:sz w:val="28"/>
        </w:rPr>
        <w:endnoteReference w:customMarkFollows="1" w:id="16"/>
        <w:t>(</w:t>
      </w:r>
      <w:r>
        <w:rPr>
          <w:rStyle w:val="EndnoteCharacters"/>
          <w:rFonts w:eastAsia="標楷體" w:ascii="標楷體" w:hAnsi="標楷體"/>
          <w:sz w:val="28"/>
        </w:rPr>
        <w:t>15)</w:t>
      </w:r>
      <w:r>
        <w:rPr>
          <w:rFonts w:ascii="標楷體" w:hAnsi="標楷體" w:eastAsia="標楷體"/>
          <w:sz w:val="28"/>
        </w:rPr>
        <w:t>。</w:t>
      </w:r>
    </w:p>
    <w:p>
      <w:pPr>
        <w:pStyle w:val="Normal"/>
        <w:snapToGrid w:val="false"/>
        <w:spacing w:lineRule="atLeast" w:line="20"/>
        <w:ind w:firstLine="555"/>
        <w:jc w:val="both"/>
        <w:rPr>
          <w:rFonts w:ascii="華康細圓體" w:hAnsi="華康細圓體" w:eastAsia="華康細圓體"/>
          <w:sz w:val="28"/>
        </w:rPr>
      </w:pPr>
      <w:r>
        <w:rPr>
          <w:rFonts w:eastAsia="華康細圓體" w:ascii="華康細圓體" w:hAnsi="華康細圓體"/>
          <w:sz w:val="28"/>
        </w:rPr>
      </w:r>
    </w:p>
    <w:p>
      <w:pPr>
        <w:pStyle w:val="Normal"/>
        <w:snapToGrid w:val="false"/>
        <w:spacing w:lineRule="atLeast" w:line="20"/>
        <w:jc w:val="both"/>
        <w:rPr>
          <w:rFonts w:ascii="標楷體" w:hAnsi="標楷體" w:eastAsia="標楷體"/>
          <w:sz w:val="28"/>
        </w:rPr>
      </w:pPr>
      <w:r>
        <w:rPr>
          <w:rFonts w:eastAsia="華康細圓體" w:cs="華康細圓體" w:ascii="華康細圓體" w:hAnsi="華康細圓體"/>
          <w:sz w:val="28"/>
        </w:rPr>
        <w:t xml:space="preserve">        </w:t>
      </w:r>
      <w:r>
        <w:rPr>
          <w:rFonts w:ascii="標楷體" w:hAnsi="標楷體" w:eastAsia="標楷體"/>
          <w:sz w:val="28"/>
        </w:rPr>
        <w:t>轉錄</w:t>
      </w:r>
      <w:r>
        <w:rPr>
          <w:rFonts w:ascii="標楷體" w:hAnsi="標楷體" w:eastAsia="標楷體"/>
          <w:sz w:val="28"/>
        </w:rPr>
        <w:t xml:space="preserve">       </w:t>
      </w:r>
      <w:r>
        <w:rPr>
          <w:rFonts w:ascii="標楷體" w:hAnsi="標楷體" w:eastAsia="標楷體"/>
          <w:sz w:val="28"/>
        </w:rPr>
        <w:t xml:space="preserve"> 轉譯</w:t>
      </w:r>
    </w:p>
    <w:p>
      <w:pPr>
        <w:pStyle w:val="Normal"/>
        <w:snapToGrid w:val="false"/>
        <w:spacing w:lineRule="atLeast" w:line="20"/>
        <w:jc w:val="both"/>
        <w:rPr>
          <w:rFonts w:ascii="華康細圓體" w:hAnsi="華康細圓體" w:eastAsia="華康細圓體"/>
          <w:sz w:val="28"/>
        </w:rPr>
      </w:pPr>
      <w:r>
        <w:rPr>
          <w:rFonts w:eastAsia="華康細圓體" w:cs="華康細圓體" w:ascii="華康細圓體" w:hAnsi="華康細圓體"/>
          <w:sz w:val="20"/>
        </w:rPr>
        <w:t>●</w:t>
      </w:r>
      <w:r>
        <w:rPr>
          <w:rFonts w:eastAsia="華康細圓體" w:cs="Arial" w:ascii="Arial" w:hAnsi="Arial"/>
          <w:sz w:val="28"/>
        </w:rPr>
        <w:t>DNA</w:t>
      </w:r>
      <w:r>
        <w:rPr>
          <w:rFonts w:eastAsia="華康細圓體" w:ascii="華康細圓體" w:hAnsi="華康細圓體"/>
          <w:sz w:val="28"/>
        </w:rPr>
        <w:t xml:space="preserve"> </w:t>
      </w:r>
      <w:r>
        <w:rPr>
          <w:rFonts w:eastAsia="華康細圓體" w:cs="Arial" w:ascii="華康細圓體" w:hAnsi="華康細圓體"/>
          <w:sz w:val="28"/>
        </w:rPr>
        <w:t>→→→</w:t>
      </w:r>
      <w:r>
        <w:rPr>
          <w:rFonts w:eastAsia="華康細圓體" w:cs="Arial" w:ascii="華康細圓體" w:hAnsi="華康細圓體"/>
          <w:sz w:val="28"/>
        </w:rPr>
        <w:t xml:space="preserve"> </w:t>
      </w:r>
      <w:r>
        <w:rPr>
          <w:rFonts w:eastAsia="華康細圓體" w:cs="Arial" w:ascii="Arial" w:hAnsi="Arial"/>
          <w:sz w:val="28"/>
        </w:rPr>
        <w:t>RNA</w:t>
      </w:r>
      <w:r>
        <w:rPr>
          <w:rFonts w:eastAsia="華康細圓體" w:cs="Arial" w:ascii="華康細圓體" w:hAnsi="華康細圓體"/>
          <w:sz w:val="28"/>
        </w:rPr>
        <w:t xml:space="preserve"> </w:t>
      </w:r>
      <w:r>
        <w:rPr>
          <w:rFonts w:eastAsia="華康細圓體" w:cs="Arial" w:ascii="華康細圓體" w:hAnsi="華康細圓體"/>
          <w:sz w:val="28"/>
        </w:rPr>
        <w:t>→→→</w:t>
      </w:r>
      <w:r>
        <w:rPr>
          <w:rFonts w:eastAsia="標楷體" w:ascii="標楷體" w:hAnsi="標楷體"/>
          <w:sz w:val="28"/>
        </w:rPr>
        <w:t>(</w:t>
      </w:r>
      <w:r>
        <w:rPr>
          <w:rFonts w:ascii="標楷體" w:hAnsi="標楷體" w:eastAsia="標楷體"/>
          <w:sz w:val="28"/>
        </w:rPr>
        <w:t>胺基酸</w:t>
      </w:r>
      <w:r>
        <w:rPr>
          <w:rFonts w:eastAsia="標楷體" w:ascii="標楷體" w:hAnsi="標楷體"/>
          <w:sz w:val="28"/>
        </w:rPr>
        <w:t>)</w:t>
      </w:r>
      <w:r>
        <w:rPr>
          <w:rFonts w:ascii="標楷體" w:hAnsi="標楷體" w:eastAsia="標楷體"/>
          <w:sz w:val="28"/>
        </w:rPr>
        <w:t>蛋白質</w:t>
      </w:r>
      <w:r>
        <w:rPr>
          <w:rFonts w:ascii="標楷體" w:hAnsi="標楷體" w:eastAsia="標楷體"/>
          <w:sz w:val="28"/>
        </w:rPr>
        <w:t xml:space="preserve"> </w:t>
      </w:r>
      <w:r>
        <w:rPr>
          <w:rFonts w:ascii="標楷體" w:hAnsi="標楷體" w:eastAsia="標楷體"/>
          <w:sz w:val="28"/>
        </w:rPr>
        <w:t>→</w:t>
      </w:r>
      <w:r>
        <w:rPr>
          <w:rFonts w:ascii="標楷體" w:hAnsi="標楷體" w:eastAsia="標楷體"/>
          <w:sz w:val="28"/>
        </w:rPr>
        <w:t xml:space="preserve"> </w:t>
      </w:r>
      <w:r>
        <w:rPr>
          <w:rFonts w:ascii="標楷體" w:hAnsi="標楷體" w:eastAsia="標楷體"/>
          <w:sz w:val="28"/>
        </w:rPr>
        <w:t>生長、發育、繁殖</w:t>
      </w:r>
    </w:p>
    <w:p>
      <w:pPr>
        <w:pStyle w:val="Normal"/>
        <w:snapToGrid w:val="false"/>
        <w:spacing w:lineRule="atLeast" w:line="20"/>
        <w:jc w:val="both"/>
        <w:rPr>
          <w:rFonts w:ascii="華康細圓體" w:hAnsi="華康細圓體" w:eastAsia="華康細圓體"/>
          <w:sz w:val="28"/>
        </w:rPr>
      </w:pPr>
      <w:r>
        <w:rPr>
          <w:rFonts w:eastAsia="華康細圓體" w:cs="華康細圓體" w:ascii="華康細圓體" w:hAnsi="華康細圓體"/>
          <w:sz w:val="28"/>
        </w:rPr>
        <w:t xml:space="preserve">                     </w:t>
      </w:r>
      <w:r>
        <w:rPr>
          <w:rFonts w:ascii="華康細圓體" w:hAnsi="華康細圓體" w:cs="Arial" w:eastAsia="華康細圓體"/>
          <w:sz w:val="28"/>
        </w:rPr>
        <w:t>（</w:t>
      </w:r>
      <w:r>
        <w:rPr>
          <w:rFonts w:eastAsia="華康細圓體" w:cs="Arial" w:ascii="Arial" w:hAnsi="Arial"/>
          <w:sz w:val="28"/>
        </w:rPr>
        <w:t>GnRH</w:t>
      </w:r>
      <w:r>
        <w:rPr>
          <w:rFonts w:ascii="Arial" w:hAnsi="Arial" w:cs="Arial" w:eastAsia="華康細圓體"/>
          <w:sz w:val="28"/>
        </w:rPr>
        <w:t>、</w:t>
      </w:r>
      <w:r>
        <w:rPr>
          <w:rFonts w:eastAsia="華康細圓體" w:cs="Arial" w:ascii="Arial" w:hAnsi="Arial"/>
          <w:sz w:val="28"/>
        </w:rPr>
        <w:t>TRH</w:t>
      </w:r>
      <w:r>
        <w:rPr>
          <w:rFonts w:ascii="Arial" w:hAnsi="Arial" w:cs="Arial" w:eastAsia="華康細圓體"/>
          <w:sz w:val="28"/>
        </w:rPr>
        <w:t>、</w:t>
      </w:r>
      <w:r>
        <w:rPr>
          <w:rFonts w:eastAsia="華康細圓體" w:cs="Arial" w:ascii="Arial" w:hAnsi="Arial"/>
          <w:sz w:val="28"/>
        </w:rPr>
        <w:t>GRH</w:t>
      </w:r>
      <w:r>
        <w:rPr>
          <w:rFonts w:ascii="華康細圓體" w:hAnsi="華康細圓體" w:cs="Arial" w:eastAsia="華康細圓體"/>
          <w:sz w:val="28"/>
        </w:rPr>
        <w:t>）</w:t>
      </w:r>
      <w:r>
        <w:rPr>
          <w:rFonts w:ascii="華康細圓體" w:hAnsi="華康細圓體" w:eastAsia="華康細圓體"/>
          <w:sz w:val="28"/>
        </w:rPr>
        <w:t xml:space="preserve"> </w:t>
      </w:r>
      <w:r>
        <w:rPr>
          <w:rFonts w:ascii="華康細圓體" w:hAnsi="華康細圓體" w:eastAsia="華康細圓體"/>
          <w:sz w:val="28"/>
        </w:rPr>
        <w:t xml:space="preserve">   </w:t>
      </w:r>
      <w:r>
        <w:rPr>
          <w:rFonts w:ascii="華康細圓體" w:hAnsi="華康細圓體" w:eastAsia="華康細圓體"/>
          <w:sz w:val="28"/>
        </w:rPr>
        <w:t xml:space="preserve">   </w:t>
      </w:r>
      <w:r>
        <w:rPr>
          <w:rFonts w:ascii="華康細圓體" w:hAnsi="華康細圓體" w:eastAsia="華康細圓體"/>
          <w:sz w:val="28"/>
        </w:rPr>
        <w:t>↓</w:t>
      </w:r>
    </w:p>
    <w:p>
      <w:pPr>
        <w:pStyle w:val="Normal"/>
        <w:snapToGrid w:val="false"/>
        <w:spacing w:lineRule="atLeast" w:line="20"/>
        <w:jc w:val="both"/>
        <w:rPr>
          <w:rFonts w:ascii="華康細圓體" w:hAnsi="華康細圓體" w:eastAsia="華康細圓體"/>
          <w:sz w:val="28"/>
        </w:rPr>
      </w:pPr>
      <w:r>
        <w:rPr>
          <w:rFonts w:eastAsia="華康細圓體" w:cs="華康細圓體" w:ascii="華康細圓體" w:hAnsi="華康細圓體"/>
          <w:sz w:val="28"/>
        </w:rPr>
        <w:t xml:space="preserve">                                               </w:t>
      </w:r>
      <w:r>
        <w:rPr>
          <w:rFonts w:eastAsia="華康細圓體" w:cs="華康細圓體" w:ascii="華康細圓體" w:hAnsi="華康細圓體"/>
          <w:sz w:val="28"/>
        </w:rPr>
        <w:t xml:space="preserve">   ↓</w:t>
      </w:r>
    </w:p>
    <w:p>
      <w:pPr>
        <w:pStyle w:val="Normal"/>
        <w:snapToGrid w:val="false"/>
        <w:spacing w:lineRule="atLeast" w:line="20"/>
        <w:jc w:val="both"/>
        <w:rPr>
          <w:rFonts w:ascii="華康細圓體" w:hAnsi="華康細圓體" w:eastAsia="華康細圓體"/>
          <w:sz w:val="28"/>
        </w:rPr>
      </w:pPr>
      <w:r>
        <w:rPr>
          <w:rFonts w:eastAsia="華康細圓體" w:cs="華康細圓體" w:ascii="華康細圓體" w:hAnsi="華康細圓體"/>
          <w:sz w:val="28"/>
        </w:rPr>
        <w:t xml:space="preserve">                                     </w:t>
      </w:r>
      <w:r>
        <w:rPr>
          <w:rFonts w:eastAsia="華康細圓體" w:cs="Arial" w:ascii="Arial" w:hAnsi="Arial"/>
          <w:sz w:val="28"/>
        </w:rPr>
        <w:t>ENZYME</w:t>
      </w:r>
      <w:r>
        <w:rPr>
          <w:rFonts w:ascii="標楷體" w:hAnsi="標楷體" w:eastAsia="標楷體"/>
          <w:sz w:val="28"/>
        </w:rPr>
        <w:t>（生理功能）</w:t>
      </w:r>
    </w:p>
    <w:p>
      <w:pPr>
        <w:pStyle w:val="Normal"/>
        <w:snapToGrid w:val="false"/>
        <w:spacing w:lineRule="atLeast" w:line="20"/>
        <w:jc w:val="both"/>
        <w:rPr/>
      </w:pPr>
      <w:r>
        <w:rPr>
          <w:rFonts w:eastAsia="華康細圓體" w:cs="華康細圓體" w:ascii="華康細圓體" w:hAnsi="華康細圓體"/>
          <w:sz w:val="28"/>
        </w:rPr>
        <w:t xml:space="preserve">                               </w:t>
      </w:r>
      <w:r>
        <w:rPr>
          <w:rFonts w:eastAsia="華康細圓體" w:cs="Arial" w:ascii="Arial" w:hAnsi="Arial"/>
          <w:sz w:val="28"/>
        </w:rPr>
        <w:t>NEUROTRANSMITTER</w:t>
      </w:r>
    </w:p>
    <w:p>
      <w:pPr>
        <w:pStyle w:val="Normal"/>
        <w:snapToGrid w:val="false"/>
        <w:spacing w:lineRule="atLeast" w:line="20"/>
        <w:jc w:val="both"/>
        <w:rPr>
          <w:rFonts w:ascii="Arial" w:hAnsi="Arial" w:eastAsia="華康細圓體" w:cs="Arial"/>
          <w:sz w:val="28"/>
        </w:rPr>
      </w:pPr>
      <w:r>
        <w:rPr>
          <w:rFonts w:eastAsia="華康細圓體" w:cs="Arial" w:ascii="Arial" w:hAnsi="Arial"/>
          <w:sz w:val="28"/>
        </w:rPr>
      </w:r>
    </w:p>
    <w:p>
      <w:pPr>
        <w:pStyle w:val="Normal"/>
        <w:snapToGrid w:val="false"/>
        <w:spacing w:lineRule="atLeast" w:line="20"/>
        <w:ind w:firstLine="540"/>
        <w:jc w:val="both"/>
        <w:rPr>
          <w:rFonts w:ascii="標楷體" w:hAnsi="標楷體" w:eastAsia="標楷體"/>
          <w:sz w:val="28"/>
        </w:rPr>
      </w:pPr>
      <w:r>
        <w:rPr>
          <w:rFonts w:eastAsia="華康細圓體" w:cs="Arial" w:ascii="Arial" w:hAnsi="Arial"/>
          <w:sz w:val="28"/>
        </w:rPr>
        <w:t>DNA</w:t>
      </w:r>
      <w:r>
        <w:rPr>
          <w:rFonts w:ascii="Arial" w:hAnsi="Arial" w:cs="Arial" w:eastAsia="標楷體"/>
          <w:sz w:val="28"/>
        </w:rPr>
        <w:t>帶有</w:t>
      </w:r>
      <w:r>
        <w:rPr>
          <w:rFonts w:ascii="標楷體" w:hAnsi="標楷體" w:cs="Arial" w:eastAsia="標楷體"/>
          <w:sz w:val="28"/>
        </w:rPr>
        <w:t>先天形成的遺傳密碼，故</w:t>
      </w:r>
      <w:r>
        <w:rPr>
          <w:rFonts w:eastAsia="標楷體" w:ascii="標楷體" w:hAnsi="標楷體"/>
          <w:sz w:val="28"/>
        </w:rPr>
        <w:t>&lt;&lt;</w:t>
      </w:r>
      <w:r>
        <w:rPr>
          <w:rFonts w:ascii="標楷體" w:hAnsi="標楷體" w:eastAsia="標楷體"/>
          <w:sz w:val="28"/>
        </w:rPr>
        <w:t>靈樞‧本神</w:t>
      </w:r>
      <w:r>
        <w:rPr>
          <w:rFonts w:eastAsia="標楷體" w:ascii="標楷體" w:hAnsi="標楷體"/>
          <w:sz w:val="28"/>
        </w:rPr>
        <w:t>&gt;&gt;</w:t>
      </w:r>
      <w:r>
        <w:rPr>
          <w:rFonts w:ascii="標楷體" w:hAnsi="標楷體" w:eastAsia="標楷體"/>
          <w:sz w:val="28"/>
        </w:rPr>
        <w:t>云：「生之來，謂之精。」</w:t>
      </w:r>
      <w:r>
        <w:rPr>
          <w:rStyle w:val="EndnoteCharacters"/>
          <w:rStyle w:val="EndnoteAnchor"/>
          <w:rFonts w:ascii="標楷體" w:hAnsi="標楷體" w:eastAsia="標楷體"/>
          <w:sz w:val="28"/>
        </w:rPr>
        <w:endnoteReference w:customMarkFollows="1" w:id="17"/>
        <w:t>(</w:t>
      </w:r>
      <w:r>
        <w:rPr>
          <w:rStyle w:val="EndnoteCharacters"/>
          <w:rFonts w:eastAsia="標楷體" w:ascii="標楷體" w:hAnsi="標楷體"/>
          <w:sz w:val="28"/>
        </w:rPr>
        <w:t>16)</w:t>
      </w:r>
    </w:p>
    <w:p>
      <w:pPr>
        <w:pStyle w:val="Normal"/>
        <w:snapToGrid w:val="false"/>
        <w:spacing w:lineRule="atLeast" w:line="20"/>
        <w:jc w:val="both"/>
        <w:rPr/>
      </w:pPr>
      <w:r>
        <w:rPr>
          <w:rFonts w:eastAsia="華康細圓體" w:cs="華康細圓體" w:ascii="華康細圓體" w:hAnsi="華康細圓體"/>
          <w:sz w:val="28"/>
        </w:rPr>
        <w:t xml:space="preserve">    </w:t>
      </w:r>
      <w:r>
        <w:rPr>
          <w:rFonts w:ascii="標楷體" w:hAnsi="標楷體" w:eastAsia="標楷體"/>
          <w:sz w:val="28"/>
        </w:rPr>
        <w:t>另外</w:t>
      </w:r>
      <w:r>
        <w:rPr>
          <w:rFonts w:eastAsia="標楷體" w:cs="Arial" w:ascii="Arial" w:hAnsi="Arial"/>
          <w:sz w:val="28"/>
        </w:rPr>
        <w:t xml:space="preserve">DNA </w:t>
      </w:r>
      <w:r>
        <w:rPr>
          <w:rFonts w:ascii="標楷體" w:hAnsi="標楷體" w:eastAsia="標楷體"/>
          <w:sz w:val="28"/>
        </w:rPr>
        <w:t>基本組成為</w:t>
      </w:r>
      <w:r>
        <w:rPr>
          <w:rFonts w:eastAsia="標楷體" w:ascii="標楷體" w:hAnsi="標楷體"/>
          <w:sz w:val="28"/>
        </w:rPr>
        <w:t>:</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eastAsia="標楷體" w:ascii="標楷體" w:hAnsi="標楷體"/>
          <w:sz w:val="28"/>
        </w:rPr>
        <w:t>1.</w:t>
      </w:r>
      <w:r>
        <w:rPr>
          <w:rFonts w:ascii="標楷體" w:hAnsi="標楷體" w:eastAsia="標楷體"/>
          <w:sz w:val="28"/>
        </w:rPr>
        <w:t>含氮鹼基</w:t>
      </w:r>
      <w:r>
        <w:rPr>
          <w:rFonts w:ascii="標楷體" w:hAnsi="標楷體" w:eastAsia="標楷體"/>
          <w:sz w:val="28"/>
        </w:rPr>
        <w:t xml:space="preserve"> </w:t>
      </w:r>
      <w:r>
        <w:rPr>
          <w:rFonts w:ascii="標楷體" w:hAnsi="標楷體" w:eastAsia="標楷體"/>
          <w:sz w:val="28"/>
        </w:rPr>
        <w:t>→</w:t>
      </w:r>
      <w:r>
        <w:rPr>
          <w:rFonts w:ascii="標楷體" w:hAnsi="標楷體" w:eastAsia="標楷體"/>
          <w:sz w:val="28"/>
        </w:rPr>
        <w:t xml:space="preserve"> </w:t>
      </w:r>
      <w:r>
        <w:rPr>
          <w:rFonts w:ascii="標楷體" w:hAnsi="標楷體" w:eastAsia="標楷體"/>
          <w:sz w:val="28"/>
        </w:rPr>
        <w:t>嘌呤（氨基酸、</w:t>
      </w:r>
      <w:r>
        <w:rPr>
          <w:rFonts w:eastAsia="標楷體" w:cs="Arial" w:ascii="Arial" w:hAnsi="Arial"/>
          <w:sz w:val="28"/>
        </w:rPr>
        <w:t>CO</w:t>
      </w:r>
      <w:r>
        <w:rPr>
          <w:rFonts w:eastAsia="標楷體" w:cs="Arial" w:ascii="Arial" w:hAnsi="Arial"/>
          <w:sz w:val="28"/>
          <w:vertAlign w:val="subscript"/>
        </w:rPr>
        <w:t>2</w:t>
      </w:r>
      <w:r>
        <w:rPr>
          <w:rFonts w:ascii="標楷體" w:hAnsi="標楷體" w:eastAsia="標楷體"/>
          <w:sz w:val="28"/>
        </w:rPr>
        <w:t>）</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eastAsia="標楷體" w:cs="標楷體" w:ascii="標楷體" w:hAnsi="標楷體"/>
          <w:sz w:val="28"/>
        </w:rPr>
        <w:t>→</w:t>
      </w:r>
      <w:r>
        <w:rPr>
          <w:rFonts w:eastAsia="標楷體" w:cs="標楷體" w:ascii="標楷體" w:hAnsi="標楷體"/>
          <w:sz w:val="28"/>
        </w:rPr>
        <w:t xml:space="preserve"> </w:t>
      </w:r>
      <w:r>
        <w:rPr>
          <w:rFonts w:ascii="標楷體" w:hAnsi="標楷體" w:eastAsia="標楷體"/>
          <w:sz w:val="28"/>
        </w:rPr>
        <w:t>嘧啶（氨基酸、</w:t>
      </w:r>
      <w:r>
        <w:rPr>
          <w:rFonts w:eastAsia="標楷體" w:cs="Arial" w:ascii="Arial" w:hAnsi="Arial"/>
          <w:sz w:val="28"/>
        </w:rPr>
        <w:t>CO</w:t>
      </w:r>
      <w:r>
        <w:rPr>
          <w:rFonts w:eastAsia="標楷體" w:cs="Arial" w:ascii="Arial" w:hAnsi="Arial"/>
          <w:sz w:val="28"/>
          <w:vertAlign w:val="subscript"/>
        </w:rPr>
        <w:t>2</w:t>
      </w:r>
      <w:r>
        <w:rPr>
          <w:rFonts w:ascii="標楷體" w:hAnsi="標楷體" w:eastAsia="標楷體"/>
          <w:sz w:val="28"/>
        </w:rPr>
        <w:t>）</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eastAsia="標楷體" w:ascii="標楷體" w:hAnsi="標楷體"/>
          <w:sz w:val="28"/>
        </w:rPr>
        <w:t>2.</w:t>
      </w:r>
      <w:r>
        <w:rPr>
          <w:rFonts w:ascii="標楷體" w:hAnsi="標楷體" w:eastAsia="標楷體"/>
          <w:sz w:val="28"/>
        </w:rPr>
        <w:t>脫氧核糖</w:t>
      </w:r>
      <w:r>
        <w:rPr>
          <w:rFonts w:ascii="標楷體" w:hAnsi="標楷體" w:eastAsia="標楷體"/>
          <w:sz w:val="28"/>
        </w:rPr>
        <w:t xml:space="preserve"> </w:t>
      </w:r>
      <w:r>
        <w:rPr>
          <w:rFonts w:ascii="標楷體" w:hAnsi="標楷體" w:eastAsia="標楷體"/>
          <w:sz w:val="28"/>
        </w:rPr>
        <w:t>→</w:t>
      </w:r>
      <w:r>
        <w:rPr>
          <w:rFonts w:ascii="標楷體" w:hAnsi="標楷體" w:eastAsia="標楷體"/>
          <w:sz w:val="28"/>
        </w:rPr>
        <w:t xml:space="preserve"> </w:t>
      </w:r>
      <w:r>
        <w:rPr>
          <w:rFonts w:ascii="標楷體" w:hAnsi="標楷體" w:eastAsia="標楷體"/>
          <w:sz w:val="28"/>
        </w:rPr>
        <w:t>由葡萄糖通過磷酸戊糖途徑轉化而來</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eastAsia="標楷體" w:ascii="標楷體" w:hAnsi="標楷體"/>
          <w:sz w:val="28"/>
        </w:rPr>
        <w:t>3.</w:t>
      </w:r>
      <w:r>
        <w:rPr>
          <w:rFonts w:ascii="標楷體" w:hAnsi="標楷體" w:eastAsia="標楷體"/>
          <w:sz w:val="28"/>
        </w:rPr>
        <w:t>磷酸</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由上可知</w:t>
      </w:r>
      <w:r>
        <w:rPr>
          <w:rFonts w:eastAsia="標楷體" w:cs="Arial" w:ascii="Arial" w:hAnsi="Arial"/>
          <w:sz w:val="28"/>
        </w:rPr>
        <w:t>DNA</w:t>
      </w:r>
      <w:r>
        <w:rPr>
          <w:rFonts w:ascii="標楷體" w:hAnsi="標楷體" w:eastAsia="標楷體"/>
          <w:sz w:val="28"/>
        </w:rPr>
        <w:t>除了為遺傳物質、是先天之精之外，本身亦需要由後天之精來供給它一切原料和能量，以為</w:t>
      </w:r>
      <w:r>
        <w:rPr>
          <w:rFonts w:eastAsia="標楷體" w:cs="Arial" w:ascii="標楷體" w:hAnsi="標楷體"/>
          <w:sz w:val="28"/>
        </w:rPr>
        <w:t>DNA</w:t>
      </w:r>
      <w:r>
        <w:rPr>
          <w:rFonts w:ascii="標楷體" w:hAnsi="標楷體" w:eastAsia="標楷體"/>
          <w:sz w:val="28"/>
        </w:rPr>
        <w:t>之更新和複製。另外，蛋白質合成所需的原料，亦需要後天營養的補充。</w:t>
      </w:r>
      <w:r>
        <w:rPr>
          <w:rFonts w:eastAsia="標楷體" w:ascii="標楷體" w:hAnsi="標楷體"/>
          <w:sz w:val="28"/>
        </w:rPr>
        <w:t>&lt;&lt;</w:t>
      </w:r>
      <w:r>
        <w:rPr>
          <w:rFonts w:ascii="標楷體" w:hAnsi="標楷體" w:eastAsia="標楷體"/>
          <w:sz w:val="28"/>
        </w:rPr>
        <w:t>素問‧上古天真論</w:t>
      </w:r>
      <w:r>
        <w:rPr>
          <w:rFonts w:eastAsia="標楷體" w:ascii="標楷體" w:hAnsi="標楷體"/>
          <w:sz w:val="28"/>
        </w:rPr>
        <w:t>&gt;&gt;</w:t>
      </w:r>
      <w:r>
        <w:rPr>
          <w:rFonts w:ascii="標楷體" w:hAnsi="標楷體" w:eastAsia="標楷體"/>
          <w:sz w:val="28"/>
        </w:rPr>
        <w:t>云：「腎者主水，受五臟六腑之精而藏之。」</w:t>
      </w:r>
      <w:r>
        <w:rPr>
          <w:rStyle w:val="EndnoteCharacters"/>
          <w:rStyle w:val="EndnoteAnchor"/>
          <w:rFonts w:ascii="標楷體" w:hAnsi="標楷體" w:eastAsia="標楷體"/>
          <w:sz w:val="28"/>
        </w:rPr>
        <w:endnoteReference w:customMarkFollows="1" w:id="18"/>
        <w:t>(</w:t>
      </w:r>
      <w:r>
        <w:rPr>
          <w:rStyle w:val="EndnoteCharacters"/>
          <w:rFonts w:eastAsia="標楷體" w:ascii="標楷體" w:hAnsi="標楷體"/>
          <w:sz w:val="28"/>
        </w:rPr>
        <w:t>17)</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以上的論述，合乎腎精來自於先天、後天的觀念。</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總之腎所藏的精的特性，即其是由先天而來的，此先天之精，又賴後天之精的滋養。</w:t>
      </w:r>
    </w:p>
    <w:p>
      <w:pPr>
        <w:pStyle w:val="Normal"/>
        <w:snapToGrid w:val="false"/>
        <w:spacing w:lineRule="atLeast" w:line="20"/>
        <w:ind w:firstLine="555"/>
        <w:jc w:val="both"/>
        <w:rPr>
          <w:rFonts w:ascii="標楷體" w:hAnsi="標楷體" w:eastAsia="標楷體"/>
          <w:b/>
          <w:b/>
          <w:sz w:val="28"/>
        </w:rPr>
      </w:pPr>
      <w:r>
        <w:rPr>
          <w:rFonts w:ascii="標楷體" w:hAnsi="標楷體" w:eastAsia="標楷體"/>
          <w:b/>
          <w:sz w:val="28"/>
        </w:rPr>
        <w:t>七、腎開竅於二陰</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eastAsia="標楷體" w:ascii="標楷體" w:hAnsi="標楷體"/>
          <w:sz w:val="28"/>
        </w:rPr>
        <w:t>&lt;&lt;</w:t>
      </w:r>
      <w:r>
        <w:rPr>
          <w:rFonts w:ascii="標楷體" w:hAnsi="標楷體" w:eastAsia="標楷體"/>
          <w:sz w:val="28"/>
        </w:rPr>
        <w:t>素問‧金匱真言論</w:t>
      </w:r>
      <w:r>
        <w:rPr>
          <w:rFonts w:eastAsia="標楷體" w:ascii="標楷體" w:hAnsi="標楷體"/>
          <w:sz w:val="28"/>
        </w:rPr>
        <w:t>&gt;&gt;</w:t>
      </w:r>
      <w:r>
        <w:rPr>
          <w:rFonts w:ascii="標楷體" w:hAnsi="標楷體" w:eastAsia="標楷體"/>
          <w:sz w:val="28"/>
        </w:rPr>
        <w:t>曰</w:t>
      </w:r>
      <w:r>
        <w:rPr>
          <w:rFonts w:eastAsia="標楷體" w:ascii="標楷體" w:hAnsi="標楷體"/>
          <w:sz w:val="28"/>
        </w:rPr>
        <w:t>:</w:t>
      </w:r>
      <w:r>
        <w:rPr>
          <w:rFonts w:ascii="標楷體" w:hAnsi="標楷體" w:eastAsia="標楷體"/>
          <w:sz w:val="28"/>
        </w:rPr>
        <w:t>「北方色黑，入通於腎，開竅於二陰。」</w:t>
      </w:r>
      <w:r>
        <w:rPr>
          <w:rStyle w:val="EndnoteCharacters"/>
          <w:rStyle w:val="EndnoteAnchor"/>
          <w:rFonts w:ascii="標楷體" w:hAnsi="標楷體" w:eastAsia="標楷體"/>
          <w:sz w:val="28"/>
        </w:rPr>
        <w:endnoteReference w:customMarkFollows="1" w:id="19"/>
        <w:t>(</w:t>
      </w:r>
      <w:r>
        <w:rPr>
          <w:rStyle w:val="EndnoteCharacters"/>
          <w:rFonts w:eastAsia="標楷體" w:ascii="標楷體" w:hAnsi="標楷體"/>
          <w:sz w:val="28"/>
        </w:rPr>
        <w:t>18)</w:t>
      </w:r>
      <w:r>
        <w:rPr>
          <w:rFonts w:ascii="標楷體" w:hAnsi="標楷體" w:eastAsia="標楷體"/>
          <w:sz w:val="28"/>
        </w:rPr>
        <w:t>，指出腎具有調節身體排泄系統的功能，使其固攝，不至於失禁。大腸居小腸之下，主出糟粕，故為腸胃變化之傳道。大腸傳化糟粕，受交感和副交感神經的支配，以上所述自主神經之功能亦是在下視丘的調控下所完成的。膀胱的功能是貯存尿液和排尿，其功能亦受到自主神經的調控。</w:t>
      </w:r>
      <w:r>
        <w:rPr>
          <w:rStyle w:val="EndnoteCharacters"/>
          <w:rStyle w:val="EndnoteAnchor"/>
          <w:rFonts w:ascii="標楷體" w:hAnsi="標楷體" w:eastAsia="標楷體"/>
          <w:sz w:val="28"/>
        </w:rPr>
        <w:endnoteReference w:customMarkFollows="1" w:id="20"/>
        <w:t>(</w:t>
      </w:r>
      <w:r>
        <w:rPr>
          <w:rStyle w:val="EndnoteCharacters"/>
          <w:rFonts w:eastAsia="標楷體" w:ascii="標楷體" w:hAnsi="標楷體"/>
          <w:sz w:val="28"/>
        </w:rPr>
        <w:t>19)</w:t>
      </w:r>
    </w:p>
    <w:p>
      <w:pPr>
        <w:pStyle w:val="Normal"/>
        <w:snapToGrid w:val="false"/>
        <w:spacing w:lineRule="atLeast" w:line="20"/>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八、腎主伎巧</w:t>
      </w:r>
    </w:p>
    <w:p>
      <w:pPr>
        <w:pStyle w:val="Normal"/>
        <w:snapToGrid w:val="false"/>
        <w:spacing w:lineRule="atLeast" w:line="20"/>
        <w:jc w:val="both"/>
        <w:rPr/>
      </w:pPr>
      <w:r>
        <w:rPr>
          <w:rFonts w:eastAsia="標楷體" w:cs="標楷體" w:ascii="標楷體" w:hAnsi="標楷體"/>
          <w:sz w:val="28"/>
        </w:rPr>
        <w:t xml:space="preserve">    </w:t>
      </w:r>
      <w:r>
        <w:rPr>
          <w:rFonts w:eastAsia="標楷體" w:ascii="標楷體" w:hAnsi="標楷體"/>
          <w:sz w:val="28"/>
        </w:rPr>
        <w:t>&lt;&lt;</w:t>
      </w:r>
      <w:r>
        <w:rPr>
          <w:rFonts w:ascii="標楷體" w:hAnsi="標楷體" w:eastAsia="標楷體"/>
          <w:sz w:val="28"/>
        </w:rPr>
        <w:t>素問‧靈蘭秘典</w:t>
      </w:r>
      <w:r>
        <w:rPr>
          <w:rFonts w:eastAsia="標楷體" w:ascii="標楷體" w:hAnsi="標楷體"/>
          <w:sz w:val="28"/>
        </w:rPr>
        <w:t>&gt;&gt;</w:t>
      </w:r>
      <w:r>
        <w:rPr>
          <w:rFonts w:ascii="標楷體" w:hAnsi="標楷體" w:eastAsia="標楷體"/>
          <w:sz w:val="28"/>
        </w:rPr>
        <w:t>曰：「腎者，作強之官，伎巧出焉。」</w:t>
      </w:r>
      <w:r>
        <w:rPr>
          <w:rStyle w:val="EndnoteCharacters"/>
          <w:rStyle w:val="EndnoteAnchor"/>
          <w:rFonts w:ascii="標楷體" w:hAnsi="標楷體" w:eastAsia="標楷體"/>
          <w:sz w:val="28"/>
        </w:rPr>
        <w:endnoteReference w:customMarkFollows="1" w:id="21"/>
        <w:t>(</w:t>
      </w:r>
      <w:r>
        <w:rPr>
          <w:rStyle w:val="EndnoteCharacters"/>
          <w:rFonts w:eastAsia="標楷體" w:ascii="標楷體" w:hAnsi="標楷體"/>
          <w:sz w:val="28"/>
        </w:rPr>
        <w:t>20)</w:t>
      </w:r>
      <w:r>
        <w:rPr>
          <w:rFonts w:ascii="標楷體" w:hAnsi="標楷體" w:eastAsia="標楷體"/>
          <w:sz w:val="28"/>
        </w:rPr>
        <w:t>張景岳在</w:t>
      </w:r>
      <w:r>
        <w:rPr>
          <w:rFonts w:eastAsia="標楷體" w:ascii="標楷體" w:hAnsi="標楷體"/>
          <w:sz w:val="28"/>
        </w:rPr>
        <w:t>&lt;&lt;</w:t>
      </w:r>
      <w:r>
        <w:rPr>
          <w:rFonts w:ascii="標楷體" w:hAnsi="標楷體" w:eastAsia="標楷體"/>
          <w:sz w:val="28"/>
        </w:rPr>
        <w:t>類經</w:t>
      </w:r>
      <w:r>
        <w:rPr>
          <w:rFonts w:eastAsia="標楷體" w:ascii="標楷體" w:hAnsi="標楷體"/>
          <w:sz w:val="28"/>
        </w:rPr>
        <w:t>&gt;&gt;</w:t>
      </w:r>
      <w:r>
        <w:rPr>
          <w:rFonts w:ascii="標楷體" w:hAnsi="標楷體" w:eastAsia="標楷體"/>
          <w:sz w:val="28"/>
        </w:rPr>
        <w:t>解釋此經文曰：「伎，技同。腎屬水而藏精，精為有形之本，故為作強之官。水能化生萬物，精妙莫測，故曰伎巧出焉。」</w:t>
      </w:r>
      <w:r>
        <w:rPr>
          <w:rStyle w:val="EndnoteCharacters"/>
          <w:rStyle w:val="EndnoteAnchor"/>
          <w:rFonts w:ascii="標楷體" w:hAnsi="標楷體" w:eastAsia="標楷體"/>
          <w:sz w:val="28"/>
        </w:rPr>
        <w:endnoteReference w:customMarkFollows="1" w:id="22"/>
        <w:t>(</w:t>
      </w:r>
      <w:r>
        <w:rPr>
          <w:rStyle w:val="EndnoteCharacters"/>
          <w:rFonts w:eastAsia="標楷體" w:ascii="標楷體" w:hAnsi="標楷體"/>
          <w:sz w:val="28"/>
        </w:rPr>
        <w:t>21)</w:t>
      </w:r>
      <w:r>
        <w:rPr>
          <w:rFonts w:ascii="標楷體" w:hAnsi="標楷體" w:eastAsia="標楷體"/>
          <w:sz w:val="28"/>
        </w:rPr>
        <w:t>此說明腎之「作強」與「伎巧」均和腎藏精的機制有關。下視丘內有許多「核」為內分泌及自主神經之中樞，此二系統為調節體內生理活動之最主要系統，其調控中樞均位於下視丘，其「精妙莫測」可見一般。「精盛形成則作用強」，故曰調節生理作用皆是在「腎臟之伎巧」下所完成的。</w:t>
      </w:r>
    </w:p>
    <w:p>
      <w:pPr>
        <w:pStyle w:val="Normal"/>
        <w:snapToGrid w:val="false"/>
        <w:spacing w:lineRule="atLeast" w:line="20"/>
        <w:jc w:val="both"/>
        <w:rPr>
          <w:rFonts w:ascii="標楷體" w:hAnsi="標楷體" w:eastAsia="標楷體"/>
          <w:sz w:val="28"/>
        </w:rPr>
      </w:pPr>
      <w:r>
        <w:rPr>
          <w:rFonts w:eastAsia="標楷體" w:ascii="標楷體" w:hAnsi="標楷體"/>
          <w:sz w:val="28"/>
        </w:rPr>
      </w:r>
    </w:p>
    <w:p>
      <w:pPr>
        <w:pStyle w:val="Normal"/>
        <w:snapToGrid w:val="false"/>
        <w:spacing w:lineRule="atLeast" w:line="20"/>
        <w:jc w:val="both"/>
        <w:rPr>
          <w:rFonts w:ascii="標楷體" w:hAnsi="標楷體" w:eastAsia="標楷體"/>
          <w:sz w:val="28"/>
        </w:rPr>
      </w:pPr>
      <w:r>
        <w:rPr>
          <w:rFonts w:eastAsia="標楷體" w:ascii="標楷體" w:hAnsi="標楷體"/>
          <w:sz w:val="28"/>
        </w:rPr>
      </w:r>
    </w:p>
    <w:p>
      <w:pPr>
        <w:pStyle w:val="Normal"/>
        <w:snapToGrid w:val="false"/>
        <w:spacing w:lineRule="atLeast" w:line="20"/>
        <w:ind w:firstLine="630"/>
        <w:jc w:val="both"/>
        <w:rPr>
          <w:rFonts w:ascii="標楷體" w:hAnsi="標楷體" w:eastAsia="標楷體"/>
          <w:b/>
          <w:b/>
          <w:sz w:val="28"/>
        </w:rPr>
      </w:pPr>
      <w:r>
        <w:rPr>
          <w:rFonts w:ascii="標楷體" w:hAnsi="標楷體" w:eastAsia="標楷體"/>
          <w:b/>
          <w:sz w:val="28"/>
        </w:rPr>
        <w:t>第二節  腎之病理</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腎常見之病理機制為腎陰虛與腎陽虛，以下就其所表現之主要症狀，分別以現代醫學探討之。</w:t>
      </w:r>
    </w:p>
    <w:p>
      <w:pPr>
        <w:pStyle w:val="Normal"/>
        <w:snapToGrid w:val="false"/>
        <w:spacing w:lineRule="atLeast" w:line="20"/>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一、從現代醫學探討腎陰虛</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從現代醫學探討腎陰虛之前，必須先列出腎陰虛的臨床表現如下</w:t>
      </w:r>
      <w:r>
        <w:rPr>
          <w:rStyle w:val="EndnoteCharacters"/>
          <w:rStyle w:val="EndnoteAnchor"/>
          <w:rFonts w:ascii="標楷體" w:hAnsi="標楷體" w:eastAsia="標楷體"/>
          <w:sz w:val="28"/>
        </w:rPr>
        <w:endnoteReference w:customMarkFollows="1" w:id="23"/>
        <w:t>(</w:t>
      </w:r>
      <w:r>
        <w:rPr>
          <w:rStyle w:val="EndnoteCharacters"/>
          <w:rFonts w:eastAsia="標楷體" w:ascii="標楷體" w:hAnsi="標楷體"/>
          <w:sz w:val="28"/>
        </w:rPr>
        <w:t>22)</w:t>
      </w:r>
      <w:r>
        <w:rPr>
          <w:rFonts w:ascii="標楷體" w:hAnsi="標楷體" w:eastAsia="標楷體"/>
          <w:sz w:val="28"/>
        </w:rPr>
        <w:t>：五心煩熱、口乾舌燥、失眠多夢、眩暈耳鳴、顴紅盜汗、遺精早洩、腰膝酸軟。茲以現代醫學之觀點對以上症狀分別加以討論：</w:t>
      </w:r>
    </w:p>
    <w:p>
      <w:pPr>
        <w:pStyle w:val="Normal"/>
        <w:snapToGrid w:val="false"/>
        <w:spacing w:lineRule="atLeast" w:line="20"/>
        <w:jc w:val="both"/>
        <w:rPr>
          <w:rFonts w:ascii="標楷體" w:hAnsi="標楷體" w:eastAsia="標楷體" w:cs="標楷體"/>
          <w:sz w:val="28"/>
        </w:rPr>
      </w:pPr>
      <w:r>
        <w:rPr>
          <w:rFonts w:eastAsia="標楷體" w:cs="標楷體" w:ascii="標楷體" w:hAnsi="標楷體"/>
          <w:sz w:val="28"/>
        </w:rPr>
        <w:t xml:space="preserve">   </w:t>
      </w:r>
    </w:p>
    <w:p>
      <w:pPr>
        <w:pStyle w:val="Normal"/>
        <w:snapToGrid w:val="false"/>
        <w:spacing w:lineRule="atLeast" w:line="20"/>
        <w:ind w:left="2280" w:hanging="2280"/>
        <w:jc w:val="both"/>
        <w:rPr>
          <w:rFonts w:ascii="標楷體" w:hAnsi="標楷體" w:eastAsia="標楷體"/>
          <w:sz w:val="28"/>
        </w:rPr>
      </w:pPr>
      <w:r>
        <w:rPr>
          <w:rFonts w:eastAsia="標楷體" w:cs="標楷體" w:ascii="標楷體" w:hAnsi="標楷體"/>
          <w:sz w:val="28"/>
        </w:rPr>
        <w:t xml:space="preserve">    </w:t>
      </w:r>
      <w:r>
        <w:rPr>
          <w:rFonts w:eastAsia="標楷體" w:ascii="標楷體" w:hAnsi="標楷體"/>
          <w:sz w:val="28"/>
        </w:rPr>
        <w:t>1.</w:t>
      </w:r>
      <w:r>
        <w:rPr>
          <w:rFonts w:ascii="標楷體" w:hAnsi="標楷體" w:eastAsia="標楷體"/>
          <w:sz w:val="28"/>
        </w:rPr>
        <w:t>五心煩熱：「五心」即手足掌心加上胸腔中心。煩熱之意，是煩躁而感覺發熱。五心為何發熱？除了其間密佈血管之外，棕色脂肪的存在可能有關。所謂棕色脂肪，是一種不 須</w:t>
      </w:r>
      <w:r>
        <w:rPr>
          <w:rFonts w:eastAsia="標楷體" w:cs="Arial" w:ascii="Arial" w:hAnsi="Arial"/>
          <w:sz w:val="28"/>
        </w:rPr>
        <w:t>ATP</w:t>
      </w:r>
      <w:r>
        <w:rPr>
          <w:rFonts w:ascii="標楷體" w:hAnsi="標楷體" w:eastAsia="標楷體"/>
          <w:sz w:val="28"/>
        </w:rPr>
        <w:t>存在，即能發熱的組織。位於身體內血管較多的地方，諸如四肢末端，心臟及胸腹主動脈</w:t>
      </w:r>
      <w:r>
        <w:rPr>
          <w:rStyle w:val="EndnoteCharacters"/>
          <w:rStyle w:val="EndnoteAnchor"/>
          <w:rFonts w:ascii="標楷體" w:hAnsi="標楷體" w:eastAsia="標楷體"/>
          <w:sz w:val="28"/>
        </w:rPr>
        <w:endnoteReference w:customMarkFollows="1" w:id="24"/>
        <w:t>(</w:t>
      </w:r>
      <w:r>
        <w:rPr>
          <w:rStyle w:val="EndnoteCharacters"/>
          <w:rFonts w:eastAsia="標楷體" w:ascii="標楷體" w:hAnsi="標楷體"/>
          <w:sz w:val="28"/>
        </w:rPr>
        <w:t>23)</w:t>
      </w:r>
      <w:r>
        <w:rPr>
          <w:rFonts w:ascii="標楷體" w:hAnsi="標楷體" w:eastAsia="標楷體"/>
          <w:sz w:val="28"/>
        </w:rPr>
        <w:t>，內有自主神經之</w:t>
      </w:r>
      <w:r>
        <w:rPr>
          <w:rFonts w:eastAsia="標楷體" w:cs="Arial" w:ascii="Arial" w:hAnsi="Arial"/>
          <w:sz w:val="28"/>
        </w:rPr>
        <w:t>Norepinephrine</w:t>
      </w:r>
      <w:r>
        <w:rPr>
          <w:rFonts w:ascii="標楷體" w:hAnsi="標楷體" w:eastAsia="標楷體"/>
          <w:sz w:val="28"/>
        </w:rPr>
        <w:t>分佈</w:t>
      </w:r>
      <w:r>
        <w:rPr>
          <w:rStyle w:val="EndnoteCharacters"/>
          <w:rStyle w:val="EndnoteAnchor"/>
          <w:rFonts w:ascii="標楷體" w:hAnsi="標楷體" w:eastAsia="標楷體"/>
          <w:sz w:val="28"/>
        </w:rPr>
        <w:endnoteReference w:customMarkFollows="1" w:id="25"/>
        <w:t>(</w:t>
      </w:r>
      <w:r>
        <w:rPr>
          <w:rStyle w:val="EndnoteCharacters"/>
          <w:rFonts w:eastAsia="標楷體" w:ascii="標楷體" w:hAnsi="標楷體"/>
          <w:sz w:val="28"/>
        </w:rPr>
        <w:t>24)</w:t>
      </w:r>
      <w:r>
        <w:rPr>
          <w:rFonts w:ascii="標楷體" w:hAnsi="標楷體" w:eastAsia="標楷體"/>
          <w:sz w:val="28"/>
        </w:rPr>
        <w:t>。</w:t>
      </w:r>
    </w:p>
    <w:p>
      <w:pPr>
        <w:pStyle w:val="Normal"/>
        <w:numPr>
          <w:ilvl w:val="0"/>
          <w:numId w:val="9"/>
        </w:numPr>
        <w:snapToGrid w:val="false"/>
        <w:spacing w:lineRule="atLeast" w:line="20"/>
        <w:jc w:val="both"/>
        <w:rPr>
          <w:rFonts w:ascii="標楷體" w:hAnsi="標楷體" w:eastAsia="標楷體"/>
          <w:sz w:val="28"/>
        </w:rPr>
      </w:pPr>
      <w:r>
        <w:rPr>
          <w:rFonts w:ascii="標楷體" w:hAnsi="標楷體" w:eastAsia="標楷體"/>
          <w:sz w:val="28"/>
        </w:rPr>
        <w:t>口乾舌燥：如果交感神經被興奮，則副交感神經被相對的抑</w:t>
      </w:r>
    </w:p>
    <w:p>
      <w:pPr>
        <w:pStyle w:val="Normal"/>
        <w:snapToGrid w:val="false"/>
        <w:spacing w:lineRule="atLeast" w:line="20"/>
        <w:ind w:left="2235" w:hanging="0"/>
        <w:jc w:val="both"/>
        <w:rPr>
          <w:rFonts w:ascii="華康細圓體" w:hAnsi="華康細圓體" w:eastAsia="標楷體"/>
          <w:sz w:val="28"/>
        </w:rPr>
      </w:pPr>
      <w:r>
        <w:rPr>
          <w:rFonts w:ascii="標楷體" w:hAnsi="標楷體" w:eastAsia="標楷體"/>
          <w:sz w:val="28"/>
        </w:rPr>
        <w:t>制，口水分泌減少，可產生口乾舌燥的症狀。抗</w:t>
      </w:r>
      <w:r>
        <w:rPr>
          <w:rFonts w:ascii="華康細圓體" w:hAnsi="華康細圓體" w:eastAsia="標楷體"/>
          <w:sz w:val="28"/>
        </w:rPr>
        <w:t>組織胺藥物服用後會產生口乾舌燥，其原因即在於其有抗副交感神經的作用，而減少口水分泌，導致口乾舌燥。</w:t>
      </w:r>
    </w:p>
    <w:p>
      <w:pPr>
        <w:pStyle w:val="Normal"/>
        <w:numPr>
          <w:ilvl w:val="0"/>
          <w:numId w:val="2"/>
        </w:numPr>
        <w:snapToGrid w:val="false"/>
        <w:spacing w:lineRule="atLeast" w:line="20"/>
        <w:jc w:val="both"/>
        <w:rPr>
          <w:rFonts w:ascii="標楷體" w:hAnsi="標楷體" w:eastAsia="標楷體"/>
          <w:sz w:val="28"/>
        </w:rPr>
      </w:pPr>
      <w:r>
        <w:rPr>
          <w:rFonts w:ascii="標楷體" w:hAnsi="標楷體" w:eastAsia="標楷體"/>
          <w:sz w:val="28"/>
        </w:rPr>
        <w:t>失眠多夢：睡眠週期之快速動眼期（</w:t>
      </w:r>
      <w:r>
        <w:rPr>
          <w:rFonts w:eastAsia="標楷體" w:cs="Arial" w:ascii="Arial" w:hAnsi="Arial"/>
          <w:sz w:val="28"/>
        </w:rPr>
        <w:t>REM</w:t>
      </w:r>
      <w:r>
        <w:rPr>
          <w:rFonts w:ascii="標楷體" w:hAnsi="標楷體" w:eastAsia="標楷體"/>
          <w:sz w:val="28"/>
        </w:rPr>
        <w:t>）最主要是由腦幹</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兩側的藍斑核（</w:t>
      </w:r>
      <w:r>
        <w:rPr>
          <w:rFonts w:eastAsia="標楷體" w:cs="Arial" w:ascii="Arial" w:hAnsi="Arial"/>
          <w:sz w:val="28"/>
        </w:rPr>
        <w:t>Locus Ceruleus</w:t>
      </w:r>
      <w:r>
        <w:rPr>
          <w:rFonts w:ascii="標楷體" w:hAnsi="標楷體" w:eastAsia="標楷體"/>
          <w:sz w:val="28"/>
        </w:rPr>
        <w:t>）所引起，其內</w:t>
      </w:r>
    </w:p>
    <w:p>
      <w:pPr>
        <w:pStyle w:val="Normal"/>
        <w:snapToGrid w:val="false"/>
        <w:spacing w:lineRule="atLeast" w:line="20"/>
        <w:jc w:val="both"/>
        <w:rPr/>
      </w:pPr>
      <w:r>
        <w:rPr>
          <w:rFonts w:eastAsia="標楷體" w:cs="標楷體" w:ascii="標楷體" w:hAnsi="標楷體"/>
          <w:sz w:val="28"/>
        </w:rPr>
        <w:t xml:space="preserve">                </w:t>
      </w:r>
      <w:r>
        <w:rPr>
          <w:rFonts w:ascii="標楷體" w:hAnsi="標楷體" w:eastAsia="標楷體"/>
          <w:sz w:val="28"/>
        </w:rPr>
        <w:t>有許多正腎上腺素（</w:t>
      </w:r>
      <w:r>
        <w:rPr>
          <w:rFonts w:eastAsia="標楷體" w:cs="Arial" w:ascii="Arial" w:hAnsi="Arial"/>
          <w:sz w:val="28"/>
        </w:rPr>
        <w:t>Norepinephrine</w:t>
      </w:r>
      <w:r>
        <w:rPr>
          <w:rFonts w:ascii="標楷體" w:hAnsi="標楷體" w:eastAsia="標楷體"/>
          <w:sz w:val="28"/>
        </w:rPr>
        <w:t>）之神經纖</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維分佈至大腦，其受刺激時，可引起大腦的活化，</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而產生多夢，即使在睡眠中，腦部活動亦酷似清</w:t>
      </w:r>
    </w:p>
    <w:p>
      <w:pPr>
        <w:pStyle w:val="Normal"/>
        <w:snapToGrid w:val="false"/>
        <w:spacing w:lineRule="atLeast" w:line="20"/>
        <w:jc w:val="both"/>
        <w:rPr/>
      </w:pPr>
      <w:r>
        <w:rPr>
          <w:rFonts w:eastAsia="標楷體" w:cs="標楷體" w:ascii="標楷體" w:hAnsi="標楷體"/>
          <w:sz w:val="28"/>
        </w:rPr>
        <w:t xml:space="preserve">                </w:t>
      </w:r>
      <w:r>
        <w:rPr>
          <w:rFonts w:ascii="標楷體" w:hAnsi="標楷體" w:eastAsia="標楷體"/>
          <w:sz w:val="28"/>
        </w:rPr>
        <w:t>醒</w:t>
      </w:r>
      <w:r>
        <w:rPr>
          <w:rStyle w:val="EndnoteCharacters"/>
          <w:rStyle w:val="EndnoteAnchor"/>
          <w:rFonts w:ascii="標楷體" w:hAnsi="標楷體" w:eastAsia="標楷體"/>
          <w:sz w:val="28"/>
        </w:rPr>
        <w:endnoteReference w:customMarkFollows="1" w:id="26"/>
        <w:t>(</w:t>
      </w:r>
      <w:r>
        <w:rPr>
          <w:rStyle w:val="EndnoteCharacters"/>
          <w:rFonts w:eastAsia="標楷體" w:ascii="標楷體" w:hAnsi="標楷體"/>
          <w:sz w:val="28"/>
        </w:rPr>
        <w:t>25)</w:t>
      </w:r>
      <w:r>
        <w:rPr>
          <w:rFonts w:eastAsia="標楷體" w:ascii="標楷體" w:hAnsi="標楷體"/>
          <w:sz w:val="28"/>
        </w:rPr>
        <w:t xml:space="preserve"> </w:t>
      </w:r>
      <w:r>
        <w:rPr>
          <w:rFonts w:ascii="標楷體" w:hAnsi="標楷體" w:eastAsia="標楷體"/>
          <w:sz w:val="28"/>
        </w:rPr>
        <w:t>。</w:t>
      </w:r>
      <w:r>
        <w:rPr>
          <w:rFonts w:ascii="標楷體" w:hAnsi="標楷體" w:eastAsia="標楷體"/>
          <w:sz w:val="28"/>
        </w:rPr>
        <w:t xml:space="preserve"> </w:t>
      </w:r>
    </w:p>
    <w:p>
      <w:pPr>
        <w:pStyle w:val="Normal"/>
        <w:snapToGrid w:val="false"/>
        <w:spacing w:lineRule="atLeast" w:line="20"/>
        <w:ind w:left="2160" w:hanging="2160"/>
        <w:jc w:val="both"/>
        <w:rPr>
          <w:rFonts w:ascii="標楷體" w:hAnsi="標楷體" w:eastAsia="標楷體"/>
          <w:sz w:val="28"/>
        </w:rPr>
      </w:pPr>
      <w:r>
        <w:rPr>
          <w:rFonts w:eastAsia="華康細圓體" w:cs="華康細圓體" w:ascii="華康細圓體" w:hAnsi="華康細圓體"/>
          <w:sz w:val="28"/>
        </w:rPr>
        <w:t xml:space="preserve">     </w:t>
      </w:r>
      <w:r>
        <w:rPr>
          <w:rFonts w:eastAsia="標楷體" w:ascii="標楷體" w:hAnsi="標楷體"/>
          <w:sz w:val="28"/>
        </w:rPr>
        <w:t>4.</w:t>
      </w:r>
      <w:r>
        <w:rPr>
          <w:rFonts w:ascii="標楷體" w:hAnsi="標楷體" w:eastAsia="標楷體"/>
          <w:sz w:val="28"/>
        </w:rPr>
        <w:t>眩暈耳鳴：自主神經失調可引起姿態性低血壓（</w:t>
      </w:r>
      <w:r>
        <w:rPr>
          <w:rFonts w:eastAsia="標楷體" w:cs="Arial" w:ascii="Arial" w:hAnsi="Arial"/>
          <w:sz w:val="28"/>
        </w:rPr>
        <w:t>Orthostatic hypotension</w:t>
      </w:r>
      <w:r>
        <w:rPr>
          <w:rFonts w:ascii="標楷體" w:hAnsi="標楷體" w:eastAsia="標楷體"/>
          <w:sz w:val="28"/>
        </w:rPr>
        <w:t>）而產生眩暈的症狀</w:t>
      </w:r>
      <w:r>
        <w:rPr>
          <w:rStyle w:val="EndnoteCharacters"/>
          <w:rStyle w:val="EndnoteAnchor"/>
          <w:rFonts w:ascii="標楷體" w:hAnsi="標楷體" w:eastAsia="標楷體"/>
          <w:sz w:val="28"/>
        </w:rPr>
        <w:endnoteReference w:customMarkFollows="1" w:id="27"/>
        <w:t>(</w:t>
      </w:r>
      <w:r>
        <w:rPr>
          <w:rStyle w:val="EndnoteCharacters"/>
          <w:rFonts w:eastAsia="標楷體" w:ascii="標楷體" w:hAnsi="標楷體"/>
          <w:sz w:val="28"/>
        </w:rPr>
        <w:t>26)</w:t>
      </w:r>
      <w:r>
        <w:rPr>
          <w:rFonts w:ascii="標楷體" w:hAnsi="標楷體" w:eastAsia="標楷體"/>
          <w:sz w:val="28"/>
        </w:rPr>
        <w:t>。</w:t>
      </w:r>
    </w:p>
    <w:p>
      <w:pPr>
        <w:pStyle w:val="Normal"/>
        <w:snapToGrid w:val="false"/>
        <w:spacing w:lineRule="atLeast" w:line="20"/>
        <w:ind w:left="1800" w:hanging="1800"/>
        <w:jc w:val="both"/>
        <w:rPr/>
      </w:pPr>
      <w:r>
        <w:rPr>
          <w:rFonts w:eastAsia="標楷體" w:cs="標楷體" w:ascii="標楷體" w:hAnsi="標楷體"/>
          <w:sz w:val="28"/>
        </w:rPr>
        <w:t xml:space="preserve">     </w:t>
      </w:r>
      <w:r>
        <w:rPr>
          <w:rFonts w:eastAsia="標楷體" w:ascii="標楷體" w:hAnsi="標楷體"/>
          <w:sz w:val="28"/>
        </w:rPr>
        <w:t>5.</w:t>
      </w:r>
      <w:r>
        <w:rPr>
          <w:rFonts w:ascii="標楷體" w:hAnsi="標楷體" w:eastAsia="標楷體"/>
          <w:sz w:val="28"/>
        </w:rPr>
        <w:t>盜汗：刺激交感神經可促使汗腺大量分泌</w:t>
      </w:r>
      <w:r>
        <w:rPr>
          <w:rStyle w:val="EndnoteCharacters"/>
          <w:rStyle w:val="EndnoteAnchor"/>
          <w:rFonts w:ascii="標楷體" w:hAnsi="標楷體" w:eastAsia="標楷體"/>
          <w:sz w:val="28"/>
        </w:rPr>
        <w:endnoteReference w:customMarkFollows="1" w:id="28"/>
        <w:t>(</w:t>
      </w:r>
      <w:r>
        <w:rPr>
          <w:rStyle w:val="EndnoteCharacters"/>
          <w:rFonts w:eastAsia="標楷體" w:ascii="標楷體" w:hAnsi="標楷體"/>
          <w:sz w:val="28"/>
        </w:rPr>
        <w:t>27)</w:t>
      </w:r>
      <w:r>
        <w:rPr>
          <w:rFonts w:ascii="標楷體" w:hAnsi="標楷體" w:eastAsia="標楷體"/>
          <w:sz w:val="28"/>
        </w:rPr>
        <w:t>。</w:t>
      </w:r>
      <w:r>
        <w:rPr>
          <w:rFonts w:ascii="標楷體" w:hAnsi="標楷體" w:eastAsia="標楷體"/>
          <w:sz w:val="28"/>
        </w:rPr>
        <w:t xml:space="preserve">  </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eastAsia="標楷體" w:ascii="標楷體" w:hAnsi="標楷體"/>
          <w:sz w:val="28"/>
        </w:rPr>
        <w:t>6.</w:t>
      </w:r>
      <w:r>
        <w:rPr>
          <w:rFonts w:ascii="標楷體" w:hAnsi="標楷體" w:eastAsia="標楷體"/>
          <w:sz w:val="28"/>
        </w:rPr>
        <w:t>遺精早洩：刺激交感神經可引起射精</w:t>
      </w:r>
      <w:r>
        <w:rPr>
          <w:rStyle w:val="EndnoteCharacters"/>
          <w:rStyle w:val="EndnoteAnchor"/>
          <w:rFonts w:ascii="標楷體" w:hAnsi="標楷體" w:eastAsia="標楷體"/>
          <w:sz w:val="28"/>
        </w:rPr>
        <w:endnoteReference w:customMarkFollows="1" w:id="29"/>
        <w:t>(</w:t>
      </w:r>
      <w:r>
        <w:rPr>
          <w:rStyle w:val="EndnoteCharacters"/>
          <w:rFonts w:eastAsia="標楷體" w:ascii="標楷體" w:hAnsi="標楷體"/>
          <w:sz w:val="28"/>
        </w:rPr>
        <w:t>28)</w:t>
      </w:r>
      <w:r>
        <w:rPr>
          <w:rFonts w:ascii="標楷體" w:hAnsi="標楷體" w:eastAsia="標楷體"/>
          <w:sz w:val="28"/>
        </w:rPr>
        <w:t>。</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腎陰虛雖然表現的症狀非常多樣，然而似有共通性，皆和自主神經的關係非常密切。自主神經的中樞位於下視丘與腦幹，前者主要有整合協調的作用，而後者主要是內源性表現。下視丘內自主神經的核為室旁核（</w:t>
      </w:r>
      <w:r>
        <w:rPr>
          <w:rFonts w:eastAsia="標楷體" w:cs="Arial" w:ascii="Arial" w:hAnsi="Arial"/>
          <w:sz w:val="28"/>
        </w:rPr>
        <w:t>Paraventricular nucleus</w:t>
      </w:r>
      <w:r>
        <w:rPr>
          <w:rFonts w:ascii="標楷體" w:hAnsi="標楷體" w:eastAsia="標楷體"/>
          <w:sz w:val="28"/>
        </w:rPr>
        <w:t>）因此理論上，用電刺激下視丘內之室旁核，可引起腎陰虛的症狀。</w:t>
      </w:r>
    </w:p>
    <w:p>
      <w:pPr>
        <w:pStyle w:val="Normal"/>
        <w:snapToGrid w:val="false"/>
        <w:spacing w:lineRule="atLeast" w:line="20"/>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二、腎陽虛之實質</w:t>
      </w:r>
    </w:p>
    <w:p>
      <w:pPr>
        <w:pStyle w:val="Normal"/>
        <w:snapToGrid w:val="false"/>
        <w:spacing w:lineRule="atLeast" w:line="20"/>
        <w:ind w:firstLine="555"/>
        <w:jc w:val="both"/>
        <w:rPr>
          <w:rFonts w:ascii="標楷體" w:hAnsi="標楷體" w:eastAsia="標楷體"/>
          <w:sz w:val="28"/>
        </w:rPr>
      </w:pPr>
      <w:r>
        <w:rPr>
          <w:rFonts w:ascii="標楷體" w:hAnsi="標楷體" w:eastAsia="標楷體"/>
          <w:sz w:val="28"/>
        </w:rPr>
        <w:t>根據前文上海醫科大學所做之研究，其結論為腎陽虛和下視丘內控制內分泌的中樞功能低下有關。</w:t>
      </w:r>
    </w:p>
    <w:p>
      <w:pPr>
        <w:pStyle w:val="Normal"/>
        <w:snapToGrid w:val="false"/>
        <w:spacing w:lineRule="atLeast" w:line="20"/>
        <w:jc w:val="both"/>
        <w:rPr>
          <w:rFonts w:ascii="標楷體" w:hAnsi="標楷體" w:eastAsia="標楷體"/>
          <w:b/>
          <w:b/>
          <w:sz w:val="28"/>
        </w:rPr>
      </w:pPr>
      <w:r>
        <w:rPr>
          <w:rFonts w:eastAsia="華康細圓體" w:cs="華康細圓體" w:ascii="華康細圓體" w:hAnsi="華康細圓體"/>
          <w:sz w:val="28"/>
        </w:rPr>
        <w:t xml:space="preserve">  </w:t>
      </w:r>
      <w:r>
        <w:rPr>
          <w:rFonts w:eastAsia="標楷體" w:cs="標楷體" w:ascii="標楷體" w:hAnsi="標楷體"/>
          <w:b/>
          <w:sz w:val="28"/>
        </w:rPr>
        <w:t xml:space="preserve">  </w:t>
      </w:r>
      <w:r>
        <w:rPr>
          <w:rFonts w:ascii="標楷體" w:hAnsi="標楷體" w:eastAsia="標楷體"/>
          <w:b/>
          <w:sz w:val="28"/>
        </w:rPr>
        <w:t>三、腎精不足</w:t>
      </w:r>
    </w:p>
    <w:p>
      <w:pPr>
        <w:pStyle w:val="Normal"/>
        <w:snapToGrid w:val="false"/>
        <w:spacing w:lineRule="atLeast" w:line="20"/>
        <w:ind w:firstLine="555"/>
        <w:jc w:val="both"/>
        <w:rPr>
          <w:rFonts w:ascii="標楷體" w:hAnsi="標楷體" w:eastAsia="標楷體"/>
          <w:sz w:val="28"/>
        </w:rPr>
      </w:pPr>
      <w:r>
        <w:rPr>
          <w:rFonts w:ascii="標楷體" w:hAnsi="標楷體" w:eastAsia="標楷體"/>
          <w:sz w:val="28"/>
        </w:rPr>
        <w:t>常見之症狀，在骨為骨骼發育不良，身材矮小</w:t>
      </w:r>
      <w:r>
        <w:rPr>
          <w:rFonts w:eastAsia="標楷體" w:ascii="標楷體" w:hAnsi="標楷體"/>
          <w:sz w:val="28"/>
        </w:rPr>
        <w:t>;</w:t>
      </w:r>
      <w:r>
        <w:rPr>
          <w:rFonts w:ascii="標楷體" w:hAnsi="標楷體" w:eastAsia="標楷體"/>
          <w:sz w:val="28"/>
        </w:rPr>
        <w:t>在脊髓表現為生殖功能減退</w:t>
      </w:r>
      <w:r>
        <w:rPr>
          <w:rFonts w:eastAsia="標楷體" w:ascii="標楷體" w:hAnsi="標楷體"/>
          <w:sz w:val="28"/>
        </w:rPr>
        <w:t>;</w:t>
      </w:r>
      <w:r>
        <w:rPr>
          <w:rFonts w:ascii="標楷體" w:hAnsi="標楷體" w:eastAsia="標楷體"/>
          <w:sz w:val="28"/>
        </w:rPr>
        <w:t>在腦表現為智力減退。以上症狀類似腎主生長、生殖、發育所需荷爾蒙，生長激素、生殖激素、甲狀腺素，缺少時所表現出來的症狀</w:t>
      </w:r>
      <w:r>
        <w:rPr>
          <w:rStyle w:val="EndnoteCharacters"/>
          <w:rStyle w:val="EndnoteAnchor"/>
          <w:rFonts w:ascii="標楷體" w:hAnsi="標楷體" w:eastAsia="標楷體"/>
          <w:sz w:val="28"/>
        </w:rPr>
        <w:endnoteReference w:customMarkFollows="1" w:id="30"/>
        <w:t>(</w:t>
      </w:r>
      <w:r>
        <w:rPr>
          <w:rStyle w:val="EndnoteCharacters"/>
          <w:rFonts w:eastAsia="標楷體" w:ascii="標楷體" w:hAnsi="標楷體"/>
          <w:sz w:val="28"/>
        </w:rPr>
        <w:t>29)</w:t>
      </w:r>
      <w:r>
        <w:rPr>
          <w:rFonts w:ascii="標楷體" w:hAnsi="標楷體" w:eastAsia="標楷體"/>
          <w:sz w:val="28"/>
        </w:rPr>
        <w:t>。因此腎精不足之實質，和下視丘內主管生長、生殖、發育之內分泌有關。</w:t>
      </w:r>
    </w:p>
    <w:p>
      <w:pPr>
        <w:pStyle w:val="Normal"/>
        <w:snapToGrid w:val="false"/>
        <w:spacing w:lineRule="atLeast" w:line="20"/>
        <w:ind w:firstLine="555"/>
        <w:jc w:val="both"/>
        <w:rPr>
          <w:rFonts w:ascii="標楷體" w:hAnsi="標楷體" w:eastAsia="標楷體"/>
          <w:sz w:val="28"/>
        </w:rPr>
      </w:pPr>
      <w:r>
        <w:rPr>
          <w:rFonts w:ascii="標楷體" w:hAnsi="標楷體" w:eastAsia="標楷體"/>
          <w:sz w:val="28"/>
        </w:rPr>
        <w:t>腎精不足在小兒的表現為</w:t>
      </w:r>
      <w:r>
        <w:rPr>
          <w:rFonts w:eastAsia="標楷體" w:ascii="標楷體" w:hAnsi="標楷體"/>
          <w:sz w:val="28"/>
        </w:rPr>
        <w:t>:</w:t>
      </w:r>
      <w:r>
        <w:rPr>
          <w:rFonts w:ascii="標楷體" w:hAnsi="標楷體" w:eastAsia="標楷體"/>
          <w:sz w:val="28"/>
        </w:rPr>
        <w:t>發育不良、身材短小、智力不足、動作遲緩、囟門遲閉</w:t>
      </w:r>
      <w:r>
        <w:rPr>
          <w:rFonts w:eastAsia="標楷體" w:ascii="標楷體" w:hAnsi="標楷體"/>
          <w:sz w:val="28"/>
        </w:rPr>
        <w:t>;</w:t>
      </w:r>
      <w:r>
        <w:rPr>
          <w:rFonts w:ascii="標楷體" w:hAnsi="標楷體" w:eastAsia="標楷體"/>
          <w:sz w:val="28"/>
        </w:rPr>
        <w:t>在大人則表現為早衰、性功能減退、腰膝痿軟、齒搖髮脫</w:t>
      </w:r>
      <w:r>
        <w:rPr>
          <w:rStyle w:val="EndnoteCharacters"/>
          <w:rStyle w:val="EndnoteAnchor"/>
          <w:rFonts w:ascii="標楷體" w:hAnsi="標楷體" w:eastAsia="標楷體"/>
          <w:sz w:val="28"/>
        </w:rPr>
        <w:endnoteReference w:customMarkFollows="1" w:id="31"/>
        <w:t>(</w:t>
      </w:r>
      <w:r>
        <w:rPr>
          <w:rStyle w:val="EndnoteCharacters"/>
          <w:rFonts w:eastAsia="標楷體" w:ascii="標楷體" w:hAnsi="標楷體"/>
          <w:sz w:val="28"/>
        </w:rPr>
        <w:t>30)</w:t>
      </w:r>
      <w:r>
        <w:rPr>
          <w:rFonts w:ascii="標楷體" w:hAnsi="標楷體" w:eastAsia="標楷體"/>
          <w:sz w:val="28"/>
        </w:rPr>
        <w:t>等下視丘內分泌不足之現象。其造成之原因除了先天稟賦不足之外，前人認為和房勞過度、工作勞累有關。</w:t>
      </w:r>
    </w:p>
    <w:p>
      <w:pPr>
        <w:pStyle w:val="Normal"/>
        <w:snapToGrid w:val="false"/>
        <w:spacing w:lineRule="atLeast" w:line="20"/>
        <w:ind w:firstLine="555"/>
        <w:jc w:val="both"/>
        <w:rPr>
          <w:rFonts w:ascii="標楷體" w:hAnsi="標楷體" w:eastAsia="標楷體"/>
          <w:b/>
          <w:b/>
          <w:sz w:val="28"/>
        </w:rPr>
      </w:pPr>
      <w:r>
        <w:rPr>
          <w:rFonts w:ascii="標楷體" w:hAnsi="標楷體" w:eastAsia="標楷體"/>
          <w:sz w:val="28"/>
        </w:rPr>
        <w:t>和腎精不足相關之中醫病證為</w:t>
      </w:r>
      <w:r>
        <w:rPr>
          <w:rFonts w:eastAsia="標楷體" w:ascii="標楷體" w:hAnsi="標楷體"/>
          <w:sz w:val="28"/>
        </w:rPr>
        <w:t xml:space="preserve">: </w:t>
      </w:r>
      <w:r>
        <w:rPr>
          <w:rFonts w:ascii="標楷體" w:hAnsi="標楷體" w:eastAsia="標楷體"/>
          <w:sz w:val="28"/>
        </w:rPr>
        <w:t>解顱、五遲、五軟、痿證、痴呆眩暈、陽痿、不孕</w:t>
      </w:r>
      <w:r>
        <w:rPr>
          <w:rFonts w:ascii="標楷體" w:hAnsi="標楷體" w:eastAsia="標楷體"/>
          <w:sz w:val="28"/>
        </w:rPr>
        <w:t>……</w:t>
      </w:r>
      <w:r>
        <w:rPr>
          <w:rStyle w:val="EndnoteCharacters"/>
          <w:rStyle w:val="EndnoteAnchor"/>
          <w:rFonts w:ascii="標楷體" w:hAnsi="標楷體" w:eastAsia="標楷體"/>
          <w:sz w:val="28"/>
        </w:rPr>
        <w:endnoteReference w:customMarkFollows="1" w:id="32"/>
        <w:t>(</w:t>
      </w:r>
      <w:r>
        <w:rPr>
          <w:rStyle w:val="EndnoteCharacters"/>
          <w:rFonts w:eastAsia="標楷體" w:ascii="標楷體" w:hAnsi="標楷體"/>
          <w:sz w:val="28"/>
        </w:rPr>
        <w:t>31)</w:t>
      </w:r>
      <w:r>
        <w:rPr>
          <w:rFonts w:ascii="標楷體" w:hAnsi="標楷體" w:eastAsia="標楷體"/>
          <w:sz w:val="28"/>
        </w:rPr>
        <w:t>。</w:t>
      </w:r>
    </w:p>
    <w:p>
      <w:pPr>
        <w:pStyle w:val="Normal"/>
        <w:snapToGrid w:val="false"/>
        <w:spacing w:lineRule="atLeast" w:line="20"/>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四、腎虛水泛</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腎虛水泛指的是腎陽虛衰，造成全身水腫的一種病證。除了指解剖之腎臟通過濾過、重吸收等排尿過程以調節體內水分失衡之外，亦指調控其間過程之自主神經、內分泌、醛固酮、抗利尿激素等內分泌調控的水分代謝有關</w:t>
      </w:r>
      <w:r>
        <w:rPr>
          <w:rStyle w:val="EndnoteCharacters"/>
          <w:rStyle w:val="EndnoteAnchor"/>
          <w:rFonts w:ascii="標楷體" w:hAnsi="標楷體" w:eastAsia="標楷體"/>
          <w:sz w:val="28"/>
        </w:rPr>
        <w:endnoteReference w:customMarkFollows="1" w:id="33"/>
        <w:t>(</w:t>
      </w:r>
      <w:r>
        <w:rPr>
          <w:rStyle w:val="EndnoteCharacters"/>
          <w:rFonts w:eastAsia="標楷體" w:ascii="標楷體" w:hAnsi="標楷體"/>
          <w:sz w:val="28"/>
        </w:rPr>
        <w:t>32)</w:t>
      </w:r>
      <w:r>
        <w:rPr>
          <w:rFonts w:eastAsia="標楷體" w:ascii="標楷體" w:hAnsi="標楷體"/>
          <w:sz w:val="28"/>
        </w:rPr>
        <w:t xml:space="preserve"> </w:t>
      </w:r>
      <w:r>
        <w:rPr>
          <w:rFonts w:ascii="標楷體" w:hAnsi="標楷體" w:eastAsia="標楷體"/>
          <w:sz w:val="28"/>
        </w:rPr>
        <w:t>。</w:t>
      </w:r>
    </w:p>
    <w:p>
      <w:pPr>
        <w:pStyle w:val="Normal"/>
        <w:snapToGrid w:val="false"/>
        <w:spacing w:lineRule="atLeast" w:line="20"/>
        <w:jc w:val="both"/>
        <w:rPr>
          <w:rFonts w:ascii="標楷體" w:hAnsi="標楷體" w:eastAsia="標楷體"/>
          <w:b/>
          <w:b/>
          <w:sz w:val="28"/>
        </w:rPr>
      </w:pPr>
      <w:r>
        <w:rPr>
          <w:rFonts w:eastAsia="標楷體" w:cs="標楷體" w:ascii="標楷體" w:hAnsi="標楷體"/>
          <w:sz w:val="28"/>
        </w:rPr>
        <w:t xml:space="preserve">   </w:t>
      </w:r>
      <w:r>
        <w:rPr>
          <w:rFonts w:eastAsia="標楷體" w:cs="標楷體" w:ascii="標楷體" w:hAnsi="標楷體"/>
          <w:b/>
          <w:sz w:val="28"/>
        </w:rPr>
        <w:t xml:space="preserve"> </w:t>
      </w:r>
      <w:r>
        <w:rPr>
          <w:rFonts w:ascii="標楷體" w:hAnsi="標楷體" w:eastAsia="標楷體"/>
          <w:b/>
          <w:sz w:val="28"/>
        </w:rPr>
        <w:t>五、腎氣不固</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腎氣不固指的是腎氣虧損，封藏固攝之功能失職，造成遺精、遺尿、尿濁、帶下等症</w:t>
      </w:r>
      <w:r>
        <w:rPr>
          <w:rStyle w:val="EndnoteCharacters"/>
          <w:rStyle w:val="EndnoteAnchor"/>
          <w:rFonts w:ascii="標楷體" w:hAnsi="標楷體" w:eastAsia="標楷體"/>
          <w:sz w:val="28"/>
        </w:rPr>
        <w:endnoteReference w:customMarkFollows="1" w:id="34"/>
        <w:t>(</w:t>
      </w:r>
      <w:r>
        <w:rPr>
          <w:rStyle w:val="EndnoteCharacters"/>
          <w:rFonts w:eastAsia="標楷體" w:ascii="標楷體" w:hAnsi="標楷體"/>
          <w:sz w:val="28"/>
        </w:rPr>
        <w:t>33)</w:t>
      </w:r>
      <w:r>
        <w:rPr>
          <w:rFonts w:ascii="標楷體" w:hAnsi="標楷體" w:eastAsia="標楷體"/>
          <w:sz w:val="28"/>
        </w:rPr>
        <w:t>。由以上病症可知，腎氣不固之生理功能和自主神經之薦椎</w:t>
      </w:r>
      <w:r>
        <w:rPr>
          <w:rFonts w:eastAsia="標楷體" w:ascii="標楷體" w:hAnsi="標楷體"/>
          <w:sz w:val="28"/>
        </w:rPr>
        <w:t>(</w:t>
      </w:r>
      <w:r>
        <w:rPr>
          <w:rFonts w:eastAsia="標楷體" w:cs="Arial" w:ascii="Arial" w:hAnsi="Arial"/>
          <w:sz w:val="28"/>
        </w:rPr>
        <w:t>Sacrum</w:t>
      </w:r>
      <w:r>
        <w:rPr>
          <w:rFonts w:eastAsia="標楷體" w:ascii="標楷體" w:hAnsi="標楷體"/>
          <w:sz w:val="28"/>
        </w:rPr>
        <w:t>)</w:t>
      </w:r>
      <w:r>
        <w:rPr>
          <w:rFonts w:ascii="標楷體" w:hAnsi="標楷體" w:eastAsia="標楷體"/>
          <w:sz w:val="28"/>
        </w:rPr>
        <w:t>段有關，而其中樞位於下視丘</w:t>
      </w:r>
      <w:r>
        <w:rPr>
          <w:rStyle w:val="EndnoteCharacters"/>
          <w:rStyle w:val="EndnoteAnchor"/>
          <w:rFonts w:ascii="標楷體" w:hAnsi="標楷體" w:eastAsia="標楷體"/>
          <w:sz w:val="28"/>
        </w:rPr>
        <w:endnoteReference w:customMarkFollows="1" w:id="35"/>
        <w:t>(</w:t>
      </w:r>
      <w:r>
        <w:rPr>
          <w:rStyle w:val="EndnoteCharacters"/>
          <w:rFonts w:eastAsia="標楷體" w:ascii="標楷體" w:hAnsi="標楷體"/>
          <w:sz w:val="28"/>
        </w:rPr>
        <w:t>34)</w:t>
      </w:r>
      <w:r>
        <w:rPr>
          <w:rFonts w:ascii="標楷體" w:hAnsi="標楷體" w:eastAsia="標楷體"/>
          <w:sz w:val="28"/>
        </w:rPr>
        <w:t>。</w:t>
      </w:r>
    </w:p>
    <w:p>
      <w:pPr>
        <w:pStyle w:val="Normal"/>
        <w:snapToGrid w:val="false"/>
        <w:spacing w:lineRule="atLeast" w:line="20"/>
        <w:jc w:val="both"/>
        <w:rPr>
          <w:rFonts w:ascii="標楷體" w:hAnsi="標楷體" w:eastAsia="標楷體"/>
          <w:b/>
          <w:b/>
          <w:sz w:val="28"/>
        </w:rPr>
      </w:pPr>
      <w:r>
        <w:rPr>
          <w:rFonts w:eastAsia="華康細圓體" w:cs="華康細圓體" w:ascii="華康細圓體" w:hAnsi="華康細圓體"/>
          <w:sz w:val="28"/>
        </w:rPr>
        <w:t xml:space="preserve">   </w:t>
      </w:r>
      <w:r>
        <w:rPr>
          <w:rFonts w:eastAsia="標楷體" w:cs="標楷體" w:ascii="標楷體" w:hAnsi="標楷體"/>
          <w:b/>
          <w:sz w:val="28"/>
        </w:rPr>
        <w:t xml:space="preserve"> </w:t>
      </w:r>
      <w:r>
        <w:rPr>
          <w:rFonts w:ascii="標楷體" w:hAnsi="標楷體" w:eastAsia="標楷體"/>
          <w:b/>
          <w:sz w:val="28"/>
        </w:rPr>
        <w:t>六、腎不納氣</w:t>
      </w:r>
    </w:p>
    <w:p>
      <w:pPr>
        <w:pStyle w:val="Normal"/>
        <w:snapToGrid w:val="false"/>
        <w:spacing w:lineRule="atLeast" w:line="20"/>
        <w:ind w:firstLine="555"/>
        <w:jc w:val="both"/>
        <w:rPr>
          <w:rFonts w:ascii="標楷體" w:hAnsi="標楷體" w:eastAsia="標楷體"/>
          <w:sz w:val="28"/>
        </w:rPr>
      </w:pPr>
      <w:r>
        <w:rPr>
          <w:rFonts w:ascii="標楷體" w:hAnsi="標楷體" w:eastAsia="標楷體"/>
          <w:sz w:val="28"/>
        </w:rPr>
        <w:t>腎不納氣指的是腎對於肺調節吸氣的功能，失去控制，造成喘氣，應指下視丘中自主神經的中樞，對於肺部的呼與吸調控不良。</w:t>
      </w:r>
    </w:p>
    <w:p>
      <w:pPr>
        <w:pStyle w:val="Normal"/>
        <w:snapToGrid w:val="false"/>
        <w:spacing w:lineRule="atLeast" w:line="20"/>
        <w:ind w:firstLine="555"/>
        <w:jc w:val="both"/>
        <w:rPr>
          <w:rFonts w:ascii="標楷體" w:hAnsi="標楷體" w:eastAsia="標楷體"/>
          <w:sz w:val="28"/>
        </w:rPr>
      </w:pPr>
      <w:r>
        <w:rPr>
          <w:rFonts w:ascii="標楷體" w:hAnsi="標楷體" w:eastAsia="標楷體"/>
          <w:sz w:val="28"/>
        </w:rPr>
        <w:t>總結以上論述，不管是從生理的角度或從病理的觀點，腎與下視丘功能軸的關係是十分密切的。</w:t>
      </w:r>
    </w:p>
    <w:p>
      <w:pPr>
        <w:pStyle w:val="Normal"/>
        <w:snapToGrid w:val="false"/>
        <w:spacing w:lineRule="atLeast" w:line="20"/>
        <w:ind w:firstLine="555"/>
        <w:jc w:val="both"/>
        <w:rPr>
          <w:rFonts w:ascii="標楷體" w:hAnsi="標楷體" w:eastAsia="標楷體"/>
          <w:sz w:val="28"/>
        </w:rPr>
      </w:pPr>
      <w:r>
        <w:rPr>
          <w:rFonts w:eastAsia="標楷體" w:ascii="標楷體" w:hAnsi="標楷體"/>
          <w:sz w:val="28"/>
        </w:rPr>
      </w:r>
    </w:p>
    <w:p>
      <w:pPr>
        <w:pStyle w:val="Normal"/>
        <w:snapToGrid w:val="false"/>
        <w:spacing w:lineRule="atLeast" w:line="20"/>
        <w:ind w:firstLine="555"/>
        <w:jc w:val="both"/>
        <w:rPr>
          <w:rFonts w:ascii="標楷體" w:hAnsi="標楷體" w:eastAsia="標楷體"/>
          <w:sz w:val="28"/>
        </w:rPr>
      </w:pPr>
      <w:r>
        <w:rPr>
          <w:rFonts w:eastAsia="標楷體" w:ascii="標楷體" w:hAnsi="標楷體"/>
          <w:sz w:val="28"/>
        </w:rPr>
      </w:r>
    </w:p>
    <w:p>
      <w:pPr>
        <w:pStyle w:val="Normal"/>
        <w:snapToGrid w:val="false"/>
        <w:spacing w:lineRule="atLeast" w:line="20"/>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第三節  腎與心肝藏象的關係</w:t>
      </w:r>
    </w:p>
    <w:p>
      <w:pPr>
        <w:pStyle w:val="Normal"/>
        <w:snapToGrid w:val="false"/>
        <w:spacing w:lineRule="atLeast" w:line="20"/>
        <w:ind w:firstLine="630"/>
        <w:jc w:val="both"/>
        <w:rPr>
          <w:rFonts w:ascii="標楷體" w:hAnsi="標楷體" w:eastAsia="標楷體"/>
          <w:sz w:val="28"/>
        </w:rPr>
      </w:pPr>
      <w:r>
        <w:rPr>
          <w:rFonts w:eastAsia="標楷體" w:ascii="標楷體" w:hAnsi="標楷體"/>
          <w:sz w:val="28"/>
        </w:rPr>
        <w:t>&lt;&lt;</w:t>
      </w:r>
      <w:r>
        <w:rPr>
          <w:rFonts w:ascii="標楷體" w:hAnsi="標楷體" w:eastAsia="標楷體"/>
          <w:sz w:val="28"/>
        </w:rPr>
        <w:t>素問‧靈蘭秘典</w:t>
      </w:r>
      <w:r>
        <w:rPr>
          <w:rFonts w:eastAsia="標楷體" w:ascii="標楷體" w:hAnsi="標楷體"/>
          <w:sz w:val="28"/>
        </w:rPr>
        <w:t>&gt;&gt;</w:t>
      </w:r>
      <w:r>
        <w:rPr>
          <w:rFonts w:ascii="標楷體" w:hAnsi="標楷體" w:eastAsia="標楷體"/>
          <w:sz w:val="28"/>
        </w:rPr>
        <w:t>曰：「凡此十二官者，不得相失也。」</w:t>
      </w:r>
      <w:r>
        <w:rPr>
          <w:rStyle w:val="EndnoteCharacters"/>
          <w:rStyle w:val="EndnoteAnchor"/>
          <w:rFonts w:ascii="標楷體" w:hAnsi="標楷體" w:eastAsia="標楷體"/>
          <w:sz w:val="28"/>
        </w:rPr>
        <w:endnoteReference w:customMarkFollows="1" w:id="36"/>
        <w:t>(</w:t>
      </w:r>
      <w:r>
        <w:rPr>
          <w:rStyle w:val="EndnoteCharacters"/>
          <w:rFonts w:eastAsia="標楷體" w:ascii="標楷體" w:hAnsi="標楷體"/>
          <w:sz w:val="28"/>
        </w:rPr>
        <w:t>35)</w:t>
      </w:r>
      <w:r>
        <w:rPr>
          <w:rFonts w:ascii="標楷體" w:hAnsi="標楷體" w:eastAsia="標楷體"/>
          <w:sz w:val="28"/>
        </w:rPr>
        <w:t>即說明中醫的藏象系統彼此之間的關係是密切的。同樣的，腦中的結構，彼此之間亦是互相影響的。在談到腎與心肝臟腑的關係時，首先要介紹的是中樞自主神經系統。</w:t>
      </w:r>
    </w:p>
    <w:p>
      <w:pPr>
        <w:pStyle w:val="Normal"/>
        <w:snapToGrid w:val="false"/>
        <w:spacing w:lineRule="atLeast" w:line="20"/>
        <w:ind w:firstLine="630"/>
        <w:jc w:val="both"/>
        <w:rPr>
          <w:rFonts w:ascii="標楷體" w:hAnsi="標楷體" w:eastAsia="標楷體"/>
          <w:b/>
          <w:b/>
          <w:sz w:val="28"/>
        </w:rPr>
      </w:pPr>
      <w:r>
        <w:rPr>
          <w:rFonts w:ascii="標楷體" w:hAnsi="標楷體" w:eastAsia="標楷體"/>
          <w:b/>
          <w:sz w:val="28"/>
        </w:rPr>
        <w:t>一、從中樞自主神經系統看心肝腎的關係</w:t>
      </w:r>
    </w:p>
    <w:p>
      <w:pPr>
        <w:pStyle w:val="Normal"/>
        <w:snapToGrid w:val="false"/>
        <w:spacing w:lineRule="atLeast" w:line="20"/>
        <w:jc w:val="both"/>
        <w:rPr/>
      </w:pPr>
      <w:r>
        <w:rPr>
          <w:rFonts w:eastAsia="標楷體" w:cs="標楷體" w:ascii="標楷體" w:hAnsi="標楷體"/>
          <w:sz w:val="28"/>
        </w:rPr>
        <w:t xml:space="preserve">    </w:t>
      </w:r>
      <w:r>
        <w:rPr>
          <w:rFonts w:ascii="標楷體" w:hAnsi="標楷體" w:eastAsia="標楷體"/>
          <w:sz w:val="28"/>
        </w:rPr>
        <w:t>所謂中樞自主神經系統，是相對於週邊自主神經系統所建立的名詞，其簡單的解釋即為腦中控制週邊自主神經系統的結構。由腦的前額部</w:t>
      </w:r>
      <w:r>
        <w:rPr>
          <w:rFonts w:eastAsia="標楷體" w:ascii="標楷體" w:hAnsi="標楷體"/>
          <w:sz w:val="28"/>
        </w:rPr>
        <w:t>(</w:t>
      </w:r>
      <w:r>
        <w:rPr>
          <w:rFonts w:eastAsia="標楷體" w:cs="Arial" w:ascii="Arial" w:hAnsi="Arial"/>
          <w:sz w:val="28"/>
        </w:rPr>
        <w:t>Forebrain</w:t>
      </w:r>
      <w:r>
        <w:rPr>
          <w:rFonts w:eastAsia="標楷體" w:cs="Roman;Times New Roman" w:ascii="標楷體" w:hAnsi="標楷體"/>
          <w:sz w:val="28"/>
        </w:rPr>
        <w:t>)</w:t>
      </w:r>
      <w:r>
        <w:rPr>
          <w:rFonts w:ascii="標楷體" w:hAnsi="標楷體" w:eastAsia="標楷體"/>
          <w:sz w:val="28"/>
        </w:rPr>
        <w:t>之皮層，往下延伸至邊緣系統之杏仁核，再往下到達下視丘與腦幹，如圖</w:t>
      </w:r>
      <w:r>
        <w:rPr>
          <w:rFonts w:eastAsia="標楷體" w:ascii="標楷體" w:hAnsi="標楷體"/>
          <w:sz w:val="28"/>
        </w:rPr>
        <w:t>(</w:t>
      </w:r>
      <w:r>
        <w:rPr>
          <w:rFonts w:ascii="標楷體" w:hAnsi="標楷體" w:eastAsia="標楷體"/>
          <w:sz w:val="28"/>
        </w:rPr>
        <w:t>二</w:t>
      </w:r>
      <w:r>
        <w:rPr>
          <w:rFonts w:eastAsia="標楷體" w:ascii="標楷體" w:hAnsi="標楷體"/>
          <w:sz w:val="28"/>
        </w:rPr>
        <w:t>)</w:t>
      </w:r>
      <w:r>
        <w:rPr>
          <w:rStyle w:val="EndnoteCharacters"/>
          <w:rStyle w:val="EndnoteAnchor"/>
          <w:rFonts w:eastAsia="標楷體" w:ascii="標楷體" w:hAnsi="標楷體"/>
          <w:sz w:val="28"/>
        </w:rPr>
        <w:endnoteReference w:customMarkFollows="1" w:id="37"/>
        <w:t>(</w:t>
      </w:r>
      <w:r>
        <w:rPr>
          <w:rStyle w:val="EndnoteCharacters"/>
          <w:rFonts w:eastAsia="華康細圓體" w:ascii="華康細圓體" w:hAnsi="華康細圓體"/>
          <w:sz w:val="28"/>
        </w:rPr>
        <w:t>36)</w:t>
      </w:r>
      <w:r>
        <w:rPr>
          <w:rFonts w:ascii="華康細圓體" w:hAnsi="華康細圓體" w:eastAsia="華康細圓體"/>
          <w:sz w:val="28"/>
        </w:rPr>
        <w:t>，</w:t>
      </w:r>
      <w:r>
        <w:rPr>
          <w:rFonts w:ascii="標楷體" w:hAnsi="標楷體" w:eastAsia="標楷體"/>
          <w:sz w:val="28"/>
        </w:rPr>
        <w:t>這其中有幾個重點，即</w:t>
      </w:r>
      <w:r>
        <w:rPr>
          <w:rFonts w:ascii="Wingdings" w:hAnsi="Wingdings" w:cs="Wingdings" w:eastAsia="Wingdings"/>
          <w:sz w:val="28"/>
        </w:rPr>
        <w:t></w:t>
      </w:r>
      <w:r>
        <w:rPr>
          <w:rFonts w:ascii="標楷體" w:hAnsi="標楷體" w:eastAsia="標楷體"/>
          <w:sz w:val="28"/>
        </w:rPr>
        <w:t>邊緣系統有功能類似於大腦皮層的部分</w:t>
      </w:r>
      <w:r>
        <w:rPr>
          <w:rFonts w:ascii="Wingdings" w:hAnsi="Wingdings" w:cs="Wingdings" w:eastAsia="Wingdings"/>
          <w:sz w:val="28"/>
        </w:rPr>
        <w:t></w:t>
      </w:r>
      <w:r>
        <w:rPr>
          <w:rFonts w:ascii="標楷體" w:hAnsi="標楷體" w:eastAsia="標楷體"/>
          <w:sz w:val="28"/>
        </w:rPr>
        <w:t>下視丘亦有屬於邊緣系統的部分</w:t>
      </w:r>
      <w:r>
        <w:rPr>
          <w:rFonts w:ascii="Wingdings" w:hAnsi="Wingdings" w:cs="Wingdings" w:eastAsia="Wingdings"/>
          <w:sz w:val="28"/>
        </w:rPr>
        <w:t></w:t>
      </w:r>
      <w:r>
        <w:rPr>
          <w:rFonts w:ascii="標楷體" w:hAnsi="標楷體" w:eastAsia="標楷體"/>
          <w:sz w:val="28"/>
        </w:rPr>
        <w:t>下視丘透過內分泌、自主神經，腦幹透過體運動神經系統與自主神經系統與週邊聯繫，如圖</w:t>
      </w:r>
      <w:r>
        <w:rPr>
          <w:rFonts w:eastAsia="標楷體" w:ascii="標楷體" w:hAnsi="標楷體"/>
          <w:sz w:val="28"/>
        </w:rPr>
        <w:t>(</w:t>
      </w:r>
      <w:r>
        <w:rPr>
          <w:rFonts w:ascii="標楷體" w:hAnsi="標楷體" w:eastAsia="標楷體"/>
          <w:sz w:val="28"/>
        </w:rPr>
        <w:t>三</w:t>
      </w:r>
      <w:r>
        <w:rPr>
          <w:rFonts w:eastAsia="標楷體" w:ascii="標楷體" w:hAnsi="標楷體"/>
          <w:sz w:val="28"/>
        </w:rPr>
        <w:t>)</w:t>
      </w:r>
      <w:r>
        <w:rPr>
          <w:rStyle w:val="EndnoteCharacters"/>
          <w:rStyle w:val="EndnoteAnchor"/>
          <w:rFonts w:eastAsia="標楷體" w:ascii="標楷體" w:hAnsi="標楷體"/>
          <w:sz w:val="28"/>
        </w:rPr>
        <w:endnoteReference w:customMarkFollows="1" w:id="38"/>
        <w:t>(</w:t>
      </w:r>
      <w:r>
        <w:rPr>
          <w:rStyle w:val="EndnoteCharacters"/>
          <w:rFonts w:eastAsia="標楷體" w:ascii="標楷體" w:hAnsi="標楷體"/>
          <w:sz w:val="28"/>
        </w:rPr>
        <w:t>37)</w:t>
      </w:r>
      <w:r>
        <w:rPr>
          <w:rFonts w:ascii="標楷體" w:hAnsi="標楷體" w:eastAsia="標楷體"/>
          <w:sz w:val="28"/>
        </w:rPr>
        <w:t>。</w:t>
      </w:r>
    </w:p>
    <w:p>
      <w:pPr>
        <w:pStyle w:val="Normal"/>
        <w:snapToGrid w:val="false"/>
        <w:spacing w:lineRule="atLeast" w:line="20"/>
        <w:jc w:val="both"/>
        <w:rPr>
          <w:rFonts w:ascii="標楷體" w:hAnsi="標楷體" w:eastAsia="標楷體" w:cs="Roman;Times New Roman"/>
          <w:sz w:val="28"/>
        </w:rPr>
      </w:pPr>
      <w:r>
        <w:rPr>
          <w:rFonts w:eastAsia="標楷體" w:cs="Roman;Times New Roman" w:ascii="標楷體" w:hAnsi="標楷體"/>
          <w:sz w:val="28"/>
        </w:rPr>
      </w:r>
      <w:r>
        <w:br w:type="page"/>
      </w:r>
    </w:p>
    <w:p>
      <w:pPr>
        <w:pStyle w:val="Normal"/>
        <w:jc w:val="both"/>
        <w:rPr>
          <w:rFonts w:ascii="標楷體" w:hAnsi="標楷體" w:eastAsia="標楷體" w:cs="Roman;Times New Roman"/>
          <w:sz w:val="28"/>
        </w:rPr>
      </w:pPr>
      <w:r>
        <w:rPr>
          <w:rFonts w:eastAsia="標楷體" w:cs="Roman;Times New Roman" w:ascii="標楷體" w:hAnsi="標楷體"/>
          <w:sz w:val="28"/>
        </w:rPr>
      </w:r>
    </w:p>
    <w:tbl>
      <w:tblPr>
        <w:tblW w:w="8318" w:type="dxa"/>
        <w:jc w:val="left"/>
        <w:tblInd w:w="-33" w:type="dxa"/>
        <w:tblBorders>
          <w:top w:val="single" w:sz="4" w:space="0" w:color="000000"/>
          <w:left w:val="single" w:sz="4" w:space="0" w:color="000000"/>
          <w:bottom w:val="single" w:sz="4" w:space="0" w:color="000000"/>
          <w:insideH w:val="single" w:sz="4" w:space="0" w:color="000000"/>
        </w:tblBorders>
        <w:tblCellMar>
          <w:top w:w="0" w:type="dxa"/>
          <w:left w:w="23" w:type="dxa"/>
          <w:bottom w:w="0" w:type="dxa"/>
          <w:right w:w="28" w:type="dxa"/>
        </w:tblCellMar>
      </w:tblPr>
      <w:tblGrid>
        <w:gridCol w:w="4154"/>
        <w:gridCol w:w="4164"/>
      </w:tblGrid>
      <w:tr>
        <w:trPr/>
        <w:tc>
          <w:tcPr>
            <w:tcW w:w="4154"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jc w:val="both"/>
              <w:rPr>
                <w:rFonts w:ascii="標楷體" w:hAnsi="標楷體" w:eastAsia="標楷體" w:cs="Roman;Times New Roman"/>
                <w:sz w:val="28"/>
              </w:rPr>
            </w:pPr>
            <w:r>
              <w:rPr>
                <w:rFonts w:eastAsia="標楷體" w:cs="Roman;Times New Roman" w:ascii="標楷體" w:hAnsi="標楷體"/>
                <w:sz w:val="28"/>
              </w:rPr>
              <w:drawing>
                <wp:inline distT="0" distB="0" distL="0" distR="0">
                  <wp:extent cx="2626360" cy="240220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4"/>
                          <a:srcRect l="-7" t="-8" r="-7" b="-8"/>
                          <a:stretch>
                            <a:fillRect/>
                          </a:stretch>
                        </pic:blipFill>
                        <pic:spPr bwMode="auto">
                          <a:xfrm>
                            <a:off x="0" y="0"/>
                            <a:ext cx="2626360" cy="2402205"/>
                          </a:xfrm>
                          <a:prstGeom prst="rect">
                            <a:avLst/>
                          </a:prstGeom>
                        </pic:spPr>
                      </pic:pic>
                    </a:graphicData>
                  </a:graphic>
                </wp:inline>
              </w:drawing>
            </w:r>
          </w:p>
        </w:tc>
        <w:tc>
          <w:tcPr>
            <w:tcW w:w="416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jc w:val="both"/>
              <w:rPr>
                <w:rFonts w:ascii="標楷體" w:hAnsi="標楷體" w:eastAsia="標楷體" w:cs="Roman;Times New Roman"/>
                <w:sz w:val="28"/>
              </w:rPr>
            </w:pPr>
            <w:r>
              <w:rPr>
                <w:rFonts w:eastAsia="標楷體" w:ascii="標楷體" w:hAnsi="標楷體"/>
                <w:sz w:val="28"/>
              </w:rPr>
              <w:drawing>
                <wp:inline distT="0" distB="0" distL="0" distR="0">
                  <wp:extent cx="2620645" cy="2368550"/>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5"/>
                          <a:srcRect l="-6" t="-7" r="-6" b="-7"/>
                          <a:stretch>
                            <a:fillRect/>
                          </a:stretch>
                        </pic:blipFill>
                        <pic:spPr bwMode="auto">
                          <a:xfrm>
                            <a:off x="0" y="0"/>
                            <a:ext cx="2620645" cy="2368550"/>
                          </a:xfrm>
                          <a:prstGeom prst="rect">
                            <a:avLst/>
                          </a:prstGeom>
                        </pic:spPr>
                      </pic:pic>
                    </a:graphicData>
                  </a:graphic>
                </wp:inline>
              </w:drawing>
            </w:r>
          </w:p>
        </w:tc>
      </w:tr>
    </w:tbl>
    <w:p>
      <w:pPr>
        <w:pStyle w:val="Normal"/>
        <w:snapToGrid w:val="false"/>
        <w:spacing w:lineRule="atLeast" w:line="20"/>
        <w:jc w:val="center"/>
        <w:rPr/>
      </w:pPr>
      <w:r>
        <w:rPr>
          <w:rFonts w:ascii="標楷體" w:hAnsi="標楷體" w:eastAsia="標楷體"/>
          <w:sz w:val="28"/>
        </w:rPr>
        <w:t>圖二、圖三</w:t>
      </w:r>
      <w:r>
        <w:rPr>
          <w:rFonts w:eastAsia="標楷體" w:ascii="標楷體" w:hAnsi="標楷體"/>
          <w:sz w:val="28"/>
        </w:rPr>
        <w:t>:</w:t>
      </w:r>
      <w:r>
        <w:rPr>
          <w:rFonts w:ascii="標楷體" w:hAnsi="標楷體" w:eastAsia="標楷體"/>
          <w:sz w:val="28"/>
        </w:rPr>
        <w:t>中樞自主神經系統相關解剖構造</w:t>
      </w:r>
    </w:p>
    <w:p>
      <w:pPr>
        <w:pStyle w:val="Normal"/>
        <w:snapToGrid w:val="false"/>
        <w:spacing w:lineRule="atLeast" w:line="20"/>
        <w:jc w:val="center"/>
        <w:rPr>
          <w:rFonts w:ascii="標楷體" w:hAnsi="標楷體" w:eastAsia="標楷體"/>
          <w:sz w:val="28"/>
        </w:rPr>
      </w:pPr>
      <w:r>
        <w:rPr>
          <w:rFonts w:eastAsia="標楷體" w:ascii="標楷體" w:hAnsi="標楷體"/>
          <w:sz w:val="28"/>
        </w:rPr>
      </w:r>
    </w:p>
    <w:p>
      <w:pPr>
        <w:pStyle w:val="21"/>
        <w:rPr>
          <w:rFonts w:ascii="標楷體" w:hAnsi="標楷體" w:eastAsia="標楷體"/>
        </w:rPr>
      </w:pPr>
      <w:r>
        <w:rPr>
          <w:rFonts w:eastAsia="標楷體" w:cs="標楷體" w:ascii="標楷體" w:hAnsi="標楷體"/>
        </w:rPr>
        <w:t xml:space="preserve">    </w:t>
      </w:r>
      <w:r>
        <w:rPr>
          <w:rFonts w:ascii="標楷體" w:hAnsi="標楷體" w:eastAsia="標楷體"/>
        </w:rPr>
        <w:t>由以上認識可知心比之於大腦皮層、肝比之邊緣系統、腎比之於下視丘，其間的關係，用中樞自主神經系統的觀點來說明，可謂異曲同工。</w:t>
      </w:r>
    </w:p>
    <w:p>
      <w:pPr>
        <w:pStyle w:val="Normal"/>
        <w:snapToGrid w:val="false"/>
        <w:spacing w:lineRule="atLeast" w:line="20"/>
        <w:jc w:val="center"/>
        <w:rPr>
          <w:rFonts w:ascii="標楷體" w:hAnsi="標楷體" w:eastAsia="標楷體"/>
          <w:sz w:val="28"/>
        </w:rPr>
      </w:pPr>
      <w:r>
        <w:rPr>
          <w:rFonts w:eastAsia="標楷體" w:ascii="標楷體" w:hAnsi="標楷體"/>
          <w:sz w:val="28"/>
        </w:rPr>
      </w:r>
    </w:p>
    <w:p>
      <w:pPr>
        <w:pStyle w:val="Normal"/>
        <w:snapToGrid w:val="false"/>
        <w:spacing w:lineRule="atLeast" w:line="20"/>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二、從腦中結構特殊性看心肝腎的關係</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就腦功能分類腦之結構，大致可分成維持人類基本生存的「本能腦」，此部分由下視丘、腦幹所負責，又稱爬虫類的腦</w:t>
      </w:r>
      <w:r>
        <w:rPr>
          <w:rFonts w:eastAsia="標楷體" w:ascii="標楷體" w:hAnsi="標楷體"/>
          <w:sz w:val="28"/>
        </w:rPr>
        <w:t>;</w:t>
      </w:r>
      <w:r>
        <w:rPr>
          <w:rFonts w:ascii="標楷體" w:hAnsi="標楷體" w:eastAsia="標楷體"/>
          <w:sz w:val="28"/>
        </w:rPr>
        <w:t>和人類感情有關之「情緒腦」，由邊緣系統控制，又稱貓狗的腦</w:t>
      </w:r>
      <w:r>
        <w:rPr>
          <w:rFonts w:eastAsia="標楷體" w:ascii="標楷體" w:hAnsi="標楷體"/>
          <w:sz w:val="28"/>
        </w:rPr>
        <w:t>;</w:t>
      </w:r>
      <w:r>
        <w:rPr>
          <w:rFonts w:ascii="標楷體" w:hAnsi="標楷體" w:eastAsia="標楷體"/>
          <w:sz w:val="28"/>
        </w:rPr>
        <w:t>維持人類理性，使人類和其他動物不同之「知性腦」，此部分由大腦皮層負責調控。當然，以上之分法是一個粗略大概的分法，以腦結構為主，除此以外，腦中的神經傳遞物質在維持生存本能、情緒與知性的功能亦扮演了重要的角色。</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由以上說明可知，其實「本能腦」即類似中醫藏象學說中的「腎」，而「情緒腦」則比之於「肝」，「知性腦」則類似「心」，總結以上說明如下圖</w:t>
      </w:r>
      <w:r>
        <w:rPr>
          <w:rFonts w:eastAsia="標楷體" w:ascii="標楷體" w:hAnsi="標楷體"/>
          <w:sz w:val="28"/>
        </w:rPr>
        <w:t>(</w:t>
      </w:r>
      <w:r>
        <w:rPr>
          <w:rFonts w:ascii="標楷體" w:hAnsi="標楷體" w:eastAsia="標楷體"/>
          <w:sz w:val="28"/>
        </w:rPr>
        <w:t>四</w:t>
      </w:r>
      <w:r>
        <w:rPr>
          <w:rFonts w:eastAsia="標楷體" w:ascii="標楷體" w:hAnsi="標楷體"/>
          <w:sz w:val="28"/>
        </w:rPr>
        <w:t>)</w:t>
      </w:r>
      <w:r>
        <w:rPr>
          <w:rFonts w:ascii="標楷體" w:hAnsi="標楷體" w:eastAsia="標楷體"/>
          <w:sz w:val="28"/>
        </w:rPr>
        <w:t>。</w:t>
      </w:r>
    </w:p>
    <w:p>
      <w:pPr>
        <w:pStyle w:val="Normal"/>
        <w:snapToGrid w:val="false"/>
        <w:spacing w:lineRule="atLeast" w:line="20"/>
        <w:jc w:val="both"/>
        <w:rPr>
          <w:rFonts w:ascii="華康細圓體" w:hAnsi="華康細圓體" w:eastAsia="華康細圓體"/>
          <w:sz w:val="28"/>
        </w:rPr>
      </w:pPr>
      <w:r>
        <w:rPr>
          <w:rFonts w:eastAsia="華康細圓體" w:ascii="華康細圓體" w:hAnsi="華康細圓體"/>
          <w:sz w:val="28"/>
        </w:rPr>
      </w:r>
    </w:p>
    <w:p>
      <w:pPr>
        <w:pStyle w:val="Normal"/>
        <w:tabs>
          <w:tab w:val="left" w:pos="3960" w:leader="none"/>
        </w:tabs>
        <w:snapToGrid w:val="false"/>
        <w:spacing w:lineRule="atLeast" w:line="20"/>
        <w:jc w:val="both"/>
        <w:rPr/>
      </w:pPr>
      <w:r>
        <mc:AlternateContent>
          <mc:Choice Requires="wpg">
            <w:drawing>
              <wp:anchor behindDoc="0" distT="0" distB="0" distL="114935" distR="114935" simplePos="0" locked="0" layoutInCell="1" allowOverlap="1" relativeHeight="10">
                <wp:simplePos x="0" y="0"/>
                <wp:positionH relativeFrom="column">
                  <wp:posOffset>2286000</wp:posOffset>
                </wp:positionH>
                <wp:positionV relativeFrom="paragraph">
                  <wp:posOffset>92075</wp:posOffset>
                </wp:positionV>
                <wp:extent cx="135255" cy="477520"/>
                <wp:effectExtent l="0" t="0" r="0" b="0"/>
                <wp:wrapNone/>
                <wp:docPr id="5" name=""/>
                <a:graphic xmlns:a="http://schemas.openxmlformats.org/drawingml/2006/main">
                  <a:graphicData uri="http://schemas.microsoft.com/office/word/2010/wordprocessingGroup">
                    <wpg:wgp>
                      <wpg:cNvGrpSpPr/>
                      <wpg:grpSpPr>
                        <a:xfrm rot="10800000">
                          <a:off x="0" y="0"/>
                          <a:ext cx="134640" cy="477000"/>
                        </a:xfrm>
                      </wpg:grpSpPr>
                      <wps:wsp>
                        <wps:cNvSpPr/>
                        <wps:spPr>
                          <a:xfrm>
                            <a:off x="-67320" y="319320"/>
                            <a:ext cx="67320" cy="78840"/>
                          </a:xfrm>
                          <a:custGeom>
                            <a:avLst/>
                            <a:gdLst/>
                            <a:ahLst/>
                            <a:rect l="0" t="0" r="r" b="b"/>
                            <a:pathLst>
                              <a:path w="54" h="63">
                                <a:moveTo>
                                  <a:pt x="0" y="62"/>
                                </a:moveTo>
                                <a:lnTo>
                                  <a:pt x="3" y="62"/>
                                </a:lnTo>
                                <a:lnTo>
                                  <a:pt x="6" y="62"/>
                                </a:lnTo>
                                <a:lnTo>
                                  <a:pt x="8" y="61"/>
                                </a:lnTo>
                                <a:lnTo>
                                  <a:pt x="11" y="61"/>
                                </a:lnTo>
                                <a:lnTo>
                                  <a:pt x="14" y="60"/>
                                </a:lnTo>
                                <a:lnTo>
                                  <a:pt x="16" y="59"/>
                                </a:lnTo>
                                <a:lnTo>
                                  <a:pt x="19" y="58"/>
                                </a:lnTo>
                                <a:lnTo>
                                  <a:pt x="22" y="57"/>
                                </a:lnTo>
                                <a:lnTo>
                                  <a:pt x="24" y="55"/>
                                </a:lnTo>
                                <a:lnTo>
                                  <a:pt x="27" y="54"/>
                                </a:lnTo>
                                <a:lnTo>
                                  <a:pt x="29" y="52"/>
                                </a:lnTo>
                                <a:lnTo>
                                  <a:pt x="31" y="50"/>
                                </a:lnTo>
                                <a:lnTo>
                                  <a:pt x="33" y="48"/>
                                </a:lnTo>
                                <a:lnTo>
                                  <a:pt x="35" y="46"/>
                                </a:lnTo>
                                <a:lnTo>
                                  <a:pt x="37" y="44"/>
                                </a:lnTo>
                                <a:lnTo>
                                  <a:pt x="39" y="41"/>
                                </a:lnTo>
                                <a:lnTo>
                                  <a:pt x="41" y="39"/>
                                </a:lnTo>
                                <a:lnTo>
                                  <a:pt x="43" y="36"/>
                                </a:lnTo>
                                <a:lnTo>
                                  <a:pt x="44" y="34"/>
                                </a:lnTo>
                                <a:lnTo>
                                  <a:pt x="46" y="31"/>
                                </a:lnTo>
                                <a:lnTo>
                                  <a:pt x="47" y="28"/>
                                </a:lnTo>
                                <a:lnTo>
                                  <a:pt x="48" y="25"/>
                                </a:lnTo>
                                <a:lnTo>
                                  <a:pt x="49" y="22"/>
                                </a:lnTo>
                                <a:lnTo>
                                  <a:pt x="50" y="19"/>
                                </a:lnTo>
                                <a:lnTo>
                                  <a:pt x="51" y="16"/>
                                </a:lnTo>
                                <a:lnTo>
                                  <a:pt x="52" y="13"/>
                                </a:lnTo>
                                <a:lnTo>
                                  <a:pt x="52" y="10"/>
                                </a:lnTo>
                                <a:lnTo>
                                  <a:pt x="53" y="6"/>
                                </a:lnTo>
                                <a:lnTo>
                                  <a:pt x="53" y="3"/>
                                </a:lnTo>
                                <a:lnTo>
                                  <a:pt x="53" y="0"/>
                                </a:lnTo>
                                <a:lnTo>
                                  <a:pt x="0" y="0"/>
                                </a:lnTo>
                                <a:lnTo>
                                  <a:pt x="0" y="62"/>
                                </a:lnTo>
                                <a:moveTo>
                                  <a:pt x="0" y="62"/>
                                </a:moveTo>
                                <a:lnTo>
                                  <a:pt x="3" y="62"/>
                                </a:lnTo>
                                <a:lnTo>
                                  <a:pt x="6" y="62"/>
                                </a:lnTo>
                                <a:lnTo>
                                  <a:pt x="8" y="61"/>
                                </a:lnTo>
                                <a:lnTo>
                                  <a:pt x="11" y="61"/>
                                </a:lnTo>
                                <a:lnTo>
                                  <a:pt x="14" y="60"/>
                                </a:lnTo>
                                <a:lnTo>
                                  <a:pt x="16" y="59"/>
                                </a:lnTo>
                                <a:lnTo>
                                  <a:pt x="19" y="58"/>
                                </a:lnTo>
                                <a:lnTo>
                                  <a:pt x="22" y="57"/>
                                </a:lnTo>
                                <a:lnTo>
                                  <a:pt x="24" y="55"/>
                                </a:lnTo>
                                <a:lnTo>
                                  <a:pt x="27" y="54"/>
                                </a:lnTo>
                                <a:lnTo>
                                  <a:pt x="29" y="52"/>
                                </a:lnTo>
                                <a:lnTo>
                                  <a:pt x="31" y="50"/>
                                </a:lnTo>
                                <a:lnTo>
                                  <a:pt x="33" y="48"/>
                                </a:lnTo>
                                <a:lnTo>
                                  <a:pt x="35" y="46"/>
                                </a:lnTo>
                                <a:lnTo>
                                  <a:pt x="37" y="44"/>
                                </a:lnTo>
                                <a:lnTo>
                                  <a:pt x="39" y="41"/>
                                </a:lnTo>
                                <a:lnTo>
                                  <a:pt x="41" y="39"/>
                                </a:lnTo>
                                <a:lnTo>
                                  <a:pt x="43" y="36"/>
                                </a:lnTo>
                                <a:lnTo>
                                  <a:pt x="44" y="34"/>
                                </a:lnTo>
                                <a:lnTo>
                                  <a:pt x="46" y="31"/>
                                </a:lnTo>
                                <a:lnTo>
                                  <a:pt x="47" y="28"/>
                                </a:lnTo>
                                <a:lnTo>
                                  <a:pt x="48" y="25"/>
                                </a:lnTo>
                                <a:lnTo>
                                  <a:pt x="49" y="22"/>
                                </a:lnTo>
                                <a:lnTo>
                                  <a:pt x="50" y="19"/>
                                </a:lnTo>
                                <a:lnTo>
                                  <a:pt x="51" y="16"/>
                                </a:lnTo>
                                <a:lnTo>
                                  <a:pt x="52" y="13"/>
                                </a:lnTo>
                                <a:lnTo>
                                  <a:pt x="52" y="10"/>
                                </a:lnTo>
                                <a:lnTo>
                                  <a:pt x="53" y="6"/>
                                </a:lnTo>
                                <a:lnTo>
                                  <a:pt x="53" y="3"/>
                                </a:lnTo>
                                <a:lnTo>
                                  <a:pt x="53" y="0"/>
                                </a:lnTo>
                              </a:path>
                            </a:pathLst>
                          </a:custGeom>
                          <a:noFill/>
                          <a:ln w="9360">
                            <a:solidFill>
                              <a:srgbClr val="000000"/>
                            </a:solidFill>
                            <a:miter/>
                          </a:ln>
                        </wps:spPr>
                        <wps:style>
                          <a:lnRef idx="0"/>
                          <a:fillRef idx="0"/>
                          <a:effectRef idx="0"/>
                          <a:fontRef idx="minor"/>
                        </wps:style>
                        <wps:bodyPr/>
                      </wps:wsp>
                      <wps:wsp>
                        <wps:cNvSpPr/>
                        <wps:spPr>
                          <a:xfrm>
                            <a:off x="67320" y="277560"/>
                            <a:ext cx="720" cy="160560"/>
                          </a:xfrm>
                          <a:prstGeom prst="line">
                            <a:avLst/>
                          </a:prstGeom>
                          <a:ln w="9360">
                            <a:solidFill>
                              <a:srgbClr val="000000"/>
                            </a:solidFill>
                            <a:miter/>
                          </a:ln>
                        </wps:spPr>
                        <wps:style>
                          <a:lnRef idx="0"/>
                          <a:fillRef idx="0"/>
                          <a:effectRef idx="0"/>
                          <a:fontRef idx="minor"/>
                        </wps:style>
                        <wps:bodyPr/>
                      </wps:wsp>
                      <wps:wsp>
                        <wps:cNvSpPr/>
                        <wps:spPr>
                          <a:xfrm>
                            <a:off x="67320" y="237960"/>
                            <a:ext cx="67320" cy="78840"/>
                          </a:xfrm>
                          <a:custGeom>
                            <a:avLst/>
                            <a:gdLst/>
                            <a:ahLst/>
                            <a:rect l="0" t="0" r="r" b="b"/>
                            <a:pathLst>
                              <a:path w="54" h="63">
                                <a:moveTo>
                                  <a:pt x="53" y="0"/>
                                </a:moveTo>
                                <a:lnTo>
                                  <a:pt x="50" y="0"/>
                                </a:lnTo>
                                <a:lnTo>
                                  <a:pt x="47" y="0"/>
                                </a:lnTo>
                                <a:lnTo>
                                  <a:pt x="45" y="1"/>
                                </a:lnTo>
                                <a:lnTo>
                                  <a:pt x="42" y="1"/>
                                </a:lnTo>
                                <a:lnTo>
                                  <a:pt x="39" y="2"/>
                                </a:lnTo>
                                <a:lnTo>
                                  <a:pt x="37" y="3"/>
                                </a:lnTo>
                                <a:lnTo>
                                  <a:pt x="34" y="4"/>
                                </a:lnTo>
                                <a:lnTo>
                                  <a:pt x="31" y="5"/>
                                </a:lnTo>
                                <a:lnTo>
                                  <a:pt x="29" y="7"/>
                                </a:lnTo>
                                <a:lnTo>
                                  <a:pt x="26" y="8"/>
                                </a:lnTo>
                                <a:lnTo>
                                  <a:pt x="24" y="10"/>
                                </a:lnTo>
                                <a:lnTo>
                                  <a:pt x="22" y="12"/>
                                </a:lnTo>
                                <a:lnTo>
                                  <a:pt x="20" y="14"/>
                                </a:lnTo>
                                <a:lnTo>
                                  <a:pt x="18" y="16"/>
                                </a:lnTo>
                                <a:lnTo>
                                  <a:pt x="16" y="18"/>
                                </a:lnTo>
                                <a:lnTo>
                                  <a:pt x="14" y="21"/>
                                </a:lnTo>
                                <a:lnTo>
                                  <a:pt x="12" y="23"/>
                                </a:lnTo>
                                <a:lnTo>
                                  <a:pt x="10" y="26"/>
                                </a:lnTo>
                                <a:lnTo>
                                  <a:pt x="9" y="28"/>
                                </a:lnTo>
                                <a:lnTo>
                                  <a:pt x="7" y="31"/>
                                </a:lnTo>
                                <a:lnTo>
                                  <a:pt x="6" y="34"/>
                                </a:lnTo>
                                <a:lnTo>
                                  <a:pt x="5" y="37"/>
                                </a:lnTo>
                                <a:lnTo>
                                  <a:pt x="4" y="40"/>
                                </a:lnTo>
                                <a:lnTo>
                                  <a:pt x="3" y="43"/>
                                </a:lnTo>
                                <a:lnTo>
                                  <a:pt x="2" y="46"/>
                                </a:lnTo>
                                <a:lnTo>
                                  <a:pt x="1" y="49"/>
                                </a:lnTo>
                                <a:lnTo>
                                  <a:pt x="1" y="52"/>
                                </a:lnTo>
                                <a:lnTo>
                                  <a:pt x="0" y="56"/>
                                </a:lnTo>
                                <a:lnTo>
                                  <a:pt x="0" y="59"/>
                                </a:lnTo>
                                <a:lnTo>
                                  <a:pt x="0" y="62"/>
                                </a:lnTo>
                                <a:lnTo>
                                  <a:pt x="53" y="62"/>
                                </a:lnTo>
                                <a:lnTo>
                                  <a:pt x="53" y="0"/>
                                </a:lnTo>
                                <a:moveTo>
                                  <a:pt x="53" y="0"/>
                                </a:moveTo>
                                <a:lnTo>
                                  <a:pt x="50" y="0"/>
                                </a:lnTo>
                                <a:lnTo>
                                  <a:pt x="47" y="0"/>
                                </a:lnTo>
                                <a:lnTo>
                                  <a:pt x="45" y="1"/>
                                </a:lnTo>
                                <a:lnTo>
                                  <a:pt x="42" y="1"/>
                                </a:lnTo>
                                <a:lnTo>
                                  <a:pt x="39" y="2"/>
                                </a:lnTo>
                                <a:lnTo>
                                  <a:pt x="37" y="3"/>
                                </a:lnTo>
                                <a:lnTo>
                                  <a:pt x="34" y="4"/>
                                </a:lnTo>
                                <a:lnTo>
                                  <a:pt x="31" y="5"/>
                                </a:lnTo>
                                <a:lnTo>
                                  <a:pt x="29" y="7"/>
                                </a:lnTo>
                                <a:lnTo>
                                  <a:pt x="26" y="8"/>
                                </a:lnTo>
                                <a:lnTo>
                                  <a:pt x="24" y="10"/>
                                </a:lnTo>
                                <a:lnTo>
                                  <a:pt x="22" y="12"/>
                                </a:lnTo>
                                <a:lnTo>
                                  <a:pt x="20" y="14"/>
                                </a:lnTo>
                                <a:lnTo>
                                  <a:pt x="18" y="16"/>
                                </a:lnTo>
                                <a:lnTo>
                                  <a:pt x="16" y="18"/>
                                </a:lnTo>
                                <a:lnTo>
                                  <a:pt x="14" y="21"/>
                                </a:lnTo>
                                <a:lnTo>
                                  <a:pt x="12" y="23"/>
                                </a:lnTo>
                                <a:lnTo>
                                  <a:pt x="10" y="26"/>
                                </a:lnTo>
                                <a:lnTo>
                                  <a:pt x="9" y="28"/>
                                </a:lnTo>
                                <a:lnTo>
                                  <a:pt x="7" y="31"/>
                                </a:lnTo>
                                <a:lnTo>
                                  <a:pt x="6" y="34"/>
                                </a:lnTo>
                                <a:lnTo>
                                  <a:pt x="5" y="37"/>
                                </a:lnTo>
                                <a:lnTo>
                                  <a:pt x="4" y="40"/>
                                </a:lnTo>
                                <a:lnTo>
                                  <a:pt x="3" y="43"/>
                                </a:lnTo>
                                <a:lnTo>
                                  <a:pt x="2" y="46"/>
                                </a:lnTo>
                                <a:lnTo>
                                  <a:pt x="1" y="49"/>
                                </a:lnTo>
                                <a:lnTo>
                                  <a:pt x="1" y="52"/>
                                </a:lnTo>
                                <a:lnTo>
                                  <a:pt x="0" y="56"/>
                                </a:lnTo>
                                <a:lnTo>
                                  <a:pt x="0" y="59"/>
                                </a:lnTo>
                                <a:lnTo>
                                  <a:pt x="0" y="62"/>
                                </a:lnTo>
                              </a:path>
                            </a:pathLst>
                          </a:custGeom>
                          <a:noFill/>
                          <a:ln w="9360">
                            <a:solidFill>
                              <a:srgbClr val="000000"/>
                            </a:solidFill>
                            <a:miter/>
                          </a:ln>
                        </wps:spPr>
                        <wps:style>
                          <a:lnRef idx="0"/>
                          <a:fillRef idx="0"/>
                          <a:effectRef idx="0"/>
                          <a:fontRef idx="minor"/>
                        </wps:style>
                        <wps:bodyPr/>
                      </wps:wsp>
                      <wps:wsp>
                        <wps:cNvSpPr/>
                        <wps:spPr>
                          <a:xfrm>
                            <a:off x="0" y="80640"/>
                            <a:ext cx="67320" cy="78840"/>
                          </a:xfrm>
                          <a:custGeom>
                            <a:avLst/>
                            <a:gdLst/>
                            <a:ahLst/>
                            <a:rect l="0" t="0" r="r" b="b"/>
                            <a:pathLst>
                              <a:path w="54" h="63">
                                <a:moveTo>
                                  <a:pt x="53" y="62"/>
                                </a:moveTo>
                                <a:lnTo>
                                  <a:pt x="50" y="62"/>
                                </a:lnTo>
                                <a:lnTo>
                                  <a:pt x="47" y="62"/>
                                </a:lnTo>
                                <a:lnTo>
                                  <a:pt x="45" y="61"/>
                                </a:lnTo>
                                <a:lnTo>
                                  <a:pt x="42" y="61"/>
                                </a:lnTo>
                                <a:lnTo>
                                  <a:pt x="39" y="60"/>
                                </a:lnTo>
                                <a:lnTo>
                                  <a:pt x="37" y="59"/>
                                </a:lnTo>
                                <a:lnTo>
                                  <a:pt x="34" y="58"/>
                                </a:lnTo>
                                <a:lnTo>
                                  <a:pt x="31" y="57"/>
                                </a:lnTo>
                                <a:lnTo>
                                  <a:pt x="29" y="55"/>
                                </a:lnTo>
                                <a:lnTo>
                                  <a:pt x="26" y="54"/>
                                </a:lnTo>
                                <a:lnTo>
                                  <a:pt x="24" y="52"/>
                                </a:lnTo>
                                <a:lnTo>
                                  <a:pt x="22" y="50"/>
                                </a:lnTo>
                                <a:lnTo>
                                  <a:pt x="20" y="48"/>
                                </a:lnTo>
                                <a:lnTo>
                                  <a:pt x="18" y="46"/>
                                </a:lnTo>
                                <a:lnTo>
                                  <a:pt x="16" y="44"/>
                                </a:lnTo>
                                <a:lnTo>
                                  <a:pt x="14" y="41"/>
                                </a:lnTo>
                                <a:lnTo>
                                  <a:pt x="12" y="39"/>
                                </a:lnTo>
                                <a:lnTo>
                                  <a:pt x="10" y="36"/>
                                </a:lnTo>
                                <a:lnTo>
                                  <a:pt x="9" y="34"/>
                                </a:lnTo>
                                <a:lnTo>
                                  <a:pt x="7" y="31"/>
                                </a:lnTo>
                                <a:lnTo>
                                  <a:pt x="6" y="28"/>
                                </a:lnTo>
                                <a:lnTo>
                                  <a:pt x="5" y="25"/>
                                </a:lnTo>
                                <a:lnTo>
                                  <a:pt x="4" y="22"/>
                                </a:lnTo>
                                <a:lnTo>
                                  <a:pt x="3" y="19"/>
                                </a:lnTo>
                                <a:lnTo>
                                  <a:pt x="2" y="16"/>
                                </a:lnTo>
                                <a:lnTo>
                                  <a:pt x="1" y="13"/>
                                </a:lnTo>
                                <a:lnTo>
                                  <a:pt x="1" y="10"/>
                                </a:lnTo>
                                <a:lnTo>
                                  <a:pt x="0" y="6"/>
                                </a:lnTo>
                                <a:lnTo>
                                  <a:pt x="0" y="3"/>
                                </a:lnTo>
                                <a:lnTo>
                                  <a:pt x="0" y="0"/>
                                </a:lnTo>
                                <a:lnTo>
                                  <a:pt x="53" y="0"/>
                                </a:lnTo>
                                <a:lnTo>
                                  <a:pt x="53" y="62"/>
                                </a:lnTo>
                                <a:moveTo>
                                  <a:pt x="53" y="62"/>
                                </a:moveTo>
                                <a:lnTo>
                                  <a:pt x="50" y="62"/>
                                </a:lnTo>
                                <a:lnTo>
                                  <a:pt x="47" y="62"/>
                                </a:lnTo>
                                <a:lnTo>
                                  <a:pt x="45" y="61"/>
                                </a:lnTo>
                                <a:lnTo>
                                  <a:pt x="42" y="61"/>
                                </a:lnTo>
                                <a:lnTo>
                                  <a:pt x="39" y="60"/>
                                </a:lnTo>
                                <a:lnTo>
                                  <a:pt x="37" y="59"/>
                                </a:lnTo>
                                <a:lnTo>
                                  <a:pt x="34" y="58"/>
                                </a:lnTo>
                                <a:lnTo>
                                  <a:pt x="31" y="57"/>
                                </a:lnTo>
                                <a:lnTo>
                                  <a:pt x="29" y="55"/>
                                </a:lnTo>
                                <a:lnTo>
                                  <a:pt x="26" y="54"/>
                                </a:lnTo>
                                <a:lnTo>
                                  <a:pt x="24" y="52"/>
                                </a:lnTo>
                                <a:lnTo>
                                  <a:pt x="22" y="50"/>
                                </a:lnTo>
                                <a:lnTo>
                                  <a:pt x="20" y="48"/>
                                </a:lnTo>
                                <a:lnTo>
                                  <a:pt x="18" y="46"/>
                                </a:lnTo>
                                <a:lnTo>
                                  <a:pt x="16" y="44"/>
                                </a:lnTo>
                                <a:lnTo>
                                  <a:pt x="14" y="41"/>
                                </a:lnTo>
                                <a:lnTo>
                                  <a:pt x="12" y="39"/>
                                </a:lnTo>
                                <a:lnTo>
                                  <a:pt x="10" y="36"/>
                                </a:lnTo>
                                <a:lnTo>
                                  <a:pt x="9" y="34"/>
                                </a:lnTo>
                                <a:lnTo>
                                  <a:pt x="7" y="31"/>
                                </a:lnTo>
                                <a:lnTo>
                                  <a:pt x="6" y="28"/>
                                </a:lnTo>
                                <a:lnTo>
                                  <a:pt x="5" y="25"/>
                                </a:lnTo>
                                <a:lnTo>
                                  <a:pt x="4" y="22"/>
                                </a:lnTo>
                                <a:lnTo>
                                  <a:pt x="3" y="19"/>
                                </a:lnTo>
                                <a:lnTo>
                                  <a:pt x="2" y="16"/>
                                </a:lnTo>
                                <a:lnTo>
                                  <a:pt x="1" y="13"/>
                                </a:lnTo>
                                <a:lnTo>
                                  <a:pt x="1" y="10"/>
                                </a:lnTo>
                                <a:lnTo>
                                  <a:pt x="0" y="6"/>
                                </a:lnTo>
                                <a:lnTo>
                                  <a:pt x="0" y="3"/>
                                </a:lnTo>
                                <a:lnTo>
                                  <a:pt x="0" y="0"/>
                                </a:lnTo>
                              </a:path>
                            </a:pathLst>
                          </a:custGeom>
                          <a:noFill/>
                          <a:ln w="9360">
                            <a:solidFill>
                              <a:srgbClr val="000000"/>
                            </a:solidFill>
                            <a:miter/>
                          </a:ln>
                        </wps:spPr>
                        <wps:style>
                          <a:lnRef idx="0"/>
                          <a:fillRef idx="0"/>
                          <a:effectRef idx="0"/>
                          <a:fontRef idx="minor"/>
                        </wps:style>
                        <wps:bodyPr/>
                      </wps:wsp>
                      <wps:wsp>
                        <wps:cNvSpPr/>
                        <wps:spPr>
                          <a:xfrm>
                            <a:off x="67320" y="39240"/>
                            <a:ext cx="720" cy="160200"/>
                          </a:xfrm>
                          <a:prstGeom prst="line">
                            <a:avLst/>
                          </a:prstGeom>
                          <a:ln w="9360">
                            <a:solidFill>
                              <a:srgbClr val="000000"/>
                            </a:solidFill>
                            <a:miter/>
                          </a:ln>
                        </wps:spPr>
                        <wps:style>
                          <a:lnRef idx="0"/>
                          <a:fillRef idx="0"/>
                          <a:effectRef idx="0"/>
                          <a:fontRef idx="minor"/>
                        </wps:style>
                        <wps:bodyPr/>
                      </wps:wsp>
                      <wps:wsp>
                        <wps:cNvSpPr/>
                        <wps:spPr>
                          <a:xfrm>
                            <a:off x="0" y="0"/>
                            <a:ext cx="67320" cy="78840"/>
                          </a:xfrm>
                          <a:custGeom>
                            <a:avLst/>
                            <a:gdLst/>
                            <a:ahLst/>
                            <a:rect l="0" t="0" r="r" b="b"/>
                            <a:pathLst>
                              <a:path w="54" h="63">
                                <a:moveTo>
                                  <a:pt x="0" y="0"/>
                                </a:moveTo>
                                <a:lnTo>
                                  <a:pt x="3" y="0"/>
                                </a:lnTo>
                                <a:lnTo>
                                  <a:pt x="6" y="0"/>
                                </a:lnTo>
                                <a:lnTo>
                                  <a:pt x="8" y="1"/>
                                </a:lnTo>
                                <a:lnTo>
                                  <a:pt x="11" y="1"/>
                                </a:lnTo>
                                <a:lnTo>
                                  <a:pt x="14" y="2"/>
                                </a:lnTo>
                                <a:lnTo>
                                  <a:pt x="16" y="3"/>
                                </a:lnTo>
                                <a:lnTo>
                                  <a:pt x="19" y="4"/>
                                </a:lnTo>
                                <a:lnTo>
                                  <a:pt x="22" y="5"/>
                                </a:lnTo>
                                <a:lnTo>
                                  <a:pt x="24" y="7"/>
                                </a:lnTo>
                                <a:lnTo>
                                  <a:pt x="27" y="8"/>
                                </a:lnTo>
                                <a:lnTo>
                                  <a:pt x="29" y="10"/>
                                </a:lnTo>
                                <a:lnTo>
                                  <a:pt x="31" y="12"/>
                                </a:lnTo>
                                <a:lnTo>
                                  <a:pt x="33" y="14"/>
                                </a:lnTo>
                                <a:lnTo>
                                  <a:pt x="35" y="16"/>
                                </a:lnTo>
                                <a:lnTo>
                                  <a:pt x="37" y="18"/>
                                </a:lnTo>
                                <a:lnTo>
                                  <a:pt x="39" y="21"/>
                                </a:lnTo>
                                <a:lnTo>
                                  <a:pt x="41" y="23"/>
                                </a:lnTo>
                                <a:lnTo>
                                  <a:pt x="43" y="26"/>
                                </a:lnTo>
                                <a:lnTo>
                                  <a:pt x="44" y="28"/>
                                </a:lnTo>
                                <a:lnTo>
                                  <a:pt x="46" y="31"/>
                                </a:lnTo>
                                <a:lnTo>
                                  <a:pt x="47" y="34"/>
                                </a:lnTo>
                                <a:lnTo>
                                  <a:pt x="48" y="37"/>
                                </a:lnTo>
                                <a:lnTo>
                                  <a:pt x="49" y="40"/>
                                </a:lnTo>
                                <a:lnTo>
                                  <a:pt x="50" y="43"/>
                                </a:lnTo>
                                <a:lnTo>
                                  <a:pt x="51" y="46"/>
                                </a:lnTo>
                                <a:lnTo>
                                  <a:pt x="52" y="49"/>
                                </a:lnTo>
                                <a:lnTo>
                                  <a:pt x="52" y="52"/>
                                </a:lnTo>
                                <a:lnTo>
                                  <a:pt x="53" y="56"/>
                                </a:lnTo>
                                <a:lnTo>
                                  <a:pt x="53" y="59"/>
                                </a:lnTo>
                                <a:lnTo>
                                  <a:pt x="53" y="62"/>
                                </a:lnTo>
                                <a:lnTo>
                                  <a:pt x="0" y="62"/>
                                </a:lnTo>
                                <a:lnTo>
                                  <a:pt x="0" y="0"/>
                                </a:lnTo>
                                <a:moveTo>
                                  <a:pt x="0" y="0"/>
                                </a:moveTo>
                                <a:lnTo>
                                  <a:pt x="3" y="0"/>
                                </a:lnTo>
                                <a:lnTo>
                                  <a:pt x="6" y="0"/>
                                </a:lnTo>
                                <a:lnTo>
                                  <a:pt x="8" y="1"/>
                                </a:lnTo>
                                <a:lnTo>
                                  <a:pt x="11" y="1"/>
                                </a:lnTo>
                                <a:lnTo>
                                  <a:pt x="14" y="2"/>
                                </a:lnTo>
                                <a:lnTo>
                                  <a:pt x="16" y="3"/>
                                </a:lnTo>
                                <a:lnTo>
                                  <a:pt x="19" y="4"/>
                                </a:lnTo>
                                <a:lnTo>
                                  <a:pt x="22" y="5"/>
                                </a:lnTo>
                                <a:lnTo>
                                  <a:pt x="24" y="7"/>
                                </a:lnTo>
                                <a:lnTo>
                                  <a:pt x="27" y="8"/>
                                </a:lnTo>
                                <a:lnTo>
                                  <a:pt x="29" y="10"/>
                                </a:lnTo>
                                <a:lnTo>
                                  <a:pt x="31" y="12"/>
                                </a:lnTo>
                                <a:lnTo>
                                  <a:pt x="33" y="14"/>
                                </a:lnTo>
                                <a:lnTo>
                                  <a:pt x="35" y="16"/>
                                </a:lnTo>
                                <a:lnTo>
                                  <a:pt x="37" y="18"/>
                                </a:lnTo>
                                <a:lnTo>
                                  <a:pt x="39" y="21"/>
                                </a:lnTo>
                                <a:lnTo>
                                  <a:pt x="41" y="23"/>
                                </a:lnTo>
                                <a:lnTo>
                                  <a:pt x="43" y="26"/>
                                </a:lnTo>
                                <a:lnTo>
                                  <a:pt x="44" y="28"/>
                                </a:lnTo>
                                <a:lnTo>
                                  <a:pt x="46" y="31"/>
                                </a:lnTo>
                                <a:lnTo>
                                  <a:pt x="47" y="34"/>
                                </a:lnTo>
                                <a:lnTo>
                                  <a:pt x="48" y="37"/>
                                </a:lnTo>
                                <a:lnTo>
                                  <a:pt x="49" y="40"/>
                                </a:lnTo>
                                <a:lnTo>
                                  <a:pt x="50" y="43"/>
                                </a:lnTo>
                                <a:lnTo>
                                  <a:pt x="51" y="46"/>
                                </a:lnTo>
                                <a:lnTo>
                                  <a:pt x="52" y="49"/>
                                </a:lnTo>
                                <a:lnTo>
                                  <a:pt x="52" y="52"/>
                                </a:lnTo>
                                <a:lnTo>
                                  <a:pt x="53" y="56"/>
                                </a:lnTo>
                                <a:lnTo>
                                  <a:pt x="53" y="59"/>
                                </a:lnTo>
                                <a:lnTo>
                                  <a:pt x="53" y="62"/>
                                </a:lnTo>
                              </a:path>
                            </a:pathLst>
                          </a:custGeom>
                          <a:noFill/>
                          <a:ln w="9360">
                            <a:solidFill>
                              <a:srgbClr val="000000"/>
                            </a:solidFill>
                            <a:miter/>
                          </a:ln>
                        </wps:spPr>
                        <wps:style>
                          <a:lnRef idx="0"/>
                          <a:fillRef idx="0"/>
                          <a:effectRef idx="0"/>
                          <a:fontRef idx="minor"/>
                        </wps:style>
                        <wps:bodyPr/>
                      </wps:wsp>
                    </wpg:wgp>
                  </a:graphicData>
                </a:graphic>
              </wp:anchor>
            </w:drawing>
          </mc:Choice>
          <mc:Fallback>
            <w:pict>
              <v:group id="shape_0" style="position:absolute;margin-left:180pt;margin-top:7.25pt;width:10.6pt;height:37.55pt" coordorigin="3600,145" coordsize="212,751">
                <v:rect id="shape_0" stroked="t" style="position:absolute;left:3600;top:772;width:105;height:123;flip:y">
                  <w10:wrap type="none"/>
                  <v:fill o:detectmouseclick="t" on="false"/>
                  <v:stroke color="black" weight="9360" joinstyle="miter" endcap="square"/>
                </v:rect>
                <v:line id="shape_0" from="3706,582" to="3706,834" stroked="t" style="position:absolute">
                  <v:stroke color="black" weight="9360" joinstyle="miter" endcap="square"/>
                  <v:fill o:detectmouseclick="t" on="false"/>
                </v:line>
                <v:rect id="shape_0" stroked="t" style="position:absolute;left:3706;top:520;width:105;height:123;flip:x">
                  <w10:wrap type="none"/>
                  <v:fill o:detectmouseclick="t" on="false"/>
                  <v:stroke color="black" weight="9360" joinstyle="miter" endcap="square"/>
                </v:rect>
                <v:rect id="shape_0" stroked="t" style="position:absolute;left:3706;top:396;width:105;height:123;flip:xy">
                  <w10:wrap type="none"/>
                  <v:fill o:detectmouseclick="t" on="false"/>
                  <v:stroke color="black" weight="9360" joinstyle="miter" endcap="square"/>
                </v:rect>
                <v:line id="shape_0" from="3706,207" to="3706,458" stroked="t" style="position:absolute">
                  <v:stroke color="black" weight="9360" joinstyle="miter" endcap="square"/>
                  <v:fill o:detectmouseclick="t" on="false"/>
                </v:line>
                <v:rect id="shape_0" stroked="t" style="position:absolute;left:3600;top:145;width:105;height:123">
                  <w10:wrap type="none"/>
                  <v:fill o:detectmouseclick="t" on="false"/>
                  <v:stroke color="black" weight="9360" joinstyle="miter" endcap="square"/>
                </v:rect>
              </v:group>
            </w:pict>
          </mc:Fallback>
        </mc:AlternateContent>
      </w:r>
      <w:r>
        <w:rPr>
          <w:rFonts w:eastAsia="標楷體" w:cs="標楷體" w:ascii="標楷體" w:hAnsi="標楷體"/>
          <w:b/>
          <w:sz w:val="28"/>
        </w:rPr>
        <w:t xml:space="preserve"> </w:t>
      </w:r>
      <w:r>
        <w:rPr>
          <w:rFonts w:eastAsia="標楷體" w:cs="標楷體" w:ascii="標楷體" w:hAnsi="標楷體"/>
          <w:b/>
          <w:sz w:val="28"/>
        </w:rPr>
        <w:t xml:space="preserve">                </w:t>
      </w:r>
      <w:r>
        <w:rPr>
          <w:rFonts w:ascii="標楷體" w:hAnsi="標楷體" w:eastAsia="標楷體"/>
          <w:sz w:val="28"/>
        </w:rPr>
        <w:t>大腦皮層</w:t>
      </w:r>
      <w:r>
        <w:rPr>
          <w:rFonts w:ascii="標楷體" w:hAnsi="標楷體" w:eastAsia="標楷體"/>
          <w:b/>
          <w:sz w:val="28"/>
        </w:rPr>
        <w:t xml:space="preserve">               </w:t>
      </w:r>
    </w:p>
    <w:p>
      <w:pPr>
        <w:pStyle w:val="Normal"/>
        <w:tabs>
          <w:tab w:val="left" w:pos="3960" w:leader="none"/>
        </w:tabs>
        <w:snapToGrid w:val="false"/>
        <w:spacing w:lineRule="atLeast" w:line="20"/>
        <w:jc w:val="both"/>
        <w:rPr>
          <w:rFonts w:ascii="標楷體" w:hAnsi="標楷體" w:eastAsia="標楷體"/>
          <w:b/>
          <w:b/>
          <w:sz w:val="28"/>
        </w:rPr>
      </w:pPr>
      <w:r>
        <w:rPr>
          <w:rFonts w:eastAsia="標楷體" w:cs="標楷體" w:ascii="標楷體" w:hAnsi="標楷體"/>
          <w:b/>
          <w:sz w:val="28"/>
        </w:rPr>
        <w:t xml:space="preserve">                    </w:t>
      </w:r>
      <w:r>
        <w:rPr>
          <w:rFonts w:eastAsia="Wingdings" w:cs="Wingdings" w:ascii="Wingdings" w:hAnsi="Wingdings"/>
          <w:b/>
          <w:sz w:val="28"/>
        </w:rPr>
        <w:t></w:t>
      </w:r>
      <w:r>
        <w:rPr>
          <w:rFonts w:eastAsia="標楷體" w:cs="標楷體" w:ascii="標楷體" w:hAnsi="標楷體"/>
          <w:b/>
          <w:sz w:val="28"/>
        </w:rPr>
        <w:t xml:space="preserve">     </w:t>
      </w:r>
      <w:r>
        <w:rPr>
          <w:rFonts w:ascii="標楷體" w:hAnsi="標楷體" w:eastAsia="標楷體"/>
          <w:b/>
          <w:sz w:val="28"/>
        </w:rPr>
        <w:t>心</w:t>
      </w:r>
      <w:r>
        <w:rPr>
          <w:rFonts w:eastAsia="標楷體" w:ascii="標楷體" w:hAnsi="標楷體"/>
          <w:sz w:val="28"/>
        </w:rPr>
        <w:t>(</w:t>
      </w:r>
      <w:r>
        <w:rPr>
          <w:rFonts w:ascii="標楷體" w:hAnsi="標楷體" w:eastAsia="標楷體"/>
          <w:sz w:val="28"/>
        </w:rPr>
        <w:t>思考</w:t>
      </w:r>
      <w:r>
        <w:rPr>
          <w:rFonts w:eastAsia="標楷體" w:ascii="標楷體" w:hAnsi="標楷體"/>
          <w:sz w:val="28"/>
        </w:rPr>
        <w:t>)</w:t>
      </w:r>
    </w:p>
    <w:p>
      <w:pPr>
        <w:pStyle w:val="Normal"/>
        <w:tabs>
          <w:tab w:val="left" w:pos="3960" w:leader="none"/>
        </w:tabs>
        <w:snapToGrid w:val="false"/>
        <w:spacing w:lineRule="atLeast" w:line="20"/>
        <w:jc w:val="both"/>
        <w:rPr>
          <w:rFonts w:ascii="標楷體" w:hAnsi="標楷體" w:eastAsia="標楷體"/>
          <w:b/>
          <w:b/>
          <w:sz w:val="28"/>
        </w:rPr>
      </w:pPr>
      <w:r>
        <mc:AlternateContent>
          <mc:Choice Requires="wpg">
            <w:drawing>
              <wp:anchor behindDoc="0" distT="0" distB="0" distL="114935" distR="114935" simplePos="0" locked="0" layoutInCell="1" allowOverlap="1" relativeHeight="8">
                <wp:simplePos x="0" y="0"/>
                <wp:positionH relativeFrom="column">
                  <wp:posOffset>2286000</wp:posOffset>
                </wp:positionH>
                <wp:positionV relativeFrom="paragraph">
                  <wp:posOffset>53975</wp:posOffset>
                </wp:positionV>
                <wp:extent cx="115570" cy="620395"/>
                <wp:effectExtent l="0" t="0" r="0" b="0"/>
                <wp:wrapNone/>
                <wp:docPr id="6" name=""/>
                <a:graphic xmlns:a="http://schemas.openxmlformats.org/drawingml/2006/main">
                  <a:graphicData uri="http://schemas.microsoft.com/office/word/2010/wordprocessingGroup">
                    <wpg:wgp>
                      <wpg:cNvGrpSpPr/>
                      <wpg:grpSpPr>
                        <a:xfrm rot="10800000">
                          <a:off x="0" y="0"/>
                          <a:ext cx="114840" cy="619920"/>
                        </a:xfrm>
                      </wpg:grpSpPr>
                      <wps:wsp>
                        <wps:cNvSpPr/>
                        <wps:spPr>
                          <a:xfrm>
                            <a:off x="-58320" y="414000"/>
                            <a:ext cx="58320" cy="102960"/>
                          </a:xfrm>
                          <a:custGeom>
                            <a:avLst/>
                            <a:gdLst/>
                            <a:ahLst/>
                            <a:rect l="0" t="0" r="r" b="b"/>
                            <a:pathLst>
                              <a:path w="47" h="82">
                                <a:moveTo>
                                  <a:pt x="0" y="81"/>
                                </a:moveTo>
                                <a:lnTo>
                                  <a:pt x="2" y="81"/>
                                </a:lnTo>
                                <a:lnTo>
                                  <a:pt x="5" y="81"/>
                                </a:lnTo>
                                <a:lnTo>
                                  <a:pt x="7" y="80"/>
                                </a:lnTo>
                                <a:lnTo>
                                  <a:pt x="10" y="79"/>
                                </a:lnTo>
                                <a:lnTo>
                                  <a:pt x="12" y="78"/>
                                </a:lnTo>
                                <a:lnTo>
                                  <a:pt x="14" y="77"/>
                                </a:lnTo>
                                <a:lnTo>
                                  <a:pt x="16" y="76"/>
                                </a:lnTo>
                                <a:lnTo>
                                  <a:pt x="19" y="74"/>
                                </a:lnTo>
                                <a:lnTo>
                                  <a:pt x="21" y="72"/>
                                </a:lnTo>
                                <a:lnTo>
                                  <a:pt x="23" y="70"/>
                                </a:lnTo>
                                <a:lnTo>
                                  <a:pt x="25" y="68"/>
                                </a:lnTo>
                                <a:lnTo>
                                  <a:pt x="27" y="66"/>
                                </a:lnTo>
                                <a:lnTo>
                                  <a:pt x="29" y="63"/>
                                </a:lnTo>
                                <a:lnTo>
                                  <a:pt x="31" y="60"/>
                                </a:lnTo>
                                <a:lnTo>
                                  <a:pt x="33" y="57"/>
                                </a:lnTo>
                                <a:lnTo>
                                  <a:pt x="34" y="54"/>
                                </a:lnTo>
                                <a:lnTo>
                                  <a:pt x="36" y="51"/>
                                </a:lnTo>
                                <a:lnTo>
                                  <a:pt x="37" y="48"/>
                                </a:lnTo>
                                <a:lnTo>
                                  <a:pt x="39" y="44"/>
                                </a:lnTo>
                                <a:lnTo>
                                  <a:pt x="40" y="40"/>
                                </a:lnTo>
                                <a:lnTo>
                                  <a:pt x="41" y="37"/>
                                </a:lnTo>
                                <a:lnTo>
                                  <a:pt x="42" y="33"/>
                                </a:lnTo>
                                <a:lnTo>
                                  <a:pt x="43" y="29"/>
                                </a:lnTo>
                                <a:lnTo>
                                  <a:pt x="44" y="25"/>
                                </a:lnTo>
                                <a:lnTo>
                                  <a:pt x="44" y="21"/>
                                </a:lnTo>
                                <a:lnTo>
                                  <a:pt x="45" y="17"/>
                                </a:lnTo>
                                <a:lnTo>
                                  <a:pt x="45" y="13"/>
                                </a:lnTo>
                                <a:lnTo>
                                  <a:pt x="46" y="8"/>
                                </a:lnTo>
                                <a:lnTo>
                                  <a:pt x="46" y="4"/>
                                </a:lnTo>
                                <a:lnTo>
                                  <a:pt x="46" y="0"/>
                                </a:lnTo>
                                <a:lnTo>
                                  <a:pt x="0" y="0"/>
                                </a:lnTo>
                                <a:lnTo>
                                  <a:pt x="0" y="81"/>
                                </a:lnTo>
                                <a:moveTo>
                                  <a:pt x="0" y="81"/>
                                </a:moveTo>
                                <a:lnTo>
                                  <a:pt x="2" y="81"/>
                                </a:lnTo>
                                <a:lnTo>
                                  <a:pt x="5" y="81"/>
                                </a:lnTo>
                                <a:lnTo>
                                  <a:pt x="7" y="80"/>
                                </a:lnTo>
                                <a:lnTo>
                                  <a:pt x="10" y="79"/>
                                </a:lnTo>
                                <a:lnTo>
                                  <a:pt x="12" y="78"/>
                                </a:lnTo>
                                <a:lnTo>
                                  <a:pt x="14" y="77"/>
                                </a:lnTo>
                                <a:lnTo>
                                  <a:pt x="16" y="76"/>
                                </a:lnTo>
                                <a:lnTo>
                                  <a:pt x="19" y="74"/>
                                </a:lnTo>
                                <a:lnTo>
                                  <a:pt x="21" y="72"/>
                                </a:lnTo>
                                <a:lnTo>
                                  <a:pt x="23" y="70"/>
                                </a:lnTo>
                                <a:lnTo>
                                  <a:pt x="25" y="68"/>
                                </a:lnTo>
                                <a:lnTo>
                                  <a:pt x="27" y="66"/>
                                </a:lnTo>
                                <a:lnTo>
                                  <a:pt x="29" y="63"/>
                                </a:lnTo>
                                <a:lnTo>
                                  <a:pt x="31" y="60"/>
                                </a:lnTo>
                                <a:lnTo>
                                  <a:pt x="33" y="57"/>
                                </a:lnTo>
                                <a:lnTo>
                                  <a:pt x="34" y="54"/>
                                </a:lnTo>
                                <a:lnTo>
                                  <a:pt x="36" y="51"/>
                                </a:lnTo>
                                <a:lnTo>
                                  <a:pt x="37" y="48"/>
                                </a:lnTo>
                                <a:lnTo>
                                  <a:pt x="39" y="44"/>
                                </a:lnTo>
                                <a:lnTo>
                                  <a:pt x="40" y="40"/>
                                </a:lnTo>
                                <a:lnTo>
                                  <a:pt x="41" y="37"/>
                                </a:lnTo>
                                <a:lnTo>
                                  <a:pt x="42" y="33"/>
                                </a:lnTo>
                                <a:lnTo>
                                  <a:pt x="43" y="29"/>
                                </a:lnTo>
                                <a:lnTo>
                                  <a:pt x="44" y="25"/>
                                </a:lnTo>
                                <a:lnTo>
                                  <a:pt x="44" y="21"/>
                                </a:lnTo>
                                <a:lnTo>
                                  <a:pt x="45" y="17"/>
                                </a:lnTo>
                                <a:lnTo>
                                  <a:pt x="45" y="13"/>
                                </a:lnTo>
                                <a:lnTo>
                                  <a:pt x="46" y="8"/>
                                </a:lnTo>
                                <a:lnTo>
                                  <a:pt x="46" y="4"/>
                                </a:lnTo>
                                <a:lnTo>
                                  <a:pt x="46" y="0"/>
                                </a:lnTo>
                              </a:path>
                            </a:pathLst>
                          </a:custGeom>
                          <a:noFill/>
                          <a:ln w="9360">
                            <a:solidFill>
                              <a:srgbClr val="000000"/>
                            </a:solidFill>
                            <a:miter/>
                          </a:ln>
                        </wps:spPr>
                        <wps:style>
                          <a:lnRef idx="0"/>
                          <a:fillRef idx="0"/>
                          <a:effectRef idx="0"/>
                          <a:fontRef idx="minor"/>
                        </wps:style>
                        <wps:bodyPr/>
                      </wps:wsp>
                      <wps:wsp>
                        <wps:cNvSpPr/>
                        <wps:spPr>
                          <a:xfrm>
                            <a:off x="58320" y="361800"/>
                            <a:ext cx="720" cy="207720"/>
                          </a:xfrm>
                          <a:prstGeom prst="line">
                            <a:avLst/>
                          </a:prstGeom>
                          <a:ln w="9360">
                            <a:solidFill>
                              <a:srgbClr val="000000"/>
                            </a:solidFill>
                            <a:miter/>
                          </a:ln>
                        </wps:spPr>
                        <wps:style>
                          <a:lnRef idx="0"/>
                          <a:fillRef idx="0"/>
                          <a:effectRef idx="0"/>
                          <a:fontRef idx="minor"/>
                        </wps:style>
                        <wps:bodyPr/>
                      </wps:wsp>
                      <wps:wsp>
                        <wps:cNvSpPr/>
                        <wps:spPr>
                          <a:xfrm>
                            <a:off x="57960" y="309960"/>
                            <a:ext cx="57240" cy="102960"/>
                          </a:xfrm>
                          <a:custGeom>
                            <a:avLst/>
                            <a:gdLst/>
                            <a:ahLst/>
                            <a:rect l="0" t="0" r="r" b="b"/>
                            <a:pathLst>
                              <a:path w="46" h="82">
                                <a:moveTo>
                                  <a:pt x="45" y="0"/>
                                </a:moveTo>
                                <a:lnTo>
                                  <a:pt x="43" y="0"/>
                                </a:lnTo>
                                <a:lnTo>
                                  <a:pt x="40" y="0"/>
                                </a:lnTo>
                                <a:lnTo>
                                  <a:pt x="38" y="1"/>
                                </a:lnTo>
                                <a:lnTo>
                                  <a:pt x="36" y="2"/>
                                </a:lnTo>
                                <a:lnTo>
                                  <a:pt x="33" y="3"/>
                                </a:lnTo>
                                <a:lnTo>
                                  <a:pt x="31" y="4"/>
                                </a:lnTo>
                                <a:lnTo>
                                  <a:pt x="29" y="5"/>
                                </a:lnTo>
                                <a:lnTo>
                                  <a:pt x="27" y="7"/>
                                </a:lnTo>
                                <a:lnTo>
                                  <a:pt x="25" y="9"/>
                                </a:lnTo>
                                <a:lnTo>
                                  <a:pt x="22" y="11"/>
                                </a:lnTo>
                                <a:lnTo>
                                  <a:pt x="20" y="13"/>
                                </a:lnTo>
                                <a:lnTo>
                                  <a:pt x="19" y="15"/>
                                </a:lnTo>
                                <a:lnTo>
                                  <a:pt x="17" y="18"/>
                                </a:lnTo>
                                <a:lnTo>
                                  <a:pt x="15" y="21"/>
                                </a:lnTo>
                                <a:lnTo>
                                  <a:pt x="13" y="24"/>
                                </a:lnTo>
                                <a:lnTo>
                                  <a:pt x="12" y="27"/>
                                </a:lnTo>
                                <a:lnTo>
                                  <a:pt x="10" y="30"/>
                                </a:lnTo>
                                <a:lnTo>
                                  <a:pt x="9" y="33"/>
                                </a:lnTo>
                                <a:lnTo>
                                  <a:pt x="7" y="37"/>
                                </a:lnTo>
                                <a:lnTo>
                                  <a:pt x="6" y="41"/>
                                </a:lnTo>
                                <a:lnTo>
                                  <a:pt x="5" y="44"/>
                                </a:lnTo>
                                <a:lnTo>
                                  <a:pt x="4" y="48"/>
                                </a:lnTo>
                                <a:lnTo>
                                  <a:pt x="3" y="52"/>
                                </a:lnTo>
                                <a:lnTo>
                                  <a:pt x="2" y="56"/>
                                </a:lnTo>
                                <a:lnTo>
                                  <a:pt x="2" y="60"/>
                                </a:lnTo>
                                <a:lnTo>
                                  <a:pt x="1" y="64"/>
                                </a:lnTo>
                                <a:lnTo>
                                  <a:pt x="1" y="68"/>
                                </a:lnTo>
                                <a:lnTo>
                                  <a:pt x="0" y="73"/>
                                </a:lnTo>
                                <a:lnTo>
                                  <a:pt x="0" y="77"/>
                                </a:lnTo>
                                <a:lnTo>
                                  <a:pt x="0" y="81"/>
                                </a:lnTo>
                                <a:lnTo>
                                  <a:pt x="45" y="81"/>
                                </a:lnTo>
                                <a:lnTo>
                                  <a:pt x="45" y="0"/>
                                </a:lnTo>
                                <a:moveTo>
                                  <a:pt x="45" y="0"/>
                                </a:moveTo>
                                <a:lnTo>
                                  <a:pt x="43" y="0"/>
                                </a:lnTo>
                                <a:lnTo>
                                  <a:pt x="40" y="0"/>
                                </a:lnTo>
                                <a:lnTo>
                                  <a:pt x="38" y="1"/>
                                </a:lnTo>
                                <a:lnTo>
                                  <a:pt x="36" y="2"/>
                                </a:lnTo>
                                <a:lnTo>
                                  <a:pt x="33" y="3"/>
                                </a:lnTo>
                                <a:lnTo>
                                  <a:pt x="31" y="4"/>
                                </a:lnTo>
                                <a:lnTo>
                                  <a:pt x="29" y="5"/>
                                </a:lnTo>
                                <a:lnTo>
                                  <a:pt x="27" y="7"/>
                                </a:lnTo>
                                <a:lnTo>
                                  <a:pt x="25" y="9"/>
                                </a:lnTo>
                                <a:lnTo>
                                  <a:pt x="22" y="11"/>
                                </a:lnTo>
                                <a:lnTo>
                                  <a:pt x="20" y="13"/>
                                </a:lnTo>
                                <a:lnTo>
                                  <a:pt x="19" y="15"/>
                                </a:lnTo>
                                <a:lnTo>
                                  <a:pt x="17" y="18"/>
                                </a:lnTo>
                                <a:lnTo>
                                  <a:pt x="15" y="21"/>
                                </a:lnTo>
                                <a:lnTo>
                                  <a:pt x="13" y="24"/>
                                </a:lnTo>
                                <a:lnTo>
                                  <a:pt x="12" y="27"/>
                                </a:lnTo>
                                <a:lnTo>
                                  <a:pt x="10" y="30"/>
                                </a:lnTo>
                                <a:lnTo>
                                  <a:pt x="9" y="33"/>
                                </a:lnTo>
                                <a:lnTo>
                                  <a:pt x="7" y="37"/>
                                </a:lnTo>
                                <a:lnTo>
                                  <a:pt x="6" y="41"/>
                                </a:lnTo>
                                <a:lnTo>
                                  <a:pt x="5" y="44"/>
                                </a:lnTo>
                                <a:lnTo>
                                  <a:pt x="4" y="48"/>
                                </a:lnTo>
                                <a:lnTo>
                                  <a:pt x="3" y="52"/>
                                </a:lnTo>
                                <a:lnTo>
                                  <a:pt x="2" y="56"/>
                                </a:lnTo>
                                <a:lnTo>
                                  <a:pt x="2" y="60"/>
                                </a:lnTo>
                                <a:lnTo>
                                  <a:pt x="1" y="64"/>
                                </a:lnTo>
                                <a:lnTo>
                                  <a:pt x="1" y="68"/>
                                </a:lnTo>
                                <a:lnTo>
                                  <a:pt x="0" y="73"/>
                                </a:lnTo>
                                <a:lnTo>
                                  <a:pt x="0" y="77"/>
                                </a:lnTo>
                                <a:lnTo>
                                  <a:pt x="0" y="81"/>
                                </a:lnTo>
                              </a:path>
                            </a:pathLst>
                          </a:custGeom>
                          <a:noFill/>
                          <a:ln w="9360">
                            <a:solidFill>
                              <a:srgbClr val="000000"/>
                            </a:solidFill>
                            <a:miter/>
                          </a:ln>
                        </wps:spPr>
                        <wps:style>
                          <a:lnRef idx="0"/>
                          <a:fillRef idx="0"/>
                          <a:effectRef idx="0"/>
                          <a:fontRef idx="minor"/>
                        </wps:style>
                        <wps:bodyPr/>
                      </wps:wsp>
                      <wps:wsp>
                        <wps:cNvSpPr/>
                        <wps:spPr>
                          <a:xfrm>
                            <a:off x="720" y="104040"/>
                            <a:ext cx="57240" cy="102960"/>
                          </a:xfrm>
                          <a:custGeom>
                            <a:avLst/>
                            <a:gdLst/>
                            <a:ahLst/>
                            <a:rect l="0" t="0" r="r" b="b"/>
                            <a:pathLst>
                              <a:path w="46" h="82">
                                <a:moveTo>
                                  <a:pt x="45" y="81"/>
                                </a:moveTo>
                                <a:lnTo>
                                  <a:pt x="43" y="81"/>
                                </a:lnTo>
                                <a:lnTo>
                                  <a:pt x="40" y="81"/>
                                </a:lnTo>
                                <a:lnTo>
                                  <a:pt x="38" y="80"/>
                                </a:lnTo>
                                <a:lnTo>
                                  <a:pt x="36" y="79"/>
                                </a:lnTo>
                                <a:lnTo>
                                  <a:pt x="33" y="78"/>
                                </a:lnTo>
                                <a:lnTo>
                                  <a:pt x="31" y="77"/>
                                </a:lnTo>
                                <a:lnTo>
                                  <a:pt x="29" y="76"/>
                                </a:lnTo>
                                <a:lnTo>
                                  <a:pt x="27" y="74"/>
                                </a:lnTo>
                                <a:lnTo>
                                  <a:pt x="25" y="72"/>
                                </a:lnTo>
                                <a:lnTo>
                                  <a:pt x="22" y="70"/>
                                </a:lnTo>
                                <a:lnTo>
                                  <a:pt x="20" y="68"/>
                                </a:lnTo>
                                <a:lnTo>
                                  <a:pt x="19" y="66"/>
                                </a:lnTo>
                                <a:lnTo>
                                  <a:pt x="17" y="63"/>
                                </a:lnTo>
                                <a:lnTo>
                                  <a:pt x="15" y="60"/>
                                </a:lnTo>
                                <a:lnTo>
                                  <a:pt x="13" y="57"/>
                                </a:lnTo>
                                <a:lnTo>
                                  <a:pt x="12" y="54"/>
                                </a:lnTo>
                                <a:lnTo>
                                  <a:pt x="10" y="51"/>
                                </a:lnTo>
                                <a:lnTo>
                                  <a:pt x="9" y="48"/>
                                </a:lnTo>
                                <a:lnTo>
                                  <a:pt x="7" y="44"/>
                                </a:lnTo>
                                <a:lnTo>
                                  <a:pt x="6" y="40"/>
                                </a:lnTo>
                                <a:lnTo>
                                  <a:pt x="5" y="37"/>
                                </a:lnTo>
                                <a:lnTo>
                                  <a:pt x="4" y="33"/>
                                </a:lnTo>
                                <a:lnTo>
                                  <a:pt x="3" y="29"/>
                                </a:lnTo>
                                <a:lnTo>
                                  <a:pt x="2" y="25"/>
                                </a:lnTo>
                                <a:lnTo>
                                  <a:pt x="2" y="21"/>
                                </a:lnTo>
                                <a:lnTo>
                                  <a:pt x="1" y="17"/>
                                </a:lnTo>
                                <a:lnTo>
                                  <a:pt x="1" y="13"/>
                                </a:lnTo>
                                <a:lnTo>
                                  <a:pt x="0" y="8"/>
                                </a:lnTo>
                                <a:lnTo>
                                  <a:pt x="0" y="4"/>
                                </a:lnTo>
                                <a:lnTo>
                                  <a:pt x="0" y="0"/>
                                </a:lnTo>
                                <a:lnTo>
                                  <a:pt x="45" y="0"/>
                                </a:lnTo>
                                <a:lnTo>
                                  <a:pt x="45" y="81"/>
                                </a:lnTo>
                                <a:moveTo>
                                  <a:pt x="45" y="81"/>
                                </a:moveTo>
                                <a:lnTo>
                                  <a:pt x="43" y="81"/>
                                </a:lnTo>
                                <a:lnTo>
                                  <a:pt x="40" y="81"/>
                                </a:lnTo>
                                <a:lnTo>
                                  <a:pt x="38" y="80"/>
                                </a:lnTo>
                                <a:lnTo>
                                  <a:pt x="36" y="79"/>
                                </a:lnTo>
                                <a:lnTo>
                                  <a:pt x="33" y="78"/>
                                </a:lnTo>
                                <a:lnTo>
                                  <a:pt x="31" y="77"/>
                                </a:lnTo>
                                <a:lnTo>
                                  <a:pt x="29" y="76"/>
                                </a:lnTo>
                                <a:lnTo>
                                  <a:pt x="27" y="74"/>
                                </a:lnTo>
                                <a:lnTo>
                                  <a:pt x="25" y="72"/>
                                </a:lnTo>
                                <a:lnTo>
                                  <a:pt x="22" y="70"/>
                                </a:lnTo>
                                <a:lnTo>
                                  <a:pt x="20" y="68"/>
                                </a:lnTo>
                                <a:lnTo>
                                  <a:pt x="19" y="66"/>
                                </a:lnTo>
                                <a:lnTo>
                                  <a:pt x="17" y="63"/>
                                </a:lnTo>
                                <a:lnTo>
                                  <a:pt x="15" y="60"/>
                                </a:lnTo>
                                <a:lnTo>
                                  <a:pt x="13" y="57"/>
                                </a:lnTo>
                                <a:lnTo>
                                  <a:pt x="12" y="54"/>
                                </a:lnTo>
                                <a:lnTo>
                                  <a:pt x="10" y="51"/>
                                </a:lnTo>
                                <a:lnTo>
                                  <a:pt x="9" y="48"/>
                                </a:lnTo>
                                <a:lnTo>
                                  <a:pt x="7" y="44"/>
                                </a:lnTo>
                                <a:lnTo>
                                  <a:pt x="6" y="40"/>
                                </a:lnTo>
                                <a:lnTo>
                                  <a:pt x="5" y="37"/>
                                </a:lnTo>
                                <a:lnTo>
                                  <a:pt x="4" y="33"/>
                                </a:lnTo>
                                <a:lnTo>
                                  <a:pt x="3" y="29"/>
                                </a:lnTo>
                                <a:lnTo>
                                  <a:pt x="2" y="25"/>
                                </a:lnTo>
                                <a:lnTo>
                                  <a:pt x="2" y="21"/>
                                </a:lnTo>
                                <a:lnTo>
                                  <a:pt x="1" y="17"/>
                                </a:lnTo>
                                <a:lnTo>
                                  <a:pt x="1" y="13"/>
                                </a:lnTo>
                                <a:lnTo>
                                  <a:pt x="0" y="8"/>
                                </a:lnTo>
                                <a:lnTo>
                                  <a:pt x="0" y="4"/>
                                </a:lnTo>
                                <a:lnTo>
                                  <a:pt x="0" y="0"/>
                                </a:lnTo>
                              </a:path>
                            </a:pathLst>
                          </a:custGeom>
                          <a:noFill/>
                          <a:ln w="9360">
                            <a:solidFill>
                              <a:srgbClr val="000000"/>
                            </a:solidFill>
                            <a:miter/>
                          </a:ln>
                        </wps:spPr>
                        <wps:style>
                          <a:lnRef idx="0"/>
                          <a:fillRef idx="0"/>
                          <a:effectRef idx="0"/>
                          <a:fontRef idx="minor"/>
                        </wps:style>
                        <wps:bodyPr/>
                      </wps:wsp>
                      <wps:wsp>
                        <wps:cNvSpPr/>
                        <wps:spPr>
                          <a:xfrm>
                            <a:off x="58320" y="52200"/>
                            <a:ext cx="720" cy="207720"/>
                          </a:xfrm>
                          <a:prstGeom prst="line">
                            <a:avLst/>
                          </a:prstGeom>
                          <a:ln w="9360">
                            <a:solidFill>
                              <a:srgbClr val="000000"/>
                            </a:solidFill>
                            <a:miter/>
                          </a:ln>
                        </wps:spPr>
                        <wps:style>
                          <a:lnRef idx="0"/>
                          <a:fillRef idx="0"/>
                          <a:effectRef idx="0"/>
                          <a:fontRef idx="minor"/>
                        </wps:style>
                        <wps:bodyPr/>
                      </wps:wsp>
                      <wps:wsp>
                        <wps:cNvSpPr/>
                        <wps:spPr>
                          <a:xfrm>
                            <a:off x="0" y="0"/>
                            <a:ext cx="58320" cy="102960"/>
                          </a:xfrm>
                          <a:custGeom>
                            <a:avLst/>
                            <a:gdLst/>
                            <a:ahLst/>
                            <a:rect l="0" t="0" r="r" b="b"/>
                            <a:pathLst>
                              <a:path w="47" h="82">
                                <a:moveTo>
                                  <a:pt x="0" y="0"/>
                                </a:moveTo>
                                <a:lnTo>
                                  <a:pt x="2" y="0"/>
                                </a:lnTo>
                                <a:lnTo>
                                  <a:pt x="5" y="0"/>
                                </a:lnTo>
                                <a:lnTo>
                                  <a:pt x="7" y="1"/>
                                </a:lnTo>
                                <a:lnTo>
                                  <a:pt x="10" y="2"/>
                                </a:lnTo>
                                <a:lnTo>
                                  <a:pt x="12" y="3"/>
                                </a:lnTo>
                                <a:lnTo>
                                  <a:pt x="14" y="4"/>
                                </a:lnTo>
                                <a:lnTo>
                                  <a:pt x="16" y="5"/>
                                </a:lnTo>
                                <a:lnTo>
                                  <a:pt x="19" y="7"/>
                                </a:lnTo>
                                <a:lnTo>
                                  <a:pt x="21" y="9"/>
                                </a:lnTo>
                                <a:lnTo>
                                  <a:pt x="23" y="11"/>
                                </a:lnTo>
                                <a:lnTo>
                                  <a:pt x="25" y="13"/>
                                </a:lnTo>
                                <a:lnTo>
                                  <a:pt x="27" y="15"/>
                                </a:lnTo>
                                <a:lnTo>
                                  <a:pt x="29" y="18"/>
                                </a:lnTo>
                                <a:lnTo>
                                  <a:pt x="31" y="21"/>
                                </a:lnTo>
                                <a:lnTo>
                                  <a:pt x="33" y="24"/>
                                </a:lnTo>
                                <a:lnTo>
                                  <a:pt x="34" y="27"/>
                                </a:lnTo>
                                <a:lnTo>
                                  <a:pt x="36" y="30"/>
                                </a:lnTo>
                                <a:lnTo>
                                  <a:pt x="37" y="33"/>
                                </a:lnTo>
                                <a:lnTo>
                                  <a:pt x="39" y="37"/>
                                </a:lnTo>
                                <a:lnTo>
                                  <a:pt x="40" y="41"/>
                                </a:lnTo>
                                <a:lnTo>
                                  <a:pt x="41" y="44"/>
                                </a:lnTo>
                                <a:lnTo>
                                  <a:pt x="42" y="48"/>
                                </a:lnTo>
                                <a:lnTo>
                                  <a:pt x="43" y="52"/>
                                </a:lnTo>
                                <a:lnTo>
                                  <a:pt x="44" y="56"/>
                                </a:lnTo>
                                <a:lnTo>
                                  <a:pt x="44" y="60"/>
                                </a:lnTo>
                                <a:lnTo>
                                  <a:pt x="45" y="64"/>
                                </a:lnTo>
                                <a:lnTo>
                                  <a:pt x="45" y="68"/>
                                </a:lnTo>
                                <a:lnTo>
                                  <a:pt x="46" y="73"/>
                                </a:lnTo>
                                <a:lnTo>
                                  <a:pt x="46" y="77"/>
                                </a:lnTo>
                                <a:lnTo>
                                  <a:pt x="46" y="81"/>
                                </a:lnTo>
                                <a:lnTo>
                                  <a:pt x="0" y="81"/>
                                </a:lnTo>
                                <a:lnTo>
                                  <a:pt x="0" y="0"/>
                                </a:lnTo>
                                <a:moveTo>
                                  <a:pt x="0" y="0"/>
                                </a:moveTo>
                                <a:lnTo>
                                  <a:pt x="2" y="0"/>
                                </a:lnTo>
                                <a:lnTo>
                                  <a:pt x="5" y="0"/>
                                </a:lnTo>
                                <a:lnTo>
                                  <a:pt x="7" y="1"/>
                                </a:lnTo>
                                <a:lnTo>
                                  <a:pt x="10" y="2"/>
                                </a:lnTo>
                                <a:lnTo>
                                  <a:pt x="12" y="3"/>
                                </a:lnTo>
                                <a:lnTo>
                                  <a:pt x="14" y="4"/>
                                </a:lnTo>
                                <a:lnTo>
                                  <a:pt x="16" y="5"/>
                                </a:lnTo>
                                <a:lnTo>
                                  <a:pt x="19" y="7"/>
                                </a:lnTo>
                                <a:lnTo>
                                  <a:pt x="21" y="9"/>
                                </a:lnTo>
                                <a:lnTo>
                                  <a:pt x="23" y="11"/>
                                </a:lnTo>
                                <a:lnTo>
                                  <a:pt x="25" y="13"/>
                                </a:lnTo>
                                <a:lnTo>
                                  <a:pt x="27" y="15"/>
                                </a:lnTo>
                                <a:lnTo>
                                  <a:pt x="29" y="18"/>
                                </a:lnTo>
                                <a:lnTo>
                                  <a:pt x="31" y="21"/>
                                </a:lnTo>
                                <a:lnTo>
                                  <a:pt x="33" y="24"/>
                                </a:lnTo>
                                <a:lnTo>
                                  <a:pt x="34" y="27"/>
                                </a:lnTo>
                                <a:lnTo>
                                  <a:pt x="36" y="30"/>
                                </a:lnTo>
                                <a:lnTo>
                                  <a:pt x="37" y="33"/>
                                </a:lnTo>
                                <a:lnTo>
                                  <a:pt x="39" y="37"/>
                                </a:lnTo>
                                <a:lnTo>
                                  <a:pt x="40" y="41"/>
                                </a:lnTo>
                                <a:lnTo>
                                  <a:pt x="41" y="44"/>
                                </a:lnTo>
                                <a:lnTo>
                                  <a:pt x="42" y="48"/>
                                </a:lnTo>
                                <a:lnTo>
                                  <a:pt x="43" y="52"/>
                                </a:lnTo>
                                <a:lnTo>
                                  <a:pt x="44" y="56"/>
                                </a:lnTo>
                                <a:lnTo>
                                  <a:pt x="44" y="60"/>
                                </a:lnTo>
                                <a:lnTo>
                                  <a:pt x="45" y="64"/>
                                </a:lnTo>
                                <a:lnTo>
                                  <a:pt x="45" y="68"/>
                                </a:lnTo>
                                <a:lnTo>
                                  <a:pt x="46" y="73"/>
                                </a:lnTo>
                                <a:lnTo>
                                  <a:pt x="46" y="77"/>
                                </a:lnTo>
                                <a:lnTo>
                                  <a:pt x="46" y="81"/>
                                </a:lnTo>
                              </a:path>
                            </a:pathLst>
                          </a:custGeom>
                          <a:noFill/>
                          <a:ln w="9360">
                            <a:solidFill>
                              <a:srgbClr val="000000"/>
                            </a:solidFill>
                            <a:miter/>
                          </a:ln>
                        </wps:spPr>
                        <wps:style>
                          <a:lnRef idx="0"/>
                          <a:fillRef idx="0"/>
                          <a:effectRef idx="0"/>
                          <a:fontRef idx="minor"/>
                        </wps:style>
                        <wps:bodyPr/>
                      </wps:wsp>
                    </wpg:wgp>
                  </a:graphicData>
                </a:graphic>
              </wp:anchor>
            </w:drawing>
          </mc:Choice>
          <mc:Fallback>
            <w:pict>
              <v:group id="shape_0" style="position:absolute;margin-left:180pt;margin-top:4.25pt;width:9.05pt;height:48.8pt" coordorigin="3600,85" coordsize="181,976">
                <v:rect id="shape_0" stroked="t" style="position:absolute;left:3600;top:899;width:91;height:161;flip:y">
                  <w10:wrap type="none"/>
                  <v:fill o:detectmouseclick="t" on="false"/>
                  <v:stroke color="black" weight="9360" joinstyle="miter" endcap="square"/>
                </v:rect>
                <v:line id="shape_0" from="3692,655" to="3692,981" stroked="t" style="position:absolute">
                  <v:stroke color="black" weight="9360" joinstyle="miter" endcap="square"/>
                  <v:fill o:detectmouseclick="t" on="false"/>
                </v:line>
                <v:rect id="shape_0" stroked="t" style="position:absolute;left:3691;top:573;width:89;height:161;flip:x">
                  <w10:wrap type="none"/>
                  <v:fill o:detectmouseclick="t" on="false"/>
                  <v:stroke color="black" weight="9360" joinstyle="miter" endcap="square"/>
                </v:rect>
                <v:rect id="shape_0" stroked="t" style="position:absolute;left:3691;top:411;width:89;height:161;flip:xy">
                  <w10:wrap type="none"/>
                  <v:fill o:detectmouseclick="t" on="false"/>
                  <v:stroke color="black" weight="9360" joinstyle="miter" endcap="square"/>
                </v:rect>
                <v:line id="shape_0" from="3692,167" to="3692,493" stroked="t" style="position:absolute">
                  <v:stroke color="black" weight="9360" joinstyle="miter" endcap="square"/>
                  <v:fill o:detectmouseclick="t" on="false"/>
                </v:line>
                <v:rect id="shape_0" stroked="t" style="position:absolute;left:3600;top:85;width:91;height:161">
                  <w10:wrap type="none"/>
                  <v:fill o:detectmouseclick="t" on="false"/>
                  <v:stroke color="black" weight="9360" joinstyle="miter" endcap="square"/>
                </v:rect>
              </v:group>
            </w:pict>
          </mc:Fallback>
        </mc:AlternateContent>
      </w:r>
      <w:r>
        <w:rPr>
          <w:rFonts w:eastAsia="標楷體" w:cs="標楷體" w:ascii="標楷體" w:hAnsi="標楷體"/>
          <w:b/>
          <w:sz w:val="28"/>
        </w:rPr>
        <w:t xml:space="preserve"> </w:t>
      </w:r>
      <w:r>
        <w:rPr>
          <w:rFonts w:eastAsia="標楷體" w:cs="標楷體" w:ascii="標楷體" w:hAnsi="標楷體"/>
          <w:b/>
          <w:sz w:val="28"/>
        </w:rPr>
        <w:t xml:space="preserve">                </w:t>
      </w:r>
      <w:r>
        <w:rPr>
          <w:rFonts w:ascii="標楷體" w:hAnsi="標楷體" w:eastAsia="標楷體"/>
          <w:sz w:val="28"/>
        </w:rPr>
        <w:t>邊緣系統</w:t>
      </w:r>
    </w:p>
    <w:p>
      <w:pPr>
        <w:pStyle w:val="Normal"/>
        <w:tabs>
          <w:tab w:val="left" w:pos="3960" w:leader="none"/>
        </w:tabs>
        <w:snapToGrid w:val="false"/>
        <w:spacing w:lineRule="atLeast" w:line="20"/>
        <w:jc w:val="both"/>
        <w:rPr/>
      </w:pPr>
      <w:r>
        <w:rPr>
          <w:rFonts w:eastAsia="標楷體" w:cs="標楷體" w:ascii="標楷體" w:hAnsi="標楷體"/>
          <w:b/>
          <w:sz w:val="28"/>
        </w:rPr>
        <w:t xml:space="preserve">                    </w:t>
      </w:r>
      <w:r>
        <w:rPr>
          <w:rFonts w:eastAsia="Wingdings" w:cs="Wingdings" w:ascii="Wingdings" w:hAnsi="Wingdings"/>
          <w:b/>
          <w:sz w:val="28"/>
        </w:rPr>
        <w:t></w:t>
      </w:r>
      <w:r>
        <w:rPr>
          <w:rFonts w:eastAsia="標楷體" w:cs="標楷體" w:ascii="標楷體" w:hAnsi="標楷體"/>
          <w:b/>
          <w:sz w:val="28"/>
        </w:rPr>
        <w:t xml:space="preserve">     </w:t>
      </w:r>
      <w:r>
        <w:rPr>
          <w:rFonts w:ascii="標楷體" w:hAnsi="標楷體" w:eastAsia="標楷體"/>
          <w:b/>
          <w:sz w:val="28"/>
        </w:rPr>
        <w:t>肝</w:t>
      </w:r>
      <w:r>
        <w:rPr>
          <w:rFonts w:eastAsia="標楷體" w:ascii="標楷體" w:hAnsi="標楷體"/>
          <w:sz w:val="28"/>
        </w:rPr>
        <w:t>(</w:t>
      </w:r>
      <w:r>
        <w:rPr>
          <w:rFonts w:ascii="標楷體" w:hAnsi="標楷體" w:eastAsia="標楷體"/>
          <w:sz w:val="28"/>
        </w:rPr>
        <w:t>情緒</w:t>
      </w:r>
      <w:r>
        <w:rPr>
          <w:rFonts w:eastAsia="標楷體" w:ascii="標楷體" w:hAnsi="標楷體"/>
          <w:sz w:val="28"/>
        </w:rPr>
        <w:t>)</w:t>
      </w:r>
      <w:r>
        <w:rPr>
          <w:rFonts w:eastAsia="標楷體" w:ascii="標楷體" w:hAnsi="標楷體"/>
          <w:b/>
          <w:sz w:val="28"/>
        </w:rPr>
        <w:t xml:space="preserve"> </w:t>
      </w:r>
    </w:p>
    <w:p>
      <w:pPr>
        <w:pStyle w:val="Normal"/>
        <w:tabs>
          <w:tab w:val="left" w:pos="3960" w:leader="none"/>
        </w:tabs>
        <w:snapToGrid w:val="false"/>
        <w:spacing w:lineRule="atLeast" w:line="20"/>
        <w:jc w:val="both"/>
        <w:rPr/>
      </w:pPr>
      <w:r>
        <mc:AlternateContent>
          <mc:Choice Requires="wpg">
            <w:drawing>
              <wp:anchor behindDoc="0" distT="0" distB="0" distL="114935" distR="114935" simplePos="0" locked="0" layoutInCell="1" allowOverlap="1" relativeHeight="9">
                <wp:simplePos x="0" y="0"/>
                <wp:positionH relativeFrom="column">
                  <wp:posOffset>2171700</wp:posOffset>
                </wp:positionH>
                <wp:positionV relativeFrom="paragraph">
                  <wp:posOffset>113030</wp:posOffset>
                </wp:positionV>
                <wp:extent cx="191770" cy="603250"/>
                <wp:effectExtent l="0" t="0" r="0" b="0"/>
                <wp:wrapNone/>
                <wp:docPr id="7" name=""/>
                <a:graphic xmlns:a="http://schemas.openxmlformats.org/drawingml/2006/main">
                  <a:graphicData uri="http://schemas.microsoft.com/office/word/2010/wordprocessingGroup">
                    <wpg:wgp>
                      <wpg:cNvGrpSpPr/>
                      <wpg:grpSpPr>
                        <a:xfrm rot="10800000">
                          <a:off x="0" y="0"/>
                          <a:ext cx="191160" cy="602640"/>
                        </a:xfrm>
                      </wpg:grpSpPr>
                      <wps:wsp>
                        <wps:cNvSpPr/>
                        <wps:spPr>
                          <a:xfrm>
                            <a:off x="-96480" y="401760"/>
                            <a:ext cx="96480" cy="100440"/>
                          </a:xfrm>
                          <a:custGeom>
                            <a:avLst/>
                            <a:gdLst/>
                            <a:ahLst/>
                            <a:rect l="0" t="0" r="r" b="b"/>
                            <a:pathLst>
                              <a:path w="77" h="80">
                                <a:moveTo>
                                  <a:pt x="0" y="79"/>
                                </a:moveTo>
                                <a:lnTo>
                                  <a:pt x="4" y="79"/>
                                </a:lnTo>
                                <a:lnTo>
                                  <a:pt x="8" y="79"/>
                                </a:lnTo>
                                <a:lnTo>
                                  <a:pt x="12" y="78"/>
                                </a:lnTo>
                                <a:lnTo>
                                  <a:pt x="16" y="77"/>
                                </a:lnTo>
                                <a:lnTo>
                                  <a:pt x="20" y="76"/>
                                </a:lnTo>
                                <a:lnTo>
                                  <a:pt x="23" y="75"/>
                                </a:lnTo>
                                <a:lnTo>
                                  <a:pt x="27" y="74"/>
                                </a:lnTo>
                                <a:lnTo>
                                  <a:pt x="31" y="72"/>
                                </a:lnTo>
                                <a:lnTo>
                                  <a:pt x="35" y="70"/>
                                </a:lnTo>
                                <a:lnTo>
                                  <a:pt x="38" y="68"/>
                                </a:lnTo>
                                <a:lnTo>
                                  <a:pt x="41" y="66"/>
                                </a:lnTo>
                                <a:lnTo>
                                  <a:pt x="45" y="64"/>
                                </a:lnTo>
                                <a:lnTo>
                                  <a:pt x="48" y="61"/>
                                </a:lnTo>
                                <a:lnTo>
                                  <a:pt x="51" y="59"/>
                                </a:lnTo>
                                <a:lnTo>
                                  <a:pt x="54" y="56"/>
                                </a:lnTo>
                                <a:lnTo>
                                  <a:pt x="56" y="53"/>
                                </a:lnTo>
                                <a:lnTo>
                                  <a:pt x="59" y="50"/>
                                </a:lnTo>
                                <a:lnTo>
                                  <a:pt x="61" y="46"/>
                                </a:lnTo>
                                <a:lnTo>
                                  <a:pt x="64" y="43"/>
                                </a:lnTo>
                                <a:lnTo>
                                  <a:pt x="66" y="39"/>
                                </a:lnTo>
                                <a:lnTo>
                                  <a:pt x="68" y="36"/>
                                </a:lnTo>
                                <a:lnTo>
                                  <a:pt x="69" y="32"/>
                                </a:lnTo>
                                <a:lnTo>
                                  <a:pt x="71" y="28"/>
                                </a:lnTo>
                                <a:lnTo>
                                  <a:pt x="72" y="24"/>
                                </a:lnTo>
                                <a:lnTo>
                                  <a:pt x="73" y="20"/>
                                </a:lnTo>
                                <a:lnTo>
                                  <a:pt x="74" y="16"/>
                                </a:lnTo>
                                <a:lnTo>
                                  <a:pt x="75" y="12"/>
                                </a:lnTo>
                                <a:lnTo>
                                  <a:pt x="76" y="8"/>
                                </a:lnTo>
                                <a:lnTo>
                                  <a:pt x="76" y="4"/>
                                </a:lnTo>
                                <a:lnTo>
                                  <a:pt x="76" y="0"/>
                                </a:lnTo>
                                <a:lnTo>
                                  <a:pt x="0" y="0"/>
                                </a:lnTo>
                                <a:lnTo>
                                  <a:pt x="0" y="79"/>
                                </a:lnTo>
                                <a:moveTo>
                                  <a:pt x="0" y="79"/>
                                </a:moveTo>
                                <a:lnTo>
                                  <a:pt x="4" y="79"/>
                                </a:lnTo>
                                <a:lnTo>
                                  <a:pt x="8" y="79"/>
                                </a:lnTo>
                                <a:lnTo>
                                  <a:pt x="12" y="78"/>
                                </a:lnTo>
                                <a:lnTo>
                                  <a:pt x="16" y="77"/>
                                </a:lnTo>
                                <a:lnTo>
                                  <a:pt x="20" y="76"/>
                                </a:lnTo>
                                <a:lnTo>
                                  <a:pt x="23" y="75"/>
                                </a:lnTo>
                                <a:lnTo>
                                  <a:pt x="27" y="74"/>
                                </a:lnTo>
                                <a:lnTo>
                                  <a:pt x="31" y="72"/>
                                </a:lnTo>
                                <a:lnTo>
                                  <a:pt x="35" y="70"/>
                                </a:lnTo>
                                <a:lnTo>
                                  <a:pt x="38" y="68"/>
                                </a:lnTo>
                                <a:lnTo>
                                  <a:pt x="41" y="66"/>
                                </a:lnTo>
                                <a:lnTo>
                                  <a:pt x="45" y="64"/>
                                </a:lnTo>
                                <a:lnTo>
                                  <a:pt x="48" y="61"/>
                                </a:lnTo>
                                <a:lnTo>
                                  <a:pt x="51" y="59"/>
                                </a:lnTo>
                                <a:lnTo>
                                  <a:pt x="54" y="56"/>
                                </a:lnTo>
                                <a:lnTo>
                                  <a:pt x="56" y="53"/>
                                </a:lnTo>
                                <a:lnTo>
                                  <a:pt x="59" y="50"/>
                                </a:lnTo>
                                <a:lnTo>
                                  <a:pt x="61" y="46"/>
                                </a:lnTo>
                                <a:lnTo>
                                  <a:pt x="64" y="43"/>
                                </a:lnTo>
                                <a:lnTo>
                                  <a:pt x="66" y="39"/>
                                </a:lnTo>
                                <a:lnTo>
                                  <a:pt x="68" y="36"/>
                                </a:lnTo>
                                <a:lnTo>
                                  <a:pt x="69" y="32"/>
                                </a:lnTo>
                                <a:lnTo>
                                  <a:pt x="71" y="28"/>
                                </a:lnTo>
                                <a:lnTo>
                                  <a:pt x="72" y="24"/>
                                </a:lnTo>
                                <a:lnTo>
                                  <a:pt x="73" y="20"/>
                                </a:lnTo>
                                <a:lnTo>
                                  <a:pt x="74" y="16"/>
                                </a:lnTo>
                                <a:lnTo>
                                  <a:pt x="75" y="12"/>
                                </a:lnTo>
                                <a:lnTo>
                                  <a:pt x="76" y="8"/>
                                </a:lnTo>
                                <a:lnTo>
                                  <a:pt x="76" y="4"/>
                                </a:lnTo>
                                <a:lnTo>
                                  <a:pt x="76" y="0"/>
                                </a:lnTo>
                              </a:path>
                            </a:pathLst>
                          </a:custGeom>
                          <a:noFill/>
                          <a:ln w="9360">
                            <a:solidFill>
                              <a:srgbClr val="000000"/>
                            </a:solidFill>
                            <a:miter/>
                          </a:ln>
                        </wps:spPr>
                        <wps:style>
                          <a:lnRef idx="0"/>
                          <a:fillRef idx="0"/>
                          <a:effectRef idx="0"/>
                          <a:fontRef idx="minor"/>
                        </wps:style>
                        <wps:bodyPr/>
                      </wps:wsp>
                      <wps:wsp>
                        <wps:cNvSpPr/>
                        <wps:spPr>
                          <a:xfrm>
                            <a:off x="95760" y="351720"/>
                            <a:ext cx="720" cy="201960"/>
                          </a:xfrm>
                          <a:prstGeom prst="line">
                            <a:avLst/>
                          </a:prstGeom>
                          <a:ln w="9360">
                            <a:solidFill>
                              <a:srgbClr val="000000"/>
                            </a:solidFill>
                            <a:miter/>
                          </a:ln>
                        </wps:spPr>
                        <wps:style>
                          <a:lnRef idx="0"/>
                          <a:fillRef idx="0"/>
                          <a:effectRef idx="0"/>
                          <a:fontRef idx="minor"/>
                        </wps:style>
                        <wps:bodyPr/>
                      </wps:wsp>
                      <wps:wsp>
                        <wps:cNvSpPr/>
                        <wps:spPr>
                          <a:xfrm>
                            <a:off x="95760" y="300960"/>
                            <a:ext cx="95400" cy="100440"/>
                          </a:xfrm>
                          <a:custGeom>
                            <a:avLst/>
                            <a:gdLst/>
                            <a:ahLst/>
                            <a:rect l="0" t="0" r="r" b="b"/>
                            <a:pathLst>
                              <a:path w="76" h="80">
                                <a:moveTo>
                                  <a:pt x="75" y="0"/>
                                </a:moveTo>
                                <a:lnTo>
                                  <a:pt x="71" y="0"/>
                                </a:lnTo>
                                <a:lnTo>
                                  <a:pt x="67" y="0"/>
                                </a:lnTo>
                                <a:lnTo>
                                  <a:pt x="63" y="1"/>
                                </a:lnTo>
                                <a:lnTo>
                                  <a:pt x="59" y="2"/>
                                </a:lnTo>
                                <a:lnTo>
                                  <a:pt x="56" y="3"/>
                                </a:lnTo>
                                <a:lnTo>
                                  <a:pt x="52" y="4"/>
                                </a:lnTo>
                                <a:lnTo>
                                  <a:pt x="48" y="5"/>
                                </a:lnTo>
                                <a:lnTo>
                                  <a:pt x="44" y="7"/>
                                </a:lnTo>
                                <a:lnTo>
                                  <a:pt x="41" y="9"/>
                                </a:lnTo>
                                <a:lnTo>
                                  <a:pt x="37" y="11"/>
                                </a:lnTo>
                                <a:lnTo>
                                  <a:pt x="34" y="13"/>
                                </a:lnTo>
                                <a:lnTo>
                                  <a:pt x="31" y="15"/>
                                </a:lnTo>
                                <a:lnTo>
                                  <a:pt x="28" y="18"/>
                                </a:lnTo>
                                <a:lnTo>
                                  <a:pt x="25" y="20"/>
                                </a:lnTo>
                                <a:lnTo>
                                  <a:pt x="22" y="23"/>
                                </a:lnTo>
                                <a:lnTo>
                                  <a:pt x="19" y="26"/>
                                </a:lnTo>
                                <a:lnTo>
                                  <a:pt x="17" y="29"/>
                                </a:lnTo>
                                <a:lnTo>
                                  <a:pt x="14" y="33"/>
                                </a:lnTo>
                                <a:lnTo>
                                  <a:pt x="12" y="36"/>
                                </a:lnTo>
                                <a:lnTo>
                                  <a:pt x="10" y="40"/>
                                </a:lnTo>
                                <a:lnTo>
                                  <a:pt x="8" y="43"/>
                                </a:lnTo>
                                <a:lnTo>
                                  <a:pt x="6" y="47"/>
                                </a:lnTo>
                                <a:lnTo>
                                  <a:pt x="5" y="51"/>
                                </a:lnTo>
                                <a:lnTo>
                                  <a:pt x="4" y="55"/>
                                </a:lnTo>
                                <a:lnTo>
                                  <a:pt x="3" y="59"/>
                                </a:lnTo>
                                <a:lnTo>
                                  <a:pt x="2" y="63"/>
                                </a:lnTo>
                                <a:lnTo>
                                  <a:pt x="1" y="67"/>
                                </a:lnTo>
                                <a:lnTo>
                                  <a:pt x="0" y="71"/>
                                </a:lnTo>
                                <a:lnTo>
                                  <a:pt x="0" y="75"/>
                                </a:lnTo>
                                <a:lnTo>
                                  <a:pt x="0" y="79"/>
                                </a:lnTo>
                                <a:lnTo>
                                  <a:pt x="75" y="79"/>
                                </a:lnTo>
                                <a:lnTo>
                                  <a:pt x="75" y="0"/>
                                </a:lnTo>
                                <a:moveTo>
                                  <a:pt x="75" y="0"/>
                                </a:moveTo>
                                <a:lnTo>
                                  <a:pt x="71" y="0"/>
                                </a:lnTo>
                                <a:lnTo>
                                  <a:pt x="67" y="0"/>
                                </a:lnTo>
                                <a:lnTo>
                                  <a:pt x="63" y="1"/>
                                </a:lnTo>
                                <a:lnTo>
                                  <a:pt x="59" y="2"/>
                                </a:lnTo>
                                <a:lnTo>
                                  <a:pt x="56" y="3"/>
                                </a:lnTo>
                                <a:lnTo>
                                  <a:pt x="52" y="4"/>
                                </a:lnTo>
                                <a:lnTo>
                                  <a:pt x="48" y="5"/>
                                </a:lnTo>
                                <a:lnTo>
                                  <a:pt x="44" y="7"/>
                                </a:lnTo>
                                <a:lnTo>
                                  <a:pt x="41" y="9"/>
                                </a:lnTo>
                                <a:lnTo>
                                  <a:pt x="37" y="11"/>
                                </a:lnTo>
                                <a:lnTo>
                                  <a:pt x="34" y="13"/>
                                </a:lnTo>
                                <a:lnTo>
                                  <a:pt x="31" y="15"/>
                                </a:lnTo>
                                <a:lnTo>
                                  <a:pt x="28" y="18"/>
                                </a:lnTo>
                                <a:lnTo>
                                  <a:pt x="25" y="20"/>
                                </a:lnTo>
                                <a:lnTo>
                                  <a:pt x="22" y="23"/>
                                </a:lnTo>
                                <a:lnTo>
                                  <a:pt x="19" y="26"/>
                                </a:lnTo>
                                <a:lnTo>
                                  <a:pt x="17" y="29"/>
                                </a:lnTo>
                                <a:lnTo>
                                  <a:pt x="14" y="33"/>
                                </a:lnTo>
                                <a:lnTo>
                                  <a:pt x="12" y="36"/>
                                </a:lnTo>
                                <a:lnTo>
                                  <a:pt x="10" y="40"/>
                                </a:lnTo>
                                <a:lnTo>
                                  <a:pt x="8" y="43"/>
                                </a:lnTo>
                                <a:lnTo>
                                  <a:pt x="6" y="47"/>
                                </a:lnTo>
                                <a:lnTo>
                                  <a:pt x="5" y="51"/>
                                </a:lnTo>
                                <a:lnTo>
                                  <a:pt x="4" y="55"/>
                                </a:lnTo>
                                <a:lnTo>
                                  <a:pt x="3" y="59"/>
                                </a:lnTo>
                                <a:lnTo>
                                  <a:pt x="2" y="63"/>
                                </a:lnTo>
                                <a:lnTo>
                                  <a:pt x="1" y="67"/>
                                </a:lnTo>
                                <a:lnTo>
                                  <a:pt x="0" y="71"/>
                                </a:lnTo>
                                <a:lnTo>
                                  <a:pt x="0" y="75"/>
                                </a:lnTo>
                                <a:lnTo>
                                  <a:pt x="0" y="79"/>
                                </a:lnTo>
                              </a:path>
                            </a:pathLst>
                          </a:custGeom>
                          <a:noFill/>
                          <a:ln w="9360">
                            <a:solidFill>
                              <a:srgbClr val="000000"/>
                            </a:solidFill>
                            <a:miter/>
                          </a:ln>
                        </wps:spPr>
                        <wps:style>
                          <a:lnRef idx="0"/>
                          <a:fillRef idx="0"/>
                          <a:effectRef idx="0"/>
                          <a:fontRef idx="minor"/>
                        </wps:style>
                        <wps:bodyPr/>
                      </wps:wsp>
                      <wps:wsp>
                        <wps:cNvSpPr/>
                        <wps:spPr>
                          <a:xfrm>
                            <a:off x="360" y="100080"/>
                            <a:ext cx="95400" cy="100440"/>
                          </a:xfrm>
                          <a:custGeom>
                            <a:avLst/>
                            <a:gdLst/>
                            <a:ahLst/>
                            <a:rect l="0" t="0" r="r" b="b"/>
                            <a:pathLst>
                              <a:path w="76" h="80">
                                <a:moveTo>
                                  <a:pt x="75" y="79"/>
                                </a:moveTo>
                                <a:lnTo>
                                  <a:pt x="71" y="79"/>
                                </a:lnTo>
                                <a:lnTo>
                                  <a:pt x="67" y="79"/>
                                </a:lnTo>
                                <a:lnTo>
                                  <a:pt x="63" y="78"/>
                                </a:lnTo>
                                <a:lnTo>
                                  <a:pt x="59" y="77"/>
                                </a:lnTo>
                                <a:lnTo>
                                  <a:pt x="56" y="76"/>
                                </a:lnTo>
                                <a:lnTo>
                                  <a:pt x="52" y="75"/>
                                </a:lnTo>
                                <a:lnTo>
                                  <a:pt x="48" y="74"/>
                                </a:lnTo>
                                <a:lnTo>
                                  <a:pt x="44" y="72"/>
                                </a:lnTo>
                                <a:lnTo>
                                  <a:pt x="41" y="70"/>
                                </a:lnTo>
                                <a:lnTo>
                                  <a:pt x="37" y="68"/>
                                </a:lnTo>
                                <a:lnTo>
                                  <a:pt x="34" y="66"/>
                                </a:lnTo>
                                <a:lnTo>
                                  <a:pt x="31" y="64"/>
                                </a:lnTo>
                                <a:lnTo>
                                  <a:pt x="28" y="61"/>
                                </a:lnTo>
                                <a:lnTo>
                                  <a:pt x="25" y="59"/>
                                </a:lnTo>
                                <a:lnTo>
                                  <a:pt x="22" y="56"/>
                                </a:lnTo>
                                <a:lnTo>
                                  <a:pt x="19" y="53"/>
                                </a:lnTo>
                                <a:lnTo>
                                  <a:pt x="17" y="50"/>
                                </a:lnTo>
                                <a:lnTo>
                                  <a:pt x="14" y="46"/>
                                </a:lnTo>
                                <a:lnTo>
                                  <a:pt x="12" y="43"/>
                                </a:lnTo>
                                <a:lnTo>
                                  <a:pt x="10" y="39"/>
                                </a:lnTo>
                                <a:lnTo>
                                  <a:pt x="8" y="36"/>
                                </a:lnTo>
                                <a:lnTo>
                                  <a:pt x="6" y="32"/>
                                </a:lnTo>
                                <a:lnTo>
                                  <a:pt x="5" y="28"/>
                                </a:lnTo>
                                <a:lnTo>
                                  <a:pt x="4" y="24"/>
                                </a:lnTo>
                                <a:lnTo>
                                  <a:pt x="3" y="20"/>
                                </a:lnTo>
                                <a:lnTo>
                                  <a:pt x="2" y="16"/>
                                </a:lnTo>
                                <a:lnTo>
                                  <a:pt x="1" y="12"/>
                                </a:lnTo>
                                <a:lnTo>
                                  <a:pt x="0" y="8"/>
                                </a:lnTo>
                                <a:lnTo>
                                  <a:pt x="0" y="4"/>
                                </a:lnTo>
                                <a:lnTo>
                                  <a:pt x="0" y="0"/>
                                </a:lnTo>
                                <a:lnTo>
                                  <a:pt x="75" y="0"/>
                                </a:lnTo>
                                <a:lnTo>
                                  <a:pt x="75" y="79"/>
                                </a:lnTo>
                                <a:moveTo>
                                  <a:pt x="75" y="79"/>
                                </a:moveTo>
                                <a:lnTo>
                                  <a:pt x="71" y="79"/>
                                </a:lnTo>
                                <a:lnTo>
                                  <a:pt x="67" y="79"/>
                                </a:lnTo>
                                <a:lnTo>
                                  <a:pt x="63" y="78"/>
                                </a:lnTo>
                                <a:lnTo>
                                  <a:pt x="59" y="77"/>
                                </a:lnTo>
                                <a:lnTo>
                                  <a:pt x="56" y="76"/>
                                </a:lnTo>
                                <a:lnTo>
                                  <a:pt x="52" y="75"/>
                                </a:lnTo>
                                <a:lnTo>
                                  <a:pt x="48" y="74"/>
                                </a:lnTo>
                                <a:lnTo>
                                  <a:pt x="44" y="72"/>
                                </a:lnTo>
                                <a:lnTo>
                                  <a:pt x="41" y="70"/>
                                </a:lnTo>
                                <a:lnTo>
                                  <a:pt x="37" y="68"/>
                                </a:lnTo>
                                <a:lnTo>
                                  <a:pt x="34" y="66"/>
                                </a:lnTo>
                                <a:lnTo>
                                  <a:pt x="31" y="64"/>
                                </a:lnTo>
                                <a:lnTo>
                                  <a:pt x="28" y="61"/>
                                </a:lnTo>
                                <a:lnTo>
                                  <a:pt x="25" y="59"/>
                                </a:lnTo>
                                <a:lnTo>
                                  <a:pt x="22" y="56"/>
                                </a:lnTo>
                                <a:lnTo>
                                  <a:pt x="19" y="53"/>
                                </a:lnTo>
                                <a:lnTo>
                                  <a:pt x="17" y="50"/>
                                </a:lnTo>
                                <a:lnTo>
                                  <a:pt x="14" y="46"/>
                                </a:lnTo>
                                <a:lnTo>
                                  <a:pt x="12" y="43"/>
                                </a:lnTo>
                                <a:lnTo>
                                  <a:pt x="10" y="39"/>
                                </a:lnTo>
                                <a:lnTo>
                                  <a:pt x="8" y="36"/>
                                </a:lnTo>
                                <a:lnTo>
                                  <a:pt x="6" y="32"/>
                                </a:lnTo>
                                <a:lnTo>
                                  <a:pt x="5" y="28"/>
                                </a:lnTo>
                                <a:lnTo>
                                  <a:pt x="4" y="24"/>
                                </a:lnTo>
                                <a:lnTo>
                                  <a:pt x="3" y="20"/>
                                </a:lnTo>
                                <a:lnTo>
                                  <a:pt x="2" y="16"/>
                                </a:lnTo>
                                <a:lnTo>
                                  <a:pt x="1" y="12"/>
                                </a:lnTo>
                                <a:lnTo>
                                  <a:pt x="0" y="8"/>
                                </a:lnTo>
                                <a:lnTo>
                                  <a:pt x="0" y="4"/>
                                </a:lnTo>
                                <a:lnTo>
                                  <a:pt x="0" y="0"/>
                                </a:lnTo>
                              </a:path>
                            </a:pathLst>
                          </a:custGeom>
                          <a:noFill/>
                          <a:ln w="9360">
                            <a:solidFill>
                              <a:srgbClr val="000000"/>
                            </a:solidFill>
                            <a:miter/>
                          </a:ln>
                        </wps:spPr>
                        <wps:style>
                          <a:lnRef idx="0"/>
                          <a:fillRef idx="0"/>
                          <a:effectRef idx="0"/>
                          <a:fontRef idx="minor"/>
                        </wps:style>
                        <wps:bodyPr/>
                      </wps:wsp>
                      <wps:wsp>
                        <wps:cNvSpPr/>
                        <wps:spPr>
                          <a:xfrm>
                            <a:off x="95760" y="50760"/>
                            <a:ext cx="720" cy="201240"/>
                          </a:xfrm>
                          <a:prstGeom prst="line">
                            <a:avLst/>
                          </a:prstGeom>
                          <a:ln w="9360">
                            <a:solidFill>
                              <a:srgbClr val="000000"/>
                            </a:solidFill>
                            <a:miter/>
                          </a:ln>
                        </wps:spPr>
                        <wps:style>
                          <a:lnRef idx="0"/>
                          <a:fillRef idx="0"/>
                          <a:effectRef idx="0"/>
                          <a:fontRef idx="minor"/>
                        </wps:style>
                        <wps:bodyPr/>
                      </wps:wsp>
                      <wps:wsp>
                        <wps:cNvSpPr/>
                        <wps:spPr>
                          <a:xfrm>
                            <a:off x="0" y="0"/>
                            <a:ext cx="96480" cy="100440"/>
                          </a:xfrm>
                          <a:custGeom>
                            <a:avLst/>
                            <a:gdLst/>
                            <a:ahLst/>
                            <a:rect l="0" t="0" r="r" b="b"/>
                            <a:pathLst>
                              <a:path w="77" h="80">
                                <a:moveTo>
                                  <a:pt x="0" y="0"/>
                                </a:moveTo>
                                <a:lnTo>
                                  <a:pt x="4" y="0"/>
                                </a:lnTo>
                                <a:lnTo>
                                  <a:pt x="8" y="0"/>
                                </a:lnTo>
                                <a:lnTo>
                                  <a:pt x="12" y="1"/>
                                </a:lnTo>
                                <a:lnTo>
                                  <a:pt x="16" y="2"/>
                                </a:lnTo>
                                <a:lnTo>
                                  <a:pt x="20" y="3"/>
                                </a:lnTo>
                                <a:lnTo>
                                  <a:pt x="23" y="4"/>
                                </a:lnTo>
                                <a:lnTo>
                                  <a:pt x="27" y="5"/>
                                </a:lnTo>
                                <a:lnTo>
                                  <a:pt x="31" y="7"/>
                                </a:lnTo>
                                <a:lnTo>
                                  <a:pt x="35" y="9"/>
                                </a:lnTo>
                                <a:lnTo>
                                  <a:pt x="38" y="11"/>
                                </a:lnTo>
                                <a:lnTo>
                                  <a:pt x="41" y="13"/>
                                </a:lnTo>
                                <a:lnTo>
                                  <a:pt x="45" y="15"/>
                                </a:lnTo>
                                <a:lnTo>
                                  <a:pt x="48" y="18"/>
                                </a:lnTo>
                                <a:lnTo>
                                  <a:pt x="51" y="20"/>
                                </a:lnTo>
                                <a:lnTo>
                                  <a:pt x="54" y="23"/>
                                </a:lnTo>
                                <a:lnTo>
                                  <a:pt x="56" y="26"/>
                                </a:lnTo>
                                <a:lnTo>
                                  <a:pt x="59" y="29"/>
                                </a:lnTo>
                                <a:lnTo>
                                  <a:pt x="61" y="33"/>
                                </a:lnTo>
                                <a:lnTo>
                                  <a:pt x="64" y="36"/>
                                </a:lnTo>
                                <a:lnTo>
                                  <a:pt x="66" y="40"/>
                                </a:lnTo>
                                <a:lnTo>
                                  <a:pt x="68" y="43"/>
                                </a:lnTo>
                                <a:lnTo>
                                  <a:pt x="69" y="47"/>
                                </a:lnTo>
                                <a:lnTo>
                                  <a:pt x="71" y="51"/>
                                </a:lnTo>
                                <a:lnTo>
                                  <a:pt x="72" y="55"/>
                                </a:lnTo>
                                <a:lnTo>
                                  <a:pt x="73" y="59"/>
                                </a:lnTo>
                                <a:lnTo>
                                  <a:pt x="74" y="63"/>
                                </a:lnTo>
                                <a:lnTo>
                                  <a:pt x="75" y="67"/>
                                </a:lnTo>
                                <a:lnTo>
                                  <a:pt x="76" y="71"/>
                                </a:lnTo>
                                <a:lnTo>
                                  <a:pt x="76" y="75"/>
                                </a:lnTo>
                                <a:lnTo>
                                  <a:pt x="76" y="79"/>
                                </a:lnTo>
                                <a:lnTo>
                                  <a:pt x="0" y="79"/>
                                </a:lnTo>
                                <a:lnTo>
                                  <a:pt x="0" y="0"/>
                                </a:lnTo>
                                <a:moveTo>
                                  <a:pt x="0" y="0"/>
                                </a:moveTo>
                                <a:lnTo>
                                  <a:pt x="4" y="0"/>
                                </a:lnTo>
                                <a:lnTo>
                                  <a:pt x="8" y="0"/>
                                </a:lnTo>
                                <a:lnTo>
                                  <a:pt x="12" y="1"/>
                                </a:lnTo>
                                <a:lnTo>
                                  <a:pt x="16" y="2"/>
                                </a:lnTo>
                                <a:lnTo>
                                  <a:pt x="20" y="3"/>
                                </a:lnTo>
                                <a:lnTo>
                                  <a:pt x="23" y="4"/>
                                </a:lnTo>
                                <a:lnTo>
                                  <a:pt x="27" y="5"/>
                                </a:lnTo>
                                <a:lnTo>
                                  <a:pt x="31" y="7"/>
                                </a:lnTo>
                                <a:lnTo>
                                  <a:pt x="35" y="9"/>
                                </a:lnTo>
                                <a:lnTo>
                                  <a:pt x="38" y="11"/>
                                </a:lnTo>
                                <a:lnTo>
                                  <a:pt x="41" y="13"/>
                                </a:lnTo>
                                <a:lnTo>
                                  <a:pt x="45" y="15"/>
                                </a:lnTo>
                                <a:lnTo>
                                  <a:pt x="48" y="18"/>
                                </a:lnTo>
                                <a:lnTo>
                                  <a:pt x="51" y="20"/>
                                </a:lnTo>
                                <a:lnTo>
                                  <a:pt x="54" y="23"/>
                                </a:lnTo>
                                <a:lnTo>
                                  <a:pt x="56" y="26"/>
                                </a:lnTo>
                                <a:lnTo>
                                  <a:pt x="59" y="29"/>
                                </a:lnTo>
                                <a:lnTo>
                                  <a:pt x="61" y="33"/>
                                </a:lnTo>
                                <a:lnTo>
                                  <a:pt x="64" y="36"/>
                                </a:lnTo>
                                <a:lnTo>
                                  <a:pt x="66" y="40"/>
                                </a:lnTo>
                                <a:lnTo>
                                  <a:pt x="68" y="43"/>
                                </a:lnTo>
                                <a:lnTo>
                                  <a:pt x="69" y="47"/>
                                </a:lnTo>
                                <a:lnTo>
                                  <a:pt x="71" y="51"/>
                                </a:lnTo>
                                <a:lnTo>
                                  <a:pt x="72" y="55"/>
                                </a:lnTo>
                                <a:lnTo>
                                  <a:pt x="73" y="59"/>
                                </a:lnTo>
                                <a:lnTo>
                                  <a:pt x="74" y="63"/>
                                </a:lnTo>
                                <a:lnTo>
                                  <a:pt x="75" y="67"/>
                                </a:lnTo>
                                <a:lnTo>
                                  <a:pt x="76" y="71"/>
                                </a:lnTo>
                                <a:lnTo>
                                  <a:pt x="76" y="75"/>
                                </a:lnTo>
                                <a:lnTo>
                                  <a:pt x="76" y="79"/>
                                </a:lnTo>
                              </a:path>
                            </a:pathLst>
                          </a:custGeom>
                          <a:noFill/>
                          <a:ln w="9360">
                            <a:solidFill>
                              <a:srgbClr val="000000"/>
                            </a:solidFill>
                            <a:miter/>
                          </a:ln>
                        </wps:spPr>
                        <wps:style>
                          <a:lnRef idx="0"/>
                          <a:fillRef idx="0"/>
                          <a:effectRef idx="0"/>
                          <a:fontRef idx="minor"/>
                        </wps:style>
                        <wps:bodyPr/>
                      </wps:wsp>
                    </wpg:wgp>
                  </a:graphicData>
                </a:graphic>
              </wp:anchor>
            </w:drawing>
          </mc:Choice>
          <mc:Fallback>
            <w:pict>
              <v:group id="shape_0" style="position:absolute;margin-left:171pt;margin-top:8.9pt;width:15.05pt;height:47.45pt" coordorigin="3420,178" coordsize="301,949">
                <v:rect id="shape_0" stroked="t" style="position:absolute;left:3420;top:969;width:151;height:157;flip:y">
                  <w10:wrap type="none"/>
                  <v:fill o:detectmouseclick="t" on="false"/>
                  <v:stroke color="black" weight="9360" joinstyle="miter" endcap="square"/>
                </v:rect>
                <v:line id="shape_0" from="3571,732" to="3571,1049" stroked="t" style="position:absolute">
                  <v:stroke color="black" weight="9360" joinstyle="miter" endcap="square"/>
                  <v:fill o:detectmouseclick="t" on="false"/>
                </v:line>
                <v:rect id="shape_0" stroked="t" style="position:absolute;left:3571;top:652;width:149;height:157;flip:x">
                  <w10:wrap type="none"/>
                  <v:fill o:detectmouseclick="t" on="false"/>
                  <v:stroke color="black" weight="9360" joinstyle="miter" endcap="square"/>
                </v:rect>
                <v:rect id="shape_0" stroked="t" style="position:absolute;left:3571;top:494;width:149;height:157;flip:xy">
                  <w10:wrap type="none"/>
                  <v:fill o:detectmouseclick="t" on="false"/>
                  <v:stroke color="black" weight="9360" joinstyle="miter" endcap="square"/>
                </v:rect>
                <v:line id="shape_0" from="3571,258" to="3571,574" stroked="t" style="position:absolute">
                  <v:stroke color="black" weight="9360" joinstyle="miter" endcap="square"/>
                  <v:fill o:detectmouseclick="t" on="false"/>
                </v:line>
                <v:rect id="shape_0" stroked="t" style="position:absolute;left:3420;top:178;width:151;height:157">
                  <w10:wrap type="none"/>
                  <v:fill o:detectmouseclick="t" on="false"/>
                  <v:stroke color="black" weight="9360" joinstyle="miter" endcap="square"/>
                </v:rect>
              </v:group>
            </w:pict>
          </mc:Fallback>
        </mc:AlternateContent>
      </w:r>
      <w:r>
        <w:rPr>
          <w:rFonts w:eastAsia="標楷體" w:cs="標楷體" w:ascii="標楷體" w:hAnsi="標楷體"/>
          <w:b/>
          <w:sz w:val="28"/>
        </w:rPr>
        <w:t xml:space="preserve"> </w:t>
      </w:r>
      <w:r>
        <w:rPr>
          <w:rFonts w:eastAsia="標楷體" w:cs="標楷體" w:ascii="標楷體" w:hAnsi="標楷體"/>
          <w:b/>
          <w:sz w:val="28"/>
        </w:rPr>
        <w:t xml:space="preserve">                </w:t>
      </w:r>
      <w:r>
        <w:rPr>
          <w:rFonts w:eastAsia="標楷體" w:cs="標楷體" w:ascii="標楷體" w:hAnsi="標楷體"/>
          <w:sz w:val="28"/>
        </w:rPr>
        <w:t xml:space="preserve"> </w:t>
      </w:r>
      <w:r>
        <w:rPr>
          <w:rFonts w:ascii="標楷體" w:hAnsi="標楷體" w:eastAsia="標楷體"/>
          <w:sz w:val="28"/>
        </w:rPr>
        <w:t>下視丘</w:t>
      </w:r>
      <w:r>
        <w:rPr>
          <w:rFonts w:ascii="標楷體" w:hAnsi="標楷體" w:eastAsia="標楷體"/>
          <w:b/>
          <w:sz w:val="28"/>
        </w:rPr>
        <w:t xml:space="preserve">       </w:t>
      </w:r>
    </w:p>
    <w:p>
      <w:pPr>
        <w:pStyle w:val="Normal"/>
        <w:tabs>
          <w:tab w:val="left" w:pos="3960" w:leader="none"/>
        </w:tabs>
        <w:snapToGrid w:val="false"/>
        <w:spacing w:lineRule="atLeast" w:line="20"/>
        <w:jc w:val="both"/>
        <w:rPr>
          <w:rFonts w:ascii="標楷體" w:hAnsi="標楷體" w:eastAsia="標楷體"/>
          <w:b/>
          <w:b/>
          <w:sz w:val="28"/>
        </w:rPr>
      </w:pPr>
      <w:r>
        <w:rPr>
          <w:rFonts w:eastAsia="標楷體" w:cs="標楷體" w:ascii="標楷體" w:hAnsi="標楷體"/>
          <w:b/>
          <w:sz w:val="28"/>
        </w:rPr>
        <w:t xml:space="preserve">                    </w:t>
      </w:r>
      <w:r>
        <w:rPr>
          <w:rFonts w:eastAsia="Wingdings" w:cs="Wingdings" w:ascii="Wingdings" w:hAnsi="Wingdings"/>
          <w:b/>
          <w:sz w:val="28"/>
        </w:rPr>
        <w:t></w:t>
      </w:r>
      <w:r>
        <w:rPr>
          <w:rFonts w:eastAsia="標楷體" w:cs="標楷體" w:ascii="標楷體" w:hAnsi="標楷體"/>
          <w:b/>
          <w:sz w:val="28"/>
        </w:rPr>
        <w:t xml:space="preserve">     </w:t>
      </w:r>
      <w:r>
        <w:rPr>
          <w:rFonts w:ascii="標楷體" w:hAnsi="標楷體" w:eastAsia="標楷體"/>
          <w:b/>
          <w:sz w:val="28"/>
        </w:rPr>
        <w:t>腎</w:t>
      </w:r>
      <w:r>
        <w:rPr>
          <w:rFonts w:eastAsia="標楷體" w:ascii="標楷體" w:hAnsi="標楷體"/>
          <w:sz w:val="28"/>
        </w:rPr>
        <w:t>(</w:t>
      </w:r>
      <w:r>
        <w:rPr>
          <w:rFonts w:ascii="標楷體" w:hAnsi="標楷體" w:eastAsia="標楷體"/>
          <w:sz w:val="28"/>
        </w:rPr>
        <w:t>本能</w:t>
      </w:r>
      <w:r>
        <w:rPr>
          <w:rFonts w:eastAsia="標楷體" w:ascii="標楷體" w:hAnsi="標楷體"/>
          <w:sz w:val="28"/>
        </w:rPr>
        <w:t xml:space="preserve">)    </w:t>
      </w:r>
    </w:p>
    <w:p>
      <w:pPr>
        <w:pStyle w:val="Normal"/>
        <w:tabs>
          <w:tab w:val="left" w:pos="3960" w:leader="none"/>
        </w:tabs>
        <w:snapToGrid w:val="false"/>
        <w:spacing w:lineRule="atLeast" w:line="20"/>
        <w:jc w:val="both"/>
        <w:rPr>
          <w:rFonts w:ascii="標楷體" w:hAnsi="標楷體" w:eastAsia="標楷體"/>
          <w:sz w:val="28"/>
        </w:rPr>
      </w:pPr>
      <w:r>
        <w:rPr>
          <w:rFonts w:eastAsia="標楷體" w:cs="標楷體" w:ascii="標楷體" w:hAnsi="標楷體"/>
          <w:b/>
          <w:sz w:val="28"/>
        </w:rPr>
        <w:t xml:space="preserve">                   </w:t>
      </w:r>
      <w:r>
        <w:rPr>
          <w:rFonts w:ascii="標楷體" w:hAnsi="標楷體" w:eastAsia="標楷體"/>
          <w:sz w:val="28"/>
        </w:rPr>
        <w:t>腦幹</w:t>
      </w:r>
      <w:r>
        <w:rPr>
          <w:rFonts w:ascii="標楷體" w:hAnsi="標楷體" w:eastAsia="標楷體"/>
          <w:b/>
          <w:sz w:val="28"/>
        </w:rPr>
        <w:t xml:space="preserve">                  </w:t>
      </w:r>
    </w:p>
    <w:p>
      <w:pPr>
        <w:pStyle w:val="Normal"/>
        <w:snapToGrid w:val="false"/>
        <w:spacing w:lineRule="atLeast" w:line="20"/>
        <w:ind w:firstLine="600"/>
        <w:jc w:val="both"/>
        <w:rPr>
          <w:rFonts w:ascii="標楷體" w:hAnsi="標楷體" w:eastAsia="標楷體"/>
          <w:sz w:val="28"/>
        </w:rPr>
      </w:pPr>
      <w:r>
        <w:rPr>
          <w:rFonts w:ascii="標楷體" w:hAnsi="標楷體" w:eastAsia="標楷體"/>
          <w:sz w:val="28"/>
        </w:rPr>
        <w:t>由上可知，中醫所稱說的五藏，和體腔內的五臟，是有差別的，這一點惲鐵憔先生早在其著作</w:t>
      </w:r>
      <w:r>
        <w:rPr>
          <w:rFonts w:eastAsia="標楷體" w:ascii="標楷體" w:hAnsi="標楷體"/>
          <w:sz w:val="28"/>
        </w:rPr>
        <w:t>&lt;&lt;</w:t>
      </w:r>
      <w:r>
        <w:rPr>
          <w:rFonts w:ascii="標楷體" w:hAnsi="標楷體" w:eastAsia="標楷體"/>
          <w:sz w:val="28"/>
        </w:rPr>
        <w:t>群經見智錄</w:t>
      </w:r>
      <w:r>
        <w:rPr>
          <w:rFonts w:eastAsia="標楷體" w:ascii="標楷體" w:hAnsi="標楷體"/>
          <w:sz w:val="28"/>
        </w:rPr>
        <w:t>&gt;&gt;</w:t>
      </w:r>
      <w:r>
        <w:rPr>
          <w:rFonts w:ascii="標楷體" w:hAnsi="標楷體" w:eastAsia="標楷體"/>
          <w:sz w:val="28"/>
        </w:rPr>
        <w:t>中提出</w:t>
      </w:r>
      <w:r>
        <w:rPr>
          <w:rFonts w:eastAsia="標楷體" w:ascii="標楷體" w:hAnsi="標楷體"/>
          <w:sz w:val="28"/>
        </w:rPr>
        <w:t>:</w:t>
      </w:r>
      <w:r>
        <w:rPr>
          <w:rFonts w:ascii="標楷體" w:hAnsi="標楷體" w:eastAsia="標楷體"/>
          <w:sz w:val="28"/>
        </w:rPr>
        <w:t>「蓋內經之五臟，非解剖的五臟，乃氣化的五臟。」</w:t>
      </w:r>
      <w:r>
        <w:rPr>
          <w:rStyle w:val="EndnoteCharacters"/>
          <w:rStyle w:val="EndnoteAnchor"/>
          <w:rFonts w:ascii="標楷體" w:hAnsi="標楷體" w:eastAsia="標楷體"/>
          <w:sz w:val="28"/>
        </w:rPr>
        <w:endnoteReference w:customMarkFollows="1" w:id="39"/>
        <w:t>(</w:t>
      </w:r>
      <w:r>
        <w:rPr>
          <w:rStyle w:val="EndnoteCharacters"/>
          <w:rFonts w:eastAsia="標楷體" w:ascii="標楷體" w:hAnsi="標楷體"/>
          <w:sz w:val="28"/>
        </w:rPr>
        <w:t>38)</w:t>
      </w:r>
    </w:p>
    <w:p>
      <w:pPr>
        <w:pStyle w:val="Normal"/>
        <w:snapToGrid w:val="false"/>
        <w:spacing w:lineRule="atLeast" w:line="20"/>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三、從朱丹溪「相火」的觀念看心肝腎的關係</w:t>
      </w:r>
    </w:p>
    <w:p>
      <w:pPr>
        <w:pStyle w:val="Normal"/>
        <w:snapToGrid w:val="false"/>
        <w:spacing w:lineRule="atLeast" w:line="20"/>
        <w:ind w:firstLine="540"/>
        <w:jc w:val="both"/>
        <w:rPr>
          <w:rFonts w:ascii="標楷體" w:hAnsi="標楷體" w:eastAsia="標楷體"/>
          <w:sz w:val="28"/>
        </w:rPr>
      </w:pPr>
      <w:r>
        <w:rPr>
          <w:rFonts w:ascii="標楷體" w:hAnsi="標楷體" w:eastAsia="標楷體"/>
          <w:sz w:val="28"/>
        </w:rPr>
        <w:t>以上所討論的結果，應用在朱丹溪所論述之相火，是非常適合的，以下說明之。</w:t>
      </w:r>
      <w:r>
        <w:rPr>
          <w:rFonts w:eastAsia="標楷體" w:ascii="標楷體" w:hAnsi="標楷體"/>
          <w:sz w:val="28"/>
        </w:rPr>
        <w:t>&lt;&lt;</w:t>
      </w:r>
      <w:r>
        <w:rPr>
          <w:rFonts w:ascii="標楷體" w:hAnsi="標楷體" w:eastAsia="標楷體"/>
          <w:sz w:val="28"/>
        </w:rPr>
        <w:t>靈樞‧本神篇</w:t>
      </w:r>
      <w:r>
        <w:rPr>
          <w:rFonts w:eastAsia="標楷體" w:ascii="標楷體" w:hAnsi="標楷體"/>
          <w:sz w:val="28"/>
        </w:rPr>
        <w:t>&gt;&gt;</w:t>
      </w:r>
      <w:r>
        <w:rPr>
          <w:rFonts w:ascii="標楷體" w:hAnsi="標楷體" w:eastAsia="標楷體"/>
          <w:sz w:val="28"/>
        </w:rPr>
        <w:t>云：「所以任物謂之心」</w:t>
      </w:r>
      <w:r>
        <w:rPr>
          <w:rStyle w:val="EndnoteCharacters"/>
          <w:rStyle w:val="EndnoteAnchor"/>
          <w:rFonts w:ascii="標楷體" w:hAnsi="標楷體" w:eastAsia="標楷體"/>
          <w:sz w:val="28"/>
        </w:rPr>
        <w:endnoteReference w:customMarkFollows="1" w:id="40"/>
        <w:t>(</w:t>
      </w:r>
      <w:r>
        <w:rPr>
          <w:rStyle w:val="EndnoteCharacters"/>
          <w:rFonts w:eastAsia="標楷體" w:ascii="標楷體" w:hAnsi="標楷體"/>
          <w:sz w:val="28"/>
        </w:rPr>
        <w:t>39)</w:t>
      </w:r>
      <w:r>
        <w:rPr>
          <w:rFonts w:ascii="標楷體" w:hAnsi="標楷體" w:eastAsia="標楷體"/>
          <w:sz w:val="28"/>
        </w:rPr>
        <w:t>指出心具有接受外來訊息經過整合而作出應答的功能，根據前述，心的功能即類似今日所稱之大腦皮層。</w:t>
      </w:r>
    </w:p>
    <w:p>
      <w:pPr>
        <w:pStyle w:val="Normal"/>
        <w:snapToGrid w:val="false"/>
        <w:spacing w:lineRule="atLeast" w:line="20"/>
        <w:jc w:val="both"/>
        <w:rPr/>
      </w:pPr>
      <w:r>
        <w:rPr>
          <w:rFonts w:eastAsia="標楷體" w:cs="標楷體" w:ascii="標楷體" w:hAnsi="標楷體"/>
          <w:sz w:val="28"/>
        </w:rPr>
        <w:t xml:space="preserve">   </w:t>
      </w:r>
      <w:r>
        <w:rPr>
          <w:rFonts w:ascii="標楷體" w:hAnsi="標楷體" w:eastAsia="標楷體"/>
          <w:sz w:val="28"/>
        </w:rPr>
        <w:t>根據前述，中醫所稱的肝和中樞神經系統中的邊緣系統</w:t>
      </w:r>
      <w:r>
        <w:rPr>
          <w:rFonts w:eastAsia="標楷體" w:ascii="標楷體" w:hAnsi="標楷體"/>
          <w:sz w:val="28"/>
        </w:rPr>
        <w:t>;</w:t>
      </w:r>
      <w:r>
        <w:rPr>
          <w:rFonts w:ascii="標楷體" w:hAnsi="標楷體" w:eastAsia="標楷體"/>
          <w:sz w:val="28"/>
        </w:rPr>
        <w:t>中醫所稱的腎和下視丘的關係可相對應。丹溪言「相火寄於肝腎二部」</w:t>
      </w:r>
      <w:r>
        <w:rPr>
          <w:rStyle w:val="EndnoteCharacters"/>
          <w:rStyle w:val="EndnoteAnchor"/>
          <w:rFonts w:ascii="標楷體" w:hAnsi="標楷體" w:eastAsia="標楷體"/>
          <w:sz w:val="28"/>
        </w:rPr>
        <w:endnoteReference w:customMarkFollows="1" w:id="41"/>
        <w:t>(</w:t>
      </w:r>
      <w:r>
        <w:rPr>
          <w:rStyle w:val="EndnoteCharacters"/>
          <w:rFonts w:eastAsia="標楷體" w:ascii="標楷體" w:hAnsi="標楷體"/>
          <w:sz w:val="28"/>
        </w:rPr>
        <w:t>40)</w:t>
      </w:r>
      <w:r>
        <w:rPr>
          <w:rFonts w:ascii="標楷體" w:hAnsi="標楷體" w:eastAsia="標楷體"/>
          <w:sz w:val="28"/>
        </w:rPr>
        <w:t>，而此「相火」是在「心」的調攝之下作用的，故丹溪又曰</w:t>
      </w:r>
      <w:r>
        <w:rPr>
          <w:rFonts w:eastAsia="標楷體" w:ascii="標楷體" w:hAnsi="標楷體"/>
          <w:sz w:val="28"/>
        </w:rPr>
        <w:t>:</w:t>
      </w:r>
      <w:r>
        <w:rPr>
          <w:rFonts w:ascii="標楷體" w:hAnsi="標楷體" w:eastAsia="標楷體"/>
          <w:sz w:val="28"/>
        </w:rPr>
        <w:t>「主閉藏者腎也，司疏泄者肝也，二臟皆有相火，而其系上屬於心。」</w:t>
      </w:r>
      <w:r>
        <w:rPr>
          <w:rStyle w:val="EndnoteCharacters"/>
          <w:rStyle w:val="EndnoteAnchor"/>
          <w:rFonts w:ascii="標楷體" w:hAnsi="標楷體" w:eastAsia="標楷體"/>
          <w:sz w:val="28"/>
        </w:rPr>
        <w:endnoteReference w:customMarkFollows="1" w:id="42"/>
        <w:t>(</w:t>
      </w:r>
      <w:r>
        <w:rPr>
          <w:rStyle w:val="EndnoteCharacters"/>
          <w:rFonts w:eastAsia="標楷體" w:ascii="標楷體" w:hAnsi="標楷體"/>
          <w:sz w:val="28"/>
        </w:rPr>
        <w:t>41)</w:t>
      </w:r>
      <w:r>
        <w:rPr>
          <w:rFonts w:ascii="標楷體" w:hAnsi="標楷體" w:eastAsia="標楷體"/>
          <w:sz w:val="28"/>
        </w:rPr>
        <w:t>正好比之於杏仁核及下視丘，其系上連於大腦皮層一般。大腦皮層接受外來事物之訊息，經過中樞自主神經系統</w:t>
      </w:r>
      <w:r>
        <w:rPr>
          <w:rFonts w:eastAsia="標楷體" w:ascii="標楷體" w:hAnsi="標楷體"/>
          <w:sz w:val="28"/>
        </w:rPr>
        <w:t>(Central autonomic system)</w:t>
      </w:r>
      <w:r>
        <w:rPr>
          <w:rFonts w:ascii="標楷體" w:hAnsi="標楷體" w:eastAsia="標楷體"/>
          <w:sz w:val="28"/>
        </w:rPr>
        <w:t>作出反應，以維持內環境的平衡，正所謂「心君火也，為物所感則易動，心動則相火亦動」</w:t>
      </w:r>
      <w:r>
        <w:rPr>
          <w:rStyle w:val="EndnoteCharacters"/>
          <w:rStyle w:val="EndnoteAnchor"/>
          <w:rFonts w:ascii="標楷體" w:hAnsi="標楷體" w:eastAsia="標楷體"/>
          <w:sz w:val="28"/>
        </w:rPr>
        <w:endnoteReference w:customMarkFollows="1" w:id="43"/>
        <w:t>(</w:t>
      </w:r>
      <w:r>
        <w:rPr>
          <w:rStyle w:val="EndnoteCharacters"/>
          <w:rFonts w:eastAsia="標楷體" w:ascii="標楷體" w:hAnsi="標楷體"/>
          <w:sz w:val="28"/>
        </w:rPr>
        <w:t>42)</w:t>
      </w:r>
      <w:r>
        <w:rPr>
          <w:rFonts w:ascii="標楷體" w:hAnsi="標楷體" w:eastAsia="標楷體"/>
          <w:sz w:val="28"/>
        </w:rPr>
        <w:t>，</w:t>
      </w:r>
      <w:r>
        <w:rPr>
          <w:rFonts w:ascii="標楷體" w:hAnsi="標楷體" w:cs="Roman;Times New Roman" w:eastAsia="標楷體"/>
          <w:sz w:val="28"/>
        </w:rPr>
        <w:t>相火在正常情況下寄於肝腎，正如同少火溫養臟腑一般；然而在長期或劇烈之情志變動之下，生理少火即成病理之壯火，葉天士在</w:t>
      </w:r>
      <w:r>
        <w:rPr>
          <w:rFonts w:eastAsia="標楷體" w:cs="Roman;Times New Roman" w:ascii="標楷體" w:hAnsi="標楷體"/>
          <w:sz w:val="28"/>
        </w:rPr>
        <w:t>&lt;&lt;</w:t>
      </w:r>
      <w:r>
        <w:rPr>
          <w:rFonts w:ascii="標楷體" w:hAnsi="標楷體" w:cs="Roman;Times New Roman" w:eastAsia="標楷體"/>
          <w:sz w:val="28"/>
        </w:rPr>
        <w:t>臨證指南醫案</w:t>
      </w:r>
      <w:r>
        <w:rPr>
          <w:rFonts w:ascii="標楷體" w:hAnsi="標楷體" w:eastAsia="標楷體"/>
          <w:sz w:val="28"/>
        </w:rPr>
        <w:t>‧鬱</w:t>
      </w:r>
      <w:r>
        <w:rPr>
          <w:rFonts w:eastAsia="標楷體" w:cs="Roman;Times New Roman" w:ascii="標楷體" w:hAnsi="標楷體"/>
          <w:sz w:val="28"/>
        </w:rPr>
        <w:t>&gt;&gt;</w:t>
      </w:r>
      <w:r>
        <w:rPr>
          <w:rFonts w:ascii="標楷體" w:hAnsi="標楷體" w:cs="Roman;Times New Roman" w:eastAsia="標楷體"/>
          <w:sz w:val="28"/>
        </w:rPr>
        <w:t>曰：「情志不適，鬱則少火變壯」</w:t>
      </w:r>
      <w:r>
        <w:rPr>
          <w:rStyle w:val="EndnoteCharacters"/>
          <w:rStyle w:val="EndnoteAnchor"/>
          <w:rFonts w:ascii="標楷體" w:hAnsi="標楷體" w:cs="Roman;Times New Roman" w:eastAsia="標楷體"/>
          <w:sz w:val="28"/>
        </w:rPr>
        <w:endnoteReference w:customMarkFollows="1" w:id="44"/>
        <w:t>(</w:t>
      </w:r>
      <w:r>
        <w:rPr>
          <w:rStyle w:val="EndnoteCharacters"/>
          <w:rFonts w:eastAsia="標楷體" w:cs="Roman;Times New Roman" w:ascii="標楷體" w:hAnsi="標楷體"/>
          <w:sz w:val="28"/>
        </w:rPr>
        <w:t>43)</w:t>
      </w:r>
      <w:r>
        <w:rPr>
          <w:rFonts w:ascii="標楷體" w:hAnsi="標楷體" w:cs="Roman;Times New Roman" w:eastAsia="標楷體"/>
          <w:sz w:val="28"/>
        </w:rPr>
        <w:t>就在說明此點。</w:t>
      </w:r>
    </w:p>
    <w:p>
      <w:pPr>
        <w:pStyle w:val="Normal"/>
        <w:snapToGrid w:val="false"/>
        <w:spacing w:lineRule="atLeast" w:line="20"/>
        <w:jc w:val="both"/>
        <w:rPr>
          <w:rFonts w:ascii="標楷體" w:hAnsi="標楷體" w:eastAsia="標楷體" w:cs="Roman;Times New Roman"/>
          <w:sz w:val="28"/>
        </w:rPr>
      </w:pPr>
      <w:r>
        <w:rPr>
          <w:rFonts w:eastAsia="標楷體" w:cs="Roman;Times New Roman" w:ascii="標楷體" w:hAnsi="標楷體"/>
          <w:sz w:val="28"/>
        </w:rPr>
      </w:r>
    </w:p>
    <w:p>
      <w:pPr>
        <w:pStyle w:val="Normal"/>
        <w:snapToGrid w:val="false"/>
        <w:spacing w:lineRule="atLeast" w:line="20"/>
        <w:jc w:val="center"/>
        <w:rPr>
          <w:rFonts w:ascii="標楷體" w:hAnsi="標楷體" w:eastAsia="標楷體"/>
          <w:b/>
          <w:b/>
          <w:sz w:val="32"/>
        </w:rPr>
      </w:pPr>
      <w:r>
        <w:rPr>
          <w:rFonts w:ascii="標楷體" w:hAnsi="標楷體" w:eastAsia="標楷體"/>
          <w:b/>
          <w:sz w:val="32"/>
        </w:rPr>
        <w:t>參考文獻</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eastAsia="標楷體" w:ascii="標楷體" w:hAnsi="標楷體"/>
          <w:sz w:val="28"/>
        </w:rPr>
        <w:t>1.</w:t>
      </w:r>
      <w:r>
        <w:rPr>
          <w:rFonts w:ascii="標楷體" w:hAnsi="標楷體" w:eastAsia="標楷體"/>
          <w:sz w:val="28"/>
        </w:rPr>
        <w:t>唐、王冰，黃帝素問靈樞經。何清湖主編，傳世藏書，海南國</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際新聞出版中心，湖南，</w:t>
      </w:r>
      <w:r>
        <w:rPr>
          <w:rFonts w:eastAsia="標楷體" w:ascii="標楷體" w:hAnsi="標楷體"/>
          <w:sz w:val="28"/>
        </w:rPr>
        <w:t>p.5</w:t>
      </w:r>
      <w:r>
        <w:rPr>
          <w:rFonts w:ascii="標楷體" w:hAnsi="標楷體" w:eastAsia="標楷體"/>
          <w:sz w:val="28"/>
        </w:rPr>
        <w:t>，</w:t>
      </w:r>
      <w:r>
        <w:rPr>
          <w:rFonts w:eastAsia="標楷體" w:ascii="標楷體" w:hAnsi="標楷體"/>
          <w:sz w:val="28"/>
        </w:rPr>
        <w:t>1995</w:t>
      </w:r>
      <w:r>
        <w:rPr>
          <w:rFonts w:ascii="標楷體" w:hAnsi="標楷體" w:eastAsia="標楷體"/>
          <w:sz w:val="28"/>
        </w:rPr>
        <w:t>。</w:t>
      </w:r>
    </w:p>
    <w:p>
      <w:pPr>
        <w:pStyle w:val="Normal"/>
        <w:snapToGrid w:val="false"/>
        <w:spacing w:lineRule="atLeast" w:line="20"/>
        <w:jc w:val="both"/>
        <w:rPr/>
      </w:pPr>
      <w:r>
        <w:rPr>
          <w:rFonts w:eastAsia="標楷體" w:cs="標楷體" w:ascii="標楷體" w:hAnsi="標楷體"/>
          <w:sz w:val="28"/>
        </w:rPr>
        <w:t xml:space="preserve"> </w:t>
      </w:r>
      <w:r>
        <w:rPr>
          <w:rFonts w:eastAsia="標楷體" w:ascii="標楷體" w:hAnsi="標楷體"/>
          <w:sz w:val="28"/>
        </w:rPr>
        <w:t>2.Willan F.Gangong</w:t>
      </w:r>
      <w:r>
        <w:rPr>
          <w:rFonts w:ascii="標楷體" w:hAnsi="標楷體" w:eastAsia="標楷體"/>
          <w:sz w:val="28"/>
        </w:rPr>
        <w:t>，</w:t>
      </w:r>
      <w:r>
        <w:rPr>
          <w:rFonts w:eastAsia="標楷體" w:ascii="標楷體" w:hAnsi="標楷體"/>
          <w:sz w:val="28"/>
        </w:rPr>
        <w:t>Review of Medical Physiology</w:t>
      </w:r>
      <w:r>
        <w:rPr>
          <w:rFonts w:ascii="標楷體" w:hAnsi="標楷體" w:eastAsia="標楷體"/>
          <w:sz w:val="28"/>
        </w:rPr>
        <w:t>，</w:t>
      </w:r>
      <w:r>
        <w:rPr>
          <w:rFonts w:eastAsia="標楷體" w:ascii="標楷體" w:hAnsi="標楷體"/>
          <w:sz w:val="28"/>
        </w:rPr>
        <w:t>Appleton</w:t>
      </w:r>
    </w:p>
    <w:p>
      <w:pPr>
        <w:pStyle w:val="Normal"/>
        <w:snapToGrid w:val="false"/>
        <w:spacing w:lineRule="atLeast" w:line="20"/>
        <w:jc w:val="both"/>
        <w:rPr/>
      </w:pPr>
      <w:r>
        <w:rPr>
          <w:rFonts w:eastAsia="標楷體" w:cs="標楷體" w:ascii="標楷體" w:hAnsi="標楷體"/>
          <w:sz w:val="28"/>
        </w:rPr>
        <w:t xml:space="preserve">  </w:t>
      </w:r>
      <w:r>
        <w:rPr>
          <w:rFonts w:eastAsia="標楷體" w:ascii="標楷體" w:hAnsi="標楷體"/>
          <w:sz w:val="28"/>
        </w:rPr>
        <w:t>&amp; Lange</w:t>
      </w:r>
      <w:r>
        <w:rPr>
          <w:rFonts w:ascii="標楷體" w:hAnsi="標楷體" w:eastAsia="標楷體"/>
          <w:sz w:val="28"/>
        </w:rPr>
        <w:t>，</w:t>
      </w:r>
      <w:r>
        <w:rPr>
          <w:rFonts w:eastAsia="標楷體" w:ascii="標楷體" w:hAnsi="標楷體"/>
          <w:sz w:val="28"/>
        </w:rPr>
        <w:t>East Norwalk</w:t>
      </w:r>
      <w:r>
        <w:rPr>
          <w:rFonts w:ascii="標楷體" w:hAnsi="標楷體" w:eastAsia="標楷體"/>
          <w:sz w:val="28"/>
        </w:rPr>
        <w:t>，</w:t>
      </w:r>
      <w:r>
        <w:rPr>
          <w:rFonts w:eastAsia="標楷體" w:ascii="標楷體" w:hAnsi="標楷體"/>
          <w:sz w:val="28"/>
        </w:rPr>
        <w:t>p.375</w:t>
      </w:r>
      <w:r>
        <w:rPr>
          <w:rFonts w:ascii="標楷體" w:hAnsi="標楷體" w:eastAsia="標楷體"/>
          <w:sz w:val="28"/>
        </w:rPr>
        <w:t>，</w:t>
      </w:r>
      <w:r>
        <w:rPr>
          <w:rFonts w:eastAsia="標楷體" w:ascii="標楷體" w:hAnsi="標楷體"/>
          <w:sz w:val="28"/>
        </w:rPr>
        <w:t>1995.</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eastAsia="標楷體" w:ascii="標楷體" w:hAnsi="標楷體"/>
          <w:sz w:val="28"/>
        </w:rPr>
        <w:t>3.</w:t>
      </w:r>
      <w:r>
        <w:rPr>
          <w:rFonts w:ascii="標楷體" w:hAnsi="標楷體" w:eastAsia="標楷體"/>
          <w:sz w:val="28"/>
        </w:rPr>
        <w:t>沈自尹，腎的研究，上海科學技術出版社，上海，</w:t>
      </w:r>
      <w:r>
        <w:rPr>
          <w:rFonts w:eastAsia="標楷體" w:ascii="標楷體" w:hAnsi="標楷體"/>
          <w:sz w:val="28"/>
        </w:rPr>
        <w:t>p.14</w:t>
      </w:r>
      <w:r>
        <w:rPr>
          <w:rFonts w:ascii="標楷體" w:hAnsi="標楷體" w:eastAsia="標楷體"/>
          <w:sz w:val="28"/>
        </w:rPr>
        <w:t>，</w:t>
      </w:r>
      <w:r>
        <w:rPr>
          <w:rFonts w:eastAsia="標楷體" w:ascii="標楷體" w:hAnsi="標楷體"/>
          <w:sz w:val="28"/>
        </w:rPr>
        <w:t>1990</w:t>
      </w:r>
      <w:r>
        <w:rPr>
          <w:rFonts w:ascii="標楷體" w:hAnsi="標楷體" w:eastAsia="標楷體"/>
          <w:sz w:val="28"/>
        </w:rPr>
        <w:t>。</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eastAsia="標楷體" w:ascii="標楷體" w:hAnsi="標楷體"/>
          <w:sz w:val="28"/>
        </w:rPr>
        <w:t>4.</w:t>
      </w:r>
      <w:r>
        <w:rPr>
          <w:rFonts w:ascii="標楷體" w:hAnsi="標楷體" w:cs="Britannic Bold" w:eastAsia="標楷體"/>
          <w:sz w:val="28"/>
        </w:rPr>
        <w:t>同</w:t>
      </w:r>
      <w:r>
        <w:rPr>
          <w:rFonts w:eastAsia="標楷體" w:cs="Britannic Bold" w:ascii="標楷體" w:hAnsi="標楷體"/>
          <w:sz w:val="28"/>
        </w:rPr>
        <w:t>(1)</w:t>
      </w:r>
      <w:r>
        <w:rPr>
          <w:rFonts w:ascii="標楷體" w:hAnsi="標楷體" w:cs="Britannic Bold" w:eastAsia="標楷體"/>
          <w:sz w:val="28"/>
        </w:rPr>
        <w:t>，</w:t>
      </w:r>
      <w:r>
        <w:rPr>
          <w:rFonts w:eastAsia="標楷體" w:cs="Britannic Bold" w:ascii="標楷體" w:hAnsi="標楷體"/>
          <w:sz w:val="28"/>
        </w:rPr>
        <w:t>p.27</w:t>
      </w:r>
      <w:r>
        <w:rPr>
          <w:rFonts w:ascii="標楷體" w:hAnsi="標楷體" w:cs="Britannic Bold" w:eastAsia="標楷體"/>
          <w:sz w:val="28"/>
        </w:rPr>
        <w:t>。</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eastAsia="標楷體" w:ascii="標楷體" w:hAnsi="標楷體"/>
          <w:sz w:val="28"/>
        </w:rPr>
        <w:t>5.</w:t>
      </w:r>
      <w:r>
        <w:rPr>
          <w:rFonts w:ascii="標楷體" w:hAnsi="標楷體" w:cs="Britannic Bold" w:eastAsia="標楷體"/>
          <w:sz w:val="28"/>
        </w:rPr>
        <w:t>同</w:t>
      </w:r>
      <w:r>
        <w:rPr>
          <w:rFonts w:eastAsia="標楷體" w:cs="Britannic Bold" w:ascii="標楷體" w:hAnsi="標楷體"/>
          <w:sz w:val="28"/>
        </w:rPr>
        <w:t>(1)</w:t>
      </w:r>
      <w:r>
        <w:rPr>
          <w:rFonts w:ascii="標楷體" w:hAnsi="標楷體" w:cs="Britannic Bold" w:eastAsia="標楷體"/>
          <w:sz w:val="28"/>
        </w:rPr>
        <w:t>，</w:t>
      </w:r>
      <w:r>
        <w:rPr>
          <w:rFonts w:eastAsia="標楷體" w:cs="Britannic Bold" w:ascii="標楷體" w:hAnsi="標楷體"/>
          <w:sz w:val="28"/>
        </w:rPr>
        <w:t>p.664</w:t>
      </w:r>
      <w:r>
        <w:rPr>
          <w:rFonts w:ascii="標楷體" w:hAnsi="標楷體" w:cs="Britannic Bold" w:eastAsia="標楷體"/>
          <w:sz w:val="28"/>
        </w:rPr>
        <w:t>。</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eastAsia="標楷體" w:ascii="標楷體" w:hAnsi="標楷體"/>
          <w:sz w:val="28"/>
        </w:rPr>
        <w:t>6.</w:t>
      </w:r>
      <w:r>
        <w:rPr>
          <w:rFonts w:ascii="標楷體" w:hAnsi="標楷體" w:cs="Britannic Bold" w:eastAsia="標楷體"/>
          <w:sz w:val="28"/>
        </w:rPr>
        <w:t>同</w:t>
      </w:r>
      <w:r>
        <w:rPr>
          <w:rFonts w:eastAsia="標楷體" w:cs="Britannic Bold" w:ascii="標楷體" w:hAnsi="標楷體"/>
          <w:sz w:val="28"/>
        </w:rPr>
        <w:t>(1)</w:t>
      </w:r>
      <w:r>
        <w:rPr>
          <w:rFonts w:ascii="標楷體" w:hAnsi="標楷體" w:cs="Britannic Bold" w:eastAsia="標楷體"/>
          <w:sz w:val="28"/>
        </w:rPr>
        <w:t>，</w:t>
      </w:r>
      <w:r>
        <w:rPr>
          <w:rFonts w:eastAsia="標楷體" w:cs="Britannic Bold" w:ascii="標楷體" w:hAnsi="標楷體"/>
          <w:sz w:val="28"/>
        </w:rPr>
        <w:t>p.145</w:t>
      </w:r>
      <w:r>
        <w:rPr>
          <w:rFonts w:ascii="標楷體" w:hAnsi="標楷體" w:cs="Britannic Bold" w:eastAsia="標楷體"/>
          <w:sz w:val="28"/>
        </w:rPr>
        <w:t>。</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eastAsia="標楷體" w:ascii="標楷體" w:hAnsi="標楷體"/>
          <w:sz w:val="28"/>
        </w:rPr>
        <w:t>7.</w:t>
      </w:r>
      <w:r>
        <w:rPr>
          <w:rFonts w:ascii="標楷體" w:hAnsi="標楷體" w:eastAsia="標楷體"/>
          <w:sz w:val="28"/>
        </w:rPr>
        <w:t>清、林佩琴，類證治裁。吳敦序主編，中醫基礎理論，上海科學</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技術出版社，上海，</w:t>
      </w:r>
      <w:r>
        <w:rPr>
          <w:rFonts w:eastAsia="標楷體" w:ascii="標楷體" w:hAnsi="標楷體"/>
          <w:sz w:val="28"/>
        </w:rPr>
        <w:t>p.59</w:t>
      </w:r>
      <w:r>
        <w:rPr>
          <w:rFonts w:ascii="標楷體" w:hAnsi="標楷體" w:eastAsia="標楷體"/>
          <w:sz w:val="28"/>
        </w:rPr>
        <w:t>，</w:t>
      </w:r>
      <w:r>
        <w:rPr>
          <w:rFonts w:eastAsia="標楷體" w:ascii="標楷體" w:hAnsi="標楷體"/>
          <w:sz w:val="28"/>
        </w:rPr>
        <w:t>1995</w:t>
      </w:r>
      <w:r>
        <w:rPr>
          <w:rFonts w:ascii="標楷體" w:hAnsi="標楷體" w:eastAsia="標楷體"/>
          <w:sz w:val="28"/>
        </w:rPr>
        <w:t>。</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eastAsia="標楷體" w:ascii="標楷體" w:hAnsi="標楷體"/>
          <w:sz w:val="28"/>
        </w:rPr>
        <w:t>8.</w:t>
      </w:r>
      <w:r>
        <w:rPr>
          <w:rFonts w:ascii="標楷體" w:hAnsi="標楷體" w:eastAsia="標楷體"/>
          <w:sz w:val="28"/>
        </w:rPr>
        <w:t>清、何夢瑤，醫碥，人民衛生出版社，北京，</w:t>
      </w:r>
      <w:r>
        <w:rPr>
          <w:rFonts w:eastAsia="標楷體" w:ascii="標楷體" w:hAnsi="標楷體"/>
          <w:sz w:val="28"/>
        </w:rPr>
        <w:t>p40</w:t>
      </w:r>
      <w:r>
        <w:rPr>
          <w:rFonts w:ascii="標楷體" w:hAnsi="標楷體" w:eastAsia="標楷體"/>
          <w:sz w:val="28"/>
        </w:rPr>
        <w:t>，</w:t>
      </w:r>
      <w:r>
        <w:rPr>
          <w:rFonts w:eastAsia="標楷體" w:ascii="標楷體" w:hAnsi="標楷體"/>
          <w:sz w:val="28"/>
        </w:rPr>
        <w:t>1994</w:t>
      </w:r>
      <w:r>
        <w:rPr>
          <w:rFonts w:ascii="標楷體" w:hAnsi="標楷體" w:eastAsia="標楷體"/>
          <w:sz w:val="28"/>
        </w:rPr>
        <w:t>。</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eastAsia="標楷體" w:ascii="標楷體" w:hAnsi="標楷體"/>
          <w:sz w:val="28"/>
        </w:rPr>
        <w:t>9.</w:t>
      </w:r>
      <w:r>
        <w:rPr>
          <w:rFonts w:ascii="標楷體" w:hAnsi="標楷體" w:cs="Britannic Bold" w:eastAsia="標楷體"/>
          <w:sz w:val="28"/>
        </w:rPr>
        <w:t>同</w:t>
      </w:r>
      <w:r>
        <w:rPr>
          <w:rFonts w:eastAsia="標楷體" w:cs="Britannic Bold" w:ascii="標楷體" w:hAnsi="標楷體"/>
          <w:sz w:val="28"/>
        </w:rPr>
        <w:t>(2)</w:t>
      </w:r>
      <w:r>
        <w:rPr>
          <w:rFonts w:ascii="標楷體" w:hAnsi="標楷體" w:cs="Britannic Bold" w:eastAsia="標楷體"/>
          <w:sz w:val="28"/>
        </w:rPr>
        <w:t>，</w:t>
      </w:r>
      <w:r>
        <w:rPr>
          <w:rFonts w:eastAsia="標楷體" w:cs="Britannic Bold" w:ascii="標楷體" w:hAnsi="標楷體"/>
          <w:sz w:val="28"/>
        </w:rPr>
        <w:t>p.593</w:t>
      </w:r>
      <w:r>
        <w:rPr>
          <w:rFonts w:ascii="標楷體" w:hAnsi="標楷體" w:cs="Britannic Bold" w:eastAsia="標楷體"/>
          <w:sz w:val="28"/>
        </w:rPr>
        <w:t>。</w:t>
      </w:r>
    </w:p>
    <w:p>
      <w:pPr>
        <w:pStyle w:val="Normal"/>
        <w:snapToGrid w:val="false"/>
        <w:spacing w:lineRule="atLeast" w:line="20"/>
        <w:jc w:val="both"/>
        <w:rPr>
          <w:rFonts w:ascii="標楷體" w:hAnsi="標楷體" w:eastAsia="標楷體"/>
          <w:sz w:val="28"/>
        </w:rPr>
      </w:pPr>
      <w:r>
        <w:rPr>
          <w:rFonts w:eastAsia="標楷體" w:ascii="標楷體" w:hAnsi="標楷體"/>
          <w:sz w:val="28"/>
        </w:rPr>
        <w:t>10.</w:t>
      </w:r>
      <w:r>
        <w:rPr>
          <w:rFonts w:ascii="標楷體" w:hAnsi="標楷體" w:cs="Britannic Bold" w:eastAsia="標楷體"/>
          <w:sz w:val="28"/>
        </w:rPr>
        <w:t>同</w:t>
      </w:r>
      <w:r>
        <w:rPr>
          <w:rFonts w:eastAsia="標楷體" w:cs="Britannic Bold" w:ascii="標楷體" w:hAnsi="標楷體"/>
          <w:sz w:val="28"/>
        </w:rPr>
        <w:t>(1)</w:t>
      </w:r>
      <w:r>
        <w:rPr>
          <w:rFonts w:ascii="標楷體" w:hAnsi="標楷體" w:cs="Britannic Bold" w:eastAsia="標楷體"/>
          <w:sz w:val="28"/>
        </w:rPr>
        <w:t>，</w:t>
      </w:r>
      <w:r>
        <w:rPr>
          <w:rFonts w:eastAsia="標楷體" w:cs="Britannic Bold" w:ascii="標楷體" w:hAnsi="標楷體"/>
          <w:sz w:val="28"/>
        </w:rPr>
        <w:t>p.8</w:t>
      </w:r>
      <w:r>
        <w:rPr>
          <w:rFonts w:ascii="標楷體" w:hAnsi="標楷體" w:cs="Britannic Bold" w:eastAsia="標楷體"/>
          <w:sz w:val="28"/>
        </w:rPr>
        <w:t>。</w:t>
      </w:r>
    </w:p>
    <w:p>
      <w:pPr>
        <w:pStyle w:val="Normal"/>
        <w:snapToGrid w:val="false"/>
        <w:spacing w:lineRule="atLeast" w:line="20"/>
        <w:jc w:val="both"/>
        <w:rPr>
          <w:rFonts w:ascii="標楷體" w:hAnsi="標楷體" w:eastAsia="標楷體"/>
          <w:sz w:val="28"/>
        </w:rPr>
      </w:pPr>
      <w:r>
        <w:rPr>
          <w:rFonts w:eastAsia="標楷體" w:ascii="標楷體" w:hAnsi="標楷體"/>
          <w:sz w:val="28"/>
        </w:rPr>
        <w:t>11.</w:t>
      </w:r>
      <w:r>
        <w:rPr>
          <w:rFonts w:ascii="標楷體" w:hAnsi="標楷體" w:eastAsia="標楷體"/>
          <w:sz w:val="28"/>
        </w:rPr>
        <w:t>隋、楊上善，黃帝內經太素，文光圖書公司，台北，</w:t>
      </w:r>
      <w:r>
        <w:rPr>
          <w:rFonts w:eastAsia="標楷體" w:ascii="標楷體" w:hAnsi="標楷體"/>
          <w:sz w:val="28"/>
        </w:rPr>
        <w:t>p.75</w:t>
      </w:r>
      <w:r>
        <w:rPr>
          <w:rFonts w:ascii="標楷體" w:hAnsi="標楷體" w:eastAsia="標楷體"/>
          <w:sz w:val="28"/>
        </w:rPr>
        <w:t>，</w:t>
      </w:r>
      <w:r>
        <w:rPr>
          <w:rFonts w:eastAsia="標楷體" w:ascii="標楷體" w:hAnsi="標楷體"/>
          <w:sz w:val="28"/>
        </w:rPr>
        <w:t>1981</w:t>
      </w:r>
      <w:r>
        <w:rPr>
          <w:rFonts w:ascii="標楷體" w:hAnsi="標楷體" w:eastAsia="標楷體"/>
          <w:sz w:val="28"/>
        </w:rPr>
        <w:t>。</w:t>
      </w:r>
    </w:p>
    <w:p>
      <w:pPr>
        <w:pStyle w:val="Normal"/>
        <w:numPr>
          <w:ilvl w:val="0"/>
          <w:numId w:val="12"/>
        </w:numPr>
        <w:snapToGrid w:val="false"/>
        <w:spacing w:lineRule="atLeast" w:line="20"/>
        <w:jc w:val="both"/>
        <w:rPr>
          <w:rFonts w:ascii="標楷體" w:hAnsi="標楷體" w:eastAsia="標楷體"/>
          <w:sz w:val="28"/>
        </w:rPr>
      </w:pPr>
      <w:r>
        <w:rPr>
          <w:rFonts w:eastAsia="標楷體" w:ascii="標楷體" w:hAnsi="標楷體"/>
          <w:sz w:val="28"/>
        </w:rPr>
        <w:t>Eric R. Kandel: Essentials of Neural Science and Behavior, Appleton &amp; Lange. East Norwalk, p.610, 1995.</w:t>
      </w:r>
    </w:p>
    <w:p>
      <w:pPr>
        <w:pStyle w:val="Normal"/>
        <w:snapToGrid w:val="false"/>
        <w:spacing w:lineRule="atLeast" w:line="20"/>
        <w:jc w:val="both"/>
        <w:rPr>
          <w:rFonts w:ascii="標楷體" w:hAnsi="標楷體" w:eastAsia="標楷體"/>
          <w:sz w:val="28"/>
        </w:rPr>
      </w:pPr>
      <w:r>
        <w:rPr>
          <w:rFonts w:eastAsia="標楷體" w:ascii="標楷體" w:hAnsi="標楷體"/>
          <w:sz w:val="28"/>
        </w:rPr>
        <w:t>13.</w:t>
      </w:r>
      <w:r>
        <w:rPr>
          <w:rFonts w:ascii="標楷體" w:hAnsi="標楷體" w:cs="Britannic Bold" w:eastAsia="標楷體"/>
          <w:sz w:val="28"/>
        </w:rPr>
        <w:t>同</w:t>
      </w:r>
      <w:r>
        <w:rPr>
          <w:rFonts w:eastAsia="標楷體" w:cs="Britannic Bold" w:ascii="標楷體" w:hAnsi="標楷體"/>
          <w:sz w:val="28"/>
        </w:rPr>
        <w:t>(1)</w:t>
      </w:r>
      <w:r>
        <w:rPr>
          <w:rFonts w:ascii="標楷體" w:hAnsi="標楷體" w:cs="Britannic Bold" w:eastAsia="標楷體"/>
          <w:sz w:val="28"/>
        </w:rPr>
        <w:t>，</w:t>
      </w:r>
      <w:r>
        <w:rPr>
          <w:rFonts w:eastAsia="標楷體" w:cs="Britannic Bold" w:ascii="標楷體" w:hAnsi="標楷體"/>
          <w:sz w:val="28"/>
        </w:rPr>
        <w:t>p.14</w:t>
      </w:r>
      <w:r>
        <w:rPr>
          <w:rFonts w:ascii="標楷體" w:hAnsi="標楷體" w:cs="Britannic Bold" w:eastAsia="標楷體"/>
          <w:sz w:val="28"/>
        </w:rPr>
        <w:t>。</w:t>
      </w:r>
    </w:p>
    <w:p>
      <w:pPr>
        <w:pStyle w:val="Normal"/>
        <w:snapToGrid w:val="false"/>
        <w:spacing w:lineRule="atLeast" w:line="20"/>
        <w:jc w:val="both"/>
        <w:rPr>
          <w:rFonts w:ascii="標楷體" w:hAnsi="標楷體" w:eastAsia="標楷體"/>
          <w:sz w:val="28"/>
        </w:rPr>
      </w:pPr>
      <w:r>
        <w:rPr>
          <w:rFonts w:eastAsia="標楷體" w:ascii="標楷體" w:hAnsi="標楷體"/>
          <w:sz w:val="28"/>
        </w:rPr>
        <w:t>14.</w:t>
      </w:r>
      <w:r>
        <w:rPr>
          <w:rFonts w:ascii="標楷體" w:hAnsi="標楷體" w:cs="Britannic Bold" w:eastAsia="標楷體"/>
          <w:sz w:val="28"/>
        </w:rPr>
        <w:t>同</w:t>
      </w:r>
      <w:r>
        <w:rPr>
          <w:rFonts w:eastAsia="標楷體" w:cs="Britannic Bold" w:ascii="標楷體" w:hAnsi="標楷體"/>
          <w:sz w:val="28"/>
        </w:rPr>
        <w:t>(1)</w:t>
      </w:r>
      <w:r>
        <w:rPr>
          <w:rFonts w:ascii="標楷體" w:hAnsi="標楷體" w:cs="Britannic Bold" w:eastAsia="標楷體"/>
          <w:sz w:val="28"/>
        </w:rPr>
        <w:t>，</w:t>
      </w:r>
      <w:r>
        <w:rPr>
          <w:rFonts w:eastAsia="標楷體" w:cs="Britannic Bold" w:ascii="標楷體" w:hAnsi="標楷體"/>
          <w:sz w:val="28"/>
        </w:rPr>
        <w:t>p.11</w:t>
      </w:r>
      <w:r>
        <w:rPr>
          <w:rFonts w:ascii="標楷體" w:hAnsi="標楷體" w:cs="Britannic Bold" w:eastAsia="標楷體"/>
          <w:sz w:val="28"/>
        </w:rPr>
        <w:t>。</w:t>
      </w:r>
    </w:p>
    <w:p>
      <w:pPr>
        <w:pStyle w:val="Normal"/>
        <w:snapToGrid w:val="false"/>
        <w:spacing w:lineRule="atLeast" w:line="20"/>
        <w:jc w:val="both"/>
        <w:rPr>
          <w:rFonts w:ascii="標楷體" w:hAnsi="標楷體" w:eastAsia="標楷體"/>
          <w:sz w:val="28"/>
        </w:rPr>
      </w:pPr>
      <w:r>
        <w:rPr>
          <w:rFonts w:eastAsia="標楷體" w:ascii="標楷體" w:hAnsi="標楷體"/>
          <w:sz w:val="28"/>
        </w:rPr>
        <w:t>15.</w:t>
      </w:r>
      <w:r>
        <w:rPr>
          <w:rFonts w:ascii="標楷體" w:hAnsi="標楷體" w:eastAsia="標楷體"/>
          <w:sz w:val="28"/>
        </w:rPr>
        <w:t>雷順群，</w:t>
      </w:r>
      <w:r>
        <w:rPr>
          <w:rFonts w:eastAsia="標楷體" w:ascii="標楷體" w:hAnsi="標楷體"/>
          <w:sz w:val="28"/>
        </w:rPr>
        <w:t>&lt;&lt;</w:t>
      </w:r>
      <w:r>
        <w:rPr>
          <w:rFonts w:ascii="標楷體" w:hAnsi="標楷體" w:eastAsia="標楷體"/>
          <w:sz w:val="28"/>
        </w:rPr>
        <w:t>內經</w:t>
      </w:r>
      <w:r>
        <w:rPr>
          <w:rFonts w:eastAsia="標楷體" w:ascii="標楷體" w:hAnsi="標楷體"/>
          <w:sz w:val="28"/>
        </w:rPr>
        <w:t>&gt;&gt;</w:t>
      </w:r>
      <w:r>
        <w:rPr>
          <w:rFonts w:ascii="標楷體" w:hAnsi="標楷體" w:eastAsia="標楷體"/>
          <w:sz w:val="28"/>
        </w:rPr>
        <w:t>多學科研究，江蘇科學技術出版社，江蘇</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w:t>
      </w:r>
      <w:r>
        <w:rPr>
          <w:rFonts w:eastAsia="標楷體" w:ascii="標楷體" w:hAnsi="標楷體"/>
          <w:sz w:val="28"/>
        </w:rPr>
        <w:t>p.308</w:t>
      </w:r>
      <w:r>
        <w:rPr>
          <w:rFonts w:ascii="標楷體" w:hAnsi="標楷體" w:eastAsia="標楷體"/>
          <w:sz w:val="28"/>
        </w:rPr>
        <w:t>，</w:t>
      </w:r>
      <w:r>
        <w:rPr>
          <w:rFonts w:eastAsia="標楷體" w:ascii="標楷體" w:hAnsi="標楷體"/>
          <w:sz w:val="28"/>
        </w:rPr>
        <w:t>1990</w:t>
      </w:r>
      <w:r>
        <w:rPr>
          <w:rFonts w:ascii="標楷體" w:hAnsi="標楷體" w:eastAsia="標楷體"/>
          <w:sz w:val="28"/>
        </w:rPr>
        <w:t>。</w:t>
      </w:r>
    </w:p>
    <w:p>
      <w:pPr>
        <w:pStyle w:val="Normal"/>
        <w:snapToGrid w:val="false"/>
        <w:spacing w:lineRule="atLeast" w:line="20"/>
        <w:jc w:val="both"/>
        <w:rPr>
          <w:rFonts w:ascii="標楷體" w:hAnsi="標楷體" w:eastAsia="標楷體"/>
          <w:sz w:val="28"/>
        </w:rPr>
      </w:pPr>
      <w:r>
        <w:rPr>
          <w:rFonts w:eastAsia="標楷體" w:ascii="標楷體" w:hAnsi="標楷體"/>
          <w:sz w:val="28"/>
        </w:rPr>
        <w:t>16.</w:t>
      </w:r>
      <w:r>
        <w:rPr>
          <w:rFonts w:ascii="標楷體" w:hAnsi="標楷體" w:cs="Britannic Bold" w:eastAsia="標楷體"/>
          <w:sz w:val="28"/>
        </w:rPr>
        <w:t>同</w:t>
      </w:r>
      <w:r>
        <w:rPr>
          <w:rFonts w:eastAsia="標楷體" w:cs="Britannic Bold" w:ascii="標楷體" w:hAnsi="標楷體"/>
          <w:sz w:val="28"/>
        </w:rPr>
        <w:t>(1)</w:t>
      </w:r>
      <w:r>
        <w:rPr>
          <w:rFonts w:ascii="標楷體" w:hAnsi="標楷體" w:cs="Britannic Bold" w:eastAsia="標楷體"/>
          <w:sz w:val="28"/>
        </w:rPr>
        <w:t>，</w:t>
      </w:r>
      <w:r>
        <w:rPr>
          <w:rFonts w:eastAsia="標楷體" w:cs="Britannic Bold" w:ascii="標楷體" w:hAnsi="標楷體"/>
          <w:sz w:val="28"/>
        </w:rPr>
        <w:t>p.91</w:t>
      </w:r>
      <w:r>
        <w:rPr>
          <w:rFonts w:ascii="標楷體" w:hAnsi="標楷體" w:cs="Britannic Bold" w:eastAsia="標楷體"/>
          <w:sz w:val="28"/>
        </w:rPr>
        <w:t>。</w:t>
      </w:r>
    </w:p>
    <w:p>
      <w:pPr>
        <w:pStyle w:val="Normal"/>
        <w:snapToGrid w:val="false"/>
        <w:spacing w:lineRule="atLeast" w:line="20"/>
        <w:jc w:val="both"/>
        <w:rPr>
          <w:rFonts w:ascii="標楷體" w:hAnsi="標楷體" w:eastAsia="標楷體"/>
          <w:sz w:val="28"/>
        </w:rPr>
      </w:pPr>
      <w:r>
        <w:rPr>
          <w:rFonts w:eastAsia="標楷體" w:ascii="標楷體" w:hAnsi="標楷體"/>
          <w:sz w:val="28"/>
        </w:rPr>
        <w:t>17.</w:t>
      </w:r>
      <w:r>
        <w:rPr>
          <w:rFonts w:ascii="標楷體" w:hAnsi="標楷體" w:cs="Britannic Bold" w:eastAsia="標楷體"/>
          <w:sz w:val="28"/>
        </w:rPr>
        <w:t>同</w:t>
      </w:r>
      <w:r>
        <w:rPr>
          <w:rFonts w:eastAsia="標楷體" w:cs="Britannic Bold" w:ascii="標楷體" w:hAnsi="標楷體"/>
          <w:sz w:val="28"/>
        </w:rPr>
        <w:t>(1)</w:t>
      </w:r>
      <w:r>
        <w:rPr>
          <w:rFonts w:ascii="標楷體" w:hAnsi="標楷體" w:cs="Britannic Bold" w:eastAsia="標楷體"/>
          <w:sz w:val="28"/>
        </w:rPr>
        <w:t>，</w:t>
      </w:r>
      <w:r>
        <w:rPr>
          <w:rFonts w:eastAsia="標楷體" w:cs="Britannic Bold" w:ascii="標楷體" w:hAnsi="標楷體"/>
          <w:sz w:val="28"/>
        </w:rPr>
        <w:t>p.5</w:t>
      </w:r>
      <w:r>
        <w:rPr>
          <w:rFonts w:ascii="標楷體" w:hAnsi="標楷體" w:cs="Britannic Bold" w:eastAsia="標楷體"/>
          <w:sz w:val="28"/>
        </w:rPr>
        <w:t>。</w:t>
      </w:r>
    </w:p>
    <w:p>
      <w:pPr>
        <w:pStyle w:val="Normal"/>
        <w:snapToGrid w:val="false"/>
        <w:spacing w:lineRule="atLeast" w:line="20"/>
        <w:jc w:val="both"/>
        <w:rPr>
          <w:rFonts w:ascii="標楷體" w:hAnsi="標楷體" w:eastAsia="標楷體"/>
          <w:sz w:val="28"/>
        </w:rPr>
      </w:pPr>
      <w:r>
        <w:rPr>
          <w:rFonts w:eastAsia="標楷體" w:ascii="標楷體" w:hAnsi="標楷體"/>
          <w:sz w:val="28"/>
        </w:rPr>
        <w:t>18.</w:t>
      </w:r>
      <w:r>
        <w:rPr>
          <w:rFonts w:ascii="標楷體" w:hAnsi="標楷體" w:cs="Britannic Bold" w:eastAsia="標楷體"/>
          <w:sz w:val="28"/>
        </w:rPr>
        <w:t>同</w:t>
      </w:r>
      <w:r>
        <w:rPr>
          <w:rFonts w:eastAsia="標楷體" w:cs="Britannic Bold" w:ascii="標楷體" w:hAnsi="標楷體"/>
          <w:sz w:val="28"/>
        </w:rPr>
        <w:t>(1)</w:t>
      </w:r>
      <w:r>
        <w:rPr>
          <w:rFonts w:ascii="標楷體" w:hAnsi="標楷體" w:cs="Britannic Bold" w:eastAsia="標楷體"/>
          <w:sz w:val="28"/>
        </w:rPr>
        <w:t>，</w:t>
      </w:r>
      <w:r>
        <w:rPr>
          <w:rFonts w:eastAsia="標楷體" w:cs="Britannic Bold" w:ascii="標楷體" w:hAnsi="標楷體"/>
          <w:sz w:val="28"/>
        </w:rPr>
        <w:t>p.7</w:t>
      </w:r>
      <w:r>
        <w:rPr>
          <w:rFonts w:ascii="標楷體" w:hAnsi="標楷體" w:cs="Britannic Bold" w:eastAsia="標楷體"/>
          <w:sz w:val="28"/>
        </w:rPr>
        <w:t>。</w:t>
      </w:r>
    </w:p>
    <w:p>
      <w:pPr>
        <w:pStyle w:val="Normal"/>
        <w:snapToGrid w:val="false"/>
        <w:spacing w:lineRule="atLeast" w:line="20"/>
        <w:jc w:val="both"/>
        <w:rPr>
          <w:rFonts w:ascii="標楷體" w:hAnsi="標楷體" w:eastAsia="標楷體"/>
          <w:sz w:val="28"/>
        </w:rPr>
      </w:pPr>
      <w:r>
        <w:rPr>
          <w:rFonts w:eastAsia="標楷體" w:ascii="標楷體" w:hAnsi="標楷體"/>
          <w:sz w:val="28"/>
        </w:rPr>
        <w:t>19.</w:t>
      </w:r>
      <w:r>
        <w:rPr>
          <w:rFonts w:ascii="標楷體" w:hAnsi="標楷體" w:cs="Britannic Bold" w:eastAsia="標楷體"/>
          <w:sz w:val="28"/>
        </w:rPr>
        <w:t>同</w:t>
      </w:r>
      <w:r>
        <w:rPr>
          <w:rFonts w:eastAsia="標楷體" w:cs="Britannic Bold" w:ascii="標楷體" w:hAnsi="標楷體"/>
          <w:sz w:val="28"/>
        </w:rPr>
        <w:t>(2)</w:t>
      </w:r>
      <w:r>
        <w:rPr>
          <w:rFonts w:ascii="標楷體" w:hAnsi="標楷體" w:cs="Britannic Bold" w:eastAsia="標楷體"/>
          <w:sz w:val="28"/>
        </w:rPr>
        <w:t>，</w:t>
      </w:r>
      <w:r>
        <w:rPr>
          <w:rFonts w:eastAsia="標楷體" w:cs="Britannic Bold" w:ascii="標楷體" w:hAnsi="標楷體"/>
          <w:sz w:val="28"/>
        </w:rPr>
        <w:t>p.206</w:t>
      </w:r>
      <w:r>
        <w:rPr>
          <w:rFonts w:ascii="標楷體" w:hAnsi="標楷體" w:cs="Britannic Bold" w:eastAsia="標楷體"/>
          <w:sz w:val="28"/>
        </w:rPr>
        <w:t>。</w:t>
      </w:r>
    </w:p>
    <w:p>
      <w:pPr>
        <w:pStyle w:val="Normal"/>
        <w:snapToGrid w:val="false"/>
        <w:spacing w:lineRule="atLeast" w:line="20"/>
        <w:jc w:val="both"/>
        <w:rPr>
          <w:rFonts w:ascii="標楷體" w:hAnsi="標楷體" w:eastAsia="標楷體"/>
          <w:sz w:val="28"/>
        </w:rPr>
      </w:pPr>
      <w:r>
        <w:rPr>
          <w:rFonts w:eastAsia="標楷體" w:ascii="標楷體" w:hAnsi="標楷體"/>
          <w:sz w:val="28"/>
        </w:rPr>
        <w:t>20.</w:t>
      </w:r>
      <w:r>
        <w:rPr>
          <w:rFonts w:ascii="標楷體" w:hAnsi="標楷體" w:cs="Britannic Bold" w:eastAsia="標楷體"/>
          <w:sz w:val="28"/>
        </w:rPr>
        <w:t>同</w:t>
      </w:r>
      <w:r>
        <w:rPr>
          <w:rFonts w:eastAsia="標楷體" w:cs="Britannic Bold" w:ascii="標楷體" w:hAnsi="標楷體"/>
          <w:sz w:val="28"/>
        </w:rPr>
        <w:t>(1)</w:t>
      </w:r>
      <w:r>
        <w:rPr>
          <w:rFonts w:ascii="標楷體" w:hAnsi="標楷體" w:cs="Britannic Bold" w:eastAsia="標楷體"/>
          <w:sz w:val="28"/>
        </w:rPr>
        <w:t>，</w:t>
      </w:r>
      <w:r>
        <w:rPr>
          <w:rFonts w:eastAsia="標楷體" w:cs="Britannic Bold" w:ascii="標楷體" w:hAnsi="標楷體"/>
          <w:sz w:val="28"/>
        </w:rPr>
        <w:t>p.10</w:t>
      </w:r>
      <w:r>
        <w:rPr>
          <w:rFonts w:ascii="標楷體" w:hAnsi="標楷體" w:cs="Britannic Bold" w:eastAsia="標楷體"/>
          <w:sz w:val="28"/>
        </w:rPr>
        <w:t>。</w:t>
      </w:r>
    </w:p>
    <w:p>
      <w:pPr>
        <w:pStyle w:val="Normal"/>
        <w:snapToGrid w:val="false"/>
        <w:spacing w:lineRule="atLeast" w:line="20"/>
        <w:jc w:val="both"/>
        <w:rPr>
          <w:rFonts w:ascii="標楷體" w:hAnsi="標楷體" w:eastAsia="標楷體"/>
          <w:sz w:val="28"/>
        </w:rPr>
      </w:pPr>
      <w:r>
        <w:rPr>
          <w:rFonts w:eastAsia="標楷體" w:ascii="標楷體" w:hAnsi="標楷體"/>
          <w:sz w:val="28"/>
        </w:rPr>
        <w:t>21.</w:t>
      </w:r>
      <w:r>
        <w:rPr>
          <w:rFonts w:ascii="標楷體" w:hAnsi="標楷體" w:eastAsia="標楷體"/>
          <w:sz w:val="28"/>
        </w:rPr>
        <w:t>明、張景岳，類經。何清湖主編，傳世藏書，海南國際新聞出版</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中心，湖南，</w:t>
      </w:r>
      <w:r>
        <w:rPr>
          <w:rFonts w:eastAsia="標楷體" w:ascii="標楷體" w:hAnsi="標楷體"/>
          <w:sz w:val="28"/>
        </w:rPr>
        <w:t>p.186</w:t>
      </w:r>
      <w:r>
        <w:rPr>
          <w:rFonts w:ascii="標楷體" w:hAnsi="標楷體" w:eastAsia="標楷體"/>
          <w:sz w:val="28"/>
        </w:rPr>
        <w:t>，</w:t>
      </w:r>
      <w:r>
        <w:rPr>
          <w:rFonts w:eastAsia="標楷體" w:ascii="標楷體" w:hAnsi="標楷體"/>
          <w:sz w:val="28"/>
        </w:rPr>
        <w:t>1995</w:t>
      </w:r>
      <w:r>
        <w:rPr>
          <w:rFonts w:ascii="標楷體" w:hAnsi="標楷體" w:eastAsia="標楷體"/>
          <w:sz w:val="28"/>
        </w:rPr>
        <w:t>。</w:t>
      </w:r>
    </w:p>
    <w:p>
      <w:pPr>
        <w:pStyle w:val="Normal"/>
        <w:numPr>
          <w:ilvl w:val="0"/>
          <w:numId w:val="7"/>
        </w:numPr>
        <w:snapToGrid w:val="false"/>
        <w:spacing w:lineRule="atLeast" w:line="20"/>
        <w:jc w:val="both"/>
        <w:rPr>
          <w:rFonts w:ascii="標楷體" w:hAnsi="標楷體" w:eastAsia="標楷體"/>
          <w:sz w:val="28"/>
        </w:rPr>
      </w:pPr>
      <w:r>
        <w:rPr>
          <w:rFonts w:ascii="標楷體" w:hAnsi="標楷體" w:eastAsia="標楷體"/>
          <w:sz w:val="28"/>
        </w:rPr>
        <w:t>柯雪帆，中醫症狀學，上海中醫學院出版社，上海，</w:t>
      </w:r>
      <w:r>
        <w:rPr>
          <w:rFonts w:eastAsia="標楷體" w:ascii="標楷體" w:hAnsi="標楷體"/>
          <w:sz w:val="28"/>
        </w:rPr>
        <w:t>p.165</w:t>
      </w:r>
      <w:r>
        <w:rPr>
          <w:rFonts w:ascii="標楷體" w:hAnsi="標楷體" w:eastAsia="標楷體"/>
          <w:sz w:val="28"/>
        </w:rPr>
        <w:t>，</w:t>
      </w:r>
      <w:r>
        <w:rPr>
          <w:rFonts w:eastAsia="標楷體" w:ascii="標楷體" w:hAnsi="標楷體"/>
          <w:sz w:val="28"/>
        </w:rPr>
        <w:t>1988</w:t>
      </w:r>
      <w:r>
        <w:rPr>
          <w:rFonts w:ascii="標楷體" w:hAnsi="標楷體" w:eastAsia="標楷體"/>
          <w:sz w:val="28"/>
        </w:rPr>
        <w:t>。</w:t>
      </w:r>
    </w:p>
    <w:p>
      <w:pPr>
        <w:pStyle w:val="Normal"/>
        <w:snapToGrid w:val="false"/>
        <w:spacing w:lineRule="atLeast" w:line="20"/>
        <w:jc w:val="both"/>
        <w:rPr/>
      </w:pPr>
      <w:r>
        <w:rPr>
          <w:rFonts w:eastAsia="標楷體" w:ascii="標楷體" w:hAnsi="標楷體"/>
          <w:sz w:val="28"/>
        </w:rPr>
        <w:t>23. Robert.Murray</w:t>
      </w:r>
      <w:r>
        <w:rPr>
          <w:rFonts w:ascii="標楷體" w:hAnsi="標楷體" w:eastAsia="標楷體"/>
          <w:sz w:val="28"/>
        </w:rPr>
        <w:t>，</w:t>
      </w:r>
      <w:r>
        <w:rPr>
          <w:rFonts w:eastAsia="標楷體" w:ascii="標楷體" w:hAnsi="標楷體"/>
          <w:sz w:val="28"/>
        </w:rPr>
        <w:t>Daryl K.Granner</w:t>
      </w:r>
      <w:r>
        <w:rPr>
          <w:rFonts w:ascii="標楷體" w:hAnsi="標楷體" w:eastAsia="標楷體"/>
          <w:sz w:val="28"/>
        </w:rPr>
        <w:t>，</w:t>
      </w:r>
      <w:r>
        <w:rPr>
          <w:rFonts w:eastAsia="標楷體" w:ascii="標楷體" w:hAnsi="標楷體"/>
          <w:sz w:val="28"/>
        </w:rPr>
        <w:t>Peter A Mayes</w:t>
      </w:r>
      <w:r>
        <w:rPr>
          <w:rFonts w:ascii="標楷體" w:hAnsi="標楷體" w:eastAsia="標楷體"/>
          <w:sz w:val="28"/>
        </w:rPr>
        <w:t>，</w:t>
      </w:r>
      <w:r>
        <w:rPr>
          <w:rFonts w:eastAsia="標楷體" w:ascii="標楷體" w:hAnsi="標楷體"/>
          <w:sz w:val="28"/>
        </w:rPr>
        <w:t>Harper`s</w:t>
      </w:r>
    </w:p>
    <w:p>
      <w:pPr>
        <w:pStyle w:val="Normal"/>
        <w:snapToGrid w:val="false"/>
        <w:spacing w:lineRule="atLeast" w:line="20"/>
        <w:ind w:firstLine="555"/>
        <w:jc w:val="both"/>
        <w:rPr>
          <w:rFonts w:ascii="標楷體" w:hAnsi="標楷體" w:eastAsia="標楷體"/>
          <w:sz w:val="28"/>
        </w:rPr>
      </w:pPr>
      <w:r>
        <w:rPr>
          <w:rFonts w:eastAsia="標楷體" w:ascii="標楷體" w:hAnsi="標楷體"/>
          <w:sz w:val="28"/>
        </w:rPr>
        <w:t>Biochemistry.Appleton &amp; Lange</w:t>
      </w:r>
      <w:r>
        <w:rPr>
          <w:rFonts w:ascii="標楷體" w:hAnsi="標楷體" w:eastAsia="標楷體"/>
          <w:sz w:val="28"/>
        </w:rPr>
        <w:t>，</w:t>
      </w:r>
      <w:r>
        <w:rPr>
          <w:rFonts w:eastAsia="標楷體" w:ascii="標楷體" w:hAnsi="標楷體"/>
          <w:sz w:val="28"/>
        </w:rPr>
        <w:t>East Norwalk</w:t>
      </w:r>
      <w:r>
        <w:rPr>
          <w:rFonts w:ascii="標楷體" w:hAnsi="標楷體" w:eastAsia="標楷體"/>
          <w:sz w:val="28"/>
        </w:rPr>
        <w:t>，</w:t>
      </w:r>
      <w:r>
        <w:rPr>
          <w:rFonts w:eastAsia="標楷體" w:ascii="標楷體" w:hAnsi="標楷體"/>
          <w:sz w:val="28"/>
        </w:rPr>
        <w:t>p.264</w:t>
      </w:r>
      <w:r>
        <w:rPr>
          <w:rFonts w:ascii="標楷體" w:hAnsi="標楷體" w:eastAsia="標楷體"/>
          <w:sz w:val="28"/>
        </w:rPr>
        <w:t>，</w:t>
      </w:r>
    </w:p>
    <w:p>
      <w:pPr>
        <w:pStyle w:val="Normal"/>
        <w:snapToGrid w:val="false"/>
        <w:spacing w:lineRule="atLeast" w:line="20"/>
        <w:ind w:firstLine="555"/>
        <w:jc w:val="both"/>
        <w:rPr>
          <w:rFonts w:ascii="標楷體" w:hAnsi="標楷體" w:eastAsia="標楷體"/>
          <w:sz w:val="28"/>
        </w:rPr>
      </w:pPr>
      <w:r>
        <w:rPr>
          <w:rFonts w:eastAsia="標楷體" w:ascii="標楷體" w:hAnsi="標楷體"/>
          <w:sz w:val="28"/>
        </w:rPr>
        <w:t>1993</w:t>
      </w:r>
      <w:r>
        <w:rPr>
          <w:rFonts w:ascii="標楷體" w:hAnsi="標楷體" w:eastAsia="標楷體"/>
          <w:sz w:val="28"/>
        </w:rPr>
        <w:t>。</w:t>
      </w:r>
    </w:p>
    <w:p>
      <w:pPr>
        <w:pStyle w:val="Normal"/>
        <w:snapToGrid w:val="false"/>
        <w:spacing w:lineRule="atLeast" w:line="20"/>
        <w:jc w:val="both"/>
        <w:rPr>
          <w:rFonts w:ascii="標楷體" w:hAnsi="標楷體" w:eastAsia="標楷體"/>
          <w:sz w:val="28"/>
        </w:rPr>
      </w:pPr>
      <w:r>
        <w:rPr>
          <w:rFonts w:eastAsia="標楷體" w:ascii="標楷體" w:hAnsi="標楷體"/>
          <w:sz w:val="28"/>
        </w:rPr>
        <w:t>24.</w:t>
      </w:r>
      <w:r>
        <w:rPr>
          <w:rFonts w:ascii="標楷體" w:hAnsi="標楷體" w:eastAsia="標楷體"/>
          <w:sz w:val="28"/>
        </w:rPr>
        <w:t>同（</w:t>
      </w:r>
      <w:r>
        <w:rPr>
          <w:rFonts w:eastAsia="標楷體" w:ascii="標楷體" w:hAnsi="標楷體"/>
          <w:sz w:val="28"/>
        </w:rPr>
        <w:t>2</w:t>
      </w:r>
      <w:r>
        <w:rPr>
          <w:rFonts w:ascii="標楷體" w:hAnsi="標楷體" w:eastAsia="標楷體"/>
          <w:sz w:val="28"/>
        </w:rPr>
        <w:t>），</w:t>
      </w:r>
      <w:r>
        <w:rPr>
          <w:rFonts w:eastAsia="標楷體" w:ascii="標楷體" w:hAnsi="標楷體"/>
          <w:sz w:val="28"/>
        </w:rPr>
        <w:t>p.217</w:t>
      </w:r>
      <w:r>
        <w:rPr>
          <w:rFonts w:ascii="標楷體" w:hAnsi="標楷體" w:eastAsia="標楷體"/>
          <w:sz w:val="28"/>
        </w:rPr>
        <w:t>。</w:t>
      </w:r>
    </w:p>
    <w:p>
      <w:pPr>
        <w:pStyle w:val="Normal"/>
        <w:snapToGrid w:val="false"/>
        <w:spacing w:lineRule="atLeast" w:line="20"/>
        <w:jc w:val="both"/>
        <w:rPr/>
      </w:pPr>
      <w:r>
        <w:rPr>
          <w:rFonts w:eastAsia="標楷體" w:ascii="標楷體" w:hAnsi="標楷體"/>
          <w:sz w:val="28"/>
        </w:rPr>
        <w:t>25.Arthur C.Guyton</w:t>
      </w:r>
      <w:r>
        <w:rPr>
          <w:rFonts w:ascii="標楷體" w:hAnsi="標楷體" w:eastAsia="標楷體"/>
          <w:sz w:val="28"/>
        </w:rPr>
        <w:t>，</w:t>
      </w:r>
      <w:r>
        <w:rPr>
          <w:rFonts w:eastAsia="標楷體" w:ascii="標楷體" w:hAnsi="標楷體"/>
          <w:sz w:val="28"/>
        </w:rPr>
        <w:t>Human Physology and Mechansm of Disease</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，華杏出版公司，台北，</w:t>
      </w:r>
      <w:r>
        <w:rPr>
          <w:rFonts w:eastAsia="標楷體" w:ascii="標楷體" w:hAnsi="標楷體"/>
          <w:sz w:val="28"/>
        </w:rPr>
        <w:t>pp.453-454</w:t>
      </w:r>
      <w:r>
        <w:rPr>
          <w:rFonts w:ascii="標楷體" w:hAnsi="標楷體" w:eastAsia="標楷體"/>
          <w:sz w:val="28"/>
        </w:rPr>
        <w:t>，</w:t>
      </w:r>
      <w:r>
        <w:rPr>
          <w:rFonts w:eastAsia="標楷體" w:ascii="標楷體" w:hAnsi="標楷體"/>
          <w:sz w:val="28"/>
        </w:rPr>
        <w:t>1995</w:t>
      </w:r>
      <w:r>
        <w:rPr>
          <w:rFonts w:ascii="標楷體" w:hAnsi="標楷體" w:eastAsia="標楷體"/>
          <w:sz w:val="28"/>
        </w:rPr>
        <w:t>。</w:t>
      </w:r>
    </w:p>
    <w:p>
      <w:pPr>
        <w:pStyle w:val="Normal"/>
        <w:snapToGrid w:val="false"/>
        <w:spacing w:lineRule="atLeast" w:line="20"/>
        <w:jc w:val="both"/>
        <w:rPr>
          <w:rFonts w:ascii="標楷體" w:hAnsi="標楷體" w:eastAsia="標楷體"/>
          <w:sz w:val="28"/>
        </w:rPr>
      </w:pPr>
      <w:r>
        <w:rPr>
          <w:rFonts w:eastAsia="標楷體" w:ascii="標楷體" w:hAnsi="標楷體"/>
          <w:sz w:val="28"/>
        </w:rPr>
        <w:t>26.</w:t>
      </w:r>
      <w:r>
        <w:rPr>
          <w:rFonts w:ascii="標楷體" w:hAnsi="標楷體" w:eastAsia="標楷體"/>
          <w:sz w:val="28"/>
        </w:rPr>
        <w:t>同（</w:t>
      </w:r>
      <w:r>
        <w:rPr>
          <w:rFonts w:eastAsia="標楷體" w:ascii="標楷體" w:hAnsi="標楷體"/>
          <w:sz w:val="28"/>
        </w:rPr>
        <w:t>2</w:t>
      </w:r>
      <w:r>
        <w:rPr>
          <w:rFonts w:ascii="標楷體" w:hAnsi="標楷體" w:eastAsia="標楷體"/>
          <w:sz w:val="28"/>
        </w:rPr>
        <w:t>），</w:t>
      </w:r>
      <w:r>
        <w:rPr>
          <w:rFonts w:eastAsia="標楷體" w:ascii="標楷體" w:hAnsi="標楷體"/>
          <w:sz w:val="28"/>
        </w:rPr>
        <w:t>p.567</w:t>
      </w:r>
      <w:r>
        <w:rPr>
          <w:rFonts w:ascii="標楷體" w:hAnsi="標楷體" w:eastAsia="標楷體"/>
          <w:sz w:val="28"/>
        </w:rPr>
        <w:t>。</w:t>
      </w:r>
    </w:p>
    <w:p>
      <w:pPr>
        <w:pStyle w:val="Normal"/>
        <w:snapToGrid w:val="false"/>
        <w:spacing w:lineRule="atLeast" w:line="20"/>
        <w:jc w:val="both"/>
        <w:rPr>
          <w:rFonts w:ascii="標楷體" w:hAnsi="標楷體" w:eastAsia="標楷體"/>
          <w:sz w:val="28"/>
        </w:rPr>
      </w:pPr>
      <w:r>
        <w:rPr>
          <w:rFonts w:eastAsia="標楷體" w:ascii="標楷體" w:hAnsi="標楷體"/>
          <w:sz w:val="28"/>
        </w:rPr>
        <w:t>27.</w:t>
      </w:r>
      <w:r>
        <w:rPr>
          <w:rFonts w:ascii="標楷體" w:hAnsi="標楷體" w:eastAsia="標楷體"/>
          <w:sz w:val="28"/>
        </w:rPr>
        <w:t>同（</w:t>
      </w:r>
      <w:r>
        <w:rPr>
          <w:rFonts w:eastAsia="標楷體" w:ascii="標楷體" w:hAnsi="標楷體"/>
          <w:sz w:val="28"/>
        </w:rPr>
        <w:t>25</w:t>
      </w:r>
      <w:r>
        <w:rPr>
          <w:rFonts w:ascii="標楷體" w:hAnsi="標楷體" w:eastAsia="標楷體"/>
          <w:sz w:val="28"/>
        </w:rPr>
        <w:t>），</w:t>
      </w:r>
      <w:r>
        <w:rPr>
          <w:rFonts w:eastAsia="標楷體" w:ascii="標楷體" w:hAnsi="標楷體"/>
          <w:sz w:val="28"/>
        </w:rPr>
        <w:t>p.463</w:t>
      </w:r>
      <w:r>
        <w:rPr>
          <w:rFonts w:ascii="標楷體" w:hAnsi="標楷體" w:eastAsia="標楷體"/>
          <w:sz w:val="28"/>
        </w:rPr>
        <w:t>。</w:t>
      </w:r>
    </w:p>
    <w:p>
      <w:pPr>
        <w:pStyle w:val="Normal"/>
        <w:snapToGrid w:val="false"/>
        <w:spacing w:lineRule="atLeast" w:line="20"/>
        <w:jc w:val="both"/>
        <w:rPr>
          <w:rFonts w:ascii="標楷體" w:hAnsi="標楷體" w:eastAsia="標楷體"/>
          <w:sz w:val="28"/>
        </w:rPr>
      </w:pPr>
      <w:r>
        <w:rPr>
          <w:rFonts w:eastAsia="標楷體" w:ascii="標楷體" w:hAnsi="標楷體"/>
          <w:sz w:val="28"/>
        </w:rPr>
        <w:t>28.</w:t>
      </w:r>
      <w:r>
        <w:rPr>
          <w:rFonts w:ascii="標楷體" w:hAnsi="標楷體" w:eastAsia="標楷體"/>
          <w:sz w:val="28"/>
        </w:rPr>
        <w:t>同（</w:t>
      </w:r>
      <w:r>
        <w:rPr>
          <w:rFonts w:eastAsia="標楷體" w:ascii="標楷體" w:hAnsi="標楷體"/>
          <w:sz w:val="28"/>
        </w:rPr>
        <w:t>2</w:t>
      </w:r>
      <w:r>
        <w:rPr>
          <w:rFonts w:ascii="標楷體" w:hAnsi="標楷體" w:eastAsia="標楷體"/>
          <w:sz w:val="28"/>
        </w:rPr>
        <w:t>），</w:t>
      </w:r>
      <w:r>
        <w:rPr>
          <w:rFonts w:eastAsia="標楷體" w:ascii="標楷體" w:hAnsi="標楷體"/>
          <w:sz w:val="28"/>
        </w:rPr>
        <w:t>p.394</w:t>
      </w:r>
      <w:r>
        <w:rPr>
          <w:rFonts w:ascii="標楷體" w:hAnsi="標楷體" w:eastAsia="標楷體"/>
          <w:sz w:val="28"/>
        </w:rPr>
        <w:t>。</w:t>
      </w:r>
    </w:p>
    <w:p>
      <w:pPr>
        <w:pStyle w:val="Normal"/>
        <w:numPr>
          <w:ilvl w:val="0"/>
          <w:numId w:val="3"/>
        </w:numPr>
        <w:snapToGrid w:val="false"/>
        <w:spacing w:lineRule="atLeast" w:line="20"/>
        <w:jc w:val="both"/>
        <w:rPr/>
      </w:pPr>
      <w:r>
        <w:rPr>
          <w:rFonts w:eastAsia="標楷體" w:ascii="標楷體" w:hAnsi="標楷體"/>
          <w:sz w:val="28"/>
        </w:rPr>
        <w:t>Isselbacher et.;Harrison`s Principles of Internal Medicine</w:t>
      </w:r>
    </w:p>
    <w:p>
      <w:pPr>
        <w:pStyle w:val="Normal"/>
        <w:snapToGrid w:val="false"/>
        <w:spacing w:lineRule="atLeast" w:line="20"/>
        <w:jc w:val="both"/>
        <w:rPr/>
      </w:pPr>
      <w:r>
        <w:rPr>
          <w:rFonts w:eastAsia="標楷體" w:cs="標楷體" w:ascii="標楷體" w:hAnsi="標楷體"/>
          <w:sz w:val="28"/>
        </w:rPr>
        <w:t xml:space="preserve">   </w:t>
      </w:r>
      <w:r>
        <w:rPr>
          <w:rFonts w:eastAsia="標楷體" w:ascii="標楷體" w:hAnsi="標楷體"/>
          <w:sz w:val="28"/>
        </w:rPr>
        <w:t>13</w:t>
      </w:r>
      <w:r>
        <w:rPr>
          <w:rFonts w:eastAsia="標楷體" w:ascii="標楷體" w:hAnsi="標楷體"/>
          <w:sz w:val="28"/>
          <w:vertAlign w:val="superscript"/>
        </w:rPr>
        <w:t>th</w:t>
      </w:r>
      <w:r>
        <w:rPr>
          <w:rFonts w:eastAsia="標楷體" w:ascii="標楷體" w:hAnsi="標楷體"/>
          <w:sz w:val="28"/>
        </w:rPr>
        <w:t xml:space="preserve"> ed. McGraw Hill Book Company, New York.pp.1918-</w:t>
      </w:r>
      <w:r>
        <w:rPr>
          <w:rFonts w:eastAsia="標楷體" w:ascii="標楷體" w:hAnsi="標楷體"/>
          <w:sz w:val="28"/>
        </w:rPr>
        <w:t xml:space="preserve"> </w:t>
      </w:r>
    </w:p>
    <w:p>
      <w:pPr>
        <w:pStyle w:val="Normal"/>
        <w:snapToGrid w:val="false"/>
        <w:spacing w:lineRule="atLeast" w:line="20"/>
        <w:jc w:val="both"/>
        <w:rPr/>
      </w:pPr>
      <w:r>
        <w:rPr>
          <w:rFonts w:eastAsia="標楷體" w:cs="標楷體" w:ascii="標楷體" w:hAnsi="標楷體"/>
          <w:sz w:val="28"/>
        </w:rPr>
        <w:t xml:space="preserve">   </w:t>
      </w:r>
      <w:r>
        <w:rPr>
          <w:rFonts w:eastAsia="標楷體" w:ascii="標楷體" w:hAnsi="標楷體"/>
          <w:sz w:val="28"/>
        </w:rPr>
        <w:t>1921,1994.</w:t>
      </w:r>
    </w:p>
    <w:p>
      <w:pPr>
        <w:pStyle w:val="Normal"/>
        <w:snapToGrid w:val="false"/>
        <w:spacing w:lineRule="atLeast" w:line="20"/>
        <w:jc w:val="both"/>
        <w:rPr>
          <w:rFonts w:ascii="標楷體" w:hAnsi="標楷體" w:eastAsia="標楷體"/>
          <w:sz w:val="28"/>
        </w:rPr>
      </w:pPr>
      <w:r>
        <w:rPr>
          <w:rFonts w:eastAsia="標楷體" w:ascii="標楷體" w:hAnsi="標楷體"/>
          <w:sz w:val="28"/>
        </w:rPr>
        <w:t>30.</w:t>
      </w:r>
      <w:r>
        <w:rPr>
          <w:rFonts w:ascii="標楷體" w:hAnsi="標楷體" w:eastAsia="標楷體"/>
          <w:sz w:val="28"/>
        </w:rPr>
        <w:t>同（</w:t>
      </w:r>
      <w:r>
        <w:rPr>
          <w:rFonts w:eastAsia="標楷體" w:ascii="標楷體" w:hAnsi="標楷體"/>
          <w:sz w:val="28"/>
        </w:rPr>
        <w:t>22</w:t>
      </w:r>
      <w:r>
        <w:rPr>
          <w:rFonts w:ascii="標楷體" w:hAnsi="標楷體" w:eastAsia="標楷體"/>
          <w:sz w:val="28"/>
        </w:rPr>
        <w:t>），</w:t>
      </w:r>
      <w:r>
        <w:rPr>
          <w:rFonts w:eastAsia="標楷體" w:ascii="標楷體" w:hAnsi="標楷體"/>
          <w:sz w:val="28"/>
        </w:rPr>
        <w:t>p.293</w:t>
      </w:r>
      <w:r>
        <w:rPr>
          <w:rFonts w:ascii="標楷體" w:hAnsi="標楷體" w:eastAsia="標楷體"/>
          <w:sz w:val="28"/>
        </w:rPr>
        <w:t>。</w:t>
      </w:r>
    </w:p>
    <w:p>
      <w:pPr>
        <w:pStyle w:val="Normal"/>
        <w:snapToGrid w:val="false"/>
        <w:spacing w:lineRule="atLeast" w:line="20"/>
        <w:jc w:val="both"/>
        <w:rPr>
          <w:rFonts w:ascii="標楷體" w:hAnsi="標楷體" w:eastAsia="標楷體"/>
          <w:sz w:val="28"/>
        </w:rPr>
      </w:pPr>
      <w:r>
        <w:rPr>
          <w:rFonts w:eastAsia="標楷體" w:ascii="標楷體" w:hAnsi="標楷體"/>
          <w:sz w:val="28"/>
        </w:rPr>
        <w:t>31.</w:t>
      </w:r>
      <w:r>
        <w:rPr>
          <w:rFonts w:ascii="標楷體" w:hAnsi="標楷體" w:eastAsia="標楷體"/>
          <w:sz w:val="28"/>
        </w:rPr>
        <w:t>鄧鐵濤，中醫診斷學，人民衛生出版社，北京，</w:t>
      </w:r>
      <w:r>
        <w:rPr>
          <w:rFonts w:eastAsia="標楷體" w:ascii="標楷體" w:hAnsi="標楷體"/>
          <w:sz w:val="28"/>
        </w:rPr>
        <w:t>p.446</w:t>
      </w:r>
      <w:r>
        <w:rPr>
          <w:rFonts w:ascii="標楷體" w:hAnsi="標楷體" w:eastAsia="標楷體"/>
          <w:sz w:val="28"/>
        </w:rPr>
        <w:t>，</w:t>
      </w:r>
      <w:r>
        <w:rPr>
          <w:rFonts w:eastAsia="標楷體" w:ascii="標楷體" w:hAnsi="標楷體"/>
          <w:sz w:val="28"/>
        </w:rPr>
        <w:t>1994</w:t>
      </w:r>
      <w:r>
        <w:rPr>
          <w:rFonts w:ascii="標楷體" w:hAnsi="標楷體" w:eastAsia="標楷體"/>
          <w:sz w:val="28"/>
        </w:rPr>
        <w:t>。</w:t>
      </w:r>
    </w:p>
    <w:p>
      <w:pPr>
        <w:pStyle w:val="Normal"/>
        <w:snapToGrid w:val="false"/>
        <w:spacing w:lineRule="atLeast" w:line="20"/>
        <w:jc w:val="both"/>
        <w:rPr>
          <w:rFonts w:ascii="標楷體" w:hAnsi="標楷體" w:eastAsia="標楷體"/>
          <w:sz w:val="28"/>
        </w:rPr>
      </w:pPr>
      <w:r>
        <w:rPr>
          <w:rFonts w:eastAsia="標楷體" w:ascii="標楷體" w:hAnsi="標楷體"/>
          <w:sz w:val="28"/>
        </w:rPr>
        <w:t>32.</w:t>
      </w:r>
      <w:r>
        <w:rPr>
          <w:rFonts w:ascii="標楷體" w:hAnsi="標楷體" w:eastAsia="標楷體"/>
          <w:sz w:val="28"/>
        </w:rPr>
        <w:t>同（</w:t>
      </w:r>
      <w:r>
        <w:rPr>
          <w:rFonts w:eastAsia="標楷體" w:ascii="標楷體" w:hAnsi="標楷體"/>
          <w:sz w:val="28"/>
        </w:rPr>
        <w:t>29</w:t>
      </w:r>
      <w:r>
        <w:rPr>
          <w:rFonts w:ascii="標楷體" w:hAnsi="標楷體" w:eastAsia="標楷體"/>
          <w:sz w:val="28"/>
        </w:rPr>
        <w:t>），</w:t>
      </w:r>
      <w:r>
        <w:rPr>
          <w:rFonts w:eastAsia="標楷體" w:ascii="標楷體" w:hAnsi="標楷體"/>
          <w:sz w:val="28"/>
        </w:rPr>
        <w:t>p.184</w:t>
      </w:r>
      <w:r>
        <w:rPr>
          <w:rFonts w:ascii="標楷體" w:hAnsi="標楷體" w:eastAsia="標楷體"/>
          <w:sz w:val="28"/>
        </w:rPr>
        <w:t>。</w:t>
      </w:r>
    </w:p>
    <w:p>
      <w:pPr>
        <w:pStyle w:val="Normal"/>
        <w:snapToGrid w:val="false"/>
        <w:spacing w:lineRule="atLeast" w:line="20"/>
        <w:jc w:val="both"/>
        <w:rPr>
          <w:rFonts w:ascii="標楷體" w:hAnsi="標楷體" w:eastAsia="標楷體"/>
          <w:sz w:val="28"/>
        </w:rPr>
      </w:pPr>
      <w:r>
        <w:rPr>
          <w:rFonts w:eastAsia="標楷體" w:ascii="標楷體" w:hAnsi="標楷體"/>
          <w:sz w:val="28"/>
        </w:rPr>
        <w:t>33.</w:t>
      </w:r>
      <w:r>
        <w:rPr>
          <w:rFonts w:ascii="標楷體" w:hAnsi="標楷體" w:eastAsia="標楷體"/>
          <w:sz w:val="28"/>
        </w:rPr>
        <w:t>同（</w:t>
      </w:r>
      <w:r>
        <w:rPr>
          <w:rFonts w:eastAsia="標楷體" w:ascii="標楷體" w:hAnsi="標楷體"/>
          <w:sz w:val="28"/>
        </w:rPr>
        <w:t>31</w:t>
      </w:r>
      <w:r>
        <w:rPr>
          <w:rFonts w:ascii="標楷體" w:hAnsi="標楷體" w:eastAsia="標楷體"/>
          <w:sz w:val="28"/>
        </w:rPr>
        <w:t>），</w:t>
      </w:r>
      <w:r>
        <w:rPr>
          <w:rFonts w:eastAsia="標楷體" w:ascii="標楷體" w:hAnsi="標楷體"/>
          <w:sz w:val="28"/>
        </w:rPr>
        <w:t>p.447</w:t>
      </w:r>
      <w:r>
        <w:rPr>
          <w:rFonts w:ascii="標楷體" w:hAnsi="標楷體" w:eastAsia="標楷體"/>
          <w:sz w:val="28"/>
        </w:rPr>
        <w:t>。</w:t>
      </w:r>
    </w:p>
    <w:p>
      <w:pPr>
        <w:pStyle w:val="Normal"/>
        <w:snapToGrid w:val="false"/>
        <w:spacing w:lineRule="atLeast" w:line="20"/>
        <w:jc w:val="both"/>
        <w:rPr>
          <w:rFonts w:ascii="標楷體" w:hAnsi="標楷體" w:eastAsia="標楷體"/>
          <w:sz w:val="28"/>
        </w:rPr>
      </w:pPr>
      <w:r>
        <w:rPr>
          <w:rFonts w:eastAsia="標楷體" w:ascii="標楷體" w:hAnsi="標楷體"/>
          <w:sz w:val="28"/>
        </w:rPr>
        <w:t>34.</w:t>
      </w:r>
      <w:r>
        <w:rPr>
          <w:rFonts w:ascii="標楷體" w:hAnsi="標楷體" w:eastAsia="標楷體"/>
          <w:sz w:val="28"/>
        </w:rPr>
        <w:t>同（</w:t>
      </w:r>
      <w:r>
        <w:rPr>
          <w:rFonts w:eastAsia="標楷體" w:ascii="標楷體" w:hAnsi="標楷體"/>
          <w:sz w:val="28"/>
        </w:rPr>
        <w:t>12</w:t>
      </w:r>
      <w:r>
        <w:rPr>
          <w:rFonts w:ascii="標楷體" w:hAnsi="標楷體" w:eastAsia="標楷體"/>
          <w:sz w:val="28"/>
        </w:rPr>
        <w:t>），</w:t>
      </w:r>
      <w:r>
        <w:rPr>
          <w:rFonts w:eastAsia="標楷體" w:ascii="標楷體" w:hAnsi="標楷體"/>
          <w:sz w:val="28"/>
        </w:rPr>
        <w:t>p.599</w:t>
      </w:r>
      <w:r>
        <w:rPr>
          <w:rFonts w:ascii="標楷體" w:hAnsi="標楷體" w:eastAsia="標楷體"/>
          <w:sz w:val="28"/>
        </w:rPr>
        <w:t>。</w:t>
      </w:r>
    </w:p>
    <w:p>
      <w:pPr>
        <w:pStyle w:val="Normal"/>
        <w:snapToGrid w:val="false"/>
        <w:spacing w:lineRule="atLeast" w:line="20"/>
        <w:jc w:val="both"/>
        <w:rPr>
          <w:rFonts w:ascii="標楷體" w:hAnsi="標楷體" w:eastAsia="標楷體"/>
          <w:sz w:val="28"/>
        </w:rPr>
      </w:pPr>
      <w:r>
        <w:rPr>
          <w:rFonts w:eastAsia="標楷體" w:ascii="標楷體" w:hAnsi="標楷體"/>
          <w:sz w:val="28"/>
        </w:rPr>
        <w:t>35.</w:t>
      </w:r>
      <w:r>
        <w:rPr>
          <w:rFonts w:ascii="標楷體" w:hAnsi="標楷體" w:eastAsia="標楷體"/>
          <w:sz w:val="28"/>
        </w:rPr>
        <w:t>同（</w:t>
      </w:r>
      <w:r>
        <w:rPr>
          <w:rFonts w:eastAsia="標楷體" w:ascii="標楷體" w:hAnsi="標楷體"/>
          <w:sz w:val="28"/>
        </w:rPr>
        <w:t>1</w:t>
      </w:r>
      <w:r>
        <w:rPr>
          <w:rFonts w:ascii="標楷體" w:hAnsi="標楷體" w:eastAsia="標楷體"/>
          <w:sz w:val="28"/>
        </w:rPr>
        <w:t>），</w:t>
      </w:r>
      <w:r>
        <w:rPr>
          <w:rFonts w:eastAsia="標楷體" w:ascii="標楷體" w:hAnsi="標楷體"/>
          <w:sz w:val="28"/>
        </w:rPr>
        <w:t>p.24</w:t>
      </w:r>
      <w:r>
        <w:rPr>
          <w:rFonts w:ascii="標楷體" w:hAnsi="標楷體" w:eastAsia="標楷體"/>
          <w:sz w:val="28"/>
        </w:rPr>
        <w:t>。</w:t>
      </w:r>
    </w:p>
    <w:p>
      <w:pPr>
        <w:pStyle w:val="Normal"/>
        <w:snapToGrid w:val="false"/>
        <w:spacing w:lineRule="atLeast" w:line="20"/>
        <w:jc w:val="both"/>
        <w:rPr/>
      </w:pPr>
      <w:r>
        <w:rPr>
          <w:rFonts w:eastAsia="標楷體" w:ascii="標楷體" w:hAnsi="標楷體"/>
          <w:sz w:val="28"/>
        </w:rPr>
        <w:t>36.Lennart Hemer</w:t>
      </w:r>
      <w:r>
        <w:rPr>
          <w:rFonts w:ascii="標楷體" w:hAnsi="標楷體" w:eastAsia="標楷體"/>
          <w:sz w:val="28"/>
        </w:rPr>
        <w:t>，</w:t>
      </w:r>
      <w:r>
        <w:rPr>
          <w:rFonts w:eastAsia="標楷體" w:ascii="標楷體" w:hAnsi="標楷體"/>
          <w:sz w:val="28"/>
        </w:rPr>
        <w:t>The Human Brain and Spinal Cord</w:t>
      </w:r>
      <w:r>
        <w:rPr>
          <w:rFonts w:ascii="標楷體" w:hAnsi="標楷體" w:eastAsia="標楷體"/>
          <w:sz w:val="28"/>
        </w:rPr>
        <w:t>，</w:t>
      </w:r>
      <w:r>
        <w:rPr>
          <w:rFonts w:eastAsia="標楷體" w:ascii="標楷體" w:hAnsi="標楷體"/>
          <w:sz w:val="28"/>
        </w:rPr>
        <w:t>Spr-</w:t>
      </w:r>
    </w:p>
    <w:p>
      <w:pPr>
        <w:pStyle w:val="Normal"/>
        <w:snapToGrid w:val="false"/>
        <w:spacing w:lineRule="atLeast" w:line="20"/>
        <w:jc w:val="both"/>
        <w:rPr/>
      </w:pPr>
      <w:r>
        <w:rPr>
          <w:rFonts w:eastAsia="標楷體" w:cs="標楷體" w:ascii="標楷體" w:hAnsi="標楷體"/>
          <w:sz w:val="28"/>
        </w:rPr>
        <w:t xml:space="preserve">    </w:t>
      </w:r>
      <w:r>
        <w:rPr>
          <w:rFonts w:eastAsia="標楷體" w:ascii="標楷體" w:hAnsi="標楷體"/>
          <w:sz w:val="28"/>
        </w:rPr>
        <w:t>inger-Verlag</w:t>
      </w:r>
      <w:r>
        <w:rPr>
          <w:rFonts w:ascii="標楷體" w:hAnsi="標楷體" w:eastAsia="標楷體"/>
          <w:sz w:val="28"/>
        </w:rPr>
        <w:t>，</w:t>
      </w:r>
      <w:r>
        <w:rPr>
          <w:rFonts w:eastAsia="標楷體" w:ascii="標楷體" w:hAnsi="標楷體"/>
          <w:sz w:val="28"/>
        </w:rPr>
        <w:t>Berlin</w:t>
      </w:r>
      <w:r>
        <w:rPr>
          <w:rFonts w:ascii="標楷體" w:hAnsi="標楷體" w:eastAsia="標楷體"/>
          <w:sz w:val="28"/>
        </w:rPr>
        <w:t>，</w:t>
      </w:r>
      <w:r>
        <w:rPr>
          <w:rFonts w:eastAsia="標楷體" w:ascii="標楷體" w:hAnsi="標楷體"/>
          <w:sz w:val="28"/>
        </w:rPr>
        <w:t>p.409</w:t>
      </w:r>
      <w:r>
        <w:rPr>
          <w:rFonts w:ascii="標楷體" w:hAnsi="標楷體" w:eastAsia="標楷體"/>
          <w:sz w:val="28"/>
        </w:rPr>
        <w:t>，</w:t>
      </w:r>
      <w:r>
        <w:rPr>
          <w:rFonts w:eastAsia="標楷體" w:ascii="標楷體" w:hAnsi="標楷體"/>
          <w:sz w:val="28"/>
        </w:rPr>
        <w:t>1995.</w:t>
      </w:r>
    </w:p>
    <w:p>
      <w:pPr>
        <w:pStyle w:val="Normal"/>
        <w:snapToGrid w:val="false"/>
        <w:spacing w:lineRule="atLeast" w:line="20"/>
        <w:jc w:val="both"/>
        <w:rPr>
          <w:rFonts w:ascii="標楷體" w:hAnsi="標楷體" w:eastAsia="標楷體"/>
          <w:sz w:val="28"/>
        </w:rPr>
      </w:pPr>
      <w:r>
        <w:rPr>
          <w:rFonts w:eastAsia="標楷體" w:ascii="標楷體" w:hAnsi="標楷體"/>
          <w:sz w:val="28"/>
        </w:rPr>
        <w:t>37.</w:t>
      </w:r>
      <w:r>
        <w:rPr>
          <w:rFonts w:ascii="標楷體" w:hAnsi="標楷體" w:eastAsia="標楷體"/>
          <w:sz w:val="28"/>
        </w:rPr>
        <w:t>同（</w:t>
      </w:r>
      <w:r>
        <w:rPr>
          <w:rFonts w:eastAsia="標楷體" w:ascii="標楷體" w:hAnsi="標楷體"/>
          <w:sz w:val="28"/>
        </w:rPr>
        <w:t>36</w:t>
      </w:r>
      <w:r>
        <w:rPr>
          <w:rFonts w:ascii="標楷體" w:hAnsi="標楷體" w:eastAsia="標楷體"/>
          <w:sz w:val="28"/>
        </w:rPr>
        <w:t>），</w:t>
      </w:r>
      <w:r>
        <w:rPr>
          <w:rFonts w:eastAsia="標楷體" w:ascii="標楷體" w:hAnsi="標楷體"/>
          <w:sz w:val="28"/>
        </w:rPr>
        <w:t>p.408</w:t>
      </w:r>
      <w:r>
        <w:rPr>
          <w:rFonts w:ascii="標楷體" w:hAnsi="標楷體" w:eastAsia="標楷體"/>
          <w:sz w:val="28"/>
        </w:rPr>
        <w:t>。</w:t>
      </w:r>
    </w:p>
    <w:p>
      <w:pPr>
        <w:pStyle w:val="Normal"/>
        <w:snapToGrid w:val="false"/>
        <w:spacing w:lineRule="atLeast" w:line="20"/>
        <w:jc w:val="both"/>
        <w:rPr>
          <w:rFonts w:ascii="標楷體" w:hAnsi="標楷體" w:eastAsia="標楷體"/>
          <w:sz w:val="28"/>
        </w:rPr>
      </w:pPr>
      <w:r>
        <w:rPr>
          <w:rFonts w:eastAsia="標楷體" w:ascii="標楷體" w:hAnsi="標楷體"/>
          <w:sz w:val="28"/>
        </w:rPr>
        <w:t>38.</w:t>
      </w:r>
      <w:r>
        <w:rPr>
          <w:rFonts w:ascii="標楷體" w:hAnsi="標楷體" w:eastAsia="標楷體"/>
          <w:sz w:val="28"/>
        </w:rPr>
        <w:t>惲鐵樵，群經見智錄，華鼎出版社，台北，</w:t>
      </w:r>
      <w:r>
        <w:rPr>
          <w:rFonts w:eastAsia="標楷體" w:ascii="標楷體" w:hAnsi="標楷體"/>
          <w:sz w:val="28"/>
        </w:rPr>
        <w:t>p.35</w:t>
      </w:r>
      <w:r>
        <w:rPr>
          <w:rFonts w:ascii="標楷體" w:hAnsi="標楷體" w:eastAsia="標楷體"/>
          <w:sz w:val="28"/>
        </w:rPr>
        <w:t>，</w:t>
      </w:r>
      <w:r>
        <w:rPr>
          <w:rFonts w:eastAsia="標楷體" w:ascii="標楷體" w:hAnsi="標楷體"/>
          <w:sz w:val="28"/>
        </w:rPr>
        <w:t>1988</w:t>
      </w:r>
      <w:r>
        <w:rPr>
          <w:rFonts w:ascii="標楷體" w:hAnsi="標楷體" w:eastAsia="標楷體"/>
          <w:sz w:val="28"/>
        </w:rPr>
        <w:t>。</w:t>
      </w:r>
    </w:p>
    <w:p>
      <w:pPr>
        <w:pStyle w:val="Normal"/>
        <w:snapToGrid w:val="false"/>
        <w:spacing w:lineRule="atLeast" w:line="20"/>
        <w:jc w:val="both"/>
        <w:rPr>
          <w:rFonts w:ascii="標楷體" w:hAnsi="標楷體" w:eastAsia="標楷體"/>
          <w:sz w:val="28"/>
        </w:rPr>
      </w:pPr>
      <w:r>
        <w:rPr>
          <w:rFonts w:eastAsia="標楷體" w:ascii="標楷體" w:hAnsi="標楷體"/>
          <w:sz w:val="28"/>
        </w:rPr>
        <w:t>39.</w:t>
      </w:r>
      <w:r>
        <w:rPr>
          <w:rFonts w:ascii="標楷體" w:hAnsi="標楷體" w:eastAsia="標楷體"/>
          <w:sz w:val="28"/>
        </w:rPr>
        <w:t>同（</w:t>
      </w:r>
      <w:r>
        <w:rPr>
          <w:rFonts w:eastAsia="標楷體" w:ascii="標楷體" w:hAnsi="標楷體"/>
          <w:sz w:val="28"/>
        </w:rPr>
        <w:t>1</w:t>
      </w:r>
      <w:r>
        <w:rPr>
          <w:rFonts w:ascii="標楷體" w:hAnsi="標楷體" w:eastAsia="標楷體"/>
          <w:sz w:val="28"/>
        </w:rPr>
        <w:t>），</w:t>
      </w:r>
      <w:r>
        <w:rPr>
          <w:rFonts w:eastAsia="標楷體" w:ascii="標楷體" w:hAnsi="標楷體"/>
          <w:sz w:val="28"/>
        </w:rPr>
        <w:t>p.91</w:t>
      </w:r>
      <w:r>
        <w:rPr>
          <w:rFonts w:ascii="標楷體" w:hAnsi="標楷體" w:eastAsia="標楷體"/>
          <w:sz w:val="28"/>
        </w:rPr>
        <w:t>。</w:t>
      </w:r>
    </w:p>
    <w:p>
      <w:pPr>
        <w:pStyle w:val="Normal"/>
        <w:snapToGrid w:val="false"/>
        <w:spacing w:lineRule="atLeast" w:line="20"/>
        <w:jc w:val="both"/>
        <w:rPr>
          <w:rFonts w:ascii="標楷體" w:hAnsi="標楷體" w:eastAsia="標楷體"/>
          <w:sz w:val="28"/>
        </w:rPr>
      </w:pPr>
      <w:r>
        <w:rPr>
          <w:rFonts w:eastAsia="標楷體" w:ascii="標楷體" w:hAnsi="標楷體"/>
          <w:sz w:val="28"/>
        </w:rPr>
        <w:t>40.</w:t>
      </w:r>
      <w:r>
        <w:rPr>
          <w:rFonts w:ascii="標楷體" w:hAnsi="標楷體" w:eastAsia="標楷體"/>
          <w:sz w:val="28"/>
        </w:rPr>
        <w:t>元、朱震亨，丹溪醫集，人民衛生出版社，北京，</w:t>
      </w:r>
      <w:r>
        <w:rPr>
          <w:rFonts w:eastAsia="標楷體" w:ascii="標楷體" w:hAnsi="標楷體"/>
          <w:sz w:val="28"/>
        </w:rPr>
        <w:t>p.10</w:t>
      </w:r>
      <w:r>
        <w:rPr>
          <w:rFonts w:ascii="標楷體" w:hAnsi="標楷體" w:eastAsia="標楷體"/>
          <w:sz w:val="28"/>
        </w:rPr>
        <w:t>，</w:t>
      </w:r>
      <w:r>
        <w:rPr>
          <w:rFonts w:eastAsia="標楷體" w:ascii="標楷體" w:hAnsi="標楷體"/>
          <w:sz w:val="28"/>
        </w:rPr>
        <w:t>1993</w:t>
      </w:r>
      <w:r>
        <w:rPr>
          <w:rFonts w:ascii="標楷體" w:hAnsi="標楷體" w:eastAsia="標楷體"/>
          <w:sz w:val="28"/>
        </w:rPr>
        <w:t>。</w:t>
      </w:r>
    </w:p>
    <w:p>
      <w:pPr>
        <w:pStyle w:val="Normal"/>
        <w:snapToGrid w:val="false"/>
        <w:spacing w:lineRule="atLeast" w:line="20"/>
        <w:jc w:val="both"/>
        <w:rPr>
          <w:rFonts w:ascii="標楷體" w:hAnsi="標楷體" w:eastAsia="標楷體"/>
          <w:sz w:val="28"/>
        </w:rPr>
      </w:pPr>
      <w:r>
        <w:rPr>
          <w:rFonts w:eastAsia="標楷體" w:ascii="標楷體" w:hAnsi="標楷體"/>
          <w:sz w:val="28"/>
        </w:rPr>
        <w:t>41.</w:t>
      </w:r>
      <w:r>
        <w:rPr>
          <w:rFonts w:ascii="標楷體" w:hAnsi="標楷體" w:eastAsia="標楷體"/>
          <w:sz w:val="28"/>
        </w:rPr>
        <w:t>同（</w:t>
      </w:r>
      <w:r>
        <w:rPr>
          <w:rFonts w:eastAsia="標楷體" w:ascii="標楷體" w:hAnsi="標楷體"/>
          <w:sz w:val="28"/>
        </w:rPr>
        <w:t>40</w:t>
      </w:r>
      <w:r>
        <w:rPr>
          <w:rFonts w:ascii="標楷體" w:hAnsi="標楷體" w:eastAsia="標楷體"/>
          <w:sz w:val="28"/>
        </w:rPr>
        <w:t>）。</w:t>
      </w:r>
    </w:p>
    <w:p>
      <w:pPr>
        <w:pStyle w:val="Normal"/>
        <w:snapToGrid w:val="false"/>
        <w:spacing w:lineRule="atLeast" w:line="20"/>
        <w:jc w:val="both"/>
        <w:rPr>
          <w:rFonts w:ascii="標楷體" w:hAnsi="標楷體" w:eastAsia="標楷體"/>
          <w:sz w:val="28"/>
        </w:rPr>
      </w:pPr>
      <w:r>
        <w:rPr>
          <w:rFonts w:eastAsia="標楷體" w:ascii="標楷體" w:hAnsi="標楷體"/>
          <w:sz w:val="28"/>
        </w:rPr>
        <w:t>42.</w:t>
      </w:r>
      <w:r>
        <w:rPr>
          <w:rFonts w:ascii="標楷體" w:hAnsi="標楷體" w:eastAsia="標楷體"/>
          <w:sz w:val="28"/>
        </w:rPr>
        <w:t>同（</w:t>
      </w:r>
      <w:r>
        <w:rPr>
          <w:rFonts w:eastAsia="標楷體" w:ascii="標楷體" w:hAnsi="標楷體"/>
          <w:sz w:val="28"/>
        </w:rPr>
        <w:t>40</w:t>
      </w:r>
      <w:r>
        <w:rPr>
          <w:rFonts w:ascii="標楷體" w:hAnsi="標楷體" w:eastAsia="標楷體"/>
          <w:sz w:val="28"/>
        </w:rPr>
        <w:t>）。</w:t>
      </w:r>
    </w:p>
    <w:p>
      <w:pPr>
        <w:pStyle w:val="Normal"/>
        <w:numPr>
          <w:ilvl w:val="0"/>
          <w:numId w:val="5"/>
        </w:numPr>
        <w:snapToGrid w:val="false"/>
        <w:spacing w:lineRule="atLeast" w:line="20"/>
        <w:jc w:val="both"/>
        <w:rPr>
          <w:rFonts w:ascii="標楷體" w:hAnsi="標楷體" w:eastAsia="標楷體"/>
          <w:sz w:val="28"/>
        </w:rPr>
      </w:pPr>
      <w:r>
        <w:rPr>
          <w:rFonts w:ascii="標楷體" w:hAnsi="標楷體" w:eastAsia="標楷體"/>
          <w:sz w:val="28"/>
        </w:rPr>
        <w:t>清、葉天士，臨症指南醫案，新文豐出版社，台北，</w:t>
      </w:r>
      <w:r>
        <w:rPr>
          <w:rFonts w:eastAsia="標楷體" w:ascii="標楷體" w:hAnsi="標楷體"/>
          <w:sz w:val="28"/>
        </w:rPr>
        <w:t>p.398</w:t>
      </w:r>
      <w:r>
        <w:rPr>
          <w:rFonts w:ascii="標楷體" w:hAnsi="標楷體" w:eastAsia="標楷體"/>
          <w:sz w:val="28"/>
        </w:rPr>
        <w:t>，</w:t>
      </w:r>
      <w:r>
        <w:rPr>
          <w:rFonts w:eastAsia="標楷體" w:ascii="標楷體" w:hAnsi="標楷體"/>
          <w:sz w:val="28"/>
        </w:rPr>
        <w:t>1980</w:t>
      </w:r>
      <w:r>
        <w:rPr>
          <w:rFonts w:ascii="標楷體" w:hAnsi="標楷體" w:eastAsia="標楷體"/>
          <w:sz w:val="28"/>
        </w:rPr>
        <w:t>。</w:t>
      </w:r>
      <w:r>
        <w:br w:type="page"/>
      </w:r>
    </w:p>
    <w:p>
      <w:pPr>
        <w:pStyle w:val="Normal"/>
        <w:jc w:val="center"/>
        <w:rPr>
          <w:rFonts w:ascii="標楷體" w:hAnsi="標楷體" w:eastAsia="標楷體"/>
          <w:b/>
          <w:b/>
          <w:sz w:val="32"/>
        </w:rPr>
      </w:pPr>
      <w:r>
        <w:rPr>
          <w:rFonts w:ascii="標楷體" w:hAnsi="標楷體" w:eastAsia="標楷體"/>
          <w:b/>
          <w:sz w:val="32"/>
        </w:rPr>
        <w:t>第二章  從中醫的角度看西醫的腎臟</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 xml:space="preserve">前文論述，中醫藏象腎的功能及症候，與西醫所稱下視丘功能軸極有關連，相當於本能腦的範疇，以上是從西醫的角度看待中醫所稱的腎。然而從中醫的角度，又如何看待西醫的腎臟呢？以下即就腎臟之解剖、生理及病症，以中醫的觀點作初步探討。 </w:t>
      </w:r>
    </w:p>
    <w:p>
      <w:pPr>
        <w:pStyle w:val="Normal"/>
        <w:numPr>
          <w:ilvl w:val="0"/>
          <w:numId w:val="0"/>
        </w:numPr>
        <w:snapToGrid w:val="false"/>
        <w:jc w:val="both"/>
        <w:outlineLvl w:val="0"/>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第一節  腎臟的功能</w:t>
      </w:r>
    </w:p>
    <w:p>
      <w:pPr>
        <w:pStyle w:val="Normal"/>
        <w:snapToGrid w:val="false"/>
        <w:ind w:firstLine="555"/>
        <w:jc w:val="both"/>
        <w:rPr>
          <w:rFonts w:ascii="標楷體" w:hAnsi="標楷體" w:eastAsia="標楷體"/>
          <w:sz w:val="28"/>
        </w:rPr>
      </w:pPr>
      <w:r>
        <w:rPr>
          <w:rFonts w:ascii="標楷體" w:hAnsi="標楷體" w:eastAsia="標楷體"/>
          <w:sz w:val="28"/>
        </w:rPr>
        <w:t>如果人的機體內環境能維持恆定，與外環境保持平衡，則不容易生病，腎臟就是維持此平衡狀態重要之器官，因為其對水液、電解質、蛋白質代謝、酸鹼度及電解質與血壓的平衡起著重要的調節作用。</w:t>
      </w:r>
    </w:p>
    <w:p>
      <w:pPr>
        <w:pStyle w:val="Normal"/>
        <w:numPr>
          <w:ilvl w:val="0"/>
          <w:numId w:val="0"/>
        </w:numPr>
        <w:snapToGrid w:val="false"/>
        <w:jc w:val="both"/>
        <w:outlineLvl w:val="0"/>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第二節  水液代謝</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體液內有許多水分、電解質及新陳代謝所產生之廢物，並有一定之酸鹼度，其間之平衡若失去了正常，就會產生各種失調現象。腎臟經由濾過、再吸收、分泌等功能，可將體內過多的水分、電解質及廢物排出體外，以維持身體的平衡。</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腎臟的功能受損會造成氯化鈉及水分的排泄受阻，因而滯留體內，造成水腫及高血壓，急性腎炎發生症狀的機轉即在於此。</w:t>
      </w:r>
    </w:p>
    <w:p>
      <w:pPr>
        <w:pStyle w:val="Normal"/>
        <w:numPr>
          <w:ilvl w:val="0"/>
          <w:numId w:val="0"/>
        </w:numPr>
        <w:snapToGrid w:val="false"/>
        <w:jc w:val="both"/>
        <w:outlineLvl w:val="0"/>
        <w:rPr>
          <w:rFonts w:ascii="標楷體" w:hAnsi="標楷體" w:eastAsia="標楷體"/>
          <w:sz w:val="28"/>
        </w:rPr>
      </w:pPr>
      <w:r>
        <w:rPr>
          <w:rFonts w:eastAsia="標楷體" w:cs="標楷體" w:ascii="標楷體" w:hAnsi="標楷體"/>
          <w:sz w:val="28"/>
        </w:rPr>
        <w:t xml:space="preserve">     </w:t>
      </w:r>
      <w:r>
        <w:rPr>
          <w:rFonts w:eastAsia="標楷體" w:ascii="標楷體" w:hAnsi="標楷體"/>
          <w:sz w:val="28"/>
        </w:rPr>
        <w:t>*</w:t>
      </w:r>
      <w:r>
        <w:rPr>
          <w:rFonts w:ascii="標楷體" w:hAnsi="標楷體" w:eastAsia="標楷體"/>
          <w:b/>
          <w:sz w:val="28"/>
        </w:rPr>
        <w:t>附論中醫所稱的「腎主水」</w:t>
      </w:r>
    </w:p>
    <w:p>
      <w:pPr>
        <w:pStyle w:val="Normal"/>
        <w:snapToGrid w:val="false"/>
        <w:ind w:firstLine="555"/>
        <w:jc w:val="both"/>
        <w:rPr/>
      </w:pPr>
      <w:r>
        <w:rPr>
          <w:rFonts w:ascii="標楷體" w:hAnsi="標楷體" w:eastAsia="標楷體"/>
          <w:sz w:val="28"/>
        </w:rPr>
        <w:t>中醫稱腎主水，和西醫所論腎臟參與水分代謝的過程是合拍的，如</w:t>
      </w:r>
      <w:r>
        <w:rPr>
          <w:rFonts w:eastAsia="標楷體" w:ascii="標楷體" w:hAnsi="標楷體"/>
          <w:sz w:val="28"/>
        </w:rPr>
        <w:t>&lt;&lt;</w:t>
      </w:r>
      <w:r>
        <w:rPr>
          <w:rFonts w:ascii="標楷體" w:hAnsi="標楷體" w:eastAsia="標楷體"/>
          <w:sz w:val="28"/>
        </w:rPr>
        <w:t>靈樞‧本輸篇</w:t>
      </w:r>
      <w:r>
        <w:rPr>
          <w:rFonts w:eastAsia="標楷體" w:ascii="標楷體" w:hAnsi="標楷體"/>
          <w:sz w:val="28"/>
        </w:rPr>
        <w:t>&gt;&gt;</w:t>
      </w:r>
      <w:r>
        <w:rPr>
          <w:rFonts w:ascii="標楷體" w:hAnsi="標楷體" w:eastAsia="標楷體"/>
          <w:sz w:val="28"/>
        </w:rPr>
        <w:t>所言「腎合膀胱，膀胱者，津液之腑」。但就另一方面而言，其更指的是下視丘功能軸對水分調節的機能，其中自主神經中樞、醛固酮、抗利尿激素等，對水液的調節均起著重要的作用。故</w:t>
      </w:r>
      <w:r>
        <w:rPr>
          <w:rFonts w:eastAsia="標楷體" w:ascii="標楷體" w:hAnsi="標楷體"/>
          <w:sz w:val="28"/>
        </w:rPr>
        <w:t>&lt;&lt;</w:t>
      </w:r>
      <w:r>
        <w:rPr>
          <w:rFonts w:ascii="標楷體" w:hAnsi="標楷體" w:eastAsia="標楷體"/>
          <w:sz w:val="28"/>
        </w:rPr>
        <w:t>素問‧上古天真論</w:t>
      </w:r>
      <w:r>
        <w:rPr>
          <w:rFonts w:eastAsia="標楷體" w:ascii="標楷體" w:hAnsi="標楷體"/>
          <w:sz w:val="28"/>
        </w:rPr>
        <w:t>&gt;&gt;</w:t>
      </w:r>
      <w:r>
        <w:rPr>
          <w:rFonts w:ascii="標楷體" w:hAnsi="標楷體" w:eastAsia="標楷體"/>
          <w:sz w:val="28"/>
        </w:rPr>
        <w:t>稱</w:t>
      </w:r>
      <w:r>
        <w:rPr>
          <w:rFonts w:eastAsia="標楷體" w:ascii="標楷體" w:hAnsi="標楷體"/>
          <w:sz w:val="28"/>
        </w:rPr>
        <w:t>:</w:t>
      </w:r>
      <w:r>
        <w:rPr>
          <w:rFonts w:ascii="標楷體" w:hAnsi="標楷體" w:eastAsia="標楷體"/>
          <w:sz w:val="28"/>
        </w:rPr>
        <w:t>「腎者主水，受五臟六腑之精而藏之，故五臟盛乃能瀉。」</w:t>
      </w:r>
      <w:r>
        <w:rPr>
          <w:rFonts w:eastAsia="標楷體" w:ascii="標楷體" w:hAnsi="標楷體"/>
          <w:sz w:val="28"/>
        </w:rPr>
        <w:t>&lt;&lt;</w:t>
      </w:r>
      <w:r>
        <w:rPr>
          <w:rFonts w:ascii="標楷體" w:hAnsi="標楷體" w:eastAsia="標楷體"/>
          <w:sz w:val="28"/>
        </w:rPr>
        <w:t>素問‧逆調論</w:t>
      </w:r>
      <w:r>
        <w:rPr>
          <w:rFonts w:eastAsia="標楷體" w:ascii="標楷體" w:hAnsi="標楷體"/>
          <w:sz w:val="28"/>
        </w:rPr>
        <w:t>&gt;&gt;</w:t>
      </w:r>
      <w:r>
        <w:rPr>
          <w:rFonts w:ascii="標楷體" w:hAnsi="標楷體" w:eastAsia="標楷體"/>
          <w:sz w:val="28"/>
        </w:rPr>
        <w:t>亦曰</w:t>
      </w:r>
      <w:r>
        <w:rPr>
          <w:rFonts w:eastAsia="標楷體" w:ascii="標楷體" w:hAnsi="標楷體"/>
          <w:sz w:val="28"/>
        </w:rPr>
        <w:t>:</w:t>
      </w:r>
      <w:r>
        <w:rPr>
          <w:rFonts w:ascii="標楷體" w:hAnsi="標楷體" w:eastAsia="標楷體"/>
          <w:sz w:val="28"/>
        </w:rPr>
        <w:t>「腎者，水臟，主津液。」</w:t>
      </w:r>
    </w:p>
    <w:p>
      <w:pPr>
        <w:pStyle w:val="Normal"/>
        <w:numPr>
          <w:ilvl w:val="0"/>
          <w:numId w:val="0"/>
        </w:numPr>
        <w:snapToGrid w:val="false"/>
        <w:jc w:val="both"/>
        <w:outlineLvl w:val="0"/>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第三節  酸鹼平衡</w:t>
      </w:r>
    </w:p>
    <w:p>
      <w:pPr>
        <w:pStyle w:val="Normal"/>
        <w:snapToGrid w:val="false"/>
        <w:ind w:firstLine="555"/>
        <w:jc w:val="both"/>
        <w:rPr>
          <w:rFonts w:ascii="標楷體" w:hAnsi="標楷體" w:eastAsia="標楷體"/>
          <w:sz w:val="28"/>
        </w:rPr>
      </w:pPr>
      <w:r>
        <w:rPr>
          <w:rFonts w:ascii="標楷體" w:hAnsi="標楷體" w:eastAsia="標楷體"/>
          <w:sz w:val="28"/>
        </w:rPr>
        <w:t>肺臟、體液及腎臟對於酸鹼的平衡有調節的作用，若肺臟及體液失常造成酸鹼中毒，腎臟會進行最後的緩衝調節。若連腎臟也出了問題，終會造成酸鹼不平衡。酸中毒一般會產生中樞神經系統抑制的症狀，首先會出現定向力障礙，然後昏迷，造成中醫所稱「心主神明」的功能異常；鹼中毒則會產生神經系統功能的異常興奮，出現肌肉強直的狀態，頗類似中醫所稱「肝風內動」。不論是酸中毒或鹼中毒，其所產生的病症，和中醫所稱的腎藏象，關係並不那麼密切。</w:t>
      </w:r>
    </w:p>
    <w:p>
      <w:pPr>
        <w:pStyle w:val="Normal"/>
        <w:numPr>
          <w:ilvl w:val="0"/>
          <w:numId w:val="0"/>
        </w:numPr>
        <w:snapToGrid w:val="false"/>
        <w:jc w:val="both"/>
        <w:outlineLvl w:val="0"/>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第四節  電解質平衡</w:t>
      </w:r>
    </w:p>
    <w:p>
      <w:pPr>
        <w:pStyle w:val="Normal"/>
        <w:snapToGrid w:val="false"/>
        <w:ind w:firstLine="555"/>
        <w:jc w:val="both"/>
        <w:rPr>
          <w:rFonts w:ascii="標楷體" w:hAnsi="標楷體" w:eastAsia="標楷體"/>
          <w:sz w:val="28"/>
        </w:rPr>
      </w:pPr>
      <w:r>
        <w:rPr>
          <w:rFonts w:ascii="標楷體" w:hAnsi="標楷體" w:eastAsia="標楷體"/>
          <w:sz w:val="28"/>
        </w:rPr>
        <w:t>腎臟可調節細胞外液中之氫、鈉、鉀、磷酸鹽等許多離子的濃度，例如鈉離子的平衡失調，則會產生水腫或口渴等病症；若鉀離子低至正常三分之一時會產生麻痺現象；若高至二倍以上時，則心肌活動有可能會被抑制。以上鈉、鉀離子的失衡，中醫會從各種藏象氣機的角度來看待它，而非獨只從腎論治。</w:t>
      </w:r>
    </w:p>
    <w:p>
      <w:pPr>
        <w:pStyle w:val="Normal"/>
        <w:numPr>
          <w:ilvl w:val="0"/>
          <w:numId w:val="0"/>
        </w:numPr>
        <w:snapToGrid w:val="false"/>
        <w:jc w:val="both"/>
        <w:outlineLvl w:val="0"/>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第五節  尿素的排泄</w:t>
      </w:r>
    </w:p>
    <w:p>
      <w:pPr>
        <w:pStyle w:val="Normal"/>
        <w:snapToGrid w:val="false"/>
        <w:ind w:firstLine="555"/>
        <w:jc w:val="both"/>
        <w:rPr>
          <w:rFonts w:ascii="標楷體" w:hAnsi="標楷體" w:eastAsia="標楷體"/>
          <w:sz w:val="28"/>
        </w:rPr>
      </w:pPr>
      <w:r>
        <w:rPr>
          <w:rFonts w:ascii="標楷體" w:hAnsi="標楷體" w:eastAsia="標楷體"/>
          <w:sz w:val="28"/>
        </w:rPr>
        <w:t>人若吃了蛋白質的飲食，經過代謝之後會產生尿素氮等廢物，當腎臟得病，腎小球濾過率下降，會造成代謝廢物在體內的堆積，因而產生疲倦、納差、噁心、嘔吐、打嗝、失眠等種種病症，中醫會從濕濁，或種種藏府氣血的失常來看待，而不單從腎論治。</w:t>
      </w:r>
    </w:p>
    <w:p>
      <w:pPr>
        <w:pStyle w:val="Normal"/>
        <w:numPr>
          <w:ilvl w:val="0"/>
          <w:numId w:val="0"/>
        </w:numPr>
        <w:snapToGrid w:val="false"/>
        <w:jc w:val="both"/>
        <w:outlineLvl w:val="0"/>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第六節  腎臟的其他生理功能</w:t>
      </w:r>
    </w:p>
    <w:p>
      <w:pPr>
        <w:pStyle w:val="Normal"/>
        <w:snapToGrid w:val="false"/>
        <w:jc w:val="both"/>
        <w:rPr/>
      </w:pPr>
      <w:r>
        <w:rPr>
          <w:rFonts w:eastAsia="華康細圓體" w:cs="華康細圓體" w:ascii="華康細圓體" w:hAnsi="華康細圓體"/>
          <w:sz w:val="28"/>
        </w:rPr>
        <w:t xml:space="preserve">    </w:t>
      </w:r>
      <w:r>
        <w:rPr>
          <w:rFonts w:ascii="標楷體" w:hAnsi="標楷體" w:eastAsia="標楷體"/>
          <w:sz w:val="28"/>
        </w:rPr>
        <w:t>腎臟對於血管收縮素</w:t>
      </w:r>
      <w:r>
        <w:rPr>
          <w:rFonts w:ascii="華康細圓體" w:hAnsi="華康細圓體" w:eastAsia="華康細圓體"/>
          <w:sz w:val="28"/>
        </w:rPr>
        <w:t>（</w:t>
      </w:r>
      <w:r>
        <w:rPr>
          <w:rFonts w:eastAsia="華康細圓體" w:cs="Arial" w:ascii="Arial" w:hAnsi="Arial"/>
          <w:sz w:val="28"/>
        </w:rPr>
        <w:t>Angiotensin</w:t>
      </w:r>
      <w:r>
        <w:rPr>
          <w:rFonts w:ascii="華康細圓體" w:hAnsi="華康細圓體" w:eastAsia="華康細圓體"/>
          <w:sz w:val="28"/>
        </w:rPr>
        <w:t>）</w:t>
      </w:r>
      <w:r>
        <w:rPr>
          <w:rFonts w:ascii="標楷體" w:hAnsi="標楷體" w:eastAsia="標楷體"/>
          <w:sz w:val="28"/>
        </w:rPr>
        <w:t>或紅血球生成素</w:t>
      </w:r>
      <w:r>
        <w:rPr>
          <w:rFonts w:ascii="華康細圓體" w:hAnsi="華康細圓體" w:eastAsia="華康細圓體"/>
          <w:sz w:val="28"/>
        </w:rPr>
        <w:t>（</w:t>
      </w:r>
      <w:r>
        <w:rPr>
          <w:rFonts w:eastAsia="華康細圓體" w:cs="Arial" w:ascii="Arial" w:hAnsi="Arial"/>
          <w:sz w:val="28"/>
        </w:rPr>
        <w:t>EPO</w:t>
      </w:r>
      <w:r>
        <w:rPr>
          <w:rFonts w:ascii="華康細圓體" w:hAnsi="華康細圓體" w:eastAsia="華康細圓體"/>
          <w:sz w:val="28"/>
        </w:rPr>
        <w:t>），</w:t>
      </w:r>
      <w:r>
        <w:rPr>
          <w:rFonts w:ascii="標楷體" w:hAnsi="標楷體" w:eastAsia="標楷體"/>
          <w:sz w:val="28"/>
        </w:rPr>
        <w:t>以及維他命</w:t>
      </w:r>
      <w:r>
        <w:rPr>
          <w:rFonts w:eastAsia="標楷體" w:cs="Arial" w:ascii="Arial" w:hAnsi="Arial"/>
          <w:sz w:val="28"/>
        </w:rPr>
        <w:t>D</w:t>
      </w:r>
      <w:r>
        <w:rPr>
          <w:rFonts w:ascii="標楷體" w:hAnsi="標楷體" w:eastAsia="標楷體"/>
          <w:sz w:val="28"/>
        </w:rPr>
        <w:t>的代謝，以及許多代謝廢物的形成，均起著重要的調節作用，此外對於血壓的調控亦屬重要。若這些調節功能異常，則會產生種種病症，中醫一般從水濕痰飲、臟腑陰陽氣血的失調來看待，亦不獨從腎來解釋。</w:t>
      </w:r>
    </w:p>
    <w:p>
      <w:pPr>
        <w:pStyle w:val="3"/>
        <w:rPr>
          <w:rFonts w:ascii="標楷體" w:hAnsi="標楷體" w:eastAsia="標楷體"/>
        </w:rPr>
      </w:pPr>
      <w:r>
        <w:rPr>
          <w:rFonts w:ascii="標楷體" w:hAnsi="標楷體" w:eastAsia="標楷體"/>
        </w:rPr>
        <w:t>腎臟對於維持體內環境之恆定起著重要的作用，而中醫對腎臟解剖生理的論述，不似西醫詳盡，甚至闕如。不論是腎臟內的血管、神經、內分泌、免疫系統，都蘊含著中醫心主神明、主血，肝主疏泄、藏血，腎主水、脾主升清、肺主宣發肅降等許多藏象的層次，另一方面更有著陰陽氣血的觀念在其中。總之中醫對西醫所稱腎臟的生理及病理，是用肝心脾肺腎等藏象理論及陰陽水火氣血的觀念來分析的。</w:t>
      </w:r>
    </w:p>
    <w:p>
      <w:pPr>
        <w:pStyle w:val="Normal"/>
        <w:numPr>
          <w:ilvl w:val="0"/>
          <w:numId w:val="0"/>
        </w:numPr>
        <w:snapToGrid w:val="false"/>
        <w:jc w:val="both"/>
        <w:outlineLvl w:val="0"/>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第七節  中醫對腎解剖的論述</w:t>
      </w:r>
    </w:p>
    <w:p>
      <w:pPr>
        <w:pStyle w:val="Normal"/>
        <w:snapToGrid w:val="false"/>
        <w:ind w:firstLine="540"/>
        <w:jc w:val="both"/>
        <w:rPr/>
      </w:pPr>
      <w:r>
        <w:rPr>
          <w:rFonts w:eastAsia="標楷體" w:ascii="標楷體" w:hAnsi="標楷體"/>
          <w:sz w:val="28"/>
        </w:rPr>
        <w:t>&lt;&lt;</w:t>
      </w:r>
      <w:r>
        <w:rPr>
          <w:rFonts w:ascii="標楷體" w:hAnsi="標楷體" w:eastAsia="標楷體"/>
          <w:sz w:val="28"/>
        </w:rPr>
        <w:t>難經</w:t>
      </w:r>
      <w:r>
        <w:rPr>
          <w:rFonts w:eastAsia="標楷體" w:ascii="標楷體" w:hAnsi="標楷體"/>
          <w:sz w:val="28"/>
        </w:rPr>
        <w:t>&gt;&gt;:</w:t>
      </w:r>
      <w:r>
        <w:rPr>
          <w:rFonts w:ascii="標楷體" w:hAnsi="標楷體" w:eastAsia="標楷體"/>
          <w:sz w:val="28"/>
        </w:rPr>
        <w:t>「腎有二枚，重一斤一兩」，此段文字是中醫對腎臟解剖最早之論述，只對腎之重量作一初步的描述，然而對其位置、結構均少有解說。即便是對解剖論述較多的</w:t>
      </w:r>
      <w:r>
        <w:rPr>
          <w:rFonts w:eastAsia="標楷體" w:ascii="標楷體" w:hAnsi="標楷體"/>
          <w:sz w:val="28"/>
        </w:rPr>
        <w:t>&lt;&lt;</w:t>
      </w:r>
      <w:r>
        <w:rPr>
          <w:rFonts w:ascii="標楷體" w:hAnsi="標楷體" w:eastAsia="標楷體"/>
          <w:sz w:val="28"/>
        </w:rPr>
        <w:t>醫林改錯</w:t>
      </w:r>
      <w:r>
        <w:rPr>
          <w:rFonts w:eastAsia="標楷體" w:ascii="標楷體" w:hAnsi="標楷體"/>
          <w:sz w:val="28"/>
        </w:rPr>
        <w:t>&gt;&gt;</w:t>
      </w:r>
      <w:r>
        <w:rPr>
          <w:rFonts w:ascii="標楷體" w:hAnsi="標楷體" w:eastAsia="標楷體"/>
          <w:sz w:val="28"/>
        </w:rPr>
        <w:t>，</w:t>
      </w:r>
      <w:r>
        <w:rPr>
          <w:rFonts w:ascii="標楷體" w:hAnsi="標楷體" w:eastAsia="標楷體"/>
          <w:sz w:val="28"/>
        </w:rPr>
        <w:t>其對臟腑解剖詳細的解說，也是相當有限度的，茲摘要其對「腎」相關的說法如下：</w:t>
      </w:r>
    </w:p>
    <w:p>
      <w:pPr>
        <w:pStyle w:val="Normal"/>
        <w:overflowPunct w:val="false"/>
        <w:autoSpaceDE w:val="false"/>
        <w:snapToGrid w:val="false"/>
        <w:jc w:val="both"/>
        <w:rPr>
          <w:rFonts w:ascii="華康細圓體" w:hAnsi="華康細圓體" w:eastAsia="標楷體"/>
          <w:sz w:val="28"/>
        </w:rPr>
      </w:pPr>
      <w:r>
        <w:rPr>
          <w:rFonts w:eastAsia="標楷體" w:cs="標楷體" w:ascii="標楷體" w:hAnsi="標楷體"/>
          <w:sz w:val="28"/>
        </w:rPr>
        <w:t xml:space="preserve">    </w:t>
      </w:r>
      <w:r>
        <w:rPr>
          <w:rFonts w:ascii="標楷體" w:hAnsi="標楷體" w:cs="MS Sans Serif;Arial" w:eastAsia="標楷體"/>
          <w:sz w:val="28"/>
        </w:rPr>
        <w:t>「其論腎，有兩枚，即腰子。兩腎為腎，中間動氣為命門。既云中間動氣為命門，何得又云左腎為腎，右腎為命門？兩腎一體，如何兩立其名，有何憑據？若以中間動氣為命門，藏動氣者，又何</w:t>
      </w:r>
      <w:r>
        <w:rPr>
          <w:rFonts w:ascii="華康細圓體" w:hAnsi="華康細圓體" w:cs="MS Sans Serif;Arial" w:eastAsia="標楷體"/>
          <w:sz w:val="28"/>
        </w:rPr>
        <w:t>物也？其論腎錯誤又如是。」</w:t>
      </w:r>
    </w:p>
    <w:p>
      <w:pPr>
        <w:pStyle w:val="Normal"/>
        <w:overflowPunct w:val="false"/>
        <w:autoSpaceDE w:val="false"/>
        <w:snapToGrid w:val="false"/>
        <w:jc w:val="both"/>
        <w:rPr>
          <w:rFonts w:ascii="華康細圓體" w:hAnsi="華康細圓體" w:eastAsia="標楷體" w:cs="MS Sans Serif;Arial"/>
          <w:sz w:val="28"/>
        </w:rPr>
      </w:pPr>
      <w:r>
        <w:rPr>
          <w:rFonts w:eastAsia="華康細圓體" w:cs="華康細圓體" w:ascii="華康細圓體" w:hAnsi="華康細圓體"/>
          <w:sz w:val="28"/>
        </w:rPr>
        <w:t xml:space="preserve">   </w:t>
      </w:r>
      <w:r>
        <w:rPr>
          <w:rFonts w:eastAsia="華康細圓體" w:cs="華康細圓體" w:ascii="華康細圓體" w:hAnsi="華康細圓體"/>
          <w:sz w:val="28"/>
        </w:rPr>
        <w:t xml:space="preserve"> </w:t>
      </w:r>
      <w:r>
        <w:rPr>
          <w:rFonts w:ascii="華康細圓體" w:hAnsi="華康細圓體" w:cs="MS Sans Serif;Arial" w:eastAsia="標楷體"/>
          <w:sz w:val="28"/>
        </w:rPr>
        <w:t>「兩腎凹處有氣管兩根，通衛總管，兩傍腎體堅實，內無孔竅，絕不能藏精。」</w:t>
      </w:r>
    </w:p>
    <w:p>
      <w:pPr>
        <w:pStyle w:val="Normal"/>
        <w:overflowPunct w:val="false"/>
        <w:autoSpaceDE w:val="false"/>
        <w:snapToGrid w:val="false"/>
        <w:jc w:val="both"/>
        <w:rPr/>
      </w:pPr>
      <w:r>
        <w:rPr>
          <w:rFonts w:eastAsia="華康細圓體" w:cs="華康細圓體" w:ascii="華康細圓體" w:hAnsi="華康細圓體"/>
          <w:sz w:val="28"/>
        </w:rPr>
        <w:t xml:space="preserve">    </w:t>
      </w:r>
      <w:r>
        <w:rPr>
          <w:rFonts w:ascii="華康細圓體" w:hAnsi="華康細圓體" w:cs="MS Sans Serif;Arial" w:eastAsia="標楷體"/>
          <w:sz w:val="28"/>
        </w:rPr>
        <w:t>「衛總管，對背心兩邊有兩管，粗如箸，向兩肩長，對腰有兩管，通連兩腎，腰下有兩管，通兩胯。腰上對脊正中，有十一支管連脊。此管皆行氣，行津液。氣足火旺，將津液煎稠，稠者名曰痰；氣虛火衰，不能煎熬津液，津液必稀，稀者名曰飲。痰飲在管，總</w:t>
      </w:r>
      <w:r>
        <w:rPr>
          <w:rFonts w:ascii="標楷體" w:hAnsi="標楷體" w:cs="MS Sans Serif;Arial" w:eastAsia="標楷體"/>
          <w:sz w:val="28"/>
        </w:rPr>
        <w:t>以管中之氣上攻，上行過心。」</w:t>
      </w:r>
    </w:p>
    <w:p>
      <w:pPr>
        <w:pStyle w:val="Normal"/>
        <w:overflowPunct w:val="false"/>
        <w:autoSpaceDE w:val="false"/>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cs="MS Sans Serif;Arial" w:eastAsia="標楷體"/>
          <w:sz w:val="28"/>
        </w:rPr>
        <w:t>「不知咽喉兩傍，有氣管兩根，行至肺管前，歸併一根，入心，由心左轉出，過肺入脊，名曰衛總管，前通氣府、精道，後通脊，上通兩肩，中通兩腎，下通兩腿，此管乃存元氣與津液之所，氣之出入。」</w:t>
      </w:r>
    </w:p>
    <w:p>
      <w:pPr>
        <w:pStyle w:val="Normal"/>
        <w:snapToGrid w:val="false"/>
        <w:ind w:firstLine="540"/>
        <w:jc w:val="both"/>
        <w:rPr>
          <w:rFonts w:ascii="華康細圓體" w:hAnsi="華康細圓體" w:eastAsia="華康細圓體"/>
          <w:sz w:val="28"/>
        </w:rPr>
      </w:pPr>
      <w:r>
        <w:rPr>
          <w:rFonts w:eastAsia="華康細圓體" w:ascii="華康細圓體" w:hAnsi="華康細圓體"/>
          <w:sz w:val="28"/>
        </w:rPr>
      </w:r>
      <w:r>
        <w:br w:type="page"/>
      </w:r>
    </w:p>
    <w:p>
      <w:pPr>
        <w:pStyle w:val="Normal"/>
        <w:snapToGrid w:val="false"/>
        <w:ind w:firstLine="540"/>
        <w:jc w:val="center"/>
        <w:rPr>
          <w:rFonts w:ascii="標楷體" w:hAnsi="標楷體" w:eastAsia="標楷體"/>
          <w:b/>
          <w:b/>
          <w:sz w:val="32"/>
        </w:rPr>
      </w:pPr>
      <w:r>
        <w:rPr>
          <w:rFonts w:ascii="標楷體" w:hAnsi="標楷體" w:eastAsia="標楷體"/>
          <w:b/>
          <w:sz w:val="32"/>
        </w:rPr>
        <w:t>第三章  腎病的不同階段</w:t>
      </w:r>
    </w:p>
    <w:p>
      <w:pPr>
        <w:pStyle w:val="Endnote"/>
        <w:snapToGrid w:val="false"/>
        <w:spacing w:lineRule="auto" w:line="240"/>
        <w:jc w:val="both"/>
        <w:textAlignment w:val="auto"/>
        <w:rPr>
          <w:rFonts w:ascii="標楷體" w:hAnsi="標楷體" w:eastAsia="新細明體;PMingLiU"/>
          <w:b/>
          <w:b/>
          <w:kern w:val="2"/>
          <w:sz w:val="32"/>
        </w:rPr>
      </w:pPr>
      <w:r>
        <w:rPr>
          <w:rFonts w:eastAsia="新細明體;PMingLiU" w:ascii="標楷體" w:hAnsi="標楷體"/>
          <w:b/>
          <w:kern w:val="2"/>
          <w:sz w:val="32"/>
        </w:rPr>
      </w:r>
    </w:p>
    <w:p>
      <w:pPr>
        <w:pStyle w:val="Normal"/>
        <w:snapToGrid w:val="false"/>
        <w:ind w:firstLine="555"/>
        <w:jc w:val="both"/>
        <w:rPr>
          <w:rFonts w:ascii="標楷體" w:hAnsi="標楷體" w:eastAsia="標楷體"/>
          <w:sz w:val="28"/>
        </w:rPr>
      </w:pPr>
      <w:r>
        <w:rPr>
          <w:rFonts w:ascii="標楷體" w:hAnsi="標楷體" w:eastAsia="標楷體"/>
          <w:sz w:val="28"/>
        </w:rPr>
        <w:t>中國人一談到腎病，常稱其「腰子不好」或「腎虛」。西醫所稱的腎病即指位於腰部之腎臟的病變，此腎與彼腎到底有何差別，往往使人容易混淆。以下就中醫所稱的「腎虛」表現，以及西醫所稱腎實質的病變，對其做一說明。</w:t>
      </w:r>
    </w:p>
    <w:p>
      <w:pPr>
        <w:pStyle w:val="Normal"/>
        <w:snapToGrid w:val="false"/>
        <w:ind w:firstLine="555"/>
        <w:jc w:val="both"/>
        <w:rPr>
          <w:rFonts w:ascii="標楷體" w:hAnsi="標楷體" w:eastAsia="標楷體"/>
          <w:b/>
          <w:b/>
          <w:sz w:val="28"/>
        </w:rPr>
      </w:pPr>
      <w:r>
        <w:rPr>
          <w:rFonts w:ascii="標楷體" w:hAnsi="標楷體" w:eastAsia="標楷體"/>
          <w:b/>
          <w:sz w:val="28"/>
        </w:rPr>
        <w:t>中醫所稱「腎虛」的表現</w:t>
      </w:r>
    </w:p>
    <w:p>
      <w:pPr>
        <w:pStyle w:val="Normal"/>
        <w:snapToGrid w:val="false"/>
        <w:ind w:firstLine="555"/>
        <w:jc w:val="both"/>
        <w:rPr>
          <w:rFonts w:ascii="標楷體" w:hAnsi="標楷體" w:eastAsia="標楷體"/>
          <w:sz w:val="28"/>
        </w:rPr>
      </w:pPr>
      <w:r>
        <w:rPr>
          <w:rFonts w:ascii="標楷體" w:hAnsi="標楷體" w:eastAsia="標楷體"/>
          <w:sz w:val="28"/>
        </w:rPr>
        <w:t>民間一般會把小便白濁、有泡沫、小便遺精、良性蛋白尿、甚至腰酸背痛、陽痿等，均認為是腎虛的一種表現。一般中醫所稱的腎即是身體本能之表現，所謂本能，即指生殖、生長、發育、體能、智力的綜合表現，因此腎亦包括了內分泌、免疫、神經、泌尿生殖系統的功能。據此，以上所稱小便白濁等症狀，西醫不一定認為有問題，但就中醫所稱腎的層次而言，也許是身體早期出現的警訊，總之中醫會把它當作一個問題來處理。總之，在治療蛋白尿等各種狀況之前，對其做詳細的評估是有必要的。</w:t>
      </w:r>
    </w:p>
    <w:p>
      <w:pPr>
        <w:pStyle w:val="Normal"/>
        <w:snapToGrid w:val="false"/>
        <w:ind w:firstLine="555"/>
        <w:jc w:val="both"/>
        <w:rPr>
          <w:rFonts w:ascii="標楷體" w:hAnsi="標楷體" w:eastAsia="標楷體"/>
          <w:b/>
          <w:b/>
          <w:sz w:val="28"/>
        </w:rPr>
      </w:pPr>
      <w:r>
        <w:rPr>
          <w:rFonts w:ascii="標楷體" w:hAnsi="標楷體" w:eastAsia="標楷體"/>
          <w:b/>
          <w:sz w:val="28"/>
        </w:rPr>
        <w:t>西醫所稱「腎實質」的表現</w:t>
      </w:r>
    </w:p>
    <w:p>
      <w:pPr>
        <w:pStyle w:val="Normal"/>
        <w:snapToGrid w:val="false"/>
        <w:ind w:firstLine="555"/>
        <w:jc w:val="both"/>
        <w:rPr>
          <w:rFonts w:ascii="標楷體" w:hAnsi="標楷體" w:eastAsia="標楷體"/>
          <w:sz w:val="28"/>
        </w:rPr>
      </w:pPr>
      <w:r>
        <w:rPr>
          <w:rFonts w:ascii="標楷體" w:hAnsi="標楷體" w:eastAsia="標楷體"/>
          <w:sz w:val="28"/>
        </w:rPr>
        <w:t>所謂腎實質病變，這一類疾病包括了腎病症候群、慢性腎炎、糖尿病腎病變、高血壓腎病變、痛風性腎病變、狼瘡性腎炎</w:t>
      </w:r>
      <w:r>
        <w:rPr>
          <w:rFonts w:ascii="標楷體" w:hAnsi="標楷體" w:eastAsia="標楷體"/>
          <w:sz w:val="28"/>
        </w:rPr>
        <w:t>……</w:t>
      </w:r>
      <w:r>
        <w:rPr>
          <w:rFonts w:ascii="標楷體" w:hAnsi="標楷體" w:eastAsia="標楷體"/>
          <w:sz w:val="28"/>
        </w:rPr>
        <w:t>等，其表現也許是水腫，也許是蛋白尿，甚至根本沒有症狀，這一類患者依據不同的病理表現，會有不同的預後。所有的腎病若進展到一個地步沒有恢復的話，則會往慢性腎衰竭的路上走去，即腎功能剩下原來的</w:t>
      </w:r>
      <w:r>
        <w:rPr>
          <w:rFonts w:eastAsia="標楷體" w:ascii="標楷體" w:hAnsi="標楷體"/>
          <w:sz w:val="28"/>
        </w:rPr>
        <w:t>1/3</w:t>
      </w:r>
      <w:r>
        <w:rPr>
          <w:rFonts w:ascii="標楷體" w:hAnsi="標楷體" w:eastAsia="標楷體"/>
          <w:sz w:val="28"/>
        </w:rPr>
        <w:t>或</w:t>
      </w:r>
      <w:r>
        <w:rPr>
          <w:rFonts w:eastAsia="標楷體" w:ascii="標楷體" w:hAnsi="標楷體"/>
          <w:sz w:val="28"/>
        </w:rPr>
        <w:t>1/4</w:t>
      </w:r>
      <w:r>
        <w:rPr>
          <w:rFonts w:ascii="標楷體" w:hAnsi="標楷體" w:eastAsia="標楷體"/>
          <w:sz w:val="28"/>
        </w:rPr>
        <w:t>。其造成慢性腎衰竭時間的長短，則除了和病理類型有關之外，心情、生活型態的調適亦有莫大的關連。是否接受正確的治療，亦為決定是否洗腎之關鍵。</w:t>
      </w:r>
    </w:p>
    <w:p>
      <w:pPr>
        <w:pStyle w:val="Normal"/>
        <w:snapToGrid w:val="false"/>
        <w:ind w:firstLine="555"/>
        <w:jc w:val="both"/>
        <w:rPr>
          <w:rFonts w:ascii="標楷體" w:hAnsi="標楷體" w:eastAsia="標楷體"/>
          <w:b/>
          <w:b/>
          <w:sz w:val="28"/>
        </w:rPr>
      </w:pPr>
      <w:r>
        <w:rPr>
          <w:rFonts w:ascii="標楷體" w:hAnsi="標楷體" w:eastAsia="標楷體"/>
          <w:b/>
          <w:sz w:val="28"/>
        </w:rPr>
        <w:t>慢性腎功能受損</w:t>
      </w:r>
    </w:p>
    <w:p>
      <w:pPr>
        <w:pStyle w:val="Normal"/>
        <w:snapToGrid w:val="false"/>
        <w:ind w:firstLine="555"/>
        <w:jc w:val="both"/>
        <w:rPr>
          <w:rFonts w:ascii="標楷體" w:hAnsi="標楷體" w:eastAsia="標楷體"/>
          <w:sz w:val="28"/>
        </w:rPr>
      </w:pPr>
      <w:r>
        <w:rPr>
          <w:rFonts w:ascii="標楷體" w:hAnsi="標楷體" w:eastAsia="標楷體"/>
          <w:sz w:val="28"/>
        </w:rPr>
        <w:t>慢性腎功能受損，即血中尿素氮</w:t>
      </w:r>
      <w:r>
        <w:rPr>
          <w:rFonts w:eastAsia="標楷體" w:ascii="標楷體" w:hAnsi="標楷體"/>
          <w:sz w:val="28"/>
        </w:rPr>
        <w:t>(</w:t>
      </w:r>
      <w:r>
        <w:rPr>
          <w:rFonts w:eastAsia="標楷體" w:cs="Arial" w:ascii="Arial" w:hAnsi="Arial"/>
          <w:sz w:val="28"/>
        </w:rPr>
        <w:t>BUN</w:t>
      </w:r>
      <w:r>
        <w:rPr>
          <w:rFonts w:eastAsia="標楷體" w:ascii="標楷體" w:hAnsi="標楷體"/>
          <w:sz w:val="28"/>
        </w:rPr>
        <w:t>)</w:t>
      </w:r>
      <w:r>
        <w:rPr>
          <w:rFonts w:ascii="標楷體" w:hAnsi="標楷體" w:eastAsia="標楷體"/>
          <w:sz w:val="28"/>
        </w:rPr>
        <w:t>、肌酸酐</w:t>
      </w:r>
      <w:r>
        <w:rPr>
          <w:rFonts w:eastAsia="標楷體" w:ascii="標楷體" w:hAnsi="標楷體"/>
          <w:sz w:val="28"/>
        </w:rPr>
        <w:t>(</w:t>
      </w:r>
      <w:r>
        <w:rPr>
          <w:rFonts w:eastAsia="標楷體" w:cs="Arial" w:ascii="Arial" w:hAnsi="Arial"/>
          <w:sz w:val="28"/>
        </w:rPr>
        <w:t>Cre</w:t>
      </w:r>
      <w:r>
        <w:rPr>
          <w:rFonts w:eastAsia="標楷體" w:ascii="標楷體" w:hAnsi="標楷體"/>
          <w:sz w:val="28"/>
        </w:rPr>
        <w:t>)</w:t>
      </w:r>
      <w:r>
        <w:rPr>
          <w:rFonts w:ascii="標楷體" w:hAnsi="標楷體" w:eastAsia="標楷體"/>
          <w:sz w:val="28"/>
        </w:rPr>
        <w:t>值的變化，超過三個月以上，無法恢復者稱之。其值異常，即所謂的氮血症，會造成一些症狀，例如疲倦、面色蒼白、食慾差、噁心、嘔吐、打嗝、夜尿、性無能、皮膚癢、易瘀青破皮</w:t>
      </w:r>
      <w:r>
        <w:rPr>
          <w:rFonts w:ascii="標楷體" w:hAnsi="標楷體" w:eastAsia="標楷體"/>
          <w:sz w:val="28"/>
        </w:rPr>
        <w:t>……</w:t>
      </w:r>
      <w:r>
        <w:rPr>
          <w:rFonts w:ascii="標楷體" w:hAnsi="標楷體" w:eastAsia="標楷體"/>
          <w:sz w:val="28"/>
        </w:rPr>
        <w:t>等慢性病之變化，甚至有些毫無症狀。慢性腎功能受損雖然終究會往洗腎的路去，但不同疾病的類型，心情以及生活型態的調適，以及治療得當與否，決定了或早或晚洗腎的命運。有人調適得當，一、二十年不須洗腎者，也大有人在；但也有人病急亂投醫，很快的就決定了洗腎的命運。</w:t>
      </w:r>
    </w:p>
    <w:p>
      <w:pPr>
        <w:pStyle w:val="Normal"/>
        <w:snapToGrid w:val="false"/>
        <w:ind w:firstLine="555"/>
        <w:jc w:val="both"/>
        <w:rPr>
          <w:rFonts w:ascii="標楷體" w:hAnsi="標楷體" w:eastAsia="標楷體"/>
          <w:sz w:val="28"/>
        </w:rPr>
      </w:pPr>
      <w:r>
        <w:rPr>
          <w:rFonts w:ascii="標楷體" w:hAnsi="標楷體" w:eastAsia="標楷體"/>
          <w:sz w:val="28"/>
        </w:rPr>
        <w:t>無論如何，洗腎並不等於死亡，洗腎一、二十年的人絕非罕見，端視各人調治得當與否。</w:t>
      </w:r>
    </w:p>
    <w:p>
      <w:pPr>
        <w:pStyle w:val="Normal"/>
        <w:snapToGrid w:val="false"/>
        <w:ind w:firstLine="540"/>
        <w:jc w:val="both"/>
        <w:rPr>
          <w:rFonts w:ascii="標楷體" w:hAnsi="標楷體" w:eastAsia="標楷體"/>
          <w:sz w:val="28"/>
        </w:rPr>
      </w:pPr>
      <w:r>
        <w:rPr>
          <w:rFonts w:eastAsia="標楷體" w:ascii="標楷體" w:hAnsi="標楷體"/>
          <w:sz w:val="28"/>
        </w:rPr>
      </w:r>
    </w:p>
    <w:p>
      <w:pPr>
        <w:pStyle w:val="Normal"/>
        <w:snapToGrid w:val="false"/>
        <w:ind w:firstLine="540"/>
        <w:jc w:val="both"/>
        <w:rPr>
          <w:rFonts w:ascii="標楷體" w:hAnsi="標楷體" w:eastAsia="標楷體"/>
          <w:sz w:val="28"/>
        </w:rPr>
      </w:pPr>
      <w:r>
        <w:rPr>
          <w:rFonts w:eastAsia="標楷體" w:ascii="標楷體" w:hAnsi="標楷體"/>
          <w:sz w:val="28"/>
        </w:rPr>
      </w:r>
    </w:p>
    <w:p>
      <w:pPr>
        <w:pStyle w:val="Normal"/>
        <w:snapToGrid w:val="false"/>
        <w:ind w:firstLine="540"/>
        <w:jc w:val="both"/>
        <w:rPr>
          <w:rFonts w:ascii="標楷體" w:hAnsi="標楷體" w:eastAsia="標楷體"/>
          <w:sz w:val="28"/>
        </w:rPr>
      </w:pPr>
      <w:r>
        <w:rPr>
          <w:rFonts w:eastAsia="標楷體" w:ascii="標楷體" w:hAnsi="標楷體"/>
          <w:sz w:val="28"/>
        </w:rPr>
      </w:r>
    </w:p>
    <w:p>
      <w:pPr>
        <w:pStyle w:val="Normal"/>
        <w:numPr>
          <w:ilvl w:val="0"/>
          <w:numId w:val="4"/>
        </w:numPr>
        <w:jc w:val="center"/>
        <w:rPr>
          <w:rFonts w:ascii="標楷體" w:hAnsi="標楷體" w:eastAsia="標楷體"/>
          <w:b/>
          <w:b/>
          <w:sz w:val="36"/>
        </w:rPr>
      </w:pPr>
      <w:r>
        <w:rPr>
          <w:rFonts w:ascii="標楷體" w:hAnsi="標楷體" w:eastAsia="標楷體"/>
          <w:b/>
          <w:sz w:val="36"/>
        </w:rPr>
        <w:t>中醫對水腫的論述</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腎病症候群最主要的症狀是水腫，因此在探討本病之前，對於歷代醫家所描述之水腫，以及其形成的原因及發病機理作一歸納整理。</w:t>
      </w:r>
    </w:p>
    <w:p>
      <w:pPr>
        <w:pStyle w:val="Normal"/>
        <w:jc w:val="center"/>
        <w:rPr>
          <w:rFonts w:ascii="標楷體" w:hAnsi="標楷體" w:eastAsia="標楷體"/>
          <w:b/>
          <w:b/>
          <w:sz w:val="32"/>
        </w:rPr>
      </w:pPr>
      <w:r>
        <w:rPr>
          <w:rFonts w:ascii="標楷體" w:hAnsi="標楷體" w:eastAsia="標楷體"/>
          <w:b/>
          <w:sz w:val="32"/>
        </w:rPr>
        <w:t>第一章  歷代醫家對水腫的論述</w:t>
      </w:r>
    </w:p>
    <w:p>
      <w:pPr>
        <w:pStyle w:val="Normal"/>
        <w:snapToGrid w:val="false"/>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 xml:space="preserve">第一節  </w:t>
      </w:r>
      <w:r>
        <w:rPr>
          <w:rFonts w:eastAsia="標楷體" w:ascii="標楷體" w:hAnsi="標楷體"/>
          <w:b/>
          <w:sz w:val="28"/>
        </w:rPr>
        <w:t>&lt;&lt;</w:t>
      </w:r>
      <w:r>
        <w:rPr>
          <w:rFonts w:ascii="標楷體" w:hAnsi="標楷體" w:eastAsia="標楷體"/>
          <w:b/>
          <w:sz w:val="28"/>
        </w:rPr>
        <w:t>內經</w:t>
      </w:r>
      <w:r>
        <w:rPr>
          <w:rFonts w:eastAsia="標楷體" w:ascii="標楷體" w:hAnsi="標楷體"/>
          <w:b/>
          <w:sz w:val="28"/>
        </w:rPr>
        <w:t>&gt;&gt;</w:t>
      </w:r>
      <w:r>
        <w:rPr>
          <w:rFonts w:ascii="標楷體" w:hAnsi="標楷體" w:eastAsia="標楷體"/>
          <w:b/>
          <w:sz w:val="28"/>
        </w:rPr>
        <w:t>對水腫病的相關論述</w:t>
      </w:r>
    </w:p>
    <w:p>
      <w:pPr>
        <w:pStyle w:val="Normal"/>
        <w:snapToGrid w:val="false"/>
        <w:jc w:val="both"/>
        <w:rPr/>
      </w:pPr>
      <w:r>
        <w:rPr>
          <w:rFonts w:eastAsia="標楷體" w:cs="標楷體" w:ascii="標楷體" w:hAnsi="標楷體"/>
          <w:sz w:val="28"/>
        </w:rPr>
        <w:t xml:space="preserve">    </w:t>
      </w:r>
      <w:r>
        <w:rPr>
          <w:rFonts w:ascii="標楷體" w:hAnsi="標楷體" w:eastAsia="標楷體"/>
          <w:sz w:val="28"/>
        </w:rPr>
        <w:t>腎病症候群初始的表現以水腫為主，因此要從內經中尋找有關腎病症候群的資料，需先從水腫相關論述著手，尤其是和感冒、肺衛有關的水腫。</w:t>
      </w:r>
    </w:p>
    <w:p>
      <w:pPr>
        <w:pStyle w:val="Normal"/>
        <w:numPr>
          <w:ilvl w:val="0"/>
          <w:numId w:val="0"/>
        </w:numPr>
        <w:snapToGrid w:val="false"/>
        <w:jc w:val="both"/>
        <w:outlineLvl w:val="0"/>
        <w:rPr/>
      </w:pPr>
      <w:r>
        <w:rPr>
          <w:rFonts w:eastAsia="標楷體" w:cs="標楷體" w:ascii="標楷體" w:hAnsi="標楷體"/>
          <w:b/>
          <w:sz w:val="28"/>
        </w:rPr>
        <w:t xml:space="preserve">    </w:t>
      </w:r>
      <w:r>
        <w:rPr>
          <w:rFonts w:ascii="標楷體" w:hAnsi="標楷體" w:eastAsia="標楷體"/>
          <w:b/>
          <w:sz w:val="28"/>
        </w:rPr>
        <w:t>一</w:t>
      </w:r>
      <w:r>
        <w:rPr>
          <w:rFonts w:ascii="標楷體" w:hAnsi="標楷體" w:eastAsia="標楷體"/>
          <w:b/>
          <w:sz w:val="28"/>
        </w:rPr>
        <w:t>、</w:t>
      </w:r>
      <w:r>
        <w:rPr>
          <w:rFonts w:ascii="標楷體" w:hAnsi="標楷體" w:eastAsia="標楷體"/>
          <w:b/>
          <w:sz w:val="28"/>
        </w:rPr>
        <w:t>腎風的臨床表現</w:t>
      </w:r>
    </w:p>
    <w:p>
      <w:pPr>
        <w:pStyle w:val="Normal"/>
        <w:overflowPunct w:val="false"/>
        <w:autoSpaceDE w:val="false"/>
        <w:snapToGrid w:val="false"/>
        <w:jc w:val="both"/>
        <w:rPr/>
      </w:pPr>
      <w:r>
        <w:rPr>
          <w:rFonts w:eastAsia="標楷體" w:cs="標楷體" w:ascii="標楷體" w:hAnsi="標楷體"/>
          <w:sz w:val="28"/>
        </w:rPr>
        <w:t xml:space="preserve">    </w:t>
      </w:r>
      <w:r>
        <w:rPr>
          <w:rFonts w:ascii="標楷體" w:hAnsi="標楷體" w:eastAsia="標楷體"/>
          <w:sz w:val="28"/>
        </w:rPr>
        <w:t>腎病症候群初始所造成水腫的情狀，頗類似</w:t>
      </w:r>
      <w:r>
        <w:rPr>
          <w:rFonts w:eastAsia="標楷體" w:ascii="標楷體" w:hAnsi="標楷體"/>
          <w:sz w:val="28"/>
        </w:rPr>
        <w:t>&lt;&lt;</w:t>
      </w:r>
      <w:r>
        <w:rPr>
          <w:rFonts w:ascii="標楷體" w:hAnsi="標楷體" w:eastAsia="標楷體"/>
          <w:sz w:val="28"/>
        </w:rPr>
        <w:t>內經</w:t>
      </w:r>
      <w:r>
        <w:rPr>
          <w:rFonts w:eastAsia="標楷體" w:ascii="標楷體" w:hAnsi="標楷體"/>
          <w:sz w:val="28"/>
        </w:rPr>
        <w:t>&gt;&gt;</w:t>
      </w:r>
      <w:r>
        <w:rPr>
          <w:rFonts w:ascii="標楷體" w:hAnsi="標楷體" w:eastAsia="標楷體"/>
          <w:sz w:val="28"/>
        </w:rPr>
        <w:t>所稱的「腎風」。如</w:t>
      </w:r>
      <w:r>
        <w:rPr>
          <w:rFonts w:eastAsia="標楷體" w:ascii="標楷體" w:hAnsi="標楷體"/>
          <w:sz w:val="28"/>
        </w:rPr>
        <w:t>&lt;&lt;</w:t>
      </w:r>
      <w:r>
        <w:rPr>
          <w:rFonts w:ascii="標楷體" w:hAnsi="標楷體" w:eastAsia="標楷體"/>
          <w:sz w:val="28"/>
        </w:rPr>
        <w:t>素問‧評熱病論</w:t>
      </w:r>
      <w:r>
        <w:rPr>
          <w:rFonts w:eastAsia="標楷體" w:ascii="標楷體" w:hAnsi="標楷體"/>
          <w:sz w:val="28"/>
        </w:rPr>
        <w:t>&gt;&gt;:</w:t>
      </w:r>
      <w:r>
        <w:rPr>
          <w:rFonts w:ascii="標楷體" w:hAnsi="標楷體" w:eastAsia="標楷體"/>
          <w:sz w:val="28"/>
        </w:rPr>
        <w:t>「有病腎風者，面胕痝然壅」，張景岳</w:t>
      </w:r>
      <w:r>
        <w:rPr>
          <w:rFonts w:eastAsia="標楷體" w:ascii="標楷體" w:hAnsi="標楷體"/>
          <w:sz w:val="28"/>
        </w:rPr>
        <w:t>&lt;&lt;</w:t>
      </w:r>
      <w:r>
        <w:rPr>
          <w:rFonts w:ascii="標楷體" w:hAnsi="標楷體" w:eastAsia="標楷體"/>
          <w:sz w:val="28"/>
        </w:rPr>
        <w:t>類經</w:t>
      </w:r>
      <w:r>
        <w:rPr>
          <w:rFonts w:eastAsia="標楷體" w:ascii="標楷體" w:hAnsi="標楷體"/>
          <w:sz w:val="28"/>
        </w:rPr>
        <w:t>&gt;&gt;</w:t>
      </w:r>
      <w:r>
        <w:rPr>
          <w:rFonts w:ascii="標楷體" w:hAnsi="標楷體" w:eastAsia="標楷體"/>
          <w:sz w:val="28"/>
        </w:rPr>
        <w:t>之</w:t>
      </w:r>
      <w:r>
        <w:rPr>
          <w:rFonts w:eastAsia="標楷體" w:ascii="標楷體" w:hAnsi="標楷體"/>
          <w:sz w:val="28"/>
        </w:rPr>
        <w:t>&lt;&lt;</w:t>
      </w:r>
      <w:r>
        <w:rPr>
          <w:rFonts w:ascii="標楷體" w:hAnsi="標楷體" w:eastAsia="標楷體"/>
          <w:sz w:val="28"/>
        </w:rPr>
        <w:t>素問‧疾病類‧三十一</w:t>
      </w:r>
      <w:r>
        <w:rPr>
          <w:rFonts w:eastAsia="標楷體" w:ascii="標楷體" w:hAnsi="標楷體"/>
          <w:sz w:val="28"/>
        </w:rPr>
        <w:t>&gt;&gt;</w:t>
      </w:r>
      <w:r>
        <w:rPr>
          <w:rFonts w:ascii="標楷體" w:hAnsi="標楷體" w:eastAsia="標楷體"/>
          <w:sz w:val="28"/>
        </w:rPr>
        <w:t>云：「</w:t>
      </w:r>
      <w:r>
        <w:rPr>
          <w:rFonts w:ascii="標楷體" w:hAnsi="標楷體" w:cs="MS Sans Serif;Arial" w:eastAsia="標楷體"/>
          <w:sz w:val="28"/>
        </w:rPr>
        <w:t>胕，浮腫也；痝然，失色貌；壅，重濁不清也。</w:t>
      </w:r>
      <w:r>
        <w:rPr>
          <w:rFonts w:ascii="標楷體" w:hAnsi="標楷體" w:eastAsia="標楷體"/>
          <w:sz w:val="28"/>
        </w:rPr>
        <w:t>」丹波元簡</w:t>
      </w:r>
      <w:r>
        <w:rPr>
          <w:rFonts w:eastAsia="標楷體" w:ascii="標楷體" w:hAnsi="標楷體"/>
          <w:sz w:val="28"/>
        </w:rPr>
        <w:t>&lt;&lt;</w:t>
      </w:r>
      <w:r>
        <w:rPr>
          <w:rFonts w:ascii="標楷體" w:hAnsi="標楷體" w:eastAsia="標楷體"/>
          <w:sz w:val="28"/>
        </w:rPr>
        <w:t>素問識</w:t>
      </w:r>
      <w:r>
        <w:rPr>
          <w:rFonts w:eastAsia="標楷體" w:ascii="標楷體" w:hAnsi="標楷體"/>
          <w:sz w:val="28"/>
        </w:rPr>
        <w:t>&gt;&gt;</w:t>
      </w:r>
      <w:r>
        <w:rPr>
          <w:rFonts w:ascii="標楷體" w:hAnsi="標楷體" w:eastAsia="標楷體"/>
          <w:sz w:val="28"/>
        </w:rPr>
        <w:t>中認為「</w:t>
      </w:r>
      <w:r>
        <w:rPr>
          <w:rFonts w:ascii="標楷體" w:hAnsi="標楷體" w:cs="MS Sans Serif;Arial" w:eastAsia="標楷體"/>
          <w:sz w:val="28"/>
        </w:rPr>
        <w:t>痝然</w:t>
      </w:r>
      <w:r>
        <w:rPr>
          <w:rFonts w:ascii="標楷體" w:hAnsi="標楷體" w:eastAsia="標楷體"/>
          <w:sz w:val="28"/>
        </w:rPr>
        <w:t>」即龐然，為腫大貌。再根據</w:t>
      </w:r>
      <w:r>
        <w:rPr>
          <w:rFonts w:eastAsia="標楷體" w:ascii="標楷體" w:hAnsi="標楷體"/>
          <w:sz w:val="28"/>
        </w:rPr>
        <w:t>&lt;&lt;</w:t>
      </w:r>
      <w:r>
        <w:rPr>
          <w:rFonts w:ascii="標楷體" w:hAnsi="標楷體" w:eastAsia="標楷體"/>
          <w:sz w:val="28"/>
        </w:rPr>
        <w:t>素問‧風論</w:t>
      </w:r>
      <w:r>
        <w:rPr>
          <w:rFonts w:eastAsia="標楷體" w:ascii="標楷體" w:hAnsi="標楷體"/>
          <w:sz w:val="28"/>
        </w:rPr>
        <w:t>&gt;&gt;</w:t>
      </w:r>
      <w:r>
        <w:rPr>
          <w:rFonts w:ascii="標楷體" w:hAnsi="標楷體" w:eastAsia="標楷體"/>
          <w:sz w:val="28"/>
        </w:rPr>
        <w:t>所言：「腎風之狀，多汗惡風，面痝然浮腫。」可知「腎風」的表現為顏面浮腫，尤其是「目下」，正如</w:t>
      </w:r>
      <w:r>
        <w:rPr>
          <w:rFonts w:eastAsia="標楷體" w:ascii="標楷體" w:hAnsi="標楷體"/>
          <w:sz w:val="28"/>
        </w:rPr>
        <w:t>&lt;&lt;</w:t>
      </w:r>
      <w:r>
        <w:rPr>
          <w:rFonts w:ascii="標楷體" w:hAnsi="標楷體" w:eastAsia="標楷體"/>
          <w:sz w:val="28"/>
        </w:rPr>
        <w:t>素問‧評熱病論</w:t>
      </w:r>
      <w:r>
        <w:rPr>
          <w:rFonts w:eastAsia="標楷體" w:ascii="標楷體" w:hAnsi="標楷體"/>
          <w:sz w:val="28"/>
        </w:rPr>
        <w:t>&gt;&gt;</w:t>
      </w:r>
      <w:r>
        <w:rPr>
          <w:rFonts w:ascii="標楷體" w:hAnsi="標楷體" w:eastAsia="標楷體"/>
          <w:sz w:val="28"/>
        </w:rPr>
        <w:t>所言：「諸有水氣者，微腫先見于</w:t>
      </w:r>
      <w:r>
        <w:rPr>
          <w:rFonts w:ascii="標楷體" w:hAnsi="標楷體" w:eastAsia="標楷體"/>
          <w:b/>
          <w:sz w:val="28"/>
        </w:rPr>
        <w:t>目下</w:t>
      </w:r>
      <w:r>
        <w:rPr>
          <w:rFonts w:ascii="標楷體" w:hAnsi="標楷體" w:eastAsia="標楷體"/>
          <w:sz w:val="28"/>
        </w:rPr>
        <w:t>也。」其形成的機理亦如同篇所言：「水者陰也，目下亦陰也，腹者至陰之所居，故水在腹者，必使目下腫也。」</w:t>
      </w:r>
    </w:p>
    <w:p>
      <w:pPr>
        <w:pStyle w:val="Normal"/>
        <w:overflowPunct w:val="false"/>
        <w:autoSpaceDE w:val="false"/>
        <w:snapToGrid w:val="false"/>
        <w:jc w:val="both"/>
        <w:rPr/>
      </w:pPr>
      <w:r>
        <w:rPr>
          <w:rFonts w:eastAsia="標楷體" w:cs="標楷體" w:ascii="標楷體" w:hAnsi="標楷體"/>
          <w:sz w:val="28"/>
        </w:rPr>
        <w:t xml:space="preserve">    </w:t>
      </w:r>
      <w:r>
        <w:rPr>
          <w:rFonts w:ascii="標楷體" w:hAnsi="標楷體" w:eastAsia="標楷體"/>
          <w:sz w:val="28"/>
        </w:rPr>
        <w:t>其臨床表現之更進一步說明則如</w:t>
      </w:r>
      <w:r>
        <w:rPr>
          <w:rFonts w:eastAsia="標楷體" w:ascii="標楷體" w:hAnsi="標楷體"/>
          <w:sz w:val="28"/>
        </w:rPr>
        <w:t>&lt;&lt;</w:t>
      </w:r>
      <w:r>
        <w:rPr>
          <w:rFonts w:ascii="標楷體" w:hAnsi="標楷體" w:eastAsia="標楷體"/>
          <w:sz w:val="28"/>
        </w:rPr>
        <w:t>素問‧奇病論</w:t>
      </w:r>
      <w:r>
        <w:rPr>
          <w:rFonts w:eastAsia="標楷體" w:ascii="標楷體" w:hAnsi="標楷體"/>
          <w:sz w:val="28"/>
        </w:rPr>
        <w:t>&gt;&gt;</w:t>
      </w:r>
      <w:r>
        <w:rPr>
          <w:rFonts w:ascii="標楷體" w:hAnsi="標楷體" w:eastAsia="標楷體"/>
          <w:sz w:val="28"/>
        </w:rPr>
        <w:t>所言</w:t>
      </w:r>
      <w:r>
        <w:rPr>
          <w:rFonts w:eastAsia="標楷體" w:ascii="標楷體" w:hAnsi="標楷體"/>
          <w:sz w:val="28"/>
        </w:rPr>
        <w:t>:</w:t>
      </w:r>
      <w:r>
        <w:rPr>
          <w:rFonts w:ascii="標楷體" w:hAnsi="標楷體" w:eastAsia="標楷體"/>
          <w:sz w:val="28"/>
        </w:rPr>
        <w:t>「有病痝然如有水狀，切其脈大緊，身無痛者，形不瘦，不能食，食少，名為何病？岐伯曰：病生在腎，名為腎風。腎風而不能食，善驚，驚已，心氣痿者死。」對於腎風所產生的症狀「不能食」，及其預後「善驚」的病機，景岳於</w:t>
      </w:r>
      <w:r>
        <w:rPr>
          <w:rFonts w:eastAsia="標楷體" w:ascii="標楷體" w:hAnsi="標楷體"/>
          <w:sz w:val="28"/>
        </w:rPr>
        <w:t>&lt;&lt;</w:t>
      </w:r>
      <w:r>
        <w:rPr>
          <w:rFonts w:ascii="標楷體" w:hAnsi="標楷體" w:eastAsia="標楷體"/>
          <w:sz w:val="28"/>
        </w:rPr>
        <w:t>類經‧疾病類‧三十一</w:t>
      </w:r>
      <w:r>
        <w:rPr>
          <w:rFonts w:eastAsia="標楷體" w:ascii="標楷體" w:hAnsi="標楷體"/>
          <w:sz w:val="28"/>
        </w:rPr>
        <w:t>&gt;&gt;:</w:t>
      </w:r>
      <w:r>
        <w:rPr>
          <w:rFonts w:ascii="標楷體" w:hAnsi="標楷體" w:eastAsia="標楷體"/>
          <w:sz w:val="28"/>
        </w:rPr>
        <w:t>解釋曰「</w:t>
      </w:r>
      <w:r>
        <w:rPr>
          <w:rFonts w:ascii="標楷體" w:hAnsi="標楷體" w:cs="MS Sans Serif;Arial" w:eastAsia="標楷體"/>
          <w:sz w:val="28"/>
        </w:rPr>
        <w:t>風生於腎，則反剋脾土，故不能食，腎邪犯心，則神氣失守，故善驚，驚後而心氣痿弱不能復者，心腎俱敗，水火俱困也，故死。</w:t>
      </w:r>
      <w:r>
        <w:rPr>
          <w:rFonts w:ascii="標楷體" w:hAnsi="標楷體" w:eastAsia="標楷體"/>
          <w:sz w:val="28"/>
        </w:rPr>
        <w:t>」</w:t>
      </w:r>
    </w:p>
    <w:p>
      <w:pPr>
        <w:pStyle w:val="Normal"/>
        <w:snapToGrid w:val="false"/>
        <w:jc w:val="both"/>
        <w:rPr/>
      </w:pPr>
      <w:r>
        <w:rPr>
          <w:rFonts w:eastAsia="標楷體" w:cs="標楷體" w:ascii="標楷體" w:hAnsi="標楷體"/>
          <w:sz w:val="28"/>
        </w:rPr>
        <w:t xml:space="preserve">    </w:t>
      </w:r>
      <w:r>
        <w:rPr>
          <w:rFonts w:ascii="標楷體" w:hAnsi="標楷體" w:eastAsia="標楷體"/>
          <w:sz w:val="28"/>
        </w:rPr>
        <w:t>腎風的臨床表現除了以上所言之外，</w:t>
      </w:r>
      <w:r>
        <w:rPr>
          <w:rFonts w:eastAsia="標楷體" w:ascii="標楷體" w:hAnsi="標楷體"/>
          <w:sz w:val="28"/>
        </w:rPr>
        <w:t>&lt;&lt;</w:t>
      </w:r>
      <w:r>
        <w:rPr>
          <w:rFonts w:ascii="標楷體" w:hAnsi="標楷體" w:eastAsia="標楷體"/>
          <w:sz w:val="28"/>
        </w:rPr>
        <w:t>素問‧風論</w:t>
      </w:r>
      <w:r>
        <w:rPr>
          <w:rFonts w:eastAsia="標楷體" w:ascii="標楷體" w:hAnsi="標楷體"/>
          <w:sz w:val="28"/>
        </w:rPr>
        <w:t>&gt;&gt;</w:t>
      </w:r>
      <w:r>
        <w:rPr>
          <w:rFonts w:ascii="標楷體" w:hAnsi="標楷體" w:eastAsia="標楷體"/>
          <w:sz w:val="28"/>
        </w:rPr>
        <w:t>亦有所論述：「腎風之狀，多汗惡風，面痝然浮腫，脊痛，不能正立，其色炱，隱曲不利，診在肌上，其色黑。」</w:t>
      </w:r>
    </w:p>
    <w:p>
      <w:pPr>
        <w:pStyle w:val="Normal"/>
        <w:numPr>
          <w:ilvl w:val="0"/>
          <w:numId w:val="0"/>
        </w:numPr>
        <w:snapToGrid w:val="false"/>
        <w:jc w:val="both"/>
        <w:outlineLvl w:val="0"/>
        <w:rPr/>
      </w:pPr>
      <w:r>
        <w:rPr>
          <w:rFonts w:eastAsia="標楷體" w:cs="標楷體" w:ascii="標楷體" w:hAnsi="標楷體"/>
          <w:b/>
          <w:sz w:val="28"/>
        </w:rPr>
        <w:t xml:space="preserve">    </w:t>
      </w:r>
      <w:r>
        <w:rPr>
          <w:rFonts w:ascii="標楷體" w:hAnsi="標楷體" w:eastAsia="標楷體"/>
          <w:b/>
          <w:sz w:val="28"/>
        </w:rPr>
        <w:t>二</w:t>
      </w:r>
      <w:r>
        <w:rPr>
          <w:rFonts w:ascii="標楷體" w:hAnsi="標楷體" w:eastAsia="標楷體"/>
          <w:b/>
          <w:sz w:val="28"/>
        </w:rPr>
        <w:t>、</w:t>
      </w:r>
      <w:r>
        <w:rPr>
          <w:rFonts w:ascii="標楷體" w:hAnsi="標楷體" w:eastAsia="標楷體"/>
          <w:b/>
          <w:sz w:val="28"/>
        </w:rPr>
        <w:t>水腫形成的機理</w:t>
      </w:r>
      <w:r>
        <w:rPr>
          <w:rFonts w:eastAsia="標楷體" w:ascii="標楷體" w:hAnsi="標楷體"/>
          <w:b/>
          <w:sz w:val="28"/>
        </w:rPr>
        <w:t>---</w:t>
      </w:r>
      <w:r>
        <w:rPr>
          <w:rFonts w:ascii="標楷體" w:hAnsi="標楷體" w:eastAsia="標楷體"/>
          <w:b/>
          <w:sz w:val="28"/>
        </w:rPr>
        <w:t>和肺、脾、腎、三焦、膀胱有關</w:t>
      </w:r>
    </w:p>
    <w:p>
      <w:pPr>
        <w:pStyle w:val="Normal"/>
        <w:numPr>
          <w:ilvl w:val="0"/>
          <w:numId w:val="0"/>
        </w:numPr>
        <w:snapToGrid w:val="false"/>
        <w:jc w:val="both"/>
        <w:outlineLvl w:val="0"/>
        <w:rPr/>
      </w:pPr>
      <w:r>
        <w:rPr>
          <w:rFonts w:eastAsia="標楷體" w:cs="標楷體" w:ascii="標楷體" w:hAnsi="標楷體"/>
          <w:sz w:val="28"/>
        </w:rPr>
        <w:t xml:space="preserve">    </w:t>
      </w:r>
      <w:r>
        <w:rPr>
          <w:rFonts w:ascii="標楷體" w:hAnsi="標楷體" w:eastAsia="標楷體"/>
          <w:sz w:val="28"/>
        </w:rPr>
        <w:t>（一）</w:t>
      </w:r>
      <w:r>
        <w:rPr>
          <w:rFonts w:ascii="標楷體" w:hAnsi="標楷體" w:eastAsia="標楷體"/>
          <w:b/>
          <w:sz w:val="28"/>
        </w:rPr>
        <w:t>肺脾腎與水腫的形成</w:t>
      </w:r>
    </w:p>
    <w:p>
      <w:pPr>
        <w:pStyle w:val="Normal"/>
        <w:snapToGrid w:val="false"/>
        <w:jc w:val="both"/>
        <w:rPr/>
      </w:pPr>
      <w:r>
        <w:rPr>
          <w:rFonts w:eastAsia="標楷體" w:cs="標楷體" w:ascii="標楷體" w:hAnsi="標楷體"/>
          <w:sz w:val="28"/>
        </w:rPr>
        <w:t xml:space="preserve">    </w:t>
      </w:r>
      <w:r>
        <w:rPr>
          <w:rFonts w:eastAsia="標楷體" w:ascii="標楷體" w:hAnsi="標楷體"/>
          <w:sz w:val="28"/>
        </w:rPr>
        <w:t>&lt;&lt;</w:t>
      </w:r>
      <w:r>
        <w:rPr>
          <w:rFonts w:ascii="標楷體" w:hAnsi="標楷體" w:eastAsia="標楷體"/>
          <w:sz w:val="28"/>
        </w:rPr>
        <w:t>素問‧水熱穴論</w:t>
      </w:r>
      <w:r>
        <w:rPr>
          <w:rFonts w:eastAsia="標楷體" w:ascii="標楷體" w:hAnsi="標楷體"/>
          <w:sz w:val="28"/>
        </w:rPr>
        <w:t>&gt;&gt;:</w:t>
      </w:r>
      <w:r>
        <w:rPr>
          <w:rFonts w:ascii="標楷體" w:hAnsi="標楷體" w:eastAsia="標楷體"/>
          <w:sz w:val="28"/>
        </w:rPr>
        <w:t>「黃帝問曰：少陰何以主腎？腎何以主水？岐伯對曰：腎者至陰也，至陰者盛水也，肺者太陰也，少陰者冬脈也，故其本在腎，其末在肺，皆積水也。」「腎何以能聚水而生病？岐伯曰：腎者胃之關也，關門不利，故聚水而從其類也。上下溢於</w:t>
      </w:r>
      <w:r>
        <w:rPr>
          <w:rFonts w:ascii="標楷體" w:hAnsi="標楷體" w:cs="華康細圓體" w:eastAsia="標楷體"/>
          <w:sz w:val="28"/>
        </w:rPr>
        <w:t>皮膚，故為胕腫。胕腫者，聚水而生病也。」</w:t>
      </w:r>
      <w:r>
        <w:rPr>
          <w:rFonts w:eastAsia="標楷體" w:cs="華康細圓體" w:ascii="標楷體" w:hAnsi="標楷體"/>
          <w:sz w:val="28"/>
        </w:rPr>
        <w:t>&lt;&lt;</w:t>
      </w:r>
      <w:r>
        <w:rPr>
          <w:rFonts w:ascii="標楷體" w:hAnsi="標楷體" w:cs="華康細圓體" w:eastAsia="標楷體"/>
          <w:sz w:val="28"/>
        </w:rPr>
        <w:t>素問‧太陰陽明論</w:t>
      </w:r>
      <w:r>
        <w:rPr>
          <w:rFonts w:eastAsia="華康細圓體" w:cs="華康細圓體" w:ascii="華康細圓體" w:hAnsi="華康細圓體"/>
          <w:sz w:val="28"/>
        </w:rPr>
        <w:t>&gt;&gt;</w:t>
      </w:r>
      <w:r>
        <w:rPr>
          <w:rFonts w:ascii="標楷體" w:hAnsi="標楷體" w:cs="華康細圓體" w:eastAsia="標楷體"/>
          <w:sz w:val="28"/>
        </w:rPr>
        <w:t>曰：「脾主為胃行其津液。」以上條文說明了水的形成機理和肺、脾、腎的關係是密切的。正如</w:t>
      </w:r>
      <w:r>
        <w:rPr>
          <w:rFonts w:eastAsia="標楷體" w:cs="華康細圓體" w:ascii="標楷體" w:hAnsi="標楷體"/>
          <w:sz w:val="28"/>
        </w:rPr>
        <w:t>&lt;&lt;</w:t>
      </w:r>
      <w:r>
        <w:rPr>
          <w:rFonts w:ascii="標楷體" w:hAnsi="標楷體" w:cs="華康細圓體" w:eastAsia="標楷體"/>
          <w:sz w:val="28"/>
        </w:rPr>
        <w:t>景岳全書</w:t>
      </w:r>
      <w:r>
        <w:rPr>
          <w:rFonts w:eastAsia="標楷體" w:cs="華康細圓體" w:ascii="標楷體" w:hAnsi="標楷體"/>
          <w:sz w:val="28"/>
        </w:rPr>
        <w:t>&gt;&gt;</w:t>
      </w:r>
      <w:r>
        <w:rPr>
          <w:rFonts w:ascii="標楷體" w:hAnsi="標楷體" w:cs="華康細圓體" w:eastAsia="標楷體"/>
          <w:sz w:val="28"/>
        </w:rPr>
        <w:t>所言：「蓋水為至陰，故其本在腎；水化於氣，故其標在肺，水惟畏土，故其制在脾。」</w:t>
      </w:r>
    </w:p>
    <w:p>
      <w:pPr>
        <w:pStyle w:val="Normal"/>
        <w:numPr>
          <w:ilvl w:val="0"/>
          <w:numId w:val="0"/>
        </w:numPr>
        <w:snapToGrid w:val="false"/>
        <w:jc w:val="both"/>
        <w:outlineLvl w:val="0"/>
        <w:rPr/>
      </w:pPr>
      <w:r>
        <w:rPr>
          <w:rFonts w:eastAsia="標楷體" w:cs="標楷體" w:ascii="標楷體" w:hAnsi="標楷體"/>
          <w:sz w:val="28"/>
        </w:rPr>
        <w:t xml:space="preserve">    </w:t>
      </w:r>
      <w:r>
        <w:rPr>
          <w:rFonts w:ascii="標楷體" w:hAnsi="標楷體" w:cs="華康細圓體" w:eastAsia="標楷體"/>
          <w:sz w:val="28"/>
        </w:rPr>
        <w:t>（二）</w:t>
      </w:r>
      <w:r>
        <w:rPr>
          <w:rFonts w:ascii="標楷體" w:hAnsi="標楷體" w:cs="華康細圓體" w:eastAsia="標楷體"/>
          <w:b/>
          <w:sz w:val="28"/>
        </w:rPr>
        <w:t>三焦膀胱與水腫的形成</w:t>
      </w:r>
    </w:p>
    <w:p>
      <w:pPr>
        <w:pStyle w:val="Normal"/>
        <w:snapToGrid w:val="false"/>
        <w:jc w:val="both"/>
        <w:rPr>
          <w:rFonts w:ascii="標楷體" w:hAnsi="標楷體" w:eastAsia="標楷體" w:cs="華康細圓體"/>
          <w:sz w:val="28"/>
        </w:rPr>
      </w:pPr>
      <w:r>
        <w:rPr>
          <w:rFonts w:eastAsia="標楷體" w:cs="標楷體" w:ascii="標楷體" w:hAnsi="標楷體"/>
          <w:sz w:val="28"/>
        </w:rPr>
        <w:t xml:space="preserve">    </w:t>
      </w:r>
      <w:r>
        <w:rPr>
          <w:rFonts w:eastAsia="標楷體" w:cs="華康細圓體" w:ascii="標楷體" w:hAnsi="標楷體"/>
          <w:sz w:val="28"/>
        </w:rPr>
        <w:t>&lt;&lt;</w:t>
      </w:r>
      <w:r>
        <w:rPr>
          <w:rFonts w:ascii="標楷體" w:hAnsi="標楷體" w:cs="華康細圓體" w:eastAsia="標楷體"/>
          <w:sz w:val="28"/>
        </w:rPr>
        <w:t>靈樞．五癃津液別論</w:t>
      </w:r>
      <w:r>
        <w:rPr>
          <w:rFonts w:eastAsia="標楷體" w:cs="華康細圓體" w:ascii="標楷體" w:hAnsi="標楷體"/>
          <w:sz w:val="28"/>
        </w:rPr>
        <w:t>&gt;&gt;</w:t>
      </w:r>
      <w:r>
        <w:rPr>
          <w:rFonts w:ascii="標楷體" w:hAnsi="標楷體" w:cs="華康細圓體" w:eastAsia="標楷體"/>
          <w:sz w:val="28"/>
        </w:rPr>
        <w:t>曰：「陰陽氣道不通，四海塞閉，三焦不瀉，津液不化、水榖并行腸胃之中，別於迴腸，留於下焦，不得滲膀胱則下焦脹，水溢則為水脹。」本條文說明了水腫的形成和三焦及膀胱的關係。</w:t>
      </w:r>
      <w:r>
        <w:rPr>
          <w:rFonts w:eastAsia="標楷體" w:cs="華康細圓體" w:ascii="標楷體" w:hAnsi="標楷體"/>
          <w:sz w:val="28"/>
        </w:rPr>
        <w:t>&lt;&lt;</w:t>
      </w:r>
      <w:r>
        <w:rPr>
          <w:rFonts w:ascii="標楷體" w:hAnsi="標楷體" w:cs="華康細圓體" w:eastAsia="標楷體"/>
          <w:sz w:val="28"/>
        </w:rPr>
        <w:t>靈樞‧本輸篇</w:t>
      </w:r>
      <w:r>
        <w:rPr>
          <w:rFonts w:eastAsia="標楷體" w:cs="華康細圓體" w:ascii="標楷體" w:hAnsi="標楷體"/>
          <w:sz w:val="28"/>
        </w:rPr>
        <w:t>&gt;&gt;</w:t>
      </w:r>
      <w:r>
        <w:rPr>
          <w:rFonts w:ascii="標楷體" w:hAnsi="標楷體" w:cs="華康細圓體" w:eastAsia="標楷體"/>
          <w:sz w:val="28"/>
        </w:rPr>
        <w:t>「三焦者，中瀆之腑也，水道出焉，屬膀胱，是孤之腑也。」再經由以上的探討可知，三焦有通行水道的功能，因此三焦不通暢的話，則肺、脾、腎輸佈水液的功能將難以實現。</w:t>
      </w:r>
      <w:r>
        <w:rPr>
          <w:rFonts w:eastAsia="標楷體" w:cs="華康細圓體" w:ascii="標楷體" w:hAnsi="標楷體"/>
          <w:sz w:val="28"/>
        </w:rPr>
        <w:t>&lt;&lt;</w:t>
      </w:r>
      <w:r>
        <w:rPr>
          <w:rFonts w:ascii="標楷體" w:hAnsi="標楷體" w:cs="華康細圓體" w:eastAsia="標楷體"/>
          <w:sz w:val="28"/>
        </w:rPr>
        <w:t>傷寒論‧辨脈法</w:t>
      </w:r>
      <w:r>
        <w:rPr>
          <w:rFonts w:eastAsia="標楷體" w:cs="華康細圓體" w:ascii="標楷體" w:hAnsi="標楷體"/>
          <w:sz w:val="28"/>
        </w:rPr>
        <w:t>&gt;&gt;:</w:t>
      </w:r>
      <w:r>
        <w:rPr>
          <w:rFonts w:ascii="標楷體" w:hAnsi="標楷體" w:cs="華康細圓體" w:eastAsia="標楷體"/>
          <w:sz w:val="28"/>
        </w:rPr>
        <w:t>「三焦相溷，內外不通。」其表現則如張景岳於</w:t>
      </w:r>
      <w:r>
        <w:rPr>
          <w:rFonts w:eastAsia="標楷體" w:cs="華康細圓體" w:ascii="標楷體" w:hAnsi="標楷體"/>
          <w:sz w:val="28"/>
        </w:rPr>
        <w:t>&lt;&lt;</w:t>
      </w:r>
      <w:r>
        <w:rPr>
          <w:rFonts w:ascii="標楷體" w:hAnsi="標楷體" w:cs="華康細圓體" w:eastAsia="標楷體"/>
          <w:sz w:val="28"/>
        </w:rPr>
        <w:t>類經‧藏象類</w:t>
      </w:r>
      <w:r>
        <w:rPr>
          <w:rFonts w:eastAsia="標楷體" w:cs="華康細圓體" w:ascii="標楷體" w:hAnsi="標楷體"/>
          <w:sz w:val="28"/>
        </w:rPr>
        <w:t>&gt;&gt;</w:t>
      </w:r>
      <w:r>
        <w:rPr>
          <w:rFonts w:ascii="標楷體" w:hAnsi="標楷體" w:cs="華康細圓體" w:eastAsia="標楷體"/>
          <w:sz w:val="28"/>
        </w:rPr>
        <w:t>曰</w:t>
      </w:r>
      <w:r>
        <w:rPr>
          <w:rFonts w:eastAsia="標楷體" w:cs="華康細圓體" w:ascii="標楷體" w:hAnsi="標楷體"/>
          <w:sz w:val="28"/>
        </w:rPr>
        <w:t>:</w:t>
      </w:r>
      <w:r>
        <w:rPr>
          <w:rFonts w:ascii="標楷體" w:hAnsi="標楷體" w:cs="華康細圓體" w:eastAsia="標楷體"/>
          <w:sz w:val="28"/>
        </w:rPr>
        <w:t>「上焦不治則水泛高原，中焦不治則水留中脘，下焦不治則水亂二便。」可知三焦水行不暢的話，根據其部位的不同，會有不同的表現。</w:t>
      </w:r>
    </w:p>
    <w:p>
      <w:pPr>
        <w:pStyle w:val="Normal"/>
        <w:overflowPunct w:val="false"/>
        <w:autoSpaceDE w:val="false"/>
        <w:snapToGrid w:val="false"/>
        <w:jc w:val="both"/>
        <w:rPr/>
      </w:pPr>
      <w:r>
        <w:rPr>
          <w:rFonts w:eastAsia="標楷體" w:cs="標楷體" w:ascii="標楷體" w:hAnsi="標楷體"/>
          <w:sz w:val="28"/>
        </w:rPr>
        <w:t xml:space="preserve">    </w:t>
      </w:r>
      <w:r>
        <w:rPr>
          <w:rFonts w:eastAsia="標楷體" w:cs="華康細圓體" w:ascii="標楷體" w:hAnsi="標楷體"/>
          <w:sz w:val="28"/>
        </w:rPr>
        <w:t>&lt;&lt;</w:t>
      </w:r>
      <w:r>
        <w:rPr>
          <w:rFonts w:ascii="標楷體" w:hAnsi="標楷體" w:cs="華康細圓體" w:eastAsia="標楷體"/>
          <w:sz w:val="28"/>
        </w:rPr>
        <w:t>難經‧三十一難</w:t>
      </w:r>
      <w:r>
        <w:rPr>
          <w:rFonts w:eastAsia="標楷體" w:cs="華康細圓體" w:ascii="標楷體" w:hAnsi="標楷體"/>
          <w:sz w:val="28"/>
        </w:rPr>
        <w:t>&gt;&gt;</w:t>
      </w:r>
      <w:r>
        <w:rPr>
          <w:rFonts w:ascii="標楷體" w:hAnsi="標楷體" w:cs="華康細圓體" w:eastAsia="標楷體"/>
          <w:sz w:val="28"/>
        </w:rPr>
        <w:t>曰</w:t>
      </w:r>
      <w:r>
        <w:rPr>
          <w:rFonts w:eastAsia="標楷體" w:cs="華康細圓體" w:ascii="標楷體" w:hAnsi="標楷體"/>
          <w:sz w:val="28"/>
        </w:rPr>
        <w:t>:</w:t>
      </w:r>
      <w:r>
        <w:rPr>
          <w:rFonts w:ascii="標楷體" w:hAnsi="標楷體" w:cs="華康細圓體" w:eastAsia="標楷體"/>
          <w:sz w:val="28"/>
        </w:rPr>
        <w:t>「下焦者，當膀胱上口，主分別清濁，主出而不內，以傳導也。」指出了下焦的功能為分清別濁，若其作用失職，則如</w:t>
      </w:r>
      <w:r>
        <w:rPr>
          <w:rFonts w:eastAsia="標楷體" w:cs="華康細圓體" w:ascii="標楷體" w:hAnsi="標楷體"/>
          <w:sz w:val="28"/>
        </w:rPr>
        <w:t>&lt;&lt;</w:t>
      </w:r>
      <w:r>
        <w:rPr>
          <w:rFonts w:ascii="標楷體" w:hAnsi="標楷體" w:cs="華康細圓體" w:eastAsia="標楷體"/>
          <w:sz w:val="28"/>
        </w:rPr>
        <w:t>素問‧宣明五氣</w:t>
      </w:r>
      <w:r>
        <w:rPr>
          <w:rFonts w:eastAsia="標楷體" w:cs="華康細圓體" w:ascii="標楷體" w:hAnsi="標楷體"/>
          <w:sz w:val="28"/>
        </w:rPr>
        <w:t>&gt;&gt;</w:t>
      </w:r>
      <w:r>
        <w:rPr>
          <w:rFonts w:ascii="標楷體" w:hAnsi="標楷體" w:cs="華康細圓體" w:eastAsia="標楷體"/>
          <w:sz w:val="28"/>
        </w:rPr>
        <w:t>曰</w:t>
      </w:r>
      <w:r>
        <w:rPr>
          <w:rFonts w:eastAsia="標楷體" w:cs="華康細圓體" w:ascii="標楷體" w:hAnsi="標楷體"/>
          <w:sz w:val="28"/>
        </w:rPr>
        <w:t>:</w:t>
      </w:r>
      <w:r>
        <w:rPr>
          <w:rFonts w:ascii="標楷體" w:hAnsi="標楷體" w:cs="華康細圓體" w:eastAsia="標楷體"/>
          <w:sz w:val="28"/>
        </w:rPr>
        <w:t>「下焦溢為水」</w:t>
      </w:r>
      <w:r>
        <w:rPr>
          <w:rFonts w:eastAsia="標楷體" w:cs="華康細圓體" w:ascii="標楷體" w:hAnsi="標楷體"/>
          <w:sz w:val="28"/>
        </w:rPr>
        <w:t>&lt;&lt;</w:t>
      </w:r>
      <w:r>
        <w:rPr>
          <w:rFonts w:ascii="標楷體" w:hAnsi="標楷體" w:cs="華康細圓體" w:eastAsia="標楷體"/>
          <w:sz w:val="28"/>
        </w:rPr>
        <w:t>類經‧疾病類‧二十五</w:t>
      </w:r>
      <w:r>
        <w:rPr>
          <w:rFonts w:eastAsia="標楷體" w:cs="華康細圓體" w:ascii="標楷體" w:hAnsi="標楷體"/>
          <w:sz w:val="28"/>
        </w:rPr>
        <w:t>&gt;&gt;</w:t>
      </w:r>
      <w:r>
        <w:rPr>
          <w:rFonts w:ascii="標楷體" w:hAnsi="標楷體" w:cs="華康細圓體" w:eastAsia="標楷體"/>
          <w:sz w:val="28"/>
        </w:rPr>
        <w:t>解釋曰：「下焦為分注之所，氣不化則津液不行，故溢於肌肉而為水。」孫一奎</w:t>
      </w:r>
      <w:r>
        <w:rPr>
          <w:rFonts w:eastAsia="標楷體" w:cs="華康細圓體" w:ascii="標楷體" w:hAnsi="標楷體"/>
          <w:sz w:val="28"/>
        </w:rPr>
        <w:t>&lt;&lt;</w:t>
      </w:r>
      <w:r>
        <w:rPr>
          <w:rFonts w:ascii="標楷體" w:hAnsi="標楷體" w:cs="華康細圓體" w:eastAsia="標楷體"/>
          <w:sz w:val="28"/>
        </w:rPr>
        <w:t>醫旨緒餘</w:t>
      </w:r>
      <w:r>
        <w:rPr>
          <w:rFonts w:eastAsia="標楷體" w:cs="華康細圓體" w:ascii="標楷體" w:hAnsi="標楷體"/>
          <w:sz w:val="28"/>
        </w:rPr>
        <w:t>&gt;&gt;</w:t>
      </w:r>
      <w:r>
        <w:rPr>
          <w:rFonts w:ascii="標楷體" w:hAnsi="標楷體" w:cs="華康細圓體" w:eastAsia="標楷體"/>
          <w:sz w:val="28"/>
        </w:rPr>
        <w:t>曰</w:t>
      </w:r>
      <w:r>
        <w:rPr>
          <w:rFonts w:eastAsia="標楷體" w:cs="華康細圓體" w:ascii="標楷體" w:hAnsi="標楷體"/>
          <w:sz w:val="28"/>
        </w:rPr>
        <w:t>:</w:t>
      </w:r>
      <w:r>
        <w:rPr>
          <w:rFonts w:ascii="標楷體" w:hAnsi="標楷體" w:cs="華康細圓體" w:eastAsia="標楷體"/>
          <w:sz w:val="28"/>
        </w:rPr>
        <w:t>「上焦主內而不出，下焦主出而不內，其內其出，皆系中焦之腑熟。」則指出了上、中、下三焦之功能特性。</w:t>
      </w:r>
      <w:r>
        <w:rPr>
          <w:rFonts w:eastAsia="標楷體" w:cs="華康細圓體" w:ascii="標楷體" w:hAnsi="標楷體"/>
          <w:sz w:val="28"/>
        </w:rPr>
        <w:t>&lt;&lt;</w:t>
      </w:r>
      <w:r>
        <w:rPr>
          <w:rFonts w:ascii="標楷體" w:hAnsi="標楷體" w:cs="華康細圓體" w:eastAsia="標楷體"/>
          <w:sz w:val="28"/>
        </w:rPr>
        <w:t>靈樞‧邪氣臟腑病形篇</w:t>
      </w:r>
      <w:r>
        <w:rPr>
          <w:rFonts w:eastAsia="標楷體" w:cs="華康細圓體" w:ascii="標楷體" w:hAnsi="標楷體"/>
          <w:sz w:val="28"/>
        </w:rPr>
        <w:t>&gt;&gt;:</w:t>
      </w:r>
      <w:r>
        <w:rPr>
          <w:rFonts w:ascii="標楷體" w:hAnsi="標楷體" w:cs="華康細圓體" w:eastAsia="標楷體"/>
          <w:sz w:val="28"/>
        </w:rPr>
        <w:t>「三焦病者，腹氣滿，小腹尤堅，不得小便，窘急液，則水留為脹。」由上可知，其間產生的症狀，為膀胱脹所致。</w:t>
      </w:r>
      <w:r>
        <w:rPr>
          <w:rFonts w:eastAsia="標楷體" w:cs="華康細圓體" w:ascii="標楷體" w:hAnsi="標楷體"/>
          <w:sz w:val="28"/>
        </w:rPr>
        <w:t>&lt;&lt;</w:t>
      </w:r>
      <w:r>
        <w:rPr>
          <w:rFonts w:ascii="標楷體" w:hAnsi="標楷體" w:cs="華康細圓體" w:eastAsia="標楷體"/>
          <w:sz w:val="28"/>
        </w:rPr>
        <w:t>諸病源候論</w:t>
      </w:r>
      <w:r>
        <w:rPr>
          <w:rFonts w:eastAsia="標楷體" w:cs="華康細圓體" w:ascii="標楷體" w:hAnsi="標楷體"/>
          <w:sz w:val="28"/>
        </w:rPr>
        <w:t>&gt;&gt;</w:t>
      </w:r>
      <w:r>
        <w:rPr>
          <w:rFonts w:ascii="標楷體" w:hAnsi="標楷體" w:cs="華康細圓體" w:eastAsia="標楷體"/>
          <w:sz w:val="28"/>
        </w:rPr>
        <w:t>亦稱</w:t>
      </w:r>
      <w:r>
        <w:rPr>
          <w:rFonts w:eastAsia="標楷體" w:cs="華康細圓體" w:ascii="標楷體" w:hAnsi="標楷體"/>
          <w:sz w:val="28"/>
        </w:rPr>
        <w:t>:</w:t>
      </w:r>
      <w:r>
        <w:rPr>
          <w:rFonts w:ascii="標楷體" w:hAnsi="標楷體" w:cs="華康細圓體" w:eastAsia="標楷體"/>
          <w:sz w:val="28"/>
        </w:rPr>
        <w:t>「三焦閉塞，小便不通，水氣結聚於內，乃腹大而腫。」</w:t>
      </w:r>
      <w:r>
        <w:rPr>
          <w:rFonts w:eastAsia="標楷體" w:cs="華康細圓體" w:ascii="標楷體" w:hAnsi="標楷體"/>
          <w:sz w:val="28"/>
        </w:rPr>
        <w:t>&lt;&lt;</w:t>
      </w:r>
      <w:r>
        <w:rPr>
          <w:rFonts w:ascii="標楷體" w:hAnsi="標楷體" w:cs="華康細圓體" w:eastAsia="標楷體"/>
          <w:sz w:val="28"/>
        </w:rPr>
        <w:t>金匱要略</w:t>
      </w:r>
      <w:r>
        <w:rPr>
          <w:rFonts w:eastAsia="標楷體" w:cs="華康細圓體" w:ascii="標楷體" w:hAnsi="標楷體"/>
          <w:sz w:val="28"/>
        </w:rPr>
        <w:t>&gt;&gt;</w:t>
      </w:r>
      <w:r>
        <w:rPr>
          <w:rFonts w:ascii="標楷體" w:hAnsi="標楷體" w:cs="華康細圓體" w:eastAsia="標楷體"/>
          <w:sz w:val="28"/>
        </w:rPr>
        <w:t>亦稱</w:t>
      </w:r>
      <w:r>
        <w:rPr>
          <w:rFonts w:eastAsia="標楷體" w:cs="華康細圓體" w:ascii="標楷體" w:hAnsi="標楷體"/>
          <w:sz w:val="28"/>
        </w:rPr>
        <w:t>:</w:t>
      </w:r>
      <w:r>
        <w:rPr>
          <w:rFonts w:ascii="標楷體" w:hAnsi="標楷體" w:cs="華康細圓體" w:eastAsia="標楷體"/>
          <w:sz w:val="28"/>
        </w:rPr>
        <w:t>「上焦肺痿、中焦留飲、下焦腫滿」總之三焦的氣化、水液作用若有所失職，都與腫脹的形成有關。</w:t>
      </w:r>
    </w:p>
    <w:p>
      <w:pPr>
        <w:pStyle w:val="Normal"/>
        <w:numPr>
          <w:ilvl w:val="0"/>
          <w:numId w:val="0"/>
        </w:numPr>
        <w:overflowPunct w:val="false"/>
        <w:autoSpaceDE w:val="false"/>
        <w:snapToGrid w:val="false"/>
        <w:jc w:val="both"/>
        <w:outlineLvl w:val="0"/>
        <w:rPr/>
      </w:pPr>
      <w:r>
        <w:rPr>
          <w:rFonts w:eastAsia="標楷體" w:cs="標楷體" w:ascii="標楷體" w:hAnsi="標楷體"/>
          <w:sz w:val="28"/>
        </w:rPr>
        <w:t xml:space="preserve">    </w:t>
      </w:r>
      <w:r>
        <w:rPr>
          <w:rFonts w:ascii="標楷體" w:hAnsi="標楷體" w:cs="華康細圓體" w:eastAsia="標楷體"/>
          <w:sz w:val="28"/>
        </w:rPr>
        <w:t>（三）</w:t>
      </w:r>
      <w:r>
        <w:rPr>
          <w:rFonts w:ascii="標楷體" w:hAnsi="標楷體" w:cs="華康細圓體" w:eastAsia="標楷體"/>
          <w:b/>
          <w:sz w:val="28"/>
        </w:rPr>
        <w:t>氣化功能的重要性</w:t>
      </w:r>
    </w:p>
    <w:p>
      <w:pPr>
        <w:pStyle w:val="Normal"/>
        <w:overflowPunct w:val="false"/>
        <w:autoSpaceDE w:val="false"/>
        <w:snapToGrid w:val="false"/>
        <w:jc w:val="both"/>
        <w:rPr/>
      </w:pPr>
      <w:r>
        <w:rPr>
          <w:rFonts w:eastAsia="標楷體" w:cs="標楷體" w:ascii="標楷體" w:hAnsi="標楷體"/>
          <w:sz w:val="28"/>
        </w:rPr>
        <w:t xml:space="preserve">    </w:t>
      </w:r>
      <w:r>
        <w:rPr>
          <w:rFonts w:eastAsia="標楷體" w:cs="華康細圓體" w:ascii="標楷體" w:hAnsi="標楷體"/>
          <w:sz w:val="28"/>
        </w:rPr>
        <w:t>&lt;&lt;</w:t>
      </w:r>
      <w:r>
        <w:rPr>
          <w:rFonts w:ascii="標楷體" w:hAnsi="標楷體" w:cs="華康細圓體" w:eastAsia="標楷體"/>
          <w:sz w:val="28"/>
        </w:rPr>
        <w:t>類經‧攝生類‧六</w:t>
      </w:r>
      <w:r>
        <w:rPr>
          <w:rFonts w:eastAsia="標楷體" w:cs="華康細圓體" w:ascii="標楷體" w:hAnsi="標楷體"/>
          <w:sz w:val="28"/>
        </w:rPr>
        <w:t>&gt;&gt;</w:t>
      </w:r>
      <w:r>
        <w:rPr>
          <w:rFonts w:ascii="標楷體" w:hAnsi="標楷體" w:cs="華康細圓體" w:eastAsia="標楷體"/>
          <w:sz w:val="28"/>
        </w:rPr>
        <w:t>引吳氏所言：「人身膻中之氣，猶雲霧也，膻中氣化則通調水道，下輸膀胱，若膻中之氣不化則不能通調水道，下輸膀胱而失降下之令，猶之白露不降矣。」認為膻中之氣對於通調水道亦有一定的功能。對此，</w:t>
      </w:r>
      <w:r>
        <w:rPr>
          <w:rFonts w:eastAsia="標楷體" w:cs="華康細圓體" w:ascii="標楷體" w:hAnsi="標楷體"/>
          <w:sz w:val="28"/>
        </w:rPr>
        <w:t>&lt;&lt;</w:t>
      </w:r>
      <w:r>
        <w:rPr>
          <w:rFonts w:ascii="標楷體" w:hAnsi="標楷體" w:cs="華康細圓體" w:eastAsia="標楷體"/>
          <w:sz w:val="28"/>
        </w:rPr>
        <w:t>難經‧三十一難</w:t>
      </w:r>
      <w:r>
        <w:rPr>
          <w:rFonts w:eastAsia="標楷體" w:cs="華康細圓體" w:ascii="標楷體" w:hAnsi="標楷體"/>
          <w:sz w:val="28"/>
        </w:rPr>
        <w:t>&gt;&gt;</w:t>
      </w:r>
      <w:r>
        <w:rPr>
          <w:rFonts w:ascii="標楷體" w:hAnsi="標楷體" w:cs="華康細圓體" w:eastAsia="標楷體"/>
          <w:sz w:val="28"/>
        </w:rPr>
        <w:t>稱：「三焦者，水穀之道路，氣之所終始也。上焦者，在心下，下鬲，在胃上口，主內而不出，其治在膻中。」說明了上焦對於通調水道的機理，而其治在膻中。</w:t>
      </w:r>
      <w:r>
        <w:rPr>
          <w:rFonts w:eastAsia="標楷體" w:cs="華康細圓體" w:ascii="標楷體" w:hAnsi="標楷體"/>
          <w:sz w:val="28"/>
        </w:rPr>
        <w:t>&lt;&lt;</w:t>
      </w:r>
      <w:r>
        <w:rPr>
          <w:rFonts w:ascii="標楷體" w:hAnsi="標楷體" w:cs="華康細圓體" w:eastAsia="標楷體"/>
          <w:sz w:val="28"/>
        </w:rPr>
        <w:t>靈樞‧決氣篇</w:t>
      </w:r>
      <w:r>
        <w:rPr>
          <w:rFonts w:eastAsia="標楷體" w:cs="華康細圓體" w:ascii="標楷體" w:hAnsi="標楷體"/>
          <w:sz w:val="28"/>
        </w:rPr>
        <w:t>&gt;&gt;</w:t>
      </w:r>
      <w:r>
        <w:rPr>
          <w:rFonts w:ascii="標楷體" w:hAnsi="標楷體" w:cs="華康細圓體" w:eastAsia="標楷體"/>
          <w:sz w:val="28"/>
        </w:rPr>
        <w:t>曰：「上焦開發，宣五榖味，熏膚、充身、澤毛，若霧露之溉，是謂氣。」亦強調了上焦對氣機影響的重要性。</w:t>
      </w:r>
    </w:p>
    <w:p>
      <w:pPr>
        <w:pStyle w:val="Normal"/>
        <w:overflowPunct w:val="false"/>
        <w:autoSpaceDE w:val="false"/>
        <w:snapToGrid w:val="false"/>
        <w:jc w:val="both"/>
        <w:rPr/>
      </w:pPr>
      <w:r>
        <w:rPr>
          <w:rFonts w:eastAsia="標楷體" w:cs="標楷體" w:ascii="標楷體" w:hAnsi="標楷體"/>
          <w:sz w:val="28"/>
        </w:rPr>
        <w:t xml:space="preserve">     </w:t>
      </w:r>
      <w:r>
        <w:rPr>
          <w:rFonts w:ascii="標楷體" w:hAnsi="標楷體" w:cs="華康細圓體" w:eastAsia="標楷體"/>
          <w:sz w:val="28"/>
        </w:rPr>
        <w:t>關於氣化的功能，景岳</w:t>
      </w:r>
      <w:r>
        <w:rPr>
          <w:rFonts w:eastAsia="標楷體" w:cs="華康細圓體" w:ascii="標楷體" w:hAnsi="標楷體"/>
          <w:sz w:val="28"/>
        </w:rPr>
        <w:t>&lt;&lt;</w:t>
      </w:r>
      <w:r>
        <w:rPr>
          <w:rFonts w:ascii="標楷體" w:hAnsi="標楷體" w:cs="華康細圓體" w:eastAsia="標楷體"/>
          <w:sz w:val="28"/>
        </w:rPr>
        <w:t>類經‧論治類‧十五</w:t>
      </w:r>
      <w:r>
        <w:rPr>
          <w:rFonts w:eastAsia="標楷體" w:cs="華康細圓體" w:ascii="標楷體" w:hAnsi="標楷體"/>
          <w:sz w:val="28"/>
        </w:rPr>
        <w:t>&gt;&gt;</w:t>
      </w:r>
      <w:r>
        <w:rPr>
          <w:rFonts w:ascii="標楷體" w:hAnsi="標楷體" w:cs="華康細圓體" w:eastAsia="標楷體"/>
          <w:sz w:val="28"/>
        </w:rPr>
        <w:t>「脹論曰：凡陰陽之要，陰無陽不行，水無氣不化，故靈蘭秘典論曰：「氣化則能出矣。」有著生動的描述。</w:t>
      </w:r>
    </w:p>
    <w:p>
      <w:pPr>
        <w:pStyle w:val="Normal"/>
        <w:snapToGrid w:val="false"/>
        <w:jc w:val="both"/>
        <w:rPr>
          <w:rFonts w:ascii="標楷體" w:hAnsi="標楷體" w:eastAsia="標楷體" w:cs="MS Sans Serif;Arial"/>
          <w:sz w:val="28"/>
        </w:rPr>
      </w:pPr>
      <w:r>
        <w:rPr>
          <w:rFonts w:eastAsia="標楷體" w:cs="標楷體" w:ascii="標楷體" w:hAnsi="標楷體"/>
          <w:sz w:val="28"/>
        </w:rPr>
        <w:t xml:space="preserve">    </w:t>
      </w:r>
      <w:r>
        <w:rPr>
          <w:rFonts w:eastAsia="標楷體" w:cs="華康細圓體" w:ascii="標楷體" w:hAnsi="標楷體"/>
          <w:sz w:val="28"/>
        </w:rPr>
        <w:t>&lt;&lt;</w:t>
      </w:r>
      <w:r>
        <w:rPr>
          <w:rFonts w:ascii="標楷體" w:hAnsi="標楷體" w:cs="華康細圓體" w:eastAsia="標楷體"/>
          <w:sz w:val="28"/>
        </w:rPr>
        <w:t>素問</w:t>
      </w:r>
      <w:r>
        <w:rPr>
          <w:rFonts w:ascii="標楷體" w:hAnsi="標楷體" w:cs="MS Sans Serif;Arial" w:eastAsia="標楷體"/>
          <w:sz w:val="28"/>
        </w:rPr>
        <w:t>．</w:t>
      </w:r>
      <w:r>
        <w:rPr>
          <w:rFonts w:ascii="標楷體" w:hAnsi="標楷體" w:cs="華康細圓體" w:eastAsia="標楷體"/>
          <w:sz w:val="28"/>
        </w:rPr>
        <w:t>靈蘭秘典論</w:t>
      </w:r>
      <w:r>
        <w:rPr>
          <w:rFonts w:eastAsia="標楷體" w:cs="華康細圓體" w:ascii="標楷體" w:hAnsi="標楷體"/>
          <w:sz w:val="28"/>
        </w:rPr>
        <w:t>&gt;&gt;</w:t>
      </w:r>
      <w:r>
        <w:rPr>
          <w:rFonts w:ascii="標楷體" w:hAnsi="標楷體" w:cs="華康細圓體" w:eastAsia="標楷體"/>
          <w:sz w:val="28"/>
        </w:rPr>
        <w:t>曰：「膀胱者，州都之官，津液藏焉，氣化則能出矣。」強調了水道的通調和氣化功能的關係是極為重要的。</w:t>
      </w:r>
      <w:r>
        <w:rPr>
          <w:rFonts w:eastAsia="標楷體" w:cs="MS Sans Serif;Arial" w:ascii="標楷體" w:hAnsi="標楷體"/>
          <w:sz w:val="28"/>
        </w:rPr>
        <w:t>&lt;&lt;</w:t>
      </w:r>
      <w:r>
        <w:rPr>
          <w:rFonts w:ascii="標楷體" w:hAnsi="標楷體" w:cs="MS Sans Serif;Arial" w:eastAsia="標楷體"/>
          <w:sz w:val="28"/>
        </w:rPr>
        <w:t>類經．疾病類．五十八</w:t>
      </w:r>
      <w:r>
        <w:rPr>
          <w:rFonts w:eastAsia="標楷體" w:cs="MS Sans Serif;Arial" w:ascii="標楷體" w:hAnsi="標楷體"/>
          <w:sz w:val="28"/>
        </w:rPr>
        <w:t>&gt;&gt;</w:t>
      </w:r>
      <w:r>
        <w:rPr>
          <w:rFonts w:ascii="標楷體" w:hAnsi="標楷體" w:cs="MS Sans Serif;Arial" w:eastAsia="標楷體"/>
          <w:sz w:val="28"/>
        </w:rPr>
        <w:t>注云：「此津液之為水脹也，三焦為決瀆之官，膀胱為津液之府，氣不化則水不行，所以三焦不能瀉，膀胱不能滲，而腫脹之病所由作，故治此者，當以氣化為主，試觀水潦為災，使非太陽照臨，則陰凝終不能散，泥濘終不能乾，能知此義則知陰陽氣化之道矣。」氣化的功能又和陰陽調和有關，如</w:t>
      </w:r>
      <w:r>
        <w:rPr>
          <w:rFonts w:eastAsia="標楷體" w:cs="MS Sans Serif;Arial" w:ascii="標楷體" w:hAnsi="標楷體"/>
          <w:sz w:val="28"/>
        </w:rPr>
        <w:t>&lt;&lt;</w:t>
      </w:r>
      <w:r>
        <w:rPr>
          <w:rFonts w:ascii="標楷體" w:hAnsi="標楷體" w:cs="MS Sans Serif;Arial" w:eastAsia="標楷體"/>
          <w:sz w:val="28"/>
        </w:rPr>
        <w:t>類經．疾病類．五十八</w:t>
      </w:r>
      <w:r>
        <w:rPr>
          <w:rFonts w:eastAsia="標楷體" w:cs="MS Sans Serif;Arial" w:ascii="標楷體" w:hAnsi="標楷體"/>
          <w:sz w:val="28"/>
        </w:rPr>
        <w:t>&gt;&gt;</w:t>
      </w:r>
      <w:r>
        <w:rPr>
          <w:rFonts w:ascii="標楷體" w:hAnsi="標楷體" w:cs="MS Sans Serif;Arial" w:eastAsia="標楷體"/>
          <w:sz w:val="28"/>
        </w:rPr>
        <w:t>注云：「陰陽和，則五液皆精，而充實於內；陰陽不和，則五精皆液，而流溢於外，此其所謂逆順也。」對此，</w:t>
      </w:r>
      <w:r>
        <w:rPr>
          <w:rFonts w:ascii="標楷體" w:hAnsi="標楷體" w:eastAsia="標楷體"/>
          <w:sz w:val="28"/>
        </w:rPr>
        <w:t>清朝醫家沈金鰲於</w:t>
      </w:r>
      <w:r>
        <w:rPr>
          <w:rFonts w:eastAsia="標楷體" w:ascii="標楷體" w:hAnsi="標楷體"/>
          <w:sz w:val="28"/>
        </w:rPr>
        <w:t>&lt;&lt;</w:t>
      </w:r>
      <w:r>
        <w:rPr>
          <w:rFonts w:ascii="標楷體" w:hAnsi="標楷體" w:eastAsia="標楷體"/>
          <w:sz w:val="28"/>
        </w:rPr>
        <w:t>雜病源流犀燭</w:t>
      </w:r>
      <w:r>
        <w:rPr>
          <w:rFonts w:eastAsia="標楷體" w:ascii="標楷體" w:hAnsi="標楷體"/>
          <w:sz w:val="28"/>
        </w:rPr>
        <w:t>&gt;&gt;</w:t>
      </w:r>
      <w:r>
        <w:rPr>
          <w:rFonts w:ascii="標楷體" w:hAnsi="標楷體" w:eastAsia="標楷體"/>
          <w:sz w:val="28"/>
        </w:rPr>
        <w:t>亦有說明：「水之為病，有不由脾土虛弱，不能制水，水逆上行，干及於肺，滲透經絡，流注溪谷，灌入隧道，血亦因而化水，精亦因而化水者乎</w:t>
      </w:r>
      <w:r>
        <w:rPr>
          <w:rFonts w:ascii="標楷體" w:hAnsi="標楷體" w:eastAsia="標楷體"/>
          <w:sz w:val="28"/>
        </w:rPr>
        <w:t>……，</w:t>
      </w:r>
      <w:r>
        <w:rPr>
          <w:rFonts w:ascii="標楷體" w:hAnsi="標楷體" w:eastAsia="標楷體"/>
          <w:sz w:val="28"/>
        </w:rPr>
        <w:t>氣即火，陰即水，陽旺則化，而精能為氣，陽衰則不能化，而水即為邪也</w:t>
      </w:r>
      <w:r>
        <w:rPr>
          <w:rFonts w:ascii="標楷體" w:hAnsi="標楷體" w:eastAsia="標楷體"/>
          <w:sz w:val="28"/>
        </w:rPr>
        <w:t>……，</w:t>
      </w:r>
      <w:r>
        <w:rPr>
          <w:rFonts w:ascii="標楷體" w:hAnsi="標楷體" w:eastAsia="標楷體"/>
          <w:sz w:val="28"/>
        </w:rPr>
        <w:t>故水不能化，則陰不從陽，而精氣亦皆化為水。」</w:t>
      </w:r>
    </w:p>
    <w:p>
      <w:pPr>
        <w:pStyle w:val="Normal"/>
        <w:numPr>
          <w:ilvl w:val="0"/>
          <w:numId w:val="0"/>
        </w:numPr>
        <w:snapToGrid w:val="false"/>
        <w:jc w:val="both"/>
        <w:outlineLvl w:val="0"/>
        <w:rPr/>
      </w:pPr>
      <w:r>
        <w:rPr>
          <w:rFonts w:eastAsia="標楷體" w:cs="標楷體" w:ascii="標楷體" w:hAnsi="標楷體"/>
          <w:sz w:val="28"/>
        </w:rPr>
        <w:t xml:space="preserve"> </w:t>
      </w:r>
      <w:r>
        <w:rPr>
          <w:rFonts w:eastAsia="標楷體" w:cs="標楷體" w:ascii="標楷體" w:hAnsi="標楷體"/>
          <w:b/>
          <w:sz w:val="28"/>
        </w:rPr>
        <w:t xml:space="preserve">   </w:t>
      </w:r>
      <w:r>
        <w:rPr>
          <w:rFonts w:ascii="標楷體" w:hAnsi="標楷體" w:eastAsia="標楷體"/>
          <w:b/>
          <w:sz w:val="28"/>
        </w:rPr>
        <w:t>三</w:t>
      </w:r>
      <w:r>
        <w:rPr>
          <w:rFonts w:ascii="標楷體" w:hAnsi="標楷體" w:eastAsia="標楷體"/>
          <w:b/>
          <w:sz w:val="28"/>
        </w:rPr>
        <w:t>、</w:t>
      </w:r>
      <w:r>
        <w:rPr>
          <w:rFonts w:ascii="標楷體" w:hAnsi="標楷體" w:eastAsia="標楷體"/>
          <w:b/>
          <w:sz w:val="28"/>
        </w:rPr>
        <w:t>腎水形成的原因</w:t>
      </w:r>
      <w:r>
        <w:rPr>
          <w:rFonts w:eastAsia="標楷體" w:ascii="標楷體" w:hAnsi="標楷體"/>
          <w:b/>
          <w:sz w:val="28"/>
        </w:rPr>
        <w:t>---</w:t>
      </w:r>
      <w:r>
        <w:rPr>
          <w:rFonts w:ascii="標楷體" w:hAnsi="標楷體" w:eastAsia="標楷體"/>
          <w:b/>
          <w:sz w:val="28"/>
        </w:rPr>
        <w:t>風</w:t>
      </w:r>
      <w:r>
        <w:rPr>
          <w:rFonts w:ascii="標楷體" w:hAnsi="標楷體" w:eastAsia="標楷體"/>
          <w:b/>
          <w:sz w:val="28"/>
        </w:rPr>
        <w:t>、</w:t>
      </w:r>
      <w:r>
        <w:rPr>
          <w:rFonts w:ascii="標楷體" w:hAnsi="標楷體" w:eastAsia="標楷體"/>
          <w:b/>
          <w:sz w:val="28"/>
        </w:rPr>
        <w:t>虛</w:t>
      </w:r>
    </w:p>
    <w:p>
      <w:pPr>
        <w:pStyle w:val="Normal"/>
        <w:numPr>
          <w:ilvl w:val="0"/>
          <w:numId w:val="0"/>
        </w:numPr>
        <w:overflowPunct w:val="false"/>
        <w:autoSpaceDE w:val="false"/>
        <w:snapToGrid w:val="false"/>
        <w:jc w:val="both"/>
        <w:outlineLvl w:val="0"/>
        <w:rPr/>
      </w:pPr>
      <w:r>
        <w:rPr>
          <w:rFonts w:eastAsia="標楷體" w:cs="標楷體" w:ascii="標楷體" w:hAnsi="標楷體"/>
          <w:sz w:val="28"/>
        </w:rPr>
        <w:t xml:space="preserve">    </w:t>
      </w:r>
      <w:r>
        <w:rPr>
          <w:rFonts w:ascii="標楷體" w:hAnsi="標楷體" w:eastAsia="標楷體"/>
          <w:sz w:val="28"/>
        </w:rPr>
        <w:t>（一）</w:t>
      </w:r>
      <w:r>
        <w:rPr>
          <w:rFonts w:ascii="標楷體" w:hAnsi="標楷體" w:eastAsia="標楷體"/>
          <w:b/>
          <w:sz w:val="28"/>
        </w:rPr>
        <w:t>風夾雜寒、濕、熱</w:t>
      </w:r>
    </w:p>
    <w:p>
      <w:pPr>
        <w:pStyle w:val="Normal"/>
        <w:overflowPunct w:val="false"/>
        <w:autoSpaceDE w:val="false"/>
        <w:snapToGrid w:val="false"/>
        <w:jc w:val="both"/>
        <w:rPr/>
      </w:pPr>
      <w:r>
        <w:rPr>
          <w:rFonts w:eastAsia="標楷體" w:cs="標楷體" w:ascii="標楷體" w:hAnsi="標楷體"/>
          <w:sz w:val="28"/>
        </w:rPr>
        <w:t xml:space="preserve">    </w:t>
      </w:r>
      <w:r>
        <w:rPr>
          <w:rFonts w:ascii="標楷體" w:hAnsi="標楷體" w:eastAsia="標楷體"/>
          <w:sz w:val="28"/>
        </w:rPr>
        <w:t>景岳於</w:t>
      </w:r>
      <w:r>
        <w:rPr>
          <w:rFonts w:eastAsia="標楷體" w:ascii="標楷體" w:hAnsi="標楷體"/>
          <w:sz w:val="28"/>
        </w:rPr>
        <w:t>&lt;&lt;</w:t>
      </w:r>
      <w:r>
        <w:rPr>
          <w:rFonts w:ascii="標楷體" w:hAnsi="標楷體" w:eastAsia="標楷體"/>
          <w:sz w:val="28"/>
        </w:rPr>
        <w:t>類經‧疾病類‧三十一</w:t>
      </w:r>
      <w:r>
        <w:rPr>
          <w:rFonts w:eastAsia="標楷體" w:ascii="標楷體" w:hAnsi="標楷體"/>
          <w:sz w:val="28"/>
        </w:rPr>
        <w:t>&gt;&gt;</w:t>
      </w:r>
      <w:r>
        <w:rPr>
          <w:rFonts w:ascii="標楷體" w:hAnsi="標楷體" w:eastAsia="標楷體"/>
          <w:sz w:val="28"/>
        </w:rPr>
        <w:t>中解釋了水腫最主要的成因為「風」，其稱</w:t>
      </w:r>
      <w:r>
        <w:rPr>
          <w:rFonts w:eastAsia="標楷體" w:ascii="標楷體" w:hAnsi="標楷體"/>
          <w:sz w:val="28"/>
        </w:rPr>
        <w:t>:</w:t>
      </w:r>
      <w:r>
        <w:rPr>
          <w:rFonts w:ascii="標楷體" w:hAnsi="標楷體" w:eastAsia="標楷體"/>
          <w:sz w:val="28"/>
        </w:rPr>
        <w:t>「</w:t>
      </w:r>
      <w:r>
        <w:rPr>
          <w:rFonts w:ascii="標楷體" w:hAnsi="標楷體" w:cs="MS Sans Serif;Arial" w:eastAsia="標楷體"/>
          <w:sz w:val="28"/>
        </w:rPr>
        <w:t>腎主水，風在腎經，即名風水。」</w:t>
      </w:r>
      <w:r>
        <w:rPr>
          <w:rFonts w:ascii="標楷體" w:hAnsi="標楷體" w:eastAsia="標楷體"/>
          <w:sz w:val="28"/>
        </w:rPr>
        <w:t>吳崑在解釋水腫的成因時亦稱：「腎者水臟，水邪居之，水邪又夾風熱，名曰腎風。」認為風熱是形成風水的主因。</w:t>
      </w:r>
      <w:r>
        <w:rPr>
          <w:rFonts w:eastAsia="標楷體" w:ascii="標楷體" w:hAnsi="標楷體"/>
          <w:sz w:val="28"/>
        </w:rPr>
        <w:t>&lt;&lt;</w:t>
      </w:r>
      <w:r>
        <w:rPr>
          <w:rFonts w:ascii="標楷體" w:hAnsi="標楷體" w:eastAsia="標楷體"/>
          <w:sz w:val="28"/>
        </w:rPr>
        <w:t>素問‧至真要大論</w:t>
      </w:r>
      <w:r>
        <w:rPr>
          <w:rFonts w:eastAsia="標楷體" w:ascii="標楷體" w:hAnsi="標楷體"/>
          <w:sz w:val="28"/>
        </w:rPr>
        <w:t>&gt;&gt;</w:t>
      </w:r>
      <w:r>
        <w:rPr>
          <w:rFonts w:ascii="標楷體" w:hAnsi="標楷體" w:eastAsia="標楷體"/>
          <w:sz w:val="28"/>
        </w:rPr>
        <w:t>「</w:t>
      </w:r>
      <w:r>
        <w:rPr>
          <w:rFonts w:ascii="標楷體" w:hAnsi="標楷體" w:eastAsia="標楷體"/>
          <w:sz w:val="28"/>
        </w:rPr>
        <w:t>太陰在泉，客勝則足痿下重，便溲不時，濕客下焦，發而濡瀉，及為腫、隱曲之疾。」則更進一步的說明：外邪侵犯，造成「濕客下焦」，終而成腫，除了風之外，亦包括了濕。關於此點，景岳於</w:t>
      </w:r>
      <w:r>
        <w:rPr>
          <w:rFonts w:eastAsia="標楷體" w:ascii="標楷體" w:hAnsi="標楷體"/>
          <w:sz w:val="28"/>
        </w:rPr>
        <w:t>&lt;&lt;</w:t>
      </w:r>
      <w:r>
        <w:rPr>
          <w:rFonts w:ascii="標楷體" w:hAnsi="標楷體" w:eastAsia="標楷體"/>
          <w:sz w:val="28"/>
        </w:rPr>
        <w:t>類經‧疾病類‧三十一</w:t>
      </w:r>
      <w:r>
        <w:rPr>
          <w:rFonts w:eastAsia="標楷體" w:ascii="標楷體" w:hAnsi="標楷體"/>
          <w:sz w:val="28"/>
        </w:rPr>
        <w:t>&gt;&gt;</w:t>
      </w:r>
      <w:r>
        <w:rPr>
          <w:rFonts w:ascii="標楷體" w:hAnsi="標楷體" w:eastAsia="標楷體"/>
          <w:sz w:val="28"/>
        </w:rPr>
        <w:t>提出</w:t>
      </w:r>
      <w:r>
        <w:rPr>
          <w:rFonts w:eastAsia="標楷體" w:ascii="標楷體" w:hAnsi="標楷體"/>
          <w:sz w:val="28"/>
        </w:rPr>
        <w:t>:</w:t>
      </w:r>
      <w:r>
        <w:rPr>
          <w:rFonts w:ascii="標楷體" w:hAnsi="標楷體" w:eastAsia="標楷體"/>
          <w:sz w:val="28"/>
        </w:rPr>
        <w:t>「濕氣大來，土之勝也，寒水受邪，腎病生焉。」亦有相類似之看法。除了以上所稱風、熱、濕相結會造成腎水之外，寒亦為形成水病的重要因子，如</w:t>
      </w:r>
      <w:r>
        <w:rPr>
          <w:rFonts w:eastAsia="標楷體" w:ascii="標楷體" w:hAnsi="標楷體"/>
          <w:sz w:val="28"/>
        </w:rPr>
        <w:t>&lt;&lt;</w:t>
      </w:r>
      <w:r>
        <w:rPr>
          <w:rFonts w:ascii="標楷體" w:hAnsi="標楷體" w:eastAsia="標楷體"/>
          <w:sz w:val="28"/>
        </w:rPr>
        <w:t>類經</w:t>
      </w:r>
      <w:r>
        <w:rPr>
          <w:rFonts w:eastAsia="標楷體" w:ascii="標楷體" w:hAnsi="標楷體"/>
          <w:sz w:val="28"/>
        </w:rPr>
        <w:t>&gt;&gt;</w:t>
      </w:r>
      <w:r>
        <w:rPr>
          <w:rFonts w:ascii="標楷體" w:hAnsi="標楷體" w:eastAsia="標楷體"/>
          <w:sz w:val="28"/>
        </w:rPr>
        <w:t>「</w:t>
      </w:r>
      <w:r>
        <w:rPr>
          <w:rFonts w:ascii="標楷體" w:hAnsi="標楷體" w:eastAsia="標楷體"/>
          <w:sz w:val="28"/>
        </w:rPr>
        <w:t>三陰竭謂之水」，而</w:t>
      </w:r>
      <w:r>
        <w:rPr>
          <w:rFonts w:eastAsia="標楷體" w:ascii="標楷體" w:hAnsi="標楷體"/>
          <w:sz w:val="28"/>
        </w:rPr>
        <w:t>&lt;&lt;</w:t>
      </w:r>
      <w:r>
        <w:rPr>
          <w:rFonts w:ascii="標楷體" w:hAnsi="標楷體" w:eastAsia="標楷體"/>
          <w:sz w:val="28"/>
        </w:rPr>
        <w:t>素問‧疾病類‧六</w:t>
      </w:r>
      <w:r>
        <w:rPr>
          <w:rFonts w:eastAsia="標楷體" w:ascii="標楷體" w:hAnsi="標楷體"/>
          <w:sz w:val="28"/>
        </w:rPr>
        <w:t>&gt;&gt;</w:t>
      </w:r>
      <w:r>
        <w:rPr>
          <w:rFonts w:ascii="標楷體" w:hAnsi="標楷體" w:eastAsia="標楷體"/>
          <w:sz w:val="28"/>
        </w:rPr>
        <w:t>「</w:t>
      </w:r>
      <w:r>
        <w:rPr>
          <w:rFonts w:ascii="標楷體" w:hAnsi="標楷體" w:cs="MS Sans Serif;Arial" w:eastAsia="標楷體"/>
          <w:sz w:val="28"/>
        </w:rPr>
        <w:t>脾肺二經也，脾土所以制水，土病則水反侮之，肺金所以生水，氣病則水為不行，故寒結三陰，則氣化為水。」</w:t>
      </w:r>
      <w:r>
        <w:rPr>
          <w:rFonts w:ascii="標楷體" w:hAnsi="標楷體" w:eastAsia="標楷體"/>
          <w:sz w:val="28"/>
        </w:rPr>
        <w:t>除了說明寒邪導致水邪的致病機理之外，亦說明了其和脾肺二臟的虛損有關。</w:t>
      </w:r>
    </w:p>
    <w:p>
      <w:pPr>
        <w:pStyle w:val="Normal"/>
        <w:numPr>
          <w:ilvl w:val="0"/>
          <w:numId w:val="0"/>
        </w:numPr>
        <w:snapToGrid w:val="false"/>
        <w:jc w:val="both"/>
        <w:outlineLvl w:val="0"/>
        <w:rPr/>
      </w:pPr>
      <w:r>
        <w:rPr>
          <w:rFonts w:eastAsia="標楷體" w:cs="標楷體" w:ascii="標楷體" w:hAnsi="標楷體"/>
          <w:sz w:val="28"/>
        </w:rPr>
        <w:t xml:space="preserve">    </w:t>
      </w:r>
      <w:r>
        <w:rPr>
          <w:rFonts w:ascii="標楷體" w:hAnsi="標楷體" w:eastAsia="標楷體"/>
          <w:sz w:val="28"/>
        </w:rPr>
        <w:t>（二）</w:t>
      </w:r>
      <w:r>
        <w:rPr>
          <w:rFonts w:ascii="標楷體" w:hAnsi="標楷體" w:eastAsia="標楷體"/>
          <w:b/>
          <w:sz w:val="28"/>
        </w:rPr>
        <w:t>水病的形成和本虛有關</w:t>
      </w:r>
    </w:p>
    <w:p>
      <w:pPr>
        <w:pStyle w:val="Normal"/>
        <w:overflowPunct w:val="false"/>
        <w:autoSpaceDE w:val="false"/>
        <w:snapToGrid w:val="false"/>
        <w:jc w:val="both"/>
        <w:rPr/>
      </w:pPr>
      <w:r>
        <w:rPr>
          <w:rFonts w:eastAsia="標楷體" w:cs="標楷體" w:ascii="標楷體" w:hAnsi="標楷體"/>
          <w:sz w:val="28"/>
        </w:rPr>
        <w:t xml:space="preserve">    </w:t>
      </w:r>
      <w:r>
        <w:rPr>
          <w:rFonts w:ascii="標楷體" w:hAnsi="標楷體" w:eastAsia="標楷體"/>
          <w:sz w:val="28"/>
        </w:rPr>
        <w:t>水腫造成的原因除了標實之外，本虛亦有相當的影響，如</w:t>
      </w:r>
      <w:r>
        <w:rPr>
          <w:rFonts w:eastAsia="標楷體" w:ascii="標楷體" w:hAnsi="標楷體"/>
          <w:sz w:val="28"/>
        </w:rPr>
        <w:t>&lt;&lt;</w:t>
      </w:r>
      <w:r>
        <w:rPr>
          <w:rFonts w:ascii="標楷體" w:hAnsi="標楷體" w:eastAsia="標楷體"/>
          <w:sz w:val="28"/>
        </w:rPr>
        <w:t>諸病源候論‧風水候</w:t>
      </w:r>
      <w:r>
        <w:rPr>
          <w:rFonts w:eastAsia="標楷體" w:ascii="標楷體" w:hAnsi="標楷體"/>
          <w:sz w:val="28"/>
        </w:rPr>
        <w:t>&gt;&gt;</w:t>
      </w:r>
      <w:r>
        <w:rPr>
          <w:rFonts w:ascii="標楷體" w:hAnsi="標楷體" w:eastAsia="標楷體"/>
          <w:sz w:val="28"/>
        </w:rPr>
        <w:t>「</w:t>
      </w:r>
      <w:r>
        <w:rPr>
          <w:rFonts w:ascii="標楷體" w:hAnsi="標楷體" w:cs="MS Sans Serif;Arial" w:eastAsia="標楷體"/>
          <w:sz w:val="28"/>
        </w:rPr>
        <w:t>風水病者</w:t>
      </w:r>
      <w:r>
        <w:rPr>
          <w:rFonts w:ascii="標楷體" w:hAnsi="標楷體" w:cs="MS Sans Serif;Arial" w:eastAsia="標楷體"/>
          <w:sz w:val="28"/>
        </w:rPr>
        <w:t>，</w:t>
      </w:r>
      <w:r>
        <w:rPr>
          <w:rFonts w:ascii="標楷體" w:hAnsi="標楷體" w:cs="MS Sans Serif;Arial" w:eastAsia="標楷體"/>
          <w:sz w:val="28"/>
        </w:rPr>
        <w:t>由脾腎氣虛弱所為也。腎勞則虛，虛則汗出，汗出逢風，風氣內入，還客於腎，脾虛又不能制於水，故水散溢皮膚，又與風濕相摶，故云風水也。」脾腎氣虛導致了「風」邪的病症，病邪又惡化脾腎臟腑機能失調的狀況，終而形成「風水」。</w:t>
      </w:r>
      <w:r>
        <w:rPr>
          <w:rFonts w:eastAsia="標楷體" w:ascii="標楷體" w:hAnsi="標楷體"/>
          <w:sz w:val="28"/>
        </w:rPr>
        <w:t>&lt;&lt;</w:t>
      </w:r>
      <w:r>
        <w:rPr>
          <w:rFonts w:ascii="標楷體" w:hAnsi="標楷體" w:eastAsia="標楷體"/>
          <w:sz w:val="28"/>
        </w:rPr>
        <w:t>素問‧水熱穴論</w:t>
      </w:r>
      <w:r>
        <w:rPr>
          <w:rFonts w:eastAsia="標楷體" w:ascii="標楷體" w:hAnsi="標楷體"/>
          <w:sz w:val="28"/>
        </w:rPr>
        <w:t>&gt;&gt;</w:t>
      </w:r>
      <w:r>
        <w:rPr>
          <w:rFonts w:ascii="標楷體" w:hAnsi="標楷體" w:eastAsia="標楷體"/>
          <w:sz w:val="28"/>
        </w:rPr>
        <w:t>稱</w:t>
      </w:r>
      <w:r>
        <w:rPr>
          <w:rFonts w:eastAsia="標楷體" w:ascii="標楷體" w:hAnsi="標楷體"/>
          <w:sz w:val="28"/>
        </w:rPr>
        <w:t>:</w:t>
      </w:r>
      <w:r>
        <w:rPr>
          <w:rFonts w:ascii="標楷體" w:hAnsi="標楷體" w:eastAsia="標楷體"/>
          <w:sz w:val="28"/>
        </w:rPr>
        <w:t>「腎汗出，逢於風</w:t>
      </w:r>
      <w:r>
        <w:rPr>
          <w:rFonts w:ascii="標楷體" w:hAnsi="標楷體" w:eastAsia="標楷體"/>
          <w:sz w:val="28"/>
        </w:rPr>
        <w:t>……，</w:t>
      </w:r>
      <w:r>
        <w:rPr>
          <w:rFonts w:ascii="標楷體" w:hAnsi="標楷體" w:eastAsia="標楷體"/>
          <w:sz w:val="28"/>
        </w:rPr>
        <w:t>本之於腎，名曰風水</w:t>
      </w:r>
      <w:r>
        <w:rPr>
          <w:rFonts w:ascii="標楷體" w:hAnsi="標楷體" w:eastAsia="標楷體"/>
          <w:sz w:val="28"/>
        </w:rPr>
        <w:t>。」</w:t>
      </w:r>
      <w:r>
        <w:rPr>
          <w:rFonts w:ascii="標楷體" w:hAnsi="標楷體" w:eastAsia="標楷體"/>
          <w:sz w:val="28"/>
        </w:rPr>
        <w:t>亦以風為形成水病的原因，但究其底則為腎虛所造成。</w:t>
      </w:r>
    </w:p>
    <w:p>
      <w:pPr>
        <w:pStyle w:val="Normal"/>
        <w:snapToGrid w:val="false"/>
        <w:jc w:val="both"/>
        <w:rPr/>
      </w:pPr>
      <w:r>
        <w:rPr>
          <w:rFonts w:eastAsia="標楷體" w:cs="標楷體" w:ascii="標楷體" w:hAnsi="標楷體"/>
          <w:sz w:val="28"/>
        </w:rPr>
        <w:t xml:space="preserve">    </w:t>
      </w:r>
      <w:r>
        <w:rPr>
          <w:rFonts w:eastAsia="標楷體" w:ascii="標楷體" w:hAnsi="標楷體"/>
          <w:sz w:val="28"/>
        </w:rPr>
        <w:t>&lt;&lt;</w:t>
      </w:r>
      <w:r>
        <w:rPr>
          <w:rFonts w:ascii="標楷體" w:hAnsi="標楷體" w:eastAsia="標楷體"/>
          <w:sz w:val="28"/>
        </w:rPr>
        <w:t>素問‧湯液醪醴論</w:t>
      </w:r>
      <w:r>
        <w:rPr>
          <w:rFonts w:eastAsia="標楷體" w:ascii="標楷體" w:hAnsi="標楷體"/>
          <w:sz w:val="28"/>
        </w:rPr>
        <w:t>&gt;&gt;</w:t>
      </w:r>
      <w:r>
        <w:rPr>
          <w:rFonts w:ascii="標楷體" w:hAnsi="標楷體" w:eastAsia="標楷體"/>
          <w:sz w:val="28"/>
        </w:rPr>
        <w:t>「五藏陽以竭也，津液充郭，其魄獨居，精孤於內，氣耗於外。」景岳於</w:t>
      </w:r>
      <w:r>
        <w:rPr>
          <w:rFonts w:eastAsia="標楷體" w:ascii="標楷體" w:hAnsi="標楷體"/>
          <w:sz w:val="28"/>
        </w:rPr>
        <w:t>&lt;&lt;</w:t>
      </w:r>
      <w:r>
        <w:rPr>
          <w:rFonts w:ascii="標楷體" w:hAnsi="標楷體" w:eastAsia="標楷體"/>
          <w:sz w:val="28"/>
        </w:rPr>
        <w:t>素問‧論治類‧十五</w:t>
      </w:r>
      <w:r>
        <w:rPr>
          <w:rFonts w:eastAsia="標楷體" w:ascii="標楷體" w:hAnsi="標楷體"/>
          <w:sz w:val="28"/>
        </w:rPr>
        <w:t>&gt;&gt;</w:t>
      </w:r>
      <w:r>
        <w:rPr>
          <w:rFonts w:ascii="標楷體" w:hAnsi="標楷體" w:eastAsia="標楷體"/>
          <w:sz w:val="28"/>
        </w:rPr>
        <w:t>解釋曰：「五藏陽以竭，有陰無陽也。」說明了陽氣的溫煦作用被鬱而竭，於是陰邪的病理產物積聚，如水腫；此病邪又反過來耗損正氣而造成「精孤於內，氣耗於外」。</w:t>
      </w:r>
      <w:r>
        <w:rPr>
          <w:rFonts w:ascii="標楷體" w:hAnsi="標楷體" w:cs="MS Sans Serif;Arial" w:eastAsia="標楷體"/>
          <w:sz w:val="28"/>
        </w:rPr>
        <w:t>總結以上，水腫的形成和本虛標實相關，因虛致實會造成病邪的入侵，形成水腫，終而又惡化本虛。本虛指的是肺脾腎三臟的虛，而標實則為風、寒、濕、熱等邪夾雜而成。</w:t>
      </w:r>
    </w:p>
    <w:p>
      <w:pPr>
        <w:pStyle w:val="Normal"/>
        <w:overflowPunct w:val="false"/>
        <w:autoSpaceDE w:val="false"/>
        <w:snapToGrid w:val="false"/>
        <w:jc w:val="both"/>
        <w:rPr/>
      </w:pPr>
      <w:r>
        <w:rPr>
          <w:rFonts w:eastAsia="標楷體" w:cs="標楷體" w:ascii="標楷體" w:hAnsi="標楷體"/>
          <w:sz w:val="28"/>
        </w:rPr>
        <w:t xml:space="preserve">   </w:t>
      </w:r>
      <w:r>
        <w:rPr>
          <w:rFonts w:ascii="標楷體" w:hAnsi="標楷體" w:eastAsia="標楷體"/>
          <w:sz w:val="28"/>
        </w:rPr>
        <w:t>另外節氣的變化也是造成水腫的原因之一，如</w:t>
      </w:r>
      <w:r>
        <w:rPr>
          <w:rFonts w:eastAsia="標楷體" w:ascii="標楷體" w:hAnsi="標楷體"/>
          <w:sz w:val="28"/>
        </w:rPr>
        <w:t>&lt;&lt;</w:t>
      </w:r>
      <w:r>
        <w:rPr>
          <w:rFonts w:ascii="標楷體" w:hAnsi="標楷體" w:eastAsia="標楷體"/>
          <w:sz w:val="28"/>
        </w:rPr>
        <w:t>素問‧至真要大論</w:t>
      </w:r>
      <w:r>
        <w:rPr>
          <w:rFonts w:eastAsia="標楷體" w:ascii="標楷體" w:hAnsi="標楷體"/>
          <w:sz w:val="28"/>
        </w:rPr>
        <w:t>&gt;&gt;</w:t>
      </w:r>
      <w:r>
        <w:rPr>
          <w:rFonts w:ascii="標楷體" w:hAnsi="標楷體" w:eastAsia="標楷體"/>
          <w:sz w:val="28"/>
        </w:rPr>
        <w:t>稱</w:t>
      </w:r>
      <w:r>
        <w:rPr>
          <w:rFonts w:eastAsia="標楷體" w:ascii="標楷體" w:hAnsi="標楷體"/>
          <w:sz w:val="28"/>
        </w:rPr>
        <w:t>:</w:t>
      </w:r>
      <w:r>
        <w:rPr>
          <w:rFonts w:ascii="標楷體" w:hAnsi="標楷體" w:eastAsia="標楷體"/>
          <w:sz w:val="28"/>
        </w:rPr>
        <w:t>「太陰司天，客勝則首面胕腫，呼吸氣喘。」</w:t>
      </w:r>
    </w:p>
    <w:p>
      <w:pPr>
        <w:pStyle w:val="Normal"/>
        <w:numPr>
          <w:ilvl w:val="0"/>
          <w:numId w:val="0"/>
        </w:numPr>
        <w:snapToGrid w:val="false"/>
        <w:jc w:val="both"/>
        <w:outlineLvl w:val="0"/>
        <w:rPr/>
      </w:pPr>
      <w:r>
        <w:rPr>
          <w:rFonts w:eastAsia="標楷體" w:cs="標楷體" w:ascii="標楷體" w:hAnsi="標楷體"/>
          <w:b/>
          <w:sz w:val="28"/>
        </w:rPr>
        <w:t xml:space="preserve">    </w:t>
      </w:r>
      <w:r>
        <w:rPr>
          <w:rFonts w:ascii="標楷體" w:hAnsi="標楷體" w:eastAsia="標楷體"/>
          <w:b/>
          <w:sz w:val="28"/>
        </w:rPr>
        <w:t>四</w:t>
      </w:r>
      <w:r>
        <w:rPr>
          <w:rFonts w:ascii="標楷體" w:hAnsi="標楷體" w:eastAsia="標楷體"/>
          <w:b/>
          <w:sz w:val="28"/>
        </w:rPr>
        <w:t>、</w:t>
      </w:r>
      <w:r>
        <w:rPr>
          <w:rFonts w:ascii="標楷體" w:hAnsi="標楷體" w:eastAsia="標楷體"/>
          <w:b/>
          <w:sz w:val="28"/>
        </w:rPr>
        <w:t>腎風加重演變為風水</w:t>
      </w:r>
    </w:p>
    <w:p>
      <w:pPr>
        <w:pStyle w:val="Normal"/>
        <w:snapToGrid w:val="false"/>
        <w:jc w:val="both"/>
        <w:rPr/>
      </w:pPr>
      <w:r>
        <w:rPr>
          <w:rFonts w:eastAsia="標楷體" w:cs="標楷體" w:ascii="標楷體" w:hAnsi="標楷體"/>
          <w:sz w:val="28"/>
        </w:rPr>
        <w:t xml:space="preserve">    </w:t>
      </w:r>
      <w:r>
        <w:rPr>
          <w:rFonts w:eastAsia="標楷體" w:ascii="標楷體" w:hAnsi="標楷體"/>
          <w:sz w:val="28"/>
        </w:rPr>
        <w:t>&lt;&lt;</w:t>
      </w:r>
      <w:r>
        <w:rPr>
          <w:rFonts w:ascii="標楷體" w:hAnsi="標楷體" w:eastAsia="標楷體"/>
          <w:sz w:val="28"/>
        </w:rPr>
        <w:t>素問‧評熱病論</w:t>
      </w:r>
      <w:r>
        <w:rPr>
          <w:rFonts w:eastAsia="標楷體" w:ascii="標楷體" w:hAnsi="標楷體"/>
          <w:sz w:val="28"/>
        </w:rPr>
        <w:t>&gt;&gt;</w:t>
      </w:r>
      <w:r>
        <w:rPr>
          <w:rFonts w:ascii="標楷體" w:hAnsi="標楷體" w:eastAsia="標楷體"/>
          <w:sz w:val="28"/>
        </w:rPr>
        <w:t>曰</w:t>
      </w:r>
      <w:r>
        <w:rPr>
          <w:rFonts w:eastAsia="標楷體" w:ascii="標楷體" w:hAnsi="標楷體"/>
          <w:sz w:val="28"/>
        </w:rPr>
        <w:t>:</w:t>
      </w:r>
      <w:r>
        <w:rPr>
          <w:rFonts w:ascii="標楷體" w:hAnsi="標楷體" w:eastAsia="標楷體"/>
          <w:sz w:val="28"/>
        </w:rPr>
        <w:t>「有病腎風者，面胕痝然壅，</w:t>
      </w:r>
      <w:r>
        <w:rPr>
          <w:rFonts w:ascii="標楷體" w:hAnsi="標楷體" w:eastAsia="標楷體"/>
          <w:sz w:val="28"/>
        </w:rPr>
        <w:t>……</w:t>
      </w:r>
      <w:r>
        <w:rPr>
          <w:rFonts w:ascii="標楷體" w:hAnsi="標楷體" w:eastAsia="標楷體"/>
          <w:sz w:val="28"/>
        </w:rPr>
        <w:t>目下腫，腹中鳴，身重難以行</w:t>
      </w:r>
      <w:r>
        <w:rPr>
          <w:rFonts w:ascii="標楷體" w:hAnsi="標楷體" w:eastAsia="標楷體"/>
          <w:sz w:val="28"/>
        </w:rPr>
        <w:t>……</w:t>
      </w:r>
      <w:r>
        <w:rPr>
          <w:rFonts w:ascii="標楷體" w:hAnsi="標楷體" w:eastAsia="標楷體"/>
          <w:sz w:val="28"/>
        </w:rPr>
        <w:t>，不能正偃，正偃則咳，病名曰風水，論在刺法中。」可見風水可以由腎風進一步發展而來。景岳於</w:t>
      </w:r>
      <w:r>
        <w:rPr>
          <w:rFonts w:eastAsia="標楷體" w:ascii="標楷體" w:hAnsi="標楷體"/>
          <w:sz w:val="28"/>
        </w:rPr>
        <w:t>&lt;&lt;</w:t>
      </w:r>
      <w:r>
        <w:rPr>
          <w:rFonts w:ascii="標楷體" w:hAnsi="標楷體" w:eastAsia="標楷體"/>
          <w:sz w:val="28"/>
        </w:rPr>
        <w:t>類經‧疾病類‧三十一</w:t>
      </w:r>
      <w:r>
        <w:rPr>
          <w:rFonts w:eastAsia="標楷體" w:ascii="標楷體" w:hAnsi="標楷體"/>
          <w:sz w:val="28"/>
        </w:rPr>
        <w:t>&gt;&gt;</w:t>
      </w:r>
      <w:r>
        <w:rPr>
          <w:rFonts w:ascii="標楷體" w:hAnsi="標楷體" w:eastAsia="標楷體"/>
          <w:sz w:val="28"/>
        </w:rPr>
        <w:t>解釋其機理，而稱「腎主水，風在腎經，即名風水</w:t>
      </w:r>
      <w:r>
        <w:rPr>
          <w:rFonts w:ascii="標楷體" w:hAnsi="標楷體" w:eastAsia="標楷體"/>
          <w:sz w:val="28"/>
        </w:rPr>
        <w:t>……</w:t>
      </w:r>
      <w:r>
        <w:rPr>
          <w:rFonts w:ascii="標楷體" w:hAnsi="標楷體" w:cs="MS Sans Serif;Arial" w:eastAsia="標楷體"/>
          <w:sz w:val="28"/>
        </w:rPr>
        <w:t>此病以腎陰不足而復刺之</w:t>
      </w:r>
      <w:r>
        <w:rPr>
          <w:rFonts w:ascii="標楷體" w:hAnsi="標楷體" w:cs="MS Sans Serif;Arial" w:eastAsia="標楷體"/>
          <w:sz w:val="28"/>
        </w:rPr>
        <w:t>，</w:t>
      </w:r>
      <w:r>
        <w:rPr>
          <w:rFonts w:ascii="標楷體" w:hAnsi="標楷體" w:cs="MS Sans Serif;Arial" w:eastAsia="標楷體"/>
          <w:sz w:val="28"/>
        </w:rPr>
        <w:t>則重傷真陰</w:t>
      </w:r>
      <w:r>
        <w:rPr>
          <w:rFonts w:ascii="標楷體" w:hAnsi="標楷體" w:cs="MS Sans Serif;Arial" w:eastAsia="標楷體"/>
          <w:sz w:val="28"/>
        </w:rPr>
        <w:t>，</w:t>
      </w:r>
      <w:r>
        <w:rPr>
          <w:rFonts w:ascii="標楷體" w:hAnsi="標楷體" w:cs="MS Sans Serif;Arial" w:eastAsia="標楷體"/>
          <w:sz w:val="28"/>
        </w:rPr>
        <w:t>乃成是病</w:t>
      </w:r>
      <w:r>
        <w:rPr>
          <w:rFonts w:ascii="標楷體" w:hAnsi="標楷體" w:cs="MS Sans Serif;Arial" w:eastAsia="標楷體"/>
          <w:sz w:val="28"/>
        </w:rPr>
        <w:t>。</w:t>
      </w:r>
      <w:r>
        <w:rPr>
          <w:rFonts w:ascii="標楷體" w:hAnsi="標楷體" w:eastAsia="標楷體"/>
          <w:sz w:val="28"/>
        </w:rPr>
        <w:t>」</w:t>
      </w:r>
      <w:r>
        <w:rPr>
          <w:rFonts w:ascii="標楷體" w:hAnsi="標楷體" w:eastAsia="標楷體"/>
          <w:sz w:val="28"/>
        </w:rPr>
        <w:t>再觀</w:t>
      </w:r>
      <w:r>
        <w:rPr>
          <w:rFonts w:eastAsia="標楷體" w:ascii="標楷體" w:hAnsi="標楷體"/>
          <w:sz w:val="28"/>
        </w:rPr>
        <w:t>&lt;&lt;</w:t>
      </w:r>
      <w:r>
        <w:rPr>
          <w:rFonts w:ascii="標楷體" w:hAnsi="標楷體" w:eastAsia="標楷體"/>
          <w:sz w:val="28"/>
        </w:rPr>
        <w:t>素問‧水熱穴論</w:t>
      </w:r>
      <w:r>
        <w:rPr>
          <w:rFonts w:eastAsia="標楷體" w:ascii="標楷體" w:hAnsi="標楷體"/>
          <w:sz w:val="28"/>
        </w:rPr>
        <w:t>&gt;&gt;</w:t>
      </w:r>
      <w:r>
        <w:rPr>
          <w:rFonts w:ascii="標楷體" w:hAnsi="標楷體" w:eastAsia="標楷體"/>
          <w:sz w:val="28"/>
        </w:rPr>
        <w:t>所言</w:t>
      </w:r>
      <w:r>
        <w:rPr>
          <w:rFonts w:eastAsia="標楷體" w:ascii="標楷體" w:hAnsi="標楷體"/>
          <w:sz w:val="28"/>
        </w:rPr>
        <w:t>:</w:t>
      </w:r>
      <w:r>
        <w:rPr>
          <w:rFonts w:ascii="標楷體" w:hAnsi="標楷體" w:eastAsia="標楷體"/>
          <w:sz w:val="28"/>
        </w:rPr>
        <w:t>「腎汗出逢於風，內不得入於藏府，外不得越於皮膚，客於玄府，行於皮裏，傳為胕腫，本之於腎，名曰風水。」</w:t>
      </w:r>
      <w:r>
        <w:rPr>
          <w:rFonts w:eastAsia="標楷體" w:ascii="標楷體" w:hAnsi="標楷體"/>
          <w:sz w:val="28"/>
        </w:rPr>
        <w:t>&lt;&lt;</w:t>
      </w:r>
      <w:r>
        <w:rPr>
          <w:rFonts w:ascii="標楷體" w:hAnsi="標楷體" w:eastAsia="標楷體"/>
          <w:sz w:val="28"/>
        </w:rPr>
        <w:t>靈樞‧論疾診尺論</w:t>
      </w:r>
      <w:r>
        <w:rPr>
          <w:rFonts w:eastAsia="標楷體" w:ascii="標楷體" w:hAnsi="標楷體"/>
          <w:sz w:val="28"/>
        </w:rPr>
        <w:t>&gt;&gt;</w:t>
      </w:r>
      <w:r>
        <w:rPr>
          <w:rFonts w:ascii="標楷體" w:hAnsi="標楷體" w:eastAsia="標楷體"/>
          <w:sz w:val="28"/>
        </w:rPr>
        <w:t>稱</w:t>
      </w:r>
      <w:r>
        <w:rPr>
          <w:rFonts w:eastAsia="標楷體" w:ascii="標楷體" w:hAnsi="標楷體"/>
          <w:sz w:val="28"/>
        </w:rPr>
        <w:t>:</w:t>
      </w:r>
      <w:r>
        <w:rPr>
          <w:rFonts w:ascii="標楷體" w:hAnsi="標楷體" w:eastAsia="標楷體"/>
          <w:sz w:val="28"/>
        </w:rPr>
        <w:t>「視人之目窠上微壅，如新臥起狀，其頸脈動，時咳，按其手足上，窅而不起者，風水膚脹也。」可知腎風與風水的關係。</w:t>
      </w:r>
      <w:r>
        <w:rPr>
          <w:rFonts w:eastAsia="標楷體" w:ascii="標楷體" w:hAnsi="標楷體"/>
          <w:sz w:val="28"/>
        </w:rPr>
        <w:t>&lt;&lt;</w:t>
      </w:r>
      <w:r>
        <w:rPr>
          <w:rFonts w:ascii="標楷體" w:hAnsi="標楷體" w:eastAsia="標楷體"/>
          <w:sz w:val="28"/>
        </w:rPr>
        <w:t>靈樞‧水脹</w:t>
      </w:r>
      <w:r>
        <w:rPr>
          <w:rFonts w:eastAsia="標楷體" w:ascii="標楷體" w:hAnsi="標楷體"/>
          <w:sz w:val="28"/>
        </w:rPr>
        <w:t>&gt;&gt;</w:t>
      </w:r>
      <w:r>
        <w:rPr>
          <w:rFonts w:ascii="標楷體" w:hAnsi="標楷體" w:eastAsia="標楷體"/>
          <w:sz w:val="28"/>
        </w:rPr>
        <w:t>「水始起也，目窠上微腫，如新臥起之狀，其頸脈動，時咳，陰股間寒，足脛腫，腹乃大，其水已成矣。以手按其腹，隨手而起，如裡水之狀，此其候也。」則說明了從腎風發展到風水，病症的演變。</w:t>
      </w:r>
    </w:p>
    <w:p>
      <w:pPr>
        <w:pStyle w:val="Normal"/>
        <w:snapToGrid w:val="false"/>
        <w:jc w:val="both"/>
        <w:rPr/>
      </w:pPr>
      <w:r>
        <w:rPr>
          <w:rFonts w:eastAsia="標楷體" w:cs="標楷體" w:ascii="標楷體" w:hAnsi="標楷體"/>
          <w:sz w:val="28"/>
        </w:rPr>
        <w:t xml:space="preserve">     </w:t>
      </w:r>
      <w:r>
        <w:rPr>
          <w:rFonts w:ascii="標楷體" w:hAnsi="標楷體" w:cs="華康細圓體" w:eastAsia="標楷體"/>
          <w:sz w:val="28"/>
        </w:rPr>
        <w:t>風水之病如</w:t>
      </w:r>
      <w:r>
        <w:rPr>
          <w:rFonts w:eastAsia="標楷體" w:cs="華康細圓體" w:ascii="標楷體" w:hAnsi="標楷體"/>
          <w:sz w:val="28"/>
        </w:rPr>
        <w:t>&lt;&lt;</w:t>
      </w:r>
      <w:r>
        <w:rPr>
          <w:rFonts w:ascii="標楷體" w:hAnsi="標楷體" w:cs="華康細圓體" w:eastAsia="標楷體"/>
          <w:sz w:val="28"/>
        </w:rPr>
        <w:t>素問．平人氣象論</w:t>
      </w:r>
      <w:r>
        <w:rPr>
          <w:rFonts w:eastAsia="標楷體" w:cs="華康細圓體" w:ascii="標楷體" w:hAnsi="標楷體"/>
          <w:sz w:val="28"/>
        </w:rPr>
        <w:t>&gt;&gt;</w:t>
      </w:r>
      <w:r>
        <w:rPr>
          <w:rFonts w:ascii="標楷體" w:hAnsi="標楷體" w:cs="華康細圓體" w:eastAsia="標楷體"/>
          <w:sz w:val="28"/>
        </w:rPr>
        <w:t>所言：「頸脈動，喘疾，曰水。目裹微腫，如臥蠶起之狀，曰水。</w:t>
      </w:r>
      <w:r>
        <w:rPr>
          <w:rFonts w:ascii="標楷體" w:hAnsi="標楷體" w:cs="華康細圓體" w:eastAsia="標楷體"/>
          <w:sz w:val="28"/>
        </w:rPr>
        <w:t>……</w:t>
      </w:r>
      <w:r>
        <w:rPr>
          <w:rFonts w:ascii="標楷體" w:hAnsi="標楷體" w:cs="華康細圓體" w:eastAsia="標楷體"/>
          <w:sz w:val="28"/>
        </w:rPr>
        <w:t>面腫曰風，足脛腫曰水。」本段亦說明了風水的情狀，風水症狀的描述亦如</w:t>
      </w:r>
      <w:r>
        <w:rPr>
          <w:rFonts w:eastAsia="標楷體" w:cs="華康細圓體" w:ascii="標楷體" w:hAnsi="標楷體"/>
          <w:sz w:val="28"/>
        </w:rPr>
        <w:t>&lt;&lt;</w:t>
      </w:r>
      <w:r>
        <w:rPr>
          <w:rFonts w:ascii="標楷體" w:hAnsi="標楷體" w:cs="華康細圓體" w:eastAsia="標楷體"/>
          <w:sz w:val="28"/>
        </w:rPr>
        <w:t>素問．大奇論</w:t>
      </w:r>
      <w:r>
        <w:rPr>
          <w:rFonts w:eastAsia="標楷體" w:cs="華康細圓體" w:ascii="標楷體" w:hAnsi="標楷體"/>
          <w:sz w:val="28"/>
        </w:rPr>
        <w:t>&gt;&gt;</w:t>
      </w:r>
      <w:r>
        <w:rPr>
          <w:rFonts w:ascii="標楷體" w:hAnsi="標楷體" w:cs="華康細圓體" w:eastAsia="標楷體"/>
          <w:sz w:val="28"/>
        </w:rPr>
        <w:t>所言：「腎雍，腳下至少腹滿，脛有大小，髀胻大跛，易偏枯。</w:t>
      </w:r>
      <w:r>
        <w:rPr>
          <w:rFonts w:ascii="標楷體" w:hAnsi="標楷體" w:cs="華康細圓體" w:eastAsia="標楷體"/>
          <w:sz w:val="28"/>
        </w:rPr>
        <w:t>……</w:t>
      </w:r>
      <w:r>
        <w:rPr>
          <w:rFonts w:ascii="標楷體" w:hAnsi="標楷體" w:cs="華康細圓體" w:eastAsia="標楷體"/>
          <w:sz w:val="28"/>
        </w:rPr>
        <w:t>腎肝并沉為石水，并浮為風水。」風水症狀更進一步的發展則如</w:t>
      </w:r>
      <w:r>
        <w:rPr>
          <w:rFonts w:eastAsia="標楷體" w:cs="華康細圓體" w:ascii="標楷體" w:hAnsi="標楷體"/>
          <w:sz w:val="28"/>
        </w:rPr>
        <w:t>&lt;&lt;</w:t>
      </w:r>
      <w:r>
        <w:rPr>
          <w:rFonts w:ascii="標楷體" w:hAnsi="標楷體" w:cs="華康細圓體" w:eastAsia="標楷體"/>
          <w:sz w:val="28"/>
        </w:rPr>
        <w:t>素問．逆調論</w:t>
      </w:r>
      <w:r>
        <w:rPr>
          <w:rFonts w:eastAsia="標楷體" w:cs="華康細圓體" w:ascii="標楷體" w:hAnsi="標楷體"/>
          <w:sz w:val="28"/>
        </w:rPr>
        <w:t>&gt;&gt;</w:t>
      </w:r>
      <w:r>
        <w:rPr>
          <w:rFonts w:ascii="標楷體" w:hAnsi="標楷體" w:cs="華康細圓體" w:eastAsia="標楷體"/>
          <w:sz w:val="28"/>
        </w:rPr>
        <w:t>所言：「夫不得臥，臥則喘者，是水氣之客也。」亦如</w:t>
      </w:r>
      <w:r>
        <w:rPr>
          <w:rFonts w:eastAsia="標楷體" w:cs="華康細圓體" w:ascii="標楷體" w:hAnsi="標楷體"/>
          <w:sz w:val="28"/>
        </w:rPr>
        <w:t>&lt;&lt;</w:t>
      </w:r>
      <w:r>
        <w:rPr>
          <w:rFonts w:ascii="標楷體" w:hAnsi="標楷體" w:cs="華康細圓體" w:eastAsia="標楷體"/>
          <w:sz w:val="28"/>
        </w:rPr>
        <w:t>素問．氣厥論</w:t>
      </w:r>
      <w:r>
        <w:rPr>
          <w:rFonts w:eastAsia="標楷體" w:cs="華康細圓體" w:ascii="標楷體" w:hAnsi="標楷體"/>
          <w:sz w:val="28"/>
        </w:rPr>
        <w:t>&gt;&gt;</w:t>
      </w:r>
      <w:r>
        <w:rPr>
          <w:rFonts w:ascii="標楷體" w:hAnsi="標楷體" w:cs="華康細圓體" w:eastAsia="標楷體"/>
          <w:sz w:val="28"/>
        </w:rPr>
        <w:t>曰：「肺移寒於腎，為涌水，涌水者，按腹不堅，水氣客於大腸，疾行則鳴濯濯如囊裹漿，水之病也。」說明了水客於大腸的情狀。水腫產生喘脹胸痛的情形則如</w:t>
      </w:r>
      <w:r>
        <w:rPr>
          <w:rFonts w:eastAsia="標楷體" w:cs="華康細圓體" w:ascii="標楷體" w:hAnsi="標楷體"/>
          <w:sz w:val="28"/>
        </w:rPr>
        <w:t>&lt;&lt;</w:t>
      </w:r>
      <w:r>
        <w:rPr>
          <w:rFonts w:ascii="標楷體" w:hAnsi="標楷體" w:cs="華康細圓體" w:eastAsia="標楷體"/>
          <w:sz w:val="28"/>
        </w:rPr>
        <w:t>素問．脈解</w:t>
      </w:r>
      <w:r>
        <w:rPr>
          <w:rFonts w:eastAsia="標楷體" w:cs="華康細圓體" w:ascii="標楷體" w:hAnsi="標楷體"/>
          <w:sz w:val="28"/>
        </w:rPr>
        <w:t>&gt;&gt;</w:t>
      </w:r>
      <w:r>
        <w:rPr>
          <w:rFonts w:ascii="標楷體" w:hAnsi="標楷體" w:cs="華康細圓體" w:eastAsia="標楷體"/>
          <w:sz w:val="28"/>
        </w:rPr>
        <w:t>所言：「所謂上喘而為水者，陰氣下而復上，上則邪客于藏府間，故為水也。所謂胸痛少氣者，水氣在藏府也。水者陰氣也，陰氣在中，故胸痛少氣也。</w:t>
      </w:r>
      <w:r>
        <w:rPr>
          <w:rFonts w:ascii="標楷體" w:hAnsi="標楷體" w:cs="華康細圓體" w:eastAsia="標楷體"/>
          <w:sz w:val="28"/>
        </w:rPr>
        <w:t>……</w:t>
      </w:r>
      <w:r>
        <w:rPr>
          <w:rFonts w:ascii="標楷體" w:hAnsi="標楷體" w:cs="華康細圓體" w:eastAsia="標楷體"/>
          <w:sz w:val="28"/>
        </w:rPr>
        <w:t>太陰所謂病脹者，太陰子也。十一月萬物皆氣藏於中，故曰病脹。」</w:t>
      </w:r>
    </w:p>
    <w:p>
      <w:pPr>
        <w:pStyle w:val="Normal"/>
        <w:numPr>
          <w:ilvl w:val="0"/>
          <w:numId w:val="0"/>
        </w:numPr>
        <w:snapToGrid w:val="false"/>
        <w:jc w:val="both"/>
        <w:outlineLvl w:val="0"/>
        <w:rPr/>
      </w:pPr>
      <w:r>
        <w:rPr>
          <w:rFonts w:eastAsia="標楷體" w:cs="標楷體" w:ascii="標楷體" w:hAnsi="標楷體"/>
          <w:b/>
          <w:sz w:val="28"/>
        </w:rPr>
        <w:t xml:space="preserve">    </w:t>
      </w:r>
      <w:r>
        <w:rPr>
          <w:rFonts w:ascii="標楷體" w:hAnsi="標楷體" w:cs="華康細圓體" w:eastAsia="標楷體"/>
          <w:b/>
          <w:sz w:val="28"/>
        </w:rPr>
        <w:t>五</w:t>
      </w:r>
      <w:r>
        <w:rPr>
          <w:rFonts w:ascii="標楷體" w:hAnsi="標楷體" w:cs="華康細圓體" w:eastAsia="標楷體"/>
          <w:b/>
          <w:sz w:val="28"/>
        </w:rPr>
        <w:t>、</w:t>
      </w:r>
      <w:r>
        <w:rPr>
          <w:rFonts w:ascii="標楷體" w:hAnsi="標楷體" w:cs="華康細圓體" w:eastAsia="標楷體"/>
          <w:b/>
          <w:sz w:val="28"/>
        </w:rPr>
        <w:t>水腫的治療原則</w:t>
      </w:r>
    </w:p>
    <w:p>
      <w:pPr>
        <w:pStyle w:val="Normal"/>
        <w:overflowPunct w:val="false"/>
        <w:autoSpaceDE w:val="false"/>
        <w:snapToGrid w:val="false"/>
        <w:jc w:val="both"/>
        <w:rPr/>
      </w:pPr>
      <w:r>
        <w:rPr>
          <w:rFonts w:eastAsia="標楷體" w:cs="標楷體" w:ascii="標楷體" w:hAnsi="標楷體"/>
          <w:sz w:val="28"/>
        </w:rPr>
        <w:t xml:space="preserve">    </w:t>
      </w:r>
      <w:r>
        <w:rPr>
          <w:rFonts w:ascii="標楷體" w:hAnsi="標楷體" w:cs="華康細圓體" w:eastAsia="標楷體"/>
          <w:sz w:val="28"/>
        </w:rPr>
        <w:t>關於水腫的治療原則，無非是從肺、脾、腎三臟著手，內經雖未出方劑，但對於治療原則是有精闢見解的。</w:t>
      </w:r>
      <w:r>
        <w:rPr>
          <w:rFonts w:eastAsia="標楷體" w:cs="華康細圓體" w:ascii="標楷體" w:hAnsi="標楷體"/>
          <w:sz w:val="28"/>
        </w:rPr>
        <w:t>&lt;&lt;</w:t>
      </w:r>
      <w:r>
        <w:rPr>
          <w:rFonts w:ascii="標楷體" w:hAnsi="標楷體" w:cs="華康細圓體" w:eastAsia="標楷體"/>
          <w:sz w:val="28"/>
        </w:rPr>
        <w:t>素問‧湯液醪醴論</w:t>
      </w:r>
      <w:r>
        <w:rPr>
          <w:rFonts w:eastAsia="標楷體" w:cs="華康細圓體" w:ascii="標楷體" w:hAnsi="標楷體"/>
          <w:sz w:val="28"/>
        </w:rPr>
        <w:t>&gt;&gt;</w:t>
      </w:r>
      <w:r>
        <w:rPr>
          <w:rFonts w:ascii="標楷體" w:hAnsi="標楷體" w:cs="華康細圓體" w:eastAsia="標楷體"/>
          <w:sz w:val="28"/>
        </w:rPr>
        <w:t>「五藏陽以竭也，津液充郭，其魄獨居，精孤於內，氣耗於外，形不可與衣相保，此四極急而動中，是氣拒於內，而形施於外，治之奈何？岐伯曰：平治於權衡，去宛陳莝，微動四極，溫衣，繆刺其處，以復其形。開鬼門，潔淨府，精以時服，五陽已布，疏滌五藏，故精自生，形自盛，骨肉相保，巨氣乃平。」本條文亦提出了水腫形成的機理為「五藏陽以竭」。</w:t>
      </w:r>
      <w:r>
        <w:rPr>
          <w:rFonts w:eastAsia="標楷體" w:cs="華康細圓體" w:ascii="標楷體" w:hAnsi="標楷體"/>
          <w:sz w:val="28"/>
        </w:rPr>
        <w:t>&lt;&lt;</w:t>
      </w:r>
      <w:r>
        <w:rPr>
          <w:rFonts w:ascii="標楷體" w:hAnsi="標楷體" w:cs="華康細圓體" w:eastAsia="標楷體"/>
          <w:sz w:val="28"/>
        </w:rPr>
        <w:t>類經‧論治類‧十五</w:t>
      </w:r>
      <w:r>
        <w:rPr>
          <w:rFonts w:eastAsia="標楷體" w:cs="華康細圓體" w:ascii="標楷體" w:hAnsi="標楷體"/>
          <w:sz w:val="28"/>
        </w:rPr>
        <w:t>&gt;&gt;</w:t>
      </w:r>
      <w:r>
        <w:rPr>
          <w:rFonts w:ascii="標楷體" w:hAnsi="標楷體" w:cs="華康細圓體" w:eastAsia="標楷體"/>
          <w:sz w:val="28"/>
        </w:rPr>
        <w:t>解釋曰：「五藏陽以竭，有陰無陽也。」陽氣的溫煦作用被鬱扼而竭，便會產生陰邪的病理產物積聚，如水濕痰飲，更進一步「精孤於內，氣耗於外」。</w:t>
      </w:r>
      <w:r>
        <w:rPr>
          <w:rFonts w:eastAsia="標楷體" w:cs="華康細圓體" w:ascii="標楷體" w:hAnsi="標楷體"/>
          <w:sz w:val="28"/>
        </w:rPr>
        <w:t>&lt;&lt;</w:t>
      </w:r>
      <w:r>
        <w:rPr>
          <w:rFonts w:ascii="標楷體" w:hAnsi="標楷體" w:cs="華康細圓體" w:eastAsia="標楷體"/>
          <w:sz w:val="28"/>
        </w:rPr>
        <w:t>類經</w:t>
      </w:r>
      <w:r>
        <w:rPr>
          <w:rFonts w:eastAsia="標楷體" w:cs="華康細圓體" w:ascii="標楷體" w:hAnsi="標楷體"/>
          <w:sz w:val="28"/>
        </w:rPr>
        <w:t>&gt;&gt;&lt;&lt;</w:t>
      </w:r>
      <w:r>
        <w:rPr>
          <w:rFonts w:ascii="標楷體" w:hAnsi="標楷體" w:cs="華康細圓體" w:eastAsia="標楷體"/>
          <w:sz w:val="28"/>
        </w:rPr>
        <w:t>素問‧疾病類‧十五</w:t>
      </w:r>
      <w:r>
        <w:rPr>
          <w:rFonts w:eastAsia="標楷體" w:cs="華康細圓體" w:ascii="標楷體" w:hAnsi="標楷體"/>
          <w:sz w:val="28"/>
        </w:rPr>
        <w:t>&gt;&gt;</w:t>
      </w:r>
      <w:r>
        <w:rPr>
          <w:rFonts w:ascii="標楷體" w:hAnsi="標楷體" w:cs="華康細圓體" w:eastAsia="標楷體"/>
          <w:sz w:val="28"/>
        </w:rPr>
        <w:t>解釋曰：「精中無氣，則孤精於內；陰內無陽，則氣耗在外。」</w:t>
      </w:r>
      <w:r>
        <w:rPr>
          <w:rFonts w:eastAsia="標楷體" w:cs="華康細圓體" w:ascii="標楷體" w:hAnsi="標楷體"/>
          <w:sz w:val="28"/>
        </w:rPr>
        <w:t>&lt;&lt;</w:t>
      </w:r>
      <w:r>
        <w:rPr>
          <w:rFonts w:ascii="標楷體" w:hAnsi="標楷體" w:cs="華康細圓體" w:eastAsia="標楷體"/>
          <w:sz w:val="28"/>
        </w:rPr>
        <w:t>景岳全書‧雜證謨‧腫脹</w:t>
      </w:r>
      <w:r>
        <w:rPr>
          <w:rFonts w:eastAsia="標楷體" w:cs="華康細圓體" w:ascii="標楷體" w:hAnsi="標楷體"/>
          <w:sz w:val="28"/>
        </w:rPr>
        <w:t>&gt;&gt;</w:t>
      </w:r>
      <w:r>
        <w:rPr>
          <w:rFonts w:ascii="標楷體" w:hAnsi="標楷體" w:cs="華康細圓體" w:eastAsia="標楷體"/>
          <w:sz w:val="28"/>
        </w:rPr>
        <w:t>進一步解釋說：「凡欲辨水氣之異者，在欲辨其陰陽耳，若病在氣分，則陽證陰證皆有之，若病在水分，則多為陰證。何也？蓋水之與氣，雖為同類，但陽王則氣化，而水即為精，陽衰則氣不化，而精即為水。故凡病水者，水即身中之血氣，但其為邪為正，總在化與不化耳。水不能化，因氣之虛。」以上說明了水的形成和臟腑氣化功能失司有關，為後世提供了以附子、桂枝等溫陽藥物治水腫的理論基礎。正如</w:t>
      </w:r>
      <w:r>
        <w:rPr>
          <w:rFonts w:eastAsia="標楷體" w:cs="華康細圓體" w:ascii="標楷體" w:hAnsi="標楷體"/>
          <w:sz w:val="28"/>
        </w:rPr>
        <w:t>&lt;&lt;</w:t>
      </w:r>
      <w:r>
        <w:rPr>
          <w:rFonts w:ascii="標楷體" w:hAnsi="標楷體" w:cs="華康細圓體" w:eastAsia="標楷體"/>
          <w:sz w:val="28"/>
        </w:rPr>
        <w:t>類經‧疾病類‧五十二</w:t>
      </w:r>
      <w:r>
        <w:rPr>
          <w:rFonts w:eastAsia="標楷體" w:cs="華康細圓體" w:ascii="標楷體" w:hAnsi="標楷體"/>
          <w:sz w:val="28"/>
        </w:rPr>
        <w:t>&gt;&gt;</w:t>
      </w:r>
      <w:r>
        <w:rPr>
          <w:rFonts w:ascii="標楷體" w:hAnsi="標楷體" w:cs="華康細圓體" w:eastAsia="標楷體"/>
          <w:sz w:val="28"/>
        </w:rPr>
        <w:t>所言：「若命門陽虛</w:t>
      </w:r>
      <w:r>
        <w:rPr>
          <w:rFonts w:ascii="標楷體" w:hAnsi="標楷體" w:cs="華康細圓體" w:eastAsia="標楷體"/>
          <w:sz w:val="28"/>
        </w:rPr>
        <w:t>，</w:t>
      </w:r>
      <w:r>
        <w:rPr>
          <w:rFonts w:ascii="標楷體" w:hAnsi="標楷體" w:cs="華康細圓體" w:eastAsia="標楷體"/>
          <w:sz w:val="28"/>
        </w:rPr>
        <w:t>不能納氣，則參薑桂附之類，亦所必用，否則氣不化水，終無濟於陰也。」</w:t>
      </w:r>
    </w:p>
    <w:p>
      <w:pPr>
        <w:pStyle w:val="Normal"/>
        <w:overflowPunct w:val="false"/>
        <w:autoSpaceDE w:val="false"/>
        <w:snapToGrid w:val="false"/>
        <w:jc w:val="both"/>
        <w:rPr>
          <w:rFonts w:ascii="標楷體" w:hAnsi="標楷體" w:eastAsia="標楷體" w:cs="MS Sans Serif;Arial"/>
          <w:sz w:val="28"/>
        </w:rPr>
      </w:pPr>
      <w:r>
        <w:rPr>
          <w:rFonts w:eastAsia="標楷體" w:cs="標楷體" w:ascii="標楷體" w:hAnsi="標楷體"/>
          <w:sz w:val="28"/>
        </w:rPr>
        <w:t xml:space="preserve">     </w:t>
      </w:r>
      <w:r>
        <w:rPr>
          <w:rFonts w:ascii="標楷體" w:hAnsi="標楷體" w:cs="華康細圓體" w:eastAsia="標楷體"/>
          <w:sz w:val="28"/>
        </w:rPr>
        <w:t>關於治法，則提出了「開鬼門」、「潔淨府」、「去宛陳莝」「微動四極」、「溫衣」，「繆刺其處」等治療水腫的法則。開鬼門即發汗，潔淨府即利小便。關於「去宛陳莝」則有較多的解釋，「宛」是鬱積，「陳」是陳舊，「莝」是鍘草，可知「去宛陳莝」即腫勢較盛，水濕鬱積，則可暫用蕩滌之法以瀉水，如用十棗湯、濬川散、舟車丸之</w:t>
      </w:r>
      <w:r>
        <w:rPr>
          <w:rFonts w:ascii="標楷體" w:hAnsi="標楷體" w:eastAsia="標楷體"/>
          <w:sz w:val="28"/>
        </w:rPr>
        <w:t>類的方劑。</w:t>
      </w:r>
      <w:r>
        <w:rPr>
          <w:rFonts w:eastAsia="標楷體" w:ascii="標楷體" w:hAnsi="標楷體"/>
          <w:sz w:val="28"/>
        </w:rPr>
        <w:t>&lt;&lt;</w:t>
      </w:r>
      <w:r>
        <w:rPr>
          <w:rFonts w:ascii="標楷體" w:hAnsi="標楷體" w:eastAsia="標楷體"/>
          <w:sz w:val="28"/>
        </w:rPr>
        <w:t>靈樞‧小針解</w:t>
      </w:r>
      <w:r>
        <w:rPr>
          <w:rFonts w:eastAsia="標楷體" w:ascii="標楷體" w:hAnsi="標楷體"/>
          <w:sz w:val="28"/>
        </w:rPr>
        <w:t>&gt;&gt;</w:t>
      </w:r>
      <w:r>
        <w:rPr>
          <w:rFonts w:ascii="標楷體" w:hAnsi="標楷體" w:eastAsia="標楷體"/>
          <w:sz w:val="28"/>
        </w:rPr>
        <w:t>「宛陳則除之者，去血脈也。」解釋了「去宛陳莝」和活血化瘀的關連性。「微動四極」即四肢作輕微運動，「溫衣」即以衣保暖，「繆刺其處」即病在左而取右，並在右而取左的刺絡法，如</w:t>
      </w:r>
      <w:r>
        <w:rPr>
          <w:rFonts w:eastAsia="標楷體" w:ascii="標楷體" w:hAnsi="標楷體"/>
          <w:sz w:val="28"/>
        </w:rPr>
        <w:t>&lt;&lt;</w:t>
      </w:r>
      <w:r>
        <w:rPr>
          <w:rFonts w:ascii="標楷體" w:hAnsi="標楷體" w:eastAsia="標楷體"/>
          <w:sz w:val="28"/>
        </w:rPr>
        <w:t>類經‧論治類‧十五</w:t>
      </w:r>
      <w:r>
        <w:rPr>
          <w:rFonts w:eastAsia="標楷體" w:ascii="標楷體" w:hAnsi="標楷體"/>
          <w:sz w:val="28"/>
        </w:rPr>
        <w:t>&gt;&gt;</w:t>
      </w:r>
      <w:r>
        <w:rPr>
          <w:rFonts w:ascii="標楷體" w:hAnsi="標楷體" w:eastAsia="標楷體"/>
          <w:sz w:val="28"/>
        </w:rPr>
        <w:t>所言：「</w:t>
      </w:r>
      <w:r>
        <w:rPr>
          <w:rFonts w:ascii="標楷體" w:hAnsi="標楷體" w:cs="MS Sans Serif;Arial" w:eastAsia="標楷體"/>
          <w:sz w:val="28"/>
        </w:rPr>
        <w:t>四極</w:t>
      </w:r>
      <w:r>
        <w:rPr>
          <w:rFonts w:ascii="標楷體" w:hAnsi="標楷體" w:cs="MS Sans Serif;Arial" w:eastAsia="標楷體"/>
          <w:sz w:val="28"/>
        </w:rPr>
        <w:t>，</w:t>
      </w:r>
      <w:r>
        <w:rPr>
          <w:rFonts w:ascii="標楷體" w:hAnsi="標楷體" w:cs="MS Sans Serif;Arial" w:eastAsia="標楷體"/>
          <w:sz w:val="28"/>
        </w:rPr>
        <w:t>四支也</w:t>
      </w:r>
      <w:r>
        <w:rPr>
          <w:rFonts w:ascii="標楷體" w:hAnsi="標楷體" w:cs="MS Sans Serif;Arial" w:eastAsia="標楷體"/>
          <w:sz w:val="28"/>
        </w:rPr>
        <w:t>，</w:t>
      </w:r>
      <w:r>
        <w:rPr>
          <w:rFonts w:ascii="標楷體" w:hAnsi="標楷體" w:cs="MS Sans Serif;Arial" w:eastAsia="標楷體"/>
          <w:sz w:val="28"/>
        </w:rPr>
        <w:t>微動之</w:t>
      </w:r>
      <w:r>
        <w:rPr>
          <w:rFonts w:ascii="標楷體" w:hAnsi="標楷體" w:cs="MS Sans Serif;Arial" w:eastAsia="標楷體"/>
          <w:sz w:val="28"/>
        </w:rPr>
        <w:t>，</w:t>
      </w:r>
      <w:r>
        <w:rPr>
          <w:rFonts w:ascii="標楷體" w:hAnsi="標楷體" w:cs="MS Sans Serif;Arial" w:eastAsia="標楷體"/>
          <w:sz w:val="28"/>
        </w:rPr>
        <w:t>欲其流通而氣易行也；溫衣</w:t>
      </w:r>
      <w:r>
        <w:rPr>
          <w:rFonts w:ascii="標楷體" w:hAnsi="標楷體" w:cs="MS Sans Serif;Arial" w:eastAsia="標楷體"/>
          <w:sz w:val="28"/>
        </w:rPr>
        <w:t>，</w:t>
      </w:r>
      <w:r>
        <w:rPr>
          <w:rFonts w:ascii="標楷體" w:hAnsi="標楷體" w:cs="MS Sans Serif;Arial" w:eastAsia="標楷體"/>
          <w:sz w:val="28"/>
        </w:rPr>
        <w:t>欲助其肌表之陽而陰凝易散也；然後繆刺之</w:t>
      </w:r>
      <w:r>
        <w:rPr>
          <w:rFonts w:ascii="標楷體" w:hAnsi="標楷體" w:cs="MS Sans Serif;Arial" w:eastAsia="標楷體"/>
          <w:sz w:val="28"/>
        </w:rPr>
        <w:t>，</w:t>
      </w:r>
      <w:r>
        <w:rPr>
          <w:rFonts w:ascii="標楷體" w:hAnsi="標楷體" w:cs="MS Sans Serif;Arial" w:eastAsia="標楷體"/>
          <w:sz w:val="28"/>
        </w:rPr>
        <w:t>以左取右</w:t>
      </w:r>
      <w:r>
        <w:rPr>
          <w:rFonts w:ascii="標楷體" w:hAnsi="標楷體" w:cs="MS Sans Serif;Arial" w:eastAsia="標楷體"/>
          <w:sz w:val="28"/>
        </w:rPr>
        <w:t>，</w:t>
      </w:r>
      <w:r>
        <w:rPr>
          <w:rFonts w:ascii="標楷體" w:hAnsi="標楷體" w:cs="MS Sans Serif;Arial" w:eastAsia="標楷體"/>
          <w:sz w:val="28"/>
        </w:rPr>
        <w:t>以右取左</w:t>
      </w:r>
      <w:r>
        <w:rPr>
          <w:rFonts w:ascii="標楷體" w:hAnsi="標楷體" w:cs="MS Sans Serif;Arial" w:eastAsia="標楷體"/>
          <w:sz w:val="28"/>
        </w:rPr>
        <w:t>，</w:t>
      </w:r>
      <w:r>
        <w:rPr>
          <w:rFonts w:ascii="標楷體" w:hAnsi="標楷體" w:cs="MS Sans Serif;Arial" w:eastAsia="標楷體"/>
          <w:sz w:val="28"/>
        </w:rPr>
        <w:t>而去其大絡留滯也</w:t>
      </w:r>
      <w:r>
        <w:rPr>
          <w:rFonts w:ascii="標楷體" w:hAnsi="標楷體" w:cs="MS Sans Serif;Arial" w:eastAsia="標楷體"/>
          <w:sz w:val="28"/>
        </w:rPr>
        <w:t>。</w:t>
      </w:r>
      <w:r>
        <w:rPr>
          <w:rFonts w:ascii="標楷體" w:hAnsi="標楷體" w:cs="MS Sans Serif;Arial" w:eastAsia="標楷體"/>
          <w:sz w:val="28"/>
        </w:rPr>
        <w:t>」</w:t>
      </w:r>
    </w:p>
    <w:p>
      <w:pPr>
        <w:pStyle w:val="Normal"/>
        <w:numPr>
          <w:ilvl w:val="0"/>
          <w:numId w:val="0"/>
        </w:numPr>
        <w:snapToGrid w:val="false"/>
        <w:jc w:val="both"/>
        <w:outlineLvl w:val="0"/>
        <w:rPr/>
      </w:pPr>
      <w:r>
        <w:rPr>
          <w:rFonts w:eastAsia="標楷體" w:cs="標楷體" w:ascii="標楷體" w:hAnsi="標楷體"/>
          <w:b/>
          <w:sz w:val="28"/>
        </w:rPr>
        <w:t xml:space="preserve">    </w:t>
      </w:r>
      <w:r>
        <w:rPr>
          <w:rFonts w:ascii="標楷體" w:hAnsi="標楷體" w:eastAsia="標楷體"/>
          <w:b/>
          <w:sz w:val="28"/>
        </w:rPr>
        <w:t>六</w:t>
      </w:r>
      <w:r>
        <w:rPr>
          <w:rFonts w:ascii="標楷體" w:hAnsi="標楷體" w:eastAsia="標楷體"/>
          <w:b/>
          <w:sz w:val="28"/>
        </w:rPr>
        <w:t>、</w:t>
      </w:r>
      <w:r>
        <w:rPr>
          <w:rFonts w:ascii="標楷體" w:hAnsi="標楷體" w:eastAsia="標楷體"/>
          <w:b/>
          <w:sz w:val="28"/>
        </w:rPr>
        <w:t>水腫的針灸療法</w:t>
      </w:r>
    </w:p>
    <w:p>
      <w:pPr>
        <w:pStyle w:val="Normal"/>
        <w:snapToGrid w:val="false"/>
        <w:jc w:val="both"/>
        <w:rPr/>
      </w:pPr>
      <w:r>
        <w:rPr>
          <w:rFonts w:eastAsia="標楷體" w:cs="標楷體" w:ascii="標楷體" w:hAnsi="標楷體"/>
          <w:sz w:val="28"/>
        </w:rPr>
        <w:t xml:space="preserve">    </w:t>
      </w:r>
      <w:r>
        <w:rPr>
          <w:rFonts w:ascii="標楷體" w:hAnsi="標楷體" w:eastAsia="標楷體"/>
          <w:sz w:val="28"/>
        </w:rPr>
        <w:t>除了內科療法，其對於針灸的治法亦論述頗詳。</w:t>
      </w:r>
      <w:r>
        <w:rPr>
          <w:rFonts w:eastAsia="標楷體" w:ascii="標楷體" w:hAnsi="標楷體"/>
          <w:sz w:val="28"/>
        </w:rPr>
        <w:t>&lt;&lt;</w:t>
      </w:r>
      <w:r>
        <w:rPr>
          <w:rFonts w:ascii="標楷體" w:hAnsi="標楷體" w:eastAsia="標楷體"/>
          <w:sz w:val="28"/>
        </w:rPr>
        <w:t>素問‧評熱病論</w:t>
      </w:r>
      <w:r>
        <w:rPr>
          <w:rFonts w:eastAsia="標楷體" w:ascii="標楷體" w:hAnsi="標楷體"/>
          <w:sz w:val="28"/>
        </w:rPr>
        <w:t>&gt;&gt;</w:t>
      </w:r>
      <w:r>
        <w:rPr>
          <w:rFonts w:ascii="標楷體" w:hAnsi="標楷體" w:eastAsia="標楷體"/>
          <w:sz w:val="28"/>
        </w:rPr>
        <w:t>「帝曰：有病腎風者，面胕痝然，壅害於言，可刺不？岐伯曰：虛不當刺，不當刺而刺，後五日其氣必至。帝曰：其至何如？岐伯曰：至必少氣時熱，時熱從胸背上至頭，汗出手熱，口乾苦渴，小便黃，目下腫，腹中鳴，身重難以行，月事不來，煩而不能食，不能正偃，正偃則咳，病名曰風水，論在</w:t>
      </w:r>
      <w:r>
        <w:rPr>
          <w:rFonts w:eastAsia="標楷體" w:ascii="標楷體" w:hAnsi="標楷體"/>
          <w:sz w:val="28"/>
        </w:rPr>
        <w:t>&lt;&lt;</w:t>
      </w:r>
      <w:r>
        <w:rPr>
          <w:rFonts w:ascii="標楷體" w:hAnsi="標楷體" w:eastAsia="標楷體"/>
          <w:sz w:val="28"/>
        </w:rPr>
        <w:t>刺法</w:t>
      </w:r>
      <w:r>
        <w:rPr>
          <w:rFonts w:eastAsia="標楷體" w:ascii="標楷體" w:hAnsi="標楷體"/>
          <w:sz w:val="28"/>
        </w:rPr>
        <w:t>&gt;&gt;</w:t>
      </w:r>
      <w:r>
        <w:rPr>
          <w:rFonts w:ascii="標楷體" w:hAnsi="標楷體" w:eastAsia="標楷體"/>
          <w:sz w:val="28"/>
        </w:rPr>
        <w:t>中。」本條文論述了針刺對於腎風的禁忌，有著虛不當刺的說法，若刺之不當則會產生風水。其後所言：「論在</w:t>
      </w:r>
      <w:r>
        <w:rPr>
          <w:rFonts w:eastAsia="標楷體" w:ascii="標楷體" w:hAnsi="標楷體"/>
          <w:sz w:val="28"/>
        </w:rPr>
        <w:t>&lt;&lt;</w:t>
      </w:r>
      <w:r>
        <w:rPr>
          <w:rFonts w:ascii="標楷體" w:hAnsi="標楷體" w:eastAsia="標楷體"/>
          <w:sz w:val="28"/>
        </w:rPr>
        <w:t>刺法</w:t>
      </w:r>
      <w:r>
        <w:rPr>
          <w:rFonts w:eastAsia="標楷體" w:ascii="標楷體" w:hAnsi="標楷體"/>
          <w:sz w:val="28"/>
        </w:rPr>
        <w:t>&gt;&gt;</w:t>
      </w:r>
      <w:r>
        <w:rPr>
          <w:rFonts w:ascii="標楷體" w:hAnsi="標楷體" w:eastAsia="標楷體"/>
          <w:sz w:val="28"/>
        </w:rPr>
        <w:t>中」，此所稱的刺法雖已亡佚，但景岳稱「</w:t>
      </w:r>
      <w:r>
        <w:rPr>
          <w:rFonts w:ascii="標楷體" w:hAnsi="標楷體" w:cs="MS Sans Serif;Arial" w:eastAsia="標楷體"/>
          <w:sz w:val="28"/>
        </w:rPr>
        <w:t>腎主水，風在腎經，即名風水，論在</w:t>
      </w:r>
      <w:r>
        <w:rPr>
          <w:rFonts w:eastAsia="標楷體" w:cs="MS Sans Serif;Arial" w:ascii="標楷體" w:hAnsi="標楷體"/>
          <w:sz w:val="28"/>
        </w:rPr>
        <w:t>&lt;&lt;</w:t>
      </w:r>
      <w:r>
        <w:rPr>
          <w:rFonts w:ascii="標楷體" w:hAnsi="標楷體" w:cs="MS Sans Serif;Arial" w:eastAsia="標楷體"/>
          <w:sz w:val="28"/>
        </w:rPr>
        <w:t>刺法</w:t>
      </w:r>
      <w:r>
        <w:rPr>
          <w:rFonts w:eastAsia="標楷體" w:cs="MS Sans Serif;Arial" w:ascii="標楷體" w:hAnsi="標楷體"/>
          <w:sz w:val="28"/>
        </w:rPr>
        <w:t>&gt;&gt;</w:t>
      </w:r>
      <w:r>
        <w:rPr>
          <w:rFonts w:ascii="標楷體" w:hAnsi="標楷體" w:cs="MS Sans Serif;Arial" w:eastAsia="標楷體"/>
          <w:sz w:val="28"/>
        </w:rPr>
        <w:t>中</w:t>
      </w:r>
      <w:r>
        <w:rPr>
          <w:rFonts w:ascii="標楷體" w:hAnsi="標楷體" w:cs="MS Sans Serif;Arial" w:eastAsia="標楷體"/>
          <w:sz w:val="28"/>
        </w:rPr>
        <w:t>，</w:t>
      </w:r>
      <w:r>
        <w:rPr>
          <w:rFonts w:ascii="標楷體" w:hAnsi="標楷體" w:cs="MS Sans Serif;Arial" w:eastAsia="標楷體"/>
          <w:sz w:val="28"/>
        </w:rPr>
        <w:t>即</w:t>
      </w:r>
      <w:r>
        <w:rPr>
          <w:rFonts w:eastAsia="標楷體" w:cs="MS Sans Serif;Arial" w:ascii="標楷體" w:hAnsi="標楷體"/>
          <w:sz w:val="28"/>
        </w:rPr>
        <w:t>&lt;&lt;</w:t>
      </w:r>
      <w:r>
        <w:rPr>
          <w:rFonts w:ascii="標楷體" w:hAnsi="標楷體" w:cs="MS Sans Serif;Arial" w:eastAsia="標楷體"/>
          <w:sz w:val="28"/>
        </w:rPr>
        <w:t>水熱穴論</w:t>
      </w:r>
      <w:r>
        <w:rPr>
          <w:rFonts w:eastAsia="標楷體" w:cs="MS Sans Serif;Arial" w:ascii="標楷體" w:hAnsi="標楷體"/>
          <w:sz w:val="28"/>
        </w:rPr>
        <w:t>&gt;&gt;</w:t>
      </w:r>
      <w:r>
        <w:rPr>
          <w:rFonts w:ascii="標楷體" w:hAnsi="標楷體" w:cs="MS Sans Serif;Arial" w:eastAsia="標楷體"/>
          <w:sz w:val="28"/>
        </w:rPr>
        <w:t>。」</w:t>
      </w:r>
      <w:r>
        <w:rPr>
          <w:rFonts w:ascii="標楷體" w:hAnsi="標楷體" w:eastAsia="標楷體"/>
          <w:sz w:val="28"/>
        </w:rPr>
        <w:t>認為治療腎風的刺法可參考</w:t>
      </w:r>
      <w:r>
        <w:rPr>
          <w:rFonts w:eastAsia="標楷體" w:ascii="標楷體" w:hAnsi="標楷體"/>
          <w:sz w:val="28"/>
        </w:rPr>
        <w:t>&lt;&lt;</w:t>
      </w:r>
      <w:r>
        <w:rPr>
          <w:rFonts w:ascii="標楷體" w:hAnsi="標楷體" w:cs="MS Sans Serif;Arial" w:eastAsia="標楷體"/>
          <w:sz w:val="28"/>
        </w:rPr>
        <w:t>水熱穴論</w:t>
      </w:r>
      <w:r>
        <w:rPr>
          <w:rFonts w:eastAsia="標楷體" w:cs="MS Sans Serif;Arial" w:ascii="標楷體" w:hAnsi="標楷體"/>
          <w:sz w:val="28"/>
        </w:rPr>
        <w:t>&gt;&gt;</w:t>
      </w:r>
      <w:r>
        <w:rPr>
          <w:rFonts w:ascii="標楷體" w:hAnsi="標楷體" w:cs="MS Sans Serif;Arial" w:eastAsia="標楷體"/>
          <w:sz w:val="28"/>
        </w:rPr>
        <w:t>。</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eastAsia="標楷體" w:ascii="標楷體" w:hAnsi="標楷體"/>
          <w:sz w:val="28"/>
        </w:rPr>
        <w:t>&lt;&lt;</w:t>
      </w:r>
      <w:r>
        <w:rPr>
          <w:rFonts w:ascii="標楷體" w:hAnsi="標楷體" w:eastAsia="標楷體"/>
          <w:sz w:val="28"/>
        </w:rPr>
        <w:t>素問‧水熱穴論</w:t>
      </w:r>
      <w:r>
        <w:rPr>
          <w:rFonts w:eastAsia="標楷體" w:ascii="標楷體" w:hAnsi="標楷體"/>
          <w:sz w:val="28"/>
        </w:rPr>
        <w:t>&gt;&gt;:</w:t>
      </w:r>
      <w:r>
        <w:rPr>
          <w:rFonts w:ascii="標楷體" w:hAnsi="標楷體" w:eastAsia="標楷體"/>
          <w:sz w:val="28"/>
        </w:rPr>
        <w:t>「帝曰：水俞五十七處者，是何主也？岐伯曰：腎俞五十七穴，積陰之所聚也，水所從出入也。尻上五行，行五者，此腎俞。故水病下為胕腫大腹，上為喘呼，不得臥者，標本俱病，故肺為喘呼，腎為水腫，肺為逆不得臥，分為相輸，俱受者，水氣之所留也。伏兔上各二行，行五者，此腎之街也。三陰之所交結於腳也。踝上各一行，行六者，此腎脈之下行也，名曰太衝。凡五十七穴者，皆藏之陰絡，水之所客也。」</w:t>
      </w:r>
    </w:p>
    <w:p>
      <w:pPr>
        <w:pStyle w:val="Normal"/>
        <w:overflowPunct w:val="false"/>
        <w:autoSpaceDE w:val="false"/>
        <w:snapToGrid w:val="false"/>
        <w:jc w:val="both"/>
        <w:rPr>
          <w:rFonts w:ascii="標楷體" w:hAnsi="標楷體" w:eastAsia="標楷體"/>
          <w:sz w:val="28"/>
        </w:rPr>
      </w:pPr>
      <w:r>
        <w:rPr>
          <w:rFonts w:eastAsia="標楷體" w:cs="標楷體" w:ascii="標楷體" w:hAnsi="標楷體"/>
          <w:sz w:val="28"/>
        </w:rPr>
        <w:t xml:space="preserve">    </w:t>
      </w:r>
      <w:r>
        <w:rPr>
          <w:rFonts w:eastAsia="標楷體" w:ascii="標楷體" w:hAnsi="標楷體"/>
          <w:sz w:val="28"/>
        </w:rPr>
        <w:t>&lt;&lt;</w:t>
      </w:r>
      <w:r>
        <w:rPr>
          <w:rFonts w:ascii="標楷體" w:hAnsi="標楷體" w:eastAsia="標楷體"/>
          <w:sz w:val="28"/>
        </w:rPr>
        <w:t>素問‧骨空論</w:t>
      </w:r>
      <w:r>
        <w:rPr>
          <w:rFonts w:eastAsia="標楷體" w:ascii="標楷體" w:hAnsi="標楷體"/>
          <w:sz w:val="28"/>
        </w:rPr>
        <w:t>&gt;&gt;</w:t>
      </w:r>
      <w:r>
        <w:rPr>
          <w:rFonts w:ascii="標楷體" w:hAnsi="標楷體" w:eastAsia="標楷體"/>
          <w:sz w:val="28"/>
        </w:rPr>
        <w:t>亦曰</w:t>
      </w:r>
      <w:r>
        <w:rPr>
          <w:rFonts w:eastAsia="標楷體" w:ascii="標楷體" w:hAnsi="標楷體"/>
          <w:sz w:val="28"/>
        </w:rPr>
        <w:t>:</w:t>
      </w:r>
      <w:r>
        <w:rPr>
          <w:rFonts w:ascii="標楷體" w:hAnsi="標楷體" w:eastAsia="標楷體"/>
          <w:sz w:val="28"/>
        </w:rPr>
        <w:t>「水俞五十七穴者，尻上五行，行五。伏兔上兩行，行五，左右各一行，行五，踝上各一行，行六。」</w:t>
      </w:r>
    </w:p>
    <w:p>
      <w:pPr>
        <w:pStyle w:val="Normal"/>
        <w:snapToGrid w:val="false"/>
        <w:ind w:firstLine="555"/>
        <w:jc w:val="both"/>
        <w:rPr/>
      </w:pPr>
      <w:r>
        <w:rPr>
          <w:rFonts w:eastAsia="標楷體" w:cs="MS Sans Serif;Arial" w:ascii="標楷體" w:hAnsi="標楷體"/>
          <w:sz w:val="28"/>
        </w:rPr>
        <w:t>&lt;&lt;</w:t>
      </w:r>
      <w:r>
        <w:rPr>
          <w:rFonts w:ascii="標楷體" w:hAnsi="標楷體" w:cs="MS Sans Serif;Arial" w:eastAsia="標楷體"/>
          <w:sz w:val="28"/>
        </w:rPr>
        <w:t>黃帝內經研究大成</w:t>
      </w:r>
      <w:r>
        <w:rPr>
          <w:rFonts w:eastAsia="標楷體" w:cs="MS Sans Serif;Arial" w:ascii="標楷體" w:hAnsi="標楷體"/>
          <w:sz w:val="28"/>
        </w:rPr>
        <w:t>&gt;&gt;</w:t>
      </w:r>
      <w:r>
        <w:rPr>
          <w:rFonts w:ascii="標楷體" w:hAnsi="標楷體" w:cs="MS Sans Serif;Arial" w:eastAsia="標楷體"/>
          <w:sz w:val="28"/>
        </w:rPr>
        <w:t>對以上的說法有進一步的解釋</w:t>
      </w:r>
      <w:r>
        <w:rPr>
          <w:rFonts w:eastAsia="標楷體" w:ascii="標楷體" w:hAnsi="標楷體"/>
          <w:sz w:val="28"/>
        </w:rPr>
        <w:t>:</w:t>
      </w:r>
      <w:r>
        <w:rPr>
          <w:rFonts w:ascii="標楷體" w:hAnsi="標楷體" w:eastAsia="標楷體"/>
          <w:sz w:val="28"/>
        </w:rPr>
        <w:t>「尻骨向上，共有五行，脊椎為中行，督脈兩傍各一行，又次，外俠兩傍各一行，每行五穴。具體穴位名稱，正中行為：脊中、懸樞、命門、腰俞、長強，共五穴；督脈兩行：大腸俞（雙）、小腸俞（雙）、膀胱俞（雙）、中膂內俞（雙）、白環俞（雙），共十穴； 又次外俠兩傍二行：胃倉（雙）、肓門（雙）、志室（雙）、胞肓（雙）、秩邊（雙），共十穴。第二組在伏兔上，共二十穴。伏兔上左右各兩行，每行五穴。夾中行在任脈兩傍的有中注、四滿、氣穴、大赫、橫骨各二穴； 夾外兩傍的有外陵、大巨、水道、歸來、氣衝各兩穴。第三組在踝上，左右各一行，每行六穴，有太谿、復溜、陰谷、照海、交信、築賓各二，共十二穴。這些治水的常用穴位，在臨床上有很好的治療效果。」不管是水俞五十七處或水俞五十七穴，均是陰氣聚集的地方，其治療方法如上所述可分為三組，對於水腫的治療參考應有極大助益。</w:t>
      </w:r>
    </w:p>
    <w:p>
      <w:pPr>
        <w:pStyle w:val="Normal"/>
        <w:snapToGrid w:val="false"/>
        <w:ind w:firstLine="555"/>
        <w:jc w:val="both"/>
        <w:rPr/>
      </w:pPr>
      <w:r>
        <w:rPr>
          <w:rFonts w:ascii="標楷體" w:hAnsi="標楷體" w:eastAsia="標楷體"/>
          <w:b/>
          <w:sz w:val="28"/>
        </w:rPr>
        <w:t>七</w:t>
      </w:r>
      <w:r>
        <w:rPr>
          <w:rFonts w:ascii="標楷體" w:hAnsi="標楷體" w:eastAsia="標楷體"/>
          <w:b/>
          <w:sz w:val="28"/>
        </w:rPr>
        <w:t>、</w:t>
      </w:r>
      <w:r>
        <w:rPr>
          <w:rFonts w:ascii="標楷體" w:hAnsi="標楷體" w:eastAsia="標楷體"/>
          <w:b/>
          <w:sz w:val="28"/>
        </w:rPr>
        <w:t>小結</w:t>
      </w:r>
      <w:r>
        <w:rPr>
          <w:rFonts w:eastAsia="標楷體" w:ascii="標楷體" w:hAnsi="標楷體"/>
          <w:b/>
          <w:sz w:val="28"/>
        </w:rPr>
        <w:t>---</w:t>
      </w:r>
      <w:r>
        <w:rPr>
          <w:rFonts w:ascii="標楷體" w:hAnsi="標楷體" w:eastAsia="標楷體"/>
          <w:b/>
          <w:sz w:val="28"/>
        </w:rPr>
        <w:t>水病形成的機理</w:t>
      </w:r>
    </w:p>
    <w:p>
      <w:pPr>
        <w:pStyle w:val="Normal"/>
        <w:snapToGrid w:val="false"/>
        <w:jc w:val="both"/>
        <w:rPr/>
      </w:pPr>
      <w:r>
        <w:rPr>
          <w:rFonts w:eastAsia="標楷體" w:cs="標楷體" w:ascii="標楷體" w:hAnsi="標楷體"/>
          <w:sz w:val="28"/>
        </w:rPr>
        <w:t xml:space="preserve">    </w:t>
      </w:r>
      <w:r>
        <w:rPr>
          <w:rFonts w:ascii="標楷體" w:hAnsi="標楷體" w:eastAsia="標楷體"/>
          <w:sz w:val="28"/>
        </w:rPr>
        <w:t>津液是人體一切正常水液的總稱，若其分佈失常，則容易產生水腫。</w:t>
      </w:r>
      <w:r>
        <w:rPr>
          <w:rFonts w:eastAsia="標楷體" w:ascii="標楷體" w:hAnsi="標楷體"/>
          <w:sz w:val="28"/>
        </w:rPr>
        <w:t>&lt;&lt;</w:t>
      </w:r>
      <w:r>
        <w:rPr>
          <w:rFonts w:ascii="標楷體" w:hAnsi="標楷體" w:eastAsia="標楷體"/>
          <w:sz w:val="28"/>
        </w:rPr>
        <w:t>素問‧經脈別論</w:t>
      </w:r>
      <w:r>
        <w:rPr>
          <w:rFonts w:eastAsia="標楷體" w:ascii="標楷體" w:hAnsi="標楷體"/>
          <w:sz w:val="28"/>
        </w:rPr>
        <w:t>&gt;&gt;</w:t>
      </w:r>
      <w:r>
        <w:rPr>
          <w:rFonts w:ascii="標楷體" w:hAnsi="標楷體" w:eastAsia="標楷體"/>
          <w:sz w:val="28"/>
        </w:rPr>
        <w:t>曰</w:t>
      </w:r>
      <w:r>
        <w:rPr>
          <w:rFonts w:eastAsia="標楷體" w:ascii="標楷體" w:hAnsi="標楷體"/>
          <w:sz w:val="28"/>
        </w:rPr>
        <w:t>:</w:t>
      </w:r>
      <w:r>
        <w:rPr>
          <w:rFonts w:ascii="標楷體" w:hAnsi="標楷體" w:eastAsia="標楷體"/>
          <w:sz w:val="28"/>
        </w:rPr>
        <w:t>「飲入于胃，游溢精氣，上輸于脾。脾氣散精，上歸于肺，通調水道，下輸膀胱。水精四布，五經並行，合于四時五臟陰陽，揆度以為常也。」由本條文可知，水液進入胃之後，需透過脾氣運化的作用散佈全身，如</w:t>
      </w:r>
      <w:r>
        <w:rPr>
          <w:rFonts w:eastAsia="標楷體" w:ascii="標楷體" w:hAnsi="標楷體"/>
          <w:sz w:val="28"/>
        </w:rPr>
        <w:t>&lt;&lt;</w:t>
      </w:r>
      <w:r>
        <w:rPr>
          <w:rFonts w:ascii="標楷體" w:hAnsi="標楷體" w:eastAsia="標楷體"/>
          <w:sz w:val="28"/>
        </w:rPr>
        <w:t>素問‧太陰陽明論</w:t>
      </w:r>
      <w:r>
        <w:rPr>
          <w:rFonts w:eastAsia="標楷體" w:ascii="標楷體" w:hAnsi="標楷體"/>
          <w:sz w:val="28"/>
        </w:rPr>
        <w:t>&gt;&gt;</w:t>
      </w:r>
      <w:r>
        <w:rPr>
          <w:rFonts w:ascii="標楷體" w:hAnsi="標楷體" w:eastAsia="標楷體"/>
          <w:sz w:val="28"/>
        </w:rPr>
        <w:t>曰</w:t>
      </w:r>
      <w:r>
        <w:rPr>
          <w:rFonts w:eastAsia="標楷體" w:ascii="標楷體" w:hAnsi="標楷體"/>
          <w:sz w:val="28"/>
        </w:rPr>
        <w:t>:</w:t>
      </w:r>
      <w:r>
        <w:rPr>
          <w:rFonts w:ascii="標楷體" w:hAnsi="標楷體" w:eastAsia="標楷體"/>
          <w:sz w:val="28"/>
        </w:rPr>
        <w:t>「脾主為胃行其津液」，或者經過肺和腎，藉由肺和腎氣化的作用，將水液輸佈全身。肺為水之上源，其接受從脾氣散精來的津液之後，通過宣發作用將津液輸佈於上焦和體表，另一方面則藉由肅降的功能，將津液輸佈至下焦的腎與膀胱。</w:t>
      </w:r>
      <w:r>
        <w:rPr>
          <w:rFonts w:eastAsia="標楷體" w:cs="華康細圓體" w:ascii="標楷體" w:hAnsi="標楷體"/>
          <w:sz w:val="28"/>
        </w:rPr>
        <w:t>&lt;&lt;</w:t>
      </w:r>
      <w:r>
        <w:rPr>
          <w:rFonts w:ascii="標楷體" w:hAnsi="標楷體" w:cs="華康細圓體" w:eastAsia="標楷體"/>
          <w:sz w:val="28"/>
        </w:rPr>
        <w:t>素問</w:t>
      </w:r>
      <w:r>
        <w:rPr>
          <w:rFonts w:ascii="標楷體" w:hAnsi="標楷體" w:cs="MS Sans Serif;Arial" w:eastAsia="標楷體"/>
          <w:sz w:val="28"/>
        </w:rPr>
        <w:t>．</w:t>
      </w:r>
      <w:r>
        <w:rPr>
          <w:rFonts w:ascii="標楷體" w:hAnsi="標楷體" w:cs="華康細圓體" w:eastAsia="標楷體"/>
          <w:sz w:val="28"/>
        </w:rPr>
        <w:t>靈蘭秘典論</w:t>
      </w:r>
      <w:r>
        <w:rPr>
          <w:rFonts w:eastAsia="標楷體" w:cs="華康細圓體" w:ascii="標楷體" w:hAnsi="標楷體"/>
          <w:sz w:val="28"/>
        </w:rPr>
        <w:t>&gt;&gt;</w:t>
      </w:r>
      <w:r>
        <w:rPr>
          <w:rFonts w:ascii="標楷體" w:hAnsi="標楷體" w:cs="華康細圓體" w:eastAsia="標楷體"/>
          <w:sz w:val="28"/>
        </w:rPr>
        <w:t>曰：「膀胱者，州都之官，津液藏焉，氣化則能出矣。」可見膀胱氣化功能的正常與否，亦決定了水液輸佈功能的正常與否。</w:t>
      </w:r>
    </w:p>
    <w:p>
      <w:pPr>
        <w:pStyle w:val="Normal"/>
        <w:snapToGrid w:val="false"/>
        <w:jc w:val="both"/>
        <w:rPr/>
      </w:pPr>
      <w:r>
        <w:rPr>
          <w:rFonts w:eastAsia="標楷體" w:cs="標楷體" w:ascii="標楷體" w:hAnsi="標楷體"/>
          <w:sz w:val="28"/>
        </w:rPr>
        <w:t xml:space="preserve">     </w:t>
      </w:r>
      <w:r>
        <w:rPr>
          <w:rFonts w:ascii="標楷體" w:hAnsi="標楷體" w:cs="華康細圓體" w:eastAsia="標楷體"/>
          <w:sz w:val="28"/>
        </w:rPr>
        <w:t>以上水液的代謝，最主要是由腎中精氣的蒸騰氣化作用所主宰，如</w:t>
      </w:r>
      <w:r>
        <w:rPr>
          <w:rFonts w:eastAsia="標楷體" w:ascii="標楷體" w:hAnsi="標楷體"/>
          <w:sz w:val="28"/>
        </w:rPr>
        <w:t>&lt;&lt;</w:t>
      </w:r>
      <w:r>
        <w:rPr>
          <w:rFonts w:ascii="標楷體" w:hAnsi="標楷體" w:eastAsia="標楷體"/>
          <w:sz w:val="28"/>
        </w:rPr>
        <w:t>素問‧逆調論</w:t>
      </w:r>
      <w:r>
        <w:rPr>
          <w:rFonts w:eastAsia="標楷體" w:ascii="標楷體" w:hAnsi="標楷體"/>
          <w:sz w:val="28"/>
        </w:rPr>
        <w:t>&gt;&gt;</w:t>
      </w:r>
      <w:r>
        <w:rPr>
          <w:rFonts w:ascii="標楷體" w:hAnsi="標楷體" w:eastAsia="標楷體"/>
          <w:sz w:val="28"/>
        </w:rPr>
        <w:t>曰：「腎為水臟，主津液。」除此之外，三焦氣化的功能在津液的輸佈方面，亦有其重要的一面。總之，水液輸佈的失常和肺、脾、腎、三焦、膀胱等臟腑功能的失調有著極重要的關連。</w:t>
      </w:r>
    </w:p>
    <w:p>
      <w:pPr>
        <w:pStyle w:val="Normal"/>
        <w:snapToGrid w:val="false"/>
        <w:jc w:val="both"/>
        <w:rPr>
          <w:rFonts w:ascii="標楷體" w:hAnsi="標楷體" w:eastAsia="標楷體"/>
          <w:b/>
          <w:b/>
          <w:sz w:val="28"/>
        </w:rPr>
      </w:pPr>
      <w:r>
        <w:rPr>
          <w:rFonts w:eastAsia="標楷體" w:ascii="標楷體" w:hAnsi="標楷體"/>
          <w:b/>
          <w:sz w:val="28"/>
        </w:rPr>
      </w:r>
    </w:p>
    <w:p>
      <w:pPr>
        <w:pStyle w:val="Normal"/>
        <w:snapToGrid w:val="false"/>
        <w:jc w:val="both"/>
        <w:rPr>
          <w:rFonts w:ascii="標楷體" w:hAnsi="標楷體" w:eastAsia="標楷體"/>
          <w:b/>
          <w:b/>
          <w:sz w:val="28"/>
        </w:rPr>
      </w:pPr>
      <w:r>
        <w:rPr>
          <w:rFonts w:eastAsia="標楷體" w:ascii="標楷體" w:hAnsi="標楷體"/>
          <w:b/>
          <w:sz w:val="28"/>
        </w:rPr>
      </w:r>
    </w:p>
    <w:p>
      <w:pPr>
        <w:pStyle w:val="Normal"/>
        <w:snapToGrid w:val="false"/>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 xml:space="preserve">第二節  </w:t>
      </w:r>
      <w:r>
        <w:rPr>
          <w:rFonts w:eastAsia="標楷體" w:ascii="標楷體" w:hAnsi="標楷體"/>
          <w:b/>
          <w:sz w:val="28"/>
        </w:rPr>
        <w:t>&lt;&lt;</w:t>
      </w:r>
      <w:r>
        <w:rPr>
          <w:rFonts w:ascii="標楷體" w:hAnsi="標楷體" w:eastAsia="標楷體"/>
          <w:b/>
          <w:sz w:val="28"/>
        </w:rPr>
        <w:t>金匱要略</w:t>
      </w:r>
      <w:r>
        <w:rPr>
          <w:rFonts w:eastAsia="標楷體" w:ascii="標楷體" w:hAnsi="標楷體"/>
          <w:b/>
          <w:sz w:val="28"/>
        </w:rPr>
        <w:t>&gt;&gt;</w:t>
      </w:r>
      <w:r>
        <w:rPr>
          <w:rFonts w:ascii="標楷體" w:hAnsi="標楷體" w:eastAsia="標楷體"/>
          <w:b/>
          <w:sz w:val="28"/>
        </w:rPr>
        <w:t>對水腫病的相關論述</w:t>
      </w:r>
    </w:p>
    <w:p>
      <w:pPr>
        <w:pStyle w:val="Normal"/>
        <w:snapToGrid w:val="false"/>
        <w:jc w:val="both"/>
        <w:rPr/>
      </w:pPr>
      <w:r>
        <w:rPr>
          <w:rFonts w:eastAsia="標楷體" w:cs="標楷體" w:ascii="標楷體" w:hAnsi="標楷體"/>
          <w:sz w:val="28"/>
        </w:rPr>
        <w:t xml:space="preserve">    </w:t>
      </w:r>
      <w:r>
        <w:rPr>
          <w:rFonts w:ascii="標楷體" w:hAnsi="標楷體" w:eastAsia="標楷體"/>
          <w:sz w:val="28"/>
        </w:rPr>
        <w:t>對於水腫的分類，</w:t>
      </w:r>
      <w:r>
        <w:rPr>
          <w:rFonts w:eastAsia="標楷體" w:ascii="標楷體" w:hAnsi="標楷體"/>
          <w:sz w:val="28"/>
        </w:rPr>
        <w:t>&lt;&lt;</w:t>
      </w:r>
      <w:r>
        <w:rPr>
          <w:rFonts w:ascii="標楷體" w:hAnsi="標楷體" w:eastAsia="標楷體"/>
          <w:sz w:val="28"/>
        </w:rPr>
        <w:t>內經</w:t>
      </w:r>
      <w:r>
        <w:rPr>
          <w:rFonts w:eastAsia="標楷體" w:ascii="標楷體" w:hAnsi="標楷體"/>
          <w:sz w:val="28"/>
        </w:rPr>
        <w:t>&gt;&gt;</w:t>
      </w:r>
      <w:r>
        <w:rPr>
          <w:rFonts w:ascii="標楷體" w:hAnsi="標楷體" w:eastAsia="標楷體"/>
          <w:sz w:val="28"/>
        </w:rPr>
        <w:t>分為風水、石水、湧水，而</w:t>
      </w:r>
      <w:r>
        <w:rPr>
          <w:rFonts w:eastAsia="標楷體" w:ascii="標楷體" w:hAnsi="標楷體"/>
          <w:sz w:val="28"/>
        </w:rPr>
        <w:t>&lt;&lt;</w:t>
      </w:r>
      <w:r>
        <w:rPr>
          <w:rFonts w:ascii="標楷體" w:hAnsi="標楷體" w:eastAsia="標楷體"/>
          <w:sz w:val="28"/>
        </w:rPr>
        <w:t>金匱要略</w:t>
      </w:r>
      <w:r>
        <w:rPr>
          <w:rFonts w:eastAsia="標楷體" w:ascii="標楷體" w:hAnsi="標楷體"/>
          <w:sz w:val="28"/>
        </w:rPr>
        <w:t>&gt;&gt;</w:t>
      </w:r>
      <w:r>
        <w:rPr>
          <w:rFonts w:ascii="標楷體" w:hAnsi="標楷體" w:eastAsia="標楷體"/>
          <w:sz w:val="28"/>
        </w:rPr>
        <w:t>則根據病因、病程、症狀、脈象分成了風水、皮水、正水與石水，</w:t>
      </w:r>
      <w:r>
        <w:rPr>
          <w:rFonts w:eastAsia="標楷體" w:ascii="標楷體" w:hAnsi="標楷體"/>
          <w:sz w:val="28"/>
        </w:rPr>
        <w:t>&lt;&lt;</w:t>
      </w:r>
      <w:r>
        <w:rPr>
          <w:rFonts w:ascii="標楷體" w:hAnsi="標楷體" w:eastAsia="標楷體"/>
          <w:sz w:val="28"/>
        </w:rPr>
        <w:t>金匱要略</w:t>
      </w:r>
      <w:r>
        <w:rPr>
          <w:rFonts w:eastAsia="標楷體" w:ascii="標楷體" w:hAnsi="標楷體"/>
          <w:sz w:val="28"/>
        </w:rPr>
        <w:t>&gt;&gt;</w:t>
      </w:r>
      <w:r>
        <w:rPr>
          <w:rFonts w:ascii="標楷體" w:hAnsi="標楷體" w:eastAsia="標楷體"/>
          <w:sz w:val="28"/>
        </w:rPr>
        <w:t>「</w:t>
      </w:r>
      <w:r>
        <w:rPr>
          <w:rFonts w:ascii="標楷體" w:hAnsi="標楷體" w:eastAsia="標楷體"/>
          <w:sz w:val="28"/>
        </w:rPr>
        <w:t>病有風水，有皮水，有正水，有石水，有黃汗。風水其脈自浮</w:t>
      </w:r>
      <w:r>
        <w:rPr>
          <w:rFonts w:ascii="標楷體" w:hAnsi="標楷體" w:eastAsia="標楷體"/>
          <w:sz w:val="28"/>
        </w:rPr>
        <w:t>，</w:t>
      </w:r>
      <w:r>
        <w:rPr>
          <w:rFonts w:ascii="標楷體" w:hAnsi="標楷體" w:eastAsia="標楷體"/>
          <w:sz w:val="28"/>
        </w:rPr>
        <w:t>外證骨節疼痛，惡風；皮水其脈亦浮，外證跗腫，按之沒指，不惡風，其腹如鼓，不渴，當發其汗</w:t>
      </w:r>
      <w:r>
        <w:rPr>
          <w:rFonts w:eastAsia="標楷體" w:ascii="標楷體" w:hAnsi="標楷體"/>
          <w:sz w:val="28"/>
        </w:rPr>
        <w:t>;</w:t>
      </w:r>
      <w:r>
        <w:rPr>
          <w:rFonts w:ascii="標楷體" w:hAnsi="標楷體" w:eastAsia="標楷體"/>
          <w:sz w:val="28"/>
        </w:rPr>
        <w:t>正水其脈沉遲，外證自喘；石水其脈自沉，外證腹滿不喘。」根據以上描述，風水頗類似腎病症候群的急性發作期，皮水則類似緩解期，正水則類似腎病症候群嚴重時，影響到心肺功能的時期，石水則類似肝硬化所產生的腹水。</w:t>
      </w:r>
    </w:p>
    <w:p>
      <w:pPr>
        <w:pStyle w:val="Normal"/>
        <w:snapToGrid w:val="false"/>
        <w:jc w:val="both"/>
        <w:rPr/>
      </w:pPr>
      <w:r>
        <w:rPr>
          <w:rFonts w:eastAsia="標楷體" w:cs="標楷體" w:ascii="標楷體" w:hAnsi="標楷體"/>
          <w:b/>
          <w:sz w:val="28"/>
        </w:rPr>
        <w:t xml:space="preserve">  </w:t>
      </w:r>
      <w:r>
        <w:rPr>
          <w:rFonts w:eastAsia="標楷體" w:cs="標楷體" w:ascii="標楷體" w:hAnsi="標楷體"/>
          <w:b/>
          <w:sz w:val="28"/>
        </w:rPr>
        <w:t xml:space="preserve"> </w:t>
      </w:r>
      <w:r>
        <w:rPr>
          <w:rFonts w:eastAsia="標楷體" w:cs="標楷體" w:ascii="標楷體" w:hAnsi="標楷體"/>
          <w:b/>
          <w:sz w:val="28"/>
        </w:rPr>
        <w:t xml:space="preserve"> </w:t>
      </w:r>
      <w:r>
        <w:rPr>
          <w:rFonts w:ascii="標楷體" w:hAnsi="標楷體" w:eastAsia="標楷體"/>
          <w:b/>
          <w:sz w:val="28"/>
        </w:rPr>
        <w:t>一</w:t>
      </w:r>
      <w:r>
        <w:rPr>
          <w:rFonts w:ascii="標楷體" w:hAnsi="標楷體" w:eastAsia="標楷體"/>
          <w:b/>
          <w:sz w:val="28"/>
        </w:rPr>
        <w:t>、</w:t>
      </w:r>
      <w:r>
        <w:rPr>
          <w:rFonts w:ascii="標楷體" w:hAnsi="標楷體" w:eastAsia="標楷體"/>
          <w:b/>
          <w:sz w:val="28"/>
        </w:rPr>
        <w:t xml:space="preserve"> 風水的臨床表現與治療</w:t>
      </w:r>
    </w:p>
    <w:p>
      <w:pPr>
        <w:pStyle w:val="Normal"/>
        <w:snapToGrid w:val="false"/>
        <w:jc w:val="both"/>
        <w:rPr/>
      </w:pPr>
      <w:r>
        <w:rPr>
          <w:rFonts w:eastAsia="標楷體" w:cs="標楷體" w:ascii="標楷體" w:hAnsi="標楷體"/>
          <w:sz w:val="28"/>
        </w:rPr>
        <w:t xml:space="preserve">    </w:t>
      </w:r>
      <w:r>
        <w:rPr>
          <w:rFonts w:ascii="標楷體" w:hAnsi="標楷體" w:eastAsia="標楷體"/>
          <w:sz w:val="28"/>
        </w:rPr>
        <w:t>（一）</w:t>
      </w:r>
      <w:r>
        <w:rPr>
          <w:rFonts w:ascii="標楷體" w:hAnsi="標楷體" w:eastAsia="標楷體"/>
          <w:b/>
          <w:sz w:val="28"/>
        </w:rPr>
        <w:t>風水臨床表現</w:t>
      </w:r>
    </w:p>
    <w:p>
      <w:pPr>
        <w:pStyle w:val="Normal"/>
        <w:snapToGrid w:val="false"/>
        <w:jc w:val="both"/>
        <w:rPr/>
      </w:pPr>
      <w:r>
        <w:rPr>
          <w:rFonts w:eastAsia="標楷體" w:cs="標楷體" w:ascii="標楷體" w:hAnsi="標楷體"/>
          <w:sz w:val="28"/>
        </w:rPr>
        <w:t xml:space="preserve">    </w:t>
      </w:r>
      <w:r>
        <w:rPr>
          <w:rFonts w:eastAsia="標楷體" w:ascii="標楷體" w:hAnsi="標楷體"/>
          <w:sz w:val="28"/>
        </w:rPr>
        <w:t>&lt;&lt;</w:t>
      </w:r>
      <w:r>
        <w:rPr>
          <w:rFonts w:ascii="標楷體" w:hAnsi="標楷體" w:eastAsia="標楷體"/>
          <w:sz w:val="28"/>
        </w:rPr>
        <w:t>金匱要略</w:t>
      </w:r>
      <w:r>
        <w:rPr>
          <w:rFonts w:eastAsia="標楷體" w:ascii="標楷體" w:hAnsi="標楷體"/>
          <w:sz w:val="28"/>
        </w:rPr>
        <w:t>&gt;&gt;</w:t>
      </w:r>
      <w:r>
        <w:rPr>
          <w:rFonts w:ascii="標楷體" w:hAnsi="標楷體" w:eastAsia="標楷體"/>
          <w:sz w:val="28"/>
        </w:rPr>
        <w:t>「寸口脈沉滑者，中有水氣，面目腫大有熱，名曰風水</w:t>
      </w:r>
      <w:r>
        <w:rPr>
          <w:rFonts w:eastAsia="標楷體" w:ascii="標楷體" w:hAnsi="標楷體"/>
          <w:sz w:val="28"/>
        </w:rPr>
        <w:t>;</w:t>
      </w:r>
      <w:r>
        <w:rPr>
          <w:rFonts w:ascii="標楷體" w:hAnsi="標楷體" w:eastAsia="標楷體"/>
          <w:sz w:val="28"/>
        </w:rPr>
        <w:t>視人之目裹上微壅，如蠶新臥起狀，其頸脈動，時時咳，按其手足上，陷而不起者，風水。」本段條文之描述頗類似腎病症候群初起之表現，由於腎病造成鈉鉀的滯留，會造成水腫，而眼瞼區的皮膚尤為鬆散，因此會表現出「如蠶新臥起狀」，由於水腫影響心臟功能，故而會有「其頸脈動」的表現，待到風水氾濫，到達較嚴重的階段則會出現「按其手足上，陷而不起」的症狀。若水停造成脾氣虛弱，津液無法上承，則會有消渴的情形出現。</w:t>
      </w:r>
      <w:r>
        <w:rPr>
          <w:rFonts w:eastAsia="標楷體" w:ascii="標楷體" w:hAnsi="標楷體"/>
          <w:sz w:val="28"/>
        </w:rPr>
        <w:t>&lt;&lt;</w:t>
      </w:r>
      <w:r>
        <w:rPr>
          <w:rFonts w:ascii="標楷體" w:hAnsi="標楷體" w:eastAsia="標楷體"/>
          <w:sz w:val="28"/>
        </w:rPr>
        <w:t>金匱要略</w:t>
      </w:r>
      <w:r>
        <w:rPr>
          <w:rFonts w:eastAsia="標楷體" w:ascii="標楷體" w:hAnsi="標楷體"/>
          <w:sz w:val="28"/>
        </w:rPr>
        <w:t>&gt;&gt;</w:t>
      </w:r>
      <w:r>
        <w:rPr>
          <w:rFonts w:ascii="標楷體" w:hAnsi="標楷體" w:eastAsia="標楷體"/>
          <w:sz w:val="28"/>
        </w:rPr>
        <w:t xml:space="preserve">曰：「夫水病人，目下有臥蠶，面目鮮澤，脈伏，其人消渴。」                                                </w:t>
      </w:r>
    </w:p>
    <w:p>
      <w:pPr>
        <w:pStyle w:val="Normal"/>
        <w:snapToGrid w:val="false"/>
        <w:jc w:val="both"/>
        <w:rPr/>
      </w:pPr>
      <w:r>
        <w:rPr>
          <w:rFonts w:eastAsia="標楷體" w:cs="標楷體" w:ascii="標楷體" w:hAnsi="標楷體"/>
          <w:sz w:val="28"/>
        </w:rPr>
        <w:t xml:space="preserve">    </w:t>
      </w:r>
      <w:r>
        <w:rPr>
          <w:rFonts w:ascii="標楷體" w:hAnsi="標楷體" w:eastAsia="標楷體"/>
          <w:sz w:val="28"/>
        </w:rPr>
        <w:t>（二）</w:t>
      </w:r>
      <w:r>
        <w:rPr>
          <w:rFonts w:ascii="標楷體" w:hAnsi="標楷體" w:eastAsia="標楷體"/>
          <w:b/>
          <w:sz w:val="28"/>
        </w:rPr>
        <w:t>風水的治療</w:t>
      </w:r>
    </w:p>
    <w:p>
      <w:pPr>
        <w:pStyle w:val="Normal"/>
        <w:snapToGrid w:val="false"/>
        <w:jc w:val="both"/>
        <w:rPr/>
      </w:pPr>
      <w:r>
        <w:rPr>
          <w:rFonts w:eastAsia="標楷體" w:cs="標楷體" w:ascii="標楷體" w:hAnsi="標楷體"/>
          <w:sz w:val="28"/>
        </w:rPr>
        <w:t xml:space="preserve">    </w:t>
      </w:r>
      <w:r>
        <w:rPr>
          <w:rFonts w:ascii="標楷體" w:hAnsi="標楷體" w:eastAsia="標楷體"/>
          <w:sz w:val="28"/>
        </w:rPr>
        <w:t>風水的初期治療可參考</w:t>
      </w:r>
      <w:r>
        <w:rPr>
          <w:rFonts w:eastAsia="標楷體" w:ascii="標楷體" w:hAnsi="標楷體"/>
          <w:sz w:val="28"/>
        </w:rPr>
        <w:t>&lt;&lt;</w:t>
      </w:r>
      <w:r>
        <w:rPr>
          <w:rFonts w:ascii="標楷體" w:hAnsi="標楷體" w:eastAsia="標楷體"/>
          <w:sz w:val="28"/>
        </w:rPr>
        <w:t>金匱要略</w:t>
      </w:r>
      <w:r>
        <w:rPr>
          <w:rFonts w:eastAsia="標楷體" w:ascii="標楷體" w:hAnsi="標楷體"/>
          <w:sz w:val="28"/>
        </w:rPr>
        <w:t>&gt;&gt;</w:t>
      </w:r>
      <w:r>
        <w:rPr>
          <w:rFonts w:ascii="標楷體" w:hAnsi="標楷體" w:eastAsia="標楷體"/>
          <w:sz w:val="28"/>
        </w:rPr>
        <w:t>所言：「風水惡風，一身悉腫，脈浮不渴，續自汗出，無大熱，越婢湯主之，惡風加附子。」可見以越婢湯治療風水初期，若因為虛而惡風者，可加附子。若屬風水表虛者，則以防己黃耆湯治之。如</w:t>
      </w:r>
      <w:r>
        <w:rPr>
          <w:rFonts w:eastAsia="標楷體" w:ascii="標楷體" w:hAnsi="標楷體"/>
          <w:sz w:val="28"/>
        </w:rPr>
        <w:t>&lt;&lt;</w:t>
      </w:r>
      <w:r>
        <w:rPr>
          <w:rFonts w:ascii="標楷體" w:hAnsi="標楷體" w:eastAsia="標楷體"/>
          <w:sz w:val="28"/>
        </w:rPr>
        <w:t>金匱要略</w:t>
      </w:r>
      <w:r>
        <w:rPr>
          <w:rFonts w:eastAsia="標楷體" w:ascii="標楷體" w:hAnsi="標楷體"/>
          <w:sz w:val="28"/>
        </w:rPr>
        <w:t>&gt;&gt;</w:t>
      </w:r>
      <w:r>
        <w:rPr>
          <w:rFonts w:ascii="標楷體" w:hAnsi="標楷體" w:eastAsia="標楷體"/>
          <w:sz w:val="28"/>
        </w:rPr>
        <w:t xml:space="preserve">所言：「風水脈浮，身重，汗出惡風者，防己黃耆湯主之。」 </w:t>
      </w:r>
    </w:p>
    <w:p>
      <w:pPr>
        <w:pStyle w:val="Normal"/>
        <w:snapToGrid w:val="false"/>
        <w:jc w:val="both"/>
        <w:rPr/>
      </w:pPr>
      <w:r>
        <w:rPr>
          <w:rFonts w:eastAsia="標楷體" w:cs="標楷體" w:ascii="標楷體" w:hAnsi="標楷體"/>
          <w:b/>
          <w:sz w:val="28"/>
        </w:rPr>
        <w:t xml:space="preserve">    </w:t>
      </w:r>
      <w:r>
        <w:rPr>
          <w:rFonts w:ascii="標楷體" w:hAnsi="標楷體" w:eastAsia="標楷體"/>
          <w:b/>
          <w:sz w:val="28"/>
        </w:rPr>
        <w:t>二</w:t>
      </w:r>
      <w:r>
        <w:rPr>
          <w:rFonts w:ascii="標楷體" w:hAnsi="標楷體" w:eastAsia="標楷體"/>
          <w:b/>
          <w:sz w:val="28"/>
        </w:rPr>
        <w:t>、</w:t>
      </w:r>
      <w:r>
        <w:rPr>
          <w:rFonts w:ascii="標楷體" w:hAnsi="標楷體" w:eastAsia="標楷體"/>
          <w:b/>
          <w:sz w:val="28"/>
        </w:rPr>
        <w:t xml:space="preserve">皮水的臨床表現與治療                                             </w:t>
      </w:r>
    </w:p>
    <w:p>
      <w:pPr>
        <w:pStyle w:val="Normal"/>
        <w:snapToGrid w:val="false"/>
        <w:jc w:val="both"/>
        <w:rPr/>
      </w:pPr>
      <w:r>
        <w:rPr>
          <w:rFonts w:eastAsia="標楷體" w:cs="標楷體" w:ascii="標楷體" w:hAnsi="標楷體"/>
          <w:sz w:val="28"/>
        </w:rPr>
        <w:t xml:space="preserve">    </w:t>
      </w:r>
      <w:r>
        <w:rPr>
          <w:rFonts w:eastAsia="標楷體" w:ascii="標楷體" w:hAnsi="標楷體"/>
          <w:sz w:val="28"/>
        </w:rPr>
        <w:t>&lt;&lt;</w:t>
      </w:r>
      <w:r>
        <w:rPr>
          <w:rFonts w:ascii="標楷體" w:hAnsi="標楷體" w:eastAsia="標楷體"/>
          <w:sz w:val="28"/>
        </w:rPr>
        <w:t>金匱要略</w:t>
      </w:r>
      <w:r>
        <w:rPr>
          <w:rFonts w:eastAsia="標楷體" w:ascii="標楷體" w:hAnsi="標楷體"/>
          <w:sz w:val="28"/>
        </w:rPr>
        <w:t>&gt;&gt;</w:t>
      </w:r>
      <w:r>
        <w:rPr>
          <w:rFonts w:ascii="標楷體" w:hAnsi="標楷體" w:eastAsia="標楷體"/>
          <w:sz w:val="28"/>
        </w:rPr>
        <w:t>「太陽病脈浮而緊，法當骨節疼痛，反不疼，身體反重而痠，其人不渴，汗出即愈，此為風水。惡寒者，此為極虛。發汗得之，渴而不惡寒者，此為皮水。」此段說明了風水之後，外邪已除，漸漸形成了「其脈亦浮，外證跗腫，按之沒指，不惡風，其腹如鼓，不渴。」的皮水，「當發其汗」，可治療以越婢加朮湯，如</w:t>
      </w:r>
      <w:r>
        <w:rPr>
          <w:rFonts w:eastAsia="標楷體" w:ascii="標楷體" w:hAnsi="標楷體"/>
          <w:sz w:val="28"/>
        </w:rPr>
        <w:t>&lt;&lt;</w:t>
      </w:r>
      <w:r>
        <w:rPr>
          <w:rFonts w:ascii="標楷體" w:hAnsi="標楷體" w:eastAsia="標楷體"/>
          <w:sz w:val="28"/>
        </w:rPr>
        <w:t>金匱要略</w:t>
      </w:r>
      <w:r>
        <w:rPr>
          <w:rFonts w:eastAsia="標楷體" w:ascii="標楷體" w:hAnsi="標楷體"/>
          <w:sz w:val="28"/>
        </w:rPr>
        <w:t>&gt;&gt;</w:t>
      </w:r>
      <w:r>
        <w:rPr>
          <w:rFonts w:ascii="標楷體" w:hAnsi="標楷體" w:eastAsia="標楷體"/>
          <w:sz w:val="28"/>
        </w:rPr>
        <w:t>所言：「裡水者，一身面目黃腫，其脈沉，小便不利，故令病水，假如小便自利，此亡津液，故令渴也，越婢加朮湯主之。」亦可用防己茯苓湯治之，如</w:t>
      </w:r>
      <w:r>
        <w:rPr>
          <w:rFonts w:eastAsia="標楷體" w:ascii="標楷體" w:hAnsi="標楷體"/>
          <w:sz w:val="28"/>
        </w:rPr>
        <w:t>&lt;&lt;</w:t>
      </w:r>
      <w:r>
        <w:rPr>
          <w:rFonts w:ascii="標楷體" w:hAnsi="標楷體" w:eastAsia="標楷體"/>
          <w:sz w:val="28"/>
        </w:rPr>
        <w:t>金匱要略</w:t>
      </w:r>
      <w:r>
        <w:rPr>
          <w:rFonts w:eastAsia="標楷體" w:ascii="標楷體" w:hAnsi="標楷體"/>
          <w:sz w:val="28"/>
        </w:rPr>
        <w:t>&gt;&gt;</w:t>
      </w:r>
      <w:r>
        <w:rPr>
          <w:rFonts w:ascii="標楷體" w:hAnsi="標楷體" w:eastAsia="標楷體"/>
          <w:sz w:val="28"/>
        </w:rPr>
        <w:t>所言：「皮水為病，四肢腫，水氣在皮膚中，四肢聶聶動者，防己茯苓湯主之。」</w:t>
      </w:r>
    </w:p>
    <w:p>
      <w:pPr>
        <w:pStyle w:val="Normal"/>
        <w:snapToGrid w:val="false"/>
        <w:jc w:val="both"/>
        <w:rPr/>
      </w:pPr>
      <w:r>
        <w:rPr>
          <w:rFonts w:eastAsia="標楷體" w:cs="標楷體" w:ascii="標楷體" w:hAnsi="標楷體"/>
          <w:b/>
          <w:sz w:val="28"/>
        </w:rPr>
        <w:t xml:space="preserve">    </w:t>
      </w:r>
      <w:r>
        <w:rPr>
          <w:rFonts w:ascii="標楷體" w:hAnsi="標楷體" w:eastAsia="標楷體"/>
          <w:b/>
          <w:sz w:val="28"/>
        </w:rPr>
        <w:t>三</w:t>
      </w:r>
      <w:r>
        <w:rPr>
          <w:rFonts w:ascii="標楷體" w:hAnsi="標楷體" w:eastAsia="標楷體"/>
          <w:b/>
          <w:sz w:val="28"/>
        </w:rPr>
        <w:t>、</w:t>
      </w:r>
      <w:r>
        <w:rPr>
          <w:rFonts w:ascii="標楷體" w:hAnsi="標楷體" w:eastAsia="標楷體"/>
          <w:b/>
          <w:sz w:val="28"/>
        </w:rPr>
        <w:t xml:space="preserve">正水的臨床症狀與治療                                                                              </w:t>
      </w:r>
    </w:p>
    <w:p>
      <w:pPr>
        <w:pStyle w:val="Normal"/>
        <w:snapToGrid w:val="false"/>
        <w:jc w:val="both"/>
        <w:rPr/>
      </w:pPr>
      <w:r>
        <w:rPr>
          <w:rFonts w:eastAsia="標楷體" w:cs="標楷體" w:ascii="標楷體" w:hAnsi="標楷體"/>
          <w:sz w:val="28"/>
        </w:rPr>
        <w:t xml:space="preserve">    </w:t>
      </w:r>
      <w:r>
        <w:rPr>
          <w:rFonts w:eastAsia="標楷體" w:ascii="標楷體" w:hAnsi="標楷體"/>
          <w:sz w:val="28"/>
        </w:rPr>
        <w:t>&lt;&lt;</w:t>
      </w:r>
      <w:r>
        <w:rPr>
          <w:rFonts w:ascii="標楷體" w:hAnsi="標楷體" w:eastAsia="標楷體"/>
          <w:sz w:val="28"/>
        </w:rPr>
        <w:t>金匱要略</w:t>
      </w:r>
      <w:r>
        <w:rPr>
          <w:rFonts w:eastAsia="標楷體" w:ascii="標楷體" w:hAnsi="標楷體"/>
          <w:sz w:val="28"/>
        </w:rPr>
        <w:t>&gt;&gt;</w:t>
      </w:r>
      <w:r>
        <w:rPr>
          <w:rFonts w:ascii="標楷體" w:hAnsi="標楷體" w:eastAsia="標楷體"/>
          <w:sz w:val="28"/>
        </w:rPr>
        <w:t>「正水其脈沉遲，外證自喘。」根據本條文可知，風水發展到一個地步，頗類似腎病影響到心肺功能的表現，方用麻黃附子湯，如</w:t>
      </w:r>
      <w:r>
        <w:rPr>
          <w:rFonts w:eastAsia="標楷體" w:ascii="標楷體" w:hAnsi="標楷體"/>
          <w:sz w:val="28"/>
        </w:rPr>
        <w:t>&lt;&lt;</w:t>
      </w:r>
      <w:r>
        <w:rPr>
          <w:rFonts w:ascii="標楷體" w:hAnsi="標楷體" w:eastAsia="標楷體"/>
          <w:sz w:val="28"/>
        </w:rPr>
        <w:t>金匱要略</w:t>
      </w:r>
      <w:r>
        <w:rPr>
          <w:rFonts w:eastAsia="標楷體" w:ascii="標楷體" w:hAnsi="標楷體"/>
          <w:sz w:val="28"/>
        </w:rPr>
        <w:t>&gt;&gt;</w:t>
      </w:r>
      <w:r>
        <w:rPr>
          <w:rFonts w:ascii="標楷體" w:hAnsi="標楷體" w:eastAsia="標楷體"/>
          <w:sz w:val="28"/>
        </w:rPr>
        <w:t xml:space="preserve">所言：「水之為病，其脈沉小，屬少陰，浮者為風，無水虛脹者為氣。水，發其汗即已，脈沉者宜麻黃附子湯。」脈沉小是正氣不足，屬少陰，是腎陽虛的一種表現，屬正水，以麻黃附子湯治之。   </w:t>
      </w:r>
    </w:p>
    <w:p>
      <w:pPr>
        <w:pStyle w:val="Normal"/>
        <w:snapToGrid w:val="false"/>
        <w:jc w:val="both"/>
        <w:rPr>
          <w:rFonts w:ascii="標楷體" w:hAnsi="標楷體" w:eastAsia="標楷體"/>
          <w:sz w:val="28"/>
        </w:rPr>
      </w:pPr>
      <w:r>
        <w:rPr>
          <w:rFonts w:eastAsia="標楷體" w:cs="標楷體" w:ascii="標楷體" w:hAnsi="標楷體"/>
          <w:sz w:val="28"/>
        </w:rPr>
        <w:t xml:space="preserve">   </w:t>
      </w:r>
    </w:p>
    <w:p>
      <w:pPr>
        <w:pStyle w:val="Normal"/>
        <w:snapToGrid w:val="false"/>
        <w:jc w:val="both"/>
        <w:rPr/>
      </w:pPr>
      <w:r>
        <w:rPr>
          <w:rFonts w:eastAsia="標楷體" w:cs="標楷體" w:ascii="標楷體" w:hAnsi="標楷體"/>
          <w:b/>
          <w:sz w:val="28"/>
        </w:rPr>
        <w:t xml:space="preserve">    </w:t>
      </w:r>
      <w:r>
        <w:rPr>
          <w:rFonts w:ascii="標楷體" w:hAnsi="標楷體" w:eastAsia="標楷體"/>
          <w:b/>
          <w:sz w:val="28"/>
        </w:rPr>
        <w:t>第三節</w:t>
      </w:r>
      <w:r>
        <w:rPr>
          <w:rFonts w:ascii="標楷體" w:hAnsi="標楷體" w:eastAsia="標楷體"/>
          <w:b/>
          <w:sz w:val="28"/>
        </w:rPr>
        <w:t xml:space="preserve">  </w:t>
      </w:r>
      <w:r>
        <w:rPr>
          <w:rFonts w:eastAsia="標楷體" w:ascii="標楷體" w:hAnsi="標楷體"/>
          <w:b/>
          <w:sz w:val="28"/>
        </w:rPr>
        <w:t>&lt;&lt;</w:t>
      </w:r>
      <w:r>
        <w:rPr>
          <w:rFonts w:ascii="標楷體" w:hAnsi="標楷體" w:eastAsia="標楷體"/>
          <w:b/>
          <w:sz w:val="28"/>
        </w:rPr>
        <w:t>諸病源候論</w:t>
      </w:r>
      <w:r>
        <w:rPr>
          <w:rFonts w:eastAsia="標楷體" w:ascii="標楷體" w:hAnsi="標楷體"/>
          <w:b/>
          <w:sz w:val="28"/>
        </w:rPr>
        <w:t>&gt;&gt;</w:t>
      </w:r>
      <w:r>
        <w:rPr>
          <w:rFonts w:ascii="標楷體" w:hAnsi="標楷體" w:eastAsia="標楷體"/>
          <w:b/>
          <w:sz w:val="28"/>
        </w:rPr>
        <w:t>對水腫病的相關論述</w:t>
      </w:r>
    </w:p>
    <w:p>
      <w:pPr>
        <w:pStyle w:val="Normal"/>
        <w:snapToGrid w:val="false"/>
        <w:jc w:val="both"/>
        <w:rPr/>
      </w:pPr>
      <w:r>
        <w:rPr>
          <w:rFonts w:eastAsia="標楷體" w:cs="標楷體" w:ascii="標楷體" w:hAnsi="標楷體"/>
          <w:sz w:val="28"/>
        </w:rPr>
        <w:t xml:space="preserve">    </w:t>
      </w:r>
      <w:r>
        <w:rPr>
          <w:rFonts w:ascii="標楷體" w:hAnsi="標楷體" w:eastAsia="標楷體"/>
          <w:sz w:val="28"/>
        </w:rPr>
        <w:t>水腫的治療，發展到了隋朝，</w:t>
      </w:r>
      <w:r>
        <w:rPr>
          <w:rFonts w:eastAsia="標楷體" w:ascii="標楷體" w:hAnsi="標楷體"/>
          <w:sz w:val="28"/>
        </w:rPr>
        <w:t>&lt;&lt;</w:t>
      </w:r>
      <w:r>
        <w:rPr>
          <w:rFonts w:ascii="標楷體" w:hAnsi="標楷體" w:eastAsia="標楷體"/>
          <w:sz w:val="28"/>
        </w:rPr>
        <w:t>諸病源候論</w:t>
      </w:r>
      <w:r>
        <w:rPr>
          <w:rFonts w:eastAsia="標楷體" w:ascii="標楷體" w:hAnsi="標楷體"/>
          <w:sz w:val="28"/>
        </w:rPr>
        <w:t>&gt;&gt;</w:t>
      </w:r>
      <w:r>
        <w:rPr>
          <w:rFonts w:ascii="標楷體" w:hAnsi="標楷體" w:eastAsia="標楷體"/>
          <w:sz w:val="28"/>
        </w:rPr>
        <w:t>亦提供了許多寶貴的經驗。如</w:t>
      </w:r>
      <w:r>
        <w:rPr>
          <w:rFonts w:eastAsia="標楷體" w:ascii="標楷體" w:hAnsi="標楷體"/>
          <w:sz w:val="28"/>
        </w:rPr>
        <w:t>&lt;&lt;</w:t>
      </w:r>
      <w:r>
        <w:rPr>
          <w:rFonts w:ascii="標楷體" w:hAnsi="標楷體" w:eastAsia="標楷體"/>
          <w:sz w:val="28"/>
        </w:rPr>
        <w:t>諸病源候論‧水腫候</w:t>
      </w:r>
      <w:r>
        <w:rPr>
          <w:rFonts w:eastAsia="標楷體" w:ascii="標楷體" w:hAnsi="標楷體"/>
          <w:sz w:val="28"/>
        </w:rPr>
        <w:t>&gt;&gt;</w:t>
      </w:r>
      <w:r>
        <w:rPr>
          <w:rFonts w:ascii="標楷體" w:hAnsi="標楷體" w:eastAsia="標楷體"/>
          <w:sz w:val="28"/>
        </w:rPr>
        <w:t>曰</w:t>
      </w:r>
      <w:r>
        <w:rPr>
          <w:rFonts w:eastAsia="標楷體" w:ascii="標楷體" w:hAnsi="標楷體"/>
          <w:sz w:val="28"/>
        </w:rPr>
        <w:t>:</w:t>
      </w:r>
      <w:r>
        <w:rPr>
          <w:rFonts w:ascii="標楷體" w:hAnsi="標楷體" w:eastAsia="標楷體"/>
          <w:sz w:val="28"/>
        </w:rPr>
        <w:t>「</w:t>
      </w:r>
      <w:r>
        <w:rPr>
          <w:rFonts w:ascii="標楷體" w:hAnsi="標楷體" w:cs="MS Sans Serif;Arial" w:eastAsia="標楷體"/>
          <w:sz w:val="28"/>
        </w:rPr>
        <w:t>腎者主水，脾胃俱主土，土性剋水。脾與胃合，相為表裏。胃為水穀之海，今胃虛不能傳化水氣，使水氣滲溢經絡，浸漬腑臟。脾得水濕之氣，加之則病，脾病則不能制水，故水氣獨歸於腎。三焦不瀉，經脈閉塞，故水氣溢於皮膚而令腫也。其狀</w:t>
      </w:r>
      <w:r>
        <w:rPr>
          <w:rFonts w:eastAsia="標楷體" w:cs="MS Sans Serif;Arial" w:ascii="標楷體" w:hAnsi="標楷體"/>
          <w:sz w:val="28"/>
        </w:rPr>
        <w:t>:</w:t>
      </w:r>
      <w:r>
        <w:rPr>
          <w:rFonts w:ascii="標楷體" w:hAnsi="標楷體" w:cs="MS Sans Serif;Arial" w:eastAsia="標楷體"/>
          <w:sz w:val="28"/>
        </w:rPr>
        <w:t>目裹上微腫，如新臥起之狀，頸脈動，時欬，股間冷，以手按腫處，隨手而起，如物裹水之狀，口苦舌乾，不得正偃，偃</w:t>
      </w:r>
      <w:r>
        <w:rPr>
          <w:rFonts w:ascii="標楷體" w:hAnsi="標楷體" w:cs="華康細圓體" w:eastAsia="標楷體"/>
          <w:sz w:val="28"/>
        </w:rPr>
        <w:t>則欬清水</w:t>
      </w:r>
      <w:r>
        <w:rPr>
          <w:rFonts w:eastAsia="標楷體" w:cs="華康細圓體" w:ascii="標楷體" w:hAnsi="標楷體"/>
          <w:sz w:val="28"/>
        </w:rPr>
        <w:t>;</w:t>
      </w:r>
      <w:r>
        <w:rPr>
          <w:rFonts w:ascii="標楷體" w:hAnsi="標楷體" w:cs="華康細圓體" w:eastAsia="標楷體"/>
          <w:sz w:val="28"/>
        </w:rPr>
        <w:t>不得臥，臥則驚，驚則欬甚</w:t>
      </w:r>
      <w:r>
        <w:rPr>
          <w:rFonts w:eastAsia="標楷體" w:cs="華康細圓體" w:ascii="標楷體" w:hAnsi="標楷體"/>
          <w:sz w:val="28"/>
        </w:rPr>
        <w:t>;</w:t>
      </w:r>
      <w:r>
        <w:rPr>
          <w:rFonts w:ascii="標楷體" w:hAnsi="標楷體" w:cs="華康細圓體" w:eastAsia="標楷體"/>
          <w:sz w:val="28"/>
        </w:rPr>
        <w:t>小便黃澀是也。」本條文不獨舉出了水腫的臨床表現，對於其形成的病機亦多所說明，指出脾、胃、腎等藏府相互影響，導致三焦水道不通，終而形成水腫的過程。此外，對於水病的預後亦有所說明而曰：「水病有五不可治</w:t>
      </w:r>
      <w:r>
        <w:rPr>
          <w:rFonts w:eastAsia="標楷體" w:cs="華康細圓體" w:ascii="標楷體" w:hAnsi="標楷體"/>
          <w:sz w:val="28"/>
        </w:rPr>
        <w:t>:</w:t>
      </w:r>
      <w:r>
        <w:rPr>
          <w:rFonts w:ascii="標楷體" w:hAnsi="標楷體" w:cs="華康細圓體" w:eastAsia="標楷體"/>
          <w:sz w:val="28"/>
        </w:rPr>
        <w:t>第一脣黑傷肝，第二缺盆平傷心，第三臍出傷脾，第四足下平滿傷腎，第五背平傷肺。凡此五傷</w:t>
      </w:r>
      <w:r>
        <w:rPr>
          <w:rFonts w:ascii="標楷體" w:hAnsi="標楷體" w:cs="華康細圓體" w:eastAsia="標楷體"/>
          <w:sz w:val="28"/>
        </w:rPr>
        <w:t>，</w:t>
      </w:r>
      <w:r>
        <w:rPr>
          <w:rFonts w:ascii="標楷體" w:hAnsi="標楷體" w:cs="華康細圓體" w:eastAsia="標楷體"/>
          <w:sz w:val="28"/>
        </w:rPr>
        <w:t>必不可治。脈沉者水也，脈洪大者可治，微細者死。」指出了水病傷及五臟，不可治的情狀。</w:t>
      </w:r>
    </w:p>
    <w:p>
      <w:pPr>
        <w:pStyle w:val="Normal"/>
        <w:snapToGrid w:val="false"/>
        <w:jc w:val="both"/>
        <w:rPr>
          <w:rFonts w:ascii="標楷體" w:hAnsi="標楷體" w:eastAsia="標楷體" w:cs="華康細圓體"/>
          <w:sz w:val="28"/>
        </w:rPr>
      </w:pPr>
      <w:r>
        <w:rPr>
          <w:rFonts w:eastAsia="標楷體" w:cs="標楷體" w:ascii="標楷體" w:hAnsi="標楷體"/>
          <w:sz w:val="28"/>
        </w:rPr>
        <w:t xml:space="preserve">     </w:t>
      </w:r>
      <w:r>
        <w:rPr>
          <w:rFonts w:ascii="標楷體" w:hAnsi="標楷體" w:cs="華康細圓體" w:eastAsia="標楷體"/>
          <w:sz w:val="28"/>
        </w:rPr>
        <w:t>對於腎水的治療及預防則曰：「其湯熨針石，別有正方，補養宣導，今附於後。」其附於後的說明則如「養生方云</w:t>
      </w:r>
      <w:r>
        <w:rPr>
          <w:rFonts w:eastAsia="標楷體" w:cs="華康細圓體" w:ascii="標楷體" w:hAnsi="標楷體"/>
          <w:sz w:val="28"/>
        </w:rPr>
        <w:t>:</w:t>
      </w:r>
      <w:r>
        <w:rPr>
          <w:rFonts w:ascii="標楷體" w:hAnsi="標楷體" w:cs="華康細圓體" w:eastAsia="標楷體"/>
          <w:sz w:val="28"/>
        </w:rPr>
        <w:t>十一月，勿食經夏自死肉脯，內動於腎，喜成水病。」此外亦提供了氣功療法「養生方導引法云</w:t>
      </w:r>
      <w:r>
        <w:rPr>
          <w:rFonts w:eastAsia="標楷體" w:cs="華康細圓體" w:ascii="標楷體" w:hAnsi="標楷體"/>
          <w:sz w:val="28"/>
        </w:rPr>
        <w:t>:</w:t>
      </w:r>
      <w:r>
        <w:rPr>
          <w:rFonts w:ascii="標楷體" w:hAnsi="標楷體" w:cs="華康細圓體" w:eastAsia="標楷體"/>
          <w:sz w:val="28"/>
        </w:rPr>
        <w:t>蝦蟆行氣，正坐，動搖兩臂，不息十二通。以治五勞、水腫之病</w:t>
      </w:r>
      <w:r>
        <w:rPr>
          <w:rFonts w:ascii="標楷體" w:hAnsi="標楷體" w:cs="華康細圓體" w:eastAsia="標楷體"/>
          <w:sz w:val="28"/>
        </w:rPr>
        <w:t>。」</w:t>
      </w:r>
    </w:p>
    <w:p>
      <w:pPr>
        <w:pStyle w:val="Normal"/>
        <w:snapToGrid w:val="false"/>
        <w:jc w:val="both"/>
        <w:rPr/>
      </w:pPr>
      <w:r>
        <w:rPr>
          <w:rFonts w:eastAsia="標楷體" w:cs="標楷體" w:ascii="標楷體" w:hAnsi="標楷體"/>
          <w:b/>
          <w:sz w:val="28"/>
        </w:rPr>
        <w:t xml:space="preserve">     </w:t>
      </w:r>
      <w:r>
        <w:rPr>
          <w:rFonts w:ascii="標楷體" w:hAnsi="標楷體" w:cs="華康細圓體" w:eastAsia="標楷體"/>
          <w:b/>
          <w:sz w:val="28"/>
        </w:rPr>
        <w:t>一</w:t>
      </w:r>
      <w:r>
        <w:rPr>
          <w:rFonts w:ascii="標楷體" w:hAnsi="標楷體" w:cs="華康細圓體" w:eastAsia="標楷體"/>
          <w:b/>
          <w:sz w:val="28"/>
        </w:rPr>
        <w:t>、</w:t>
      </w:r>
      <w:r>
        <w:rPr>
          <w:rFonts w:ascii="標楷體" w:hAnsi="標楷體" w:cs="華康細圓體" w:eastAsia="標楷體"/>
          <w:b/>
          <w:sz w:val="28"/>
        </w:rPr>
        <w:t>脾腎氣虛形成了水病及其臨床表現</w:t>
      </w:r>
    </w:p>
    <w:p>
      <w:pPr>
        <w:pStyle w:val="Normal"/>
        <w:snapToGrid w:val="false"/>
        <w:jc w:val="both"/>
        <w:rPr/>
      </w:pPr>
      <w:r>
        <w:rPr>
          <w:rFonts w:eastAsia="標楷體" w:cs="標楷體" w:ascii="標楷體" w:hAnsi="標楷體"/>
          <w:sz w:val="28"/>
        </w:rPr>
        <w:t xml:space="preserve">    </w:t>
      </w:r>
      <w:r>
        <w:rPr>
          <w:rFonts w:eastAsia="標楷體" w:ascii="標楷體" w:hAnsi="標楷體"/>
          <w:sz w:val="28"/>
        </w:rPr>
        <w:t>&lt;&lt;</w:t>
      </w:r>
      <w:r>
        <w:rPr>
          <w:rFonts w:ascii="標楷體" w:hAnsi="標楷體" w:eastAsia="標楷體"/>
          <w:sz w:val="28"/>
        </w:rPr>
        <w:t>諸病源候論‧水通身腫候</w:t>
      </w:r>
      <w:r>
        <w:rPr>
          <w:rFonts w:eastAsia="標楷體" w:ascii="標楷體" w:hAnsi="標楷體"/>
          <w:sz w:val="28"/>
        </w:rPr>
        <w:t>&gt;&gt;:</w:t>
      </w:r>
      <w:r>
        <w:rPr>
          <w:rFonts w:ascii="標楷體" w:hAnsi="標楷體" w:eastAsia="標楷體"/>
          <w:sz w:val="28"/>
        </w:rPr>
        <w:t>「</w:t>
      </w:r>
      <w:r>
        <w:rPr>
          <w:rFonts w:ascii="標楷體" w:hAnsi="標楷體" w:cs="MS Sans Serif;Arial" w:eastAsia="標楷體"/>
          <w:sz w:val="28"/>
        </w:rPr>
        <w:t>水病者</w:t>
      </w:r>
      <w:r>
        <w:rPr>
          <w:rFonts w:ascii="標楷體" w:hAnsi="標楷體" w:cs="MS Sans Serif;Arial" w:eastAsia="標楷體"/>
          <w:sz w:val="28"/>
        </w:rPr>
        <w:t>，</w:t>
      </w:r>
      <w:r>
        <w:rPr>
          <w:rFonts w:ascii="標楷體" w:hAnsi="標楷體" w:cs="MS Sans Serif;Arial" w:eastAsia="標楷體"/>
          <w:sz w:val="28"/>
        </w:rPr>
        <w:t>由腎脾俱虛故也，腎虛不能宣通水氣，脾虛又不能制水，故水氣盈溢，滲液皮膚，流通四肢，所以通身腫也。令人上氣，體重，小便黃澀，腫處按之隨手而起是也。」本條文說明了水病形成的病機為脾腎氣虛，對於其所產生的臨床表現亦描述甚詳。對風水形成的機理亦有說明，如</w:t>
      </w:r>
      <w:r>
        <w:rPr>
          <w:rFonts w:eastAsia="標楷體" w:ascii="標楷體" w:hAnsi="標楷體"/>
          <w:sz w:val="28"/>
        </w:rPr>
        <w:t>&lt;&lt;</w:t>
      </w:r>
      <w:r>
        <w:rPr>
          <w:rFonts w:ascii="標楷體" w:hAnsi="標楷體" w:eastAsia="標楷體"/>
          <w:sz w:val="28"/>
        </w:rPr>
        <w:t>諸病源候論‧風水候</w:t>
      </w:r>
      <w:r>
        <w:rPr>
          <w:rFonts w:eastAsia="標楷體" w:ascii="標楷體" w:hAnsi="標楷體"/>
          <w:sz w:val="28"/>
        </w:rPr>
        <w:t>&gt;&gt;</w:t>
      </w:r>
      <w:r>
        <w:rPr>
          <w:rFonts w:ascii="標楷體" w:hAnsi="標楷體" w:eastAsia="標楷體"/>
          <w:sz w:val="28"/>
        </w:rPr>
        <w:t>曰</w:t>
      </w:r>
      <w:r>
        <w:rPr>
          <w:rFonts w:eastAsia="標楷體" w:ascii="標楷體" w:hAnsi="標楷體"/>
          <w:sz w:val="28"/>
        </w:rPr>
        <w:t>:</w:t>
      </w:r>
      <w:r>
        <w:rPr>
          <w:rFonts w:ascii="標楷體" w:hAnsi="標楷體" w:eastAsia="標楷體"/>
          <w:sz w:val="28"/>
        </w:rPr>
        <w:t>「</w:t>
      </w:r>
      <w:r>
        <w:rPr>
          <w:rFonts w:ascii="標楷體" w:hAnsi="標楷體" w:cs="MS Sans Serif;Arial" w:eastAsia="標楷體"/>
          <w:sz w:val="28"/>
        </w:rPr>
        <w:t>風水病者</w:t>
      </w:r>
      <w:r>
        <w:rPr>
          <w:rFonts w:ascii="標楷體" w:hAnsi="標楷體" w:cs="MS Sans Serif;Arial" w:eastAsia="標楷體"/>
          <w:sz w:val="28"/>
        </w:rPr>
        <w:t>，</w:t>
      </w:r>
      <w:r>
        <w:rPr>
          <w:rFonts w:ascii="標楷體" w:hAnsi="標楷體" w:cs="MS Sans Serif;Arial" w:eastAsia="標楷體"/>
          <w:sz w:val="28"/>
        </w:rPr>
        <w:t>由脾腎氣虛弱所為也。腎勞則虛，虛則汗出，汗出逢風，風氣內入，還客於腎，脾虛又不能制於水，故水散溢皮膚，又與風濕相摶，故云風水也。令人身浮腫，如裹水之狀，頸脈動，時欬，按腫上凹而不起也，骨節疼痛而惡風是也。脈浮大者，名曰風水也。」</w:t>
      </w:r>
      <w:r>
        <w:rPr>
          <w:rFonts w:ascii="標楷體" w:hAnsi="標楷體" w:eastAsia="標楷體"/>
          <w:sz w:val="28"/>
        </w:rPr>
        <w:t>此段結合</w:t>
      </w:r>
      <w:r>
        <w:rPr>
          <w:rFonts w:eastAsia="標楷體" w:ascii="標楷體" w:hAnsi="標楷體"/>
          <w:sz w:val="28"/>
        </w:rPr>
        <w:t>&lt;&lt;</w:t>
      </w:r>
      <w:r>
        <w:rPr>
          <w:rFonts w:ascii="標楷體" w:hAnsi="標楷體" w:eastAsia="標楷體"/>
          <w:sz w:val="28"/>
        </w:rPr>
        <w:t>內經</w:t>
      </w:r>
      <w:r>
        <w:rPr>
          <w:rFonts w:eastAsia="標楷體" w:ascii="標楷體" w:hAnsi="標楷體"/>
          <w:sz w:val="28"/>
        </w:rPr>
        <w:t>&gt;&gt;</w:t>
      </w:r>
      <w:r>
        <w:rPr>
          <w:rFonts w:ascii="標楷體" w:hAnsi="標楷體" w:eastAsia="標楷體"/>
          <w:sz w:val="28"/>
        </w:rPr>
        <w:t>與</w:t>
      </w:r>
      <w:r>
        <w:rPr>
          <w:rFonts w:eastAsia="標楷體" w:ascii="標楷體" w:hAnsi="標楷體"/>
          <w:sz w:val="28"/>
        </w:rPr>
        <w:t>&lt;&lt;</w:t>
      </w:r>
      <w:r>
        <w:rPr>
          <w:rFonts w:ascii="標楷體" w:hAnsi="標楷體" w:eastAsia="標楷體"/>
          <w:sz w:val="28"/>
        </w:rPr>
        <w:t>金匱要略</w:t>
      </w:r>
      <w:r>
        <w:rPr>
          <w:rFonts w:eastAsia="標楷體" w:ascii="標楷體" w:hAnsi="標楷體"/>
          <w:sz w:val="28"/>
        </w:rPr>
        <w:t>&gt;&gt;</w:t>
      </w:r>
      <w:r>
        <w:rPr>
          <w:rFonts w:ascii="標楷體" w:hAnsi="標楷體" w:eastAsia="標楷體"/>
          <w:sz w:val="28"/>
        </w:rPr>
        <w:t>對風水的描述</w:t>
      </w:r>
      <w:r>
        <w:rPr>
          <w:rFonts w:ascii="標楷體" w:hAnsi="標楷體" w:eastAsia="標楷體"/>
          <w:sz w:val="28"/>
        </w:rPr>
        <w:t>，</w:t>
      </w:r>
      <w:r>
        <w:rPr>
          <w:rFonts w:ascii="標楷體" w:hAnsi="標楷體" w:eastAsia="標楷體"/>
          <w:sz w:val="28"/>
        </w:rPr>
        <w:t>其形成過程為</w:t>
      </w:r>
      <w:r>
        <w:rPr>
          <w:rFonts w:ascii="標楷體" w:hAnsi="標楷體" w:cs="MS Sans Serif;Arial" w:eastAsia="標楷體"/>
          <w:sz w:val="28"/>
        </w:rPr>
        <w:t>脾腎氣虛</w:t>
      </w:r>
      <w:r>
        <w:rPr>
          <w:rFonts w:ascii="Monotype Sorts;Symbol" w:hAnsi="Monotype Sorts;Symbol" w:cs="Monotype Sorts;Symbol" w:eastAsia="Monotype Sorts;Symbol"/>
          <w:sz w:val="28"/>
        </w:rPr>
        <w:t></w:t>
      </w:r>
      <w:r>
        <w:rPr>
          <w:rFonts w:ascii="標楷體" w:hAnsi="標楷體" w:cs="MS Sans Serif;Arial" w:eastAsia="標楷體"/>
          <w:sz w:val="28"/>
        </w:rPr>
        <w:t>風濕相摶</w:t>
      </w:r>
      <w:r>
        <w:rPr>
          <w:rFonts w:ascii="Monotype Sorts;Symbol" w:hAnsi="Monotype Sorts;Symbol" w:cs="Monotype Sorts;Symbol" w:eastAsia="Monotype Sorts;Symbol"/>
          <w:sz w:val="28"/>
        </w:rPr>
        <w:t></w:t>
      </w:r>
      <w:r>
        <w:rPr>
          <w:rFonts w:ascii="標楷體" w:hAnsi="標楷體" w:cs="MS Sans Serif;Arial" w:eastAsia="標楷體"/>
          <w:sz w:val="28"/>
        </w:rPr>
        <w:t>風水。</w:t>
      </w:r>
    </w:p>
    <w:p>
      <w:pPr>
        <w:pStyle w:val="Normal"/>
        <w:overflowPunct w:val="false"/>
        <w:autoSpaceDE w:val="false"/>
        <w:snapToGrid w:val="false"/>
        <w:jc w:val="both"/>
        <w:rPr/>
      </w:pPr>
      <w:r>
        <w:rPr>
          <w:rFonts w:eastAsia="標楷體" w:cs="標楷體" w:ascii="標楷體" w:hAnsi="標楷體"/>
          <w:sz w:val="28"/>
        </w:rPr>
        <w:t xml:space="preserve">    </w:t>
      </w:r>
      <w:r>
        <w:rPr>
          <w:rFonts w:ascii="標楷體" w:hAnsi="標楷體" w:cs="MS Sans Serif;Arial" w:eastAsia="標楷體"/>
          <w:sz w:val="28"/>
        </w:rPr>
        <w:t>對於水腫起於足部的機轉則如</w:t>
      </w:r>
      <w:r>
        <w:rPr>
          <w:rFonts w:eastAsia="標楷體" w:ascii="標楷體" w:hAnsi="標楷體"/>
          <w:sz w:val="28"/>
        </w:rPr>
        <w:t>&lt;&lt;</w:t>
      </w:r>
      <w:r>
        <w:rPr>
          <w:rFonts w:ascii="標楷體" w:hAnsi="標楷體" w:eastAsia="標楷體"/>
          <w:sz w:val="28"/>
        </w:rPr>
        <w:t>諸病源候論‧</w:t>
      </w:r>
      <w:r>
        <w:rPr>
          <w:rFonts w:ascii="標楷體" w:hAnsi="標楷體" w:cs="MS Sans Serif;Arial" w:eastAsia="標楷體"/>
          <w:sz w:val="28"/>
        </w:rPr>
        <w:t>水腫從腳起</w:t>
      </w:r>
      <w:r>
        <w:rPr>
          <w:rFonts w:ascii="標楷體" w:hAnsi="標楷體" w:eastAsia="標楷體"/>
          <w:sz w:val="28"/>
        </w:rPr>
        <w:t>候</w:t>
      </w:r>
      <w:r>
        <w:rPr>
          <w:rFonts w:eastAsia="標楷體" w:ascii="標楷體" w:hAnsi="標楷體"/>
          <w:sz w:val="28"/>
        </w:rPr>
        <w:t>&gt;&gt;</w:t>
      </w:r>
      <w:r>
        <w:rPr>
          <w:rFonts w:ascii="標楷體" w:hAnsi="標楷體" w:eastAsia="標楷體"/>
          <w:sz w:val="28"/>
        </w:rPr>
        <w:t>所言</w:t>
      </w:r>
      <w:r>
        <w:rPr>
          <w:rFonts w:eastAsia="標楷體" w:ascii="標楷體" w:hAnsi="標楷體"/>
          <w:sz w:val="28"/>
        </w:rPr>
        <w:t>:</w:t>
      </w:r>
      <w:r>
        <w:rPr>
          <w:rFonts w:ascii="標楷體" w:hAnsi="標楷體" w:eastAsia="標楷體"/>
          <w:sz w:val="28"/>
        </w:rPr>
        <w:t>「</w:t>
      </w:r>
      <w:r>
        <w:rPr>
          <w:rFonts w:ascii="標楷體" w:hAnsi="標楷體" w:cs="MS Sans Serif;Arial" w:eastAsia="標楷體"/>
          <w:sz w:val="28"/>
        </w:rPr>
        <w:t>腎者陰氣，主於水而又主腰腳。腎虛則腰腳血氣不足，水之流溢，先從虛而入，故腰腳先腫也。」水腫一般先從顏面開始，若從足部開始者，可能是「腎虛則腰腳血氣不足」之故。</w:t>
      </w:r>
    </w:p>
    <w:p>
      <w:pPr>
        <w:pStyle w:val="Normal"/>
        <w:overflowPunct w:val="false"/>
        <w:autoSpaceDE w:val="false"/>
        <w:snapToGrid w:val="false"/>
        <w:jc w:val="both"/>
        <w:rPr/>
      </w:pPr>
      <w:r>
        <w:rPr>
          <w:rFonts w:eastAsia="標楷體" w:cs="標楷體" w:ascii="標楷體" w:hAnsi="標楷體"/>
          <w:b/>
          <w:sz w:val="28"/>
        </w:rPr>
        <w:t xml:space="preserve">    </w:t>
      </w:r>
      <w:r>
        <w:rPr>
          <w:rFonts w:ascii="標楷體" w:hAnsi="標楷體" w:cs="MS Sans Serif;Arial" w:eastAsia="標楷體"/>
          <w:b/>
          <w:sz w:val="28"/>
        </w:rPr>
        <w:t>二</w:t>
      </w:r>
      <w:r>
        <w:rPr>
          <w:rFonts w:ascii="標楷體" w:hAnsi="標楷體" w:cs="MS Sans Serif;Arial" w:eastAsia="標楷體"/>
          <w:b/>
          <w:sz w:val="28"/>
        </w:rPr>
        <w:t>、</w:t>
      </w:r>
      <w:r>
        <w:rPr>
          <w:rFonts w:ascii="標楷體" w:hAnsi="標楷體" w:cs="MS Sans Serif;Arial" w:eastAsia="標楷體"/>
          <w:b/>
          <w:sz w:val="28"/>
        </w:rPr>
        <w:t>水病和肺的關係</w:t>
      </w:r>
    </w:p>
    <w:p>
      <w:pPr>
        <w:pStyle w:val="Normal"/>
        <w:overflowPunct w:val="false"/>
        <w:autoSpaceDE w:val="false"/>
        <w:snapToGrid w:val="false"/>
        <w:jc w:val="both"/>
        <w:rPr>
          <w:rFonts w:ascii="標楷體" w:hAnsi="標楷體" w:eastAsia="標楷體" w:cs="MS Sans Serif;Arial"/>
          <w:sz w:val="28"/>
        </w:rPr>
      </w:pPr>
      <w:r>
        <w:rPr>
          <w:rFonts w:eastAsia="標楷體" w:cs="標楷體" w:ascii="標楷體" w:hAnsi="標楷體"/>
          <w:sz w:val="28"/>
        </w:rPr>
        <w:t xml:space="preserve">    </w:t>
      </w:r>
      <w:r>
        <w:rPr>
          <w:rFonts w:eastAsia="標楷體" w:ascii="標楷體" w:hAnsi="標楷體"/>
          <w:sz w:val="28"/>
        </w:rPr>
        <w:t>&lt;&lt;</w:t>
      </w:r>
      <w:r>
        <w:rPr>
          <w:rFonts w:ascii="標楷體" w:hAnsi="標楷體" w:eastAsia="標楷體"/>
          <w:sz w:val="28"/>
        </w:rPr>
        <w:t>諸病源候論‧毛水候</w:t>
      </w:r>
      <w:r>
        <w:rPr>
          <w:rFonts w:eastAsia="標楷體" w:ascii="標楷體" w:hAnsi="標楷體"/>
          <w:sz w:val="28"/>
        </w:rPr>
        <w:t>&gt;&gt;:</w:t>
      </w:r>
      <w:r>
        <w:rPr>
          <w:rFonts w:ascii="標楷體" w:hAnsi="標楷體" w:eastAsia="標楷體"/>
          <w:sz w:val="28"/>
        </w:rPr>
        <w:t>「</w:t>
      </w:r>
      <w:r>
        <w:rPr>
          <w:rFonts w:ascii="標楷體" w:hAnsi="標楷體" w:cs="MS Sans Serif;Arial" w:eastAsia="標楷體"/>
          <w:sz w:val="28"/>
        </w:rPr>
        <w:t>夫水之病，皆由腎虛所為，腎虛則水流散經絡，始溢皮毛。今此毛水者，乃肺家停積之水，流溢於外。肺主皮毛，故餘經未傷</w:t>
      </w:r>
      <w:r>
        <w:rPr>
          <w:rFonts w:ascii="標楷體" w:hAnsi="標楷體" w:cs="MS Sans Serif;Arial" w:eastAsia="標楷體"/>
          <w:sz w:val="28"/>
        </w:rPr>
        <w:t>，</w:t>
      </w:r>
      <w:r>
        <w:rPr>
          <w:rFonts w:ascii="標楷體" w:hAnsi="標楷體" w:cs="MS Sans Serif;Arial" w:eastAsia="標楷體"/>
          <w:sz w:val="28"/>
        </w:rPr>
        <w:t>皮毛先腫</w:t>
      </w:r>
      <w:r>
        <w:rPr>
          <w:rFonts w:ascii="標楷體" w:hAnsi="標楷體" w:cs="MS Sans Serif;Arial" w:eastAsia="標楷體"/>
          <w:sz w:val="28"/>
        </w:rPr>
        <w:t>，</w:t>
      </w:r>
      <w:r>
        <w:rPr>
          <w:rFonts w:ascii="標楷體" w:hAnsi="標楷體" w:cs="MS Sans Serif;Arial" w:eastAsia="標楷體"/>
          <w:sz w:val="28"/>
        </w:rPr>
        <w:t>因名毛水。」水病影響到肺，</w:t>
      </w:r>
      <w:r>
        <w:rPr>
          <w:rFonts w:eastAsia="標楷體" w:ascii="標楷體" w:hAnsi="標楷體"/>
          <w:sz w:val="28"/>
        </w:rPr>
        <w:t>&lt;&lt;</w:t>
      </w:r>
      <w:r>
        <w:rPr>
          <w:rFonts w:ascii="標楷體" w:hAnsi="標楷體" w:eastAsia="標楷體"/>
          <w:sz w:val="28"/>
        </w:rPr>
        <w:t>諸病源候論</w:t>
      </w:r>
      <w:r>
        <w:rPr>
          <w:rFonts w:eastAsia="標楷體" w:ascii="標楷體" w:hAnsi="標楷體"/>
          <w:sz w:val="28"/>
        </w:rPr>
        <w:t>&gt;&gt;</w:t>
      </w:r>
      <w:r>
        <w:rPr>
          <w:rFonts w:ascii="標楷體" w:hAnsi="標楷體" w:eastAsia="標楷體"/>
          <w:sz w:val="28"/>
        </w:rPr>
        <w:t>稱其為「毛水」。</w:t>
      </w:r>
    </w:p>
    <w:p>
      <w:pPr>
        <w:pStyle w:val="Normal"/>
        <w:snapToGrid w:val="false"/>
        <w:ind w:firstLine="600"/>
        <w:jc w:val="both"/>
        <w:rPr>
          <w:rFonts w:ascii="標楷體" w:hAnsi="標楷體" w:eastAsia="標楷體"/>
          <w:b/>
          <w:b/>
          <w:sz w:val="28"/>
        </w:rPr>
      </w:pPr>
      <w:r>
        <w:rPr>
          <w:rFonts w:ascii="標楷體" w:hAnsi="標楷體" w:cs="MS Sans Serif;Arial" w:eastAsia="標楷體"/>
          <w:b/>
          <w:sz w:val="28"/>
        </w:rPr>
        <w:t>三</w:t>
      </w:r>
      <w:r>
        <w:rPr>
          <w:rFonts w:ascii="標楷體" w:hAnsi="標楷體" w:cs="MS Sans Serif;Arial" w:eastAsia="標楷體"/>
          <w:b/>
          <w:sz w:val="28"/>
        </w:rPr>
        <w:t>、</w:t>
      </w:r>
      <w:r>
        <w:rPr>
          <w:rFonts w:ascii="標楷體" w:hAnsi="標楷體" w:cs="MS Sans Serif;Arial" w:eastAsia="標楷體"/>
          <w:b/>
          <w:sz w:val="28"/>
        </w:rPr>
        <w:t>皮水與正水</w:t>
      </w:r>
    </w:p>
    <w:p>
      <w:pPr>
        <w:pStyle w:val="Normal"/>
        <w:overflowPunct w:val="false"/>
        <w:autoSpaceDE w:val="false"/>
        <w:snapToGrid w:val="false"/>
        <w:jc w:val="both"/>
        <w:rPr>
          <w:rFonts w:ascii="標楷體" w:hAnsi="標楷體" w:eastAsia="標楷體" w:cs="MS Sans Serif;Arial"/>
          <w:sz w:val="28"/>
        </w:rPr>
      </w:pPr>
      <w:r>
        <w:rPr>
          <w:rFonts w:eastAsia="標楷體" w:cs="標楷體" w:ascii="標楷體" w:hAnsi="標楷體"/>
          <w:sz w:val="28"/>
        </w:rPr>
        <w:t xml:space="preserve">    </w:t>
      </w:r>
      <w:r>
        <w:rPr>
          <w:rFonts w:eastAsia="標楷體" w:ascii="標楷體" w:hAnsi="標楷體"/>
          <w:sz w:val="28"/>
        </w:rPr>
        <w:t>&lt;&lt;</w:t>
      </w:r>
      <w:r>
        <w:rPr>
          <w:rFonts w:ascii="標楷體" w:hAnsi="標楷體" w:eastAsia="標楷體"/>
          <w:sz w:val="28"/>
        </w:rPr>
        <w:t>諸病源候論‧皮水候</w:t>
      </w:r>
      <w:r>
        <w:rPr>
          <w:rFonts w:eastAsia="標楷體" w:ascii="標楷體" w:hAnsi="標楷體"/>
          <w:sz w:val="28"/>
        </w:rPr>
        <w:t>&gt;&gt;</w:t>
      </w:r>
      <w:r>
        <w:rPr>
          <w:rFonts w:ascii="標楷體" w:hAnsi="標楷體" w:eastAsia="標楷體"/>
          <w:sz w:val="28"/>
        </w:rPr>
        <w:t>「</w:t>
      </w:r>
      <w:r>
        <w:rPr>
          <w:rFonts w:ascii="標楷體" w:hAnsi="標楷體" w:cs="MS Sans Serif;Arial" w:eastAsia="標楷體"/>
          <w:sz w:val="28"/>
        </w:rPr>
        <w:t>肺主於皮毛，腎主於水。腎虛則水妄行，流溢於皮膚，故令身體面目悉腫，按之沒指，而無汗也。腹如故而不滿，亦不渴，四支重而不惡風是也。脈浮者，悉曰皮水也。」此段條文和</w:t>
      </w:r>
      <w:r>
        <w:rPr>
          <w:rFonts w:eastAsia="標楷體" w:cs="MS Sans Serif;Arial" w:ascii="標楷體" w:hAnsi="標楷體"/>
          <w:sz w:val="28"/>
        </w:rPr>
        <w:t>&lt;&lt;</w:t>
      </w:r>
      <w:r>
        <w:rPr>
          <w:rFonts w:ascii="標楷體" w:hAnsi="標楷體" w:cs="MS Sans Serif;Arial" w:eastAsia="標楷體"/>
          <w:sz w:val="28"/>
        </w:rPr>
        <w:t>金匱要略</w:t>
      </w:r>
      <w:r>
        <w:rPr>
          <w:rFonts w:eastAsia="標楷體" w:cs="MS Sans Serif;Arial" w:ascii="標楷體" w:hAnsi="標楷體"/>
          <w:sz w:val="28"/>
        </w:rPr>
        <w:t>&gt;&gt;</w:t>
      </w:r>
      <w:r>
        <w:rPr>
          <w:rFonts w:ascii="標楷體" w:hAnsi="標楷體" w:cs="MS Sans Serif;Arial" w:eastAsia="標楷體"/>
          <w:sz w:val="28"/>
        </w:rPr>
        <w:t>的論述頗為類似。</w:t>
      </w:r>
      <w:r>
        <w:rPr>
          <w:rFonts w:eastAsia="標楷體" w:ascii="標楷體" w:hAnsi="標楷體"/>
          <w:sz w:val="28"/>
        </w:rPr>
        <w:t>&lt;&lt;</w:t>
      </w:r>
      <w:r>
        <w:rPr>
          <w:rFonts w:ascii="標楷體" w:hAnsi="標楷體" w:eastAsia="標楷體"/>
          <w:sz w:val="28"/>
        </w:rPr>
        <w:t>諸病源候論‧</w:t>
      </w:r>
      <w:r>
        <w:rPr>
          <w:rFonts w:ascii="標楷體" w:hAnsi="標楷體" w:cs="MS Sans Serif;Arial" w:eastAsia="標楷體"/>
          <w:sz w:val="28"/>
        </w:rPr>
        <w:t>水分候</w:t>
      </w:r>
      <w:r>
        <w:rPr>
          <w:rFonts w:eastAsia="標楷體" w:ascii="標楷體" w:hAnsi="標楷體"/>
          <w:sz w:val="28"/>
        </w:rPr>
        <w:t>&gt;&gt;:</w:t>
      </w:r>
      <w:r>
        <w:rPr>
          <w:rFonts w:ascii="標楷體" w:hAnsi="標楷體" w:eastAsia="標楷體"/>
          <w:sz w:val="28"/>
        </w:rPr>
        <w:t>「</w:t>
      </w:r>
      <w:r>
        <w:rPr>
          <w:rFonts w:ascii="標楷體" w:hAnsi="標楷體" w:cs="MS Sans Serif;Arial" w:eastAsia="標楷體"/>
          <w:sz w:val="28"/>
        </w:rPr>
        <w:t>水分者，言腎氣虛弱，不能制水，令水氣分散，流布四支，故云水分。但四支皮膚虛腫</w:t>
      </w:r>
      <w:r>
        <w:rPr>
          <w:rFonts w:ascii="標楷體" w:hAnsi="標楷體" w:cs="MS Sans Serif;Arial" w:eastAsia="標楷體"/>
          <w:sz w:val="28"/>
        </w:rPr>
        <w:t>，</w:t>
      </w:r>
      <w:r>
        <w:rPr>
          <w:rFonts w:ascii="標楷體" w:hAnsi="標楷體" w:cs="MS Sans Serif;Arial" w:eastAsia="標楷體"/>
          <w:sz w:val="28"/>
        </w:rPr>
        <w:t>聶聶而動者，名水分也。」本段條文的描述頗類似皮水。</w:t>
      </w:r>
      <w:r>
        <w:rPr>
          <w:rFonts w:eastAsia="標楷體" w:ascii="標楷體" w:hAnsi="標楷體"/>
          <w:sz w:val="28"/>
        </w:rPr>
        <w:t>&lt;&lt;</w:t>
      </w:r>
      <w:r>
        <w:rPr>
          <w:rFonts w:ascii="標楷體" w:hAnsi="標楷體" w:eastAsia="標楷體"/>
          <w:sz w:val="28"/>
        </w:rPr>
        <w:t>諸病源候論‧</w:t>
      </w:r>
      <w:r>
        <w:rPr>
          <w:rFonts w:ascii="標楷體" w:hAnsi="標楷體" w:cs="MS Sans Serif;Arial" w:eastAsia="標楷體"/>
          <w:sz w:val="28"/>
        </w:rPr>
        <w:t>水腫欬逆上氣候</w:t>
      </w:r>
      <w:r>
        <w:rPr>
          <w:rFonts w:eastAsia="標楷體" w:ascii="標楷體" w:hAnsi="標楷體"/>
          <w:sz w:val="28"/>
        </w:rPr>
        <w:t>&gt;&gt;</w:t>
      </w:r>
      <w:r>
        <w:rPr>
          <w:rFonts w:ascii="標楷體" w:hAnsi="標楷體" w:eastAsia="標楷體"/>
          <w:sz w:val="28"/>
        </w:rPr>
        <w:t>「</w:t>
      </w:r>
      <w:r>
        <w:rPr>
          <w:rFonts w:ascii="標楷體" w:hAnsi="標楷體" w:cs="MS Sans Serif;Arial" w:eastAsia="標楷體"/>
          <w:sz w:val="28"/>
        </w:rPr>
        <w:t>腎主水，肺主氣。腎虛不能制水，故水妄行，浸溢皮膚，而身體腫滿。流散不已，上乘於肺，肺得水而浮，浮則上氣而欬嗽也。」此段條文則和</w:t>
      </w:r>
      <w:r>
        <w:rPr>
          <w:rFonts w:eastAsia="標楷體" w:cs="MS Sans Serif;Arial" w:ascii="標楷體" w:hAnsi="標楷體"/>
          <w:sz w:val="28"/>
        </w:rPr>
        <w:t>&lt;&lt;</w:t>
      </w:r>
      <w:r>
        <w:rPr>
          <w:rFonts w:ascii="標楷體" w:hAnsi="標楷體" w:cs="MS Sans Serif;Arial" w:eastAsia="標楷體"/>
          <w:sz w:val="28"/>
        </w:rPr>
        <w:t>金匱要略</w:t>
      </w:r>
      <w:r>
        <w:rPr>
          <w:rFonts w:eastAsia="標楷體" w:cs="MS Sans Serif;Arial" w:ascii="標楷體" w:hAnsi="標楷體"/>
          <w:sz w:val="28"/>
        </w:rPr>
        <w:t>&gt;&gt;</w:t>
      </w:r>
      <w:r>
        <w:rPr>
          <w:rFonts w:ascii="標楷體" w:hAnsi="標楷體" w:cs="MS Sans Serif;Arial" w:eastAsia="標楷體"/>
          <w:sz w:val="28"/>
        </w:rPr>
        <w:t>所論述的正水相當，為腎虛水泛的一種表現。</w:t>
      </w:r>
    </w:p>
    <w:p>
      <w:pPr>
        <w:pStyle w:val="Normal"/>
        <w:snapToGrid w:val="false"/>
        <w:jc w:val="both"/>
        <w:rPr/>
      </w:pPr>
      <w:r>
        <w:rPr>
          <w:rFonts w:eastAsia="標楷體" w:cs="標楷體" w:ascii="標楷體" w:hAnsi="標楷體"/>
          <w:b/>
          <w:sz w:val="28"/>
        </w:rPr>
        <w:t xml:space="preserve">    </w:t>
      </w:r>
      <w:r>
        <w:rPr>
          <w:rFonts w:ascii="標楷體" w:hAnsi="標楷體" w:eastAsia="標楷體"/>
          <w:b/>
          <w:sz w:val="28"/>
        </w:rPr>
        <w:t>四</w:t>
      </w:r>
      <w:r>
        <w:rPr>
          <w:rFonts w:ascii="標楷體" w:hAnsi="標楷體" w:eastAsia="標楷體"/>
          <w:b/>
          <w:sz w:val="28"/>
        </w:rPr>
        <w:t>、</w:t>
      </w:r>
      <w:r>
        <w:rPr>
          <w:rFonts w:ascii="標楷體" w:hAnsi="標楷體" w:eastAsia="標楷體"/>
          <w:b/>
          <w:sz w:val="28"/>
        </w:rPr>
        <w:t>風水與臌脹的鑑別診斷</w:t>
      </w:r>
    </w:p>
    <w:p>
      <w:pPr>
        <w:pStyle w:val="Normal"/>
        <w:overflowPunct w:val="false"/>
        <w:autoSpaceDE w:val="false"/>
        <w:snapToGrid w:val="false"/>
        <w:ind w:firstLine="480"/>
        <w:jc w:val="both"/>
        <w:rPr/>
      </w:pPr>
      <w:r>
        <w:rPr>
          <w:rFonts w:eastAsia="標楷體" w:ascii="標楷體" w:hAnsi="標楷體"/>
          <w:sz w:val="28"/>
        </w:rPr>
        <w:t>&lt;&lt;</w:t>
      </w:r>
      <w:r>
        <w:rPr>
          <w:rFonts w:ascii="標楷體" w:hAnsi="標楷體" w:eastAsia="標楷體"/>
          <w:sz w:val="28"/>
        </w:rPr>
        <w:t>諸病源候論‧</w:t>
      </w:r>
      <w:r>
        <w:rPr>
          <w:rFonts w:ascii="標楷體" w:hAnsi="標楷體" w:cs="華康細圓體" w:eastAsia="標楷體"/>
          <w:sz w:val="28"/>
        </w:rPr>
        <w:t>大腹水腫候</w:t>
      </w:r>
      <w:r>
        <w:rPr>
          <w:rFonts w:eastAsia="標楷體" w:ascii="標楷體" w:hAnsi="標楷體"/>
          <w:sz w:val="28"/>
        </w:rPr>
        <w:t>&gt;&gt;</w:t>
      </w:r>
      <w:r>
        <w:rPr>
          <w:rFonts w:ascii="標楷體" w:hAnsi="標楷體" w:eastAsia="標楷體"/>
          <w:sz w:val="28"/>
        </w:rPr>
        <w:t>「</w:t>
      </w:r>
      <w:r>
        <w:rPr>
          <w:rFonts w:ascii="標楷體" w:hAnsi="標楷體" w:cs="華康細圓體" w:eastAsia="標楷體"/>
          <w:sz w:val="28"/>
        </w:rPr>
        <w:t>夫水腫病者，皆由榮衛否澀，腎脾虛弱所為，而大腹水腫者，或因大病之後，或積虛勞損，或新熱食竟入於水，自漬及浴，令水氣不散，流溢腸外，三焦閉塞，小便不通，水氣結聚於內，乃腹大而腫。故四支小，陰下濕，手足逆冷，腰痛。」本條文所描述水腫的情形頗類似肝硬化所造成的腹水，需與腎病症候群造成的水腫加以鑑別診斷。不管是腎病症候群或肝硬化造成的腹水，其形成機理有相似處。如</w:t>
      </w:r>
      <w:r>
        <w:rPr>
          <w:rFonts w:eastAsia="標楷體" w:cs="華康細圓體" w:ascii="標楷體" w:hAnsi="標楷體"/>
          <w:sz w:val="28"/>
        </w:rPr>
        <w:t>&lt;&lt;</w:t>
      </w:r>
      <w:r>
        <w:rPr>
          <w:rFonts w:ascii="標楷體" w:hAnsi="標楷體" w:cs="華康細圓體" w:eastAsia="標楷體"/>
          <w:sz w:val="28"/>
        </w:rPr>
        <w:t>諸病源候論‧二十四水候</w:t>
      </w:r>
      <w:r>
        <w:rPr>
          <w:rFonts w:eastAsia="標楷體" w:cs="華康細圓體" w:ascii="標楷體" w:hAnsi="標楷體"/>
          <w:sz w:val="28"/>
        </w:rPr>
        <w:t>&gt;&gt;</w:t>
      </w:r>
      <w:r>
        <w:rPr>
          <w:rFonts w:ascii="標楷體" w:hAnsi="標楷體" w:cs="華康細圓體" w:eastAsia="標楷體"/>
          <w:sz w:val="28"/>
        </w:rPr>
        <w:t>「夫水之病，皆生於腑臟。方家所出，立名不同</w:t>
      </w:r>
      <w:r>
        <w:rPr>
          <w:rFonts w:ascii="標楷體" w:hAnsi="標楷體" w:cs="華康細圓體" w:eastAsia="標楷體"/>
          <w:sz w:val="28"/>
        </w:rPr>
        <w:t>，</w:t>
      </w:r>
      <w:r>
        <w:rPr>
          <w:rFonts w:ascii="標楷體" w:hAnsi="標楷體" w:cs="華康細圓體" w:eastAsia="標楷體"/>
          <w:sz w:val="28"/>
        </w:rPr>
        <w:t>亦有二十四水，或十八水，或十二水，或五水，不的顯名證。尋其病根，皆由榮衛不調，經脈否澀，脾胃虛弱，使水氣流溢，盈散皮膚，故令遍體腫滿，喘息上氣，目裹浮腫，頸脈急動，不得眠臥，股間冷，小便不通，是其候也。」而稱不管是何種水病，其形成的機理均和「榮衛不調，經脈否澀，脾胃虛弱」有關。亦如</w:t>
      </w:r>
      <w:r>
        <w:rPr>
          <w:rFonts w:eastAsia="標楷體" w:cs="華康細圓體" w:ascii="標楷體" w:hAnsi="標楷體"/>
          <w:sz w:val="28"/>
        </w:rPr>
        <w:t>&lt;&lt;</w:t>
      </w:r>
      <w:r>
        <w:rPr>
          <w:rFonts w:ascii="標楷體" w:hAnsi="標楷體" w:cs="華康細圓體" w:eastAsia="標楷體"/>
          <w:sz w:val="28"/>
        </w:rPr>
        <w:t>諸病源候論‧虛勞浮腫候</w:t>
      </w:r>
      <w:r>
        <w:rPr>
          <w:rFonts w:eastAsia="標楷體" w:cs="華康細圓體" w:ascii="標楷體" w:hAnsi="標楷體"/>
          <w:sz w:val="28"/>
        </w:rPr>
        <w:t>&gt;&gt;</w:t>
      </w:r>
      <w:r>
        <w:rPr>
          <w:rFonts w:ascii="標楷體" w:hAnsi="標楷體" w:cs="華康細圓體" w:eastAsia="標楷體"/>
          <w:sz w:val="28"/>
        </w:rPr>
        <w:t>所言</w:t>
      </w:r>
      <w:r>
        <w:rPr>
          <w:rFonts w:eastAsia="標楷體" w:cs="華康細圓體" w:ascii="標楷體" w:hAnsi="標楷體"/>
          <w:sz w:val="28"/>
        </w:rPr>
        <w:t>:</w:t>
      </w:r>
      <w:r>
        <w:rPr>
          <w:rFonts w:ascii="標楷體" w:hAnsi="標楷體" w:cs="華康細圓體" w:eastAsia="標楷體"/>
          <w:sz w:val="28"/>
        </w:rPr>
        <w:t>「腎主水，脾主土。若脾虛則不能剋制於水，腎虛則水氣流溢，散於皮膚，故令身體浮腫。若氣血俱澀，則多變為水病也。」為</w:t>
      </w:r>
      <w:r>
        <w:rPr>
          <w:rFonts w:eastAsia="標楷體" w:cs="華康細圓體" w:ascii="標楷體" w:hAnsi="標楷體"/>
          <w:sz w:val="28"/>
        </w:rPr>
        <w:t>&lt;&lt;</w:t>
      </w:r>
      <w:r>
        <w:rPr>
          <w:rFonts w:ascii="標楷體" w:hAnsi="標楷體" w:cs="華康細圓體" w:eastAsia="標楷體"/>
          <w:sz w:val="28"/>
        </w:rPr>
        <w:t>金匱要略</w:t>
      </w:r>
      <w:r>
        <w:rPr>
          <w:rFonts w:eastAsia="標楷體" w:cs="華康細圓體" w:ascii="標楷體" w:hAnsi="標楷體"/>
          <w:sz w:val="28"/>
        </w:rPr>
        <w:t>&gt;&gt;</w:t>
      </w:r>
      <w:r>
        <w:rPr>
          <w:rFonts w:ascii="標楷體" w:hAnsi="標楷體" w:cs="華康細圓體" w:eastAsia="標楷體"/>
          <w:sz w:val="28"/>
        </w:rPr>
        <w:t>稱「血不利則為水」做了最好的說明。</w:t>
      </w:r>
    </w:p>
    <w:p>
      <w:pPr>
        <w:pStyle w:val="Normal"/>
        <w:snapToGrid w:val="false"/>
        <w:jc w:val="both"/>
        <w:rPr/>
      </w:pPr>
      <w:r>
        <w:rPr>
          <w:rFonts w:eastAsia="標楷體" w:cs="標楷體" w:ascii="標楷體" w:hAnsi="標楷體"/>
          <w:sz w:val="28"/>
        </w:rPr>
        <w:t xml:space="preserve">     </w:t>
      </w:r>
      <w:r>
        <w:rPr>
          <w:rFonts w:ascii="標楷體" w:hAnsi="標楷體" w:cs="華康細圓體" w:eastAsia="標楷體"/>
          <w:sz w:val="28"/>
        </w:rPr>
        <w:t>總結以上可知，</w:t>
      </w:r>
      <w:r>
        <w:rPr>
          <w:rFonts w:eastAsia="標楷體" w:cs="華康細圓體" w:ascii="標楷體" w:hAnsi="標楷體"/>
          <w:sz w:val="28"/>
        </w:rPr>
        <w:t>&lt;&lt;</w:t>
      </w:r>
      <w:r>
        <w:rPr>
          <w:rFonts w:ascii="標楷體" w:hAnsi="標楷體" w:cs="華康細圓體" w:eastAsia="標楷體"/>
          <w:sz w:val="28"/>
        </w:rPr>
        <w:t>內經</w:t>
      </w:r>
      <w:r>
        <w:rPr>
          <w:rFonts w:eastAsia="標楷體" w:cs="華康細圓體" w:ascii="標楷體" w:hAnsi="標楷體"/>
          <w:sz w:val="28"/>
        </w:rPr>
        <w:t>&gt;&gt;</w:t>
      </w:r>
      <w:r>
        <w:rPr>
          <w:rFonts w:ascii="標楷體" w:hAnsi="標楷體" w:cs="華康細圓體" w:eastAsia="標楷體"/>
          <w:sz w:val="28"/>
        </w:rPr>
        <w:t>提出了五水的觀念，</w:t>
      </w:r>
      <w:r>
        <w:rPr>
          <w:rFonts w:eastAsia="標楷體" w:cs="華康細圓體" w:ascii="標楷體" w:hAnsi="標楷體"/>
          <w:sz w:val="28"/>
        </w:rPr>
        <w:t>&lt;&lt;</w:t>
      </w:r>
      <w:r>
        <w:rPr>
          <w:rFonts w:ascii="標楷體" w:hAnsi="標楷體" w:cs="華康細圓體" w:eastAsia="標楷體"/>
          <w:sz w:val="28"/>
        </w:rPr>
        <w:t>金匱要略</w:t>
      </w:r>
      <w:r>
        <w:rPr>
          <w:rFonts w:eastAsia="標楷體" w:cs="華康細圓體" w:ascii="標楷體" w:hAnsi="標楷體"/>
          <w:sz w:val="28"/>
        </w:rPr>
        <w:t>&gt;&gt;</w:t>
      </w:r>
      <w:r>
        <w:rPr>
          <w:rFonts w:ascii="標楷體" w:hAnsi="標楷體" w:cs="華康細圓體" w:eastAsia="標楷體"/>
          <w:sz w:val="28"/>
        </w:rPr>
        <w:t>有四水的觀念，而</w:t>
      </w:r>
      <w:r>
        <w:rPr>
          <w:rFonts w:eastAsia="標楷體" w:cs="華康細圓體" w:ascii="標楷體" w:hAnsi="標楷體"/>
          <w:sz w:val="28"/>
        </w:rPr>
        <w:t>&lt;&lt;</w:t>
      </w:r>
      <w:r>
        <w:rPr>
          <w:rFonts w:ascii="標楷體" w:hAnsi="標楷體" w:cs="華康細圓體" w:eastAsia="標楷體"/>
          <w:sz w:val="28"/>
        </w:rPr>
        <w:t>中藏經</w:t>
      </w:r>
      <w:r>
        <w:rPr>
          <w:rFonts w:eastAsia="標楷體" w:cs="華康細圓體" w:ascii="標楷體" w:hAnsi="標楷體"/>
          <w:sz w:val="28"/>
        </w:rPr>
        <w:t>&gt;&gt;</w:t>
      </w:r>
      <w:r>
        <w:rPr>
          <w:rFonts w:ascii="標楷體" w:hAnsi="標楷體" w:cs="華康細圓體" w:eastAsia="標楷體"/>
          <w:sz w:val="28"/>
        </w:rPr>
        <w:t>提出了十水，</w:t>
      </w:r>
      <w:r>
        <w:rPr>
          <w:rFonts w:eastAsia="標楷體" w:cs="華康細圓體" w:ascii="標楷體" w:hAnsi="標楷體"/>
          <w:sz w:val="28"/>
        </w:rPr>
        <w:t>&lt;&lt;</w:t>
      </w:r>
      <w:r>
        <w:rPr>
          <w:rFonts w:ascii="標楷體" w:hAnsi="標楷體" w:cs="華康細圓體" w:eastAsia="標楷體"/>
          <w:sz w:val="28"/>
        </w:rPr>
        <w:t>諸病源候論</w:t>
      </w:r>
      <w:r>
        <w:rPr>
          <w:rFonts w:eastAsia="標楷體" w:cs="華康細圓體" w:ascii="標楷體" w:hAnsi="標楷體"/>
          <w:sz w:val="28"/>
        </w:rPr>
        <w:t>&gt;&gt;</w:t>
      </w:r>
      <w:r>
        <w:rPr>
          <w:rFonts w:ascii="標楷體" w:hAnsi="標楷體" w:cs="華康細圓體" w:eastAsia="標楷體"/>
          <w:sz w:val="28"/>
        </w:rPr>
        <w:t>則提出了二十四水，其特色為開始將「水腫」當作各種水病的總稱。</w:t>
      </w:r>
      <w:r>
        <w:rPr>
          <w:rFonts w:eastAsia="標楷體" w:cs="華康細圓體" w:ascii="標楷體" w:hAnsi="標楷體"/>
          <w:sz w:val="28"/>
        </w:rPr>
        <w:t>&lt;&lt;</w:t>
      </w:r>
      <w:r>
        <w:rPr>
          <w:rFonts w:ascii="標楷體" w:hAnsi="標楷體" w:cs="華康細圓體" w:eastAsia="標楷體"/>
          <w:sz w:val="28"/>
        </w:rPr>
        <w:t>諸病源候論</w:t>
      </w:r>
      <w:r>
        <w:rPr>
          <w:rFonts w:eastAsia="標楷體" w:cs="華康細圓體" w:ascii="標楷體" w:hAnsi="標楷體"/>
          <w:sz w:val="28"/>
        </w:rPr>
        <w:t>&gt;&gt;</w:t>
      </w:r>
      <w:r>
        <w:rPr>
          <w:rFonts w:ascii="標楷體" w:hAnsi="標楷體" w:cs="華康細圓體" w:eastAsia="標楷體"/>
          <w:sz w:val="28"/>
        </w:rPr>
        <w:t>提出了水腫最主要形成的機理為「脾腎氣虛」，亦如其在</w:t>
      </w:r>
      <w:r>
        <w:rPr>
          <w:rFonts w:eastAsia="標楷體" w:cs="華康細圓體" w:ascii="標楷體" w:hAnsi="標楷體"/>
          <w:sz w:val="28"/>
        </w:rPr>
        <w:t>&lt;&lt;</w:t>
      </w:r>
      <w:r>
        <w:rPr>
          <w:rFonts w:ascii="標楷體" w:hAnsi="標楷體" w:cs="華康細圓體" w:eastAsia="標楷體"/>
          <w:sz w:val="28"/>
        </w:rPr>
        <w:t>疸水候</w:t>
      </w:r>
      <w:r>
        <w:rPr>
          <w:rFonts w:eastAsia="標楷體" w:cs="華康細圓體" w:ascii="標楷體" w:hAnsi="標楷體"/>
          <w:sz w:val="28"/>
        </w:rPr>
        <w:t>&gt;&gt;</w:t>
      </w:r>
      <w:r>
        <w:rPr>
          <w:rFonts w:ascii="標楷體" w:hAnsi="標楷體" w:cs="華康細圓體" w:eastAsia="標楷體"/>
          <w:sz w:val="28"/>
        </w:rPr>
        <w:t>稱：「水病無不由脾腎虛所為。」巢氏對水病形成的理念最主要突顯出了腎不固精、脾不散精的致病機轉，對北宋嚴用和治水腫的觀念有一定之影響，而於</w:t>
      </w:r>
      <w:r>
        <w:rPr>
          <w:rFonts w:eastAsia="標楷體" w:cs="華康細圓體" w:ascii="標楷體" w:hAnsi="標楷體"/>
          <w:sz w:val="28"/>
        </w:rPr>
        <w:t>&lt;&lt;</w:t>
      </w:r>
      <w:r>
        <w:rPr>
          <w:rFonts w:ascii="標楷體" w:hAnsi="標楷體" w:cs="華康細圓體" w:eastAsia="標楷體"/>
          <w:sz w:val="28"/>
        </w:rPr>
        <w:t>濟生方</w:t>
      </w:r>
      <w:r>
        <w:rPr>
          <w:rFonts w:eastAsia="標楷體" w:cs="華康細圓體" w:ascii="標楷體" w:hAnsi="標楷體"/>
          <w:sz w:val="28"/>
        </w:rPr>
        <w:t>&gt;&gt;</w:t>
      </w:r>
      <w:r>
        <w:rPr>
          <w:rFonts w:ascii="標楷體" w:hAnsi="標楷體" w:cs="華康細圓體" w:eastAsia="標楷體"/>
          <w:sz w:val="28"/>
        </w:rPr>
        <w:t>提出了實脾飲、濟生腎氣湯等治療脾腎虛損所造成的水腫，其於</w:t>
      </w:r>
      <w:r>
        <w:rPr>
          <w:rFonts w:eastAsia="標楷體" w:cs="華康細圓體" w:ascii="標楷體" w:hAnsi="標楷體"/>
          <w:sz w:val="28"/>
        </w:rPr>
        <w:t>&lt;&lt;</w:t>
      </w:r>
      <w:r>
        <w:rPr>
          <w:rFonts w:ascii="標楷體" w:hAnsi="標楷體" w:cs="華康細圓體" w:eastAsia="標楷體"/>
          <w:sz w:val="28"/>
        </w:rPr>
        <w:t>濟生方</w:t>
      </w:r>
      <w:r>
        <w:rPr>
          <w:rFonts w:ascii="標楷體" w:hAnsi="標楷體" w:eastAsia="標楷體"/>
          <w:sz w:val="28"/>
        </w:rPr>
        <w:t>‧水腫論治篇</w:t>
      </w:r>
      <w:r>
        <w:rPr>
          <w:rFonts w:eastAsia="標楷體" w:cs="華康細圓體" w:ascii="標楷體" w:hAnsi="標楷體"/>
          <w:sz w:val="28"/>
        </w:rPr>
        <w:t>&gt;&gt;</w:t>
      </w:r>
      <w:r>
        <w:rPr>
          <w:rFonts w:ascii="標楷體" w:hAnsi="標楷體" w:cs="華康細圓體" w:eastAsia="標楷體"/>
          <w:sz w:val="28"/>
        </w:rPr>
        <w:t>稱：「水腫之病，皆由真陽怯少，勞傷脾胃，脾胃既害，積寒化水」，並且提出了治水病要：「先實脾土，</w:t>
      </w:r>
      <w:r>
        <w:rPr>
          <w:rFonts w:ascii="標楷體" w:hAnsi="標楷體" w:cs="華康細圓體" w:eastAsia="標楷體"/>
          <w:sz w:val="28"/>
        </w:rPr>
        <w:t>……</w:t>
      </w:r>
      <w:r>
        <w:rPr>
          <w:rFonts w:ascii="標楷體" w:hAnsi="標楷體" w:cs="華康細圓體" w:eastAsia="標楷體"/>
          <w:sz w:val="28"/>
        </w:rPr>
        <w:t>後溫腎水。」</w:t>
      </w:r>
    </w:p>
    <w:p>
      <w:pPr>
        <w:pStyle w:val="Normal"/>
        <w:snapToGrid w:val="false"/>
        <w:jc w:val="both"/>
        <w:rPr>
          <w:rFonts w:ascii="標楷體" w:hAnsi="標楷體" w:eastAsia="標楷體" w:cs="華康細圓體"/>
          <w:sz w:val="28"/>
        </w:rPr>
      </w:pPr>
      <w:r>
        <w:rPr>
          <w:rFonts w:eastAsia="標楷體" w:cs="華康細圓體" w:ascii="標楷體" w:hAnsi="標楷體"/>
          <w:sz w:val="28"/>
        </w:rPr>
      </w:r>
    </w:p>
    <w:p>
      <w:pPr>
        <w:pStyle w:val="Normal"/>
        <w:snapToGrid w:val="false"/>
        <w:jc w:val="both"/>
        <w:rPr/>
      </w:pPr>
      <w:r>
        <w:rPr>
          <w:rFonts w:eastAsia="標楷體" w:cs="標楷體" w:ascii="標楷體" w:hAnsi="標楷體"/>
          <w:b/>
          <w:sz w:val="28"/>
        </w:rPr>
        <w:t xml:space="preserve">    </w:t>
      </w:r>
      <w:r>
        <w:rPr>
          <w:rFonts w:ascii="標楷體" w:hAnsi="標楷體" w:eastAsia="標楷體"/>
          <w:b/>
          <w:sz w:val="28"/>
        </w:rPr>
        <w:t>第四節</w:t>
      </w:r>
      <w:r>
        <w:rPr>
          <w:rFonts w:ascii="標楷體" w:hAnsi="標楷體" w:eastAsia="標楷體"/>
          <w:b/>
          <w:sz w:val="28"/>
        </w:rPr>
        <w:t xml:space="preserve">  </w:t>
      </w:r>
      <w:r>
        <w:rPr>
          <w:rFonts w:eastAsia="標楷體" w:ascii="標楷體" w:hAnsi="標楷體"/>
          <w:b/>
          <w:sz w:val="28"/>
        </w:rPr>
        <w:t>&lt;&lt;</w:t>
      </w:r>
      <w:r>
        <w:rPr>
          <w:rFonts w:ascii="標楷體" w:hAnsi="標楷體" w:eastAsia="標楷體"/>
          <w:b/>
          <w:sz w:val="28"/>
        </w:rPr>
        <w:t>千金要方</w:t>
      </w:r>
      <w:r>
        <w:rPr>
          <w:rFonts w:eastAsia="標楷體" w:ascii="標楷體" w:hAnsi="標楷體"/>
          <w:b/>
          <w:sz w:val="28"/>
        </w:rPr>
        <w:t>&gt;&gt;</w:t>
      </w:r>
      <w:r>
        <w:rPr>
          <w:rFonts w:ascii="標楷體" w:hAnsi="標楷體" w:eastAsia="標楷體"/>
          <w:b/>
          <w:sz w:val="28"/>
        </w:rPr>
        <w:t>對水腫病的相關論述</w:t>
      </w:r>
    </w:p>
    <w:p>
      <w:pPr>
        <w:pStyle w:val="Normal"/>
        <w:overflowPunct w:val="false"/>
        <w:autoSpaceDE w:val="false"/>
        <w:snapToGrid w:val="false"/>
        <w:spacing w:lineRule="atLeast" w:line="20"/>
        <w:jc w:val="both"/>
        <w:rPr>
          <w:rFonts w:ascii="標楷體" w:hAnsi="標楷體" w:eastAsia="標楷體" w:cs="MS Sans Serif;Arial"/>
          <w:sz w:val="28"/>
        </w:rPr>
      </w:pPr>
      <w:r>
        <w:rPr>
          <w:rFonts w:eastAsia="標楷體" w:cs="標楷體" w:ascii="標楷體" w:hAnsi="標楷體"/>
          <w:sz w:val="28"/>
        </w:rPr>
        <w:t xml:space="preserve">    </w:t>
      </w:r>
      <w:r>
        <w:rPr>
          <w:rFonts w:ascii="標楷體" w:hAnsi="標楷體" w:eastAsia="標楷體"/>
          <w:sz w:val="28"/>
        </w:rPr>
        <w:t>孫思邈</w:t>
      </w:r>
      <w:r>
        <w:rPr>
          <w:rFonts w:eastAsia="標楷體" w:ascii="標楷體" w:hAnsi="標楷體"/>
          <w:sz w:val="28"/>
        </w:rPr>
        <w:t>&lt;&lt;</w:t>
      </w:r>
      <w:r>
        <w:rPr>
          <w:rFonts w:ascii="標楷體" w:hAnsi="標楷體" w:cs="MS Sans Serif;Arial" w:eastAsia="標楷體"/>
          <w:sz w:val="28"/>
        </w:rPr>
        <w:t>千金方</w:t>
      </w:r>
      <w:r>
        <w:rPr>
          <w:rFonts w:eastAsia="標楷體" w:ascii="標楷體" w:hAnsi="標楷體"/>
          <w:sz w:val="28"/>
        </w:rPr>
        <w:t>&gt;&gt;</w:t>
      </w:r>
      <w:r>
        <w:rPr>
          <w:rFonts w:ascii="標楷體" w:hAnsi="標楷體" w:eastAsia="標楷體"/>
          <w:sz w:val="28"/>
        </w:rPr>
        <w:t>對水腫的論述大都集中於水腫篇，其對水腫形成機理的描述不似</w:t>
      </w:r>
      <w:r>
        <w:rPr>
          <w:rFonts w:eastAsia="標楷體" w:ascii="標楷體" w:hAnsi="標楷體"/>
          <w:sz w:val="28"/>
        </w:rPr>
        <w:t>&lt;&lt;</w:t>
      </w:r>
      <w:r>
        <w:rPr>
          <w:rFonts w:ascii="標楷體" w:hAnsi="標楷體" w:eastAsia="標楷體"/>
          <w:sz w:val="28"/>
        </w:rPr>
        <w:t>金匱要略</w:t>
      </w:r>
      <w:r>
        <w:rPr>
          <w:rFonts w:eastAsia="標楷體" w:ascii="標楷體" w:hAnsi="標楷體"/>
          <w:sz w:val="28"/>
        </w:rPr>
        <w:t>&gt;&gt;</w:t>
      </w:r>
      <w:r>
        <w:rPr>
          <w:rFonts w:ascii="標楷體" w:hAnsi="標楷體" w:eastAsia="標楷體"/>
          <w:sz w:val="28"/>
        </w:rPr>
        <w:t>及</w:t>
      </w:r>
      <w:r>
        <w:rPr>
          <w:rFonts w:eastAsia="標楷體" w:ascii="標楷體" w:hAnsi="標楷體"/>
          <w:sz w:val="28"/>
        </w:rPr>
        <w:t>&lt;&lt;</w:t>
      </w:r>
      <w:r>
        <w:rPr>
          <w:rFonts w:ascii="標楷體" w:hAnsi="標楷體" w:eastAsia="標楷體"/>
          <w:sz w:val="28"/>
        </w:rPr>
        <w:t>諸病源候論</w:t>
      </w:r>
      <w:r>
        <w:rPr>
          <w:rFonts w:eastAsia="標楷體" w:ascii="標楷體" w:hAnsi="標楷體"/>
          <w:sz w:val="28"/>
        </w:rPr>
        <w:t>&gt;&gt;</w:t>
      </w:r>
      <w:r>
        <w:rPr>
          <w:rFonts w:ascii="標楷體" w:hAnsi="標楷體" w:eastAsia="標楷體"/>
          <w:sz w:val="28"/>
        </w:rPr>
        <w:t>之詳細</w:t>
      </w:r>
      <w:r>
        <w:rPr>
          <w:rFonts w:ascii="標楷體" w:hAnsi="標楷體" w:eastAsia="標楷體"/>
          <w:sz w:val="28"/>
        </w:rPr>
        <w:t>，</w:t>
      </w:r>
      <w:r>
        <w:rPr>
          <w:rFonts w:ascii="標楷體" w:hAnsi="標楷體" w:eastAsia="標楷體"/>
          <w:sz w:val="28"/>
        </w:rPr>
        <w:t>關於水腫的臨床表現大致見於</w:t>
      </w:r>
      <w:r>
        <w:rPr>
          <w:rFonts w:eastAsia="標楷體" w:cs="MS Sans Serif;Arial" w:ascii="標楷體" w:hAnsi="標楷體"/>
          <w:sz w:val="28"/>
        </w:rPr>
        <w:t>&lt;&lt;</w:t>
      </w:r>
      <w:r>
        <w:rPr>
          <w:rFonts w:ascii="標楷體" w:hAnsi="標楷體" w:cs="MS Sans Serif;Arial" w:eastAsia="標楷體"/>
          <w:sz w:val="28"/>
        </w:rPr>
        <w:t>備急千金要方卷第十五</w:t>
      </w:r>
      <w:r>
        <w:rPr>
          <w:rFonts w:ascii="標楷體" w:hAnsi="標楷體" w:eastAsia="標楷體"/>
          <w:sz w:val="28"/>
        </w:rPr>
        <w:t>‧腎臟</w:t>
      </w:r>
      <w:r>
        <w:rPr>
          <w:rFonts w:eastAsia="標楷體" w:ascii="標楷體" w:hAnsi="標楷體"/>
          <w:sz w:val="28"/>
        </w:rPr>
        <w:t>&gt;&gt;</w:t>
      </w:r>
      <w:r>
        <w:rPr>
          <w:rFonts w:ascii="標楷體" w:hAnsi="標楷體" w:eastAsia="標楷體"/>
          <w:sz w:val="28"/>
        </w:rPr>
        <w:t>「</w:t>
      </w:r>
      <w:r>
        <w:rPr>
          <w:rFonts w:ascii="標楷體" w:hAnsi="標楷體" w:cs="MS Sans Serif;Arial" w:eastAsia="標楷體"/>
          <w:sz w:val="28"/>
        </w:rPr>
        <w:t>腎水者，其人腹大臍腫，腰痛不得溺，陰下濕如牛鼻頭汗，其足逆寒，大便反堅，一云面反瘦。」</w:t>
      </w:r>
    </w:p>
    <w:p>
      <w:pPr>
        <w:pStyle w:val="Normal"/>
        <w:overflowPunct w:val="false"/>
        <w:autoSpaceDE w:val="false"/>
        <w:snapToGrid w:val="false"/>
        <w:spacing w:lineRule="atLeast" w:line="20"/>
        <w:jc w:val="both"/>
        <w:rPr/>
      </w:pPr>
      <w:r>
        <w:rPr>
          <w:rFonts w:eastAsia="標楷體" w:cs="標楷體" w:ascii="標楷體" w:hAnsi="標楷體"/>
          <w:sz w:val="28"/>
        </w:rPr>
        <w:t xml:space="preserve">    </w:t>
      </w:r>
      <w:r>
        <w:rPr>
          <w:rFonts w:ascii="標楷體" w:hAnsi="標楷體" w:cs="MS Sans Serif;Arial" w:eastAsia="標楷體"/>
          <w:sz w:val="28"/>
        </w:rPr>
        <w:t>雖然機理的描述較少，但其對水病之後的調理則有其獨特的一面，如</w:t>
      </w:r>
      <w:r>
        <w:rPr>
          <w:rFonts w:eastAsia="標楷體" w:cs="MS Sans Serif;Arial" w:ascii="標楷體" w:hAnsi="標楷體"/>
          <w:sz w:val="28"/>
        </w:rPr>
        <w:t>&lt;&lt;</w:t>
      </w:r>
      <w:r>
        <w:rPr>
          <w:rFonts w:ascii="標楷體" w:hAnsi="標楷體" w:cs="MS Sans Serif;Arial" w:eastAsia="標楷體"/>
          <w:sz w:val="28"/>
        </w:rPr>
        <w:t>備急千金要方卷第二十一</w:t>
      </w:r>
      <w:r>
        <w:rPr>
          <w:rFonts w:ascii="標楷體" w:hAnsi="標楷體" w:eastAsia="標楷體"/>
          <w:sz w:val="28"/>
        </w:rPr>
        <w:t>‧水腫</w:t>
      </w:r>
      <w:r>
        <w:rPr>
          <w:rFonts w:eastAsia="標楷體" w:ascii="標楷體" w:hAnsi="標楷體"/>
          <w:sz w:val="28"/>
        </w:rPr>
        <w:t>&gt;&gt;</w:t>
      </w:r>
      <w:r>
        <w:rPr>
          <w:rFonts w:ascii="標楷體" w:hAnsi="標楷體" w:eastAsia="標楷體"/>
          <w:sz w:val="28"/>
        </w:rPr>
        <w:t>「</w:t>
      </w:r>
      <w:r>
        <w:rPr>
          <w:rFonts w:ascii="標楷體" w:hAnsi="標楷體" w:cs="MS Sans Serif;Arial" w:eastAsia="標楷體"/>
          <w:sz w:val="28"/>
        </w:rPr>
        <w:t>論曰：大凡水病難治，瘥後特須慎於口味</w:t>
      </w:r>
      <w:r>
        <w:rPr>
          <w:rFonts w:ascii="標楷體" w:hAnsi="標楷體" w:cs="MS Sans Serif;Arial" w:eastAsia="標楷體"/>
          <w:sz w:val="28"/>
        </w:rPr>
        <w:t>，</w:t>
      </w:r>
      <w:r>
        <w:rPr>
          <w:rFonts w:ascii="標楷體" w:hAnsi="標楷體" w:cs="MS Sans Serif;Arial" w:eastAsia="標楷體"/>
          <w:sz w:val="28"/>
        </w:rPr>
        <w:t>又復病水人多嗜食不廉</w:t>
      </w:r>
      <w:r>
        <w:rPr>
          <w:rFonts w:ascii="標楷體" w:hAnsi="標楷體" w:cs="MS Sans Serif;Arial" w:eastAsia="標楷體"/>
          <w:sz w:val="28"/>
        </w:rPr>
        <w:t>，</w:t>
      </w:r>
      <w:r>
        <w:rPr>
          <w:rFonts w:ascii="標楷體" w:hAnsi="標楷體" w:cs="MS Sans Serif;Arial" w:eastAsia="標楷體"/>
          <w:sz w:val="28"/>
        </w:rPr>
        <w:t>所以此病難愈也</w:t>
      </w:r>
      <w:r>
        <w:rPr>
          <w:rFonts w:ascii="標楷體" w:hAnsi="標楷體" w:cs="MS Sans Serif;Arial" w:eastAsia="標楷體"/>
          <w:sz w:val="28"/>
        </w:rPr>
        <w:t>，</w:t>
      </w:r>
      <w:r>
        <w:rPr>
          <w:rFonts w:ascii="標楷體" w:hAnsi="標楷體" w:cs="MS Sans Serif;Arial" w:eastAsia="標楷體"/>
          <w:sz w:val="28"/>
        </w:rPr>
        <w:t>代有醫者隨逐時情</w:t>
      </w:r>
      <w:r>
        <w:rPr>
          <w:rFonts w:ascii="標楷體" w:hAnsi="標楷體" w:cs="MS Sans Serif;Arial" w:eastAsia="標楷體"/>
          <w:sz w:val="28"/>
        </w:rPr>
        <w:t>，</w:t>
      </w:r>
      <w:r>
        <w:rPr>
          <w:rFonts w:ascii="標楷體" w:hAnsi="標楷體" w:cs="MS Sans Serif;Arial" w:eastAsia="標楷體"/>
          <w:sz w:val="28"/>
        </w:rPr>
        <w:t>意在財物</w:t>
      </w:r>
      <w:r>
        <w:rPr>
          <w:rFonts w:ascii="標楷體" w:hAnsi="標楷體" w:cs="MS Sans Serif;Arial" w:eastAsia="標楷體"/>
          <w:sz w:val="28"/>
        </w:rPr>
        <w:t>，</w:t>
      </w:r>
      <w:r>
        <w:rPr>
          <w:rFonts w:ascii="標楷體" w:hAnsi="標楷體" w:cs="MS Sans Serif;Arial" w:eastAsia="標楷體"/>
          <w:sz w:val="28"/>
        </w:rPr>
        <w:t>不本性命</w:t>
      </w:r>
      <w:r>
        <w:rPr>
          <w:rFonts w:ascii="標楷體" w:hAnsi="標楷體" w:cs="MS Sans Serif;Arial" w:eastAsia="標楷體"/>
          <w:sz w:val="28"/>
        </w:rPr>
        <w:t>，</w:t>
      </w:r>
      <w:r>
        <w:rPr>
          <w:rFonts w:ascii="標楷體" w:hAnsi="標楷體" w:cs="MS Sans Serif;Arial" w:eastAsia="標楷體"/>
          <w:sz w:val="28"/>
        </w:rPr>
        <w:t>病人欲食肉</w:t>
      </w:r>
      <w:r>
        <w:rPr>
          <w:rFonts w:ascii="標楷體" w:hAnsi="標楷體" w:cs="MS Sans Serif;Arial" w:eastAsia="標楷體"/>
          <w:sz w:val="28"/>
        </w:rPr>
        <w:t>，</w:t>
      </w:r>
      <w:r>
        <w:rPr>
          <w:rFonts w:ascii="標楷體" w:hAnsi="標楷體" w:cs="MS Sans Serif;Arial" w:eastAsia="標楷體"/>
          <w:sz w:val="28"/>
        </w:rPr>
        <w:t>於貴勝之處勸令食羊頭蹄肉</w:t>
      </w:r>
      <w:r>
        <w:rPr>
          <w:rFonts w:ascii="標楷體" w:hAnsi="標楷體" w:cs="MS Sans Serif;Arial" w:eastAsia="標楷體"/>
          <w:sz w:val="28"/>
        </w:rPr>
        <w:t>，</w:t>
      </w:r>
      <w:r>
        <w:rPr>
          <w:rFonts w:ascii="標楷體" w:hAnsi="標楷體" w:cs="MS Sans Serif;Arial" w:eastAsia="標楷體"/>
          <w:sz w:val="28"/>
        </w:rPr>
        <w:t>如此者未見有一愈者。又此病百脈之中，氣水俱實，治者皆欲令瀉之便虛，羊頭蹄極補，那得瘳愈。」建議治水病瘳後之調理，不主張以補藥妄行。</w:t>
      </w:r>
    </w:p>
    <w:p>
      <w:pPr>
        <w:pStyle w:val="Normal"/>
        <w:overflowPunct w:val="false"/>
        <w:autoSpaceDE w:val="false"/>
        <w:snapToGrid w:val="false"/>
        <w:spacing w:lineRule="atLeast" w:line="20"/>
        <w:jc w:val="both"/>
        <w:rPr>
          <w:rFonts w:ascii="標楷體" w:hAnsi="標楷體" w:eastAsia="標楷體" w:cs="MS Sans Serif;Arial"/>
          <w:sz w:val="28"/>
        </w:rPr>
      </w:pPr>
      <w:r>
        <w:rPr>
          <w:rFonts w:eastAsia="標楷體" w:cs="標楷體" w:ascii="標楷體" w:hAnsi="標楷體"/>
          <w:sz w:val="28"/>
        </w:rPr>
        <w:t xml:space="preserve">    </w:t>
      </w:r>
      <w:r>
        <w:rPr>
          <w:rFonts w:ascii="標楷體" w:hAnsi="標楷體" w:cs="MS Sans Serif;Arial" w:eastAsia="標楷體"/>
          <w:sz w:val="28"/>
        </w:rPr>
        <w:t>孫思邈對於水腫的鑑別診斷亦非常注重，其於</w:t>
      </w:r>
      <w:r>
        <w:rPr>
          <w:rFonts w:eastAsia="標楷體" w:cs="MS Sans Serif;Arial" w:ascii="標楷體" w:hAnsi="標楷體"/>
          <w:sz w:val="28"/>
        </w:rPr>
        <w:t>&lt;&lt;</w:t>
      </w:r>
      <w:r>
        <w:rPr>
          <w:rFonts w:ascii="標楷體" w:hAnsi="標楷體" w:cs="MS Sans Serif;Arial" w:eastAsia="標楷體"/>
          <w:sz w:val="28"/>
        </w:rPr>
        <w:t>備急千金要方卷第二十一</w:t>
      </w:r>
      <w:r>
        <w:rPr>
          <w:rFonts w:ascii="標楷體" w:hAnsi="標楷體" w:eastAsia="標楷體"/>
          <w:sz w:val="28"/>
        </w:rPr>
        <w:t>‧水腫</w:t>
      </w:r>
      <w:r>
        <w:rPr>
          <w:rFonts w:eastAsia="標楷體" w:ascii="標楷體" w:hAnsi="標楷體"/>
          <w:sz w:val="28"/>
        </w:rPr>
        <w:t>&gt;&gt;</w:t>
      </w:r>
      <w:r>
        <w:rPr>
          <w:rFonts w:ascii="標楷體" w:hAnsi="標楷體" w:eastAsia="標楷體"/>
          <w:sz w:val="28"/>
        </w:rPr>
        <w:t>曰：「</w:t>
      </w:r>
      <w:r>
        <w:rPr>
          <w:rFonts w:ascii="標楷體" w:hAnsi="標楷體" w:cs="MS Sans Serif;Arial" w:eastAsia="標楷體"/>
          <w:sz w:val="28"/>
        </w:rPr>
        <w:t>又有蠱脹，但腹滿不腫，水脹，脹而四肢面目俱腫，大凡送者不善診候，治蠱以水藥，治水以蠱藥，或但見脹滿，皆以水藥，如此者仲景所云，愚醫殺之。」</w:t>
      </w:r>
      <w:r>
        <w:rPr>
          <w:rFonts w:ascii="標楷體" w:hAnsi="標楷體" w:eastAsia="標楷體"/>
          <w:sz w:val="28"/>
        </w:rPr>
        <w:t>可見其重視之一般，並援用</w:t>
      </w:r>
      <w:r>
        <w:rPr>
          <w:rFonts w:eastAsia="標楷體" w:ascii="標楷體" w:hAnsi="標楷體"/>
          <w:sz w:val="28"/>
        </w:rPr>
        <w:t>&lt;&lt;</w:t>
      </w:r>
      <w:r>
        <w:rPr>
          <w:rFonts w:ascii="標楷體" w:hAnsi="標楷體" w:eastAsia="標楷體"/>
          <w:sz w:val="28"/>
        </w:rPr>
        <w:t>內經</w:t>
      </w:r>
      <w:r>
        <w:rPr>
          <w:rFonts w:eastAsia="標楷體" w:ascii="標楷體" w:hAnsi="標楷體"/>
          <w:sz w:val="28"/>
        </w:rPr>
        <w:t>&gt;&gt;</w:t>
      </w:r>
      <w:r>
        <w:rPr>
          <w:rFonts w:ascii="標楷體" w:hAnsi="標楷體" w:eastAsia="標楷體"/>
          <w:sz w:val="28"/>
        </w:rPr>
        <w:t>對水脹及</w:t>
      </w:r>
      <w:r>
        <w:rPr>
          <w:rFonts w:ascii="標楷體" w:hAnsi="標楷體" w:cs="MS Sans Serif;Arial" w:eastAsia="標楷體"/>
          <w:sz w:val="28"/>
        </w:rPr>
        <w:t>蠱脹等鑑別診斷之條文</w:t>
      </w:r>
      <w:r>
        <w:rPr>
          <w:rFonts w:ascii="標楷體" w:hAnsi="標楷體" w:eastAsia="標楷體"/>
          <w:sz w:val="28"/>
        </w:rPr>
        <w:t>。除此之外，並引用</w:t>
      </w:r>
      <w:r>
        <w:rPr>
          <w:rFonts w:eastAsia="標楷體" w:ascii="標楷體" w:hAnsi="標楷體"/>
          <w:sz w:val="28"/>
        </w:rPr>
        <w:t>&lt;&lt;</w:t>
      </w:r>
      <w:r>
        <w:rPr>
          <w:rFonts w:ascii="標楷體" w:hAnsi="標楷體" w:eastAsia="標楷體"/>
          <w:sz w:val="28"/>
        </w:rPr>
        <w:t>金匱要略</w:t>
      </w:r>
      <w:r>
        <w:rPr>
          <w:rFonts w:eastAsia="標楷體" w:ascii="標楷體" w:hAnsi="標楷體"/>
          <w:sz w:val="28"/>
        </w:rPr>
        <w:t>&gt;&gt;</w:t>
      </w:r>
      <w:r>
        <w:rPr>
          <w:rFonts w:ascii="標楷體" w:hAnsi="標楷體" w:eastAsia="標楷體"/>
          <w:sz w:val="28"/>
        </w:rPr>
        <w:t>風水、皮水、正水、石水的描述，對於治法亦稱「</w:t>
      </w:r>
      <w:r>
        <w:rPr>
          <w:rFonts w:ascii="標楷體" w:hAnsi="標楷體" w:cs="MS Sans Serif;Arial" w:eastAsia="標楷體"/>
          <w:sz w:val="28"/>
        </w:rPr>
        <w:t>腰以下腫當利小便；腰以上腫，當發汗即愈。</w:t>
      </w:r>
      <w:r>
        <w:rPr>
          <w:rFonts w:ascii="標楷體" w:hAnsi="標楷體" w:eastAsia="標楷體"/>
          <w:sz w:val="28"/>
        </w:rPr>
        <w:t>」</w:t>
      </w:r>
    </w:p>
    <w:p>
      <w:pPr>
        <w:pStyle w:val="Normal"/>
        <w:overflowPunct w:val="false"/>
        <w:autoSpaceDE w:val="false"/>
        <w:snapToGrid w:val="false"/>
        <w:spacing w:lineRule="atLeast" w:line="20"/>
        <w:jc w:val="both"/>
        <w:rPr>
          <w:rFonts w:ascii="標楷體" w:hAnsi="標楷體" w:eastAsia="標楷體" w:cs="MS Sans Serif;Arial"/>
          <w:sz w:val="28"/>
        </w:rPr>
      </w:pPr>
      <w:r>
        <w:rPr>
          <w:rFonts w:eastAsia="標楷體" w:cs="標楷體" w:ascii="標楷體" w:hAnsi="標楷體"/>
          <w:sz w:val="28"/>
        </w:rPr>
        <w:t xml:space="preserve">    </w:t>
      </w:r>
      <w:r>
        <w:rPr>
          <w:rFonts w:ascii="標楷體" w:hAnsi="標楷體" w:cs="MS Sans Serif;Arial" w:eastAsia="標楷體"/>
          <w:sz w:val="28"/>
        </w:rPr>
        <w:t>同篇之中對於水病的禁忌亦有論及，如「喪孝、產乳、音樂、房室、諠戲、一切魚、一切肉、生冷、醋滑、蒜、粘食米豆、油膩。」</w:t>
      </w:r>
    </w:p>
    <w:p>
      <w:pPr>
        <w:pStyle w:val="Normal"/>
        <w:overflowPunct w:val="false"/>
        <w:autoSpaceDE w:val="false"/>
        <w:snapToGrid w:val="false"/>
        <w:spacing w:lineRule="atLeast" w:line="20"/>
        <w:jc w:val="both"/>
        <w:rPr/>
      </w:pPr>
      <w:r>
        <w:rPr>
          <w:rFonts w:ascii="標楷體" w:hAnsi="標楷體" w:cs="MS Sans Serif;Arial" w:eastAsia="標楷體"/>
          <w:sz w:val="28"/>
        </w:rPr>
        <w:t>上以前並禁不得食之，及不得用心，其不禁者，並具本方之下</w:t>
      </w:r>
      <w:r>
        <w:rPr>
          <w:rFonts w:ascii="標楷體" w:hAnsi="標楷體" w:cs="MS Sans Serif;Arial" w:eastAsia="標楷體"/>
          <w:sz w:val="28"/>
        </w:rPr>
        <w:t>，</w:t>
      </w:r>
      <w:r>
        <w:rPr>
          <w:rFonts w:ascii="標楷體" w:hAnsi="標楷體" w:cs="MS Sans Serif;Arial" w:eastAsia="標楷體"/>
          <w:sz w:val="28"/>
        </w:rPr>
        <w:t>其房室等，猶三年慎之，永不復重發。不爾者，瘥而更發，重發，不可更治也。」告誡水腫患者許多相關禁忌。</w:t>
      </w:r>
    </w:p>
    <w:p>
      <w:pPr>
        <w:pStyle w:val="Normal"/>
        <w:overflowPunct w:val="false"/>
        <w:autoSpaceDE w:val="false"/>
        <w:snapToGrid w:val="false"/>
        <w:spacing w:lineRule="atLeast" w:line="20"/>
        <w:jc w:val="both"/>
        <w:rPr>
          <w:rFonts w:ascii="標楷體" w:hAnsi="標楷體" w:eastAsia="標楷體" w:cs="MS Sans Serif;Arial"/>
          <w:sz w:val="28"/>
        </w:rPr>
      </w:pPr>
      <w:r>
        <w:rPr>
          <w:rFonts w:eastAsia="標楷體" w:cs="標楷體" w:ascii="標楷體" w:hAnsi="標楷體"/>
          <w:sz w:val="28"/>
        </w:rPr>
        <w:t xml:space="preserve">    </w:t>
      </w:r>
      <w:r>
        <w:rPr>
          <w:rFonts w:ascii="標楷體" w:hAnsi="標楷體" w:cs="MS Sans Serif;Arial" w:eastAsia="標楷體"/>
          <w:sz w:val="28"/>
        </w:rPr>
        <w:t>對於水病預後較差者則如</w:t>
      </w:r>
      <w:r>
        <w:rPr>
          <w:rFonts w:eastAsia="標楷體" w:cs="MS Sans Serif;Arial" w:ascii="標楷體" w:hAnsi="標楷體"/>
          <w:sz w:val="28"/>
        </w:rPr>
        <w:t>&lt;&lt;</w:t>
      </w:r>
      <w:r>
        <w:rPr>
          <w:rFonts w:ascii="標楷體" w:hAnsi="標楷體" w:cs="MS Sans Serif;Arial" w:eastAsia="標楷體"/>
          <w:sz w:val="28"/>
        </w:rPr>
        <w:t>水腫篇</w:t>
      </w:r>
      <w:r>
        <w:rPr>
          <w:rFonts w:eastAsia="標楷體" w:cs="MS Sans Serif;Arial" w:ascii="標楷體" w:hAnsi="標楷體"/>
          <w:sz w:val="28"/>
        </w:rPr>
        <w:t>&gt;&gt;</w:t>
      </w:r>
      <w:r>
        <w:rPr>
          <w:rFonts w:ascii="標楷體" w:hAnsi="標楷體" w:cs="MS Sans Serif;Arial" w:eastAsia="標楷體"/>
          <w:sz w:val="28"/>
        </w:rPr>
        <w:t>所云：「水有十種，不可治者有五，第一脣黑傷肝，第二缺盆平傷心，</w:t>
      </w:r>
      <w:r>
        <w:rPr>
          <w:rFonts w:ascii="標楷體" w:hAnsi="標楷體" w:cs="MS Sans Serif;Arial" w:eastAsia="標楷體"/>
          <w:sz w:val="28"/>
        </w:rPr>
        <w:t xml:space="preserve"> </w:t>
      </w:r>
      <w:r>
        <w:rPr>
          <w:rFonts w:ascii="標楷體" w:hAnsi="標楷體" w:cs="MS Sans Serif;Arial" w:eastAsia="標楷體"/>
          <w:sz w:val="28"/>
        </w:rPr>
        <w:t>第三臍出傷脾，第四背平傷肺，第五足下平滿傷腎，此五傷必不可治</w:t>
      </w:r>
      <w:r>
        <w:rPr>
          <w:rFonts w:ascii="標楷體" w:hAnsi="標楷體" w:cs="MS Sans Serif;Arial" w:eastAsia="標楷體"/>
          <w:sz w:val="28"/>
        </w:rPr>
        <w:t>。</w:t>
      </w:r>
      <w:r>
        <w:rPr>
          <w:rFonts w:ascii="標楷體" w:hAnsi="標楷體" w:cs="MS Sans Serif;Arial" w:eastAsia="標楷體"/>
          <w:sz w:val="28"/>
        </w:rPr>
        <w:t>凡水病忌腹上出水出水者月死，大忌之。」</w:t>
      </w:r>
    </w:p>
    <w:p>
      <w:pPr>
        <w:pStyle w:val="Normal"/>
        <w:snapToGrid w:val="false"/>
        <w:spacing w:lineRule="atLeast" w:line="20"/>
        <w:ind w:firstLine="540"/>
        <w:jc w:val="both"/>
        <w:rPr/>
      </w:pPr>
      <w:r>
        <w:rPr>
          <w:rFonts w:ascii="標楷體" w:hAnsi="標楷體" w:cs="MS Sans Serif;Arial" w:eastAsia="標楷體"/>
          <w:sz w:val="28"/>
        </w:rPr>
        <w:t>對於風水的治療如</w:t>
      </w:r>
      <w:r>
        <w:rPr>
          <w:rFonts w:eastAsia="標楷體" w:cs="MS Sans Serif;Arial" w:ascii="標楷體" w:hAnsi="標楷體"/>
          <w:sz w:val="28"/>
        </w:rPr>
        <w:t>&lt;&lt;</w:t>
      </w:r>
      <w:r>
        <w:rPr>
          <w:rFonts w:ascii="標楷體" w:hAnsi="標楷體" w:cs="MS Sans Serif;Arial" w:eastAsia="標楷體"/>
          <w:sz w:val="28"/>
        </w:rPr>
        <w:t>水腫篇</w:t>
      </w:r>
      <w:r>
        <w:rPr>
          <w:rFonts w:eastAsia="標楷體" w:cs="MS Sans Serif;Arial" w:ascii="標楷體" w:hAnsi="標楷體"/>
          <w:sz w:val="28"/>
        </w:rPr>
        <w:t>&gt;&gt;</w:t>
      </w:r>
      <w:r>
        <w:rPr>
          <w:rFonts w:ascii="標楷體" w:hAnsi="標楷體" w:cs="MS Sans Serif;Arial" w:eastAsia="標楷體"/>
          <w:sz w:val="28"/>
        </w:rPr>
        <w:t>所云：「有人患氣虛損久不瘥，遂成水腫，如此者眾，諸皮中脬水攻面目，身體從腰以上腫，皆以此湯發汗悉愈方。」此方即「麻黃</w:t>
      </w:r>
      <w:r>
        <w:rPr>
          <w:rFonts w:ascii="標楷體" w:hAnsi="標楷體" w:cs="MS Sans Serif;Arial" w:eastAsia="標楷體"/>
          <w:sz w:val="28"/>
        </w:rPr>
        <w:t xml:space="preserve"> </w:t>
      </w:r>
      <w:r>
        <w:rPr>
          <w:rFonts w:eastAsia="標楷體" w:cs="MS Sans Serif;Arial" w:ascii="標楷體" w:hAnsi="標楷體"/>
          <w:sz w:val="28"/>
        </w:rPr>
        <w:t>(</w:t>
      </w:r>
      <w:r>
        <w:rPr>
          <w:rFonts w:ascii="標楷體" w:hAnsi="標楷體" w:cs="MS Sans Serif;Arial" w:eastAsia="標楷體"/>
          <w:sz w:val="28"/>
        </w:rPr>
        <w:t>四兩</w:t>
      </w:r>
      <w:r>
        <w:rPr>
          <w:rFonts w:eastAsia="標楷體" w:cs="MS Sans Serif;Arial" w:ascii="標楷體" w:hAnsi="標楷體"/>
          <w:sz w:val="28"/>
        </w:rPr>
        <w:t>)</w:t>
      </w:r>
      <w:r>
        <w:rPr>
          <w:rFonts w:ascii="標楷體" w:hAnsi="標楷體" w:cs="MS Sans Serif;Arial" w:eastAsia="標楷體"/>
          <w:sz w:val="28"/>
        </w:rPr>
        <w:t>、甘草</w:t>
      </w:r>
      <w:r>
        <w:rPr>
          <w:rFonts w:ascii="標楷體" w:hAnsi="標楷體" w:cs="MS Sans Serif;Arial" w:eastAsia="標楷體"/>
          <w:sz w:val="28"/>
        </w:rPr>
        <w:t xml:space="preserve"> </w:t>
      </w:r>
      <w:r>
        <w:rPr>
          <w:rFonts w:eastAsia="標楷體" w:cs="MS Sans Serif;Arial" w:ascii="標楷體" w:hAnsi="標楷體"/>
          <w:sz w:val="28"/>
        </w:rPr>
        <w:t>(</w:t>
      </w:r>
      <w:r>
        <w:rPr>
          <w:rFonts w:ascii="標楷體" w:hAnsi="標楷體" w:cs="MS Sans Serif;Arial" w:eastAsia="標楷體"/>
          <w:sz w:val="28"/>
        </w:rPr>
        <w:t>二兩</w:t>
      </w:r>
      <w:r>
        <w:rPr>
          <w:rFonts w:eastAsia="標楷體" w:cs="MS Sans Serif;Arial" w:ascii="標楷體" w:hAnsi="標楷體"/>
          <w:sz w:val="28"/>
        </w:rPr>
        <w:t>)</w:t>
      </w:r>
      <w:r>
        <w:rPr>
          <w:rFonts w:ascii="標楷體" w:hAnsi="標楷體" w:cs="MS Sans Serif;Arial" w:eastAsia="標楷體"/>
          <w:sz w:val="28"/>
        </w:rPr>
        <w:t>，右二味</w:t>
      </w:r>
      <w:r>
        <w:rPr>
          <w:rFonts w:ascii="標楷體" w:hAnsi="標楷體" w:cs="MS Sans Serif;Arial" w:eastAsia="標楷體"/>
          <w:sz w:val="16"/>
        </w:rPr>
        <w:t>口</w:t>
      </w:r>
      <w:r>
        <w:rPr>
          <w:rFonts w:ascii="標楷體" w:hAnsi="標楷體" w:cs="MS Sans Serif;Arial" w:eastAsia="標楷體"/>
        </w:rPr>
        <w:t>父</w:t>
      </w:r>
      <w:r>
        <w:rPr>
          <w:rFonts w:ascii="標楷體" w:hAnsi="標楷體" w:cs="MS Sans Serif;Arial" w:eastAsia="標楷體"/>
          <w:sz w:val="28"/>
        </w:rPr>
        <w:t>咀，以水五升煮麻黃，再沸去沫，內甘草，取三升，分三服，取汗愈，慎風冷等。」</w:t>
      </w:r>
    </w:p>
    <w:p>
      <w:pPr>
        <w:pStyle w:val="Normal"/>
        <w:snapToGrid w:val="false"/>
        <w:spacing w:lineRule="atLeast" w:line="20"/>
        <w:ind w:firstLine="540"/>
        <w:jc w:val="both"/>
        <w:rPr>
          <w:rFonts w:ascii="新細明體;PMingLiU" w:hAnsi="新細明體;PMingLiU" w:eastAsia="標楷體" w:cs="MS Sans Serif;Arial"/>
          <w:b/>
          <w:b/>
          <w:sz w:val="28"/>
        </w:rPr>
      </w:pPr>
      <w:r>
        <w:rPr>
          <w:rFonts w:eastAsia="標楷體" w:cs="MS Sans Serif;Arial" w:ascii="新細明體;PMingLiU" w:hAnsi="新細明體;PMingLiU"/>
          <w:b/>
          <w:sz w:val="28"/>
        </w:rPr>
      </w:r>
    </w:p>
    <w:p>
      <w:pPr>
        <w:pStyle w:val="Normal"/>
        <w:snapToGrid w:val="false"/>
        <w:jc w:val="both"/>
        <w:rPr/>
      </w:pPr>
      <w:r>
        <w:rPr>
          <w:rFonts w:eastAsia="標楷體" w:cs="標楷體" w:ascii="標楷體" w:hAnsi="標楷體"/>
          <w:b/>
          <w:sz w:val="28"/>
        </w:rPr>
        <w:t xml:space="preserve">    </w:t>
      </w:r>
      <w:r>
        <w:rPr>
          <w:rFonts w:ascii="標楷體" w:hAnsi="標楷體" w:eastAsia="標楷體"/>
          <w:b/>
          <w:sz w:val="28"/>
        </w:rPr>
        <w:t xml:space="preserve">第五節  </w:t>
      </w:r>
      <w:r>
        <w:rPr>
          <w:rFonts w:eastAsia="標楷體" w:ascii="標楷體" w:hAnsi="標楷體"/>
          <w:b/>
          <w:sz w:val="28"/>
        </w:rPr>
        <w:t>&lt;&lt;</w:t>
      </w:r>
      <w:r>
        <w:rPr>
          <w:rFonts w:ascii="標楷體" w:hAnsi="標楷體" w:eastAsia="標楷體"/>
          <w:b/>
          <w:sz w:val="28"/>
        </w:rPr>
        <w:t>外臺祕要</w:t>
      </w:r>
      <w:r>
        <w:rPr>
          <w:rFonts w:eastAsia="標楷體" w:ascii="標楷體" w:hAnsi="標楷體"/>
          <w:b/>
          <w:sz w:val="28"/>
        </w:rPr>
        <w:t>&gt;&gt;</w:t>
      </w:r>
      <w:r>
        <w:rPr>
          <w:rFonts w:ascii="標楷體" w:hAnsi="標楷體" w:eastAsia="標楷體"/>
          <w:b/>
          <w:sz w:val="28"/>
        </w:rPr>
        <w:t>對水腫病的相關論述</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關於水腫，</w:t>
      </w:r>
      <w:r>
        <w:rPr>
          <w:rFonts w:eastAsia="標楷體" w:ascii="標楷體" w:hAnsi="標楷體"/>
          <w:sz w:val="28"/>
        </w:rPr>
        <w:t>&lt;&lt;</w:t>
      </w:r>
      <w:r>
        <w:rPr>
          <w:rFonts w:ascii="標楷體" w:hAnsi="標楷體" w:eastAsia="標楷體"/>
          <w:sz w:val="28"/>
        </w:rPr>
        <w:t>外臺祕要</w:t>
      </w:r>
      <w:r>
        <w:rPr>
          <w:rFonts w:eastAsia="標楷體" w:ascii="標楷體" w:hAnsi="標楷體"/>
          <w:sz w:val="28"/>
        </w:rPr>
        <w:t>&gt;&gt;</w:t>
      </w:r>
      <w:r>
        <w:rPr>
          <w:rFonts w:ascii="標楷體" w:hAnsi="標楷體" w:eastAsia="標楷體"/>
          <w:sz w:val="28"/>
        </w:rPr>
        <w:t>摘錄了</w:t>
      </w:r>
      <w:r>
        <w:rPr>
          <w:rFonts w:eastAsia="標楷體" w:ascii="標楷體" w:hAnsi="標楷體"/>
          <w:sz w:val="28"/>
        </w:rPr>
        <w:t>&lt;&lt;</w:t>
      </w:r>
      <w:r>
        <w:rPr>
          <w:rFonts w:ascii="標楷體" w:hAnsi="標楷體" w:eastAsia="標楷體"/>
          <w:sz w:val="28"/>
        </w:rPr>
        <w:t>內經</w:t>
      </w:r>
      <w:r>
        <w:rPr>
          <w:rFonts w:eastAsia="標楷體" w:ascii="標楷體" w:hAnsi="標楷體"/>
          <w:sz w:val="28"/>
        </w:rPr>
        <w:t>&gt;&gt;</w:t>
      </w:r>
      <w:r>
        <w:rPr>
          <w:rFonts w:ascii="標楷體" w:hAnsi="標楷體" w:eastAsia="標楷體"/>
          <w:sz w:val="28"/>
        </w:rPr>
        <w:t>、</w:t>
      </w:r>
      <w:r>
        <w:rPr>
          <w:rFonts w:eastAsia="標楷體" w:ascii="標楷體" w:hAnsi="標楷體"/>
          <w:sz w:val="28"/>
        </w:rPr>
        <w:t>&lt;&lt;</w:t>
      </w:r>
      <w:r>
        <w:rPr>
          <w:rFonts w:ascii="標楷體" w:hAnsi="標楷體" w:eastAsia="標楷體"/>
          <w:sz w:val="28"/>
        </w:rPr>
        <w:t>傷寒論</w:t>
      </w:r>
      <w:r>
        <w:rPr>
          <w:rFonts w:eastAsia="標楷體" w:ascii="標楷體" w:hAnsi="標楷體"/>
          <w:sz w:val="28"/>
        </w:rPr>
        <w:t>&gt;&gt;</w:t>
      </w:r>
      <w:r>
        <w:rPr>
          <w:rFonts w:ascii="標楷體" w:hAnsi="標楷體" w:eastAsia="標楷體"/>
          <w:sz w:val="28"/>
        </w:rPr>
        <w:t>、</w:t>
      </w:r>
      <w:r>
        <w:rPr>
          <w:rFonts w:eastAsia="標楷體" w:ascii="標楷體" w:hAnsi="標楷體"/>
          <w:sz w:val="28"/>
        </w:rPr>
        <w:t>&lt;&lt;</w:t>
      </w:r>
      <w:r>
        <w:rPr>
          <w:rFonts w:ascii="標楷體" w:hAnsi="標楷體" w:eastAsia="標楷體"/>
          <w:sz w:val="28"/>
        </w:rPr>
        <w:t>諸病源候論</w:t>
      </w:r>
      <w:r>
        <w:rPr>
          <w:rFonts w:eastAsia="標楷體" w:ascii="標楷體" w:hAnsi="標楷體"/>
          <w:sz w:val="28"/>
        </w:rPr>
        <w:t>&gt;&gt;</w:t>
      </w:r>
      <w:r>
        <w:rPr>
          <w:rFonts w:ascii="標楷體" w:hAnsi="標楷體" w:eastAsia="標楷體"/>
          <w:sz w:val="28"/>
        </w:rPr>
        <w:t>等著作的論述，並於第十二卷列了水腫方一十三首，例如「</w:t>
      </w:r>
      <w:r>
        <w:rPr>
          <w:rFonts w:ascii="標楷體" w:hAnsi="標楷體" w:eastAsia="標楷體"/>
          <w:b/>
          <w:sz w:val="28"/>
        </w:rPr>
        <w:t>范汪：</w:t>
      </w:r>
      <w:r>
        <w:rPr>
          <w:rFonts w:ascii="標楷體" w:hAnsi="標楷體" w:eastAsia="標楷體"/>
          <w:sz w:val="28"/>
        </w:rPr>
        <w:t>療水腫方。葶藶子（一兩，熬黑）、甘遂（一兩，熬）、吳茱萸（四兩），上三味別擣異下篩，和以蜜丸如梧子，服可至五丸。經心錄云：服三丸，日三服，餘同。」以及「又：葶藶丸。療水腫方。葶藶（一升，熬）、吳茱萸（一升），上二味各別擣篩，合，以蜜和，更擣二萬杵，藥成。飲服二丸如梧實，不知增之，當以小便利及下為候。若下者，但可清旦一服；若不下，但小便利者，日可再三服。常將服腫消耳，一名二利丸。」以上二方對於頑固性水腫的治療，當可提供一定之助益。其他亦摘錄了</w:t>
      </w:r>
      <w:r>
        <w:rPr>
          <w:rFonts w:eastAsia="標楷體" w:ascii="標楷體" w:hAnsi="標楷體"/>
          <w:sz w:val="28"/>
        </w:rPr>
        <w:t>&lt;&lt;</w:t>
      </w:r>
      <w:r>
        <w:rPr>
          <w:rFonts w:ascii="標楷體" w:hAnsi="標楷體" w:eastAsia="標楷體"/>
          <w:sz w:val="28"/>
        </w:rPr>
        <w:t>小品</w:t>
      </w:r>
      <w:r>
        <w:rPr>
          <w:rFonts w:eastAsia="標楷體" w:ascii="標楷體" w:hAnsi="標楷體"/>
          <w:sz w:val="28"/>
        </w:rPr>
        <w:t>&gt;&gt;</w:t>
      </w:r>
      <w:r>
        <w:rPr>
          <w:rFonts w:ascii="標楷體" w:hAnsi="標楷體" w:eastAsia="標楷體"/>
          <w:sz w:val="28"/>
        </w:rPr>
        <w:t>、</w:t>
      </w:r>
      <w:r>
        <w:rPr>
          <w:rFonts w:eastAsia="標楷體" w:ascii="標楷體" w:hAnsi="標楷體"/>
          <w:sz w:val="28"/>
        </w:rPr>
        <w:t>&lt;&lt;</w:t>
      </w:r>
      <w:r>
        <w:rPr>
          <w:rFonts w:ascii="標楷體" w:hAnsi="標楷體" w:eastAsia="標楷體"/>
          <w:sz w:val="28"/>
        </w:rPr>
        <w:t>集驗</w:t>
      </w:r>
      <w:r>
        <w:rPr>
          <w:rFonts w:eastAsia="標楷體" w:ascii="標楷體" w:hAnsi="標楷體"/>
          <w:sz w:val="28"/>
        </w:rPr>
        <w:t>&gt;&gt;</w:t>
      </w:r>
      <w:r>
        <w:rPr>
          <w:rFonts w:ascii="標楷體" w:hAnsi="標楷體" w:eastAsia="標楷體"/>
          <w:sz w:val="28"/>
        </w:rPr>
        <w:t>、</w:t>
      </w:r>
      <w:r>
        <w:rPr>
          <w:rFonts w:eastAsia="標楷體" w:ascii="標楷體" w:hAnsi="標楷體"/>
          <w:sz w:val="28"/>
        </w:rPr>
        <w:t>&lt;&lt;</w:t>
      </w:r>
      <w:r>
        <w:rPr>
          <w:rFonts w:ascii="標楷體" w:hAnsi="標楷體" w:eastAsia="標楷體"/>
          <w:sz w:val="28"/>
        </w:rPr>
        <w:t>千金翼方</w:t>
      </w:r>
      <w:r>
        <w:rPr>
          <w:rFonts w:eastAsia="標楷體" w:ascii="標楷體" w:hAnsi="標楷體"/>
          <w:sz w:val="28"/>
        </w:rPr>
        <w:t>&gt;&gt;</w:t>
      </w:r>
      <w:r>
        <w:rPr>
          <w:rFonts w:ascii="標楷體" w:hAnsi="標楷體" w:eastAsia="標楷體"/>
          <w:sz w:val="28"/>
        </w:rPr>
        <w:t>、</w:t>
      </w:r>
      <w:r>
        <w:rPr>
          <w:rFonts w:eastAsia="標楷體" w:ascii="標楷體" w:hAnsi="標楷體"/>
          <w:sz w:val="28"/>
        </w:rPr>
        <w:t>&lt;&lt;</w:t>
      </w:r>
      <w:r>
        <w:rPr>
          <w:rFonts w:ascii="標楷體" w:hAnsi="標楷體" w:eastAsia="標楷體"/>
          <w:sz w:val="28"/>
        </w:rPr>
        <w:t>必效</w:t>
      </w:r>
      <w:r>
        <w:rPr>
          <w:rFonts w:eastAsia="標楷體" w:ascii="標楷體" w:hAnsi="標楷體"/>
          <w:sz w:val="28"/>
        </w:rPr>
        <w:t>&gt;&gt;</w:t>
      </w:r>
      <w:r>
        <w:rPr>
          <w:rFonts w:ascii="標楷體" w:hAnsi="標楷體" w:eastAsia="標楷體"/>
          <w:sz w:val="28"/>
        </w:rPr>
        <w:t>治療水腫方。</w:t>
      </w:r>
      <w:r>
        <w:rPr>
          <w:rFonts w:ascii="標楷體" w:hAnsi="標楷體" w:eastAsia="標楷體"/>
          <w:sz w:val="28"/>
        </w:rPr>
        <w:t xml:space="preserve"> </w:t>
      </w:r>
    </w:p>
    <w:p>
      <w:pPr>
        <w:pStyle w:val="Normal"/>
        <w:snapToGrid w:val="false"/>
        <w:jc w:val="both"/>
        <w:rPr/>
      </w:pPr>
      <w:r>
        <w:rPr>
          <w:rFonts w:eastAsia="標楷體" w:cs="標楷體" w:ascii="標楷體" w:hAnsi="標楷體"/>
          <w:sz w:val="28"/>
        </w:rPr>
        <w:t xml:space="preserve">    </w:t>
      </w:r>
      <w:r>
        <w:rPr>
          <w:rFonts w:ascii="標楷體" w:hAnsi="標楷體" w:eastAsia="標楷體"/>
          <w:sz w:val="28"/>
        </w:rPr>
        <w:t>關於風水的病機及治療觀念，</w:t>
      </w:r>
      <w:r>
        <w:rPr>
          <w:rFonts w:eastAsia="標楷體" w:ascii="標楷體" w:hAnsi="標楷體"/>
          <w:sz w:val="28"/>
        </w:rPr>
        <w:t>&lt;&lt;</w:t>
      </w:r>
      <w:r>
        <w:rPr>
          <w:rFonts w:ascii="標楷體" w:hAnsi="標楷體" w:eastAsia="標楷體"/>
          <w:sz w:val="28"/>
        </w:rPr>
        <w:t>外臺祕要‧第二十卷</w:t>
      </w:r>
      <w:r>
        <w:rPr>
          <w:rFonts w:eastAsia="標楷體" w:ascii="標楷體" w:hAnsi="標楷體"/>
          <w:sz w:val="28"/>
        </w:rPr>
        <w:t>&gt;&gt;</w:t>
      </w:r>
      <w:r>
        <w:rPr>
          <w:rFonts w:ascii="標楷體" w:hAnsi="標楷體" w:eastAsia="標楷體"/>
          <w:sz w:val="28"/>
        </w:rPr>
        <w:t>除了引用</w:t>
      </w:r>
      <w:r>
        <w:rPr>
          <w:rFonts w:eastAsia="標楷體" w:ascii="標楷體" w:hAnsi="標楷體"/>
          <w:sz w:val="28"/>
        </w:rPr>
        <w:t>&lt;&lt;</w:t>
      </w:r>
      <w:r>
        <w:rPr>
          <w:rFonts w:ascii="標楷體" w:hAnsi="標楷體" w:eastAsia="標楷體"/>
          <w:sz w:val="28"/>
        </w:rPr>
        <w:t>諸病源候論</w:t>
      </w:r>
      <w:r>
        <w:rPr>
          <w:rFonts w:eastAsia="標楷體" w:ascii="標楷體" w:hAnsi="標楷體"/>
          <w:sz w:val="28"/>
        </w:rPr>
        <w:t>&gt;&gt;</w:t>
      </w:r>
      <w:r>
        <w:rPr>
          <w:rFonts w:ascii="標楷體" w:hAnsi="標楷體" w:eastAsia="標楷體"/>
          <w:sz w:val="28"/>
        </w:rPr>
        <w:t>的論述之外，亦列舉了風水方八首，如</w:t>
      </w:r>
      <w:r>
        <w:rPr>
          <w:rFonts w:ascii="標楷體" w:hAnsi="標楷體" w:eastAsia="標楷體"/>
        </w:rPr>
        <w:t>「</w:t>
      </w:r>
      <w:r>
        <w:rPr>
          <w:rFonts w:ascii="標楷體" w:hAnsi="標楷體" w:eastAsia="標楷體"/>
          <w:sz w:val="28"/>
        </w:rPr>
        <w:t>深師：療大風水脈浮，浮為在表，其人或頭汗出，表無他病，但下重，故知從腰以上為和，腰以下當腫及陰，難以屈伸，防己黃耆湯。生薑（三兩）、大棗（十二枚，擘）、白朮（四兩）、木防己（四兩）、甘草（二兩，炙）、黃耆（五兩）上六味切，以水六升，煮取二升，分三服。喘者，加麻黃；身重，胃中不和者，加芍藥；氣上衝者，加桂心；下久寒者，加細辛、防己、黃耆。為本服藥欲解，當如蟲行皮中狀，從腰以下冷如冰，服湯後坐被上，又以一被繞腰溫下，令得汗，汗出則愈也。忌海藻、菘菜、桃、李、雀肉等。」提供了治療風水的方劑，其他又引崔氏療風水腫方及</w:t>
      </w:r>
      <w:r>
        <w:rPr>
          <w:rFonts w:eastAsia="標楷體" w:ascii="標楷體" w:hAnsi="標楷體"/>
          <w:sz w:val="28"/>
        </w:rPr>
        <w:t>&lt;&lt;</w:t>
      </w:r>
      <w:r>
        <w:rPr>
          <w:rFonts w:ascii="標楷體" w:hAnsi="標楷體" w:eastAsia="標楷體"/>
          <w:sz w:val="28"/>
        </w:rPr>
        <w:t>古今錄驗</w:t>
      </w:r>
      <w:r>
        <w:rPr>
          <w:rFonts w:eastAsia="標楷體" w:ascii="標楷體" w:hAnsi="標楷體"/>
          <w:sz w:val="28"/>
        </w:rPr>
        <w:t>&gt;&gt;</w:t>
      </w:r>
      <w:r>
        <w:rPr>
          <w:rFonts w:ascii="標楷體" w:hAnsi="標楷體" w:eastAsia="標楷體"/>
          <w:sz w:val="28"/>
        </w:rPr>
        <w:t>之越婢湯。</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eastAsia="標楷體" w:cs="標楷體" w:ascii="標楷體" w:hAnsi="標楷體"/>
          <w:sz w:val="28"/>
        </w:rPr>
        <w:t xml:space="preserve"> </w:t>
      </w:r>
      <w:r>
        <w:rPr>
          <w:rFonts w:ascii="標楷體" w:hAnsi="標楷體" w:eastAsia="標楷體"/>
          <w:sz w:val="28"/>
        </w:rPr>
        <w:t>總結</w:t>
      </w:r>
      <w:r>
        <w:rPr>
          <w:rFonts w:eastAsia="標楷體" w:ascii="標楷體" w:hAnsi="標楷體"/>
          <w:sz w:val="28"/>
        </w:rPr>
        <w:t>&lt;&lt;</w:t>
      </w:r>
      <w:r>
        <w:rPr>
          <w:rFonts w:ascii="標楷體" w:hAnsi="標楷體" w:eastAsia="標楷體"/>
          <w:sz w:val="28"/>
        </w:rPr>
        <w:t>千金要方</w:t>
      </w:r>
      <w:r>
        <w:rPr>
          <w:rFonts w:eastAsia="標楷體" w:ascii="標楷體" w:hAnsi="標楷體"/>
          <w:sz w:val="28"/>
        </w:rPr>
        <w:t>&gt;&gt;</w:t>
      </w:r>
      <w:r>
        <w:rPr>
          <w:rFonts w:ascii="標楷體" w:hAnsi="標楷體" w:eastAsia="標楷體"/>
          <w:sz w:val="28"/>
        </w:rPr>
        <w:t>及</w:t>
      </w:r>
      <w:r>
        <w:rPr>
          <w:rFonts w:eastAsia="標楷體" w:ascii="標楷體" w:hAnsi="標楷體"/>
          <w:sz w:val="28"/>
        </w:rPr>
        <w:t>&lt;&lt;</w:t>
      </w:r>
      <w:r>
        <w:rPr>
          <w:rFonts w:ascii="標楷體" w:hAnsi="標楷體" w:eastAsia="標楷體"/>
          <w:sz w:val="28"/>
        </w:rPr>
        <w:t>外台祕要</w:t>
      </w:r>
      <w:r>
        <w:rPr>
          <w:rFonts w:eastAsia="標楷體" w:ascii="標楷體" w:hAnsi="標楷體"/>
          <w:sz w:val="28"/>
        </w:rPr>
        <w:t>&gt;&gt;</w:t>
      </w:r>
      <w:r>
        <w:rPr>
          <w:rFonts w:ascii="標楷體" w:hAnsi="標楷體" w:eastAsia="標楷體"/>
          <w:sz w:val="28"/>
        </w:rPr>
        <w:t>所載的治水方劑，大都偏重於攻法，</w:t>
      </w:r>
      <w:r>
        <w:rPr>
          <w:rFonts w:eastAsia="標楷體" w:ascii="標楷體" w:hAnsi="標楷體"/>
          <w:sz w:val="28"/>
        </w:rPr>
        <w:t>&lt;&lt;</w:t>
      </w:r>
      <w:r>
        <w:rPr>
          <w:rFonts w:ascii="標楷體" w:hAnsi="標楷體" w:eastAsia="標楷體"/>
          <w:sz w:val="28"/>
        </w:rPr>
        <w:t>千金要方</w:t>
      </w:r>
      <w:r>
        <w:rPr>
          <w:rFonts w:eastAsia="標楷體" w:ascii="標楷體" w:hAnsi="標楷體"/>
          <w:sz w:val="28"/>
        </w:rPr>
        <w:t>&gt;&gt;</w:t>
      </w:r>
      <w:r>
        <w:rPr>
          <w:rFonts w:ascii="標楷體" w:hAnsi="標楷體" w:eastAsia="標楷體"/>
          <w:sz w:val="28"/>
        </w:rPr>
        <w:t>並且稱：「</w:t>
      </w:r>
      <w:r>
        <w:rPr>
          <w:rFonts w:ascii="標楷體" w:hAnsi="標楷體" w:cs="MS Sans Serif;Arial" w:eastAsia="標楷體"/>
          <w:sz w:val="28"/>
        </w:rPr>
        <w:t>此病百脈之中，氣水俱實，治者皆欲令瀉之便虛，</w:t>
      </w:r>
      <w:r>
        <w:rPr>
          <w:rFonts w:ascii="標楷體" w:hAnsi="標楷體" w:cs="MS Sans Serif;Arial" w:eastAsia="標楷體"/>
          <w:sz w:val="28"/>
        </w:rPr>
        <w:t>……</w:t>
      </w:r>
      <w:r>
        <w:rPr>
          <w:rFonts w:ascii="標楷體" w:hAnsi="標楷體" w:cs="MS Sans Serif;Arial" w:eastAsia="標楷體"/>
          <w:sz w:val="28"/>
        </w:rPr>
        <w:t>所以治水藥，多用葶藶子等諸藥。本草云：葶藶久服，令人大虛，故水病非久虛不得絕。</w:t>
      </w:r>
      <w:r>
        <w:rPr>
          <w:rFonts w:ascii="標楷體" w:hAnsi="標楷體" w:eastAsia="標楷體"/>
          <w:sz w:val="28"/>
        </w:rPr>
        <w:t>」</w:t>
      </w:r>
    </w:p>
    <w:p>
      <w:pPr>
        <w:pStyle w:val="Normal"/>
        <w:snapToGrid w:val="false"/>
        <w:jc w:val="both"/>
        <w:rPr>
          <w:rFonts w:ascii="標楷體" w:hAnsi="標楷體" w:eastAsia="標楷體"/>
          <w:sz w:val="28"/>
        </w:rPr>
      </w:pPr>
      <w:r>
        <w:rPr>
          <w:rFonts w:eastAsia="標楷體" w:ascii="標楷體" w:hAnsi="標楷體"/>
          <w:sz w:val="28"/>
        </w:rPr>
      </w:r>
    </w:p>
    <w:p>
      <w:pPr>
        <w:pStyle w:val="Normal"/>
        <w:snapToGrid w:val="false"/>
        <w:ind w:left="-360" w:hanging="0"/>
        <w:jc w:val="both"/>
        <w:rPr/>
      </w:pPr>
      <w:r>
        <w:rPr>
          <w:rFonts w:cs="新細明體;PMingLiU" w:ascii="新細明體;PMingLiU" w:hAnsi="新細明體;PMingLiU"/>
          <w:b/>
          <w:sz w:val="28"/>
        </w:rPr>
        <w:t xml:space="preserve">       </w:t>
      </w:r>
      <w:r>
        <w:rPr>
          <w:rFonts w:ascii="標楷體" w:hAnsi="標楷體" w:eastAsia="標楷體"/>
          <w:b/>
          <w:sz w:val="28"/>
        </w:rPr>
        <w:t>第六節</w:t>
      </w:r>
      <w:r>
        <w:rPr>
          <w:rFonts w:ascii="標楷體" w:hAnsi="標楷體" w:eastAsia="標楷體"/>
          <w:b/>
          <w:sz w:val="28"/>
        </w:rPr>
        <w:t xml:space="preserve">  </w:t>
      </w:r>
      <w:r>
        <w:rPr>
          <w:rFonts w:eastAsia="標楷體" w:ascii="標楷體" w:hAnsi="標楷體"/>
          <w:b/>
          <w:sz w:val="28"/>
        </w:rPr>
        <w:t>&lt;&lt;</w:t>
      </w:r>
      <w:r>
        <w:rPr>
          <w:rFonts w:ascii="標楷體" w:hAnsi="標楷體" w:eastAsia="標楷體"/>
          <w:b/>
          <w:sz w:val="28"/>
        </w:rPr>
        <w:t>太平惠民和劑局方</w:t>
      </w:r>
      <w:r>
        <w:rPr>
          <w:rFonts w:eastAsia="標楷體" w:ascii="標楷體" w:hAnsi="標楷體"/>
          <w:b/>
          <w:sz w:val="28"/>
        </w:rPr>
        <w:t>&gt;&gt;</w:t>
      </w:r>
      <w:r>
        <w:rPr>
          <w:rFonts w:ascii="標楷體" w:hAnsi="標楷體" w:eastAsia="標楷體"/>
          <w:b/>
          <w:sz w:val="28"/>
        </w:rPr>
        <w:t>對水腫病的相關論述</w:t>
      </w:r>
    </w:p>
    <w:p>
      <w:pPr>
        <w:pStyle w:val="Normal"/>
        <w:snapToGrid w:val="false"/>
        <w:jc w:val="both"/>
        <w:rPr/>
      </w:pPr>
      <w:r>
        <w:rPr>
          <w:rFonts w:eastAsia="標楷體" w:cs="標楷體" w:ascii="標楷體" w:hAnsi="標楷體"/>
          <w:sz w:val="28"/>
        </w:rPr>
        <w:t xml:space="preserve">    </w:t>
      </w:r>
      <w:r>
        <w:rPr>
          <w:rFonts w:eastAsia="標楷體" w:ascii="標楷體" w:hAnsi="標楷體"/>
          <w:sz w:val="28"/>
        </w:rPr>
        <w:t>&lt;&lt;</w:t>
      </w:r>
      <w:r>
        <w:rPr>
          <w:rFonts w:ascii="標楷體" w:hAnsi="標楷體" w:eastAsia="標楷體"/>
          <w:sz w:val="28"/>
        </w:rPr>
        <w:t>太平惠民和劑局方</w:t>
      </w:r>
      <w:r>
        <w:rPr>
          <w:rFonts w:eastAsia="標楷體" w:ascii="標楷體" w:hAnsi="標楷體"/>
          <w:sz w:val="28"/>
        </w:rPr>
        <w:t>&gt;&gt;</w:t>
      </w:r>
      <w:r>
        <w:rPr>
          <w:rFonts w:ascii="標楷體" w:hAnsi="標楷體" w:eastAsia="標楷體"/>
          <w:sz w:val="28"/>
        </w:rPr>
        <w:t>列舉了治療風水的相關方劑，如防己黃耆湯，其曰「治風濕相摶，客在皮膚，一身盡重，四肢少力，關節疼痛，時自汗出，洒淅惡風，不欲去衣。及治風冷客摶，腰腳浮腫，上輕下重，不能屈伸。右為粗末，每服三錢，水一盞半，生薑三片，棗一個，煎至一盞，稍熱服，不拘時。蓋覆溫臥，令微汗瘥。防己、黃耆、甘草、白朮。」。</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五苓散則為治療水腫的通方，其曰「治傷寒溫熱病，表裏未解，頭痛發熱，口燥咽乾，煩渴飲水，或水入即吐，或小便不利。及汗出表解，渴不止。及治霍亂吐利，躁渴引飲。右為細末，每服二錢，熱湯調下，不拘時，服訖多飲熱湯，有汗出即愈。」</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五皮散</w:t>
      </w:r>
      <w:r>
        <w:rPr>
          <w:rFonts w:ascii="標楷體" w:hAnsi="標楷體" w:eastAsia="標楷體"/>
          <w:b/>
          <w:sz w:val="28"/>
        </w:rPr>
        <w:t>：</w:t>
      </w:r>
      <w:r>
        <w:rPr>
          <w:rFonts w:ascii="標楷體" w:hAnsi="標楷體" w:eastAsia="標楷體"/>
          <w:sz w:val="28"/>
        </w:rPr>
        <w:t>「治男子婦人，脾氣停滯，風濕客搏，脾經受濕，氣不流行。治頭面虛浮，四肢腫滿，心腹膨脹，上氣促急，腹脅如鼓，繞臍脹悶，有妨飲食，上攻下疰，來去不定，舉動促乏。右為粗末，每服三錢，水一盞半，煎至八分，去滓稍熱服，不拘時候。切忌生冷、油膩、堅硬等物。」</w:t>
      </w:r>
    </w:p>
    <w:p>
      <w:pPr>
        <w:pStyle w:val="Normal"/>
        <w:snapToGrid w:val="false"/>
        <w:jc w:val="both"/>
        <w:rPr>
          <w:rFonts w:ascii="標楷體" w:hAnsi="標楷體" w:eastAsia="標楷體"/>
          <w:sz w:val="28"/>
        </w:rPr>
      </w:pPr>
      <w:r>
        <w:rPr>
          <w:rFonts w:eastAsia="標楷體" w:ascii="標楷體" w:hAnsi="標楷體"/>
          <w:sz w:val="28"/>
        </w:rPr>
      </w:r>
    </w:p>
    <w:p>
      <w:pPr>
        <w:pStyle w:val="Normal"/>
        <w:snapToGrid w:val="false"/>
        <w:jc w:val="both"/>
        <w:rPr/>
      </w:pPr>
      <w:r>
        <w:rPr>
          <w:rFonts w:eastAsia="標楷體" w:cs="標楷體" w:ascii="標楷體" w:hAnsi="標楷體"/>
          <w:b/>
          <w:sz w:val="28"/>
        </w:rPr>
        <w:t xml:space="preserve">    </w:t>
      </w:r>
      <w:r>
        <w:rPr>
          <w:rFonts w:ascii="標楷體" w:hAnsi="標楷體" w:eastAsia="標楷體"/>
          <w:b/>
          <w:sz w:val="28"/>
        </w:rPr>
        <w:t>第七節</w:t>
      </w:r>
      <w:r>
        <w:rPr>
          <w:rFonts w:ascii="標楷體" w:hAnsi="標楷體" w:eastAsia="標楷體"/>
          <w:b/>
          <w:sz w:val="28"/>
        </w:rPr>
        <w:t xml:space="preserve">  </w:t>
      </w:r>
      <w:r>
        <w:rPr>
          <w:rFonts w:eastAsia="標楷體" w:ascii="標楷體" w:hAnsi="標楷體"/>
          <w:b/>
          <w:sz w:val="28"/>
        </w:rPr>
        <w:t>&lt;&lt;</w:t>
      </w:r>
      <w:r>
        <w:rPr>
          <w:rFonts w:ascii="標楷體" w:hAnsi="標楷體" w:eastAsia="標楷體"/>
          <w:b/>
          <w:sz w:val="28"/>
        </w:rPr>
        <w:t>臨證指南醫案</w:t>
      </w:r>
      <w:r>
        <w:rPr>
          <w:rFonts w:eastAsia="標楷體" w:ascii="標楷體" w:hAnsi="標楷體"/>
          <w:b/>
          <w:sz w:val="28"/>
        </w:rPr>
        <w:t>&gt;&gt;</w:t>
      </w:r>
      <w:r>
        <w:rPr>
          <w:rFonts w:ascii="標楷體" w:hAnsi="標楷體" w:eastAsia="標楷體"/>
          <w:b/>
          <w:sz w:val="28"/>
        </w:rPr>
        <w:t>對水腫病的相關論述</w:t>
      </w:r>
    </w:p>
    <w:p>
      <w:pPr>
        <w:pStyle w:val="Normal"/>
        <w:overflowPunct w:val="false"/>
        <w:autoSpaceDE w:val="false"/>
        <w:snapToGrid w:val="false"/>
        <w:jc w:val="both"/>
        <w:rPr/>
      </w:pPr>
      <w:r>
        <w:rPr>
          <w:rFonts w:eastAsia="標楷體" w:cs="標楷體" w:ascii="標楷體" w:hAnsi="標楷體"/>
          <w:sz w:val="28"/>
        </w:rPr>
        <w:t xml:space="preserve">    </w:t>
      </w:r>
      <w:r>
        <w:rPr>
          <w:rFonts w:ascii="標楷體" w:hAnsi="標楷體" w:cs="MS Sans Serif;Arial" w:eastAsia="標楷體"/>
          <w:sz w:val="28"/>
        </w:rPr>
        <w:t>葉天士對於腎病水腫的治療亦略有提及，如其於</w:t>
      </w:r>
      <w:r>
        <w:rPr>
          <w:rFonts w:eastAsia="標楷體" w:cs="MS Sans Serif;Arial" w:ascii="標楷體" w:hAnsi="標楷體"/>
          <w:sz w:val="28"/>
        </w:rPr>
        <w:t>&lt;&lt;</w:t>
      </w:r>
      <w:r>
        <w:rPr>
          <w:rFonts w:ascii="標楷體" w:hAnsi="標楷體" w:cs="MS Sans Serif;Arial" w:eastAsia="標楷體"/>
          <w:sz w:val="28"/>
        </w:rPr>
        <w:t>臨症指南醫案</w:t>
      </w:r>
      <w:r>
        <w:rPr>
          <w:rFonts w:ascii="標楷體" w:hAnsi="標楷體" w:eastAsia="標楷體"/>
          <w:sz w:val="28"/>
        </w:rPr>
        <w:t>‧腫脹篇</w:t>
      </w:r>
      <w:r>
        <w:rPr>
          <w:rFonts w:eastAsia="標楷體" w:cs="MS Sans Serif;Arial" w:ascii="標楷體" w:hAnsi="標楷體"/>
          <w:sz w:val="28"/>
        </w:rPr>
        <w:t>&gt;&gt;</w:t>
      </w:r>
      <w:r>
        <w:rPr>
          <w:rFonts w:ascii="標楷體" w:hAnsi="標楷體" w:cs="MS Sans Serif;Arial" w:eastAsia="標楷體"/>
          <w:sz w:val="28"/>
        </w:rPr>
        <w:t>載一患者的病案：「吳：平昔濕痰阻氣為喘，茲因過食停滯，陰臟之陽不運，陽腑之氣不通</w:t>
      </w:r>
      <w:r>
        <w:rPr>
          <w:rFonts w:ascii="標楷體" w:hAnsi="標楷體" w:cs="MS Sans Serif;Arial" w:eastAsia="標楷體"/>
          <w:sz w:val="28"/>
        </w:rPr>
        <w:t>，</w:t>
      </w:r>
      <w:r>
        <w:rPr>
          <w:rFonts w:ascii="標楷體" w:hAnsi="標楷體" w:cs="MS Sans Serif;Arial" w:eastAsia="標楷體"/>
          <w:sz w:val="28"/>
        </w:rPr>
        <w:t>二便不爽</w:t>
      </w:r>
      <w:r>
        <w:rPr>
          <w:rFonts w:ascii="標楷體" w:hAnsi="標楷體" w:cs="MS Sans Serif;Arial" w:eastAsia="標楷體"/>
          <w:sz w:val="28"/>
        </w:rPr>
        <w:t>，</w:t>
      </w:r>
      <w:r>
        <w:rPr>
          <w:rFonts w:ascii="標楷體" w:hAnsi="標楷體" w:cs="MS Sans Serif;Arial" w:eastAsia="標楷體"/>
          <w:sz w:val="28"/>
        </w:rPr>
        <w:t>跗腫腹滿</w:t>
      </w:r>
      <w:r>
        <w:rPr>
          <w:rFonts w:ascii="標楷體" w:hAnsi="標楷體" w:cs="MS Sans Serif;Arial" w:eastAsia="標楷體"/>
          <w:sz w:val="28"/>
        </w:rPr>
        <w:t>，</w:t>
      </w:r>
      <w:r>
        <w:rPr>
          <w:rFonts w:ascii="標楷體" w:hAnsi="標楷體" w:cs="MS Sans Serif;Arial" w:eastAsia="標楷體"/>
          <w:sz w:val="28"/>
        </w:rPr>
        <w:t>診脈沉弦</w:t>
      </w:r>
      <w:r>
        <w:rPr>
          <w:rFonts w:ascii="標楷體" w:hAnsi="標楷體" w:cs="MS Sans Serif;Arial" w:eastAsia="標楷體"/>
          <w:sz w:val="28"/>
        </w:rPr>
        <w:t>，</w:t>
      </w:r>
      <w:r>
        <w:rPr>
          <w:rFonts w:ascii="標楷體" w:hAnsi="標楷體" w:cs="MS Sans Serif;Arial" w:eastAsia="標楷體"/>
          <w:sz w:val="28"/>
        </w:rPr>
        <w:t>猶是水寒痰滯</w:t>
      </w:r>
      <w:r>
        <w:rPr>
          <w:rFonts w:ascii="標楷體" w:hAnsi="標楷體" w:cs="MS Sans Serif;Arial" w:eastAsia="標楷體"/>
          <w:sz w:val="28"/>
        </w:rPr>
        <w:t>，</w:t>
      </w:r>
      <w:r>
        <w:rPr>
          <w:rFonts w:ascii="標楷體" w:hAnsi="標楷體" w:cs="MS Sans Serif;Arial" w:eastAsia="標楷體"/>
          <w:sz w:val="28"/>
        </w:rPr>
        <w:t>阻遏氣分</w:t>
      </w:r>
      <w:r>
        <w:rPr>
          <w:rFonts w:ascii="標楷體" w:hAnsi="標楷體" w:cs="MS Sans Serif;Arial" w:eastAsia="標楷體"/>
          <w:sz w:val="28"/>
        </w:rPr>
        <w:t>，</w:t>
      </w:r>
      <w:r>
        <w:rPr>
          <w:rFonts w:ascii="標楷體" w:hAnsi="標楷體" w:cs="MS Sans Serif;Arial" w:eastAsia="標楷體"/>
          <w:sz w:val="28"/>
        </w:rPr>
        <w:t>上下皆不通調</w:t>
      </w:r>
      <w:r>
        <w:rPr>
          <w:rFonts w:ascii="標楷體" w:hAnsi="標楷體" w:cs="MS Sans Serif;Arial" w:eastAsia="標楷體"/>
          <w:sz w:val="28"/>
        </w:rPr>
        <w:t>，</w:t>
      </w:r>
      <w:r>
        <w:rPr>
          <w:rFonts w:ascii="標楷體" w:hAnsi="標楷體" w:cs="MS Sans Serif;Arial" w:eastAsia="標楷體"/>
          <w:sz w:val="28"/>
        </w:rPr>
        <w:t>當從三焦分治。頃見案頭一方，用菟絲子升少陰，吳茱萸泄厥陰，不知作何解釋，不敢附和，仍用河間分消定議（濕壅三焦肺氣不降）。大杏仁、萊菔子、豬苓、澤瀉、葶藶子、厚朴、桑白皮、廣皮、細木通」經診治之後，病情並未好轉，遂思其病當為氣分在上，治以開鬼門之法，終而得癒。如以下所載「又：三焦分消，泄肝通腑，二便不爽如昔。診脈浮小帶促，聞聲呼息不利，是氣分在上結阻，以致中下不通，喘脹要旨，開鬼門以取汗，潔淨腑以利水，無非宣通表裡</w:t>
      </w:r>
      <w:r>
        <w:rPr>
          <w:rFonts w:ascii="標楷體" w:hAnsi="標楷體" w:cs="MS Sans Serif;Arial" w:eastAsia="標楷體"/>
          <w:sz w:val="28"/>
        </w:rPr>
        <w:t>，</w:t>
      </w:r>
      <w:r>
        <w:rPr>
          <w:rFonts w:ascii="標楷體" w:hAnsi="標楷體" w:cs="MS Sans Serif;Arial" w:eastAsia="標楷體"/>
          <w:sz w:val="28"/>
        </w:rPr>
        <w:t>務在治病源頭，據脈症參詳，急急開上為法，合金匱風水反登義矣</w:t>
      </w:r>
      <w:r>
        <w:rPr>
          <w:rFonts w:ascii="標楷體" w:hAnsi="標楷體" w:cs="MS Sans Serif;Arial" w:eastAsia="標楷體"/>
          <w:sz w:val="28"/>
        </w:rPr>
        <w:t>。</w:t>
      </w:r>
      <w:r>
        <w:rPr>
          <w:rFonts w:ascii="標楷體" w:hAnsi="標楷體" w:cs="MS Sans Serif;Arial" w:eastAsia="標楷體"/>
          <w:sz w:val="28"/>
        </w:rPr>
        <w:t>麻黃、杏仁、石膏、甘草、苡仁。」</w:t>
      </w:r>
    </w:p>
    <w:p>
      <w:pPr>
        <w:pStyle w:val="Normal"/>
        <w:overflowPunct w:val="false"/>
        <w:autoSpaceDE w:val="false"/>
        <w:snapToGrid w:val="false"/>
        <w:jc w:val="both"/>
        <w:rPr>
          <w:rFonts w:ascii="標楷體" w:hAnsi="標楷體" w:eastAsia="標楷體" w:cs="MS Sans Serif;Arial"/>
          <w:sz w:val="28"/>
        </w:rPr>
      </w:pPr>
      <w:r>
        <w:rPr>
          <w:rFonts w:eastAsia="標楷體" w:cs="標楷體" w:ascii="標楷體" w:hAnsi="標楷體"/>
          <w:sz w:val="28"/>
        </w:rPr>
        <w:t xml:space="preserve">    </w:t>
      </w:r>
      <w:r>
        <w:rPr>
          <w:rFonts w:ascii="標楷體" w:hAnsi="標楷體" w:cs="MS Sans Serif;Arial" w:eastAsia="標楷體"/>
          <w:sz w:val="28"/>
        </w:rPr>
        <w:t>其又有另一病例載於</w:t>
      </w:r>
      <w:r>
        <w:rPr>
          <w:rFonts w:eastAsia="標楷體" w:cs="MS Sans Serif;Arial" w:ascii="標楷體" w:hAnsi="標楷體"/>
          <w:sz w:val="28"/>
        </w:rPr>
        <w:t>&lt;&lt;</w:t>
      </w:r>
      <w:r>
        <w:rPr>
          <w:rFonts w:ascii="標楷體" w:hAnsi="標楷體" w:cs="MS Sans Serif;Arial" w:eastAsia="標楷體"/>
          <w:sz w:val="28"/>
        </w:rPr>
        <w:t>腫脹篇</w:t>
      </w:r>
      <w:r>
        <w:rPr>
          <w:rFonts w:eastAsia="標楷體" w:cs="MS Sans Serif;Arial" w:ascii="標楷體" w:hAnsi="標楷體"/>
          <w:sz w:val="28"/>
        </w:rPr>
        <w:t>&gt;&gt;</w:t>
      </w:r>
      <w:r>
        <w:rPr>
          <w:rFonts w:ascii="標楷體" w:hAnsi="標楷體" w:cs="MS Sans Serif;Arial" w:eastAsia="標楷體"/>
          <w:sz w:val="28"/>
        </w:rPr>
        <w:t>「</w:t>
      </w:r>
      <w:r>
        <w:rPr>
          <w:rFonts w:ascii="標楷體" w:hAnsi="標楷體" w:cs="MS Sans Serif;Arial" w:eastAsia="標楷體"/>
          <w:sz w:val="28"/>
        </w:rPr>
        <w:t>某</w:t>
      </w:r>
      <w:r>
        <w:rPr>
          <w:rFonts w:ascii="標楷體" w:hAnsi="標楷體" w:cs="MS Sans Serif;Arial" w:eastAsia="標楷體"/>
          <w:sz w:val="28"/>
        </w:rPr>
        <w:t>，</w:t>
      </w:r>
      <w:r>
        <w:rPr>
          <w:rFonts w:ascii="標楷體" w:hAnsi="標楷體" w:cs="MS Sans Serif;Arial" w:eastAsia="標楷體"/>
          <w:sz w:val="28"/>
        </w:rPr>
        <w:t>暴腫氣急</w:t>
      </w:r>
      <w:r>
        <w:rPr>
          <w:rFonts w:ascii="標楷體" w:hAnsi="標楷體" w:cs="MS Sans Serif;Arial" w:eastAsia="標楷體"/>
          <w:sz w:val="28"/>
        </w:rPr>
        <w:t>，</w:t>
      </w:r>
      <w:r>
        <w:rPr>
          <w:rFonts w:ascii="標楷體" w:hAnsi="標楷體" w:cs="MS Sans Serif;Arial" w:eastAsia="標楷體"/>
          <w:sz w:val="28"/>
        </w:rPr>
        <w:t>小溲濇少</w:t>
      </w:r>
      <w:r>
        <w:rPr>
          <w:rFonts w:ascii="標楷體" w:hAnsi="標楷體" w:cs="MS Sans Serif;Arial" w:eastAsia="標楷體"/>
          <w:sz w:val="28"/>
        </w:rPr>
        <w:t>，</w:t>
      </w:r>
      <w:r>
        <w:rPr>
          <w:rFonts w:ascii="標楷體" w:hAnsi="標楷體" w:cs="MS Sans Serif;Arial" w:eastAsia="標楷體"/>
          <w:sz w:val="28"/>
        </w:rPr>
        <w:t>此外邪壅肺</w:t>
      </w:r>
      <w:r>
        <w:rPr>
          <w:rFonts w:ascii="標楷體" w:hAnsi="標楷體" w:cs="MS Sans Serif;Arial" w:eastAsia="標楷體"/>
          <w:sz w:val="28"/>
        </w:rPr>
        <w:t>，</w:t>
      </w:r>
      <w:r>
        <w:rPr>
          <w:rFonts w:ascii="標楷體" w:hAnsi="標楷體" w:cs="MS Sans Serif;Arial" w:eastAsia="標楷體"/>
          <w:sz w:val="28"/>
        </w:rPr>
        <w:t>氣分不通</w:t>
      </w:r>
      <w:r>
        <w:rPr>
          <w:rFonts w:ascii="標楷體" w:hAnsi="標楷體" w:cs="MS Sans Serif;Arial" w:eastAsia="標楷體"/>
          <w:sz w:val="28"/>
        </w:rPr>
        <w:t>，</w:t>
      </w:r>
      <w:r>
        <w:rPr>
          <w:rFonts w:ascii="標楷體" w:hAnsi="標楷體" w:cs="MS Sans Serif;Arial" w:eastAsia="標楷體"/>
          <w:sz w:val="28"/>
        </w:rPr>
        <w:t>治當從風水</w:t>
      </w:r>
      <w:r>
        <w:rPr>
          <w:rFonts w:ascii="標楷體" w:hAnsi="標楷體" w:cs="MS Sans Serif;Arial" w:eastAsia="標楷體"/>
          <w:sz w:val="28"/>
        </w:rPr>
        <w:t>、</w:t>
      </w:r>
      <w:r>
        <w:rPr>
          <w:rFonts w:ascii="標楷體" w:hAnsi="標楷體" w:cs="MS Sans Serif;Arial" w:eastAsia="標楷體"/>
          <w:sz w:val="28"/>
        </w:rPr>
        <w:t>皮水</w:t>
      </w:r>
      <w:r>
        <w:rPr>
          <w:rFonts w:ascii="標楷體" w:hAnsi="標楷體" w:cs="MS Sans Serif;Arial" w:eastAsia="標楷體"/>
          <w:sz w:val="28"/>
        </w:rPr>
        <w:t>，</w:t>
      </w:r>
      <w:r>
        <w:rPr>
          <w:rFonts w:ascii="標楷體" w:hAnsi="標楷體" w:cs="MS Sans Serif;Arial" w:eastAsia="標楷體"/>
          <w:sz w:val="28"/>
        </w:rPr>
        <w:t>宣其經隧</w:t>
      </w:r>
      <w:r>
        <w:rPr>
          <w:rFonts w:ascii="標楷體" w:hAnsi="標楷體" w:cs="MS Sans Serif;Arial" w:eastAsia="標楷體"/>
          <w:sz w:val="28"/>
        </w:rPr>
        <w:t>。</w:t>
      </w:r>
      <w:r>
        <w:rPr>
          <w:rFonts w:ascii="標楷體" w:hAnsi="標楷體" w:cs="MS Sans Serif;Arial" w:eastAsia="標楷體"/>
          <w:sz w:val="28"/>
        </w:rPr>
        <w:t>以能食能寢為佳</w:t>
      </w:r>
      <w:r>
        <w:rPr>
          <w:rFonts w:ascii="標楷體" w:hAnsi="標楷體" w:cs="MS Sans Serif;Arial" w:eastAsia="標楷體"/>
          <w:sz w:val="28"/>
        </w:rPr>
        <w:t>，</w:t>
      </w:r>
      <w:r>
        <w:rPr>
          <w:rFonts w:ascii="標楷體" w:hAnsi="標楷體" w:cs="MS Sans Serif;Arial" w:eastAsia="標楷體"/>
          <w:sz w:val="28"/>
        </w:rPr>
        <w:t>勿得誅伐無過之地</w:t>
      </w:r>
      <w:r>
        <w:rPr>
          <w:rFonts w:ascii="標楷體" w:hAnsi="標楷體" w:cs="MS Sans Serif;Arial" w:eastAsia="標楷體"/>
          <w:sz w:val="28"/>
        </w:rPr>
        <w:t>。</w:t>
      </w:r>
      <w:r>
        <w:rPr>
          <w:rFonts w:ascii="標楷體" w:hAnsi="標楷體" w:cs="MS Sans Serif;Arial" w:eastAsia="標楷體"/>
          <w:sz w:val="28"/>
        </w:rPr>
        <w:t>」其用藥為「前胡、蜜炙麻黃、牛蒡子、薑皮、紫苑、杏仁、茯苓皮、廣皮</w:t>
      </w:r>
      <w:r>
        <w:rPr>
          <w:rFonts w:ascii="標楷體" w:hAnsi="標楷體" w:cs="MS Sans Serif;Arial" w:eastAsia="標楷體"/>
          <w:sz w:val="28"/>
        </w:rPr>
        <w:t>。</w:t>
      </w:r>
      <w:r>
        <w:rPr>
          <w:rFonts w:ascii="標楷體" w:hAnsi="標楷體" w:cs="MS Sans Serif;Arial" w:eastAsia="標楷體"/>
          <w:sz w:val="28"/>
        </w:rPr>
        <w:t>」</w:t>
      </w:r>
    </w:p>
    <w:p>
      <w:pPr>
        <w:pStyle w:val="Normal"/>
        <w:snapToGrid w:val="false"/>
        <w:ind w:firstLine="540"/>
        <w:jc w:val="both"/>
        <w:rPr/>
      </w:pPr>
      <w:r>
        <w:rPr>
          <w:rFonts w:ascii="標楷體" w:hAnsi="標楷體" w:cs="MS Sans Serif;Arial" w:eastAsia="標楷體"/>
          <w:sz w:val="28"/>
        </w:rPr>
        <w:t>葉天士於</w:t>
      </w:r>
      <w:r>
        <w:rPr>
          <w:rFonts w:eastAsia="標楷體" w:cs="MS Sans Serif;Arial" w:ascii="標楷體" w:hAnsi="標楷體"/>
          <w:sz w:val="28"/>
        </w:rPr>
        <w:t>&lt;&lt;</w:t>
      </w:r>
      <w:r>
        <w:rPr>
          <w:rFonts w:ascii="標楷體" w:hAnsi="標楷體" w:cs="MS Sans Serif;Arial" w:eastAsia="標楷體"/>
          <w:sz w:val="28"/>
        </w:rPr>
        <w:t>腫脹篇</w:t>
      </w:r>
      <w:r>
        <w:rPr>
          <w:rFonts w:eastAsia="標楷體" w:cs="MS Sans Serif;Arial" w:ascii="標楷體" w:hAnsi="標楷體"/>
          <w:sz w:val="28"/>
        </w:rPr>
        <w:t>&gt;&gt;</w:t>
      </w:r>
      <w:r>
        <w:rPr>
          <w:rFonts w:ascii="標楷體" w:hAnsi="標楷體" w:cs="MS Sans Serif;Arial" w:eastAsia="標楷體"/>
          <w:sz w:val="28"/>
        </w:rPr>
        <w:t>總結了其對腫脹治療的心得</w:t>
      </w:r>
      <w:r>
        <w:rPr>
          <w:rFonts w:ascii="標楷體" w:hAnsi="標楷體" w:cs="MS Sans Serif;Arial" w:eastAsia="標楷體"/>
          <w:sz w:val="28"/>
        </w:rPr>
        <w:t>，</w:t>
      </w:r>
      <w:r>
        <w:rPr>
          <w:rFonts w:ascii="標楷體" w:hAnsi="標楷體" w:cs="MS Sans Serif;Arial" w:eastAsia="標楷體"/>
          <w:sz w:val="28"/>
        </w:rPr>
        <w:t>曰：「腫脹證，大約腫本乎水，脹由乎氣，腫分陽水陰水：其有因風因濕因氣因熱，外來者為有餘，即為陽水。因於大病後，即脾肺虛弱，不能通調水道；因心火剋金，肺不能生腎水，以致小便不利；因腎經陰虧，虛火爍肺金而溺少，誤用行氣分利之劑，漸至喘急痰盛，小水短赤，釀成腫證，內發者為不足，即為陰水。」葉氏對水腫的形成亦認為有虛實之分。</w:t>
      </w:r>
    </w:p>
    <w:p>
      <w:pPr>
        <w:pStyle w:val="Normal"/>
        <w:snapToGrid w:val="false"/>
        <w:ind w:firstLine="540"/>
        <w:jc w:val="both"/>
        <w:rPr>
          <w:rFonts w:ascii="標楷體" w:hAnsi="標楷體" w:eastAsia="標楷體" w:cs="MS Sans Serif;Arial"/>
          <w:b/>
          <w:b/>
          <w:sz w:val="28"/>
        </w:rPr>
      </w:pPr>
      <w:r>
        <w:rPr>
          <w:rFonts w:eastAsia="標楷體" w:cs="MS Sans Serif;Arial" w:ascii="標楷體" w:hAnsi="標楷體"/>
          <w:b/>
          <w:sz w:val="28"/>
        </w:rPr>
      </w:r>
    </w:p>
    <w:p>
      <w:pPr>
        <w:pStyle w:val="Normal"/>
        <w:snapToGrid w:val="false"/>
        <w:jc w:val="both"/>
        <w:rPr/>
      </w:pPr>
      <w:r>
        <w:rPr>
          <w:rFonts w:eastAsia="標楷體" w:cs="標楷體" w:ascii="標楷體" w:hAnsi="標楷體"/>
          <w:b/>
          <w:sz w:val="28"/>
        </w:rPr>
        <w:t xml:space="preserve">    </w:t>
      </w:r>
      <w:r>
        <w:rPr>
          <w:rFonts w:ascii="標楷體" w:hAnsi="標楷體" w:eastAsia="標楷體"/>
          <w:b/>
          <w:sz w:val="28"/>
        </w:rPr>
        <w:t>第八節</w:t>
      </w:r>
      <w:r>
        <w:rPr>
          <w:rFonts w:ascii="標楷體" w:hAnsi="標楷體" w:eastAsia="標楷體"/>
          <w:b/>
          <w:sz w:val="28"/>
        </w:rPr>
        <w:t xml:space="preserve">  </w:t>
      </w:r>
      <w:r>
        <w:rPr>
          <w:rFonts w:eastAsia="標楷體" w:ascii="標楷體" w:hAnsi="標楷體"/>
          <w:b/>
          <w:sz w:val="28"/>
        </w:rPr>
        <w:t>&lt;&lt;</w:t>
      </w:r>
      <w:r>
        <w:rPr>
          <w:rFonts w:ascii="標楷體" w:hAnsi="標楷體" w:eastAsia="標楷體"/>
          <w:b/>
          <w:sz w:val="28"/>
        </w:rPr>
        <w:t>醫學衷中參西錄</w:t>
      </w:r>
      <w:r>
        <w:rPr>
          <w:rFonts w:eastAsia="標楷體" w:ascii="標楷體" w:hAnsi="標楷體"/>
          <w:b/>
          <w:sz w:val="28"/>
        </w:rPr>
        <w:t>&gt;&gt;</w:t>
      </w:r>
      <w:r>
        <w:rPr>
          <w:rFonts w:ascii="標楷體" w:hAnsi="標楷體" w:eastAsia="標楷體"/>
          <w:b/>
          <w:sz w:val="28"/>
        </w:rPr>
        <w:t>對水腫病的相關論述</w:t>
      </w:r>
    </w:p>
    <w:p>
      <w:pPr>
        <w:pStyle w:val="Normal"/>
        <w:snapToGrid w:val="false"/>
        <w:jc w:val="both"/>
        <w:rPr/>
      </w:pPr>
      <w:r>
        <w:rPr>
          <w:rFonts w:eastAsia="標楷體" w:cs="標楷體" w:ascii="標楷體" w:hAnsi="標楷體"/>
          <w:sz w:val="28"/>
        </w:rPr>
        <w:t xml:space="preserve">    </w:t>
      </w:r>
      <w:r>
        <w:rPr>
          <w:rFonts w:eastAsia="標楷體" w:ascii="標楷體" w:hAnsi="標楷體"/>
          <w:sz w:val="28"/>
        </w:rPr>
        <w:t>&lt;&lt;</w:t>
      </w:r>
      <w:r>
        <w:rPr>
          <w:rFonts w:ascii="標楷體" w:hAnsi="標楷體" w:eastAsia="標楷體"/>
          <w:sz w:val="28"/>
        </w:rPr>
        <w:t>醫學衷中參西錄‧腫脹門</w:t>
      </w:r>
      <w:r>
        <w:rPr>
          <w:rFonts w:eastAsia="標楷體" w:ascii="標楷體" w:hAnsi="標楷體"/>
          <w:sz w:val="28"/>
        </w:rPr>
        <w:t>&gt;&gt;</w:t>
      </w:r>
      <w:r>
        <w:rPr>
          <w:rFonts w:ascii="標楷體" w:hAnsi="標楷體" w:eastAsia="標楷體"/>
          <w:sz w:val="28"/>
        </w:rPr>
        <w:t>有關風水的病例及其論述如下：「受風水腫：邑北境常庄劉氏婦，年過三旬，因受風得水腫證。</w:t>
      </w:r>
    </w:p>
    <w:p>
      <w:pPr>
        <w:pStyle w:val="Normal"/>
        <w:snapToGrid w:val="false"/>
        <w:jc w:val="both"/>
        <w:rPr/>
      </w:pPr>
      <w:r>
        <w:rPr>
          <w:rFonts w:eastAsia="標楷體" w:cs="標楷體" w:ascii="標楷體" w:hAnsi="標楷體"/>
          <w:b/>
          <w:sz w:val="28"/>
        </w:rPr>
        <w:t xml:space="preserve">    </w:t>
      </w:r>
      <w:r>
        <w:rPr>
          <w:rFonts w:ascii="標楷體" w:hAnsi="標楷體" w:eastAsia="標楷體"/>
          <w:b/>
          <w:sz w:val="28"/>
        </w:rPr>
        <w:t>病因：</w:t>
      </w:r>
      <w:r>
        <w:rPr>
          <w:rFonts w:ascii="標楷體" w:hAnsi="標楷體" w:eastAsia="標楷體"/>
          <w:sz w:val="28"/>
        </w:rPr>
        <w:t>原系農家，時當孟夏，農家忙甚，將飯炊熱，復自饁田間，因作飯時受熱出汗，出門時途間受風，此後得水腫證。</w:t>
      </w:r>
    </w:p>
    <w:p>
      <w:pPr>
        <w:pStyle w:val="Normal"/>
        <w:snapToGrid w:val="false"/>
        <w:jc w:val="both"/>
        <w:rPr/>
      </w:pPr>
      <w:r>
        <w:rPr>
          <w:rFonts w:eastAsia="標楷體" w:cs="標楷體" w:ascii="標楷體" w:hAnsi="標楷體"/>
          <w:b/>
          <w:sz w:val="28"/>
        </w:rPr>
        <w:t xml:space="preserve">    </w:t>
      </w:r>
      <w:r>
        <w:rPr>
          <w:rFonts w:ascii="標楷體" w:hAnsi="標楷體" w:eastAsia="標楷體"/>
          <w:b/>
          <w:sz w:val="28"/>
        </w:rPr>
        <w:t>證候：</w:t>
      </w:r>
      <w:r>
        <w:rPr>
          <w:rFonts w:ascii="標楷體" w:hAnsi="標楷體" w:eastAsia="標楷體"/>
          <w:sz w:val="28"/>
        </w:rPr>
        <w:t>腹中脹甚，頭面周身皆腫，兩目之腫不能開視，心中發熱，周身汗閉不出，大便乾燥，小便短赤。其兩腕腫甚不能診脈，按之移時，水氣四開，如能見脈。其左部弦而兼硬，右部滑而頗實，一息近五至。</w:t>
      </w:r>
    </w:p>
    <w:p>
      <w:pPr>
        <w:pStyle w:val="Normal"/>
        <w:snapToGrid w:val="false"/>
        <w:jc w:val="both"/>
        <w:rPr/>
      </w:pPr>
      <w:r>
        <w:rPr>
          <w:rFonts w:eastAsia="標楷體" w:cs="標楷體" w:ascii="標楷體" w:hAnsi="標楷體"/>
          <w:b/>
          <w:sz w:val="28"/>
        </w:rPr>
        <w:t xml:space="preserve">    </w:t>
      </w:r>
      <w:r>
        <w:rPr>
          <w:rFonts w:ascii="標楷體" w:hAnsi="標楷體" w:eastAsia="標楷體"/>
          <w:b/>
          <w:sz w:val="28"/>
        </w:rPr>
        <w:t>診斷：</w:t>
      </w:r>
      <w:r>
        <w:rPr>
          <w:rFonts w:eastAsia="標楷體" w:ascii="標楷體" w:hAnsi="標楷體"/>
          <w:sz w:val="28"/>
        </w:rPr>
        <w:t>&lt;&lt;</w:t>
      </w:r>
      <w:r>
        <w:rPr>
          <w:rFonts w:ascii="標楷體" w:hAnsi="標楷體" w:eastAsia="標楷體"/>
          <w:sz w:val="28"/>
        </w:rPr>
        <w:t>金匱</w:t>
      </w:r>
      <w:r>
        <w:rPr>
          <w:rFonts w:eastAsia="標楷體" w:ascii="標楷體" w:hAnsi="標楷體"/>
          <w:sz w:val="28"/>
        </w:rPr>
        <w:t>&gt;&gt;</w:t>
      </w:r>
      <w:r>
        <w:rPr>
          <w:rFonts w:ascii="標楷體" w:hAnsi="標楷體" w:eastAsia="標楷體"/>
          <w:sz w:val="28"/>
        </w:rPr>
        <w:t>辨水證之脈，謂風水脈浮，此證脈之部位腫甚，原無從辨其脈之浮沉，然即其自述，謂于有汗受風之後，其為風水無疑也。其左脈弦硬者，肝膽有鬱熱也，其右脈滑而實者，外為風束，胃中亦寖生熱也。至於大便乾燥，小便短赤，皆肝胃有熱之所致也。當用</w:t>
      </w:r>
      <w:r>
        <w:rPr>
          <w:rFonts w:eastAsia="標楷體" w:ascii="標楷體" w:hAnsi="標楷體"/>
          <w:sz w:val="28"/>
        </w:rPr>
        <w:t>&lt;&lt;</w:t>
      </w:r>
      <w:r>
        <w:rPr>
          <w:rFonts w:ascii="標楷體" w:hAnsi="標楷體" w:eastAsia="標楷體"/>
          <w:sz w:val="28"/>
        </w:rPr>
        <w:t>金匱</w:t>
      </w:r>
      <w:r>
        <w:rPr>
          <w:rFonts w:eastAsia="標楷體" w:ascii="標楷體" w:hAnsi="標楷體"/>
          <w:sz w:val="28"/>
        </w:rPr>
        <w:t>&gt;&gt;</w:t>
      </w:r>
      <w:r>
        <w:rPr>
          <w:rFonts w:ascii="標楷體" w:hAnsi="標楷體" w:eastAsia="標楷體"/>
          <w:sz w:val="28"/>
        </w:rPr>
        <w:t>越婢湯加減治之。</w:t>
      </w:r>
    </w:p>
    <w:p>
      <w:pPr>
        <w:pStyle w:val="Normal"/>
        <w:snapToGrid w:val="false"/>
        <w:jc w:val="both"/>
        <w:rPr/>
      </w:pPr>
      <w:r>
        <w:rPr>
          <w:rFonts w:eastAsia="標楷體" w:cs="標楷體" w:ascii="標楷體" w:hAnsi="標楷體"/>
          <w:b/>
          <w:sz w:val="28"/>
        </w:rPr>
        <w:t xml:space="preserve">    </w:t>
      </w:r>
      <w:r>
        <w:rPr>
          <w:rFonts w:ascii="標楷體" w:hAnsi="標楷體" w:eastAsia="標楷體"/>
          <w:b/>
          <w:sz w:val="28"/>
        </w:rPr>
        <w:t>處方：</w:t>
      </w:r>
      <w:r>
        <w:rPr>
          <w:rFonts w:ascii="標楷體" w:hAnsi="標楷體" w:eastAsia="標楷體"/>
          <w:sz w:val="28"/>
        </w:rPr>
        <w:t>生石膏 一兩搗細、滑石 四錢、生杭芍 四錢、麻黃 三錢、甘草 二錢、大棗 四枚擘開、生薑 二錢，西藥阿斯匹林 一瓦。」「中藥七味，共煎湯一大盅，當煎湯將成之時，先用白糖水將西藥阿斯匹林送下，候周身出汗（若不出汗仍可再服一瓦），將所煎之湯藥溫服下，其汗必益多，其小便當利，腫即可消矣。」</w:t>
      </w:r>
    </w:p>
    <w:p>
      <w:pPr>
        <w:pStyle w:val="Normal"/>
        <w:snapToGrid w:val="false"/>
        <w:jc w:val="both"/>
        <w:rPr/>
      </w:pPr>
      <w:r>
        <w:rPr>
          <w:rFonts w:eastAsia="標楷體" w:cs="標楷體" w:ascii="標楷體" w:hAnsi="標楷體"/>
          <w:sz w:val="28"/>
        </w:rPr>
        <w:t xml:space="preserve">    </w:t>
      </w:r>
      <w:r>
        <w:rPr>
          <w:rFonts w:ascii="標楷體" w:hAnsi="標楷體" w:eastAsia="標楷體"/>
          <w:sz w:val="28"/>
        </w:rPr>
        <w:t>「復診：如法將藥服完，果周身皆得透汗，心中已不發熱，小便遂利，腹脹身腫皆愈強半，脈象已近和平，擬再治以滋陰利水之劑，以消其餘腫。</w:t>
      </w:r>
      <w:r>
        <w:rPr>
          <w:rFonts w:ascii="標楷體" w:hAnsi="標楷體" w:eastAsia="標楷體"/>
          <w:b/>
          <w:sz w:val="28"/>
        </w:rPr>
        <w:t>處方：</w:t>
      </w:r>
      <w:r>
        <w:rPr>
          <w:rFonts w:ascii="標楷體" w:hAnsi="標楷體" w:eastAsia="標楷體"/>
          <w:sz w:val="28"/>
        </w:rPr>
        <w:t>生杭芍 六錢、生薏米 六錢搗碎、鮮白茅根 一兩，藥共三味，先將前二味水煎十餘沸，加入白茅根再煎四五沸，取湯一大盅，溫服。</w:t>
      </w:r>
      <w:r>
        <w:rPr>
          <w:rFonts w:ascii="標楷體" w:hAnsi="標楷體" w:eastAsia="標楷體"/>
          <w:b/>
          <w:sz w:val="28"/>
        </w:rPr>
        <w:t>效果：</w:t>
      </w:r>
      <w:r>
        <w:rPr>
          <w:rFonts w:ascii="標楷體" w:hAnsi="標楷體" w:eastAsia="標楷體"/>
          <w:sz w:val="28"/>
        </w:rPr>
        <w:t>將藥連服十劑，其腫全消，俾每日但用鮮白茅根一兩，煎數沸當茶飲之，以善其後。」</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或問：前方中用麻黃三錢原可發汗，何必先用西藥阿斯匹林先發其汗乎？答曰：麻黃用至三錢雖能發汗，然有石膏、滑石、芍藥以監制之，則其發汗之力頓減，況肌膚腫甚者，汗尤不易透出也。若因其汗不易出，擬復多加麻黃，而其性熱而且燥，又非所宜。惟西藥阿斯匹林，其原質存於楊柳皮津液之中，其性涼而能散，既善發汗又善清熱，以之為麻黃之前驅，則麻黃自易奏功也。」</w:t>
      </w:r>
    </w:p>
    <w:p>
      <w:pPr>
        <w:pStyle w:val="Normal"/>
        <w:snapToGrid w:val="false"/>
        <w:jc w:val="both"/>
        <w:rPr/>
      </w:pPr>
      <w:r>
        <w:rPr>
          <w:rFonts w:eastAsia="標楷體" w:cs="標楷體" w:ascii="標楷體" w:hAnsi="標楷體"/>
          <w:sz w:val="28"/>
        </w:rPr>
        <w:t xml:space="preserve">    </w:t>
      </w:r>
      <w:r>
        <w:rPr>
          <w:rFonts w:ascii="標楷體" w:hAnsi="標楷體" w:eastAsia="標楷體"/>
          <w:sz w:val="28"/>
        </w:rPr>
        <w:t>「或問：風襲人之皮膚，何以能令人小便不利積成水腫？答曰：小便出於膀胱，膀胱者太陽之腑也。襲入之風由經傳腑，致膀胱失其所司，是以小便不利。麻黃能袪太陽在腑之風，佐以石膏、滑石，更能清太陽在腑之熱，是以服藥汗出而小便自利也。況此證肝中亦有蘊熱，</w:t>
      </w:r>
      <w:r>
        <w:rPr>
          <w:rFonts w:eastAsia="標楷體" w:ascii="標楷體" w:hAnsi="標楷體"/>
          <w:sz w:val="28"/>
        </w:rPr>
        <w:t>&lt;&lt;</w:t>
      </w:r>
      <w:r>
        <w:rPr>
          <w:rFonts w:ascii="標楷體" w:hAnsi="標楷體" w:eastAsia="標楷體"/>
          <w:sz w:val="28"/>
        </w:rPr>
        <w:t>內經</w:t>
      </w:r>
      <w:r>
        <w:rPr>
          <w:rFonts w:eastAsia="標楷體" w:ascii="標楷體" w:hAnsi="標楷體"/>
          <w:sz w:val="28"/>
        </w:rPr>
        <w:t>&gt;&gt;</w:t>
      </w:r>
      <w:r>
        <w:rPr>
          <w:rFonts w:ascii="標楷體" w:hAnsi="標楷體" w:eastAsia="標楷體"/>
          <w:sz w:val="28"/>
        </w:rPr>
        <w:t>謂：『肝熱病者小便先黃。』是肝與小便亦大有關係也。方中兼用芍藥以清肝熱，則小便之利者當益利。至於薏米、茅根，亦皆為利小便之輔佐品，彙集諸藥為方，是以用之必效也。」</w:t>
      </w:r>
    </w:p>
    <w:p>
      <w:pPr>
        <w:pStyle w:val="TextBodyIndent"/>
        <w:rPr>
          <w:rFonts w:ascii="標楷體" w:hAnsi="標楷體" w:eastAsia="標楷體"/>
        </w:rPr>
      </w:pPr>
      <w:r>
        <w:rPr>
          <w:rFonts w:ascii="標楷體" w:hAnsi="標楷體" w:eastAsia="標楷體"/>
        </w:rPr>
        <w:t>以上張氏所列舉治療本病的經驗，可為後世治療腎病症候群之參考。尤其是麻黃與阿斯匹林，中西藥的合用，對後世治療本病提供了新的思考方向。</w:t>
      </w:r>
    </w:p>
    <w:p>
      <w:pPr>
        <w:pStyle w:val="Normal"/>
        <w:snapToGrid w:val="false"/>
        <w:ind w:firstLine="540"/>
        <w:jc w:val="both"/>
        <w:rPr>
          <w:rFonts w:ascii="標楷體" w:hAnsi="標楷體" w:eastAsia="標楷體"/>
          <w:sz w:val="28"/>
        </w:rPr>
      </w:pPr>
      <w:r>
        <w:rPr>
          <w:rFonts w:eastAsia="標楷體" w:ascii="標楷體" w:hAnsi="標楷體"/>
          <w:sz w:val="28"/>
        </w:rPr>
      </w:r>
    </w:p>
    <w:p>
      <w:pPr>
        <w:pStyle w:val="Normal"/>
        <w:snapToGrid w:val="false"/>
        <w:jc w:val="both"/>
        <w:rPr/>
      </w:pPr>
      <w:r>
        <w:rPr>
          <w:rFonts w:eastAsia="標楷體" w:cs="標楷體" w:ascii="標楷體" w:hAnsi="標楷體"/>
          <w:b/>
          <w:sz w:val="28"/>
        </w:rPr>
        <w:t xml:space="preserve">    </w:t>
      </w:r>
      <w:r>
        <w:rPr>
          <w:rFonts w:ascii="標楷體" w:hAnsi="標楷體" w:eastAsia="標楷體"/>
          <w:b/>
          <w:sz w:val="28"/>
        </w:rPr>
        <w:t xml:space="preserve">第九節  </w:t>
      </w:r>
      <w:r>
        <w:rPr>
          <w:rFonts w:eastAsia="標楷體" w:ascii="標楷體" w:hAnsi="標楷體"/>
          <w:b/>
          <w:sz w:val="28"/>
        </w:rPr>
        <w:t>&lt;&lt;</w:t>
      </w:r>
      <w:r>
        <w:rPr>
          <w:rFonts w:ascii="標楷體" w:hAnsi="標楷體" w:eastAsia="標楷體"/>
          <w:b/>
          <w:sz w:val="28"/>
        </w:rPr>
        <w:t>吳鞠通醫案</w:t>
      </w:r>
      <w:r>
        <w:rPr>
          <w:rFonts w:eastAsia="標楷體" w:ascii="標楷體" w:hAnsi="標楷體"/>
          <w:b/>
          <w:sz w:val="28"/>
        </w:rPr>
        <w:t>&gt;&gt;</w:t>
      </w:r>
      <w:r>
        <w:rPr>
          <w:rFonts w:ascii="標楷體" w:hAnsi="標楷體" w:eastAsia="標楷體"/>
          <w:b/>
          <w:sz w:val="28"/>
        </w:rPr>
        <w:t>對水腫病的相關論述</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eastAsia="標楷體" w:ascii="標楷體" w:hAnsi="標楷體"/>
          <w:sz w:val="28"/>
        </w:rPr>
        <w:t>&lt;&lt;</w:t>
      </w:r>
      <w:r>
        <w:rPr>
          <w:rFonts w:ascii="標楷體" w:hAnsi="標楷體" w:eastAsia="標楷體"/>
          <w:sz w:val="28"/>
        </w:rPr>
        <w:t>吳鞠通醫案‧水氣</w:t>
      </w:r>
      <w:r>
        <w:rPr>
          <w:rFonts w:eastAsia="標楷體" w:ascii="標楷體" w:hAnsi="標楷體"/>
          <w:sz w:val="28"/>
        </w:rPr>
        <w:t>&gt;&gt;:</w:t>
      </w:r>
      <w:r>
        <w:rPr>
          <w:rFonts w:ascii="標楷體" w:hAnsi="標楷體" w:eastAsia="標楷體"/>
          <w:sz w:val="28"/>
        </w:rPr>
        <w:t>「甲子三月廿一日，女，十四歲，脈數，水氣由面腫至足心。經謂病始于上而盛于下者，先治其上，後治其下。議腰以上腫當發汗例，越婢加朮湯法。麻黃 去節五錢、白朮三錢、杏仁泥 五錢、石膏 六錢、桂枝 三錢、炙甘草 一錢，水五杯，煮取二杯。先服一杯，得汗止後服，不汗再服。」</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「廿二日：生石膏 八錢、麻黃 去節三錢、生薑 三片、炙甘草 二錢、杏仁泥 五錢、桂枝 二錢、大棗 去核，二枚，水八杯，煮取三杯，分三次服。以汗出至足為度，又不可使汗淋漓。」</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「廿四日：水氣由頭面腫至足下，與越婢法，上身之腫已消其半；茲脈沉而數，以涼淡復微苦，利其小便。飛滑石 五錢、生薏仁 五錢、杏仁 三錢、茯苓皮 六錢、黃柏炭 一錢、海金砂 六錢、澤瀉 三錢、白通草 三錢，不能戒鹹，不必服藥。」</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eastAsia="標楷體" w:ascii="標楷體" w:hAnsi="標楷體"/>
          <w:sz w:val="28"/>
        </w:rPr>
        <w:t>&lt;&lt;</w:t>
      </w:r>
      <w:r>
        <w:rPr>
          <w:rFonts w:ascii="標楷體" w:hAnsi="標楷體" w:eastAsia="標楷體"/>
          <w:sz w:val="28"/>
        </w:rPr>
        <w:t>吳鞠通醫案‧水氣</w:t>
      </w:r>
      <w:r>
        <w:rPr>
          <w:rFonts w:eastAsia="標楷體" w:ascii="標楷體" w:hAnsi="標楷體"/>
          <w:sz w:val="28"/>
        </w:rPr>
        <w:t>&gt;&gt;:</w:t>
      </w:r>
      <w:r>
        <w:rPr>
          <w:rFonts w:ascii="標楷體" w:hAnsi="標楷體" w:eastAsia="標楷體"/>
          <w:sz w:val="28"/>
        </w:rPr>
        <w:t>「范，十八歲，風水腫脹，生石膏 四兩、麻黃 去節 六錢、生薑 三錢、桂枝 三錢、杏仁泥 五錢、炙甘草 三錢、大棗 去核 二枚，煮成三杯，分三次服。」</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「一帖而汗解，頭面腫消；次日與實脾利水，五日全愈。戒其避風，伊不聽，後八日，腹腫如故，仍與前法而愈。後受戒規，故不再發。」</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eastAsia="標楷體" w:ascii="標楷體" w:hAnsi="標楷體"/>
          <w:sz w:val="28"/>
        </w:rPr>
        <w:t>&lt;&lt;</w:t>
      </w:r>
      <w:r>
        <w:rPr>
          <w:rFonts w:ascii="標楷體" w:hAnsi="標楷體" w:eastAsia="標楷體"/>
          <w:sz w:val="28"/>
        </w:rPr>
        <w:t>吳鞠通醫案‧水氣</w:t>
      </w:r>
      <w:r>
        <w:rPr>
          <w:rFonts w:eastAsia="標楷體" w:ascii="標楷體" w:hAnsi="標楷體"/>
          <w:sz w:val="28"/>
        </w:rPr>
        <w:t>&gt;&gt;:</w:t>
      </w:r>
      <w:r>
        <w:rPr>
          <w:rFonts w:ascii="標楷體" w:hAnsi="標楷體" w:eastAsia="標楷體"/>
          <w:sz w:val="28"/>
        </w:rPr>
        <w:t>「周，十八歲，腫從頭面起。麻黃 去節六錢、生石膏 一兩、杏仁 五錢、桂枝 三錢、炙甘草 三錢、蒼朮 三錢，煮成三杯，分三次服。如汗出不止，以松花粉補之。服一帖，汗出不至足。次日又服半帖，腫全消。後以理脾收功。」</w:t>
      </w:r>
    </w:p>
    <w:p>
      <w:pPr>
        <w:pStyle w:val="Normal"/>
        <w:snapToGrid w:val="false"/>
        <w:jc w:val="both"/>
        <w:rPr/>
      </w:pPr>
      <w:r>
        <w:rPr>
          <w:rFonts w:eastAsia="標楷體" w:cs="標楷體" w:ascii="標楷體" w:hAnsi="標楷體"/>
          <w:b/>
          <w:sz w:val="28"/>
        </w:rPr>
        <w:t xml:space="preserve">    </w:t>
      </w:r>
      <w:r>
        <w:rPr>
          <w:rFonts w:ascii="標楷體" w:hAnsi="標楷體" w:eastAsia="標楷體"/>
          <w:b/>
          <w:sz w:val="28"/>
        </w:rPr>
        <w:t>第十節</w:t>
      </w:r>
      <w:r>
        <w:rPr>
          <w:rFonts w:ascii="標楷體" w:hAnsi="標楷體" w:eastAsia="標楷體"/>
          <w:b/>
          <w:sz w:val="28"/>
        </w:rPr>
        <w:t xml:space="preserve">  </w:t>
      </w:r>
      <w:r>
        <w:rPr>
          <w:rFonts w:eastAsia="標楷體" w:ascii="標楷體" w:hAnsi="標楷體"/>
          <w:b/>
          <w:sz w:val="28"/>
        </w:rPr>
        <w:t>&lt;&lt;</w:t>
      </w:r>
      <w:r>
        <w:rPr>
          <w:rFonts w:ascii="標楷體" w:hAnsi="標楷體" w:eastAsia="標楷體"/>
          <w:b/>
          <w:sz w:val="28"/>
        </w:rPr>
        <w:t>針灸大成</w:t>
      </w:r>
      <w:r>
        <w:rPr>
          <w:rFonts w:eastAsia="標楷體" w:ascii="標楷體" w:hAnsi="標楷體"/>
          <w:b/>
          <w:sz w:val="28"/>
        </w:rPr>
        <w:t>&gt;&gt;</w:t>
      </w:r>
      <w:r>
        <w:rPr>
          <w:rFonts w:ascii="標楷體" w:hAnsi="標楷體" w:eastAsia="標楷體"/>
          <w:b/>
          <w:sz w:val="28"/>
        </w:rPr>
        <w:t>對水腫病的相關論述</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eastAsia="標楷體" w:ascii="標楷體" w:hAnsi="標楷體"/>
          <w:sz w:val="28"/>
        </w:rPr>
        <w:t>&lt;&lt;</w:t>
      </w:r>
      <w:r>
        <w:rPr>
          <w:rFonts w:ascii="標楷體" w:hAnsi="標楷體" w:eastAsia="標楷體"/>
          <w:sz w:val="28"/>
        </w:rPr>
        <w:t>素問‧水熱穴論</w:t>
      </w:r>
      <w:r>
        <w:rPr>
          <w:rFonts w:eastAsia="標楷體" w:ascii="標楷體" w:hAnsi="標楷體"/>
          <w:sz w:val="28"/>
        </w:rPr>
        <w:t>&gt;&gt;:</w:t>
      </w:r>
      <w:r>
        <w:rPr>
          <w:rFonts w:ascii="標楷體" w:hAnsi="標楷體" w:eastAsia="標楷體"/>
          <w:sz w:val="28"/>
        </w:rPr>
        <w:t>「帝曰：水俞五十七處者，是何主也？岐伯曰：腎俞五十七穴，積陰之所聚也，水所從出入也。尻上五行，行五者，此腎俞。故水病下為胕腫大腹，上為喘呼，不得臥者，標本俱病，故肺為喘呼，腎為水腫，肺為逆，不得臥，分為相輸，俱受者，水氣之所留也。伏兔上各二行，行五者，此腎之街也。三陰之所交結於腳也。踝上各一行，行六者，此腎脈之下行也，名曰太衝。凡五十七穴者，皆藏之陰絡，水之所客也。」</w:t>
      </w:r>
    </w:p>
    <w:p>
      <w:pPr>
        <w:pStyle w:val="Normal"/>
        <w:overflowPunct w:val="false"/>
        <w:autoSpaceDE w:val="false"/>
        <w:snapToGrid w:val="false"/>
        <w:jc w:val="both"/>
        <w:rPr/>
      </w:pPr>
      <w:r>
        <w:rPr>
          <w:rFonts w:eastAsia="標楷體" w:cs="標楷體" w:ascii="標楷體" w:hAnsi="標楷體"/>
          <w:sz w:val="28"/>
        </w:rPr>
        <w:t xml:space="preserve">    </w:t>
      </w:r>
      <w:r>
        <w:rPr>
          <w:rFonts w:eastAsia="標楷體" w:cs="MS Sans Serif;Arial" w:ascii="標楷體" w:hAnsi="標楷體"/>
          <w:sz w:val="28"/>
        </w:rPr>
        <w:t>&lt;&lt;</w:t>
      </w:r>
      <w:r>
        <w:rPr>
          <w:rFonts w:ascii="標楷體" w:hAnsi="標楷體" w:cs="MS Sans Serif;Arial" w:eastAsia="標楷體"/>
          <w:sz w:val="28"/>
        </w:rPr>
        <w:t>針灸大成</w:t>
      </w:r>
      <w:r>
        <w:rPr>
          <w:rFonts w:ascii="標楷體" w:hAnsi="標楷體" w:eastAsia="標楷體"/>
          <w:sz w:val="28"/>
        </w:rPr>
        <w:t>‧卷一‧刺水熱穴論</w:t>
      </w:r>
      <w:r>
        <w:rPr>
          <w:rFonts w:eastAsia="標楷體" w:cs="MS Sans Serif;Arial" w:ascii="標楷體" w:hAnsi="標楷體"/>
          <w:sz w:val="28"/>
        </w:rPr>
        <w:t>&gt;&gt;</w:t>
      </w:r>
      <w:r>
        <w:rPr>
          <w:rFonts w:eastAsia="標楷體" w:ascii="標楷體" w:hAnsi="標楷體"/>
          <w:sz w:val="28"/>
        </w:rPr>
        <w:t>:</w:t>
      </w:r>
      <w:r>
        <w:rPr>
          <w:rFonts w:ascii="標楷體" w:hAnsi="標楷體" w:eastAsia="標楷體"/>
          <w:sz w:val="28"/>
        </w:rPr>
        <w:t>「</w:t>
      </w:r>
      <w:r>
        <w:rPr>
          <w:rFonts w:ascii="標楷體" w:hAnsi="標楷體" w:cs="MS Sans Serif;Arial" w:eastAsia="標楷體"/>
          <w:sz w:val="28"/>
        </w:rPr>
        <w:t>腎汗出逢於風</w:t>
      </w:r>
      <w:r>
        <w:rPr>
          <w:rFonts w:ascii="標楷體" w:hAnsi="標楷體" w:cs="MS Sans Serif;Arial" w:eastAsia="標楷體"/>
          <w:sz w:val="28"/>
        </w:rPr>
        <w:t>，</w:t>
      </w:r>
      <w:r>
        <w:rPr>
          <w:rFonts w:ascii="標楷體" w:hAnsi="標楷體" w:cs="MS Sans Serif;Arial" w:eastAsia="標楷體"/>
          <w:sz w:val="28"/>
        </w:rPr>
        <w:t>內不得入於臟腑，外不得越於皮膚，客於玄府，行於皮裏，傳為胕腫，本之於腎，名曰風水，所謂玄府者，汗孔也。帝曰</w:t>
      </w:r>
      <w:r>
        <w:rPr>
          <w:rFonts w:eastAsia="標楷體" w:cs="MS Sans Serif;Arial" w:ascii="標楷體" w:hAnsi="標楷體"/>
          <w:sz w:val="28"/>
        </w:rPr>
        <w:t>:</w:t>
      </w:r>
      <w:r>
        <w:rPr>
          <w:rFonts w:ascii="標楷體" w:hAnsi="標楷體" w:cs="MS Sans Serif;Arial" w:eastAsia="標楷體"/>
          <w:sz w:val="28"/>
        </w:rPr>
        <w:t>水俞五十七處者，是何主也</w:t>
      </w:r>
      <w:r>
        <w:rPr>
          <w:rFonts w:eastAsia="標楷體" w:cs="MS Sans Serif;Arial" w:ascii="標楷體" w:hAnsi="標楷體"/>
          <w:sz w:val="28"/>
        </w:rPr>
        <w:t>?</w:t>
      </w:r>
      <w:r>
        <w:rPr>
          <w:rFonts w:ascii="標楷體" w:hAnsi="標楷體" w:cs="MS Sans Serif;Arial" w:eastAsia="標楷體"/>
          <w:sz w:val="28"/>
        </w:rPr>
        <w:t>岐伯曰</w:t>
      </w:r>
      <w:r>
        <w:rPr>
          <w:rFonts w:eastAsia="標楷體" w:cs="MS Sans Serif;Arial" w:ascii="標楷體" w:hAnsi="標楷體"/>
          <w:sz w:val="28"/>
        </w:rPr>
        <w:t>:</w:t>
      </w:r>
      <w:r>
        <w:rPr>
          <w:rFonts w:ascii="標楷體" w:hAnsi="標楷體" w:cs="MS Sans Serif;Arial" w:eastAsia="標楷體"/>
          <w:sz w:val="28"/>
        </w:rPr>
        <w:t>腎俞五十七穴，積陰之所聚也，水所從出入也。尻上五行，行五者，此腎俞。故水病下為胻腫大腹，上為喘呼，不得臥者，標本俱病。故肺為喘呼，腎為水腫，肺為逆不得臥，分為相，輸俱受者，水氣之所留也。伏兔上各二行，行五者，此腎之街也。三陰之所交，結於腳也。踝上各一行，行六者，此腎脈之下行也。名曰太衝，凡五十七穴者，皆臟之陰絡，水之所客也。」</w:t>
      </w:r>
    </w:p>
    <w:p>
      <w:pPr>
        <w:pStyle w:val="Normal"/>
        <w:overflowPunct w:val="false"/>
        <w:autoSpaceDE w:val="false"/>
        <w:snapToGrid w:val="false"/>
        <w:jc w:val="both"/>
        <w:rPr>
          <w:rFonts w:ascii="標楷體" w:hAnsi="標楷體" w:eastAsia="標楷體" w:cs="MS Sans Serif;Arial"/>
          <w:sz w:val="28"/>
        </w:rPr>
      </w:pPr>
      <w:r>
        <w:rPr>
          <w:rFonts w:eastAsia="標楷體" w:cs="標楷體" w:ascii="標楷體" w:hAnsi="標楷體"/>
          <w:sz w:val="28"/>
        </w:rPr>
        <w:t xml:space="preserve">    </w:t>
      </w:r>
      <w:r>
        <w:rPr>
          <w:rFonts w:eastAsia="標楷體" w:cs="MS Sans Serif;Arial" w:ascii="標楷體" w:hAnsi="標楷體"/>
          <w:sz w:val="28"/>
        </w:rPr>
        <w:t>&lt;&lt;</w:t>
      </w:r>
      <w:r>
        <w:rPr>
          <w:rFonts w:ascii="標楷體" w:hAnsi="標楷體" w:cs="MS Sans Serif;Arial" w:eastAsia="標楷體"/>
          <w:sz w:val="28"/>
        </w:rPr>
        <w:t>針灸大成</w:t>
      </w:r>
      <w:r>
        <w:rPr>
          <w:rFonts w:ascii="標楷體" w:hAnsi="標楷體" w:eastAsia="標楷體"/>
          <w:sz w:val="28"/>
        </w:rPr>
        <w:t>‧卷一‧骨空論</w:t>
      </w:r>
      <w:r>
        <w:rPr>
          <w:rFonts w:eastAsia="標楷體" w:cs="MS Sans Serif;Arial" w:ascii="標楷體" w:hAnsi="標楷體"/>
          <w:sz w:val="28"/>
        </w:rPr>
        <w:t>&gt;&gt;</w:t>
      </w:r>
      <w:r>
        <w:rPr>
          <w:rFonts w:eastAsia="標楷體" w:ascii="標楷體" w:hAnsi="標楷體"/>
          <w:sz w:val="28"/>
        </w:rPr>
        <w:t>:</w:t>
      </w:r>
      <w:r>
        <w:rPr>
          <w:rFonts w:ascii="標楷體" w:hAnsi="標楷體" w:eastAsia="標楷體"/>
          <w:sz w:val="28"/>
        </w:rPr>
        <w:t>「水俞五十七穴者，尻上五行，行五。伏兔上兩行，行五，左右各一行，行五，踝上各一行，行六。」</w:t>
      </w:r>
    </w:p>
    <w:p>
      <w:pPr>
        <w:pStyle w:val="Normal"/>
        <w:snapToGrid w:val="false"/>
        <w:jc w:val="both"/>
        <w:rPr/>
      </w:pPr>
      <w:r>
        <w:rPr>
          <w:rFonts w:eastAsia="標楷體" w:cs="標楷體" w:ascii="標楷體" w:hAnsi="標楷體"/>
          <w:sz w:val="28"/>
        </w:rPr>
        <w:t xml:space="preserve">    </w:t>
      </w:r>
      <w:r>
        <w:rPr>
          <w:rFonts w:eastAsia="標楷體" w:cs="MS Sans Serif;Arial" w:ascii="標楷體" w:hAnsi="標楷體"/>
          <w:sz w:val="28"/>
        </w:rPr>
        <w:t>&lt;&lt;</w:t>
      </w:r>
      <w:r>
        <w:rPr>
          <w:rFonts w:ascii="標楷體" w:hAnsi="標楷體" w:cs="MS Sans Serif;Arial" w:eastAsia="標楷體"/>
          <w:sz w:val="28"/>
        </w:rPr>
        <w:t>黃帝內經研究大成</w:t>
      </w:r>
      <w:r>
        <w:rPr>
          <w:rFonts w:eastAsia="標楷體" w:cs="MS Sans Serif;Arial" w:ascii="標楷體" w:hAnsi="標楷體"/>
          <w:sz w:val="28"/>
        </w:rPr>
        <w:t>&gt;&gt;</w:t>
      </w:r>
      <w:r>
        <w:rPr>
          <w:rFonts w:eastAsia="標楷體" w:ascii="標楷體" w:hAnsi="標楷體"/>
          <w:sz w:val="28"/>
        </w:rPr>
        <w:t>:</w:t>
      </w:r>
      <w:r>
        <w:rPr>
          <w:rFonts w:ascii="標楷體" w:hAnsi="標楷體" w:eastAsia="標楷體"/>
          <w:sz w:val="28"/>
        </w:rPr>
        <w:t>「尻骨向上，共有五行，脊椎為中行，督脈兩傍各一行，又次，外俠兩傍各一行，每行五穴。具體穴位名稱，正中行為：脊中、懸樞、命門、腰俞、長強，共五穴；督脈兩行：大腸俞（雙）、小腸俞（雙）、膀胱俞（雙）、中膂內俞（雙）、白環俞（雙），共十穴； 又次外俠兩傍二行：胃倉（雙）、肓門（雙）、志室（雙）、胞肓（雙）、秩邊（雙），共十穴。第二組在伏兔上，共二十穴。伏兔上左右各兩行，每行五穴。夾中行在任脈兩傍的有中注、四滿、氣穴、大赫、橫骨各二穴； 夾外兩傍的有外陵、大巨、水道、歸來、氣衝各兩穴。第三組在踝上，左右各一行，每行六穴，有太谿、復溜、陰谷、照海、交信、築賓各二，共十二穴。這些治水的常用穴位，在臨床上有很好的治療效果。」</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 xml:space="preserve">不管是水俞五十七處或水俞五十七穴，均是陰氣聚集的地方。可分為三組，如以上所言。 </w:t>
      </w:r>
    </w:p>
    <w:p>
      <w:pPr>
        <w:pStyle w:val="Normal"/>
        <w:overflowPunct w:val="false"/>
        <w:autoSpaceDE w:val="false"/>
        <w:snapToGrid w:val="false"/>
        <w:jc w:val="both"/>
        <w:rPr/>
      </w:pPr>
      <w:r>
        <w:rPr>
          <w:rFonts w:eastAsia="標楷體" w:cs="標楷體" w:ascii="標楷體" w:hAnsi="標楷體"/>
          <w:sz w:val="28"/>
        </w:rPr>
        <w:t xml:space="preserve">    </w:t>
      </w:r>
      <w:r>
        <w:rPr>
          <w:rFonts w:eastAsia="標楷體" w:cs="MS Sans Serif;Arial" w:ascii="標楷體" w:hAnsi="標楷體"/>
          <w:sz w:val="28"/>
        </w:rPr>
        <w:t>&lt;&lt;</w:t>
      </w:r>
      <w:r>
        <w:rPr>
          <w:rFonts w:ascii="標楷體" w:hAnsi="標楷體" w:cs="MS Sans Serif;Arial" w:eastAsia="標楷體"/>
          <w:sz w:val="28"/>
        </w:rPr>
        <w:t>針灸大成</w:t>
      </w:r>
      <w:r>
        <w:rPr>
          <w:rFonts w:ascii="標楷體" w:hAnsi="標楷體" w:eastAsia="標楷體"/>
          <w:sz w:val="28"/>
        </w:rPr>
        <w:t>‧卷二‧</w:t>
      </w:r>
      <w:r>
        <w:rPr>
          <w:rFonts w:ascii="標楷體" w:hAnsi="標楷體" w:cs="MS Sans Serif;Arial" w:eastAsia="標楷體"/>
          <w:sz w:val="28"/>
        </w:rPr>
        <w:t>百症賦</w:t>
      </w:r>
      <w:r>
        <w:rPr>
          <w:rFonts w:eastAsia="標楷體" w:cs="MS Sans Serif;Arial" w:ascii="標楷體" w:hAnsi="標楷體"/>
          <w:sz w:val="28"/>
        </w:rPr>
        <w:t>&gt;&gt;</w:t>
      </w:r>
      <w:r>
        <w:rPr>
          <w:rFonts w:eastAsia="標楷體" w:ascii="標楷體" w:hAnsi="標楷體"/>
          <w:sz w:val="28"/>
        </w:rPr>
        <w:t>:</w:t>
      </w:r>
      <w:r>
        <w:rPr>
          <w:rFonts w:ascii="標楷體" w:hAnsi="標楷體" w:eastAsia="標楷體"/>
          <w:sz w:val="28"/>
        </w:rPr>
        <w:t>「</w:t>
      </w:r>
      <w:r>
        <w:rPr>
          <w:rFonts w:ascii="標楷體" w:hAnsi="標楷體" w:cs="MS Sans Serif;Arial" w:eastAsia="標楷體"/>
          <w:sz w:val="28"/>
        </w:rPr>
        <w:t>原夫面腫虛浮，須仗水溝前頂。</w:t>
      </w:r>
      <w:r>
        <w:rPr>
          <w:rFonts w:ascii="標楷體" w:hAnsi="標楷體" w:eastAsia="標楷體"/>
          <w:sz w:val="28"/>
        </w:rPr>
        <w:t>」</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eastAsia="標楷體" w:cs="MS Sans Serif;Arial" w:ascii="標楷體" w:hAnsi="標楷體"/>
          <w:sz w:val="28"/>
        </w:rPr>
        <w:t>&lt;&lt;</w:t>
      </w:r>
      <w:r>
        <w:rPr>
          <w:rFonts w:ascii="標楷體" w:hAnsi="標楷體" w:cs="MS Sans Serif;Arial" w:eastAsia="標楷體"/>
          <w:sz w:val="28"/>
        </w:rPr>
        <w:t>針灸大成</w:t>
      </w:r>
      <w:r>
        <w:rPr>
          <w:rFonts w:ascii="標楷體" w:hAnsi="標楷體" w:eastAsia="標楷體"/>
          <w:sz w:val="28"/>
        </w:rPr>
        <w:t>‧卷二‧</w:t>
      </w:r>
      <w:r>
        <w:rPr>
          <w:rFonts w:ascii="標楷體" w:hAnsi="標楷體" w:cs="MS Sans Serif;Arial" w:eastAsia="標楷體"/>
          <w:sz w:val="28"/>
        </w:rPr>
        <w:t>百症賦</w:t>
      </w:r>
      <w:r>
        <w:rPr>
          <w:rFonts w:eastAsia="標楷體" w:cs="MS Sans Serif;Arial" w:ascii="標楷體" w:hAnsi="標楷體"/>
          <w:sz w:val="28"/>
        </w:rPr>
        <w:t>&gt;&gt;</w:t>
      </w:r>
      <w:r>
        <w:rPr>
          <w:rFonts w:eastAsia="標楷體" w:ascii="標楷體" w:hAnsi="標楷體"/>
          <w:sz w:val="28"/>
        </w:rPr>
        <w:t>:</w:t>
      </w:r>
      <w:r>
        <w:rPr>
          <w:rFonts w:ascii="標楷體" w:hAnsi="標楷體" w:eastAsia="標楷體"/>
          <w:sz w:val="28"/>
        </w:rPr>
        <w:t>「</w:t>
      </w:r>
      <w:r>
        <w:rPr>
          <w:rFonts w:ascii="標楷體" w:hAnsi="標楷體" w:cs="MS Sans Serif;Arial" w:eastAsia="標楷體"/>
          <w:sz w:val="28"/>
        </w:rPr>
        <w:t>陰陵、水分</w:t>
      </w:r>
      <w:r>
        <w:rPr>
          <w:rFonts w:ascii="標楷體" w:hAnsi="標楷體" w:cs="MS Sans Serif;Arial" w:eastAsia="標楷體"/>
          <w:sz w:val="28"/>
        </w:rPr>
        <w:t>，</w:t>
      </w:r>
      <w:r>
        <w:rPr>
          <w:rFonts w:ascii="標楷體" w:hAnsi="標楷體" w:cs="MS Sans Serif;Arial" w:eastAsia="標楷體"/>
          <w:sz w:val="28"/>
        </w:rPr>
        <w:t>去水腫之臍盈。</w:t>
      </w:r>
      <w:r>
        <w:rPr>
          <w:rFonts w:ascii="標楷體" w:hAnsi="標楷體" w:eastAsia="標楷體"/>
          <w:sz w:val="28"/>
        </w:rPr>
        <w:t>」</w:t>
      </w:r>
      <w:r>
        <w:rPr>
          <w:rFonts w:ascii="標楷體" w:hAnsi="標楷體" w:cs="MS Sans Serif;Arial" w:eastAsia="標楷體"/>
          <w:sz w:val="28"/>
        </w:rPr>
        <w:t xml:space="preserve">  </w:t>
      </w:r>
    </w:p>
    <w:p>
      <w:pPr>
        <w:pStyle w:val="Normal"/>
        <w:snapToGrid w:val="false"/>
        <w:jc w:val="both"/>
        <w:rPr/>
      </w:pPr>
      <w:r>
        <w:rPr>
          <w:rFonts w:eastAsia="標楷體" w:cs="標楷體" w:ascii="標楷體" w:hAnsi="標楷體"/>
          <w:sz w:val="28"/>
        </w:rPr>
        <w:t xml:space="preserve">    </w:t>
      </w:r>
      <w:r>
        <w:rPr>
          <w:rFonts w:eastAsia="標楷體" w:cs="MS Sans Serif;Arial" w:ascii="標楷體" w:hAnsi="標楷體"/>
          <w:sz w:val="28"/>
        </w:rPr>
        <w:t>&lt;&lt;</w:t>
      </w:r>
      <w:r>
        <w:rPr>
          <w:rFonts w:ascii="標楷體" w:hAnsi="標楷體" w:cs="MS Sans Serif;Arial" w:eastAsia="標楷體"/>
          <w:sz w:val="28"/>
        </w:rPr>
        <w:t>針灸大成</w:t>
      </w:r>
      <w:r>
        <w:rPr>
          <w:rFonts w:ascii="標楷體" w:hAnsi="標楷體" w:eastAsia="標楷體"/>
          <w:sz w:val="28"/>
        </w:rPr>
        <w:t>‧卷二‧</w:t>
      </w:r>
      <w:r>
        <w:rPr>
          <w:rFonts w:ascii="標楷體" w:hAnsi="標楷體" w:cs="MS Sans Serif;Arial" w:eastAsia="標楷體"/>
          <w:sz w:val="28"/>
        </w:rPr>
        <w:t>弘席賦</w:t>
      </w:r>
      <w:r>
        <w:rPr>
          <w:rFonts w:eastAsia="標楷體" w:cs="MS Sans Serif;Arial" w:ascii="標楷體" w:hAnsi="標楷體"/>
          <w:sz w:val="28"/>
        </w:rPr>
        <w:t>&gt;&gt;</w:t>
      </w:r>
      <w:r>
        <w:rPr>
          <w:rFonts w:eastAsia="標楷體" w:ascii="標楷體" w:hAnsi="標楷體"/>
          <w:sz w:val="28"/>
        </w:rPr>
        <w:t>:</w:t>
      </w:r>
      <w:r>
        <w:rPr>
          <w:rFonts w:ascii="標楷體" w:hAnsi="標楷體" w:eastAsia="標楷體"/>
          <w:sz w:val="28"/>
        </w:rPr>
        <w:t>「</w:t>
      </w:r>
      <w:r>
        <w:rPr>
          <w:rFonts w:ascii="標楷體" w:hAnsi="標楷體" w:cs="MS Sans Serif;Arial" w:eastAsia="標楷體"/>
          <w:sz w:val="28"/>
        </w:rPr>
        <w:t>水腫水分兼氣海</w:t>
      </w:r>
      <w:r>
        <w:rPr>
          <w:rFonts w:ascii="標楷體" w:hAnsi="標楷體" w:eastAsia="標楷體"/>
          <w:sz w:val="28"/>
        </w:rPr>
        <w:t>。」</w:t>
      </w:r>
    </w:p>
    <w:p>
      <w:pPr>
        <w:pStyle w:val="Normal"/>
        <w:snapToGrid w:val="false"/>
        <w:jc w:val="both"/>
        <w:rPr/>
      </w:pPr>
      <w:r>
        <w:rPr>
          <w:rFonts w:eastAsia="標楷體" w:cs="標楷體" w:ascii="標楷體" w:hAnsi="標楷體"/>
          <w:sz w:val="28"/>
        </w:rPr>
        <w:t xml:space="preserve">    </w:t>
      </w:r>
      <w:r>
        <w:rPr>
          <w:rFonts w:eastAsia="標楷體" w:cs="MS Sans Serif;Arial" w:ascii="標楷體" w:hAnsi="標楷體"/>
          <w:sz w:val="28"/>
        </w:rPr>
        <w:t>&lt;&lt;</w:t>
      </w:r>
      <w:r>
        <w:rPr>
          <w:rFonts w:ascii="標楷體" w:hAnsi="標楷體" w:cs="MS Sans Serif;Arial" w:eastAsia="標楷體"/>
          <w:sz w:val="28"/>
        </w:rPr>
        <w:t>針灸大成</w:t>
      </w:r>
      <w:r>
        <w:rPr>
          <w:rFonts w:ascii="標楷體" w:hAnsi="標楷體" w:eastAsia="標楷體"/>
          <w:sz w:val="28"/>
        </w:rPr>
        <w:t>‧卷二‧</w:t>
      </w:r>
      <w:r>
        <w:rPr>
          <w:rFonts w:ascii="標楷體" w:hAnsi="標楷體" w:cs="MS Sans Serif;Arial" w:eastAsia="標楷體"/>
          <w:sz w:val="28"/>
        </w:rPr>
        <w:t>靈光賦</w:t>
      </w:r>
      <w:r>
        <w:rPr>
          <w:rFonts w:eastAsia="標楷體" w:cs="MS Sans Serif;Arial" w:ascii="標楷體" w:hAnsi="標楷體"/>
          <w:sz w:val="28"/>
        </w:rPr>
        <w:t>&gt;&gt;</w:t>
      </w:r>
      <w:r>
        <w:rPr>
          <w:rFonts w:eastAsia="標楷體" w:ascii="標楷體" w:hAnsi="標楷體"/>
          <w:sz w:val="28"/>
        </w:rPr>
        <w:t>:</w:t>
      </w:r>
      <w:r>
        <w:rPr>
          <w:rFonts w:ascii="標楷體" w:hAnsi="標楷體" w:eastAsia="標楷體"/>
          <w:sz w:val="28"/>
        </w:rPr>
        <w:t>「</w:t>
      </w:r>
      <w:r>
        <w:rPr>
          <w:rFonts w:ascii="標楷體" w:hAnsi="標楷體" w:cs="MS Sans Serif;Arial" w:eastAsia="標楷體"/>
          <w:sz w:val="28"/>
        </w:rPr>
        <w:t>水腫水分灸即安。</w:t>
      </w:r>
      <w:r>
        <w:rPr>
          <w:rFonts w:ascii="標楷體" w:hAnsi="標楷體" w:eastAsia="標楷體"/>
          <w:sz w:val="28"/>
        </w:rPr>
        <w:t xml:space="preserve">」                                 </w:t>
      </w:r>
    </w:p>
    <w:p>
      <w:pPr>
        <w:pStyle w:val="Normal"/>
        <w:snapToGrid w:val="false"/>
        <w:jc w:val="both"/>
        <w:rPr/>
      </w:pPr>
      <w:r>
        <w:rPr>
          <w:rFonts w:eastAsia="標楷體" w:cs="標楷體" w:ascii="標楷體" w:hAnsi="標楷體"/>
          <w:sz w:val="28"/>
        </w:rPr>
        <w:t xml:space="preserve">    </w:t>
      </w:r>
      <w:r>
        <w:rPr>
          <w:rFonts w:eastAsia="標楷體" w:cs="MS Sans Serif;Arial" w:ascii="標楷體" w:hAnsi="標楷體"/>
          <w:sz w:val="28"/>
        </w:rPr>
        <w:t>&lt;&lt;</w:t>
      </w:r>
      <w:r>
        <w:rPr>
          <w:rFonts w:ascii="標楷體" w:hAnsi="標楷體" w:cs="MS Sans Serif;Arial" w:eastAsia="標楷體"/>
          <w:sz w:val="28"/>
        </w:rPr>
        <w:t>針灸大成</w:t>
      </w:r>
      <w:r>
        <w:rPr>
          <w:rFonts w:ascii="標楷體" w:hAnsi="標楷體" w:eastAsia="標楷體"/>
          <w:sz w:val="28"/>
        </w:rPr>
        <w:t>‧卷三‧雜病穴法歌</w:t>
      </w:r>
      <w:r>
        <w:rPr>
          <w:rFonts w:eastAsia="標楷體" w:cs="MS Sans Serif;Arial" w:ascii="標楷體" w:hAnsi="標楷體"/>
          <w:sz w:val="28"/>
        </w:rPr>
        <w:t>&gt;&gt;</w:t>
      </w:r>
      <w:r>
        <w:rPr>
          <w:rFonts w:eastAsia="標楷體" w:ascii="標楷體" w:hAnsi="標楷體"/>
          <w:sz w:val="28"/>
        </w:rPr>
        <w:t>:</w:t>
      </w:r>
      <w:r>
        <w:rPr>
          <w:rFonts w:ascii="標楷體" w:hAnsi="標楷體" w:eastAsia="標楷體"/>
          <w:sz w:val="28"/>
        </w:rPr>
        <w:t>「水腫水分與復溜。」</w:t>
      </w:r>
    </w:p>
    <w:p>
      <w:pPr>
        <w:pStyle w:val="Normal"/>
        <w:snapToGrid w:val="false"/>
        <w:jc w:val="both"/>
        <w:rPr/>
      </w:pPr>
      <w:r>
        <w:rPr>
          <w:rFonts w:eastAsia="標楷體" w:cs="標楷體" w:ascii="標楷體" w:hAnsi="標楷體"/>
          <w:sz w:val="28"/>
        </w:rPr>
        <w:t xml:space="preserve">    </w:t>
      </w:r>
      <w:r>
        <w:rPr>
          <w:rFonts w:eastAsia="標楷體" w:cs="MS Sans Serif;Arial" w:ascii="標楷體" w:hAnsi="標楷體"/>
          <w:sz w:val="28"/>
        </w:rPr>
        <w:t>&lt;&lt;</w:t>
      </w:r>
      <w:r>
        <w:rPr>
          <w:rFonts w:ascii="標楷體" w:hAnsi="標楷體" w:cs="MS Sans Serif;Arial" w:eastAsia="標楷體"/>
          <w:sz w:val="28"/>
        </w:rPr>
        <w:t>針灸大成</w:t>
      </w:r>
      <w:r>
        <w:rPr>
          <w:rFonts w:ascii="標楷體" w:hAnsi="標楷體" w:eastAsia="標楷體"/>
          <w:sz w:val="28"/>
        </w:rPr>
        <w:t>‧卷七‧治病要穴</w:t>
      </w:r>
      <w:r>
        <w:rPr>
          <w:rFonts w:eastAsia="標楷體" w:cs="MS Sans Serif;Arial" w:ascii="標楷體" w:hAnsi="標楷體"/>
          <w:sz w:val="28"/>
        </w:rPr>
        <w:t>&gt;&gt;</w:t>
      </w:r>
      <w:r>
        <w:rPr>
          <w:rFonts w:eastAsia="標楷體" w:ascii="標楷體" w:hAnsi="標楷體"/>
          <w:sz w:val="28"/>
        </w:rPr>
        <w:t>:</w:t>
      </w:r>
      <w:r>
        <w:rPr>
          <w:rFonts w:ascii="標楷體" w:hAnsi="標楷體" w:eastAsia="標楷體"/>
          <w:sz w:val="28"/>
        </w:rPr>
        <w:t>「</w:t>
      </w:r>
      <w:r>
        <w:rPr>
          <w:rFonts w:ascii="標楷體" w:hAnsi="標楷體" w:cs="MS Sans Serif;Arial" w:eastAsia="標楷體"/>
          <w:sz w:val="28"/>
        </w:rPr>
        <w:t>氣海</w:t>
      </w:r>
      <w:r>
        <w:rPr>
          <w:rFonts w:ascii="標楷體" w:hAnsi="標楷體" w:cs="MS Sans Serif;Arial" w:eastAsia="標楷體"/>
          <w:sz w:val="28"/>
        </w:rPr>
        <w:t>…</w:t>
      </w:r>
      <w:r>
        <w:rPr>
          <w:rFonts w:ascii="標楷體" w:hAnsi="標楷體" w:cs="MS Sans Serif;Arial" w:eastAsia="標楷體"/>
          <w:sz w:val="28"/>
        </w:rPr>
        <w:t>主一切氣疾</w:t>
      </w:r>
      <w:r>
        <w:rPr>
          <w:rFonts w:eastAsia="標楷體" w:cs="MS Sans Serif;Arial" w:ascii="標楷體" w:hAnsi="標楷體"/>
          <w:sz w:val="28"/>
        </w:rPr>
        <w:t xml:space="preserve">, </w:t>
      </w:r>
      <w:r>
        <w:rPr>
          <w:rFonts w:ascii="標楷體" w:hAnsi="標楷體" w:cs="MS Sans Serif;Arial" w:eastAsia="標楷體"/>
          <w:sz w:val="28"/>
        </w:rPr>
        <w:t>陰症痼冷</w:t>
      </w:r>
      <w:r>
        <w:rPr>
          <w:rFonts w:ascii="標楷體" w:hAnsi="標楷體" w:cs="MS Sans Serif;Arial" w:eastAsia="標楷體"/>
          <w:sz w:val="28"/>
        </w:rPr>
        <w:t>，</w:t>
      </w:r>
      <w:r>
        <w:rPr>
          <w:rFonts w:ascii="標楷體" w:hAnsi="標楷體" w:cs="MS Sans Serif;Arial" w:eastAsia="標楷體"/>
          <w:sz w:val="28"/>
        </w:rPr>
        <w:t>及風寒暑濕水腫</w:t>
      </w:r>
      <w:r>
        <w:rPr>
          <w:rFonts w:ascii="標楷體" w:hAnsi="標楷體" w:cs="MS Sans Serif;Arial" w:eastAsia="標楷體"/>
          <w:sz w:val="28"/>
        </w:rPr>
        <w:t>。</w:t>
      </w:r>
      <w:r>
        <w:rPr>
          <w:rFonts w:ascii="標楷體" w:hAnsi="標楷體" w:eastAsia="標楷體"/>
          <w:sz w:val="28"/>
        </w:rPr>
        <w:t>」</w:t>
      </w:r>
    </w:p>
    <w:p>
      <w:pPr>
        <w:pStyle w:val="Normal"/>
        <w:snapToGrid w:val="false"/>
        <w:jc w:val="both"/>
        <w:rPr/>
      </w:pPr>
      <w:r>
        <w:rPr>
          <w:rFonts w:eastAsia="標楷體" w:cs="標楷體" w:ascii="標楷體" w:hAnsi="標楷體"/>
          <w:sz w:val="28"/>
        </w:rPr>
        <w:t xml:space="preserve">   </w:t>
      </w:r>
      <w:r>
        <w:rPr>
          <w:rFonts w:ascii="標楷體" w:hAnsi="標楷體" w:eastAsia="標楷體"/>
          <w:sz w:val="28"/>
        </w:rPr>
        <w:t>「</w:t>
      </w:r>
      <w:r>
        <w:rPr>
          <w:rFonts w:ascii="標楷體" w:hAnsi="標楷體" w:cs="MS Sans Serif;Arial" w:eastAsia="標楷體"/>
          <w:sz w:val="28"/>
        </w:rPr>
        <w:t>足三里：主中風中濕</w:t>
      </w:r>
      <w:r>
        <w:rPr>
          <w:rFonts w:ascii="標楷體" w:hAnsi="標楷體" w:cs="MS Sans Serif;Arial" w:eastAsia="標楷體"/>
          <w:sz w:val="28"/>
        </w:rPr>
        <w:t>，</w:t>
      </w:r>
      <w:r>
        <w:rPr>
          <w:rFonts w:ascii="標楷體" w:hAnsi="標楷體" w:cs="MS Sans Serif;Arial" w:eastAsia="標楷體"/>
          <w:sz w:val="28"/>
        </w:rPr>
        <w:t>諸虛耳聾</w:t>
      </w:r>
      <w:r>
        <w:rPr>
          <w:rFonts w:ascii="標楷體" w:hAnsi="標楷體" w:cs="MS Sans Serif;Arial" w:eastAsia="標楷體"/>
          <w:sz w:val="28"/>
        </w:rPr>
        <w:t>，</w:t>
      </w:r>
      <w:r>
        <w:rPr>
          <w:rFonts w:ascii="標楷體" w:hAnsi="標楷體" w:cs="MS Sans Serif;Arial" w:eastAsia="標楷體"/>
          <w:sz w:val="28"/>
        </w:rPr>
        <w:t>上牙疼</w:t>
      </w:r>
      <w:r>
        <w:rPr>
          <w:rFonts w:ascii="標楷體" w:hAnsi="標楷體" w:cs="MS Sans Serif;Arial" w:eastAsia="標楷體"/>
          <w:sz w:val="28"/>
        </w:rPr>
        <w:t>，</w:t>
      </w:r>
      <w:r>
        <w:rPr>
          <w:rFonts w:ascii="標楷體" w:hAnsi="標楷體" w:cs="MS Sans Serif;Arial" w:eastAsia="標楷體"/>
          <w:sz w:val="28"/>
        </w:rPr>
        <w:t>痺風</w:t>
      </w:r>
      <w:r>
        <w:rPr>
          <w:rFonts w:ascii="標楷體" w:hAnsi="標楷體" w:cs="MS Sans Serif;Arial" w:eastAsia="標楷體"/>
          <w:sz w:val="28"/>
        </w:rPr>
        <w:t>，</w:t>
      </w:r>
      <w:r>
        <w:rPr>
          <w:rFonts w:ascii="標楷體" w:hAnsi="標楷體" w:cs="MS Sans Serif;Arial" w:eastAsia="標楷體"/>
          <w:sz w:val="28"/>
        </w:rPr>
        <w:t>水腫</w:t>
      </w:r>
      <w:r>
        <w:rPr>
          <w:rFonts w:ascii="標楷體" w:hAnsi="標楷體" w:cs="MS Sans Serif;Arial" w:eastAsia="標楷體"/>
          <w:sz w:val="28"/>
        </w:rPr>
        <w:t>，</w:t>
      </w:r>
      <w:r>
        <w:rPr>
          <w:rFonts w:ascii="標楷體" w:hAnsi="標楷體" w:cs="MS Sans Serif;Arial" w:eastAsia="標楷體"/>
          <w:sz w:val="28"/>
        </w:rPr>
        <w:t>心腹脹</w:t>
      </w:r>
      <w:r>
        <w:rPr>
          <w:rFonts w:ascii="標楷體" w:hAnsi="標楷體" w:eastAsia="標楷體"/>
          <w:sz w:val="28"/>
        </w:rPr>
        <w:t>。」</w:t>
      </w:r>
    </w:p>
    <w:p>
      <w:pPr>
        <w:pStyle w:val="Normal"/>
        <w:overflowPunct w:val="false"/>
        <w:autoSpaceDE w:val="false"/>
        <w:snapToGrid w:val="false"/>
        <w:jc w:val="both"/>
        <w:rPr/>
      </w:pPr>
      <w:r>
        <w:rPr>
          <w:rFonts w:eastAsia="標楷體" w:cs="標楷體" w:ascii="標楷體" w:hAnsi="標楷體"/>
          <w:sz w:val="28"/>
        </w:rPr>
        <w:t xml:space="preserve">    </w:t>
      </w:r>
      <w:r>
        <w:rPr>
          <w:rFonts w:eastAsia="標楷體" w:cs="MS Sans Serif;Arial" w:ascii="標楷體" w:hAnsi="標楷體"/>
          <w:sz w:val="28"/>
        </w:rPr>
        <w:t>&lt;&lt;</w:t>
      </w:r>
      <w:r>
        <w:rPr>
          <w:rFonts w:ascii="標楷體" w:hAnsi="標楷體" w:cs="MS Sans Serif;Arial" w:eastAsia="標楷體"/>
          <w:sz w:val="28"/>
        </w:rPr>
        <w:t>針灸大成</w:t>
      </w:r>
      <w:r>
        <w:rPr>
          <w:rFonts w:ascii="標楷體" w:hAnsi="標楷體" w:eastAsia="標楷體"/>
          <w:sz w:val="28"/>
        </w:rPr>
        <w:t>‧</w:t>
      </w:r>
      <w:r>
        <w:rPr>
          <w:rFonts w:ascii="標楷體" w:hAnsi="標楷體" w:cs="MS Sans Serif;Arial" w:eastAsia="標楷體"/>
          <w:sz w:val="28"/>
        </w:rPr>
        <w:t>卷八</w:t>
      </w:r>
      <w:r>
        <w:rPr>
          <w:rFonts w:ascii="標楷體" w:hAnsi="標楷體" w:eastAsia="標楷體"/>
          <w:sz w:val="28"/>
        </w:rPr>
        <w:t>‧</w:t>
      </w:r>
      <w:r>
        <w:rPr>
          <w:rFonts w:ascii="標楷體" w:hAnsi="標楷體" w:cs="MS Sans Serif;Arial" w:eastAsia="標楷體"/>
          <w:sz w:val="28"/>
        </w:rPr>
        <w:t>穴法圖</w:t>
      </w:r>
      <w:r>
        <w:rPr>
          <w:rFonts w:ascii="標楷體" w:hAnsi="標楷體" w:cs="MS Sans Serif;Arial" w:eastAsia="標楷體"/>
          <w:sz w:val="28"/>
        </w:rPr>
        <w:t xml:space="preserve"> </w:t>
      </w:r>
      <w:r>
        <w:rPr>
          <w:rFonts w:eastAsia="標楷體" w:cs="MS Sans Serif;Arial" w:ascii="標楷體" w:hAnsi="標楷體"/>
          <w:sz w:val="28"/>
        </w:rPr>
        <w:t>&gt;&gt;</w:t>
      </w:r>
      <w:r>
        <w:rPr>
          <w:rFonts w:ascii="標楷體" w:hAnsi="標楷體" w:cs="MS Sans Serif;Arial" w:eastAsia="標楷體"/>
          <w:sz w:val="28"/>
        </w:rPr>
        <w:t>「水溝：在鼻柱下溝中央，針四分，灸不及針</w:t>
      </w:r>
      <w:r>
        <w:rPr>
          <w:rFonts w:ascii="標楷體" w:hAnsi="標楷體" w:cs="MS Sans Serif;Arial" w:eastAsia="標楷體"/>
          <w:sz w:val="28"/>
        </w:rPr>
        <w:t>，</w:t>
      </w:r>
      <w:r>
        <w:rPr>
          <w:rFonts w:ascii="標楷體" w:hAnsi="標楷體" w:cs="MS Sans Serif;Arial" w:eastAsia="標楷體"/>
          <w:sz w:val="28"/>
        </w:rPr>
        <w:t>水腫，惟針此穴，灸日三壯，止二百壯。」</w:t>
      </w:r>
    </w:p>
    <w:p>
      <w:pPr>
        <w:pStyle w:val="Normal"/>
        <w:overflowPunct w:val="false"/>
        <w:autoSpaceDE w:val="false"/>
        <w:snapToGrid w:val="false"/>
        <w:jc w:val="both"/>
        <w:rPr/>
      </w:pPr>
      <w:r>
        <w:rPr>
          <w:rFonts w:eastAsia="標楷體" w:cs="標楷體" w:ascii="標楷體" w:hAnsi="標楷體"/>
          <w:sz w:val="28"/>
        </w:rPr>
        <w:t xml:space="preserve">    </w:t>
      </w:r>
      <w:r>
        <w:rPr>
          <w:rFonts w:eastAsia="標楷體" w:cs="MS Sans Serif;Arial" w:ascii="標楷體" w:hAnsi="標楷體"/>
          <w:sz w:val="28"/>
        </w:rPr>
        <w:t>&lt;&lt;</w:t>
      </w:r>
      <w:r>
        <w:rPr>
          <w:rFonts w:ascii="標楷體" w:hAnsi="標楷體" w:cs="MS Sans Serif;Arial" w:eastAsia="標楷體"/>
          <w:sz w:val="28"/>
        </w:rPr>
        <w:t>針灸大成</w:t>
      </w:r>
      <w:r>
        <w:rPr>
          <w:rFonts w:ascii="標楷體" w:hAnsi="標楷體" w:eastAsia="標楷體"/>
          <w:sz w:val="28"/>
        </w:rPr>
        <w:t>‧</w:t>
      </w:r>
      <w:r>
        <w:rPr>
          <w:rFonts w:ascii="標楷體" w:hAnsi="標楷體" w:cs="MS Sans Serif;Arial" w:eastAsia="標楷體"/>
          <w:sz w:val="28"/>
        </w:rPr>
        <w:t>卷八</w:t>
      </w:r>
      <w:r>
        <w:rPr>
          <w:rFonts w:ascii="標楷體" w:hAnsi="標楷體" w:eastAsia="標楷體"/>
          <w:sz w:val="28"/>
        </w:rPr>
        <w:t>‧腫脹門</w:t>
      </w:r>
      <w:r>
        <w:rPr>
          <w:rFonts w:ascii="標楷體" w:hAnsi="標楷體" w:cs="MS Sans Serif;Arial" w:eastAsia="標楷體"/>
          <w:sz w:val="28"/>
        </w:rPr>
        <w:t xml:space="preserve"> </w:t>
      </w:r>
      <w:r>
        <w:rPr>
          <w:rFonts w:eastAsia="標楷體" w:cs="MS Sans Serif;Arial" w:ascii="標楷體" w:hAnsi="標楷體"/>
          <w:sz w:val="28"/>
        </w:rPr>
        <w:t>&gt;&gt;</w:t>
      </w:r>
      <w:r>
        <w:rPr>
          <w:rFonts w:ascii="標楷體" w:hAnsi="標楷體" w:cs="MS Sans Serif;Arial" w:eastAsia="標楷體"/>
          <w:sz w:val="28"/>
        </w:rPr>
        <w:t>「渾身浮腫：曲池、合谷、三里、內庭、行間、三陰交。」</w:t>
      </w:r>
    </w:p>
    <w:p>
      <w:pPr>
        <w:pStyle w:val="Normal"/>
        <w:overflowPunct w:val="false"/>
        <w:autoSpaceDE w:val="false"/>
        <w:snapToGrid w:val="false"/>
        <w:jc w:val="both"/>
        <w:rPr>
          <w:rFonts w:ascii="標楷體" w:hAnsi="標楷體" w:eastAsia="標楷體" w:cs="MS Sans Serif;Arial"/>
          <w:sz w:val="28"/>
        </w:rPr>
      </w:pPr>
      <w:r>
        <w:rPr>
          <w:rFonts w:ascii="標楷體" w:hAnsi="標楷體" w:cs="MS Sans Serif;Arial" w:eastAsia="標楷體"/>
          <w:sz w:val="28"/>
        </w:rPr>
        <w:t>「水腫：列缺、腕骨、合谷、間使、陽陵、陰谷、三里、曲泉、解谿、陷谷、復溜、公孫、厲兌、沖陽、陰陵、胃俞、水分、神闕。」</w:t>
      </w:r>
    </w:p>
    <w:p>
      <w:pPr>
        <w:pStyle w:val="Normal"/>
        <w:overflowPunct w:val="false"/>
        <w:autoSpaceDE w:val="false"/>
        <w:snapToGrid w:val="false"/>
        <w:jc w:val="both"/>
        <w:rPr>
          <w:rFonts w:ascii="標楷體" w:hAnsi="標楷體" w:eastAsia="標楷體" w:cs="MS Sans Serif;Arial"/>
          <w:sz w:val="28"/>
        </w:rPr>
      </w:pPr>
      <w:r>
        <w:rPr>
          <w:rFonts w:ascii="標楷體" w:hAnsi="標楷體" w:cs="MS Sans Serif;Arial" w:eastAsia="標楷體"/>
          <w:sz w:val="28"/>
        </w:rPr>
        <w:t>「四肢浮腫：曲池、通里、合谷、中渚、液門、三里、三陰交。」</w:t>
      </w:r>
    </w:p>
    <w:p>
      <w:pPr>
        <w:pStyle w:val="Normal"/>
        <w:overflowPunct w:val="false"/>
        <w:autoSpaceDE w:val="false"/>
        <w:snapToGrid w:val="false"/>
        <w:jc w:val="both"/>
        <w:rPr>
          <w:rFonts w:ascii="標楷體" w:hAnsi="標楷體" w:eastAsia="標楷體" w:cs="MS Sans Serif;Arial"/>
          <w:sz w:val="28"/>
        </w:rPr>
      </w:pPr>
      <w:r>
        <w:rPr>
          <w:rFonts w:ascii="標楷體" w:hAnsi="標楷體" w:cs="MS Sans Serif;Arial" w:eastAsia="標楷體"/>
          <w:sz w:val="28"/>
        </w:rPr>
        <w:t>「風浮身腫：解谿」「腫水氣脹滿：復溜、神闕。」</w:t>
      </w:r>
    </w:p>
    <w:p>
      <w:pPr>
        <w:pStyle w:val="Normal"/>
        <w:snapToGrid w:val="false"/>
        <w:ind w:firstLine="540"/>
        <w:jc w:val="both"/>
        <w:rPr/>
      </w:pPr>
      <w:r>
        <w:rPr>
          <w:rFonts w:eastAsia="標楷體" w:cs="MS Sans Serif;Arial" w:ascii="標楷體" w:hAnsi="標楷體"/>
          <w:sz w:val="28"/>
        </w:rPr>
        <w:t>&lt;&lt;</w:t>
      </w:r>
      <w:r>
        <w:rPr>
          <w:rFonts w:ascii="標楷體" w:hAnsi="標楷體" w:cs="MS Sans Serif;Arial" w:eastAsia="標楷體"/>
          <w:sz w:val="28"/>
        </w:rPr>
        <w:t>針灸大成</w:t>
      </w:r>
      <w:r>
        <w:rPr>
          <w:rFonts w:ascii="標楷體" w:hAnsi="標楷體" w:eastAsia="標楷體"/>
          <w:sz w:val="28"/>
        </w:rPr>
        <w:t>‧卷八‧雜病門</w:t>
      </w:r>
      <w:r>
        <w:rPr>
          <w:rFonts w:eastAsia="標楷體" w:cs="MS Sans Serif;Arial" w:ascii="標楷體" w:hAnsi="標楷體"/>
          <w:sz w:val="28"/>
        </w:rPr>
        <w:t>&gt;&gt;</w:t>
      </w:r>
      <w:r>
        <w:rPr>
          <w:rFonts w:ascii="標楷體" w:hAnsi="標楷體" w:cs="MS Sans Serif;Arial" w:eastAsia="標楷體"/>
          <w:sz w:val="28"/>
        </w:rPr>
        <w:t>「水腫：皮水，正水，石水，風水，因氣濕食。針胃倉、合谷、石門</w:t>
      </w:r>
      <w:r>
        <w:rPr>
          <w:rFonts w:ascii="標楷體" w:hAnsi="標楷體" w:cs="MS Sans Serif;Arial" w:eastAsia="標楷體"/>
          <w:sz w:val="28"/>
        </w:rPr>
        <w:t>、</w:t>
      </w:r>
      <w:r>
        <w:rPr>
          <w:rFonts w:ascii="標楷體" w:hAnsi="標楷體" w:cs="MS Sans Serif;Arial" w:eastAsia="標楷體"/>
          <w:sz w:val="28"/>
        </w:rPr>
        <w:t>水溝、三里、復溜、曲泉、四滿。</w:t>
      </w:r>
      <w:r>
        <w:br w:type="page"/>
      </w:r>
    </w:p>
    <w:p>
      <w:pPr>
        <w:pStyle w:val="Normal"/>
        <w:snapToGrid w:val="false"/>
        <w:jc w:val="center"/>
        <w:rPr>
          <w:rFonts w:ascii="標楷體" w:hAnsi="標楷體" w:eastAsia="標楷體"/>
          <w:b/>
          <w:b/>
          <w:sz w:val="32"/>
        </w:rPr>
      </w:pPr>
      <w:r>
        <w:rPr>
          <w:rFonts w:ascii="標楷體" w:hAnsi="標楷體" w:eastAsia="標楷體"/>
          <w:b/>
          <w:sz w:val="32"/>
        </w:rPr>
        <w:t>第二章  水腫形成的原因與機理</w:t>
      </w:r>
    </w:p>
    <w:p>
      <w:pPr>
        <w:pStyle w:val="Normal"/>
        <w:snapToGrid w:val="false"/>
        <w:jc w:val="both"/>
        <w:rPr>
          <w:rFonts w:ascii="標楷體" w:hAnsi="標楷體" w:eastAsia="標楷體"/>
          <w:b/>
          <w:b/>
          <w:sz w:val="28"/>
        </w:rPr>
      </w:pPr>
      <w:r>
        <w:rPr>
          <w:rFonts w:eastAsia="標楷體" w:ascii="標楷體" w:hAnsi="標楷體"/>
          <w:b/>
          <w:sz w:val="28"/>
        </w:rPr>
      </w:r>
    </w:p>
    <w:p>
      <w:pPr>
        <w:pStyle w:val="Normal"/>
        <w:snapToGrid w:val="false"/>
        <w:jc w:val="both"/>
        <w:rPr>
          <w:rFonts w:ascii="標楷體" w:hAnsi="標楷體" w:eastAsia="標楷體"/>
          <w:sz w:val="28"/>
        </w:rPr>
      </w:pPr>
      <w:r>
        <w:rPr>
          <w:rFonts w:eastAsia="標楷體" w:cs="標楷體" w:ascii="標楷體" w:hAnsi="標楷體"/>
          <w:b/>
          <w:sz w:val="28"/>
        </w:rPr>
        <w:t xml:space="preserve">    </w:t>
      </w:r>
      <w:r>
        <w:rPr>
          <w:rFonts w:ascii="標楷體" w:hAnsi="標楷體" w:eastAsia="標楷體"/>
          <w:b/>
          <w:sz w:val="28"/>
        </w:rPr>
        <w:t>第一節  水腫與外邪的關係</w:t>
      </w:r>
    </w:p>
    <w:p>
      <w:pPr>
        <w:pStyle w:val="Normal"/>
        <w:snapToGrid w:val="false"/>
        <w:jc w:val="both"/>
        <w:rPr/>
      </w:pPr>
      <w:r>
        <w:rPr>
          <w:rFonts w:eastAsia="標楷體" w:cs="標楷體" w:ascii="標楷體" w:hAnsi="標楷體"/>
          <w:sz w:val="28"/>
        </w:rPr>
        <w:t xml:space="preserve">    </w:t>
      </w:r>
      <w:r>
        <w:rPr>
          <w:rFonts w:eastAsia="標楷體" w:ascii="標楷體" w:hAnsi="標楷體"/>
          <w:sz w:val="28"/>
        </w:rPr>
        <w:t>&lt;&lt;</w:t>
      </w:r>
      <w:r>
        <w:rPr>
          <w:rFonts w:ascii="標楷體" w:hAnsi="標楷體" w:eastAsia="標楷體"/>
          <w:sz w:val="28"/>
        </w:rPr>
        <w:t>素問‧經脈別論</w:t>
      </w:r>
      <w:r>
        <w:rPr>
          <w:rFonts w:eastAsia="標楷體" w:ascii="標楷體" w:hAnsi="標楷體"/>
          <w:sz w:val="28"/>
        </w:rPr>
        <w:t>&gt;&gt;</w:t>
      </w:r>
      <w:r>
        <w:rPr>
          <w:rFonts w:ascii="標楷體" w:hAnsi="標楷體" w:eastAsia="標楷體"/>
          <w:sz w:val="28"/>
        </w:rPr>
        <w:t>曰</w:t>
      </w:r>
      <w:r>
        <w:rPr>
          <w:rFonts w:eastAsia="標楷體" w:ascii="標楷體" w:hAnsi="標楷體"/>
          <w:sz w:val="28"/>
        </w:rPr>
        <w:t>:</w:t>
      </w:r>
      <w:r>
        <w:rPr>
          <w:rFonts w:ascii="標楷體" w:hAnsi="標楷體" w:eastAsia="標楷體"/>
          <w:sz w:val="28"/>
        </w:rPr>
        <w:t>「飲入于胃，游溢精氣，上輸于脾。脾氣散精，上歸于肺，通調水道，下輸膀胱。水精四布，五經並行，合于四時五臟陰陽，揆度以為常也。」由本條文可知，水液進入胃之後，需透過脾氣運化的作用散佈全身，肺為水之上源，通過宣發肅降的作用將津液輸佈於全身，</w:t>
      </w:r>
      <w:r>
        <w:rPr>
          <w:rFonts w:ascii="標楷體" w:hAnsi="標楷體" w:cs="華康細圓體" w:eastAsia="標楷體"/>
          <w:sz w:val="28"/>
        </w:rPr>
        <w:t>膀胱氣化功能的正常與否，亦決定了水液輸佈功能的正常與否。水液的代謝，最主要是由腎中精氣的蒸騰氣化作用所主宰。</w:t>
      </w:r>
      <w:r>
        <w:rPr>
          <w:rFonts w:ascii="標楷體" w:hAnsi="標楷體" w:eastAsia="標楷體"/>
          <w:sz w:val="28"/>
        </w:rPr>
        <w:t>三焦氣化的功能在津液的輸佈方面，亦有其重要的一面。總之，水液輸佈的失常和肺、脾、腎、三焦、膀胱等臟腑功能的失調有著極重要的關聯。由上觀之，腎病症候群所產生的水腫，最主要的關鍵是臟腑的虛衰，由於臟腑機能減退，造成氣化不利，因虛致實的結果，造成水液的代謝失常，終而形成水腫。另一方面，外邪的入侵，也是水腫形成的重要因子之一，所謂「邪之所湊，其氣必虛。」在本虛的條件之下，容易引致外邪的入侵，尤其是外感六淫。此外邪太盛也是形成水病的重要原因。</w:t>
      </w:r>
    </w:p>
    <w:p>
      <w:pPr>
        <w:pStyle w:val="Normal"/>
        <w:numPr>
          <w:ilvl w:val="0"/>
          <w:numId w:val="0"/>
        </w:numPr>
        <w:snapToGrid w:val="false"/>
        <w:jc w:val="both"/>
        <w:outlineLvl w:val="0"/>
        <w:rPr/>
      </w:pPr>
      <w:r>
        <w:rPr>
          <w:rFonts w:eastAsia="標楷體" w:cs="標楷體" w:ascii="標楷體" w:hAnsi="標楷體"/>
          <w:sz w:val="28"/>
        </w:rPr>
        <w:t xml:space="preserve">    </w:t>
      </w:r>
      <w:r>
        <w:rPr>
          <w:rFonts w:ascii="標楷體" w:hAnsi="標楷體" w:eastAsia="標楷體"/>
          <w:sz w:val="28"/>
        </w:rPr>
        <w:t>一、</w:t>
      </w:r>
      <w:r>
        <w:rPr>
          <w:rFonts w:ascii="標楷體" w:hAnsi="標楷體" w:eastAsia="標楷體"/>
          <w:b/>
          <w:sz w:val="28"/>
        </w:rPr>
        <w:t>肺與水腫的關係</w:t>
      </w:r>
    </w:p>
    <w:p>
      <w:pPr>
        <w:pStyle w:val="Normal"/>
        <w:overflowPunct w:val="false"/>
        <w:autoSpaceDE w:val="false"/>
        <w:snapToGrid w:val="false"/>
        <w:jc w:val="both"/>
        <w:rPr/>
      </w:pPr>
      <w:r>
        <w:rPr>
          <w:rFonts w:eastAsia="標楷體" w:cs="標楷體" w:ascii="標楷體" w:hAnsi="標楷體"/>
          <w:sz w:val="28"/>
        </w:rPr>
        <w:t xml:space="preserve">    </w:t>
      </w:r>
      <w:r>
        <w:rPr>
          <w:rFonts w:eastAsia="標楷體" w:ascii="標楷體" w:hAnsi="標楷體"/>
          <w:sz w:val="28"/>
        </w:rPr>
        <w:t>&lt;&lt;</w:t>
      </w:r>
      <w:r>
        <w:rPr>
          <w:rFonts w:ascii="標楷體" w:hAnsi="標楷體" w:eastAsia="標楷體"/>
          <w:sz w:val="28"/>
        </w:rPr>
        <w:t>類經‧藏象類‧十二</w:t>
      </w:r>
      <w:r>
        <w:rPr>
          <w:rFonts w:eastAsia="標楷體" w:ascii="標楷體" w:hAnsi="標楷體"/>
          <w:sz w:val="28"/>
        </w:rPr>
        <w:t>&gt;&gt;</w:t>
      </w:r>
      <w:r>
        <w:rPr>
          <w:rFonts w:ascii="標楷體" w:hAnsi="標楷體" w:eastAsia="標楷體"/>
          <w:sz w:val="28"/>
        </w:rPr>
        <w:t>「</w:t>
      </w:r>
      <w:r>
        <w:rPr>
          <w:rFonts w:ascii="標楷體" w:hAnsi="標楷體" w:cs="MS Sans Serif;Arial" w:eastAsia="標楷體"/>
          <w:sz w:val="28"/>
        </w:rPr>
        <w:t>水因氣生，氣為水母，凡肺氣所及，則水精布焉，然水名雖一，而清濁有分，清者為精，精如雨露，濁者為水，水如江河，故精歸五藏，水歸膀胱，而五經並行矣。」可見肺對於通調水道的重要性，如果肺氣功能失於宣降，或因本身虛衰，或因外邪侵犯，均可以形成水腫。</w:t>
      </w:r>
      <w:r>
        <w:rPr>
          <w:rFonts w:ascii="標楷體" w:hAnsi="標楷體" w:eastAsia="標楷體"/>
          <w:sz w:val="28"/>
        </w:rPr>
        <w:t>明朝醫家秦景明</w:t>
      </w:r>
      <w:r>
        <w:rPr>
          <w:rFonts w:eastAsia="標楷體" w:ascii="標楷體" w:hAnsi="標楷體"/>
          <w:sz w:val="28"/>
        </w:rPr>
        <w:t>&lt;&lt;</w:t>
      </w:r>
      <w:r>
        <w:rPr>
          <w:rFonts w:ascii="標楷體" w:hAnsi="標楷體" w:eastAsia="標楷體"/>
          <w:sz w:val="28"/>
        </w:rPr>
        <w:t>症因脈治</w:t>
      </w:r>
      <w:r>
        <w:rPr>
          <w:rFonts w:eastAsia="標楷體" w:ascii="標楷體" w:hAnsi="標楷體"/>
          <w:sz w:val="28"/>
        </w:rPr>
        <w:t>&gt;&gt;</w:t>
      </w:r>
      <w:r>
        <w:rPr>
          <w:rFonts w:ascii="標楷體" w:hAnsi="標楷體" w:eastAsia="標楷體"/>
          <w:sz w:val="28"/>
        </w:rPr>
        <w:t>云：「風寒身腫之因，表氣素虛，肺氣素熱，表氣虛則外邪易入，肺氣熱則皮毛易開。寒襲於肌表，鬱而不散，則發熱身腫之症作矣。」其對於水腫成因，因於肺氣虛者則稱：「勞役過度，肺氣久虛，清肅之令不行，下降之權失職，衛氣壅遏，營氣不從，則腫症作矣。」可見水腫的形成，除了外感之外，本虛亦佔了重要的地位。</w:t>
      </w:r>
    </w:p>
    <w:p>
      <w:pPr>
        <w:pStyle w:val="Normal"/>
        <w:numPr>
          <w:ilvl w:val="0"/>
          <w:numId w:val="0"/>
        </w:numPr>
        <w:overflowPunct w:val="false"/>
        <w:autoSpaceDE w:val="false"/>
        <w:snapToGrid w:val="false"/>
        <w:jc w:val="both"/>
        <w:outlineLvl w:val="0"/>
        <w:rPr/>
      </w:pPr>
      <w:r>
        <w:rPr>
          <w:rFonts w:eastAsia="標楷體" w:cs="標楷體" w:ascii="標楷體" w:hAnsi="標楷體"/>
          <w:b/>
          <w:sz w:val="28"/>
        </w:rPr>
        <w:t xml:space="preserve">    </w:t>
      </w:r>
      <w:r>
        <w:rPr>
          <w:rFonts w:ascii="標楷體" w:hAnsi="標楷體" w:eastAsia="標楷體"/>
          <w:b/>
          <w:sz w:val="28"/>
        </w:rPr>
        <w:t>二、外感風邪形成水病的成因</w:t>
      </w:r>
      <w:r>
        <w:rPr>
          <w:rFonts w:eastAsia="標楷體" w:ascii="標楷體" w:hAnsi="標楷體"/>
          <w:b/>
          <w:sz w:val="28"/>
        </w:rPr>
        <w:t>---</w:t>
      </w:r>
      <w:r>
        <w:rPr>
          <w:rFonts w:ascii="標楷體" w:hAnsi="標楷體" w:eastAsia="標楷體"/>
          <w:b/>
          <w:sz w:val="28"/>
        </w:rPr>
        <w:t>風、濕、熱、寒</w:t>
      </w:r>
    </w:p>
    <w:p>
      <w:pPr>
        <w:pStyle w:val="Normal"/>
        <w:overflowPunct w:val="false"/>
        <w:autoSpaceDE w:val="false"/>
        <w:snapToGrid w:val="false"/>
        <w:jc w:val="both"/>
        <w:rPr/>
      </w:pPr>
      <w:r>
        <w:rPr>
          <w:rFonts w:eastAsia="標楷體" w:cs="標楷體" w:ascii="標楷體" w:hAnsi="標楷體"/>
          <w:sz w:val="28"/>
        </w:rPr>
        <w:t xml:space="preserve">    </w:t>
      </w:r>
      <w:r>
        <w:rPr>
          <w:rFonts w:eastAsia="標楷體" w:ascii="標楷體" w:hAnsi="標楷體"/>
          <w:sz w:val="28"/>
        </w:rPr>
        <w:t>&lt;&lt;</w:t>
      </w:r>
      <w:r>
        <w:rPr>
          <w:rFonts w:ascii="標楷體" w:hAnsi="標楷體" w:eastAsia="標楷體"/>
          <w:sz w:val="28"/>
        </w:rPr>
        <w:t>金匱要略</w:t>
      </w:r>
      <w:r>
        <w:rPr>
          <w:rFonts w:eastAsia="標楷體" w:ascii="標楷體" w:hAnsi="標楷體"/>
          <w:sz w:val="28"/>
        </w:rPr>
        <w:t>&gt;&gt;</w:t>
      </w:r>
      <w:r>
        <w:rPr>
          <w:rFonts w:ascii="標楷體" w:hAnsi="標楷體" w:eastAsia="標楷體"/>
          <w:sz w:val="28"/>
        </w:rPr>
        <w:t>稱「風水，其脈自浮，外證骨節疼痛，惡風。」認為水腫的形成和「風」有關，吳謙註解本條文時稱：「風水得之內有水氣，外感風邪，風則從上腫，故面浮腫，骨節疼痛惡風，風在經表也。」。王冰云：「從風而水，故曰風水」，亦有類似見解，均認為風邪客於肌表，導致肺失宣降，三焦水道通調失職，終而形成水腫。</w:t>
      </w:r>
    </w:p>
    <w:p>
      <w:pPr>
        <w:pStyle w:val="Normal"/>
        <w:snapToGrid w:val="false"/>
        <w:jc w:val="both"/>
        <w:rPr>
          <w:rFonts w:ascii="標楷體" w:hAnsi="標楷體" w:eastAsia="標楷體" w:cs="MS Sans Serif;Arial"/>
          <w:sz w:val="28"/>
        </w:rPr>
      </w:pPr>
      <w:r>
        <w:rPr>
          <w:rFonts w:eastAsia="標楷體" w:cs="標楷體" w:ascii="標楷體" w:hAnsi="標楷體"/>
          <w:sz w:val="28"/>
        </w:rPr>
        <w:t xml:space="preserve">    </w:t>
      </w:r>
      <w:r>
        <w:rPr>
          <w:rFonts w:ascii="標楷體" w:hAnsi="標楷體" w:eastAsia="標楷體"/>
          <w:sz w:val="28"/>
        </w:rPr>
        <w:t>桂林古本</w:t>
      </w:r>
      <w:r>
        <w:rPr>
          <w:rFonts w:eastAsia="標楷體" w:ascii="標楷體" w:hAnsi="標楷體"/>
          <w:sz w:val="28"/>
        </w:rPr>
        <w:t>&lt;&lt;</w:t>
      </w:r>
      <w:r>
        <w:rPr>
          <w:rFonts w:ascii="標楷體" w:hAnsi="標楷體" w:eastAsia="標楷體"/>
          <w:sz w:val="28"/>
        </w:rPr>
        <w:t>傷寒雜病論</w:t>
      </w:r>
      <w:r>
        <w:rPr>
          <w:rFonts w:eastAsia="標楷體" w:ascii="標楷體" w:hAnsi="標楷體"/>
          <w:sz w:val="28"/>
        </w:rPr>
        <w:t>&gt;&gt;</w:t>
      </w:r>
      <w:r>
        <w:rPr>
          <w:rFonts w:ascii="標楷體" w:hAnsi="標楷體" w:eastAsia="標楷體"/>
          <w:sz w:val="28"/>
        </w:rPr>
        <w:t>「風為百病之長，</w:t>
      </w:r>
      <w:r>
        <w:rPr>
          <w:rFonts w:ascii="標楷體" w:hAnsi="標楷體" w:eastAsia="標楷體"/>
          <w:sz w:val="28"/>
        </w:rPr>
        <w:t>……</w:t>
      </w:r>
      <w:r>
        <w:rPr>
          <w:rFonts w:ascii="標楷體" w:hAnsi="標楷體" w:eastAsia="標楷體"/>
          <w:sz w:val="28"/>
        </w:rPr>
        <w:t>中于項，則下太陽，甚則入腎」「風病，面浮腫，脊痛不能正立，隱曲不利，甚則骨痿，脈沉而弦，此風邪乘腎也，柴胡桂枝湯主之。」「熱病，咽中乾，腰痛，足熱，脈沉而數，此熱邪移腎也，地黃黃柏黃連半夏湯主之。」</w:t>
      </w:r>
    </w:p>
    <w:p>
      <w:pPr>
        <w:pStyle w:val="Normal"/>
        <w:overflowPunct w:val="false"/>
        <w:autoSpaceDE w:val="false"/>
        <w:snapToGrid w:val="false"/>
        <w:jc w:val="both"/>
        <w:rPr/>
      </w:pPr>
      <w:r>
        <w:rPr>
          <w:rFonts w:eastAsia="標楷體" w:cs="標楷體" w:ascii="標楷體" w:hAnsi="標楷體"/>
          <w:sz w:val="28"/>
        </w:rPr>
        <w:t xml:space="preserve">    </w:t>
      </w:r>
      <w:r>
        <w:rPr>
          <w:rFonts w:ascii="標楷體" w:hAnsi="標楷體" w:eastAsia="標楷體"/>
          <w:sz w:val="28"/>
        </w:rPr>
        <w:t>景岳於</w:t>
      </w:r>
      <w:r>
        <w:rPr>
          <w:rFonts w:eastAsia="標楷體" w:ascii="標楷體" w:hAnsi="標楷體"/>
          <w:sz w:val="28"/>
        </w:rPr>
        <w:t>&lt;&lt;</w:t>
      </w:r>
      <w:r>
        <w:rPr>
          <w:rFonts w:ascii="標楷體" w:hAnsi="標楷體" w:eastAsia="標楷體"/>
          <w:sz w:val="28"/>
        </w:rPr>
        <w:t>類經‧疾病類‧三十一</w:t>
      </w:r>
      <w:r>
        <w:rPr>
          <w:rFonts w:eastAsia="標楷體" w:ascii="標楷體" w:hAnsi="標楷體"/>
          <w:sz w:val="28"/>
        </w:rPr>
        <w:t>&gt;&gt;</w:t>
      </w:r>
      <w:r>
        <w:rPr>
          <w:rFonts w:ascii="標楷體" w:hAnsi="標楷體" w:eastAsia="標楷體"/>
          <w:sz w:val="28"/>
        </w:rPr>
        <w:t>中解釋水腫最主要的成因為風</w:t>
      </w:r>
      <w:r>
        <w:rPr>
          <w:rFonts w:eastAsia="標楷體" w:ascii="標楷體" w:hAnsi="標楷體"/>
          <w:sz w:val="28"/>
        </w:rPr>
        <w:t>:</w:t>
      </w:r>
      <w:r>
        <w:rPr>
          <w:rFonts w:ascii="標楷體" w:hAnsi="標楷體" w:eastAsia="標楷體"/>
          <w:sz w:val="28"/>
        </w:rPr>
        <w:t>「</w:t>
      </w:r>
      <w:r>
        <w:rPr>
          <w:rFonts w:ascii="標楷體" w:hAnsi="標楷體" w:cs="MS Sans Serif;Arial" w:eastAsia="標楷體"/>
          <w:sz w:val="28"/>
        </w:rPr>
        <w:t>腎主水，風在腎經，即名風水。」</w:t>
      </w:r>
      <w:r>
        <w:rPr>
          <w:rFonts w:ascii="標楷體" w:hAnsi="標楷體" w:eastAsia="標楷體"/>
          <w:sz w:val="28"/>
        </w:rPr>
        <w:t>吳崑在解釋水腫的成因時亦稱：「腎者水臟，水邪居之，水邪又夾風熱，名曰腎風。」而認為風熱是形成風水的主因。</w:t>
      </w:r>
      <w:r>
        <w:rPr>
          <w:rFonts w:eastAsia="標楷體" w:ascii="標楷體" w:hAnsi="標楷體"/>
          <w:sz w:val="28"/>
        </w:rPr>
        <w:t>&lt;&lt;</w:t>
      </w:r>
      <w:r>
        <w:rPr>
          <w:rFonts w:ascii="標楷體" w:hAnsi="標楷體" w:eastAsia="標楷體"/>
          <w:sz w:val="28"/>
        </w:rPr>
        <w:t>素問‧至真要大論</w:t>
      </w:r>
      <w:r>
        <w:rPr>
          <w:rFonts w:eastAsia="標楷體" w:ascii="標楷體" w:hAnsi="標楷體"/>
          <w:sz w:val="28"/>
        </w:rPr>
        <w:t>&gt;&gt;</w:t>
      </w:r>
      <w:r>
        <w:rPr>
          <w:rFonts w:ascii="標楷體" w:hAnsi="標楷體" w:eastAsia="標楷體"/>
          <w:sz w:val="28"/>
        </w:rPr>
        <w:t>「</w:t>
      </w:r>
      <w:r>
        <w:rPr>
          <w:rFonts w:ascii="標楷體" w:hAnsi="標楷體" w:eastAsia="標楷體"/>
          <w:sz w:val="28"/>
        </w:rPr>
        <w:t>太陰在泉，客勝則足痿下重，便溲不時，濕客下焦，發而濡瀉，及為腫、隱曲之疾。」則更進一步的說明了：環境外風侵犯，造成「濕客下焦」，終而成腫，除了風之外，亦包括了濕。關於此點，景岳於</w:t>
      </w:r>
      <w:r>
        <w:rPr>
          <w:rFonts w:eastAsia="標楷體" w:ascii="標楷體" w:hAnsi="標楷體"/>
          <w:sz w:val="28"/>
        </w:rPr>
        <w:t>&lt;&lt;</w:t>
      </w:r>
      <w:r>
        <w:rPr>
          <w:rFonts w:ascii="標楷體" w:hAnsi="標楷體" w:eastAsia="標楷體"/>
          <w:sz w:val="28"/>
        </w:rPr>
        <w:t>類經‧疾病類‧三十一</w:t>
      </w:r>
      <w:r>
        <w:rPr>
          <w:rFonts w:eastAsia="標楷體" w:ascii="標楷體" w:hAnsi="標楷體"/>
          <w:sz w:val="28"/>
        </w:rPr>
        <w:t>&gt;&gt;</w:t>
      </w:r>
      <w:r>
        <w:rPr>
          <w:rFonts w:ascii="標楷體" w:hAnsi="標楷體" w:eastAsia="標楷體"/>
          <w:sz w:val="28"/>
        </w:rPr>
        <w:t>提出</w:t>
      </w:r>
      <w:r>
        <w:rPr>
          <w:rFonts w:eastAsia="標楷體" w:ascii="標楷體" w:hAnsi="標楷體"/>
          <w:sz w:val="28"/>
        </w:rPr>
        <w:t>:</w:t>
      </w:r>
      <w:r>
        <w:rPr>
          <w:rFonts w:ascii="標楷體" w:hAnsi="標楷體" w:eastAsia="標楷體"/>
          <w:sz w:val="28"/>
        </w:rPr>
        <w:t>「濕氣大來，土之勝也，寒水受邪，腎病生焉。」亦有相類似之看法。</w:t>
      </w:r>
      <w:r>
        <w:rPr>
          <w:rFonts w:eastAsia="標楷體" w:ascii="標楷體" w:hAnsi="標楷體"/>
          <w:sz w:val="28"/>
        </w:rPr>
        <w:t>&lt;&lt;</w:t>
      </w:r>
      <w:r>
        <w:rPr>
          <w:rFonts w:ascii="標楷體" w:hAnsi="標楷體" w:eastAsia="標楷體"/>
          <w:sz w:val="28"/>
        </w:rPr>
        <w:t>症因脈治</w:t>
      </w:r>
      <w:r>
        <w:rPr>
          <w:rFonts w:eastAsia="標楷體" w:ascii="標楷體" w:hAnsi="標楷體"/>
          <w:sz w:val="28"/>
        </w:rPr>
        <w:t>&gt;&gt;</w:t>
      </w:r>
      <w:r>
        <w:rPr>
          <w:rFonts w:ascii="標楷體" w:hAnsi="標楷體" w:eastAsia="標楷體"/>
          <w:sz w:val="28"/>
        </w:rPr>
        <w:t>云：「或濕熱行令，襲人肌表；或先傷於濕，濕氣久流，鬱而成熱，則濕熱腫脹作矣。」亦說明了濕邪形成水腫的機轉。除了以上所稱風、熱、濕相結會造成腎水之外，寒亦為形成水病的重要因子。</w:t>
      </w:r>
    </w:p>
    <w:p>
      <w:pPr>
        <w:pStyle w:val="Normal"/>
        <w:snapToGrid w:val="false"/>
        <w:jc w:val="both"/>
        <w:rPr/>
      </w:pPr>
      <w:r>
        <w:rPr>
          <w:rFonts w:eastAsia="標楷體" w:cs="標楷體" w:ascii="標楷體" w:hAnsi="標楷體"/>
          <w:sz w:val="28"/>
        </w:rPr>
        <w:t xml:space="preserve">    </w:t>
      </w:r>
      <w:r>
        <w:rPr>
          <w:rFonts w:eastAsia="標楷體" w:ascii="標楷體" w:hAnsi="標楷體"/>
          <w:sz w:val="28"/>
        </w:rPr>
        <w:t>&lt;&lt;</w:t>
      </w:r>
      <w:r>
        <w:rPr>
          <w:rFonts w:ascii="標楷體" w:hAnsi="標楷體" w:eastAsia="標楷體"/>
          <w:sz w:val="28"/>
        </w:rPr>
        <w:t>類經</w:t>
      </w:r>
      <w:r>
        <w:rPr>
          <w:rFonts w:eastAsia="標楷體" w:ascii="標楷體" w:hAnsi="標楷體"/>
          <w:sz w:val="28"/>
        </w:rPr>
        <w:t>&gt;&gt;</w:t>
      </w:r>
      <w:r>
        <w:rPr>
          <w:rFonts w:ascii="標楷體" w:hAnsi="標楷體" w:eastAsia="標楷體"/>
          <w:sz w:val="28"/>
        </w:rPr>
        <w:t>解釋</w:t>
      </w:r>
      <w:r>
        <w:rPr>
          <w:rFonts w:eastAsia="標楷體" w:ascii="標楷體" w:hAnsi="標楷體"/>
          <w:sz w:val="28"/>
        </w:rPr>
        <w:t>&lt;&lt;</w:t>
      </w:r>
      <w:r>
        <w:rPr>
          <w:rFonts w:ascii="標楷體" w:hAnsi="標楷體" w:eastAsia="標楷體"/>
          <w:sz w:val="28"/>
        </w:rPr>
        <w:t>素問</w:t>
      </w:r>
      <w:r>
        <w:rPr>
          <w:rFonts w:eastAsia="標楷體" w:ascii="標楷體" w:hAnsi="標楷體"/>
          <w:sz w:val="28"/>
        </w:rPr>
        <w:t>&gt;&gt;</w:t>
      </w:r>
      <w:r>
        <w:rPr>
          <w:rFonts w:ascii="標楷體" w:hAnsi="標楷體" w:eastAsia="標楷體"/>
          <w:sz w:val="28"/>
        </w:rPr>
        <w:t>「</w:t>
      </w:r>
      <w:r>
        <w:rPr>
          <w:rFonts w:ascii="標楷體" w:hAnsi="標楷體" w:eastAsia="標楷體"/>
          <w:sz w:val="28"/>
        </w:rPr>
        <w:t>三陰竭謂之水」，於</w:t>
      </w:r>
      <w:r>
        <w:rPr>
          <w:rFonts w:eastAsia="標楷體" w:ascii="標楷體" w:hAnsi="標楷體"/>
          <w:sz w:val="28"/>
        </w:rPr>
        <w:t>&lt;&lt;</w:t>
      </w:r>
      <w:r>
        <w:rPr>
          <w:rFonts w:ascii="標楷體" w:hAnsi="標楷體" w:eastAsia="標楷體"/>
          <w:sz w:val="28"/>
        </w:rPr>
        <w:t>素問‧疾病類‧六</w:t>
      </w:r>
      <w:r>
        <w:rPr>
          <w:rFonts w:eastAsia="標楷體" w:ascii="標楷體" w:hAnsi="標楷體"/>
          <w:sz w:val="28"/>
        </w:rPr>
        <w:t>&gt;&gt;</w:t>
      </w:r>
      <w:r>
        <w:rPr>
          <w:rFonts w:ascii="標楷體" w:hAnsi="標楷體" w:eastAsia="標楷體"/>
          <w:sz w:val="28"/>
        </w:rPr>
        <w:t>言：「</w:t>
      </w:r>
      <w:r>
        <w:rPr>
          <w:rFonts w:ascii="標楷體" w:hAnsi="標楷體" w:cs="MS Sans Serif;Arial" w:eastAsia="標楷體"/>
          <w:sz w:val="28"/>
        </w:rPr>
        <w:t>脾肺二經也，脾土所以制水，土病則水反侮之，肺金所以生水，氣病則水為不行，故寒結三陰，則氣化為水。」</w:t>
      </w:r>
      <w:r>
        <w:rPr>
          <w:rFonts w:ascii="標楷體" w:hAnsi="標楷體" w:eastAsia="標楷體"/>
          <w:sz w:val="28"/>
        </w:rPr>
        <w:t>本段條文除了說明了寒邪導致水邪的致病機理之外，亦說明了其和脾肺二臟的虛損有關，關於本虛的說明，</w:t>
      </w:r>
      <w:r>
        <w:rPr>
          <w:rFonts w:eastAsia="標楷體" w:ascii="標楷體" w:hAnsi="標楷體"/>
          <w:sz w:val="28"/>
        </w:rPr>
        <w:t>&lt;&lt;</w:t>
      </w:r>
      <w:r>
        <w:rPr>
          <w:rFonts w:ascii="標楷體" w:hAnsi="標楷體" w:eastAsia="標楷體"/>
          <w:sz w:val="28"/>
        </w:rPr>
        <w:t>素問‧水熱穴論</w:t>
      </w:r>
      <w:r>
        <w:rPr>
          <w:rFonts w:eastAsia="標楷體" w:ascii="標楷體" w:hAnsi="標楷體"/>
          <w:sz w:val="28"/>
        </w:rPr>
        <w:t>&gt;&gt;</w:t>
      </w:r>
      <w:r>
        <w:rPr>
          <w:rFonts w:ascii="標楷體" w:hAnsi="標楷體" w:eastAsia="標楷體"/>
          <w:sz w:val="28"/>
        </w:rPr>
        <w:t>稱</w:t>
      </w:r>
      <w:r>
        <w:rPr>
          <w:rFonts w:eastAsia="標楷體" w:ascii="標楷體" w:hAnsi="標楷體"/>
          <w:sz w:val="28"/>
        </w:rPr>
        <w:t>:</w:t>
      </w:r>
      <w:r>
        <w:rPr>
          <w:rFonts w:ascii="標楷體" w:hAnsi="標楷體" w:eastAsia="標楷體"/>
          <w:sz w:val="28"/>
        </w:rPr>
        <w:t>「勇而勞甚則腎汗出，腎汗出逢於風，內不得入於臟腑，外不得越於皮膚，客於玄府，行於皮裏，傳為胕腫，本之於腎，名曰風水</w:t>
      </w:r>
      <w:r>
        <w:rPr>
          <w:rFonts w:ascii="標楷體" w:hAnsi="標楷體" w:eastAsia="標楷體"/>
          <w:sz w:val="28"/>
        </w:rPr>
        <w:t>。」</w:t>
      </w:r>
      <w:r>
        <w:rPr>
          <w:rFonts w:ascii="標楷體" w:hAnsi="標楷體" w:eastAsia="標楷體"/>
          <w:sz w:val="28"/>
        </w:rPr>
        <w:t>說明了腎亦為水病的成因。</w:t>
      </w:r>
    </w:p>
    <w:p>
      <w:pPr>
        <w:pStyle w:val="Normal"/>
        <w:snapToGrid w:val="false"/>
        <w:ind w:firstLine="555"/>
        <w:jc w:val="both"/>
        <w:rPr/>
      </w:pPr>
      <w:r>
        <w:rPr>
          <w:rFonts w:ascii="標楷體" w:hAnsi="標楷體" w:eastAsia="標楷體"/>
          <w:sz w:val="28"/>
        </w:rPr>
        <w:t>明朝醫家秦景明分析了</w:t>
      </w:r>
      <w:r>
        <w:rPr>
          <w:rFonts w:eastAsia="標楷體" w:ascii="標楷體" w:hAnsi="標楷體"/>
          <w:sz w:val="28"/>
        </w:rPr>
        <w:t>&lt;&lt;</w:t>
      </w:r>
      <w:r>
        <w:rPr>
          <w:rFonts w:ascii="標楷體" w:hAnsi="標楷體" w:eastAsia="標楷體"/>
          <w:sz w:val="28"/>
        </w:rPr>
        <w:t>內經</w:t>
      </w:r>
      <w:r>
        <w:rPr>
          <w:rFonts w:eastAsia="標楷體" w:ascii="標楷體" w:hAnsi="標楷體"/>
          <w:sz w:val="28"/>
        </w:rPr>
        <w:t>&gt;&gt;</w:t>
      </w:r>
      <w:r>
        <w:rPr>
          <w:rFonts w:ascii="標楷體" w:hAnsi="標楷體" w:eastAsia="標楷體"/>
          <w:sz w:val="28"/>
        </w:rPr>
        <w:t>和</w:t>
      </w:r>
      <w:r>
        <w:rPr>
          <w:rFonts w:eastAsia="標楷體" w:ascii="標楷體" w:hAnsi="標楷體"/>
          <w:sz w:val="28"/>
        </w:rPr>
        <w:t>&lt;&lt;</w:t>
      </w:r>
      <w:r>
        <w:rPr>
          <w:rFonts w:ascii="標楷體" w:hAnsi="標楷體" w:eastAsia="標楷體"/>
          <w:sz w:val="28"/>
        </w:rPr>
        <w:t>金匱要略</w:t>
      </w:r>
      <w:r>
        <w:rPr>
          <w:rFonts w:eastAsia="標楷體" w:ascii="標楷體" w:hAnsi="標楷體"/>
          <w:sz w:val="28"/>
        </w:rPr>
        <w:t>&gt;&gt;</w:t>
      </w:r>
      <w:r>
        <w:rPr>
          <w:rFonts w:ascii="標楷體" w:hAnsi="標楷體" w:eastAsia="標楷體"/>
          <w:sz w:val="28"/>
        </w:rPr>
        <w:t>所論述風水形成病機的差異</w:t>
      </w:r>
      <w:r>
        <w:rPr>
          <w:rFonts w:ascii="標楷體" w:hAnsi="標楷體" w:eastAsia="標楷體"/>
          <w:sz w:val="28"/>
        </w:rPr>
        <w:t>，</w:t>
      </w:r>
      <w:r>
        <w:rPr>
          <w:rFonts w:eastAsia="標楷體" w:ascii="標楷體" w:hAnsi="標楷體"/>
          <w:sz w:val="28"/>
        </w:rPr>
        <w:t>&lt;&lt;</w:t>
      </w:r>
      <w:r>
        <w:rPr>
          <w:rFonts w:ascii="標楷體" w:hAnsi="標楷體" w:eastAsia="標楷體"/>
          <w:sz w:val="28"/>
        </w:rPr>
        <w:t>症因脈治</w:t>
      </w:r>
      <w:r>
        <w:rPr>
          <w:rFonts w:eastAsia="標楷體" w:ascii="標楷體" w:hAnsi="標楷體"/>
          <w:sz w:val="28"/>
        </w:rPr>
        <w:t>&gt;&gt;</w:t>
      </w:r>
      <w:r>
        <w:rPr>
          <w:rFonts w:ascii="標楷體" w:hAnsi="標楷體" w:eastAsia="標楷體"/>
          <w:sz w:val="28"/>
        </w:rPr>
        <w:t>中曰：「金匱之風水，乃是太陽之外感，實非內經肝腎之內傷。」可見風水的成因，有和外感風邪相關的一面。</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由以上所論述風和水腫的關係可知，經由感冒所造成的腎病水腫，即稱為腎風，如</w:t>
      </w:r>
      <w:r>
        <w:rPr>
          <w:rFonts w:eastAsia="標楷體" w:ascii="標楷體" w:hAnsi="標楷體"/>
          <w:sz w:val="28"/>
        </w:rPr>
        <w:t>&lt;&lt;</w:t>
      </w:r>
      <w:r>
        <w:rPr>
          <w:rFonts w:ascii="標楷體" w:hAnsi="標楷體" w:eastAsia="標楷體"/>
          <w:sz w:val="28"/>
        </w:rPr>
        <w:t>素問‧評熱病論</w:t>
      </w:r>
      <w:r>
        <w:rPr>
          <w:rFonts w:eastAsia="標楷體" w:ascii="標楷體" w:hAnsi="標楷體"/>
          <w:sz w:val="28"/>
        </w:rPr>
        <w:t>&gt;&gt;</w:t>
      </w:r>
      <w:r>
        <w:rPr>
          <w:rFonts w:ascii="標楷體" w:hAnsi="標楷體" w:eastAsia="標楷體"/>
          <w:sz w:val="28"/>
        </w:rPr>
        <w:t>「有病腎風者，面胕痝然壅。」頗類似現代醫學之急性腎絲球腎炎病症發作之表現，對於和上呼吸道感染有關之腎病症候群，如微小病變型、部分膜增生型以及</w:t>
      </w:r>
      <w:r>
        <w:rPr>
          <w:rFonts w:eastAsia="標楷體" w:cs="Arial" w:ascii="Arial" w:hAnsi="Arial"/>
          <w:sz w:val="28"/>
        </w:rPr>
        <w:t>IgA</w:t>
      </w:r>
      <w:r>
        <w:rPr>
          <w:rFonts w:ascii="標楷體" w:hAnsi="標楷體" w:eastAsia="標楷體"/>
          <w:sz w:val="28"/>
        </w:rPr>
        <w:t>（免疫球蛋白甲）腎病變亦有相當的關聯。</w:t>
      </w:r>
    </w:p>
    <w:p>
      <w:pPr>
        <w:pStyle w:val="Normal"/>
        <w:snapToGrid w:val="false"/>
        <w:jc w:val="both"/>
        <w:rPr>
          <w:rFonts w:ascii="華康細圓體" w:hAnsi="華康細圓體" w:eastAsia="華康細圓體"/>
          <w:sz w:val="28"/>
        </w:rPr>
      </w:pPr>
      <w:r>
        <w:rPr>
          <w:rFonts w:eastAsia="華康細圓體" w:ascii="華康細圓體" w:hAnsi="華康細圓體"/>
          <w:sz w:val="28"/>
        </w:rPr>
      </w:r>
    </w:p>
    <w:p>
      <w:pPr>
        <w:pStyle w:val="Normal"/>
        <w:snapToGrid w:val="false"/>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第二節  水腫與虛勞的關係</w:t>
      </w:r>
    </w:p>
    <w:p>
      <w:pPr>
        <w:pStyle w:val="Normal"/>
        <w:snapToGrid w:val="false"/>
        <w:jc w:val="both"/>
        <w:rPr/>
      </w:pPr>
      <w:r>
        <w:rPr>
          <w:rFonts w:eastAsia="標楷體" w:cs="標楷體" w:ascii="標楷體" w:hAnsi="標楷體"/>
          <w:sz w:val="28"/>
        </w:rPr>
        <w:t xml:space="preserve">    </w:t>
      </w:r>
      <w:r>
        <w:rPr>
          <w:rFonts w:ascii="標楷體" w:hAnsi="標楷體" w:eastAsia="標楷體"/>
          <w:sz w:val="28"/>
        </w:rPr>
        <w:t>腎病症候群急性期過後，由於病邪會耗損正氣，阻滯氣機，灼傷陰液，故而造成氣陰兩虛。氣虛常導致風寒或寒濕外客，陰虛則易招致溼熱，故而形成病情的反復，氣陰兩虛久了之後，由於氣虛無法推動血行，陰虛造成津液虧損，因此容易併發血瘀，而更加惡化本病的預後。</w:t>
      </w:r>
      <w:r>
        <w:rPr>
          <w:rFonts w:eastAsia="標楷體" w:ascii="標楷體" w:hAnsi="標楷體"/>
          <w:sz w:val="28"/>
        </w:rPr>
        <w:t>&lt;&lt;</w:t>
      </w:r>
      <w:r>
        <w:rPr>
          <w:rFonts w:ascii="標楷體" w:hAnsi="標楷體" w:eastAsia="標楷體"/>
          <w:sz w:val="28"/>
        </w:rPr>
        <w:t>素問．調經論</w:t>
      </w:r>
      <w:r>
        <w:rPr>
          <w:rFonts w:eastAsia="標楷體" w:ascii="標楷體" w:hAnsi="標楷體"/>
          <w:sz w:val="28"/>
        </w:rPr>
        <w:t>&gt;&gt;</w:t>
      </w:r>
      <w:r>
        <w:rPr>
          <w:rFonts w:ascii="標楷體" w:hAnsi="標楷體" w:eastAsia="標楷體"/>
          <w:sz w:val="28"/>
        </w:rPr>
        <w:t>亦云：「百病之生，皆有虛實。」。</w:t>
      </w:r>
    </w:p>
    <w:p>
      <w:pPr>
        <w:pStyle w:val="Normal"/>
        <w:overflowPunct w:val="false"/>
        <w:autoSpaceDE w:val="false"/>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不論是寒濕或溼熱及血瘀均會反過來造成本病氣陰兩虛的情形加重，故而腎病症候群平常的調理是重要的，對於虛勞病機的了解亦是有必要的。</w:t>
      </w:r>
    </w:p>
    <w:p>
      <w:pPr>
        <w:pStyle w:val="Normal"/>
        <w:overflowPunct w:val="false"/>
        <w:autoSpaceDE w:val="false"/>
        <w:snapToGrid w:val="false"/>
        <w:jc w:val="both"/>
        <w:rPr>
          <w:rFonts w:ascii="標楷體" w:hAnsi="標楷體" w:eastAsia="標楷體" w:cs="MS Sans Serif;Arial"/>
          <w:sz w:val="28"/>
        </w:rPr>
      </w:pPr>
      <w:r>
        <w:rPr>
          <w:rFonts w:eastAsia="標楷體" w:cs="標楷體" w:ascii="標楷體" w:hAnsi="標楷體"/>
          <w:sz w:val="28"/>
        </w:rPr>
        <w:t xml:space="preserve">    </w:t>
      </w:r>
      <w:r>
        <w:rPr>
          <w:rFonts w:ascii="標楷體" w:hAnsi="標楷體" w:eastAsia="標楷體"/>
          <w:sz w:val="28"/>
        </w:rPr>
        <w:t>虛勞是元氣或精血不足造成臟腑虧損的一種慢性疾病，如</w:t>
      </w:r>
      <w:r>
        <w:rPr>
          <w:rFonts w:eastAsia="標楷體" w:ascii="標楷體" w:hAnsi="標楷體"/>
          <w:sz w:val="28"/>
        </w:rPr>
        <w:t>&lt;&lt;</w:t>
      </w:r>
      <w:r>
        <w:rPr>
          <w:rFonts w:ascii="標楷體" w:hAnsi="標楷體" w:eastAsia="標楷體"/>
          <w:sz w:val="28"/>
        </w:rPr>
        <w:t>素問‧</w:t>
      </w:r>
      <w:r>
        <w:rPr>
          <w:rFonts w:ascii="標楷體" w:hAnsi="標楷體" w:cs="MS Sans Serif;Arial" w:eastAsia="標楷體"/>
          <w:sz w:val="28"/>
        </w:rPr>
        <w:t>通評虛實論</w:t>
      </w:r>
      <w:r>
        <w:rPr>
          <w:rFonts w:eastAsia="標楷體" w:cs="MS Sans Serif;Arial" w:ascii="標楷體" w:hAnsi="標楷體"/>
          <w:sz w:val="28"/>
        </w:rPr>
        <w:t>&gt;&gt;</w:t>
      </w:r>
      <w:r>
        <w:rPr>
          <w:rFonts w:ascii="標楷體" w:hAnsi="標楷體" w:cs="MS Sans Serif;Arial" w:eastAsia="標楷體"/>
          <w:sz w:val="28"/>
        </w:rPr>
        <w:t>所言「精氣奪則虛」，其所造成的情形則如</w:t>
      </w:r>
      <w:r>
        <w:rPr>
          <w:rFonts w:eastAsia="標楷體" w:ascii="標楷體" w:hAnsi="標楷體"/>
          <w:sz w:val="28"/>
        </w:rPr>
        <w:t>&lt;&lt;</w:t>
      </w:r>
      <w:r>
        <w:rPr>
          <w:rFonts w:ascii="標楷體" w:hAnsi="標楷體" w:eastAsia="標楷體"/>
          <w:sz w:val="28"/>
        </w:rPr>
        <w:t>素問‧</w:t>
      </w:r>
      <w:r>
        <w:rPr>
          <w:rFonts w:ascii="標楷體" w:hAnsi="標楷體" w:cs="MS Sans Serif;Arial" w:eastAsia="標楷體"/>
          <w:sz w:val="28"/>
        </w:rPr>
        <w:t>宣明五氣論</w:t>
      </w:r>
      <w:r>
        <w:rPr>
          <w:rFonts w:eastAsia="標楷體" w:cs="MS Sans Serif;Arial" w:ascii="標楷體" w:hAnsi="標楷體"/>
          <w:sz w:val="28"/>
        </w:rPr>
        <w:t>&gt;&gt;</w:t>
      </w:r>
      <w:r>
        <w:rPr>
          <w:rFonts w:ascii="標楷體" w:hAnsi="標楷體" w:cs="MS Sans Serif;Arial" w:eastAsia="標楷體"/>
          <w:sz w:val="28"/>
        </w:rPr>
        <w:t>所言：「五勞所傷：久視傷血，久臥傷氣，久坐傷肉，久立傷骨，久行傷筋，是謂五勞所傷。」</w:t>
      </w:r>
      <w:r>
        <w:rPr>
          <w:rFonts w:eastAsia="標楷體" w:cs="MS Sans Serif;Arial" w:ascii="標楷體" w:hAnsi="標楷體"/>
          <w:sz w:val="28"/>
        </w:rPr>
        <w:t>&lt;&lt;</w:t>
      </w:r>
      <w:r>
        <w:rPr>
          <w:rFonts w:ascii="標楷體" w:hAnsi="標楷體" w:cs="MS Sans Serif;Arial" w:eastAsia="標楷體"/>
          <w:sz w:val="28"/>
        </w:rPr>
        <w:t>難經</w:t>
      </w:r>
      <w:r>
        <w:rPr>
          <w:rFonts w:eastAsia="標楷體" w:cs="MS Sans Serif;Arial" w:ascii="標楷體" w:hAnsi="標楷體"/>
          <w:sz w:val="28"/>
        </w:rPr>
        <w:t>&gt;&gt;</w:t>
      </w:r>
      <w:r>
        <w:rPr>
          <w:rFonts w:ascii="標楷體" w:hAnsi="標楷體" w:cs="MS Sans Serif;Arial" w:eastAsia="標楷體"/>
          <w:sz w:val="28"/>
        </w:rPr>
        <w:t>亦云</w:t>
      </w:r>
      <w:r>
        <w:rPr>
          <w:rFonts w:eastAsia="標楷體" w:cs="MS Sans Serif;Arial" w:ascii="標楷體" w:hAnsi="標楷體"/>
          <w:sz w:val="28"/>
        </w:rPr>
        <w:t>:</w:t>
      </w:r>
      <w:r>
        <w:rPr>
          <w:rFonts w:ascii="標楷體" w:hAnsi="標楷體" w:cs="MS Sans Serif;Arial" w:eastAsia="標楷體"/>
          <w:sz w:val="28"/>
        </w:rPr>
        <w:t>「一損損於皮毛，皮聚而毛落；二損損於血脈，血脈虛少，不能榮於五臟六腑；三損損於肌肉，肌肉消瘦，飲食不能為肌膚；四損損於筋，筋緩不能自收持；五損損於骨，骨痿不能起於床。反此者，至脈之病也。從上下者，骨痿不能起於床者死，從下上者，皮聚而毛落者死」說明了虛損之症，自上而下，自下而上演變的兩種趨勢，給後世治虛損從上中下分治的理論指導方向。</w:t>
      </w:r>
      <w:r>
        <w:rPr>
          <w:rFonts w:eastAsia="標楷體" w:cs="MS Sans Serif;Arial" w:ascii="標楷體" w:hAnsi="標楷體"/>
          <w:sz w:val="28"/>
        </w:rPr>
        <w:t>&lt;&lt;</w:t>
      </w:r>
      <w:r>
        <w:rPr>
          <w:rFonts w:ascii="標楷體" w:hAnsi="標楷體" w:cs="MS Sans Serif;Arial" w:eastAsia="標楷體"/>
          <w:sz w:val="28"/>
        </w:rPr>
        <w:t>諸病源候論</w:t>
      </w:r>
      <w:r>
        <w:rPr>
          <w:rFonts w:eastAsia="標楷體" w:cs="MS Sans Serif;Arial" w:ascii="標楷體" w:hAnsi="標楷體"/>
          <w:sz w:val="28"/>
        </w:rPr>
        <w:t>&gt;&gt;</w:t>
      </w:r>
      <w:r>
        <w:rPr>
          <w:rFonts w:ascii="標楷體" w:hAnsi="標楷體" w:cs="MS Sans Serif;Arial" w:eastAsia="標楷體"/>
          <w:sz w:val="28"/>
        </w:rPr>
        <w:t>所載「虛勞諸候」，多至七十五候，</w:t>
      </w:r>
      <w:r>
        <w:rPr>
          <w:rFonts w:eastAsia="標楷體" w:cs="MS Sans Serif;Arial" w:ascii="標楷體" w:hAnsi="標楷體"/>
          <w:sz w:val="28"/>
        </w:rPr>
        <w:t>&lt;&lt;</w:t>
      </w:r>
      <w:r>
        <w:rPr>
          <w:rFonts w:ascii="標楷體" w:hAnsi="標楷體" w:cs="MS Sans Serif;Arial" w:eastAsia="標楷體"/>
          <w:sz w:val="28"/>
        </w:rPr>
        <w:t>千金方</w:t>
      </w:r>
      <w:r>
        <w:rPr>
          <w:rFonts w:eastAsia="標楷體" w:cs="MS Sans Serif;Arial" w:ascii="標楷體" w:hAnsi="標楷體"/>
          <w:sz w:val="28"/>
        </w:rPr>
        <w:t>&gt;&gt;</w:t>
      </w:r>
      <w:r>
        <w:rPr>
          <w:rFonts w:ascii="標楷體" w:hAnsi="標楷體" w:cs="MS Sans Serif;Arial" w:eastAsia="標楷體"/>
          <w:sz w:val="28"/>
        </w:rPr>
        <w:t>則運用血肉有情之品補虛勞。</w:t>
      </w:r>
    </w:p>
    <w:p>
      <w:pPr>
        <w:pStyle w:val="Normal"/>
        <w:snapToGrid w:val="false"/>
        <w:jc w:val="both"/>
        <w:rPr>
          <w:rFonts w:ascii="標楷體" w:hAnsi="標楷體" w:eastAsia="標楷體" w:cs="MS Sans Serif;Arial"/>
          <w:sz w:val="28"/>
        </w:rPr>
      </w:pPr>
      <w:r>
        <w:rPr>
          <w:rFonts w:eastAsia="標楷體" w:cs="標楷體" w:ascii="標楷體" w:hAnsi="標楷體"/>
          <w:sz w:val="28"/>
        </w:rPr>
        <w:t xml:space="preserve">    </w:t>
      </w:r>
      <w:r>
        <w:rPr>
          <w:rFonts w:ascii="標楷體" w:hAnsi="標楷體" w:cs="MS Sans Serif;Arial" w:eastAsia="標楷體"/>
          <w:sz w:val="28"/>
        </w:rPr>
        <w:t>虛勞病名則首見於</w:t>
      </w:r>
      <w:r>
        <w:rPr>
          <w:rFonts w:eastAsia="標楷體" w:cs="MS Sans Serif;Arial" w:ascii="標楷體" w:hAnsi="標楷體"/>
          <w:sz w:val="28"/>
        </w:rPr>
        <w:t>&lt;&lt;</w:t>
      </w:r>
      <w:r>
        <w:rPr>
          <w:rFonts w:ascii="標楷體" w:hAnsi="標楷體" w:cs="MS Sans Serif;Arial" w:eastAsia="標楷體"/>
          <w:sz w:val="28"/>
        </w:rPr>
        <w:t>金匱要略</w:t>
      </w:r>
      <w:r>
        <w:rPr>
          <w:rFonts w:eastAsia="標楷體" w:cs="MS Sans Serif;Arial" w:ascii="標楷體" w:hAnsi="標楷體"/>
          <w:sz w:val="28"/>
        </w:rPr>
        <w:t>&gt;&gt;</w:t>
      </w:r>
      <w:r>
        <w:rPr>
          <w:rFonts w:ascii="標楷體" w:hAnsi="標楷體" w:cs="MS Sans Serif;Arial" w:eastAsia="標楷體"/>
          <w:sz w:val="28"/>
        </w:rPr>
        <w:t>之虛勞篇，對其病因、病機、症狀、治療提出了說明，為後世對虛勞的觀念立下基礎。</w:t>
      </w:r>
      <w:r>
        <w:rPr>
          <w:rFonts w:ascii="標楷體" w:hAnsi="標楷體" w:eastAsia="標楷體"/>
          <w:sz w:val="28"/>
        </w:rPr>
        <w:t>宋代錢乙</w:t>
      </w:r>
      <w:r>
        <w:rPr>
          <w:rFonts w:eastAsia="標楷體" w:ascii="標楷體" w:hAnsi="標楷體"/>
          <w:sz w:val="28"/>
        </w:rPr>
        <w:t>&lt;&lt;</w:t>
      </w:r>
      <w:r>
        <w:rPr>
          <w:rFonts w:ascii="標楷體" w:hAnsi="標楷體" w:eastAsia="標楷體"/>
          <w:sz w:val="28"/>
        </w:rPr>
        <w:t>小兒藥證直訣</w:t>
      </w:r>
      <w:r>
        <w:rPr>
          <w:rFonts w:eastAsia="標楷體" w:ascii="標楷體" w:hAnsi="標楷體"/>
          <w:sz w:val="28"/>
        </w:rPr>
        <w:t>&gt;&gt;</w:t>
      </w:r>
      <w:r>
        <w:rPr>
          <w:rFonts w:ascii="標楷體" w:hAnsi="標楷體" w:eastAsia="標楷體"/>
          <w:sz w:val="28"/>
        </w:rPr>
        <w:t>論小兒虛羸：「脾胃不和，不能食乳致肌瘦，亦因大病或吐瀉後，脾胃尚弱，不能傳化谷氣也。有冷者，時時下利，唇口青白；有熱者，溫壯身熱，肌肉微黃，此冷熱虛贏也。」則說明了脾胃損傷，因而致虛的情形。</w:t>
      </w:r>
    </w:p>
    <w:p>
      <w:pPr>
        <w:pStyle w:val="Normal"/>
        <w:snapToGrid w:val="false"/>
        <w:jc w:val="both"/>
        <w:rPr/>
      </w:pPr>
      <w:r>
        <w:rPr>
          <w:rFonts w:eastAsia="標楷體" w:cs="標楷體" w:ascii="標楷體" w:hAnsi="標楷體"/>
          <w:b/>
          <w:sz w:val="28"/>
        </w:rPr>
        <w:t xml:space="preserve">    </w:t>
      </w:r>
      <w:r>
        <w:rPr>
          <w:rFonts w:ascii="標楷體" w:hAnsi="標楷體" w:cs="MS Sans Serif;Arial" w:eastAsia="標楷體"/>
          <w:b/>
          <w:sz w:val="28"/>
        </w:rPr>
        <w:t>虛勞之因：</w:t>
      </w:r>
      <w:r>
        <w:rPr>
          <w:rFonts w:eastAsia="標楷體" w:ascii="標楷體" w:hAnsi="標楷體"/>
          <w:sz w:val="28"/>
        </w:rPr>
        <w:t>&lt;&lt;</w:t>
      </w:r>
      <w:r>
        <w:rPr>
          <w:rFonts w:ascii="標楷體" w:hAnsi="標楷體" w:eastAsia="標楷體"/>
          <w:sz w:val="28"/>
        </w:rPr>
        <w:t>素問．陰陽應象大論</w:t>
      </w:r>
      <w:r>
        <w:rPr>
          <w:rFonts w:eastAsia="標楷體" w:ascii="標楷體" w:hAnsi="標楷體"/>
          <w:sz w:val="28"/>
        </w:rPr>
        <w:t>&gt;&gt;</w:t>
      </w:r>
      <w:r>
        <w:rPr>
          <w:rFonts w:ascii="標楷體" w:hAnsi="標楷體" w:eastAsia="標楷體"/>
          <w:sz w:val="28"/>
        </w:rPr>
        <w:t>「</w:t>
      </w:r>
      <w:r>
        <w:rPr>
          <w:rFonts w:ascii="標楷體" w:hAnsi="標楷體" w:eastAsia="標楷體"/>
          <w:sz w:val="28"/>
        </w:rPr>
        <w:t>喜怒傷氣，寒暑傷形。暴怒傷陰，暴喜傷陽。厥氣上行，滿脈去形。喜怒不節，寒暑過度，生乃不固。」指出外感寒暑、內傷喜怒，則形氣受損而為虛。</w:t>
      </w:r>
      <w:r>
        <w:rPr>
          <w:rFonts w:eastAsia="標楷體" w:cs="MS Sans Serif;Arial" w:ascii="標楷體" w:hAnsi="標楷體"/>
          <w:sz w:val="28"/>
        </w:rPr>
        <w:t>&lt;&lt;</w:t>
      </w:r>
      <w:r>
        <w:rPr>
          <w:rFonts w:ascii="標楷體" w:hAnsi="標楷體" w:cs="MS Sans Serif;Arial" w:eastAsia="標楷體"/>
          <w:sz w:val="28"/>
        </w:rPr>
        <w:t>金匱要略</w:t>
      </w:r>
      <w:r>
        <w:rPr>
          <w:rFonts w:eastAsia="標楷體" w:cs="MS Sans Serif;Arial" w:ascii="標楷體" w:hAnsi="標楷體"/>
          <w:sz w:val="28"/>
        </w:rPr>
        <w:t>&gt;&gt;</w:t>
      </w:r>
      <w:r>
        <w:rPr>
          <w:rFonts w:ascii="標楷體" w:hAnsi="標楷體" w:cs="MS Sans Serif;Arial" w:eastAsia="標楷體"/>
          <w:sz w:val="28"/>
        </w:rPr>
        <w:t>稱</w:t>
      </w:r>
      <w:r>
        <w:rPr>
          <w:rFonts w:eastAsia="標楷體" w:cs="MS Sans Serif;Arial" w:ascii="標楷體" w:hAnsi="標楷體"/>
          <w:sz w:val="28"/>
        </w:rPr>
        <w:t>:</w:t>
      </w:r>
      <w:r>
        <w:rPr>
          <w:rFonts w:ascii="標楷體" w:hAnsi="標楷體" w:cs="MS Sans Serif;Arial" w:eastAsia="標楷體"/>
          <w:sz w:val="28"/>
        </w:rPr>
        <w:t>「食傷、憂傷、飲傷、房室傷、飢傷、勞傷」為虛勞之因。</w:t>
      </w:r>
      <w:r>
        <w:rPr>
          <w:rFonts w:ascii="標楷體" w:hAnsi="標楷體" w:eastAsia="標楷體"/>
          <w:sz w:val="28"/>
        </w:rPr>
        <w:t>隋朝巢元方</w:t>
      </w:r>
      <w:r>
        <w:rPr>
          <w:rFonts w:eastAsia="標楷體" w:ascii="標楷體" w:hAnsi="標楷體"/>
          <w:sz w:val="28"/>
        </w:rPr>
        <w:t>&lt;&lt;</w:t>
      </w:r>
      <w:r>
        <w:rPr>
          <w:rFonts w:ascii="標楷體" w:hAnsi="標楷體" w:eastAsia="標楷體"/>
          <w:sz w:val="28"/>
        </w:rPr>
        <w:t>諸病源候論．虛勞病諸候</w:t>
      </w:r>
      <w:r>
        <w:rPr>
          <w:rFonts w:eastAsia="標楷體" w:ascii="標楷體" w:hAnsi="標楷體"/>
          <w:sz w:val="28"/>
        </w:rPr>
        <w:t>&gt;&gt;</w:t>
      </w:r>
      <w:r>
        <w:rPr>
          <w:rFonts w:ascii="標楷體" w:hAnsi="標楷體" w:eastAsia="標楷體"/>
          <w:sz w:val="28"/>
        </w:rPr>
        <w:t>較系統地論述了虛損之病理與分類：「夫虛勞者，五勞六極七傷是也。」其中五勞有二：一為情志勞傷：志勞、思勞、心勞、怵勞、疲勞；二為五臟勞傷：即肺勞、肝勞、心勞、脾勞、腎勞。六極者，指六種虛損重症，包括氣極、血極、精極、骨極、肌極與精極。七傷者，一為虛勞之七種病症：陰寒、陰萎、裏急、精連連、精少、陰下濕、精清、小便苦數、臨事不卒；二指臟氣受傷：大飽傷脾、大怒氣逆傷肝、強力舉重久坐濕地傷腎、形寒寒飲傷肺、怵愁思慮傷心、風雨寒濕傷形、大恐懼不節傷志。」</w:t>
      </w:r>
      <w:r>
        <w:rPr>
          <w:rFonts w:eastAsia="標楷體" w:ascii="標楷體" w:hAnsi="標楷體"/>
          <w:sz w:val="28"/>
        </w:rPr>
        <w:t>&lt;&lt;</w:t>
      </w:r>
      <w:r>
        <w:rPr>
          <w:rFonts w:ascii="標楷體" w:hAnsi="標楷體" w:eastAsia="標楷體"/>
          <w:sz w:val="28"/>
        </w:rPr>
        <w:t>千金翼方</w:t>
      </w:r>
      <w:r>
        <w:rPr>
          <w:rFonts w:eastAsia="標楷體" w:ascii="標楷體" w:hAnsi="標楷體"/>
          <w:sz w:val="28"/>
        </w:rPr>
        <w:t>&gt;&gt;</w:t>
      </w:r>
      <w:r>
        <w:rPr>
          <w:rFonts w:ascii="標楷體" w:hAnsi="標楷體" w:eastAsia="標楷體"/>
          <w:sz w:val="28"/>
        </w:rPr>
        <w:t>亦有類似的說明：「疾之所起，生自五勞、五勞既用，二臟先損，心腎受邪，腑臟俱病。」</w:t>
      </w:r>
    </w:p>
    <w:p>
      <w:pPr>
        <w:pStyle w:val="Normal"/>
        <w:overflowPunct w:val="false"/>
        <w:autoSpaceDE w:val="false"/>
        <w:snapToGrid w:val="false"/>
        <w:jc w:val="both"/>
        <w:rPr/>
      </w:pPr>
      <w:r>
        <w:rPr>
          <w:rFonts w:eastAsia="標楷體" w:cs="標楷體" w:ascii="標楷體" w:hAnsi="標楷體"/>
          <w:sz w:val="28"/>
        </w:rPr>
        <w:t xml:space="preserve">    </w:t>
      </w:r>
      <w:r>
        <w:rPr>
          <w:rFonts w:eastAsia="標楷體" w:cs="MS Sans Serif;Arial" w:ascii="標楷體" w:hAnsi="標楷體"/>
          <w:sz w:val="28"/>
        </w:rPr>
        <w:t>&lt;&lt;</w:t>
      </w:r>
      <w:r>
        <w:rPr>
          <w:rFonts w:ascii="標楷體" w:hAnsi="標楷體" w:cs="MS Sans Serif;Arial" w:eastAsia="標楷體"/>
          <w:sz w:val="28"/>
        </w:rPr>
        <w:t>景岳全書</w:t>
      </w:r>
      <w:r>
        <w:rPr>
          <w:rFonts w:eastAsia="標楷體" w:cs="MS Sans Serif;Arial" w:ascii="標楷體" w:hAnsi="標楷體"/>
          <w:sz w:val="28"/>
        </w:rPr>
        <w:t>&gt;&gt;</w:t>
      </w:r>
      <w:r>
        <w:rPr>
          <w:rFonts w:ascii="標楷體" w:hAnsi="標楷體" w:cs="MS Sans Serif;Arial" w:eastAsia="標楷體"/>
          <w:sz w:val="28"/>
        </w:rPr>
        <w:t>稱</w:t>
      </w:r>
      <w:r>
        <w:rPr>
          <w:rFonts w:eastAsia="標楷體" w:cs="MS Sans Serif;Arial" w:ascii="標楷體" w:hAnsi="標楷體"/>
          <w:sz w:val="28"/>
        </w:rPr>
        <w:t>:</w:t>
      </w:r>
      <w:r>
        <w:rPr>
          <w:rFonts w:ascii="標楷體" w:hAnsi="標楷體" w:cs="MS Sans Serif;Arial" w:eastAsia="標楷體"/>
          <w:sz w:val="28"/>
        </w:rPr>
        <w:t>「</w:t>
      </w:r>
      <w:r>
        <w:rPr>
          <w:rFonts w:ascii="標楷體" w:hAnsi="標楷體" w:eastAsia="標楷體"/>
          <w:sz w:val="28"/>
        </w:rPr>
        <w:t>凡虛損之由，無非酒色、勞倦、七情、飲食所致。</w:t>
      </w:r>
      <w:r>
        <w:rPr>
          <w:rFonts w:ascii="標楷體" w:hAnsi="標楷體" w:cs="MS Sans Serif;Arial" w:eastAsia="標楷體"/>
          <w:sz w:val="28"/>
        </w:rPr>
        <w:t>」</w:t>
      </w:r>
      <w:r>
        <w:rPr>
          <w:rFonts w:ascii="標楷體" w:hAnsi="標楷體" w:eastAsia="標楷體"/>
          <w:sz w:val="28"/>
        </w:rPr>
        <w:t>「夫勞之于人，孰能免之？如奔走食力之夫，終日營營而未聞其勞者，豈非勞乎？但勞有不同耳。蓋貧賤之勞，作息有度，無關榮辱，習以為常，何病之有！惟安閒柔脆之輩，而苦竭心力，斯為害矣。故或勞于名利，而不知寒暑之傷形；或勞于色欲，而不知旦暮之疲困；或勞于游蕩，而忍飢竭力于呼盧馳驟之場；或勞于疾病，而剝削傷殘于無術庸醫之手；或為詩書困厄，每緣螢雪成災；或以好勇逞強，遂致絕筋之力。總之，不知自量，而務從勉強，則一應妄作妄為，皆能致損。」將虛勞之因，述說極為生動詳細。明末醫家綺石則於其著作</w:t>
      </w:r>
      <w:r>
        <w:rPr>
          <w:rFonts w:eastAsia="標楷體" w:ascii="標楷體" w:hAnsi="標楷體"/>
          <w:sz w:val="28"/>
        </w:rPr>
        <w:t>&lt;&lt;</w:t>
      </w:r>
      <w:r>
        <w:rPr>
          <w:rFonts w:ascii="標楷體" w:hAnsi="標楷體" w:eastAsia="標楷體"/>
          <w:sz w:val="28"/>
        </w:rPr>
        <w:t>理虛元鑑</w:t>
      </w:r>
      <w:r>
        <w:rPr>
          <w:rFonts w:eastAsia="標楷體" w:ascii="標楷體" w:hAnsi="標楷體"/>
          <w:sz w:val="28"/>
        </w:rPr>
        <w:t>&gt;&gt;</w:t>
      </w:r>
      <w:r>
        <w:rPr>
          <w:rFonts w:ascii="標楷體" w:hAnsi="標楷體" w:eastAsia="標楷體"/>
          <w:sz w:val="28"/>
        </w:rPr>
        <w:t>提出了先天、後天、痘疹、外感、病后、境遇、醫藥等原因。</w:t>
      </w:r>
    </w:p>
    <w:p>
      <w:pPr>
        <w:pStyle w:val="Normal"/>
        <w:snapToGrid w:val="false"/>
        <w:jc w:val="both"/>
        <w:rPr/>
      </w:pPr>
      <w:r>
        <w:rPr>
          <w:rFonts w:eastAsia="標楷體" w:cs="標楷體" w:ascii="標楷體" w:hAnsi="標楷體"/>
          <w:sz w:val="28"/>
        </w:rPr>
        <w:t xml:space="preserve">    </w:t>
      </w:r>
      <w:r>
        <w:rPr>
          <w:rFonts w:ascii="標楷體" w:hAnsi="標楷體" w:eastAsia="標楷體"/>
          <w:sz w:val="28"/>
        </w:rPr>
        <w:t>總結以上造成虛勞之因有多端，但本篇著重於外感病邪，侵入人體，耗損正氣，因而形成慢性虛症，其中有可能是正邪交爭之後，病情遷延日久，邪少虛多，日益耗損正氣，終成虛證，亦有可能是因為寒濕之邪侵入人體，日久損傷陽氣，因而成為虛證的；燥熱之邪則會耗損陰液，亦可致虛。如</w:t>
      </w:r>
      <w:r>
        <w:rPr>
          <w:rFonts w:eastAsia="標楷體" w:ascii="標楷體" w:hAnsi="標楷體"/>
          <w:sz w:val="28"/>
        </w:rPr>
        <w:t>&lt;&lt;</w:t>
      </w:r>
      <w:r>
        <w:rPr>
          <w:rFonts w:ascii="標楷體" w:hAnsi="標楷體" w:eastAsia="標楷體"/>
          <w:sz w:val="28"/>
        </w:rPr>
        <w:t>靈樞．本神篇</w:t>
      </w:r>
      <w:r>
        <w:rPr>
          <w:rFonts w:eastAsia="標楷體" w:ascii="標楷體" w:hAnsi="標楷體"/>
          <w:sz w:val="28"/>
        </w:rPr>
        <w:t>&gt;&gt;</w:t>
      </w:r>
      <w:r>
        <w:rPr>
          <w:rFonts w:ascii="標楷體" w:hAnsi="標楷體" w:eastAsia="標楷體"/>
          <w:sz w:val="28"/>
        </w:rPr>
        <w:t>所稱：「是故五臟，主藏精者也，不可傷，傷則失守而陰虛，陰虛則無氣，無氣則死矣。」</w:t>
      </w:r>
    </w:p>
    <w:p>
      <w:pPr>
        <w:pStyle w:val="Normal"/>
        <w:overflowPunct w:val="false"/>
        <w:autoSpaceDE w:val="false"/>
        <w:snapToGrid w:val="false"/>
        <w:jc w:val="both"/>
        <w:rPr/>
      </w:pPr>
      <w:r>
        <w:rPr>
          <w:rFonts w:ascii="標楷體" w:hAnsi="標楷體" w:eastAsia="標楷體"/>
          <w:sz w:val="28"/>
        </w:rPr>
        <w:t>風邪襲表的結果，也會導致表氣虛。清朝醫家吳澄</w:t>
      </w:r>
      <w:r>
        <w:rPr>
          <w:rFonts w:eastAsia="標楷體" w:ascii="標楷體" w:hAnsi="標楷體"/>
          <w:sz w:val="28"/>
        </w:rPr>
        <w:t>&lt;&lt;</w:t>
      </w:r>
      <w:r>
        <w:rPr>
          <w:rFonts w:ascii="標楷體" w:hAnsi="標楷體" w:eastAsia="標楷體"/>
          <w:sz w:val="28"/>
        </w:rPr>
        <w:t>不居集</w:t>
      </w:r>
      <w:r>
        <w:rPr>
          <w:rFonts w:eastAsia="標楷體" w:ascii="標楷體" w:hAnsi="標楷體"/>
          <w:sz w:val="28"/>
        </w:rPr>
        <w:t>&gt;&gt;</w:t>
      </w:r>
      <w:r>
        <w:rPr>
          <w:rFonts w:ascii="標楷體" w:hAnsi="標楷體" w:eastAsia="標楷體"/>
          <w:sz w:val="28"/>
        </w:rPr>
        <w:t>稱：「虛損一症，不獨內傷，而外邪亦有之矣。」指出了外邪致虛的情形。</w:t>
      </w:r>
    </w:p>
    <w:p>
      <w:pPr>
        <w:pStyle w:val="Normal"/>
        <w:overflowPunct w:val="false"/>
        <w:autoSpaceDE w:val="false"/>
        <w:snapToGrid w:val="false"/>
        <w:jc w:val="both"/>
        <w:rPr/>
      </w:pPr>
      <w:r>
        <w:rPr>
          <w:rFonts w:eastAsia="標楷體" w:ascii="標楷體" w:hAnsi="標楷體"/>
          <w:sz w:val="28"/>
        </w:rPr>
        <w:t>&lt;&lt;</w:t>
      </w:r>
      <w:r>
        <w:rPr>
          <w:rFonts w:ascii="標楷體" w:hAnsi="標楷體" w:eastAsia="標楷體"/>
          <w:sz w:val="28"/>
        </w:rPr>
        <w:t>素問．宣明五氣篇</w:t>
      </w:r>
      <w:r>
        <w:rPr>
          <w:rFonts w:eastAsia="標楷體" w:ascii="標楷體" w:hAnsi="標楷體"/>
          <w:sz w:val="28"/>
        </w:rPr>
        <w:t>&gt;&gt;</w:t>
      </w:r>
      <w:r>
        <w:rPr>
          <w:rFonts w:ascii="標楷體" w:hAnsi="標楷體" w:eastAsia="標楷體"/>
          <w:sz w:val="28"/>
        </w:rPr>
        <w:t>亦指出「勞則氣耗」，有相同的說法。</w:t>
      </w:r>
    </w:p>
    <w:p>
      <w:pPr>
        <w:pStyle w:val="Normal"/>
        <w:snapToGrid w:val="false"/>
        <w:jc w:val="both"/>
        <w:rPr/>
      </w:pPr>
      <w:r>
        <w:rPr>
          <w:rFonts w:eastAsia="標楷體" w:cs="標楷體" w:ascii="標楷體" w:hAnsi="標楷體"/>
          <w:b/>
          <w:sz w:val="28"/>
        </w:rPr>
        <w:t xml:space="preserve">    </w:t>
      </w:r>
      <w:r>
        <w:rPr>
          <w:rFonts w:ascii="標楷體" w:hAnsi="標楷體" w:eastAsia="標楷體"/>
          <w:b/>
          <w:sz w:val="28"/>
        </w:rPr>
        <w:t>虛勞的治療</w:t>
      </w:r>
      <w:r>
        <w:rPr>
          <w:rFonts w:eastAsia="標楷體" w:ascii="標楷體" w:hAnsi="標楷體"/>
          <w:sz w:val="28"/>
        </w:rPr>
        <w:t>&lt;&lt;</w:t>
      </w:r>
      <w:r>
        <w:rPr>
          <w:rFonts w:ascii="標楷體" w:hAnsi="標楷體" w:eastAsia="標楷體"/>
          <w:sz w:val="28"/>
        </w:rPr>
        <w:t>雜病源流犀燭</w:t>
      </w:r>
      <w:r>
        <w:rPr>
          <w:rFonts w:eastAsia="標楷體" w:ascii="標楷體" w:hAnsi="標楷體"/>
          <w:sz w:val="28"/>
        </w:rPr>
        <w:t>&gt;&gt;</w:t>
      </w:r>
      <w:r>
        <w:rPr>
          <w:rFonts w:ascii="標楷體" w:hAnsi="標楷體" w:eastAsia="標楷體"/>
          <w:sz w:val="28"/>
        </w:rPr>
        <w:t>稱</w:t>
      </w:r>
      <w:r>
        <w:rPr>
          <w:rFonts w:eastAsia="標楷體" w:ascii="標楷體" w:hAnsi="標楷體"/>
          <w:sz w:val="28"/>
        </w:rPr>
        <w:t>:</w:t>
      </w:r>
      <w:r>
        <w:rPr>
          <w:rFonts w:ascii="標楷體" w:hAnsi="標楷體" w:eastAsia="標楷體"/>
          <w:sz w:val="28"/>
        </w:rPr>
        <w:t>「所以致損者有四，曰氣虛、曰陰虛、曰血虛、曰陽虛。」</w:t>
      </w:r>
      <w:r>
        <w:rPr>
          <w:rFonts w:eastAsia="標楷體" w:ascii="標楷體" w:hAnsi="標楷體"/>
          <w:sz w:val="28"/>
        </w:rPr>
        <w:t>&lt;&lt;</w:t>
      </w:r>
      <w:r>
        <w:rPr>
          <w:rFonts w:ascii="標楷體" w:hAnsi="標楷體" w:eastAsia="標楷體"/>
          <w:sz w:val="28"/>
        </w:rPr>
        <w:t>內經</w:t>
      </w:r>
      <w:r>
        <w:rPr>
          <w:rFonts w:eastAsia="標楷體" w:ascii="標楷體" w:hAnsi="標楷體"/>
          <w:sz w:val="28"/>
        </w:rPr>
        <w:t>&gt;&gt;</w:t>
      </w:r>
      <w:r>
        <w:rPr>
          <w:rFonts w:ascii="標楷體" w:hAnsi="標楷體" w:eastAsia="標楷體"/>
          <w:sz w:val="28"/>
        </w:rPr>
        <w:t>稱</w:t>
      </w:r>
      <w:r>
        <w:rPr>
          <w:rFonts w:eastAsia="標楷體" w:ascii="標楷體" w:hAnsi="標楷體"/>
          <w:sz w:val="28"/>
        </w:rPr>
        <w:t>:</w:t>
      </w:r>
      <w:r>
        <w:rPr>
          <w:rFonts w:ascii="標楷體" w:hAnsi="標楷體" w:eastAsia="標楷體"/>
          <w:sz w:val="28"/>
        </w:rPr>
        <w:t>「虛則補之」「勞者溫之」「損者益之」</w:t>
      </w:r>
      <w:r>
        <w:rPr>
          <w:rFonts w:ascii="標楷體" w:hAnsi="標楷體" w:eastAsia="標楷體"/>
          <w:sz w:val="28"/>
        </w:rPr>
        <w:t>。</w:t>
      </w:r>
      <w:r>
        <w:rPr>
          <w:rFonts w:ascii="標楷體" w:hAnsi="標楷體" w:eastAsia="標楷體"/>
          <w:sz w:val="28"/>
        </w:rPr>
        <w:t>清初醫家顧松園於其著作</w:t>
      </w:r>
      <w:r>
        <w:rPr>
          <w:rFonts w:eastAsia="標楷體" w:ascii="標楷體" w:hAnsi="標楷體"/>
          <w:sz w:val="28"/>
        </w:rPr>
        <w:t>&lt;&lt;</w:t>
      </w:r>
      <w:r>
        <w:rPr>
          <w:rFonts w:ascii="標楷體" w:hAnsi="標楷體" w:eastAsia="標楷體"/>
          <w:sz w:val="28"/>
        </w:rPr>
        <w:t>醫鏡</w:t>
      </w:r>
      <w:r>
        <w:rPr>
          <w:rFonts w:eastAsia="標楷體" w:ascii="標楷體" w:hAnsi="標楷體"/>
          <w:sz w:val="28"/>
        </w:rPr>
        <w:t>&gt;&gt;</w:t>
      </w:r>
      <w:r>
        <w:rPr>
          <w:rFonts w:ascii="標楷體" w:hAnsi="標楷體" w:eastAsia="標楷體"/>
          <w:sz w:val="28"/>
        </w:rPr>
        <w:t>中對陰虛所造成的虛勞有較全面之論述而認為「世之偏於陰虛者，比比皆是，其治有三大要法</w:t>
      </w:r>
      <w:r>
        <w:rPr>
          <w:rFonts w:eastAsia="標楷體" w:ascii="標楷體" w:hAnsi="標楷體"/>
          <w:sz w:val="28"/>
        </w:rPr>
        <w:t>:</w:t>
      </w:r>
      <w:r>
        <w:rPr>
          <w:rFonts w:ascii="標楷體" w:hAnsi="標楷體" w:eastAsia="標楷體"/>
          <w:sz w:val="28"/>
        </w:rPr>
        <w:t>一曰補腎水，二曰培脾土，三曰慎調攝，用藥以甘寒為主。」</w:t>
      </w:r>
    </w:p>
    <w:p>
      <w:pPr>
        <w:pStyle w:val="Normal"/>
        <w:snapToGrid w:val="false"/>
        <w:jc w:val="both"/>
        <w:rPr/>
      </w:pPr>
      <w:r>
        <w:rPr>
          <w:rFonts w:eastAsia="標楷體" w:cs="標楷體" w:ascii="標楷體" w:hAnsi="標楷體"/>
          <w:sz w:val="28"/>
        </w:rPr>
        <w:t xml:space="preserve">    </w:t>
      </w:r>
      <w:r>
        <w:rPr>
          <w:rFonts w:ascii="標楷體" w:hAnsi="標楷體" w:eastAsia="標楷體"/>
          <w:sz w:val="28"/>
        </w:rPr>
        <w:t>清朝醫家吳澄所著</w:t>
      </w:r>
      <w:r>
        <w:rPr>
          <w:rFonts w:eastAsia="標楷體" w:ascii="標楷體" w:hAnsi="標楷體"/>
          <w:sz w:val="28"/>
        </w:rPr>
        <w:t>&lt;&lt;</w:t>
      </w:r>
      <w:r>
        <w:rPr>
          <w:rFonts w:ascii="標楷體" w:hAnsi="標楷體" w:eastAsia="標楷體"/>
          <w:sz w:val="28"/>
        </w:rPr>
        <w:t>不居集</w:t>
      </w:r>
      <w:r>
        <w:rPr>
          <w:rFonts w:eastAsia="標楷體" w:ascii="標楷體" w:hAnsi="標楷體"/>
          <w:sz w:val="28"/>
        </w:rPr>
        <w:t>&gt;&gt;</w:t>
      </w:r>
      <w:r>
        <w:rPr>
          <w:rFonts w:ascii="標楷體" w:hAnsi="標楷體" w:eastAsia="標楷體"/>
          <w:sz w:val="28"/>
        </w:rPr>
        <w:t>對養脾陰有獨到見解，葉天士則提出了養胃陰的方法。</w:t>
      </w:r>
      <w:r>
        <w:rPr>
          <w:rFonts w:eastAsia="標楷體" w:ascii="標楷體" w:hAnsi="標楷體"/>
          <w:sz w:val="28"/>
        </w:rPr>
        <w:t>&lt;&lt;</w:t>
      </w:r>
      <w:r>
        <w:rPr>
          <w:rFonts w:ascii="標楷體" w:hAnsi="標楷體" w:eastAsia="標楷體"/>
          <w:sz w:val="28"/>
        </w:rPr>
        <w:t>理虛元鑑</w:t>
      </w:r>
      <w:r>
        <w:rPr>
          <w:rFonts w:eastAsia="標楷體" w:ascii="標楷體" w:hAnsi="標楷體"/>
          <w:sz w:val="28"/>
        </w:rPr>
        <w:t>&gt;&gt;</w:t>
      </w:r>
      <w:r>
        <w:rPr>
          <w:rFonts w:eastAsia="標楷體" w:ascii="標楷體" w:hAnsi="標楷體"/>
          <w:sz w:val="28"/>
        </w:rPr>
        <w:t>:</w:t>
      </w:r>
      <w:r>
        <w:rPr>
          <w:rFonts w:ascii="標楷體" w:hAnsi="標楷體" w:eastAsia="標楷體"/>
          <w:sz w:val="28"/>
        </w:rPr>
        <w:t>提出了理虛三法「一清金保肺，無犯中州之土</w:t>
      </w:r>
      <w:r>
        <w:rPr>
          <w:rFonts w:eastAsia="標楷體" w:ascii="標楷體" w:hAnsi="標楷體"/>
          <w:sz w:val="28"/>
        </w:rPr>
        <w:t>;</w:t>
      </w:r>
      <w:r>
        <w:rPr>
          <w:rFonts w:ascii="標楷體" w:hAnsi="標楷體" w:eastAsia="標楷體"/>
          <w:sz w:val="28"/>
        </w:rPr>
        <w:t>二培土調中，不損至高之氣</w:t>
      </w:r>
      <w:r>
        <w:rPr>
          <w:rFonts w:eastAsia="標楷體" w:ascii="標楷體" w:hAnsi="標楷體"/>
          <w:sz w:val="28"/>
        </w:rPr>
        <w:t>;</w:t>
      </w:r>
      <w:r>
        <w:rPr>
          <w:rFonts w:ascii="標楷體" w:hAnsi="標楷體" w:eastAsia="標楷體"/>
          <w:sz w:val="28"/>
        </w:rPr>
        <w:t>三金行清化，不覺水自流長。」並進一步說明：「理虛有三本，肺、脾、腎是也。肺為五臟之天，脾為百骸之本，腎為一身之根，知斯三者，治虛之道盡矣。」朱肱</w:t>
      </w:r>
      <w:r>
        <w:rPr>
          <w:rFonts w:eastAsia="標楷體" w:ascii="標楷體" w:hAnsi="標楷體"/>
          <w:sz w:val="28"/>
        </w:rPr>
        <w:t>&lt;&lt;</w:t>
      </w:r>
      <w:r>
        <w:rPr>
          <w:rFonts w:ascii="標楷體" w:hAnsi="標楷體" w:eastAsia="標楷體"/>
          <w:sz w:val="28"/>
        </w:rPr>
        <w:t>活人書</w:t>
      </w:r>
      <w:r>
        <w:rPr>
          <w:rFonts w:eastAsia="標楷體" w:ascii="標楷體" w:hAnsi="標楷體"/>
          <w:sz w:val="28"/>
        </w:rPr>
        <w:t>&gt;&gt;</w:t>
      </w:r>
      <w:r>
        <w:rPr>
          <w:rFonts w:ascii="標楷體" w:hAnsi="標楷體" w:eastAsia="標楷體"/>
          <w:sz w:val="28"/>
        </w:rPr>
        <w:t>稱</w:t>
      </w:r>
      <w:r>
        <w:rPr>
          <w:rFonts w:eastAsia="標楷體" w:ascii="標楷體" w:hAnsi="標楷體"/>
          <w:sz w:val="28"/>
        </w:rPr>
        <w:t>:</w:t>
      </w:r>
      <w:r>
        <w:rPr>
          <w:rFonts w:ascii="標楷體" w:hAnsi="標楷體" w:eastAsia="標楷體"/>
          <w:sz w:val="28"/>
        </w:rPr>
        <w:t>好用涼藥的醫生，見附子、硫黃便加以攻訐，好用熱藥的醫生，則畏硝、黃而不敢用，認為是「偏見所趨然」，可見虛勞的治療還是要以辨證論治為基礎。</w:t>
      </w:r>
    </w:p>
    <w:p>
      <w:pPr>
        <w:pStyle w:val="Normal"/>
        <w:snapToGrid w:val="false"/>
        <w:jc w:val="both"/>
        <w:rPr/>
      </w:pPr>
      <w:r>
        <w:rPr>
          <w:rFonts w:eastAsia="標楷體" w:cs="標楷體" w:ascii="標楷體" w:hAnsi="標楷體"/>
          <w:sz w:val="28"/>
        </w:rPr>
        <w:t xml:space="preserve">    </w:t>
      </w:r>
      <w:r>
        <w:rPr>
          <w:rFonts w:ascii="標楷體" w:hAnsi="標楷體" w:eastAsia="標楷體"/>
          <w:sz w:val="28"/>
        </w:rPr>
        <w:t>腎病症候群若平常調理得當，正氣得平，體內之神經、免疫系統得以恢復正常，則本病反復發作的情形當可緩解，正復邪退，疾病會往好的方向轉歸，甚至痊癒。若正衰邪進，則終而亦有造成機體毀滅的可能。一般而言，病邪初起，由於邪氣盛，實證較多，病情日久反覆者，則可能造成虛證或虛實夾雜。造成虛證的狀況除了病邪本身的特性之外，亦有因日久耗損正氣所造成者，也有因病邪太盛，直接致虛者。此外失治或誤治也是造成虛證的原因之一。或誤用苦寒清熱之劑，敗胃傷脾，耗損正氣者；或因誤用燥熱之劑，劫傷陰液，因而致虛者；或誤用攻伐之劑，正氣更傷者；或不當補而補，造成邪更盛而正更衰的情形。總之，在治療疾病時，當步步為營，小心謹慎為是，當不致使病邪復發，此外患者本身的調理亦屬重要，運動的適當與否、心情的調適、飲食的節制，對疾病預後的發展，均是重要的環節。</w:t>
      </w:r>
    </w:p>
    <w:p>
      <w:pPr>
        <w:pStyle w:val="Normal"/>
        <w:snapToGrid w:val="false"/>
        <w:jc w:val="both"/>
        <w:rPr>
          <w:rFonts w:ascii="華康細圓體" w:hAnsi="華康細圓體" w:eastAsia="華康細圓體"/>
          <w:sz w:val="28"/>
        </w:rPr>
      </w:pPr>
      <w:r>
        <w:rPr>
          <w:rFonts w:eastAsia="華康細圓體" w:ascii="華康細圓體" w:hAnsi="華康細圓體"/>
          <w:sz w:val="28"/>
        </w:rPr>
      </w:r>
    </w:p>
    <w:p>
      <w:pPr>
        <w:pStyle w:val="Normal"/>
        <w:snapToGrid w:val="false"/>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第三節  水腫與氣化的關係</w:t>
      </w:r>
    </w:p>
    <w:p>
      <w:pPr>
        <w:pStyle w:val="Normal"/>
        <w:snapToGrid w:val="false"/>
        <w:ind w:firstLine="555"/>
        <w:jc w:val="both"/>
        <w:rPr>
          <w:rFonts w:ascii="標楷體" w:hAnsi="標楷體" w:eastAsia="標楷體"/>
          <w:sz w:val="28"/>
        </w:rPr>
      </w:pPr>
      <w:r>
        <w:rPr>
          <w:rFonts w:ascii="標楷體" w:hAnsi="標楷體" w:eastAsia="標楷體"/>
          <w:sz w:val="28"/>
        </w:rPr>
        <w:t>水腫形成的機轉除了和外邪及臟腑的虛衰有關之外，其中最主要的關聯即在於氣化的機制。</w:t>
      </w:r>
    </w:p>
    <w:p>
      <w:pPr>
        <w:pStyle w:val="Normal"/>
        <w:tabs>
          <w:tab w:val="left" w:pos="3060" w:leader="none"/>
        </w:tabs>
        <w:snapToGrid w:val="false"/>
        <w:jc w:val="both"/>
        <w:rPr>
          <w:rFonts w:ascii="標楷體" w:hAnsi="標楷體" w:eastAsia="標楷體" w:cs="華康細圓體"/>
          <w:b/>
          <w:b/>
          <w:sz w:val="28"/>
        </w:rPr>
      </w:pPr>
      <w:r>
        <w:rPr>
          <w:rFonts w:eastAsia="標楷體" w:cs="標楷體" w:ascii="標楷體" w:hAnsi="標楷體"/>
          <w:b/>
          <w:sz w:val="28"/>
        </w:rPr>
        <w:t xml:space="preserve">     </w:t>
      </w:r>
      <w:r>
        <w:rPr>
          <w:rFonts w:ascii="標楷體" w:hAnsi="標楷體" w:cs="華康細圓體" w:eastAsia="標楷體"/>
          <w:b/>
          <w:sz w:val="28"/>
        </w:rPr>
        <w:t>一、氣化的觀念</w:t>
      </w:r>
    </w:p>
    <w:p>
      <w:pPr>
        <w:pStyle w:val="Normal"/>
        <w:tabs>
          <w:tab w:val="left" w:pos="3060" w:leader="none"/>
        </w:tabs>
        <w:snapToGrid w:val="false"/>
        <w:jc w:val="both"/>
        <w:rPr>
          <w:rFonts w:ascii="標楷體" w:hAnsi="標楷體" w:eastAsia="標楷體" w:cs="華康細圓體"/>
          <w:sz w:val="28"/>
        </w:rPr>
      </w:pPr>
      <w:r>
        <w:rPr>
          <w:rFonts w:eastAsia="標楷體" w:cs="標楷體" w:ascii="標楷體" w:hAnsi="標楷體"/>
          <w:sz w:val="28"/>
        </w:rPr>
        <w:t xml:space="preserve">     </w:t>
      </w:r>
      <w:r>
        <w:rPr>
          <w:rFonts w:ascii="標楷體" w:hAnsi="標楷體" w:cs="華康細圓體" w:eastAsia="標楷體"/>
          <w:sz w:val="28"/>
        </w:rPr>
        <w:t>中醫所稱的氣化和臟腑精氣功能的互相轉化有關，即通過氣的運作而產生各種生理變化，也就是精、氣、血、津液彼此間的互相轉化。氣化是新陳代謝的過程，也就是物質轉化和能量轉化的過程。若氣化順利，則藏府氣血功能調和，若氣化不利則藏府功能失調，易生病邪。</w:t>
      </w:r>
    </w:p>
    <w:p>
      <w:pPr>
        <w:pStyle w:val="Normal"/>
        <w:tabs>
          <w:tab w:val="left" w:pos="3060" w:leader="none"/>
        </w:tabs>
        <w:snapToGrid w:val="false"/>
        <w:jc w:val="both"/>
        <w:rPr>
          <w:rFonts w:ascii="標楷體" w:hAnsi="標楷體" w:eastAsia="標楷體" w:cs="MS Sans Serif;Arial"/>
          <w:sz w:val="28"/>
        </w:rPr>
      </w:pPr>
      <w:r>
        <w:rPr>
          <w:rFonts w:eastAsia="標楷體" w:cs="標楷體" w:ascii="標楷體" w:hAnsi="標楷體"/>
          <w:sz w:val="28"/>
        </w:rPr>
        <w:t xml:space="preserve">    </w:t>
      </w:r>
      <w:r>
        <w:rPr>
          <w:rFonts w:ascii="標楷體" w:hAnsi="標楷體" w:cs="MS Sans Serif;Arial" w:eastAsia="標楷體"/>
          <w:sz w:val="28"/>
        </w:rPr>
        <w:t>（一）</w:t>
      </w:r>
      <w:r>
        <w:rPr>
          <w:rFonts w:ascii="標楷體" w:hAnsi="標楷體" w:cs="華康細圓體" w:eastAsia="標楷體"/>
          <w:b/>
          <w:sz w:val="28"/>
        </w:rPr>
        <w:t>陰精與陽氣</w:t>
      </w:r>
    </w:p>
    <w:p>
      <w:pPr>
        <w:pStyle w:val="Normal"/>
        <w:tabs>
          <w:tab w:val="left" w:pos="3060" w:leader="none"/>
        </w:tabs>
        <w:snapToGrid w:val="false"/>
        <w:jc w:val="both"/>
        <w:rPr>
          <w:rFonts w:ascii="標楷體" w:hAnsi="標楷體" w:eastAsia="標楷體" w:cs="MS Sans Serif;Arial"/>
          <w:sz w:val="28"/>
        </w:rPr>
      </w:pPr>
      <w:r>
        <w:rPr>
          <w:rFonts w:eastAsia="標楷體" w:cs="標楷體" w:ascii="標楷體" w:hAnsi="標楷體"/>
          <w:sz w:val="28"/>
        </w:rPr>
        <w:t xml:space="preserve">    </w:t>
      </w:r>
      <w:r>
        <w:rPr>
          <w:rFonts w:ascii="標楷體" w:hAnsi="標楷體" w:cs="華康細圓體" w:eastAsia="標楷體"/>
          <w:sz w:val="28"/>
        </w:rPr>
        <w:t>中醫所稱的精微物質，其本身存在的狀態稱為「陰精」，其作用型態則為「陽氣」。</w:t>
      </w:r>
      <w:r>
        <w:rPr>
          <w:rFonts w:eastAsia="標楷體" w:ascii="標楷體" w:hAnsi="標楷體"/>
          <w:sz w:val="28"/>
        </w:rPr>
        <w:t>&lt;&lt;</w:t>
      </w:r>
      <w:r>
        <w:rPr>
          <w:rFonts w:ascii="標楷體" w:hAnsi="標楷體" w:eastAsia="標楷體"/>
          <w:sz w:val="28"/>
        </w:rPr>
        <w:t>素問．</w:t>
      </w:r>
      <w:r>
        <w:rPr>
          <w:rFonts w:ascii="標楷體" w:hAnsi="標楷體" w:cs="MS Sans Serif;Arial" w:eastAsia="標楷體"/>
          <w:sz w:val="28"/>
        </w:rPr>
        <w:t>陰陽應象大論</w:t>
      </w:r>
      <w:r>
        <w:rPr>
          <w:rFonts w:eastAsia="標楷體" w:ascii="標楷體" w:hAnsi="標楷體"/>
          <w:sz w:val="28"/>
        </w:rPr>
        <w:t>&gt;&gt;</w:t>
      </w:r>
      <w:r>
        <w:rPr>
          <w:rFonts w:ascii="標楷體" w:hAnsi="標楷體" w:eastAsia="標楷體"/>
          <w:sz w:val="28"/>
        </w:rPr>
        <w:t>曰</w:t>
      </w:r>
      <w:r>
        <w:rPr>
          <w:rFonts w:eastAsia="標楷體" w:ascii="標楷體" w:hAnsi="標楷體"/>
          <w:sz w:val="28"/>
        </w:rPr>
        <w:t xml:space="preserve">: </w:t>
      </w:r>
      <w:r>
        <w:rPr>
          <w:rFonts w:ascii="標楷體" w:hAnsi="標楷體" w:eastAsia="標楷體"/>
          <w:sz w:val="28"/>
        </w:rPr>
        <w:t>「</w:t>
      </w:r>
      <w:r>
        <w:rPr>
          <w:rFonts w:ascii="標楷體" w:hAnsi="標楷體" w:cs="MS Sans Serif;Arial" w:eastAsia="標楷體"/>
          <w:sz w:val="28"/>
        </w:rPr>
        <w:t>陽化氣，陰成形。」張景岳</w:t>
      </w:r>
      <w:r>
        <w:rPr>
          <w:rFonts w:eastAsia="標楷體" w:cs="MS Sans Serif;Arial" w:ascii="標楷體" w:hAnsi="標楷體"/>
          <w:sz w:val="28"/>
        </w:rPr>
        <w:t>&lt;&lt;</w:t>
      </w:r>
      <w:r>
        <w:rPr>
          <w:rFonts w:ascii="標楷體" w:hAnsi="標楷體" w:cs="MS Sans Serif;Arial" w:eastAsia="標楷體"/>
          <w:sz w:val="28"/>
        </w:rPr>
        <w:t>類經</w:t>
      </w:r>
      <w:r>
        <w:rPr>
          <w:rFonts w:eastAsia="標楷體" w:cs="MS Sans Serif;Arial" w:ascii="標楷體" w:hAnsi="標楷體"/>
          <w:sz w:val="28"/>
        </w:rPr>
        <w:t>&gt;&gt;</w:t>
      </w:r>
      <w:r>
        <w:rPr>
          <w:rFonts w:ascii="標楷體" w:hAnsi="標楷體" w:cs="MS Sans Serif;Arial" w:eastAsia="標楷體"/>
          <w:sz w:val="28"/>
        </w:rPr>
        <w:t>註曰：「陽動而散，故化氣，陰靜而凝，故成形。」以上均說明了物質動與靜的觀念。</w:t>
      </w:r>
    </w:p>
    <w:p>
      <w:pPr>
        <w:pStyle w:val="Normal"/>
        <w:overflowPunct w:val="false"/>
        <w:autoSpaceDE w:val="false"/>
        <w:snapToGrid w:val="false"/>
        <w:jc w:val="both"/>
        <w:rPr>
          <w:rFonts w:ascii="標楷體" w:hAnsi="標楷體" w:eastAsia="標楷體" w:cs="MS Sans Serif;Arial"/>
          <w:sz w:val="28"/>
        </w:rPr>
      </w:pPr>
      <w:r>
        <w:rPr>
          <w:rFonts w:eastAsia="標楷體" w:cs="標楷體" w:ascii="標楷體" w:hAnsi="標楷體"/>
          <w:sz w:val="28"/>
        </w:rPr>
        <w:t xml:space="preserve">    </w:t>
      </w:r>
      <w:r>
        <w:rPr>
          <w:rFonts w:eastAsia="標楷體" w:ascii="標楷體" w:hAnsi="標楷體"/>
          <w:sz w:val="28"/>
        </w:rPr>
        <w:t>&lt;&lt;</w:t>
      </w:r>
      <w:r>
        <w:rPr>
          <w:rFonts w:ascii="標楷體" w:hAnsi="標楷體" w:eastAsia="標楷體"/>
          <w:sz w:val="28"/>
        </w:rPr>
        <w:t>素問‧</w:t>
      </w:r>
      <w:r>
        <w:rPr>
          <w:rFonts w:ascii="標楷體" w:hAnsi="標楷體" w:cs="MS Sans Serif;Arial" w:eastAsia="標楷體"/>
          <w:sz w:val="28"/>
        </w:rPr>
        <w:t>陰陽應象大論</w:t>
      </w:r>
      <w:r>
        <w:rPr>
          <w:rFonts w:eastAsia="標楷體" w:ascii="標楷體" w:hAnsi="標楷體"/>
          <w:sz w:val="28"/>
        </w:rPr>
        <w:t>&gt;&gt;</w:t>
      </w:r>
      <w:r>
        <w:rPr>
          <w:rFonts w:ascii="標楷體" w:hAnsi="標楷體" w:eastAsia="標楷體"/>
          <w:sz w:val="28"/>
        </w:rPr>
        <w:t>所言：「</w:t>
      </w:r>
      <w:r>
        <w:rPr>
          <w:rFonts w:ascii="標楷體" w:hAnsi="標楷體" w:cs="MS Sans Serif;Arial" w:eastAsia="標楷體"/>
          <w:sz w:val="28"/>
        </w:rPr>
        <w:t>水為陰，火為陽，陽為氣，陰為味。味歸形，形歸氣，氣歸精，精歸化，精食氣，形食味，化生精，氣生形。味傷形，氣傷精，精化為氣，氣傷於味。」精氣互化的觀念幾乎可說就是作用物質動靜之間的變化。</w:t>
      </w:r>
      <w:r>
        <w:rPr>
          <w:rFonts w:eastAsia="標楷體" w:cs="MS Sans Serif;Arial" w:ascii="標楷體" w:hAnsi="標楷體"/>
          <w:sz w:val="28"/>
        </w:rPr>
        <w:t>&lt;&lt;</w:t>
      </w:r>
      <w:r>
        <w:rPr>
          <w:rFonts w:ascii="標楷體" w:hAnsi="標楷體" w:cs="MS Sans Serif;Arial" w:eastAsia="標楷體"/>
          <w:sz w:val="28"/>
        </w:rPr>
        <w:t>管子</w:t>
      </w:r>
      <w:r>
        <w:rPr>
          <w:rFonts w:ascii="標楷體" w:hAnsi="標楷體" w:eastAsia="標楷體"/>
          <w:sz w:val="28"/>
        </w:rPr>
        <w:t>‧內業</w:t>
      </w:r>
      <w:r>
        <w:rPr>
          <w:rFonts w:eastAsia="標楷體" w:cs="MS Sans Serif;Arial" w:ascii="標楷體" w:hAnsi="標楷體"/>
          <w:sz w:val="28"/>
        </w:rPr>
        <w:t>&gt;&gt;</w:t>
      </w:r>
      <w:r>
        <w:rPr>
          <w:rFonts w:ascii="標楷體" w:hAnsi="標楷體" w:cs="MS Sans Serif;Arial" w:eastAsia="標楷體"/>
          <w:sz w:val="28"/>
        </w:rPr>
        <w:t>「精也者，氣之精者也。」即說明了精和氣的關係。</w:t>
      </w:r>
    </w:p>
    <w:p>
      <w:pPr>
        <w:pStyle w:val="Normal"/>
        <w:overflowPunct w:val="false"/>
        <w:autoSpaceDE w:val="false"/>
        <w:snapToGrid w:val="false"/>
        <w:jc w:val="both"/>
        <w:rPr>
          <w:rFonts w:ascii="標楷體" w:hAnsi="標楷體" w:eastAsia="標楷體" w:cs="MS Sans Serif;Arial"/>
          <w:b/>
          <w:b/>
          <w:sz w:val="28"/>
        </w:rPr>
      </w:pPr>
      <w:r>
        <w:rPr>
          <w:rFonts w:eastAsia="標楷體" w:cs="標楷體" w:ascii="標楷體" w:hAnsi="標楷體"/>
          <w:b/>
          <w:sz w:val="28"/>
        </w:rPr>
        <w:t xml:space="preserve">   </w:t>
      </w:r>
      <w:r>
        <w:rPr>
          <w:rFonts w:ascii="標楷體" w:hAnsi="標楷體" w:cs="MS Sans Serif;Arial" w:eastAsia="標楷體"/>
          <w:b/>
          <w:sz w:val="28"/>
        </w:rPr>
        <w:t>（二）升降的觀念和氣化的關係</w:t>
      </w:r>
    </w:p>
    <w:p>
      <w:pPr>
        <w:pStyle w:val="Normal"/>
        <w:overflowPunct w:val="false"/>
        <w:autoSpaceDE w:val="false"/>
        <w:snapToGrid w:val="false"/>
        <w:jc w:val="both"/>
        <w:rPr>
          <w:rFonts w:ascii="標楷體" w:hAnsi="標楷體" w:eastAsia="標楷體" w:cs="MS Sans Serif;Arial"/>
          <w:sz w:val="28"/>
        </w:rPr>
      </w:pPr>
      <w:r>
        <w:rPr>
          <w:rFonts w:eastAsia="標楷體" w:cs="標楷體" w:ascii="標楷體" w:hAnsi="標楷體"/>
          <w:sz w:val="28"/>
        </w:rPr>
        <w:t xml:space="preserve">    </w:t>
      </w:r>
      <w:r>
        <w:rPr>
          <w:rFonts w:ascii="標楷體" w:hAnsi="標楷體" w:cs="MS Sans Serif;Arial" w:eastAsia="標楷體"/>
          <w:sz w:val="28"/>
        </w:rPr>
        <w:t>透過氣的運動，形成機體內生理功能的轉化，即稱為氣化。</w:t>
      </w:r>
      <w:r>
        <w:rPr>
          <w:rFonts w:eastAsia="標楷體" w:ascii="標楷體" w:hAnsi="標楷體"/>
          <w:sz w:val="28"/>
        </w:rPr>
        <w:t>&lt;&lt;</w:t>
      </w:r>
      <w:r>
        <w:rPr>
          <w:rFonts w:ascii="標楷體" w:hAnsi="標楷體" w:eastAsia="標楷體"/>
          <w:sz w:val="28"/>
        </w:rPr>
        <w:t>素問‧</w:t>
      </w:r>
      <w:r>
        <w:rPr>
          <w:rFonts w:ascii="標楷體" w:hAnsi="標楷體" w:cs="MS Sans Serif;Arial" w:eastAsia="標楷體"/>
          <w:sz w:val="28"/>
        </w:rPr>
        <w:t>六微旨大論</w:t>
      </w:r>
      <w:r>
        <w:rPr>
          <w:rFonts w:ascii="標楷體" w:hAnsi="標楷體" w:cs="MS Sans Serif;Arial" w:eastAsia="標楷體"/>
          <w:sz w:val="28"/>
        </w:rPr>
        <w:t xml:space="preserve"> </w:t>
      </w:r>
      <w:r>
        <w:rPr>
          <w:rFonts w:eastAsia="標楷體" w:ascii="標楷體" w:hAnsi="標楷體"/>
          <w:sz w:val="28"/>
        </w:rPr>
        <w:t>&gt;&gt;</w:t>
      </w:r>
      <w:r>
        <w:rPr>
          <w:rFonts w:ascii="標楷體" w:hAnsi="標楷體" w:eastAsia="標楷體"/>
          <w:sz w:val="28"/>
        </w:rPr>
        <w:t>曰：「</w:t>
      </w:r>
      <w:r>
        <w:rPr>
          <w:rFonts w:ascii="標楷體" w:hAnsi="標楷體" w:cs="MS Sans Serif;Arial" w:eastAsia="標楷體"/>
          <w:sz w:val="28"/>
        </w:rPr>
        <w:t>帝曰：其升降何如？岐伯曰：氣之升降，天地之更用也。帝曰：願聞其用何如？岐伯曰：升已而降，降者謂天；降已而升，升者謂地。天氣下降，氣流於地；地氣上升，氣騰於天。故高下相召，升降相因，而變作矣。」氣化的前提是氣要產生運動，尤其是氣機升降的變化。同篇亦指出：「出入廢則神機化滅，升降息則氣立孤危。故非出入，則無以生長壯老已；非升降，則無以生長化收藏。是以升降出入，無器不有。」可見升降出入對於氣化的重要性，而此升降的樞紐位於脾胃。</w:t>
      </w:r>
      <w:r>
        <w:rPr>
          <w:rFonts w:eastAsia="標楷體" w:cs="MS Sans Serif;Arial" w:ascii="標楷體" w:hAnsi="標楷體"/>
          <w:sz w:val="28"/>
        </w:rPr>
        <w:t>&lt;&lt;</w:t>
      </w:r>
      <w:r>
        <w:rPr>
          <w:rFonts w:ascii="標楷體" w:hAnsi="標楷體" w:cs="MS Sans Serif;Arial" w:eastAsia="標楷體"/>
          <w:sz w:val="28"/>
        </w:rPr>
        <w:t>臨症指南醫案</w:t>
      </w:r>
      <w:r>
        <w:rPr>
          <w:rFonts w:eastAsia="標楷體" w:cs="MS Sans Serif;Arial" w:ascii="標楷體" w:hAnsi="標楷體"/>
          <w:sz w:val="28"/>
        </w:rPr>
        <w:t>&gt;&gt;</w:t>
      </w:r>
      <w:r>
        <w:rPr>
          <w:rFonts w:ascii="標楷體" w:hAnsi="標楷體" w:cs="MS Sans Serif;Arial" w:eastAsia="標楷體"/>
          <w:sz w:val="28"/>
        </w:rPr>
        <w:t>曰：「納食主胃，運化主脾，脾宜升則健，胃宜降則和。」又云：「</w:t>
      </w:r>
      <w:r>
        <w:rPr>
          <w:rFonts w:ascii="標楷體" w:hAnsi="標楷體" w:cs="MS Sans Serif;Arial" w:eastAsia="標楷體"/>
          <w:sz w:val="28"/>
        </w:rPr>
        <w:t xml:space="preserve"> </w:t>
      </w:r>
      <w:r>
        <w:rPr>
          <w:rFonts w:ascii="標楷體" w:hAnsi="標楷體" w:cs="MS Sans Serif;Arial" w:eastAsia="標楷體"/>
          <w:sz w:val="28"/>
        </w:rPr>
        <w:t>太陰濕土，得陽始運，陽明陽土，得陰自安，以脾喜剛燥，胃喜柔潤也。」肝肺升降的觀念則又更廣泛的概括了氣化的特性，</w:t>
      </w:r>
      <w:r>
        <w:rPr>
          <w:rFonts w:eastAsia="標楷體" w:cs="MS Sans Serif;Arial" w:ascii="標楷體" w:hAnsi="標楷體"/>
          <w:sz w:val="28"/>
        </w:rPr>
        <w:t>&lt;&lt;</w:t>
      </w:r>
      <w:r>
        <w:rPr>
          <w:rFonts w:ascii="標楷體" w:hAnsi="標楷體" w:cs="MS Sans Serif;Arial" w:eastAsia="標楷體"/>
          <w:sz w:val="28"/>
        </w:rPr>
        <w:t>臨症指南醫案</w:t>
      </w:r>
      <w:r>
        <w:rPr>
          <w:rFonts w:eastAsia="標楷體" w:cs="MS Sans Serif;Arial" w:ascii="標楷體" w:hAnsi="標楷體"/>
          <w:sz w:val="28"/>
        </w:rPr>
        <w:t>&gt;&gt;</w:t>
      </w:r>
      <w:r>
        <w:rPr>
          <w:rFonts w:ascii="標楷體" w:hAnsi="標楷體" w:cs="MS Sans Serif;Arial" w:eastAsia="標楷體"/>
          <w:sz w:val="28"/>
        </w:rPr>
        <w:t>曰：「但人身氣機，合乎天地自然，肺氣從右而降，肝氣由左而升，肺病主降日遲，肝橫司升日速。」除以上脾升胃降，肝升肺降的觀念之外，心火與腎水的既濟，對於升降的觀念也是重要的一環。</w:t>
      </w:r>
    </w:p>
    <w:p>
      <w:pPr>
        <w:pStyle w:val="Normal"/>
        <w:overflowPunct w:val="false"/>
        <w:autoSpaceDE w:val="false"/>
        <w:snapToGrid w:val="false"/>
        <w:jc w:val="both"/>
        <w:rPr>
          <w:rFonts w:ascii="標楷體" w:hAnsi="標楷體" w:eastAsia="標楷體" w:cs="MS Sans Serif;Arial"/>
          <w:sz w:val="28"/>
        </w:rPr>
      </w:pPr>
      <w:r>
        <w:rPr>
          <w:rFonts w:eastAsia="標楷體" w:cs="標楷體" w:ascii="標楷體" w:hAnsi="標楷體"/>
          <w:sz w:val="28"/>
        </w:rPr>
        <w:t xml:space="preserve">    </w:t>
      </w:r>
      <w:r>
        <w:rPr>
          <w:rFonts w:ascii="標楷體" w:hAnsi="標楷體" w:cs="MS Sans Serif;Arial" w:eastAsia="標楷體"/>
          <w:sz w:val="28"/>
        </w:rPr>
        <w:t>一般而言，中醫所稱的氣化一般可分為廣義及狹義，前者為機體生理功能的運行變化，包括了藏府氣血功能的運行，狹義氣化即指三焦氣化。</w:t>
      </w:r>
    </w:p>
    <w:p>
      <w:pPr>
        <w:pStyle w:val="Normal"/>
        <w:tabs>
          <w:tab w:val="left" w:pos="3060" w:leader="none"/>
        </w:tabs>
        <w:snapToGrid w:val="false"/>
        <w:jc w:val="both"/>
        <w:rPr>
          <w:rFonts w:ascii="標楷體" w:hAnsi="標楷體" w:eastAsia="標楷體" w:cs="MS Sans Serif;Arial"/>
          <w:b/>
          <w:b/>
          <w:sz w:val="28"/>
        </w:rPr>
      </w:pPr>
      <w:r>
        <w:rPr>
          <w:rFonts w:eastAsia="標楷體" w:cs="標楷體" w:ascii="標楷體" w:hAnsi="標楷體"/>
          <w:b/>
          <w:sz w:val="28"/>
        </w:rPr>
        <w:t xml:space="preserve">    </w:t>
      </w:r>
      <w:r>
        <w:rPr>
          <w:rFonts w:ascii="標楷體" w:hAnsi="標楷體" w:cs="MS Sans Serif;Arial" w:eastAsia="標楷體"/>
          <w:b/>
          <w:sz w:val="28"/>
        </w:rPr>
        <w:t>（三）藏府和氣化的關係</w:t>
      </w:r>
    </w:p>
    <w:p>
      <w:pPr>
        <w:pStyle w:val="Normal"/>
        <w:tabs>
          <w:tab w:val="left" w:pos="3060" w:leader="none"/>
        </w:tabs>
        <w:snapToGrid w:val="false"/>
        <w:jc w:val="both"/>
        <w:rPr>
          <w:rFonts w:ascii="標楷體" w:hAnsi="標楷體" w:eastAsia="標楷體" w:cs="MS Sans Serif;Arial"/>
          <w:sz w:val="28"/>
        </w:rPr>
      </w:pPr>
      <w:r>
        <w:rPr>
          <w:rFonts w:eastAsia="標楷體" w:cs="標楷體" w:ascii="標楷體" w:hAnsi="標楷體"/>
          <w:sz w:val="28"/>
        </w:rPr>
        <w:t xml:space="preserve">    </w:t>
      </w:r>
      <w:r>
        <w:rPr>
          <w:rFonts w:ascii="標楷體" w:hAnsi="標楷體" w:cs="MS Sans Serif;Arial" w:eastAsia="標楷體"/>
          <w:sz w:val="28"/>
        </w:rPr>
        <w:t>藏府和氣化的關係除了以上所稱：脾升胃降、肝升肺降、心火腎水的觀念之外，對於精氣的來源，以及其間的傳變，亦有其另外一層次的關係。一般而言，精藏於腎，氣亦來自於腎，透過三焦的傳導作用，可作用於五藏六府及經絡之間。除以上之外，脾對於精氣的化源，亦起著重要的作用，因此對於脾藏象的功能是有必要加以了解的。</w:t>
      </w:r>
    </w:p>
    <w:p>
      <w:pPr>
        <w:pStyle w:val="Normal"/>
        <w:tabs>
          <w:tab w:val="left" w:pos="3060" w:leader="none"/>
        </w:tabs>
        <w:snapToGrid w:val="false"/>
        <w:jc w:val="both"/>
        <w:rPr>
          <w:rFonts w:ascii="標楷體" w:hAnsi="標楷體" w:eastAsia="標楷體" w:cs="MS Sans Serif;Arial"/>
          <w:sz w:val="28"/>
        </w:rPr>
      </w:pPr>
      <w:r>
        <w:rPr>
          <w:rFonts w:eastAsia="標楷體" w:cs="標楷體" w:ascii="標楷體" w:hAnsi="標楷體"/>
          <w:sz w:val="28"/>
        </w:rPr>
        <w:t xml:space="preserve">    </w:t>
      </w:r>
      <w:r>
        <w:rPr>
          <w:rFonts w:eastAsia="標楷體" w:cs="MS Sans Serif;Arial" w:ascii="標楷體" w:hAnsi="標楷體"/>
          <w:sz w:val="28"/>
        </w:rPr>
        <w:t>1.</w:t>
      </w:r>
      <w:r>
        <w:rPr>
          <w:rFonts w:ascii="標楷體" w:hAnsi="標楷體" w:cs="華康細圓體" w:eastAsia="標楷體"/>
          <w:sz w:val="28"/>
        </w:rPr>
        <w:t>脾主運化水榖</w:t>
      </w:r>
    </w:p>
    <w:p>
      <w:pPr>
        <w:pStyle w:val="Normal"/>
        <w:tabs>
          <w:tab w:val="left" w:pos="3060" w:leader="none"/>
        </w:tabs>
        <w:snapToGrid w:val="false"/>
        <w:jc w:val="both"/>
        <w:rPr>
          <w:rFonts w:ascii="標楷體" w:hAnsi="標楷體" w:eastAsia="標楷體" w:cs="MS Sans Serif;Arial"/>
          <w:sz w:val="28"/>
        </w:rPr>
      </w:pPr>
      <w:r>
        <w:rPr>
          <w:rFonts w:eastAsia="標楷體" w:cs="標楷體" w:ascii="標楷體" w:hAnsi="標楷體"/>
          <w:sz w:val="28"/>
        </w:rPr>
        <w:t xml:space="preserve">    </w:t>
      </w:r>
      <w:r>
        <w:rPr>
          <w:rFonts w:eastAsia="標楷體" w:cs="MS Sans Serif;Arial" w:ascii="標楷體" w:hAnsi="標楷體"/>
          <w:sz w:val="28"/>
        </w:rPr>
        <w:t>&lt;&lt;</w:t>
      </w:r>
      <w:r>
        <w:rPr>
          <w:rFonts w:ascii="標楷體" w:hAnsi="標楷體" w:cs="MS Sans Serif;Arial" w:eastAsia="標楷體"/>
          <w:sz w:val="28"/>
        </w:rPr>
        <w:t>素問</w:t>
      </w:r>
      <w:r>
        <w:rPr>
          <w:rFonts w:ascii="標楷體" w:hAnsi="標楷體" w:eastAsia="標楷體"/>
          <w:sz w:val="28"/>
        </w:rPr>
        <w:t>‧</w:t>
      </w:r>
      <w:r>
        <w:rPr>
          <w:rFonts w:ascii="標楷體" w:hAnsi="標楷體" w:cs="MS Sans Serif;Arial" w:eastAsia="標楷體"/>
          <w:sz w:val="28"/>
        </w:rPr>
        <w:t>經脈別論</w:t>
      </w:r>
      <w:r>
        <w:rPr>
          <w:rFonts w:eastAsia="標楷體" w:cs="MS Sans Serif;Arial" w:ascii="標楷體" w:hAnsi="標楷體"/>
          <w:sz w:val="28"/>
        </w:rPr>
        <w:t>&gt;&gt;</w:t>
      </w:r>
      <w:r>
        <w:rPr>
          <w:rFonts w:ascii="標楷體" w:hAnsi="標楷體" w:cs="MS Sans Serif;Arial" w:eastAsia="標楷體"/>
          <w:sz w:val="28"/>
        </w:rPr>
        <w:t>曰：「飲入于胃，游溢精氣，上輸于脾。脾氣散精，上歸于肺，通調水道，下輸膀胱。水精四布，五經並行。」說明了脾氣具有化生水榖及散精的作用，如果化源虧乏及脾氣散精的功能有了缺失，會造成氣化的功能出現問題，終而形成水腫。</w:t>
      </w:r>
    </w:p>
    <w:p>
      <w:pPr>
        <w:pStyle w:val="Normal"/>
        <w:tabs>
          <w:tab w:val="left" w:pos="3060" w:leader="none"/>
        </w:tabs>
        <w:snapToGrid w:val="false"/>
        <w:jc w:val="both"/>
        <w:rPr>
          <w:rFonts w:ascii="標楷體" w:hAnsi="標楷體" w:eastAsia="標楷體" w:cs="MS Sans Serif;Arial"/>
          <w:sz w:val="28"/>
        </w:rPr>
      </w:pPr>
      <w:r>
        <w:rPr>
          <w:rFonts w:eastAsia="標楷體" w:cs="標楷體" w:ascii="標楷體" w:hAnsi="標楷體"/>
          <w:b/>
          <w:sz w:val="28"/>
        </w:rPr>
        <w:t xml:space="preserve">    </w:t>
      </w:r>
      <w:r>
        <w:rPr>
          <w:rFonts w:ascii="標楷體" w:hAnsi="標楷體" w:cs="MS Sans Serif;Arial" w:eastAsia="標楷體"/>
          <w:sz w:val="28"/>
        </w:rPr>
        <w:t>脾氣轉化所成的水榖精微，可經過脾主運化的作用，輸佈至全身，此輸佈至全身的路徑有兩條，一為前面所稱，「上歸於肺」，經過肺氣宣發肅降的功能，將水榖精微輸佈於全身。另一則是透過脾氣本身的作用，如</w:t>
      </w:r>
      <w:r>
        <w:rPr>
          <w:rFonts w:eastAsia="標楷體" w:cs="MS Sans Serif;Arial" w:ascii="標楷體" w:hAnsi="標楷體"/>
          <w:sz w:val="28"/>
        </w:rPr>
        <w:t>&lt;&lt;</w:t>
      </w:r>
      <w:r>
        <w:rPr>
          <w:rFonts w:ascii="標楷體" w:hAnsi="標楷體" w:cs="MS Sans Serif;Arial" w:eastAsia="標楷體"/>
          <w:sz w:val="28"/>
        </w:rPr>
        <w:t>素問</w:t>
      </w:r>
      <w:r>
        <w:rPr>
          <w:rFonts w:ascii="標楷體" w:hAnsi="標楷體" w:eastAsia="標楷體"/>
          <w:sz w:val="28"/>
        </w:rPr>
        <w:t>‧厥</w:t>
      </w:r>
      <w:r>
        <w:rPr>
          <w:rFonts w:ascii="標楷體" w:hAnsi="標楷體" w:cs="MS Sans Serif;Arial" w:eastAsia="標楷體"/>
          <w:sz w:val="28"/>
        </w:rPr>
        <w:t>論</w:t>
      </w:r>
      <w:r>
        <w:rPr>
          <w:rFonts w:eastAsia="標楷體" w:cs="MS Sans Serif;Arial" w:ascii="標楷體" w:hAnsi="標楷體"/>
          <w:sz w:val="28"/>
        </w:rPr>
        <w:t>&gt;&gt;</w:t>
      </w:r>
      <w:r>
        <w:rPr>
          <w:rFonts w:ascii="標楷體" w:hAnsi="標楷體" w:cs="MS Sans Serif;Arial" w:eastAsia="標楷體"/>
          <w:sz w:val="28"/>
        </w:rPr>
        <w:t>所言：「脾主為胃行其津液者也。」以上說明了</w:t>
      </w:r>
      <w:r>
        <w:rPr>
          <w:rFonts w:ascii="標楷體" w:hAnsi="標楷體" w:cs="華康細圓體" w:eastAsia="標楷體"/>
          <w:sz w:val="28"/>
        </w:rPr>
        <w:t>脾氣可推動及調節津液在人體中的代謝，</w:t>
      </w:r>
      <w:r>
        <w:rPr>
          <w:rFonts w:ascii="標楷體" w:hAnsi="標楷體" w:cs="MS Sans Serif;Arial" w:eastAsia="標楷體"/>
          <w:sz w:val="28"/>
        </w:rPr>
        <w:t>若脾氣虛弱，造成水榖精微的輸佈產生了缺失，則容易產生水腫。</w:t>
      </w:r>
    </w:p>
    <w:p>
      <w:pPr>
        <w:pStyle w:val="Normal"/>
        <w:tabs>
          <w:tab w:val="left" w:pos="3060" w:leader="none"/>
        </w:tabs>
        <w:snapToGrid w:val="false"/>
        <w:jc w:val="both"/>
        <w:rPr>
          <w:rFonts w:ascii="標楷體" w:hAnsi="標楷體" w:eastAsia="標楷體" w:cs="MS Sans Serif;Arial"/>
          <w:sz w:val="28"/>
        </w:rPr>
      </w:pPr>
      <w:r>
        <w:rPr>
          <w:rFonts w:eastAsia="標楷體" w:cs="標楷體" w:ascii="標楷體" w:hAnsi="標楷體"/>
          <w:sz w:val="28"/>
        </w:rPr>
        <w:t xml:space="preserve">    </w:t>
      </w:r>
      <w:r>
        <w:rPr>
          <w:rFonts w:eastAsia="標楷體" w:cs="MS Sans Serif;Arial" w:ascii="標楷體" w:hAnsi="標楷體"/>
          <w:sz w:val="28"/>
        </w:rPr>
        <w:t>2.</w:t>
      </w:r>
      <w:r>
        <w:rPr>
          <w:rFonts w:ascii="標楷體" w:hAnsi="標楷體" w:cs="MS Sans Serif;Arial" w:eastAsia="標楷體"/>
          <w:sz w:val="28"/>
        </w:rPr>
        <w:t>脾主運化水液</w:t>
      </w:r>
    </w:p>
    <w:p>
      <w:pPr>
        <w:pStyle w:val="Normal"/>
        <w:tabs>
          <w:tab w:val="left" w:pos="3060" w:leader="none"/>
        </w:tabs>
        <w:snapToGrid w:val="false"/>
        <w:jc w:val="both"/>
        <w:rPr>
          <w:rFonts w:ascii="標楷體" w:hAnsi="標楷體" w:eastAsia="標楷體" w:cs="MS Sans Serif;Arial"/>
          <w:sz w:val="28"/>
        </w:rPr>
      </w:pPr>
      <w:r>
        <w:rPr>
          <w:rFonts w:eastAsia="標楷體" w:cs="標楷體" w:ascii="標楷體" w:hAnsi="標楷體"/>
          <w:sz w:val="28"/>
        </w:rPr>
        <w:t xml:space="preserve">    </w:t>
      </w:r>
      <w:r>
        <w:rPr>
          <w:rFonts w:ascii="標楷體" w:hAnsi="標楷體" w:cs="華康細圓體" w:eastAsia="標楷體"/>
          <w:sz w:val="28"/>
        </w:rPr>
        <w:t>脾除了具有運化水榖的功能之外，其亦有運化水液的作用，若脾對體內水液的代謝功能失調亦會產生水腫。</w:t>
      </w:r>
      <w:r>
        <w:rPr>
          <w:rFonts w:eastAsia="標楷體" w:cs="MS Sans Serif;Arial" w:ascii="標楷體" w:hAnsi="標楷體"/>
          <w:sz w:val="28"/>
        </w:rPr>
        <w:t>&lt;&lt;</w:t>
      </w:r>
      <w:r>
        <w:rPr>
          <w:rFonts w:ascii="標楷體" w:hAnsi="標楷體" w:cs="MS Sans Serif;Arial" w:eastAsia="標楷體"/>
          <w:sz w:val="28"/>
        </w:rPr>
        <w:t>素問</w:t>
      </w:r>
      <w:r>
        <w:rPr>
          <w:rFonts w:ascii="標楷體" w:hAnsi="標楷體" w:eastAsia="標楷體"/>
          <w:sz w:val="28"/>
        </w:rPr>
        <w:t>‧至真要大</w:t>
      </w:r>
      <w:r>
        <w:rPr>
          <w:rFonts w:ascii="標楷體" w:hAnsi="標楷體" w:cs="MS Sans Serif;Arial" w:eastAsia="標楷體"/>
          <w:sz w:val="28"/>
        </w:rPr>
        <w:t>論</w:t>
      </w:r>
      <w:r>
        <w:rPr>
          <w:rFonts w:eastAsia="標楷體" w:cs="MS Sans Serif;Arial" w:ascii="標楷體" w:hAnsi="標楷體"/>
          <w:sz w:val="28"/>
        </w:rPr>
        <w:t>&gt;&gt;</w:t>
      </w:r>
      <w:r>
        <w:rPr>
          <w:rFonts w:ascii="標楷體" w:hAnsi="標楷體" w:cs="MS Sans Serif;Arial" w:eastAsia="標楷體"/>
          <w:sz w:val="28"/>
        </w:rPr>
        <w:t>稱：「諸濕腫滿，皆屬於脾。」總結以上，不管是脾主運化水榖或水液的功能有所缺失，均會導致水腫的形成。脾氣運化失常造成水腫的機轉簡列如下：</w:t>
      </w:r>
    </w:p>
    <w:p>
      <w:pPr>
        <w:pStyle w:val="Normal"/>
        <w:tabs>
          <w:tab w:val="left" w:pos="3060" w:leader="none"/>
        </w:tabs>
        <w:snapToGrid w:val="false"/>
        <w:jc w:val="both"/>
        <w:rPr>
          <w:rFonts w:ascii="標楷體" w:hAnsi="標楷體" w:eastAsia="標楷體" w:cs="MS Sans Serif;Arial"/>
          <w:sz w:val="28"/>
        </w:rPr>
      </w:pPr>
      <w:r>
        <w:rPr>
          <w:rFonts w:eastAsia="標楷體" w:cs="MS Sans Serif;Arial" w:ascii="標楷體" w:hAnsi="標楷體"/>
          <w:sz w:val="28"/>
        </w:rPr>
      </w:r>
    </w:p>
    <w:p>
      <w:pPr>
        <w:pStyle w:val="Normal"/>
        <w:tabs>
          <w:tab w:val="left" w:pos="3060" w:leader="none"/>
        </w:tabs>
        <w:snapToGrid w:val="false"/>
        <w:jc w:val="both"/>
        <w:rPr/>
      </w:pPr>
      <w:r>
        <mc:AlternateContent>
          <mc:Choice Requires="wps">
            <w:drawing>
              <wp:anchor behindDoc="0" distT="0" distB="0" distL="114935" distR="114935" simplePos="0" locked="0" layoutInCell="1" allowOverlap="1" relativeHeight="12">
                <wp:simplePos x="0" y="0"/>
                <wp:positionH relativeFrom="column">
                  <wp:posOffset>2171700</wp:posOffset>
                </wp:positionH>
                <wp:positionV relativeFrom="paragraph">
                  <wp:posOffset>38100</wp:posOffset>
                </wp:positionV>
                <wp:extent cx="114935" cy="572135"/>
                <wp:effectExtent l="0" t="0" r="0" b="0"/>
                <wp:wrapNone/>
                <wp:docPr id="8" name=""/>
                <a:graphic xmlns:a="http://schemas.openxmlformats.org/drawingml/2006/main">
                  <a:graphicData uri="http://schemas.microsoft.com/office/word/2010/wordprocessingShape">
                    <wps:wsp>
                      <wps:cNvSpPr/>
                      <wps:spPr>
                        <a:xfrm>
                          <a:off x="0" y="0"/>
                          <a:ext cx="114480" cy="571680"/>
                        </a:xfrm>
                        <a:custGeom>
                          <a:avLst/>
                          <a:gdLst/>
                          <a:ahLst/>
                          <a:rect l="0" t="0" r="r" b="b"/>
                          <a:pathLst>
                            <a:path w="182" h="902">
                              <a:moveTo>
                                <a:pt x="181" y="0"/>
                              </a:moveTo>
                              <a:cubicBezTo>
                                <a:pt x="135" y="0"/>
                                <a:pt x="90" y="37"/>
                                <a:pt x="90" y="75"/>
                              </a:cubicBezTo>
                              <a:lnTo>
                                <a:pt x="90" y="375"/>
                              </a:lnTo>
                              <a:cubicBezTo>
                                <a:pt x="90" y="412"/>
                                <a:pt x="45" y="450"/>
                                <a:pt x="0" y="450"/>
                              </a:cubicBezTo>
                              <a:cubicBezTo>
                                <a:pt x="45" y="450"/>
                                <a:pt x="90" y="488"/>
                                <a:pt x="90" y="525"/>
                              </a:cubicBezTo>
                              <a:lnTo>
                                <a:pt x="90" y="825"/>
                              </a:lnTo>
                              <a:cubicBezTo>
                                <a:pt x="90" y="863"/>
                                <a:pt x="135" y="901"/>
                                <a:pt x="181" y="901"/>
                              </a:cubicBezTo>
                            </a:path>
                          </a:pathLst>
                        </a:custGeom>
                        <a:noFill/>
                        <a:ln w="9360">
                          <a:solidFill>
                            <a:srgbClr val="000000"/>
                          </a:solidFill>
                          <a:miter/>
                        </a:ln>
                      </wps:spPr>
                      <wps:style>
                        <a:lnRef idx="0"/>
                        <a:fillRef idx="0"/>
                        <a:effectRef idx="0"/>
                        <a:fontRef idx="minor"/>
                      </wps:style>
                      <wps:bodyPr/>
                    </wps:wsp>
                  </a:graphicData>
                </a:graphic>
              </wp:anchor>
            </w:drawing>
          </mc:Choice>
          <mc:Fallback>
            <w:pict>
              <v:shapetype id="shapetype_87" coordsize="21600,21600" o:spt="87" adj="10800,1800" path="m21600,21600qx@12@13l10800@5qy@14@15qx@16@17l10800@4qy@18@19xnsem21600,21600qx@12@13l10800@5qy@14@15qx@16@17l10800@4qy@18@19nfe">
                <v:stroke joinstyle="miter"/>
                <v:formulas>
                  <v:f eqn="val #0"/>
                  <v:f eqn="sum 21600 0 @0"/>
                  <v:f eqn="min @1 @0"/>
                  <v:f eqn="prod @2 1 2"/>
                  <v:f eqn="val #1"/>
                  <v:f eqn="sum @0 @4 0"/>
                  <v:f eqn="sumangle 0 45 0"/>
                  <v:f eqn="cos 10800 @6"/>
                  <v:f eqn="sin @4 @6"/>
                  <v:f eqn="sum width 0 @7"/>
                  <v:f eqn="sum @4 0 @8"/>
                  <v:f eqn="sum height @8 @4"/>
                  <v:f eqn="sum 0 21600 10800"/>
                  <v:f eqn="sum 0 21600 @4"/>
                  <v:f eqn="sum 0 10800 10800"/>
                  <v:f eqn="sum 0 @5 @4"/>
                  <v:f eqn="sum 10800 @14 0"/>
                  <v:f eqn="sum 0 @15 @4"/>
                  <v:f eqn="sum 10800 10800 0"/>
                  <v:f eqn="sum 0 @4 @4"/>
                </v:formulas>
                <v:path gradientshapeok="t" o:connecttype="rect" textboxrect="@9,@10,21600,@11"/>
                <v:handles>
                  <v:h position="10800,@4"/>
                  <v:h position="0,@0"/>
                </v:handles>
              </v:shapetype>
              <v:shape id="shape_0" stroked="t" style="position:absolute;margin-left:171pt;margin-top:3pt;width:8.95pt;height:44.95pt" type="shapetype_87">
                <w10:wrap type="none"/>
                <v:fill o:detectmouseclick="t" on="false"/>
                <v:stroke color="black" weight="9360" joinstyle="miter" endcap="square"/>
              </v:shape>
            </w:pict>
          </mc:Fallback>
        </mc:AlternateContent>
        <mc:AlternateContent>
          <mc:Choice Requires="wps">
            <w:drawing>
              <wp:anchor behindDoc="0" distT="0" distB="0" distL="114935" distR="114935" simplePos="0" locked="0" layoutInCell="1" allowOverlap="1" relativeHeight="13">
                <wp:simplePos x="0" y="0"/>
                <wp:positionH relativeFrom="column">
                  <wp:posOffset>3771900</wp:posOffset>
                </wp:positionH>
                <wp:positionV relativeFrom="paragraph">
                  <wp:posOffset>38100</wp:posOffset>
                </wp:positionV>
                <wp:extent cx="114935" cy="572135"/>
                <wp:effectExtent l="0" t="0" r="0" b="0"/>
                <wp:wrapNone/>
                <wp:docPr id="9" name=""/>
                <a:graphic xmlns:a="http://schemas.openxmlformats.org/drawingml/2006/main">
                  <a:graphicData uri="http://schemas.microsoft.com/office/word/2010/wordprocessingShape">
                    <wps:wsp>
                      <wps:cNvSpPr/>
                      <wps:spPr>
                        <a:xfrm>
                          <a:off x="0" y="0"/>
                          <a:ext cx="114480" cy="571680"/>
                        </a:xfrm>
                        <a:custGeom>
                          <a:avLst/>
                          <a:gdLst/>
                          <a:ahLst/>
                          <a:rect l="0" t="0" r="r" b="b"/>
                          <a:pathLst>
                            <a:path w="182" h="902">
                              <a:moveTo>
                                <a:pt x="0" y="0"/>
                              </a:moveTo>
                              <a:cubicBezTo>
                                <a:pt x="45" y="0"/>
                                <a:pt x="90" y="37"/>
                                <a:pt x="90" y="75"/>
                              </a:cubicBezTo>
                              <a:lnTo>
                                <a:pt x="90" y="375"/>
                              </a:lnTo>
                              <a:cubicBezTo>
                                <a:pt x="90" y="412"/>
                                <a:pt x="135" y="450"/>
                                <a:pt x="181" y="450"/>
                              </a:cubicBezTo>
                              <a:cubicBezTo>
                                <a:pt x="135" y="450"/>
                                <a:pt x="90" y="488"/>
                                <a:pt x="90" y="525"/>
                              </a:cubicBezTo>
                              <a:lnTo>
                                <a:pt x="90" y="825"/>
                              </a:lnTo>
                              <a:cubicBezTo>
                                <a:pt x="90" y="863"/>
                                <a:pt x="45" y="901"/>
                                <a:pt x="0" y="901"/>
                              </a:cubicBezTo>
                            </a:path>
                          </a:pathLst>
                        </a:custGeom>
                        <a:noFill/>
                        <a:ln w="9360">
                          <a:solidFill>
                            <a:srgbClr val="000000"/>
                          </a:solidFill>
                          <a:miter/>
                        </a:ln>
                      </wps:spPr>
                      <wps:style>
                        <a:lnRef idx="0"/>
                        <a:fillRef idx="0"/>
                        <a:effectRef idx="0"/>
                        <a:fontRef idx="minor"/>
                      </wps:style>
                      <wps:bodyPr/>
                    </wps:wsp>
                  </a:graphicData>
                </a:graphic>
              </wp:anchor>
            </w:drawing>
          </mc:Choice>
          <mc:Fallback>
            <w:pict>
              <v:shapetype id="shapetype_88" coordsize="21600,21600" o:spt="88" adj="10800,1800" path="m,qx@13@14l10800@5qy@15@16qx@17@18l10800@6qy@19@20xnsem,qx@13@14l10800@5qy@15@16qx@17@18l10800@6qy@19@20nfe">
                <v:stroke joinstyle="miter"/>
                <v:formulas>
                  <v:f eqn="val #0"/>
                  <v:f eqn="sum 21600 0 @0"/>
                  <v:f eqn="min @1 @0"/>
                  <v:f eqn="prod @2 1 2"/>
                  <v:f eqn="val #1"/>
                  <v:f eqn="sum @0 0 @4"/>
                  <v:f eqn="sum height 0 @4"/>
                  <v:f eqn="sumangle 0 45 0"/>
                  <v:f eqn="cos 10800 @7"/>
                  <v:f eqn="sin @4 @7"/>
                  <v:f eqn="sum 0 @8 0"/>
                  <v:f eqn="sum @4 0 @9"/>
                  <v:f eqn="sum height @9 @4"/>
                  <v:f eqn="sum 10800 0 0"/>
                  <v:f eqn="sum @4 0 0"/>
                  <v:f eqn="sum 10800 10800 0"/>
                  <v:f eqn="sum @4 @5 0"/>
                  <v:f eqn="sum 0 @15 10800"/>
                  <v:f eqn="sum @4 @16 0"/>
                  <v:f eqn="sum 0 10800 10800"/>
                  <v:f eqn="sum @4 @6 0"/>
                </v:formulas>
                <v:path gradientshapeok="t" o:connecttype="rect" textboxrect="0,@11,@10,@12"/>
                <v:handles>
                  <v:h position="10800,@4"/>
                  <v:h position="21600,@0"/>
                </v:handles>
              </v:shapetype>
              <v:shape id="shape_0" stroked="t" style="position:absolute;margin-left:297pt;margin-top:3pt;width:8.95pt;height:44.95pt" type="shapetype_88">
                <w10:wrap type="none"/>
                <v:fill o:detectmouseclick="t" on="false"/>
                <v:stroke color="black" weight="9360" joinstyle="miter" endcap="square"/>
              </v:shape>
            </w:pict>
          </mc:Fallback>
        </mc:AlternateContent>
      </w:r>
      <w:r>
        <w:rPr>
          <w:rFonts w:eastAsia="標楷體" w:cs="標楷體" w:ascii="標楷體" w:hAnsi="標楷體"/>
          <w:sz w:val="28"/>
        </w:rPr>
        <w:t xml:space="preserve"> </w:t>
      </w:r>
      <w:r>
        <w:rPr>
          <w:rFonts w:eastAsia="標楷體" w:cs="標楷體" w:ascii="標楷體" w:hAnsi="標楷體"/>
          <w:sz w:val="28"/>
        </w:rPr>
        <w:t xml:space="preserve">                         </w:t>
      </w:r>
      <w:r>
        <w:rPr>
          <w:rFonts w:ascii="標楷體" w:hAnsi="標楷體" w:cs="MS Sans Serif;Arial" w:eastAsia="標楷體"/>
          <w:sz w:val="28"/>
        </w:rPr>
        <w:t>化源匱乏</w:t>
      </w:r>
      <w:r>
        <w:rPr>
          <w:rFonts w:ascii="標楷體" w:hAnsi="標楷體" w:cs="MS Sans Serif;Arial" w:eastAsia="標楷體"/>
          <w:sz w:val="28"/>
        </w:rPr>
        <w:t xml:space="preserve"> </w:t>
      </w:r>
    </w:p>
    <w:p>
      <w:pPr>
        <w:pStyle w:val="Normal"/>
        <w:tabs>
          <w:tab w:val="left" w:pos="3060" w:leader="none"/>
        </w:tabs>
        <w:snapToGrid w:val="false"/>
        <w:jc w:val="both"/>
        <w:rPr/>
      </w:pPr>
      <w:r>
        <mc:AlternateContent>
          <mc:Choice Requires="wps">
            <w:drawing>
              <wp:anchor behindDoc="0" distT="0" distB="0" distL="114935" distR="114935" simplePos="0" locked="0" layoutInCell="1" allowOverlap="1" relativeHeight="11">
                <wp:simplePos x="0" y="0"/>
                <wp:positionH relativeFrom="column">
                  <wp:posOffset>571500</wp:posOffset>
                </wp:positionH>
                <wp:positionV relativeFrom="paragraph">
                  <wp:posOffset>35560</wp:posOffset>
                </wp:positionV>
                <wp:extent cx="114935" cy="1029335"/>
                <wp:effectExtent l="0" t="0" r="0" b="0"/>
                <wp:wrapNone/>
                <wp:docPr id="10" name=""/>
                <a:graphic xmlns:a="http://schemas.openxmlformats.org/drawingml/2006/main">
                  <a:graphicData uri="http://schemas.microsoft.com/office/word/2010/wordprocessingShape">
                    <wps:wsp>
                      <wps:cNvSpPr/>
                      <wps:spPr>
                        <a:xfrm>
                          <a:off x="0" y="0"/>
                          <a:ext cx="114480" cy="1028880"/>
                        </a:xfrm>
                        <a:custGeom>
                          <a:avLst/>
                          <a:gdLst/>
                          <a:ahLst/>
                          <a:rect l="0" t="0" r="r" b="b"/>
                          <a:pathLst>
                            <a:path w="182" h="1622">
                              <a:moveTo>
                                <a:pt x="181" y="0"/>
                              </a:moveTo>
                              <a:cubicBezTo>
                                <a:pt x="135" y="0"/>
                                <a:pt x="90" y="67"/>
                                <a:pt x="90" y="135"/>
                              </a:cubicBezTo>
                              <a:lnTo>
                                <a:pt x="90" y="675"/>
                              </a:lnTo>
                              <a:cubicBezTo>
                                <a:pt x="90" y="742"/>
                                <a:pt x="45" y="810"/>
                                <a:pt x="0" y="810"/>
                              </a:cubicBezTo>
                              <a:cubicBezTo>
                                <a:pt x="45" y="810"/>
                                <a:pt x="90" y="878"/>
                                <a:pt x="90" y="945"/>
                              </a:cubicBezTo>
                              <a:lnTo>
                                <a:pt x="90" y="1485"/>
                              </a:lnTo>
                              <a:cubicBezTo>
                                <a:pt x="90" y="1553"/>
                                <a:pt x="135" y="1621"/>
                                <a:pt x="181" y="1621"/>
                              </a:cubicBezTo>
                            </a:path>
                          </a:pathLst>
                        </a:custGeom>
                        <a:noFill/>
                        <a:ln w="9360">
                          <a:solidFill>
                            <a:srgbClr val="000000"/>
                          </a:solidFill>
                          <a:miter/>
                        </a:ln>
                      </wps:spPr>
                      <wps:style>
                        <a:lnRef idx="0"/>
                        <a:fillRef idx="0"/>
                        <a:effectRef idx="0"/>
                        <a:fontRef idx="minor"/>
                      </wps:style>
                      <wps:bodyPr/>
                    </wps:wsp>
                  </a:graphicData>
                </a:graphic>
              </wp:anchor>
            </w:drawing>
          </mc:Choice>
          <mc:Fallback>
            <w:pict>
              <v:shape id="shape_0" stroked="t" style="position:absolute;margin-left:45pt;margin-top:2.8pt;width:8.95pt;height:80.95pt" type="shapetype_87">
                <w10:wrap type="none"/>
                <v:fill o:detectmouseclick="t" on="false"/>
                <v:stroke color="black" weight="9360" joinstyle="miter" endcap="square"/>
              </v:shape>
            </w:pict>
          </mc:Fallback>
        </mc:AlternateContent>
      </w:r>
      <w:r>
        <w:rPr>
          <w:rFonts w:eastAsia="標楷體" w:cs="標楷體" w:ascii="標楷體" w:hAnsi="標楷體"/>
          <w:sz w:val="28"/>
        </w:rPr>
        <w:t xml:space="preserve"> </w:t>
      </w:r>
      <w:r>
        <w:rPr>
          <w:rFonts w:eastAsia="標楷體" w:cs="標楷體" w:ascii="標楷體" w:hAnsi="標楷體"/>
          <w:sz w:val="28"/>
        </w:rPr>
        <w:t xml:space="preserve">       </w:t>
      </w:r>
      <w:r>
        <w:rPr>
          <w:rFonts w:ascii="標楷體" w:hAnsi="標楷體" w:cs="MS Sans Serif;Arial" w:eastAsia="標楷體"/>
          <w:sz w:val="28"/>
        </w:rPr>
        <w:t>運化水榖功能缺失</w:t>
      </w:r>
      <w:r>
        <w:rPr>
          <w:rFonts w:ascii="標楷體" w:hAnsi="標楷體" w:cs="MS Sans Serif;Arial" w:eastAsia="標楷體"/>
          <w:sz w:val="28"/>
        </w:rPr>
        <w:t xml:space="preserve">                    </w:t>
      </w:r>
      <w:r>
        <w:rPr>
          <w:rFonts w:ascii="標楷體" w:hAnsi="標楷體" w:cs="MS Sans Serif;Arial" w:eastAsia="標楷體"/>
          <w:sz w:val="28"/>
        </w:rPr>
        <w:t>水道不通</w:t>
      </w:r>
      <w:r>
        <w:rPr>
          <w:rFonts w:ascii="標楷體" w:hAnsi="標楷體" w:cs="MS Sans Serif;Arial" w:eastAsia="標楷體"/>
          <w:sz w:val="28"/>
        </w:rPr>
        <w:t xml:space="preserve"> </w:t>
      </w:r>
      <w:r>
        <w:rPr>
          <w:rFonts w:ascii="Monotype Sorts;Symbol" w:hAnsi="Monotype Sorts;Symbol" w:cs="Monotype Sorts;Symbol" w:eastAsia="Monotype Sorts;Symbol"/>
          <w:sz w:val="28"/>
        </w:rPr>
        <w:t></w:t>
      </w:r>
      <w:r>
        <w:rPr>
          <w:rFonts w:ascii="標楷體" w:hAnsi="標楷體" w:cs="MS Sans Serif;Arial" w:eastAsia="標楷體"/>
          <w:sz w:val="28"/>
        </w:rPr>
        <w:t>水腫</w:t>
      </w:r>
      <w:r>
        <w:rPr>
          <w:rFonts w:ascii="標楷體" w:hAnsi="標楷體" w:cs="MS Sans Serif;Arial" w:eastAsia="標楷體"/>
          <w:sz w:val="28"/>
        </w:rPr>
        <w:t xml:space="preserve">   </w:t>
      </w:r>
    </w:p>
    <w:p>
      <w:pPr>
        <w:pStyle w:val="Normal"/>
        <w:tabs>
          <w:tab w:val="left" w:pos="3060" w:leader="none"/>
        </w:tabs>
        <w:snapToGrid w:val="false"/>
        <w:jc w:val="both"/>
        <w:rPr/>
      </w:pPr>
      <w:r>
        <w:rPr>
          <w:rFonts w:eastAsia="標楷體" w:cs="標楷體" w:ascii="標楷體" w:hAnsi="標楷體"/>
          <w:sz w:val="28"/>
        </w:rPr>
        <w:t xml:space="preserve">                          </w:t>
      </w:r>
      <w:r>
        <w:rPr>
          <w:rFonts w:ascii="標楷體" w:hAnsi="標楷體" w:cs="MS Sans Serif;Arial" w:eastAsia="標楷體"/>
          <w:sz w:val="28"/>
        </w:rPr>
        <w:t>無法散精</w:t>
      </w:r>
      <w:r>
        <w:rPr>
          <w:rFonts w:ascii="標楷體" w:hAnsi="標楷體" w:cs="MS Sans Serif;Arial" w:eastAsia="標楷體"/>
        </w:rPr>
        <w:t>（肺、脾）</w:t>
      </w:r>
      <w:r>
        <w:rPr>
          <w:rFonts w:ascii="標楷體" w:hAnsi="標楷體" w:cs="MS Sans Serif;Arial" w:eastAsia="標楷體"/>
          <w:sz w:val="28"/>
        </w:rPr>
        <w:t xml:space="preserve"> </w:t>
      </w:r>
    </w:p>
    <w:p>
      <w:pPr>
        <w:pStyle w:val="Normal"/>
        <w:tabs>
          <w:tab w:val="left" w:pos="3060" w:leader="none"/>
        </w:tabs>
        <w:snapToGrid w:val="false"/>
        <w:jc w:val="both"/>
        <w:rPr/>
      </w:pPr>
      <w:r>
        <w:rPr>
          <w:rFonts w:ascii="標楷體" w:hAnsi="標楷體" w:cs="MS Sans Serif;Arial" w:eastAsia="標楷體"/>
          <w:sz w:val="28"/>
        </w:rPr>
        <w:t>脾氣虛</w:t>
      </w:r>
      <w:r>
        <w:rPr>
          <w:rFonts w:ascii="標楷體" w:hAnsi="標楷體" w:cs="MS Sans Serif;Arial" w:eastAsia="標楷體"/>
          <w:sz w:val="28"/>
        </w:rPr>
        <w:t xml:space="preserve">     </w:t>
      </w:r>
    </w:p>
    <w:p>
      <w:pPr>
        <w:pStyle w:val="Normal"/>
        <w:tabs>
          <w:tab w:val="left" w:pos="3060" w:leader="none"/>
        </w:tabs>
        <w:snapToGrid w:val="false"/>
        <w:jc w:val="both"/>
        <w:rPr>
          <w:rFonts w:cs="MS Sans Serif;Arial"/>
        </w:rPr>
      </w:pPr>
      <w:r>
        <w:rPr>
          <w:rFonts w:eastAsia="標楷體" w:cs="標楷體" w:ascii="標楷體" w:hAnsi="標楷體"/>
          <w:sz w:val="28"/>
        </w:rPr>
        <w:t xml:space="preserve">        </w:t>
      </w:r>
    </w:p>
    <w:p>
      <w:pPr>
        <w:pStyle w:val="Normal"/>
        <w:tabs>
          <w:tab w:val="left" w:pos="3060" w:leader="none"/>
        </w:tabs>
        <w:snapToGrid w:val="false"/>
        <w:jc w:val="both"/>
        <w:rPr>
          <w:rFonts w:ascii="標楷體" w:hAnsi="標楷體" w:eastAsia="標楷體" w:cs="MS Sans Serif;Arial"/>
          <w:sz w:val="28"/>
        </w:rPr>
      </w:pPr>
      <w:r>
        <w:rPr>
          <w:rFonts w:eastAsia="標楷體" w:cs="標楷體" w:ascii="標楷體" w:hAnsi="標楷體"/>
          <w:sz w:val="28"/>
        </w:rPr>
        <w:t xml:space="preserve">        </w:t>
      </w:r>
      <w:r>
        <w:rPr>
          <w:rFonts w:ascii="標楷體" w:hAnsi="標楷體" w:cs="MS Sans Serif;Arial" w:eastAsia="標楷體"/>
          <w:sz w:val="28"/>
        </w:rPr>
        <w:t>運化水液功能缺失</w:t>
      </w:r>
      <w:r>
        <w:rPr>
          <w:rFonts w:ascii="標楷體" w:hAnsi="標楷體" w:cs="MS Sans Serif;Arial" w:eastAsia="標楷體"/>
          <w:sz w:val="28"/>
        </w:rPr>
        <w:t xml:space="preserve"> </w:t>
      </w:r>
      <w:r>
        <w:rPr>
          <w:rFonts w:ascii="Monotype Sorts;Symbol" w:hAnsi="Monotype Sorts;Symbol" w:cs="Monotype Sorts;Symbol" w:eastAsia="Monotype Sorts;Symbol"/>
          <w:sz w:val="28"/>
        </w:rPr>
        <w:t></w:t>
      </w:r>
      <w:r>
        <w:rPr>
          <w:rFonts w:ascii="標楷體" w:hAnsi="標楷體" w:cs="MS Sans Serif;Arial" w:eastAsia="標楷體"/>
          <w:sz w:val="28"/>
        </w:rPr>
        <w:t xml:space="preserve"> </w:t>
      </w:r>
      <w:r>
        <w:rPr>
          <w:rFonts w:ascii="標楷體" w:hAnsi="標楷體" w:cs="MS Sans Serif;Arial" w:eastAsia="標楷體"/>
          <w:sz w:val="28"/>
        </w:rPr>
        <w:t>水腫</w:t>
      </w:r>
    </w:p>
    <w:p>
      <w:pPr>
        <w:pStyle w:val="Normal"/>
        <w:tabs>
          <w:tab w:val="left" w:pos="3060" w:leader="none"/>
        </w:tabs>
        <w:snapToGrid w:val="false"/>
        <w:jc w:val="both"/>
        <w:rPr>
          <w:rFonts w:ascii="標楷體" w:hAnsi="標楷體" w:eastAsia="標楷體" w:cs="MS Sans Serif;Arial"/>
          <w:sz w:val="28"/>
        </w:rPr>
      </w:pPr>
      <w:r>
        <w:rPr>
          <w:rFonts w:eastAsia="標楷體" w:cs="MS Sans Serif;Arial" w:ascii="標楷體" w:hAnsi="標楷體"/>
          <w:sz w:val="28"/>
        </w:rPr>
      </w:r>
    </w:p>
    <w:p>
      <w:pPr>
        <w:pStyle w:val="Normal"/>
        <w:tabs>
          <w:tab w:val="left" w:pos="3060" w:leader="none"/>
        </w:tabs>
        <w:snapToGrid w:val="false"/>
        <w:jc w:val="both"/>
        <w:rPr>
          <w:rFonts w:ascii="標楷體" w:hAnsi="標楷體" w:eastAsia="標楷體" w:cs="MS Sans Serif;Arial"/>
          <w:sz w:val="28"/>
        </w:rPr>
      </w:pPr>
      <w:r>
        <w:rPr>
          <w:rFonts w:eastAsia="標楷體" w:cs="標楷體" w:ascii="標楷體" w:hAnsi="標楷體"/>
          <w:sz w:val="28"/>
        </w:rPr>
        <w:t xml:space="preserve">    </w:t>
      </w:r>
      <w:r>
        <w:rPr>
          <w:rFonts w:ascii="標楷體" w:hAnsi="標楷體" w:cs="MS Sans Serif;Arial" w:eastAsia="標楷體"/>
          <w:sz w:val="28"/>
        </w:rPr>
        <w:t>此外，腎失封藏亦可影響脾對水液代謝功能的調節，</w:t>
      </w:r>
      <w:r>
        <w:rPr>
          <w:rFonts w:eastAsia="標楷體" w:cs="MS Sans Serif;Arial" w:ascii="標楷體" w:hAnsi="標楷體"/>
          <w:sz w:val="28"/>
        </w:rPr>
        <w:t>&lt;&lt;</w:t>
      </w:r>
      <w:r>
        <w:rPr>
          <w:rFonts w:ascii="標楷體" w:hAnsi="標楷體" w:cs="MS Sans Serif;Arial" w:eastAsia="標楷體"/>
          <w:sz w:val="28"/>
        </w:rPr>
        <w:t>素問</w:t>
      </w:r>
      <w:r>
        <w:rPr>
          <w:rFonts w:ascii="標楷體" w:hAnsi="標楷體" w:eastAsia="標楷體"/>
          <w:sz w:val="28"/>
        </w:rPr>
        <w:t>‧水熱穴</w:t>
      </w:r>
      <w:r>
        <w:rPr>
          <w:rFonts w:ascii="標楷體" w:hAnsi="標楷體" w:cs="MS Sans Serif;Arial" w:eastAsia="標楷體"/>
          <w:sz w:val="28"/>
        </w:rPr>
        <w:t>論</w:t>
      </w:r>
      <w:r>
        <w:rPr>
          <w:rFonts w:eastAsia="標楷體" w:cs="MS Sans Serif;Arial" w:ascii="標楷體" w:hAnsi="標楷體"/>
          <w:sz w:val="28"/>
        </w:rPr>
        <w:t>&gt;&gt;</w:t>
      </w:r>
      <w:r>
        <w:rPr>
          <w:rFonts w:ascii="標楷體" w:hAnsi="標楷體" w:cs="MS Sans Serif;Arial" w:eastAsia="標楷體"/>
          <w:sz w:val="28"/>
        </w:rPr>
        <w:t>「腎者，胃之關，關門不利，故聚水而從其類也。」腎的氣化蒸騰功能失司，造成脾胃功能的虛損，水液運化無權，終而形成水腫。水腫形成之後，會侮脾土，「脾惡濕」，終而又更惡化水腫的產生，除以上之外，脾自身的虛損，亦可惡化水腫的形成。</w:t>
      </w:r>
    </w:p>
    <w:p>
      <w:pPr>
        <w:pStyle w:val="Normal"/>
        <w:overflowPunct w:val="false"/>
        <w:autoSpaceDE w:val="false"/>
        <w:snapToGrid w:val="false"/>
        <w:jc w:val="both"/>
        <w:rPr>
          <w:rFonts w:ascii="標楷體" w:hAnsi="標楷體" w:eastAsia="標楷體" w:cs="MS Sans Serif;Arial"/>
          <w:sz w:val="28"/>
        </w:rPr>
      </w:pPr>
      <w:r>
        <w:rPr>
          <w:rFonts w:eastAsia="標楷體" w:cs="標楷體" w:ascii="標楷體" w:hAnsi="標楷體"/>
          <w:sz w:val="28"/>
        </w:rPr>
        <w:t xml:space="preserve">    </w:t>
      </w:r>
      <w:r>
        <w:rPr>
          <w:rFonts w:ascii="標楷體" w:hAnsi="標楷體" w:cs="MS Sans Serif;Arial" w:eastAsia="標楷體"/>
          <w:sz w:val="28"/>
        </w:rPr>
        <w:t>由上可知，津液的代謝最主要是靠肺、脾、腎、肝、三焦、膀胱等藏府氣化的作用所共同完成的。脾運化水液的功能已如上所述，肺主行水的功能則是接受脾所轉輸來的津液之後，通過宣發肅降的功能，將水液輸佈至上焦體表或下焦的腎與膀胱。</w:t>
      </w:r>
      <w:r>
        <w:rPr>
          <w:rFonts w:eastAsia="標楷體" w:ascii="標楷體" w:hAnsi="標楷體"/>
          <w:sz w:val="28"/>
        </w:rPr>
        <w:t>&lt;&lt;</w:t>
      </w:r>
      <w:r>
        <w:rPr>
          <w:rFonts w:ascii="標楷體" w:hAnsi="標楷體" w:eastAsia="標楷體"/>
          <w:sz w:val="28"/>
        </w:rPr>
        <w:t>素問‧逆調</w:t>
      </w:r>
      <w:r>
        <w:rPr>
          <w:rFonts w:ascii="標楷體" w:hAnsi="標楷體" w:cs="MS Sans Serif;Arial" w:eastAsia="標楷體"/>
          <w:sz w:val="28"/>
        </w:rPr>
        <w:t>論</w:t>
      </w:r>
      <w:r>
        <w:rPr>
          <w:rFonts w:eastAsia="標楷體" w:ascii="標楷體" w:hAnsi="標楷體"/>
          <w:sz w:val="28"/>
        </w:rPr>
        <w:t>&gt;&gt;</w:t>
      </w:r>
      <w:r>
        <w:rPr>
          <w:rFonts w:ascii="標楷體" w:hAnsi="標楷體" w:eastAsia="標楷體"/>
          <w:sz w:val="28"/>
        </w:rPr>
        <w:t>「</w:t>
      </w:r>
      <w:r>
        <w:rPr>
          <w:rFonts w:ascii="標楷體" w:hAnsi="標楷體" w:eastAsia="標楷體"/>
          <w:sz w:val="28"/>
        </w:rPr>
        <w:t>腎為水藏，主津液。」許多藏府對水液的代謝，均要靠腎蒸騰氣化的功能所完成。此外水液的代謝亦要靠肝主疏泄，氣機通暢，使津液得行。</w:t>
      </w:r>
    </w:p>
    <w:p>
      <w:pPr>
        <w:pStyle w:val="Normal"/>
        <w:tabs>
          <w:tab w:val="left" w:pos="3060" w:leader="none"/>
        </w:tabs>
        <w:snapToGrid w:val="false"/>
        <w:jc w:val="both"/>
        <w:rPr>
          <w:rFonts w:ascii="標楷體" w:hAnsi="標楷體" w:eastAsia="標楷體" w:cs="MS Sans Serif;Arial"/>
          <w:sz w:val="28"/>
        </w:rPr>
      </w:pPr>
      <w:r>
        <w:rPr>
          <w:rFonts w:eastAsia="標楷體" w:cs="標楷體" w:ascii="標楷體" w:hAnsi="標楷體"/>
          <w:sz w:val="28"/>
        </w:rPr>
        <w:t xml:space="preserve">    </w:t>
      </w:r>
      <w:r>
        <w:rPr>
          <w:rFonts w:eastAsia="標楷體" w:cs="華康細圓體" w:ascii="標楷體" w:hAnsi="標楷體"/>
          <w:sz w:val="28"/>
        </w:rPr>
        <w:t>&lt;&lt;</w:t>
      </w:r>
      <w:r>
        <w:rPr>
          <w:rFonts w:ascii="標楷體" w:hAnsi="標楷體" w:cs="華康細圓體" w:eastAsia="標楷體"/>
          <w:sz w:val="28"/>
        </w:rPr>
        <w:t>素問</w:t>
      </w:r>
      <w:r>
        <w:rPr>
          <w:rFonts w:ascii="標楷體" w:hAnsi="標楷體" w:cs="MS Sans Serif;Arial" w:eastAsia="標楷體"/>
          <w:sz w:val="28"/>
        </w:rPr>
        <w:t>．</w:t>
      </w:r>
      <w:r>
        <w:rPr>
          <w:rFonts w:ascii="標楷體" w:hAnsi="標楷體" w:cs="華康細圓體" w:eastAsia="標楷體"/>
          <w:sz w:val="28"/>
        </w:rPr>
        <w:t>靈蘭秘典論</w:t>
      </w:r>
      <w:r>
        <w:rPr>
          <w:rFonts w:eastAsia="標楷體" w:cs="華康細圓體" w:ascii="標楷體" w:hAnsi="標楷體"/>
          <w:sz w:val="28"/>
        </w:rPr>
        <w:t>&gt;&gt;</w:t>
      </w:r>
      <w:r>
        <w:rPr>
          <w:rFonts w:ascii="標楷體" w:hAnsi="標楷體" w:cs="華康細圓體" w:eastAsia="標楷體"/>
          <w:sz w:val="28"/>
        </w:rPr>
        <w:t>曰：「膀胱者，州都之官，津液藏焉，氣化則能出矣。」</w:t>
      </w:r>
      <w:r>
        <w:rPr>
          <w:rFonts w:eastAsia="標楷體" w:cs="MS Sans Serif;Arial" w:ascii="標楷體" w:hAnsi="標楷體"/>
          <w:sz w:val="28"/>
        </w:rPr>
        <w:t>&lt;&lt;</w:t>
      </w:r>
      <w:r>
        <w:rPr>
          <w:rFonts w:ascii="標楷體" w:hAnsi="標楷體" w:cs="MS Sans Serif;Arial" w:eastAsia="標楷體"/>
          <w:sz w:val="28"/>
        </w:rPr>
        <w:t>類經．疾病類．五十八</w:t>
      </w:r>
      <w:r>
        <w:rPr>
          <w:rFonts w:eastAsia="標楷體" w:cs="MS Sans Serif;Arial" w:ascii="標楷體" w:hAnsi="標楷體"/>
          <w:sz w:val="28"/>
        </w:rPr>
        <w:t>&gt;&gt;</w:t>
      </w:r>
      <w:r>
        <w:rPr>
          <w:rFonts w:ascii="標楷體" w:hAnsi="標楷體" w:cs="MS Sans Serif;Arial" w:eastAsia="標楷體"/>
          <w:sz w:val="28"/>
        </w:rPr>
        <w:t>注云：「此津液之為水脹也，三焦為決瀆之官，膀胱為津液之府，氣不化則水不行，所以三焦不能瀉，膀胱不能滲，而腫脹之病所由作，故治此者，當以氣化為主。」</w:t>
      </w:r>
      <w:r>
        <w:rPr>
          <w:rFonts w:ascii="標楷體" w:hAnsi="標楷體" w:cs="華康細圓體" w:eastAsia="標楷體"/>
          <w:sz w:val="28"/>
        </w:rPr>
        <w:t>強調了水道的通調與津液輸佈正常與否，和膀胱三焦氣化功能的關係是極為密切的。</w:t>
      </w:r>
      <w:r>
        <w:rPr>
          <w:rFonts w:eastAsia="標楷體" w:cs="華康細圓體" w:ascii="標楷體" w:hAnsi="標楷體"/>
          <w:sz w:val="28"/>
        </w:rPr>
        <w:t>&lt;&lt;</w:t>
      </w:r>
      <w:r>
        <w:rPr>
          <w:rFonts w:ascii="標楷體" w:hAnsi="標楷體" w:cs="華康細圓體" w:eastAsia="標楷體"/>
          <w:sz w:val="28"/>
        </w:rPr>
        <w:t>素問‧宣明五氣</w:t>
      </w:r>
      <w:r>
        <w:rPr>
          <w:rFonts w:eastAsia="標楷體" w:cs="華康細圓體" w:ascii="標楷體" w:hAnsi="標楷體"/>
          <w:sz w:val="28"/>
        </w:rPr>
        <w:t>&gt;&gt;</w:t>
      </w:r>
      <w:r>
        <w:rPr>
          <w:rFonts w:ascii="標楷體" w:hAnsi="標楷體" w:cs="華康細圓體" w:eastAsia="標楷體"/>
          <w:sz w:val="28"/>
        </w:rPr>
        <w:t>曰</w:t>
      </w:r>
      <w:r>
        <w:rPr>
          <w:rFonts w:eastAsia="標楷體" w:cs="華康細圓體" w:ascii="標楷體" w:hAnsi="標楷體"/>
          <w:sz w:val="28"/>
        </w:rPr>
        <w:t>:</w:t>
      </w:r>
      <w:r>
        <w:rPr>
          <w:rFonts w:ascii="標楷體" w:hAnsi="標楷體" w:cs="華康細圓體" w:eastAsia="標楷體"/>
          <w:sz w:val="28"/>
        </w:rPr>
        <w:t>「下焦溢為水」</w:t>
      </w:r>
      <w:r>
        <w:rPr>
          <w:rFonts w:eastAsia="標楷體" w:cs="華康細圓體" w:ascii="標楷體" w:hAnsi="標楷體"/>
          <w:sz w:val="28"/>
        </w:rPr>
        <w:t>&lt;&lt;</w:t>
      </w:r>
      <w:r>
        <w:rPr>
          <w:rFonts w:ascii="標楷體" w:hAnsi="標楷體" w:cs="華康細圓體" w:eastAsia="標楷體"/>
          <w:sz w:val="28"/>
        </w:rPr>
        <w:t>類經‧疾病類‧二十五</w:t>
      </w:r>
      <w:r>
        <w:rPr>
          <w:rFonts w:eastAsia="標楷體" w:cs="華康細圓體" w:ascii="標楷體" w:hAnsi="標楷體"/>
          <w:sz w:val="28"/>
        </w:rPr>
        <w:t>&gt;&gt;</w:t>
      </w:r>
      <w:r>
        <w:rPr>
          <w:rFonts w:ascii="標楷體" w:hAnsi="標楷體" w:cs="華康細圓體" w:eastAsia="標楷體"/>
          <w:sz w:val="28"/>
        </w:rPr>
        <w:t>解釋：「下焦為分注之所，氣不化則津液不行，故溢於肌肉而為水。」本條文亦強調了氣化的重要性。</w:t>
      </w:r>
    </w:p>
    <w:p>
      <w:pPr>
        <w:pStyle w:val="Normal"/>
        <w:tabs>
          <w:tab w:val="left" w:pos="3060" w:leader="none"/>
        </w:tabs>
        <w:snapToGrid w:val="false"/>
        <w:jc w:val="both"/>
        <w:rPr>
          <w:rFonts w:ascii="標楷體" w:hAnsi="標楷體" w:eastAsia="標楷體" w:cs="MS Sans Serif;Arial"/>
          <w:b/>
          <w:b/>
          <w:sz w:val="28"/>
        </w:rPr>
      </w:pPr>
      <w:r>
        <w:rPr>
          <w:rFonts w:eastAsia="標楷體" w:cs="標楷體" w:ascii="標楷體" w:hAnsi="標楷體"/>
          <w:b/>
          <w:sz w:val="28"/>
        </w:rPr>
        <w:t xml:space="preserve">    </w:t>
      </w:r>
      <w:r>
        <w:rPr>
          <w:rFonts w:ascii="標楷體" w:hAnsi="標楷體" w:cs="MS Sans Serif;Arial" w:eastAsia="標楷體"/>
          <w:b/>
          <w:sz w:val="28"/>
        </w:rPr>
        <w:t>（四）水腫的形成和氣化的關係</w:t>
      </w:r>
    </w:p>
    <w:p>
      <w:pPr>
        <w:pStyle w:val="Normal"/>
        <w:tabs>
          <w:tab w:val="left" w:pos="3060" w:leader="none"/>
        </w:tabs>
        <w:snapToGrid w:val="false"/>
        <w:jc w:val="both"/>
        <w:rPr>
          <w:rFonts w:ascii="標楷體" w:hAnsi="標楷體" w:eastAsia="標楷體" w:cs="MS Sans Serif;Arial"/>
          <w:sz w:val="28"/>
        </w:rPr>
      </w:pPr>
      <w:r>
        <w:rPr>
          <w:rFonts w:eastAsia="標楷體" w:cs="標楷體" w:ascii="標楷體" w:hAnsi="標楷體"/>
          <w:sz w:val="28"/>
        </w:rPr>
        <w:t xml:space="preserve">    </w:t>
      </w:r>
      <w:r>
        <w:rPr>
          <w:rFonts w:eastAsia="標楷體" w:cs="MS Sans Serif;Arial" w:ascii="標楷體" w:hAnsi="標楷體"/>
          <w:sz w:val="28"/>
        </w:rPr>
        <w:t>1.</w:t>
      </w:r>
      <w:r>
        <w:rPr>
          <w:rFonts w:ascii="標楷體" w:hAnsi="標楷體" w:cs="MS Sans Serif;Arial" w:eastAsia="標楷體"/>
          <w:sz w:val="28"/>
        </w:rPr>
        <w:t>氣化失常導致水腫</w:t>
      </w:r>
    </w:p>
    <w:p>
      <w:pPr>
        <w:pStyle w:val="Normal"/>
        <w:tabs>
          <w:tab w:val="left" w:pos="3060" w:leader="none"/>
        </w:tabs>
        <w:snapToGrid w:val="false"/>
        <w:jc w:val="both"/>
        <w:rPr>
          <w:rFonts w:ascii="標楷體" w:hAnsi="標楷體" w:eastAsia="標楷體" w:cs="MS Sans Serif;Arial"/>
          <w:sz w:val="28"/>
        </w:rPr>
      </w:pPr>
      <w:r>
        <w:rPr>
          <w:rFonts w:eastAsia="標楷體" w:cs="標楷體" w:ascii="標楷體" w:hAnsi="標楷體"/>
          <w:sz w:val="28"/>
        </w:rPr>
        <w:t xml:space="preserve">    </w:t>
      </w:r>
      <w:r>
        <w:rPr>
          <w:rFonts w:ascii="標楷體" w:hAnsi="標楷體" w:cs="MS Sans Serif;Arial" w:eastAsia="標楷體"/>
          <w:sz w:val="28"/>
        </w:rPr>
        <w:t>精微物質，即「陰精」，當其作用時即化為「陽氣」，物質動靜之間的作用，維持了體內環境的衡定。「陰精」行於脈管之中，其維持水液代謝平衡的功能則為「陽氣」，其間功能的轉換即形成了所謂「氣化」的觀念。</w:t>
      </w:r>
      <w:r>
        <w:rPr>
          <w:rFonts w:ascii="標楷體" w:hAnsi="標楷體" w:eastAsia="標楷體"/>
          <w:sz w:val="28"/>
        </w:rPr>
        <w:t>王冰解釋</w:t>
      </w:r>
      <w:r>
        <w:rPr>
          <w:rFonts w:eastAsia="標楷體" w:ascii="標楷體" w:hAnsi="標楷體"/>
          <w:sz w:val="28"/>
        </w:rPr>
        <w:t>&lt;&lt;</w:t>
      </w:r>
      <w:r>
        <w:rPr>
          <w:rFonts w:ascii="標楷體" w:hAnsi="標楷體" w:eastAsia="標楷體"/>
          <w:sz w:val="28"/>
        </w:rPr>
        <w:t>素問‧湯液醪醴論</w:t>
      </w:r>
      <w:r>
        <w:rPr>
          <w:rFonts w:eastAsia="標楷體" w:ascii="標楷體" w:hAnsi="標楷體"/>
          <w:sz w:val="28"/>
        </w:rPr>
        <w:t>&gt;&gt;</w:t>
      </w:r>
      <w:r>
        <w:rPr>
          <w:rFonts w:ascii="標楷體" w:hAnsi="標楷體" w:eastAsia="標楷體"/>
          <w:sz w:val="28"/>
        </w:rPr>
        <w:t>「五藏陽以竭也，津液充郭，其魄獨居，精孤於內，氣耗於外。」釋曰：「陰精損削於內，陽氣耗損於外，則三焦閉溢，水道不通，水滿皮膚，身體否腫。」認為「陰精損削於內」，即造成水腫。</w:t>
      </w:r>
    </w:p>
    <w:p>
      <w:pPr>
        <w:pStyle w:val="Normal"/>
        <w:tabs>
          <w:tab w:val="left" w:pos="3060" w:leader="none"/>
        </w:tabs>
        <w:snapToGrid w:val="false"/>
        <w:jc w:val="both"/>
        <w:rPr>
          <w:rFonts w:ascii="標楷體" w:hAnsi="標楷體" w:eastAsia="標楷體" w:cs="MS Sans Serif;Arial"/>
          <w:sz w:val="28"/>
        </w:rPr>
      </w:pPr>
      <w:r>
        <w:rPr>
          <w:rFonts w:eastAsia="標楷體" w:cs="標楷體" w:ascii="標楷體" w:hAnsi="標楷體"/>
          <w:sz w:val="28"/>
        </w:rPr>
        <w:t xml:space="preserve">    </w:t>
      </w:r>
      <w:r>
        <w:rPr>
          <w:rFonts w:eastAsia="標楷體" w:cs="MS Sans Serif;Arial" w:ascii="標楷體" w:hAnsi="標楷體"/>
          <w:sz w:val="28"/>
        </w:rPr>
        <w:t>2.</w:t>
      </w:r>
      <w:r>
        <w:rPr>
          <w:rFonts w:ascii="標楷體" w:hAnsi="標楷體" w:cs="MS Sans Serif;Arial" w:eastAsia="標楷體"/>
          <w:sz w:val="28"/>
        </w:rPr>
        <w:t>陰陽失和導致水腫</w:t>
      </w:r>
    </w:p>
    <w:p>
      <w:pPr>
        <w:pStyle w:val="Normal"/>
        <w:tabs>
          <w:tab w:val="left" w:pos="3060" w:leader="none"/>
        </w:tabs>
        <w:snapToGrid w:val="false"/>
        <w:jc w:val="both"/>
        <w:rPr>
          <w:rFonts w:ascii="標楷體" w:hAnsi="標楷體" w:eastAsia="標楷體" w:cs="MS Sans Serif;Arial"/>
          <w:sz w:val="28"/>
        </w:rPr>
      </w:pPr>
      <w:r>
        <w:rPr>
          <w:rFonts w:eastAsia="標楷體" w:cs="標楷體" w:ascii="標楷體" w:hAnsi="標楷體"/>
          <w:sz w:val="28"/>
        </w:rPr>
        <w:t xml:space="preserve">    </w:t>
      </w:r>
      <w:r>
        <w:rPr>
          <w:rFonts w:eastAsia="標楷體" w:cs="MS Sans Serif;Arial" w:ascii="標楷體" w:hAnsi="標楷體"/>
          <w:sz w:val="28"/>
        </w:rPr>
        <w:t>&lt;&lt;</w:t>
      </w:r>
      <w:r>
        <w:rPr>
          <w:rFonts w:ascii="標楷體" w:hAnsi="標楷體" w:cs="MS Sans Serif;Arial" w:eastAsia="標楷體"/>
          <w:sz w:val="28"/>
        </w:rPr>
        <w:t>類經．疾病類．五十八</w:t>
      </w:r>
      <w:r>
        <w:rPr>
          <w:rFonts w:eastAsia="標楷體" w:cs="MS Sans Serif;Arial" w:ascii="標楷體" w:hAnsi="標楷體"/>
          <w:sz w:val="28"/>
        </w:rPr>
        <w:t>&gt;&gt;</w:t>
      </w:r>
      <w:r>
        <w:rPr>
          <w:rFonts w:ascii="標楷體" w:hAnsi="標楷體" w:cs="MS Sans Serif;Arial" w:eastAsia="標楷體"/>
          <w:sz w:val="28"/>
        </w:rPr>
        <w:t>注云：「陰陽和，則五液皆精，而充實於內，陰陽不和，則五精皆液，而流溢於外，此其所謂逆順也。」可見機體的功能正常，陰陽調和，則陰精流於津液之中行其功能，若機體功能失常，陰陽失去平衡，則陰精皆液，流液於外而成水腫。</w:t>
      </w:r>
    </w:p>
    <w:p>
      <w:pPr>
        <w:pStyle w:val="Normal"/>
        <w:tabs>
          <w:tab w:val="left" w:pos="3060" w:leader="none"/>
        </w:tabs>
        <w:snapToGrid w:val="false"/>
        <w:jc w:val="both"/>
        <w:rPr>
          <w:rFonts w:ascii="標楷體" w:hAnsi="標楷體" w:eastAsia="標楷體" w:cs="華康細圓體"/>
          <w:sz w:val="28"/>
        </w:rPr>
      </w:pPr>
      <w:r>
        <w:rPr>
          <w:rFonts w:eastAsia="標楷體" w:cs="華康細圓體" w:ascii="標楷體" w:hAnsi="標楷體"/>
          <w:sz w:val="28"/>
        </w:rPr>
        <w:t>&lt;&lt;</w:t>
      </w:r>
      <w:r>
        <w:rPr>
          <w:rFonts w:ascii="標楷體" w:hAnsi="標楷體" w:cs="華康細圓體" w:eastAsia="標楷體"/>
          <w:sz w:val="28"/>
        </w:rPr>
        <w:t>景岳全書‧雜證謨‧腫脹</w:t>
      </w:r>
      <w:r>
        <w:rPr>
          <w:rFonts w:eastAsia="標楷體" w:cs="華康細圓體" w:ascii="標楷體" w:hAnsi="標楷體"/>
          <w:sz w:val="28"/>
        </w:rPr>
        <w:t>&gt;&gt;</w:t>
      </w:r>
      <w:r>
        <w:rPr>
          <w:rFonts w:ascii="標楷體" w:hAnsi="標楷體" w:cs="華康細圓體" w:eastAsia="標楷體"/>
          <w:sz w:val="28"/>
        </w:rPr>
        <w:t>進一步解釋說：「凡欲辨水氣之異者，在欲辨其陰陽耳，若病在氣分，則陽證陰證皆有之；若病在水分，則多為陰證。何也？蓋水之與氣，雖為同類，但陽王則氣化，而水即為精；陽衰則氣不化，而精即為水。故凡病水者，水即身中之血氣，但其為邪為正，總在化與不化耳。水不能化，因氣之虛。」除了說明陰陽和水液代謝的功能，亦強調了其與陽衰、氣虛的關係。</w:t>
      </w:r>
      <w:r>
        <w:rPr>
          <w:rFonts w:eastAsia="標楷體" w:cs="華康細圓體" w:ascii="標楷體" w:hAnsi="標楷體"/>
          <w:sz w:val="28"/>
        </w:rPr>
        <w:t>&lt;&lt;</w:t>
      </w:r>
      <w:r>
        <w:rPr>
          <w:rFonts w:ascii="標楷體" w:hAnsi="標楷體" w:cs="華康細圓體" w:eastAsia="標楷體"/>
          <w:sz w:val="28"/>
        </w:rPr>
        <w:t>脹論</w:t>
      </w:r>
      <w:r>
        <w:rPr>
          <w:rFonts w:eastAsia="標楷體" w:cs="華康細圓體" w:ascii="標楷體" w:hAnsi="標楷體"/>
          <w:sz w:val="28"/>
        </w:rPr>
        <w:t>&gt;&gt;</w:t>
      </w:r>
      <w:r>
        <w:rPr>
          <w:rFonts w:ascii="標楷體" w:hAnsi="標楷體" w:cs="華康細圓體" w:eastAsia="標楷體"/>
          <w:sz w:val="28"/>
        </w:rPr>
        <w:t>曰：「凡陰陽之要，陰無陽不行，水無氣不化」，</w:t>
      </w:r>
      <w:r>
        <w:rPr>
          <w:rFonts w:eastAsia="標楷體" w:cs="華康細圓體" w:ascii="標楷體" w:hAnsi="標楷體"/>
          <w:sz w:val="28"/>
        </w:rPr>
        <w:t>&lt;&lt;</w:t>
      </w:r>
      <w:r>
        <w:rPr>
          <w:rFonts w:ascii="標楷體" w:hAnsi="標楷體" w:cs="華康細圓體" w:eastAsia="標楷體"/>
          <w:sz w:val="28"/>
        </w:rPr>
        <w:t>靈蘭秘典論</w:t>
      </w:r>
      <w:r>
        <w:rPr>
          <w:rFonts w:eastAsia="標楷體" w:cs="華康細圓體" w:ascii="標楷體" w:hAnsi="標楷體"/>
          <w:sz w:val="28"/>
        </w:rPr>
        <w:t>&gt;&gt;</w:t>
      </w:r>
      <w:r>
        <w:rPr>
          <w:rFonts w:ascii="標楷體" w:hAnsi="標楷體" w:cs="華康細圓體" w:eastAsia="標楷體"/>
          <w:sz w:val="28"/>
        </w:rPr>
        <w:t>曰：「氣化則能出矣。」</w:t>
      </w:r>
    </w:p>
    <w:p>
      <w:pPr>
        <w:pStyle w:val="Normal"/>
        <w:tabs>
          <w:tab w:val="left" w:pos="3060" w:leader="none"/>
        </w:tabs>
        <w:snapToGrid w:val="false"/>
        <w:jc w:val="both"/>
        <w:rPr>
          <w:rFonts w:ascii="標楷體" w:hAnsi="標楷體" w:eastAsia="標楷體" w:cs="華康細圓體"/>
          <w:sz w:val="28"/>
        </w:rPr>
      </w:pPr>
      <w:r>
        <w:rPr>
          <w:rFonts w:eastAsia="標楷體" w:cs="標楷體" w:ascii="標楷體" w:hAnsi="標楷體"/>
          <w:sz w:val="28"/>
        </w:rPr>
        <w:t xml:space="preserve">    </w:t>
      </w:r>
      <w:r>
        <w:rPr>
          <w:rFonts w:eastAsia="標楷體" w:cs="標楷體" w:ascii="標楷體" w:hAnsi="標楷體"/>
          <w:sz w:val="28"/>
        </w:rPr>
        <w:t xml:space="preserve"> </w:t>
      </w:r>
      <w:r>
        <w:rPr>
          <w:rFonts w:eastAsia="標楷體" w:cs="華康細圓體" w:ascii="標楷體" w:hAnsi="標楷體"/>
          <w:sz w:val="28"/>
        </w:rPr>
        <w:t>3.</w:t>
      </w:r>
      <w:r>
        <w:rPr>
          <w:rFonts w:ascii="標楷體" w:hAnsi="標楷體" w:cs="華康細圓體" w:eastAsia="標楷體"/>
          <w:sz w:val="28"/>
        </w:rPr>
        <w:t>氣虛水停與氣滯水停</w:t>
      </w:r>
    </w:p>
    <w:p>
      <w:pPr>
        <w:pStyle w:val="Normal"/>
        <w:overflowPunct w:val="false"/>
        <w:autoSpaceDE w:val="false"/>
        <w:snapToGrid w:val="false"/>
        <w:jc w:val="both"/>
        <w:rPr/>
      </w:pPr>
      <w:r>
        <w:rPr>
          <w:rFonts w:eastAsia="標楷體" w:cs="標楷體" w:ascii="標楷體" w:hAnsi="標楷體"/>
          <w:sz w:val="28"/>
        </w:rPr>
        <w:t xml:space="preserve">     </w:t>
      </w:r>
      <w:r>
        <w:rPr>
          <w:rFonts w:ascii="標楷體" w:hAnsi="標楷體" w:cs="華康細圓體" w:eastAsia="標楷體"/>
          <w:sz w:val="28"/>
        </w:rPr>
        <w:t>水病與氣分的關係，如</w:t>
      </w:r>
      <w:r>
        <w:rPr>
          <w:rFonts w:eastAsia="標楷體" w:cs="華康細圓體" w:ascii="標楷體" w:hAnsi="標楷體"/>
          <w:sz w:val="28"/>
        </w:rPr>
        <w:t>&lt;&lt;</w:t>
      </w:r>
      <w:r>
        <w:rPr>
          <w:rFonts w:ascii="標楷體" w:hAnsi="標楷體" w:cs="華康細圓體" w:eastAsia="標楷體"/>
          <w:sz w:val="28"/>
        </w:rPr>
        <w:t>金匱要略‧水氣病篇</w:t>
      </w:r>
      <w:r>
        <w:rPr>
          <w:rFonts w:eastAsia="標楷體" w:cs="華康細圓體" w:ascii="標楷體" w:hAnsi="標楷體"/>
          <w:sz w:val="28"/>
        </w:rPr>
        <w:t>&gt;&gt;</w:t>
      </w:r>
      <w:r>
        <w:rPr>
          <w:rFonts w:ascii="標楷體" w:hAnsi="標楷體" w:cs="華康細圓體" w:eastAsia="標楷體"/>
          <w:sz w:val="28"/>
        </w:rPr>
        <w:t>曰：「陰陽相得，其氣乃行，大氣一轉，其氣乃散，實則失氣，虛則遺溺，名曰氣分。」說明了水病和氣分的關係。關於「氣分」，</w:t>
      </w:r>
      <w:r>
        <w:rPr>
          <w:rFonts w:eastAsia="標楷體" w:cs="華康細圓體" w:ascii="標楷體" w:hAnsi="標楷體"/>
          <w:sz w:val="28"/>
        </w:rPr>
        <w:t>&lt;&lt;</w:t>
      </w:r>
      <w:r>
        <w:rPr>
          <w:rFonts w:ascii="標楷體" w:hAnsi="標楷體" w:cs="華康細圓體" w:eastAsia="標楷體"/>
          <w:sz w:val="28"/>
        </w:rPr>
        <w:t>諸病源候論‧氣分候</w:t>
      </w:r>
      <w:r>
        <w:rPr>
          <w:rFonts w:eastAsia="標楷體" w:cs="華康細圓體" w:ascii="標楷體" w:hAnsi="標楷體"/>
          <w:sz w:val="28"/>
        </w:rPr>
        <w:t>&gt;&gt;</w:t>
      </w:r>
      <w:r>
        <w:rPr>
          <w:rFonts w:ascii="標楷體" w:hAnsi="標楷體" w:cs="華康細圓體" w:eastAsia="標楷體"/>
          <w:sz w:val="28"/>
        </w:rPr>
        <w:t>解釋</w:t>
      </w:r>
      <w:r>
        <w:rPr>
          <w:rFonts w:eastAsia="標楷體" w:cs="華康細圓體" w:ascii="標楷體" w:hAnsi="標楷體"/>
          <w:sz w:val="28"/>
        </w:rPr>
        <w:t>:</w:t>
      </w:r>
      <w:r>
        <w:rPr>
          <w:rFonts w:ascii="標楷體" w:hAnsi="標楷體" w:cs="華康細圓體" w:eastAsia="標楷體"/>
          <w:sz w:val="28"/>
        </w:rPr>
        <w:t>「</w:t>
      </w:r>
      <w:r>
        <w:rPr>
          <w:rFonts w:ascii="標楷體" w:hAnsi="標楷體" w:cs="MS Sans Serif;Arial" w:eastAsia="標楷體"/>
          <w:sz w:val="28"/>
        </w:rPr>
        <w:t>夫氣分者，由水飲摶於氣，結聚所成。氣之流行，常無壅滯，若有停積，水飲摶於氣，則氣分結而住，故云氣分。」</w:t>
      </w:r>
      <w:r>
        <w:rPr>
          <w:rFonts w:ascii="標楷體" w:hAnsi="標楷體" w:cs="華康細圓體" w:eastAsia="標楷體"/>
          <w:sz w:val="28"/>
        </w:rPr>
        <w:t>可見水液的代謝和氣的流通是極有關連的。</w:t>
      </w:r>
    </w:p>
    <w:p>
      <w:pPr>
        <w:pStyle w:val="Normal"/>
        <w:overflowPunct w:val="false"/>
        <w:autoSpaceDE w:val="false"/>
        <w:snapToGrid w:val="false"/>
        <w:jc w:val="both"/>
        <w:rPr/>
      </w:pPr>
      <w:r>
        <w:rPr>
          <w:rFonts w:eastAsia="標楷體" w:cs="標楷體" w:ascii="標楷體" w:hAnsi="標楷體"/>
          <w:sz w:val="28"/>
        </w:rPr>
        <w:t xml:space="preserve">     </w:t>
      </w:r>
      <w:r>
        <w:rPr>
          <w:rFonts w:ascii="標楷體" w:hAnsi="標楷體" w:cs="華康細圓體" w:eastAsia="標楷體"/>
          <w:sz w:val="28"/>
        </w:rPr>
        <w:t>氣虛水停多和肺脾腎三藏的虛損有關，前已有多所論及。</w:t>
      </w:r>
      <w:r>
        <w:rPr>
          <w:rFonts w:eastAsia="標楷體" w:ascii="標楷體" w:hAnsi="標楷體"/>
          <w:sz w:val="28"/>
        </w:rPr>
        <w:t>&lt;&lt;</w:t>
      </w:r>
      <w:r>
        <w:rPr>
          <w:rFonts w:ascii="標楷體" w:hAnsi="標楷體" w:eastAsia="標楷體"/>
          <w:sz w:val="28"/>
        </w:rPr>
        <w:t>諸病源候論‧風水候</w:t>
      </w:r>
      <w:r>
        <w:rPr>
          <w:rFonts w:eastAsia="標楷體" w:ascii="標楷體" w:hAnsi="標楷體"/>
          <w:sz w:val="28"/>
        </w:rPr>
        <w:t>&gt;&gt;</w:t>
      </w:r>
      <w:r>
        <w:rPr>
          <w:rFonts w:ascii="標楷體" w:hAnsi="標楷體" w:eastAsia="標楷體"/>
          <w:sz w:val="28"/>
        </w:rPr>
        <w:t>所言「</w:t>
      </w:r>
      <w:r>
        <w:rPr>
          <w:rFonts w:ascii="標楷體" w:hAnsi="標楷體" w:cs="MS Sans Serif;Arial" w:eastAsia="標楷體"/>
          <w:sz w:val="28"/>
        </w:rPr>
        <w:t>風水病者，由脾腎氣虛弱所為也。腎勞則虛，虛則汗出，汗出逢風，風氣內入，還客於腎，脾虛又不能制於水，故水散溢皮膚，又與風濕相摶，故云風水也。」。至於</w:t>
      </w:r>
      <w:r>
        <w:rPr>
          <w:rFonts w:ascii="標楷體" w:hAnsi="標楷體" w:cs="華康細圓體" w:eastAsia="標楷體"/>
          <w:sz w:val="28"/>
        </w:rPr>
        <w:t>氣滯水停，</w:t>
      </w:r>
      <w:r>
        <w:rPr>
          <w:rFonts w:eastAsia="標楷體" w:ascii="標楷體" w:hAnsi="標楷體"/>
          <w:sz w:val="28"/>
        </w:rPr>
        <w:t>&lt;&lt;</w:t>
      </w:r>
      <w:r>
        <w:rPr>
          <w:rFonts w:ascii="標楷體" w:hAnsi="標楷體" w:eastAsia="標楷體"/>
          <w:sz w:val="28"/>
        </w:rPr>
        <w:t>靈樞‧</w:t>
      </w:r>
      <w:r>
        <w:rPr>
          <w:rFonts w:ascii="標楷體" w:hAnsi="標楷體" w:cs="華康細圓體" w:eastAsia="標楷體"/>
          <w:sz w:val="28"/>
        </w:rPr>
        <w:t>五癃津液別篇</w:t>
      </w:r>
      <w:r>
        <w:rPr>
          <w:rFonts w:eastAsia="標楷體" w:ascii="標楷體" w:hAnsi="標楷體"/>
          <w:sz w:val="28"/>
        </w:rPr>
        <w:t>&gt;&gt;</w:t>
      </w:r>
      <w:r>
        <w:rPr>
          <w:rFonts w:ascii="標楷體" w:hAnsi="標楷體" w:eastAsia="標楷體"/>
          <w:sz w:val="28"/>
        </w:rPr>
        <w:t>曰</w:t>
      </w:r>
      <w:r>
        <w:rPr>
          <w:rFonts w:eastAsia="標楷體" w:ascii="標楷體" w:hAnsi="標楷體"/>
          <w:sz w:val="28"/>
        </w:rPr>
        <w:t>:</w:t>
      </w:r>
      <w:r>
        <w:rPr>
          <w:rFonts w:ascii="標楷體" w:hAnsi="標楷體" w:eastAsia="標楷體"/>
          <w:sz w:val="28"/>
        </w:rPr>
        <w:t>「</w:t>
      </w:r>
      <w:r>
        <w:rPr>
          <w:rFonts w:ascii="標楷體" w:hAnsi="標楷體" w:cs="華康細圓體" w:eastAsia="標楷體"/>
          <w:sz w:val="28"/>
        </w:rPr>
        <w:t>邪氣內逆則氣為之閉塞而不行，不行則為水脹。」說明了邪氣所至，造成三焦水道閉塞不通，因而形成水腫。陳修園稱：「氣滯水亦滯」。</w:t>
      </w:r>
      <w:r>
        <w:rPr>
          <w:rFonts w:eastAsia="標楷體" w:cs="華康細圓體" w:ascii="標楷體" w:hAnsi="標楷體"/>
          <w:sz w:val="28"/>
        </w:rPr>
        <w:t>&lt;&lt;</w:t>
      </w:r>
      <w:r>
        <w:rPr>
          <w:rFonts w:ascii="標楷體" w:hAnsi="標楷體" w:cs="華康細圓體" w:eastAsia="標楷體"/>
          <w:sz w:val="28"/>
        </w:rPr>
        <w:t>臨症指南醫案</w:t>
      </w:r>
      <w:r>
        <w:rPr>
          <w:rFonts w:eastAsia="標楷體" w:cs="華康細圓體" w:ascii="標楷體" w:hAnsi="標楷體"/>
          <w:sz w:val="28"/>
        </w:rPr>
        <w:t>&gt;&gt;</w:t>
      </w:r>
      <w:r>
        <w:rPr>
          <w:rFonts w:ascii="標楷體" w:hAnsi="標楷體" w:cs="華康細圓體" w:eastAsia="標楷體"/>
          <w:sz w:val="28"/>
        </w:rPr>
        <w:t>亦認為腫脹為：「邪干陽位、氣壅不通」所造成。相反的，如果水停，也會造成氣滯，如</w:t>
      </w:r>
      <w:r>
        <w:rPr>
          <w:rFonts w:eastAsia="標楷體" w:ascii="標楷體" w:hAnsi="標楷體"/>
          <w:sz w:val="28"/>
        </w:rPr>
        <w:t>&lt;&lt;</w:t>
      </w:r>
      <w:r>
        <w:rPr>
          <w:rFonts w:ascii="標楷體" w:hAnsi="標楷體" w:eastAsia="標楷體"/>
          <w:sz w:val="28"/>
        </w:rPr>
        <w:t>血證論</w:t>
      </w:r>
      <w:r>
        <w:rPr>
          <w:rFonts w:eastAsia="標楷體" w:ascii="標楷體" w:hAnsi="標楷體"/>
          <w:sz w:val="28"/>
        </w:rPr>
        <w:t>&gt;&gt;</w:t>
      </w:r>
      <w:r>
        <w:rPr>
          <w:rFonts w:ascii="標楷體" w:hAnsi="標楷體" w:eastAsia="標楷體"/>
          <w:sz w:val="28"/>
        </w:rPr>
        <w:t>曰</w:t>
      </w:r>
      <w:r>
        <w:rPr>
          <w:rFonts w:eastAsia="標楷體" w:ascii="標楷體" w:hAnsi="標楷體"/>
          <w:sz w:val="28"/>
        </w:rPr>
        <w:t>:</w:t>
      </w:r>
      <w:r>
        <w:rPr>
          <w:rFonts w:ascii="標楷體" w:hAnsi="標楷體" w:eastAsia="標楷體"/>
          <w:sz w:val="28"/>
        </w:rPr>
        <w:t>「若水質一停，則氣便阻滯。」</w:t>
      </w:r>
    </w:p>
    <w:p>
      <w:pPr>
        <w:pStyle w:val="Normal"/>
        <w:snapToGrid w:val="false"/>
        <w:jc w:val="both"/>
        <w:rPr>
          <w:rFonts w:ascii="標楷體" w:hAnsi="標楷體" w:eastAsia="標楷體"/>
          <w:b/>
          <w:b/>
          <w:sz w:val="28"/>
        </w:rPr>
      </w:pPr>
      <w:r>
        <w:rPr>
          <w:rFonts w:eastAsia="標楷體" w:ascii="標楷體" w:hAnsi="標楷體"/>
          <w:b/>
          <w:sz w:val="28"/>
        </w:rPr>
      </w:r>
    </w:p>
    <w:p>
      <w:pPr>
        <w:pStyle w:val="Normal"/>
        <w:snapToGrid w:val="false"/>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第四節  水腫與三焦的關係</w:t>
      </w:r>
    </w:p>
    <w:p>
      <w:pPr>
        <w:pStyle w:val="Normal"/>
        <w:snapToGrid w:val="false"/>
        <w:spacing w:lineRule="atLeast" w:line="20"/>
        <w:ind w:firstLine="555"/>
        <w:jc w:val="both"/>
        <w:rPr>
          <w:rFonts w:ascii="標楷體" w:hAnsi="標楷體" w:eastAsia="標楷體"/>
          <w:sz w:val="28"/>
        </w:rPr>
      </w:pPr>
      <w:r>
        <w:rPr>
          <w:rFonts w:ascii="標楷體" w:hAnsi="標楷體" w:eastAsia="標楷體"/>
          <w:sz w:val="28"/>
        </w:rPr>
        <w:t>三焦和水道的通路極有關連，因此要探討水腫之前，對於三焦的實質有必要加以探討。</w:t>
      </w:r>
    </w:p>
    <w:p>
      <w:pPr>
        <w:pStyle w:val="Normal"/>
        <w:snapToGrid w:val="false"/>
        <w:spacing w:lineRule="atLeast" w:line="20"/>
        <w:ind w:firstLine="555"/>
        <w:jc w:val="both"/>
        <w:rPr>
          <w:rFonts w:ascii="標楷體" w:hAnsi="標楷體" w:eastAsia="標楷體"/>
          <w:b/>
          <w:b/>
          <w:sz w:val="28"/>
        </w:rPr>
      </w:pPr>
      <w:r>
        <w:rPr>
          <w:rFonts w:ascii="標楷體" w:hAnsi="標楷體" w:eastAsia="標楷體"/>
          <w:b/>
          <w:sz w:val="28"/>
        </w:rPr>
        <w:t>三焦之實質</w:t>
      </w:r>
    </w:p>
    <w:p>
      <w:pPr>
        <w:pStyle w:val="Normal"/>
        <w:snapToGrid w:val="false"/>
        <w:spacing w:lineRule="atLeast" w:line="20"/>
        <w:jc w:val="both"/>
        <w:rPr>
          <w:rFonts w:ascii="標楷體" w:hAnsi="標楷體" w:eastAsia="標楷體"/>
          <w:sz w:val="28"/>
        </w:rPr>
      </w:pPr>
      <w:r>
        <w:rPr>
          <w:rFonts w:eastAsia="標楷體" w:cs="標楷體" w:ascii="標楷體" w:hAnsi="標楷體"/>
          <w:b/>
          <w:sz w:val="28"/>
        </w:rPr>
        <w:t xml:space="preserve">    </w:t>
      </w:r>
      <w:r>
        <w:rPr>
          <w:rFonts w:eastAsia="標楷體" w:ascii="標楷體" w:hAnsi="標楷體"/>
          <w:sz w:val="28"/>
        </w:rPr>
        <w:t>&lt;&lt;</w:t>
      </w:r>
      <w:r>
        <w:rPr>
          <w:rFonts w:ascii="標楷體" w:hAnsi="標楷體" w:eastAsia="標楷體"/>
          <w:sz w:val="28"/>
        </w:rPr>
        <w:t>內經</w:t>
      </w:r>
      <w:r>
        <w:rPr>
          <w:rFonts w:eastAsia="標楷體" w:ascii="標楷體" w:hAnsi="標楷體"/>
          <w:sz w:val="28"/>
        </w:rPr>
        <w:t>&gt;&gt;</w:t>
      </w:r>
      <w:r>
        <w:rPr>
          <w:rFonts w:ascii="標楷體" w:hAnsi="標楷體" w:eastAsia="標楷體"/>
          <w:sz w:val="28"/>
        </w:rPr>
        <w:t>在描述三焦時，提及其和身體內水分通道的關係，</w:t>
      </w:r>
      <w:r>
        <w:rPr>
          <w:rFonts w:eastAsia="標楷體" w:ascii="標楷體" w:hAnsi="標楷體"/>
          <w:sz w:val="28"/>
        </w:rPr>
        <w:t>&lt;&lt;</w:t>
      </w:r>
      <w:r>
        <w:rPr>
          <w:rFonts w:ascii="標楷體" w:hAnsi="標楷體" w:eastAsia="標楷體"/>
          <w:sz w:val="28"/>
        </w:rPr>
        <w:t>素問‧靈蘭秘典</w:t>
      </w:r>
      <w:r>
        <w:rPr>
          <w:rFonts w:eastAsia="標楷體" w:ascii="標楷體" w:hAnsi="標楷體"/>
          <w:sz w:val="28"/>
        </w:rPr>
        <w:t>&gt;&gt;</w:t>
      </w:r>
      <w:r>
        <w:rPr>
          <w:rFonts w:ascii="標楷體" w:hAnsi="標楷體" w:eastAsia="標楷體"/>
          <w:sz w:val="28"/>
        </w:rPr>
        <w:t>曰</w:t>
      </w:r>
      <w:r>
        <w:rPr>
          <w:rFonts w:eastAsia="標楷體" w:ascii="標楷體" w:hAnsi="標楷體"/>
          <w:sz w:val="28"/>
        </w:rPr>
        <w:t>:</w:t>
      </w:r>
      <w:r>
        <w:rPr>
          <w:rFonts w:ascii="標楷體" w:hAnsi="標楷體" w:eastAsia="標楷體"/>
          <w:sz w:val="28"/>
        </w:rPr>
        <w:t>「三焦者，決瀆之官，水道出焉。」張景岳在其著作</w:t>
      </w:r>
      <w:r>
        <w:rPr>
          <w:rFonts w:eastAsia="標楷體" w:ascii="標楷體" w:hAnsi="標楷體"/>
          <w:sz w:val="28"/>
        </w:rPr>
        <w:t>&lt;&lt;</w:t>
      </w:r>
      <w:r>
        <w:rPr>
          <w:rFonts w:ascii="標楷體" w:hAnsi="標楷體" w:eastAsia="標楷體"/>
          <w:sz w:val="28"/>
        </w:rPr>
        <w:t>類經‧藏象類</w:t>
      </w:r>
      <w:r>
        <w:rPr>
          <w:rFonts w:eastAsia="標楷體" w:ascii="標楷體" w:hAnsi="標楷體"/>
          <w:sz w:val="28"/>
        </w:rPr>
        <w:t>&gt;&gt;</w:t>
      </w:r>
      <w:r>
        <w:rPr>
          <w:rFonts w:ascii="標楷體" w:hAnsi="標楷體" w:eastAsia="標楷體"/>
          <w:sz w:val="28"/>
        </w:rPr>
        <w:t>中解釋「決瀆之官」時稱</w:t>
      </w:r>
      <w:r>
        <w:rPr>
          <w:rFonts w:eastAsia="標楷體" w:ascii="標楷體" w:hAnsi="標楷體"/>
          <w:sz w:val="28"/>
        </w:rPr>
        <w:t>:</w:t>
      </w:r>
      <w:r>
        <w:rPr>
          <w:rFonts w:ascii="標楷體" w:hAnsi="標楷體" w:eastAsia="標楷體"/>
          <w:sz w:val="28"/>
        </w:rPr>
        <w:t>「決，通也</w:t>
      </w:r>
      <w:r>
        <w:rPr>
          <w:rFonts w:eastAsia="標楷體" w:ascii="標楷體" w:hAnsi="標楷體"/>
          <w:sz w:val="28"/>
        </w:rPr>
        <w:t>;</w:t>
      </w:r>
      <w:r>
        <w:rPr>
          <w:rFonts w:ascii="標楷體" w:hAnsi="標楷體" w:eastAsia="標楷體"/>
          <w:sz w:val="28"/>
        </w:rPr>
        <w:t>瀆，水道也。」即說明了三焦具有通調水道的功能，因此在探討三焦實質時，對於身體內水分的分佈，有必要加以瞭解。</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身體的體液可分為細胞內液和細胞外液，後者包括了血液和間質液</w:t>
      </w:r>
      <w:r>
        <w:rPr>
          <w:rFonts w:eastAsia="標楷體" w:ascii="標楷體" w:hAnsi="標楷體"/>
          <w:sz w:val="28"/>
        </w:rPr>
        <w:t>(</w:t>
      </w:r>
      <w:r>
        <w:rPr>
          <w:rFonts w:ascii="標楷體" w:hAnsi="標楷體" w:eastAsia="標楷體"/>
          <w:sz w:val="28"/>
        </w:rPr>
        <w:t>淋巴液存於間質液內</w:t>
      </w:r>
      <w:r>
        <w:rPr>
          <w:rFonts w:eastAsia="標楷體" w:ascii="標楷體" w:hAnsi="標楷體"/>
          <w:sz w:val="28"/>
        </w:rPr>
        <w:t>)</w:t>
      </w:r>
      <w:r>
        <w:rPr>
          <w:rFonts w:ascii="標楷體" w:hAnsi="標楷體" w:eastAsia="標楷體"/>
          <w:sz w:val="28"/>
        </w:rPr>
        <w:t>與轉移細胞液</w:t>
      </w:r>
      <w:r>
        <w:rPr>
          <w:rFonts w:eastAsia="標楷體" w:ascii="標楷體" w:hAnsi="標楷體"/>
          <w:sz w:val="28"/>
        </w:rPr>
        <w:t>(</w:t>
      </w:r>
      <w:r>
        <w:rPr>
          <w:rFonts w:eastAsia="標楷體" w:ascii="標楷體" w:hAnsi="標楷體"/>
          <w:b/>
          <w:sz w:val="28"/>
        </w:rPr>
        <w:t>Transcellular fluids</w:t>
      </w:r>
      <w:r>
        <w:rPr>
          <w:rFonts w:eastAsia="標楷體" w:ascii="標楷體" w:hAnsi="標楷體"/>
          <w:sz w:val="28"/>
        </w:rPr>
        <w:t>)</w:t>
      </w:r>
      <w:r>
        <w:rPr>
          <w:rFonts w:ascii="標楷體" w:hAnsi="標楷體" w:eastAsia="標楷體"/>
          <w:sz w:val="28"/>
        </w:rPr>
        <w:t>，所謂轉移細胞液即包括了消化道分泌液、胸腔液、腹腔液、眼內液、腦脊髓液、關節液，以對細胞外液中之其它部分作一區別。微血管是由很薄之內皮細胞所構成，水分可藉由壓力的改變，經過擴散進出淋巴系統與間質系統之中。由上觀之，三焦的實質和水液通過之道路即淋巴管、微血管膜、以及體腔內之膜組織是有極大關連的。</w:t>
      </w:r>
      <w:r>
        <w:rPr>
          <w:rFonts w:eastAsia="標楷體" w:ascii="標楷體" w:hAnsi="標楷體"/>
          <w:sz w:val="28"/>
        </w:rPr>
        <w:t>&lt;&lt;</w:t>
      </w:r>
      <w:r>
        <w:rPr>
          <w:rFonts w:ascii="標楷體" w:hAnsi="標楷體" w:eastAsia="標楷體"/>
          <w:sz w:val="28"/>
        </w:rPr>
        <w:t>難經‧三十一難</w:t>
      </w:r>
      <w:r>
        <w:rPr>
          <w:rFonts w:eastAsia="標楷體" w:ascii="標楷體" w:hAnsi="標楷體"/>
          <w:sz w:val="28"/>
        </w:rPr>
        <w:t>&gt;&gt;</w:t>
      </w:r>
      <w:r>
        <w:rPr>
          <w:rFonts w:ascii="標楷體" w:hAnsi="標楷體" w:eastAsia="標楷體"/>
          <w:sz w:val="28"/>
        </w:rPr>
        <w:t>云</w:t>
      </w:r>
      <w:r>
        <w:rPr>
          <w:rFonts w:eastAsia="標楷體" w:ascii="標楷體" w:hAnsi="標楷體"/>
          <w:sz w:val="28"/>
        </w:rPr>
        <w:t>:</w:t>
      </w:r>
      <w:r>
        <w:rPr>
          <w:rFonts w:ascii="標楷體" w:hAnsi="標楷體" w:eastAsia="標楷體"/>
          <w:sz w:val="28"/>
        </w:rPr>
        <w:t>「三焦者，水穀之道路。」亦說明了三焦是津液在體內流注、輸佈之道路，幾乎可說只要有水液存在的地方，就應有三焦的功能存在。</w:t>
      </w:r>
    </w:p>
    <w:p>
      <w:pPr>
        <w:pStyle w:val="Normal"/>
        <w:snapToGrid w:val="false"/>
        <w:spacing w:lineRule="atLeast" w:line="20"/>
        <w:ind w:firstLine="555"/>
        <w:jc w:val="both"/>
        <w:rPr>
          <w:rFonts w:ascii="標楷體" w:hAnsi="標楷體" w:eastAsia="標楷體"/>
          <w:sz w:val="28"/>
        </w:rPr>
      </w:pPr>
      <w:r>
        <w:rPr>
          <w:rFonts w:ascii="標楷體" w:hAnsi="標楷體" w:eastAsia="標楷體"/>
          <w:sz w:val="28"/>
        </w:rPr>
        <w:t>一般而言，中醫對於人體一切正常的水液稱為「津液」，性質清稀，流動性大者稱為「津」，主要存在於體表的皮膚、肌肉和孔竅等部位，即包括了以上所稱血液及間質液</w:t>
      </w:r>
      <w:r>
        <w:rPr>
          <w:rFonts w:eastAsia="標楷體" w:ascii="標楷體" w:hAnsi="標楷體"/>
          <w:sz w:val="28"/>
        </w:rPr>
        <w:t>;</w:t>
      </w:r>
      <w:r>
        <w:rPr>
          <w:rFonts w:ascii="標楷體" w:hAnsi="標楷體" w:eastAsia="標楷體"/>
          <w:sz w:val="28"/>
        </w:rPr>
        <w:t>其性較為稠厚，流動性較小者稱為「液」，即轉移細胞液，包括了骨節、臟腑、腦髓等組織內之液體。唐容川在</w:t>
      </w:r>
      <w:r>
        <w:rPr>
          <w:rFonts w:eastAsia="標楷體" w:ascii="標楷體" w:hAnsi="標楷體"/>
          <w:sz w:val="28"/>
        </w:rPr>
        <w:t>&lt;&lt;</w:t>
      </w:r>
      <w:r>
        <w:rPr>
          <w:rFonts w:ascii="標楷體" w:hAnsi="標楷體" w:eastAsia="標楷體"/>
          <w:sz w:val="28"/>
        </w:rPr>
        <w:t>醫經精義</w:t>
      </w:r>
      <w:r>
        <w:rPr>
          <w:rFonts w:eastAsia="標楷體" w:ascii="標楷體" w:hAnsi="標楷體"/>
          <w:sz w:val="28"/>
        </w:rPr>
        <w:t>&gt;&gt;</w:t>
      </w:r>
      <w:r>
        <w:rPr>
          <w:rFonts w:ascii="標楷體" w:hAnsi="標楷體" w:eastAsia="標楷體"/>
          <w:sz w:val="28"/>
        </w:rPr>
        <w:t>中直指三焦是臟腑間的膈膜與皮裏膜外之腠理，根據以上說明，實有其一定的道理。</w:t>
      </w:r>
    </w:p>
    <w:p>
      <w:pPr>
        <w:pStyle w:val="Normal"/>
        <w:snapToGrid w:val="false"/>
        <w:spacing w:lineRule="atLeast" w:line="20"/>
        <w:ind w:firstLine="555"/>
        <w:jc w:val="both"/>
        <w:rPr>
          <w:rFonts w:ascii="標楷體" w:hAnsi="標楷體" w:eastAsia="標楷體"/>
          <w:sz w:val="28"/>
        </w:rPr>
      </w:pPr>
      <w:r>
        <w:rPr>
          <w:rFonts w:ascii="標楷體" w:hAnsi="標楷體" w:eastAsia="標楷體"/>
          <w:sz w:val="28"/>
        </w:rPr>
        <w:t>王冰在注釋</w:t>
      </w:r>
      <w:r>
        <w:rPr>
          <w:rFonts w:eastAsia="標楷體" w:ascii="標楷體" w:hAnsi="標楷體"/>
          <w:sz w:val="28"/>
        </w:rPr>
        <w:t>&lt;&lt;</w:t>
      </w:r>
      <w:r>
        <w:rPr>
          <w:rFonts w:ascii="標楷體" w:hAnsi="標楷體" w:eastAsia="標楷體"/>
          <w:sz w:val="28"/>
        </w:rPr>
        <w:t>素問‧皮部論</w:t>
      </w:r>
      <w:r>
        <w:rPr>
          <w:rFonts w:eastAsia="標楷體" w:ascii="標楷體" w:hAnsi="標楷體"/>
          <w:sz w:val="28"/>
        </w:rPr>
        <w:t>&gt;&gt;</w:t>
      </w:r>
      <w:r>
        <w:rPr>
          <w:rFonts w:ascii="標楷體" w:hAnsi="標楷體" w:eastAsia="標楷體"/>
          <w:sz w:val="28"/>
        </w:rPr>
        <w:t>稱</w:t>
      </w:r>
      <w:r>
        <w:rPr>
          <w:rFonts w:eastAsia="標楷體" w:ascii="標楷體" w:hAnsi="標楷體"/>
          <w:sz w:val="28"/>
        </w:rPr>
        <w:t>:</w:t>
      </w:r>
      <w:r>
        <w:rPr>
          <w:rFonts w:ascii="標楷體" w:hAnsi="標楷體" w:eastAsia="標楷體"/>
          <w:sz w:val="28"/>
        </w:rPr>
        <w:t>「腠理，皆謂皮空及紋理也。」腠理即肌肉和皮膚的紋理，腠即為肌肉之紋理，又稱肌腠，即肌纖維之間的空隙</w:t>
      </w:r>
      <w:r>
        <w:rPr>
          <w:rFonts w:eastAsia="標楷體" w:ascii="標楷體" w:hAnsi="標楷體"/>
          <w:sz w:val="28"/>
        </w:rPr>
        <w:t>;</w:t>
      </w:r>
      <w:r>
        <w:rPr>
          <w:rFonts w:ascii="標楷體" w:hAnsi="標楷體" w:eastAsia="標楷體"/>
          <w:sz w:val="28"/>
        </w:rPr>
        <w:t>理指皮膚的紋理，即皮膚之間的縫隙。</w:t>
      </w:r>
      <w:r>
        <w:rPr>
          <w:rFonts w:eastAsia="標楷體" w:ascii="標楷體" w:hAnsi="標楷體"/>
          <w:sz w:val="28"/>
        </w:rPr>
        <w:t>&lt;&lt;</w:t>
      </w:r>
      <w:r>
        <w:rPr>
          <w:rFonts w:ascii="標楷體" w:hAnsi="標楷體" w:eastAsia="標楷體"/>
          <w:sz w:val="28"/>
        </w:rPr>
        <w:t>金匱要略</w:t>
      </w:r>
      <w:r>
        <w:rPr>
          <w:rFonts w:eastAsia="標楷體" w:ascii="標楷體" w:hAnsi="標楷體"/>
          <w:sz w:val="28"/>
        </w:rPr>
        <w:t>&gt;&gt;</w:t>
      </w:r>
      <w:r>
        <w:rPr>
          <w:rFonts w:ascii="標楷體" w:hAnsi="標楷體" w:eastAsia="標楷體"/>
          <w:sz w:val="28"/>
        </w:rPr>
        <w:t>稱</w:t>
      </w:r>
      <w:r>
        <w:rPr>
          <w:rFonts w:eastAsia="標楷體" w:ascii="標楷體" w:hAnsi="標楷體"/>
          <w:sz w:val="28"/>
        </w:rPr>
        <w:t>:</w:t>
      </w:r>
      <w:r>
        <w:rPr>
          <w:rFonts w:ascii="標楷體" w:hAnsi="標楷體" w:eastAsia="標楷體"/>
          <w:sz w:val="28"/>
        </w:rPr>
        <w:t>「腠者，三焦通會元真之處，為血氣所注。」</w:t>
      </w:r>
    </w:p>
    <w:p>
      <w:pPr>
        <w:pStyle w:val="Normal"/>
        <w:snapToGrid w:val="false"/>
        <w:spacing w:lineRule="atLeast" w:line="20"/>
        <w:jc w:val="both"/>
        <w:rPr>
          <w:rFonts w:ascii="標楷體" w:hAnsi="標楷體" w:eastAsia="標楷體"/>
          <w:sz w:val="28"/>
        </w:rPr>
      </w:pPr>
      <w:r>
        <w:rPr>
          <w:rFonts w:eastAsia="標楷體" w:cs="標楷體" w:ascii="標楷體" w:hAnsi="標楷體"/>
          <w:b/>
          <w:sz w:val="28"/>
        </w:rPr>
        <w:t xml:space="preserve">    </w:t>
      </w:r>
      <w:r>
        <w:rPr>
          <w:rFonts w:ascii="標楷體" w:hAnsi="標楷體" w:eastAsia="標楷體"/>
          <w:sz w:val="28"/>
        </w:rPr>
        <w:t>由上觀之，三焦的實質和淋巴管、血管膜、微血管膜、以及體腔、關節、腦、眼等器官內之「膜組織」是有極大關連的，而這些組織器官行走皮表的地方即稱為「腠理」，位於體腔臟腑之間則稱為「腔膜」。正如孫一奎在</w:t>
      </w:r>
      <w:r>
        <w:rPr>
          <w:rFonts w:eastAsia="標楷體" w:ascii="標楷體" w:hAnsi="標楷體"/>
          <w:sz w:val="28"/>
        </w:rPr>
        <w:t>&lt;&lt;</w:t>
      </w:r>
      <w:r>
        <w:rPr>
          <w:rFonts w:ascii="標楷體" w:hAnsi="標楷體" w:eastAsia="標楷體"/>
          <w:sz w:val="28"/>
        </w:rPr>
        <w:t>醫旨緒餘</w:t>
      </w:r>
      <w:r>
        <w:rPr>
          <w:rFonts w:eastAsia="標楷體" w:ascii="標楷體" w:hAnsi="標楷體"/>
          <w:sz w:val="28"/>
        </w:rPr>
        <w:t>&gt;&gt;</w:t>
      </w:r>
      <w:r>
        <w:rPr>
          <w:rFonts w:ascii="標楷體" w:hAnsi="標楷體" w:eastAsia="標楷體"/>
          <w:sz w:val="28"/>
        </w:rPr>
        <w:t>稱三焦「于膈膜膏脂之內，五臟六腑之隙，水谷流化之關，其氣融會於其間，薰蒸膈膜，發達皮膚分肉，運行四旁。」可見三焦是位於四肢臟腑之「膜腠」。</w:t>
      </w:r>
    </w:p>
    <w:p>
      <w:pPr>
        <w:pStyle w:val="Normal"/>
        <w:snapToGrid w:val="false"/>
        <w:spacing w:lineRule="atLeast" w:line="20"/>
        <w:jc w:val="both"/>
        <w:rPr/>
      </w:pPr>
      <w:r>
        <w:rPr>
          <w:rFonts w:eastAsia="標楷體" w:cs="標楷體" w:ascii="標楷體" w:hAnsi="標楷體"/>
          <w:b/>
          <w:sz w:val="28"/>
        </w:rPr>
        <w:t xml:space="preserve">    </w:t>
      </w:r>
      <w:r>
        <w:rPr>
          <w:rFonts w:ascii="標楷體" w:hAnsi="標楷體" w:eastAsia="標楷體"/>
          <w:b/>
          <w:sz w:val="28"/>
        </w:rPr>
        <w:t>三焦的病理</w:t>
      </w:r>
      <w:r>
        <w:rPr>
          <w:rFonts w:eastAsia="標楷體" w:ascii="標楷體" w:hAnsi="標楷體"/>
          <w:b/>
          <w:sz w:val="28"/>
        </w:rPr>
        <w:t>(</w:t>
      </w:r>
      <w:r>
        <w:rPr>
          <w:rFonts w:ascii="標楷體" w:hAnsi="標楷體" w:eastAsia="標楷體"/>
          <w:b/>
          <w:sz w:val="28"/>
        </w:rPr>
        <w:t>腫脹</w:t>
      </w:r>
      <w:r>
        <w:rPr>
          <w:rFonts w:eastAsia="標楷體" w:ascii="標楷體" w:hAnsi="標楷體"/>
          <w:b/>
          <w:sz w:val="28"/>
        </w:rPr>
        <w:t>)</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eastAsia="標楷體" w:ascii="標楷體" w:hAnsi="標楷體"/>
          <w:sz w:val="28"/>
        </w:rPr>
        <w:t>&lt;&lt;</w:t>
      </w:r>
      <w:r>
        <w:rPr>
          <w:rFonts w:ascii="標楷體" w:hAnsi="標楷體" w:eastAsia="標楷體"/>
          <w:sz w:val="28"/>
        </w:rPr>
        <w:t>靈樞‧本輸篇</w:t>
      </w:r>
      <w:r>
        <w:rPr>
          <w:rFonts w:eastAsia="標楷體" w:ascii="標楷體" w:hAnsi="標楷體"/>
          <w:sz w:val="28"/>
        </w:rPr>
        <w:t>&gt;&gt;</w:t>
      </w:r>
      <w:r>
        <w:rPr>
          <w:rFonts w:ascii="標楷體" w:hAnsi="標楷體" w:eastAsia="標楷體"/>
          <w:sz w:val="28"/>
        </w:rPr>
        <w:t>「三焦者，中瀆之府也，水道出焉，屬膀胱，是孤之腑也。」再經由以上的探討可知：三焦有通行水道的功能，因此三焦不通暢的話，則肺、脾、腎輸佈水液的功能將難以實現。</w:t>
      </w:r>
    </w:p>
    <w:p>
      <w:pPr>
        <w:pStyle w:val="Normal"/>
        <w:snapToGrid w:val="false"/>
        <w:spacing w:lineRule="atLeast" w:line="20"/>
        <w:jc w:val="both"/>
        <w:rPr>
          <w:rFonts w:ascii="標楷體" w:hAnsi="標楷體" w:eastAsia="標楷體"/>
          <w:sz w:val="28"/>
        </w:rPr>
      </w:pPr>
      <w:r>
        <w:rPr>
          <w:rFonts w:eastAsia="標楷體" w:ascii="標楷體" w:hAnsi="標楷體"/>
          <w:sz w:val="28"/>
        </w:rPr>
        <w:t>&lt;&lt;</w:t>
      </w:r>
      <w:r>
        <w:rPr>
          <w:rFonts w:ascii="標楷體" w:hAnsi="標楷體" w:eastAsia="標楷體"/>
          <w:sz w:val="28"/>
        </w:rPr>
        <w:t>傷寒論‧辨脈法</w:t>
      </w:r>
      <w:r>
        <w:rPr>
          <w:rFonts w:eastAsia="標楷體" w:ascii="標楷體" w:hAnsi="標楷體"/>
          <w:sz w:val="28"/>
        </w:rPr>
        <w:t>&gt;&gt;</w:t>
      </w:r>
      <w:r>
        <w:rPr>
          <w:rFonts w:ascii="標楷體" w:hAnsi="標楷體" w:eastAsia="標楷體"/>
          <w:sz w:val="28"/>
        </w:rPr>
        <w:t>「三焦相溷，內外不通。」其表現則如張景岳於</w:t>
      </w:r>
      <w:r>
        <w:rPr>
          <w:rFonts w:eastAsia="標楷體" w:ascii="標楷體" w:hAnsi="標楷體"/>
          <w:sz w:val="28"/>
        </w:rPr>
        <w:t>&lt;&lt;</w:t>
      </w:r>
      <w:r>
        <w:rPr>
          <w:rFonts w:ascii="標楷體" w:hAnsi="標楷體" w:eastAsia="標楷體"/>
          <w:sz w:val="28"/>
        </w:rPr>
        <w:t>類經‧藏象類</w:t>
      </w:r>
      <w:r>
        <w:rPr>
          <w:rFonts w:eastAsia="標楷體" w:ascii="標楷體" w:hAnsi="標楷體"/>
          <w:sz w:val="28"/>
        </w:rPr>
        <w:t>&gt;&gt;</w:t>
      </w:r>
      <w:r>
        <w:rPr>
          <w:rFonts w:ascii="標楷體" w:hAnsi="標楷體" w:eastAsia="標楷體"/>
          <w:sz w:val="28"/>
        </w:rPr>
        <w:t>曰</w:t>
      </w:r>
      <w:r>
        <w:rPr>
          <w:rFonts w:eastAsia="標楷體" w:ascii="標楷體" w:hAnsi="標楷體"/>
          <w:sz w:val="28"/>
        </w:rPr>
        <w:t>:</w:t>
      </w:r>
      <w:r>
        <w:rPr>
          <w:rFonts w:ascii="標楷體" w:hAnsi="標楷體" w:eastAsia="標楷體"/>
          <w:sz w:val="28"/>
        </w:rPr>
        <w:t>「上焦不治則水泛高原，中焦不治則水留中脘，下焦不治則水亂二便。」可知三焦水行不暢的話，根據其部位的不同，會有不同水病的表現。</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eastAsia="標楷體" w:ascii="標楷體" w:hAnsi="標楷體"/>
          <w:sz w:val="28"/>
        </w:rPr>
        <w:t>&lt;&lt;</w:t>
      </w:r>
      <w:r>
        <w:rPr>
          <w:rFonts w:ascii="標楷體" w:hAnsi="標楷體" w:eastAsia="標楷體"/>
          <w:sz w:val="28"/>
        </w:rPr>
        <w:t>難經‧三十一難</w:t>
      </w:r>
      <w:r>
        <w:rPr>
          <w:rFonts w:eastAsia="標楷體" w:ascii="標楷體" w:hAnsi="標楷體"/>
          <w:sz w:val="28"/>
        </w:rPr>
        <w:t>&gt;&gt;</w:t>
      </w:r>
      <w:r>
        <w:rPr>
          <w:rFonts w:ascii="標楷體" w:hAnsi="標楷體" w:eastAsia="標楷體"/>
          <w:sz w:val="28"/>
        </w:rPr>
        <w:t>曰</w:t>
      </w:r>
      <w:r>
        <w:rPr>
          <w:rFonts w:eastAsia="標楷體" w:ascii="標楷體" w:hAnsi="標楷體"/>
          <w:sz w:val="28"/>
        </w:rPr>
        <w:t>:</w:t>
      </w:r>
      <w:r>
        <w:rPr>
          <w:rFonts w:ascii="標楷體" w:hAnsi="標楷體" w:eastAsia="標楷體"/>
          <w:sz w:val="28"/>
        </w:rPr>
        <w:t>「下焦者，當膀胱上口，主分別清濁，主出而不內，以傳導也。」指出了下焦的功能為分清別濁，若其作用失職，則如</w:t>
      </w:r>
      <w:r>
        <w:rPr>
          <w:rFonts w:eastAsia="標楷體" w:ascii="標楷體" w:hAnsi="標楷體"/>
          <w:sz w:val="28"/>
        </w:rPr>
        <w:t>&lt;&lt;</w:t>
      </w:r>
      <w:r>
        <w:rPr>
          <w:rFonts w:ascii="標楷體" w:hAnsi="標楷體" w:eastAsia="標楷體"/>
          <w:sz w:val="28"/>
        </w:rPr>
        <w:t>素問‧宣明五氣</w:t>
      </w:r>
      <w:r>
        <w:rPr>
          <w:rFonts w:eastAsia="標楷體" w:ascii="標楷體" w:hAnsi="標楷體"/>
          <w:sz w:val="28"/>
        </w:rPr>
        <w:t>&gt;&gt;</w:t>
      </w:r>
      <w:r>
        <w:rPr>
          <w:rFonts w:ascii="標楷體" w:hAnsi="標楷體" w:eastAsia="標楷體"/>
          <w:sz w:val="28"/>
        </w:rPr>
        <w:t>「下焦溢為水」。</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孫一奎</w:t>
      </w:r>
      <w:r>
        <w:rPr>
          <w:rFonts w:eastAsia="標楷體" w:ascii="標楷體" w:hAnsi="標楷體"/>
          <w:sz w:val="28"/>
        </w:rPr>
        <w:t>&lt;&lt;</w:t>
      </w:r>
      <w:r>
        <w:rPr>
          <w:rFonts w:ascii="標楷體" w:hAnsi="標楷體" w:eastAsia="標楷體"/>
          <w:sz w:val="28"/>
        </w:rPr>
        <w:t>醫旨緒餘</w:t>
      </w:r>
      <w:r>
        <w:rPr>
          <w:rFonts w:eastAsia="標楷體" w:ascii="標楷體" w:hAnsi="標楷體"/>
          <w:sz w:val="28"/>
        </w:rPr>
        <w:t>&gt;&gt;</w:t>
      </w:r>
      <w:r>
        <w:rPr>
          <w:rFonts w:ascii="標楷體" w:hAnsi="標楷體" w:eastAsia="標楷體"/>
          <w:sz w:val="28"/>
        </w:rPr>
        <w:t>曰</w:t>
      </w:r>
      <w:r>
        <w:rPr>
          <w:rFonts w:eastAsia="標楷體" w:ascii="標楷體" w:hAnsi="標楷體"/>
          <w:sz w:val="28"/>
        </w:rPr>
        <w:t>:</w:t>
      </w:r>
      <w:r>
        <w:rPr>
          <w:rFonts w:ascii="標楷體" w:hAnsi="標楷體" w:eastAsia="標楷體"/>
          <w:sz w:val="28"/>
        </w:rPr>
        <w:t>「上焦主內而不出，下焦主出而不內，其內其出，皆系中焦之腐熟。」指出了上、中、下三焦之功能特性。</w:t>
      </w:r>
    </w:p>
    <w:p>
      <w:pPr>
        <w:pStyle w:val="Normal"/>
        <w:snapToGrid w:val="false"/>
        <w:spacing w:lineRule="atLeast" w:line="20"/>
        <w:jc w:val="both"/>
        <w:rPr/>
      </w:pPr>
      <w:r>
        <w:rPr>
          <w:rFonts w:eastAsia="標楷體" w:cs="標楷體" w:ascii="標楷體" w:hAnsi="標楷體"/>
          <w:sz w:val="28"/>
        </w:rPr>
        <w:t xml:space="preserve">    </w:t>
      </w:r>
      <w:r>
        <w:rPr>
          <w:rFonts w:eastAsia="標楷體" w:ascii="標楷體" w:hAnsi="標楷體"/>
          <w:sz w:val="28"/>
        </w:rPr>
        <w:t>&lt;&lt;</w:t>
      </w:r>
      <w:r>
        <w:rPr>
          <w:rFonts w:ascii="標楷體" w:hAnsi="標楷體" w:eastAsia="標楷體"/>
          <w:sz w:val="28"/>
        </w:rPr>
        <w:t>靈樞‧邪氣藏府病形篇</w:t>
      </w:r>
      <w:r>
        <w:rPr>
          <w:rFonts w:eastAsia="標楷體" w:ascii="標楷體" w:hAnsi="標楷體"/>
          <w:sz w:val="28"/>
        </w:rPr>
        <w:t>&gt;&gt;:</w:t>
      </w:r>
      <w:r>
        <w:rPr>
          <w:rFonts w:ascii="標楷體" w:hAnsi="標楷體" w:eastAsia="標楷體"/>
          <w:sz w:val="28"/>
        </w:rPr>
        <w:t>「三焦病者，腹氣滿，小腹尤堅，不得小便，窘急，溢則水留，即為脹。」此等症狀為膀胱脹所致。</w:t>
      </w:r>
      <w:r>
        <w:rPr>
          <w:rFonts w:eastAsia="標楷體" w:ascii="標楷體" w:hAnsi="標楷體"/>
          <w:sz w:val="28"/>
        </w:rPr>
        <w:t>&lt;&lt;</w:t>
      </w:r>
      <w:r>
        <w:rPr>
          <w:rFonts w:ascii="標楷體" w:hAnsi="標楷體" w:eastAsia="標楷體"/>
          <w:sz w:val="28"/>
        </w:rPr>
        <w:t>諸病源候論</w:t>
      </w:r>
      <w:r>
        <w:rPr>
          <w:rFonts w:eastAsia="標楷體" w:ascii="標楷體" w:hAnsi="標楷體"/>
          <w:sz w:val="28"/>
        </w:rPr>
        <w:t>&gt;&gt;</w:t>
      </w:r>
      <w:r>
        <w:rPr>
          <w:rFonts w:ascii="標楷體" w:hAnsi="標楷體" w:eastAsia="標楷體"/>
          <w:sz w:val="28"/>
        </w:rPr>
        <w:t>亦稱</w:t>
      </w:r>
      <w:r>
        <w:rPr>
          <w:rFonts w:eastAsia="標楷體" w:ascii="標楷體" w:hAnsi="標楷體"/>
          <w:sz w:val="28"/>
        </w:rPr>
        <w:t>:</w:t>
      </w:r>
      <w:r>
        <w:rPr>
          <w:rFonts w:ascii="標楷體" w:hAnsi="標楷體" w:eastAsia="標楷體"/>
          <w:sz w:val="28"/>
        </w:rPr>
        <w:t>「三焦閉塞，小便不通，水氣結聚於內，乃腹大而腫。」</w:t>
      </w:r>
      <w:r>
        <w:rPr>
          <w:rFonts w:eastAsia="標楷體" w:ascii="標楷體" w:hAnsi="標楷體"/>
          <w:sz w:val="28"/>
        </w:rPr>
        <w:t>&lt;&lt;</w:t>
      </w:r>
      <w:r>
        <w:rPr>
          <w:rFonts w:ascii="標楷體" w:hAnsi="標楷體" w:eastAsia="標楷體"/>
          <w:sz w:val="28"/>
        </w:rPr>
        <w:t>金匱要略</w:t>
      </w:r>
      <w:r>
        <w:rPr>
          <w:rFonts w:eastAsia="標楷體" w:ascii="標楷體" w:hAnsi="標楷體"/>
          <w:sz w:val="28"/>
        </w:rPr>
        <w:t>&gt;&gt;</w:t>
      </w:r>
      <w:r>
        <w:rPr>
          <w:rFonts w:ascii="標楷體" w:hAnsi="標楷體" w:eastAsia="標楷體"/>
          <w:sz w:val="28"/>
        </w:rPr>
        <w:t>亦稱</w:t>
      </w:r>
      <w:r>
        <w:rPr>
          <w:rFonts w:eastAsia="標楷體" w:ascii="標楷體" w:hAnsi="標楷體"/>
          <w:sz w:val="28"/>
        </w:rPr>
        <w:t>:</w:t>
      </w:r>
      <w:r>
        <w:rPr>
          <w:rFonts w:ascii="標楷體" w:hAnsi="標楷體" w:eastAsia="標楷體"/>
          <w:sz w:val="28"/>
        </w:rPr>
        <w:t>「上焦肺痿，中焦留飲，下焦腫滿」總之三焦氣化水液的作用若有所失職，和腫脹的形成是極有關連的，其間貫穿著精氣互化的觀念。</w:t>
      </w:r>
    </w:p>
    <w:p>
      <w:pPr>
        <w:pStyle w:val="Normal"/>
        <w:snapToGrid w:val="false"/>
        <w:spacing w:lineRule="atLeast" w:line="20"/>
        <w:jc w:val="both"/>
        <w:rPr>
          <w:rFonts w:ascii="標楷體" w:hAnsi="標楷體" w:eastAsia="標楷體"/>
          <w:sz w:val="28"/>
        </w:rPr>
      </w:pPr>
      <w:r>
        <w:rPr>
          <w:rFonts w:eastAsia="標楷體" w:ascii="標楷體" w:hAnsi="標楷體"/>
          <w:sz w:val="28"/>
        </w:rPr>
      </w:r>
      <w:r>
        <w:br w:type="page"/>
      </w:r>
    </w:p>
    <w:p>
      <w:pPr>
        <w:pStyle w:val="Normal"/>
        <w:snapToGrid w:val="false"/>
        <w:spacing w:lineRule="atLeast" w:line="20"/>
        <w:jc w:val="both"/>
        <w:rPr>
          <w:rFonts w:ascii="標楷體" w:hAnsi="標楷體" w:eastAsia="標楷體"/>
          <w:sz w:val="28"/>
        </w:rPr>
      </w:pPr>
      <w:r>
        <w:rPr>
          <w:rFonts w:eastAsia="標楷體" w:ascii="標楷體" w:hAnsi="標楷體"/>
          <w:sz w:val="28"/>
        </w:rPr>
      </w:r>
    </w:p>
    <w:p>
      <w:pPr>
        <w:pStyle w:val="Normal"/>
        <w:tabs>
          <w:tab w:val="left" w:pos="3060" w:leader="none"/>
        </w:tabs>
        <w:snapToGrid w:val="false"/>
        <w:jc w:val="both"/>
        <w:rPr/>
      </w:pPr>
      <w:r>
        <w:rPr>
          <w:rFonts w:eastAsia="華康細圓體" w:cs="華康細圓體" w:ascii="華康細圓體" w:hAnsi="華康細圓體"/>
          <w:b/>
          <w:sz w:val="28"/>
        </w:rPr>
        <w:t xml:space="preserve">     </w:t>
      </w:r>
      <w:r>
        <w:rPr>
          <w:rFonts w:ascii="華康細圓體" w:hAnsi="華康細圓體" w:cs="華康細圓體" w:eastAsia="標楷體"/>
          <w:b/>
          <w:sz w:val="28"/>
        </w:rPr>
        <w:t>第五節</w:t>
      </w:r>
      <w:r>
        <w:rPr>
          <w:rFonts w:ascii="華康細圓體" w:hAnsi="華康細圓體" w:cs="華康細圓體" w:eastAsia="華康細圓體"/>
          <w:b/>
          <w:sz w:val="28"/>
        </w:rPr>
        <w:t xml:space="preserve">  </w:t>
      </w:r>
      <w:r>
        <w:rPr>
          <w:rFonts w:ascii="華康細圓體" w:hAnsi="華康細圓體" w:cs="華康細圓體" w:eastAsia="標楷體"/>
          <w:b/>
          <w:sz w:val="28"/>
        </w:rPr>
        <w:t>簡介腎病症候群之中醫發病機理</w:t>
      </w:r>
    </w:p>
    <w:p>
      <w:pPr>
        <w:pStyle w:val="Normal"/>
        <w:tabs>
          <w:tab w:val="left" w:pos="3060" w:leader="none"/>
        </w:tabs>
        <w:snapToGrid w:val="false"/>
        <w:jc w:val="both"/>
        <w:rPr>
          <w:rFonts w:ascii="華康細圓體" w:hAnsi="華康細圓體" w:cs="華康細圓體"/>
          <w:sz w:val="28"/>
        </w:rPr>
      </w:pPr>
      <w:r>
        <w:rPr>
          <w:rFonts w:eastAsia="華康細圓體" w:cs="華康細圓體" w:ascii="華康細圓體" w:hAnsi="華康細圓體"/>
          <w:sz w:val="28"/>
        </w:rPr>
        <w:t xml:space="preserve">     </w:t>
      </w:r>
      <w:r>
        <w:rPr>
          <w:rFonts w:ascii="華康細圓體" w:hAnsi="華康細圓體" w:cs="華康細圓體" w:eastAsia="標楷體"/>
          <w:sz w:val="28"/>
        </w:rPr>
        <w:t>總結以上各節，古代雖無腎病症候群的名詞，但可根據其產生的症狀如水腫、虛勞、腰痛等症狀加以探討研究，尤其是氣化、三焦的觀念，因此腎病症候群的中醫發病機轉和前所論述水腫形成的機理是相通的。</w:t>
      </w:r>
    </w:p>
    <w:p>
      <w:pPr>
        <w:pStyle w:val="Normal"/>
        <w:tabs>
          <w:tab w:val="left" w:pos="3060" w:leader="none"/>
        </w:tabs>
        <w:snapToGrid w:val="false"/>
        <w:jc w:val="both"/>
        <w:rPr/>
      </w:pPr>
      <w:r>
        <w:rPr>
          <w:rFonts w:eastAsia="華康細圓體" w:cs="華康細圓體" w:ascii="華康細圓體" w:hAnsi="華康細圓體"/>
          <w:sz w:val="28"/>
        </w:rPr>
        <w:t xml:space="preserve">     </w:t>
      </w:r>
      <w:r>
        <w:rPr>
          <w:rFonts w:ascii="華康細圓體" w:hAnsi="華康細圓體" w:cs="華康細圓體" w:eastAsia="標楷體"/>
          <w:sz w:val="28"/>
        </w:rPr>
        <w:t>形成本病最主要是由於正氣虛，造成病邪入侵，所謂「邪之所湊，其氣必虛」，此病邪有可能是外感之邪或內傷之邪，邪犯機體的結果，可能會加重脾腎氣虛的形成，因而產生氣不攝精，精微物質流失的結果，會造成三焦氣化不利，</w:t>
      </w:r>
      <w:r>
        <w:rPr>
          <w:rFonts w:eastAsia="標楷體"/>
          <w:sz w:val="28"/>
        </w:rPr>
        <w:t>終而產生水腫。濕熱壅盛亦會造成血尿的產生。</w:t>
      </w:r>
    </w:p>
    <w:p>
      <w:pPr>
        <w:pStyle w:val="Normal"/>
        <w:tabs>
          <w:tab w:val="left" w:pos="3060" w:leader="none"/>
        </w:tabs>
        <w:snapToGrid w:val="false"/>
        <w:jc w:val="both"/>
        <w:rPr>
          <w:rFonts w:eastAsia="標楷體"/>
        </w:rPr>
      </w:pPr>
      <w:r>
        <mc:AlternateContent>
          <mc:Choice Requires="wps">
            <w:drawing>
              <wp:anchor behindDoc="0" distT="0" distB="0" distL="114935" distR="114935" simplePos="0" locked="0" layoutInCell="1" allowOverlap="1" relativeHeight="21">
                <wp:simplePos x="0" y="0"/>
                <wp:positionH relativeFrom="column">
                  <wp:posOffset>3429000</wp:posOffset>
                </wp:positionH>
                <wp:positionV relativeFrom="paragraph">
                  <wp:posOffset>1465580</wp:posOffset>
                </wp:positionV>
                <wp:extent cx="114935" cy="457835"/>
                <wp:effectExtent l="0" t="0" r="0" b="0"/>
                <wp:wrapNone/>
                <wp:docPr id="11" name=""/>
                <a:graphic xmlns:a="http://schemas.openxmlformats.org/drawingml/2006/main">
                  <a:graphicData uri="http://schemas.microsoft.com/office/word/2010/wordprocessingShape">
                    <wps:wsp>
                      <wps:cNvSpPr/>
                      <wps:spPr>
                        <a:xfrm>
                          <a:off x="0" y="0"/>
                          <a:ext cx="114480" cy="457200"/>
                        </a:xfrm>
                        <a:custGeom>
                          <a:avLst/>
                          <a:gdLst/>
                          <a:ahLst/>
                          <a:rect l="0" t="0" r="r" b="b"/>
                          <a:pathLst>
                            <a:path w="182" h="722">
                              <a:moveTo>
                                <a:pt x="0" y="0"/>
                              </a:moveTo>
                              <a:cubicBezTo>
                                <a:pt x="45" y="0"/>
                                <a:pt x="90" y="30"/>
                                <a:pt x="90" y="60"/>
                              </a:cubicBezTo>
                              <a:lnTo>
                                <a:pt x="90" y="300"/>
                              </a:lnTo>
                              <a:cubicBezTo>
                                <a:pt x="90" y="330"/>
                                <a:pt x="135" y="360"/>
                                <a:pt x="181" y="360"/>
                              </a:cubicBezTo>
                              <a:cubicBezTo>
                                <a:pt x="135" y="360"/>
                                <a:pt x="90" y="390"/>
                                <a:pt x="90" y="420"/>
                              </a:cubicBezTo>
                              <a:lnTo>
                                <a:pt x="90" y="660"/>
                              </a:lnTo>
                              <a:cubicBezTo>
                                <a:pt x="90" y="690"/>
                                <a:pt x="45" y="721"/>
                                <a:pt x="0" y="721"/>
                              </a:cubicBezTo>
                            </a:path>
                          </a:pathLst>
                        </a:custGeom>
                        <a:noFill/>
                        <a:ln w="9360">
                          <a:solidFill>
                            <a:srgbClr val="000000"/>
                          </a:solidFill>
                          <a:miter/>
                        </a:ln>
                      </wps:spPr>
                      <wps:style>
                        <a:lnRef idx="0"/>
                        <a:fillRef idx="0"/>
                        <a:effectRef idx="0"/>
                        <a:fontRef idx="minor"/>
                      </wps:style>
                      <wps:bodyPr/>
                    </wps:wsp>
                  </a:graphicData>
                </a:graphic>
              </wp:anchor>
            </w:drawing>
          </mc:Choice>
          <mc:Fallback>
            <w:pict>
              <v:shape id="shape_0" stroked="t" style="position:absolute;margin-left:270pt;margin-top:115.4pt;width:8.95pt;height:35.95pt" type="shapetype_88">
                <w10:wrap type="none"/>
                <v:fill o:detectmouseclick="t" on="false"/>
                <v:stroke color="black" weight="9360" joinstyle="miter" endcap="square"/>
              </v:shape>
            </w:pict>
          </mc:Fallback>
        </mc:AlternateContent>
      </w:r>
      <w:r>
        <w:rPr>
          <w:rFonts w:eastAsia="Times New Roman"/>
          <w:sz w:val="28"/>
        </w:rPr>
        <w:t xml:space="preserve"> </w:t>
      </w:r>
      <w:r>
        <w:rPr>
          <w:rFonts w:eastAsia="Times New Roman"/>
          <w:sz w:val="28"/>
        </w:rPr>
        <w:t xml:space="preserve">   </w:t>
      </w:r>
      <w:r>
        <w:rPr>
          <w:rFonts w:eastAsia="標楷體"/>
          <w:sz w:val="28"/>
        </w:rPr>
        <w:t>水腫形成之後，水反侮脾的結果會加重脾氣虛損，甚或併發腎虛，所謂「腎者，胃之關</w:t>
      </w:r>
      <w:r>
        <w:rPr>
          <w:rFonts w:ascii="華康細圓體" w:hAnsi="華康細圓體" w:eastAsia="標楷體"/>
          <w:sz w:val="28"/>
        </w:rPr>
        <w:t>也，關門不利，故聚水而從其類也。」</w:t>
      </w:r>
      <w:r>
        <w:rPr>
          <w:rFonts w:eastAsia="標楷體"/>
          <w:sz w:val="28"/>
        </w:rPr>
        <w:t>脾虛生濕，濕聚成水，水聚成飲，飲聚成痰。水腫的形成常會阻滯氣機，加上痰聚的結果，氣機阻滯的情形會更加嚴重，終而可能導致血瘀、痰瘀的形成，最後又會惡化水腫，進一步使脾腎氣虛的情形更加惡化，終而造成水濕泛濫。腎病症候群發病的中醫機轉簡列如下：</w:t>
      </w:r>
      <w:r>
        <w:rPr>
          <w:rFonts w:eastAsia="Times New Roman"/>
        </w:rPr>
        <w:t xml:space="preserve">                              </w:t>
      </w:r>
      <w:r>
        <w:rPr>
          <w:rFonts w:eastAsia="標楷體"/>
          <w:sz w:val="28"/>
        </w:rPr>
        <w:t>脾氣散精</w:t>
      </w:r>
      <w:r>
        <w:rPr>
          <w:rFonts w:eastAsia="Times New Roman"/>
          <w:sz w:val="28"/>
        </w:rPr>
        <w:t xml:space="preserve">     </w:t>
      </w:r>
      <w:r>
        <w:rPr>
          <w:rFonts w:eastAsia="標楷體"/>
          <w:sz w:val="28"/>
        </w:rPr>
        <w:t>脾腎氣虛</w:t>
      </w:r>
      <w:r>
        <w:rPr>
          <w:rFonts w:eastAsia="Times New Roman"/>
          <w:sz w:val="28"/>
        </w:rPr>
        <w:t xml:space="preserve">    </w:t>
      </w:r>
      <w:r>
        <w:rPr>
          <w:rFonts w:eastAsia="標楷體"/>
          <w:sz w:val="28"/>
        </w:rPr>
        <w:t>精微</w:t>
      </w:r>
    </w:p>
    <w:p>
      <w:pPr>
        <w:pStyle w:val="Normal"/>
        <w:tabs>
          <w:tab w:val="left" w:pos="3060" w:leader="none"/>
        </w:tabs>
        <w:snapToGrid w:val="false"/>
        <w:jc w:val="both"/>
        <w:rPr>
          <w:rFonts w:eastAsia="標楷體"/>
        </w:rPr>
      </w:pPr>
      <w:r>
        <mc:AlternateContent>
          <mc:Choice Requires="wps">
            <w:drawing>
              <wp:anchor behindDoc="0" distT="0" distB="0" distL="114935" distR="114935" simplePos="0" locked="0" layoutInCell="1" allowOverlap="1" relativeHeight="17">
                <wp:simplePos x="0" y="0"/>
                <wp:positionH relativeFrom="column">
                  <wp:posOffset>2332990</wp:posOffset>
                </wp:positionH>
                <wp:positionV relativeFrom="paragraph">
                  <wp:posOffset>123825</wp:posOffset>
                </wp:positionV>
                <wp:extent cx="229870" cy="229235"/>
                <wp:effectExtent l="0" t="0" r="0" b="0"/>
                <wp:wrapNone/>
                <wp:docPr id="12" name=""/>
                <a:graphic xmlns:a="http://schemas.openxmlformats.org/drawingml/2006/main">
                  <a:graphicData uri="http://schemas.microsoft.com/office/word/2010/wordprocessingShape">
                    <wps:wsp>
                      <wps:cNvSpPr/>
                      <wps:spPr>
                        <a:xfrm flipV="1">
                          <a:off x="0" y="0"/>
                          <a:ext cx="228600" cy="22860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180pt,6pt" to="197.95pt,23.95pt" stroked="t" style="position:absolute;flip:y">
                <v:stroke color="black" weight="9360" endarrow="block" endarrowwidth="medium" endarrowlength="medium" joinstyle="miter" endcap="square"/>
                <v:fill o:detectmouseclick="t" on="false"/>
              </v:line>
            </w:pict>
          </mc:Fallback>
        </mc:AlternateContent>
        <mc:AlternateContent>
          <mc:Choice Requires="wps">
            <w:drawing>
              <wp:anchor behindDoc="0" distT="0" distB="0" distL="114935" distR="114935" simplePos="0" locked="0" layoutInCell="1" allowOverlap="1" relativeHeight="22">
                <wp:simplePos x="0" y="0"/>
                <wp:positionH relativeFrom="column">
                  <wp:posOffset>3657600</wp:posOffset>
                </wp:positionH>
                <wp:positionV relativeFrom="paragraph">
                  <wp:posOffset>76200</wp:posOffset>
                </wp:positionV>
                <wp:extent cx="1143635" cy="635"/>
                <wp:effectExtent l="0" t="0" r="0" b="0"/>
                <wp:wrapNone/>
                <wp:docPr id="13" name=""/>
                <a:graphic xmlns:a="http://schemas.openxmlformats.org/drawingml/2006/main">
                  <a:graphicData uri="http://schemas.microsoft.com/office/word/2010/wordprocessingShape">
                    <wps:wsp>
                      <wps:cNvSpPr/>
                      <wps:spPr>
                        <a:xfrm>
                          <a:off x="0" y="0"/>
                          <a:ext cx="1143000" cy="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288pt,6pt" to="377.95pt,6pt" stroked="t" style="position:absolute">
                <v:stroke color="black" weight="9360" endarrow="block" endarrowwidth="medium" endarrowlength="medium" joinstyle="miter" endcap="square"/>
                <v:fill o:detectmouseclick="t" on="false"/>
              </v:line>
            </w:pict>
          </mc:Fallback>
        </mc:AlternateContent>
      </w:r>
      <w:r>
        <w:rPr>
          <w:rFonts w:eastAsia="Times New Roman"/>
        </w:rPr>
        <w:t xml:space="preserve"> </w:t>
      </w:r>
      <w:r>
        <w:rPr>
          <w:rFonts w:eastAsia="Times New Roman"/>
        </w:rPr>
        <w:t xml:space="preserve">             </w:t>
      </w:r>
      <w:r>
        <w:rPr>
          <w:rFonts w:eastAsia="標楷體"/>
          <w:sz w:val="28"/>
        </w:rPr>
        <w:t>肺氣失宣</w:t>
      </w:r>
      <w:r>
        <w:rPr>
          <w:rFonts w:eastAsia="Times New Roman"/>
          <w:sz w:val="28"/>
        </w:rPr>
        <w:t xml:space="preserve">          </w:t>
      </w:r>
      <w:r>
        <w:rPr>
          <w:rFonts w:eastAsia="標楷體"/>
          <w:sz w:val="28"/>
        </w:rPr>
        <w:t>運化失司</w:t>
      </w:r>
      <w:r>
        <w:rPr>
          <w:rFonts w:eastAsia="Times New Roman"/>
          <w:sz w:val="28"/>
        </w:rPr>
        <w:t xml:space="preserve">                 </w:t>
      </w:r>
      <w:r>
        <w:rPr>
          <w:rFonts w:eastAsia="標楷體"/>
          <w:sz w:val="28"/>
        </w:rPr>
        <w:t>物質</w:t>
      </w:r>
      <w:r>
        <w:rPr>
          <w:rFonts w:eastAsia="Times New Roman"/>
          <w:sz w:val="28"/>
        </w:rPr>
        <w:t xml:space="preserve">  </w:t>
      </w:r>
    </w:p>
    <w:p>
      <w:pPr>
        <w:pStyle w:val="Normal"/>
        <w:snapToGrid w:val="false"/>
        <w:jc w:val="both"/>
        <w:rPr>
          <w:sz w:val="28"/>
        </w:rPr>
      </w:pPr>
      <w:r>
        <mc:AlternateContent>
          <mc:Choice Requires="wps">
            <w:drawing>
              <wp:anchor behindDoc="0" distT="0" distB="0" distL="114935" distR="114935" simplePos="0" locked="0" layoutInCell="1" allowOverlap="1" relativeHeight="18">
                <wp:simplePos x="0" y="0"/>
                <wp:positionH relativeFrom="column">
                  <wp:posOffset>685800</wp:posOffset>
                </wp:positionH>
                <wp:positionV relativeFrom="paragraph">
                  <wp:posOffset>73660</wp:posOffset>
                </wp:positionV>
                <wp:extent cx="1600835" cy="635"/>
                <wp:effectExtent l="0" t="0" r="0" b="0"/>
                <wp:wrapNone/>
                <wp:docPr id="14" name=""/>
                <a:graphic xmlns:a="http://schemas.openxmlformats.org/drawingml/2006/main">
                  <a:graphicData uri="http://schemas.microsoft.com/office/word/2010/wordprocessingShape">
                    <wps:wsp>
                      <wps:cNvSpPr/>
                      <wps:spPr>
                        <a:xfrm>
                          <a:off x="0" y="0"/>
                          <a:ext cx="160020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54pt,5.8pt" to="179.95pt,5.8pt" stroked="t" style="position:absolute">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19">
                <wp:simplePos x="0" y="0"/>
                <wp:positionH relativeFrom="column">
                  <wp:posOffset>2286000</wp:posOffset>
                </wp:positionH>
                <wp:positionV relativeFrom="paragraph">
                  <wp:posOffset>73660</wp:posOffset>
                </wp:positionV>
                <wp:extent cx="343535" cy="635"/>
                <wp:effectExtent l="0" t="0" r="0" b="0"/>
                <wp:wrapNone/>
                <wp:docPr id="15" name=""/>
                <a:graphic xmlns:a="http://schemas.openxmlformats.org/drawingml/2006/main">
                  <a:graphicData uri="http://schemas.microsoft.com/office/word/2010/wordprocessingShape">
                    <wps:wsp>
                      <wps:cNvSpPr/>
                      <wps:spPr>
                        <a:xfrm>
                          <a:off x="0" y="0"/>
                          <a:ext cx="343080" cy="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180pt,5.8pt" to="206.95pt,5.8pt" stroked="t" style="position:absolute">
                <v:stroke color="black" weight="9360" endarrow="block" endarrowwidth="medium" endarrowlength="medium" joinstyle="miter" endcap="square"/>
                <v:fill o:detectmouseclick="t" on="false"/>
              </v:line>
            </w:pict>
          </mc:Fallback>
        </mc:AlternateContent>
        <mc:AlternateContent>
          <mc:Choice Requires="wps">
            <w:drawing>
              <wp:anchor behindDoc="0" distT="0" distB="0" distL="114935" distR="114935" simplePos="0" locked="0" layoutInCell="1" allowOverlap="1" relativeHeight="20">
                <wp:simplePos x="0" y="0"/>
                <wp:positionH relativeFrom="column">
                  <wp:posOffset>2332990</wp:posOffset>
                </wp:positionH>
                <wp:positionV relativeFrom="paragraph">
                  <wp:posOffset>120650</wp:posOffset>
                </wp:positionV>
                <wp:extent cx="229235" cy="229235"/>
                <wp:effectExtent l="0" t="0" r="0" b="0"/>
                <wp:wrapNone/>
                <wp:docPr id="16" name=""/>
                <a:graphic xmlns:a="http://schemas.openxmlformats.org/drawingml/2006/main">
                  <a:graphicData uri="http://schemas.microsoft.com/office/word/2010/wordprocessingShape">
                    <wps:wsp>
                      <wps:cNvSpPr/>
                      <wps:spPr>
                        <a:xfrm>
                          <a:off x="0" y="0"/>
                          <a:ext cx="228600" cy="22860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180pt,5.8pt" to="197.95pt,23.75pt" stroked="t" style="position:absolute">
                <v:stroke color="black" weight="9360" endarrow="block" endarrowwidth="medium" endarrowlength="medium" joinstyle="miter" endcap="square"/>
                <v:fill o:detectmouseclick="t" on="false"/>
              </v:line>
            </w:pict>
          </mc:Fallback>
        </mc:AlternateContent>
        <mc:AlternateContent>
          <mc:Choice Requires="wps">
            <w:drawing>
              <wp:anchor behindDoc="0" distT="0" distB="0" distL="114935" distR="114935" simplePos="0" locked="0" layoutInCell="1" allowOverlap="1" relativeHeight="25">
                <wp:simplePos x="0" y="0"/>
                <wp:positionH relativeFrom="column">
                  <wp:posOffset>5543550</wp:posOffset>
                </wp:positionH>
                <wp:positionV relativeFrom="paragraph">
                  <wp:posOffset>-325755</wp:posOffset>
                </wp:positionV>
                <wp:extent cx="635" cy="1029335"/>
                <wp:effectExtent l="0" t="0" r="0" b="0"/>
                <wp:wrapNone/>
                <wp:docPr id="17" name=""/>
                <a:graphic xmlns:a="http://schemas.openxmlformats.org/drawingml/2006/main">
                  <a:graphicData uri="http://schemas.microsoft.com/office/word/2010/wordprocessingShape">
                    <wps:wsp>
                      <wps:cNvSpPr/>
                      <wps:spPr>
                        <a:xfrm>
                          <a:off x="0" y="0"/>
                          <a:ext cx="0" cy="102888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396pt,14.8pt" to="396pt,95.75pt" stroked="t" style="position:absolute">
                <v:stroke color="black" weight="9360" joinstyle="miter" endcap="square"/>
                <v:fill o:detectmouseclick="t" on="false"/>
              </v:line>
            </w:pict>
          </mc:Fallback>
        </mc:AlternateContent>
        <mc:AlternateContent>
          <mc:Choice Requires="wps">
            <w:drawing>
              <wp:anchor behindDoc="0" distT="0" distB="0" distL="114935" distR="114935" simplePos="0" locked="0" layoutInCell="1" allowOverlap="1" relativeHeight="27">
                <wp:simplePos x="0" y="0"/>
                <wp:positionH relativeFrom="column">
                  <wp:posOffset>571500</wp:posOffset>
                </wp:positionH>
                <wp:positionV relativeFrom="paragraph">
                  <wp:posOffset>187960</wp:posOffset>
                </wp:positionV>
                <wp:extent cx="1270" cy="1270"/>
                <wp:effectExtent l="0" t="0" r="0" b="0"/>
                <wp:wrapNone/>
                <wp:docPr id="18" name=""/>
                <a:graphic xmlns:a="http://schemas.openxmlformats.org/drawingml/2006/main">
                  <a:graphicData uri="http://schemas.microsoft.com/office/word/2010/wordprocessingShape">
                    <wps:wsp>
                      <wps:cNvSpPr/>
                      <wps:spPr>
                        <a:xfrm flipV="1">
                          <a:off x="0" y="0"/>
                          <a:ext cx="0" cy="45720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45pt,14.8pt" to="45pt,50.75pt" stroked="t" style="position:absolute;flip:y">
                <v:stroke color="black" weight="9360" endarrow="block" endarrowwidth="medium" endarrowlength="medium" joinstyle="miter" endcap="square"/>
                <v:fill o:detectmouseclick="t" on="false"/>
              </v:line>
            </w:pict>
          </mc:Fallback>
        </mc:AlternateContent>
      </w:r>
      <w:r>
        <w:rPr>
          <w:rFonts w:eastAsia="Times New Roman"/>
          <w:sz w:val="28"/>
        </w:rPr>
        <w:t xml:space="preserve"> </w:t>
      </w:r>
      <w:r>
        <w:rPr>
          <w:rFonts w:eastAsia="Times New Roman"/>
          <w:sz w:val="28"/>
        </w:rPr>
        <w:t xml:space="preserve">   </w:t>
      </w:r>
      <w:r>
        <w:rPr>
          <w:rFonts w:eastAsia="標楷體"/>
          <w:sz w:val="28"/>
        </w:rPr>
        <w:t>外感</w:t>
      </w:r>
      <w:r>
        <w:rPr>
          <w:rFonts w:eastAsia="Times New Roman"/>
          <w:sz w:val="28"/>
        </w:rPr>
        <w:t xml:space="preserve">                      </w:t>
      </w:r>
      <w:r>
        <w:rPr>
          <w:rFonts w:eastAsia="標楷體"/>
          <w:sz w:val="28"/>
        </w:rPr>
        <w:t>腎失封藏</w:t>
      </w:r>
      <w:r>
        <w:rPr>
          <w:rFonts w:eastAsia="Times New Roman"/>
          <w:sz w:val="28"/>
        </w:rPr>
        <w:t xml:space="preserve">     </w:t>
      </w:r>
      <w:r>
        <w:rPr>
          <w:rFonts w:eastAsia="標楷體"/>
          <w:sz w:val="28"/>
        </w:rPr>
        <w:t>氣不攝精</w:t>
      </w:r>
      <w:r>
        <w:rPr>
          <w:rFonts w:eastAsia="Times New Roman"/>
          <w:sz w:val="28"/>
        </w:rPr>
        <w:t xml:space="preserve">    </w:t>
      </w:r>
      <w:r>
        <w:rPr>
          <w:rFonts w:eastAsia="標楷體"/>
          <w:sz w:val="28"/>
        </w:rPr>
        <w:t>流失</w:t>
      </w:r>
    </w:p>
    <w:p>
      <w:pPr>
        <w:pStyle w:val="Normal"/>
        <w:snapToGrid w:val="false"/>
        <w:jc w:val="both"/>
        <w:rPr>
          <w:sz w:val="28"/>
        </w:rPr>
      </w:pPr>
      <w:r>
        <mc:AlternateContent>
          <mc:Choice Requires="wps">
            <w:drawing>
              <wp:anchor behindDoc="0" distT="0" distB="0" distL="114935" distR="114935" simplePos="0" locked="0" layoutInCell="1" allowOverlap="1" relativeHeight="23">
                <wp:simplePos x="0" y="0"/>
                <wp:positionH relativeFrom="column">
                  <wp:posOffset>2857500</wp:posOffset>
                </wp:positionH>
                <wp:positionV relativeFrom="paragraph">
                  <wp:posOffset>71120</wp:posOffset>
                </wp:positionV>
                <wp:extent cx="635" cy="229235"/>
                <wp:effectExtent l="0" t="0" r="0" b="0"/>
                <wp:wrapNone/>
                <wp:docPr id="19" name=""/>
                <a:graphic xmlns:a="http://schemas.openxmlformats.org/drawingml/2006/main">
                  <a:graphicData uri="http://schemas.microsoft.com/office/word/2010/wordprocessingShape">
                    <wps:wsp>
                      <wps:cNvSpPr/>
                      <wps:spPr>
                        <a:xfrm>
                          <a:off x="0" y="0"/>
                          <a:ext cx="0" cy="22860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216pt,14.6pt" to="216pt,32.55pt" stroked="t" style="position:absolute">
                <v:stroke color="black" weight="9360" endarrow="block" endarrowwidth="medium" endarrowlength="medium" joinstyle="miter" endcap="square"/>
                <v:fill o:detectmouseclick="t" on="false"/>
              </v:line>
            </w:pict>
          </mc:Fallback>
        </mc:AlternateContent>
      </w:r>
      <w:r>
        <w:rPr>
          <w:rFonts w:eastAsia="Times New Roman"/>
          <w:sz w:val="28"/>
        </w:rPr>
        <w:t xml:space="preserve"> </w:t>
      </w:r>
      <w:r>
        <w:rPr>
          <w:rFonts w:eastAsia="Times New Roman"/>
          <w:sz w:val="28"/>
        </w:rPr>
        <w:t xml:space="preserve">        </w:t>
      </w:r>
      <w:r>
        <w:rPr>
          <w:rFonts w:eastAsia="標楷體"/>
          <w:sz w:val="28"/>
        </w:rPr>
        <w:t>風寒、風熱、風濕</w:t>
      </w:r>
      <w:r>
        <w:rPr>
          <w:rFonts w:eastAsia="Times New Roman"/>
          <w:sz w:val="28"/>
        </w:rPr>
        <w:t xml:space="preserve">    </w:t>
      </w:r>
      <w:r>
        <w:rPr>
          <w:rFonts w:eastAsia="標楷體"/>
          <w:sz w:val="28"/>
        </w:rPr>
        <w:t>濕熱</w:t>
      </w:r>
    </w:p>
    <w:p>
      <w:pPr>
        <w:pStyle w:val="Normal"/>
        <w:snapToGrid w:val="false"/>
        <w:jc w:val="both"/>
        <w:rPr/>
      </w:pPr>
      <w:r>
        <w:rPr>
          <w:rFonts w:eastAsia="Times New Roman"/>
          <w:sz w:val="28"/>
        </w:rPr>
        <w:t xml:space="preserve">                       </w:t>
      </w:r>
      <w:r>
        <w:rPr>
          <w:rFonts w:eastAsia="標楷體"/>
        </w:rPr>
        <w:t>生痰</w:t>
      </w:r>
    </w:p>
    <w:p>
      <w:pPr>
        <w:pStyle w:val="Normal"/>
        <w:snapToGrid w:val="false"/>
        <w:jc w:val="both"/>
        <w:rPr>
          <w:sz w:val="28"/>
        </w:rPr>
      </w:pPr>
      <w:r>
        <mc:AlternateContent>
          <mc:Choice Requires="wps">
            <w:drawing>
              <wp:anchor behindDoc="0" distT="0" distB="0" distL="114935" distR="114935" simplePos="0" locked="0" layoutInCell="1" allowOverlap="1" relativeHeight="24">
                <wp:simplePos x="0" y="0"/>
                <wp:positionH relativeFrom="column">
                  <wp:posOffset>2857500</wp:posOffset>
                </wp:positionH>
                <wp:positionV relativeFrom="paragraph">
                  <wp:posOffset>92710</wp:posOffset>
                </wp:positionV>
                <wp:extent cx="635" cy="229235"/>
                <wp:effectExtent l="0" t="0" r="0" b="0"/>
                <wp:wrapNone/>
                <wp:docPr id="20" name=""/>
                <a:graphic xmlns:a="http://schemas.openxmlformats.org/drawingml/2006/main">
                  <a:graphicData uri="http://schemas.microsoft.com/office/word/2010/wordprocessingShape">
                    <wps:wsp>
                      <wps:cNvSpPr/>
                      <wps:spPr>
                        <a:xfrm>
                          <a:off x="0" y="0"/>
                          <a:ext cx="0" cy="22860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216pt,16.3pt" to="216pt,34.25pt" stroked="t" style="position:absolute">
                <v:stroke color="black" weight="9360" endarrow="block" endarrowwidth="medium" endarrowlength="medium" joinstyle="miter" endcap="square"/>
                <v:fill o:detectmouseclick="t" on="false"/>
              </v:line>
            </w:pict>
          </mc:Fallback>
        </mc:AlternateContent>
        <mc:AlternateContent>
          <mc:Choice Requires="wps">
            <w:drawing>
              <wp:anchor behindDoc="0" distT="0" distB="0" distL="114935" distR="114935" simplePos="0" locked="0" layoutInCell="1" allowOverlap="1" relativeHeight="28">
                <wp:simplePos x="0" y="0"/>
                <wp:positionH relativeFrom="column">
                  <wp:posOffset>685800</wp:posOffset>
                </wp:positionH>
                <wp:positionV relativeFrom="paragraph">
                  <wp:posOffset>92710</wp:posOffset>
                </wp:positionV>
                <wp:extent cx="635" cy="229235"/>
                <wp:effectExtent l="0" t="0" r="0" b="0"/>
                <wp:wrapNone/>
                <wp:docPr id="21" name=""/>
                <a:graphic xmlns:a="http://schemas.openxmlformats.org/drawingml/2006/main">
                  <a:graphicData uri="http://schemas.microsoft.com/office/word/2010/wordprocessingShape">
                    <wps:wsp>
                      <wps:cNvSpPr/>
                      <wps:spPr>
                        <a:xfrm>
                          <a:off x="0" y="0"/>
                          <a:ext cx="0" cy="22860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45pt,16.3pt" to="45pt,34.25pt" stroked="t" style="position:absolute">
                <v:stroke color="black" weight="9360" endarrow="block" endarrowwidth="medium" endarrowlength="medium" joinstyle="miter" endcap="square"/>
                <v:fill o:detectmouseclick="t" on="false"/>
              </v:line>
            </w:pict>
          </mc:Fallback>
        </mc:AlternateContent>
        <mc:AlternateContent>
          <mc:Choice Requires="wps">
            <w:drawing>
              <wp:anchor behindDoc="0" distT="0" distB="0" distL="114935" distR="114935" simplePos="0" locked="0" layoutInCell="1" allowOverlap="1" relativeHeight="30">
                <wp:simplePos x="0" y="0"/>
                <wp:positionH relativeFrom="column">
                  <wp:posOffset>1600200</wp:posOffset>
                </wp:positionH>
                <wp:positionV relativeFrom="paragraph">
                  <wp:posOffset>207010</wp:posOffset>
                </wp:positionV>
                <wp:extent cx="1270" cy="1270"/>
                <wp:effectExtent l="0" t="0" r="0" b="0"/>
                <wp:wrapNone/>
                <wp:docPr id="22" name=""/>
                <a:graphic xmlns:a="http://schemas.openxmlformats.org/drawingml/2006/main">
                  <a:graphicData uri="http://schemas.microsoft.com/office/word/2010/wordprocessingShape">
                    <wps:wsp>
                      <wps:cNvSpPr/>
                      <wps:spPr>
                        <a:xfrm flipV="1">
                          <a:off x="0" y="0"/>
                          <a:ext cx="0" cy="34308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126pt,16.3pt" to="126pt,43.25pt" stroked="t" style="position:absolute;flip:y">
                <v:stroke color="black" weight="9360" endarrow="block" endarrowwidth="medium" endarrowlength="medium" joinstyle="miter" endcap="square"/>
                <v:fill o:detectmouseclick="t" on="false"/>
              </v:line>
            </w:pict>
          </mc:Fallback>
        </mc:AlternateContent>
        <mc:AlternateContent>
          <mc:Choice Requires="wps">
            <w:drawing>
              <wp:anchor behindDoc="0" distT="0" distB="0" distL="114935" distR="114935" simplePos="0" locked="0" layoutInCell="1" allowOverlap="1" relativeHeight="31">
                <wp:simplePos x="0" y="0"/>
                <wp:positionH relativeFrom="column">
                  <wp:posOffset>1943100</wp:posOffset>
                </wp:positionH>
                <wp:positionV relativeFrom="paragraph">
                  <wp:posOffset>92710</wp:posOffset>
                </wp:positionV>
                <wp:extent cx="686435" cy="635"/>
                <wp:effectExtent l="0" t="0" r="0" b="0"/>
                <wp:wrapNone/>
                <wp:docPr id="23" name=""/>
                <a:graphic xmlns:a="http://schemas.openxmlformats.org/drawingml/2006/main">
                  <a:graphicData uri="http://schemas.microsoft.com/office/word/2010/wordprocessingShape">
                    <wps:wsp>
                      <wps:cNvSpPr/>
                      <wps:spPr>
                        <a:xfrm>
                          <a:off x="0" y="0"/>
                          <a:ext cx="685800" cy="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153pt,7.3pt" to="206.95pt,7.3pt" stroked="t" style="position:absolute">
                <v:stroke color="black" weight="9360" endarrow="block" endarrowwidth="medium" endarrowlength="medium" joinstyle="miter" endcap="square"/>
                <v:fill o:detectmouseclick="t" on="false"/>
              </v:line>
            </w:pict>
          </mc:Fallback>
        </mc:AlternateContent>
      </w:r>
      <w:r>
        <w:rPr>
          <w:rFonts w:eastAsia="Times New Roman"/>
          <w:sz w:val="28"/>
        </w:rPr>
        <w:t xml:space="preserve"> </w:t>
      </w:r>
      <w:r>
        <w:rPr>
          <w:rFonts w:eastAsia="Times New Roman"/>
          <w:sz w:val="28"/>
        </w:rPr>
        <w:t xml:space="preserve">   </w:t>
      </w:r>
      <w:r>
        <w:rPr>
          <w:rFonts w:eastAsia="標楷體"/>
          <w:sz w:val="28"/>
        </w:rPr>
        <w:t>正虛</w:t>
      </w:r>
      <w:r>
        <w:rPr>
          <w:rFonts w:eastAsia="Times New Roman"/>
          <w:sz w:val="28"/>
        </w:rPr>
        <w:t xml:space="preserve">      </w:t>
      </w:r>
      <w:r>
        <w:rPr>
          <w:rFonts w:eastAsia="標楷體"/>
          <w:sz w:val="28"/>
        </w:rPr>
        <w:t>脾虛濕滯</w:t>
      </w:r>
      <w:r>
        <w:rPr>
          <w:rFonts w:eastAsia="Times New Roman"/>
          <w:sz w:val="28"/>
        </w:rPr>
        <w:t xml:space="preserve">       </w:t>
      </w:r>
      <w:r>
        <w:rPr>
          <w:rFonts w:eastAsia="標楷體"/>
          <w:sz w:val="28"/>
        </w:rPr>
        <w:t>瘀滯</w:t>
      </w:r>
    </w:p>
    <w:p>
      <w:pPr>
        <w:pStyle w:val="Normal"/>
        <w:snapToGrid w:val="false"/>
        <w:jc w:val="both"/>
        <w:rPr>
          <w:rFonts w:eastAsia="標楷體"/>
        </w:rPr>
      </w:pPr>
      <w:r>
        <w:rPr>
          <w:rFonts w:eastAsia="Times New Roman"/>
          <w:sz w:val="28"/>
        </w:rPr>
        <w:t xml:space="preserve">                                       </w:t>
      </w:r>
      <w:r>
        <w:rPr>
          <w:rFonts w:eastAsia="標楷體"/>
          <w:sz w:val="28"/>
        </w:rPr>
        <w:t>三焦氣化不利</w:t>
      </w:r>
      <w:r>
        <w:rPr>
          <w:rFonts w:eastAsia="Times New Roman"/>
          <w:sz w:val="28"/>
        </w:rPr>
        <w:t xml:space="preserve">  </w:t>
      </w:r>
    </w:p>
    <w:p>
      <w:pPr>
        <w:pStyle w:val="Normal"/>
        <w:snapToGrid w:val="false"/>
        <w:jc w:val="both"/>
        <w:rPr>
          <w:sz w:val="28"/>
        </w:rPr>
      </w:pPr>
      <w:r>
        <mc:AlternateContent>
          <mc:Choice Requires="wps">
            <w:drawing>
              <wp:anchor behindDoc="0" distT="0" distB="0" distL="114935" distR="114935" simplePos="0" locked="0" layoutInCell="1" allowOverlap="1" relativeHeight="26">
                <wp:simplePos x="0" y="0"/>
                <wp:positionH relativeFrom="column">
                  <wp:posOffset>2971800</wp:posOffset>
                </wp:positionH>
                <wp:positionV relativeFrom="paragraph">
                  <wp:posOffset>114935</wp:posOffset>
                </wp:positionV>
                <wp:extent cx="2058035" cy="635"/>
                <wp:effectExtent l="0" t="0" r="0" b="0"/>
                <wp:wrapNone/>
                <wp:docPr id="24" name=""/>
                <a:graphic xmlns:a="http://schemas.openxmlformats.org/drawingml/2006/main">
                  <a:graphicData uri="http://schemas.microsoft.com/office/word/2010/wordprocessingShape">
                    <wps:wsp>
                      <wps:cNvSpPr/>
                      <wps:spPr>
                        <a:xfrm>
                          <a:off x="0" y="0"/>
                          <a:ext cx="2057400" cy="0"/>
                        </a:xfrm>
                        <a:prstGeom prst="line">
                          <a:avLst/>
                        </a:prstGeom>
                        <a:ln w="9360">
                          <a:solidFill>
                            <a:srgbClr val="000000"/>
                          </a:solidFill>
                          <a:miter/>
                          <a:headEnd len="med" type="triangle" w="med"/>
                        </a:ln>
                      </wps:spPr>
                      <wps:style>
                        <a:lnRef idx="0"/>
                        <a:fillRef idx="0"/>
                        <a:effectRef idx="0"/>
                        <a:fontRef idx="minor"/>
                      </wps:style>
                      <wps:bodyPr/>
                    </wps:wsp>
                  </a:graphicData>
                </a:graphic>
              </wp:anchor>
            </w:drawing>
          </mc:Choice>
          <mc:Fallback>
            <w:pict>
              <v:line id="shape_0" from="234pt,9.05pt" to="395.95pt,9.05pt" stroked="t" style="position:absolute">
                <v:stroke color="black" weight="9360" startarrow="block" startarrowwidth="medium" startarrowlength="medium" joinstyle="miter" endcap="square"/>
                <v:fill o:detectmouseclick="t" on="false"/>
              </v:line>
            </w:pict>
          </mc:Fallback>
        </mc:AlternateContent>
        <mc:AlternateContent>
          <mc:Choice Requires="wps">
            <w:drawing>
              <wp:anchor behindDoc="0" distT="0" distB="0" distL="114935" distR="114935" simplePos="0" locked="0" layoutInCell="1" allowOverlap="1" relativeHeight="29">
                <wp:simplePos x="0" y="0"/>
                <wp:positionH relativeFrom="column">
                  <wp:posOffset>1028700</wp:posOffset>
                </wp:positionH>
                <wp:positionV relativeFrom="paragraph">
                  <wp:posOffset>87630</wp:posOffset>
                </wp:positionV>
                <wp:extent cx="1486535" cy="635"/>
                <wp:effectExtent l="0" t="0" r="0" b="0"/>
                <wp:wrapNone/>
                <wp:docPr id="25" name=""/>
                <a:graphic xmlns:a="http://schemas.openxmlformats.org/drawingml/2006/main">
                  <a:graphicData uri="http://schemas.microsoft.com/office/word/2010/wordprocessingShape">
                    <wps:wsp>
                      <wps:cNvSpPr/>
                      <wps:spPr>
                        <a:xfrm>
                          <a:off x="0" y="0"/>
                          <a:ext cx="1486080" cy="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81pt,6.9pt" to="197.95pt,6.9pt" stroked="t" style="position:absolute">
                <v:stroke color="black" weight="9360" endarrow="block" endarrowwidth="medium" endarrowlength="medium" joinstyle="miter" endcap="square"/>
                <v:fill o:detectmouseclick="t" on="false"/>
              </v:line>
            </w:pict>
          </mc:Fallback>
        </mc:AlternateContent>
      </w:r>
      <w:r>
        <w:rPr>
          <w:rFonts w:eastAsia="Times New Roman"/>
          <w:sz w:val="28"/>
        </w:rPr>
        <w:t xml:space="preserve"> </w:t>
      </w:r>
      <w:r>
        <w:rPr>
          <w:rFonts w:eastAsia="Times New Roman"/>
          <w:sz w:val="28"/>
        </w:rPr>
        <w:t xml:space="preserve">   </w:t>
      </w:r>
      <w:r>
        <w:rPr>
          <w:rFonts w:eastAsia="標楷體"/>
          <w:sz w:val="28"/>
        </w:rPr>
        <w:t>本氣自虛</w:t>
      </w:r>
      <w:r>
        <w:rPr>
          <w:rFonts w:eastAsia="Times New Roman"/>
          <w:sz w:val="28"/>
        </w:rPr>
        <w:t xml:space="preserve">                </w:t>
      </w:r>
      <w:r>
        <w:rPr>
          <w:rFonts w:eastAsia="標楷體"/>
          <w:sz w:val="28"/>
        </w:rPr>
        <w:t>水腫</w:t>
      </w:r>
    </w:p>
    <w:p>
      <w:pPr>
        <w:pStyle w:val="Normal"/>
        <w:snapToGrid w:val="false"/>
        <w:jc w:val="both"/>
        <w:rPr>
          <w:sz w:val="28"/>
        </w:rPr>
      </w:pPr>
      <w:r>
        <w:rPr>
          <w:rFonts w:eastAsia="Times New Roman"/>
          <w:sz w:val="28"/>
        </w:rPr>
        <w:t xml:space="preserve">   </w:t>
      </w:r>
      <w:r>
        <w:rPr>
          <w:rFonts w:eastAsia="標楷體"/>
          <w:sz w:val="28"/>
        </w:rPr>
        <w:t>（肺脾腎）</w:t>
      </w:r>
      <w:r>
        <w:rPr>
          <w:rFonts w:eastAsia="Times New Roman"/>
          <w:sz w:val="28"/>
        </w:rPr>
        <w:t xml:space="preserve">  </w:t>
      </w:r>
      <w:r>
        <w:rPr>
          <w:rFonts w:eastAsia="標楷體"/>
          <w:sz w:val="28"/>
        </w:rPr>
        <w:t>氣化不利</w:t>
      </w:r>
      <w:r>
        <w:rPr>
          <w:rFonts w:eastAsia="Times New Roman"/>
          <w:sz w:val="28"/>
        </w:rPr>
        <w:t xml:space="preserve">                  </w:t>
      </w:r>
      <w:r>
        <w:rPr>
          <w:rFonts w:eastAsia="標楷體"/>
          <w:sz w:val="28"/>
        </w:rPr>
        <w:t>水道不通</w:t>
      </w:r>
    </w:p>
    <w:p>
      <w:pPr>
        <w:pStyle w:val="Normal"/>
        <w:snapToGrid w:val="false"/>
        <w:jc w:val="both"/>
        <w:rPr>
          <w:rFonts w:eastAsia="標楷體"/>
          <w:sz w:val="28"/>
        </w:rPr>
      </w:pPr>
      <w:r>
        <w:rPr>
          <w:rFonts w:eastAsia="標楷體"/>
          <w:sz w:val="28"/>
        </w:rPr>
      </w:r>
    </w:p>
    <w:p>
      <w:pPr>
        <w:pStyle w:val="Normal"/>
        <w:snapToGrid w:val="false"/>
        <w:jc w:val="both"/>
        <w:rPr>
          <w:rFonts w:eastAsia="標楷體"/>
          <w:sz w:val="28"/>
        </w:rPr>
      </w:pPr>
      <w:r>
        <w:rPr>
          <w:rFonts w:eastAsia="標楷體"/>
          <w:sz w:val="28"/>
        </w:rPr>
      </w:r>
    </w:p>
    <w:p>
      <w:pPr>
        <w:pStyle w:val="Normal"/>
        <w:snapToGrid w:val="false"/>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第六節  腎病症候群的致病因</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腎病症候群的致病因子除了上篇所稱的風之外，亦包括了五志七情、飲食起居。</w:t>
      </w:r>
      <w:r>
        <w:rPr>
          <w:rFonts w:eastAsia="標楷體" w:cs="華康細圓體" w:ascii="標楷體" w:hAnsi="標楷體"/>
          <w:sz w:val="28"/>
        </w:rPr>
        <w:t>&lt;&lt;</w:t>
      </w:r>
      <w:r>
        <w:rPr>
          <w:rFonts w:ascii="標楷體" w:hAnsi="標楷體" w:cs="華康細圓體" w:eastAsia="標楷體"/>
          <w:sz w:val="28"/>
        </w:rPr>
        <w:t>靈樞‧口問篇</w:t>
      </w:r>
      <w:r>
        <w:rPr>
          <w:rFonts w:eastAsia="標楷體" w:cs="華康細圓體" w:ascii="標楷體" w:hAnsi="標楷體"/>
          <w:sz w:val="28"/>
        </w:rPr>
        <w:t>&gt;&gt;</w:t>
      </w:r>
      <w:r>
        <w:rPr>
          <w:rFonts w:ascii="標楷體" w:hAnsi="標楷體" w:cs="華康細圓體" w:eastAsia="標楷體"/>
          <w:sz w:val="28"/>
        </w:rPr>
        <w:t>云</w:t>
      </w:r>
      <w:r>
        <w:rPr>
          <w:rFonts w:eastAsia="標楷體" w:cs="華康細圓體" w:ascii="標楷體" w:hAnsi="標楷體"/>
          <w:sz w:val="28"/>
        </w:rPr>
        <w:t>:</w:t>
      </w:r>
      <w:r>
        <w:rPr>
          <w:rFonts w:ascii="標楷體" w:hAnsi="標楷體" w:cs="華康細圓體" w:eastAsia="標楷體"/>
          <w:sz w:val="28"/>
        </w:rPr>
        <w:t>「</w:t>
      </w:r>
      <w:r>
        <w:rPr>
          <w:rFonts w:ascii="標楷體" w:hAnsi="標楷體" w:eastAsia="標楷體"/>
          <w:sz w:val="28"/>
        </w:rPr>
        <w:t>夫百病之始生也，皆生於風、雨、寒、暑、陰、陽、喜怒、飲食、居處。」</w:t>
      </w:r>
      <w:r>
        <w:rPr>
          <w:rFonts w:eastAsia="標楷體" w:cs="華康細圓體" w:ascii="標楷體" w:hAnsi="標楷體"/>
          <w:sz w:val="28"/>
        </w:rPr>
        <w:t>&lt;&lt;</w:t>
      </w:r>
      <w:r>
        <w:rPr>
          <w:rFonts w:ascii="標楷體" w:hAnsi="標楷體" w:cs="華康細圓體" w:eastAsia="標楷體"/>
          <w:sz w:val="28"/>
        </w:rPr>
        <w:t>靈樞‧</w:t>
      </w:r>
      <w:r>
        <w:rPr>
          <w:rFonts w:ascii="標楷體" w:hAnsi="標楷體" w:eastAsia="標楷體"/>
          <w:sz w:val="28"/>
        </w:rPr>
        <w:t>順氣一日分為四時</w:t>
      </w:r>
      <w:r>
        <w:rPr>
          <w:rFonts w:ascii="標楷體" w:hAnsi="標楷體" w:cs="華康細圓體" w:eastAsia="標楷體"/>
          <w:sz w:val="28"/>
        </w:rPr>
        <w:t>篇</w:t>
      </w:r>
      <w:r>
        <w:rPr>
          <w:rFonts w:eastAsia="標楷體" w:cs="華康細圓體" w:ascii="標楷體" w:hAnsi="標楷體"/>
          <w:sz w:val="28"/>
        </w:rPr>
        <w:t>&gt;&gt;</w:t>
      </w:r>
      <w:r>
        <w:rPr>
          <w:rFonts w:ascii="標楷體" w:hAnsi="標楷體" w:cs="華康細圓體" w:eastAsia="標楷體"/>
          <w:sz w:val="28"/>
        </w:rPr>
        <w:t>云</w:t>
      </w:r>
      <w:r>
        <w:rPr>
          <w:rFonts w:eastAsia="標楷體" w:cs="華康細圓體" w:ascii="標楷體" w:hAnsi="標楷體"/>
          <w:sz w:val="28"/>
        </w:rPr>
        <w:t>:</w:t>
      </w:r>
      <w:r>
        <w:rPr>
          <w:rFonts w:ascii="標楷體" w:hAnsi="標楷體" w:cs="華康細圓體" w:eastAsia="標楷體"/>
          <w:sz w:val="28"/>
        </w:rPr>
        <w:t>「</w:t>
      </w:r>
      <w:r>
        <w:rPr>
          <w:rFonts w:ascii="標楷體" w:hAnsi="標楷體" w:eastAsia="標楷體"/>
          <w:sz w:val="28"/>
        </w:rPr>
        <w:t>夫百病之所以生者，必起於燥濕、寒暑、風雨、陰陽喜怒、飲食居處，氣合而有形，得藏而有名。」</w:t>
      </w:r>
      <w:r>
        <w:rPr>
          <w:rFonts w:eastAsia="標楷體" w:cs="華康細圓體" w:ascii="標楷體" w:hAnsi="標楷體"/>
          <w:sz w:val="28"/>
        </w:rPr>
        <w:t>&lt;&lt;</w:t>
      </w:r>
      <w:r>
        <w:rPr>
          <w:rFonts w:ascii="標楷體" w:hAnsi="標楷體" w:cs="華康細圓體" w:eastAsia="標楷體"/>
          <w:sz w:val="28"/>
        </w:rPr>
        <w:t>素問‧調經論</w:t>
      </w:r>
      <w:r>
        <w:rPr>
          <w:rFonts w:eastAsia="標楷體" w:cs="華康細圓體" w:ascii="標楷體" w:hAnsi="標楷體"/>
          <w:sz w:val="28"/>
        </w:rPr>
        <w:t>&gt;&gt;</w:t>
      </w:r>
      <w:r>
        <w:rPr>
          <w:rFonts w:ascii="標楷體" w:hAnsi="標楷體" w:cs="華康細圓體" w:eastAsia="標楷體"/>
          <w:sz w:val="28"/>
        </w:rPr>
        <w:t>亦有相類似的說明而曰：「夫邪之生也，或生於陰，或生於陽。其生於陽者，得之風雨寒暑；其生於陰者，得之飲食居處，陰陽喜怒。」</w:t>
      </w:r>
    </w:p>
    <w:p>
      <w:pPr>
        <w:pStyle w:val="Normal"/>
        <w:snapToGrid w:val="false"/>
        <w:jc w:val="both"/>
        <w:rPr/>
      </w:pPr>
      <w:r>
        <w:rPr>
          <w:rFonts w:eastAsia="標楷體" w:cs="標楷體" w:ascii="標楷體" w:hAnsi="標楷體"/>
          <w:sz w:val="28"/>
        </w:rPr>
        <w:t xml:space="preserve">    </w:t>
      </w:r>
      <w:r>
        <w:rPr>
          <w:rFonts w:ascii="標楷體" w:hAnsi="標楷體" w:eastAsia="標楷體"/>
          <w:sz w:val="28"/>
        </w:rPr>
        <w:t>總結以上，除了外感風邪之外，五志七情、飲食起居的不正常、正氣的不足、藏府的虛衰，均是致病的重要因子。如</w:t>
      </w:r>
      <w:r>
        <w:rPr>
          <w:rFonts w:eastAsia="標楷體" w:cs="華康細圓體" w:ascii="標楷體" w:hAnsi="標楷體"/>
          <w:sz w:val="28"/>
        </w:rPr>
        <w:t>&lt;&lt;</w:t>
      </w:r>
      <w:r>
        <w:rPr>
          <w:rFonts w:ascii="標楷體" w:hAnsi="標楷體" w:cs="華康細圓體" w:eastAsia="標楷體"/>
          <w:sz w:val="28"/>
        </w:rPr>
        <w:t>靈樞‧賊風篇</w:t>
      </w:r>
      <w:r>
        <w:rPr>
          <w:rFonts w:eastAsia="標楷體" w:cs="華康細圓體" w:ascii="標楷體" w:hAnsi="標楷體"/>
          <w:sz w:val="28"/>
        </w:rPr>
        <w:t>&gt;&gt;</w:t>
      </w:r>
      <w:r>
        <w:rPr>
          <w:rFonts w:ascii="標楷體" w:hAnsi="標楷體" w:cs="華康細圓體" w:eastAsia="標楷體"/>
          <w:sz w:val="28"/>
        </w:rPr>
        <w:t>云</w:t>
      </w:r>
      <w:r>
        <w:rPr>
          <w:rFonts w:eastAsia="標楷體" w:cs="華康細圓體" w:ascii="標楷體" w:hAnsi="標楷體"/>
          <w:sz w:val="28"/>
        </w:rPr>
        <w:t>:</w:t>
      </w:r>
      <w:r>
        <w:rPr>
          <w:rFonts w:ascii="標楷體" w:hAnsi="標楷體" w:cs="華康細圓體" w:eastAsia="標楷體"/>
          <w:sz w:val="28"/>
        </w:rPr>
        <w:t>「夫子言賊風邪氣之傷人也，令人病焉，今有其不離屏蔽，不出室穴之中，卒然病者，非不離賊風邪氣，其故何也？歧伯曰：此皆嘗有所傷於濕氣，藏於血脈之中，分肉之間，久留而不去。若有所墮墜，惡血在內而不去，卒然喜怒不節，飲食不適，寒溫不時，腠理閉而不通。其開而遇風寒，則血氣凝結，與故邪相襲，則為寒痹。其有熱則汗出，汗出則受風，雖不遇賊風邪氣，必有因加而發焉。」可知正氣的虛衰，遇到外邪伏鬱，再因情志、飲食等致病因子的出現，終而引動伏邪而發病。</w:t>
      </w:r>
    </w:p>
    <w:p>
      <w:pPr>
        <w:pStyle w:val="Normal"/>
        <w:snapToGrid w:val="false"/>
        <w:jc w:val="both"/>
        <w:rPr/>
      </w:pPr>
      <w:r>
        <w:rPr>
          <w:rFonts w:eastAsia="標楷體" w:cs="標楷體" w:ascii="標楷體" w:hAnsi="標楷體"/>
          <w:sz w:val="28"/>
        </w:rPr>
        <w:t xml:space="preserve">     </w:t>
      </w:r>
      <w:r>
        <w:rPr>
          <w:rFonts w:ascii="標楷體" w:hAnsi="標楷體" w:cs="華康細圓體" w:eastAsia="標楷體"/>
          <w:sz w:val="28"/>
        </w:rPr>
        <w:t>雖然外邪入侵，但亦有不發病或發病輕者，則和人體的正氣強弱有關。</w:t>
      </w:r>
      <w:r>
        <w:rPr>
          <w:rFonts w:ascii="標楷體" w:hAnsi="標楷體" w:cs="華康細圓體" w:eastAsia="標楷體"/>
          <w:sz w:val="28"/>
        </w:rPr>
        <w:t xml:space="preserve"> </w:t>
      </w:r>
      <w:r>
        <w:rPr>
          <w:rFonts w:eastAsia="標楷體" w:cs="華康細圓體" w:ascii="標楷體" w:hAnsi="標楷體"/>
          <w:sz w:val="28"/>
        </w:rPr>
        <w:t>&lt;&lt;</w:t>
      </w:r>
      <w:r>
        <w:rPr>
          <w:rFonts w:ascii="標楷體" w:hAnsi="標楷體" w:cs="華康細圓體" w:eastAsia="標楷體"/>
          <w:sz w:val="28"/>
        </w:rPr>
        <w:t>靈樞‧</w:t>
      </w:r>
      <w:r>
        <w:rPr>
          <w:rFonts w:ascii="標楷體" w:hAnsi="標楷體" w:eastAsia="標楷體"/>
          <w:sz w:val="28"/>
        </w:rPr>
        <w:t>歲露論</w:t>
      </w:r>
      <w:r>
        <w:rPr>
          <w:rFonts w:eastAsia="標楷體" w:cs="華康細圓體" w:ascii="標楷體" w:hAnsi="標楷體"/>
          <w:sz w:val="28"/>
        </w:rPr>
        <w:t>&gt;&gt;</w:t>
      </w:r>
      <w:r>
        <w:rPr>
          <w:rFonts w:ascii="標楷體" w:hAnsi="標楷體" w:cs="華康細圓體" w:eastAsia="標楷體"/>
          <w:sz w:val="28"/>
        </w:rPr>
        <w:t>云</w:t>
      </w:r>
      <w:r>
        <w:rPr>
          <w:rFonts w:eastAsia="標楷體" w:cs="華康細圓體" w:ascii="標楷體" w:hAnsi="標楷體"/>
          <w:sz w:val="28"/>
        </w:rPr>
        <w:t>:</w:t>
      </w:r>
      <w:r>
        <w:rPr>
          <w:rFonts w:ascii="標楷體" w:hAnsi="標楷體" w:cs="華康細圓體" w:eastAsia="標楷體"/>
          <w:sz w:val="28"/>
        </w:rPr>
        <w:t>「</w:t>
      </w:r>
      <w:r>
        <w:rPr>
          <w:rFonts w:ascii="標楷體" w:hAnsi="標楷體" w:eastAsia="標楷體"/>
          <w:sz w:val="28"/>
        </w:rPr>
        <w:t>人血氣積，肌肉充，皮膚緻，毛髮堅，腠理郗，煙垢著，當是之時，雖遇賊風，其入淺不深。至其月郭空，則海水東盛，人氣血虛，其衛氣去，形獨居，肌肉減，皮膚縱，腠理開，毛髮殘，膲理薄，煙垢落，當是之時，遇賊風則其入深，其病人也，卒暴。」</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由上可知，腎病症候群的發病因子最主要和上呼吸道感染有關，此外其他的「邪」亦為本病提供了致病因素，其發病與否則和正氣的虛衰有關。</w:t>
      </w:r>
      <w:r>
        <w:br w:type="page"/>
      </w:r>
    </w:p>
    <w:p>
      <w:pPr>
        <w:pStyle w:val="Normal"/>
        <w:snapToGrid w:val="false"/>
        <w:jc w:val="both"/>
        <w:rPr>
          <w:rFonts w:ascii="標楷體" w:hAnsi="標楷體" w:eastAsia="標楷體"/>
          <w:sz w:val="28"/>
        </w:rPr>
      </w:pPr>
      <w:r>
        <w:rPr>
          <w:rFonts w:eastAsia="標楷體" w:ascii="標楷體" w:hAnsi="標楷體"/>
          <w:sz w:val="28"/>
        </w:rPr>
      </w:r>
    </w:p>
    <w:p>
      <w:pPr>
        <w:pStyle w:val="Normal"/>
        <w:snapToGrid w:val="false"/>
        <w:spacing w:lineRule="atLeast" w:line="20"/>
        <w:ind w:left="181" w:hanging="0"/>
        <w:jc w:val="center"/>
        <w:rPr/>
      </w:pPr>
      <w:r>
        <w:rPr>
          <w:rFonts w:eastAsia="標楷體" w:ascii="標楷體" w:hAnsi="標楷體"/>
          <w:b/>
          <w:sz w:val="32"/>
        </w:rPr>
        <w:t>***</w:t>
      </w:r>
      <w:r>
        <w:rPr>
          <w:rFonts w:ascii="標楷體" w:hAnsi="標楷體" w:eastAsia="標楷體"/>
          <w:b/>
          <w:sz w:val="32"/>
        </w:rPr>
        <w:t>附論腎病症候群與濕熱的關係</w:t>
      </w:r>
    </w:p>
    <w:p>
      <w:pPr>
        <w:pStyle w:val="Normal"/>
        <w:snapToGrid w:val="false"/>
        <w:spacing w:lineRule="atLeast" w:line="20"/>
        <w:ind w:left="181" w:hanging="0"/>
        <w:jc w:val="both"/>
        <w:rPr/>
      </w:pPr>
      <w:r>
        <w:rPr>
          <w:rFonts w:eastAsia="華康細圓體" w:cs="華康細圓體" w:ascii="華康細圓體" w:hAnsi="華康細圓體"/>
          <w:sz w:val="16"/>
        </w:rPr>
        <w:t xml:space="preserve">   </w:t>
      </w:r>
      <w:r>
        <w:rPr>
          <w:rFonts w:eastAsia="標楷體" w:cs="標楷體" w:ascii="標楷體" w:hAnsi="標楷體"/>
          <w:b/>
          <w:sz w:val="28"/>
        </w:rPr>
        <w:t xml:space="preserve">  </w:t>
      </w:r>
      <w:r>
        <w:rPr>
          <w:rFonts w:ascii="標楷體" w:hAnsi="標楷體" w:eastAsia="標楷體"/>
          <w:b/>
          <w:sz w:val="28"/>
        </w:rPr>
        <w:t>濕與熱互化</w:t>
      </w:r>
    </w:p>
    <w:p>
      <w:pPr>
        <w:pStyle w:val="Normal"/>
        <w:snapToGrid w:val="false"/>
        <w:spacing w:lineRule="atLeast" w:line="20"/>
        <w:jc w:val="both"/>
        <w:rPr>
          <w:rFonts w:ascii="標楷體" w:hAnsi="標楷體" w:eastAsia="標楷體"/>
          <w:sz w:val="28"/>
        </w:rPr>
      </w:pPr>
      <w:r>
        <w:rPr>
          <w:rFonts w:eastAsia="標楷體" w:cs="標楷體" w:ascii="標楷體" w:hAnsi="標楷體"/>
          <w:b/>
          <w:sz w:val="28"/>
        </w:rPr>
        <w:t xml:space="preserve">    </w:t>
      </w:r>
      <w:r>
        <w:rPr>
          <w:rFonts w:ascii="標楷體" w:hAnsi="標楷體" w:eastAsia="標楷體"/>
          <w:sz w:val="28"/>
        </w:rPr>
        <w:t>台灣地處亞熱帶，屬海島型氣候，天氣潮濕，加上人們喜歡冷飲冰品，葉天士云</w:t>
      </w:r>
      <w:r>
        <w:rPr>
          <w:rFonts w:eastAsia="標楷體" w:ascii="標楷體" w:hAnsi="標楷體"/>
          <w:sz w:val="28"/>
        </w:rPr>
        <w:t>:</w:t>
      </w:r>
      <w:r>
        <w:rPr>
          <w:rFonts w:ascii="標楷體" w:hAnsi="標楷體" w:eastAsia="標楷體"/>
          <w:sz w:val="28"/>
        </w:rPr>
        <w:t>「外邪入裡，裡濕為合。」吳鞠通亦曰</w:t>
      </w:r>
      <w:r>
        <w:rPr>
          <w:rFonts w:eastAsia="標楷體" w:ascii="標楷體" w:hAnsi="標楷體"/>
          <w:sz w:val="28"/>
        </w:rPr>
        <w:t>:</w:t>
      </w:r>
      <w:r>
        <w:rPr>
          <w:rFonts w:ascii="標楷體" w:hAnsi="標楷體" w:eastAsia="標楷體"/>
          <w:sz w:val="28"/>
        </w:rPr>
        <w:t>「內不能運水穀之濕，外復感時令之濕。」因此造成濕的疾患極為容易。濕與熱其關係是密切的，濕滯久了會化熱。</w:t>
      </w:r>
      <w:r>
        <w:rPr>
          <w:rFonts w:eastAsia="標楷體" w:ascii="標楷體" w:hAnsi="標楷體"/>
          <w:sz w:val="28"/>
        </w:rPr>
        <w:t>&lt;&lt;</w:t>
      </w:r>
      <w:r>
        <w:rPr>
          <w:rFonts w:ascii="標楷體" w:hAnsi="標楷體" w:eastAsia="標楷體"/>
          <w:sz w:val="28"/>
        </w:rPr>
        <w:t>素問</w:t>
      </w:r>
      <w:r>
        <w:rPr>
          <w:rFonts w:ascii="標楷體" w:hAnsi="標楷體" w:eastAsia="標楷體"/>
          <w:b/>
          <w:sz w:val="28"/>
        </w:rPr>
        <w:t>．</w:t>
      </w:r>
      <w:r>
        <w:rPr>
          <w:rFonts w:ascii="標楷體" w:hAnsi="標楷體" w:eastAsia="標楷體"/>
          <w:sz w:val="28"/>
        </w:rPr>
        <w:t>氣交變大論</w:t>
      </w:r>
      <w:r>
        <w:rPr>
          <w:rFonts w:eastAsia="標楷體" w:ascii="標楷體" w:hAnsi="標楷體"/>
        </w:rPr>
        <w:t>&gt;&gt;:</w:t>
      </w:r>
      <w:r>
        <w:rPr>
          <w:rFonts w:ascii="標楷體" w:hAnsi="標楷體" w:eastAsia="標楷體"/>
        </w:rPr>
        <w:t>「</w:t>
      </w:r>
      <w:r>
        <w:rPr>
          <w:rFonts w:ascii="標楷體" w:hAnsi="標楷體" w:eastAsia="標楷體"/>
          <w:sz w:val="28"/>
        </w:rPr>
        <w:t>中央生濕，濕生土，其德溽蒸。」</w:t>
      </w:r>
      <w:r>
        <w:rPr>
          <w:rFonts w:eastAsia="標楷體" w:ascii="標楷體" w:hAnsi="標楷體"/>
          <w:sz w:val="28"/>
        </w:rPr>
        <w:t>&lt;&lt;</w:t>
      </w:r>
      <w:r>
        <w:rPr>
          <w:rFonts w:ascii="標楷體" w:hAnsi="標楷體" w:eastAsia="標楷體"/>
          <w:sz w:val="28"/>
        </w:rPr>
        <w:t>醫學正傳</w:t>
      </w:r>
      <w:r>
        <w:rPr>
          <w:rFonts w:eastAsia="標楷體" w:ascii="標楷體" w:hAnsi="標楷體"/>
          <w:sz w:val="28"/>
        </w:rPr>
        <w:t>&gt;&gt;</w:t>
      </w:r>
      <w:r>
        <w:rPr>
          <w:rFonts w:ascii="標楷體" w:hAnsi="標楷體" w:eastAsia="標楷體"/>
          <w:sz w:val="28"/>
        </w:rPr>
        <w:t>亦曰</w:t>
      </w:r>
      <w:r>
        <w:rPr>
          <w:rFonts w:eastAsia="標楷體" w:ascii="標楷體" w:hAnsi="標楷體"/>
          <w:sz w:val="28"/>
        </w:rPr>
        <w:t>:</w:t>
      </w:r>
      <w:r>
        <w:rPr>
          <w:rFonts w:ascii="標楷體" w:hAnsi="標楷體" w:eastAsia="標楷體"/>
          <w:sz w:val="28"/>
        </w:rPr>
        <w:t>「濕滯而成熱」，反之，熱亦能生濕。</w:t>
      </w:r>
      <w:r>
        <w:rPr>
          <w:rFonts w:eastAsia="標楷體" w:ascii="標楷體" w:hAnsi="標楷體"/>
          <w:sz w:val="28"/>
        </w:rPr>
        <w:t>&lt;</w:t>
      </w:r>
      <w:r>
        <w:rPr>
          <w:rFonts w:ascii="標楷體" w:hAnsi="標楷體" w:eastAsia="標楷體"/>
          <w:sz w:val="28"/>
        </w:rPr>
        <w:t>宣明方論</w:t>
      </w:r>
      <w:r>
        <w:rPr>
          <w:rFonts w:ascii="標楷體" w:hAnsi="標楷體" w:eastAsia="標楷體"/>
          <w:b/>
          <w:sz w:val="28"/>
        </w:rPr>
        <w:t>．</w:t>
      </w:r>
      <w:r>
        <w:rPr>
          <w:rFonts w:ascii="標楷體" w:hAnsi="標楷體" w:eastAsia="標楷體"/>
          <w:sz w:val="28"/>
        </w:rPr>
        <w:t>水濕門</w:t>
      </w:r>
      <w:r>
        <w:rPr>
          <w:rFonts w:eastAsia="標楷體" w:ascii="標楷體" w:hAnsi="標楷體"/>
          <w:sz w:val="28"/>
        </w:rPr>
        <w:t>&gt;&gt;</w:t>
      </w:r>
      <w:r>
        <w:rPr>
          <w:rFonts w:ascii="標楷體" w:hAnsi="標楷體" w:eastAsia="標楷體"/>
          <w:sz w:val="28"/>
        </w:rPr>
        <w:t>「濕為土氣，火熱能生土濕。」丹溪於</w:t>
      </w:r>
      <w:r>
        <w:rPr>
          <w:rFonts w:eastAsia="標楷體" w:ascii="標楷體" w:hAnsi="標楷體"/>
          <w:sz w:val="28"/>
        </w:rPr>
        <w:t>&lt;&lt;</w:t>
      </w:r>
      <w:r>
        <w:rPr>
          <w:rFonts w:ascii="標楷體" w:hAnsi="標楷體" w:eastAsia="標楷體"/>
          <w:sz w:val="28"/>
        </w:rPr>
        <w:t>格致餘論</w:t>
      </w:r>
      <w:r>
        <w:rPr>
          <w:rFonts w:eastAsia="標楷體" w:ascii="標楷體" w:hAnsi="標楷體"/>
          <w:sz w:val="28"/>
        </w:rPr>
        <w:t>&gt;&gt;</w:t>
      </w:r>
      <w:r>
        <w:rPr>
          <w:rFonts w:ascii="標楷體" w:hAnsi="標楷體" w:eastAsia="標楷體"/>
          <w:sz w:val="28"/>
        </w:rPr>
        <w:t>亦云</w:t>
      </w:r>
      <w:r>
        <w:rPr>
          <w:rFonts w:eastAsia="標楷體" w:ascii="標楷體" w:hAnsi="標楷體"/>
          <w:sz w:val="28"/>
        </w:rPr>
        <w:t>:</w:t>
      </w:r>
      <w:r>
        <w:rPr>
          <w:rFonts w:ascii="標楷體" w:hAnsi="標楷體" w:eastAsia="標楷體"/>
          <w:sz w:val="28"/>
        </w:rPr>
        <w:t>「熱留日久，氣化成濕，濕熱相生。」總之，濕熱是會互相轉化的，</w:t>
      </w:r>
      <w:r>
        <w:rPr>
          <w:rFonts w:eastAsia="標楷體" w:ascii="標楷體" w:hAnsi="標楷體"/>
          <w:sz w:val="28"/>
        </w:rPr>
        <w:t>&lt;&lt;</w:t>
      </w:r>
      <w:r>
        <w:rPr>
          <w:rFonts w:ascii="標楷體" w:hAnsi="標楷體" w:eastAsia="標楷體"/>
          <w:sz w:val="28"/>
        </w:rPr>
        <w:t>醫學入門</w:t>
      </w:r>
      <w:r>
        <w:rPr>
          <w:rFonts w:eastAsia="標楷體" w:ascii="標楷體" w:hAnsi="標楷體"/>
          <w:sz w:val="28"/>
        </w:rPr>
        <w:t>&gt;&gt;</w:t>
      </w:r>
      <w:r>
        <w:rPr>
          <w:rFonts w:ascii="標楷體" w:hAnsi="標楷體" w:eastAsia="標楷體"/>
          <w:sz w:val="28"/>
        </w:rPr>
        <w:t>曰</w:t>
      </w:r>
      <w:r>
        <w:rPr>
          <w:rFonts w:eastAsia="標楷體" w:ascii="標楷體" w:hAnsi="標楷體"/>
          <w:sz w:val="28"/>
        </w:rPr>
        <w:t>:</w:t>
      </w:r>
      <w:r>
        <w:rPr>
          <w:rFonts w:ascii="標楷體" w:hAnsi="標楷體" w:eastAsia="標楷體"/>
          <w:sz w:val="28"/>
        </w:rPr>
        <w:t>「濕熱者，因濕生熱，或因熱生濕。」薛生白</w:t>
      </w:r>
      <w:r>
        <w:rPr>
          <w:rFonts w:eastAsia="標楷體" w:ascii="標楷體" w:hAnsi="標楷體"/>
          <w:sz w:val="28"/>
        </w:rPr>
        <w:t>:</w:t>
      </w:r>
      <w:r>
        <w:rPr>
          <w:rFonts w:ascii="標楷體" w:hAnsi="標楷體" w:eastAsia="標楷體"/>
          <w:sz w:val="28"/>
        </w:rPr>
        <w:t>「中氣實則病在陽明，中氣虛則病在太陰」朱丹溪</w:t>
      </w:r>
      <w:r>
        <w:rPr>
          <w:rFonts w:eastAsia="標楷體" w:ascii="標楷體" w:hAnsi="標楷體"/>
          <w:sz w:val="28"/>
        </w:rPr>
        <w:t>&lt;&lt;</w:t>
      </w:r>
      <w:r>
        <w:rPr>
          <w:rFonts w:ascii="標楷體" w:hAnsi="標楷體" w:eastAsia="標楷體"/>
          <w:sz w:val="28"/>
        </w:rPr>
        <w:t>格致餘論</w:t>
      </w:r>
      <w:r>
        <w:rPr>
          <w:rFonts w:eastAsia="標楷體" w:ascii="標楷體" w:hAnsi="標楷體"/>
          <w:sz w:val="28"/>
        </w:rPr>
        <w:t>&gt;&gt;</w:t>
      </w:r>
      <w:r>
        <w:rPr>
          <w:rFonts w:ascii="標楷體" w:hAnsi="標楷體" w:eastAsia="標楷體"/>
          <w:sz w:val="28"/>
        </w:rPr>
        <w:t>云</w:t>
      </w:r>
      <w:r>
        <w:rPr>
          <w:rFonts w:eastAsia="標楷體" w:ascii="標楷體" w:hAnsi="標楷體"/>
          <w:sz w:val="28"/>
        </w:rPr>
        <w:t>:</w:t>
      </w:r>
      <w:r>
        <w:rPr>
          <w:rFonts w:ascii="標楷體" w:hAnsi="標楷體" w:eastAsia="標楷體"/>
          <w:sz w:val="28"/>
        </w:rPr>
        <w:t>「濕熱相火為患最多」。</w:t>
      </w:r>
    </w:p>
    <w:p>
      <w:pPr>
        <w:pStyle w:val="Normal"/>
        <w:snapToGrid w:val="false"/>
        <w:spacing w:lineRule="atLeast" w:line="20"/>
        <w:jc w:val="both"/>
        <w:rPr/>
      </w:pPr>
      <w:r>
        <w:rPr>
          <w:rFonts w:eastAsia="標楷體" w:cs="標楷體" w:ascii="標楷體" w:hAnsi="標楷體"/>
          <w:b/>
          <w:sz w:val="28"/>
        </w:rPr>
        <w:t xml:space="preserve">    </w:t>
      </w:r>
      <w:r>
        <w:rPr>
          <w:rFonts w:ascii="標楷體" w:hAnsi="標楷體" w:eastAsia="標楷體"/>
          <w:b/>
          <w:sz w:val="28"/>
        </w:rPr>
        <w:t>腎病症候群濕熱病機的形成及演變</w:t>
      </w:r>
    </w:p>
    <w:p>
      <w:pPr>
        <w:pStyle w:val="Normal"/>
        <w:snapToGrid w:val="false"/>
        <w:spacing w:lineRule="atLeast" w:line="20"/>
        <w:jc w:val="both"/>
        <w:rPr>
          <w:rFonts w:ascii="標楷體" w:hAnsi="標楷體" w:eastAsia="標楷體"/>
          <w:sz w:val="28"/>
        </w:rPr>
      </w:pPr>
      <w:r>
        <w:rPr>
          <w:rFonts w:eastAsia="標楷體" w:cs="標楷體" w:ascii="標楷體" w:hAnsi="標楷體"/>
          <w:b/>
          <w:sz w:val="28"/>
        </w:rPr>
        <w:t xml:space="preserve">    </w:t>
      </w:r>
      <w:r>
        <w:rPr>
          <w:rFonts w:ascii="標楷體" w:hAnsi="標楷體" w:eastAsia="標楷體"/>
          <w:sz w:val="28"/>
        </w:rPr>
        <w:t>腎病症候群的致病機轉，最主要為免疫反應造成抗體沉澱於腎絲球，破壞其結構，以及與抗原形成免疫複合體，使腎絲球受損。外感疾患可能為本病提供了抗原，與抗體結合之後沉澱於腎絲球引起臨床症狀。薛生白云</w:t>
      </w:r>
      <w:r>
        <w:rPr>
          <w:rFonts w:eastAsia="標楷體" w:ascii="標楷體" w:hAnsi="標楷體"/>
          <w:sz w:val="28"/>
        </w:rPr>
        <w:t>:</w:t>
      </w:r>
      <w:r>
        <w:rPr>
          <w:rFonts w:ascii="標楷體" w:hAnsi="標楷體" w:eastAsia="標楷體"/>
          <w:sz w:val="28"/>
        </w:rPr>
        <w:t>「濕熱之邪從表傷者，十之一二。」章虛谷解釋</w:t>
      </w:r>
      <w:r>
        <w:rPr>
          <w:rFonts w:eastAsia="標楷體" w:ascii="標楷體" w:hAnsi="標楷體"/>
          <w:sz w:val="28"/>
        </w:rPr>
        <w:t>:</w:t>
      </w:r>
      <w:r>
        <w:rPr>
          <w:rFonts w:ascii="標楷體" w:hAnsi="標楷體" w:eastAsia="標楷體"/>
          <w:sz w:val="28"/>
        </w:rPr>
        <w:t>「是濕隨風寒而表傷，鬱其陽氣而變熱，如仲景條內之麻黃連翹赤小豆湯證是也」，以上推論溫病方如黃芩滑石湯、藿朴夏苓湯、三仁湯、甘露消毒丹等方，對腎病症候群之濕熱型應有一定之助益。</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濕熱蘊結脾胃，阻滯氣機，會造成身熱困倦、脘腹悶脹、口苦納呆、尿黃赤、甚至水液運化失調，出現水腫。濕熱留戀肝膽則易出現頭暈耳鳴、五心煩熱、心煩易怒等症。腎炎之基本病機為濕、風、熱、毒相結合，其發病基礎則為虛，發病日久，易造成邪實正虛。腎炎預後的關鍵在於瘀，其可決定腎炎的病情惡化與否。</w:t>
      </w:r>
    </w:p>
    <w:p>
      <w:pPr>
        <w:pStyle w:val="Normal"/>
        <w:jc w:val="both"/>
        <w:rPr>
          <w:rFonts w:ascii="標楷體" w:hAnsi="標楷體" w:eastAsia="標楷體"/>
          <w:sz w:val="28"/>
        </w:rPr>
      </w:pPr>
      <w:r>
        <w:rPr>
          <w:rFonts w:eastAsia="標楷體" w:ascii="標楷體" w:hAnsi="標楷體"/>
          <w:sz w:val="28"/>
        </w:rPr>
      </w:r>
    </w:p>
    <w:p>
      <w:pPr>
        <w:pStyle w:val="Normal"/>
        <w:jc w:val="both"/>
        <w:rPr>
          <w:rFonts w:ascii="標楷體" w:hAnsi="標楷體" w:eastAsia="標楷體"/>
          <w:sz w:val="28"/>
        </w:rPr>
      </w:pPr>
      <w:r>
        <w:rPr>
          <w:rFonts w:eastAsia="標楷體" w:ascii="標楷體" w:hAnsi="標楷體"/>
          <w:sz w:val="28"/>
        </w:rPr>
      </w:r>
    </w:p>
    <w:p>
      <w:pPr>
        <w:pStyle w:val="Normal"/>
        <w:jc w:val="both"/>
        <w:rPr>
          <w:rFonts w:ascii="標楷體" w:hAnsi="標楷體" w:eastAsia="標楷體"/>
          <w:sz w:val="28"/>
        </w:rPr>
      </w:pPr>
      <w:r>
        <w:rPr>
          <w:rFonts w:eastAsia="標楷體" w:ascii="標楷體" w:hAnsi="標楷體"/>
          <w:sz w:val="28"/>
        </w:rPr>
      </w:r>
    </w:p>
    <w:p>
      <w:pPr>
        <w:pStyle w:val="Normal"/>
        <w:jc w:val="both"/>
        <w:rPr>
          <w:rFonts w:ascii="標楷體" w:hAnsi="標楷體" w:eastAsia="標楷體"/>
          <w:sz w:val="28"/>
        </w:rPr>
      </w:pPr>
      <w:r>
        <w:rPr>
          <w:rFonts w:eastAsia="標楷體" w:ascii="標楷體" w:hAnsi="標楷體"/>
          <w:sz w:val="28"/>
        </w:rPr>
      </w:r>
    </w:p>
    <w:p>
      <w:pPr>
        <w:pStyle w:val="Normal"/>
        <w:jc w:val="both"/>
        <w:rPr>
          <w:rFonts w:ascii="標楷體" w:hAnsi="標楷體" w:eastAsia="標楷體"/>
          <w:sz w:val="28"/>
        </w:rPr>
      </w:pPr>
      <w:r>
        <w:rPr>
          <w:rFonts w:eastAsia="標楷體" w:ascii="標楷體" w:hAnsi="標楷體"/>
          <w:sz w:val="28"/>
        </w:rPr>
      </w:r>
    </w:p>
    <w:p>
      <w:pPr>
        <w:pStyle w:val="Normal"/>
        <w:jc w:val="both"/>
        <w:rPr>
          <w:rFonts w:ascii="標楷體" w:hAnsi="標楷體" w:eastAsia="標楷體"/>
          <w:sz w:val="28"/>
        </w:rPr>
      </w:pPr>
      <w:r>
        <w:rPr>
          <w:rFonts w:eastAsia="標楷體" w:ascii="標楷體" w:hAnsi="標楷體"/>
          <w:sz w:val="28"/>
        </w:rPr>
      </w:r>
    </w:p>
    <w:p>
      <w:pPr>
        <w:pStyle w:val="Normal"/>
        <w:jc w:val="center"/>
        <w:rPr>
          <w:rFonts w:ascii="標楷體" w:hAnsi="標楷體" w:eastAsia="標楷體"/>
          <w:b/>
          <w:b/>
          <w:sz w:val="36"/>
        </w:rPr>
      </w:pPr>
      <w:r>
        <w:rPr>
          <w:rFonts w:ascii="標楷體" w:hAnsi="標楷體" w:eastAsia="標楷體"/>
          <w:b/>
          <w:sz w:val="36"/>
        </w:rPr>
        <w:t>第三篇  腎病症候群之中西醫觀</w:t>
      </w:r>
    </w:p>
    <w:p>
      <w:pPr>
        <w:pStyle w:val="Normal"/>
        <w:snapToGrid w:val="false"/>
        <w:jc w:val="center"/>
        <w:rPr>
          <w:rFonts w:ascii="標楷體" w:hAnsi="標楷體" w:eastAsia="標楷體"/>
          <w:b/>
          <w:b/>
          <w:sz w:val="32"/>
        </w:rPr>
      </w:pPr>
      <w:r>
        <w:rPr>
          <w:rFonts w:ascii="標楷體" w:hAnsi="標楷體" w:eastAsia="標楷體"/>
          <w:b/>
          <w:sz w:val="32"/>
        </w:rPr>
        <w:t>第一章  簡介腎病症候群</w:t>
      </w:r>
    </w:p>
    <w:p>
      <w:pPr>
        <w:pStyle w:val="Normal"/>
        <w:snapToGrid w:val="false"/>
        <w:jc w:val="both"/>
        <w:rPr>
          <w:rFonts w:ascii="標楷體" w:hAnsi="標楷體" w:eastAsia="標楷體" w:cs="標楷體"/>
          <w:sz w:val="16"/>
        </w:rPr>
      </w:pPr>
      <w:r>
        <w:rPr>
          <w:rFonts w:eastAsia="標楷體" w:cs="標楷體" w:ascii="標楷體" w:hAnsi="標楷體"/>
          <w:sz w:val="16"/>
        </w:rPr>
        <w:t xml:space="preserve">   </w:t>
      </w:r>
    </w:p>
    <w:p>
      <w:pPr>
        <w:pStyle w:val="Normal"/>
        <w:snapToGrid w:val="false"/>
        <w:jc w:val="both"/>
        <w:rPr/>
      </w:pPr>
      <w:r>
        <w:rPr>
          <w:rFonts w:eastAsia="標楷體" w:cs="標楷體" w:ascii="標楷體" w:hAnsi="標楷體"/>
          <w:sz w:val="28"/>
        </w:rPr>
        <w:t xml:space="preserve">    </w:t>
      </w:r>
      <w:r>
        <w:rPr>
          <w:rFonts w:ascii="標楷體" w:hAnsi="標楷體" w:eastAsia="標楷體"/>
          <w:sz w:val="28"/>
        </w:rPr>
        <w:t>腎病症候群是由於腎絲球受損，因而表現出許多臨床症狀的疾病，其臨床表現包括了蛋白尿（</w:t>
      </w:r>
      <w:r>
        <w:rPr>
          <w:rFonts w:eastAsia="標楷體" w:ascii="標楷體" w:hAnsi="標楷體"/>
          <w:sz w:val="28"/>
        </w:rPr>
        <w:t>24</w:t>
      </w:r>
      <w:r>
        <w:rPr>
          <w:rFonts w:ascii="標楷體" w:hAnsi="標楷體" w:eastAsia="標楷體"/>
          <w:sz w:val="28"/>
        </w:rPr>
        <w:t>小時蛋白尿大於</w:t>
      </w:r>
      <w:r>
        <w:rPr>
          <w:rFonts w:eastAsia="標楷體" w:ascii="標楷體" w:hAnsi="標楷體"/>
          <w:sz w:val="28"/>
        </w:rPr>
        <w:t>3500</w:t>
      </w:r>
      <w:r>
        <w:rPr>
          <w:rFonts w:ascii="標楷體" w:hAnsi="標楷體" w:eastAsia="標楷體"/>
          <w:sz w:val="28"/>
        </w:rPr>
        <w:t>毫克），低白蛋白血症（</w:t>
      </w:r>
      <w:r>
        <w:rPr>
          <w:rFonts w:eastAsia="標楷體" w:cs="Arial" w:ascii="標楷體" w:hAnsi="標楷體"/>
          <w:sz w:val="28"/>
        </w:rPr>
        <w:t>Hypoalbumineia</w:t>
      </w:r>
      <w:r>
        <w:rPr>
          <w:rFonts w:ascii="標楷體" w:hAnsi="標楷體" w:cs="Arial" w:eastAsia="標楷體"/>
          <w:sz w:val="28"/>
        </w:rPr>
        <w:t>，</w:t>
      </w:r>
      <w:r>
        <w:rPr>
          <w:rFonts w:ascii="標楷體" w:hAnsi="標楷體" w:cs="Arial" w:eastAsia="標楷體"/>
          <w:sz w:val="28"/>
        </w:rPr>
        <w:t>小於</w:t>
      </w:r>
      <w:r>
        <w:rPr>
          <w:rFonts w:eastAsia="標楷體" w:cs="Arial" w:ascii="標楷體" w:hAnsi="標楷體"/>
          <w:sz w:val="28"/>
        </w:rPr>
        <w:t>3</w:t>
      </w:r>
      <w:r>
        <w:rPr>
          <w:rFonts w:eastAsia="標楷體" w:cs="Arial" w:ascii="標楷體" w:hAnsi="標楷體"/>
          <w:sz w:val="28"/>
        </w:rPr>
        <w:t>g/dL</w:t>
      </w:r>
      <w:r>
        <w:rPr>
          <w:rFonts w:ascii="標楷體" w:hAnsi="標楷體" w:eastAsia="標楷體"/>
          <w:sz w:val="28"/>
        </w:rPr>
        <w:t>）</w:t>
      </w:r>
      <w:r>
        <w:rPr>
          <w:rFonts w:ascii="標楷體" w:hAnsi="標楷體" w:eastAsia="標楷體"/>
          <w:sz w:val="28"/>
        </w:rPr>
        <w:t>，</w:t>
      </w:r>
      <w:r>
        <w:rPr>
          <w:rFonts w:ascii="標楷體" w:hAnsi="標楷體" w:eastAsia="標楷體"/>
          <w:sz w:val="28"/>
        </w:rPr>
        <w:t>以及高脂血症（</w:t>
      </w:r>
      <w:r>
        <w:rPr>
          <w:rFonts w:eastAsia="標楷體" w:ascii="標楷體" w:hAnsi="標楷體"/>
          <w:sz w:val="28"/>
        </w:rPr>
        <w:t>Hyper</w:t>
      </w:r>
      <w:r>
        <w:rPr>
          <w:rFonts w:eastAsia="標楷體"/>
          <w:sz w:val="28"/>
        </w:rPr>
        <w:t>c</w:t>
      </w:r>
      <w:r>
        <w:rPr>
          <w:rFonts w:eastAsia="標楷體" w:cs="Arial" w:ascii="標楷體" w:hAnsi="標楷體"/>
          <w:sz w:val="28"/>
        </w:rPr>
        <w:t>holesterolemia</w:t>
      </w:r>
      <w:r>
        <w:rPr>
          <w:rFonts w:ascii="標楷體" w:hAnsi="標楷體" w:cs="Arial" w:eastAsia="標楷體"/>
          <w:sz w:val="28"/>
        </w:rPr>
        <w:t>，</w:t>
      </w:r>
      <w:r>
        <w:rPr>
          <w:rFonts w:ascii="標楷體" w:hAnsi="標楷體" w:cs="Arial" w:eastAsia="標楷體"/>
          <w:sz w:val="28"/>
        </w:rPr>
        <w:t>大於</w:t>
      </w:r>
      <w:r>
        <w:rPr>
          <w:rFonts w:eastAsia="標楷體" w:cs="Arial" w:ascii="標楷體" w:hAnsi="標楷體"/>
          <w:sz w:val="28"/>
        </w:rPr>
        <w:t>200</w:t>
      </w:r>
      <w:r>
        <w:rPr>
          <w:rFonts w:eastAsia="標楷體" w:cs="Arial" w:ascii="標楷體" w:hAnsi="標楷體"/>
          <w:sz w:val="28"/>
        </w:rPr>
        <w:t>mg/dL</w:t>
      </w:r>
      <w:r>
        <w:rPr>
          <w:rFonts w:ascii="標楷體" w:hAnsi="標楷體" w:eastAsia="標楷體"/>
          <w:sz w:val="28"/>
        </w:rPr>
        <w:t>），並且有水腫</w:t>
      </w:r>
      <w:r>
        <w:rPr>
          <w:rFonts w:ascii="標楷體" w:hAnsi="標楷體" w:cs="Arial" w:eastAsia="標楷體"/>
          <w:sz w:val="28"/>
        </w:rPr>
        <w:t>的出現。有些則會出現高凝血狀態、腎靜脈栓塞、血尿、高血壓。由於抵抗力降低之故，因而常常併發感染。</w:t>
      </w:r>
    </w:p>
    <w:p>
      <w:pPr>
        <w:pStyle w:val="Normal"/>
        <w:snapToGrid w:val="false"/>
        <w:jc w:val="both"/>
        <w:rPr>
          <w:rFonts w:ascii="標楷體" w:hAnsi="標楷體" w:eastAsia="標楷體" w:cs="Arial"/>
          <w:sz w:val="28"/>
        </w:rPr>
      </w:pPr>
      <w:r>
        <w:rPr>
          <w:rFonts w:eastAsia="標楷體" w:cs="Arial" w:ascii="標楷體" w:hAnsi="標楷體"/>
          <w:sz w:val="28"/>
        </w:rPr>
      </w:r>
    </w:p>
    <w:p>
      <w:pPr>
        <w:pStyle w:val="Normal"/>
        <w:snapToGrid w:val="false"/>
        <w:jc w:val="both"/>
        <w:rPr/>
      </w:pPr>
      <w:r>
        <w:rPr>
          <w:rFonts w:eastAsia="標楷體" w:cs="標楷體" w:ascii="標楷體" w:hAnsi="標楷體"/>
          <w:b/>
          <w:sz w:val="28"/>
        </w:rPr>
        <w:t xml:space="preserve">    </w:t>
      </w:r>
      <w:r>
        <w:rPr>
          <w:rFonts w:ascii="標楷體" w:hAnsi="標楷體" w:eastAsia="標楷體"/>
          <w:b/>
          <w:sz w:val="28"/>
        </w:rPr>
        <w:t xml:space="preserve">第一節  </w:t>
      </w:r>
      <w:r>
        <w:rPr>
          <w:rFonts w:ascii="標楷體" w:hAnsi="標楷體" w:cs="Arial" w:eastAsia="標楷體"/>
          <w:b/>
          <w:sz w:val="28"/>
        </w:rPr>
        <w:t>腎病症候群的分類</w:t>
      </w:r>
    </w:p>
    <w:p>
      <w:pPr>
        <w:pStyle w:val="Normal"/>
        <w:snapToGrid w:val="false"/>
        <w:ind w:firstLine="555"/>
        <w:jc w:val="both"/>
        <w:rPr>
          <w:rFonts w:ascii="標楷體" w:hAnsi="標楷體" w:eastAsia="標楷體" w:cs="Arial"/>
          <w:sz w:val="28"/>
        </w:rPr>
      </w:pPr>
      <w:r>
        <w:rPr>
          <w:rFonts w:ascii="標楷體" w:hAnsi="標楷體" w:cs="Arial" w:eastAsia="標楷體"/>
          <w:sz w:val="28"/>
        </w:rPr>
        <w:t>腎病症候群的原因可分為原發性和繼發性，前者的病理型態包括了微小病變型、膜型、膜增生型、局部硬化型，以及免疫球蛋白甲型（</w:t>
      </w:r>
      <w:r>
        <w:rPr>
          <w:rFonts w:eastAsia="標楷體" w:cs="Arial" w:ascii="標楷體" w:hAnsi="標楷體"/>
          <w:sz w:val="28"/>
        </w:rPr>
        <w:t>IgA</w:t>
      </w:r>
      <w:r>
        <w:rPr>
          <w:rFonts w:ascii="標楷體" w:hAnsi="標楷體" w:cs="Arial" w:eastAsia="標楷體"/>
          <w:sz w:val="28"/>
        </w:rPr>
        <w:t>）等。屬繼發性者，其原因可包括為紅斑性狼瘡、糖尿病、類澱粉沉著症、藥物過敏（如青黴胺）、梅毒、感染、汞金屬、惡性腫瘤、以及家族遺傳之先天性腎病症候群。原發性佔了約</w:t>
      </w:r>
      <w:r>
        <w:rPr>
          <w:rFonts w:eastAsia="標楷體" w:cs="Arial" w:ascii="標楷體" w:hAnsi="標楷體"/>
          <w:sz w:val="28"/>
        </w:rPr>
        <w:t>80%</w:t>
      </w:r>
      <w:r>
        <w:rPr>
          <w:rFonts w:ascii="標楷體" w:hAnsi="標楷體" w:cs="Arial" w:eastAsia="標楷體"/>
          <w:sz w:val="28"/>
        </w:rPr>
        <w:t>，</w:t>
      </w:r>
      <w:r>
        <w:rPr>
          <w:rFonts w:ascii="標楷體" w:hAnsi="標楷體" w:cs="Arial" w:eastAsia="標楷體"/>
          <w:sz w:val="28"/>
        </w:rPr>
        <w:t>原發性與繼發性的鑑別診斷，除了靠病史了解之外，作病理切片是最好的鑑別診斷方法</w:t>
      </w:r>
      <w:r>
        <w:rPr>
          <w:rFonts w:ascii="標楷體" w:hAnsi="標楷體" w:cs="Arial" w:eastAsia="標楷體"/>
          <w:sz w:val="28"/>
        </w:rPr>
        <w:t>。</w:t>
      </w:r>
    </w:p>
    <w:p>
      <w:pPr>
        <w:pStyle w:val="Normal"/>
        <w:snapToGrid w:val="false"/>
        <w:ind w:firstLine="555"/>
        <w:jc w:val="both"/>
        <w:rPr>
          <w:rFonts w:ascii="標楷體" w:hAnsi="標楷體" w:eastAsia="標楷體" w:cs="Arial"/>
          <w:sz w:val="28"/>
        </w:rPr>
      </w:pPr>
      <w:r>
        <w:rPr>
          <w:rFonts w:eastAsia="標楷體" w:cs="Arial" w:ascii="標楷體" w:hAnsi="標楷體"/>
          <w:sz w:val="28"/>
        </w:rPr>
      </w:r>
    </w:p>
    <w:p>
      <w:pPr>
        <w:pStyle w:val="Normal"/>
        <w:snapToGrid w:val="false"/>
        <w:jc w:val="both"/>
        <w:rPr/>
      </w:pPr>
      <w:r>
        <w:rPr>
          <w:rFonts w:eastAsia="標楷體" w:cs="標楷體" w:ascii="標楷體" w:hAnsi="標楷體"/>
          <w:b/>
          <w:sz w:val="28"/>
        </w:rPr>
        <w:t xml:space="preserve">    </w:t>
      </w:r>
      <w:r>
        <w:rPr>
          <w:rFonts w:ascii="標楷體" w:hAnsi="標楷體" w:eastAsia="標楷體"/>
          <w:b/>
          <w:sz w:val="28"/>
        </w:rPr>
        <w:t xml:space="preserve">第二節  </w:t>
      </w:r>
      <w:r>
        <w:rPr>
          <w:rFonts w:ascii="標楷體" w:hAnsi="標楷體" w:cs="Arial" w:eastAsia="標楷體"/>
          <w:b/>
          <w:sz w:val="28"/>
        </w:rPr>
        <w:t>腎病症候群的發病機轉</w:t>
      </w:r>
    </w:p>
    <w:p>
      <w:pPr>
        <w:pStyle w:val="Normal"/>
        <w:snapToGrid w:val="false"/>
        <w:jc w:val="both"/>
        <w:rPr/>
      </w:pPr>
      <w:r>
        <w:rPr>
          <w:rFonts w:eastAsia="標楷體" w:cs="標楷體" w:ascii="標楷體" w:hAnsi="標楷體"/>
          <w:sz w:val="28"/>
        </w:rPr>
        <w:t xml:space="preserve">    </w:t>
      </w:r>
      <w:r>
        <w:rPr>
          <w:rFonts w:ascii="標楷體" w:hAnsi="標楷體" w:eastAsia="標楷體"/>
          <w:sz w:val="28"/>
        </w:rPr>
        <w:t>腎病症候群形成水腫最主要的機理為免疫反應之後，破壞腎臟之結構，導致白蛋白之精微物質的流失，尿蛋白流失的結果，影響血中維持滲透壓濃度之改變，於是造成水腫。為了維持水液代謝之正常，機體</w:t>
      </w:r>
      <w:r>
        <w:rPr>
          <w:rFonts w:ascii="標楷體" w:hAnsi="標楷體" w:cs="華康細圓體" w:eastAsia="標楷體"/>
          <w:sz w:val="28"/>
        </w:rPr>
        <w:t>會促進抗利尿激素的分泌（</w:t>
      </w:r>
      <w:r>
        <w:rPr>
          <w:rFonts w:eastAsia="標楷體" w:cs="華康細圓體" w:ascii="標楷體" w:hAnsi="標楷體"/>
          <w:sz w:val="28"/>
        </w:rPr>
        <w:t xml:space="preserve">Antidiuretic hormone </w:t>
      </w:r>
      <w:r>
        <w:rPr>
          <w:rFonts w:ascii="標楷體" w:hAnsi="標楷體" w:cs="華康細圓體" w:eastAsia="標楷體"/>
          <w:sz w:val="28"/>
        </w:rPr>
        <w:t>、</w:t>
      </w:r>
      <w:r>
        <w:rPr>
          <w:rFonts w:eastAsia="標楷體" w:cs="華康細圓體" w:ascii="標楷體" w:hAnsi="標楷體"/>
          <w:sz w:val="28"/>
        </w:rPr>
        <w:t>Vasopressin</w:t>
      </w:r>
      <w:r>
        <w:rPr>
          <w:rFonts w:ascii="標楷體" w:hAnsi="標楷體" w:cs="華康細圓體" w:eastAsia="標楷體"/>
          <w:sz w:val="28"/>
        </w:rPr>
        <w:t>），使腎小管吸收更多的水分，並且會致活腎素</w:t>
      </w:r>
      <w:r>
        <w:rPr>
          <w:rFonts w:eastAsia="標楷體" w:cs="華康細圓體" w:ascii="標楷體" w:hAnsi="標楷體"/>
          <w:sz w:val="28"/>
        </w:rPr>
        <w:t>-</w:t>
      </w:r>
      <w:r>
        <w:rPr>
          <w:rFonts w:ascii="標楷體" w:hAnsi="標楷體" w:cs="華康細圓體" w:eastAsia="標楷體"/>
          <w:sz w:val="28"/>
        </w:rPr>
        <w:t>血管緊張素</w:t>
      </w:r>
      <w:r>
        <w:rPr>
          <w:rFonts w:eastAsia="標楷體" w:cs="華康細圓體" w:ascii="標楷體" w:hAnsi="標楷體"/>
          <w:sz w:val="28"/>
        </w:rPr>
        <w:t>-</w:t>
      </w:r>
      <w:r>
        <w:rPr>
          <w:rFonts w:ascii="標楷體" w:hAnsi="標楷體" w:cs="華康細圓體" w:eastAsia="標楷體"/>
          <w:sz w:val="28"/>
        </w:rPr>
        <w:t>醛固酮（</w:t>
      </w:r>
      <w:r>
        <w:rPr>
          <w:rFonts w:eastAsia="標楷體" w:cs="華康細圓體" w:ascii="標楷體" w:hAnsi="標楷體"/>
          <w:sz w:val="28"/>
        </w:rPr>
        <w:t>Renin-angiotensin-aldosterone</w:t>
      </w:r>
      <w:r>
        <w:rPr>
          <w:rFonts w:ascii="標楷體" w:hAnsi="標楷體" w:cs="華康細圓體" w:eastAsia="標楷體"/>
          <w:sz w:val="28"/>
        </w:rPr>
        <w:t>）使腎小管對鈉的再吸收增加，促進交感神經系統以利水液之代謝，抑制心房利鈉（</w:t>
      </w:r>
      <w:r>
        <w:rPr>
          <w:rFonts w:eastAsia="標楷體" w:cs="Arial" w:ascii="標楷體" w:hAnsi="標楷體"/>
          <w:sz w:val="28"/>
        </w:rPr>
        <w:t>A</w:t>
      </w:r>
      <w:r>
        <w:rPr>
          <w:rFonts w:eastAsia="標楷體" w:cs="Arial" w:ascii="標楷體" w:hAnsi="標楷體"/>
          <w:sz w:val="28"/>
        </w:rPr>
        <w:t xml:space="preserve">trial  natriuretic  </w:t>
      </w:r>
      <w:r>
        <w:rPr>
          <w:rFonts w:eastAsia="標楷體" w:cs="Arial" w:ascii="標楷體" w:hAnsi="標楷體"/>
          <w:sz w:val="28"/>
        </w:rPr>
        <w:t>peptide</w:t>
      </w:r>
      <w:r>
        <w:rPr>
          <w:rFonts w:ascii="標楷體" w:hAnsi="標楷體" w:cs="華康細圓體" w:eastAsia="標楷體"/>
          <w:sz w:val="28"/>
        </w:rPr>
        <w:t>）之釋放，終而造成鈉、水滯留，形成水腫更嚴重。高脂血症則和血中白蛋白降低，因而促成肝臟合成低密度脂蛋白及膽固醇的增加有關，較嚴重者非常低密度脂蛋及三酸甘油脂會增加。腎病症候群之所以會形成高凝血狀態（</w:t>
      </w:r>
      <w:r>
        <w:rPr>
          <w:rFonts w:eastAsia="標楷體" w:cs="Arial" w:ascii="標楷體" w:hAnsi="標楷體"/>
          <w:sz w:val="28"/>
        </w:rPr>
        <w:t>Hypercoagulability</w:t>
      </w:r>
      <w:r>
        <w:rPr>
          <w:rFonts w:ascii="標楷體" w:hAnsi="標楷體" w:cs="華康細圓體" w:eastAsia="標楷體"/>
          <w:sz w:val="28"/>
        </w:rPr>
        <w:t>），其主要機理為</w:t>
      </w:r>
      <w:r>
        <w:rPr>
          <w:rFonts w:eastAsia="標楷體" w:cs="Arial" w:ascii="標楷體" w:hAnsi="標楷體"/>
          <w:sz w:val="28"/>
        </w:rPr>
        <w:t>A</w:t>
      </w:r>
      <w:r>
        <w:rPr>
          <w:rFonts w:eastAsia="標楷體" w:cs="Arial" w:ascii="標楷體" w:hAnsi="標楷體"/>
          <w:sz w:val="28"/>
        </w:rPr>
        <w:t>ntithrombin III</w:t>
      </w:r>
      <w:r>
        <w:rPr>
          <w:rFonts w:eastAsia="標楷體" w:cs="華康細圓體" w:ascii="標楷體" w:hAnsi="標楷體"/>
          <w:sz w:val="28"/>
        </w:rPr>
        <w:t xml:space="preserve"> </w:t>
      </w:r>
      <w:r>
        <w:rPr>
          <w:rFonts w:ascii="標楷體" w:hAnsi="標楷體" w:cs="華康細圓體" w:eastAsia="標楷體"/>
          <w:sz w:val="28"/>
        </w:rPr>
        <w:t xml:space="preserve">從尿液流失增加、蛋白質 </w:t>
      </w:r>
      <w:r>
        <w:rPr>
          <w:rFonts w:eastAsia="標楷體" w:cs="華康細圓體" w:ascii="標楷體" w:hAnsi="標楷體"/>
          <w:sz w:val="28"/>
        </w:rPr>
        <w:t>C</w:t>
      </w:r>
      <w:r>
        <w:rPr>
          <w:rFonts w:ascii="標楷體" w:hAnsi="標楷體" w:cs="華康細圓體" w:eastAsia="標楷體"/>
          <w:sz w:val="28"/>
        </w:rPr>
        <w:t xml:space="preserve">與 </w:t>
      </w:r>
      <w:r>
        <w:rPr>
          <w:rFonts w:eastAsia="標楷體" w:cs="華康細圓體" w:ascii="標楷體" w:hAnsi="標楷體"/>
          <w:sz w:val="28"/>
        </w:rPr>
        <w:t>S</w:t>
      </w:r>
      <w:r>
        <w:rPr>
          <w:rFonts w:ascii="標楷體" w:hAnsi="標楷體" w:cs="華康細圓體" w:eastAsia="標楷體"/>
          <w:sz w:val="28"/>
        </w:rPr>
        <w:t>之活性降低，肝臟之合成</w:t>
      </w:r>
      <w:r>
        <w:rPr>
          <w:rFonts w:eastAsia="標楷體" w:cs="Arial" w:ascii="標楷體" w:hAnsi="標楷體"/>
          <w:sz w:val="28"/>
        </w:rPr>
        <w:t>Hyperfibrinogenemia</w:t>
      </w:r>
      <w:r>
        <w:rPr>
          <w:rFonts w:eastAsia="標楷體" w:cs="華康細圓體" w:ascii="標楷體" w:hAnsi="標楷體"/>
          <w:sz w:val="28"/>
        </w:rPr>
        <w:t xml:space="preserve"> </w:t>
      </w:r>
      <w:r>
        <w:rPr>
          <w:rFonts w:ascii="標楷體" w:hAnsi="標楷體" w:cs="華康細圓體" w:eastAsia="標楷體"/>
          <w:sz w:val="28"/>
        </w:rPr>
        <w:t>增加，最後造成纖維溶解（</w:t>
      </w:r>
      <w:r>
        <w:rPr>
          <w:rFonts w:eastAsia="標楷體" w:cs="Arial" w:ascii="標楷體" w:hAnsi="標楷體"/>
          <w:sz w:val="28"/>
        </w:rPr>
        <w:t>F</w:t>
      </w:r>
      <w:r>
        <w:rPr>
          <w:rFonts w:eastAsia="標楷體" w:cs="Arial" w:ascii="標楷體" w:hAnsi="標楷體"/>
          <w:sz w:val="28"/>
        </w:rPr>
        <w:t>ibrinolysis</w:t>
      </w:r>
      <w:r>
        <w:rPr>
          <w:rFonts w:ascii="標楷體" w:hAnsi="標楷體" w:cs="華康細圓體" w:eastAsia="標楷體"/>
          <w:sz w:val="28"/>
        </w:rPr>
        <w:t>）的功能下降，另一方面會增加血小板凝集，終而形成高凝血狀態。</w:t>
      </w:r>
      <w:r>
        <w:rPr>
          <w:rFonts w:ascii="標楷體" w:hAnsi="標楷體" w:eastAsia="標楷體"/>
          <w:sz w:val="28"/>
        </w:rPr>
        <w:t>其臨床表現會產生周邊動靜脈血管之栓塞，腎靜脈亦會形成栓塞，並且會造成肺部的栓塞，可能表現之臨床症狀包括腰痛</w:t>
      </w:r>
      <w:r>
        <w:rPr>
          <w:rFonts w:ascii="標楷體" w:hAnsi="標楷體" w:eastAsia="標楷體"/>
          <w:sz w:val="28"/>
        </w:rPr>
        <w:t>、</w:t>
      </w:r>
      <w:r>
        <w:rPr>
          <w:rFonts w:ascii="標楷體" w:hAnsi="標楷體" w:eastAsia="標楷體"/>
          <w:sz w:val="28"/>
        </w:rPr>
        <w:t>腹痛、血尿、蛋白尿（慢性腎靜脈栓塞沒有症狀）。</w:t>
      </w:r>
    </w:p>
    <w:p>
      <w:pPr>
        <w:pStyle w:val="Normal"/>
        <w:snapToGrid w:val="false"/>
        <w:jc w:val="both"/>
        <w:rPr>
          <w:rFonts w:ascii="標楷體" w:hAnsi="標楷體" w:eastAsia="標楷體"/>
          <w:sz w:val="28"/>
        </w:rPr>
      </w:pPr>
      <w:r>
        <w:rPr>
          <w:rFonts w:eastAsia="標楷體" w:ascii="標楷體" w:hAnsi="標楷體"/>
          <w:sz w:val="28"/>
        </w:rPr>
      </w:r>
    </w:p>
    <w:p>
      <w:pPr>
        <w:pStyle w:val="Normal"/>
        <w:snapToGrid w:val="false"/>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第三節  微小腎病變</w:t>
      </w:r>
    </w:p>
    <w:p>
      <w:pPr>
        <w:pStyle w:val="Normal"/>
        <w:snapToGrid w:val="false"/>
        <w:jc w:val="both"/>
        <w:rPr/>
      </w:pPr>
      <w:r>
        <w:rPr>
          <w:rFonts w:eastAsia="標楷體" w:cs="標楷體" w:ascii="標楷體" w:hAnsi="標楷體"/>
          <w:sz w:val="28"/>
        </w:rPr>
        <w:t xml:space="preserve">    </w:t>
      </w:r>
      <w:r>
        <w:rPr>
          <w:rFonts w:ascii="標楷體" w:hAnsi="標楷體" w:eastAsia="標楷體"/>
          <w:sz w:val="28"/>
        </w:rPr>
        <w:t>微小腎病變是小兒腎病症候群最常見的一種類型，其發生原因可能和上呼吸道感染、免疫失調、藥物過敏有關，亦有可能由何杰金氏病造成。發生本病和遺傳有關（</w:t>
      </w:r>
      <w:r>
        <w:rPr>
          <w:rFonts w:eastAsia="標楷體" w:cs="Arial" w:ascii="標楷體" w:hAnsi="標楷體"/>
          <w:sz w:val="28"/>
        </w:rPr>
        <w:t>HLA-B</w:t>
      </w:r>
      <w:r>
        <w:rPr>
          <w:rFonts w:eastAsia="標楷體" w:cs="Arial" w:ascii="標楷體" w:hAnsi="標楷體"/>
        </w:rPr>
        <w:t>12</w:t>
      </w:r>
      <w:r>
        <w:rPr>
          <w:rFonts w:ascii="標楷體" w:hAnsi="標楷體" w:eastAsia="標楷體"/>
          <w:sz w:val="28"/>
        </w:rPr>
        <w:t>）</w:t>
      </w:r>
      <w:r>
        <w:rPr>
          <w:rFonts w:ascii="標楷體" w:hAnsi="標楷體" w:eastAsia="標楷體"/>
          <w:sz w:val="28"/>
        </w:rPr>
        <w:t>，</w:t>
      </w:r>
      <w:r>
        <w:rPr>
          <w:rFonts w:ascii="標楷體" w:hAnsi="標楷體" w:eastAsia="標楷體"/>
          <w:sz w:val="28"/>
        </w:rPr>
        <w:t>其在顯微鏡底下及免疫螢光反應沒有特殊發現，電子顯微鏡底下則可發現融合的足突。</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微小腎病變不會進行至腎衰竭，高血壓亦較少出現，百分之二十至三十的患者可出現鏡下血尿，可導致許多併發症，例如增加格蘭氏陽性菌的感染，較易形成血栓，嚴重之高脂血症，蛋白質缺乏性之營養不良。本病對類固醇的反應不錯，使用劑量為（</w:t>
      </w:r>
      <w:r>
        <w:rPr>
          <w:rFonts w:eastAsia="標楷體" w:ascii="標楷體" w:hAnsi="標楷體"/>
          <w:sz w:val="28"/>
        </w:rPr>
        <w:t>1</w:t>
      </w:r>
      <w:r>
        <w:rPr>
          <w:rFonts w:eastAsia="標楷體" w:ascii="標楷體" w:hAnsi="標楷體"/>
          <w:sz w:val="28"/>
        </w:rPr>
        <w:t>mg/</w:t>
      </w:r>
      <w:r>
        <w:rPr>
          <w:rFonts w:ascii="標楷體" w:hAnsi="標楷體" w:eastAsia="標楷體"/>
          <w:sz w:val="28"/>
        </w:rPr>
        <w:t>公斤</w:t>
      </w:r>
      <w:r>
        <w:rPr>
          <w:rFonts w:eastAsia="標楷體" w:ascii="標楷體" w:hAnsi="標楷體"/>
          <w:sz w:val="28"/>
        </w:rPr>
        <w:t>/</w:t>
      </w:r>
      <w:r>
        <w:rPr>
          <w:rFonts w:ascii="標楷體" w:hAnsi="標楷體" w:eastAsia="標楷體"/>
          <w:sz w:val="28"/>
        </w:rPr>
        <w:t>天），如果太早停藥，會造成反跳，並且要加重劑量。對於類固醇依賴或常反覆發作者，可使用免疫抑制劑如</w:t>
      </w:r>
      <w:r>
        <w:rPr>
          <w:rFonts w:eastAsia="標楷體" w:cs="Arial" w:ascii="標楷體" w:hAnsi="標楷體"/>
          <w:sz w:val="28"/>
        </w:rPr>
        <w:t>Cyclophosphamide</w:t>
      </w:r>
      <w:r>
        <w:rPr>
          <w:rFonts w:ascii="Arial" w:hAnsi="Arial" w:cs="Arial" w:eastAsia="標楷體"/>
          <w:sz w:val="28"/>
        </w:rPr>
        <w:t>。</w:t>
      </w:r>
    </w:p>
    <w:p>
      <w:pPr>
        <w:pStyle w:val="Normal"/>
        <w:snapToGrid w:val="false"/>
        <w:ind w:firstLine="555"/>
        <w:jc w:val="both"/>
        <w:rPr>
          <w:rFonts w:ascii="標楷體" w:hAnsi="標楷體" w:eastAsia="標楷體"/>
          <w:sz w:val="28"/>
        </w:rPr>
      </w:pPr>
      <w:r>
        <w:rPr>
          <w:rFonts w:ascii="標楷體" w:hAnsi="標楷體" w:eastAsia="標楷體"/>
          <w:sz w:val="28"/>
        </w:rPr>
        <w:t>有些腎病症候群之亞型，可在鏡下發現不同程度的系膜增生，但較少有硬化之傾向，本群較容易有血尿及高血壓，對類固醇治療的反應亦較差。</w:t>
      </w:r>
    </w:p>
    <w:p>
      <w:pPr>
        <w:pStyle w:val="Normal"/>
        <w:snapToGrid w:val="false"/>
        <w:ind w:firstLine="555"/>
        <w:jc w:val="both"/>
        <w:rPr>
          <w:rFonts w:ascii="標楷體" w:hAnsi="標楷體" w:eastAsia="標楷體"/>
          <w:sz w:val="28"/>
        </w:rPr>
      </w:pPr>
      <w:r>
        <w:rPr>
          <w:rFonts w:eastAsia="標楷體" w:ascii="標楷體" w:hAnsi="標楷體"/>
          <w:sz w:val="28"/>
        </w:rPr>
      </w:r>
    </w:p>
    <w:p>
      <w:pPr>
        <w:pStyle w:val="Normal"/>
        <w:snapToGrid w:val="false"/>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第四節  膜性腎病變</w:t>
      </w:r>
    </w:p>
    <w:p>
      <w:pPr>
        <w:pStyle w:val="Normal"/>
        <w:snapToGrid w:val="false"/>
        <w:ind w:firstLine="555"/>
        <w:jc w:val="both"/>
        <w:rPr>
          <w:rFonts w:ascii="標楷體" w:hAnsi="標楷體" w:eastAsia="標楷體"/>
          <w:sz w:val="28"/>
        </w:rPr>
      </w:pPr>
      <w:r>
        <w:rPr>
          <w:rFonts w:ascii="標楷體" w:hAnsi="標楷體" w:eastAsia="標楷體"/>
          <w:sz w:val="28"/>
        </w:rPr>
        <w:t>膜性腎病變是成人型腎病症候群中，最常見的病理分型（約佔了</w:t>
      </w:r>
      <w:r>
        <w:rPr>
          <w:rFonts w:eastAsia="標楷體" w:ascii="標楷體" w:hAnsi="標楷體"/>
          <w:sz w:val="28"/>
        </w:rPr>
        <w:t>40%</w:t>
      </w:r>
      <w:r>
        <w:rPr>
          <w:rFonts w:ascii="標楷體" w:hAnsi="標楷體" w:eastAsia="標楷體"/>
          <w:sz w:val="28"/>
        </w:rPr>
        <w:t>），好發於五十歲到六十歲的年齡層，其最主要的致病機轉為免疫沉澱物沉積於基底膜之表皮細胞下層，顯微鏡下可發現血管壁增厚，沒有發炎細胞的浸潤，銀染後可發現針頂型（</w:t>
      </w:r>
      <w:r>
        <w:rPr>
          <w:rFonts w:eastAsia="標楷體" w:cs="Arial" w:ascii="標楷體" w:hAnsi="標楷體"/>
          <w:sz w:val="28"/>
        </w:rPr>
        <w:t>Spike and dome</w:t>
      </w:r>
      <w:r>
        <w:rPr>
          <w:rFonts w:ascii="標楷體" w:hAnsi="標楷體" w:eastAsia="標楷體"/>
          <w:sz w:val="28"/>
        </w:rPr>
        <w:t>）的結構於基底膜處</w:t>
      </w:r>
      <w:r>
        <w:rPr>
          <w:rFonts w:ascii="標楷體" w:hAnsi="標楷體" w:eastAsia="標楷體"/>
          <w:sz w:val="28"/>
        </w:rPr>
        <w:t>，</w:t>
      </w:r>
      <w:r>
        <w:rPr>
          <w:rFonts w:ascii="標楷體" w:hAnsi="標楷體" w:eastAsia="標楷體"/>
          <w:sz w:val="28"/>
        </w:rPr>
        <w:t>免疫螢光可發現微血管處有</w:t>
      </w:r>
      <w:r>
        <w:rPr>
          <w:rFonts w:eastAsia="標楷體" w:ascii="標楷體" w:hAnsi="標楷體"/>
          <w:sz w:val="28"/>
        </w:rPr>
        <w:t xml:space="preserve">IgG </w:t>
      </w:r>
      <w:r>
        <w:rPr>
          <w:rFonts w:ascii="標楷體" w:hAnsi="標楷體" w:eastAsia="標楷體"/>
          <w:sz w:val="28"/>
        </w:rPr>
        <w:t xml:space="preserve">和 </w:t>
      </w:r>
      <w:r>
        <w:rPr>
          <w:rFonts w:eastAsia="標楷體" w:ascii="標楷體" w:hAnsi="標楷體"/>
          <w:sz w:val="28"/>
        </w:rPr>
        <w:t>C</w:t>
      </w:r>
      <w:r>
        <w:rPr>
          <w:rFonts w:eastAsia="標楷體" w:ascii="標楷體" w:hAnsi="標楷體"/>
          <w:sz w:val="20"/>
        </w:rPr>
        <w:t>3</w:t>
      </w:r>
      <w:r>
        <w:rPr>
          <w:rFonts w:ascii="標楷體" w:hAnsi="標楷體" w:eastAsia="標楷體"/>
          <w:sz w:val="28"/>
        </w:rPr>
        <w:t>。除不明原因之原發性之外，如屬繼發性者，其沉澱物可以是惡性腫瘤的沉澱抗原，特別是肺癌和大腸癌，也可以是自體免疫疾病如紅斑性狼瘡所造成，或金屬類，即金、汞，或一些藥物，例如</w:t>
      </w:r>
      <w:r>
        <w:rPr>
          <w:rFonts w:eastAsia="標楷體" w:cs="Arial" w:ascii="標楷體" w:hAnsi="標楷體"/>
          <w:sz w:val="28"/>
        </w:rPr>
        <w:t>Penicillamine</w:t>
      </w:r>
      <w:r>
        <w:rPr>
          <w:rFonts w:ascii="標楷體" w:hAnsi="標楷體" w:cs="Arial" w:eastAsia="標楷體"/>
          <w:sz w:val="28"/>
        </w:rPr>
        <w:t>、</w:t>
      </w:r>
      <w:r>
        <w:rPr>
          <w:rFonts w:eastAsia="標楷體" w:cs="Arial" w:ascii="標楷體" w:hAnsi="標楷體"/>
          <w:sz w:val="28"/>
        </w:rPr>
        <w:t>Captopril</w:t>
      </w:r>
      <w:r>
        <w:rPr>
          <w:rFonts w:ascii="標楷體" w:hAnsi="標楷體" w:eastAsia="標楷體"/>
          <w:sz w:val="28"/>
        </w:rPr>
        <w:t>，或由感染所造成如</w:t>
      </w:r>
      <w:r>
        <w:rPr>
          <w:rFonts w:eastAsia="標楷體" w:ascii="標楷體" w:hAnsi="標楷體"/>
          <w:sz w:val="28"/>
        </w:rPr>
        <w:t>:B</w:t>
      </w:r>
      <w:r>
        <w:rPr>
          <w:rFonts w:ascii="標楷體" w:hAnsi="標楷體" w:eastAsia="標楷體"/>
          <w:sz w:val="28"/>
        </w:rPr>
        <w:t>型肝炎、梅毒、血絲虫或瘧疾，或一些代謝性之疾病，諸如</w:t>
      </w:r>
      <w:r>
        <w:rPr>
          <w:rFonts w:eastAsia="標楷體" w:ascii="標楷體" w:hAnsi="標楷體"/>
          <w:sz w:val="28"/>
        </w:rPr>
        <w:t>DM</w:t>
      </w:r>
      <w:r>
        <w:rPr>
          <w:rFonts w:ascii="標楷體" w:hAnsi="標楷體" w:eastAsia="標楷體"/>
          <w:sz w:val="28"/>
        </w:rPr>
        <w:t>、甲狀腺炎，</w:t>
      </w:r>
      <w:r>
        <w:rPr>
          <w:rFonts w:ascii="標楷體" w:hAnsi="標楷體" w:eastAsia="標楷體"/>
          <w:sz w:val="28"/>
        </w:rPr>
        <w:t xml:space="preserve"> </w:t>
      </w:r>
      <w:r>
        <w:rPr>
          <w:rFonts w:eastAsia="標楷體" w:ascii="標楷體" w:hAnsi="標楷體"/>
          <w:sz w:val="28"/>
        </w:rPr>
        <w:t>85%</w:t>
      </w:r>
      <w:r>
        <w:rPr>
          <w:rFonts w:ascii="標楷體" w:hAnsi="標楷體" w:eastAsia="標楷體"/>
          <w:sz w:val="28"/>
        </w:rPr>
        <w:t>是原發型</w:t>
      </w:r>
      <w:r>
        <w:rPr>
          <w:rFonts w:ascii="標楷體" w:hAnsi="標楷體" w:eastAsia="標楷體"/>
          <w:sz w:val="28"/>
        </w:rPr>
        <w:t>。</w:t>
      </w:r>
    </w:p>
    <w:p>
      <w:pPr>
        <w:pStyle w:val="Normal"/>
        <w:snapToGrid w:val="false"/>
        <w:ind w:firstLine="555"/>
        <w:jc w:val="both"/>
        <w:rPr>
          <w:rFonts w:ascii="標楷體" w:hAnsi="標楷體" w:eastAsia="標楷體" w:cs="Arial"/>
          <w:sz w:val="28"/>
        </w:rPr>
      </w:pPr>
      <w:r>
        <w:rPr>
          <w:rFonts w:ascii="標楷體" w:hAnsi="標楷體" w:eastAsia="標楷體"/>
          <w:sz w:val="28"/>
        </w:rPr>
        <w:t>本病之臨床表現最主要是腎病症候群（佔了</w:t>
      </w:r>
      <w:r>
        <w:rPr>
          <w:rFonts w:eastAsia="標楷體" w:ascii="標楷體" w:hAnsi="標楷體"/>
          <w:sz w:val="28"/>
        </w:rPr>
        <w:t>80%</w:t>
      </w:r>
      <w:r>
        <w:rPr>
          <w:rFonts w:ascii="標楷體" w:hAnsi="標楷體" w:eastAsia="標楷體"/>
          <w:sz w:val="28"/>
        </w:rPr>
        <w:t>），其中有</w:t>
      </w:r>
      <w:r>
        <w:rPr>
          <w:rFonts w:eastAsia="標楷體" w:ascii="標楷體" w:hAnsi="標楷體"/>
          <w:sz w:val="28"/>
        </w:rPr>
        <w:t>50%</w:t>
      </w:r>
      <w:r>
        <w:rPr>
          <w:rFonts w:ascii="標楷體" w:hAnsi="標楷體" w:eastAsia="標楷體"/>
          <w:sz w:val="28"/>
        </w:rPr>
        <w:t>的患者會出現鏡下血尿，</w:t>
      </w:r>
      <w:r>
        <w:rPr>
          <w:rFonts w:eastAsia="標楷體" w:ascii="標楷體" w:hAnsi="標楷體"/>
          <w:sz w:val="28"/>
        </w:rPr>
        <w:t>20%</w:t>
      </w:r>
      <w:r>
        <w:rPr>
          <w:rFonts w:ascii="標楷體" w:hAnsi="標楷體" w:eastAsia="標楷體"/>
          <w:sz w:val="28"/>
        </w:rPr>
        <w:t>一開始會有高血壓。許多病人會有腎靜脈栓塞的併發症</w:t>
      </w:r>
      <w:r>
        <w:rPr>
          <w:rFonts w:ascii="標楷體" w:hAnsi="標楷體" w:eastAsia="標楷體"/>
          <w:sz w:val="28"/>
        </w:rPr>
        <w:t>，</w:t>
      </w:r>
      <w:r>
        <w:rPr>
          <w:rFonts w:ascii="標楷體" w:hAnsi="標楷體" w:eastAsia="標楷體"/>
          <w:sz w:val="28"/>
        </w:rPr>
        <w:t>有</w:t>
      </w:r>
      <w:r>
        <w:rPr>
          <w:rFonts w:eastAsia="標楷體" w:ascii="標楷體" w:hAnsi="標楷體"/>
          <w:sz w:val="28"/>
        </w:rPr>
        <w:t>50%</w:t>
      </w:r>
      <w:r>
        <w:rPr>
          <w:rFonts w:ascii="標楷體" w:hAnsi="標楷體" w:eastAsia="標楷體"/>
          <w:sz w:val="28"/>
        </w:rPr>
        <w:t>患者</w:t>
      </w:r>
      <w:r>
        <w:rPr>
          <w:rFonts w:ascii="標楷體" w:hAnsi="標楷體" w:eastAsia="標楷體"/>
          <w:sz w:val="28"/>
        </w:rPr>
        <w:t>，</w:t>
      </w:r>
      <w:r>
        <w:rPr>
          <w:rFonts w:ascii="標楷體" w:hAnsi="標楷體" w:eastAsia="標楷體"/>
          <w:sz w:val="28"/>
        </w:rPr>
        <w:t>三到十年內</w:t>
      </w:r>
      <w:r>
        <w:rPr>
          <w:rFonts w:ascii="標楷體" w:hAnsi="標楷體" w:eastAsia="標楷體"/>
          <w:sz w:val="28"/>
        </w:rPr>
        <w:t>，</w:t>
      </w:r>
      <w:r>
        <w:rPr>
          <w:rFonts w:ascii="標楷體" w:hAnsi="標楷體" w:eastAsia="標楷體"/>
          <w:sz w:val="28"/>
        </w:rPr>
        <w:t>腎功能會減退</w:t>
      </w:r>
      <w:r>
        <w:rPr>
          <w:rFonts w:ascii="標楷體" w:hAnsi="標楷體" w:eastAsia="標楷體"/>
          <w:sz w:val="28"/>
        </w:rPr>
        <w:t>。</w:t>
      </w:r>
      <w:r>
        <w:rPr>
          <w:rFonts w:ascii="標楷體" w:hAnsi="標楷體" w:eastAsia="標楷體"/>
          <w:sz w:val="28"/>
        </w:rPr>
        <w:t>其預後可根據蛋白尿的多寡</w:t>
      </w:r>
      <w:r>
        <w:rPr>
          <w:rFonts w:ascii="標楷體" w:hAnsi="標楷體" w:eastAsia="標楷體"/>
          <w:sz w:val="28"/>
        </w:rPr>
        <w:t>，</w:t>
      </w:r>
      <w:r>
        <w:rPr>
          <w:rFonts w:ascii="標楷體" w:hAnsi="標楷體" w:eastAsia="標楷體"/>
          <w:sz w:val="28"/>
        </w:rPr>
        <w:t>腎功能是否惡化，高血壓的有無以及是否為男性判斷之，另有統計稱</w:t>
      </w:r>
      <w:r>
        <w:rPr>
          <w:rFonts w:eastAsia="標楷體" w:ascii="標楷體" w:hAnsi="標楷體"/>
          <w:sz w:val="28"/>
        </w:rPr>
        <w:t>40%</w:t>
      </w:r>
      <w:r>
        <w:rPr>
          <w:rFonts w:ascii="標楷體" w:hAnsi="標楷體" w:eastAsia="標楷體"/>
          <w:sz w:val="28"/>
        </w:rPr>
        <w:t>左右的患者會自行緩解恢復，</w:t>
      </w:r>
      <w:r>
        <w:rPr>
          <w:rFonts w:eastAsia="標楷體" w:ascii="標楷體" w:hAnsi="標楷體"/>
          <w:sz w:val="28"/>
        </w:rPr>
        <w:t>30%</w:t>
      </w:r>
      <w:r>
        <w:rPr>
          <w:rFonts w:ascii="標楷體" w:hAnsi="標楷體" w:eastAsia="標楷體"/>
          <w:sz w:val="28"/>
        </w:rPr>
        <w:t>至</w:t>
      </w:r>
      <w:r>
        <w:rPr>
          <w:rFonts w:eastAsia="標楷體" w:ascii="標楷體" w:hAnsi="標楷體"/>
          <w:sz w:val="28"/>
        </w:rPr>
        <w:t>40%</w:t>
      </w:r>
      <w:r>
        <w:rPr>
          <w:rFonts w:ascii="標楷體" w:hAnsi="標楷體" w:eastAsia="標楷體"/>
          <w:sz w:val="28"/>
        </w:rPr>
        <w:t>的患者會反覆發作，另外</w:t>
      </w:r>
      <w:r>
        <w:rPr>
          <w:rFonts w:eastAsia="標楷體" w:ascii="標楷體" w:hAnsi="標楷體"/>
          <w:sz w:val="28"/>
        </w:rPr>
        <w:t>10%</w:t>
      </w:r>
      <w:r>
        <w:rPr>
          <w:rFonts w:ascii="標楷體" w:hAnsi="標楷體" w:eastAsia="標楷體"/>
          <w:sz w:val="28"/>
        </w:rPr>
        <w:t>至</w:t>
      </w:r>
      <w:r>
        <w:rPr>
          <w:rFonts w:eastAsia="標楷體" w:ascii="標楷體" w:hAnsi="標楷體"/>
          <w:sz w:val="28"/>
        </w:rPr>
        <w:t>20%</w:t>
      </w:r>
      <w:r>
        <w:rPr>
          <w:rFonts w:ascii="標楷體" w:hAnsi="標楷體" w:eastAsia="標楷體"/>
          <w:sz w:val="28"/>
        </w:rPr>
        <w:t>的患者十到十五年之後會演變至最後階段</w:t>
      </w:r>
      <w:r>
        <w:rPr>
          <w:rFonts w:ascii="標楷體" w:hAnsi="標楷體" w:eastAsia="標楷體"/>
          <w:sz w:val="28"/>
        </w:rPr>
        <w:t>，</w:t>
      </w:r>
      <w:r>
        <w:rPr>
          <w:rFonts w:ascii="標楷體" w:hAnsi="標楷體" w:eastAsia="標楷體"/>
          <w:sz w:val="28"/>
        </w:rPr>
        <w:t>西醫對本病的治療一般用類固醇，但效果不好，亦可用免疫抑制劑如</w:t>
      </w:r>
      <w:r>
        <w:rPr>
          <w:rFonts w:eastAsia="標楷體" w:cs="Arial" w:ascii="標楷體" w:hAnsi="標楷體"/>
          <w:sz w:val="28"/>
        </w:rPr>
        <w:t>Cyclophosphamide</w:t>
      </w:r>
      <w:r>
        <w:rPr>
          <w:rFonts w:ascii="標楷體" w:hAnsi="標楷體" w:eastAsia="標楷體"/>
          <w:sz w:val="28"/>
        </w:rPr>
        <w:t>或</w:t>
      </w:r>
      <w:r>
        <w:rPr>
          <w:rFonts w:eastAsia="標楷體" w:cs="Arial" w:ascii="標楷體" w:hAnsi="標楷體"/>
          <w:sz w:val="28"/>
        </w:rPr>
        <w:t>Cyclosporine</w:t>
      </w:r>
      <w:r>
        <w:rPr>
          <w:rFonts w:ascii="標楷體" w:hAnsi="標楷體" w:cs="Arial" w:eastAsia="標楷體"/>
          <w:sz w:val="28"/>
        </w:rPr>
        <w:t>。</w:t>
      </w:r>
    </w:p>
    <w:p>
      <w:pPr>
        <w:pStyle w:val="Normal"/>
        <w:snapToGrid w:val="false"/>
        <w:ind w:firstLine="555"/>
        <w:jc w:val="both"/>
        <w:rPr>
          <w:rFonts w:ascii="Arial" w:hAnsi="Arial" w:eastAsia="標楷體" w:cs="Arial"/>
          <w:sz w:val="28"/>
        </w:rPr>
      </w:pPr>
      <w:r>
        <w:rPr>
          <w:rFonts w:eastAsia="標楷體" w:cs="Arial" w:ascii="Arial" w:hAnsi="Arial"/>
          <w:sz w:val="28"/>
        </w:rPr>
      </w:r>
      <w:r>
        <w:br w:type="page"/>
      </w:r>
    </w:p>
    <w:p>
      <w:pPr>
        <w:pStyle w:val="Normal"/>
        <w:snapToGrid w:val="false"/>
        <w:ind w:firstLine="555"/>
        <w:jc w:val="both"/>
        <w:rPr>
          <w:rFonts w:ascii="標楷體" w:hAnsi="標楷體" w:eastAsia="標楷體" w:cs="Arial"/>
          <w:sz w:val="28"/>
        </w:rPr>
      </w:pPr>
      <w:r>
        <w:rPr>
          <w:rFonts w:eastAsia="標楷體" w:cs="Arial" w:ascii="標楷體" w:hAnsi="標楷體"/>
          <w:sz w:val="28"/>
        </w:rPr>
      </w:r>
    </w:p>
    <w:p>
      <w:pPr>
        <w:pStyle w:val="TextBodyIndent"/>
        <w:rPr>
          <w:rFonts w:ascii="標楷體" w:hAnsi="標楷體" w:eastAsia="標楷體"/>
          <w:b/>
          <w:b/>
        </w:rPr>
      </w:pPr>
      <w:r>
        <w:rPr>
          <w:rFonts w:ascii="標楷體" w:hAnsi="標楷體" w:eastAsia="標楷體"/>
          <w:b/>
        </w:rPr>
        <w:t>第五節  膜增生型腎病變</w:t>
      </w:r>
    </w:p>
    <w:p>
      <w:pPr>
        <w:pStyle w:val="TextBodyIndent"/>
        <w:rPr/>
      </w:pPr>
      <w:r>
        <w:rPr>
          <w:rFonts w:ascii="標楷體" w:hAnsi="標楷體" w:eastAsia="標楷體"/>
        </w:rPr>
        <w:t>膜增生型腎病變約佔了</w:t>
      </w:r>
      <w:r>
        <w:rPr>
          <w:rFonts w:eastAsia="標楷體" w:ascii="標楷體" w:hAnsi="標楷體"/>
        </w:rPr>
        <w:t>10%</w:t>
      </w:r>
      <w:r>
        <w:rPr>
          <w:rFonts w:ascii="標楷體" w:hAnsi="標楷體" w:eastAsia="標楷體"/>
        </w:rPr>
        <w:t>腎病症候群的患者，好發於三十歲以下的年輕人，最主要有兩個亞型，第一型約有三分之一的患者會有最近感染呼吸道的病史，其病理特性最主要是發現免疫沉澱物於表皮下或內皮下，補體會下降，系膜增厚會插入（</w:t>
      </w:r>
      <w:r>
        <w:rPr>
          <w:rFonts w:eastAsia="標楷體" w:ascii="標楷體" w:hAnsi="標楷體"/>
        </w:rPr>
        <w:t>interpose</w:t>
      </w:r>
      <w:r>
        <w:rPr>
          <w:rFonts w:ascii="標楷體" w:hAnsi="標楷體" w:eastAsia="標楷體"/>
        </w:rPr>
        <w:t>）基底膜與內皮間，呈雙軌型。免疫螢光反應可發現</w:t>
      </w:r>
      <w:r>
        <w:rPr>
          <w:rFonts w:eastAsia="標楷體" w:ascii="標楷體" w:hAnsi="標楷體"/>
        </w:rPr>
        <w:t>C3</w:t>
      </w:r>
      <w:r>
        <w:rPr>
          <w:rFonts w:ascii="標楷體" w:hAnsi="標楷體" w:eastAsia="標楷體"/>
        </w:rPr>
        <w:t>、</w:t>
      </w:r>
      <w:r>
        <w:rPr>
          <w:rFonts w:eastAsia="標楷體" w:ascii="標楷體" w:hAnsi="標楷體"/>
        </w:rPr>
        <w:t>C4</w:t>
      </w:r>
      <w:r>
        <w:rPr>
          <w:rFonts w:ascii="標楷體" w:hAnsi="標楷體" w:eastAsia="標楷體"/>
        </w:rPr>
        <w:t>的沉澱。第二型的特徵為會出現</w:t>
      </w:r>
      <w:r>
        <w:rPr>
          <w:rFonts w:eastAsia="標楷體" w:ascii="標楷體" w:hAnsi="標楷體"/>
        </w:rPr>
        <w:t>C3NeF</w:t>
      </w:r>
      <w:r>
        <w:rPr>
          <w:rFonts w:ascii="標楷體" w:hAnsi="標楷體" w:eastAsia="標楷體"/>
        </w:rPr>
        <w:t>，</w:t>
      </w:r>
      <w:r>
        <w:rPr>
          <w:rFonts w:ascii="標楷體" w:hAnsi="標楷體" w:eastAsia="標楷體"/>
        </w:rPr>
        <w:t>顯微鏡下發現類似第一型</w:t>
      </w:r>
      <w:r>
        <w:rPr>
          <w:rFonts w:ascii="標楷體" w:hAnsi="標楷體" w:eastAsia="標楷體"/>
        </w:rPr>
        <w:t>，</w:t>
      </w:r>
      <w:r>
        <w:rPr>
          <w:rFonts w:ascii="標楷體" w:hAnsi="標楷體" w:eastAsia="標楷體"/>
        </w:rPr>
        <w:t>但免疫螢光反應僅發現</w:t>
      </w:r>
      <w:r>
        <w:rPr>
          <w:rFonts w:eastAsia="標楷體" w:ascii="標楷體" w:hAnsi="標楷體"/>
        </w:rPr>
        <w:t>C3</w:t>
      </w:r>
      <w:r>
        <w:rPr>
          <w:rFonts w:ascii="標楷體" w:hAnsi="標楷體" w:eastAsia="標楷體"/>
        </w:rPr>
        <w:t>，</w:t>
      </w:r>
      <w:r>
        <w:rPr>
          <w:rFonts w:ascii="標楷體" w:hAnsi="標楷體" w:eastAsia="標楷體"/>
        </w:rPr>
        <w:t xml:space="preserve">雖然有些病人會自己恢復，但大多數患者會惡化至腎病末期。 </w:t>
      </w:r>
    </w:p>
    <w:p>
      <w:pPr>
        <w:pStyle w:val="TextBodyIndent"/>
        <w:rPr>
          <w:rFonts w:ascii="標楷體" w:hAnsi="標楷體" w:eastAsia="標楷體"/>
        </w:rPr>
      </w:pPr>
      <w:r>
        <w:rPr>
          <w:rFonts w:eastAsia="標楷體" w:ascii="標楷體" w:hAnsi="標楷體"/>
        </w:rPr>
      </w:r>
    </w:p>
    <w:p>
      <w:pPr>
        <w:pStyle w:val="TextBodyIndent"/>
        <w:ind w:hanging="0"/>
        <w:rPr/>
      </w:pPr>
      <w:r>
        <w:rPr>
          <w:rFonts w:eastAsia="標楷體" w:cs="標楷體" w:ascii="標楷體" w:hAnsi="標楷體"/>
          <w:b/>
        </w:rPr>
        <w:t xml:space="preserve"> </w:t>
      </w:r>
      <w:r>
        <w:rPr>
          <w:rFonts w:eastAsia="標楷體" w:cs="標楷體" w:ascii="標楷體" w:hAnsi="標楷體"/>
          <w:b/>
        </w:rPr>
        <w:t xml:space="preserve">   </w:t>
      </w:r>
      <w:r>
        <w:rPr>
          <w:rFonts w:ascii="標楷體" w:hAnsi="標楷體" w:eastAsia="標楷體"/>
          <w:b/>
        </w:rPr>
        <w:t>第六節 局部硬化型腎病變</w:t>
      </w:r>
    </w:p>
    <w:p>
      <w:pPr>
        <w:pStyle w:val="TextBodyIndent"/>
        <w:ind w:hanging="0"/>
        <w:rPr/>
      </w:pPr>
      <w:r>
        <w:rPr>
          <w:rFonts w:eastAsia="標楷體" w:cs="標楷體" w:ascii="標楷體" w:hAnsi="標楷體"/>
        </w:rPr>
        <w:t xml:space="preserve">    </w:t>
      </w:r>
      <w:r>
        <w:rPr>
          <w:rFonts w:ascii="標楷體" w:hAnsi="標楷體" w:eastAsia="標楷體"/>
        </w:rPr>
        <w:t>局部硬化型腎病症候群，顧名思義即是其腎臟之病理病化，出現局部之纖維化稱之，約佔腎病症候群孩童患者之</w:t>
      </w:r>
      <w:r>
        <w:rPr>
          <w:rFonts w:eastAsia="標楷體" w:ascii="標楷體" w:hAnsi="標楷體"/>
        </w:rPr>
        <w:t>10</w:t>
      </w:r>
      <w:r>
        <w:rPr>
          <w:rFonts w:eastAsia="標楷體" w:ascii="標楷體" w:hAnsi="標楷體"/>
        </w:rPr>
        <w:t>-15%</w:t>
      </w:r>
      <w:r>
        <w:rPr>
          <w:rFonts w:ascii="標楷體" w:hAnsi="標楷體" w:eastAsia="標楷體"/>
        </w:rPr>
        <w:t>，於大人則約佔</w:t>
      </w:r>
      <w:r>
        <w:rPr>
          <w:rFonts w:eastAsia="標楷體" w:ascii="標楷體" w:hAnsi="標楷體"/>
        </w:rPr>
        <w:t>15</w:t>
      </w:r>
      <w:r>
        <w:rPr>
          <w:rFonts w:eastAsia="標楷體" w:ascii="標楷體" w:hAnsi="標楷體"/>
        </w:rPr>
        <w:t>-25%</w:t>
      </w:r>
      <w:r>
        <w:rPr>
          <w:rFonts w:ascii="標楷體" w:hAnsi="標楷體" w:eastAsia="標楷體"/>
        </w:rPr>
        <w:t>的患者。</w:t>
      </w:r>
    </w:p>
    <w:p>
      <w:pPr>
        <w:pStyle w:val="TextBodyIndent"/>
        <w:ind w:hanging="0"/>
        <w:rPr/>
      </w:pPr>
      <w:r>
        <w:rPr>
          <w:rFonts w:eastAsia="標楷體" w:cs="標楷體" w:ascii="標楷體" w:hAnsi="標楷體"/>
        </w:rPr>
        <w:t xml:space="preserve">    </w:t>
      </w:r>
      <w:r>
        <w:rPr>
          <w:rFonts w:ascii="標楷體" w:hAnsi="標楷體" w:eastAsia="標楷體"/>
        </w:rPr>
        <w:t>本型的患者約</w:t>
      </w:r>
      <w:r>
        <w:rPr>
          <w:rFonts w:eastAsia="標楷體" w:ascii="標楷體" w:hAnsi="標楷體"/>
        </w:rPr>
        <w:t>80</w:t>
      </w:r>
      <w:r>
        <w:rPr>
          <w:rFonts w:eastAsia="標楷體" w:ascii="標楷體" w:hAnsi="標楷體"/>
        </w:rPr>
        <w:t>%</w:t>
      </w:r>
      <w:r>
        <w:rPr>
          <w:rFonts w:ascii="標楷體" w:hAnsi="標楷體" w:eastAsia="標楷體"/>
        </w:rPr>
        <w:t>會出現鏡下血尿，</w:t>
      </w:r>
      <w:r>
        <w:rPr>
          <w:rFonts w:eastAsia="標楷體" w:ascii="標楷體" w:hAnsi="標楷體"/>
        </w:rPr>
        <w:t>25-50%</w:t>
      </w:r>
      <w:r>
        <w:rPr>
          <w:rFonts w:ascii="標楷體" w:hAnsi="標楷體" w:eastAsia="標楷體"/>
        </w:rPr>
        <w:t>的患者會有腎功能下降的情形，亦可出現高血壓。本型患者有些和逆流性腎病變、海洛因、愛滋病、和非類固醇止痛藥的使用及肥胖有關。於免疫螢光反應可發現硬化段有</w:t>
      </w:r>
      <w:r>
        <w:rPr>
          <w:rFonts w:eastAsia="標楷體" w:cs="Arial" w:ascii="標楷體" w:hAnsi="標楷體"/>
        </w:rPr>
        <w:t>C3</w:t>
      </w:r>
      <w:r>
        <w:rPr>
          <w:rFonts w:ascii="標楷體" w:hAnsi="標楷體" w:cs="Arial" w:eastAsia="標楷體"/>
        </w:rPr>
        <w:t>、</w:t>
      </w:r>
      <w:r>
        <w:rPr>
          <w:rFonts w:eastAsia="標楷體" w:cs="Arial" w:ascii="標楷體" w:hAnsi="標楷體"/>
        </w:rPr>
        <w:t>IgM</w:t>
      </w:r>
      <w:r>
        <w:rPr>
          <w:rFonts w:ascii="標楷體" w:hAnsi="標楷體" w:eastAsia="標楷體"/>
        </w:rPr>
        <w:t>。</w:t>
      </w:r>
      <w:r>
        <w:rPr>
          <w:rFonts w:ascii="標楷體" w:hAnsi="標楷體" w:eastAsia="標楷體"/>
        </w:rPr>
        <w:t>其治療多以類固醇或免疫抑制劑為主，大部分的病人於五至十年會進行至腎病末期，接近洗腎階段。</w:t>
      </w:r>
    </w:p>
    <w:p>
      <w:pPr>
        <w:pStyle w:val="TextBodyIndent"/>
        <w:ind w:hanging="0"/>
        <w:rPr>
          <w:rFonts w:ascii="華康細圓體" w:hAnsi="華康細圓體" w:eastAsia="華康細圓體"/>
        </w:rPr>
      </w:pPr>
      <w:r>
        <w:rPr>
          <w:rFonts w:eastAsia="華康細圓體" w:ascii="華康細圓體" w:hAnsi="華康細圓體"/>
        </w:rPr>
      </w:r>
    </w:p>
    <w:p>
      <w:pPr>
        <w:pStyle w:val="Normal"/>
        <w:snapToGrid w:val="false"/>
        <w:jc w:val="both"/>
        <w:rPr>
          <w:rFonts w:ascii="標楷體" w:hAnsi="標楷體" w:eastAsia="標楷體"/>
          <w:b/>
          <w:b/>
          <w:sz w:val="28"/>
        </w:rPr>
      </w:pPr>
      <w:r>
        <w:rPr>
          <w:rFonts w:eastAsia="標楷體" w:cs="標楷體" w:ascii="標楷體" w:hAnsi="標楷體"/>
          <w:b/>
          <w:sz w:val="28"/>
        </w:rPr>
        <w:t xml:space="preserve">    </w:t>
      </w:r>
      <w:r>
        <w:rPr>
          <w:rFonts w:ascii="標楷體" w:hAnsi="標楷體" w:cs="Arial" w:eastAsia="標楷體"/>
          <w:b/>
          <w:sz w:val="28"/>
        </w:rPr>
        <w:t xml:space="preserve">第七節  </w:t>
      </w:r>
      <w:r>
        <w:rPr>
          <w:rFonts w:eastAsia="標楷體" w:cs="Arial" w:ascii="標楷體" w:hAnsi="標楷體"/>
          <w:b/>
          <w:sz w:val="28"/>
        </w:rPr>
        <w:t>IgA</w:t>
      </w:r>
      <w:r>
        <w:rPr>
          <w:rFonts w:ascii="標楷體" w:hAnsi="標楷體" w:eastAsia="標楷體"/>
          <w:b/>
          <w:sz w:val="28"/>
        </w:rPr>
        <w:t>腎病變之中西醫觀念及療法</w:t>
      </w:r>
    </w:p>
    <w:p>
      <w:pPr>
        <w:pStyle w:val="Normal"/>
        <w:snapToGrid w:val="false"/>
        <w:ind w:firstLine="555"/>
        <w:jc w:val="both"/>
        <w:rPr>
          <w:rFonts w:ascii="標楷體" w:hAnsi="標楷體" w:eastAsia="標楷體"/>
          <w:sz w:val="28"/>
        </w:rPr>
      </w:pPr>
      <w:r>
        <w:rPr>
          <w:rFonts w:eastAsia="標楷體" w:cs="Arial" w:ascii="標楷體" w:hAnsi="標楷體"/>
          <w:sz w:val="28"/>
        </w:rPr>
        <w:t>IgA</w:t>
      </w:r>
      <w:r>
        <w:rPr>
          <w:rFonts w:eastAsia="標楷體" w:ascii="標楷體" w:hAnsi="標楷體"/>
          <w:sz w:val="28"/>
        </w:rPr>
        <w:t>(</w:t>
      </w:r>
      <w:r>
        <w:rPr>
          <w:rFonts w:ascii="標楷體" w:hAnsi="標楷體" w:eastAsia="標楷體"/>
          <w:sz w:val="28"/>
        </w:rPr>
        <w:t>免疫球蛋白甲</w:t>
      </w:r>
      <w:r>
        <w:rPr>
          <w:rFonts w:eastAsia="標楷體" w:ascii="標楷體" w:hAnsi="標楷體"/>
          <w:sz w:val="28"/>
        </w:rPr>
        <w:t>)</w:t>
      </w:r>
      <w:r>
        <w:rPr>
          <w:rFonts w:ascii="標楷體" w:hAnsi="標楷體" w:eastAsia="標楷體"/>
          <w:sz w:val="28"/>
        </w:rPr>
        <w:t>腎病變是以腎小球系膜內有</w:t>
      </w:r>
      <w:r>
        <w:rPr>
          <w:rFonts w:eastAsia="標楷體" w:cs="Arial" w:ascii="標楷體" w:hAnsi="標楷體"/>
          <w:sz w:val="28"/>
        </w:rPr>
        <w:t>IgA</w:t>
      </w:r>
      <w:r>
        <w:rPr>
          <w:rFonts w:ascii="標楷體" w:hAnsi="標楷體" w:eastAsia="標楷體"/>
          <w:sz w:val="28"/>
        </w:rPr>
        <w:t>沉澱為特徵的一種疾病，</w:t>
      </w:r>
      <w:r>
        <w:rPr>
          <w:rFonts w:eastAsia="標楷體" w:ascii="標楷體" w:hAnsi="標楷體"/>
          <w:sz w:val="28"/>
        </w:rPr>
        <w:t>1968</w:t>
      </w:r>
      <w:r>
        <w:rPr>
          <w:rFonts w:ascii="標楷體" w:hAnsi="標楷體" w:eastAsia="標楷體"/>
          <w:sz w:val="28"/>
        </w:rPr>
        <w:t>年</w:t>
      </w:r>
      <w:r>
        <w:rPr>
          <w:rFonts w:eastAsia="標楷體" w:cs="Arial" w:ascii="標楷體" w:hAnsi="標楷體"/>
          <w:sz w:val="28"/>
        </w:rPr>
        <w:t>Berger</w:t>
      </w:r>
      <w:r>
        <w:rPr>
          <w:rFonts w:ascii="標楷體" w:hAnsi="標楷體" w:eastAsia="標楷體"/>
          <w:sz w:val="28"/>
        </w:rPr>
        <w:t>氏首次描述了其臨床及病理學的特徵，因此本病又稱為</w:t>
      </w:r>
      <w:r>
        <w:rPr>
          <w:rFonts w:eastAsia="標楷體" w:ascii="標楷體" w:hAnsi="標楷體"/>
          <w:sz w:val="28"/>
        </w:rPr>
        <w:t>Berger`s</w:t>
      </w:r>
      <w:r>
        <w:rPr>
          <w:rFonts w:ascii="標楷體" w:hAnsi="標楷體" w:eastAsia="標楷體"/>
          <w:sz w:val="28"/>
        </w:rPr>
        <w:t>病。本病變是所有原發性腎病變中最常見的一種，好發於小孩及年輕人，其臨床表現以肉眼性血尿、持續性鏡下血尿、偶見蛋白尿為主，通常在上呼吸道感染或腸胃炎後的二至三天，此血尿的表現會到達高峰，平常不一定會有腰酸、水腫、高血壓或腎功能異常的現象，但有出現者則表示其預後不佳。其確定診斷為腎切片後，用免疫螢光染色法顯示出</w:t>
      </w:r>
      <w:r>
        <w:rPr>
          <w:rFonts w:eastAsia="標楷體" w:cs="Arial" w:ascii="標楷體" w:hAnsi="標楷體"/>
          <w:sz w:val="28"/>
        </w:rPr>
        <w:t>IgA</w:t>
      </w:r>
      <w:r>
        <w:rPr>
          <w:rFonts w:ascii="標楷體" w:hAnsi="標楷體" w:eastAsia="標楷體"/>
          <w:sz w:val="28"/>
        </w:rPr>
        <w:t>的沉澱，有半數的患者則在血中會出現</w:t>
      </w:r>
      <w:r>
        <w:rPr>
          <w:rFonts w:eastAsia="標楷體" w:cs="Arial" w:ascii="標楷體" w:hAnsi="標楷體"/>
          <w:sz w:val="28"/>
        </w:rPr>
        <w:t>IgA</w:t>
      </w:r>
      <w:r>
        <w:rPr>
          <w:rFonts w:ascii="標楷體" w:hAnsi="標楷體" w:eastAsia="標楷體"/>
          <w:sz w:val="28"/>
        </w:rPr>
        <w:t>上升的情形，血清中的補體一般表現正常，大部分患者在皮下真皮層的微血管中會有</w:t>
      </w:r>
      <w:r>
        <w:rPr>
          <w:rFonts w:eastAsia="標楷體" w:cs="Arial" w:ascii="標楷體" w:hAnsi="標楷體"/>
          <w:sz w:val="28"/>
        </w:rPr>
        <w:t>IgA</w:t>
      </w:r>
      <w:r>
        <w:rPr>
          <w:rFonts w:ascii="標楷體" w:hAnsi="標楷體" w:eastAsia="標楷體"/>
          <w:sz w:val="28"/>
        </w:rPr>
        <w:t>顆粒的沉澱出現。</w:t>
      </w:r>
    </w:p>
    <w:p>
      <w:pPr>
        <w:pStyle w:val="Normal"/>
        <w:snapToGrid w:val="false"/>
        <w:ind w:firstLine="555"/>
        <w:jc w:val="both"/>
        <w:rPr>
          <w:rFonts w:ascii="標楷體" w:hAnsi="標楷體" w:eastAsia="標楷體"/>
          <w:sz w:val="28"/>
        </w:rPr>
      </w:pPr>
      <w:r>
        <w:rPr>
          <w:rFonts w:eastAsia="標楷體" w:cs="Arial" w:ascii="標楷體" w:hAnsi="標楷體"/>
          <w:sz w:val="28"/>
        </w:rPr>
        <w:t>IgA</w:t>
      </w:r>
      <w:r>
        <w:rPr>
          <w:rFonts w:ascii="標楷體" w:hAnsi="標楷體" w:eastAsia="標楷體"/>
          <w:sz w:val="28"/>
        </w:rPr>
        <w:t>腎病變有</w:t>
      </w:r>
      <w:r>
        <w:rPr>
          <w:rFonts w:eastAsia="標楷體" w:ascii="標楷體" w:hAnsi="標楷體"/>
          <w:sz w:val="28"/>
        </w:rPr>
        <w:t>1/3</w:t>
      </w:r>
      <w:r>
        <w:rPr>
          <w:rFonts w:ascii="標楷體" w:hAnsi="標楷體" w:eastAsia="標楷體"/>
          <w:sz w:val="28"/>
        </w:rPr>
        <w:t>是沒有症狀的，</w:t>
      </w:r>
      <w:r>
        <w:rPr>
          <w:rFonts w:eastAsia="標楷體" w:ascii="標楷體" w:hAnsi="標楷體"/>
          <w:sz w:val="28"/>
        </w:rPr>
        <w:t>1/3</w:t>
      </w:r>
      <w:r>
        <w:rPr>
          <w:rFonts w:ascii="標楷體" w:hAnsi="標楷體" w:eastAsia="標楷體"/>
          <w:sz w:val="28"/>
        </w:rPr>
        <w:t>表現出反復感冒、持續出現鏡下血尿，</w:t>
      </w:r>
      <w:r>
        <w:rPr>
          <w:rFonts w:eastAsia="標楷體" w:ascii="標楷體" w:hAnsi="標楷體"/>
          <w:sz w:val="28"/>
        </w:rPr>
        <w:t>1/3</w:t>
      </w:r>
      <w:r>
        <w:rPr>
          <w:rFonts w:ascii="標楷體" w:hAnsi="標楷體" w:eastAsia="標楷體"/>
          <w:sz w:val="28"/>
        </w:rPr>
        <w:t>則表現出慢性腎炎、腎病症候群、腎衰竭。其預後與其他腎病變比起來算是不錯的，大約</w:t>
      </w:r>
      <w:r>
        <w:rPr>
          <w:rFonts w:eastAsia="標楷體" w:ascii="標楷體" w:hAnsi="標楷體"/>
          <w:sz w:val="28"/>
        </w:rPr>
        <w:t>10%</w:t>
      </w:r>
      <w:r>
        <w:rPr>
          <w:rFonts w:ascii="標楷體" w:hAnsi="標楷體" w:eastAsia="標楷體"/>
          <w:sz w:val="28"/>
        </w:rPr>
        <w:t>的患者十年後、</w:t>
      </w:r>
      <w:r>
        <w:rPr>
          <w:rFonts w:eastAsia="標楷體" w:ascii="標楷體" w:hAnsi="標楷體"/>
          <w:sz w:val="28"/>
        </w:rPr>
        <w:t>20%</w:t>
      </w:r>
      <w:r>
        <w:rPr>
          <w:rFonts w:ascii="標楷體" w:hAnsi="標楷體" w:eastAsia="標楷體"/>
          <w:sz w:val="28"/>
        </w:rPr>
        <w:t>的患者二十年後需洗腎，約有一半的患者二十年後腎功能會受影響，成人的預後會比小孩差。高血壓、腎功能指數以及大量蛋白尿是本病惡化的重要指標。西醫對此病之治療除了對於腎功能已稍微惡化者給予魚油</w:t>
      </w:r>
      <w:r>
        <w:rPr>
          <w:rFonts w:eastAsia="標楷體" w:ascii="標楷體" w:hAnsi="標楷體"/>
          <w:sz w:val="28"/>
        </w:rPr>
        <w:t>(</w:t>
      </w:r>
      <w:r>
        <w:rPr>
          <w:rFonts w:ascii="標楷體" w:hAnsi="標楷體" w:eastAsia="標楷體"/>
          <w:sz w:val="28"/>
        </w:rPr>
        <w:t>每天</w:t>
      </w:r>
      <w:r>
        <w:rPr>
          <w:rFonts w:eastAsia="標楷體" w:ascii="標楷體" w:hAnsi="標楷體"/>
          <w:sz w:val="28"/>
        </w:rPr>
        <w:t>12</w:t>
      </w:r>
      <w:r>
        <w:rPr>
          <w:rFonts w:ascii="標楷體" w:hAnsi="標楷體" w:eastAsia="標楷體"/>
          <w:sz w:val="28"/>
        </w:rPr>
        <w:t>克</w:t>
      </w:r>
      <w:r>
        <w:rPr>
          <w:rFonts w:eastAsia="標楷體" w:ascii="標楷體" w:hAnsi="標楷體"/>
          <w:sz w:val="28"/>
        </w:rPr>
        <w:t>)</w:t>
      </w:r>
      <w:r>
        <w:rPr>
          <w:rFonts w:ascii="標楷體" w:hAnsi="標楷體" w:eastAsia="標楷體"/>
          <w:sz w:val="28"/>
        </w:rPr>
        <w:t>之外，尚可給予抑制血小板活化之</w:t>
      </w:r>
      <w:r>
        <w:rPr>
          <w:rFonts w:eastAsia="標楷體" w:cs="Arial" w:ascii="標楷體" w:hAnsi="標楷體"/>
          <w:sz w:val="28"/>
        </w:rPr>
        <w:t>Persantin</w:t>
      </w:r>
      <w:r>
        <w:rPr>
          <w:rFonts w:ascii="標楷體" w:hAnsi="標楷體" w:cs="Arial" w:eastAsia="標楷體"/>
          <w:sz w:val="28"/>
        </w:rPr>
        <w:t>。</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中醫根據其臨床表現而將本病歸屬於尿血、腰痛、虛勞的範疇，因</w:t>
      </w:r>
      <w:r>
        <w:rPr>
          <w:rFonts w:eastAsia="標楷體" w:cs="Arial" w:ascii="標楷體" w:hAnsi="標楷體"/>
          <w:sz w:val="28"/>
        </w:rPr>
        <w:t>IgA</w:t>
      </w:r>
      <w:r>
        <w:rPr>
          <w:rFonts w:ascii="標楷體" w:hAnsi="標楷體" w:eastAsia="標楷體"/>
          <w:sz w:val="28"/>
        </w:rPr>
        <w:t>腎病變病程中，感染是常見惡化本病的因子，故而如何經過辨證論治，固護正氣以袪除病邪是中醫治療本病的重點。若有上呼吸道感染屬風熱型者，可用銀翹散或桑菊飲加減，屬風寒型者可用荊防敗毒散加減</w:t>
      </w:r>
      <w:r>
        <w:rPr>
          <w:rFonts w:eastAsia="標楷體" w:ascii="標楷體" w:hAnsi="標楷體"/>
          <w:sz w:val="28"/>
        </w:rPr>
        <w:t>;</w:t>
      </w:r>
      <w:r>
        <w:rPr>
          <w:rFonts w:ascii="標楷體" w:hAnsi="標楷體" w:eastAsia="標楷體"/>
          <w:sz w:val="28"/>
        </w:rPr>
        <w:t>若有泌尿道感染屬下焦濕熱者，可用八正散或小薊飲子加減</w:t>
      </w:r>
      <w:r>
        <w:rPr>
          <w:rFonts w:eastAsia="標楷體" w:ascii="標楷體" w:hAnsi="標楷體"/>
          <w:sz w:val="28"/>
        </w:rPr>
        <w:t>;</w:t>
      </w:r>
      <w:r>
        <w:rPr>
          <w:rFonts w:ascii="標楷體" w:hAnsi="標楷體" w:eastAsia="標楷體"/>
          <w:sz w:val="28"/>
        </w:rPr>
        <w:t>平常則可根據病人的症狀加以辨證論治，屬氣虛者可用四君子湯或玉屏風散，屬陰虛火旺者可用知柏地黃湯合二至丸，並可酌加一些活血化瘀的方劑如血府逐瘀湯或丹參、鬱金、三七等藥物加減治療。此外，飲食的節制、心情的調適、運動的適當與否，均是預防本病惡化的不二法門。</w:t>
      </w:r>
      <w:r>
        <w:br w:type="page"/>
      </w:r>
    </w:p>
    <w:p>
      <w:pPr>
        <w:pStyle w:val="Normal"/>
        <w:snapToGrid w:val="false"/>
        <w:jc w:val="both"/>
        <w:rPr>
          <w:rFonts w:ascii="標楷體" w:hAnsi="標楷體" w:eastAsia="標楷體"/>
          <w:sz w:val="28"/>
        </w:rPr>
      </w:pPr>
      <w:r>
        <w:rPr>
          <w:rFonts w:eastAsia="標楷體" w:ascii="標楷體" w:hAnsi="標楷體"/>
          <w:sz w:val="28"/>
        </w:rPr>
      </w:r>
    </w:p>
    <w:p>
      <w:pPr>
        <w:pStyle w:val="TextBodyIndent"/>
        <w:rPr/>
      </w:pPr>
      <w:r>
        <w:rPr>
          <w:rFonts w:eastAsia="標楷體" w:ascii="標楷體" w:hAnsi="標楷體"/>
          <w:b/>
        </w:rPr>
        <w:t>***</w:t>
      </w:r>
      <w:r>
        <w:rPr>
          <w:rFonts w:ascii="標楷體" w:hAnsi="標楷體" w:eastAsia="標楷體"/>
          <w:b/>
        </w:rPr>
        <w:t>附論西醫水腫形成機理</w:t>
      </w:r>
    </w:p>
    <w:p>
      <w:pPr>
        <w:pStyle w:val="Normal"/>
        <w:tabs>
          <w:tab w:val="left" w:pos="3060" w:leader="none"/>
        </w:tabs>
        <w:snapToGrid w:val="false"/>
        <w:jc w:val="both"/>
        <w:rPr/>
      </w:pPr>
      <w:r>
        <w:rPr>
          <w:rFonts w:eastAsia="華康細圓體" w:cs="華康細圓體" w:ascii="華康細圓體" w:hAnsi="華康細圓體"/>
          <w:sz w:val="28"/>
        </w:rPr>
        <w:t xml:space="preserve">    </w:t>
      </w:r>
      <w:r>
        <w:rPr>
          <w:rFonts w:ascii="標楷體" w:hAnsi="標楷體" w:eastAsia="標楷體"/>
          <w:sz w:val="28"/>
        </w:rPr>
        <w:t>水腫最主要是間質液（</w:t>
      </w:r>
      <w:r>
        <w:rPr>
          <w:rFonts w:eastAsia="標楷體" w:cs="Arial" w:ascii="標楷體" w:hAnsi="標楷體"/>
          <w:sz w:val="28"/>
        </w:rPr>
        <w:t>interstitial fluid</w:t>
      </w:r>
      <w:r>
        <w:rPr>
          <w:rFonts w:ascii="標楷體" w:hAnsi="標楷體" w:eastAsia="標楷體"/>
          <w:sz w:val="28"/>
        </w:rPr>
        <w:t>）不正常之累積增加的結果，其和微血管及間質液之壓力有一定之關連，其病理機轉及形成原因摘要如下：</w:t>
      </w:r>
    </w:p>
    <w:p>
      <w:pPr>
        <w:pStyle w:val="Normal"/>
        <w:snapToGrid w:val="false"/>
        <w:jc w:val="both"/>
        <w:rPr>
          <w:rFonts w:ascii="標楷體" w:hAnsi="標楷體" w:eastAsia="標楷體"/>
          <w:b/>
          <w:b/>
          <w:sz w:val="28"/>
        </w:rPr>
      </w:pPr>
      <w:r>
        <w:rPr>
          <w:rFonts w:eastAsia="標楷體" w:cs="標楷體" w:ascii="標楷體" w:hAnsi="標楷體"/>
          <w:b/>
          <w:sz w:val="28"/>
        </w:rPr>
        <w:t xml:space="preserve">    </w:t>
      </w:r>
      <w:r>
        <w:rPr>
          <w:rFonts w:eastAsia="標楷體" w:cs="標楷體" w:ascii="標楷體" w:hAnsi="標楷體"/>
          <w:b/>
          <w:sz w:val="28"/>
        </w:rPr>
        <w:t xml:space="preserve">     </w:t>
      </w:r>
      <w:r>
        <w:rPr>
          <w:rFonts w:eastAsia="標楷體" w:cs="標楷體" w:ascii="標楷體" w:hAnsi="標楷體"/>
          <w:b/>
          <w:sz w:val="32"/>
        </w:rPr>
        <w:t xml:space="preserve"> </w:t>
      </w:r>
      <w:r>
        <w:rPr>
          <w:rFonts w:ascii="標楷體" w:hAnsi="標楷體" w:eastAsia="標楷體"/>
          <w:b/>
          <w:sz w:val="32"/>
        </w:rPr>
        <w:t>水腫成因</w:t>
      </w:r>
      <w:r>
        <w:rPr>
          <w:rFonts w:eastAsia="標楷體" w:ascii="標楷體" w:hAnsi="標楷體"/>
          <w:b/>
          <w:sz w:val="32"/>
        </w:rPr>
        <w:t>:</w:t>
      </w:r>
    </w:p>
    <w:p>
      <w:pPr>
        <w:pStyle w:val="Normal"/>
        <w:numPr>
          <w:ilvl w:val="0"/>
          <w:numId w:val="19"/>
        </w:numPr>
        <w:snapToGrid w:val="false"/>
        <w:jc w:val="both"/>
        <w:rPr>
          <w:rFonts w:ascii="標楷體" w:hAnsi="標楷體" w:eastAsia="標楷體"/>
          <w:sz w:val="28"/>
        </w:rPr>
      </w:pPr>
      <w:r>
        <w:rPr>
          <w:rFonts w:ascii="標楷體" w:hAnsi="標楷體" w:eastAsia="標楷體"/>
          <w:sz w:val="28"/>
        </w:rPr>
        <w:t>濾過壓增加</w:t>
      </w:r>
    </w:p>
    <w:p>
      <w:pPr>
        <w:pStyle w:val="Normal"/>
        <w:numPr>
          <w:ilvl w:val="0"/>
          <w:numId w:val="0"/>
        </w:numPr>
        <w:snapToGrid w:val="false"/>
        <w:ind w:left="0" w:hanging="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動脈擴張﹑靜脈壓增加﹑增加靜水壓</w:t>
      </w:r>
    </w:p>
    <w:p>
      <w:pPr>
        <w:pStyle w:val="Normal"/>
        <w:numPr>
          <w:ilvl w:val="0"/>
          <w:numId w:val="0"/>
        </w:numPr>
        <w:snapToGrid w:val="false"/>
        <w:ind w:left="0" w:hanging="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靜脈回流受阻</w:t>
      </w:r>
      <w:r>
        <w:rPr>
          <w:rFonts w:eastAsia="標楷體" w:ascii="標楷體" w:hAnsi="標楷體"/>
          <w:sz w:val="28"/>
        </w:rPr>
        <w:t>:CHF</w:t>
      </w:r>
      <w:r>
        <w:rPr>
          <w:rFonts w:eastAsia="標楷體" w:ascii="標楷體" w:hAnsi="標楷體"/>
          <w:sz w:val="28"/>
        </w:rPr>
        <w:t>﹑</w:t>
      </w:r>
      <w:r>
        <w:rPr>
          <w:rFonts w:ascii="標楷體" w:hAnsi="標楷體" w:eastAsia="標楷體"/>
          <w:sz w:val="28"/>
        </w:rPr>
        <w:t>肝硬化﹑血栓靜脈炎</w:t>
      </w:r>
    </w:p>
    <w:p>
      <w:pPr>
        <w:pStyle w:val="Normal"/>
        <w:numPr>
          <w:ilvl w:val="0"/>
          <w:numId w:val="19"/>
        </w:numPr>
        <w:snapToGrid w:val="false"/>
        <w:jc w:val="both"/>
        <w:rPr>
          <w:rFonts w:ascii="標楷體" w:hAnsi="標楷體" w:eastAsia="標楷體"/>
          <w:sz w:val="28"/>
        </w:rPr>
      </w:pPr>
      <w:r>
        <w:rPr>
          <w:rFonts w:ascii="標楷體" w:hAnsi="標楷體" w:eastAsia="標楷體"/>
          <w:sz w:val="28"/>
        </w:rPr>
        <w:t>減少膠體滲透壓</w:t>
      </w:r>
      <w:r>
        <w:rPr>
          <w:rFonts w:eastAsia="標楷體" w:ascii="標楷體" w:hAnsi="標楷體"/>
          <w:sz w:val="28"/>
        </w:rPr>
        <w:t>:</w:t>
      </w:r>
      <w:r>
        <w:rPr>
          <w:rFonts w:ascii="標楷體" w:hAnsi="標楷體" w:eastAsia="標楷體"/>
          <w:sz w:val="28"/>
        </w:rPr>
        <w:t>腎病症候群﹑肝硬化﹑營養</w:t>
      </w:r>
    </w:p>
    <w:p>
      <w:pPr>
        <w:pStyle w:val="Normal"/>
        <w:numPr>
          <w:ilvl w:val="0"/>
          <w:numId w:val="19"/>
        </w:numPr>
        <w:snapToGrid w:val="false"/>
        <w:jc w:val="both"/>
        <w:rPr/>
      </w:pPr>
      <w:r>
        <w:rPr>
          <w:rFonts w:ascii="標楷體" w:hAnsi="標楷體" w:eastAsia="標楷體"/>
          <w:sz w:val="28"/>
        </w:rPr>
        <w:t>鈉滯留</w:t>
      </w:r>
      <w:r>
        <w:rPr>
          <w:rFonts w:eastAsia="標楷體" w:ascii="標楷體" w:hAnsi="標楷體"/>
          <w:sz w:val="28"/>
        </w:rPr>
        <w:t>:</w:t>
      </w:r>
      <w:r>
        <w:rPr>
          <w:rFonts w:ascii="標楷體" w:hAnsi="標楷體" w:eastAsia="標楷體"/>
          <w:sz w:val="28"/>
        </w:rPr>
        <w:t>吸收太多鹽分﹑</w:t>
      </w:r>
      <w:r>
        <w:rPr>
          <w:rFonts w:eastAsia="標楷體" w:ascii="標楷體" w:hAnsi="標楷體"/>
          <w:sz w:val="28"/>
        </w:rPr>
        <w:t>RAA</w:t>
      </w:r>
      <w:r>
        <w:rPr>
          <w:rFonts w:eastAsia="標楷體" w:ascii="標楷體" w:hAnsi="標楷體"/>
          <w:sz w:val="28"/>
        </w:rPr>
        <w:t>﹑</w:t>
      </w:r>
      <w:r>
        <w:rPr>
          <w:rFonts w:eastAsia="標楷體" w:ascii="標楷體" w:hAnsi="標楷體"/>
          <w:sz w:val="28"/>
        </w:rPr>
        <w:t>AGN</w:t>
      </w:r>
    </w:p>
    <w:p>
      <w:pPr>
        <w:pStyle w:val="Normal"/>
        <w:numPr>
          <w:ilvl w:val="0"/>
          <w:numId w:val="19"/>
        </w:numPr>
        <w:snapToGrid w:val="false"/>
        <w:jc w:val="both"/>
        <w:rPr>
          <w:rFonts w:ascii="標楷體" w:hAnsi="標楷體" w:eastAsia="標楷體"/>
          <w:sz w:val="28"/>
        </w:rPr>
      </w:pPr>
      <w:r>
        <w:rPr>
          <w:rFonts w:ascii="標楷體" w:hAnsi="標楷體" w:eastAsia="標楷體"/>
          <w:sz w:val="28"/>
        </w:rPr>
        <w:t>淋巴管阻塞</w:t>
      </w:r>
      <w:r>
        <w:rPr>
          <w:rFonts w:eastAsia="標楷體" w:ascii="標楷體" w:hAnsi="標楷體"/>
          <w:sz w:val="28"/>
        </w:rPr>
        <w:t>:</w:t>
      </w:r>
      <w:r>
        <w:rPr>
          <w:rFonts w:ascii="標楷體" w:hAnsi="標楷體" w:eastAsia="標楷體"/>
          <w:sz w:val="28"/>
        </w:rPr>
        <w:t>發炎﹑手術﹑腫瘤</w:t>
      </w:r>
    </w:p>
    <w:p>
      <w:pPr>
        <w:pStyle w:val="Normal"/>
        <w:numPr>
          <w:ilvl w:val="0"/>
          <w:numId w:val="19"/>
        </w:numPr>
        <w:snapToGrid w:val="false"/>
        <w:jc w:val="both"/>
        <w:rPr/>
      </w:pPr>
      <w:r>
        <w:rPr>
          <w:rFonts w:ascii="標楷體" w:hAnsi="標楷體" w:eastAsia="標楷體"/>
          <w:sz w:val="28"/>
        </w:rPr>
        <w:t>血管通透度增加</w:t>
      </w:r>
      <w:r>
        <w:rPr>
          <w:rFonts w:eastAsia="標楷體" w:ascii="標楷體" w:hAnsi="標楷體"/>
          <w:sz w:val="28"/>
        </w:rPr>
        <w:t>:</w:t>
      </w:r>
      <w:r>
        <w:rPr>
          <w:rFonts w:eastAsia="標楷體" w:cs="Arial Narrow" w:ascii="標楷體" w:hAnsi="標楷體"/>
          <w:sz w:val="28"/>
        </w:rPr>
        <w:t>Substance P</w:t>
      </w:r>
      <w:r>
        <w:rPr>
          <w:rFonts w:eastAsia="標楷體" w:cs="Arial Narrow" w:ascii="標楷體" w:hAnsi="標楷體"/>
          <w:sz w:val="28"/>
        </w:rPr>
        <w:t>﹑</w:t>
      </w:r>
      <w:r>
        <w:rPr>
          <w:rFonts w:eastAsia="標楷體" w:cs="Arial Narrow" w:ascii="標楷體" w:hAnsi="標楷體"/>
          <w:sz w:val="28"/>
        </w:rPr>
        <w:t>Histamine</w:t>
      </w:r>
      <w:r>
        <w:rPr>
          <w:rFonts w:eastAsia="標楷體" w:cs="Arial Narrow" w:ascii="標楷體" w:hAnsi="標楷體"/>
          <w:sz w:val="28"/>
        </w:rPr>
        <w:t>﹑</w:t>
      </w:r>
      <w:r>
        <w:rPr>
          <w:rFonts w:eastAsia="標楷體" w:cs="Arial Narrow" w:ascii="標楷體" w:hAnsi="標楷體"/>
          <w:sz w:val="28"/>
        </w:rPr>
        <w:t>Kinins</w:t>
      </w:r>
      <w:r>
        <w:rPr>
          <w:rFonts w:eastAsia="標楷體" w:ascii="標楷體" w:hAnsi="標楷體"/>
          <w:sz w:val="28"/>
        </w:rPr>
        <w:t xml:space="preserve">                </w:t>
      </w:r>
    </w:p>
    <w:p>
      <w:pPr>
        <w:pStyle w:val="Normal"/>
        <w:tabs>
          <w:tab w:val="left" w:pos="3060" w:leader="none"/>
        </w:tabs>
        <w:snapToGrid w:val="false"/>
        <w:ind w:firstLine="540"/>
        <w:jc w:val="both"/>
        <w:rPr/>
      </w:pPr>
      <w:r>
        <w:rPr>
          <w:rFonts w:ascii="標楷體" w:hAnsi="標楷體" w:eastAsia="標楷體"/>
          <w:sz w:val="28"/>
        </w:rPr>
        <w:t>腎病症候群之所以會形成水腫，其和腎絲球結構被破壞之後，導致白蛋白之精微物質流失，尿蛋白流失的結果，會造成低白蛋白血症，影響血中維持滲透壓濃度之改變，水液從血中滲出的結果，終而會造成水腫，其為了維持水液代謝之正常，機體因而</w:t>
      </w:r>
      <w:r>
        <w:rPr>
          <w:rFonts w:ascii="標楷體" w:hAnsi="標楷體" w:cs="華康細圓體" w:eastAsia="標楷體"/>
          <w:sz w:val="28"/>
        </w:rPr>
        <w:t>會促進抗利尿激素的更多分泌（</w:t>
      </w:r>
      <w:r>
        <w:rPr>
          <w:rFonts w:eastAsia="標楷體" w:cs="Arial" w:ascii="標楷體" w:hAnsi="標楷體"/>
          <w:sz w:val="28"/>
        </w:rPr>
        <w:t xml:space="preserve">Antidiuretic hormone </w:t>
      </w:r>
      <w:r>
        <w:rPr>
          <w:rFonts w:ascii="標楷體" w:hAnsi="標楷體" w:cs="Arial" w:eastAsia="標楷體"/>
          <w:sz w:val="28"/>
        </w:rPr>
        <w:t>、</w:t>
      </w:r>
      <w:r>
        <w:rPr>
          <w:rFonts w:eastAsia="標楷體" w:cs="Arial" w:ascii="標楷體" w:hAnsi="標楷體"/>
          <w:sz w:val="28"/>
        </w:rPr>
        <w:t>Vasopressin</w:t>
      </w:r>
      <w:r>
        <w:rPr>
          <w:rFonts w:ascii="標楷體" w:hAnsi="標楷體" w:cs="華康細圓體" w:eastAsia="標楷體"/>
          <w:sz w:val="28"/>
        </w:rPr>
        <w:t>），使腎小管吸收更多的水分，並且會致活腎素</w:t>
      </w:r>
      <w:r>
        <w:rPr>
          <w:rFonts w:eastAsia="標楷體" w:cs="華康細圓體" w:ascii="標楷體" w:hAnsi="標楷體"/>
          <w:sz w:val="28"/>
        </w:rPr>
        <w:t>-</w:t>
      </w:r>
      <w:r>
        <w:rPr>
          <w:rFonts w:ascii="標楷體" w:hAnsi="標楷體" w:cs="華康細圓體" w:eastAsia="標楷體"/>
          <w:sz w:val="28"/>
        </w:rPr>
        <w:t>血管緊張素</w:t>
      </w:r>
      <w:r>
        <w:rPr>
          <w:rFonts w:eastAsia="標楷體" w:cs="華康細圓體" w:ascii="標楷體" w:hAnsi="標楷體"/>
          <w:sz w:val="28"/>
        </w:rPr>
        <w:t>-</w:t>
      </w:r>
      <w:r>
        <w:rPr>
          <w:rFonts w:ascii="標楷體" w:hAnsi="標楷體" w:cs="華康細圓體" w:eastAsia="標楷體"/>
          <w:sz w:val="28"/>
        </w:rPr>
        <w:t>醛固酮（</w:t>
      </w:r>
      <w:r>
        <w:rPr>
          <w:rFonts w:eastAsia="標楷體" w:cs="Arial" w:ascii="標楷體" w:hAnsi="標楷體"/>
          <w:sz w:val="28"/>
        </w:rPr>
        <w:t>Renin-Angiotensin-aldosterone</w:t>
      </w:r>
      <w:r>
        <w:rPr>
          <w:rFonts w:ascii="標楷體" w:hAnsi="標楷體" w:cs="華康細圓體" w:eastAsia="標楷體"/>
          <w:sz w:val="28"/>
        </w:rPr>
        <w:t>）使腎小管對鈉的再吸收增加，促進交感神經系統以利水液之代謝，抑制心房利鈉（</w:t>
      </w:r>
      <w:r>
        <w:rPr>
          <w:rFonts w:eastAsia="標楷體" w:cs="華康細圓體" w:ascii="標楷體" w:hAnsi="標楷體"/>
          <w:sz w:val="28"/>
        </w:rPr>
        <w:t>A</w:t>
      </w:r>
      <w:r>
        <w:rPr>
          <w:rFonts w:eastAsia="標楷體" w:cs="華康細圓體" w:ascii="標楷體" w:hAnsi="標楷體"/>
          <w:sz w:val="28"/>
        </w:rPr>
        <w:t xml:space="preserve">trial  natriuretic  </w:t>
      </w:r>
      <w:r>
        <w:rPr>
          <w:rFonts w:eastAsia="標楷體" w:cs="華康細圓體" w:ascii="標楷體" w:hAnsi="標楷體"/>
          <w:sz w:val="28"/>
        </w:rPr>
        <w:t>peptide</w:t>
      </w:r>
      <w:r>
        <w:rPr>
          <w:rFonts w:ascii="標楷體" w:hAnsi="標楷體" w:cs="華康細圓體" w:eastAsia="標楷體"/>
          <w:sz w:val="28"/>
        </w:rPr>
        <w:t>）之釋放，終而造成鈉、水滯留，於是水腫的症狀更嚴重。</w:t>
      </w:r>
    </w:p>
    <w:p>
      <w:pPr>
        <w:pStyle w:val="TextBodyIndent"/>
        <w:rPr>
          <w:rFonts w:ascii="標楷體" w:hAnsi="標楷體" w:eastAsia="標楷體" w:cs="華康細圓體"/>
        </w:rPr>
      </w:pPr>
      <w:r>
        <w:rPr>
          <w:rFonts w:ascii="標楷體" w:hAnsi="標楷體" w:eastAsia="標楷體"/>
        </w:rPr>
        <w:t>白蛋白由肝臟細胞合成，因此肝硬化造成腹水及水腫和白蛋白的製造有關，營養不良所造成的化源不足也是形成水腫的原因之一。而腎病症候群形成水腫的機理則為腎絲球受損，造成白蛋白流失，導致血中白蛋白質下降，膠體滲透壓亦下降，終而形成水腫。</w:t>
      </w:r>
    </w:p>
    <w:p>
      <w:pPr>
        <w:pStyle w:val="Normal"/>
        <w:snapToGrid w:val="false"/>
        <w:jc w:val="both"/>
        <w:rPr/>
      </w:pPr>
      <w:r>
        <w:rPr>
          <w:rFonts w:eastAsia="標楷體" w:cs="標楷體" w:ascii="標楷體" w:hAnsi="標楷體"/>
          <w:sz w:val="28"/>
        </w:rPr>
        <w:t xml:space="preserve">    </w:t>
      </w:r>
      <w:r>
        <w:rPr>
          <w:rFonts w:ascii="標楷體" w:hAnsi="標楷體" w:eastAsia="標楷體"/>
          <w:sz w:val="28"/>
        </w:rPr>
        <w:t>肺之所以和水腫形成有關，最主要是由於其受到感染之後，造成免疫機轉的失調，破壞腎臟結構，終而形成水腫，除此之外，肺血管之壓力亦和水液之代謝有關，對於和水液代謝有關的物質如組織胺（</w:t>
      </w:r>
      <w:r>
        <w:rPr>
          <w:rFonts w:eastAsia="標楷體" w:cs="Arial" w:ascii="標楷體" w:hAnsi="標楷體"/>
          <w:sz w:val="28"/>
        </w:rPr>
        <w:t>Histamine</w:t>
      </w:r>
      <w:r>
        <w:rPr>
          <w:rFonts w:ascii="標楷體" w:hAnsi="標楷體" w:eastAsia="標楷體"/>
          <w:sz w:val="28"/>
        </w:rPr>
        <w:t>）、正交感神經素（</w:t>
      </w:r>
      <w:r>
        <w:rPr>
          <w:rFonts w:eastAsia="標楷體" w:cs="Arial" w:ascii="標楷體" w:hAnsi="標楷體"/>
          <w:sz w:val="28"/>
        </w:rPr>
        <w:t>Norepinephrine</w:t>
      </w:r>
      <w:r>
        <w:rPr>
          <w:rFonts w:ascii="標楷體" w:hAnsi="標楷體" w:eastAsia="標楷體"/>
          <w:sz w:val="28"/>
        </w:rPr>
        <w:t>）以及血管緊張素（</w:t>
      </w:r>
      <w:r>
        <w:rPr>
          <w:rFonts w:eastAsia="標楷體" w:cs="Arial" w:ascii="標楷體" w:hAnsi="標楷體"/>
          <w:sz w:val="28"/>
        </w:rPr>
        <w:t>Angiotensin</w:t>
      </w:r>
      <w:r>
        <w:rPr>
          <w:rFonts w:ascii="標楷體" w:hAnsi="標楷體" w:eastAsia="標楷體"/>
          <w:sz w:val="28"/>
        </w:rPr>
        <w:t>）之調節，肺臟亦扮演著重要的角色。</w:t>
      </w:r>
      <w:r>
        <w:br w:type="page"/>
      </w:r>
    </w:p>
    <w:p>
      <w:pPr>
        <w:pStyle w:val="Normal"/>
        <w:snapToGrid w:val="false"/>
        <w:ind w:firstLine="555"/>
        <w:jc w:val="center"/>
        <w:rPr>
          <w:rFonts w:ascii="標楷體" w:hAnsi="標楷體" w:eastAsia="標楷體"/>
          <w:b/>
          <w:b/>
          <w:sz w:val="32"/>
        </w:rPr>
      </w:pPr>
      <w:r>
        <w:rPr>
          <w:rFonts w:ascii="標楷體" w:hAnsi="標楷體" w:eastAsia="標楷體"/>
          <w:b/>
          <w:sz w:val="32"/>
        </w:rPr>
        <w:t>第二章  低白蛋白血症之中醫觀</w:t>
      </w:r>
    </w:p>
    <w:p>
      <w:pPr>
        <w:pStyle w:val="Normal"/>
        <w:tabs>
          <w:tab w:val="left" w:pos="3060" w:leader="none"/>
        </w:tabs>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cs="華康細圓體" w:eastAsia="標楷體"/>
          <w:sz w:val="28"/>
        </w:rPr>
        <w:t>血中白蛋白由肝臟合成，其最主要的功能是維持體內血漿中的膠體滲透壓預防水液自血管內流出，形成水腫。造成低白蛋白血症的原因可分為營養不良，合成障礙（如肝硬化）以及流失過多（如腎病症候群）。本文即著重於對腎病症候群，白蛋白流失所形成的機理及產生的症狀作一探討。</w:t>
      </w:r>
    </w:p>
    <w:p>
      <w:pPr>
        <w:pStyle w:val="Normal"/>
        <w:tabs>
          <w:tab w:val="left" w:pos="3060" w:leader="none"/>
        </w:tabs>
        <w:snapToGrid w:val="false"/>
        <w:jc w:val="both"/>
        <w:rPr>
          <w:rFonts w:ascii="標楷體" w:hAnsi="標楷體" w:eastAsia="標楷體" w:cs="華康細圓體"/>
          <w:sz w:val="28"/>
        </w:rPr>
      </w:pPr>
      <w:r>
        <w:rPr>
          <w:rFonts w:eastAsia="標楷體" w:cs="華康細圓體" w:ascii="標楷體" w:hAnsi="標楷體"/>
          <w:sz w:val="28"/>
        </w:rPr>
      </w:r>
    </w:p>
    <w:p>
      <w:pPr>
        <w:pStyle w:val="Normal"/>
        <w:tabs>
          <w:tab w:val="left" w:pos="3060" w:leader="none"/>
        </w:tabs>
        <w:snapToGrid w:val="false"/>
        <w:jc w:val="both"/>
        <w:rPr>
          <w:rFonts w:ascii="標楷體" w:hAnsi="標楷體" w:eastAsia="標楷體"/>
          <w:b/>
          <w:b/>
          <w:sz w:val="28"/>
        </w:rPr>
      </w:pPr>
      <w:r>
        <w:rPr>
          <w:rFonts w:eastAsia="標楷體" w:cs="標楷體" w:ascii="標楷體" w:hAnsi="標楷體"/>
          <w:b/>
          <w:sz w:val="28"/>
        </w:rPr>
        <w:t xml:space="preserve">    </w:t>
      </w:r>
      <w:r>
        <w:rPr>
          <w:rFonts w:ascii="標楷體" w:hAnsi="標楷體" w:cs="MS Sans Serif;Arial" w:eastAsia="標楷體"/>
          <w:b/>
          <w:sz w:val="28"/>
        </w:rPr>
        <w:t>第一節 低白蛋白血症的原因</w:t>
      </w:r>
    </w:p>
    <w:p>
      <w:pPr>
        <w:pStyle w:val="Normal"/>
        <w:tabs>
          <w:tab w:val="left" w:pos="3060" w:leader="none"/>
        </w:tabs>
        <w:snapToGrid w:val="false"/>
        <w:jc w:val="both"/>
        <w:rPr/>
      </w:pPr>
      <w:r>
        <w:rPr>
          <w:rFonts w:eastAsia="標楷體" w:cs="標楷體" w:ascii="標楷體" w:hAnsi="標楷體"/>
          <w:sz w:val="28"/>
        </w:rPr>
        <w:t xml:space="preserve">    </w:t>
      </w:r>
      <w:r>
        <w:rPr>
          <w:rFonts w:ascii="標楷體" w:hAnsi="標楷體" w:cs="MS Sans Serif;Arial" w:eastAsia="標楷體"/>
          <w:sz w:val="28"/>
        </w:rPr>
        <w:t>腎病症候群造成水腫最主要機轉為腎失封藏，</w:t>
      </w:r>
      <w:r>
        <w:rPr>
          <w:rFonts w:eastAsia="標楷體" w:cs="MS Sans Serif;Arial" w:ascii="標楷體" w:hAnsi="標楷體"/>
          <w:sz w:val="28"/>
        </w:rPr>
        <w:t>&lt;&lt;</w:t>
      </w:r>
      <w:r>
        <w:rPr>
          <w:rFonts w:ascii="標楷體" w:hAnsi="標楷體" w:cs="MS Sans Serif;Arial" w:eastAsia="標楷體"/>
          <w:sz w:val="28"/>
        </w:rPr>
        <w:t>素問</w:t>
      </w:r>
      <w:r>
        <w:rPr>
          <w:rFonts w:ascii="標楷體" w:hAnsi="標楷體" w:eastAsia="標楷體"/>
          <w:sz w:val="28"/>
        </w:rPr>
        <w:t>‧六節藏象</w:t>
      </w:r>
      <w:r>
        <w:rPr>
          <w:rFonts w:ascii="標楷體" w:hAnsi="標楷體" w:cs="MS Sans Serif;Arial" w:eastAsia="標楷體"/>
          <w:sz w:val="28"/>
        </w:rPr>
        <w:t>論</w:t>
      </w:r>
      <w:r>
        <w:rPr>
          <w:rFonts w:eastAsia="標楷體" w:cs="MS Sans Serif;Arial" w:ascii="標楷體" w:hAnsi="標楷體"/>
          <w:sz w:val="28"/>
        </w:rPr>
        <w:t>&gt;&gt;</w:t>
      </w:r>
      <w:r>
        <w:rPr>
          <w:rFonts w:ascii="標楷體" w:hAnsi="標楷體" w:cs="MS Sans Serif;Arial" w:eastAsia="標楷體"/>
          <w:sz w:val="28"/>
        </w:rPr>
        <w:t>曰：「</w:t>
      </w:r>
      <w:r>
        <w:rPr>
          <w:rFonts w:ascii="標楷體" w:hAnsi="標楷體" w:cs="華康細圓體" w:eastAsia="標楷體"/>
          <w:sz w:val="28"/>
        </w:rPr>
        <w:t>腎者，主蟄，封藏之本。」</w:t>
      </w:r>
      <w:r>
        <w:rPr>
          <w:rFonts w:ascii="標楷體" w:hAnsi="標楷體" w:cs="MS Sans Serif;Arial" w:eastAsia="標楷體"/>
          <w:sz w:val="28"/>
        </w:rPr>
        <w:t>血中白蛋白的精微物質自尿液排出，形成低白蛋白血症，滲透壓改變的結果，終而形成水腫。</w:t>
      </w:r>
    </w:p>
    <w:p>
      <w:pPr>
        <w:pStyle w:val="Normal"/>
        <w:tabs>
          <w:tab w:val="left" w:pos="3060" w:leader="none"/>
        </w:tabs>
        <w:snapToGrid w:val="false"/>
        <w:jc w:val="both"/>
        <w:rPr>
          <w:rFonts w:ascii="標楷體" w:hAnsi="標楷體" w:eastAsia="標楷體" w:cs="MS Sans Serif;Arial"/>
          <w:sz w:val="28"/>
        </w:rPr>
      </w:pPr>
      <w:r>
        <w:rPr>
          <w:rFonts w:ascii="標楷體" w:hAnsi="標楷體" w:cs="MS Sans Serif;Arial" w:eastAsia="標楷體"/>
          <w:sz w:val="28"/>
        </w:rPr>
        <w:t>腎失封藏是造成腎病症候群水腫機理的樞紐，以其為中心，可分別對其形成的原因如外感、濕熱，以及產生病症的結果，作更進一步的描述與探討。腎失封藏的結果會造成血中白蛋白等精微物質的流失，因而形成低白蛋白血症，終而造成水腫，由上可知，腎病症候群之所以會造成水腫，應和血中白蛋白濃度有關，故而首先當對低白蛋白血症，其中醫形成的機理及說法作一描述。</w:t>
      </w:r>
    </w:p>
    <w:p>
      <w:pPr>
        <w:pStyle w:val="Normal"/>
        <w:tabs>
          <w:tab w:val="left" w:pos="3060" w:leader="none"/>
        </w:tabs>
        <w:snapToGrid w:val="false"/>
        <w:jc w:val="both"/>
        <w:rPr>
          <w:rFonts w:ascii="標楷體" w:hAnsi="標楷體" w:eastAsia="標楷體" w:cs="MS Sans Serif;Arial"/>
          <w:b/>
          <w:b/>
          <w:sz w:val="28"/>
        </w:rPr>
      </w:pPr>
      <w:r>
        <w:rPr>
          <w:rFonts w:eastAsia="標楷體" w:cs="MS Sans Serif;Arial" w:ascii="標楷體" w:hAnsi="標楷體"/>
          <w:b/>
          <w:sz w:val="28"/>
        </w:rPr>
      </w:r>
    </w:p>
    <w:p>
      <w:pPr>
        <w:pStyle w:val="Normal"/>
        <w:tabs>
          <w:tab w:val="left" w:pos="3060" w:leader="none"/>
        </w:tabs>
        <w:snapToGrid w:val="false"/>
        <w:jc w:val="both"/>
        <w:rPr/>
      </w:pPr>
      <w:r>
        <w:rPr>
          <w:rFonts w:eastAsia="標楷體" w:cs="標楷體" w:ascii="標楷體" w:hAnsi="標楷體"/>
          <w:b/>
          <w:sz w:val="28"/>
        </w:rPr>
        <w:t xml:space="preserve">   </w:t>
      </w:r>
      <w:r>
        <w:rPr>
          <w:rFonts w:eastAsia="標楷體" w:cs="標楷體" w:ascii="標楷體" w:hAnsi="標楷體"/>
          <w:b/>
          <w:sz w:val="28"/>
        </w:rPr>
        <w:t xml:space="preserve"> </w:t>
      </w:r>
      <w:r>
        <w:rPr>
          <w:rFonts w:ascii="標楷體" w:hAnsi="標楷體" w:cs="MS Sans Serif;Arial" w:eastAsia="標楷體"/>
          <w:b/>
          <w:sz w:val="28"/>
        </w:rPr>
        <w:t>第二節 低白蛋白血症之中醫觀</w:t>
      </w:r>
    </w:p>
    <w:p>
      <w:pPr>
        <w:pStyle w:val="Normal"/>
        <w:tabs>
          <w:tab w:val="left" w:pos="3060" w:leader="none"/>
        </w:tabs>
        <w:snapToGrid w:val="false"/>
        <w:jc w:val="both"/>
        <w:rPr/>
      </w:pPr>
      <w:r>
        <w:rPr>
          <w:rFonts w:eastAsia="標楷體" w:cs="標楷體" w:ascii="標楷體" w:hAnsi="標楷體"/>
          <w:sz w:val="28"/>
        </w:rPr>
        <w:t xml:space="preserve">     </w:t>
      </w:r>
      <w:r>
        <w:rPr>
          <w:rFonts w:ascii="標楷體" w:hAnsi="標楷體" w:cs="華康細圓體" w:eastAsia="標楷體"/>
          <w:sz w:val="28"/>
        </w:rPr>
        <w:t xml:space="preserve">中醫雖然沒有血中白蛋白的名辭，但根據其存在狀態及功能而言，頗類似中醫所稱的「精」，透過精氣互化而產生作用，因此要探討血中白蛋白，對於精氣互化之氣化的觀念，是有必要加以了解的。此外三焦通行水道的概念亦有必要一併加以討論（前已有論及）。 </w:t>
      </w:r>
      <w:r>
        <w:rPr>
          <w:rFonts w:ascii="標楷體" w:hAnsi="標楷體" w:cs="華康細圓體" w:eastAsia="標楷體"/>
          <w:b/>
          <w:sz w:val="28"/>
        </w:rPr>
        <w:t xml:space="preserve">    </w:t>
      </w:r>
    </w:p>
    <w:p>
      <w:pPr>
        <w:pStyle w:val="Normal"/>
        <w:tabs>
          <w:tab w:val="left" w:pos="3060" w:leader="none"/>
        </w:tabs>
        <w:snapToGrid w:val="false"/>
        <w:jc w:val="both"/>
        <w:rPr>
          <w:rFonts w:ascii="標楷體" w:hAnsi="標楷體" w:eastAsia="標楷體"/>
          <w:b/>
          <w:b/>
          <w:sz w:val="28"/>
        </w:rPr>
      </w:pPr>
      <w:r>
        <w:rPr>
          <w:rFonts w:eastAsia="標楷體" w:cs="標楷體" w:ascii="標楷體" w:hAnsi="標楷體"/>
          <w:b/>
          <w:sz w:val="28"/>
        </w:rPr>
        <w:t xml:space="preserve">     </w:t>
      </w:r>
      <w:r>
        <w:rPr>
          <w:rFonts w:ascii="標楷體" w:hAnsi="標楷體" w:cs="華康細圓體" w:eastAsia="標楷體"/>
          <w:b/>
          <w:sz w:val="28"/>
        </w:rPr>
        <w:t>一、氣化的觀念</w:t>
      </w:r>
    </w:p>
    <w:p>
      <w:pPr>
        <w:pStyle w:val="Normal"/>
        <w:tabs>
          <w:tab w:val="left" w:pos="3060" w:leader="none"/>
        </w:tabs>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cs="華康細圓體" w:eastAsia="標楷體"/>
          <w:sz w:val="28"/>
        </w:rPr>
        <w:t>中醫所稱的氣化和臟腑精氣功能的互相轉化有關，若氣化有利，則臟腑氣血功能調和，若氣化不利則臟腑功能失調，易生病邪，甚至產生水腫的病症。</w:t>
      </w:r>
    </w:p>
    <w:p>
      <w:pPr>
        <w:pStyle w:val="Normal"/>
        <w:tabs>
          <w:tab w:val="left" w:pos="3060" w:leader="none"/>
        </w:tabs>
        <w:snapToGrid w:val="false"/>
        <w:jc w:val="both"/>
        <w:rPr>
          <w:rFonts w:ascii="標楷體" w:hAnsi="標楷體" w:eastAsia="標楷體" w:cs="MS Sans Serif;Arial"/>
          <w:sz w:val="28"/>
        </w:rPr>
      </w:pPr>
      <w:r>
        <w:rPr>
          <w:rFonts w:eastAsia="標楷體" w:cs="標楷體" w:ascii="標楷體" w:hAnsi="標楷體"/>
          <w:sz w:val="28"/>
        </w:rPr>
        <w:t xml:space="preserve">    </w:t>
      </w:r>
      <w:r>
        <w:rPr>
          <w:rFonts w:ascii="標楷體" w:hAnsi="標楷體" w:cs="MS Sans Serif;Arial" w:eastAsia="標楷體"/>
          <w:sz w:val="28"/>
        </w:rPr>
        <w:t>（一）</w:t>
      </w:r>
      <w:r>
        <w:rPr>
          <w:rFonts w:ascii="標楷體" w:hAnsi="標楷體" w:cs="華康細圓體" w:eastAsia="標楷體"/>
          <w:b/>
          <w:sz w:val="28"/>
        </w:rPr>
        <w:t>陰精與陽氣</w:t>
      </w:r>
    </w:p>
    <w:p>
      <w:pPr>
        <w:pStyle w:val="Normal"/>
        <w:tabs>
          <w:tab w:val="left" w:pos="3060" w:leader="none"/>
        </w:tabs>
        <w:snapToGrid w:val="false"/>
        <w:jc w:val="both"/>
        <w:rPr/>
      </w:pPr>
      <w:r>
        <w:rPr>
          <w:rFonts w:eastAsia="標楷體" w:cs="標楷體" w:ascii="標楷體" w:hAnsi="標楷體"/>
          <w:sz w:val="28"/>
        </w:rPr>
        <w:t xml:space="preserve">     </w:t>
      </w:r>
      <w:r>
        <w:rPr>
          <w:rFonts w:ascii="標楷體" w:hAnsi="標楷體" w:cs="華康細圓體" w:eastAsia="標楷體"/>
          <w:sz w:val="28"/>
        </w:rPr>
        <w:t>血中白蛋白頗類似中醫所稱的精微物質，其本身存在的狀態稱為「陰精」，其作用型態則為「陽氣」，</w:t>
      </w:r>
      <w:r>
        <w:rPr>
          <w:rFonts w:ascii="標楷體" w:hAnsi="標楷體" w:eastAsia="標楷體"/>
          <w:sz w:val="28"/>
        </w:rPr>
        <w:t>如</w:t>
      </w:r>
      <w:r>
        <w:rPr>
          <w:rFonts w:eastAsia="標楷體" w:ascii="標楷體" w:hAnsi="標楷體"/>
          <w:sz w:val="28"/>
        </w:rPr>
        <w:t>&lt;&lt;</w:t>
      </w:r>
      <w:r>
        <w:rPr>
          <w:rFonts w:ascii="標楷體" w:hAnsi="標楷體" w:eastAsia="標楷體"/>
          <w:sz w:val="28"/>
        </w:rPr>
        <w:t>素問．</w:t>
      </w:r>
      <w:r>
        <w:rPr>
          <w:rFonts w:ascii="標楷體" w:hAnsi="標楷體" w:cs="MS Sans Serif;Arial" w:eastAsia="標楷體"/>
          <w:sz w:val="28"/>
        </w:rPr>
        <w:t>陰陽應象大論</w:t>
      </w:r>
      <w:r>
        <w:rPr>
          <w:rFonts w:eastAsia="標楷體" w:ascii="標楷體" w:hAnsi="標楷體"/>
          <w:sz w:val="28"/>
        </w:rPr>
        <w:t>&gt;&gt;</w:t>
      </w:r>
      <w:r>
        <w:rPr>
          <w:rFonts w:ascii="標楷體" w:hAnsi="標楷體" w:eastAsia="標楷體"/>
          <w:sz w:val="28"/>
        </w:rPr>
        <w:t>曰</w:t>
      </w:r>
      <w:r>
        <w:rPr>
          <w:rFonts w:eastAsia="標楷體" w:ascii="標楷體" w:hAnsi="標楷體"/>
          <w:sz w:val="28"/>
        </w:rPr>
        <w:t>:</w:t>
      </w:r>
      <w:r>
        <w:rPr>
          <w:rFonts w:eastAsia="標楷體" w:ascii="標楷體" w:hAnsi="標楷體"/>
          <w:sz w:val="28"/>
        </w:rPr>
        <w:t xml:space="preserve"> </w:t>
      </w:r>
      <w:r>
        <w:rPr>
          <w:rFonts w:ascii="標楷體" w:hAnsi="標楷體" w:eastAsia="標楷體"/>
          <w:sz w:val="28"/>
        </w:rPr>
        <w:t>「</w:t>
      </w:r>
      <w:r>
        <w:rPr>
          <w:rFonts w:ascii="標楷體" w:hAnsi="標楷體" w:cs="MS Sans Serif;Arial" w:eastAsia="標楷體"/>
          <w:sz w:val="28"/>
        </w:rPr>
        <w:t>陽化氣，陰成形</w:t>
      </w:r>
      <w:r>
        <w:rPr>
          <w:rFonts w:ascii="標楷體" w:hAnsi="標楷體" w:cs="MS Sans Serif;Arial" w:eastAsia="標楷體"/>
          <w:sz w:val="28"/>
        </w:rPr>
        <w:t>。」</w:t>
      </w:r>
      <w:r>
        <w:rPr>
          <w:rFonts w:ascii="標楷體" w:hAnsi="標楷體" w:cs="MS Sans Serif;Arial" w:eastAsia="標楷體"/>
          <w:sz w:val="28"/>
        </w:rPr>
        <w:t>張景岳於</w:t>
      </w:r>
      <w:r>
        <w:rPr>
          <w:rFonts w:eastAsia="標楷體" w:cs="MS Sans Serif;Arial" w:ascii="標楷體" w:hAnsi="標楷體"/>
          <w:sz w:val="28"/>
        </w:rPr>
        <w:t>&lt;&lt;</w:t>
      </w:r>
      <w:r>
        <w:rPr>
          <w:rFonts w:ascii="標楷體" w:hAnsi="標楷體" w:cs="MS Sans Serif;Arial" w:eastAsia="標楷體"/>
          <w:sz w:val="28"/>
        </w:rPr>
        <w:t>類經</w:t>
      </w:r>
      <w:r>
        <w:rPr>
          <w:rFonts w:eastAsia="標楷體" w:cs="MS Sans Serif;Arial" w:ascii="標楷體" w:hAnsi="標楷體"/>
          <w:sz w:val="28"/>
        </w:rPr>
        <w:t>&gt;&gt;</w:t>
      </w:r>
      <w:r>
        <w:rPr>
          <w:rFonts w:ascii="標楷體" w:hAnsi="標楷體" w:cs="MS Sans Serif;Arial" w:eastAsia="標楷體"/>
          <w:sz w:val="28"/>
        </w:rPr>
        <w:t>註曰：「陽動而散，故化氣，陰靜而凝，故成形。」以上均說明了物質動與靜的觀念（詳見水腫與氣化的觀念一文）。</w:t>
      </w:r>
    </w:p>
    <w:p>
      <w:pPr>
        <w:pStyle w:val="Normal"/>
        <w:overflowPunct w:val="false"/>
        <w:autoSpaceDE w:val="false"/>
        <w:snapToGrid w:val="false"/>
        <w:jc w:val="both"/>
        <w:rPr>
          <w:rFonts w:ascii="標楷體" w:hAnsi="標楷體" w:eastAsia="標楷體" w:cs="MS Sans Serif;Arial"/>
          <w:sz w:val="28"/>
        </w:rPr>
      </w:pPr>
      <w:r>
        <w:rPr>
          <w:rFonts w:eastAsia="標楷體" w:cs="標楷體" w:ascii="標楷體" w:hAnsi="標楷體"/>
          <w:sz w:val="28"/>
        </w:rPr>
        <w:t xml:space="preserve">    </w:t>
      </w:r>
      <w:r>
        <w:rPr>
          <w:rFonts w:ascii="標楷體" w:hAnsi="標楷體" w:cs="MS Sans Serif;Arial" w:eastAsia="標楷體"/>
          <w:sz w:val="28"/>
        </w:rPr>
        <w:t>前有論及，</w:t>
      </w:r>
      <w:r>
        <w:rPr>
          <w:rFonts w:ascii="標楷體" w:hAnsi="標楷體" w:eastAsia="標楷體"/>
          <w:sz w:val="28"/>
        </w:rPr>
        <w:t>作用物質的動靜狀態，即類似精氣互化的觀念，例如物質作用於靶器官細胞上之接受器（</w:t>
      </w:r>
      <w:r>
        <w:rPr>
          <w:rFonts w:eastAsia="標楷體" w:ascii="標楷體" w:hAnsi="標楷體"/>
          <w:sz w:val="28"/>
        </w:rPr>
        <w:t>Receptor</w:t>
      </w:r>
      <w:r>
        <w:rPr>
          <w:rFonts w:ascii="標楷體" w:hAnsi="標楷體" w:eastAsia="標楷體"/>
          <w:sz w:val="28"/>
        </w:rPr>
        <w:t>）</w:t>
      </w:r>
      <w:r>
        <w:rPr>
          <w:rFonts w:ascii="標楷體" w:hAnsi="標楷體" w:eastAsia="標楷體"/>
          <w:sz w:val="28"/>
        </w:rPr>
        <w:t>，</w:t>
      </w:r>
      <w:r>
        <w:rPr>
          <w:rFonts w:ascii="標楷體" w:hAnsi="標楷體" w:eastAsia="標楷體"/>
          <w:sz w:val="28"/>
        </w:rPr>
        <w:t>再於細胞膜上產生生化作用，經過第二傳訊物質再繼續作用，終而產生機體之生理反應，此種過程則為精氣互化，正如</w:t>
      </w:r>
      <w:r>
        <w:rPr>
          <w:rFonts w:eastAsia="標楷體" w:ascii="標楷體" w:hAnsi="標楷體"/>
          <w:sz w:val="28"/>
        </w:rPr>
        <w:t>&lt;&lt;</w:t>
      </w:r>
      <w:r>
        <w:rPr>
          <w:rFonts w:ascii="標楷體" w:hAnsi="標楷體" w:eastAsia="標楷體"/>
          <w:sz w:val="28"/>
        </w:rPr>
        <w:t>素問‧</w:t>
      </w:r>
      <w:r>
        <w:rPr>
          <w:rFonts w:ascii="標楷體" w:hAnsi="標楷體" w:cs="MS Sans Serif;Arial" w:eastAsia="標楷體"/>
          <w:sz w:val="28"/>
        </w:rPr>
        <w:t>陰陽應象大論</w:t>
      </w:r>
      <w:r>
        <w:rPr>
          <w:rFonts w:eastAsia="標楷體" w:ascii="標楷體" w:hAnsi="標楷體"/>
          <w:sz w:val="28"/>
        </w:rPr>
        <w:t>&gt;&gt;</w:t>
      </w:r>
      <w:r>
        <w:rPr>
          <w:rFonts w:ascii="標楷體" w:hAnsi="標楷體" w:eastAsia="標楷體"/>
          <w:sz w:val="28"/>
        </w:rPr>
        <w:t>所言：「</w:t>
      </w:r>
      <w:r>
        <w:rPr>
          <w:rFonts w:ascii="標楷體" w:hAnsi="標楷體" w:cs="MS Sans Serif;Arial" w:eastAsia="標楷體"/>
          <w:sz w:val="28"/>
        </w:rPr>
        <w:t>水為陰，火為陽，陽為氣，陰為味。味歸形，形歸氣，氣歸精，精歸化，精食氣，形食味，化生精，氣生形。味傷形，氣傷精，精化為氣，氣傷於味。</w:t>
      </w:r>
      <w:r>
        <w:rPr>
          <w:rFonts w:ascii="標楷體" w:hAnsi="標楷體" w:eastAsia="標楷體"/>
          <w:sz w:val="28"/>
        </w:rPr>
        <w:t>」的概念。</w:t>
      </w:r>
    </w:p>
    <w:p>
      <w:pPr>
        <w:pStyle w:val="Normal"/>
        <w:overflowPunct w:val="false"/>
        <w:autoSpaceDE w:val="false"/>
        <w:snapToGrid w:val="false"/>
        <w:jc w:val="both"/>
        <w:rPr/>
      </w:pPr>
      <w:r>
        <w:rPr>
          <w:rFonts w:eastAsia="標楷體" w:cs="標楷體" w:ascii="標楷體" w:hAnsi="標楷體"/>
          <w:b/>
          <w:sz w:val="28"/>
        </w:rPr>
        <w:t xml:space="preserve">   </w:t>
      </w:r>
      <w:r>
        <w:rPr>
          <w:rFonts w:eastAsia="標楷體" w:cs="標楷體" w:ascii="標楷體" w:hAnsi="標楷體"/>
          <w:sz w:val="28"/>
        </w:rPr>
        <w:t xml:space="preserve"> </w:t>
      </w:r>
      <w:r>
        <w:rPr>
          <w:rFonts w:ascii="標楷體" w:hAnsi="標楷體" w:cs="MS Sans Serif;Arial" w:eastAsia="標楷體"/>
          <w:sz w:val="28"/>
        </w:rPr>
        <w:t>前亦有論及</w:t>
      </w:r>
      <w:r>
        <w:rPr>
          <w:rFonts w:ascii="標楷體" w:hAnsi="標楷體" w:cs="MS Sans Serif;Arial" w:eastAsia="標楷體"/>
          <w:b/>
          <w:sz w:val="28"/>
        </w:rPr>
        <w:t>，</w:t>
      </w:r>
      <w:r>
        <w:rPr>
          <w:rFonts w:ascii="標楷體" w:hAnsi="標楷體" w:cs="MS Sans Serif;Arial" w:eastAsia="標楷體"/>
          <w:sz w:val="28"/>
        </w:rPr>
        <w:t>透過氣的運動，形成機體內生理功能的轉化，即稱為氣化，白蛋白在血中維持滲透壓的機轉，即在此升降運動，陰精與陽氣之間的互相轉化所完成的。</w:t>
      </w:r>
    </w:p>
    <w:p>
      <w:pPr>
        <w:pStyle w:val="Normal"/>
        <w:overflowPunct w:val="false"/>
        <w:autoSpaceDE w:val="false"/>
        <w:snapToGrid w:val="false"/>
        <w:jc w:val="both"/>
        <w:rPr>
          <w:rFonts w:ascii="標楷體" w:hAnsi="標楷體" w:eastAsia="標楷體"/>
          <w:b/>
          <w:b/>
          <w:sz w:val="28"/>
        </w:rPr>
      </w:pPr>
      <w:r>
        <w:rPr>
          <w:rFonts w:eastAsia="標楷體" w:cs="標楷體" w:ascii="標楷體" w:hAnsi="標楷體"/>
          <w:b/>
          <w:sz w:val="28"/>
        </w:rPr>
        <w:t xml:space="preserve">   </w:t>
      </w:r>
      <w:r>
        <w:rPr>
          <w:rFonts w:ascii="標楷體" w:hAnsi="標楷體" w:cs="MS Sans Serif;Arial" w:eastAsia="標楷體"/>
          <w:b/>
          <w:sz w:val="28"/>
        </w:rPr>
        <w:t>（二）臟腑和氣化的關係</w:t>
      </w:r>
    </w:p>
    <w:p>
      <w:pPr>
        <w:pStyle w:val="Normal"/>
        <w:tabs>
          <w:tab w:val="left" w:pos="3060" w:leader="none"/>
        </w:tabs>
        <w:snapToGrid w:val="false"/>
        <w:jc w:val="both"/>
        <w:rPr/>
      </w:pPr>
      <w:r>
        <w:rPr>
          <w:rFonts w:eastAsia="標楷體" w:cs="標楷體" w:ascii="標楷體" w:hAnsi="標楷體"/>
          <w:sz w:val="28"/>
        </w:rPr>
        <w:t xml:space="preserve">    </w:t>
      </w:r>
      <w:r>
        <w:rPr>
          <w:rFonts w:ascii="標楷體" w:hAnsi="標楷體" w:cs="MS Sans Serif;Arial" w:eastAsia="標楷體"/>
          <w:sz w:val="28"/>
        </w:rPr>
        <w:t>臟腑和氣化的關係除了以上所稱，脾升胃降、肝升肺降、心火腎水的觀念之外，對於精氣的來源，以及其間的傳變，亦有其另外一層次的關係。一般而言，精藏於腎，氣亦來自於腎，透過三焦的傳導作用，可作用於五臟六腑及經絡之間。除以上之外，脾對於精氣的化源，亦起著重要的作用，尤其是血中的白蛋白，其和脾的關係較為密切。白蛋白由肝臟所產生，肝屬消化係統，而消化系統歸於中醫所稱的脾藏象，故而在探討血中白蛋白的同時，對於脾藏象的功能是有必要加以了解的，如</w:t>
      </w:r>
      <w:r>
        <w:rPr>
          <w:rFonts w:ascii="標楷體" w:hAnsi="標楷體" w:cs="華康細圓體" w:eastAsia="標楷體"/>
          <w:sz w:val="28"/>
        </w:rPr>
        <w:t>脾主運化水榖，</w:t>
      </w:r>
      <w:r>
        <w:rPr>
          <w:rFonts w:ascii="標楷體" w:hAnsi="標楷體" w:cs="MS Sans Serif;Arial" w:eastAsia="標楷體"/>
          <w:sz w:val="28"/>
        </w:rPr>
        <w:t>血中白蛋白為經脾氣轉化所成的水榖精微，而此水榖精微又可經過脾主運化的作用，輸佈至全身，此輸佈至全身的路徑有兩條，一為前面所稱，「上歸於肺」，經過肺氣宣發肅降的功能，將水榖精微輸佈於全身，另一則是透過脾氣本身的作用，將水榖精微輸佈於全身，如</w:t>
      </w:r>
      <w:r>
        <w:rPr>
          <w:rFonts w:eastAsia="標楷體" w:cs="MS Sans Serif;Arial" w:ascii="標楷體" w:hAnsi="標楷體"/>
          <w:sz w:val="28"/>
        </w:rPr>
        <w:t>&lt;&lt;</w:t>
      </w:r>
      <w:r>
        <w:rPr>
          <w:rFonts w:ascii="標楷體" w:hAnsi="標楷體" w:cs="MS Sans Serif;Arial" w:eastAsia="標楷體"/>
          <w:sz w:val="28"/>
        </w:rPr>
        <w:t>素問</w:t>
      </w:r>
      <w:r>
        <w:rPr>
          <w:rFonts w:ascii="標楷體" w:hAnsi="標楷體" w:eastAsia="標楷體"/>
          <w:sz w:val="28"/>
        </w:rPr>
        <w:t>‧厥</w:t>
      </w:r>
      <w:r>
        <w:rPr>
          <w:rFonts w:ascii="標楷體" w:hAnsi="標楷體" w:cs="MS Sans Serif;Arial" w:eastAsia="標楷體"/>
          <w:sz w:val="28"/>
        </w:rPr>
        <w:t>論</w:t>
      </w:r>
      <w:r>
        <w:rPr>
          <w:rFonts w:eastAsia="標楷體" w:cs="MS Sans Serif;Arial" w:ascii="標楷體" w:hAnsi="標楷體"/>
          <w:sz w:val="28"/>
        </w:rPr>
        <w:t>&gt;&gt;</w:t>
      </w:r>
      <w:r>
        <w:rPr>
          <w:rFonts w:ascii="標楷體" w:hAnsi="標楷體" w:cs="MS Sans Serif;Arial" w:eastAsia="標楷體"/>
          <w:sz w:val="28"/>
        </w:rPr>
        <w:t>所言：「脾主為胃行其津液者也。」以上說明了</w:t>
      </w:r>
      <w:r>
        <w:rPr>
          <w:rFonts w:ascii="標楷體" w:hAnsi="標楷體" w:cs="華康細圓體" w:eastAsia="標楷體"/>
          <w:sz w:val="28"/>
        </w:rPr>
        <w:t>脾氣可推動及調節水液在人體中的代謝，</w:t>
      </w:r>
      <w:r>
        <w:rPr>
          <w:rFonts w:ascii="標楷體" w:hAnsi="標楷體" w:cs="MS Sans Serif;Arial" w:eastAsia="標楷體"/>
          <w:sz w:val="28"/>
        </w:rPr>
        <w:t>若脾氣虛弱，造成水榖精微的輸佈產生了缺失，則容易產生水腫。</w:t>
      </w:r>
    </w:p>
    <w:p>
      <w:pPr>
        <w:pStyle w:val="Normal"/>
        <w:tabs>
          <w:tab w:val="left" w:pos="3060" w:leader="none"/>
        </w:tabs>
        <w:snapToGrid w:val="false"/>
        <w:jc w:val="both"/>
        <w:rPr/>
      </w:pPr>
      <w:r>
        <w:rPr>
          <w:rFonts w:eastAsia="標楷體" w:cs="標楷體" w:ascii="標楷體" w:hAnsi="標楷體"/>
          <w:sz w:val="28"/>
        </w:rPr>
        <w:t xml:space="preserve">    </w:t>
      </w:r>
      <w:r>
        <w:rPr>
          <w:rFonts w:ascii="標楷體" w:hAnsi="標楷體" w:cs="MS Sans Serif;Arial" w:eastAsia="標楷體"/>
          <w:sz w:val="28"/>
        </w:rPr>
        <w:t>總之，脾失健運，對於血中白蛋白濃度的高低，有著一定的影響。脾失健運之後，造成血中白蛋白濃度的降低，因而造成水腫的病症，最主要和營養不良和肝硬化等病變相關。而腎病症候群之所以會造成低白蛋白血症，除了和腎失封藏有關之外，其亦可影響脾對水液代謝功能的調節，如</w:t>
      </w:r>
      <w:r>
        <w:rPr>
          <w:rFonts w:eastAsia="標楷體" w:cs="MS Sans Serif;Arial" w:ascii="標楷體" w:hAnsi="標楷體"/>
          <w:sz w:val="28"/>
        </w:rPr>
        <w:t>&lt;&lt;</w:t>
      </w:r>
      <w:r>
        <w:rPr>
          <w:rFonts w:ascii="標楷體" w:hAnsi="標楷體" w:cs="MS Sans Serif;Arial" w:eastAsia="標楷體"/>
          <w:sz w:val="28"/>
        </w:rPr>
        <w:t>素問</w:t>
      </w:r>
      <w:r>
        <w:rPr>
          <w:rFonts w:ascii="標楷體" w:hAnsi="標楷體" w:eastAsia="標楷體"/>
          <w:sz w:val="28"/>
        </w:rPr>
        <w:t>‧水熱穴</w:t>
      </w:r>
      <w:r>
        <w:rPr>
          <w:rFonts w:ascii="標楷體" w:hAnsi="標楷體" w:cs="MS Sans Serif;Arial" w:eastAsia="標楷體"/>
          <w:sz w:val="28"/>
        </w:rPr>
        <w:t>論</w:t>
      </w:r>
      <w:r>
        <w:rPr>
          <w:rFonts w:eastAsia="標楷體" w:cs="MS Sans Serif;Arial" w:ascii="標楷體" w:hAnsi="標楷體"/>
          <w:sz w:val="28"/>
        </w:rPr>
        <w:t>&gt;&gt;</w:t>
      </w:r>
      <w:r>
        <w:rPr>
          <w:rFonts w:ascii="標楷體" w:hAnsi="標楷體" w:cs="MS Sans Serif;Arial" w:eastAsia="標楷體"/>
          <w:sz w:val="28"/>
        </w:rPr>
        <w:t>云：「腎者，胃之關，關門不利，故聚水而從其類也。」腎的氣化蒸騰功能失司，造成脾胃功能的虛損，水液運化無權，終而形成水腫。此外，水腫形成之後，會反侮脾土，「脾惡濕」，終而又更惡化水腫的產生，除以上之外，脾臟自身的虛損，亦可惡化水腫的形成。</w:t>
      </w:r>
    </w:p>
    <w:p>
      <w:pPr>
        <w:pStyle w:val="Normal"/>
        <w:tabs>
          <w:tab w:val="left" w:pos="3060" w:leader="none"/>
        </w:tabs>
        <w:snapToGrid w:val="false"/>
        <w:jc w:val="both"/>
        <w:rPr>
          <w:rFonts w:ascii="標楷體" w:hAnsi="標楷體" w:eastAsia="標楷體"/>
          <w:b/>
          <w:b/>
          <w:sz w:val="28"/>
        </w:rPr>
      </w:pPr>
      <w:r>
        <w:rPr>
          <w:rFonts w:eastAsia="標楷體" w:cs="標楷體" w:ascii="標楷體" w:hAnsi="標楷體"/>
          <w:b/>
          <w:sz w:val="28"/>
        </w:rPr>
        <w:t xml:space="preserve">    </w:t>
      </w:r>
      <w:r>
        <w:rPr>
          <w:rFonts w:ascii="標楷體" w:hAnsi="標楷體" w:cs="MS Sans Serif;Arial" w:eastAsia="標楷體"/>
          <w:b/>
          <w:sz w:val="28"/>
        </w:rPr>
        <w:t>（三）水腫的形成和氣化的關係</w:t>
      </w:r>
    </w:p>
    <w:p>
      <w:pPr>
        <w:pStyle w:val="Normal"/>
        <w:tabs>
          <w:tab w:val="left" w:pos="3060" w:leader="none"/>
        </w:tabs>
        <w:snapToGrid w:val="false"/>
        <w:jc w:val="both"/>
        <w:rPr/>
      </w:pPr>
      <w:r>
        <w:rPr>
          <w:rFonts w:eastAsia="標楷體" w:cs="標楷體" w:ascii="標楷體" w:hAnsi="標楷體"/>
          <w:sz w:val="28"/>
        </w:rPr>
        <w:t xml:space="preserve">    </w:t>
      </w:r>
      <w:r>
        <w:rPr>
          <w:rFonts w:ascii="標楷體" w:hAnsi="標楷體" w:cs="MS Sans Serif;Arial" w:eastAsia="標楷體"/>
          <w:sz w:val="28"/>
        </w:rPr>
        <w:t>蛋白尿的成分最主要是白蛋白，是一種精微物質，即「陰精」，當其作用時即化為「陽氣」，物質動靜之間的作用，維持了體內環境的衡定。血中白蛋白平常以「陰精」的狀態行於脈管之中，其維持水液代謝平衡的功能則為「陽氣」，其間功能的轉換即形成了所謂精氣互化的觀念。</w:t>
      </w:r>
      <w:r>
        <w:rPr>
          <w:rFonts w:ascii="標楷體" w:hAnsi="標楷體" w:eastAsia="標楷體"/>
          <w:sz w:val="28"/>
        </w:rPr>
        <w:t>王冰在解釋</w:t>
      </w:r>
      <w:r>
        <w:rPr>
          <w:rFonts w:eastAsia="標楷體" w:ascii="標楷體" w:hAnsi="標楷體"/>
          <w:sz w:val="28"/>
        </w:rPr>
        <w:t>&lt;&lt;</w:t>
      </w:r>
      <w:r>
        <w:rPr>
          <w:rFonts w:ascii="標楷體" w:hAnsi="標楷體" w:eastAsia="標楷體"/>
          <w:sz w:val="28"/>
        </w:rPr>
        <w:t>素問‧湯液醪醴論</w:t>
      </w:r>
      <w:r>
        <w:rPr>
          <w:rFonts w:eastAsia="標楷體" w:ascii="標楷體" w:hAnsi="標楷體"/>
          <w:sz w:val="28"/>
        </w:rPr>
        <w:t>&gt;&gt;:</w:t>
      </w:r>
      <w:r>
        <w:rPr>
          <w:rFonts w:ascii="標楷體" w:hAnsi="標楷體" w:eastAsia="標楷體"/>
          <w:sz w:val="28"/>
        </w:rPr>
        <w:t>「五藏陽以竭也，津液充郭，其魄獨居，精孤於內，氣耗於外。」時，其解釋曰「陰精損削於內，陽氣耗損於外，則三焦閉溢，水道不通，水滿皮膚，身體否腫。」認為「陰精損削於內」，即造成水腫。此種說法證之以現代醫學，是有一定的軌跡可尋的，陰精即白蛋白，其若因腎絲球受損，流失於小便，血中白蛋白「損削於內」的情形，終而形成「水滿皮膚，身體痞腫」的結果。</w:t>
      </w:r>
      <w:r>
        <w:rPr>
          <w:rFonts w:ascii="標楷體" w:hAnsi="標楷體" w:cs="MS Sans Serif;Arial" w:eastAsia="標楷體"/>
          <w:sz w:val="28"/>
        </w:rPr>
        <w:t xml:space="preserve"> </w:t>
      </w:r>
    </w:p>
    <w:p>
      <w:pPr>
        <w:pStyle w:val="Normal"/>
        <w:overflowPunct w:val="false"/>
        <w:autoSpaceDE w:val="false"/>
        <w:snapToGrid w:val="false"/>
        <w:jc w:val="both"/>
        <w:rPr/>
      </w:pPr>
      <w:r>
        <w:rPr>
          <w:rFonts w:eastAsia="標楷體" w:cs="標楷體" w:ascii="標楷體" w:hAnsi="標楷體"/>
          <w:sz w:val="28"/>
        </w:rPr>
        <w:t xml:space="preserve">    </w:t>
      </w:r>
      <w:r>
        <w:rPr>
          <w:rFonts w:ascii="標楷體" w:hAnsi="標楷體" w:cs="華康細圓體" w:eastAsia="標楷體"/>
          <w:b/>
          <w:sz w:val="28"/>
        </w:rPr>
        <w:t>（四）血中白蛋白質低下與水腫的關係</w:t>
      </w:r>
    </w:p>
    <w:p>
      <w:pPr>
        <w:pStyle w:val="Normal"/>
        <w:tabs>
          <w:tab w:val="left" w:pos="3060" w:leader="none"/>
        </w:tabs>
        <w:snapToGrid w:val="false"/>
        <w:jc w:val="both"/>
        <w:rPr/>
      </w:pPr>
      <w:r>
        <w:rPr>
          <w:rFonts w:eastAsia="標楷體" w:cs="標楷體" w:ascii="標楷體" w:hAnsi="標楷體"/>
          <w:sz w:val="28"/>
        </w:rPr>
        <w:t xml:space="preserve">     </w:t>
      </w:r>
      <w:r>
        <w:rPr>
          <w:rFonts w:ascii="標楷體" w:hAnsi="標楷體" w:eastAsia="標楷體"/>
          <w:sz w:val="28"/>
        </w:rPr>
        <w:t>血中白蛋白值下降會使血管內膠體滲透壓減少，會致活腎素、血管收縮素、醛固酮（</w:t>
      </w:r>
      <w:r>
        <w:rPr>
          <w:rFonts w:eastAsia="標楷體" w:cs="Arial" w:ascii="標楷體" w:hAnsi="標楷體"/>
          <w:sz w:val="28"/>
        </w:rPr>
        <w:t>Renin-angiotensin-aldosterone</w:t>
      </w:r>
      <w:r>
        <w:rPr>
          <w:rFonts w:ascii="標楷體" w:hAnsi="標楷體" w:eastAsia="標楷體"/>
          <w:sz w:val="28"/>
        </w:rPr>
        <w:t>）及交感神經系統，並且抑制心房利鈉（</w:t>
      </w:r>
      <w:r>
        <w:rPr>
          <w:rFonts w:eastAsia="標楷體" w:cs="Arial" w:ascii="標楷體" w:hAnsi="標楷體"/>
          <w:sz w:val="28"/>
        </w:rPr>
        <w:t>A</w:t>
      </w:r>
      <w:r>
        <w:rPr>
          <w:rFonts w:eastAsia="標楷體" w:cs="Arial" w:ascii="標楷體" w:hAnsi="標楷體"/>
          <w:sz w:val="28"/>
        </w:rPr>
        <w:t xml:space="preserve">trial  natriuretic  </w:t>
      </w:r>
      <w:r>
        <w:rPr>
          <w:rFonts w:eastAsia="標楷體" w:cs="Arial" w:ascii="標楷體" w:hAnsi="標楷體"/>
          <w:sz w:val="28"/>
        </w:rPr>
        <w:t>peptide</w:t>
      </w:r>
      <w:r>
        <w:rPr>
          <w:rFonts w:ascii="標楷體" w:hAnsi="標楷體" w:eastAsia="標楷體"/>
          <w:sz w:val="28"/>
        </w:rPr>
        <w:t>）之釋放，以及促進</w:t>
      </w:r>
      <w:r>
        <w:rPr>
          <w:rFonts w:eastAsia="標楷體" w:cs="Arial" w:ascii="標楷體" w:hAnsi="標楷體"/>
          <w:sz w:val="28"/>
        </w:rPr>
        <w:t>Vasopressin</w:t>
      </w:r>
      <w:r>
        <w:rPr>
          <w:rFonts w:ascii="標楷體" w:hAnsi="標楷體" w:cs="Arial" w:eastAsia="標楷體"/>
          <w:sz w:val="28"/>
        </w:rPr>
        <w:t>（</w:t>
      </w:r>
      <w:r>
        <w:rPr>
          <w:rFonts w:eastAsia="標楷體" w:cs="Arial" w:ascii="標楷體" w:hAnsi="標楷體"/>
          <w:sz w:val="28"/>
        </w:rPr>
        <w:t>Antidiuretic hormone</w:t>
      </w:r>
      <w:r>
        <w:rPr>
          <w:rFonts w:ascii="標楷體" w:hAnsi="標楷體" w:cs="Arial" w:eastAsia="標楷體"/>
          <w:sz w:val="28"/>
        </w:rPr>
        <w:t>）</w:t>
      </w:r>
      <w:r>
        <w:rPr>
          <w:rFonts w:ascii="標楷體" w:hAnsi="標楷體" w:eastAsia="標楷體"/>
          <w:sz w:val="28"/>
        </w:rPr>
        <w:t xml:space="preserve"> </w:t>
      </w:r>
      <w:r>
        <w:rPr>
          <w:rFonts w:ascii="標楷體" w:hAnsi="標楷體" w:eastAsia="標楷體"/>
          <w:sz w:val="28"/>
        </w:rPr>
        <w:t>之釋放，終而造成鈉、水滯留，形成水腫。白蛋白由肝臟細胞合成，因此肝硬化造成腹水及水腫和白蛋白的製造有關，營養不良所造成的化源不足也是形成水腫的原因之一。而腎病症候群形成水腫的機理則為腎絲球受損，造成白蛋白流失，導致血中白蛋白質下降，膠體滲透壓亦下降，終而形成水腫。總結以上對於氣化與水液代謝之間的關係，其形成簡要序列如下：</w:t>
      </w:r>
    </w:p>
    <w:p>
      <w:pPr>
        <w:pStyle w:val="Normal"/>
        <w:snapToGrid w:val="false"/>
        <w:jc w:val="center"/>
        <w:rPr>
          <w:rFonts w:ascii="標楷體" w:hAnsi="標楷體" w:eastAsia="標楷體" w:cs="華康細圓體"/>
        </w:rPr>
      </w:pPr>
      <w:r>
        <w:rPr>
          <w:rFonts w:ascii="標楷體" w:hAnsi="標楷體" w:cs="華康細圓體" w:eastAsia="標楷體"/>
        </w:rPr>
        <w:t>精不化氣</w:t>
      </w:r>
    </w:p>
    <w:p>
      <w:pPr>
        <w:pStyle w:val="Normal"/>
        <w:snapToGrid w:val="false"/>
        <w:jc w:val="center"/>
        <w:rPr/>
      </w:pPr>
      <w:r>
        <w:rPr>
          <w:rFonts w:ascii="標楷體" w:hAnsi="標楷體" w:cs="華康細圓體" w:eastAsia="標楷體"/>
          <w:sz w:val="28"/>
        </w:rPr>
        <w:t>腎失封藏</w:t>
      </w:r>
      <w:r>
        <w:rPr>
          <w:rFonts w:ascii="Monotype Sorts;Symbol" w:hAnsi="Monotype Sorts;Symbol" w:cs="Monotype Sorts;Symbol" w:eastAsia="Monotype Sorts;Symbol"/>
          <w:sz w:val="28"/>
        </w:rPr>
        <w:t></w:t>
      </w:r>
      <w:r>
        <w:rPr>
          <w:rFonts w:ascii="標楷體" w:hAnsi="標楷體" w:cs="華康細圓體" w:eastAsia="標楷體"/>
          <w:sz w:val="28"/>
        </w:rPr>
        <w:t>精微物質流失</w:t>
      </w:r>
      <w:r>
        <w:rPr>
          <w:rFonts w:ascii="Monotype Sorts;Symbol" w:hAnsi="Monotype Sorts;Symbol" w:cs="Monotype Sorts;Symbol" w:eastAsia="Monotype Sorts;Symbol"/>
          <w:sz w:val="28"/>
        </w:rPr>
        <w:t></w:t>
      </w:r>
      <w:r>
        <w:rPr>
          <w:rFonts w:ascii="標楷體" w:hAnsi="標楷體" w:cs="華康細圓體" w:eastAsia="標楷體"/>
          <w:sz w:val="28"/>
        </w:rPr>
        <w:t>三焦閉溢</w:t>
      </w:r>
      <w:r>
        <w:rPr>
          <w:rFonts w:ascii="Monotype Sorts;Symbol" w:hAnsi="Monotype Sorts;Symbol" w:cs="Monotype Sorts;Symbol" w:eastAsia="Monotype Sorts;Symbol"/>
          <w:sz w:val="28"/>
        </w:rPr>
        <w:t></w:t>
      </w:r>
      <w:r>
        <w:rPr>
          <w:rFonts w:ascii="標楷體" w:hAnsi="標楷體" w:cs="華康細圓體" w:eastAsia="標楷體"/>
          <w:sz w:val="28"/>
        </w:rPr>
        <w:t>水道不通</w:t>
      </w:r>
      <w:r>
        <w:rPr>
          <w:rFonts w:ascii="Monotype Sorts;Symbol" w:hAnsi="Monotype Sorts;Symbol" w:cs="Monotype Sorts;Symbol" w:eastAsia="Monotype Sorts;Symbol"/>
          <w:sz w:val="28"/>
        </w:rPr>
        <w:t></w:t>
      </w:r>
      <w:r>
        <w:rPr>
          <w:rFonts w:ascii="標楷體" w:hAnsi="標楷體" w:cs="華康細圓體" w:eastAsia="標楷體"/>
          <w:sz w:val="28"/>
        </w:rPr>
        <w:t>水腫</w:t>
      </w:r>
    </w:p>
    <w:p>
      <w:pPr>
        <w:pStyle w:val="Normal"/>
        <w:snapToGrid w:val="false"/>
        <w:jc w:val="both"/>
        <w:rPr>
          <w:rFonts w:cs="華康細圓體"/>
        </w:rPr>
      </w:pPr>
      <w:r>
        <w:rPr>
          <w:rFonts w:eastAsia="標楷體" w:cs="標楷體" w:ascii="標楷體" w:hAnsi="標楷體"/>
          <w:sz w:val="28"/>
        </w:rPr>
        <w:t xml:space="preserve">                                          </w:t>
      </w:r>
    </w:p>
    <w:p>
      <w:pPr>
        <w:pStyle w:val="Normal"/>
        <w:tabs>
          <w:tab w:val="left" w:pos="3060" w:leader="none"/>
        </w:tabs>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cs="MS Sans Serif;Arial" w:eastAsia="標楷體"/>
          <w:sz w:val="28"/>
        </w:rPr>
        <w:t>血管的通路可比擬成三焦的一部分，（詳見於三焦篇），血中白蛋白之作用則可比之於精氣互化的作用，若精足則氣化得行，故三焦決瀆可行，水道得而通利。反之，血中白蛋白降低，精不足則氣不化，三焦決瀆失司，水道不利，故而形成水腫。</w:t>
      </w:r>
    </w:p>
    <w:p>
      <w:pPr>
        <w:pStyle w:val="Normal"/>
        <w:tabs>
          <w:tab w:val="left" w:pos="3060" w:leader="none"/>
        </w:tabs>
        <w:snapToGrid w:val="false"/>
        <w:jc w:val="both"/>
        <w:rPr>
          <w:rFonts w:ascii="標楷體" w:hAnsi="標楷體" w:eastAsia="標楷體" w:cs="MS Sans Serif;Arial"/>
          <w:sz w:val="28"/>
        </w:rPr>
      </w:pPr>
      <w:r>
        <w:rPr>
          <w:rFonts w:eastAsia="標楷體" w:cs="MS Sans Serif;Arial" w:ascii="標楷體" w:hAnsi="標楷體"/>
          <w:sz w:val="28"/>
        </w:rPr>
      </w:r>
      <w:r>
        <w:br w:type="page"/>
      </w:r>
    </w:p>
    <w:p>
      <w:pPr>
        <w:pStyle w:val="Normal"/>
        <w:tabs>
          <w:tab w:val="left" w:pos="3060" w:leader="none"/>
        </w:tabs>
        <w:snapToGrid w:val="false"/>
        <w:jc w:val="both"/>
        <w:rPr>
          <w:rFonts w:ascii="華康細圓體" w:hAnsi="華康細圓體" w:eastAsia="華康細圓體" w:cs="MS Sans Serif;Arial"/>
          <w:sz w:val="28"/>
        </w:rPr>
      </w:pPr>
      <w:r>
        <w:rPr>
          <w:rFonts w:eastAsia="華康細圓體" w:cs="MS Sans Serif;Arial" w:ascii="華康細圓體" w:hAnsi="華康細圓體"/>
          <w:sz w:val="28"/>
        </w:rPr>
      </w:r>
    </w:p>
    <w:p>
      <w:pPr>
        <w:pStyle w:val="Normal"/>
        <w:tabs>
          <w:tab w:val="left" w:pos="3060" w:leader="none"/>
        </w:tabs>
        <w:snapToGrid w:val="false"/>
        <w:jc w:val="center"/>
        <w:rPr>
          <w:rFonts w:ascii="標楷體" w:hAnsi="標楷體" w:eastAsia="標楷體" w:cs="MS Sans Serif;Arial"/>
          <w:b/>
          <w:b/>
          <w:sz w:val="32"/>
        </w:rPr>
      </w:pPr>
      <w:r>
        <w:rPr>
          <w:rFonts w:ascii="標楷體" w:hAnsi="標楷體" w:cs="MS Sans Serif;Arial" w:eastAsia="標楷體"/>
          <w:b/>
          <w:sz w:val="32"/>
        </w:rPr>
        <w:t>第三章  蛋白尿的中醫觀</w:t>
      </w:r>
    </w:p>
    <w:p>
      <w:pPr>
        <w:pStyle w:val="Normal"/>
        <w:snapToGrid w:val="false"/>
        <w:jc w:val="both"/>
        <w:rPr>
          <w:rFonts w:ascii="標楷體" w:hAnsi="標楷體" w:eastAsia="標楷體"/>
        </w:rPr>
      </w:pPr>
      <w:r>
        <w:rPr>
          <w:rFonts w:eastAsia="標楷體" w:cs="標楷體" w:ascii="標楷體" w:hAnsi="標楷體"/>
        </w:rPr>
        <w:t xml:space="preserve">     </w:t>
      </w:r>
    </w:p>
    <w:p>
      <w:pPr>
        <w:pStyle w:val="Normal"/>
        <w:snapToGrid w:val="false"/>
        <w:jc w:val="both"/>
        <w:rPr>
          <w:rFonts w:ascii="標楷體" w:hAnsi="標楷體" w:eastAsia="標楷體"/>
          <w:sz w:val="28"/>
        </w:rPr>
      </w:pPr>
      <w:r>
        <w:rPr>
          <w:rFonts w:eastAsia="標楷體" w:cs="標楷體" w:ascii="標楷體" w:hAnsi="標楷體"/>
        </w:rPr>
        <w:t xml:space="preserve">    </w:t>
      </w:r>
      <w:r>
        <w:rPr>
          <w:rFonts w:ascii="標楷體" w:hAnsi="標楷體" w:eastAsia="標楷體"/>
          <w:sz w:val="28"/>
        </w:rPr>
        <w:t>蛋白尿之定義為一天內尿中蛋白質的量大於</w:t>
      </w:r>
      <w:r>
        <w:rPr>
          <w:rFonts w:eastAsia="標楷體" w:ascii="標楷體" w:hAnsi="標楷體"/>
          <w:sz w:val="28"/>
        </w:rPr>
        <w:t>150mg</w:t>
      </w:r>
      <w:r>
        <w:rPr>
          <w:rFonts w:ascii="標楷體" w:hAnsi="標楷體" w:eastAsia="標楷體"/>
          <w:sz w:val="28"/>
        </w:rPr>
        <w:t>，試紙檢測結果若是（</w:t>
      </w:r>
      <w:r>
        <w:rPr>
          <w:rFonts w:eastAsia="標楷體" w:ascii="標楷體" w:hAnsi="標楷體"/>
          <w:sz w:val="28"/>
        </w:rPr>
        <w:t>+</w:t>
      </w:r>
      <w:r>
        <w:rPr>
          <w:rFonts w:ascii="標楷體" w:hAnsi="標楷體" w:eastAsia="標楷體"/>
          <w:sz w:val="28"/>
        </w:rPr>
        <w:t>）代表蛋白尿之濃度為</w:t>
      </w:r>
      <w:r>
        <w:rPr>
          <w:rFonts w:eastAsia="標楷體" w:ascii="標楷體" w:hAnsi="標楷體"/>
          <w:sz w:val="28"/>
        </w:rPr>
        <w:t>30mg/dL</w:t>
      </w:r>
      <w:r>
        <w:rPr>
          <w:rFonts w:ascii="標楷體" w:hAnsi="標楷體" w:eastAsia="標楷體"/>
          <w:sz w:val="28"/>
        </w:rPr>
        <w:t>（每天約流失</w:t>
      </w:r>
      <w:r>
        <w:rPr>
          <w:rFonts w:eastAsia="標楷體" w:ascii="標楷體" w:hAnsi="標楷體"/>
          <w:sz w:val="28"/>
        </w:rPr>
        <w:t>300</w:t>
      </w:r>
      <w:r>
        <w:rPr>
          <w:rFonts w:eastAsia="標楷體" w:ascii="標楷體" w:hAnsi="標楷體"/>
          <w:sz w:val="28"/>
        </w:rPr>
        <w:t>mg</w:t>
      </w:r>
      <w:r>
        <w:rPr>
          <w:rFonts w:ascii="標楷體" w:hAnsi="標楷體" w:eastAsia="標楷體"/>
          <w:sz w:val="28"/>
        </w:rPr>
        <w:t>）、（</w:t>
      </w:r>
      <w:r>
        <w:rPr>
          <w:rFonts w:eastAsia="標楷體" w:ascii="標楷體" w:hAnsi="標楷體"/>
          <w:sz w:val="28"/>
        </w:rPr>
        <w:t>++</w:t>
      </w:r>
      <w:r>
        <w:rPr>
          <w:rFonts w:ascii="標楷體" w:hAnsi="標楷體" w:eastAsia="標楷體"/>
          <w:sz w:val="28"/>
        </w:rPr>
        <w:t>）代表蛋白尿之濃度為</w:t>
      </w:r>
      <w:r>
        <w:rPr>
          <w:rFonts w:eastAsia="標楷體" w:ascii="標楷體" w:hAnsi="標楷體"/>
          <w:sz w:val="28"/>
        </w:rPr>
        <w:t>100 mg/dL</w:t>
      </w:r>
      <w:r>
        <w:rPr>
          <w:rFonts w:ascii="標楷體" w:hAnsi="標楷體" w:eastAsia="標楷體"/>
          <w:sz w:val="28"/>
        </w:rPr>
        <w:t>（每天約流失</w:t>
      </w:r>
      <w:r>
        <w:rPr>
          <w:rFonts w:eastAsia="標楷體" w:ascii="標楷體" w:hAnsi="標楷體"/>
          <w:sz w:val="28"/>
        </w:rPr>
        <w:t>1000</w:t>
      </w:r>
      <w:r>
        <w:rPr>
          <w:rFonts w:eastAsia="標楷體" w:ascii="標楷體" w:hAnsi="標楷體"/>
          <w:sz w:val="28"/>
        </w:rPr>
        <w:t>mg</w:t>
      </w:r>
      <w:r>
        <w:rPr>
          <w:rFonts w:ascii="標楷體" w:hAnsi="標楷體" w:eastAsia="標楷體"/>
          <w:sz w:val="28"/>
        </w:rPr>
        <w:t>）、（</w:t>
      </w:r>
      <w:r>
        <w:rPr>
          <w:rFonts w:eastAsia="標楷體" w:ascii="標楷體" w:hAnsi="標楷體"/>
          <w:sz w:val="28"/>
        </w:rPr>
        <w:t>+++</w:t>
      </w:r>
      <w:r>
        <w:rPr>
          <w:rFonts w:ascii="標楷體" w:hAnsi="標楷體" w:eastAsia="標楷體"/>
          <w:sz w:val="28"/>
        </w:rPr>
        <w:t>）代表蛋白尿之濃度為為</w:t>
      </w:r>
      <w:r>
        <w:rPr>
          <w:rFonts w:eastAsia="標楷體" w:ascii="標楷體" w:hAnsi="標楷體"/>
          <w:sz w:val="28"/>
        </w:rPr>
        <w:t>300mg/dL</w:t>
      </w:r>
      <w:r>
        <w:rPr>
          <w:rFonts w:ascii="標楷體" w:hAnsi="標楷體" w:eastAsia="標楷體"/>
          <w:sz w:val="28"/>
        </w:rPr>
        <w:t>（每天約流失</w:t>
      </w:r>
      <w:r>
        <w:rPr>
          <w:rFonts w:eastAsia="標楷體" w:ascii="標楷體" w:hAnsi="標楷體"/>
          <w:sz w:val="28"/>
        </w:rPr>
        <w:t>3000</w:t>
      </w:r>
      <w:r>
        <w:rPr>
          <w:rFonts w:eastAsia="標楷體" w:ascii="標楷體" w:hAnsi="標楷體"/>
          <w:sz w:val="28"/>
        </w:rPr>
        <w:t>mg</w:t>
      </w:r>
      <w:r>
        <w:rPr>
          <w:rFonts w:ascii="標楷體" w:hAnsi="標楷體" w:eastAsia="標楷體"/>
          <w:sz w:val="28"/>
        </w:rPr>
        <w:t>）、（</w:t>
      </w:r>
      <w:r>
        <w:rPr>
          <w:rFonts w:eastAsia="標楷體" w:ascii="標楷體" w:hAnsi="標楷體"/>
          <w:sz w:val="28"/>
        </w:rPr>
        <w:t>++++</w:t>
      </w:r>
      <w:r>
        <w:rPr>
          <w:rFonts w:ascii="標楷體" w:hAnsi="標楷體" w:eastAsia="標楷體"/>
          <w:sz w:val="28"/>
        </w:rPr>
        <w:t>）則代表蛋白尿為</w:t>
      </w:r>
      <w:r>
        <w:rPr>
          <w:rFonts w:eastAsia="標楷體" w:ascii="標楷體" w:hAnsi="標楷體"/>
          <w:sz w:val="28"/>
        </w:rPr>
        <w:t>1000 mg/dL</w:t>
      </w:r>
      <w:r>
        <w:rPr>
          <w:rFonts w:ascii="標楷體" w:hAnsi="標楷體" w:eastAsia="標楷體"/>
          <w:sz w:val="28"/>
        </w:rPr>
        <w:t>（每天約流失</w:t>
      </w:r>
      <w:r>
        <w:rPr>
          <w:rFonts w:eastAsia="標楷體" w:ascii="標楷體" w:hAnsi="標楷體"/>
          <w:sz w:val="28"/>
        </w:rPr>
        <w:t>10000</w:t>
      </w:r>
      <w:r>
        <w:rPr>
          <w:rFonts w:eastAsia="標楷體" w:ascii="標楷體" w:hAnsi="標楷體"/>
          <w:sz w:val="28"/>
        </w:rPr>
        <w:t>mg</w:t>
      </w:r>
      <w:r>
        <w:rPr>
          <w:rFonts w:ascii="標楷體" w:hAnsi="標楷體" w:eastAsia="標楷體"/>
          <w:sz w:val="28"/>
        </w:rPr>
        <w:t>）。雖然檢測蛋白尿非常方便，但其影響因素亦多，例如</w:t>
      </w:r>
      <w:r>
        <w:rPr>
          <w:rFonts w:eastAsia="標楷體" w:ascii="標楷體" w:hAnsi="標楷體"/>
          <w:sz w:val="28"/>
        </w:rPr>
        <w:t>:</w:t>
      </w:r>
      <w:r>
        <w:rPr>
          <w:rFonts w:ascii="標楷體" w:hAnsi="標楷體" w:eastAsia="標楷體"/>
          <w:sz w:val="28"/>
        </w:rPr>
        <w:t>飲食所造成的高度鹼性尿或喝水太少造成極濃縮尿、大量血尿、藥物、以及喝水太多造成的尿稀釋，甚至試紙的品質以及人員的判讀，均會影響檢測的結果。</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蛋白尿一般可為良性</w:t>
      </w:r>
      <w:r>
        <w:rPr>
          <w:rFonts w:eastAsia="標楷體" w:ascii="標楷體" w:hAnsi="標楷體"/>
          <w:sz w:val="28"/>
        </w:rPr>
        <w:t>:</w:t>
      </w:r>
      <w:r>
        <w:rPr>
          <w:rFonts w:ascii="標楷體" w:hAnsi="標楷體" w:eastAsia="標楷體"/>
          <w:sz w:val="28"/>
        </w:rPr>
        <w:t>包括由發燒、運動、壓力、服用止痛藥、蛋白質攝取過多所造成的功能性蛋白尿，只有短暫時間出現的暫時性蛋白尿、和體位有關的姿勢性蛋白尿、以及反反覆覆出現的間歇性蛋白尿。另外，病理性的蛋白尿則和腎臟通透性大小以及電性的改變有關，包括了許多腎臟疾病。根據以上，若發現了蛋白尿，首先要考慮其影響因素，其次判斷其是否為良性，不可因為只發現一次，就當作腎炎治療。</w:t>
      </w:r>
    </w:p>
    <w:p>
      <w:pPr>
        <w:pStyle w:val="Normal"/>
        <w:snapToGrid w:val="false"/>
        <w:ind w:firstLine="555"/>
        <w:jc w:val="both"/>
        <w:rPr>
          <w:rFonts w:ascii="標楷體" w:hAnsi="標楷體" w:eastAsia="標楷體"/>
          <w:sz w:val="28"/>
        </w:rPr>
      </w:pPr>
      <w:r>
        <w:rPr>
          <w:rFonts w:ascii="標楷體" w:hAnsi="標楷體" w:eastAsia="標楷體"/>
          <w:sz w:val="28"/>
        </w:rPr>
        <w:t>檢測蛋白尿的結果若時常為陽性，排除以上因素之後，有必要進一步做二十四小時蛋白尿的檢查，甚至免疫法的檢測，以確定是否有腎的問題，有必要的話，作腎切片檢查，以做最後的確診。</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蛋白尿常常伴隨尿中圓柱體來判斷其結果，玻璃樣圓柱體有可能是發燒、運動所造成</w:t>
      </w:r>
      <w:r>
        <w:rPr>
          <w:rFonts w:eastAsia="標楷體" w:ascii="標楷體" w:hAnsi="標楷體"/>
          <w:sz w:val="28"/>
        </w:rPr>
        <w:t>;</w:t>
      </w:r>
      <w:r>
        <w:rPr>
          <w:rFonts w:ascii="標楷體" w:hAnsi="標楷體" w:eastAsia="標楷體"/>
          <w:sz w:val="28"/>
        </w:rPr>
        <w:t>若伴有紅血球圓柱體則表示為腎炎</w:t>
      </w:r>
      <w:r>
        <w:rPr>
          <w:rFonts w:eastAsia="標楷體" w:ascii="標楷體" w:hAnsi="標楷體"/>
          <w:sz w:val="28"/>
        </w:rPr>
        <w:t>;</w:t>
      </w:r>
      <w:r>
        <w:rPr>
          <w:rFonts w:ascii="標楷體" w:hAnsi="標楷體" w:eastAsia="標楷體"/>
          <w:sz w:val="28"/>
        </w:rPr>
        <w:t>若圓柱體為白血球則有可能是腎盂炎、間質性腎炎</w:t>
      </w:r>
      <w:r>
        <w:rPr>
          <w:rFonts w:eastAsia="標楷體" w:ascii="標楷體" w:hAnsi="標楷體"/>
          <w:sz w:val="28"/>
        </w:rPr>
        <w:t>;</w:t>
      </w:r>
      <w:r>
        <w:rPr>
          <w:rFonts w:ascii="標楷體" w:hAnsi="標楷體" w:eastAsia="標楷體"/>
          <w:sz w:val="28"/>
        </w:rPr>
        <w:t>臘樣圓柱則表示有慢性腎衰竭的可能</w:t>
      </w:r>
      <w:r>
        <w:rPr>
          <w:rFonts w:eastAsia="標楷體" w:ascii="標楷體" w:hAnsi="標楷體"/>
          <w:sz w:val="28"/>
        </w:rPr>
        <w:t>;</w:t>
      </w:r>
      <w:r>
        <w:rPr>
          <w:rFonts w:ascii="標楷體" w:hAnsi="標楷體" w:eastAsia="標楷體"/>
          <w:sz w:val="28"/>
        </w:rPr>
        <w:t>脂肪圓柱最有可能的原因是腎病症候群。</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蛋白尿雖然是良性，但也要好好追蹤，也許是勞累、壓力大，身體健康出現毛病的一項警訊，不可掉以輕心。中醫認為蛋白尿是精微物質從小便流失，因此大都從健脾固腎、益氣養陰著手治療調理，甚至有外邪入侵的話則袪風清熱利濕著手。</w:t>
      </w:r>
    </w:p>
    <w:p>
      <w:pPr>
        <w:pStyle w:val="Normal"/>
        <w:snapToGrid w:val="false"/>
        <w:jc w:val="both"/>
        <w:rPr>
          <w:rFonts w:ascii="標楷體" w:hAnsi="標楷體" w:eastAsia="標楷體"/>
        </w:rPr>
      </w:pPr>
      <w:r>
        <w:rPr>
          <w:rFonts w:eastAsia="標楷體" w:cs="標楷體" w:ascii="標楷體" w:hAnsi="標楷體"/>
          <w:sz w:val="28"/>
        </w:rPr>
        <w:t xml:space="preserve">    </w:t>
      </w:r>
      <w:r>
        <w:rPr>
          <w:rFonts w:ascii="標楷體" w:hAnsi="標楷體" w:eastAsia="標楷體"/>
          <w:sz w:val="28"/>
        </w:rPr>
        <w:t>蛋白尿常常會和小便白濁、多泡沫、或小便遺精聯想在一起，這是不正確的觀念，有必要進一步釐清。其間雖有一定之相關，但不一定對等。總之，在治療蛋白尿之前，對其做詳細的評估是有必要的。</w:t>
      </w:r>
    </w:p>
    <w:p>
      <w:pPr>
        <w:pStyle w:val="Normal"/>
        <w:snapToGrid w:val="false"/>
        <w:ind w:firstLine="555"/>
        <w:jc w:val="both"/>
        <w:rPr>
          <w:rFonts w:ascii="標楷體" w:hAnsi="標楷體" w:eastAsia="標楷體"/>
          <w:sz w:val="28"/>
        </w:rPr>
      </w:pPr>
      <w:r>
        <w:rPr>
          <w:rFonts w:ascii="標楷體" w:hAnsi="標楷體" w:eastAsia="標楷體"/>
          <w:sz w:val="28"/>
        </w:rPr>
        <w:t>腎病造成的蛋白尿最主要是由於腎絲球受損，而腎絲球破壞的機轉，主要是免疫反應造成抗體沉澱於腎絲球，破壞其內之結構，與抗原形成免疫複合體，透過補體與血小板等破壞的作用使腎絲球受損，造成蛋白尿的流失。中醫各種外感疾患均可能為本病提供抗原，與抗體結合之後引起臨床症狀，因此急性期可由袪風濕兼活血著手，慢性期的調理則以益氣養陰、固攝著手。濕熱壅滯於腎，造成腎失封藏，因而精微流失，故蛋白尿的治療亦當注意固腎。</w:t>
      </w:r>
    </w:p>
    <w:p>
      <w:pPr>
        <w:pStyle w:val="Normal"/>
        <w:snapToGrid w:val="false"/>
        <w:ind w:firstLine="555"/>
        <w:jc w:val="both"/>
        <w:rPr>
          <w:rFonts w:ascii="標楷體" w:hAnsi="標楷體" w:eastAsia="標楷體"/>
          <w:sz w:val="28"/>
        </w:rPr>
      </w:pPr>
      <w:r>
        <w:rPr>
          <w:rFonts w:ascii="標楷體" w:hAnsi="標楷體" w:eastAsia="標楷體"/>
          <w:sz w:val="28"/>
        </w:rPr>
        <w:t>治療腎病蛋白尿首重袪風、清熱利濕，袪風可用越婢湯合銀翹散，清熱利濕較輕的用藥為車錢子、薏苡仁、滑石，其次為蒲公英、金銀花，再次為連翹、梔子、黃芩、黃連，最後可以清熱解毒之土茯苓、半枝連、白花蛇舌草、七葉一枝花。方劑可使用五味消毒飲、八正散加減。李梴於其著作</w:t>
      </w:r>
      <w:r>
        <w:rPr>
          <w:rFonts w:eastAsia="標楷體" w:ascii="標楷體" w:hAnsi="標楷體"/>
          <w:sz w:val="28"/>
        </w:rPr>
        <w:t>&lt;&lt;</w:t>
      </w:r>
      <w:r>
        <w:rPr>
          <w:rFonts w:ascii="標楷體" w:hAnsi="標楷體" w:eastAsia="標楷體"/>
          <w:sz w:val="28"/>
        </w:rPr>
        <w:t>醫學入門</w:t>
      </w:r>
      <w:r>
        <w:rPr>
          <w:rFonts w:eastAsia="標楷體" w:ascii="標楷體" w:hAnsi="標楷體"/>
          <w:sz w:val="28"/>
        </w:rPr>
        <w:t>&gt;&gt;</w:t>
      </w:r>
      <w:r>
        <w:rPr>
          <w:rFonts w:ascii="標楷體" w:hAnsi="標楷體" w:eastAsia="標楷體"/>
          <w:sz w:val="28"/>
        </w:rPr>
        <w:t>稱：「陰水身涼大便利，</w:t>
      </w:r>
      <w:r>
        <w:rPr>
          <w:rFonts w:ascii="標楷體" w:hAnsi="標楷體" w:eastAsia="標楷體"/>
          <w:sz w:val="28"/>
        </w:rPr>
        <w:t>……</w:t>
      </w:r>
      <w:r>
        <w:rPr>
          <w:rFonts w:ascii="標楷體" w:hAnsi="標楷體" w:eastAsia="標楷體"/>
          <w:sz w:val="28"/>
        </w:rPr>
        <w:t>夾溼熱者，中滿分消湯。」亦可參考使用，其中以知母、黃芩、黃連、豬苓、茯苓、澤瀉清熱利濕，輔以砂仁、半夏、厚朴、枳實、陳皮行氣利水。</w:t>
      </w:r>
    </w:p>
    <w:p>
      <w:pPr>
        <w:pStyle w:val="Normal"/>
        <w:snapToGrid w:val="false"/>
        <w:ind w:firstLine="555"/>
        <w:jc w:val="both"/>
        <w:rPr/>
      </w:pPr>
      <w:r>
        <w:rPr>
          <w:rFonts w:ascii="標楷體" w:hAnsi="標楷體" w:eastAsia="標楷體"/>
          <w:sz w:val="28"/>
        </w:rPr>
        <w:t>關於活血化瘀用藥可以較輕的丹參、川芎，其次桃仁、紅花，再次為三稜、莪朮、到最強的水蛭、虻虫，此外以全蠍、地龍活血化瘀、搜風通絡、利濕。活血化瘀藥於急性期或慢性期皆可使用。益氣養陰可以黃耆、黨參、旱蓮草、女貞子等，方劑可使用參苓白朮散合知柏地黃湯加減使用。蛋白尿的流失亦和腎失封藏有關，故補腎藥如杜仲、淫羊藿、菟絲子、補骨脂的使用亦屬重要。最後才以收濇藥如金櫻子、芡實、益智仁、龍骨、牡蠣收功，正如</w:t>
      </w:r>
      <w:r>
        <w:rPr>
          <w:rFonts w:eastAsia="標楷體" w:ascii="標楷體" w:hAnsi="標楷體"/>
          <w:sz w:val="28"/>
        </w:rPr>
        <w:t>&lt;&lt;</w:t>
      </w:r>
      <w:r>
        <w:rPr>
          <w:rFonts w:ascii="標楷體" w:hAnsi="標楷體" w:eastAsia="標楷體"/>
          <w:sz w:val="28"/>
        </w:rPr>
        <w:t>傷寒論</w:t>
      </w:r>
      <w:r>
        <w:rPr>
          <w:rFonts w:eastAsia="標楷體" w:ascii="標楷體" w:hAnsi="標楷體"/>
          <w:sz w:val="28"/>
        </w:rPr>
        <w:t>&gt;&gt;</w:t>
      </w:r>
      <w:r>
        <w:rPr>
          <w:rFonts w:ascii="標楷體" w:hAnsi="標楷體" w:eastAsia="標楷體"/>
          <w:sz w:val="28"/>
        </w:rPr>
        <w:t>所言：「</w:t>
      </w:r>
      <w:r>
        <w:rPr>
          <w:rFonts w:ascii="標楷體" w:hAnsi="標楷體" w:cs="MS Sans Serif;Arial" w:eastAsia="標楷體"/>
          <w:sz w:val="28"/>
        </w:rPr>
        <w:t>傷寒服湯藥，下利不止，心下痞硬，服瀉心湯已，復以他藥下之，利不止，醫以理中與之，利益甚；理中者，理中焦，此利在下焦，赤石脂禹餘糧湯主之，復利不止者，當利其小便。</w:t>
      </w:r>
      <w:r>
        <w:rPr>
          <w:rFonts w:ascii="標楷體" w:hAnsi="標楷體" w:eastAsia="標楷體"/>
          <w:sz w:val="28"/>
        </w:rPr>
        <w:t>」</w:t>
      </w:r>
    </w:p>
    <w:p>
      <w:pPr>
        <w:pStyle w:val="Normal"/>
        <w:tabs>
          <w:tab w:val="left" w:pos="2340" w:leader="none"/>
        </w:tabs>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腎病蛋白尿的治療原則如</w:t>
      </w:r>
      <w:r>
        <w:rPr>
          <w:rFonts w:eastAsia="標楷體" w:ascii="標楷體" w:hAnsi="標楷體"/>
          <w:sz w:val="28"/>
        </w:rPr>
        <w:t>&lt;&lt;</w:t>
      </w:r>
      <w:r>
        <w:rPr>
          <w:rFonts w:ascii="標楷體" w:hAnsi="標楷體" w:eastAsia="標楷體"/>
          <w:sz w:val="28"/>
        </w:rPr>
        <w:t>宣明方論</w:t>
      </w:r>
      <w:r>
        <w:rPr>
          <w:rFonts w:eastAsia="標楷體" w:ascii="標楷體" w:hAnsi="標楷體"/>
          <w:sz w:val="28"/>
        </w:rPr>
        <w:t>&gt;&gt;</w:t>
      </w:r>
      <w:r>
        <w:rPr>
          <w:rFonts w:ascii="標楷體" w:hAnsi="標楷體" w:eastAsia="標楷體"/>
          <w:sz w:val="28"/>
        </w:rPr>
        <w:t>所言：「濕氣先傷人之陽氣，陽氣傷不能通調水道，如水道下流瘀塞，上流氾濫必為水災。一但水退，乾旱從之，亦能使人真陰不能生長，而耗陰液。」</w:t>
      </w:r>
    </w:p>
    <w:p>
      <w:pPr>
        <w:pStyle w:val="Normal"/>
        <w:snapToGrid w:val="false"/>
        <w:jc w:val="both"/>
        <w:rPr>
          <w:rFonts w:ascii="標楷體" w:hAnsi="標楷體" w:eastAsia="標楷體"/>
          <w:b/>
          <w:b/>
          <w:sz w:val="28"/>
        </w:rPr>
      </w:pPr>
      <w:r>
        <w:rPr>
          <w:rFonts w:eastAsia="標楷體" w:cs="標楷體" w:ascii="標楷體" w:hAnsi="標楷體"/>
        </w:rPr>
        <w:t xml:space="preserve"> </w:t>
      </w:r>
      <w:r>
        <w:rPr>
          <w:rFonts w:eastAsia="標楷體" w:cs="標楷體" w:ascii="標楷體" w:hAnsi="標楷體"/>
          <w:b/>
          <w:sz w:val="28"/>
        </w:rPr>
        <w:t xml:space="preserve">     </w:t>
      </w:r>
      <w:r>
        <w:br w:type="page"/>
      </w:r>
    </w:p>
    <w:p>
      <w:pPr>
        <w:pStyle w:val="Normal"/>
        <w:snapToGrid w:val="false"/>
        <w:jc w:val="both"/>
        <w:rPr>
          <w:rFonts w:ascii="標楷體" w:hAnsi="標楷體" w:eastAsia="標楷體"/>
          <w:b/>
          <w:b/>
          <w:sz w:val="32"/>
        </w:rPr>
      </w:pPr>
      <w:r>
        <w:rPr>
          <w:rFonts w:eastAsia="標楷體" w:ascii="標楷體" w:hAnsi="標楷體"/>
          <w:b/>
          <w:sz w:val="32"/>
        </w:rPr>
      </w:r>
    </w:p>
    <w:p>
      <w:pPr>
        <w:pStyle w:val="Normal"/>
        <w:snapToGrid w:val="false"/>
        <w:jc w:val="center"/>
        <w:rPr>
          <w:rFonts w:ascii="標楷體" w:hAnsi="標楷體" w:eastAsia="標楷體" w:cs="華康細圓體"/>
          <w:b/>
          <w:b/>
          <w:sz w:val="32"/>
        </w:rPr>
      </w:pPr>
      <w:r>
        <w:rPr>
          <w:rFonts w:ascii="標楷體" w:hAnsi="標楷體" w:eastAsia="標楷體"/>
          <w:b/>
          <w:sz w:val="32"/>
        </w:rPr>
        <w:t>第四章  高脂血症之中醫觀</w:t>
      </w:r>
    </w:p>
    <w:p>
      <w:pPr>
        <w:pStyle w:val="Normal"/>
        <w:snapToGrid w:val="false"/>
        <w:jc w:val="both"/>
        <w:rPr>
          <w:rFonts w:ascii="華康細圓體" w:hAnsi="華康細圓體" w:eastAsia="華康細圓體" w:cs="華康細圓體"/>
          <w:b/>
          <w:b/>
          <w:sz w:val="28"/>
        </w:rPr>
      </w:pPr>
      <w:r>
        <w:rPr>
          <w:rFonts w:eastAsia="華康細圓體" w:cs="華康細圓體" w:ascii="華康細圓體" w:hAnsi="華康細圓體"/>
          <w:b/>
          <w:sz w:val="28"/>
        </w:rPr>
      </w:r>
    </w:p>
    <w:p>
      <w:pPr>
        <w:pStyle w:val="Normal"/>
        <w:snapToGrid w:val="false"/>
        <w:jc w:val="both"/>
        <w:rPr/>
      </w:pPr>
      <w:r>
        <w:rPr>
          <w:rFonts w:eastAsia="標楷體" w:cs="標楷體" w:ascii="標楷體" w:hAnsi="標楷體"/>
          <w:sz w:val="28"/>
        </w:rPr>
        <w:t xml:space="preserve">    </w:t>
      </w:r>
      <w:r>
        <w:rPr>
          <w:rFonts w:eastAsia="標楷體" w:cs="標楷體" w:ascii="標楷體" w:hAnsi="標楷體"/>
          <w:sz w:val="28"/>
        </w:rPr>
        <w:t xml:space="preserve"> </w:t>
      </w:r>
      <w:r>
        <w:rPr>
          <w:rFonts w:ascii="標楷體" w:hAnsi="標楷體" w:cs="華康細圓體" w:eastAsia="標楷體"/>
          <w:sz w:val="28"/>
        </w:rPr>
        <w:t>腎病症候群之所以會形成高血脂症，和血中白蛋白減少，造成肝內脂蛋白合成增加，</w:t>
      </w:r>
      <w:r>
        <w:rPr>
          <w:rFonts w:eastAsia="標楷體" w:cs="華康細圓體" w:ascii="標楷體" w:hAnsi="標楷體"/>
          <w:sz w:val="28"/>
        </w:rPr>
        <w:t>LDL</w:t>
      </w:r>
      <w:r>
        <w:rPr>
          <w:rFonts w:ascii="標楷體" w:hAnsi="標楷體" w:cs="華康細圓體" w:eastAsia="標楷體"/>
          <w:sz w:val="28"/>
        </w:rPr>
        <w:t>及</w:t>
      </w:r>
      <w:r>
        <w:rPr>
          <w:rFonts w:eastAsia="標楷體" w:cs="華康細圓體" w:ascii="標楷體" w:hAnsi="標楷體"/>
          <w:sz w:val="28"/>
        </w:rPr>
        <w:t>Cholesterol</w:t>
      </w:r>
      <w:r>
        <w:rPr>
          <w:rFonts w:ascii="標楷體" w:hAnsi="標楷體" w:cs="華康細圓體" w:eastAsia="標楷體"/>
          <w:sz w:val="28"/>
        </w:rPr>
        <w:t>血中濃度因而上升有關，較嚴重者</w:t>
      </w:r>
      <w:r>
        <w:rPr>
          <w:rFonts w:eastAsia="標楷體" w:cs="華康細圓體" w:ascii="標楷體" w:hAnsi="標楷體"/>
          <w:sz w:val="28"/>
        </w:rPr>
        <w:t>VLDL</w:t>
      </w:r>
      <w:r>
        <w:rPr>
          <w:rFonts w:ascii="標楷體" w:hAnsi="標楷體" w:cs="華康細圓體" w:eastAsia="標楷體"/>
          <w:sz w:val="28"/>
        </w:rPr>
        <w:t>及</w:t>
      </w:r>
      <w:r>
        <w:rPr>
          <w:rFonts w:eastAsia="標楷體" w:cs="華康細圓體" w:ascii="標楷體" w:hAnsi="標楷體"/>
          <w:sz w:val="28"/>
        </w:rPr>
        <w:t>TG</w:t>
      </w:r>
      <w:r>
        <w:rPr>
          <w:rFonts w:ascii="標楷體" w:hAnsi="標楷體" w:cs="華康細圓體" w:eastAsia="標楷體"/>
          <w:sz w:val="28"/>
        </w:rPr>
        <w:t>亦會上升。其臨床表現有可能是肥胖，或者沒有症狀，其併發症則為中風、高血壓、心臟病等。</w:t>
      </w:r>
    </w:p>
    <w:p>
      <w:pPr>
        <w:pStyle w:val="Normal"/>
        <w:snapToGrid w:val="false"/>
        <w:ind w:firstLine="555"/>
        <w:jc w:val="both"/>
        <w:rPr/>
      </w:pPr>
      <w:r>
        <w:rPr>
          <w:rFonts w:ascii="標楷體" w:hAnsi="標楷體" w:eastAsia="標楷體"/>
          <w:sz w:val="28"/>
        </w:rPr>
        <w:t>古代中醫醫家多認為「肥人多痰」、「肥人多痰濕」，</w:t>
      </w:r>
      <w:r>
        <w:rPr>
          <w:rFonts w:eastAsia="標楷體" w:ascii="標楷體" w:hAnsi="標楷體"/>
          <w:sz w:val="28"/>
        </w:rPr>
        <w:t>&lt;&lt;</w:t>
      </w:r>
      <w:r>
        <w:rPr>
          <w:rFonts w:ascii="標楷體" w:hAnsi="標楷體" w:eastAsia="標楷體"/>
          <w:sz w:val="28"/>
        </w:rPr>
        <w:t>醫學心悟</w:t>
      </w:r>
      <w:r>
        <w:rPr>
          <w:rFonts w:eastAsia="標楷體" w:ascii="標楷體" w:hAnsi="標楷體"/>
          <w:sz w:val="28"/>
        </w:rPr>
        <w:t>&gt;&gt;:</w:t>
      </w:r>
      <w:r>
        <w:rPr>
          <w:rFonts w:ascii="標楷體" w:hAnsi="標楷體" w:eastAsia="標楷體"/>
          <w:sz w:val="28"/>
        </w:rPr>
        <w:t>「凡人嗜食肥甘，或醇酒乳酪，則濕從內受，</w:t>
      </w:r>
      <w:r>
        <w:rPr>
          <w:rFonts w:ascii="標楷體" w:hAnsi="標楷體" w:eastAsia="標楷體"/>
          <w:sz w:val="28"/>
        </w:rPr>
        <w:t>……</w:t>
      </w:r>
      <w:r>
        <w:rPr>
          <w:rFonts w:ascii="標楷體" w:hAnsi="標楷體" w:eastAsia="標楷體"/>
          <w:sz w:val="28"/>
        </w:rPr>
        <w:t>濕生痰。」因此中醫一般會把高血脂症看作是「痰」的一種。</w:t>
      </w:r>
    </w:p>
    <w:p>
      <w:pPr>
        <w:pStyle w:val="3"/>
        <w:rPr>
          <w:rFonts w:ascii="標楷體" w:hAnsi="標楷體" w:eastAsia="標楷體"/>
        </w:rPr>
      </w:pPr>
      <w:r>
        <w:rPr>
          <w:rFonts w:ascii="標楷體" w:hAnsi="標楷體" w:eastAsia="標楷體"/>
        </w:rPr>
        <w:t>腎失封藏之後，精微物質流失，脾氣化源、轉輸水榖精微的功能會代償性增加負擔，脾虛生濕的結果，會成飲成痰，又會反過來惡化水腫的形成，簡列如下：</w:t>
      </w:r>
    </w:p>
    <w:p>
      <w:pPr>
        <w:pStyle w:val="3"/>
        <w:rPr>
          <w:rFonts w:ascii="標楷體" w:hAnsi="標楷體" w:eastAsia="標楷體"/>
        </w:rPr>
      </w:pPr>
      <w:r>
        <w:rPr>
          <w:rFonts w:eastAsia="標楷體" w:ascii="標楷體" w:hAnsi="標楷體"/>
        </w:rPr>
      </w:r>
    </w:p>
    <w:p>
      <w:pPr>
        <w:pStyle w:val="Normal"/>
        <w:snapToGrid w:val="false"/>
        <w:ind w:firstLine="555"/>
        <w:jc w:val="both"/>
        <w:rPr/>
      </w:pPr>
      <w:r>
        <w:rPr>
          <w:rFonts w:eastAsia="標楷體" w:cs="標楷體" w:ascii="標楷體" w:hAnsi="標楷體"/>
          <w:sz w:val="28"/>
        </w:rPr>
        <w:t xml:space="preserve"> </w:t>
      </w:r>
      <w:r>
        <mc:AlternateContent>
          <mc:Choice Requires="wps">
            <w:drawing>
              <wp:anchor behindDoc="0" distT="0" distB="0" distL="114935" distR="114935" simplePos="0" locked="0" layoutInCell="1" allowOverlap="1" relativeHeight="14">
                <wp:simplePos x="0" y="0"/>
                <wp:positionH relativeFrom="column">
                  <wp:posOffset>1943100</wp:posOffset>
                </wp:positionH>
                <wp:positionV relativeFrom="paragraph">
                  <wp:posOffset>77470</wp:posOffset>
                </wp:positionV>
                <wp:extent cx="635" cy="229235"/>
                <wp:effectExtent l="0" t="0" r="0" b="0"/>
                <wp:wrapNone/>
                <wp:docPr id="26" name=""/>
                <a:graphic xmlns:a="http://schemas.openxmlformats.org/drawingml/2006/main">
                  <a:graphicData uri="http://schemas.microsoft.com/office/word/2010/wordprocessingShape">
                    <wps:wsp>
                      <wps:cNvSpPr/>
                      <wps:spPr>
                        <a:xfrm>
                          <a:off x="0" y="0"/>
                          <a:ext cx="0" cy="228600"/>
                        </a:xfrm>
                        <a:prstGeom prst="line">
                          <a:avLst/>
                        </a:prstGeom>
                        <a:ln w="9360">
                          <a:solidFill>
                            <a:srgbClr val="000000"/>
                          </a:solidFill>
                          <a:miter/>
                          <a:tailEnd len="med" type="triangle" w="med"/>
                        </a:ln>
                      </wps:spPr>
                      <wps:style>
                        <a:lnRef idx="0"/>
                        <a:fillRef idx="0"/>
                        <a:effectRef idx="0"/>
                        <a:fontRef idx="minor"/>
                      </wps:style>
                      <wps:bodyPr/>
                    </wps:wsp>
                  </a:graphicData>
                </a:graphic>
              </wp:anchor>
            </w:drawing>
          </mc:Choice>
          <mc:Fallback>
            <w:pict>
              <v:line id="shape_0" from="144pt,15.1pt" to="144pt,33.05pt" stroked="t" style="position:absolute">
                <v:stroke color="black" weight="9360" endarrow="block" endarrowwidth="medium" endarrowlength="medium" joinstyle="miter" endcap="square"/>
                <v:fill o:detectmouseclick="t" on="false"/>
              </v:line>
            </w:pict>
          </mc:Fallback>
        </mc:AlternateContent>
      </w:r>
      <w:r>
        <w:rPr>
          <w:rFonts w:ascii="標楷體" w:hAnsi="標楷體" w:cs="華康細圓體" w:eastAsia="標楷體"/>
          <w:sz w:val="28"/>
        </w:rPr>
        <w:t>腎</w:t>
      </w:r>
      <w:r>
        <w:rPr>
          <w:rFonts w:ascii="標楷體" w:hAnsi="標楷體" w:cs="華康細圓體" w:eastAsia="標楷體"/>
          <w:sz w:val="28"/>
        </w:rPr>
        <w:t>失封藏</w:t>
      </w:r>
      <w:r>
        <w:rPr>
          <w:rFonts w:ascii="Monotype Sorts;Symbol" w:hAnsi="Monotype Sorts;Symbol" w:cs="Monotype Sorts;Symbol" w:eastAsia="Monotype Sorts;Symbol"/>
          <w:sz w:val="28"/>
        </w:rPr>
        <w:t></w:t>
      </w:r>
      <w:r>
        <w:rPr>
          <w:rFonts w:ascii="標楷體" w:hAnsi="標楷體" w:cs="華康細圓體" w:eastAsia="標楷體"/>
          <w:sz w:val="28"/>
        </w:rPr>
        <w:t>精微物質流失</w:t>
      </w:r>
      <w:r>
        <w:rPr>
          <w:rFonts w:ascii="Monotype Sorts;Symbol" w:hAnsi="Monotype Sorts;Symbol" w:cs="Monotype Sorts;Symbol" w:eastAsia="Monotype Sorts;Symbol"/>
          <w:sz w:val="28"/>
        </w:rPr>
        <w:t></w:t>
      </w:r>
      <w:r>
        <w:rPr>
          <w:rFonts w:ascii="標楷體" w:hAnsi="標楷體" w:cs="華康細圓體" w:eastAsia="標楷體"/>
          <w:sz w:val="28"/>
        </w:rPr>
        <w:t>三焦閉溢</w:t>
      </w:r>
      <w:r>
        <w:rPr>
          <w:rFonts w:ascii="Monotype Sorts;Symbol" w:hAnsi="Monotype Sorts;Symbol" w:cs="Monotype Sorts;Symbol" w:eastAsia="Monotype Sorts;Symbol"/>
          <w:sz w:val="28"/>
        </w:rPr>
        <w:t></w:t>
      </w:r>
      <w:r>
        <w:rPr>
          <w:rFonts w:ascii="標楷體" w:hAnsi="標楷體" w:cs="華康細圓體" w:eastAsia="標楷體"/>
          <w:sz w:val="28"/>
        </w:rPr>
        <w:t>水道不通</w:t>
      </w:r>
      <w:r>
        <w:rPr>
          <w:rFonts w:ascii="Monotype Sorts;Symbol" w:hAnsi="Monotype Sorts;Symbol" w:cs="Monotype Sorts;Symbol" w:eastAsia="Monotype Sorts;Symbol"/>
          <w:sz w:val="28"/>
        </w:rPr>
        <w:t></w:t>
      </w:r>
      <w:r>
        <w:rPr>
          <w:rFonts w:ascii="標楷體" w:hAnsi="標楷體" w:cs="華康細圓體" w:eastAsia="標楷體"/>
          <w:sz w:val="28"/>
        </w:rPr>
        <w:t>水腫</w:t>
      </w:r>
    </w:p>
    <w:p>
      <w:pPr>
        <w:pStyle w:val="Normal"/>
        <w:snapToGrid w:val="false"/>
        <w:jc w:val="both"/>
        <w:rPr>
          <w:rFonts w:cs="華康細圓體"/>
        </w:rPr>
      </w:pPr>
      <w:r>
        <mc:AlternateContent>
          <mc:Choice Requires="wps">
            <w:drawing>
              <wp:anchor behindDoc="0" distT="0" distB="0" distL="114935" distR="114935" simplePos="0" locked="0" layoutInCell="1" allowOverlap="1" relativeHeight="16">
                <wp:simplePos x="0" y="0"/>
                <wp:positionH relativeFrom="column">
                  <wp:posOffset>4457700</wp:posOffset>
                </wp:positionH>
                <wp:positionV relativeFrom="paragraph">
                  <wp:posOffset>36830</wp:posOffset>
                </wp:positionV>
                <wp:extent cx="1270" cy="1270"/>
                <wp:effectExtent l="0" t="0" r="0" b="0"/>
                <wp:wrapNone/>
                <wp:docPr id="27" name=""/>
                <a:graphic xmlns:a="http://schemas.openxmlformats.org/drawingml/2006/main">
                  <a:graphicData uri="http://schemas.microsoft.com/office/word/2010/wordprocessingShape">
                    <wps:wsp>
                      <wps:cNvSpPr/>
                      <wps:spPr>
                        <a:xfrm flipV="1">
                          <a:off x="0" y="0"/>
                          <a:ext cx="0" cy="343080"/>
                        </a:xfrm>
                        <a:prstGeom prst="line">
                          <a:avLst/>
                        </a:prstGeom>
                        <a:ln w="9360">
                          <a:solidFill>
                            <a:srgbClr val="000000"/>
                          </a:solidFill>
                          <a:miter/>
                          <a:tailEnd len="med" type="arrow" w="med"/>
                        </a:ln>
                      </wps:spPr>
                      <wps:style>
                        <a:lnRef idx="0"/>
                        <a:fillRef idx="0"/>
                        <a:effectRef idx="0"/>
                        <a:fontRef idx="minor"/>
                      </wps:style>
                      <wps:bodyPr/>
                    </wps:wsp>
                  </a:graphicData>
                </a:graphic>
              </wp:anchor>
            </w:drawing>
          </mc:Choice>
          <mc:Fallback>
            <w:pict>
              <v:line id="shape_0" from="351pt,2.9pt" to="351pt,29.85pt" stroked="t" style="position:absolute;flip:y">
                <v:stroke color="black" weight="9360" endarrow="open" endarrowwidth="medium" endarrowlength="medium" joinstyle="miter" endcap="square"/>
                <v:fill o:detectmouseclick="t" on="false"/>
              </v:line>
            </w:pict>
          </mc:Fallback>
        </mc:AlternateContent>
      </w:r>
      <w:r>
        <w:rPr>
          <w:rFonts w:eastAsia="標楷體" w:cs="標楷體" w:ascii="標楷體" w:hAnsi="標楷體"/>
          <w:sz w:val="28"/>
        </w:rPr>
        <w:t xml:space="preserve"> </w:t>
      </w:r>
      <w:r>
        <w:rPr>
          <w:rFonts w:eastAsia="標楷體" w:cs="標楷體" w:ascii="標楷體" w:hAnsi="標楷體"/>
          <w:sz w:val="28"/>
        </w:rPr>
        <w:t xml:space="preserve">                                      </w:t>
      </w:r>
    </w:p>
    <w:p>
      <w:pPr>
        <w:pStyle w:val="Normal"/>
        <w:numPr>
          <w:ilvl w:val="0"/>
          <w:numId w:val="0"/>
        </w:numPr>
        <w:snapToGrid w:val="false"/>
        <w:jc w:val="both"/>
        <w:outlineLvl w:val="0"/>
        <w:rPr/>
      </w:pPr>
      <w:r>
        <mc:AlternateContent>
          <mc:Choice Requires="wps">
            <w:drawing>
              <wp:anchor behindDoc="0" distT="0" distB="0" distL="114935" distR="114935" simplePos="0" locked="0" layoutInCell="1" allowOverlap="1" relativeHeight="15">
                <wp:simplePos x="0" y="0"/>
                <wp:positionH relativeFrom="column">
                  <wp:posOffset>2514600</wp:posOffset>
                </wp:positionH>
                <wp:positionV relativeFrom="paragraph">
                  <wp:posOffset>148590</wp:posOffset>
                </wp:positionV>
                <wp:extent cx="1943735" cy="635"/>
                <wp:effectExtent l="0" t="0" r="0" b="0"/>
                <wp:wrapNone/>
                <wp:docPr id="28" name=""/>
                <a:graphic xmlns:a="http://schemas.openxmlformats.org/drawingml/2006/main">
                  <a:graphicData uri="http://schemas.microsoft.com/office/word/2010/wordprocessingShape">
                    <wps:wsp>
                      <wps:cNvSpPr/>
                      <wps:spPr>
                        <a:xfrm>
                          <a:off x="0" y="0"/>
                          <a:ext cx="1943280" cy="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98pt,11.7pt" to="350.95pt,11.7pt" stroked="t" style="position:absolute">
                <v:stroke color="black" weight="9360" joinstyle="miter" endcap="square"/>
                <v:fill o:detectmouseclick="t" on="false"/>
              </v:line>
            </w:pict>
          </mc:Fallback>
        </mc:AlternateContent>
      </w:r>
      <w:r>
        <w:rPr>
          <w:rFonts w:eastAsia="標楷體" w:cs="標楷體" w:ascii="標楷體" w:hAnsi="標楷體"/>
          <w:sz w:val="28"/>
        </w:rPr>
        <w:t xml:space="preserve"> </w:t>
      </w:r>
      <w:r>
        <w:rPr>
          <w:rFonts w:eastAsia="標楷體" w:cs="標楷體" w:ascii="標楷體" w:hAnsi="標楷體"/>
          <w:sz w:val="28"/>
        </w:rPr>
        <w:t xml:space="preserve">    </w:t>
      </w:r>
      <w:r>
        <w:rPr>
          <w:rFonts w:eastAsia="標楷體" w:cs="標楷體" w:ascii="標楷體" w:hAnsi="標楷體"/>
          <w:sz w:val="28"/>
        </w:rPr>
        <w:t xml:space="preserve"> </w:t>
      </w:r>
      <w:r>
        <w:rPr>
          <w:rFonts w:eastAsia="標楷體" w:cs="標楷體" w:ascii="標楷體" w:hAnsi="標楷體"/>
          <w:sz w:val="28"/>
        </w:rPr>
        <w:t xml:space="preserve">    </w:t>
      </w:r>
      <w:r>
        <w:rPr>
          <w:rFonts w:ascii="標楷體" w:hAnsi="標楷體" w:eastAsia="標楷體"/>
          <w:sz w:val="28"/>
        </w:rPr>
        <w:t xml:space="preserve">脾虛生濕成飲成痰                        </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阻滯氣道</w:t>
      </w:r>
    </w:p>
    <w:p>
      <w:pPr>
        <w:pStyle w:val="Normal"/>
        <w:snapToGrid w:val="false"/>
        <w:jc w:val="both"/>
        <w:rPr>
          <w:rFonts w:ascii="標楷體" w:hAnsi="標楷體" w:eastAsia="標楷體"/>
          <w:sz w:val="28"/>
        </w:rPr>
      </w:pPr>
      <w:r>
        <w:rPr>
          <w:rFonts w:eastAsia="標楷體" w:ascii="標楷體" w:hAnsi="標楷體"/>
          <w:sz w:val="28"/>
        </w:rPr>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腎病症候群造成的高血脂症之治療，如果較嚴重者，西醫會處方降血脂藥，中醫則會根據本虛標實的觀念，辨症論治治療，一般會以四君子湯加山楂、麥芽，其他如決明子、澤瀉、虎杖、大黃、何首烏經研究證實，對於降血脂的功能亦有不錯之療效。但關於腎病症候群高血脂症的治療，如果不是太嚴重的話，其對整個病程而言，並不如水腫或蛋白尿治療之重要，且其併發症的產生，也要經過一段很長的時間，數年或數十年，因此，一般狀況而言，降血脂似乎並非當務之急。</w:t>
      </w:r>
    </w:p>
    <w:p>
      <w:pPr>
        <w:pStyle w:val="Normal"/>
        <w:snapToGrid w:val="false"/>
        <w:jc w:val="both"/>
        <w:rPr>
          <w:rFonts w:ascii="標楷體" w:hAnsi="標楷體" w:eastAsia="標楷體"/>
          <w:sz w:val="28"/>
        </w:rPr>
      </w:pPr>
      <w:r>
        <w:rPr>
          <w:rFonts w:eastAsia="標楷體" w:ascii="標楷體" w:hAnsi="標楷體"/>
          <w:sz w:val="28"/>
        </w:rPr>
      </w:r>
      <w:r>
        <w:br w:type="page"/>
      </w:r>
    </w:p>
    <w:p>
      <w:pPr>
        <w:pStyle w:val="Normal"/>
        <w:snapToGrid w:val="false"/>
        <w:ind w:firstLine="555"/>
        <w:jc w:val="center"/>
        <w:rPr>
          <w:rFonts w:ascii="標楷體" w:hAnsi="標楷體" w:eastAsia="標楷體"/>
          <w:b/>
          <w:b/>
          <w:sz w:val="32"/>
        </w:rPr>
      </w:pPr>
      <w:r>
        <w:rPr>
          <w:rFonts w:ascii="標楷體" w:hAnsi="標楷體" w:eastAsia="標楷體"/>
          <w:b/>
          <w:sz w:val="32"/>
        </w:rPr>
        <w:t>第五章  高凝血狀態之中醫觀</w:t>
      </w:r>
    </w:p>
    <w:p>
      <w:pPr>
        <w:pStyle w:val="Normal"/>
        <w:snapToGrid w:val="false"/>
        <w:jc w:val="both"/>
        <w:rPr/>
      </w:pPr>
      <w:r>
        <w:rPr>
          <w:rFonts w:eastAsia="華康細圓體" w:cs="華康細圓體" w:ascii="華康細圓體" w:hAnsi="華康細圓體"/>
          <w:sz w:val="28"/>
        </w:rPr>
        <w:t xml:space="preserve">     </w:t>
      </w:r>
      <w:r>
        <w:rPr>
          <w:rFonts w:ascii="標楷體" w:hAnsi="標楷體" w:cs="華康細圓體" w:eastAsia="標楷體"/>
          <w:sz w:val="28"/>
        </w:rPr>
        <w:t>腎病症候群之所以會形成高凝血狀態（</w:t>
      </w:r>
      <w:r>
        <w:rPr>
          <w:rFonts w:eastAsia="標楷體" w:cs="Arial" w:ascii="標楷體" w:hAnsi="標楷體"/>
          <w:sz w:val="28"/>
        </w:rPr>
        <w:t>Hypercoagulability</w:t>
      </w:r>
      <w:r>
        <w:rPr>
          <w:rFonts w:ascii="標楷體" w:hAnsi="標楷體" w:cs="華康細圓體" w:eastAsia="標楷體"/>
          <w:sz w:val="28"/>
        </w:rPr>
        <w:t>），其主要機理為</w:t>
      </w:r>
      <w:r>
        <w:rPr>
          <w:rFonts w:eastAsia="標楷體" w:cs="Arial" w:ascii="標楷體" w:hAnsi="標楷體"/>
          <w:sz w:val="28"/>
        </w:rPr>
        <w:t>A</w:t>
      </w:r>
      <w:r>
        <w:rPr>
          <w:rFonts w:eastAsia="標楷體" w:cs="Arial" w:ascii="標楷體" w:hAnsi="標楷體"/>
          <w:sz w:val="28"/>
        </w:rPr>
        <w:t>ntithrombin III</w:t>
      </w:r>
      <w:r>
        <w:rPr>
          <w:rFonts w:eastAsia="標楷體" w:cs="Arial" w:ascii="標楷體" w:hAnsi="標楷體"/>
          <w:b/>
          <w:sz w:val="28"/>
        </w:rPr>
        <w:t xml:space="preserve"> </w:t>
      </w:r>
      <w:r>
        <w:rPr>
          <w:rFonts w:ascii="標楷體" w:hAnsi="標楷體" w:cs="華康細圓體" w:eastAsia="標楷體"/>
          <w:sz w:val="28"/>
        </w:rPr>
        <w:t>從尿液流失、</w:t>
      </w:r>
      <w:r>
        <w:rPr>
          <w:rFonts w:eastAsia="標楷體" w:cs="Arial" w:ascii="標楷體" w:hAnsi="標楷體"/>
          <w:sz w:val="28"/>
        </w:rPr>
        <w:t xml:space="preserve">Protein C </w:t>
      </w:r>
      <w:r>
        <w:rPr>
          <w:rFonts w:ascii="標楷體" w:hAnsi="標楷體" w:cs="Arial" w:eastAsia="標楷體"/>
          <w:sz w:val="28"/>
        </w:rPr>
        <w:t xml:space="preserve">和 </w:t>
      </w:r>
      <w:r>
        <w:rPr>
          <w:rFonts w:eastAsia="標楷體" w:cs="Arial" w:ascii="標楷體" w:hAnsi="標楷體"/>
          <w:sz w:val="28"/>
        </w:rPr>
        <w:t>S</w:t>
      </w:r>
      <w:r>
        <w:rPr>
          <w:rFonts w:ascii="標楷體" w:hAnsi="標楷體" w:cs="華康細圓體" w:eastAsia="標楷體"/>
          <w:sz w:val="28"/>
        </w:rPr>
        <w:t>活性降低，肝臟對於</w:t>
      </w:r>
      <w:r>
        <w:rPr>
          <w:rFonts w:eastAsia="標楷體" w:cs="Arial" w:ascii="標楷體" w:hAnsi="標楷體"/>
          <w:sz w:val="28"/>
        </w:rPr>
        <w:t>fibrinogen</w:t>
      </w:r>
      <w:r>
        <w:rPr>
          <w:rFonts w:ascii="標楷體" w:hAnsi="標楷體" w:cs="華康細圓體" w:eastAsia="標楷體"/>
          <w:sz w:val="28"/>
        </w:rPr>
        <w:t>之合成會增加，最後造成纖維溶解（</w:t>
      </w:r>
      <w:r>
        <w:rPr>
          <w:rFonts w:eastAsia="標楷體" w:cs="Arial" w:ascii="標楷體" w:hAnsi="標楷體"/>
          <w:sz w:val="28"/>
        </w:rPr>
        <w:t>F</w:t>
      </w:r>
      <w:r>
        <w:rPr>
          <w:rFonts w:eastAsia="標楷體" w:cs="Arial" w:ascii="標楷體" w:hAnsi="標楷體"/>
          <w:sz w:val="28"/>
        </w:rPr>
        <w:t>ibrinolysis</w:t>
      </w:r>
      <w:r>
        <w:rPr>
          <w:rFonts w:ascii="標楷體" w:hAnsi="標楷體" w:cs="華康細圓體" w:eastAsia="標楷體"/>
          <w:sz w:val="28"/>
        </w:rPr>
        <w:t>）的功能下降。另一方面會增加血小板凝集，終而形成高凝血狀態。</w:t>
      </w:r>
      <w:r>
        <w:rPr>
          <w:rFonts w:ascii="標楷體" w:hAnsi="標楷體" w:eastAsia="標楷體"/>
          <w:sz w:val="28"/>
        </w:rPr>
        <w:t>其臨床表現會產生周邊動靜脈血管之栓塞（</w:t>
      </w:r>
      <w:r>
        <w:rPr>
          <w:rFonts w:eastAsia="標楷體" w:cs="Arial" w:ascii="標楷體" w:hAnsi="標楷體"/>
          <w:sz w:val="28"/>
        </w:rPr>
        <w:t>Peripheral arterial or venous thrombosis</w:t>
      </w:r>
      <w:r>
        <w:rPr>
          <w:rFonts w:ascii="標楷體" w:hAnsi="標楷體" w:eastAsia="標楷體"/>
          <w:sz w:val="28"/>
        </w:rPr>
        <w:t>），腎靜脈亦會形成栓塞（</w:t>
      </w:r>
      <w:r>
        <w:rPr>
          <w:rFonts w:eastAsia="標楷體" w:cs="Arial" w:ascii="標楷體" w:hAnsi="標楷體"/>
          <w:sz w:val="28"/>
        </w:rPr>
        <w:t>Renal vein thrombosis</w:t>
      </w:r>
      <w:r>
        <w:rPr>
          <w:rFonts w:ascii="標楷體" w:hAnsi="標楷體" w:eastAsia="標楷體"/>
          <w:sz w:val="28"/>
        </w:rPr>
        <w:t>），並且會造成肺部的栓子（</w:t>
      </w:r>
      <w:r>
        <w:rPr>
          <w:rFonts w:eastAsia="標楷體" w:cs="Arial" w:ascii="標楷體" w:hAnsi="標楷體"/>
          <w:sz w:val="28"/>
        </w:rPr>
        <w:t>Pulmonary embolism</w:t>
      </w:r>
      <w:r>
        <w:rPr>
          <w:rFonts w:ascii="標楷體" w:hAnsi="標楷體" w:eastAsia="標楷體"/>
          <w:sz w:val="28"/>
        </w:rPr>
        <w:t>）</w:t>
      </w:r>
      <w:r>
        <w:rPr>
          <w:rFonts w:ascii="標楷體" w:hAnsi="標楷體" w:eastAsia="標楷體"/>
          <w:sz w:val="28"/>
        </w:rPr>
        <w:t>，</w:t>
      </w:r>
      <w:r>
        <w:rPr>
          <w:rFonts w:ascii="標楷體" w:hAnsi="標楷體" w:eastAsia="標楷體"/>
          <w:sz w:val="28"/>
        </w:rPr>
        <w:t>以上可表現之臨床症狀腰痛</w:t>
      </w:r>
      <w:r>
        <w:rPr>
          <w:rFonts w:ascii="標楷體" w:hAnsi="標楷體" w:eastAsia="標楷體"/>
          <w:sz w:val="28"/>
        </w:rPr>
        <w:t>、</w:t>
      </w:r>
      <w:r>
        <w:rPr>
          <w:rFonts w:ascii="標楷體" w:hAnsi="標楷體" w:eastAsia="標楷體"/>
          <w:sz w:val="28"/>
        </w:rPr>
        <w:t>腹痛、巨觀血尿、蛋白尿（慢性腎靜脈栓塞沒有症狀）。</w:t>
      </w:r>
    </w:p>
    <w:p>
      <w:pPr>
        <w:pStyle w:val="Normal"/>
        <w:snapToGrid w:val="false"/>
        <w:jc w:val="both"/>
        <w:rPr/>
      </w:pPr>
      <w:r>
        <w:rPr>
          <w:rFonts w:eastAsia="標楷體" w:cs="標楷體" w:ascii="標楷體" w:hAnsi="標楷體"/>
          <w:sz w:val="28"/>
        </w:rPr>
        <w:t xml:space="preserve">    </w:t>
      </w:r>
      <w:r>
        <w:rPr>
          <w:rFonts w:ascii="標楷體" w:hAnsi="標楷體" w:eastAsia="標楷體"/>
          <w:sz w:val="28"/>
        </w:rPr>
        <w:t>以上所稱高凝血狀態，頗類似中醫所稱的「血瘀」的範疇，除了其本身產生的併發症之外，其亦會反過來惡化腎病症候群的病程，並且對於高血脂的形成有相對加成的作用</w:t>
      </w:r>
      <w:r>
        <w:rPr>
          <w:rFonts w:ascii="標楷體" w:hAnsi="標楷體" w:cs="華康細圓體" w:eastAsia="標楷體"/>
          <w:sz w:val="28"/>
        </w:rPr>
        <w:t>。</w:t>
      </w:r>
    </w:p>
    <w:p>
      <w:pPr>
        <w:pStyle w:val="Normal"/>
        <w:overflowPunct w:val="false"/>
        <w:autoSpaceDE w:val="false"/>
        <w:snapToGrid w:val="false"/>
        <w:jc w:val="both"/>
        <w:rPr/>
      </w:pPr>
      <w:r>
        <w:rPr>
          <w:rFonts w:eastAsia="標楷體" w:cs="標楷體" w:ascii="標楷體" w:hAnsi="標楷體"/>
          <w:sz w:val="28"/>
        </w:rPr>
        <w:t xml:space="preserve">    </w:t>
      </w:r>
      <w:r>
        <w:rPr>
          <w:rFonts w:eastAsia="標楷體" w:cs="華康細圓體" w:ascii="標楷體" w:hAnsi="標楷體"/>
          <w:sz w:val="28"/>
        </w:rPr>
        <w:t>&lt;&lt;</w:t>
      </w:r>
      <w:r>
        <w:rPr>
          <w:rFonts w:ascii="標楷體" w:hAnsi="標楷體" w:cs="華康細圓體" w:eastAsia="標楷體"/>
          <w:sz w:val="28"/>
        </w:rPr>
        <w:t>素問‧調經論</w:t>
      </w:r>
      <w:r>
        <w:rPr>
          <w:rFonts w:eastAsia="標楷體" w:cs="華康細圓體" w:ascii="標楷體" w:hAnsi="標楷體"/>
          <w:sz w:val="28"/>
        </w:rPr>
        <w:t>&gt;&gt;:</w:t>
      </w:r>
      <w:r>
        <w:rPr>
          <w:rFonts w:ascii="標楷體" w:hAnsi="標楷體" w:cs="華康細圓體" w:eastAsia="標楷體"/>
          <w:sz w:val="28"/>
        </w:rPr>
        <w:t>「孫絡水溢，則經有留血。」</w:t>
      </w:r>
      <w:r>
        <w:rPr>
          <w:rFonts w:eastAsia="標楷體" w:cs="華康細圓體" w:ascii="標楷體" w:hAnsi="標楷體"/>
          <w:sz w:val="28"/>
        </w:rPr>
        <w:t>&lt;&lt;</w:t>
      </w:r>
      <w:r>
        <w:rPr>
          <w:rFonts w:ascii="標楷體" w:hAnsi="標楷體" w:cs="華康細圓體" w:eastAsia="標楷體"/>
          <w:sz w:val="28"/>
        </w:rPr>
        <w:t>類經‧疾病類‧十八</w:t>
      </w:r>
      <w:r>
        <w:rPr>
          <w:rFonts w:eastAsia="標楷體" w:cs="華康細圓體" w:ascii="標楷體" w:hAnsi="標楷體"/>
          <w:sz w:val="28"/>
        </w:rPr>
        <w:t>&gt;&gt;</w:t>
      </w:r>
      <w:r>
        <w:rPr>
          <w:rFonts w:ascii="標楷體" w:hAnsi="標楷體" w:cs="華康細圓體" w:eastAsia="標楷體"/>
          <w:sz w:val="28"/>
        </w:rPr>
        <w:t>解釋曰：「邪不在藏而在經</w:t>
      </w:r>
      <w:r>
        <w:rPr>
          <w:rFonts w:ascii="標楷體" w:hAnsi="標楷體" w:cs="華康細圓體" w:eastAsia="標楷體"/>
          <w:sz w:val="28"/>
        </w:rPr>
        <w:t>，</w:t>
      </w:r>
      <w:r>
        <w:rPr>
          <w:rFonts w:ascii="標楷體" w:hAnsi="標楷體" w:cs="華康細圓體" w:eastAsia="標楷體"/>
          <w:sz w:val="28"/>
        </w:rPr>
        <w:t>但察其孫絡之有外溢者，則知其大經之內有留止之血也。」</w:t>
      </w:r>
      <w:r>
        <w:rPr>
          <w:rFonts w:eastAsia="標楷體" w:cs="華康細圓體" w:ascii="標楷體" w:hAnsi="標楷體"/>
          <w:sz w:val="28"/>
        </w:rPr>
        <w:t>&lt;&lt;</w:t>
      </w:r>
      <w:r>
        <w:rPr>
          <w:rFonts w:ascii="標楷體" w:hAnsi="標楷體" w:cs="華康細圓體" w:eastAsia="標楷體"/>
          <w:sz w:val="28"/>
        </w:rPr>
        <w:t>金匱要略</w:t>
      </w:r>
      <w:r>
        <w:rPr>
          <w:rFonts w:eastAsia="標楷體" w:cs="華康細圓體" w:ascii="標楷體" w:hAnsi="標楷體"/>
          <w:sz w:val="28"/>
        </w:rPr>
        <w:t>&gt;&gt;</w:t>
      </w:r>
      <w:r>
        <w:rPr>
          <w:rFonts w:ascii="標楷體" w:hAnsi="標楷體" w:cs="華康細圓體" w:eastAsia="標楷體"/>
          <w:sz w:val="28"/>
        </w:rPr>
        <w:t>稱</w:t>
      </w:r>
      <w:r>
        <w:rPr>
          <w:rFonts w:ascii="標楷體" w:hAnsi="標楷體" w:cs="華康細圓體" w:eastAsia="標楷體"/>
          <w:sz w:val="28"/>
        </w:rPr>
        <w:t>：「</w:t>
      </w:r>
      <w:r>
        <w:rPr>
          <w:rFonts w:ascii="標楷體" w:hAnsi="標楷體" w:cs="華康細圓體" w:eastAsia="標楷體"/>
          <w:sz w:val="28"/>
        </w:rPr>
        <w:t>血不利則為水</w:t>
      </w:r>
      <w:r>
        <w:rPr>
          <w:rFonts w:ascii="標楷體" w:hAnsi="標楷體" w:cs="華康細圓體" w:eastAsia="標楷體"/>
          <w:sz w:val="28"/>
        </w:rPr>
        <w:t>」</w:t>
      </w:r>
      <w:r>
        <w:rPr>
          <w:rFonts w:eastAsia="標楷體" w:ascii="標楷體" w:hAnsi="標楷體"/>
          <w:sz w:val="28"/>
        </w:rPr>
        <w:t>&lt;&lt;</w:t>
      </w:r>
      <w:r>
        <w:rPr>
          <w:rFonts w:ascii="標楷體" w:hAnsi="標楷體" w:eastAsia="標楷體"/>
          <w:sz w:val="28"/>
        </w:rPr>
        <w:t>血証論‧腫脹</w:t>
      </w:r>
      <w:r>
        <w:rPr>
          <w:rFonts w:eastAsia="標楷體" w:ascii="標楷體" w:hAnsi="標楷體"/>
          <w:sz w:val="28"/>
        </w:rPr>
        <w:t>&gt;&gt;</w:t>
      </w:r>
      <w:r>
        <w:rPr>
          <w:rFonts w:ascii="標楷體" w:hAnsi="標楷體" w:eastAsia="標楷體"/>
          <w:sz w:val="28"/>
        </w:rPr>
        <w:t>曰</w:t>
      </w:r>
      <w:r>
        <w:rPr>
          <w:rFonts w:eastAsia="標楷體" w:ascii="標楷體" w:hAnsi="標楷體"/>
          <w:sz w:val="28"/>
        </w:rPr>
        <w:t>:</w:t>
      </w:r>
      <w:r>
        <w:rPr>
          <w:rFonts w:ascii="標楷體" w:hAnsi="標楷體" w:eastAsia="標楷體"/>
          <w:sz w:val="28"/>
        </w:rPr>
        <w:t>「瘀血流注，亦發腫脹者，乃血變成水之證。」</w:t>
      </w:r>
      <w:r>
        <w:rPr>
          <w:rFonts w:ascii="標楷體" w:hAnsi="標楷體" w:cs="華康細圓體" w:eastAsia="標楷體"/>
          <w:sz w:val="28"/>
        </w:rPr>
        <w:t>可見血行不利亦為水腫形成的重要原因之一。</w:t>
      </w:r>
    </w:p>
    <w:p>
      <w:pPr>
        <w:pStyle w:val="Normal"/>
        <w:snapToGrid w:val="false"/>
        <w:jc w:val="both"/>
        <w:rPr/>
      </w:pPr>
      <w:r>
        <w:rPr>
          <w:rFonts w:eastAsia="標楷體" w:cs="標楷體" w:ascii="標楷體" w:hAnsi="標楷體"/>
          <w:sz w:val="28"/>
        </w:rPr>
        <w:t xml:space="preserve">    </w:t>
      </w:r>
      <w:r>
        <w:rPr>
          <w:rFonts w:ascii="標楷體" w:hAnsi="標楷體" w:eastAsia="標楷體"/>
          <w:sz w:val="28"/>
        </w:rPr>
        <w:t>關於血瘀水腫用藥的原則，</w:t>
      </w:r>
      <w:r>
        <w:rPr>
          <w:rFonts w:eastAsia="標楷體" w:ascii="標楷體" w:hAnsi="標楷體"/>
          <w:sz w:val="28"/>
        </w:rPr>
        <w:t>&lt;&lt;</w:t>
      </w:r>
      <w:r>
        <w:rPr>
          <w:rFonts w:ascii="標楷體" w:hAnsi="標楷體" w:eastAsia="標楷體"/>
          <w:sz w:val="28"/>
        </w:rPr>
        <w:t>血證論</w:t>
      </w:r>
      <w:r>
        <w:rPr>
          <w:rFonts w:eastAsia="標楷體" w:ascii="標楷體" w:hAnsi="標楷體"/>
          <w:sz w:val="28"/>
        </w:rPr>
        <w:t>&gt;&gt;</w:t>
      </w:r>
      <w:r>
        <w:rPr>
          <w:rFonts w:ascii="標楷體" w:hAnsi="標楷體" w:eastAsia="標楷體"/>
          <w:sz w:val="28"/>
        </w:rPr>
        <w:t>曰</w:t>
      </w:r>
      <w:r>
        <w:rPr>
          <w:rFonts w:eastAsia="標楷體" w:ascii="標楷體" w:hAnsi="標楷體"/>
          <w:sz w:val="28"/>
        </w:rPr>
        <w:t>:</w:t>
      </w:r>
      <w:r>
        <w:rPr>
          <w:rFonts w:ascii="標楷體" w:hAnsi="標楷體" w:eastAsia="標楷體"/>
          <w:sz w:val="28"/>
        </w:rPr>
        <w:t>「</w:t>
      </w:r>
      <w:r>
        <w:rPr>
          <w:rFonts w:ascii="標楷體" w:hAnsi="標楷體" w:cs="MS Sans Serif;Arial" w:eastAsia="標楷體"/>
          <w:sz w:val="28"/>
        </w:rPr>
        <w:t>又有瘀血流注</w:t>
      </w:r>
      <w:r>
        <w:rPr>
          <w:rFonts w:ascii="標楷體" w:hAnsi="標楷體" w:cs="MS Sans Serif;Arial" w:eastAsia="標楷體"/>
          <w:sz w:val="28"/>
        </w:rPr>
        <w:t>，</w:t>
      </w:r>
      <w:r>
        <w:rPr>
          <w:rFonts w:ascii="標楷體" w:hAnsi="標楷體" w:cs="MS Sans Serif;Arial" w:eastAsia="標楷體"/>
          <w:sz w:val="28"/>
        </w:rPr>
        <w:t>四肢疼痛腫脹者，宜化去瘀血，消利腫脹。」</w:t>
      </w:r>
      <w:r>
        <w:rPr>
          <w:rFonts w:ascii="標楷體" w:hAnsi="標楷體" w:eastAsia="標楷體"/>
          <w:sz w:val="28"/>
        </w:rPr>
        <w:t>關於活血化瘀用藥可以較輕的丹參、川芎，其次桃仁、紅花，再次為三稜、莪朮、到最強的水蛭、虻虫，此外可以全蠍、地龍活血化瘀、搜風通絡、利濕。活血化瘀藥於急性期或慢性期皆可使用。</w:t>
      </w:r>
    </w:p>
    <w:p>
      <w:pPr>
        <w:pStyle w:val="Normal"/>
        <w:numPr>
          <w:ilvl w:val="0"/>
          <w:numId w:val="0"/>
        </w:numPr>
        <w:snapToGrid w:val="false"/>
        <w:jc w:val="both"/>
        <w:outlineLvl w:val="0"/>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津血同源、瘀痰同源</w:t>
      </w:r>
    </w:p>
    <w:p>
      <w:pPr>
        <w:pStyle w:val="Normal"/>
        <w:snapToGrid w:val="false"/>
        <w:jc w:val="both"/>
        <w:rPr>
          <w:rFonts w:ascii="標楷體" w:hAnsi="標楷體" w:eastAsia="標楷體" w:cs="華康細圓體"/>
          <w:sz w:val="28"/>
        </w:rPr>
      </w:pPr>
      <w:r>
        <w:rPr>
          <w:rFonts w:eastAsia="標楷體" w:cs="標楷體" w:ascii="標楷體" w:hAnsi="標楷體"/>
          <w:sz w:val="28"/>
        </w:rPr>
        <w:t xml:space="preserve">    </w:t>
      </w:r>
      <w:r>
        <w:rPr>
          <w:rFonts w:ascii="標楷體" w:hAnsi="標楷體" w:eastAsia="標楷體"/>
          <w:sz w:val="28"/>
        </w:rPr>
        <w:t>前有論及腎病症候群之高血脂症與高凝血狀態，是可以互相影響而相互惡化的，</w:t>
      </w:r>
      <w:r>
        <w:rPr>
          <w:rFonts w:eastAsia="標楷體" w:cs="華康細圓體" w:ascii="標楷體" w:hAnsi="標楷體"/>
          <w:sz w:val="28"/>
        </w:rPr>
        <w:t>&lt;&lt;</w:t>
      </w:r>
      <w:r>
        <w:rPr>
          <w:rFonts w:ascii="標楷體" w:hAnsi="標楷體" w:cs="華康細圓體" w:eastAsia="標楷體"/>
          <w:sz w:val="28"/>
        </w:rPr>
        <w:t>靈樞‧癰疽篇</w:t>
      </w:r>
      <w:r>
        <w:rPr>
          <w:rFonts w:eastAsia="標楷體" w:cs="華康細圓體" w:ascii="標楷體" w:hAnsi="標楷體"/>
          <w:sz w:val="28"/>
        </w:rPr>
        <w:t>&gt;&gt;</w:t>
      </w:r>
      <w:r>
        <w:rPr>
          <w:rFonts w:ascii="標楷體" w:hAnsi="標楷體" w:cs="華康細圓體" w:eastAsia="標楷體"/>
          <w:sz w:val="28"/>
        </w:rPr>
        <w:t>曰</w:t>
      </w:r>
      <w:r>
        <w:rPr>
          <w:rFonts w:eastAsia="標楷體" w:cs="華康細圓體" w:ascii="標楷體" w:hAnsi="標楷體"/>
          <w:sz w:val="28"/>
        </w:rPr>
        <w:t>:</w:t>
      </w:r>
      <w:r>
        <w:rPr>
          <w:rFonts w:ascii="標楷體" w:hAnsi="標楷體" w:cs="華康細圓體" w:eastAsia="標楷體"/>
          <w:sz w:val="28"/>
        </w:rPr>
        <w:t>「中焦出氣如霧，上注溪谷，而滲孫脈，津液和調，變化而赤為血。」</w:t>
      </w:r>
      <w:r>
        <w:rPr>
          <w:rFonts w:eastAsia="標楷體" w:cs="華康細圓體" w:ascii="標楷體" w:hAnsi="標楷體"/>
          <w:sz w:val="28"/>
        </w:rPr>
        <w:t>&lt;&lt;</w:t>
      </w:r>
      <w:r>
        <w:rPr>
          <w:rFonts w:ascii="標楷體" w:hAnsi="標楷體" w:cs="華康細圓體" w:eastAsia="標楷體"/>
          <w:sz w:val="28"/>
        </w:rPr>
        <w:t>靈樞‧邪客篇</w:t>
      </w:r>
      <w:r>
        <w:rPr>
          <w:rFonts w:eastAsia="標楷體" w:cs="華康細圓體" w:ascii="標楷體" w:hAnsi="標楷體"/>
          <w:sz w:val="28"/>
        </w:rPr>
        <w:t>&gt;&gt;</w:t>
      </w:r>
      <w:r>
        <w:rPr>
          <w:rFonts w:ascii="標楷體" w:hAnsi="標楷體" w:cs="華康細圓體" w:eastAsia="標楷體"/>
          <w:sz w:val="28"/>
        </w:rPr>
        <w:t>亦云</w:t>
      </w:r>
      <w:r>
        <w:rPr>
          <w:rFonts w:eastAsia="標楷體" w:cs="華康細圓體" w:ascii="標楷體" w:hAnsi="標楷體"/>
          <w:sz w:val="28"/>
        </w:rPr>
        <w:t>:</w:t>
      </w:r>
      <w:r>
        <w:rPr>
          <w:rFonts w:ascii="標楷體" w:hAnsi="標楷體" w:cs="華康細圓體" w:eastAsia="標楷體"/>
          <w:sz w:val="28"/>
        </w:rPr>
        <w:t>「營氣者，泌其津液，注之於脈，化以為血。」可見津和血有相同的來源。血行不暢則為瘀津液不行則亦化為痰，可見瘀和痰的形成亦相關連。</w:t>
      </w:r>
      <w:r>
        <w:rPr>
          <w:rFonts w:eastAsia="標楷體" w:cs="華康細圓體" w:ascii="標楷體" w:hAnsi="標楷體"/>
          <w:sz w:val="28"/>
        </w:rPr>
        <w:t>&lt;&lt;</w:t>
      </w:r>
      <w:r>
        <w:rPr>
          <w:rFonts w:ascii="標楷體" w:hAnsi="標楷體" w:cs="華康細圓體" w:eastAsia="標楷體"/>
          <w:sz w:val="28"/>
        </w:rPr>
        <w:t>諸病源候論‧諸痰候</w:t>
      </w:r>
      <w:r>
        <w:rPr>
          <w:rFonts w:eastAsia="標楷體" w:cs="華康細圓體" w:ascii="標楷體" w:hAnsi="標楷體"/>
          <w:sz w:val="28"/>
        </w:rPr>
        <w:t>&gt;&gt;</w:t>
      </w:r>
      <w:r>
        <w:rPr>
          <w:rFonts w:ascii="標楷體" w:hAnsi="標楷體" w:cs="華康細圓體" w:eastAsia="標楷體"/>
          <w:sz w:val="28"/>
        </w:rPr>
        <w:t>曰</w:t>
      </w:r>
      <w:r>
        <w:rPr>
          <w:rFonts w:eastAsia="標楷體" w:cs="華康細圓體" w:ascii="標楷體" w:hAnsi="標楷體"/>
          <w:sz w:val="28"/>
        </w:rPr>
        <w:t>:</w:t>
      </w:r>
      <w:r>
        <w:rPr>
          <w:rFonts w:ascii="標楷體" w:hAnsi="標楷體" w:cs="華康細圓體" w:eastAsia="標楷體"/>
          <w:sz w:val="28"/>
        </w:rPr>
        <w:t>「諸痰者，此由血脈壅塞。」以上的說法，給腎病症候群的</w:t>
      </w:r>
      <w:r>
        <w:rPr>
          <w:rFonts w:ascii="標楷體" w:hAnsi="標楷體" w:eastAsia="標楷體"/>
          <w:sz w:val="28"/>
        </w:rPr>
        <w:t>高血脂症與高凝血狀態的</w:t>
      </w:r>
      <w:r>
        <w:rPr>
          <w:rFonts w:ascii="標楷體" w:hAnsi="標楷體" w:cs="華康細圓體" w:eastAsia="標楷體"/>
          <w:sz w:val="28"/>
        </w:rPr>
        <w:t>中醫說法，作了一個很好的說明。</w:t>
      </w:r>
      <w:r>
        <w:br w:type="page"/>
      </w:r>
    </w:p>
    <w:p>
      <w:pPr>
        <w:pStyle w:val="Normal"/>
        <w:snapToGrid w:val="false"/>
        <w:jc w:val="center"/>
        <w:rPr>
          <w:rFonts w:ascii="標楷體" w:hAnsi="標楷體" w:eastAsia="標楷體"/>
          <w:b/>
          <w:b/>
          <w:sz w:val="32"/>
        </w:rPr>
      </w:pPr>
      <w:r>
        <w:rPr>
          <w:rFonts w:ascii="標楷體" w:hAnsi="標楷體" w:eastAsia="標楷體"/>
          <w:b/>
          <w:sz w:val="32"/>
        </w:rPr>
        <w:t>第六章  血尿的中醫觀</w:t>
      </w:r>
    </w:p>
    <w:p>
      <w:pPr>
        <w:pStyle w:val="Normal"/>
        <w:snapToGrid w:val="false"/>
        <w:jc w:val="both"/>
        <w:rPr>
          <w:rFonts w:ascii="標楷體" w:hAnsi="標楷體" w:eastAsia="標楷體"/>
          <w:sz w:val="16"/>
        </w:rPr>
      </w:pPr>
      <w:r>
        <w:rPr>
          <w:rFonts w:eastAsia="標楷體" w:cs="標楷體" w:ascii="標楷體" w:hAnsi="標楷體"/>
          <w:sz w:val="16"/>
        </w:rPr>
        <w:t xml:space="preserve">    </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血尿顧名思義就是尿中有血，若顯微鏡底下一個視野可見到</w:t>
      </w:r>
      <w:r>
        <w:rPr>
          <w:rFonts w:eastAsia="標楷體" w:ascii="標楷體" w:hAnsi="標楷體"/>
          <w:sz w:val="28"/>
        </w:rPr>
        <w:t>3-5</w:t>
      </w:r>
      <w:r>
        <w:rPr>
          <w:rFonts w:ascii="標楷體" w:hAnsi="標楷體" w:eastAsia="標楷體"/>
          <w:sz w:val="28"/>
        </w:rPr>
        <w:t>個以上的紅血球，即定義為血尿。可分為肉眼可見以及顯微鏡底下見到之血尿，其一般原因可分為受傷﹑感染﹑結石﹑癌症﹑發炎。</w:t>
      </w:r>
    </w:p>
    <w:p>
      <w:pPr>
        <w:pStyle w:val="Normal"/>
        <w:snapToGrid w:val="false"/>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血尿的特性</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血尿一般有如下的特性，若伴有蛋白尿則要考慮腎絲球腎炎與其他腎臟疾病，以</w:t>
      </w:r>
      <w:r>
        <w:rPr>
          <w:rFonts w:eastAsia="標楷體" w:ascii="標楷體" w:hAnsi="標楷體"/>
          <w:sz w:val="28"/>
        </w:rPr>
        <w:t>IgA</w:t>
      </w:r>
      <w:r>
        <w:rPr>
          <w:rFonts w:ascii="標楷體" w:hAnsi="標楷體" w:eastAsia="標楷體"/>
          <w:sz w:val="28"/>
        </w:rPr>
        <w:t>腎病變為常見之因</w:t>
      </w:r>
      <w:r>
        <w:rPr>
          <w:rFonts w:eastAsia="標楷體" w:ascii="標楷體" w:hAnsi="標楷體"/>
          <w:sz w:val="28"/>
        </w:rPr>
        <w:t>;</w:t>
      </w:r>
      <w:r>
        <w:rPr>
          <w:rFonts w:ascii="標楷體" w:hAnsi="標楷體" w:eastAsia="標楷體"/>
          <w:sz w:val="28"/>
        </w:rPr>
        <w:t>血尿若伴有白血球則考慮泌尿道感染，泌尿道感染所造成的血尿，小便時一般會有澀痛的感覺</w:t>
      </w:r>
      <w:r>
        <w:rPr>
          <w:rFonts w:eastAsia="標楷體" w:ascii="標楷體" w:hAnsi="標楷體"/>
          <w:sz w:val="28"/>
        </w:rPr>
        <w:t>;</w:t>
      </w:r>
      <w:r>
        <w:rPr>
          <w:rFonts w:ascii="標楷體" w:hAnsi="標楷體" w:eastAsia="標楷體"/>
          <w:sz w:val="28"/>
        </w:rPr>
        <w:t>結石的血尿一般會痛，甚至會有背部肋骨底下敲擊痛或痛至下腹部的情形</w:t>
      </w:r>
      <w:r>
        <w:rPr>
          <w:rFonts w:eastAsia="標楷體" w:ascii="標楷體" w:hAnsi="標楷體"/>
          <w:sz w:val="28"/>
        </w:rPr>
        <w:t>;</w:t>
      </w:r>
      <w:r>
        <w:rPr>
          <w:rFonts w:ascii="標楷體" w:hAnsi="標楷體" w:eastAsia="標楷體"/>
          <w:sz w:val="28"/>
        </w:rPr>
        <w:t>腎癌甚至會以無痛性全程血尿</w:t>
      </w:r>
      <w:r>
        <w:rPr>
          <w:rFonts w:eastAsia="標楷體" w:ascii="標楷體" w:hAnsi="標楷體"/>
          <w:sz w:val="28"/>
        </w:rPr>
        <w:t>(</w:t>
      </w:r>
      <w:r>
        <w:rPr>
          <w:rFonts w:eastAsia="標楷體" w:cs="Arial" w:ascii="標楷體" w:hAnsi="標楷體"/>
          <w:sz w:val="28"/>
        </w:rPr>
        <w:t>Painless Grossly Hematuria</w:t>
      </w:r>
      <w:r>
        <w:rPr>
          <w:rFonts w:eastAsia="標楷體" w:ascii="標楷體" w:hAnsi="標楷體"/>
          <w:sz w:val="28"/>
        </w:rPr>
        <w:t>)</w:t>
      </w:r>
      <w:r>
        <w:rPr>
          <w:rFonts w:ascii="標楷體" w:hAnsi="標楷體" w:eastAsia="標楷體"/>
          <w:sz w:val="28"/>
        </w:rPr>
        <w:t>為表現</w:t>
      </w:r>
      <w:r>
        <w:rPr>
          <w:rFonts w:eastAsia="標楷體" w:ascii="標楷體" w:hAnsi="標楷體"/>
          <w:sz w:val="28"/>
        </w:rPr>
        <w:t>;</w:t>
      </w:r>
      <w:r>
        <w:rPr>
          <w:rFonts w:ascii="標楷體" w:hAnsi="標楷體" w:eastAsia="標楷體"/>
          <w:sz w:val="28"/>
        </w:rPr>
        <w:t>男性最常見的鏡下血尿的原因為攝護腺肥大。除了以上造成血尿的原因之外，運動大量出汗﹑脫水﹑婦女經期﹑攝水不足、輕微感染與受傷都要考慮在內。另外，其他原因如高鈣血症﹑高尿酸血症均有可能包括在內。</w:t>
      </w:r>
    </w:p>
    <w:p>
      <w:pPr>
        <w:pStyle w:val="Normal"/>
        <w:snapToGrid w:val="false"/>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血尿中醫的觀點</w:t>
      </w:r>
    </w:p>
    <w:p>
      <w:pPr>
        <w:pStyle w:val="Normal"/>
        <w:snapToGrid w:val="false"/>
        <w:ind w:firstLine="555"/>
        <w:jc w:val="both"/>
        <w:rPr>
          <w:rFonts w:ascii="標楷體" w:hAnsi="標楷體" w:eastAsia="標楷體"/>
          <w:sz w:val="28"/>
        </w:rPr>
      </w:pPr>
      <w:r>
        <w:rPr>
          <w:rFonts w:ascii="標楷體" w:hAnsi="標楷體" w:eastAsia="標楷體"/>
          <w:sz w:val="28"/>
        </w:rPr>
        <w:t>血尿在中醫的觀點除了以上特性之外，亦有所謂火氣大、氣虛所造成的血尿。可能火氣大或氣虛，讓既存的血尿的病因蠢蠢欲動，如感染、結石或腎炎因而被引發。有可能老年人泌尿道血管較脆弱，每每疲勞或感染即破裂，而其痛神經較不敏感，產生感染亦不覺痛，因此產生全程性無痛性血尿。年輕人血尿也有因火氣大者，或者身體勞累﹑或者飲食不節，容易引發泌尿道感染，造成疼痛的血尿，往往一吃補，就產生血尿，並且小便澀痛，尤其是女性。</w:t>
      </w:r>
    </w:p>
    <w:p>
      <w:pPr>
        <w:pStyle w:val="Normal"/>
        <w:snapToGrid w:val="false"/>
        <w:ind w:firstLine="555"/>
        <w:jc w:val="both"/>
        <w:rPr/>
      </w:pPr>
      <w:r>
        <w:rPr>
          <w:rFonts w:ascii="標楷體" w:hAnsi="標楷體" w:eastAsia="標楷體"/>
          <w:b/>
          <w:sz w:val="28"/>
        </w:rPr>
        <w:t>陰虛火旺：</w:t>
      </w:r>
      <w:r>
        <w:rPr>
          <w:rFonts w:eastAsia="標楷體" w:ascii="標楷體" w:hAnsi="標楷體"/>
          <w:sz w:val="28"/>
        </w:rPr>
        <w:t>&lt;&lt;</w:t>
      </w:r>
      <w:r>
        <w:rPr>
          <w:rFonts w:ascii="標楷體" w:hAnsi="標楷體" w:eastAsia="標楷體"/>
          <w:sz w:val="28"/>
        </w:rPr>
        <w:t>素問‧氣厥論</w:t>
      </w:r>
      <w:r>
        <w:rPr>
          <w:rFonts w:eastAsia="標楷體" w:ascii="標楷體" w:hAnsi="標楷體"/>
          <w:sz w:val="28"/>
        </w:rPr>
        <w:t>&gt;&gt;</w:t>
      </w:r>
      <w:r>
        <w:rPr>
          <w:rFonts w:ascii="標楷體" w:hAnsi="標楷體" w:eastAsia="標楷體"/>
          <w:sz w:val="28"/>
        </w:rPr>
        <w:t>「</w:t>
      </w:r>
      <w:r>
        <w:rPr>
          <w:rFonts w:ascii="標楷體" w:hAnsi="標楷體" w:eastAsia="標楷體"/>
          <w:sz w:val="28"/>
        </w:rPr>
        <w:t>胞移熱於膀胱，則癃</w:t>
      </w:r>
      <w:r>
        <w:rPr>
          <w:rFonts w:ascii="標楷體" w:hAnsi="標楷體" w:eastAsia="標楷體"/>
          <w:sz w:val="28"/>
        </w:rPr>
        <w:t>、</w:t>
      </w:r>
      <w:r>
        <w:rPr>
          <w:rFonts w:ascii="標楷體" w:hAnsi="標楷體" w:eastAsia="標楷體"/>
          <w:sz w:val="28"/>
        </w:rPr>
        <w:t>溺血。」</w:t>
      </w:r>
      <w:r>
        <w:rPr>
          <w:rFonts w:eastAsia="標楷體" w:cs="MS Sans Serif;Arial" w:ascii="標楷體" w:hAnsi="標楷體"/>
          <w:sz w:val="28"/>
        </w:rPr>
        <w:t>&lt;&lt;</w:t>
      </w:r>
      <w:r>
        <w:rPr>
          <w:rFonts w:ascii="標楷體" w:hAnsi="標楷體" w:cs="MS Sans Serif;Arial" w:eastAsia="標楷體"/>
          <w:sz w:val="28"/>
        </w:rPr>
        <w:t>類經．疾病類．四十六</w:t>
      </w:r>
      <w:r>
        <w:rPr>
          <w:rFonts w:eastAsia="標楷體" w:cs="MS Sans Serif;Arial" w:ascii="標楷體" w:hAnsi="標楷體"/>
          <w:sz w:val="28"/>
        </w:rPr>
        <w:t>&gt;&gt;</w:t>
      </w:r>
      <w:r>
        <w:rPr>
          <w:rFonts w:ascii="標楷體" w:hAnsi="標楷體" w:cs="MS Sans Serif;Arial" w:eastAsia="標楷體"/>
          <w:sz w:val="28"/>
        </w:rPr>
        <w:t>「</w:t>
      </w:r>
      <w:r>
        <w:rPr>
          <w:rFonts w:ascii="標楷體" w:hAnsi="標楷體" w:cs="MS Sans Serif;Arial" w:eastAsia="標楷體"/>
          <w:sz w:val="28"/>
        </w:rPr>
        <w:t>胞，子宮也，在男則為精室，在女則為血室，膀胱，津液之府也，俗名謂之溲胞。命門火盛，則胞宮移熱於膀胱，故小便不利為癃，甚則為溺血，常見相火妄動，逆而不通，多患此者，即其證也。」</w:t>
      </w:r>
      <w:r>
        <w:rPr>
          <w:rFonts w:eastAsia="標楷體" w:ascii="標楷體" w:hAnsi="標楷體"/>
          <w:sz w:val="28"/>
        </w:rPr>
        <w:t>&lt;&lt;</w:t>
      </w:r>
      <w:r>
        <w:rPr>
          <w:rFonts w:ascii="標楷體" w:hAnsi="標楷體" w:eastAsia="標楷體"/>
          <w:sz w:val="28"/>
        </w:rPr>
        <w:t>素問</w:t>
      </w:r>
      <w:r>
        <w:rPr>
          <w:rFonts w:ascii="標楷體" w:hAnsi="標楷體" w:cs="MS Sans Serif;Arial" w:eastAsia="標楷體"/>
        </w:rPr>
        <w:t>．</w:t>
      </w:r>
      <w:r>
        <w:rPr>
          <w:rFonts w:ascii="標楷體" w:hAnsi="標楷體" w:cs="MS Sans Serif;Arial" w:eastAsia="標楷體"/>
          <w:sz w:val="28"/>
        </w:rPr>
        <w:t>痿論</w:t>
      </w:r>
      <w:r>
        <w:rPr>
          <w:rFonts w:eastAsia="標楷體" w:ascii="標楷體" w:hAnsi="標楷體"/>
          <w:sz w:val="28"/>
        </w:rPr>
        <w:t>&gt;&gt;</w:t>
      </w:r>
      <w:r>
        <w:rPr>
          <w:rFonts w:ascii="標楷體" w:hAnsi="標楷體" w:eastAsia="標楷體"/>
          <w:sz w:val="28"/>
        </w:rPr>
        <w:t>「</w:t>
      </w:r>
      <w:r>
        <w:rPr>
          <w:rFonts w:ascii="標楷體" w:hAnsi="標楷體" w:eastAsia="標楷體"/>
          <w:sz w:val="28"/>
        </w:rPr>
        <w:t>悲哀太甚則胞絡絕，胞絡絕則陽氣內動，發則心下崩，數溲血也。」由上可知，無論是相火妄動或陽氣內動，熱迫血妄行的結果，都是造成血尿的原因。</w:t>
      </w:r>
      <w:r>
        <w:rPr>
          <w:rFonts w:eastAsia="標楷體" w:ascii="標楷體" w:hAnsi="標楷體"/>
          <w:sz w:val="28"/>
        </w:rPr>
        <w:t>&lt;&lt;</w:t>
      </w:r>
      <w:r>
        <w:rPr>
          <w:rFonts w:ascii="標楷體" w:hAnsi="標楷體" w:eastAsia="標楷體"/>
          <w:sz w:val="28"/>
        </w:rPr>
        <w:t>諸病源候論</w:t>
      </w:r>
      <w:r>
        <w:rPr>
          <w:rFonts w:ascii="標楷體" w:hAnsi="標楷體" w:cs="MS Sans Serif;Arial" w:eastAsia="標楷體"/>
          <w:sz w:val="28"/>
        </w:rPr>
        <w:t>．虛勞尿血候</w:t>
      </w:r>
      <w:r>
        <w:rPr>
          <w:rFonts w:eastAsia="標楷體" w:ascii="標楷體" w:hAnsi="標楷體"/>
          <w:sz w:val="28"/>
        </w:rPr>
        <w:t>&gt;&gt;</w:t>
      </w:r>
      <w:r>
        <w:rPr>
          <w:rFonts w:ascii="標楷體" w:hAnsi="標楷體" w:eastAsia="標楷體"/>
          <w:sz w:val="28"/>
        </w:rPr>
        <w:t>曰：「</w:t>
      </w:r>
      <w:r>
        <w:rPr>
          <w:rFonts w:ascii="標楷體" w:hAnsi="標楷體" w:cs="MS Sans Serif;Arial" w:eastAsia="標楷體"/>
          <w:sz w:val="28"/>
        </w:rPr>
        <w:t>勞傷而生客熱，血滲於胞故也。血得溫而妄行，故因熱流散，滲於胞而尿血也。」</w:t>
      </w:r>
      <w:r>
        <w:rPr>
          <w:rFonts w:ascii="標楷體" w:hAnsi="標楷體" w:eastAsia="標楷體"/>
          <w:sz w:val="28"/>
        </w:rPr>
        <w:t>亦有相類似的說法，一般藥用知柏地黃丸。</w:t>
      </w:r>
    </w:p>
    <w:p>
      <w:pPr>
        <w:pStyle w:val="Normal"/>
        <w:snapToGrid w:val="false"/>
        <w:jc w:val="both"/>
        <w:rPr/>
      </w:pPr>
      <w:r>
        <w:rPr>
          <w:rFonts w:eastAsia="標楷體" w:cs="標楷體" w:ascii="標楷體" w:hAnsi="標楷體"/>
          <w:b/>
          <w:sz w:val="28"/>
        </w:rPr>
        <w:t xml:space="preserve">    </w:t>
      </w:r>
      <w:r>
        <w:rPr>
          <w:rFonts w:ascii="標楷體" w:hAnsi="標楷體" w:eastAsia="標楷體"/>
          <w:b/>
          <w:sz w:val="28"/>
        </w:rPr>
        <w:t>心火移熱於小腸：</w:t>
      </w:r>
      <w:r>
        <w:rPr>
          <w:rFonts w:eastAsia="標楷體" w:ascii="標楷體" w:hAnsi="標楷體"/>
          <w:sz w:val="28"/>
        </w:rPr>
        <w:t>&lt;&lt;</w:t>
      </w:r>
      <w:r>
        <w:rPr>
          <w:rFonts w:ascii="標楷體" w:hAnsi="標楷體" w:eastAsia="標楷體"/>
          <w:sz w:val="28"/>
        </w:rPr>
        <w:t>諸病源候論</w:t>
      </w:r>
      <w:r>
        <w:rPr>
          <w:rFonts w:ascii="標楷體" w:hAnsi="標楷體" w:cs="MS Sans Serif;Arial" w:eastAsia="標楷體"/>
          <w:sz w:val="28"/>
        </w:rPr>
        <w:t>．小便血候</w:t>
      </w:r>
      <w:r>
        <w:rPr>
          <w:rFonts w:eastAsia="標楷體" w:ascii="標楷體" w:hAnsi="標楷體"/>
          <w:sz w:val="28"/>
        </w:rPr>
        <w:t>&gt;&gt;</w:t>
      </w:r>
      <w:r>
        <w:rPr>
          <w:rFonts w:ascii="標楷體" w:hAnsi="標楷體" w:eastAsia="標楷體"/>
          <w:sz w:val="28"/>
        </w:rPr>
        <w:t>曰：「心主于血，與小腸合，若心家有熱，結于小腸，故小便血也。」</w:t>
      </w:r>
      <w:r>
        <w:rPr>
          <w:rFonts w:eastAsia="標楷體" w:ascii="標楷體" w:hAnsi="標楷體"/>
          <w:sz w:val="28"/>
        </w:rPr>
        <w:t>&lt;&lt;</w:t>
      </w:r>
      <w:r>
        <w:rPr>
          <w:rFonts w:ascii="標楷體" w:hAnsi="標楷體" w:eastAsia="標楷體"/>
          <w:sz w:val="28"/>
        </w:rPr>
        <w:t>外台祕要</w:t>
      </w:r>
      <w:r>
        <w:rPr>
          <w:rFonts w:eastAsia="標楷體" w:ascii="標楷體" w:hAnsi="標楷體"/>
          <w:sz w:val="28"/>
        </w:rPr>
        <w:t>&gt;&gt;</w:t>
      </w:r>
      <w:r>
        <w:rPr>
          <w:rFonts w:ascii="標楷體" w:hAnsi="標楷體" w:eastAsia="標楷體"/>
          <w:sz w:val="28"/>
        </w:rPr>
        <w:t>「</w:t>
      </w:r>
      <w:r>
        <w:rPr>
          <w:rFonts w:ascii="標楷體" w:hAnsi="標楷體" w:eastAsia="標楷體"/>
          <w:sz w:val="28"/>
        </w:rPr>
        <w:t>憂愁驚恐，心氣虛熱，客邪氣與熱搏於心，所以小便赤，</w:t>
      </w:r>
      <w:r>
        <w:rPr>
          <w:rFonts w:ascii="標楷體" w:hAnsi="標楷體" w:eastAsia="標楷體"/>
          <w:sz w:val="28"/>
        </w:rPr>
        <w:t>……</w:t>
      </w:r>
      <w:r>
        <w:rPr>
          <w:rFonts w:ascii="標楷體" w:hAnsi="標楷體" w:eastAsia="標楷體"/>
          <w:sz w:val="28"/>
        </w:rPr>
        <w:t>驚恐動於心，心不受邪，邪即傳於小腸，滲入胞中，所以小便赤。」以上提出了心火和尿血的關係，一般方用黃連解毒湯、導赤散。</w:t>
      </w:r>
    </w:p>
    <w:p>
      <w:pPr>
        <w:pStyle w:val="Normal"/>
        <w:snapToGrid w:val="false"/>
        <w:jc w:val="both"/>
        <w:rPr>
          <w:rFonts w:ascii="標楷體" w:hAnsi="標楷體" w:eastAsia="標楷體"/>
          <w:sz w:val="28"/>
        </w:rPr>
      </w:pPr>
      <w:r>
        <w:rPr>
          <w:rFonts w:eastAsia="標楷體" w:cs="標楷體" w:ascii="標楷體" w:hAnsi="標楷體"/>
          <w:b/>
          <w:sz w:val="28"/>
        </w:rPr>
        <w:t xml:space="preserve">    </w:t>
      </w:r>
      <w:r>
        <w:rPr>
          <w:rFonts w:ascii="標楷體" w:hAnsi="標楷體" w:eastAsia="標楷體"/>
          <w:b/>
          <w:sz w:val="28"/>
        </w:rPr>
        <w:t>濕熱壅盛：</w:t>
      </w:r>
      <w:r>
        <w:rPr>
          <w:rFonts w:eastAsia="標楷體" w:ascii="標楷體" w:hAnsi="標楷體"/>
          <w:sz w:val="28"/>
        </w:rPr>
        <w:t>&lt;&lt;</w:t>
      </w:r>
      <w:r>
        <w:rPr>
          <w:rFonts w:ascii="標楷體" w:hAnsi="標楷體" w:eastAsia="標楷體"/>
          <w:sz w:val="28"/>
        </w:rPr>
        <w:t>證治準繩</w:t>
      </w:r>
      <w:r>
        <w:rPr>
          <w:rFonts w:eastAsia="標楷體" w:ascii="標楷體" w:hAnsi="標楷體"/>
          <w:sz w:val="28"/>
        </w:rPr>
        <w:t>&gt;&gt;</w:t>
      </w:r>
      <w:r>
        <w:rPr>
          <w:rFonts w:ascii="標楷體" w:hAnsi="標楷體" w:eastAsia="標楷體"/>
          <w:sz w:val="28"/>
        </w:rPr>
        <w:t>「</w:t>
      </w:r>
      <w:r>
        <w:rPr>
          <w:rFonts w:ascii="標楷體" w:hAnsi="標楷體" w:eastAsia="標楷體"/>
          <w:sz w:val="28"/>
        </w:rPr>
        <w:t>脾土是勝水之賊邪，水精不佈，則壅成濕熱，陷下傷於水道，腎與膀胱俱受其害，害則陰絡傷，傷則血散入尿中而溲血。」可見濕熱也是造成血尿的原因之一，若濕熱下注膀胱者可用導赤散，屬肝膽濕熱者，用龍膽瀉肝湯。</w:t>
      </w:r>
    </w:p>
    <w:p>
      <w:pPr>
        <w:pStyle w:val="Normal"/>
        <w:overflowPunct w:val="false"/>
        <w:autoSpaceDE w:val="false"/>
        <w:snapToGrid w:val="false"/>
        <w:jc w:val="both"/>
        <w:rPr/>
      </w:pPr>
      <w:r>
        <w:rPr>
          <w:rFonts w:eastAsia="標楷體" w:cs="標楷體" w:ascii="標楷體" w:hAnsi="標楷體"/>
          <w:b/>
          <w:sz w:val="28"/>
        </w:rPr>
        <w:t xml:space="preserve">    </w:t>
      </w:r>
      <w:r>
        <w:rPr>
          <w:rFonts w:ascii="標楷體" w:hAnsi="標楷體" w:eastAsia="標楷體"/>
          <w:b/>
          <w:sz w:val="28"/>
        </w:rPr>
        <w:t>虛證血尿：</w:t>
      </w:r>
      <w:r>
        <w:rPr>
          <w:rFonts w:eastAsia="標楷體" w:ascii="標楷體" w:hAnsi="標楷體"/>
          <w:sz w:val="28"/>
        </w:rPr>
        <w:t>&lt;&lt;</w:t>
      </w:r>
      <w:r>
        <w:rPr>
          <w:rFonts w:ascii="標楷體" w:hAnsi="標楷體" w:eastAsia="標楷體"/>
          <w:sz w:val="28"/>
        </w:rPr>
        <w:t>臨症指南醫案</w:t>
      </w:r>
      <w:r>
        <w:rPr>
          <w:rFonts w:eastAsia="標楷體" w:ascii="標楷體" w:hAnsi="標楷體"/>
          <w:sz w:val="28"/>
        </w:rPr>
        <w:t>&gt;&gt;</w:t>
      </w:r>
      <w:r>
        <w:rPr>
          <w:rFonts w:ascii="標楷體" w:hAnsi="標楷體" w:eastAsia="標楷體"/>
          <w:sz w:val="28"/>
        </w:rPr>
        <w:t>認為：「</w:t>
      </w:r>
      <w:r>
        <w:rPr>
          <w:rFonts w:ascii="標楷體" w:hAnsi="標楷體" w:cs="MS Sans Serif;Arial" w:eastAsia="標楷體"/>
          <w:sz w:val="28"/>
        </w:rPr>
        <w:t>尿血一症</w:t>
      </w:r>
      <w:r>
        <w:rPr>
          <w:rFonts w:ascii="標楷體" w:hAnsi="標楷體" w:cs="MS Sans Serif;Arial" w:eastAsia="標楷體"/>
          <w:sz w:val="28"/>
        </w:rPr>
        <w:t>，</w:t>
      </w:r>
      <w:r>
        <w:rPr>
          <w:rFonts w:ascii="標楷體" w:hAnsi="標楷體" w:cs="MS Sans Serif;Arial" w:eastAsia="標楷體"/>
          <w:sz w:val="28"/>
        </w:rPr>
        <w:t>虛者居多</w:t>
      </w:r>
      <w:r>
        <w:rPr>
          <w:rFonts w:ascii="標楷體" w:hAnsi="標楷體" w:cs="MS Sans Serif;Arial" w:eastAsia="標楷體"/>
          <w:sz w:val="28"/>
        </w:rPr>
        <w:t>，</w:t>
      </w:r>
      <w:r>
        <w:rPr>
          <w:rFonts w:ascii="標楷體" w:hAnsi="標楷體" w:cs="MS Sans Serif;Arial" w:eastAsia="標楷體"/>
          <w:sz w:val="28"/>
        </w:rPr>
        <w:t>若有火亦能作痛</w:t>
      </w:r>
      <w:r>
        <w:rPr>
          <w:rFonts w:ascii="標楷體" w:hAnsi="標楷體" w:cs="MS Sans Serif;Arial" w:eastAsia="標楷體"/>
          <w:sz w:val="28"/>
        </w:rPr>
        <w:t>。」</w:t>
      </w:r>
      <w:r>
        <w:rPr>
          <w:rFonts w:eastAsia="標楷體" w:ascii="標楷體" w:hAnsi="標楷體"/>
          <w:sz w:val="28"/>
        </w:rPr>
        <w:t>&lt;&lt;</w:t>
      </w:r>
      <w:r>
        <w:rPr>
          <w:rFonts w:ascii="標楷體" w:hAnsi="標楷體" w:eastAsia="標楷體"/>
          <w:sz w:val="28"/>
        </w:rPr>
        <w:t>醫學衷中參西錄</w:t>
      </w:r>
      <w:r>
        <w:rPr>
          <w:rFonts w:eastAsia="標楷體" w:ascii="標楷體" w:hAnsi="標楷體"/>
          <w:sz w:val="28"/>
        </w:rPr>
        <w:t>&gt;&gt;</w:t>
      </w:r>
      <w:r>
        <w:rPr>
          <w:rFonts w:ascii="標楷體" w:hAnsi="標楷體" w:eastAsia="標楷體"/>
          <w:sz w:val="28"/>
        </w:rPr>
        <w:t>「</w:t>
      </w:r>
      <w:r>
        <w:rPr>
          <w:rFonts w:ascii="標楷體" w:hAnsi="標楷體" w:eastAsia="標楷體"/>
          <w:sz w:val="28"/>
        </w:rPr>
        <w:t>中氣虛弱，不能攝血，又兼命門相火衰弱，乏吸攝之力，以致腎臟不能封固，血隨小便而脫出也。」以上均認為氣不攝血亦為溲血的原因之一，屬脾氣虛者可用歸脾湯，屬腎氣虛者可用無比山藥丸。</w:t>
      </w:r>
    </w:p>
    <w:p>
      <w:pPr>
        <w:pStyle w:val="Normal"/>
        <w:snapToGrid w:val="false"/>
        <w:ind w:firstLine="555"/>
        <w:jc w:val="both"/>
        <w:rPr/>
      </w:pPr>
      <w:r>
        <w:rPr>
          <w:rFonts w:ascii="標楷體" w:hAnsi="標楷體" w:eastAsia="標楷體"/>
          <w:b/>
          <w:sz w:val="28"/>
        </w:rPr>
        <w:t>瘀血內阻：</w:t>
      </w:r>
      <w:r>
        <w:rPr>
          <w:rFonts w:ascii="標楷體" w:hAnsi="標楷體" w:eastAsia="標楷體"/>
          <w:sz w:val="28"/>
        </w:rPr>
        <w:t>屬瘀血內阻者一般可用血府逐瘀湯加減。</w:t>
      </w:r>
    </w:p>
    <w:p>
      <w:pPr>
        <w:pStyle w:val="Normal"/>
        <w:snapToGrid w:val="false"/>
        <w:ind w:firstLine="555"/>
        <w:jc w:val="both"/>
        <w:rPr>
          <w:rFonts w:ascii="標楷體" w:hAnsi="標楷體" w:eastAsia="標楷體"/>
          <w:sz w:val="28"/>
        </w:rPr>
      </w:pPr>
      <w:r>
        <w:rPr>
          <w:rFonts w:ascii="標楷體" w:hAnsi="標楷體" w:eastAsia="標楷體"/>
          <w:sz w:val="28"/>
        </w:rPr>
        <w:t>值得一提的是，血尿若屬瘀血內阻或濕熱壅盛者，涼血藥的使用是要小心的，寒涼鬱遏，有時反使瘀血濕熱更加熾盛，血尿的情形也就更嚴重。另外，血尿屬本虛標實者，如邪熱迫血妄行，傷及血分，亦可加上阿膠等補血藥物，如</w:t>
      </w:r>
      <w:r>
        <w:rPr>
          <w:rFonts w:eastAsia="標楷體" w:ascii="標楷體" w:hAnsi="標楷體"/>
          <w:sz w:val="28"/>
        </w:rPr>
        <w:t>&lt;&lt;</w:t>
      </w:r>
      <w:r>
        <w:rPr>
          <w:rFonts w:ascii="標楷體" w:hAnsi="標楷體" w:eastAsia="標楷體"/>
          <w:sz w:val="28"/>
        </w:rPr>
        <w:t>千金要方</w:t>
      </w:r>
      <w:r>
        <w:rPr>
          <w:rFonts w:ascii="標楷體" w:hAnsi="標楷體" w:cs="MS Sans Serif;Arial" w:eastAsia="標楷體"/>
          <w:sz w:val="28"/>
        </w:rPr>
        <w:t>．尿血</w:t>
      </w:r>
      <w:r>
        <w:rPr>
          <w:rFonts w:eastAsia="標楷體" w:ascii="標楷體" w:hAnsi="標楷體"/>
          <w:sz w:val="28"/>
        </w:rPr>
        <w:t>&gt;&gt;</w:t>
      </w:r>
      <w:r>
        <w:rPr>
          <w:rFonts w:ascii="標楷體" w:hAnsi="標楷體" w:eastAsia="標楷體"/>
          <w:sz w:val="28"/>
        </w:rPr>
        <w:t>：「</w:t>
      </w:r>
      <w:r>
        <w:rPr>
          <w:rFonts w:ascii="標楷體" w:hAnsi="標楷體" w:cs="MS Sans Serif;Arial" w:eastAsia="標楷體"/>
          <w:sz w:val="28"/>
        </w:rPr>
        <w:t>治小便血方，生地黃</w:t>
      </w:r>
      <w:r>
        <w:rPr>
          <w:rFonts w:ascii="標楷體" w:hAnsi="標楷體" w:cs="MS Sans Serif;Arial" w:eastAsia="標楷體"/>
          <w:sz w:val="28"/>
        </w:rPr>
        <w:t xml:space="preserve"> </w:t>
      </w:r>
      <w:r>
        <w:rPr>
          <w:rFonts w:eastAsia="標楷體" w:cs="MS Sans Serif;Arial" w:ascii="標楷體" w:hAnsi="標楷體"/>
          <w:sz w:val="28"/>
        </w:rPr>
        <w:t>(</w:t>
      </w:r>
      <w:r>
        <w:rPr>
          <w:rFonts w:ascii="標楷體" w:hAnsi="標楷體" w:cs="MS Sans Serif;Arial" w:eastAsia="標楷體"/>
          <w:sz w:val="28"/>
        </w:rPr>
        <w:t>八兩</w:t>
      </w:r>
      <w:r>
        <w:rPr>
          <w:rFonts w:eastAsia="標楷體" w:cs="MS Sans Serif;Arial" w:ascii="標楷體" w:hAnsi="標楷體"/>
          <w:sz w:val="28"/>
        </w:rPr>
        <w:t>)</w:t>
      </w:r>
      <w:r>
        <w:rPr>
          <w:rFonts w:ascii="標楷體" w:hAnsi="標楷體" w:cs="MS Sans Serif;Arial" w:eastAsia="標楷體"/>
          <w:sz w:val="28"/>
        </w:rPr>
        <w:t>、棉葉</w:t>
      </w:r>
      <w:r>
        <w:rPr>
          <w:rFonts w:ascii="標楷體" w:hAnsi="標楷體" w:cs="MS Sans Serif;Arial" w:eastAsia="標楷體"/>
          <w:sz w:val="28"/>
        </w:rPr>
        <w:t xml:space="preserve"> </w:t>
      </w:r>
      <w:r>
        <w:rPr>
          <w:rFonts w:eastAsia="標楷體" w:cs="MS Sans Serif;Arial" w:ascii="標楷體" w:hAnsi="標楷體"/>
          <w:sz w:val="28"/>
        </w:rPr>
        <w:t>(</w:t>
      </w:r>
      <w:r>
        <w:rPr>
          <w:rFonts w:ascii="標楷體" w:hAnsi="標楷體" w:cs="MS Sans Serif;Arial" w:eastAsia="標楷體"/>
          <w:sz w:val="28"/>
        </w:rPr>
        <w:t>一把</w:t>
      </w:r>
      <w:r>
        <w:rPr>
          <w:rFonts w:eastAsia="標楷體" w:cs="MS Sans Serif;Arial" w:ascii="標楷體" w:hAnsi="標楷體"/>
          <w:sz w:val="28"/>
        </w:rPr>
        <w:t>)</w:t>
      </w:r>
      <w:r>
        <w:rPr>
          <w:rFonts w:ascii="標楷體" w:hAnsi="標楷體" w:cs="MS Sans Serif;Arial" w:eastAsia="標楷體"/>
          <w:sz w:val="28"/>
        </w:rPr>
        <w:t>、黃芩、阿膠</w:t>
      </w:r>
      <w:r>
        <w:rPr>
          <w:rFonts w:ascii="標楷體" w:hAnsi="標楷體" w:cs="MS Sans Serif;Arial" w:eastAsia="標楷體"/>
          <w:sz w:val="28"/>
        </w:rPr>
        <w:t xml:space="preserve"> </w:t>
      </w:r>
      <w:r>
        <w:rPr>
          <w:rFonts w:eastAsia="標楷體" w:cs="MS Sans Serif;Arial" w:ascii="標楷體" w:hAnsi="標楷體"/>
          <w:sz w:val="28"/>
        </w:rPr>
        <w:t>(</w:t>
      </w:r>
      <w:r>
        <w:rPr>
          <w:rFonts w:ascii="標楷體" w:hAnsi="標楷體" w:cs="MS Sans Serif;Arial" w:eastAsia="標楷體"/>
          <w:sz w:val="28"/>
        </w:rPr>
        <w:t>各二兩</w:t>
      </w:r>
      <w:r>
        <w:rPr>
          <w:rFonts w:eastAsia="標楷體" w:cs="MS Sans Serif;Arial" w:ascii="標楷體" w:hAnsi="標楷體"/>
          <w:sz w:val="28"/>
        </w:rPr>
        <w:t>)</w:t>
      </w:r>
      <w:r>
        <w:rPr>
          <w:rFonts w:ascii="標楷體" w:hAnsi="標楷體" w:cs="MS Sans Serif;Arial" w:eastAsia="標楷體"/>
          <w:sz w:val="28"/>
        </w:rPr>
        <w:t>。」</w:t>
      </w:r>
    </w:p>
    <w:p>
      <w:pPr>
        <w:pStyle w:val="Normal"/>
        <w:snapToGrid w:val="false"/>
        <w:ind w:firstLine="555"/>
        <w:jc w:val="both"/>
        <w:rPr>
          <w:rFonts w:ascii="標楷體" w:hAnsi="標楷體" w:eastAsia="標楷體"/>
          <w:b/>
          <w:b/>
          <w:sz w:val="28"/>
        </w:rPr>
      </w:pPr>
      <w:r>
        <w:rPr>
          <w:rFonts w:ascii="標楷體" w:hAnsi="標楷體" w:eastAsia="標楷體"/>
          <w:b/>
          <w:sz w:val="28"/>
        </w:rPr>
        <w:t>血尿之中西醫療法</w:t>
      </w:r>
    </w:p>
    <w:p>
      <w:pPr>
        <w:pStyle w:val="Normal"/>
        <w:snapToGrid w:val="false"/>
        <w:ind w:firstLine="555"/>
        <w:jc w:val="both"/>
        <w:rPr>
          <w:rFonts w:ascii="標楷體" w:hAnsi="標楷體" w:eastAsia="標楷體"/>
          <w:sz w:val="28"/>
        </w:rPr>
      </w:pPr>
      <w:r>
        <w:rPr>
          <w:rFonts w:ascii="標楷體" w:hAnsi="標楷體" w:eastAsia="標楷體"/>
          <w:sz w:val="28"/>
        </w:rPr>
        <w:t>血尿最主要的治法還是要針對其病因加以治療，例如感染造成的血尿，一般用抗生素會有不錯之效果</w:t>
      </w:r>
      <w:r>
        <w:rPr>
          <w:rFonts w:eastAsia="標楷體" w:ascii="標楷體" w:hAnsi="標楷體"/>
          <w:sz w:val="28"/>
        </w:rPr>
        <w:t>;</w:t>
      </w:r>
      <w:r>
        <w:rPr>
          <w:rFonts w:ascii="標楷體" w:hAnsi="標楷體" w:eastAsia="標楷體"/>
          <w:sz w:val="28"/>
        </w:rPr>
        <w:t>若有結石則根據其大小、部位或找泌尿科醫師治之</w:t>
      </w:r>
      <w:r>
        <w:rPr>
          <w:rFonts w:eastAsia="標楷體" w:ascii="標楷體" w:hAnsi="標楷體"/>
          <w:sz w:val="28"/>
        </w:rPr>
        <w:t>;</w:t>
      </w:r>
      <w:r>
        <w:rPr>
          <w:rFonts w:ascii="標楷體" w:hAnsi="標楷體" w:eastAsia="標楷體"/>
          <w:sz w:val="28"/>
        </w:rPr>
        <w:t>腎炎所造成的血尿則要由腎臟科醫師評估，總之要確定病因，加以治療。需要強調說明的一點即是，若產生全程性無痛性血尿，要經過醫師檢查，以作確診。若懷疑癌症的話，一般要評估三個月到半年，甚至一年。</w:t>
      </w:r>
    </w:p>
    <w:p>
      <w:pPr>
        <w:pStyle w:val="Normal"/>
        <w:snapToGrid w:val="false"/>
        <w:ind w:firstLine="555"/>
        <w:jc w:val="both"/>
        <w:rPr>
          <w:rFonts w:ascii="標楷體" w:hAnsi="標楷體" w:eastAsia="標楷體"/>
          <w:sz w:val="28"/>
        </w:rPr>
      </w:pPr>
      <w:r>
        <w:rPr>
          <w:rFonts w:ascii="標楷體" w:hAnsi="標楷體" w:eastAsia="標楷體"/>
          <w:sz w:val="28"/>
        </w:rPr>
        <w:t>中醫在治療血尿方面，首先也是要確定其病因，再根據病人體質辨症論治。一般中醫會根據小便是否疼痛而加以區別。</w:t>
      </w:r>
      <w:r>
        <w:rPr>
          <w:rFonts w:eastAsia="標楷體" w:ascii="標楷體" w:hAnsi="標楷體"/>
          <w:sz w:val="28"/>
        </w:rPr>
        <w:t>&lt;&lt;</w:t>
      </w:r>
      <w:r>
        <w:rPr>
          <w:rFonts w:ascii="標楷體" w:hAnsi="標楷體" w:eastAsia="標楷體"/>
          <w:sz w:val="28"/>
        </w:rPr>
        <w:t>丹溪心法</w:t>
      </w:r>
      <w:r>
        <w:rPr>
          <w:rFonts w:eastAsia="標楷體" w:ascii="標楷體" w:hAnsi="標楷體"/>
          <w:sz w:val="28"/>
        </w:rPr>
        <w:t>&gt;&gt;</w:t>
      </w:r>
      <w:r>
        <w:rPr>
          <w:rFonts w:ascii="標楷體" w:hAnsi="標楷體" w:eastAsia="標楷體"/>
          <w:sz w:val="28"/>
        </w:rPr>
        <w:t>曰</w:t>
      </w:r>
      <w:r>
        <w:rPr>
          <w:rFonts w:eastAsia="標楷體" w:ascii="標楷體" w:hAnsi="標楷體"/>
          <w:sz w:val="28"/>
        </w:rPr>
        <w:t>:</w:t>
      </w:r>
      <w:r>
        <w:rPr>
          <w:rFonts w:ascii="標楷體" w:hAnsi="標楷體" w:eastAsia="標楷體"/>
          <w:sz w:val="28"/>
        </w:rPr>
        <w:t>「痛者為血淋，不痛者為血尿。」常用方為八正散、知柏地黃湯或益脾固腎之方。藥物方面則常用白茅根、仙鶴草、生地、牡丹皮、益母草、蒲公英、土茯苓、</w:t>
      </w:r>
      <w:r>
        <w:rPr>
          <w:rFonts w:ascii="標楷體" w:hAnsi="標楷體" w:eastAsia="標楷體"/>
          <w:sz w:val="28"/>
        </w:rPr>
        <w:t>……</w:t>
      </w:r>
      <w:r>
        <w:rPr>
          <w:rFonts w:ascii="標楷體" w:hAnsi="標楷體" w:eastAsia="標楷體"/>
          <w:sz w:val="28"/>
        </w:rPr>
        <w:t>等清熱涼血解毒之藥。總之治療血尿，要經過望聞問切，確定診斷之後，或中醫配合西醫、或西醫配合中醫，中西醫結合共治，則效果會更理想。</w:t>
      </w:r>
    </w:p>
    <w:p>
      <w:pPr>
        <w:pStyle w:val="Normal"/>
        <w:snapToGrid w:val="false"/>
        <w:jc w:val="both"/>
        <w:rPr/>
      </w:pPr>
      <w:r>
        <w:rPr>
          <w:rFonts w:eastAsia="標楷體" w:cs="標楷體" w:ascii="標楷體" w:hAnsi="標楷體"/>
          <w:sz w:val="28"/>
        </w:rPr>
        <w:t xml:space="preserve">    </w:t>
      </w:r>
      <w:r>
        <w:rPr>
          <w:rFonts w:ascii="標楷體" w:hAnsi="標楷體" w:eastAsia="標楷體"/>
          <w:sz w:val="28"/>
        </w:rPr>
        <w:t>腎病症候群造成血尿最常見的病理分型為</w:t>
      </w:r>
      <w:r>
        <w:rPr>
          <w:rFonts w:eastAsia="標楷體" w:ascii="標楷體" w:hAnsi="標楷體"/>
          <w:sz w:val="28"/>
        </w:rPr>
        <w:t>IgA</w:t>
      </w:r>
      <w:r>
        <w:rPr>
          <w:rFonts w:ascii="標楷體" w:hAnsi="標楷體" w:eastAsia="標楷體"/>
          <w:sz w:val="28"/>
        </w:rPr>
        <w:t>腎病變及膜增生型。由現代醫學觀念可知，腎病症候群之所以會造成血尿，其最常見原因為免疫功能過度旺盛，頗類似中醫所稱的濕熱壅盛，因此一般治療腎病症候群的還是當以清利濕熱為主，活血化瘀為輔。若有證屬火旺或氣虛者，則有不同之論治。除此之外，腎病症候群若屬風邪犯肺者，則可使用越婢加朮湯加減。</w:t>
      </w:r>
      <w:r>
        <w:br w:type="page"/>
      </w:r>
    </w:p>
    <w:p>
      <w:pPr>
        <w:pStyle w:val="Normal"/>
        <w:numPr>
          <w:ilvl w:val="0"/>
          <w:numId w:val="0"/>
        </w:numPr>
        <w:ind w:left="960" w:hanging="0"/>
        <w:jc w:val="center"/>
        <w:outlineLvl w:val="0"/>
        <w:rPr>
          <w:rFonts w:ascii="標楷體" w:hAnsi="標楷體" w:eastAsia="標楷體"/>
          <w:b/>
          <w:b/>
          <w:sz w:val="32"/>
        </w:rPr>
      </w:pPr>
      <w:r>
        <w:rPr>
          <w:rFonts w:ascii="標楷體" w:hAnsi="標楷體" w:eastAsia="標楷體"/>
          <w:b/>
          <w:sz w:val="32"/>
        </w:rPr>
        <w:t>第七章  腰痛的中醫觀</w:t>
      </w:r>
    </w:p>
    <w:p>
      <w:pPr>
        <w:pStyle w:val="Normal"/>
        <w:snapToGrid w:val="false"/>
        <w:jc w:val="both"/>
        <w:rPr/>
      </w:pPr>
      <w:r>
        <w:rPr>
          <w:rFonts w:eastAsia="標楷體" w:cs="標楷體" w:ascii="標楷體" w:hAnsi="標楷體"/>
          <w:sz w:val="28"/>
        </w:rPr>
        <w:t xml:space="preserve">    </w:t>
      </w:r>
      <w:r>
        <w:rPr>
          <w:rFonts w:ascii="標楷體" w:hAnsi="標楷體" w:eastAsia="標楷體"/>
          <w:sz w:val="28"/>
        </w:rPr>
        <w:t>腎病症候群會產生高血凝狀態，原因非常多，</w:t>
      </w:r>
      <w:r>
        <w:rPr>
          <w:rFonts w:eastAsia="標楷體" w:cs="Arial" w:ascii="標楷體" w:hAnsi="標楷體"/>
          <w:sz w:val="28"/>
        </w:rPr>
        <w:t>Antithrombin III</w:t>
      </w:r>
      <w:r>
        <w:rPr>
          <w:rFonts w:eastAsia="標楷體" w:ascii="標楷體" w:hAnsi="標楷體"/>
          <w:sz w:val="28"/>
        </w:rPr>
        <w:t xml:space="preserve"> </w:t>
      </w:r>
      <w:r>
        <w:rPr>
          <w:rFonts w:ascii="標楷體" w:hAnsi="標楷體" w:eastAsia="標楷體"/>
          <w:sz w:val="28"/>
        </w:rPr>
        <w:t>從小便之中流失，</w:t>
      </w:r>
      <w:r>
        <w:rPr>
          <w:rFonts w:eastAsia="標楷體" w:cs="Arial" w:ascii="標楷體" w:hAnsi="標楷體"/>
          <w:sz w:val="28"/>
        </w:rPr>
        <w:t>Protein</w:t>
      </w:r>
      <w:r>
        <w:rPr>
          <w:rFonts w:eastAsia="標楷體" w:cs="Arial" w:ascii="標楷體" w:hAnsi="標楷體"/>
          <w:sz w:val="28"/>
        </w:rPr>
        <w:t xml:space="preserve"> </w:t>
      </w:r>
      <w:r>
        <w:rPr>
          <w:rFonts w:eastAsia="標楷體" w:cs="Arial" w:ascii="標楷體" w:hAnsi="標楷體"/>
          <w:sz w:val="28"/>
        </w:rPr>
        <w:t>C</w:t>
      </w:r>
      <w:r>
        <w:rPr>
          <w:rFonts w:ascii="標楷體" w:hAnsi="標楷體" w:cs="Arial" w:eastAsia="標楷體"/>
          <w:sz w:val="28"/>
        </w:rPr>
        <w:t>和</w:t>
      </w:r>
      <w:r>
        <w:rPr>
          <w:rFonts w:eastAsia="標楷體" w:cs="Arial" w:ascii="標楷體" w:hAnsi="標楷體"/>
          <w:sz w:val="28"/>
        </w:rPr>
        <w:t>S</w:t>
      </w:r>
      <w:r>
        <w:rPr>
          <w:rFonts w:ascii="標楷體" w:hAnsi="標楷體" w:eastAsia="標楷體"/>
          <w:sz w:val="28"/>
        </w:rPr>
        <w:t>活性降低</w:t>
      </w:r>
      <w:r>
        <w:rPr>
          <w:rFonts w:ascii="標楷體" w:hAnsi="標楷體" w:eastAsia="標楷體"/>
          <w:sz w:val="28"/>
        </w:rPr>
        <w:t>，</w:t>
      </w:r>
      <w:r>
        <w:rPr>
          <w:rFonts w:ascii="標楷體" w:hAnsi="標楷體" w:eastAsia="標楷體"/>
          <w:sz w:val="28"/>
        </w:rPr>
        <w:t>纖維溶解的功能會下降，肝合成增加導致</w:t>
      </w:r>
      <w:r>
        <w:rPr>
          <w:rFonts w:eastAsia="標楷體" w:cs="Arial" w:ascii="標楷體" w:hAnsi="標楷體"/>
          <w:sz w:val="28"/>
        </w:rPr>
        <w:t>Hyperfibrinogenemia</w:t>
      </w:r>
      <w:r>
        <w:rPr>
          <w:rFonts w:ascii="標楷體" w:hAnsi="標楷體" w:eastAsia="標楷體"/>
          <w:sz w:val="28"/>
        </w:rPr>
        <w:t>，</w:t>
      </w:r>
      <w:r>
        <w:rPr>
          <w:rFonts w:ascii="標楷體" w:hAnsi="標楷體" w:eastAsia="標楷體"/>
          <w:sz w:val="28"/>
        </w:rPr>
        <w:t>增加白血球的凝集，以上結果造成週邊血管動靜脈之血栓，腎靜脈血栓，肺栓塞等現象。高血凝狀態會惡化腎病症候群的預後，其中腎靜脈血栓會產生腰痛的症狀，故而中醫在治療</w:t>
      </w:r>
      <w:bookmarkStart w:id="0" w:name="OLE_LINK1"/>
      <w:r>
        <w:rPr>
          <w:rFonts w:ascii="標楷體" w:hAnsi="標楷體" w:eastAsia="標楷體"/>
          <w:sz w:val="28"/>
        </w:rPr>
        <w:t>腎病症候群</w:t>
      </w:r>
      <w:bookmarkEnd w:id="0"/>
      <w:r>
        <w:rPr>
          <w:rFonts w:ascii="標楷體" w:hAnsi="標楷體" w:eastAsia="標楷體"/>
          <w:sz w:val="28"/>
        </w:rPr>
        <w:t>時，除了風水的觀念之外，活血化瘀藥的使用亦非常重要，所謂「血不利則為水」。此外腎病症候群有時會表現出腰痛的症狀，故而亦可從此角度對本病加以討論。</w:t>
      </w:r>
    </w:p>
    <w:p>
      <w:pPr>
        <w:pStyle w:val="Normal"/>
        <w:overflowPunct w:val="false"/>
        <w:autoSpaceDE w:val="false"/>
        <w:snapToGrid w:val="false"/>
        <w:jc w:val="both"/>
        <w:rPr/>
      </w:pPr>
      <w:r>
        <w:rPr>
          <w:rFonts w:eastAsia="標楷體" w:cs="標楷體" w:ascii="標楷體" w:hAnsi="標楷體"/>
          <w:sz w:val="28"/>
        </w:rPr>
        <w:t xml:space="preserve">   </w:t>
      </w:r>
      <w:r>
        <w:rPr>
          <w:rFonts w:ascii="標楷體" w:hAnsi="標楷體" w:eastAsia="標楷體"/>
          <w:sz w:val="28"/>
        </w:rPr>
        <w:t>「邪之所湊，其氣必虛」，在正氣虛的情況底下，往往易造成外邪的入侵，腎病症候群常由風邪襲表所導致，肺失宣降，因此造成水道不利而產生水腫及小便不利的症狀。急性期過後，由於病邪會耗氣傷陰，易造成氣陰兩虛。氣虛常導致風寒或寒濕外客，陰虛則易招致溼熱，而形成病情反復，氣陰兩虛久後，由於氣虛無法推動血行，陰虛造成津液虧損及化熱</w:t>
      </w:r>
      <w:r>
        <w:rPr>
          <w:rFonts w:ascii="標楷體" w:hAnsi="標楷體" w:eastAsia="標楷體"/>
          <w:sz w:val="28"/>
        </w:rPr>
        <w:t>，</w:t>
      </w:r>
      <w:r>
        <w:rPr>
          <w:rFonts w:ascii="標楷體" w:hAnsi="標楷體" w:eastAsia="標楷體"/>
          <w:sz w:val="28"/>
        </w:rPr>
        <w:t>造成血行不利，因此會夾雜血瘀，更加惡化本病的預後。</w:t>
      </w:r>
    </w:p>
    <w:p>
      <w:pPr>
        <w:pStyle w:val="Normal"/>
        <w:overflowPunct w:val="false"/>
        <w:autoSpaceDE w:val="false"/>
        <w:snapToGrid w:val="false"/>
        <w:jc w:val="both"/>
        <w:rPr>
          <w:rFonts w:ascii="標楷體" w:hAnsi="標楷體" w:eastAsia="標楷體"/>
          <w:sz w:val="28"/>
        </w:rPr>
      </w:pPr>
      <w:r>
        <w:rPr>
          <w:rFonts w:eastAsia="標楷體" w:cs="標楷體" w:ascii="標楷體" w:hAnsi="標楷體"/>
          <w:sz w:val="28"/>
        </w:rPr>
        <w:t xml:space="preserve">    </w:t>
      </w:r>
      <w:r>
        <w:rPr>
          <w:rFonts w:eastAsia="標楷體" w:ascii="標楷體" w:hAnsi="標楷體"/>
          <w:sz w:val="28"/>
        </w:rPr>
        <w:t>&lt;&lt;</w:t>
      </w:r>
      <w:r>
        <w:rPr>
          <w:rFonts w:ascii="標楷體" w:hAnsi="標楷體" w:eastAsia="標楷體"/>
          <w:sz w:val="28"/>
        </w:rPr>
        <w:t>素問‧</w:t>
      </w:r>
      <w:r>
        <w:rPr>
          <w:rFonts w:ascii="標楷體" w:hAnsi="標楷體" w:cs="MS Sans Serif;Arial" w:eastAsia="標楷體"/>
          <w:sz w:val="28"/>
        </w:rPr>
        <w:t>脈要精微論</w:t>
      </w:r>
      <w:r>
        <w:rPr>
          <w:rFonts w:eastAsia="標楷體" w:cs="MS Sans Serif;Arial" w:ascii="標楷體" w:hAnsi="標楷體"/>
          <w:sz w:val="28"/>
        </w:rPr>
        <w:t>&gt;&gt;</w:t>
      </w:r>
      <w:r>
        <w:rPr>
          <w:rFonts w:ascii="標楷體" w:hAnsi="標楷體" w:cs="MS Sans Serif;Arial" w:eastAsia="標楷體"/>
          <w:sz w:val="28"/>
        </w:rPr>
        <w:t>曰：「腰者腎之府，轉搖不能，腎將憊矣。」</w:t>
      </w:r>
    </w:p>
    <w:p>
      <w:pPr>
        <w:pStyle w:val="Normal"/>
        <w:numPr>
          <w:ilvl w:val="0"/>
          <w:numId w:val="0"/>
        </w:numPr>
        <w:snapToGrid w:val="false"/>
        <w:jc w:val="both"/>
        <w:outlineLvl w:val="0"/>
        <w:rPr>
          <w:rFonts w:ascii="標楷體" w:hAnsi="標楷體" w:eastAsia="標楷體"/>
          <w:sz w:val="28"/>
        </w:rPr>
      </w:pPr>
      <w:r>
        <w:rPr>
          <w:rFonts w:ascii="標楷體" w:hAnsi="標楷體" w:eastAsia="標楷體"/>
          <w:sz w:val="28"/>
        </w:rPr>
        <w:t>腰痛形成的病機常亦與風寒入侵有關，寒為陰邪，其性凝滯，氣血為之阻滯，不通則痛；寒主收引，故而會產生經脈拘緊的現象，故除了治療外邪之外，若屬氣滯血瘀者可用桃紅四物湯合活血化瘀藥加減使用，如乳香、沒藥、丹參、地龍、全蠍、地鱉虫。若屬腎虛者則可使用杜仲、菟絲子、淫羊藿、狗脊、骨碎補、肉蓯蓉等補腎壯腰膝之藥，腎的氣化功能如果能加強，對於高凝血狀態的改善，亦有所助益。</w:t>
      </w:r>
      <w:r>
        <w:br w:type="page"/>
      </w:r>
    </w:p>
    <w:p>
      <w:pPr>
        <w:pStyle w:val="Normal"/>
        <w:numPr>
          <w:ilvl w:val="0"/>
          <w:numId w:val="0"/>
        </w:numPr>
        <w:snapToGrid w:val="false"/>
        <w:jc w:val="center"/>
        <w:outlineLvl w:val="0"/>
        <w:rPr/>
      </w:pPr>
      <w:r>
        <w:rPr>
          <w:rFonts w:ascii="華康細圓體" w:hAnsi="華康細圓體" w:eastAsia="標楷體"/>
          <w:b/>
          <w:sz w:val="32"/>
        </w:rPr>
        <w:t>第八章</w:t>
      </w:r>
      <w:r>
        <w:rPr>
          <w:rFonts w:ascii="華康細圓體" w:hAnsi="華康細圓體" w:cs="華康細圓體" w:eastAsia="華康細圓體"/>
          <w:b/>
          <w:sz w:val="32"/>
        </w:rPr>
        <w:t xml:space="preserve">  </w:t>
      </w:r>
      <w:r>
        <w:rPr>
          <w:rFonts w:eastAsia="標楷體"/>
          <w:b/>
          <w:sz w:val="32"/>
        </w:rPr>
        <w:t>腎病症候群預後的中醫相關論述</w:t>
      </w:r>
    </w:p>
    <w:p>
      <w:pPr>
        <w:pStyle w:val="Normal"/>
        <w:snapToGrid w:val="false"/>
        <w:jc w:val="both"/>
        <w:rPr>
          <w:rFonts w:eastAsia="標楷體"/>
          <w:b/>
          <w:b/>
          <w:sz w:val="32"/>
        </w:rPr>
      </w:pPr>
      <w:r>
        <w:rPr>
          <w:rFonts w:eastAsia="標楷體"/>
          <w:b/>
          <w:sz w:val="32"/>
        </w:rPr>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腎病症候群發展至一個地步，由於水液代謝失常的關係，不獨會在四肢顏面區產生水腫，也可能會有腹水、肋膜積水的產生，甚至會有心包積液的情形出現。</w:t>
      </w:r>
    </w:p>
    <w:p>
      <w:pPr>
        <w:pStyle w:val="Normal"/>
        <w:snapToGrid w:val="false"/>
        <w:jc w:val="both"/>
        <w:rPr>
          <w:rFonts w:ascii="標楷體" w:hAnsi="標楷體" w:eastAsia="標楷體"/>
        </w:rPr>
      </w:pPr>
      <w:r>
        <w:rPr>
          <w:rFonts w:eastAsia="標楷體" w:cs="標楷體" w:ascii="標楷體" w:hAnsi="標楷體"/>
          <w:sz w:val="28"/>
        </w:rPr>
        <w:t xml:space="preserve">    </w:t>
      </w:r>
      <w:r>
        <w:rPr>
          <w:rFonts w:eastAsia="標楷體" w:cs="華康細圓體" w:ascii="標楷體" w:hAnsi="標楷體"/>
          <w:sz w:val="28"/>
        </w:rPr>
        <w:t>&lt;&lt;</w:t>
      </w:r>
      <w:r>
        <w:rPr>
          <w:rFonts w:ascii="標楷體" w:hAnsi="標楷體" w:cs="華康細圓體" w:eastAsia="標楷體"/>
          <w:sz w:val="28"/>
        </w:rPr>
        <w:t>靈樞‧邪氣臟腑病形篇</w:t>
      </w:r>
      <w:r>
        <w:rPr>
          <w:rFonts w:eastAsia="標楷體" w:cs="華康細圓體" w:ascii="標楷體" w:hAnsi="標楷體"/>
          <w:sz w:val="28"/>
        </w:rPr>
        <w:t>&gt;&gt;</w:t>
      </w:r>
      <w:r>
        <w:rPr>
          <w:rFonts w:ascii="標楷體" w:hAnsi="標楷體" w:cs="華康細圓體" w:eastAsia="標楷體"/>
          <w:sz w:val="28"/>
        </w:rPr>
        <w:t>「三焦病者，腹氣滿，小腹尤堅，不得小便，窘急液，則水留為脹。」本條文述說了腹水產生病症的情形，嚴重者甚至會有小便不利的症狀出現。風水症狀更進一步的發展則如</w:t>
      </w:r>
      <w:r>
        <w:rPr>
          <w:rFonts w:eastAsia="標楷體" w:cs="華康細圓體" w:ascii="標楷體" w:hAnsi="標楷體"/>
          <w:sz w:val="28"/>
        </w:rPr>
        <w:t>&lt;&lt;</w:t>
      </w:r>
      <w:r>
        <w:rPr>
          <w:rFonts w:ascii="標楷體" w:hAnsi="標楷體" w:cs="華康細圓體" w:eastAsia="標楷體"/>
          <w:sz w:val="28"/>
        </w:rPr>
        <w:t>素問．逆調論</w:t>
      </w:r>
      <w:r>
        <w:rPr>
          <w:rFonts w:eastAsia="標楷體" w:cs="華康細圓體" w:ascii="標楷體" w:hAnsi="標楷體"/>
          <w:sz w:val="28"/>
        </w:rPr>
        <w:t>&gt;&gt;</w:t>
      </w:r>
      <w:r>
        <w:rPr>
          <w:rFonts w:ascii="標楷體" w:hAnsi="標楷體" w:cs="華康細圓體" w:eastAsia="標楷體"/>
          <w:sz w:val="28"/>
        </w:rPr>
        <w:t>所言「夫不得臥，臥則喘者，是水氣之客也。」水腫產生喘脹胸痛的情形亦如</w:t>
      </w:r>
      <w:r>
        <w:rPr>
          <w:rFonts w:eastAsia="標楷體" w:cs="華康細圓體" w:ascii="標楷體" w:hAnsi="標楷體"/>
          <w:sz w:val="28"/>
        </w:rPr>
        <w:t>&lt;&lt;</w:t>
      </w:r>
      <w:r>
        <w:rPr>
          <w:rFonts w:ascii="標楷體" w:hAnsi="標楷體" w:cs="華康細圓體" w:eastAsia="標楷體"/>
          <w:sz w:val="28"/>
        </w:rPr>
        <w:t>素問．脈解</w:t>
      </w:r>
      <w:r>
        <w:rPr>
          <w:rFonts w:eastAsia="標楷體" w:cs="華康細圓體" w:ascii="標楷體" w:hAnsi="標楷體"/>
          <w:sz w:val="28"/>
        </w:rPr>
        <w:t>&gt;&gt;</w:t>
      </w:r>
      <w:r>
        <w:rPr>
          <w:rFonts w:ascii="標楷體" w:hAnsi="標楷體" w:cs="華康細圓體" w:eastAsia="標楷體"/>
          <w:sz w:val="28"/>
        </w:rPr>
        <w:t>所言：「所謂上喘而為水者，陰氣下而復上，上則邪客于藏府間，故為水也。所謂胸痛少氣者，水氣在藏府也。水者陰氣也，陰氣在中，故胸痛少氣也。</w:t>
      </w:r>
      <w:r>
        <w:rPr>
          <w:rFonts w:ascii="標楷體" w:hAnsi="標楷體" w:cs="華康細圓體" w:eastAsia="標楷體"/>
          <w:sz w:val="28"/>
        </w:rPr>
        <w:t>……</w:t>
      </w:r>
      <w:r>
        <w:rPr>
          <w:rFonts w:ascii="標楷體" w:hAnsi="標楷體" w:cs="華康細圓體" w:eastAsia="標楷體"/>
          <w:sz w:val="28"/>
        </w:rPr>
        <w:t>太陰所謂病脹者，太陰子也。十一月萬物皆氣藏於中，故曰病脹」。</w:t>
      </w:r>
    </w:p>
    <w:p>
      <w:pPr>
        <w:pStyle w:val="Normal"/>
        <w:overflowPunct w:val="false"/>
        <w:autoSpaceDE w:val="false"/>
        <w:snapToGrid w:val="false"/>
        <w:jc w:val="both"/>
        <w:rPr>
          <w:rFonts w:ascii="標楷體" w:hAnsi="標楷體" w:eastAsia="標楷體" w:cs="華康細圓體"/>
          <w:sz w:val="28"/>
        </w:rPr>
      </w:pPr>
      <w:r>
        <w:rPr>
          <w:rFonts w:eastAsia="標楷體" w:cs="標楷體" w:ascii="標楷體" w:hAnsi="標楷體"/>
          <w:sz w:val="28"/>
        </w:rPr>
        <w:t xml:space="preserve">    </w:t>
      </w:r>
      <w:r>
        <w:rPr>
          <w:rFonts w:eastAsia="標楷體" w:ascii="標楷體" w:hAnsi="標楷體"/>
          <w:sz w:val="28"/>
        </w:rPr>
        <w:t>&lt;&lt;</w:t>
      </w:r>
      <w:r>
        <w:rPr>
          <w:rFonts w:ascii="標楷體" w:hAnsi="標楷體" w:eastAsia="標楷體"/>
          <w:sz w:val="28"/>
        </w:rPr>
        <w:t>素問‧奇病論</w:t>
      </w:r>
      <w:r>
        <w:rPr>
          <w:rFonts w:eastAsia="標楷體" w:ascii="標楷體" w:hAnsi="標楷體"/>
          <w:sz w:val="28"/>
        </w:rPr>
        <w:t>&gt;&gt;</w:t>
      </w:r>
      <w:r>
        <w:rPr>
          <w:rFonts w:ascii="標楷體" w:hAnsi="標楷體" w:eastAsia="標楷體"/>
          <w:sz w:val="28"/>
        </w:rPr>
        <w:t>所言</w:t>
      </w:r>
      <w:r>
        <w:rPr>
          <w:rFonts w:eastAsia="標楷體" w:ascii="標楷體" w:hAnsi="標楷體"/>
          <w:sz w:val="28"/>
        </w:rPr>
        <w:t>:</w:t>
      </w:r>
      <w:r>
        <w:rPr>
          <w:rFonts w:ascii="標楷體" w:hAnsi="標楷體" w:eastAsia="標楷體"/>
          <w:sz w:val="28"/>
        </w:rPr>
        <w:t>「有病痝然如有水狀，切其脈大緊，身無痛者，形不瘦，不能食，食少，名為何病？岐伯曰：病生在腎，名為腎風。腎風而不能食，善驚，驚已，心氣痿者死。」對於其所產生的病機，景岳於</w:t>
      </w:r>
      <w:r>
        <w:rPr>
          <w:rFonts w:eastAsia="標楷體" w:ascii="標楷體" w:hAnsi="標楷體"/>
          <w:sz w:val="28"/>
        </w:rPr>
        <w:t>&lt;&lt;</w:t>
      </w:r>
      <w:r>
        <w:rPr>
          <w:rFonts w:ascii="標楷體" w:hAnsi="標楷體" w:eastAsia="標楷體"/>
          <w:sz w:val="28"/>
        </w:rPr>
        <w:t>類經‧疾病類‧三十一</w:t>
      </w:r>
      <w:r>
        <w:rPr>
          <w:rFonts w:eastAsia="標楷體" w:ascii="標楷體" w:hAnsi="標楷體"/>
          <w:sz w:val="28"/>
        </w:rPr>
        <w:t>&gt;&gt;</w:t>
      </w:r>
      <w:r>
        <w:rPr>
          <w:rFonts w:ascii="標楷體" w:hAnsi="標楷體" w:eastAsia="標楷體"/>
          <w:sz w:val="28"/>
        </w:rPr>
        <w:t>解釋曰</w:t>
      </w:r>
      <w:r>
        <w:rPr>
          <w:rFonts w:ascii="標楷體" w:hAnsi="標楷體" w:cs="華康細圓體" w:eastAsia="標楷體"/>
          <w:sz w:val="28"/>
        </w:rPr>
        <w:t>：</w:t>
      </w:r>
      <w:r>
        <w:rPr>
          <w:rFonts w:ascii="標楷體" w:hAnsi="標楷體" w:eastAsia="標楷體"/>
          <w:sz w:val="28"/>
        </w:rPr>
        <w:t>「</w:t>
      </w:r>
      <w:r>
        <w:rPr>
          <w:rFonts w:ascii="標楷體" w:hAnsi="標楷體" w:cs="MS Sans Serif;Arial" w:eastAsia="標楷體"/>
          <w:sz w:val="28"/>
        </w:rPr>
        <w:t>風生於腎，則反剋脾土，故不能食，腎邪犯心，則神氣失守，故善驚，驚後而心氣痿弱不能復者，心腎俱敗，水火俱困也，故死。」</w:t>
      </w:r>
      <w:r>
        <w:rPr>
          <w:rFonts w:ascii="標楷體" w:hAnsi="標楷體" w:eastAsia="標楷體"/>
          <w:sz w:val="28"/>
        </w:rPr>
        <w:t>如此之說法頗類似現代醫學之腎臟病，若出現心衰竭及電解質失調和酸鹼不平衡的機理是頗為類似的，而其預後則甚不良。</w:t>
      </w:r>
      <w:r>
        <w:br w:type="page"/>
      </w:r>
    </w:p>
    <w:p>
      <w:pPr>
        <w:pStyle w:val="Normal"/>
        <w:numPr>
          <w:ilvl w:val="0"/>
          <w:numId w:val="0"/>
        </w:numPr>
        <w:snapToGrid w:val="false"/>
        <w:ind w:left="960" w:hanging="0"/>
        <w:jc w:val="both"/>
        <w:outlineLvl w:val="0"/>
        <w:rPr>
          <w:rFonts w:ascii="華康細圓體" w:hAnsi="華康細圓體" w:eastAsia="華康細圓體" w:cs="華康細圓體"/>
          <w:sz w:val="32"/>
        </w:rPr>
      </w:pPr>
      <w:r>
        <w:rPr>
          <w:rFonts w:eastAsia="華康細圓體" w:cs="華康細圓體" w:ascii="華康細圓體" w:hAnsi="華康細圓體"/>
          <w:sz w:val="32"/>
        </w:rPr>
      </w:r>
    </w:p>
    <w:p>
      <w:pPr>
        <w:pStyle w:val="Normal"/>
        <w:jc w:val="center"/>
        <w:rPr>
          <w:rFonts w:ascii="標楷體" w:hAnsi="標楷體" w:eastAsia="標楷體"/>
          <w:b/>
          <w:b/>
          <w:sz w:val="36"/>
        </w:rPr>
      </w:pPr>
      <w:r>
        <w:rPr>
          <w:rFonts w:ascii="標楷體" w:hAnsi="標楷體" w:eastAsia="標楷體"/>
          <w:b/>
          <w:sz w:val="36"/>
        </w:rPr>
        <w:t>第四篇  腎病症候群的治療</w:t>
      </w:r>
    </w:p>
    <w:p>
      <w:pPr>
        <w:pStyle w:val="Normal"/>
        <w:snapToGrid w:val="false"/>
        <w:jc w:val="center"/>
        <w:rPr>
          <w:rFonts w:ascii="標楷體" w:hAnsi="標楷體" w:eastAsia="標楷體"/>
          <w:b/>
          <w:b/>
          <w:sz w:val="32"/>
        </w:rPr>
      </w:pPr>
      <w:r>
        <w:rPr>
          <w:rFonts w:ascii="標楷體" w:hAnsi="標楷體" w:eastAsia="標楷體"/>
          <w:b/>
          <w:sz w:val="32"/>
        </w:rPr>
        <w:t>第一章  分型治療</w:t>
      </w:r>
    </w:p>
    <w:p>
      <w:pPr>
        <w:pStyle w:val="Normal"/>
        <w:snapToGrid w:val="false"/>
        <w:jc w:val="both"/>
        <w:rPr>
          <w:rFonts w:ascii="華康細圓體" w:hAnsi="華康細圓體" w:eastAsia="華康細圓體"/>
          <w:b/>
          <w:b/>
          <w:sz w:val="28"/>
        </w:rPr>
      </w:pPr>
      <w:r>
        <w:rPr>
          <w:rFonts w:eastAsia="華康細圓體" w:ascii="華康細圓體" w:hAnsi="華康細圓體"/>
          <w:b/>
          <w:sz w:val="28"/>
        </w:rPr>
      </w:r>
    </w:p>
    <w:p>
      <w:pPr>
        <w:pStyle w:val="Normal"/>
        <w:snapToGrid w:val="false"/>
        <w:jc w:val="both"/>
        <w:rPr/>
      </w:pPr>
      <w:r>
        <w:rPr>
          <w:rFonts w:eastAsia="標楷體" w:cs="標楷體" w:ascii="標楷體" w:hAnsi="標楷體"/>
          <w:sz w:val="28"/>
        </w:rPr>
        <w:t xml:space="preserve">   </w:t>
      </w:r>
      <w:r>
        <w:rPr>
          <w:rFonts w:eastAsia="標楷體" w:cs="標楷體" w:ascii="標楷體" w:hAnsi="標楷體"/>
          <w:sz w:val="28"/>
        </w:rPr>
        <w:t xml:space="preserve"> </w:t>
      </w:r>
      <w:r>
        <w:rPr>
          <w:rFonts w:ascii="標楷體" w:hAnsi="標楷體" w:eastAsia="標楷體"/>
          <w:sz w:val="28"/>
        </w:rPr>
        <w:t>總結以上各篇章對腎病症候群發病機理的論述，其治療可根據辨證分型及本病所產生的臨床表現，分類歸納如下：</w:t>
      </w:r>
    </w:p>
    <w:p>
      <w:pPr>
        <w:pStyle w:val="Normal"/>
        <w:snapToGrid w:val="false"/>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一、風水氾濫</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主證：眼瞼及顏面浮腫，之後波及全身，亦可先腫於下肢，可表現出肢節酸重，小便不利的情形。其中有兼見惡風寒、鼻塞、咳嗽、苔薄白、脈浮而緊的風寒證或兼咽部紅腫疼痛、舌紅、苔黃、脈浮數的風熱證。</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治法：袪風寒，行水濕；或袪風熱，行水濕。</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方藥：最主要以越婢湯合麻黃連翹赤小豆湯，或和五苓散及五皮飲加減使用，夾雜風熱者可使用銀翹散加減。麻黃、石膏一宣一降，一解表、一清裏，佐以五皮飲，疏散在表之水邪，再加上五苓散健脾利水，對於腎病症候群和外感風邪有關的病症有一定之療效。亦可加車前子、益母草增加療效。屬表之風熱者，可酌加蒲公英、魚腥草、黃芩。</w:t>
      </w:r>
    </w:p>
    <w:p>
      <w:pPr>
        <w:pStyle w:val="Normal"/>
        <w:snapToGrid w:val="false"/>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二、濕熱中阻</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主證：全身浮腫，皮膚顏色可表現出潤澤光亮，症見脘腹痞悶，煩熱口渴，大便乾結或溏瀉，小便短赤，或可見皮膚有瘡瘍，舌紅，苔黃，脈滑數。</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治法：清熱利濕、分消走瀉</w:t>
      </w:r>
    </w:p>
    <w:p>
      <w:pPr>
        <w:pStyle w:val="Normal"/>
        <w:snapToGrid w:val="false"/>
        <w:jc w:val="both"/>
        <w:rPr/>
      </w:pPr>
      <w:r>
        <w:rPr>
          <w:rFonts w:eastAsia="標楷體" w:cs="標楷體" w:ascii="標楷體" w:hAnsi="標楷體"/>
          <w:sz w:val="28"/>
        </w:rPr>
        <w:t xml:space="preserve">    </w:t>
      </w:r>
      <w:r>
        <w:rPr>
          <w:rFonts w:ascii="標楷體" w:hAnsi="標楷體" w:eastAsia="標楷體"/>
          <w:sz w:val="28"/>
        </w:rPr>
        <w:t>方藥：中滿分消丸加減。方中用黃芩、黃連、知母清熱，四苓利水，厚朴、枳實、陳皮理氣，前後分消，導濕熱於下；人參、乾薑、砂仁、半夏、甘草溫中益氣，可酌加木通、滑石。除中滿分消丸之外，亦可應用</w:t>
      </w:r>
      <w:r>
        <w:rPr>
          <w:rFonts w:eastAsia="標楷體" w:ascii="標楷體" w:hAnsi="標楷體"/>
          <w:sz w:val="28"/>
        </w:rPr>
        <w:t>&lt;&lt;</w:t>
      </w:r>
      <w:r>
        <w:rPr>
          <w:rFonts w:ascii="標楷體" w:hAnsi="標楷體" w:eastAsia="標楷體"/>
          <w:sz w:val="28"/>
        </w:rPr>
        <w:t>溫病條辨</w:t>
      </w:r>
      <w:r>
        <w:rPr>
          <w:rFonts w:eastAsia="標楷體" w:ascii="標楷體" w:hAnsi="標楷體"/>
          <w:sz w:val="28"/>
        </w:rPr>
        <w:t>&gt;&gt;</w:t>
      </w:r>
      <w:r>
        <w:rPr>
          <w:rFonts w:ascii="標楷體" w:hAnsi="標楷體" w:eastAsia="標楷體"/>
          <w:sz w:val="28"/>
        </w:rPr>
        <w:t>之黃芩滑石湯或滑石杏仁湯加減使用。若有皮膚瘡瘍熱腫者，可加銀花、連翹，或蒲公英、紫花地丁等清熱解毒藥，或方用五味消毒飲。</w:t>
      </w:r>
    </w:p>
    <w:p>
      <w:pPr>
        <w:pStyle w:val="Normal"/>
        <w:snapToGrid w:val="false"/>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三、瘀血內阻</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主證：面浮肢腫，病情遷延日久，或症見皮膚甲錯，或現紅絲、赤縷，瘀點瘀斑，或腰痛尿赤，舌淡或紅，舌邊有瘀點，舌下靜脈瘀紫，苔薄黃或膩，脈細澀。或根據現代醫學發現腎病症候群有高凝血狀態的情形，均可能是瘀血內阻的情形。</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治法：活血化瘀</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方藥：桃紅四物湯加味。方中用四物湯養血活血，桃仁、紅花行瘀阻，通腎絡。亦可加海藻、益母草等行瘀袪水藥物。瘀阻甚者，可加水蛭、雲南白藥研粉吞服。兼腎虛者，可酌加杜仲、仙靈脾、菟絲子等藥物；肝腎陰虛者，加地黃、旱蓮草、女貞子、知母；脾腎陽虛者，加入附子；有熱邪者，加金銀花、紫花地丁。丹參、鬱金亦有活血化瘀之功，大黃則可去瘀生新。</w:t>
      </w:r>
    </w:p>
    <w:p>
      <w:pPr>
        <w:pStyle w:val="Normal"/>
        <w:snapToGrid w:val="false"/>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四、脾氣虛損</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主證：神疲乏力、聲低氣怯、懶言納差、腹脹腹瀉。正邪相爭日久，易因病致虛，首先可導致脾氣虛損，日久甚至可見脾腎陽虛的見證。</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治法：健脾益氣</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方藥：參苓白朮散、防己茯苓湯加減。腫勢消退之後，一般可服用本方收功，並且預防疾病復發。</w:t>
      </w:r>
    </w:p>
    <w:p>
      <w:pPr>
        <w:pStyle w:val="Normal"/>
        <w:snapToGrid w:val="false"/>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五、腎氣虛損</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主證：晨起可見顏面浮腫，傍晚則可見跗腫，或腫不甚，且感腰酸身重，形體困倦，甚則疲於行立，不耐久坐，舌淡紅，苔薄，脈偏沉細。</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治法：補益腎氣</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方藥：濟生腎氣丸加減。方中用桂、附溫陽利水，山藥益氣，山茱萸固腎，牡丹皮涼血活血，熟地、牛膝養血活血，茯苓、澤瀉、車前子利濕。本方對於腎病症候群，水腫消退之後，因病致虛而腎氣虛損者，亦可以本方收功。若屬脾腎氣虛者，可以本方加參苓白朮散調理之，且可預防再發。</w:t>
      </w:r>
    </w:p>
    <w:p>
      <w:pPr>
        <w:pStyle w:val="Normal"/>
        <w:snapToGrid w:val="false"/>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六、脾腎陽虛</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主證：面色蒼白，形寒肢冷，全身腫脹，按之凹陷沒指，甚者可伴有胸水腹水的情形，因而產生胸悶氣急，小便短少，大便溏薄，舌淡體胖，苔薄或膩，脈沉細。</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治法：溫補脾腎，通陽利水</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方藥：真武湯合實脾飲加減。方中用附子、乾薑、桂枝溫陽通絡，白朮培土，檳榔理氣，以助豬苓、澤瀉之滲利水濕。白芍通行鬱滯之營陰。真武湯合實脾飲加減的適應症，除以上所稱脾腎陽虛見證之外，適合使用在水溼氾濫、腫勢盛且併見心悸短氣，氣虛已極，躺臥方適的患者。臨床上本型較風水氾濫或濕熱壅盛的證型少見，使用本方要小心，以免斂邪，而造成腫勢更盛。</w:t>
      </w:r>
    </w:p>
    <w:p>
      <w:pPr>
        <w:pStyle w:val="Normal"/>
        <w:snapToGrid w:val="false"/>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七、肝腎陰虛</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主證：浮腫已減，症見口乾，或咽喉乾痛，頭暈目眩，性情急躁，腰酸尿赤，盜汗，煩熱，舌紅，脈弦細數。</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治法：滋補肝腎，兼化水濕</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方藥：二至丸合杞菊地黃丸加減。方用地黃、山茱萸、山藥、枸杞子、甘菊、女貞子補肝腎，滋陰液；丹皮、旱蓮草通血絡，清虛熱；茯苓、澤瀉、益母草消水腫。本型用藥適用於腫勢已退，肝腎陰虛而濕熱留戀不去者，濕熱傷陰而成肝腎陰虛之證。</w:t>
      </w:r>
    </w:p>
    <w:p>
      <w:pPr>
        <w:pStyle w:val="Normal"/>
        <w:snapToGrid w:val="false"/>
        <w:jc w:val="both"/>
        <w:rPr>
          <w:rFonts w:ascii="標楷體" w:hAnsi="標楷體" w:eastAsia="標楷體"/>
          <w:sz w:val="28"/>
        </w:rPr>
      </w:pPr>
      <w:r>
        <w:rPr>
          <w:rFonts w:eastAsia="標楷體" w:ascii="標楷體" w:hAnsi="標楷體"/>
          <w:sz w:val="28"/>
        </w:rPr>
      </w:r>
    </w:p>
    <w:p>
      <w:pPr>
        <w:pStyle w:val="Normal"/>
        <w:jc w:val="center"/>
        <w:rPr/>
      </w:pPr>
      <w:r>
        <w:rPr>
          <w:rFonts w:ascii="華康細圓體" w:hAnsi="華康細圓體" w:eastAsia="標楷體"/>
          <w:b/>
          <w:sz w:val="32"/>
        </w:rPr>
        <w:t>第二章</w:t>
      </w:r>
      <w:r>
        <w:rPr>
          <w:rFonts w:ascii="華康細圓體" w:hAnsi="華康細圓體" w:cs="華康細圓體" w:eastAsia="華康細圓體"/>
          <w:b/>
          <w:sz w:val="32"/>
        </w:rPr>
        <w:t xml:space="preserve">  </w:t>
      </w:r>
      <w:r>
        <w:rPr>
          <w:rFonts w:eastAsia="標楷體"/>
          <w:b/>
          <w:sz w:val="32"/>
        </w:rPr>
        <w:t>腎病症候群的日常生活保健</w:t>
      </w:r>
    </w:p>
    <w:p>
      <w:pPr>
        <w:pStyle w:val="Normal"/>
        <w:snapToGrid w:val="false"/>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運動</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每星期最少要運動三次、每次至少要二十至三十分鐘以上、以稍微流汗、到達一定之心跳為度。年輕人心率可到達每分鐘</w:t>
      </w:r>
      <w:r>
        <w:rPr>
          <w:rFonts w:eastAsia="標楷體" w:ascii="標楷體" w:hAnsi="標楷體"/>
          <w:sz w:val="28"/>
        </w:rPr>
        <w:t>130</w:t>
      </w:r>
      <w:r>
        <w:rPr>
          <w:rFonts w:ascii="標楷體" w:hAnsi="標楷體" w:eastAsia="標楷體"/>
          <w:sz w:val="28"/>
        </w:rPr>
        <w:t>至</w:t>
      </w:r>
      <w:r>
        <w:rPr>
          <w:rFonts w:eastAsia="標楷體" w:ascii="標楷體" w:hAnsi="標楷體"/>
          <w:sz w:val="28"/>
        </w:rPr>
        <w:t>150</w:t>
      </w:r>
      <w:r>
        <w:rPr>
          <w:rFonts w:ascii="標楷體" w:hAnsi="標楷體" w:eastAsia="標楷體"/>
          <w:sz w:val="28"/>
        </w:rPr>
        <w:t>次，中老年人則最好不要超過</w:t>
      </w:r>
      <w:r>
        <w:rPr>
          <w:rFonts w:eastAsia="標楷體" w:ascii="標楷體" w:hAnsi="標楷體"/>
          <w:sz w:val="28"/>
        </w:rPr>
        <w:t>120</w:t>
      </w:r>
      <w:r>
        <w:rPr>
          <w:rFonts w:ascii="標楷體" w:hAnsi="標楷體" w:eastAsia="標楷體"/>
          <w:sz w:val="28"/>
        </w:rPr>
        <w:t>次，當然有心臟病、高血壓等內科疾病者則又另當別論，不可運動太激烈。其實四十歲以上的人最好還是以柔軟的運動較為合適。</w:t>
      </w:r>
    </w:p>
    <w:p>
      <w:pPr>
        <w:pStyle w:val="Normal"/>
        <w:snapToGrid w:val="false"/>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氣功</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有些人即使是輕微的運動，也感到受不了的話，最好是做動功，例如達摩易筋經甩手功，其動作簡介如下</w:t>
      </w:r>
      <w:r>
        <w:rPr>
          <w:rFonts w:eastAsia="標楷體" w:ascii="標楷體" w:hAnsi="標楷體"/>
          <w:sz w:val="28"/>
        </w:rPr>
        <w:t>;</w:t>
      </w:r>
    </w:p>
    <w:p>
      <w:pPr>
        <w:pStyle w:val="Normal"/>
        <w:snapToGrid w:val="false"/>
        <w:jc w:val="both"/>
        <w:rPr/>
      </w:pPr>
      <w:r>
        <w:rPr>
          <w:rFonts w:eastAsia="標楷體" w:cs="標楷體" w:ascii="標楷體" w:hAnsi="標楷體"/>
          <w:sz w:val="28"/>
        </w:rPr>
        <w:t xml:space="preserve">    </w:t>
      </w:r>
      <w:r>
        <w:rPr>
          <w:rFonts w:eastAsia="Wingdings" w:cs="Wingdings" w:ascii="Wingdings" w:hAnsi="Wingdings"/>
          <w:sz w:val="28"/>
        </w:rPr>
        <w:t></w:t>
      </w:r>
      <w:r>
        <w:rPr>
          <w:rFonts w:eastAsia="標楷體" w:cs="標楷體" w:ascii="標楷體" w:hAnsi="標楷體"/>
          <w:sz w:val="28"/>
        </w:rPr>
        <w:t xml:space="preserve"> </w:t>
      </w:r>
      <w:r>
        <w:rPr>
          <w:rFonts w:ascii="標楷體" w:hAnsi="標楷體" w:eastAsia="標楷體"/>
          <w:sz w:val="28"/>
        </w:rPr>
        <w:t>兩腳擺開，與肩同寬</w:t>
      </w:r>
    </w:p>
    <w:p>
      <w:pPr>
        <w:pStyle w:val="Normal"/>
        <w:snapToGrid w:val="false"/>
        <w:jc w:val="both"/>
        <w:rPr/>
      </w:pPr>
      <w:r>
        <w:rPr>
          <w:rFonts w:eastAsia="標楷體" w:cs="標楷體" w:ascii="標楷體" w:hAnsi="標楷體"/>
          <w:sz w:val="28"/>
        </w:rPr>
        <w:t xml:space="preserve">    </w:t>
      </w:r>
      <w:r>
        <w:rPr>
          <w:rFonts w:eastAsia="Wingdings" w:cs="Wingdings" w:ascii="Wingdings" w:hAnsi="Wingdings"/>
          <w:sz w:val="28"/>
        </w:rPr>
        <w:t></w:t>
      </w:r>
      <w:r>
        <w:rPr>
          <w:rFonts w:eastAsia="標楷體" w:cs="標楷體" w:ascii="標楷體" w:hAnsi="標楷體"/>
          <w:sz w:val="28"/>
        </w:rPr>
        <w:t xml:space="preserve"> </w:t>
      </w:r>
      <w:r>
        <w:rPr>
          <w:rFonts w:ascii="標楷體" w:hAnsi="標楷體" w:eastAsia="標楷體"/>
          <w:sz w:val="28"/>
        </w:rPr>
        <w:t>雙膝微屈</w:t>
      </w:r>
      <w:r>
        <w:rPr>
          <w:rFonts w:ascii="標楷體" w:hAnsi="標楷體" w:eastAsia="標楷體"/>
          <w:sz w:val="28"/>
        </w:rPr>
        <w:t xml:space="preserve"> </w:t>
      </w:r>
    </w:p>
    <w:p>
      <w:pPr>
        <w:pStyle w:val="Normal"/>
        <w:snapToGrid w:val="false"/>
        <w:jc w:val="both"/>
        <w:rPr/>
      </w:pPr>
      <w:r>
        <w:rPr>
          <w:rFonts w:eastAsia="標楷體" w:cs="標楷體" w:ascii="標楷體" w:hAnsi="標楷體"/>
          <w:sz w:val="28"/>
        </w:rPr>
        <w:t xml:space="preserve">    </w:t>
      </w:r>
      <w:r>
        <w:rPr>
          <w:rFonts w:eastAsia="Wingdings" w:cs="Wingdings" w:ascii="Wingdings" w:hAnsi="Wingdings"/>
          <w:sz w:val="28"/>
        </w:rPr>
        <w:t></w:t>
      </w:r>
      <w:r>
        <w:rPr>
          <w:rFonts w:eastAsia="標楷體" w:cs="標楷體" w:ascii="標楷體" w:hAnsi="標楷體"/>
          <w:sz w:val="28"/>
        </w:rPr>
        <w:t xml:space="preserve"> </w:t>
      </w:r>
      <w:r>
        <w:rPr>
          <w:rFonts w:ascii="標楷體" w:hAnsi="標楷體" w:eastAsia="標楷體"/>
          <w:sz w:val="28"/>
        </w:rPr>
        <w:t>雙手前後自然擺動，手掌縮如雞爪</w:t>
      </w:r>
      <w:r>
        <w:rPr>
          <w:rFonts w:eastAsia="標楷體" w:ascii="標楷體" w:hAnsi="標楷體"/>
          <w:sz w:val="28"/>
        </w:rPr>
        <w:t>(</w:t>
      </w:r>
      <w:r>
        <w:rPr>
          <w:rFonts w:ascii="標楷體" w:hAnsi="標楷體" w:eastAsia="標楷體"/>
          <w:sz w:val="28"/>
        </w:rPr>
        <w:t>向後力量百分之七十</w:t>
      </w:r>
      <w:r>
        <w:rPr>
          <w:rFonts w:eastAsia="標楷體" w:ascii="標楷體" w:hAnsi="標楷體"/>
          <w:sz w:val="28"/>
        </w:rPr>
        <w:t>)</w:t>
      </w:r>
    </w:p>
    <w:p>
      <w:pPr>
        <w:pStyle w:val="Normal"/>
        <w:snapToGrid w:val="false"/>
        <w:jc w:val="both"/>
        <w:rPr/>
      </w:pPr>
      <w:r>
        <w:rPr>
          <w:rFonts w:eastAsia="標楷體" w:cs="標楷體" w:ascii="標楷體" w:hAnsi="標楷體"/>
          <w:sz w:val="28"/>
        </w:rPr>
        <w:t xml:space="preserve">    </w:t>
      </w:r>
      <w:r>
        <w:rPr>
          <w:rFonts w:eastAsia="Wingdings" w:cs="Wingdings" w:ascii="Wingdings" w:hAnsi="Wingdings"/>
          <w:sz w:val="28"/>
        </w:rPr>
        <w:t></w:t>
      </w:r>
      <w:r>
        <w:rPr>
          <w:rFonts w:eastAsia="標楷體" w:cs="標楷體" w:ascii="標楷體" w:hAnsi="標楷體"/>
          <w:sz w:val="28"/>
        </w:rPr>
        <w:t xml:space="preserve"> </w:t>
      </w:r>
      <w:r>
        <w:rPr>
          <w:rFonts w:ascii="標楷體" w:hAnsi="標楷體" w:eastAsia="標楷體"/>
          <w:sz w:val="28"/>
        </w:rPr>
        <w:t>舌頂上顎</w:t>
      </w:r>
    </w:p>
    <w:p>
      <w:pPr>
        <w:pStyle w:val="Normal"/>
        <w:snapToGrid w:val="false"/>
        <w:jc w:val="both"/>
        <w:rPr/>
      </w:pPr>
      <w:r>
        <w:rPr>
          <w:rFonts w:eastAsia="標楷體" w:cs="標楷體" w:ascii="標楷體" w:hAnsi="標楷體"/>
          <w:sz w:val="28"/>
        </w:rPr>
        <w:t xml:space="preserve">    </w:t>
      </w:r>
      <w:r>
        <w:rPr>
          <w:rFonts w:eastAsia="Wingdings" w:cs="Wingdings" w:ascii="Wingdings" w:hAnsi="Wingdings"/>
          <w:sz w:val="28"/>
        </w:rPr>
        <w:t></w:t>
      </w:r>
      <w:r>
        <w:rPr>
          <w:rFonts w:eastAsia="標楷體" w:cs="標楷體" w:ascii="標楷體" w:hAnsi="標楷體"/>
          <w:sz w:val="28"/>
        </w:rPr>
        <w:t xml:space="preserve"> </w:t>
      </w:r>
      <w:r>
        <w:rPr>
          <w:rFonts w:ascii="標楷體" w:hAnsi="標楷體" w:eastAsia="標楷體"/>
          <w:sz w:val="28"/>
        </w:rPr>
        <w:t>兩眼直視</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eastAsia="Wingdings" w:cs="Wingdings" w:ascii="Wingdings" w:hAnsi="Wingdings"/>
          <w:sz w:val="28"/>
        </w:rPr>
        <w:t></w:t>
      </w:r>
      <w:r>
        <w:rPr>
          <w:rFonts w:eastAsia="標楷體" w:cs="標楷體" w:ascii="標楷體" w:hAnsi="標楷體"/>
          <w:sz w:val="28"/>
        </w:rPr>
        <w:t xml:space="preserve"> </w:t>
      </w:r>
      <w:r>
        <w:rPr>
          <w:rFonts w:ascii="標楷體" w:hAnsi="標楷體" w:eastAsia="標楷體"/>
          <w:sz w:val="28"/>
        </w:rPr>
        <w:t>提肛</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注意事項</w:t>
      </w:r>
      <w:r>
        <w:rPr>
          <w:rFonts w:eastAsia="標楷體" w:ascii="標楷體" w:hAnsi="標楷體"/>
          <w:sz w:val="28"/>
        </w:rPr>
        <w:t>:</w:t>
      </w:r>
      <w:r>
        <w:rPr>
          <w:rFonts w:ascii="標楷體" w:hAnsi="標楷體" w:eastAsia="標楷體"/>
          <w:sz w:val="28"/>
        </w:rPr>
        <w:t>早晚各五百次為度，視身體能力慢慢增加</w:t>
      </w:r>
    </w:p>
    <w:p>
      <w:pPr>
        <w:pStyle w:val="Normal"/>
        <w:snapToGrid w:val="false"/>
        <w:jc w:val="both"/>
        <w:rPr/>
      </w:pPr>
      <w:r>
        <w:rPr>
          <w:rFonts w:eastAsia="標楷體" w:cs="標楷體" w:ascii="標楷體" w:hAnsi="標楷體"/>
          <w:sz w:val="28"/>
        </w:rPr>
        <w:t xml:space="preserve">      </w:t>
      </w:r>
      <w:r>
        <w:rPr>
          <w:rFonts w:ascii="標楷體" w:hAnsi="標楷體" w:eastAsia="標楷體"/>
          <w:sz w:val="28"/>
        </w:rPr>
        <w:t xml:space="preserve">飯後一小時之內不宜做，動作之中不可言語，意念要專      </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注，全身要放鬆。</w:t>
      </w:r>
    </w:p>
    <w:p>
      <w:pPr>
        <w:pStyle w:val="Normal"/>
        <w:snapToGrid w:val="false"/>
        <w:jc w:val="both"/>
        <w:rPr/>
      </w:pPr>
      <w:r>
        <w:rPr>
          <w:rFonts w:eastAsia="標楷體" w:cs="標楷體" w:ascii="標楷體" w:hAnsi="標楷體"/>
          <w:sz w:val="28"/>
        </w:rPr>
        <w:t xml:space="preserve">   </w:t>
      </w:r>
      <w:r>
        <w:rPr>
          <w:rFonts w:eastAsia="標楷體" w:cs="標楷體" w:ascii="標楷體" w:hAnsi="標楷體"/>
          <w:b/>
          <w:sz w:val="28"/>
        </w:rPr>
        <w:t xml:space="preserve"> </w:t>
      </w:r>
      <w:r>
        <w:rPr>
          <w:rFonts w:ascii="標楷體" w:hAnsi="標楷體" w:eastAsia="標楷體"/>
          <w:b/>
          <w:sz w:val="28"/>
        </w:rPr>
        <w:t>藥膳</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再好的藥物，不管是科學中藥或水煎劑，也不宜長期服用，六味地黃丸、補中益氣湯、或者四君子湯，即便是黃耆、枸杞、大棗等藥物，都是要適合體質才可以服用，如果不視體質盲目長期服用的話，其副作用的影響是無遠弗屆，未蒙其利，先受其害。因此在服用藥物一段時間之後，或者停藥一陣子、或者用藥膳取代，或者服用藥粥。茲舉例介紹藥膳的使用方法，以為腎臟病平常調理之用。</w:t>
      </w:r>
    </w:p>
    <w:p>
      <w:pPr>
        <w:pStyle w:val="Normal"/>
        <w:snapToGrid w:val="false"/>
        <w:jc w:val="both"/>
        <w:rPr/>
      </w:pPr>
      <w:r>
        <w:rPr>
          <w:rFonts w:eastAsia="標楷體" w:cs="標楷體" w:ascii="標楷體" w:hAnsi="標楷體"/>
          <w:sz w:val="28"/>
        </w:rPr>
        <w:t xml:space="preserve">    </w:t>
      </w:r>
      <w:r>
        <w:rPr>
          <w:rFonts w:ascii="標楷體" w:hAnsi="標楷體" w:eastAsia="標楷體"/>
          <w:b/>
          <w:sz w:val="28"/>
        </w:rPr>
        <w:t>山藥芡實粥</w:t>
      </w:r>
    </w:p>
    <w:p>
      <w:pPr>
        <w:pStyle w:val="Normal"/>
        <w:snapToGrid w:val="false"/>
        <w:jc w:val="both"/>
        <w:rPr/>
      </w:pPr>
      <w:r>
        <w:rPr>
          <w:rFonts w:eastAsia="標楷體" w:cs="標楷體" w:ascii="標楷體" w:hAnsi="標楷體"/>
          <w:b/>
          <w:sz w:val="28"/>
        </w:rPr>
        <w:t xml:space="preserve">    </w:t>
      </w:r>
      <w:r>
        <w:rPr>
          <w:rFonts w:ascii="標楷體" w:hAnsi="標楷體" w:eastAsia="標楷體"/>
          <w:sz w:val="28"/>
        </w:rPr>
        <w:t>功用：健脾益氣</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 xml:space="preserve">藥物：山藥六十克、芡實五十克、粳米九十克、油、鹽適量。 </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製法方法：先將山藥洗淨，刮去外皮，切薄片，將芡實用文火炒至微黃色，粳米用清水洗淨，上述三味，放入砂鍋內，加水適量，煮成粥，放入適量油、食鹽即可。</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服法</w:t>
      </w:r>
      <w:r>
        <w:rPr>
          <w:rFonts w:eastAsia="標楷體" w:ascii="標楷體" w:hAnsi="標楷體"/>
          <w:sz w:val="28"/>
        </w:rPr>
        <w:t>:</w:t>
      </w:r>
      <w:r>
        <w:rPr>
          <w:rFonts w:ascii="標楷體" w:hAnsi="標楷體" w:eastAsia="標楷體"/>
          <w:sz w:val="28"/>
        </w:rPr>
        <w:t>一天一帖，分一至二次服用。</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其他</w:t>
      </w:r>
      <w:r>
        <w:rPr>
          <w:rFonts w:eastAsia="標楷體" w:ascii="標楷體" w:hAnsi="標楷體"/>
          <w:sz w:val="28"/>
        </w:rPr>
        <w:t>:</w:t>
      </w:r>
      <w:r>
        <w:rPr>
          <w:rFonts w:ascii="標楷體" w:hAnsi="標楷體" w:eastAsia="標楷體"/>
          <w:sz w:val="28"/>
        </w:rPr>
        <w:t>除以上藥物之外，可根據體質，另以他藥取代。如益智仁、車前子，扁豆、芋頭、蓮子、銀耳、薏苡仁、黑芝麻、核桃仁、黃耆、白果、大棗等藥物，選取數種搭配，酌加其他配料如冰糖或砂糖，靈活應用，配出合乎自己口味的藥粥或藥膳及湯劑。</w:t>
      </w:r>
    </w:p>
    <w:p>
      <w:pPr>
        <w:pStyle w:val="Normal"/>
        <w:snapToGrid w:val="false"/>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藥物保健</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無論是腎炎、腎病症候群、慢性腎炎或者是腎功能已經產生變化，除了急性期發作的治療要找尋醫師治療之外，平常的調理亦要配合體質加以用藥。以下藥方打粉，一般平常調理，無特殊狀況者，會有不錯的效果，使用</w:t>
      </w:r>
      <w:r>
        <w:rPr>
          <w:rFonts w:eastAsia="標楷體" w:ascii="標楷體" w:hAnsi="標楷體"/>
          <w:sz w:val="28"/>
        </w:rPr>
        <w:t>:</w:t>
      </w:r>
      <w:r>
        <w:rPr>
          <w:rFonts w:ascii="標楷體" w:hAnsi="標楷體" w:eastAsia="標楷體"/>
          <w:sz w:val="28"/>
        </w:rPr>
        <w:t>太子參二兩半、三七粉一兩、蟬蛻一兩、冬虫夏草一兩，以上藥物共研打粉後早晚服用一小平匙，可達到益氣養陰、活血化瘀的效果。當然在服用藥物之前，尋找值得信賴的中醫師，細緻的辨證論治是重要的。</w:t>
      </w:r>
    </w:p>
    <w:p>
      <w:pPr>
        <w:pStyle w:val="Normal"/>
        <w:snapToGrid w:val="false"/>
        <w:jc w:val="both"/>
        <w:rPr>
          <w:rFonts w:ascii="標楷體" w:hAnsi="標楷體" w:eastAsia="標楷體"/>
          <w:sz w:val="28"/>
        </w:rPr>
      </w:pPr>
      <w:r>
        <w:rPr>
          <w:rFonts w:eastAsia="標楷體" w:ascii="標楷體" w:hAnsi="標楷體"/>
          <w:sz w:val="28"/>
        </w:rPr>
      </w:r>
      <w:r>
        <w:br w:type="page"/>
      </w:r>
    </w:p>
    <w:p>
      <w:pPr>
        <w:pStyle w:val="Normal"/>
        <w:snapToGrid w:val="false"/>
        <w:jc w:val="both"/>
        <w:rPr>
          <w:rFonts w:ascii="標楷體" w:hAnsi="標楷體" w:eastAsia="標楷體"/>
          <w:sz w:val="28"/>
        </w:rPr>
      </w:pPr>
      <w:r>
        <w:rPr>
          <w:rFonts w:eastAsia="標楷體" w:ascii="標楷體" w:hAnsi="標楷體"/>
          <w:sz w:val="28"/>
        </w:rPr>
      </w:r>
    </w:p>
    <w:p>
      <w:pPr>
        <w:pStyle w:val="Normal"/>
        <w:numPr>
          <w:ilvl w:val="0"/>
          <w:numId w:val="0"/>
        </w:numPr>
        <w:jc w:val="center"/>
        <w:outlineLvl w:val="0"/>
        <w:rPr>
          <w:rFonts w:ascii="標楷體" w:hAnsi="標楷體" w:eastAsia="標楷體"/>
          <w:b/>
          <w:b/>
          <w:sz w:val="36"/>
        </w:rPr>
      </w:pPr>
      <w:r>
        <w:rPr>
          <w:rFonts w:ascii="標楷體" w:hAnsi="標楷體" w:eastAsia="標楷體"/>
          <w:b/>
          <w:sz w:val="36"/>
        </w:rPr>
        <w:t>第五篇</w:t>
      </w:r>
    </w:p>
    <w:p>
      <w:pPr>
        <w:pStyle w:val="Normal"/>
        <w:jc w:val="center"/>
        <w:rPr>
          <w:rFonts w:ascii="標楷體" w:hAnsi="標楷體" w:eastAsia="標楷體"/>
          <w:b/>
          <w:b/>
          <w:sz w:val="32"/>
        </w:rPr>
      </w:pPr>
      <w:r>
        <w:rPr>
          <w:rFonts w:ascii="標楷體" w:hAnsi="標楷體" w:eastAsia="標楷體"/>
          <w:b/>
          <w:sz w:val="32"/>
        </w:rPr>
        <w:t>腎病症候群治驗</w:t>
      </w:r>
    </w:p>
    <w:p>
      <w:pPr>
        <w:pStyle w:val="Normal"/>
        <w:snapToGrid w:val="false"/>
        <w:spacing w:lineRule="atLeast" w:line="20"/>
        <w:jc w:val="both"/>
        <w:rPr>
          <w:rFonts w:ascii="標楷體" w:hAnsi="標楷體" w:eastAsia="標楷體"/>
          <w:sz w:val="28"/>
        </w:rPr>
      </w:pPr>
      <w:r>
        <w:rPr>
          <w:rFonts w:eastAsia="標楷體" w:cs="標楷體" w:ascii="標楷體" w:hAnsi="標楷體"/>
          <w:b/>
          <w:sz w:val="28"/>
        </w:rPr>
        <w:t xml:space="preserve">    </w:t>
      </w:r>
      <w:r>
        <w:rPr>
          <w:rFonts w:ascii="標楷體" w:hAnsi="標楷體" w:eastAsia="標楷體"/>
          <w:b/>
          <w:sz w:val="28"/>
        </w:rPr>
        <w:t>一、基本資料</w:t>
      </w:r>
      <w:r>
        <w:rPr>
          <w:rFonts w:ascii="標楷體" w:hAnsi="標楷體" w:eastAsia="標楷體"/>
          <w:b/>
          <w:sz w:val="28"/>
        </w:rPr>
        <w:t xml:space="preserve"> </w:t>
      </w:r>
    </w:p>
    <w:p>
      <w:pPr>
        <w:pStyle w:val="Normal"/>
        <w:snapToGrid w:val="false"/>
        <w:spacing w:lineRule="atLeast" w:line="20"/>
        <w:jc w:val="both"/>
        <w:rPr/>
      </w:pPr>
      <w:r>
        <w:rPr>
          <w:rFonts w:eastAsia="標楷體" w:cs="標楷體" w:ascii="標楷體" w:hAnsi="標楷體"/>
          <w:sz w:val="28"/>
        </w:rPr>
        <w:t xml:space="preserve">    </w:t>
      </w:r>
      <w:r>
        <w:rPr>
          <w:rFonts w:ascii="標楷體" w:hAnsi="標楷體" w:eastAsia="標楷體"/>
          <w:sz w:val="28"/>
        </w:rPr>
        <w:t>姓名</w:t>
      </w:r>
      <w:r>
        <w:rPr>
          <w:rFonts w:eastAsia="標楷體" w:ascii="標楷體" w:hAnsi="標楷體"/>
          <w:sz w:val="28"/>
        </w:rPr>
        <w:t>:</w:t>
      </w:r>
      <w:r>
        <w:rPr>
          <w:rFonts w:ascii="標楷體" w:hAnsi="標楷體" w:eastAsia="標楷體"/>
          <w:sz w:val="28"/>
        </w:rPr>
        <w:t>歐小姐         姓別</w:t>
      </w:r>
      <w:r>
        <w:rPr>
          <w:rFonts w:eastAsia="標楷體" w:ascii="標楷體" w:hAnsi="標楷體"/>
          <w:sz w:val="28"/>
        </w:rPr>
        <w:t>:</w:t>
      </w:r>
      <w:r>
        <w:rPr>
          <w:rFonts w:ascii="標楷體" w:hAnsi="標楷體" w:eastAsia="標楷體"/>
          <w:sz w:val="28"/>
        </w:rPr>
        <w:t xml:space="preserve">女姓    </w:t>
      </w:r>
    </w:p>
    <w:p>
      <w:pPr>
        <w:pStyle w:val="Normal"/>
        <w:snapToGrid w:val="false"/>
        <w:spacing w:lineRule="atLeast" w:line="20"/>
        <w:jc w:val="both"/>
        <w:rPr/>
      </w:pPr>
      <w:r>
        <w:rPr>
          <w:rFonts w:eastAsia="標楷體" w:cs="標楷體" w:ascii="標楷體" w:hAnsi="標楷體"/>
          <w:sz w:val="28"/>
        </w:rPr>
        <w:t xml:space="preserve">   </w:t>
      </w:r>
      <w:r>
        <w:rPr>
          <w:rFonts w:eastAsia="標楷體" w:cs="標楷體" w:ascii="標楷體" w:hAnsi="標楷體"/>
          <w:sz w:val="28"/>
        </w:rPr>
        <w:t xml:space="preserve"> </w:t>
      </w:r>
      <w:r>
        <w:rPr>
          <w:rFonts w:ascii="標楷體" w:hAnsi="標楷體" w:eastAsia="標楷體"/>
          <w:sz w:val="28"/>
        </w:rPr>
        <w:t>職業</w:t>
      </w:r>
      <w:r>
        <w:rPr>
          <w:rFonts w:eastAsia="標楷體" w:ascii="標楷體" w:hAnsi="標楷體"/>
          <w:sz w:val="28"/>
        </w:rPr>
        <w:t>:</w:t>
      </w:r>
      <w:r>
        <w:rPr>
          <w:rFonts w:ascii="標楷體" w:hAnsi="標楷體" w:eastAsia="標楷體"/>
          <w:sz w:val="28"/>
        </w:rPr>
        <w:t>家庭主婦       年齡</w:t>
      </w:r>
      <w:r>
        <w:rPr>
          <w:rFonts w:eastAsia="標楷體" w:ascii="標楷體" w:hAnsi="標楷體"/>
          <w:sz w:val="28"/>
        </w:rPr>
        <w:t>:</w:t>
      </w:r>
      <w:r>
        <w:rPr>
          <w:rFonts w:eastAsia="標楷體" w:ascii="標楷體" w:hAnsi="標楷體"/>
          <w:sz w:val="28"/>
        </w:rPr>
        <w:t>4</w:t>
      </w:r>
      <w:r>
        <w:rPr>
          <w:rFonts w:eastAsia="標楷體" w:ascii="標楷體" w:hAnsi="標楷體"/>
          <w:sz w:val="28"/>
        </w:rPr>
        <w:t>0</w:t>
      </w:r>
      <w:r>
        <w:rPr>
          <w:rFonts w:ascii="標楷體" w:hAnsi="標楷體" w:eastAsia="標楷體"/>
          <w:sz w:val="28"/>
        </w:rPr>
        <w:t>歲</w:t>
      </w:r>
      <w:r>
        <w:rPr>
          <w:rFonts w:ascii="標楷體" w:hAnsi="標楷體" w:eastAsia="標楷體"/>
          <w:sz w:val="28"/>
        </w:rPr>
        <w:t xml:space="preserve">     </w:t>
      </w:r>
      <w:r>
        <w:rPr>
          <w:rFonts w:ascii="標楷體" w:hAnsi="標楷體" w:eastAsia="標楷體"/>
          <w:sz w:val="28"/>
        </w:rPr>
        <w:t>住院日</w:t>
      </w:r>
      <w:r>
        <w:rPr>
          <w:rFonts w:eastAsia="標楷體" w:ascii="標楷體" w:hAnsi="標楷體"/>
          <w:sz w:val="28"/>
        </w:rPr>
        <w:t>:87</w:t>
      </w:r>
      <w:r>
        <w:rPr>
          <w:rFonts w:ascii="標楷體" w:hAnsi="標楷體" w:eastAsia="標楷體"/>
          <w:sz w:val="28"/>
        </w:rPr>
        <w:t>年</w:t>
      </w:r>
      <w:r>
        <w:rPr>
          <w:rFonts w:eastAsia="標楷體" w:ascii="標楷體" w:hAnsi="標楷體"/>
          <w:sz w:val="28"/>
        </w:rPr>
        <w:t>12</w:t>
      </w:r>
      <w:r>
        <w:rPr>
          <w:rFonts w:ascii="標楷體" w:hAnsi="標楷體" w:eastAsia="標楷體"/>
          <w:sz w:val="28"/>
        </w:rPr>
        <w:t>月</w:t>
      </w:r>
      <w:r>
        <w:rPr>
          <w:rFonts w:eastAsia="標楷體" w:ascii="標楷體" w:hAnsi="標楷體"/>
          <w:sz w:val="28"/>
        </w:rPr>
        <w:t>29</w:t>
      </w:r>
      <w:r>
        <w:rPr>
          <w:rFonts w:ascii="標楷體" w:hAnsi="標楷體" w:eastAsia="標楷體"/>
          <w:sz w:val="28"/>
        </w:rPr>
        <w:t>日</w:t>
      </w:r>
    </w:p>
    <w:p>
      <w:pPr>
        <w:pStyle w:val="Normal"/>
        <w:snapToGrid w:val="false"/>
        <w:spacing w:lineRule="atLeast" w:line="20"/>
        <w:jc w:val="both"/>
        <w:rPr/>
      </w:pPr>
      <w:r>
        <w:rPr>
          <w:rFonts w:eastAsia="標楷體" w:cs="標楷體" w:ascii="標楷體" w:hAnsi="標楷體"/>
          <w:sz w:val="28"/>
        </w:rPr>
        <w:t xml:space="preserve">    </w:t>
      </w:r>
      <w:r>
        <w:rPr>
          <w:rFonts w:ascii="標楷體" w:hAnsi="標楷體" w:eastAsia="標楷體"/>
          <w:sz w:val="28"/>
        </w:rPr>
        <w:t>婚姻</w:t>
      </w:r>
      <w:r>
        <w:rPr>
          <w:rFonts w:eastAsia="標楷體" w:ascii="標楷體" w:hAnsi="標楷體"/>
          <w:sz w:val="28"/>
        </w:rPr>
        <w:t>:</w:t>
      </w:r>
      <w:r>
        <w:rPr>
          <w:rFonts w:ascii="標楷體" w:hAnsi="標楷體" w:eastAsia="標楷體"/>
          <w:sz w:val="28"/>
        </w:rPr>
        <w:t>已婚</w:t>
      </w:r>
      <w:r>
        <w:rPr>
          <w:rFonts w:ascii="標楷體" w:hAnsi="標楷體" w:eastAsia="標楷體"/>
          <w:sz w:val="28"/>
        </w:rPr>
        <w:t xml:space="preserve">   </w:t>
      </w:r>
    </w:p>
    <w:p>
      <w:pPr>
        <w:pStyle w:val="Normal"/>
        <w:snapToGrid w:val="false"/>
        <w:spacing w:lineRule="atLeast" w:line="20"/>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二、主訴</w:t>
      </w:r>
      <w:r>
        <w:rPr>
          <w:rFonts w:eastAsia="標楷體" w:ascii="標楷體" w:hAnsi="標楷體"/>
          <w:b/>
          <w:sz w:val="28"/>
        </w:rPr>
        <w:t xml:space="preserve">: </w:t>
      </w:r>
      <w:r>
        <w:rPr>
          <w:rFonts w:ascii="標楷體" w:hAnsi="標楷體" w:eastAsia="標楷體"/>
          <w:b/>
          <w:sz w:val="28"/>
        </w:rPr>
        <w:t>全身腫脹近</w:t>
      </w:r>
      <w:r>
        <w:rPr>
          <w:rFonts w:eastAsia="標楷體" w:ascii="標楷體" w:hAnsi="標楷體"/>
          <w:b/>
          <w:sz w:val="28"/>
        </w:rPr>
        <w:t>1</w:t>
      </w:r>
      <w:r>
        <w:rPr>
          <w:rFonts w:ascii="標楷體" w:hAnsi="標楷體" w:eastAsia="標楷體"/>
          <w:b/>
          <w:sz w:val="28"/>
        </w:rPr>
        <w:t>個月。</w:t>
      </w:r>
    </w:p>
    <w:tbl>
      <w:tblPr>
        <w:tblW w:w="8848" w:type="dxa"/>
        <w:jc w:val="left"/>
        <w:tblInd w:w="-28" w:type="dxa"/>
        <w:tblBorders/>
        <w:tblCellMar>
          <w:top w:w="0" w:type="dxa"/>
          <w:left w:w="28" w:type="dxa"/>
          <w:bottom w:w="0" w:type="dxa"/>
          <w:right w:w="28" w:type="dxa"/>
        </w:tblCellMar>
      </w:tblPr>
      <w:tblGrid>
        <w:gridCol w:w="8848"/>
      </w:tblGrid>
      <w:tr>
        <w:trPr/>
        <w:tc>
          <w:tcPr>
            <w:tcW w:w="8848" w:type="dxa"/>
            <w:tcBorders/>
            <w:shd w:fill="auto" w:val="clear"/>
          </w:tcPr>
          <w:p>
            <w:pPr>
              <w:pStyle w:val="Normal"/>
              <w:widowControl/>
              <w:snapToGrid w:val="false"/>
              <w:spacing w:lineRule="atLeast" w:line="20"/>
              <w:jc w:val="both"/>
              <w:rPr/>
            </w:pPr>
            <w:r>
              <w:rPr>
                <w:rFonts w:eastAsia="標楷體" w:cs="標楷體" w:ascii="標楷體" w:hAnsi="標楷體"/>
                <w:b/>
              </w:rPr>
              <w:t xml:space="preserve">    </w:t>
            </w:r>
            <w:r>
              <w:rPr>
                <w:rFonts w:ascii="標楷體" w:hAnsi="標楷體" w:eastAsia="標楷體"/>
                <w:b/>
                <w:sz w:val="28"/>
              </w:rPr>
              <w:t>三、現在病史</w:t>
            </w:r>
            <w:r>
              <w:rPr>
                <w:rFonts w:eastAsia="標楷體" w:ascii="標楷體" w:hAnsi="標楷體"/>
                <w:b/>
                <w:sz w:val="28"/>
              </w:rPr>
              <w:t>:</w:t>
            </w:r>
            <w:r>
              <w:rPr>
                <w:rFonts w:ascii="標楷體" w:hAnsi="標楷體" w:eastAsia="標楷體"/>
                <w:sz w:val="28"/>
              </w:rPr>
              <w:t>患者於</w:t>
            </w:r>
            <w:r>
              <w:rPr>
                <w:rFonts w:eastAsia="標楷體" w:ascii="標楷體" w:hAnsi="標楷體"/>
                <w:sz w:val="28"/>
              </w:rPr>
              <w:t>11</w:t>
            </w:r>
            <w:r>
              <w:rPr>
                <w:rFonts w:ascii="標楷體" w:hAnsi="標楷體" w:eastAsia="標楷體"/>
                <w:sz w:val="28"/>
              </w:rPr>
              <w:t>月底開始體重急遽增加，初始以每天約</w:t>
            </w:r>
            <w:r>
              <w:rPr>
                <w:rFonts w:eastAsia="標楷體" w:ascii="標楷體" w:hAnsi="標楷體"/>
                <w:sz w:val="28"/>
              </w:rPr>
              <w:t>1</w:t>
            </w:r>
            <w:r>
              <w:rPr>
                <w:rFonts w:ascii="標楷體" w:hAnsi="標楷體" w:eastAsia="標楷體"/>
                <w:sz w:val="28"/>
              </w:rPr>
              <w:t>公斤的速度增加，初起以眼瞼及臉部為主，</w:t>
            </w:r>
            <w:r>
              <w:rPr>
                <w:rFonts w:eastAsia="標楷體" w:ascii="標楷體" w:hAnsi="標楷體"/>
                <w:sz w:val="28"/>
              </w:rPr>
              <w:t>5</w:t>
            </w:r>
            <w:r>
              <w:rPr>
                <w:rFonts w:ascii="標楷體" w:hAnsi="標楷體" w:eastAsia="標楷體"/>
                <w:sz w:val="28"/>
              </w:rPr>
              <w:t>天後（</w:t>
            </w:r>
            <w:r>
              <w:rPr>
                <w:rFonts w:eastAsia="標楷體" w:ascii="標楷體" w:hAnsi="標楷體"/>
                <w:sz w:val="28"/>
              </w:rPr>
              <w:t>12/4</w:t>
            </w:r>
            <w:r>
              <w:rPr>
                <w:rFonts w:ascii="標楷體" w:hAnsi="標楷體" w:eastAsia="標楷體"/>
                <w:sz w:val="28"/>
              </w:rPr>
              <w:t>），患者下肢腫脹明顯，併有麻感，造成彎曲不利，每日晨起眼瞼浮腫加重，至上午</w:t>
            </w:r>
            <w:r>
              <w:rPr>
                <w:rFonts w:eastAsia="標楷體" w:ascii="標楷體" w:hAnsi="標楷體"/>
                <w:sz w:val="28"/>
              </w:rPr>
              <w:t>10</w:t>
            </w:r>
            <w:r>
              <w:rPr>
                <w:rFonts w:ascii="標楷體" w:hAnsi="標楷體" w:eastAsia="標楷體"/>
                <w:sz w:val="28"/>
              </w:rPr>
              <w:t>時左右稍消退，此時下肢腫脹依然明顯。</w:t>
            </w:r>
          </w:p>
          <w:p>
            <w:pPr>
              <w:pStyle w:val="Normal"/>
              <w:widowContro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患者於</w:t>
            </w:r>
            <w:r>
              <w:rPr>
                <w:rFonts w:eastAsia="標楷體" w:ascii="標楷體" w:hAnsi="標楷體"/>
                <w:sz w:val="28"/>
              </w:rPr>
              <w:t>12/7</w:t>
            </w:r>
            <w:r>
              <w:rPr>
                <w:rFonts w:ascii="標楷體" w:hAnsi="標楷體" w:eastAsia="標楷體"/>
                <w:sz w:val="28"/>
              </w:rPr>
              <w:t>求診於某中醫診所，服藥至</w:t>
            </w:r>
            <w:r>
              <w:rPr>
                <w:rFonts w:eastAsia="標楷體" w:ascii="標楷體" w:hAnsi="標楷體"/>
                <w:sz w:val="28"/>
              </w:rPr>
              <w:t>12/20</w:t>
            </w:r>
            <w:r>
              <w:rPr>
                <w:rFonts w:ascii="標楷體" w:hAnsi="標楷體" w:eastAsia="標楷體"/>
                <w:sz w:val="28"/>
              </w:rPr>
              <w:t>，服藥期間，體重依然持續增加，同時曾於</w:t>
            </w:r>
            <w:r>
              <w:rPr>
                <w:rFonts w:eastAsia="標楷體" w:ascii="標楷體" w:hAnsi="標楷體"/>
                <w:sz w:val="28"/>
              </w:rPr>
              <w:t>12/16</w:t>
            </w:r>
            <w:r>
              <w:rPr>
                <w:rFonts w:ascii="標楷體" w:hAnsi="標楷體" w:eastAsia="標楷體"/>
                <w:sz w:val="28"/>
              </w:rPr>
              <w:t>至新光醫院接受血液及超音波檢查，初步診斷為腎病症候群，由於腫脹未減反而加重，故於</w:t>
            </w:r>
            <w:r>
              <w:rPr>
                <w:rFonts w:eastAsia="標楷體" w:ascii="標楷體" w:hAnsi="標楷體"/>
                <w:sz w:val="28"/>
              </w:rPr>
              <w:t>12/21</w:t>
            </w:r>
            <w:r>
              <w:rPr>
                <w:rFonts w:ascii="標楷體" w:hAnsi="標楷體" w:eastAsia="標楷體"/>
                <w:sz w:val="28"/>
              </w:rPr>
              <w:t>至本院中醫內科求治，中醫診斷為風水，予以越婢加朮湯及銀翹散化裁之湯劑處方，</w:t>
            </w:r>
            <w:r>
              <w:rPr>
                <w:rFonts w:eastAsia="標楷體" w:ascii="標楷體" w:hAnsi="標楷體"/>
                <w:sz w:val="28"/>
              </w:rPr>
              <w:t>1</w:t>
            </w:r>
            <w:r>
              <w:rPr>
                <w:rFonts w:ascii="標楷體" w:hAnsi="標楷體" w:eastAsia="標楷體"/>
                <w:sz w:val="28"/>
              </w:rPr>
              <w:t>星期後複診，體重已降至</w:t>
            </w:r>
            <w:r>
              <w:rPr>
                <w:rFonts w:eastAsia="標楷體" w:ascii="標楷體" w:hAnsi="標楷體"/>
                <w:sz w:val="28"/>
              </w:rPr>
              <w:t>67.5</w:t>
            </w:r>
            <w:r>
              <w:rPr>
                <w:rFonts w:ascii="標楷體" w:hAnsi="標楷體" w:eastAsia="標楷體"/>
                <w:sz w:val="28"/>
              </w:rPr>
              <w:t>公斤，且患者主觀症狀改善，包括體倦乏力﹑精神狀態等，但咳嗽未減，仍需進一步用藥，故建議患者住院。</w:t>
            </w:r>
          </w:p>
        </w:tc>
      </w:tr>
      <w:tr>
        <w:trPr/>
        <w:tc>
          <w:tcPr>
            <w:tcW w:w="8848" w:type="dxa"/>
            <w:tcBorders/>
            <w:shd w:fill="auto" w:val="clear"/>
          </w:tcPr>
          <w:p>
            <w:pPr>
              <w:pStyle w:val="Normal"/>
              <w:widowContro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詳細詢問患者，約</w:t>
            </w:r>
            <w:r>
              <w:rPr>
                <w:rFonts w:eastAsia="標楷體" w:ascii="標楷體" w:hAnsi="標楷體"/>
                <w:sz w:val="28"/>
              </w:rPr>
              <w:t>3</w:t>
            </w:r>
            <w:r>
              <w:rPr>
                <w:rFonts w:ascii="標楷體" w:hAnsi="標楷體" w:eastAsia="標楷體"/>
                <w:sz w:val="28"/>
              </w:rPr>
              <w:t xml:space="preserve">個月前，患者曾有嚴重咽痛病史，自行服用西藥後，上症消失，自此後，患者即一直有乾咳情形，一般以入夜後咳嗽會加重，除此之外，並無特殊病史。    </w:t>
            </w:r>
          </w:p>
        </w:tc>
      </w:tr>
    </w:tbl>
    <w:p>
      <w:pPr>
        <w:pStyle w:val="Normal"/>
        <w:snapToGrid w:val="false"/>
        <w:spacing w:lineRule="atLeast" w:line="20"/>
        <w:jc w:val="both"/>
        <w:rPr>
          <w:rFonts w:ascii="標楷體" w:hAnsi="標楷體" w:eastAsia="標楷體"/>
          <w:sz w:val="28"/>
        </w:rPr>
      </w:pPr>
      <w:r>
        <w:rPr>
          <w:rFonts w:eastAsia="標楷體" w:cs="標楷體" w:ascii="標楷體" w:hAnsi="標楷體"/>
          <w:b/>
          <w:sz w:val="28"/>
        </w:rPr>
        <w:t xml:space="preserve">   </w:t>
      </w:r>
      <w:r>
        <w:rPr>
          <w:rFonts w:ascii="標楷體" w:hAnsi="標楷體" w:eastAsia="標楷體"/>
          <w:b/>
          <w:sz w:val="28"/>
        </w:rPr>
        <w:t>四、過去病史</w:t>
      </w:r>
      <w:r>
        <w:rPr>
          <w:rFonts w:eastAsia="標楷體" w:ascii="標楷體" w:hAnsi="標楷體"/>
          <w:b/>
          <w:sz w:val="28"/>
        </w:rPr>
        <w:t>:</w:t>
      </w:r>
    </w:p>
    <w:tbl>
      <w:tblPr>
        <w:tblW w:w="8848" w:type="dxa"/>
        <w:jc w:val="left"/>
        <w:tblInd w:w="-28" w:type="dxa"/>
        <w:tblBorders/>
        <w:tblCellMar>
          <w:top w:w="0" w:type="dxa"/>
          <w:left w:w="28" w:type="dxa"/>
          <w:bottom w:w="0" w:type="dxa"/>
          <w:right w:w="28" w:type="dxa"/>
        </w:tblCellMar>
      </w:tblPr>
      <w:tblGrid>
        <w:gridCol w:w="8848"/>
      </w:tblGrid>
      <w:tr>
        <w:trPr/>
        <w:tc>
          <w:tcPr>
            <w:tcW w:w="8848" w:type="dxa"/>
            <w:tcBorders/>
            <w:shd w:fill="auto" w:val="clear"/>
          </w:tcPr>
          <w:p>
            <w:pPr>
              <w:pStyle w:val="Normal"/>
              <w:widowContro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eastAsia="標楷體" w:ascii="標楷體" w:hAnsi="標楷體"/>
                <w:sz w:val="28"/>
              </w:rPr>
              <w:t>1.</w:t>
            </w:r>
            <w:r>
              <w:rPr>
                <w:rFonts w:ascii="標楷體" w:hAnsi="標楷體" w:eastAsia="標楷體"/>
                <w:sz w:val="28"/>
              </w:rPr>
              <w:t>肝功能正常乙型肝炎帶原者，民國</w:t>
            </w:r>
            <w:r>
              <w:rPr>
                <w:rFonts w:eastAsia="標楷體" w:ascii="標楷體" w:hAnsi="標楷體"/>
                <w:sz w:val="28"/>
              </w:rPr>
              <w:t>77</w:t>
            </w:r>
            <w:r>
              <w:rPr>
                <w:rFonts w:ascii="標楷體" w:hAnsi="標楷體" w:eastAsia="標楷體"/>
                <w:sz w:val="28"/>
              </w:rPr>
              <w:t>年於國軍</w:t>
            </w:r>
            <w:r>
              <w:rPr>
                <w:rFonts w:eastAsia="標楷體" w:ascii="標楷體" w:hAnsi="標楷體"/>
                <w:sz w:val="28"/>
              </w:rPr>
              <w:t>811</w:t>
            </w:r>
            <w:r>
              <w:rPr>
                <w:rFonts w:ascii="標楷體" w:hAnsi="標楷體" w:eastAsia="標楷體"/>
                <w:sz w:val="28"/>
              </w:rPr>
              <w:t>醫院診斷。</w:t>
            </w:r>
          </w:p>
          <w:p>
            <w:pPr>
              <w:pStyle w:val="Normal"/>
              <w:widowContro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eastAsia="標楷體" w:ascii="標楷體" w:hAnsi="標楷體"/>
                <w:sz w:val="28"/>
              </w:rPr>
              <w:t>2.</w:t>
            </w:r>
            <w:r>
              <w:rPr>
                <w:rFonts w:ascii="標楷體" w:hAnsi="標楷體" w:eastAsia="標楷體"/>
                <w:sz w:val="28"/>
              </w:rPr>
              <w:t xml:space="preserve">否認其他內科疾病。    </w:t>
            </w:r>
            <w:r>
              <w:rPr>
                <w:rFonts w:eastAsia="標楷體" w:ascii="標楷體" w:hAnsi="標楷體"/>
                <w:sz w:val="28"/>
              </w:rPr>
              <w:t>3.</w:t>
            </w:r>
            <w:r>
              <w:rPr>
                <w:rFonts w:ascii="標楷體" w:hAnsi="標楷體" w:eastAsia="標楷體"/>
                <w:sz w:val="28"/>
              </w:rPr>
              <w:t>否認開刀史，除了剖腹生產。</w:t>
            </w:r>
          </w:p>
        </w:tc>
      </w:tr>
    </w:tbl>
    <w:p>
      <w:pPr>
        <w:pStyle w:val="Normal"/>
        <w:snapToGrid w:val="false"/>
        <w:spacing w:lineRule="atLeast" w:line="20"/>
        <w:jc w:val="both"/>
        <w:rPr>
          <w:rFonts w:ascii="標楷體" w:hAnsi="標楷體" w:eastAsia="標楷體"/>
          <w:sz w:val="28"/>
        </w:rPr>
      </w:pPr>
      <w:r>
        <w:rPr>
          <w:rFonts w:eastAsia="標楷體" w:cs="標楷體" w:ascii="標楷體" w:hAnsi="標楷體"/>
          <w:b/>
          <w:sz w:val="32"/>
        </w:rPr>
        <w:t xml:space="preserve">   </w:t>
      </w:r>
      <w:r>
        <w:rPr>
          <w:rFonts w:ascii="標楷體" w:hAnsi="標楷體" w:eastAsia="標楷體"/>
          <w:b/>
          <w:sz w:val="28"/>
        </w:rPr>
        <w:t>五、個人史</w:t>
      </w:r>
      <w:r>
        <w:rPr>
          <w:rFonts w:eastAsia="標楷體" w:ascii="標楷體" w:hAnsi="標楷體"/>
          <w:b/>
          <w:sz w:val="28"/>
        </w:rPr>
        <w:t>:</w:t>
      </w:r>
      <w:r>
        <w:rPr>
          <w:rFonts w:ascii="標楷體" w:hAnsi="標楷體" w:eastAsia="標楷體"/>
          <w:sz w:val="28"/>
        </w:rPr>
        <w:t>不抽煙﹑不喝酒</w:t>
      </w:r>
      <w:r>
        <w:rPr>
          <w:rFonts w:ascii="標楷體" w:hAnsi="標楷體" w:eastAsia="標楷體"/>
          <w:sz w:val="28"/>
        </w:rPr>
        <w:t xml:space="preserve">   </w:t>
      </w:r>
    </w:p>
    <w:p>
      <w:pPr>
        <w:pStyle w:val="Normal"/>
        <w:snapToGrid w:val="false"/>
        <w:spacing w:lineRule="atLeast" w:line="20"/>
        <w:jc w:val="both"/>
        <w:rPr>
          <w:rFonts w:ascii="標楷體" w:hAnsi="標楷體" w:eastAsia="標楷體"/>
          <w:sz w:val="28"/>
        </w:rPr>
      </w:pPr>
      <w:r>
        <w:rPr>
          <w:rFonts w:eastAsia="標楷體" w:cs="標楷體" w:ascii="標楷體" w:hAnsi="標楷體"/>
        </w:rPr>
        <w:t xml:space="preserve">   </w:t>
      </w:r>
      <w:r>
        <w:rPr>
          <w:rFonts w:eastAsia="標楷體" w:cs="標楷體" w:ascii="標楷體" w:hAnsi="標楷體"/>
          <w:sz w:val="28"/>
        </w:rPr>
        <w:t xml:space="preserve"> </w:t>
      </w:r>
      <w:r>
        <w:rPr>
          <w:rFonts w:ascii="標楷體" w:hAnsi="標楷體" w:eastAsia="標楷體"/>
          <w:b/>
          <w:sz w:val="28"/>
        </w:rPr>
        <w:t>六、家庭史</w:t>
      </w:r>
      <w:r>
        <w:rPr>
          <w:rFonts w:eastAsia="標楷體" w:ascii="標楷體" w:hAnsi="標楷體"/>
          <w:b/>
          <w:sz w:val="28"/>
        </w:rPr>
        <w:t>:</w:t>
      </w:r>
      <w:r>
        <w:rPr>
          <w:rFonts w:ascii="標楷體" w:hAnsi="標楷體" w:eastAsia="標楷體"/>
          <w:sz w:val="28"/>
        </w:rPr>
        <w:t>父親因肺癌，病逝於民國</w:t>
      </w:r>
      <w:r>
        <w:rPr>
          <w:rFonts w:eastAsia="標楷體" w:ascii="標楷體" w:hAnsi="標楷體"/>
          <w:sz w:val="28"/>
        </w:rPr>
        <w:t>77</w:t>
      </w:r>
      <w:r>
        <w:rPr>
          <w:rFonts w:ascii="標楷體" w:hAnsi="標楷體" w:eastAsia="標楷體"/>
          <w:sz w:val="28"/>
        </w:rPr>
        <w:t>年。</w:t>
      </w:r>
    </w:p>
    <w:p>
      <w:pPr>
        <w:pStyle w:val="Normal"/>
        <w:snapToGrid w:val="false"/>
        <w:spacing w:lineRule="atLeast" w:line="20"/>
        <w:jc w:val="both"/>
        <w:rPr>
          <w:rFonts w:ascii="標楷體" w:hAnsi="標楷體" w:eastAsia="標楷體"/>
          <w:sz w:val="28"/>
        </w:rPr>
      </w:pPr>
      <w:r>
        <w:rPr>
          <w:rFonts w:eastAsia="標楷體" w:cs="標楷體" w:ascii="標楷體" w:hAnsi="標楷體"/>
          <w:b/>
          <w:sz w:val="32"/>
        </w:rPr>
        <w:t xml:space="preserve">   </w:t>
      </w:r>
      <w:r>
        <w:rPr>
          <w:rFonts w:ascii="標楷體" w:hAnsi="標楷體" w:eastAsia="標楷體"/>
          <w:b/>
          <w:sz w:val="28"/>
        </w:rPr>
        <w:t>七﹑診察</w:t>
      </w:r>
      <w:r>
        <w:rPr>
          <w:rFonts w:eastAsia="標楷體" w:ascii="標楷體" w:hAnsi="標楷體"/>
          <w:b/>
          <w:sz w:val="28"/>
        </w:rPr>
        <w:t>:</w:t>
      </w:r>
    </w:p>
    <w:p>
      <w:pPr>
        <w:pStyle w:val="Normal"/>
        <w:snapToGrid w:val="false"/>
        <w:spacing w:lineRule="atLeast" w:line="20"/>
        <w:jc w:val="both"/>
        <w:rPr/>
      </w:pPr>
      <w:r>
        <w:rPr>
          <w:rFonts w:eastAsia="標楷體" w:cs="標楷體" w:ascii="標楷體" w:hAnsi="標楷體"/>
          <w:sz w:val="28"/>
        </w:rPr>
        <w:t xml:space="preserve">  </w:t>
      </w:r>
      <w:r>
        <w:rPr>
          <w:rFonts w:eastAsia="標楷體" w:cs="標楷體" w:ascii="標楷體" w:hAnsi="標楷體"/>
          <w:sz w:val="28"/>
        </w:rPr>
        <w:t xml:space="preserve">    </w:t>
      </w:r>
      <w:r>
        <w:rPr>
          <w:rFonts w:ascii="標楷體" w:hAnsi="標楷體" w:eastAsia="標楷體"/>
          <w:sz w:val="28"/>
        </w:rPr>
        <w:t>望</w:t>
      </w:r>
      <w:r>
        <w:rPr>
          <w:rFonts w:eastAsia="標楷體" w:ascii="標楷體" w:hAnsi="標楷體"/>
          <w:sz w:val="28"/>
        </w:rPr>
        <w:t>:</w:t>
      </w:r>
      <w:r>
        <w:rPr>
          <w:rFonts w:ascii="標楷體" w:hAnsi="標楷體" w:eastAsia="標楷體"/>
          <w:sz w:val="28"/>
        </w:rPr>
        <w:t>體型微胖，面色恍白，爪甲淡白，下眼瞼浮腫，口唇淡</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而乾，舌質微嫩，舌色淡紅，舌苔薄白。</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eastAsia="標楷體" w:cs="標楷體" w:ascii="標楷體" w:hAnsi="標楷體"/>
          <w:sz w:val="28"/>
        </w:rPr>
        <w:t xml:space="preserve">  </w:t>
      </w:r>
      <w:r>
        <w:rPr>
          <w:rFonts w:ascii="標楷體" w:hAnsi="標楷體" w:eastAsia="標楷體"/>
          <w:sz w:val="28"/>
        </w:rPr>
        <w:t>聞</w:t>
      </w:r>
      <w:r>
        <w:rPr>
          <w:rFonts w:eastAsia="標楷體" w:ascii="標楷體" w:hAnsi="標楷體"/>
          <w:sz w:val="28"/>
        </w:rPr>
        <w:t>:</w:t>
      </w:r>
      <w:r>
        <w:rPr>
          <w:rFonts w:ascii="標楷體" w:hAnsi="標楷體" w:eastAsia="標楷體"/>
          <w:sz w:val="28"/>
        </w:rPr>
        <w:t>無特殊氣味，語音低微。</w:t>
      </w:r>
    </w:p>
    <w:p>
      <w:pPr>
        <w:pStyle w:val="Normal"/>
        <w:snapToGrid w:val="false"/>
        <w:spacing w:lineRule="atLeast" w:line="20"/>
        <w:rPr>
          <w:rFonts w:ascii="標楷體" w:hAnsi="標楷體" w:eastAsia="標楷體"/>
          <w:sz w:val="28"/>
        </w:rPr>
      </w:pPr>
      <w:r>
        <w:rPr>
          <w:rFonts w:eastAsia="標楷體" w:cs="標楷體" w:ascii="標楷體" w:hAnsi="標楷體"/>
          <w:sz w:val="28"/>
        </w:rPr>
        <w:t xml:space="preserve">    </w:t>
      </w:r>
      <w:r>
        <w:rPr>
          <w:rFonts w:eastAsia="標楷體" w:cs="標楷體" w:ascii="標楷體" w:hAnsi="標楷體"/>
          <w:sz w:val="28"/>
        </w:rPr>
        <w:t xml:space="preserve">  </w:t>
      </w:r>
      <w:r>
        <w:rPr>
          <w:rFonts w:ascii="標楷體" w:hAnsi="標楷體" w:eastAsia="標楷體"/>
          <w:sz w:val="28"/>
        </w:rPr>
        <w:t>問</w:t>
      </w:r>
      <w:r>
        <w:rPr>
          <w:rFonts w:eastAsia="標楷體" w:ascii="標楷體" w:hAnsi="標楷體"/>
          <w:sz w:val="28"/>
        </w:rPr>
        <w:t>:</w:t>
      </w:r>
      <w:r>
        <w:rPr>
          <w:rFonts w:ascii="標楷體" w:hAnsi="標楷體" w:eastAsia="標楷體"/>
          <w:sz w:val="28"/>
        </w:rPr>
        <w:t>體重約增加</w:t>
      </w:r>
      <w:r>
        <w:rPr>
          <w:rFonts w:eastAsia="標楷體" w:ascii="標楷體" w:hAnsi="標楷體"/>
          <w:sz w:val="28"/>
        </w:rPr>
        <w:t>14</w:t>
      </w:r>
      <w:r>
        <w:rPr>
          <w:rFonts w:ascii="標楷體" w:hAnsi="標楷體" w:eastAsia="標楷體"/>
          <w:sz w:val="28"/>
        </w:rPr>
        <w:t>公斤</w:t>
      </w:r>
      <w:r>
        <w:rPr>
          <w:rFonts w:eastAsia="標楷體" w:ascii="標楷體" w:hAnsi="標楷體"/>
          <w:sz w:val="28"/>
        </w:rPr>
        <w:t>/21</w:t>
      </w:r>
      <w:r>
        <w:rPr>
          <w:rFonts w:ascii="標楷體" w:hAnsi="標楷體" w:eastAsia="標楷體"/>
          <w:sz w:val="28"/>
        </w:rPr>
        <w:t xml:space="preserve">天，情志稍顯憂鬱，兩側太陽穴         </w:t>
      </w:r>
    </w:p>
    <w:p>
      <w:pPr>
        <w:pStyle w:val="Normal"/>
        <w:snapToGrid w:val="false"/>
        <w:spacing w:lineRule="atLeast" w:line="20"/>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及頭部會抽痛，口乾不欲飲，有時漱口即可，口淡，唇乾，</w:t>
      </w:r>
    </w:p>
    <w:p>
      <w:pPr>
        <w:pStyle w:val="Normal"/>
        <w:snapToGrid w:val="false"/>
        <w:spacing w:lineRule="atLeast" w:line="20"/>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咽喉偶痛；偶胸痛胸悶，少氣，咳嗽無痰，入夜後加重，</w:t>
      </w:r>
    </w:p>
    <w:p>
      <w:pPr>
        <w:pStyle w:val="Normal"/>
        <w:snapToGrid w:val="false"/>
        <w:spacing w:lineRule="atLeast" w:line="20"/>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咽癢即咳；大便成形，</w:t>
      </w:r>
      <w:r>
        <w:rPr>
          <w:rFonts w:eastAsia="標楷體" w:ascii="標楷體" w:hAnsi="標楷體"/>
          <w:sz w:val="28"/>
        </w:rPr>
        <w:t>1</w:t>
      </w:r>
      <w:r>
        <w:rPr>
          <w:rFonts w:ascii="標楷體" w:hAnsi="標楷體" w:eastAsia="標楷體"/>
          <w:sz w:val="28"/>
        </w:rPr>
        <w:t>日</w:t>
      </w:r>
      <w:r>
        <w:rPr>
          <w:rFonts w:eastAsia="標楷體" w:ascii="標楷體" w:hAnsi="標楷體"/>
          <w:sz w:val="28"/>
        </w:rPr>
        <w:t>1</w:t>
      </w:r>
      <w:r>
        <w:rPr>
          <w:rFonts w:ascii="標楷體" w:hAnsi="標楷體" w:eastAsia="標楷體"/>
          <w:sz w:val="28"/>
        </w:rPr>
        <w:t>行；小便量多頻數，有泡沫，</w:t>
      </w:r>
    </w:p>
    <w:p>
      <w:pPr>
        <w:pStyle w:val="Normal"/>
        <w:snapToGrid w:val="false"/>
        <w:spacing w:lineRule="atLeast" w:line="20"/>
        <w:rPr/>
      </w:pPr>
      <w:r>
        <w:rPr>
          <w:rFonts w:eastAsia="標楷體" w:cs="標楷體" w:ascii="標楷體" w:hAnsi="標楷體"/>
          <w:sz w:val="28"/>
        </w:rPr>
        <w:t xml:space="preserve">         </w:t>
      </w:r>
      <w:r>
        <w:rPr>
          <w:rFonts w:ascii="標楷體" w:hAnsi="標楷體" w:eastAsia="標楷體"/>
          <w:sz w:val="28"/>
        </w:rPr>
        <w:t>夜尿，</w:t>
      </w:r>
      <w:r>
        <w:rPr>
          <w:rFonts w:eastAsia="標楷體" w:ascii="標楷體" w:hAnsi="標楷體"/>
          <w:sz w:val="28"/>
        </w:rPr>
        <w:t>3</w:t>
      </w:r>
      <w:r>
        <w:rPr>
          <w:rFonts w:ascii="標楷體" w:hAnsi="標楷體" w:eastAsia="標楷體"/>
          <w:sz w:val="28"/>
        </w:rPr>
        <w:t>～</w:t>
      </w:r>
      <w:r>
        <w:rPr>
          <w:rFonts w:eastAsia="標楷體" w:ascii="標楷體" w:hAnsi="標楷體"/>
          <w:sz w:val="28"/>
        </w:rPr>
        <w:t>4</w:t>
      </w:r>
      <w:r>
        <w:rPr>
          <w:rFonts w:ascii="標楷體" w:hAnsi="標楷體" w:eastAsia="標楷體"/>
          <w:sz w:val="28"/>
        </w:rPr>
        <w:t>次</w:t>
      </w:r>
      <w:r>
        <w:rPr>
          <w:rFonts w:eastAsia="標楷體" w:ascii="標楷體" w:hAnsi="標楷體"/>
          <w:sz w:val="28"/>
        </w:rPr>
        <w:t>/</w:t>
      </w:r>
      <w:r>
        <w:rPr>
          <w:rFonts w:ascii="標楷體" w:hAnsi="標楷體" w:eastAsia="標楷體"/>
          <w:sz w:val="28"/>
        </w:rPr>
        <w:t>夜； 無腰酸；下肢腫脹，有搔抓痕跡，</w:t>
      </w:r>
      <w:r>
        <w:rPr>
          <w:rFonts w:ascii="標楷體" w:hAnsi="標楷體" w:eastAsia="標楷體"/>
          <w:sz w:val="28"/>
        </w:rPr>
        <w:t xml:space="preserve">         </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手足冷。</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婦科史：最後經其時間</w:t>
      </w:r>
      <w:r>
        <w:rPr>
          <w:rFonts w:eastAsia="標楷體" w:ascii="標楷體" w:hAnsi="標楷體"/>
          <w:sz w:val="28"/>
        </w:rPr>
        <w:t>:87/12/</w:t>
      </w:r>
      <w:r>
        <w:rPr>
          <w:rFonts w:ascii="標楷體" w:hAnsi="標楷體" w:eastAsia="標楷體"/>
          <w:sz w:val="28"/>
        </w:rPr>
        <w:t>初，懷孕三次、三個小孩</w:t>
      </w:r>
      <w:r>
        <w:rPr>
          <w:rFonts w:eastAsia="標楷體" w:ascii="標楷體" w:hAnsi="標楷體"/>
          <w:sz w:val="28"/>
        </w:rPr>
        <w:t>;</w:t>
      </w:r>
      <w:r>
        <w:rPr>
          <w:rFonts w:ascii="標楷體" w:hAnsi="標楷體" w:eastAsia="標楷體"/>
          <w:sz w:val="28"/>
        </w:rPr>
        <w:t>初</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經</w:t>
      </w:r>
      <w:r>
        <w:rPr>
          <w:rFonts w:eastAsia="標楷體" w:ascii="標楷體" w:hAnsi="標楷體"/>
          <w:sz w:val="28"/>
        </w:rPr>
        <w:t>12</w:t>
      </w:r>
      <w:r>
        <w:rPr>
          <w:rFonts w:ascii="標楷體" w:hAnsi="標楷體" w:eastAsia="標楷體"/>
          <w:sz w:val="28"/>
        </w:rPr>
        <w:t>歲，週期</w:t>
      </w:r>
      <w:r>
        <w:rPr>
          <w:rFonts w:eastAsia="標楷體" w:ascii="標楷體" w:hAnsi="標楷體"/>
          <w:sz w:val="28"/>
        </w:rPr>
        <w:t>&lt;24</w:t>
      </w:r>
      <w:r>
        <w:rPr>
          <w:rFonts w:ascii="標楷體" w:hAnsi="標楷體" w:eastAsia="標楷體"/>
          <w:sz w:val="28"/>
        </w:rPr>
        <w:t>天</w:t>
      </w:r>
      <w:r>
        <w:rPr>
          <w:rFonts w:eastAsia="標楷體" w:ascii="標楷體" w:hAnsi="標楷體"/>
          <w:sz w:val="28"/>
        </w:rPr>
        <w:t xml:space="preserve">, </w:t>
      </w:r>
      <w:r>
        <w:rPr>
          <w:rFonts w:ascii="標楷體" w:hAnsi="標楷體" w:eastAsia="標楷體"/>
          <w:sz w:val="28"/>
        </w:rPr>
        <w:t>經行</w:t>
      </w:r>
      <w:r>
        <w:rPr>
          <w:rFonts w:eastAsia="標楷體" w:ascii="標楷體" w:hAnsi="標楷體"/>
          <w:sz w:val="28"/>
        </w:rPr>
        <w:t>5</w:t>
      </w:r>
      <w:r>
        <w:rPr>
          <w:rFonts w:ascii="標楷體" w:hAnsi="標楷體" w:eastAsia="標楷體"/>
          <w:sz w:val="28"/>
        </w:rPr>
        <w:t>～</w:t>
      </w:r>
      <w:r>
        <w:rPr>
          <w:rFonts w:eastAsia="標楷體" w:ascii="標楷體" w:hAnsi="標楷體"/>
          <w:sz w:val="28"/>
        </w:rPr>
        <w:t>6</w:t>
      </w:r>
      <w:r>
        <w:rPr>
          <w:rFonts w:ascii="標楷體" w:hAnsi="標楷體" w:eastAsia="標楷體"/>
          <w:sz w:val="28"/>
        </w:rPr>
        <w:t>天，經量少，色鮮</w:t>
      </w:r>
    </w:p>
    <w:p>
      <w:pPr>
        <w:pStyle w:val="Normal"/>
        <w:snapToGrid w:val="false"/>
        <w:spacing w:lineRule="atLeast" w:line="20"/>
        <w:jc w:val="both"/>
        <w:rPr/>
      </w:pPr>
      <w:r>
        <w:rPr>
          <w:rFonts w:eastAsia="標楷體" w:cs="標楷體" w:ascii="標楷體" w:hAnsi="標楷體"/>
          <w:sz w:val="28"/>
        </w:rPr>
        <w:t xml:space="preserve">              </w:t>
      </w:r>
      <w:r>
        <w:rPr>
          <w:rFonts w:ascii="標楷體" w:hAnsi="標楷體" w:eastAsia="標楷體"/>
          <w:sz w:val="28"/>
        </w:rPr>
        <w:t>紅，有血塊，帶下透明清晰。</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切</w:t>
      </w:r>
      <w:r>
        <w:rPr>
          <w:rFonts w:eastAsia="標楷體" w:ascii="標楷體" w:hAnsi="標楷體"/>
          <w:sz w:val="28"/>
        </w:rPr>
        <w:t xml:space="preserve">: </w:t>
      </w:r>
      <w:r>
        <w:rPr>
          <w:rFonts w:ascii="標楷體" w:hAnsi="標楷體" w:eastAsia="標楷體"/>
          <w:sz w:val="28"/>
        </w:rPr>
        <w:t>右沈滑，左寸弦細，關尺弦滑。</w:t>
      </w:r>
    </w:p>
    <w:p>
      <w:pPr>
        <w:pStyle w:val="Normal"/>
        <w:snapToGrid w:val="false"/>
        <w:spacing w:lineRule="atLeast" w:line="20"/>
        <w:jc w:val="both"/>
        <w:rPr/>
      </w:pPr>
      <w:r>
        <w:rPr>
          <w:rFonts w:eastAsia="標楷體" w:cs="標楷體" w:ascii="標楷體" w:hAnsi="標楷體"/>
          <w:sz w:val="28"/>
        </w:rPr>
        <w:t xml:space="preserve">   </w:t>
      </w:r>
      <w:r>
        <w:rPr>
          <w:rFonts w:eastAsia="標楷體" w:cs="標楷體" w:ascii="標楷體" w:hAnsi="標楷體"/>
          <w:sz w:val="28"/>
        </w:rPr>
        <w:t xml:space="preserve">    </w:t>
      </w:r>
      <w:r>
        <w:rPr>
          <w:rFonts w:ascii="標楷體" w:hAnsi="標楷體" w:eastAsia="標楷體"/>
          <w:b/>
          <w:sz w:val="28"/>
        </w:rPr>
        <w:t>八、理學檢查</w:t>
      </w:r>
      <w:r>
        <w:rPr>
          <w:rFonts w:eastAsia="標楷體" w:ascii="標楷體" w:hAnsi="標楷體"/>
          <w:b/>
          <w:sz w:val="28"/>
        </w:rPr>
        <w:t>:</w:t>
      </w:r>
    </w:p>
    <w:p>
      <w:pPr>
        <w:pStyle w:val="Normal"/>
        <w:snapToGrid w:val="false"/>
        <w:spacing w:lineRule="atLeast" w:line="20"/>
        <w:jc w:val="both"/>
        <w:rPr/>
      </w:pPr>
      <w:r>
        <w:rPr>
          <w:rFonts w:eastAsia="標楷體" w:cs="標楷體" w:ascii="標楷體" w:hAnsi="標楷體"/>
          <w:sz w:val="28"/>
        </w:rPr>
        <w:t xml:space="preserve">     </w:t>
      </w:r>
      <w:r>
        <w:rPr>
          <w:rFonts w:eastAsia="標楷體" w:cs="標楷體" w:ascii="標楷體" w:hAnsi="標楷體"/>
          <w:sz w:val="28"/>
        </w:rPr>
        <w:t xml:space="preserve">  </w:t>
      </w:r>
      <w:r>
        <w:rPr>
          <w:rFonts w:ascii="標楷體" w:hAnsi="標楷體" w:eastAsia="標楷體"/>
          <w:sz w:val="28"/>
        </w:rPr>
        <w:t>血壓</w:t>
      </w:r>
      <w:r>
        <w:rPr>
          <w:rFonts w:eastAsia="標楷體" w:ascii="標楷體" w:hAnsi="標楷體"/>
          <w:sz w:val="28"/>
        </w:rPr>
        <w:t xml:space="preserve">: </w:t>
      </w:r>
      <w:r>
        <w:rPr>
          <w:rFonts w:eastAsia="標楷體" w:ascii="標楷體" w:hAnsi="標楷體"/>
          <w:sz w:val="28"/>
        </w:rPr>
        <w:t>100/70</w:t>
      </w:r>
      <w:r>
        <w:rPr>
          <w:rFonts w:eastAsia="標楷體" w:ascii="標楷體" w:hAnsi="標楷體"/>
          <w:sz w:val="28"/>
        </w:rPr>
        <w:t xml:space="preserve">mmHg </w:t>
      </w:r>
      <w:r>
        <w:rPr>
          <w:rFonts w:eastAsia="標楷體" w:ascii="標楷體" w:hAnsi="標楷體"/>
          <w:sz w:val="28"/>
        </w:rPr>
        <w:t xml:space="preserve"> </w:t>
      </w:r>
      <w:r>
        <w:rPr>
          <w:rFonts w:eastAsia="標楷體" w:ascii="標楷體" w:hAnsi="標楷體"/>
          <w:sz w:val="28"/>
        </w:rPr>
        <w:t xml:space="preserve"> </w:t>
      </w:r>
      <w:r>
        <w:rPr>
          <w:rFonts w:ascii="標楷體" w:hAnsi="標楷體" w:eastAsia="標楷體"/>
          <w:sz w:val="28"/>
        </w:rPr>
        <w:t>體溫</w:t>
      </w:r>
      <w:r>
        <w:rPr>
          <w:rFonts w:eastAsia="標楷體" w:ascii="標楷體" w:hAnsi="標楷體"/>
          <w:sz w:val="28"/>
        </w:rPr>
        <w:t>:36</w:t>
      </w:r>
      <w:r>
        <w:rPr>
          <w:rFonts w:eastAsia="標楷體" w:ascii="標楷體" w:hAnsi="標楷體"/>
          <w:sz w:val="28"/>
        </w:rPr>
        <w:t>.2℃</w:t>
      </w:r>
      <w:r>
        <w:rPr>
          <w:rFonts w:eastAsia="標楷體" w:ascii="標楷體" w:hAnsi="標楷體"/>
          <w:sz w:val="28"/>
        </w:rPr>
        <w:t xml:space="preserve">  </w:t>
      </w:r>
      <w:r>
        <w:rPr>
          <w:rFonts w:ascii="標楷體" w:hAnsi="標楷體" w:eastAsia="標楷體"/>
          <w:sz w:val="28"/>
        </w:rPr>
        <w:t>脈博</w:t>
      </w:r>
      <w:r>
        <w:rPr>
          <w:rFonts w:eastAsia="標楷體" w:ascii="標楷體" w:hAnsi="標楷體"/>
          <w:sz w:val="28"/>
        </w:rPr>
        <w:t>:</w:t>
      </w:r>
      <w:r>
        <w:rPr>
          <w:rFonts w:eastAsia="標楷體" w:ascii="標楷體" w:hAnsi="標楷體"/>
          <w:sz w:val="28"/>
        </w:rPr>
        <w:t>88</w:t>
      </w:r>
      <w:r>
        <w:rPr>
          <w:rFonts w:ascii="標楷體" w:hAnsi="標楷體" w:eastAsia="標楷體"/>
          <w:sz w:val="28"/>
        </w:rPr>
        <w:t>次</w:t>
      </w:r>
      <w:r>
        <w:rPr>
          <w:rFonts w:eastAsia="標楷體" w:ascii="標楷體" w:hAnsi="標楷體"/>
          <w:sz w:val="28"/>
        </w:rPr>
        <w:t>/</w:t>
      </w:r>
      <w:r>
        <w:rPr>
          <w:rFonts w:ascii="標楷體" w:hAnsi="標楷體" w:eastAsia="標楷體"/>
          <w:sz w:val="28"/>
        </w:rPr>
        <w:t xml:space="preserve">分  </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呼吸：</w:t>
      </w:r>
      <w:r>
        <w:rPr>
          <w:rFonts w:eastAsia="標楷體" w:ascii="標楷體" w:hAnsi="標楷體"/>
          <w:sz w:val="28"/>
        </w:rPr>
        <w:t>20</w:t>
      </w:r>
      <w:r>
        <w:rPr>
          <w:rFonts w:ascii="標楷體" w:hAnsi="標楷體" w:eastAsia="標楷體"/>
          <w:sz w:val="28"/>
        </w:rPr>
        <w:t>次</w:t>
      </w:r>
      <w:r>
        <w:rPr>
          <w:rFonts w:eastAsia="標楷體" w:ascii="標楷體" w:hAnsi="標楷體"/>
          <w:sz w:val="28"/>
        </w:rPr>
        <w:t>/</w:t>
      </w:r>
      <w:r>
        <w:rPr>
          <w:rFonts w:ascii="標楷體" w:hAnsi="標楷體" w:eastAsia="標楷體"/>
          <w:sz w:val="28"/>
        </w:rPr>
        <w:t>分</w:t>
      </w:r>
      <w:r>
        <w:rPr>
          <w:rFonts w:ascii="標楷體" w:hAnsi="標楷體" w:eastAsia="標楷體"/>
          <w:sz w:val="28"/>
        </w:rPr>
        <w:t xml:space="preserve">   </w:t>
      </w:r>
      <w:r>
        <w:rPr>
          <w:rFonts w:ascii="標楷體" w:hAnsi="標楷體" w:eastAsia="標楷體"/>
          <w:sz w:val="28"/>
        </w:rPr>
        <w:t xml:space="preserve">  意識</w:t>
      </w:r>
      <w:r>
        <w:rPr>
          <w:rFonts w:eastAsia="標楷體" w:ascii="標楷體" w:hAnsi="標楷體"/>
          <w:sz w:val="28"/>
        </w:rPr>
        <w:t>:</w:t>
      </w:r>
      <w:r>
        <w:rPr>
          <w:rFonts w:ascii="標楷體" w:hAnsi="標楷體" w:eastAsia="標楷體"/>
          <w:sz w:val="28"/>
        </w:rPr>
        <w:t>清楚</w:t>
      </w:r>
      <w:r>
        <w:rPr>
          <w:rFonts w:ascii="標楷體" w:hAnsi="標楷體" w:eastAsia="標楷體"/>
          <w:sz w:val="28"/>
        </w:rPr>
        <w:t xml:space="preserve">      </w:t>
      </w:r>
      <w:r>
        <w:rPr>
          <w:rFonts w:ascii="標楷體" w:hAnsi="標楷體" w:eastAsia="標楷體"/>
          <w:sz w:val="28"/>
        </w:rPr>
        <w:t>體重</w:t>
      </w:r>
      <w:r>
        <w:rPr>
          <w:rFonts w:eastAsia="標楷體" w:ascii="標楷體" w:hAnsi="標楷體"/>
          <w:sz w:val="28"/>
        </w:rPr>
        <w:t>:</w:t>
      </w:r>
      <w:r>
        <w:rPr>
          <w:rFonts w:eastAsia="標楷體" w:ascii="標楷體" w:hAnsi="標楷體"/>
          <w:sz w:val="28"/>
        </w:rPr>
        <w:t xml:space="preserve"> 67.5</w:t>
      </w:r>
      <w:r>
        <w:rPr>
          <w:rFonts w:ascii="標楷體" w:hAnsi="標楷體" w:eastAsia="標楷體"/>
          <w:sz w:val="28"/>
        </w:rPr>
        <w:t>公斤</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eastAsia="標楷體" w:cs="標楷體" w:ascii="標楷體" w:hAnsi="標楷體"/>
          <w:sz w:val="28"/>
        </w:rPr>
        <w:t xml:space="preserve">  </w:t>
      </w:r>
      <w:r>
        <w:rPr>
          <w:rFonts w:ascii="標楷體" w:hAnsi="標楷體" w:eastAsia="標楷體"/>
          <w:sz w:val="28"/>
        </w:rPr>
        <w:t>頸部</w:t>
      </w:r>
      <w:r>
        <w:rPr>
          <w:rFonts w:eastAsia="標楷體" w:ascii="標楷體" w:hAnsi="標楷體"/>
          <w:sz w:val="28"/>
        </w:rPr>
        <w:t>:</w:t>
      </w:r>
      <w:r>
        <w:rPr>
          <w:rFonts w:ascii="標楷體" w:hAnsi="標楷體" w:eastAsia="標楷體"/>
          <w:sz w:val="28"/>
        </w:rPr>
        <w:t>頸靜脈擴張</w:t>
      </w:r>
      <w:r>
        <w:rPr>
          <w:rFonts w:eastAsia="標楷體" w:ascii="標楷體" w:hAnsi="標楷體"/>
          <w:sz w:val="28"/>
        </w:rPr>
        <w:t xml:space="preserve">(-)  </w:t>
      </w:r>
      <w:r>
        <w:rPr>
          <w:rFonts w:eastAsia="標楷體" w:ascii="標楷體" w:hAnsi="標楷體"/>
          <w:sz w:val="28"/>
        </w:rPr>
        <w:t xml:space="preserve">  </w:t>
      </w:r>
      <w:r>
        <w:rPr>
          <w:rFonts w:eastAsia="標楷體" w:ascii="標楷體" w:hAnsi="標楷體"/>
          <w:sz w:val="28"/>
        </w:rPr>
        <w:t xml:space="preserve">           </w:t>
      </w:r>
      <w:r>
        <w:rPr>
          <w:rFonts w:ascii="標楷體" w:hAnsi="標楷體" w:eastAsia="標楷體"/>
          <w:sz w:val="28"/>
        </w:rPr>
        <w:t>胸廓</w:t>
      </w:r>
      <w:r>
        <w:rPr>
          <w:rFonts w:eastAsia="標楷體" w:ascii="標楷體" w:hAnsi="標楷體"/>
          <w:sz w:val="28"/>
        </w:rPr>
        <w:t>:</w:t>
      </w:r>
      <w:r>
        <w:rPr>
          <w:rFonts w:ascii="標楷體" w:hAnsi="標楷體" w:eastAsia="標楷體"/>
          <w:sz w:val="28"/>
        </w:rPr>
        <w:t>微脹</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eastAsia="標楷體" w:cs="標楷體" w:ascii="標楷體" w:hAnsi="標楷體"/>
          <w:sz w:val="28"/>
        </w:rPr>
        <w:t xml:space="preserve">  </w:t>
      </w:r>
      <w:r>
        <w:rPr>
          <w:rFonts w:ascii="標楷體" w:hAnsi="標楷體" w:eastAsia="標楷體"/>
          <w:sz w:val="28"/>
        </w:rPr>
        <w:t>腹部</w:t>
      </w:r>
      <w:r>
        <w:rPr>
          <w:rFonts w:eastAsia="標楷體" w:ascii="標楷體" w:hAnsi="標楷體"/>
          <w:sz w:val="28"/>
        </w:rPr>
        <w:t>:</w:t>
      </w:r>
      <w:r>
        <w:rPr>
          <w:rFonts w:ascii="標楷體" w:hAnsi="標楷體" w:eastAsia="標楷體"/>
          <w:sz w:val="28"/>
        </w:rPr>
        <w:t xml:space="preserve">腹微脹    </w:t>
      </w:r>
      <w:r>
        <w:rPr>
          <w:rFonts w:ascii="標楷體" w:hAnsi="標楷體" w:eastAsia="標楷體"/>
          <w:sz w:val="28"/>
        </w:rPr>
        <w:t xml:space="preserve">  </w:t>
      </w:r>
      <w:r>
        <w:rPr>
          <w:rFonts w:ascii="標楷體" w:hAnsi="標楷體" w:eastAsia="標楷體"/>
          <w:sz w:val="28"/>
        </w:rPr>
        <w:t xml:space="preserve"> </w:t>
      </w:r>
      <w:r>
        <w:rPr>
          <w:rFonts w:ascii="標楷體" w:hAnsi="標楷體" w:eastAsia="標楷體"/>
          <w:sz w:val="28"/>
        </w:rPr>
        <w:t xml:space="preserve"> </w:t>
      </w:r>
      <w:r>
        <w:rPr>
          <w:rFonts w:ascii="標楷體" w:hAnsi="標楷體" w:eastAsia="標楷體"/>
          <w:sz w:val="28"/>
        </w:rPr>
        <w:t>四肢</w:t>
      </w:r>
      <w:r>
        <w:rPr>
          <w:rFonts w:eastAsia="標楷體" w:ascii="標楷體" w:hAnsi="標楷體"/>
          <w:sz w:val="28"/>
        </w:rPr>
        <w:t>:</w:t>
      </w:r>
      <w:r>
        <w:rPr>
          <w:rFonts w:ascii="標楷體" w:hAnsi="標楷體" w:eastAsia="標楷體"/>
          <w:sz w:val="28"/>
        </w:rPr>
        <w:t>微腫脹，下肢尤甚。</w:t>
      </w:r>
    </w:p>
    <w:p>
      <w:pPr>
        <w:pStyle w:val="Normal"/>
        <w:snapToGrid w:val="false"/>
        <w:spacing w:lineRule="atLeast" w:line="20"/>
        <w:jc w:val="both"/>
        <w:rPr/>
      </w:pPr>
      <w:r>
        <w:rPr>
          <w:rFonts w:eastAsia="標楷體" w:cs="標楷體" w:ascii="標楷體" w:hAnsi="標楷體"/>
          <w:sz w:val="28"/>
        </w:rPr>
        <w:t xml:space="preserve">  </w:t>
      </w:r>
      <w:r>
        <w:rPr>
          <w:rFonts w:eastAsia="標楷體" w:cs="標楷體" w:ascii="標楷體" w:hAnsi="標楷體"/>
          <w:b/>
          <w:sz w:val="28"/>
        </w:rPr>
        <w:t xml:space="preserve">     </w:t>
      </w:r>
      <w:r>
        <w:rPr>
          <w:rFonts w:ascii="標楷體" w:hAnsi="標楷體" w:eastAsia="標楷體"/>
          <w:b/>
          <w:sz w:val="28"/>
        </w:rPr>
        <w:t>九、實驗室檢查</w:t>
      </w:r>
      <w:r>
        <w:rPr>
          <w:rFonts w:eastAsia="標楷體" w:ascii="標楷體" w:hAnsi="標楷體"/>
          <w:b/>
          <w:sz w:val="28"/>
        </w:rPr>
        <w:t>:</w:t>
      </w:r>
    </w:p>
    <w:p>
      <w:pPr>
        <w:pStyle w:val="Normal"/>
        <w:snapToGrid w:val="false"/>
        <w:spacing w:lineRule="atLeast" w:line="20"/>
        <w:jc w:val="both"/>
        <w:rPr/>
      </w:pPr>
      <w:r>
        <w:rPr>
          <w:rFonts w:eastAsia="標楷體" w:cs="標楷體" w:ascii="標楷體" w:hAnsi="標楷體"/>
          <w:sz w:val="28"/>
        </w:rPr>
        <w:t xml:space="preserve">   </w:t>
      </w:r>
      <w:r>
        <w:rPr/>
        <w:t>一﹑血球計數：</w:t>
      </w:r>
    </w:p>
    <w:tbl>
      <w:tblPr>
        <w:tblW w:w="8498" w:type="dxa"/>
        <w:jc w:val="left"/>
        <w:tblInd w:w="-33" w:type="dxa"/>
        <w:tblBorders>
          <w:top w:val="single" w:sz="4" w:space="0" w:color="000000"/>
          <w:left w:val="single" w:sz="4" w:space="0" w:color="000000"/>
          <w:bottom w:val="single" w:sz="4" w:space="0" w:color="000000"/>
          <w:insideH w:val="single" w:sz="4" w:space="0" w:color="000000"/>
        </w:tblBorders>
        <w:tblCellMar>
          <w:top w:w="0" w:type="dxa"/>
          <w:left w:w="23" w:type="dxa"/>
          <w:bottom w:w="0" w:type="dxa"/>
          <w:right w:w="28" w:type="dxa"/>
        </w:tblCellMar>
      </w:tblPr>
      <w:tblGrid>
        <w:gridCol w:w="1288"/>
        <w:gridCol w:w="1260"/>
        <w:gridCol w:w="1620"/>
        <w:gridCol w:w="1440"/>
        <w:gridCol w:w="1260"/>
        <w:gridCol w:w="1630"/>
      </w:tblGrid>
      <w:tr>
        <w:trPr/>
        <w:tc>
          <w:tcPr>
            <w:tcW w:w="128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87.12.22</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87.12.30</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87.12.22</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t>87.12.30</w:t>
            </w:r>
          </w:p>
        </w:tc>
      </w:tr>
      <w:tr>
        <w:trPr/>
        <w:tc>
          <w:tcPr>
            <w:tcW w:w="128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WBC</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5.55</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3.57×103/ul</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RDW-RD</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38.8</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t>40.4fl</w:t>
            </w:r>
          </w:p>
        </w:tc>
      </w:tr>
      <w:tr>
        <w:trPr/>
        <w:tc>
          <w:tcPr>
            <w:tcW w:w="128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RBC</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4.21</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5.91×106/ul</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RDW-CV</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12.8</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t>13.4%</w:t>
            </w:r>
          </w:p>
        </w:tc>
      </w:tr>
      <w:tr>
        <w:trPr/>
        <w:tc>
          <w:tcPr>
            <w:tcW w:w="128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HGB</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12.2</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16.7</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PDW</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9.1</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t>11.0fl</w:t>
            </w:r>
          </w:p>
        </w:tc>
      </w:tr>
      <w:tr>
        <w:trPr/>
        <w:tc>
          <w:tcPr>
            <w:tcW w:w="128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HCT</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37.0</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52.9</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MPV</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8.5</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t>10.6fl</w:t>
            </w:r>
          </w:p>
        </w:tc>
      </w:tr>
      <w:tr>
        <w:trPr/>
        <w:tc>
          <w:tcPr>
            <w:tcW w:w="128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MCV</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87.9</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89.5</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P-LCR</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15.1</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t>28.2%</w:t>
            </w:r>
          </w:p>
        </w:tc>
      </w:tr>
      <w:tr>
        <w:trPr/>
        <w:tc>
          <w:tcPr>
            <w:tcW w:w="128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MCH</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29.0</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28.3</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r>
          </w:p>
        </w:tc>
      </w:tr>
      <w:tr>
        <w:trPr/>
        <w:tc>
          <w:tcPr>
            <w:tcW w:w="128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MCHC</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33.0</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31.6</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r>
          </w:p>
        </w:tc>
      </w:tr>
      <w:tr>
        <w:trPr/>
        <w:tc>
          <w:tcPr>
            <w:tcW w:w="128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PLT</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424</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269×103/ul</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r>
          </w:p>
        </w:tc>
      </w:tr>
      <w:tr>
        <w:trPr/>
        <w:tc>
          <w:tcPr>
            <w:tcW w:w="128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NEUT%</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48.5</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42.9%</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NEUT</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2.69</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t>1.53×103/ul</w:t>
            </w:r>
          </w:p>
        </w:tc>
      </w:tr>
      <w:tr>
        <w:trPr/>
        <w:tc>
          <w:tcPr>
            <w:tcW w:w="128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LYMPH%</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38.2</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43.7%</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LYMPH</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2.12</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t>1.56×103/ul</w:t>
            </w:r>
          </w:p>
        </w:tc>
      </w:tr>
      <w:tr>
        <w:trPr/>
        <w:tc>
          <w:tcPr>
            <w:tcW w:w="128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MONO%</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6.5</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6.4%</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MONO</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0.36</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t>0.23×103/ul</w:t>
            </w:r>
          </w:p>
        </w:tc>
      </w:tr>
      <w:tr>
        <w:trPr/>
        <w:tc>
          <w:tcPr>
            <w:tcW w:w="128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EO%</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6.1</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6.2%</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EO</w:t>
            </w:r>
            <w:r>
              <w:rPr/>
              <w:t>SINO</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0.34</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t>0.22×103/ul</w:t>
            </w:r>
          </w:p>
        </w:tc>
      </w:tr>
      <w:tr>
        <w:trPr/>
        <w:tc>
          <w:tcPr>
            <w:tcW w:w="128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BASO%</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0.7</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0.8%</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BASO</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0.04</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t>0.03×103/ul</w:t>
            </w:r>
          </w:p>
        </w:tc>
      </w:tr>
    </w:tbl>
    <w:p>
      <w:pPr>
        <w:pStyle w:val="Normal"/>
        <w:snapToGrid w:val="false"/>
        <w:spacing w:lineRule="atLeast" w:line="20"/>
        <w:jc w:val="both"/>
        <w:rPr/>
      </w:pPr>
      <w:r>
        <w:rPr/>
        <w:t>二、生化檢查：</w:t>
      </w:r>
    </w:p>
    <w:tbl>
      <w:tblPr>
        <w:tblW w:w="8498" w:type="dxa"/>
        <w:jc w:val="left"/>
        <w:tblInd w:w="-33" w:type="dxa"/>
        <w:tblBorders>
          <w:top w:val="single" w:sz="4" w:space="0" w:color="000000"/>
          <w:left w:val="single" w:sz="4" w:space="0" w:color="000000"/>
          <w:bottom w:val="single" w:sz="4" w:space="0" w:color="000000"/>
          <w:insideH w:val="single" w:sz="4" w:space="0" w:color="000000"/>
        </w:tblBorders>
        <w:tblCellMar>
          <w:top w:w="0" w:type="dxa"/>
          <w:left w:w="23" w:type="dxa"/>
          <w:bottom w:w="0" w:type="dxa"/>
          <w:right w:w="28" w:type="dxa"/>
        </w:tblCellMar>
      </w:tblPr>
      <w:tblGrid>
        <w:gridCol w:w="1648"/>
        <w:gridCol w:w="1260"/>
        <w:gridCol w:w="1080"/>
        <w:gridCol w:w="1440"/>
        <w:gridCol w:w="1440"/>
        <w:gridCol w:w="1630"/>
      </w:tblGrid>
      <w:tr>
        <w:trPr/>
        <w:tc>
          <w:tcPr>
            <w:tcW w:w="164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87.12.30</w:t>
            </w:r>
          </w:p>
        </w:tc>
        <w:tc>
          <w:tcPr>
            <w:tcW w:w="108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88.1.11</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87.12.30</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t>88.1.11</w:t>
            </w:r>
          </w:p>
        </w:tc>
      </w:tr>
      <w:tr>
        <w:trPr/>
        <w:tc>
          <w:tcPr>
            <w:tcW w:w="164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AST/GOT</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26</w:t>
            </w:r>
          </w:p>
        </w:tc>
        <w:tc>
          <w:tcPr>
            <w:tcW w:w="108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30</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Na</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140.0</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r>
          </w:p>
        </w:tc>
      </w:tr>
      <w:tr>
        <w:trPr/>
        <w:tc>
          <w:tcPr>
            <w:tcW w:w="164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ALT/GPT</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17</w:t>
            </w:r>
          </w:p>
        </w:tc>
        <w:tc>
          <w:tcPr>
            <w:tcW w:w="108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20</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K</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4.2</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r>
          </w:p>
        </w:tc>
      </w:tr>
      <w:tr>
        <w:trPr/>
        <w:tc>
          <w:tcPr>
            <w:tcW w:w="164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TP</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4.4</w:t>
            </w:r>
          </w:p>
        </w:tc>
        <w:tc>
          <w:tcPr>
            <w:tcW w:w="108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Cl</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109.0</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r>
          </w:p>
        </w:tc>
      </w:tr>
      <w:tr>
        <w:trPr/>
        <w:tc>
          <w:tcPr>
            <w:tcW w:w="164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ALB</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b/>
                <w:b/>
              </w:rPr>
            </w:pPr>
            <w:r>
              <w:rPr>
                <w:b/>
              </w:rPr>
              <w:t>2.1</w:t>
            </w:r>
          </w:p>
        </w:tc>
        <w:tc>
          <w:tcPr>
            <w:tcW w:w="108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b/>
                <w:b/>
              </w:rPr>
            </w:pPr>
            <w:r>
              <w:rPr>
                <w:b/>
              </w:rPr>
              <w:t>2.2</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Sugar(AC)</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72</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t>139</w:t>
            </w:r>
          </w:p>
        </w:tc>
      </w:tr>
      <w:tr>
        <w:trPr/>
        <w:tc>
          <w:tcPr>
            <w:tcW w:w="164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A/G</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0.9</w:t>
            </w:r>
          </w:p>
        </w:tc>
        <w:tc>
          <w:tcPr>
            <w:tcW w:w="108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Sugar(PC)</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t>161</w:t>
            </w:r>
          </w:p>
        </w:tc>
      </w:tr>
      <w:tr>
        <w:trPr/>
        <w:tc>
          <w:tcPr>
            <w:tcW w:w="164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BUN</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7.6</w:t>
            </w:r>
          </w:p>
        </w:tc>
        <w:tc>
          <w:tcPr>
            <w:tcW w:w="108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16.4</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Cholesterol</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b/>
                <w:b/>
              </w:rPr>
            </w:pPr>
            <w:r>
              <w:rPr>
                <w:b/>
              </w:rPr>
              <w:t>614</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b/>
                <w:b/>
              </w:rPr>
            </w:pPr>
            <w:r>
              <w:rPr>
                <w:b/>
              </w:rPr>
              <w:t>168</w:t>
            </w:r>
          </w:p>
        </w:tc>
      </w:tr>
      <w:tr>
        <w:trPr/>
        <w:tc>
          <w:tcPr>
            <w:tcW w:w="164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UA</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3.5</w:t>
            </w:r>
          </w:p>
        </w:tc>
        <w:tc>
          <w:tcPr>
            <w:tcW w:w="108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4.4</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Triglyceride</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114</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t>150</w:t>
            </w:r>
          </w:p>
        </w:tc>
      </w:tr>
      <w:tr>
        <w:trPr/>
        <w:tc>
          <w:tcPr>
            <w:tcW w:w="164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Cr</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0.7</w:t>
            </w:r>
          </w:p>
        </w:tc>
        <w:tc>
          <w:tcPr>
            <w:tcW w:w="108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0.9</w:t>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4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r>
          </w:p>
        </w:tc>
      </w:tr>
    </w:tbl>
    <w:p>
      <w:pPr>
        <w:pStyle w:val="Normal"/>
        <w:snapToGrid w:val="false"/>
        <w:spacing w:lineRule="atLeast" w:line="20"/>
        <w:jc w:val="both"/>
        <w:rPr/>
      </w:pPr>
      <w:r>
        <w:rPr/>
        <w:t>三、尿液常規檢查：</w:t>
      </w:r>
      <w:r>
        <w:rPr/>
        <w:t>87.12.31</w:t>
      </w:r>
    </w:p>
    <w:tbl>
      <w:tblPr>
        <w:tblW w:w="8498" w:type="dxa"/>
        <w:jc w:val="left"/>
        <w:tblInd w:w="-33" w:type="dxa"/>
        <w:tblBorders>
          <w:top w:val="single" w:sz="4" w:space="0" w:color="000000"/>
          <w:left w:val="single" w:sz="4" w:space="0" w:color="000000"/>
          <w:bottom w:val="single" w:sz="4" w:space="0" w:color="000000"/>
          <w:insideH w:val="single" w:sz="4" w:space="0" w:color="000000"/>
        </w:tblBorders>
        <w:tblCellMar>
          <w:top w:w="0" w:type="dxa"/>
          <w:left w:w="23" w:type="dxa"/>
          <w:bottom w:w="0" w:type="dxa"/>
          <w:right w:w="28" w:type="dxa"/>
        </w:tblCellMar>
      </w:tblPr>
      <w:tblGrid>
        <w:gridCol w:w="988"/>
        <w:gridCol w:w="1380"/>
        <w:gridCol w:w="1260"/>
        <w:gridCol w:w="540"/>
        <w:gridCol w:w="1260"/>
        <w:gridCol w:w="1620"/>
        <w:gridCol w:w="1450"/>
      </w:tblGrid>
      <w:tr>
        <w:trPr/>
        <w:tc>
          <w:tcPr>
            <w:tcW w:w="98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38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87/12/21</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87/12/30</w:t>
            </w:r>
          </w:p>
        </w:tc>
        <w:tc>
          <w:tcPr>
            <w:tcW w:w="5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87/12/21</w:t>
            </w:r>
          </w:p>
        </w:tc>
        <w:tc>
          <w:tcPr>
            <w:tcW w:w="14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t>87/12/30</w:t>
            </w:r>
          </w:p>
        </w:tc>
      </w:tr>
      <w:tr>
        <w:trPr/>
        <w:tc>
          <w:tcPr>
            <w:tcW w:w="98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RBC</w:t>
            </w:r>
          </w:p>
        </w:tc>
        <w:tc>
          <w:tcPr>
            <w:tcW w:w="138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10-15</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15-20</w:t>
            </w:r>
          </w:p>
        </w:tc>
        <w:tc>
          <w:tcPr>
            <w:tcW w:w="5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GLU</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w:t>
            </w:r>
          </w:p>
        </w:tc>
        <w:tc>
          <w:tcPr>
            <w:tcW w:w="14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t>－</w:t>
            </w:r>
          </w:p>
        </w:tc>
      </w:tr>
      <w:tr>
        <w:trPr/>
        <w:tc>
          <w:tcPr>
            <w:tcW w:w="98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WBC</w:t>
            </w:r>
          </w:p>
        </w:tc>
        <w:tc>
          <w:tcPr>
            <w:tcW w:w="138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20-30</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5-8</w:t>
            </w:r>
          </w:p>
        </w:tc>
        <w:tc>
          <w:tcPr>
            <w:tcW w:w="5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KET</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w:t>
            </w:r>
            <w:r>
              <w:rPr/>
              <w:t>/</w:t>
            </w:r>
            <w:r>
              <w:rPr>
                <w:rFonts w:cs="新細明體;PMingLiU" w:ascii="新細明體;PMingLiU" w:hAnsi="新細明體;PMingLiU"/>
              </w:rPr>
              <w:t>─</w:t>
            </w:r>
          </w:p>
        </w:tc>
        <w:tc>
          <w:tcPr>
            <w:tcW w:w="14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t>－</w:t>
            </w:r>
          </w:p>
        </w:tc>
      </w:tr>
      <w:tr>
        <w:trPr/>
        <w:tc>
          <w:tcPr>
            <w:tcW w:w="98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Epi. Cell</w:t>
            </w:r>
          </w:p>
        </w:tc>
        <w:tc>
          <w:tcPr>
            <w:tcW w:w="138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30-40</w:t>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1-2</w:t>
            </w:r>
          </w:p>
        </w:tc>
        <w:tc>
          <w:tcPr>
            <w:tcW w:w="5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OB</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1</w:t>
            </w:r>
            <w:r>
              <w:rPr/>
              <w:t>＋</w:t>
            </w:r>
          </w:p>
        </w:tc>
        <w:tc>
          <w:tcPr>
            <w:tcW w:w="14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t>2+</w:t>
            </w:r>
          </w:p>
        </w:tc>
      </w:tr>
      <w:tr>
        <w:trPr/>
        <w:tc>
          <w:tcPr>
            <w:tcW w:w="98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Bacteria</w:t>
            </w:r>
          </w:p>
        </w:tc>
        <w:tc>
          <w:tcPr>
            <w:tcW w:w="138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5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PRO</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Fonts w:cs="新細明體;PMingLiU" w:ascii="新細明體;PMingLiU" w:hAnsi="新細明體;PMingLiU"/>
                <w:b/>
              </w:rPr>
              <w:t>≧</w:t>
            </w:r>
            <w:r>
              <w:rPr>
                <w:b/>
              </w:rPr>
              <w:t>300</w:t>
            </w:r>
            <w:r>
              <w:rPr>
                <w:b/>
              </w:rPr>
              <w:t>㎎</w:t>
            </w:r>
            <w:r>
              <w:rPr>
                <w:b/>
              </w:rPr>
              <w:t>/</w:t>
            </w:r>
            <w:r>
              <w:rPr>
                <w:b/>
              </w:rPr>
              <w:t>dL</w:t>
            </w:r>
          </w:p>
        </w:tc>
        <w:tc>
          <w:tcPr>
            <w:tcW w:w="14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b/>
              </w:rPr>
              <w:t>㎎≧</w:t>
            </w:r>
            <w:r>
              <w:rPr>
                <w:b/>
              </w:rPr>
              <w:t>300/</w:t>
            </w:r>
            <w:r>
              <w:rPr>
                <w:b/>
              </w:rPr>
              <w:t>dL</w:t>
            </w:r>
          </w:p>
        </w:tc>
      </w:tr>
      <w:tr>
        <w:trPr/>
        <w:tc>
          <w:tcPr>
            <w:tcW w:w="98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b/>
                <w:b/>
              </w:rPr>
            </w:pPr>
            <w:r>
              <w:rPr>
                <w:b/>
              </w:rPr>
            </w:r>
          </w:p>
        </w:tc>
        <w:tc>
          <w:tcPr>
            <w:tcW w:w="138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5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NIT</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w:t>
            </w:r>
          </w:p>
        </w:tc>
        <w:tc>
          <w:tcPr>
            <w:tcW w:w="14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t>＋</w:t>
            </w:r>
          </w:p>
        </w:tc>
      </w:tr>
      <w:tr>
        <w:trPr/>
        <w:tc>
          <w:tcPr>
            <w:tcW w:w="98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38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5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BIL</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w:t>
            </w:r>
          </w:p>
        </w:tc>
        <w:tc>
          <w:tcPr>
            <w:tcW w:w="14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t>－</w:t>
            </w:r>
          </w:p>
        </w:tc>
      </w:tr>
      <w:tr>
        <w:trPr/>
        <w:tc>
          <w:tcPr>
            <w:tcW w:w="98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38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5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SG</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1.025</w:t>
            </w:r>
          </w:p>
        </w:tc>
        <w:tc>
          <w:tcPr>
            <w:tcW w:w="14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t>1.025</w:t>
            </w:r>
          </w:p>
        </w:tc>
      </w:tr>
      <w:tr>
        <w:trPr/>
        <w:tc>
          <w:tcPr>
            <w:tcW w:w="98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38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5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Ph</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7.0</w:t>
            </w:r>
          </w:p>
        </w:tc>
        <w:tc>
          <w:tcPr>
            <w:tcW w:w="14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t>7.0</w:t>
            </w:r>
          </w:p>
        </w:tc>
      </w:tr>
      <w:tr>
        <w:trPr/>
        <w:tc>
          <w:tcPr>
            <w:tcW w:w="98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38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5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URO</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0.1</w:t>
            </w:r>
          </w:p>
        </w:tc>
        <w:tc>
          <w:tcPr>
            <w:tcW w:w="14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t>0.1</w:t>
            </w:r>
          </w:p>
        </w:tc>
      </w:tr>
      <w:tr>
        <w:trPr/>
        <w:tc>
          <w:tcPr>
            <w:tcW w:w="98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38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54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26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WBC</w:t>
            </w:r>
          </w:p>
        </w:tc>
        <w:tc>
          <w:tcPr>
            <w:tcW w:w="1620"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w:t>
            </w:r>
          </w:p>
        </w:tc>
        <w:tc>
          <w:tcPr>
            <w:tcW w:w="14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t>－</w:t>
            </w:r>
          </w:p>
        </w:tc>
      </w:tr>
    </w:tbl>
    <w:p>
      <w:pPr>
        <w:pStyle w:val="Normal"/>
        <w:snapToGrid w:val="false"/>
        <w:spacing w:lineRule="atLeast" w:line="20"/>
        <w:jc w:val="both"/>
        <w:rPr>
          <w:rFonts w:ascii="標楷體" w:hAnsi="標楷體" w:eastAsia="標楷體"/>
        </w:rPr>
      </w:pPr>
      <w:r>
        <w:rPr>
          <w:rFonts w:ascii="標楷體" w:hAnsi="標楷體" w:eastAsia="標楷體"/>
        </w:rPr>
        <w:t>四、</w:t>
      </w:r>
      <w:r>
        <w:rPr>
          <w:rFonts w:eastAsia="標楷體" w:ascii="標楷體" w:hAnsi="標楷體"/>
        </w:rPr>
        <w:t>24</w:t>
      </w:r>
      <w:r>
        <w:rPr>
          <w:rFonts w:ascii="標楷體" w:hAnsi="標楷體" w:eastAsia="標楷體"/>
        </w:rPr>
        <w:t>小時尿液檢查：</w:t>
      </w:r>
    </w:p>
    <w:p>
      <w:pPr>
        <w:pStyle w:val="Normal"/>
        <w:snapToGrid w:val="false"/>
        <w:spacing w:lineRule="atLeast" w:line="20"/>
        <w:jc w:val="both"/>
        <w:rPr/>
      </w:pPr>
      <w:r>
        <w:rPr>
          <w:rFonts w:eastAsia="Times New Roman"/>
        </w:rPr>
        <w:t xml:space="preserve">   </w:t>
      </w:r>
      <w:r>
        <w:rPr>
          <w:rFonts w:eastAsia="Times New Roman"/>
        </w:rPr>
        <w:t xml:space="preserve"> </w:t>
      </w:r>
      <w:r>
        <w:rPr/>
        <w:t>87/12/30</w:t>
      </w:r>
      <w:r>
        <w:rPr/>
        <w:t>：</w:t>
      </w:r>
      <w:r>
        <w:rPr/>
        <w:t>Total protein 260</w:t>
      </w:r>
      <w:r>
        <w:rPr/>
        <w:t>㎎</w:t>
      </w:r>
      <w:r>
        <w:rPr/>
        <w:t>/dL×1300ml×</w:t>
      </w:r>
      <w:r>
        <w:rPr/>
        <w:t>.</w:t>
      </w:r>
      <w:r>
        <w:rPr/>
        <w:t>1300mL=</w:t>
      </w:r>
      <w:r>
        <w:rPr>
          <w:b/>
        </w:rPr>
        <w:t>3.38g/day</w:t>
      </w:r>
      <w:r>
        <w:rPr>
          <w:b/>
        </w:rPr>
        <w:t>。</w:t>
      </w:r>
    </w:p>
    <w:p>
      <w:pPr>
        <w:pStyle w:val="Normal"/>
        <w:snapToGrid w:val="false"/>
        <w:spacing w:lineRule="atLeast" w:line="20"/>
        <w:jc w:val="both"/>
        <w:rPr/>
      </w:pPr>
      <w:r>
        <w:rPr>
          <w:rFonts w:eastAsia="Times New Roman"/>
        </w:rPr>
        <w:t xml:space="preserve">   </w:t>
      </w:r>
      <w:r>
        <w:rPr>
          <w:rFonts w:eastAsia="Times New Roman"/>
        </w:rPr>
        <w:t xml:space="preserve"> </w:t>
      </w:r>
      <w:r>
        <w:rPr/>
        <w:t>87/01/09</w:t>
      </w:r>
      <w:r>
        <w:rPr/>
        <w:t>：</w:t>
      </w:r>
      <w:r>
        <w:rPr/>
        <w:t>Total protein 276</w:t>
      </w:r>
      <w:r>
        <w:rPr/>
        <w:t>㎎</w:t>
      </w:r>
      <w:r>
        <w:rPr/>
        <w:t>/ dL×2050mL=</w:t>
      </w:r>
      <w:r>
        <w:rPr>
          <w:b/>
        </w:rPr>
        <w:t>5.658g/day</w:t>
      </w:r>
      <w:r>
        <w:rPr>
          <w:b/>
        </w:rPr>
        <w:t>。</w:t>
      </w:r>
      <w:r>
        <w:rPr>
          <w:rFonts w:eastAsia="Times New Roman"/>
        </w:rPr>
        <w:t xml:space="preserve">        </w:t>
      </w:r>
    </w:p>
    <w:p>
      <w:pPr>
        <w:pStyle w:val="Normal"/>
        <w:snapToGrid w:val="false"/>
        <w:spacing w:lineRule="atLeast" w:line="20"/>
        <w:jc w:val="both"/>
        <w:rPr/>
      </w:pPr>
      <w:r>
        <w:rPr/>
        <w:t>五、血清學檢驗：</w:t>
      </w:r>
    </w:p>
    <w:tbl>
      <w:tblPr>
        <w:tblW w:w="7598" w:type="dxa"/>
        <w:jc w:val="left"/>
        <w:tblInd w:w="-33" w:type="dxa"/>
        <w:tblBorders>
          <w:top w:val="single" w:sz="4" w:space="0" w:color="000000"/>
          <w:left w:val="single" w:sz="4" w:space="0" w:color="000000"/>
          <w:bottom w:val="single" w:sz="4" w:space="0" w:color="000000"/>
          <w:insideH w:val="single" w:sz="4" w:space="0" w:color="000000"/>
        </w:tblBorders>
        <w:tblCellMar>
          <w:top w:w="0" w:type="dxa"/>
          <w:left w:w="23" w:type="dxa"/>
          <w:bottom w:w="0" w:type="dxa"/>
          <w:right w:w="28" w:type="dxa"/>
        </w:tblCellMar>
      </w:tblPr>
      <w:tblGrid>
        <w:gridCol w:w="2188"/>
        <w:gridCol w:w="2188"/>
        <w:gridCol w:w="1772"/>
        <w:gridCol w:w="1450"/>
      </w:tblGrid>
      <w:tr>
        <w:trPr/>
        <w:tc>
          <w:tcPr>
            <w:tcW w:w="218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rFonts w:eastAsia="Times New Roman"/>
              </w:rPr>
            </w:pPr>
            <w:r>
              <w:rPr>
                <w:rFonts w:eastAsia="Times New Roman"/>
              </w:rPr>
              <w:t xml:space="preserve">    </w:t>
            </w:r>
          </w:p>
        </w:tc>
        <w:tc>
          <w:tcPr>
            <w:tcW w:w="218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87/12/30</w:t>
            </w:r>
          </w:p>
        </w:tc>
        <w:tc>
          <w:tcPr>
            <w:tcW w:w="1772"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88/01/15</w:t>
            </w:r>
          </w:p>
        </w:tc>
        <w:tc>
          <w:tcPr>
            <w:tcW w:w="14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r>
          </w:p>
        </w:tc>
      </w:tr>
      <w:tr>
        <w:trPr/>
        <w:tc>
          <w:tcPr>
            <w:tcW w:w="218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ASLO</w:t>
            </w:r>
          </w:p>
        </w:tc>
        <w:tc>
          <w:tcPr>
            <w:tcW w:w="218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w:t>
            </w:r>
            <w:r>
              <w:rPr/>
              <w:t>－</w:t>
            </w:r>
            <w:r>
              <w:rPr/>
              <w:t>)</w:t>
            </w:r>
          </w:p>
        </w:tc>
        <w:tc>
          <w:tcPr>
            <w:tcW w:w="1772"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w:t>
            </w:r>
            <w:r>
              <w:rPr/>
              <w:t>－</w:t>
            </w:r>
            <w:r>
              <w:rPr/>
              <w:t>)</w:t>
            </w:r>
          </w:p>
        </w:tc>
        <w:tc>
          <w:tcPr>
            <w:tcW w:w="14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r>
          </w:p>
        </w:tc>
      </w:tr>
      <w:tr>
        <w:trPr/>
        <w:tc>
          <w:tcPr>
            <w:tcW w:w="218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RA. Test</w:t>
            </w:r>
          </w:p>
        </w:tc>
        <w:tc>
          <w:tcPr>
            <w:tcW w:w="218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w:t>
            </w:r>
            <w:r>
              <w:rPr/>
              <w:t>－</w:t>
            </w:r>
            <w:r>
              <w:rPr/>
              <w:t>)</w:t>
            </w:r>
          </w:p>
        </w:tc>
        <w:tc>
          <w:tcPr>
            <w:tcW w:w="1772"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w:t>
            </w:r>
            <w:r>
              <w:rPr/>
              <w:t>－</w:t>
            </w:r>
            <w:r>
              <w:rPr/>
              <w:t>)</w:t>
            </w:r>
          </w:p>
        </w:tc>
        <w:tc>
          <w:tcPr>
            <w:tcW w:w="14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r>
          </w:p>
        </w:tc>
      </w:tr>
      <w:tr>
        <w:trPr/>
        <w:tc>
          <w:tcPr>
            <w:tcW w:w="218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HBsAg</w:t>
            </w:r>
          </w:p>
        </w:tc>
        <w:tc>
          <w:tcPr>
            <w:tcW w:w="2188"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w:t>
            </w:r>
          </w:p>
        </w:tc>
        <w:tc>
          <w:tcPr>
            <w:tcW w:w="1772"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14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r>
          </w:p>
        </w:tc>
      </w:tr>
    </w:tbl>
    <w:p>
      <w:pPr>
        <w:pStyle w:val="Normal"/>
        <w:snapToGrid w:val="false"/>
        <w:spacing w:lineRule="atLeast" w:line="20"/>
        <w:jc w:val="both"/>
        <w:rPr/>
      </w:pPr>
      <w:r>
        <w:rPr/>
        <w:t>六、免疫學檢驗：</w:t>
      </w:r>
    </w:p>
    <w:tbl>
      <w:tblPr>
        <w:tblW w:w="7598" w:type="dxa"/>
        <w:jc w:val="left"/>
        <w:tblInd w:w="-33" w:type="dxa"/>
        <w:tblBorders>
          <w:top w:val="single" w:sz="4" w:space="0" w:color="000000"/>
          <w:left w:val="single" w:sz="4" w:space="0" w:color="000000"/>
          <w:bottom w:val="single" w:sz="4" w:space="0" w:color="000000"/>
          <w:insideH w:val="single" w:sz="4" w:space="0" w:color="000000"/>
        </w:tblBorders>
        <w:tblCellMar>
          <w:top w:w="0" w:type="dxa"/>
          <w:left w:w="23" w:type="dxa"/>
          <w:bottom w:w="0" w:type="dxa"/>
          <w:right w:w="28" w:type="dxa"/>
        </w:tblCellMar>
      </w:tblPr>
      <w:tblGrid>
        <w:gridCol w:w="2735"/>
        <w:gridCol w:w="2735"/>
        <w:gridCol w:w="2128"/>
      </w:tblGrid>
      <w:tr>
        <w:trPr/>
        <w:tc>
          <w:tcPr>
            <w:tcW w:w="2735"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2735"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87/12/30</w:t>
            </w:r>
          </w:p>
        </w:tc>
        <w:tc>
          <w:tcPr>
            <w:tcW w:w="212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t>88/01/04</w:t>
            </w:r>
          </w:p>
        </w:tc>
      </w:tr>
      <w:tr>
        <w:trPr/>
        <w:tc>
          <w:tcPr>
            <w:tcW w:w="2735"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IgA</w:t>
            </w:r>
          </w:p>
        </w:tc>
        <w:tc>
          <w:tcPr>
            <w:tcW w:w="2735"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368</w:t>
            </w:r>
            <w:r>
              <w:rPr/>
              <w:t xml:space="preserve"> </w:t>
            </w:r>
            <w:r>
              <w:rPr/>
              <w:t>(85-385)</w:t>
            </w:r>
          </w:p>
        </w:tc>
        <w:tc>
          <w:tcPr>
            <w:tcW w:w="212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r>
          </w:p>
        </w:tc>
      </w:tr>
      <w:tr>
        <w:trPr/>
        <w:tc>
          <w:tcPr>
            <w:tcW w:w="2735"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IgG</w:t>
            </w:r>
          </w:p>
        </w:tc>
        <w:tc>
          <w:tcPr>
            <w:tcW w:w="2735"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540</w:t>
            </w:r>
            <w:r>
              <w:rPr/>
              <w:t xml:space="preserve"> </w:t>
            </w:r>
            <w:r>
              <w:rPr/>
              <w:t>(564-1765)</w:t>
            </w:r>
          </w:p>
        </w:tc>
        <w:tc>
          <w:tcPr>
            <w:tcW w:w="212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r>
          </w:p>
        </w:tc>
      </w:tr>
      <w:tr>
        <w:trPr/>
        <w:tc>
          <w:tcPr>
            <w:tcW w:w="2735"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IgM</w:t>
            </w:r>
          </w:p>
        </w:tc>
        <w:tc>
          <w:tcPr>
            <w:tcW w:w="2735"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234</w:t>
            </w:r>
            <w:r>
              <w:rPr/>
              <w:t xml:space="preserve"> </w:t>
            </w:r>
            <w:r>
              <w:rPr/>
              <w:t>(45-250)</w:t>
            </w:r>
          </w:p>
        </w:tc>
        <w:tc>
          <w:tcPr>
            <w:tcW w:w="212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r>
          </w:p>
        </w:tc>
      </w:tr>
      <w:tr>
        <w:trPr/>
        <w:tc>
          <w:tcPr>
            <w:tcW w:w="2735"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C3</w:t>
            </w:r>
          </w:p>
        </w:tc>
        <w:tc>
          <w:tcPr>
            <w:tcW w:w="2735"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188</w:t>
            </w:r>
            <w:r>
              <w:rPr/>
              <w:t xml:space="preserve"> </w:t>
            </w:r>
            <w:r>
              <w:rPr/>
              <w:t>(70-176)</w:t>
            </w:r>
          </w:p>
        </w:tc>
        <w:tc>
          <w:tcPr>
            <w:tcW w:w="212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r>
          </w:p>
        </w:tc>
      </w:tr>
      <w:tr>
        <w:trPr/>
        <w:tc>
          <w:tcPr>
            <w:tcW w:w="2735"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C4</w:t>
            </w:r>
          </w:p>
        </w:tc>
        <w:tc>
          <w:tcPr>
            <w:tcW w:w="2735"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51.9</w:t>
            </w:r>
            <w:r>
              <w:rPr/>
              <w:t xml:space="preserve"> </w:t>
            </w:r>
            <w:r>
              <w:rPr/>
              <w:t>(16-45)</w:t>
            </w:r>
          </w:p>
        </w:tc>
        <w:tc>
          <w:tcPr>
            <w:tcW w:w="212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r>
          </w:p>
        </w:tc>
      </w:tr>
      <w:tr>
        <w:trPr/>
        <w:tc>
          <w:tcPr>
            <w:tcW w:w="2735"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Anti-</w:t>
            </w:r>
            <w:r>
              <w:rPr/>
              <w:t>N</w:t>
            </w:r>
            <w:r>
              <w:rPr/>
              <w:t>uclear Ab</w:t>
            </w:r>
          </w:p>
        </w:tc>
        <w:tc>
          <w:tcPr>
            <w:tcW w:w="2735"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w:t>
            </w:r>
            <w:r>
              <w:rPr/>
              <w:t>－</w:t>
            </w:r>
            <w:r>
              <w:rPr/>
              <w:t>)</w:t>
            </w:r>
          </w:p>
        </w:tc>
        <w:tc>
          <w:tcPr>
            <w:tcW w:w="212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r>
          </w:p>
        </w:tc>
      </w:tr>
      <w:tr>
        <w:trPr/>
        <w:tc>
          <w:tcPr>
            <w:tcW w:w="2735"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Anti-DNA</w:t>
            </w:r>
          </w:p>
        </w:tc>
        <w:tc>
          <w:tcPr>
            <w:tcW w:w="2735"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212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t>(</w:t>
            </w:r>
            <w:r>
              <w:rPr/>
              <w:t>－</w:t>
            </w:r>
            <w:r>
              <w:rPr/>
              <w:t>)</w:t>
            </w:r>
          </w:p>
        </w:tc>
      </w:tr>
      <w:tr>
        <w:trPr/>
        <w:tc>
          <w:tcPr>
            <w:tcW w:w="2735"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t>Anti-ENA Screening test</w:t>
            </w:r>
          </w:p>
        </w:tc>
        <w:tc>
          <w:tcPr>
            <w:tcW w:w="2735" w:type="dxa"/>
            <w:tcBorders>
              <w:top w:val="single" w:sz="4" w:space="0" w:color="000000"/>
              <w:left w:val="single" w:sz="4" w:space="0" w:color="000000"/>
              <w:bottom w:val="single" w:sz="4" w:space="0" w:color="000000"/>
              <w:insideH w:val="single" w:sz="4" w:space="0" w:color="000000"/>
            </w:tcBorders>
            <w:shd w:fill="auto" w:val="clear"/>
            <w:tcMar>
              <w:left w:w="23" w:type="dxa"/>
            </w:tcMar>
          </w:tcPr>
          <w:p>
            <w:pPr>
              <w:pStyle w:val="Normal"/>
              <w:snapToGrid w:val="false"/>
              <w:spacing w:lineRule="atLeast" w:line="20"/>
              <w:jc w:val="both"/>
              <w:rPr/>
            </w:pPr>
            <w:r>
              <w:rPr/>
            </w:r>
          </w:p>
        </w:tc>
        <w:tc>
          <w:tcPr>
            <w:tcW w:w="212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23" w:type="dxa"/>
            </w:tcMar>
          </w:tcPr>
          <w:p>
            <w:pPr>
              <w:pStyle w:val="Normal"/>
              <w:snapToGrid w:val="false"/>
              <w:spacing w:lineRule="atLeast" w:line="20"/>
              <w:jc w:val="both"/>
              <w:rPr/>
            </w:pPr>
            <w:r>
              <w:rPr/>
              <w:t>(</w:t>
            </w:r>
            <w:r>
              <w:rPr/>
              <w:t>－</w:t>
            </w:r>
            <w:r>
              <w:rPr/>
              <w:t>)</w:t>
            </w:r>
          </w:p>
        </w:tc>
      </w:tr>
    </w:tbl>
    <w:p>
      <w:pPr>
        <w:pStyle w:val="Normal"/>
        <w:snapToGrid w:val="false"/>
        <w:spacing w:lineRule="atLeast" w:line="20"/>
        <w:jc w:val="both"/>
        <w:rPr>
          <w:rFonts w:eastAsia="標楷體"/>
        </w:rPr>
      </w:pPr>
      <w:r>
        <w:rPr>
          <w:rFonts w:eastAsia="標楷體"/>
        </w:rPr>
        <w:t>七、胸部放射線檢查：</w:t>
      </w:r>
    </w:p>
    <w:p>
      <w:pPr>
        <w:pStyle w:val="Normal"/>
        <w:numPr>
          <w:ilvl w:val="0"/>
          <w:numId w:val="10"/>
        </w:numPr>
        <w:snapToGrid w:val="false"/>
        <w:spacing w:lineRule="atLeast" w:line="20"/>
        <w:jc w:val="both"/>
        <w:rPr/>
      </w:pPr>
      <w:r>
        <w:rPr/>
        <w:t>Scoliosis</w:t>
      </w:r>
      <w:r>
        <w:rPr/>
        <w:t>。</w:t>
      </w:r>
      <w:r>
        <w:rPr>
          <w:rFonts w:eastAsia="Times New Roman"/>
        </w:rPr>
        <w:t xml:space="preserve">  </w:t>
      </w:r>
      <w:r>
        <w:rPr/>
        <w:t>Blunting bilateral C-P angle</w:t>
      </w:r>
      <w:r>
        <w:rPr/>
        <w:t>。</w:t>
      </w:r>
    </w:p>
    <w:p>
      <w:pPr>
        <w:pStyle w:val="Normal"/>
        <w:snapToGrid w:val="false"/>
        <w:spacing w:lineRule="atLeast" w:line="20"/>
        <w:jc w:val="both"/>
        <w:rPr>
          <w:rFonts w:ascii="標楷體" w:hAnsi="標楷體" w:eastAsia="標楷體"/>
          <w:sz w:val="28"/>
        </w:rPr>
      </w:pPr>
      <w:r>
        <w:rPr>
          <w:rFonts w:eastAsia="標楷體" w:cs="標楷體" w:ascii="標楷體" w:hAnsi="標楷體"/>
          <w:b/>
          <w:sz w:val="32"/>
        </w:rPr>
        <w:t xml:space="preserve"> </w:t>
      </w:r>
      <w:r>
        <w:rPr>
          <w:rFonts w:eastAsia="標楷體" w:cs="標楷體" w:ascii="標楷體" w:hAnsi="標楷體"/>
          <w:b/>
          <w:sz w:val="28"/>
        </w:rPr>
        <w:t xml:space="preserve">   </w:t>
      </w:r>
      <w:r>
        <w:rPr>
          <w:rFonts w:ascii="標楷體" w:hAnsi="標楷體" w:eastAsia="標楷體"/>
          <w:b/>
          <w:sz w:val="32"/>
        </w:rPr>
        <w:t>十</w:t>
      </w:r>
      <w:r>
        <w:rPr>
          <w:rFonts w:ascii="標楷體" w:hAnsi="標楷體" w:eastAsia="標楷體"/>
          <w:b/>
          <w:sz w:val="28"/>
        </w:rPr>
        <w:t>、診斷</w:t>
      </w:r>
      <w:r>
        <w:rPr>
          <w:rFonts w:eastAsia="標楷體" w:ascii="標楷體" w:hAnsi="標楷體"/>
          <w:b/>
          <w:sz w:val="28"/>
        </w:rPr>
        <w:t>:</w:t>
      </w:r>
      <w:r>
        <w:rPr>
          <w:rFonts w:ascii="標楷體" w:hAnsi="標楷體" w:eastAsia="標楷體"/>
          <w:sz w:val="28"/>
        </w:rPr>
        <w:t>西醫診斷</w:t>
      </w:r>
      <w:r>
        <w:rPr>
          <w:rFonts w:eastAsia="標楷體" w:ascii="標楷體" w:hAnsi="標楷體"/>
          <w:sz w:val="28"/>
        </w:rPr>
        <w:t>:</w:t>
      </w:r>
      <w:r>
        <w:rPr>
          <w:rFonts w:ascii="標楷體" w:hAnsi="標楷體" w:eastAsia="標楷體"/>
          <w:sz w:val="28"/>
        </w:rPr>
        <w:t>腎病症候群</w:t>
      </w:r>
      <w:r>
        <w:rPr>
          <w:rFonts w:ascii="標楷體" w:hAnsi="標楷體" w:eastAsia="標楷體"/>
          <w:sz w:val="28"/>
        </w:rPr>
        <w:t xml:space="preserve">   </w:t>
      </w:r>
      <w:r>
        <w:rPr>
          <w:rFonts w:ascii="標楷體" w:hAnsi="標楷體" w:eastAsia="標楷體"/>
        </w:rPr>
        <w:t xml:space="preserve">   </w:t>
      </w:r>
      <w:r>
        <w:rPr>
          <w:rFonts w:ascii="標楷體" w:hAnsi="標楷體" w:eastAsia="標楷體"/>
          <w:sz w:val="28"/>
        </w:rPr>
        <w:t>中醫診斷</w:t>
      </w:r>
      <w:r>
        <w:rPr>
          <w:rFonts w:eastAsia="標楷體" w:ascii="標楷體" w:hAnsi="標楷體"/>
          <w:sz w:val="28"/>
        </w:rPr>
        <w:t>:</w:t>
      </w:r>
      <w:r>
        <w:rPr>
          <w:rFonts w:ascii="標楷體" w:hAnsi="標楷體" w:eastAsia="標楷體"/>
          <w:sz w:val="28"/>
        </w:rPr>
        <w:t>風水</w:t>
      </w:r>
    </w:p>
    <w:p>
      <w:pPr>
        <w:pStyle w:val="Normal"/>
        <w:snapToGrid w:val="false"/>
        <w:spacing w:lineRule="atLeast" w:line="20"/>
        <w:jc w:val="both"/>
        <w:rPr/>
      </w:pPr>
      <w:r>
        <w:rPr>
          <w:rFonts w:eastAsia="標楷體" w:cs="標楷體" w:ascii="標楷體" w:hAnsi="標楷體"/>
          <w:b/>
          <w:sz w:val="28"/>
        </w:rPr>
        <w:t xml:space="preserve">    </w:t>
      </w:r>
      <w:r>
        <w:rPr>
          <w:rFonts w:ascii="標楷體" w:hAnsi="標楷體" w:eastAsia="標楷體"/>
          <w:b/>
          <w:sz w:val="28"/>
        </w:rPr>
        <w:t>十一、治則</w:t>
      </w:r>
      <w:r>
        <w:rPr>
          <w:rFonts w:eastAsia="標楷體" w:ascii="標楷體" w:hAnsi="標楷體"/>
          <w:b/>
          <w:sz w:val="28"/>
        </w:rPr>
        <w:t>:</w:t>
      </w:r>
      <w:r>
        <w:rPr>
          <w:rFonts w:ascii="標楷體" w:hAnsi="標楷體" w:eastAsia="標楷體"/>
          <w:sz w:val="28"/>
        </w:rPr>
        <w:t>袪風宣肺利水</w:t>
      </w:r>
    </w:p>
    <w:p>
      <w:pPr>
        <w:pStyle w:val="Normal"/>
        <w:snapToGrid w:val="false"/>
        <w:spacing w:lineRule="atLeast" w:line="20"/>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十二、處方用藥</w:t>
      </w:r>
      <w:r>
        <w:rPr>
          <w:rFonts w:eastAsia="標楷體" w:ascii="標楷體" w:hAnsi="標楷體"/>
          <w:b/>
          <w:sz w:val="28"/>
        </w:rPr>
        <w:t>:</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麻黃</w:t>
      </w:r>
      <w:r>
        <w:rPr>
          <w:rFonts w:ascii="標楷體" w:hAnsi="標楷體" w:eastAsia="標楷體"/>
          <w:sz w:val="20"/>
        </w:rPr>
        <w:t>一錢</w:t>
      </w:r>
      <w:r>
        <w:rPr>
          <w:rFonts w:ascii="標楷體" w:hAnsi="標楷體" w:eastAsia="標楷體"/>
          <w:sz w:val="28"/>
        </w:rPr>
        <w:t xml:space="preserve"> 石膏</w:t>
      </w:r>
      <w:r>
        <w:rPr>
          <w:rFonts w:ascii="標楷體" w:hAnsi="標楷體" w:eastAsia="標楷體"/>
          <w:sz w:val="20"/>
        </w:rPr>
        <w:t>五錢</w:t>
      </w:r>
      <w:r>
        <w:rPr>
          <w:rFonts w:ascii="標楷體" w:hAnsi="標楷體" w:eastAsia="標楷體"/>
          <w:sz w:val="28"/>
        </w:rPr>
        <w:t xml:space="preserve">  白朮</w:t>
      </w:r>
      <w:r>
        <w:rPr>
          <w:rFonts w:ascii="標楷體" w:hAnsi="標楷體" w:eastAsia="標楷體"/>
          <w:sz w:val="20"/>
        </w:rPr>
        <w:t>三錢</w:t>
      </w:r>
      <w:r>
        <w:rPr>
          <w:rFonts w:ascii="標楷體" w:hAnsi="標楷體" w:eastAsia="標楷體"/>
          <w:sz w:val="28"/>
        </w:rPr>
        <w:t xml:space="preserve">  甘草</w:t>
      </w:r>
      <w:r>
        <w:rPr>
          <w:rFonts w:ascii="標楷體" w:hAnsi="標楷體" w:eastAsia="標楷體"/>
          <w:sz w:val="20"/>
        </w:rPr>
        <w:t>一錢</w:t>
      </w:r>
      <w:r>
        <w:rPr>
          <w:rFonts w:ascii="標楷體" w:hAnsi="標楷體" w:eastAsia="標楷體"/>
          <w:sz w:val="28"/>
        </w:rPr>
        <w:t xml:space="preserve">  大棗</w:t>
      </w:r>
      <w:r>
        <w:rPr>
          <w:rFonts w:ascii="標楷體" w:hAnsi="標楷體" w:eastAsia="標楷體"/>
          <w:sz w:val="20"/>
        </w:rPr>
        <w:t>二錢</w:t>
      </w:r>
      <w:r>
        <w:rPr>
          <w:rFonts w:ascii="標楷體" w:hAnsi="標楷體" w:eastAsia="標楷體"/>
          <w:sz w:val="28"/>
        </w:rPr>
        <w:t xml:space="preserve">  茯苓</w:t>
      </w:r>
      <w:r>
        <w:rPr>
          <w:rFonts w:ascii="標楷體" w:hAnsi="標楷體" w:eastAsia="標楷體"/>
          <w:sz w:val="20"/>
        </w:rPr>
        <w:t>五錢</w:t>
      </w:r>
      <w:r>
        <w:rPr>
          <w:rFonts w:ascii="標楷體" w:hAnsi="標楷體" w:eastAsia="標楷體"/>
          <w:sz w:val="28"/>
        </w:rPr>
        <w:t xml:space="preserve">  豬苓</w:t>
      </w:r>
      <w:r>
        <w:rPr>
          <w:rFonts w:ascii="標楷體" w:hAnsi="標楷體" w:eastAsia="標楷體"/>
          <w:sz w:val="20"/>
        </w:rPr>
        <w:t>三錢</w:t>
      </w:r>
      <w:r>
        <w:rPr>
          <w:rFonts w:ascii="標楷體" w:hAnsi="標楷體" w:eastAsia="標楷體"/>
          <w:sz w:val="28"/>
        </w:rPr>
        <w:t xml:space="preserve"> 澤瀉</w:t>
      </w:r>
      <w:r>
        <w:rPr>
          <w:rFonts w:ascii="標楷體" w:hAnsi="標楷體" w:eastAsia="標楷體"/>
          <w:sz w:val="20"/>
        </w:rPr>
        <w:t>三錢</w:t>
      </w:r>
      <w:r>
        <w:rPr>
          <w:rFonts w:ascii="標楷體" w:hAnsi="標楷體" w:eastAsia="標楷體"/>
          <w:sz w:val="28"/>
        </w:rPr>
        <w:t xml:space="preserve"> 桂枝</w:t>
      </w:r>
      <w:r>
        <w:rPr>
          <w:rFonts w:ascii="標楷體" w:hAnsi="標楷體" w:eastAsia="標楷體"/>
          <w:sz w:val="20"/>
        </w:rPr>
        <w:t xml:space="preserve">二錢  </w:t>
      </w:r>
      <w:r>
        <w:rPr>
          <w:rFonts w:ascii="標楷體" w:hAnsi="標楷體" w:eastAsia="標楷體"/>
          <w:sz w:val="28"/>
        </w:rPr>
        <w:t>銀花</w:t>
      </w:r>
      <w:r>
        <w:rPr>
          <w:rFonts w:ascii="標楷體" w:hAnsi="標楷體" w:eastAsia="標楷體"/>
          <w:sz w:val="20"/>
        </w:rPr>
        <w:t>二錢</w:t>
      </w:r>
      <w:r>
        <w:rPr>
          <w:rFonts w:ascii="標楷體" w:hAnsi="標楷體" w:eastAsia="標楷體"/>
          <w:sz w:val="28"/>
        </w:rPr>
        <w:t xml:space="preserve"> 連翹</w:t>
      </w:r>
      <w:r>
        <w:rPr>
          <w:rFonts w:ascii="標楷體" w:hAnsi="標楷體" w:eastAsia="標楷體"/>
          <w:sz w:val="20"/>
        </w:rPr>
        <w:t>二錢</w:t>
      </w:r>
      <w:r>
        <w:rPr>
          <w:rFonts w:ascii="標楷體" w:hAnsi="標楷體" w:eastAsia="標楷體"/>
          <w:sz w:val="28"/>
        </w:rPr>
        <w:t xml:space="preserve"> 桑白皮</w:t>
      </w:r>
      <w:r>
        <w:rPr>
          <w:rFonts w:ascii="標楷體" w:hAnsi="標楷體" w:eastAsia="標楷體"/>
          <w:sz w:val="20"/>
        </w:rPr>
        <w:t>二錢</w:t>
      </w:r>
      <w:r>
        <w:rPr>
          <w:rFonts w:ascii="標楷體" w:hAnsi="標楷體" w:eastAsia="標楷體"/>
          <w:sz w:val="28"/>
        </w:rPr>
        <w:t xml:space="preserve"> 生薑</w:t>
      </w:r>
      <w:r>
        <w:rPr>
          <w:rFonts w:ascii="標楷體" w:hAnsi="標楷體" w:eastAsia="標楷體"/>
          <w:sz w:val="20"/>
        </w:rPr>
        <w:t>二片</w:t>
      </w:r>
    </w:p>
    <w:p>
      <w:pPr>
        <w:pStyle w:val="Normal"/>
        <w:snapToGrid w:val="false"/>
        <w:spacing w:lineRule="atLeast" w:line="20"/>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十三、辨證初步分析</w:t>
      </w:r>
    </w:p>
    <w:p>
      <w:pPr>
        <w:pStyle w:val="Normal"/>
        <w:overflowPunct w:val="false"/>
        <w:autoSpaceDE w:val="false"/>
        <w:snapToGrid w:val="false"/>
        <w:spacing w:lineRule="atLeast" w:line="20"/>
        <w:jc w:val="both"/>
        <w:rPr/>
      </w:pPr>
      <w:r>
        <w:rPr>
          <w:rFonts w:eastAsia="標楷體" w:cs="標楷體" w:ascii="標楷體" w:hAnsi="標楷體"/>
          <w:sz w:val="28"/>
        </w:rPr>
        <w:t xml:space="preserve">    </w:t>
      </w:r>
      <w:r>
        <w:rPr>
          <w:rFonts w:eastAsia="標楷體" w:ascii="標楷體" w:hAnsi="標楷體"/>
          <w:sz w:val="28"/>
        </w:rPr>
        <w:t>&lt;&lt;</w:t>
      </w:r>
      <w:r>
        <w:rPr>
          <w:rFonts w:ascii="標楷體" w:hAnsi="標楷體" w:eastAsia="標楷體"/>
          <w:sz w:val="28"/>
        </w:rPr>
        <w:t>素問‧</w:t>
      </w:r>
      <w:r>
        <w:rPr>
          <w:rFonts w:ascii="標楷體" w:hAnsi="標楷體" w:cs="MS Sans Serif;Arial" w:eastAsia="標楷體"/>
          <w:sz w:val="28"/>
        </w:rPr>
        <w:t>經脈別論</w:t>
      </w:r>
      <w:r>
        <w:rPr>
          <w:rFonts w:eastAsia="標楷體" w:cs="MS Sans Serif;Arial" w:ascii="標楷體" w:hAnsi="標楷體"/>
          <w:sz w:val="28"/>
        </w:rPr>
        <w:t>&gt;&gt;:</w:t>
      </w:r>
      <w:r>
        <w:rPr>
          <w:rFonts w:ascii="標楷體" w:hAnsi="標楷體" w:cs="MS Sans Serif;Arial" w:eastAsia="標楷體"/>
          <w:sz w:val="28"/>
        </w:rPr>
        <w:t>「飲入于胃，游溢精氣，上輸于脾。脾氣散精，上歸于肺，通調水道，下輸膀胱，水精四布，五經並行。」可知水腫的形成和</w:t>
      </w:r>
      <w:r>
        <w:rPr>
          <w:rFonts w:ascii="標楷體" w:hAnsi="標楷體" w:eastAsia="標楷體"/>
          <w:sz w:val="28"/>
        </w:rPr>
        <w:t>肺、脾、腎極有關連，此外肝、三焦、膀胱亦有關係。因此治療水腫應從以上臟腑著手為要，正如</w:t>
      </w:r>
      <w:r>
        <w:rPr>
          <w:rFonts w:eastAsia="標楷體" w:ascii="標楷體" w:hAnsi="標楷體"/>
          <w:sz w:val="28"/>
        </w:rPr>
        <w:t>&lt;&lt;</w:t>
      </w:r>
      <w:r>
        <w:rPr>
          <w:rFonts w:ascii="標楷體" w:hAnsi="標楷體" w:eastAsia="標楷體"/>
          <w:sz w:val="28"/>
        </w:rPr>
        <w:t>素問‧水熱穴論</w:t>
      </w:r>
      <w:r>
        <w:rPr>
          <w:rFonts w:eastAsia="標楷體" w:ascii="標楷體" w:hAnsi="標楷體"/>
          <w:sz w:val="28"/>
        </w:rPr>
        <w:t>&gt;&gt;</w:t>
      </w:r>
      <w:r>
        <w:rPr>
          <w:rFonts w:ascii="標楷體" w:hAnsi="標楷體" w:eastAsia="標楷體"/>
          <w:sz w:val="28"/>
        </w:rPr>
        <w:t>曰</w:t>
      </w:r>
      <w:r>
        <w:rPr>
          <w:rFonts w:eastAsia="標楷體" w:cs="MS Sans Serif;Arial" w:ascii="標楷體" w:hAnsi="標楷體"/>
          <w:sz w:val="28"/>
        </w:rPr>
        <w:t>:</w:t>
      </w:r>
      <w:r>
        <w:rPr>
          <w:rFonts w:ascii="標楷體" w:hAnsi="標楷體" w:cs="MS Sans Serif;Arial" w:eastAsia="標楷體"/>
          <w:sz w:val="28"/>
        </w:rPr>
        <w:t>「</w:t>
      </w:r>
      <w:r>
        <w:rPr>
          <w:rFonts w:ascii="標楷體" w:hAnsi="標楷體" w:eastAsia="標楷體"/>
          <w:sz w:val="28"/>
        </w:rPr>
        <w:t>其本在腎，其末在肺</w:t>
      </w:r>
      <w:r>
        <w:rPr>
          <w:rFonts w:ascii="標楷體" w:hAnsi="標楷體" w:cs="MS Sans Serif;Arial" w:eastAsia="標楷體"/>
          <w:sz w:val="28"/>
        </w:rPr>
        <w:t>。」，</w:t>
      </w:r>
      <w:r>
        <w:rPr>
          <w:rFonts w:eastAsia="標楷體" w:ascii="標楷體" w:hAnsi="標楷體"/>
          <w:sz w:val="28"/>
        </w:rPr>
        <w:t>&lt;&lt;</w:t>
      </w:r>
      <w:r>
        <w:rPr>
          <w:rFonts w:ascii="標楷體" w:hAnsi="標楷體" w:eastAsia="標楷體"/>
          <w:sz w:val="28"/>
        </w:rPr>
        <w:t>醫學入門</w:t>
      </w:r>
      <w:r>
        <w:rPr>
          <w:rFonts w:eastAsia="標楷體" w:ascii="標楷體" w:hAnsi="標楷體"/>
          <w:sz w:val="28"/>
        </w:rPr>
        <w:t>&gt;&gt;</w:t>
      </w:r>
      <w:r>
        <w:rPr>
          <w:rFonts w:ascii="標楷體" w:hAnsi="標楷體" w:eastAsia="標楷體"/>
          <w:sz w:val="28"/>
        </w:rPr>
        <w:t>亦曰</w:t>
      </w:r>
      <w:r>
        <w:rPr>
          <w:rFonts w:eastAsia="標楷體" w:ascii="標楷體" w:hAnsi="標楷體"/>
          <w:sz w:val="28"/>
        </w:rPr>
        <w:t>:</w:t>
      </w:r>
      <w:r>
        <w:rPr>
          <w:rFonts w:ascii="標楷體" w:hAnsi="標楷體" w:eastAsia="標楷體"/>
          <w:sz w:val="28"/>
        </w:rPr>
        <w:t>「凡水腫等症，乃脾﹑肺﹑腎三藏相干之病。蓋水為至陰，故其本在腎﹔水化于氣，故其標在肺﹔水惟畏土，故其制在脾。今肺虛則氣不化精而化水，脾虛則土不制水而反剋，腎虛則水無所主而妄行，水不歸經則逆而上泛。」</w:t>
      </w:r>
    </w:p>
    <w:p>
      <w:pPr>
        <w:pStyle w:val="Normal"/>
        <w:overflowPunct w:val="false"/>
        <w:autoSpaceDE w:val="false"/>
        <w:snapToGrid w:val="false"/>
        <w:spacing w:lineRule="atLeast" w:line="20"/>
        <w:jc w:val="both"/>
        <w:rPr/>
      </w:pPr>
      <w:r>
        <w:rPr>
          <w:rFonts w:eastAsia="標楷體" w:cs="標楷體" w:ascii="標楷體" w:hAnsi="標楷體"/>
          <w:sz w:val="28"/>
        </w:rPr>
        <w:t xml:space="preserve">    </w:t>
      </w:r>
      <w:r>
        <w:rPr>
          <w:rFonts w:eastAsia="標楷體" w:ascii="標楷體" w:hAnsi="標楷體"/>
          <w:sz w:val="28"/>
        </w:rPr>
        <w:t>&lt;&lt;</w:t>
      </w:r>
      <w:r>
        <w:rPr>
          <w:rFonts w:ascii="標楷體" w:hAnsi="標楷體" w:eastAsia="標楷體"/>
          <w:sz w:val="28"/>
        </w:rPr>
        <w:t>金匱要略</w:t>
      </w:r>
      <w:r>
        <w:rPr>
          <w:rFonts w:eastAsia="標楷體" w:ascii="標楷體" w:hAnsi="標楷體"/>
          <w:sz w:val="28"/>
        </w:rPr>
        <w:t>&gt;&gt;</w:t>
      </w:r>
      <w:r>
        <w:rPr>
          <w:rFonts w:ascii="標楷體" w:hAnsi="標楷體" w:eastAsia="標楷體"/>
          <w:sz w:val="28"/>
        </w:rPr>
        <w:t>言</w:t>
      </w:r>
      <w:r>
        <w:rPr>
          <w:rFonts w:eastAsia="標楷體" w:ascii="標楷體" w:hAnsi="標楷體"/>
          <w:sz w:val="28"/>
        </w:rPr>
        <w:t>:</w:t>
      </w:r>
      <w:r>
        <w:rPr>
          <w:rFonts w:ascii="標楷體" w:hAnsi="標楷體" w:eastAsia="標楷體"/>
          <w:sz w:val="28"/>
        </w:rPr>
        <w:t>「</w:t>
      </w:r>
      <w:r>
        <w:rPr>
          <w:rFonts w:ascii="標楷體" w:hAnsi="標楷體" w:cs="MS Sans Serif;Arial" w:eastAsia="標楷體"/>
          <w:sz w:val="28"/>
        </w:rPr>
        <w:t>寸口脈沉滑者，中有水氣，面目腫大有熱，名曰風水；視人之目窠上微壅，如蠶新臥起狀，其頸脈動，時時咳，按其手足上，陷而不起者，風水。</w:t>
      </w:r>
      <w:r>
        <w:rPr>
          <w:rFonts w:ascii="標楷體" w:hAnsi="標楷體" w:eastAsia="標楷體"/>
          <w:sz w:val="28"/>
        </w:rPr>
        <w:t>」，由本患者之臨床表現可知其為風水之表現，而風水主方為越婢湯。水腫之形成和氣化不利有關，肺主氣，主宣發肅降，為水之上源，主通調水道，因此風水之治療可以宣肺為主，亦可酌加辛涼解表藥如銀翹散。再如</w:t>
      </w:r>
      <w:r>
        <w:rPr>
          <w:rFonts w:eastAsia="標楷體" w:ascii="標楷體" w:hAnsi="標楷體"/>
          <w:sz w:val="28"/>
        </w:rPr>
        <w:t>&lt;&lt;</w:t>
      </w:r>
      <w:r>
        <w:rPr>
          <w:rFonts w:ascii="標楷體" w:hAnsi="標楷體" w:eastAsia="標楷體"/>
          <w:sz w:val="28"/>
        </w:rPr>
        <w:t>金匱要略</w:t>
      </w:r>
      <w:r>
        <w:rPr>
          <w:rFonts w:eastAsia="標楷體" w:ascii="標楷體" w:hAnsi="標楷體"/>
          <w:sz w:val="28"/>
        </w:rPr>
        <w:t>&gt;&gt;</w:t>
      </w:r>
      <w:r>
        <w:rPr>
          <w:rFonts w:ascii="標楷體" w:hAnsi="標楷體" w:eastAsia="標楷體"/>
          <w:sz w:val="28"/>
        </w:rPr>
        <w:t>所言</w:t>
      </w:r>
      <w:r>
        <w:rPr>
          <w:rFonts w:eastAsia="標楷體" w:ascii="標楷體" w:hAnsi="標楷體"/>
          <w:sz w:val="28"/>
        </w:rPr>
        <w:t>:</w:t>
      </w:r>
      <w:r>
        <w:rPr>
          <w:rFonts w:ascii="標楷體" w:hAnsi="標楷體" w:eastAsia="標楷體"/>
          <w:sz w:val="28"/>
        </w:rPr>
        <w:t>「</w:t>
      </w:r>
      <w:r>
        <w:rPr>
          <w:rFonts w:ascii="標楷體" w:hAnsi="標楷體" w:cs="MS Sans Serif;Arial" w:eastAsia="標楷體"/>
          <w:sz w:val="28"/>
        </w:rPr>
        <w:t>諸有水者，腰以下腫，當利小便。」</w:t>
      </w:r>
      <w:r>
        <w:rPr>
          <w:rFonts w:ascii="標楷體" w:hAnsi="標楷體" w:eastAsia="標楷體"/>
          <w:sz w:val="28"/>
        </w:rPr>
        <w:t>故五苓散、五皮飲亦屬合拍，此外亦可加減使用。由上可知，治風水初期常可以越婢五苓散或越婢五皮飲或者以五苓散合五皮飲加減使用，而本患者以以越婢五苓散加減為主要方向。</w:t>
      </w:r>
    </w:p>
    <w:p>
      <w:pPr>
        <w:pStyle w:val="Normal"/>
        <w:snapToGrid w:val="false"/>
        <w:spacing w:lineRule="atLeast" w:line="20"/>
        <w:jc w:val="both"/>
        <w:rPr>
          <w:rFonts w:ascii="標楷體" w:hAnsi="標楷體" w:eastAsia="標楷體"/>
          <w:b/>
          <w:b/>
          <w:sz w:val="28"/>
        </w:rPr>
      </w:pPr>
      <w:r>
        <w:rPr>
          <w:rFonts w:eastAsia="標楷體" w:cs="標楷體" w:ascii="標楷體" w:hAnsi="標楷體"/>
          <w:sz w:val="28"/>
        </w:rPr>
        <w:t xml:space="preserve">    </w:t>
      </w:r>
      <w:r>
        <w:rPr>
          <w:rFonts w:ascii="標楷體" w:hAnsi="標楷體" w:eastAsia="標楷體"/>
          <w:sz w:val="28"/>
        </w:rPr>
        <w:t>治療水腫可先從宣肺著手，亦可從健脾、固腎、疏肝著手，使三焦決瀆得通，膀胱氣化得利，當以分清主次為要。本病的主要結構為本虛標實，本虛最主要為肺、脾、腎三藏之虛，標實則為水濕、濕熱、夾氣滯、夾瘀血。根據以上，中醫治療腎病症候群之方法，首先宣肺以袪其病因，其次治脾腎。</w:t>
      </w:r>
    </w:p>
    <w:p>
      <w:pPr>
        <w:pStyle w:val="Normal"/>
        <w:snapToGrid w:val="false"/>
        <w:spacing w:lineRule="atLeast" w:line="20"/>
        <w:jc w:val="both"/>
        <w:rPr/>
      </w:pPr>
      <w:r>
        <w:rPr>
          <w:rFonts w:eastAsia="標楷體" w:cs="標楷體" w:ascii="標楷體" w:hAnsi="標楷體"/>
          <w:sz w:val="28"/>
        </w:rPr>
        <w:t xml:space="preserve">    </w:t>
      </w:r>
      <w:r>
        <w:rPr>
          <w:rFonts w:ascii="標楷體" w:hAnsi="標楷體" w:eastAsia="標楷體"/>
          <w:sz w:val="28"/>
        </w:rPr>
        <w:t>本方中用麻黃宣肺解表，石膏清胃解鬱熱且制麻黃之辛溫，麻黃、石膏合用，利水之功效大，以生薑制石膏之涼且解表，甘草、大棗和中，四苓湯利膀胱水，桂枝通陽利水，桑白皮清肺熱，下氣行水，銀花、連翹辛涼解表。</w:t>
      </w:r>
    </w:p>
    <w:p>
      <w:pPr>
        <w:pStyle w:val="Normal"/>
        <w:snapToGrid w:val="false"/>
        <w:spacing w:lineRule="atLeast" w:line="20"/>
        <w:jc w:val="both"/>
        <w:rPr/>
      </w:pPr>
      <w:r>
        <w:rPr>
          <w:rFonts w:eastAsia="標楷體" w:cs="標楷體" w:ascii="標楷體" w:hAnsi="標楷體"/>
          <w:b/>
          <w:sz w:val="28"/>
        </w:rPr>
        <w:t xml:space="preserve">    </w:t>
      </w:r>
      <w:r>
        <w:rPr>
          <w:rFonts w:ascii="標楷體" w:hAnsi="標楷體" w:eastAsia="標楷體"/>
          <w:b/>
          <w:sz w:val="28"/>
        </w:rPr>
        <w:t>十四</w:t>
      </w:r>
      <w:r>
        <w:rPr>
          <w:rFonts w:ascii="標楷體" w:hAnsi="標楷體" w:eastAsia="標楷體"/>
          <w:b/>
          <w:sz w:val="28"/>
        </w:rPr>
        <w:t>、</w:t>
      </w:r>
      <w:r>
        <w:rPr>
          <w:rFonts w:ascii="標楷體" w:hAnsi="標楷體" w:eastAsia="標楷體"/>
          <w:b/>
          <w:sz w:val="28"/>
        </w:rPr>
        <w:t>診療過程</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本患者住院前七天以越婢五苓散合五皮飲加銀翹散為基礎加減治療，一星期內體重減輕了</w:t>
      </w:r>
      <w:r>
        <w:rPr>
          <w:rFonts w:eastAsia="標楷體" w:ascii="標楷體" w:hAnsi="標楷體"/>
          <w:sz w:val="28"/>
        </w:rPr>
        <w:t>4.5</w:t>
      </w:r>
      <w:r>
        <w:rPr>
          <w:rFonts w:ascii="標楷體" w:hAnsi="標楷體" w:eastAsia="標楷體"/>
          <w:sz w:val="28"/>
        </w:rPr>
        <w:t>公斤，為求更進一步治療而入院。</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w:t>
      </w:r>
      <w:r>
        <w:rPr>
          <w:rFonts w:eastAsia="標楷體" w:ascii="標楷體" w:hAnsi="標楷體"/>
          <w:sz w:val="28"/>
        </w:rPr>
        <w:t>1998.12.29</w:t>
      </w:r>
      <w:r>
        <w:rPr>
          <w:rFonts w:eastAsia="標楷體" w:ascii="標楷體" w:hAnsi="標楷體"/>
          <w:sz w:val="28"/>
        </w:rPr>
        <w:t>-12.31</w:t>
      </w:r>
      <w:r>
        <w:rPr>
          <w:rFonts w:ascii="標楷體" w:hAnsi="標楷體" w:eastAsia="標楷體"/>
          <w:sz w:val="28"/>
        </w:rPr>
        <w:t xml:space="preserve">】   </w:t>
      </w:r>
    </w:p>
    <w:p>
      <w:pPr>
        <w:pStyle w:val="Normal"/>
        <w:snapToGrid w:val="false"/>
        <w:spacing w:lineRule="atLeast" w:line="20"/>
        <w:ind w:firstLine="570"/>
        <w:jc w:val="both"/>
        <w:rPr>
          <w:rFonts w:ascii="標楷體" w:hAnsi="標楷體" w:eastAsia="標楷體"/>
          <w:sz w:val="28"/>
        </w:rPr>
      </w:pPr>
      <w:r>
        <w:rPr>
          <w:rFonts w:ascii="標楷體" w:hAnsi="標楷體" w:eastAsia="標楷體"/>
          <w:sz w:val="28"/>
        </w:rPr>
        <w:t>主訴</w:t>
      </w:r>
      <w:r>
        <w:rPr>
          <w:rFonts w:eastAsia="標楷體" w:ascii="標楷體" w:hAnsi="標楷體"/>
          <w:sz w:val="28"/>
        </w:rPr>
        <w:t>;</w:t>
      </w:r>
      <w:r>
        <w:rPr>
          <w:rFonts w:ascii="標楷體" w:hAnsi="標楷體" w:eastAsia="標楷體"/>
          <w:sz w:val="28"/>
        </w:rPr>
        <w:t>全身水腫，咳嗽已</w:t>
      </w:r>
      <w:r>
        <w:rPr>
          <w:rFonts w:eastAsia="標楷體" w:ascii="標楷體" w:hAnsi="標楷體"/>
          <w:sz w:val="28"/>
        </w:rPr>
        <w:t>2</w:t>
      </w:r>
      <w:r>
        <w:rPr>
          <w:rFonts w:ascii="標楷體" w:hAnsi="標楷體" w:eastAsia="標楷體"/>
          <w:sz w:val="28"/>
        </w:rPr>
        <w:t>～</w:t>
      </w:r>
      <w:r>
        <w:rPr>
          <w:rFonts w:eastAsia="標楷體" w:ascii="標楷體" w:hAnsi="標楷體"/>
          <w:sz w:val="28"/>
        </w:rPr>
        <w:t>3</w:t>
      </w:r>
      <w:r>
        <w:rPr>
          <w:rFonts w:ascii="標楷體" w:hAnsi="標楷體" w:eastAsia="標楷體"/>
          <w:sz w:val="28"/>
        </w:rPr>
        <w:t>個月</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望診</w:t>
      </w:r>
      <w:r>
        <w:rPr>
          <w:rFonts w:eastAsia="標楷體" w:ascii="標楷體" w:hAnsi="標楷體"/>
          <w:sz w:val="28"/>
        </w:rPr>
        <w:t xml:space="preserve">: </w:t>
      </w:r>
      <w:r>
        <w:rPr>
          <w:rFonts w:ascii="標楷體" w:hAnsi="標楷體" w:eastAsia="標楷體"/>
          <w:sz w:val="28"/>
        </w:rPr>
        <w:t>精神差，眼瞼浮腫，兩頰有肝斑，結膜蒼白，爪甲淡白，</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舌淡紅，苔少。</w:t>
      </w:r>
    </w:p>
    <w:p>
      <w:pPr>
        <w:pStyle w:val="Normal"/>
        <w:snapToGrid w:val="false"/>
        <w:spacing w:lineRule="atLeast" w:line="20"/>
        <w:ind w:firstLine="570"/>
        <w:jc w:val="both"/>
        <w:rPr>
          <w:rFonts w:ascii="標楷體" w:hAnsi="標楷體" w:eastAsia="標楷體"/>
          <w:sz w:val="28"/>
        </w:rPr>
      </w:pPr>
      <w:r>
        <w:rPr>
          <w:rFonts w:ascii="標楷體" w:hAnsi="標楷體" w:eastAsia="標楷體"/>
          <w:sz w:val="28"/>
        </w:rPr>
        <w:t>聞診</w:t>
      </w:r>
      <w:r>
        <w:rPr>
          <w:rFonts w:eastAsia="標楷體" w:ascii="標楷體" w:hAnsi="標楷體"/>
          <w:sz w:val="28"/>
        </w:rPr>
        <w:t xml:space="preserve">; </w:t>
      </w:r>
      <w:r>
        <w:rPr>
          <w:rFonts w:ascii="標楷體" w:hAnsi="標楷體" w:eastAsia="標楷體"/>
          <w:sz w:val="28"/>
        </w:rPr>
        <w:t>無特殊氣味，語音低微。</w:t>
      </w:r>
    </w:p>
    <w:p>
      <w:pPr>
        <w:pStyle w:val="Normal"/>
        <w:snapToGrid w:val="false"/>
        <w:spacing w:lineRule="atLeast" w:line="20"/>
        <w:ind w:firstLine="570"/>
        <w:jc w:val="both"/>
        <w:rPr>
          <w:rFonts w:ascii="標楷體" w:hAnsi="標楷體" w:eastAsia="標楷體"/>
          <w:sz w:val="28"/>
        </w:rPr>
      </w:pPr>
      <w:r>
        <w:rPr>
          <w:rFonts w:ascii="標楷體" w:hAnsi="標楷體" w:eastAsia="標楷體"/>
          <w:sz w:val="28"/>
        </w:rPr>
        <w:t>問診</w:t>
      </w:r>
      <w:r>
        <w:rPr>
          <w:rFonts w:eastAsia="標楷體" w:ascii="標楷體" w:hAnsi="標楷體"/>
          <w:sz w:val="28"/>
        </w:rPr>
        <w:t xml:space="preserve">; </w:t>
      </w:r>
      <w:r>
        <w:rPr>
          <w:rFonts w:ascii="標楷體" w:hAnsi="標楷體" w:eastAsia="標楷體"/>
          <w:sz w:val="28"/>
        </w:rPr>
        <w:t>咽喉痛，乾咳，夜咳甚，兩側太陽穴附近頭重痛，大便</w:t>
      </w:r>
    </w:p>
    <w:p>
      <w:pPr>
        <w:pStyle w:val="Normal"/>
        <w:snapToGrid w:val="false"/>
        <w:spacing w:lineRule="atLeast" w:line="20"/>
        <w:ind w:firstLine="57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成形；小便頻，量多，夜尿每夜</w:t>
      </w:r>
      <w:r>
        <w:rPr>
          <w:rFonts w:eastAsia="標楷體" w:ascii="標楷體" w:hAnsi="標楷體"/>
          <w:sz w:val="28"/>
        </w:rPr>
        <w:t>3-4</w:t>
      </w:r>
      <w:r>
        <w:rPr>
          <w:rFonts w:ascii="標楷體" w:hAnsi="標楷體" w:eastAsia="標楷體"/>
          <w:sz w:val="28"/>
        </w:rPr>
        <w:t>次。體重</w:t>
      </w:r>
      <w:r>
        <w:rPr>
          <w:rFonts w:eastAsia="標楷體" w:ascii="標楷體" w:hAnsi="標楷體"/>
          <w:sz w:val="28"/>
        </w:rPr>
        <w:t>67.5</w:t>
      </w:r>
      <w:r>
        <w:rPr>
          <w:rFonts w:ascii="標楷體" w:hAnsi="標楷體" w:eastAsia="標楷體"/>
          <w:sz w:val="28"/>
        </w:rPr>
        <w:t>公斤。</w:t>
      </w:r>
    </w:p>
    <w:p>
      <w:pPr>
        <w:pStyle w:val="Normal"/>
        <w:snapToGrid w:val="false"/>
        <w:spacing w:lineRule="atLeast" w:line="20"/>
        <w:ind w:firstLine="570"/>
        <w:jc w:val="both"/>
        <w:rPr>
          <w:rFonts w:ascii="標楷體" w:hAnsi="標楷體" w:eastAsia="標楷體"/>
          <w:sz w:val="28"/>
        </w:rPr>
      </w:pPr>
      <w:r>
        <w:rPr>
          <w:rFonts w:ascii="標楷體" w:hAnsi="標楷體" w:eastAsia="標楷體"/>
          <w:sz w:val="28"/>
        </w:rPr>
        <w:t>切診</w:t>
      </w:r>
      <w:r>
        <w:rPr>
          <w:rFonts w:eastAsia="標楷體" w:ascii="標楷體" w:hAnsi="標楷體"/>
          <w:sz w:val="28"/>
        </w:rPr>
        <w:t xml:space="preserve">; </w:t>
      </w:r>
      <w:r>
        <w:rPr>
          <w:rFonts w:ascii="標楷體" w:hAnsi="標楷體" w:eastAsia="標楷體"/>
          <w:sz w:val="28"/>
        </w:rPr>
        <w:t>左寸關沈滑、尺沈，右沈滑</w:t>
      </w:r>
    </w:p>
    <w:p>
      <w:pPr>
        <w:pStyle w:val="Normal"/>
        <w:snapToGrid w:val="false"/>
        <w:spacing w:lineRule="atLeast" w:line="20"/>
        <w:ind w:firstLine="570"/>
        <w:jc w:val="both"/>
        <w:rPr>
          <w:rFonts w:ascii="標楷體" w:hAnsi="標楷體" w:eastAsia="標楷體"/>
          <w:sz w:val="28"/>
        </w:rPr>
      </w:pPr>
      <w:r>
        <w:rPr>
          <w:rFonts w:ascii="標楷體" w:hAnsi="標楷體" w:eastAsia="標楷體"/>
          <w:sz w:val="28"/>
        </w:rPr>
        <w:t>生命徵象正常</w:t>
      </w:r>
    </w:p>
    <w:p>
      <w:pPr>
        <w:pStyle w:val="Normal"/>
        <w:snapToGrid w:val="false"/>
        <w:spacing w:lineRule="atLeast" w:line="20"/>
        <w:jc w:val="both"/>
        <w:rPr>
          <w:rFonts w:ascii="標楷體" w:hAnsi="標楷體" w:eastAsia="標楷體"/>
          <w:sz w:val="28"/>
        </w:rPr>
      </w:pPr>
      <w:r>
        <w:rPr>
          <w:rFonts w:eastAsia="標楷體" w:cs="標楷體" w:ascii="標楷體" w:hAnsi="標楷體"/>
          <w:b/>
          <w:sz w:val="28"/>
        </w:rPr>
        <w:t xml:space="preserve">    </w:t>
      </w:r>
      <w:r>
        <w:rPr>
          <w:rFonts w:ascii="標楷體" w:hAnsi="標楷體" w:eastAsia="標楷體"/>
          <w:b/>
          <w:sz w:val="28"/>
        </w:rPr>
        <w:t>診斷</w:t>
      </w:r>
      <w:r>
        <w:rPr>
          <w:rFonts w:eastAsia="標楷體" w:ascii="標楷體" w:hAnsi="標楷體"/>
          <w:b/>
          <w:sz w:val="28"/>
        </w:rPr>
        <w:t>:</w:t>
      </w:r>
      <w:r>
        <w:rPr>
          <w:rFonts w:ascii="標楷體" w:hAnsi="標楷體" w:eastAsia="標楷體"/>
          <w:sz w:val="28"/>
        </w:rPr>
        <w:t>西醫診斷</w:t>
      </w:r>
      <w:r>
        <w:rPr>
          <w:rFonts w:eastAsia="標楷體" w:ascii="標楷體" w:hAnsi="標楷體"/>
          <w:sz w:val="28"/>
        </w:rPr>
        <w:t>:</w:t>
      </w:r>
      <w:r>
        <w:rPr>
          <w:rFonts w:ascii="標楷體" w:hAnsi="標楷體" w:eastAsia="標楷體"/>
          <w:sz w:val="28"/>
        </w:rPr>
        <w:t>腎病症候群</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eastAsia="標楷體" w:cs="標楷體" w:ascii="標楷體" w:hAnsi="標楷體"/>
        </w:rPr>
        <w:t xml:space="preserve">  </w:t>
      </w:r>
      <w:r>
        <w:rPr>
          <w:rFonts w:eastAsia="標楷體" w:cs="標楷體" w:ascii="標楷體" w:hAnsi="標楷體"/>
        </w:rPr>
        <w:t xml:space="preserve">    </w:t>
      </w:r>
      <w:r>
        <w:rPr>
          <w:rFonts w:eastAsia="標楷體" w:cs="標楷體" w:ascii="標楷體" w:hAnsi="標楷體"/>
        </w:rPr>
        <w:t xml:space="preserve">  </w:t>
      </w:r>
      <w:r>
        <w:rPr>
          <w:rFonts w:ascii="標楷體" w:hAnsi="標楷體" w:eastAsia="標楷體"/>
          <w:sz w:val="28"/>
        </w:rPr>
        <w:t>中醫辨證</w:t>
      </w:r>
      <w:r>
        <w:rPr>
          <w:rFonts w:eastAsia="標楷體" w:ascii="標楷體" w:hAnsi="標楷體"/>
          <w:sz w:val="28"/>
        </w:rPr>
        <w:t>:</w:t>
      </w:r>
      <w:r>
        <w:rPr>
          <w:rFonts w:ascii="標楷體" w:hAnsi="標楷體" w:eastAsia="標楷體"/>
          <w:sz w:val="28"/>
        </w:rPr>
        <w:t>風水</w:t>
      </w:r>
    </w:p>
    <w:p>
      <w:pPr>
        <w:pStyle w:val="Normal"/>
        <w:snapToGrid w:val="false"/>
        <w:spacing w:lineRule="atLeast" w:line="20"/>
        <w:jc w:val="both"/>
        <w:rPr/>
      </w:pPr>
      <w:r>
        <w:rPr>
          <w:rFonts w:eastAsia="標楷體" w:cs="標楷體" w:ascii="標楷體" w:hAnsi="標楷體"/>
          <w:b/>
          <w:sz w:val="28"/>
        </w:rPr>
        <w:t xml:space="preserve">    </w:t>
      </w:r>
      <w:r>
        <w:rPr>
          <w:rFonts w:ascii="標楷體" w:hAnsi="標楷體" w:eastAsia="標楷體"/>
          <w:b/>
          <w:sz w:val="28"/>
        </w:rPr>
        <w:t>治則</w:t>
      </w:r>
      <w:r>
        <w:rPr>
          <w:rFonts w:eastAsia="標楷體" w:ascii="標楷體" w:hAnsi="標楷體"/>
          <w:b/>
          <w:sz w:val="28"/>
        </w:rPr>
        <w:t>:</w:t>
      </w:r>
      <w:r>
        <w:rPr>
          <w:rFonts w:ascii="標楷體" w:hAnsi="標楷體" w:eastAsia="標楷體"/>
          <w:sz w:val="28"/>
        </w:rPr>
        <w:t>袪風宣肺利水</w:t>
      </w:r>
    </w:p>
    <w:p>
      <w:pPr>
        <w:pStyle w:val="Normal"/>
        <w:snapToGrid w:val="false"/>
        <w:spacing w:lineRule="atLeast" w:line="20"/>
        <w:jc w:val="both"/>
        <w:rPr/>
      </w:pPr>
      <w:r>
        <w:rPr>
          <w:rFonts w:eastAsia="標楷體" w:cs="標楷體" w:ascii="標楷體" w:hAnsi="標楷體"/>
          <w:sz w:val="28"/>
        </w:rPr>
        <w:t xml:space="preserve">    </w:t>
      </w:r>
      <w:r>
        <w:rPr>
          <w:rFonts w:ascii="標楷體" w:hAnsi="標楷體" w:eastAsia="標楷體"/>
          <w:b/>
          <w:sz w:val="28"/>
        </w:rPr>
        <w:t>處方</w:t>
      </w:r>
      <w:r>
        <w:rPr>
          <w:rFonts w:eastAsia="標楷體" w:ascii="標楷體" w:hAnsi="標楷體"/>
          <w:b/>
          <w:sz w:val="28"/>
        </w:rPr>
        <w:t>;</w:t>
      </w:r>
      <w:r>
        <w:rPr>
          <w:rFonts w:ascii="標楷體" w:hAnsi="標楷體" w:eastAsia="標楷體"/>
          <w:sz w:val="28"/>
        </w:rPr>
        <w:t>越婢加朮湯</w:t>
      </w:r>
      <w:r>
        <w:rPr>
          <w:rFonts w:eastAsia="標楷體" w:ascii="標楷體" w:hAnsi="標楷體"/>
          <w:sz w:val="20"/>
        </w:rPr>
        <w:t>6</w:t>
      </w:r>
      <w:r>
        <w:rPr>
          <w:rFonts w:ascii="標楷體" w:hAnsi="標楷體" w:eastAsia="標楷體"/>
          <w:sz w:val="20"/>
        </w:rPr>
        <w:t>克</w:t>
      </w:r>
      <w:r>
        <w:rPr>
          <w:rFonts w:ascii="標楷體" w:hAnsi="標楷體" w:eastAsia="標楷體"/>
          <w:sz w:val="28"/>
        </w:rPr>
        <w:t xml:space="preserve">   銀翹散</w:t>
      </w:r>
      <w:r>
        <w:rPr>
          <w:rFonts w:eastAsia="標楷體" w:ascii="標楷體" w:hAnsi="標楷體"/>
          <w:sz w:val="20"/>
        </w:rPr>
        <w:t>8</w:t>
      </w:r>
      <w:r>
        <w:rPr>
          <w:rFonts w:ascii="標楷體" w:hAnsi="標楷體" w:eastAsia="標楷體"/>
          <w:sz w:val="20"/>
        </w:rPr>
        <w:t xml:space="preserve">克      </w:t>
      </w:r>
      <w:r>
        <w:rPr>
          <w:rFonts w:ascii="標楷體" w:hAnsi="標楷體" w:eastAsia="標楷體"/>
          <w:sz w:val="28"/>
        </w:rPr>
        <w:t>每天分三次服用</w:t>
      </w:r>
    </w:p>
    <w:p>
      <w:pPr>
        <w:pStyle w:val="Normal"/>
        <w:snapToGrid w:val="false"/>
        <w:spacing w:lineRule="atLeast" w:line="20"/>
        <w:jc w:val="both"/>
        <w:rPr/>
      </w:pPr>
      <w:r>
        <w:rPr>
          <w:rFonts w:eastAsia="標楷體" w:cs="標楷體" w:ascii="標楷體" w:hAnsi="標楷體"/>
          <w:sz w:val="28"/>
        </w:rPr>
        <w:t xml:space="preserve">  </w:t>
      </w:r>
      <w:r>
        <w:rPr>
          <w:rFonts w:eastAsia="標楷體" w:cs="標楷體" w:ascii="標楷體" w:hAnsi="標楷體"/>
          <w:b/>
          <w:sz w:val="28"/>
        </w:rPr>
        <w:t xml:space="preserve">  </w:t>
      </w:r>
      <w:r>
        <w:rPr>
          <w:rFonts w:ascii="標楷體" w:hAnsi="標楷體" w:eastAsia="標楷體"/>
          <w:b/>
          <w:sz w:val="28"/>
        </w:rPr>
        <w:t>辨證用藥分析</w:t>
      </w:r>
      <w:r>
        <w:rPr>
          <w:rFonts w:eastAsia="標楷體" w:ascii="標楷體" w:hAnsi="標楷體"/>
          <w:b/>
          <w:sz w:val="28"/>
        </w:rPr>
        <w:t>:</w:t>
      </w:r>
      <w:r>
        <w:rPr>
          <w:rFonts w:ascii="標楷體" w:hAnsi="標楷體" w:eastAsia="標楷體"/>
          <w:sz w:val="28"/>
        </w:rPr>
        <w:t>患者於門診中之治療，體重已有明顯下降情形，由</w:t>
      </w:r>
      <w:r>
        <w:rPr>
          <w:rFonts w:eastAsia="標楷體" w:ascii="標楷體" w:hAnsi="標楷體"/>
          <w:sz w:val="28"/>
        </w:rPr>
        <w:t>71</w:t>
      </w:r>
      <w:r>
        <w:rPr>
          <w:rFonts w:ascii="標楷體" w:hAnsi="標楷體" w:eastAsia="標楷體"/>
          <w:sz w:val="28"/>
        </w:rPr>
        <w:t>公斤下降至</w:t>
      </w:r>
      <w:r>
        <w:rPr>
          <w:rFonts w:eastAsia="標楷體" w:ascii="標楷體" w:hAnsi="標楷體"/>
          <w:sz w:val="28"/>
        </w:rPr>
        <w:t>67.5</w:t>
      </w:r>
      <w:r>
        <w:rPr>
          <w:rFonts w:ascii="標楷體" w:hAnsi="標楷體" w:eastAsia="標楷體"/>
          <w:sz w:val="28"/>
        </w:rPr>
        <w:t>公斤</w:t>
      </w:r>
      <w:r>
        <w:rPr>
          <w:rFonts w:eastAsia="標楷體" w:ascii="標楷體" w:hAnsi="標楷體"/>
          <w:sz w:val="28"/>
        </w:rPr>
        <w:t>(</w:t>
      </w:r>
      <w:r>
        <w:rPr>
          <w:rFonts w:ascii="標楷體" w:hAnsi="標楷體" w:eastAsia="標楷體"/>
          <w:sz w:val="28"/>
        </w:rPr>
        <w:t>平均每天體重下降</w:t>
      </w:r>
      <w:r>
        <w:rPr>
          <w:rFonts w:eastAsia="標楷體" w:ascii="標楷體" w:hAnsi="標楷體"/>
          <w:sz w:val="28"/>
        </w:rPr>
        <w:t>0.7</w:t>
      </w:r>
      <w:r>
        <w:rPr>
          <w:rFonts w:ascii="標楷體" w:hAnsi="標楷體" w:eastAsia="標楷體"/>
          <w:sz w:val="28"/>
        </w:rPr>
        <w:t>公斤</w:t>
      </w:r>
      <w:r>
        <w:rPr>
          <w:rFonts w:eastAsia="標楷體" w:ascii="標楷體" w:hAnsi="標楷體"/>
          <w:sz w:val="28"/>
        </w:rPr>
        <w:t>)</w:t>
      </w:r>
      <w:r>
        <w:rPr>
          <w:rFonts w:ascii="標楷體" w:hAnsi="標楷體" w:eastAsia="標楷體"/>
          <w:sz w:val="28"/>
        </w:rPr>
        <w:t>，唯離其發病前體重</w:t>
      </w:r>
      <w:r>
        <w:rPr>
          <w:rFonts w:eastAsia="標楷體" w:ascii="標楷體" w:hAnsi="標楷體"/>
          <w:sz w:val="28"/>
        </w:rPr>
        <w:t>57</w:t>
      </w:r>
      <w:r>
        <w:rPr>
          <w:rFonts w:ascii="標楷體" w:hAnsi="標楷體" w:eastAsia="標楷體"/>
          <w:sz w:val="28"/>
        </w:rPr>
        <w:t>公斤，仍有一段距離，水腫仍重，再根據其血中白蛋白、血脂肪、二十四小時蛋白尿等異常情況，遂予收入住院治療。</w:t>
      </w:r>
    </w:p>
    <w:p>
      <w:pPr>
        <w:pStyle w:val="Normal"/>
        <w:snapToGrid w:val="false"/>
        <w:spacing w:lineRule="atLeast" w:line="20"/>
        <w:jc w:val="both"/>
        <w:rPr/>
      </w:pPr>
      <w:r>
        <w:rPr>
          <w:rFonts w:eastAsia="標楷體" w:cs="標楷體" w:ascii="標楷體" w:hAnsi="標楷體"/>
          <w:sz w:val="28"/>
        </w:rPr>
        <w:t xml:space="preserve">  </w:t>
      </w:r>
      <w:r>
        <w:rPr>
          <w:rFonts w:eastAsia="標楷體" w:cs="標楷體" w:ascii="標楷體" w:hAnsi="標楷體"/>
          <w:sz w:val="28"/>
        </w:rPr>
        <w:t xml:space="preserve"> </w:t>
      </w:r>
      <w:r>
        <w:rPr>
          <w:rFonts w:ascii="標楷體" w:hAnsi="標楷體" w:eastAsia="標楷體"/>
          <w:sz w:val="28"/>
        </w:rPr>
        <w:t>【</w:t>
      </w:r>
      <w:r>
        <w:rPr>
          <w:rFonts w:eastAsia="標楷體" w:ascii="標楷體" w:hAnsi="標楷體"/>
          <w:sz w:val="28"/>
        </w:rPr>
        <w:t>1998:</w:t>
      </w:r>
      <w:r>
        <w:rPr>
          <w:rFonts w:eastAsia="標楷體" w:ascii="標楷體" w:hAnsi="標楷體"/>
          <w:sz w:val="28"/>
        </w:rPr>
        <w:t>1.1-1.3</w:t>
      </w:r>
      <w:r>
        <w:rPr>
          <w:rFonts w:ascii="標楷體" w:hAnsi="標楷體" w:eastAsia="標楷體"/>
          <w:sz w:val="28"/>
        </w:rPr>
        <w:t>】</w:t>
      </w:r>
    </w:p>
    <w:p>
      <w:pPr>
        <w:pStyle w:val="Normal"/>
        <w:snapToGrid w:val="false"/>
        <w:spacing w:lineRule="atLeast" w:line="20"/>
        <w:jc w:val="both"/>
        <w:rPr>
          <w:rFonts w:ascii="標楷體" w:hAnsi="標楷體" w:eastAsia="標楷體"/>
        </w:rPr>
      </w:pPr>
      <w:r>
        <w:rPr>
          <w:rFonts w:eastAsia="標楷體" w:cs="標楷體" w:ascii="標楷體" w:hAnsi="標楷體"/>
          <w:sz w:val="28"/>
        </w:rPr>
        <w:t xml:space="preserve">    </w:t>
      </w:r>
      <w:r>
        <w:rPr>
          <w:rFonts w:ascii="標楷體" w:hAnsi="標楷體" w:eastAsia="標楷體"/>
          <w:sz w:val="28"/>
        </w:rPr>
        <w:t>望</w:t>
      </w:r>
      <w:r>
        <w:rPr>
          <w:rFonts w:eastAsia="標楷體" w:ascii="標楷體" w:hAnsi="標楷體"/>
          <w:sz w:val="28"/>
        </w:rPr>
        <w:t>:</w:t>
      </w:r>
      <w:r>
        <w:rPr>
          <w:rFonts w:eastAsia="標楷體" w:ascii="標楷體" w:hAnsi="標楷體"/>
        </w:rPr>
        <w:t xml:space="preserve"> </w:t>
      </w:r>
      <w:r>
        <w:rPr>
          <w:rFonts w:ascii="標楷體" w:hAnsi="標楷體" w:eastAsia="標楷體"/>
          <w:sz w:val="28"/>
        </w:rPr>
        <w:t>面白，下肢水腫</w:t>
      </w:r>
      <w:r>
        <w:rPr>
          <w:rFonts w:ascii="標楷體" w:hAnsi="標楷體" w:eastAsia="標楷體"/>
          <w:sz w:val="28"/>
        </w:rPr>
        <w:t>，</w:t>
      </w:r>
      <w:r>
        <w:rPr>
          <w:rFonts w:ascii="標楷體" w:hAnsi="標楷體" w:eastAsia="標楷體"/>
          <w:sz w:val="28"/>
        </w:rPr>
        <w:t>舌質紅少苔</w:t>
      </w:r>
      <w:r>
        <w:rPr>
          <w:rFonts w:ascii="標楷體" w:hAnsi="標楷體" w:eastAsia="標楷體"/>
          <w:sz w:val="28"/>
        </w:rPr>
        <w:t>。</w:t>
      </w:r>
    </w:p>
    <w:p>
      <w:pPr>
        <w:pStyle w:val="Normal"/>
        <w:snapToGrid w:val="false"/>
        <w:spacing w:lineRule="atLeast" w:line="20"/>
        <w:jc w:val="both"/>
        <w:rPr/>
      </w:pPr>
      <w:r>
        <w:rPr>
          <w:rFonts w:eastAsia="標楷體" w:cs="標楷體" w:ascii="標楷體" w:hAnsi="標楷體"/>
          <w:sz w:val="28"/>
        </w:rPr>
        <w:t xml:space="preserve">    </w:t>
      </w:r>
      <w:r>
        <w:rPr>
          <w:rFonts w:ascii="標楷體" w:hAnsi="標楷體" w:eastAsia="標楷體"/>
          <w:sz w:val="28"/>
        </w:rPr>
        <w:t>聞</w:t>
      </w:r>
      <w:r>
        <w:rPr>
          <w:rFonts w:eastAsia="標楷體" w:ascii="標楷體" w:hAnsi="標楷體"/>
          <w:sz w:val="28"/>
        </w:rPr>
        <w:t>:</w:t>
      </w:r>
      <w:r>
        <w:rPr>
          <w:rFonts w:ascii="標楷體" w:hAnsi="標楷體" w:eastAsia="標楷體"/>
          <w:sz w:val="28"/>
        </w:rPr>
        <w:t>無特殊氣味</w:t>
      </w:r>
      <w:r>
        <w:rPr>
          <w:rFonts w:ascii="標楷體" w:hAnsi="標楷體" w:eastAsia="標楷體"/>
          <w:sz w:val="28"/>
        </w:rPr>
        <w:t>、</w:t>
      </w:r>
      <w:r>
        <w:rPr>
          <w:rFonts w:ascii="標楷體" w:hAnsi="標楷體" w:eastAsia="標楷體"/>
          <w:sz w:val="28"/>
        </w:rPr>
        <w:t>語音低微</w:t>
      </w:r>
      <w:r>
        <w:rPr>
          <w:rFonts w:ascii="標楷體" w:hAnsi="標楷體" w:eastAsia="標楷體"/>
          <w:sz w:val="28"/>
        </w:rPr>
        <w:t>。</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問</w:t>
      </w:r>
      <w:r>
        <w:rPr>
          <w:rFonts w:eastAsia="標楷體" w:ascii="標楷體" w:hAnsi="標楷體"/>
          <w:sz w:val="28"/>
        </w:rPr>
        <w:t>:</w:t>
      </w:r>
      <w:r>
        <w:rPr>
          <w:rFonts w:eastAsia="標楷體" w:ascii="標楷體" w:hAnsi="標楷體"/>
        </w:rPr>
        <w:t xml:space="preserve"> </w:t>
      </w:r>
      <w:r>
        <w:rPr>
          <w:rFonts w:ascii="標楷體" w:hAnsi="標楷體" w:eastAsia="標楷體"/>
          <w:sz w:val="28"/>
        </w:rPr>
        <w:t>身重，大便正常</w:t>
      </w:r>
      <w:r>
        <w:rPr>
          <w:rFonts w:ascii="標楷體" w:hAnsi="標楷體" w:eastAsia="標楷體"/>
          <w:sz w:val="28"/>
        </w:rPr>
        <w:t>，</w:t>
      </w:r>
      <w:r>
        <w:rPr>
          <w:rFonts w:ascii="標楷體" w:hAnsi="標楷體" w:eastAsia="標楷體"/>
          <w:sz w:val="28"/>
        </w:rPr>
        <w:t>小便有泡沫</w:t>
      </w:r>
      <w:r>
        <w:rPr>
          <w:rFonts w:ascii="標楷體" w:hAnsi="標楷體" w:eastAsia="標楷體"/>
          <w:sz w:val="28"/>
        </w:rPr>
        <w:t>。</w:t>
      </w:r>
    </w:p>
    <w:p>
      <w:pPr>
        <w:pStyle w:val="Normal"/>
        <w:snapToGrid w:val="false"/>
        <w:spacing w:lineRule="atLeast" w:line="20"/>
        <w:jc w:val="both"/>
        <w:rPr/>
      </w:pPr>
      <w:r>
        <w:rPr>
          <w:rFonts w:eastAsia="標楷體" w:cs="標楷體" w:ascii="標楷體" w:hAnsi="標楷體"/>
          <w:sz w:val="28"/>
        </w:rPr>
        <w:t xml:space="preserve">    </w:t>
      </w:r>
      <w:r>
        <w:rPr>
          <w:rFonts w:ascii="標楷體" w:hAnsi="標楷體" w:eastAsia="標楷體"/>
          <w:sz w:val="28"/>
        </w:rPr>
        <w:t>切</w:t>
      </w:r>
      <w:r>
        <w:rPr>
          <w:rFonts w:eastAsia="標楷體" w:ascii="標楷體" w:hAnsi="標楷體"/>
          <w:sz w:val="28"/>
        </w:rPr>
        <w:t xml:space="preserve">: </w:t>
      </w:r>
      <w:r>
        <w:rPr>
          <w:rFonts w:ascii="標楷體" w:hAnsi="標楷體" w:eastAsia="標楷體"/>
          <w:sz w:val="28"/>
        </w:rPr>
        <w:t>沈滑</w:t>
      </w:r>
      <w:r>
        <w:rPr>
          <w:rFonts w:ascii="標楷體" w:hAnsi="標楷體" w:eastAsia="標楷體"/>
          <w:sz w:val="28"/>
        </w:rPr>
        <w:t>，</w:t>
      </w:r>
      <w:r>
        <w:rPr>
          <w:rFonts w:ascii="標楷體" w:hAnsi="標楷體" w:eastAsia="標楷體"/>
          <w:sz w:val="28"/>
        </w:rPr>
        <w:t>四肢冰冷</w:t>
      </w:r>
    </w:p>
    <w:p>
      <w:pPr>
        <w:pStyle w:val="Normal"/>
        <w:snapToGrid w:val="false"/>
        <w:spacing w:lineRule="atLeast" w:line="20"/>
        <w:jc w:val="both"/>
        <w:rPr>
          <w:rFonts w:ascii="標楷體" w:hAnsi="標楷體" w:eastAsia="標楷體"/>
          <w:sz w:val="28"/>
        </w:rPr>
      </w:pPr>
      <w:r>
        <w:rPr>
          <w:rFonts w:eastAsia="標楷體" w:cs="標楷體" w:ascii="標楷體" w:hAnsi="標楷體"/>
          <w:b/>
          <w:sz w:val="28"/>
        </w:rPr>
        <w:t xml:space="preserve">    </w:t>
      </w:r>
      <w:r>
        <w:rPr>
          <w:rFonts w:ascii="標楷體" w:hAnsi="標楷體" w:eastAsia="標楷體"/>
          <w:b/>
          <w:sz w:val="28"/>
        </w:rPr>
        <w:t>辨證</w:t>
      </w:r>
      <w:r>
        <w:rPr>
          <w:rFonts w:eastAsia="標楷體" w:ascii="標楷體" w:hAnsi="標楷體"/>
          <w:b/>
          <w:sz w:val="28"/>
        </w:rPr>
        <w:t>:</w:t>
      </w:r>
      <w:r>
        <w:rPr>
          <w:rFonts w:ascii="標楷體" w:hAnsi="標楷體" w:eastAsia="標楷體"/>
          <w:sz w:val="28"/>
        </w:rPr>
        <w:t>風水</w:t>
      </w:r>
    </w:p>
    <w:p>
      <w:pPr>
        <w:pStyle w:val="Normal"/>
        <w:snapToGrid w:val="false"/>
        <w:spacing w:lineRule="atLeast" w:line="20"/>
        <w:jc w:val="both"/>
        <w:rPr/>
      </w:pPr>
      <w:r>
        <w:rPr>
          <w:rFonts w:eastAsia="標楷體" w:cs="標楷體" w:ascii="標楷體" w:hAnsi="標楷體"/>
          <w:sz w:val="28"/>
        </w:rPr>
        <w:t xml:space="preserve">   </w:t>
      </w:r>
      <w:r>
        <w:rPr>
          <w:rFonts w:eastAsia="標楷體" w:cs="標楷體" w:ascii="標楷體" w:hAnsi="標楷體"/>
          <w:sz w:val="28"/>
        </w:rPr>
        <w:t xml:space="preserve"> </w:t>
      </w:r>
      <w:r>
        <w:rPr>
          <w:rFonts w:ascii="標楷體" w:hAnsi="標楷體" w:eastAsia="標楷體"/>
          <w:b/>
          <w:sz w:val="28"/>
        </w:rPr>
        <w:t>處方</w:t>
      </w:r>
      <w:r>
        <w:rPr>
          <w:rFonts w:eastAsia="標楷體" w:ascii="標楷體" w:hAnsi="標楷體"/>
          <w:sz w:val="28"/>
        </w:rPr>
        <w:t>;</w:t>
      </w:r>
      <w:r>
        <w:rPr>
          <w:rFonts w:eastAsia="標楷體" w:ascii="標楷體" w:hAnsi="標楷體"/>
        </w:rPr>
        <w:t xml:space="preserve"> </w:t>
      </w:r>
      <w:r>
        <w:rPr>
          <w:rFonts w:ascii="標楷體" w:hAnsi="標楷體" w:eastAsia="標楷體"/>
          <w:sz w:val="28"/>
        </w:rPr>
        <w:t>麻黃</w:t>
      </w:r>
      <w:r>
        <w:rPr>
          <w:rFonts w:ascii="標楷體" w:hAnsi="標楷體" w:eastAsia="標楷體"/>
          <w:sz w:val="20"/>
        </w:rPr>
        <w:t xml:space="preserve">一錢 </w:t>
      </w:r>
      <w:r>
        <w:rPr>
          <w:rFonts w:ascii="標楷體" w:hAnsi="標楷體" w:eastAsia="標楷體"/>
          <w:sz w:val="28"/>
        </w:rPr>
        <w:t>附子</w:t>
      </w:r>
      <w:r>
        <w:rPr>
          <w:rFonts w:ascii="標楷體" w:hAnsi="標楷體" w:eastAsia="標楷體"/>
          <w:sz w:val="20"/>
        </w:rPr>
        <w:t xml:space="preserve">一錢 </w:t>
      </w:r>
      <w:r>
        <w:rPr>
          <w:rFonts w:ascii="標楷體" w:hAnsi="標楷體" w:eastAsia="標楷體"/>
          <w:sz w:val="28"/>
        </w:rPr>
        <w:t>甘草</w:t>
      </w:r>
      <w:r>
        <w:rPr>
          <w:rFonts w:ascii="標楷體" w:hAnsi="標楷體" w:eastAsia="標楷體"/>
          <w:sz w:val="20"/>
        </w:rPr>
        <w:t xml:space="preserve">一錢 </w:t>
      </w:r>
      <w:r>
        <w:rPr>
          <w:rFonts w:ascii="標楷體" w:hAnsi="標楷體" w:eastAsia="標楷體"/>
          <w:sz w:val="28"/>
        </w:rPr>
        <w:t>石膏</w:t>
      </w:r>
      <w:r>
        <w:rPr>
          <w:rFonts w:ascii="標楷體" w:hAnsi="標楷體" w:eastAsia="標楷體"/>
          <w:sz w:val="20"/>
        </w:rPr>
        <w:t xml:space="preserve">三錢 </w:t>
      </w:r>
      <w:r>
        <w:rPr>
          <w:rFonts w:ascii="標楷體" w:hAnsi="標楷體" w:eastAsia="標楷體"/>
          <w:sz w:val="28"/>
        </w:rPr>
        <w:t>白朮</w:t>
      </w:r>
      <w:r>
        <w:rPr>
          <w:rFonts w:ascii="標楷體" w:hAnsi="標楷體" w:eastAsia="標楷體"/>
          <w:sz w:val="20"/>
        </w:rPr>
        <w:t xml:space="preserve">三錢 </w:t>
      </w:r>
      <w:r>
        <w:rPr>
          <w:rFonts w:ascii="標楷體" w:hAnsi="標楷體" w:eastAsia="標楷體"/>
          <w:sz w:val="28"/>
        </w:rPr>
        <w:t>茯苓</w:t>
      </w:r>
      <w:r>
        <w:rPr>
          <w:rFonts w:ascii="標楷體" w:hAnsi="標楷體" w:eastAsia="標楷體"/>
          <w:sz w:val="20"/>
        </w:rPr>
        <w:t xml:space="preserve">五錢 </w:t>
      </w:r>
      <w:r>
        <w:rPr>
          <w:rFonts w:ascii="標楷體" w:hAnsi="標楷體" w:eastAsia="標楷體"/>
          <w:sz w:val="28"/>
        </w:rPr>
        <w:t>白</w:t>
      </w:r>
    </w:p>
    <w:p>
      <w:pPr>
        <w:pStyle w:val="Normal"/>
        <w:snapToGrid w:val="false"/>
        <w:spacing w:lineRule="atLeast" w:line="20"/>
        <w:jc w:val="both"/>
        <w:rPr/>
      </w:pPr>
      <w:r>
        <w:rPr>
          <w:rFonts w:eastAsia="標楷體" w:cs="標楷體" w:ascii="標楷體" w:hAnsi="標楷體"/>
          <w:sz w:val="28"/>
        </w:rPr>
        <w:t xml:space="preserve">          </w:t>
      </w:r>
      <w:r>
        <w:rPr>
          <w:rFonts w:ascii="標楷體" w:hAnsi="標楷體" w:eastAsia="標楷體"/>
          <w:sz w:val="28"/>
        </w:rPr>
        <w:t>芍</w:t>
      </w:r>
      <w:r>
        <w:rPr>
          <w:rFonts w:ascii="標楷體" w:hAnsi="標楷體" w:eastAsia="標楷體"/>
          <w:sz w:val="20"/>
        </w:rPr>
        <w:t xml:space="preserve">三錢 </w:t>
      </w:r>
      <w:r>
        <w:rPr>
          <w:rFonts w:ascii="標楷體" w:hAnsi="標楷體" w:eastAsia="標楷體"/>
          <w:sz w:val="28"/>
        </w:rPr>
        <w:t>生薑</w:t>
      </w:r>
      <w:r>
        <w:rPr>
          <w:rFonts w:eastAsia="標楷體" w:ascii="標楷體" w:hAnsi="標楷體"/>
          <w:sz w:val="20"/>
        </w:rPr>
        <w:t>2</w:t>
      </w:r>
      <w:r>
        <w:rPr>
          <w:rFonts w:ascii="標楷體" w:hAnsi="標楷體" w:eastAsia="標楷體"/>
          <w:sz w:val="20"/>
        </w:rPr>
        <w:t xml:space="preserve">片 </w:t>
      </w:r>
      <w:r>
        <w:rPr>
          <w:rFonts w:ascii="標楷體" w:hAnsi="標楷體" w:eastAsia="標楷體"/>
          <w:sz w:val="28"/>
        </w:rPr>
        <w:t>桔梗</w:t>
      </w:r>
      <w:r>
        <w:rPr>
          <w:rFonts w:ascii="標楷體" w:hAnsi="標楷體" w:eastAsia="標楷體"/>
          <w:sz w:val="20"/>
        </w:rPr>
        <w:t xml:space="preserve">二錢 </w:t>
      </w:r>
      <w:r>
        <w:rPr>
          <w:rFonts w:ascii="標楷體" w:hAnsi="標楷體" w:eastAsia="標楷體"/>
          <w:sz w:val="28"/>
        </w:rPr>
        <w:t>厚朴</w:t>
      </w:r>
      <w:r>
        <w:rPr>
          <w:rFonts w:ascii="標楷體" w:hAnsi="標楷體" w:eastAsia="標楷體"/>
          <w:sz w:val="20"/>
        </w:rPr>
        <w:t xml:space="preserve">二錢 </w:t>
      </w:r>
      <w:r>
        <w:rPr>
          <w:rFonts w:ascii="標楷體" w:hAnsi="標楷體" w:eastAsia="標楷體"/>
          <w:sz w:val="28"/>
        </w:rPr>
        <w:t>桂枝</w:t>
      </w:r>
      <w:r>
        <w:rPr>
          <w:rFonts w:ascii="標楷體" w:hAnsi="標楷體" w:eastAsia="標楷體"/>
          <w:sz w:val="20"/>
        </w:rPr>
        <w:t xml:space="preserve">一錢 </w:t>
      </w:r>
      <w:r>
        <w:rPr>
          <w:rFonts w:ascii="標楷體" w:hAnsi="標楷體" w:eastAsia="標楷體"/>
          <w:sz w:val="28"/>
        </w:rPr>
        <w:t>桑白皮</w:t>
      </w:r>
      <w:r>
        <w:rPr>
          <w:rFonts w:ascii="標楷體" w:hAnsi="標楷體" w:eastAsia="標楷體"/>
          <w:sz w:val="20"/>
        </w:rPr>
        <w:t>二錢</w:t>
      </w:r>
      <w:r>
        <w:rPr>
          <w:rFonts w:ascii="標楷體" w:hAnsi="標楷體" w:eastAsia="標楷體"/>
          <w:sz w:val="28"/>
        </w:rPr>
        <w:t>。</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另加桑菊飲沖服</w:t>
      </w:r>
    </w:p>
    <w:p>
      <w:pPr>
        <w:pStyle w:val="Normal"/>
        <w:snapToGrid w:val="false"/>
        <w:spacing w:lineRule="atLeast" w:line="20"/>
        <w:jc w:val="both"/>
        <w:rPr/>
      </w:pPr>
      <w:r>
        <w:rPr>
          <w:rFonts w:eastAsia="標楷體" w:cs="標楷體" w:ascii="標楷體" w:hAnsi="標楷體"/>
          <w:sz w:val="28"/>
        </w:rPr>
        <w:t xml:space="preserve">  </w:t>
      </w:r>
      <w:r>
        <w:rPr>
          <w:rFonts w:eastAsia="標楷體" w:cs="標楷體" w:ascii="標楷體" w:hAnsi="標楷體"/>
          <w:b/>
          <w:sz w:val="28"/>
        </w:rPr>
        <w:t xml:space="preserve">  </w:t>
      </w:r>
      <w:r>
        <w:rPr>
          <w:rFonts w:ascii="標楷體" w:hAnsi="標楷體" w:eastAsia="標楷體"/>
          <w:b/>
          <w:sz w:val="28"/>
        </w:rPr>
        <w:t>辨證用藥分析</w:t>
      </w:r>
      <w:r>
        <w:rPr>
          <w:rFonts w:eastAsia="標楷體" w:ascii="標楷體" w:hAnsi="標楷體"/>
          <w:b/>
          <w:sz w:val="28"/>
        </w:rPr>
        <w:t>:</w:t>
      </w:r>
    </w:p>
    <w:p>
      <w:pPr>
        <w:pStyle w:val="Normal"/>
        <w:overflowPunct w:val="false"/>
        <w:autoSpaceDE w:val="false"/>
        <w:snapToGrid w:val="false"/>
        <w:spacing w:lineRule="atLeast" w:line="20"/>
        <w:jc w:val="both"/>
        <w:rPr/>
      </w:pPr>
      <w:r>
        <w:rPr>
          <w:rFonts w:eastAsia="標楷體" w:cs="標楷體" w:ascii="標楷體" w:hAnsi="標楷體"/>
          <w:sz w:val="28"/>
        </w:rPr>
        <w:t xml:space="preserve">    </w:t>
      </w:r>
      <w:r>
        <w:rPr>
          <w:rFonts w:ascii="標楷體" w:hAnsi="標楷體" w:eastAsia="標楷體"/>
          <w:sz w:val="28"/>
        </w:rPr>
        <w:t>患者住院後，開始服用濃縮中藥，唯其利尿效果不似先前明顯，每天體重平均下降</w:t>
      </w:r>
      <w:r>
        <w:rPr>
          <w:rFonts w:eastAsia="標楷體" w:ascii="標楷體" w:hAnsi="標楷體"/>
          <w:sz w:val="28"/>
        </w:rPr>
        <w:t>0.4</w:t>
      </w:r>
      <w:r>
        <w:rPr>
          <w:rFonts w:ascii="標楷體" w:hAnsi="標楷體" w:eastAsia="標楷體"/>
          <w:sz w:val="28"/>
        </w:rPr>
        <w:t>公斤（可能為先前使用水煎藥的結果</w:t>
      </w:r>
      <w:r>
        <w:rPr>
          <w:rFonts w:eastAsia="標楷體" w:ascii="標楷體" w:hAnsi="標楷體"/>
          <w:sz w:val="28"/>
        </w:rPr>
        <w:t>)</w:t>
      </w:r>
      <w:r>
        <w:rPr>
          <w:rFonts w:ascii="標楷體" w:hAnsi="標楷體" w:eastAsia="標楷體"/>
          <w:sz w:val="28"/>
        </w:rPr>
        <w:t>，遂改用水煎藥。於一月三日發現患者體重出現不降反升的情形。</w:t>
      </w:r>
    </w:p>
    <w:p>
      <w:pPr>
        <w:pStyle w:val="Normal"/>
        <w:overflowPunct w:val="false"/>
        <w:autoSpaceDE w:val="false"/>
        <w:snapToGrid w:val="false"/>
        <w:spacing w:lineRule="atLeast" w:line="20"/>
        <w:jc w:val="both"/>
        <w:rPr/>
      </w:pPr>
      <w:r>
        <w:rPr>
          <w:rFonts w:eastAsia="標楷體" w:cs="標楷體" w:ascii="標楷體" w:hAnsi="標楷體"/>
          <w:sz w:val="28"/>
        </w:rPr>
        <w:t xml:space="preserve">    </w:t>
      </w:r>
      <w:r>
        <w:rPr>
          <w:rFonts w:ascii="標楷體" w:hAnsi="標楷體" w:eastAsia="標楷體"/>
          <w:sz w:val="28"/>
        </w:rPr>
        <w:t>患者畏寒、手腳冰冷、面白形寒等見症，有陽虛的情形。水濕氾濫的情形，除了風水之外，亦應有陽虛水泛的影響。</w:t>
      </w:r>
      <w:r>
        <w:rPr>
          <w:rFonts w:eastAsia="標楷體" w:ascii="標楷體" w:hAnsi="標楷體"/>
          <w:sz w:val="28"/>
        </w:rPr>
        <w:t>&lt;&lt;</w:t>
      </w:r>
      <w:r>
        <w:rPr>
          <w:rFonts w:ascii="標楷體" w:hAnsi="標楷體" w:eastAsia="標楷體"/>
          <w:sz w:val="28"/>
        </w:rPr>
        <w:t>傷寒論</w:t>
      </w:r>
      <w:r>
        <w:rPr>
          <w:rFonts w:eastAsia="標楷體" w:ascii="標楷體" w:hAnsi="標楷體"/>
          <w:sz w:val="28"/>
        </w:rPr>
        <w:t>&gt;&gt;:</w:t>
      </w:r>
      <w:r>
        <w:rPr>
          <w:rFonts w:ascii="標楷體" w:hAnsi="標楷體" w:eastAsia="標楷體"/>
          <w:sz w:val="28"/>
        </w:rPr>
        <w:t>「</w:t>
      </w:r>
      <w:r>
        <w:rPr>
          <w:rFonts w:ascii="標楷體" w:hAnsi="標楷體" w:cs="MS Sans Serif;Arial" w:eastAsia="標楷體"/>
          <w:sz w:val="28"/>
        </w:rPr>
        <w:t>少陰病，得之二、三日，麻黃附子甘草湯微發汗。</w:t>
      </w:r>
      <w:r>
        <w:rPr>
          <w:rFonts w:ascii="標楷體" w:hAnsi="標楷體" w:eastAsia="標楷體"/>
          <w:sz w:val="28"/>
        </w:rPr>
        <w:t>」，除仍沿用越婢五苓散之方藥之外，更加上附子溫補腎陽，以表裡兼治，另外加厚朴理氣袪濕。</w:t>
      </w:r>
    </w:p>
    <w:p>
      <w:pPr>
        <w:pStyle w:val="Normal"/>
        <w:overflowPunct w:val="false"/>
        <w:autoSpaceDE w:val="false"/>
        <w:snapToGrid w:val="false"/>
        <w:spacing w:lineRule="atLeast" w:line="20"/>
        <w:jc w:val="both"/>
        <w:rPr/>
      </w:pPr>
      <w:r>
        <w:rPr>
          <w:rFonts w:eastAsia="標楷體" w:cs="標楷體" w:ascii="標楷體" w:hAnsi="標楷體"/>
          <w:sz w:val="28"/>
        </w:rPr>
        <w:t xml:space="preserve">    </w:t>
      </w:r>
      <w:r>
        <w:rPr>
          <w:rFonts w:ascii="標楷體" w:hAnsi="標楷體" w:eastAsia="標楷體"/>
          <w:sz w:val="28"/>
        </w:rPr>
        <w:t>【</w:t>
      </w:r>
      <w:r>
        <w:rPr>
          <w:rFonts w:eastAsia="標楷體" w:ascii="標楷體" w:hAnsi="標楷體"/>
          <w:sz w:val="28"/>
        </w:rPr>
        <w:t>1998:1.3</w:t>
      </w:r>
      <w:r>
        <w:rPr>
          <w:rFonts w:eastAsia="標楷體" w:ascii="標楷體" w:hAnsi="標楷體"/>
          <w:sz w:val="28"/>
        </w:rPr>
        <w:t>-</w:t>
      </w:r>
      <w:r>
        <w:rPr>
          <w:rFonts w:eastAsia="標楷體" w:ascii="標楷體" w:hAnsi="標楷體"/>
          <w:sz w:val="28"/>
        </w:rPr>
        <w:t>1</w:t>
      </w:r>
      <w:r>
        <w:rPr>
          <w:rFonts w:eastAsia="標楷體" w:ascii="標楷體" w:hAnsi="標楷體"/>
          <w:sz w:val="28"/>
        </w:rPr>
        <w:t>.7</w:t>
      </w:r>
      <w:r>
        <w:rPr>
          <w:rFonts w:ascii="標楷體" w:hAnsi="標楷體" w:eastAsia="標楷體"/>
          <w:sz w:val="28"/>
        </w:rPr>
        <w:t>】</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望</w:t>
      </w:r>
      <w:r>
        <w:rPr>
          <w:rFonts w:eastAsia="標楷體" w:ascii="標楷體" w:hAnsi="標楷體"/>
          <w:sz w:val="28"/>
        </w:rPr>
        <w:t>:</w:t>
      </w:r>
      <w:r>
        <w:rPr>
          <w:rFonts w:ascii="標楷體" w:hAnsi="標楷體" w:eastAsia="標楷體"/>
          <w:sz w:val="28"/>
        </w:rPr>
        <w:t>舌嫩鮮紅苔少</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聞</w:t>
      </w:r>
      <w:r>
        <w:rPr>
          <w:rFonts w:eastAsia="標楷體" w:ascii="標楷體" w:hAnsi="標楷體"/>
          <w:sz w:val="28"/>
        </w:rPr>
        <w:t>:</w:t>
      </w:r>
      <w:r>
        <w:rPr>
          <w:rFonts w:ascii="標楷體" w:hAnsi="標楷體" w:eastAsia="標楷體"/>
          <w:sz w:val="28"/>
        </w:rPr>
        <w:t>無特殊氣味，語音低微。</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問</w:t>
      </w:r>
      <w:r>
        <w:rPr>
          <w:rFonts w:eastAsia="標楷體" w:ascii="標楷體" w:hAnsi="標楷體"/>
          <w:sz w:val="28"/>
        </w:rPr>
        <w:t>:</w:t>
      </w:r>
      <w:r>
        <w:rPr>
          <w:rFonts w:ascii="標楷體" w:hAnsi="標楷體" w:eastAsia="標楷體"/>
          <w:sz w:val="28"/>
        </w:rPr>
        <w:t>咳嗽症狀已有減輕，足跗腫緊，夜尤甚，微覺胸悶。</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切</w:t>
      </w:r>
      <w:r>
        <w:rPr>
          <w:rFonts w:eastAsia="標楷體" w:ascii="標楷體" w:hAnsi="標楷體"/>
          <w:sz w:val="28"/>
        </w:rPr>
        <w:t xml:space="preserve">: </w:t>
      </w:r>
      <w:r>
        <w:rPr>
          <w:rFonts w:ascii="標楷體" w:hAnsi="標楷體" w:eastAsia="標楷體"/>
          <w:sz w:val="28"/>
        </w:rPr>
        <w:t>寸關滑數，尺沈。</w:t>
      </w:r>
    </w:p>
    <w:p>
      <w:pPr>
        <w:pStyle w:val="Normal"/>
        <w:snapToGrid w:val="false"/>
        <w:spacing w:lineRule="atLeast" w:line="20"/>
        <w:jc w:val="both"/>
        <w:rPr/>
      </w:pPr>
      <w:r>
        <w:rPr>
          <w:rFonts w:eastAsia="標楷體" w:cs="標楷體" w:ascii="標楷體" w:hAnsi="標楷體"/>
          <w:b/>
          <w:sz w:val="28"/>
        </w:rPr>
        <w:t xml:space="preserve">    </w:t>
      </w:r>
      <w:r>
        <w:rPr>
          <w:rFonts w:ascii="標楷體" w:hAnsi="標楷體" w:eastAsia="標楷體"/>
          <w:b/>
          <w:sz w:val="28"/>
        </w:rPr>
        <w:t>辨證</w:t>
      </w:r>
      <w:r>
        <w:rPr>
          <w:rFonts w:eastAsia="標楷體" w:ascii="標楷體" w:hAnsi="標楷體"/>
          <w:b/>
          <w:sz w:val="28"/>
        </w:rPr>
        <w:t>:</w:t>
      </w:r>
      <w:r>
        <w:rPr>
          <w:rFonts w:ascii="標楷體" w:hAnsi="標楷體" w:eastAsia="標楷體"/>
          <w:sz w:val="28"/>
        </w:rPr>
        <w:t>風水</w:t>
      </w:r>
      <w:r>
        <w:rPr>
          <w:rFonts w:eastAsia="標楷體" w:ascii="標楷體" w:hAnsi="標楷體"/>
          <w:sz w:val="28"/>
        </w:rPr>
        <w:t>(</w:t>
      </w:r>
      <w:r>
        <w:rPr>
          <w:rFonts w:ascii="標楷體" w:hAnsi="標楷體" w:eastAsia="標楷體"/>
          <w:sz w:val="28"/>
        </w:rPr>
        <w:t>疑腎陽虛，水濕氾濫</w:t>
      </w:r>
      <w:r>
        <w:rPr>
          <w:rFonts w:eastAsia="標楷體" w:ascii="標楷體" w:hAnsi="標楷體"/>
          <w:sz w:val="28"/>
        </w:rPr>
        <w:t>)</w:t>
      </w:r>
    </w:p>
    <w:p>
      <w:pPr>
        <w:pStyle w:val="Normal"/>
        <w:snapToGrid w:val="false"/>
        <w:spacing w:lineRule="atLeast" w:line="20"/>
        <w:jc w:val="both"/>
        <w:rPr>
          <w:rFonts w:ascii="標楷體" w:hAnsi="標楷體" w:eastAsia="標楷體"/>
          <w:b/>
          <w:b/>
          <w:sz w:val="32"/>
        </w:rPr>
      </w:pPr>
      <w:r>
        <w:rPr>
          <w:rFonts w:eastAsia="標楷體" w:cs="標楷體" w:ascii="標楷體" w:hAnsi="標楷體"/>
          <w:b/>
          <w:sz w:val="32"/>
        </w:rPr>
        <w:t xml:space="preserve"> </w:t>
      </w:r>
      <w:r>
        <w:rPr>
          <w:rFonts w:eastAsia="標楷體" w:cs="標楷體" w:ascii="標楷體" w:hAnsi="標楷體"/>
          <w:b/>
          <w:sz w:val="28"/>
        </w:rPr>
        <w:t xml:space="preserve">   </w:t>
      </w:r>
      <w:r>
        <w:rPr>
          <w:rFonts w:ascii="標楷體" w:hAnsi="標楷體" w:eastAsia="標楷體"/>
          <w:b/>
          <w:sz w:val="28"/>
        </w:rPr>
        <w:t>處方</w:t>
      </w:r>
      <w:r>
        <w:rPr>
          <w:rFonts w:eastAsia="標楷體" w:ascii="標楷體" w:hAnsi="標楷體"/>
          <w:b/>
          <w:sz w:val="28"/>
        </w:rPr>
        <w:t>:</w:t>
      </w:r>
      <w:r>
        <w:rPr>
          <w:rFonts w:eastAsia="標楷體" w:ascii="標楷體" w:hAnsi="標楷體"/>
          <w:sz w:val="28"/>
        </w:rPr>
        <w:t xml:space="preserve"> </w:t>
      </w:r>
    </w:p>
    <w:p>
      <w:pPr>
        <w:pStyle w:val="Normal"/>
        <w:snapToGrid w:val="false"/>
        <w:spacing w:lineRule="atLeast" w:line="20"/>
        <w:jc w:val="both"/>
        <w:rPr>
          <w:rFonts w:ascii="標楷體" w:hAnsi="標楷體" w:eastAsia="標楷體"/>
          <w:sz w:val="28"/>
        </w:rPr>
      </w:pPr>
      <w:r>
        <w:rPr>
          <w:rFonts w:eastAsia="標楷體" w:cs="標楷體" w:ascii="標楷體" w:hAnsi="標楷體"/>
          <w:b/>
          <w:sz w:val="28"/>
        </w:rPr>
        <w:t xml:space="preserve">    </w:t>
      </w:r>
      <w:r>
        <w:rPr>
          <w:rFonts w:ascii="標楷體" w:hAnsi="標楷體" w:eastAsia="標楷體"/>
          <w:sz w:val="28"/>
        </w:rPr>
        <w:t>麻黃</w:t>
      </w:r>
      <w:r>
        <w:rPr>
          <w:rFonts w:ascii="標楷體" w:hAnsi="標楷體" w:eastAsia="標楷體"/>
          <w:sz w:val="20"/>
        </w:rPr>
        <w:t xml:space="preserve">錢半 </w:t>
      </w:r>
      <w:r>
        <w:rPr>
          <w:rFonts w:ascii="標楷體" w:hAnsi="標楷體" w:eastAsia="標楷體"/>
          <w:sz w:val="28"/>
        </w:rPr>
        <w:t>附子</w:t>
      </w:r>
      <w:r>
        <w:rPr>
          <w:rFonts w:ascii="標楷體" w:hAnsi="標楷體" w:eastAsia="標楷體"/>
          <w:sz w:val="20"/>
        </w:rPr>
        <w:t xml:space="preserve">一錢 </w:t>
      </w:r>
      <w:r>
        <w:rPr>
          <w:rFonts w:ascii="標楷體" w:hAnsi="標楷體" w:eastAsia="標楷體"/>
          <w:sz w:val="28"/>
        </w:rPr>
        <w:t>甘草</w:t>
      </w:r>
      <w:r>
        <w:rPr>
          <w:rFonts w:ascii="標楷體" w:hAnsi="標楷體" w:eastAsia="標楷體"/>
          <w:sz w:val="20"/>
        </w:rPr>
        <w:t xml:space="preserve">一錢 </w:t>
      </w:r>
      <w:r>
        <w:rPr>
          <w:rFonts w:ascii="標楷體" w:hAnsi="標楷體" w:eastAsia="標楷體"/>
          <w:sz w:val="28"/>
        </w:rPr>
        <w:t>石膏</w:t>
      </w:r>
      <w:r>
        <w:rPr>
          <w:rFonts w:ascii="標楷體" w:hAnsi="標楷體" w:eastAsia="標楷體"/>
          <w:sz w:val="20"/>
        </w:rPr>
        <w:t xml:space="preserve">五錢 </w:t>
      </w:r>
      <w:r>
        <w:rPr>
          <w:rFonts w:ascii="標楷體" w:hAnsi="標楷體" w:eastAsia="標楷體"/>
          <w:sz w:val="28"/>
        </w:rPr>
        <w:t>白朮</w:t>
      </w:r>
      <w:r>
        <w:rPr>
          <w:rFonts w:ascii="標楷體" w:hAnsi="標楷體" w:eastAsia="標楷體"/>
          <w:sz w:val="20"/>
        </w:rPr>
        <w:t xml:space="preserve">三錢 </w:t>
      </w:r>
      <w:r>
        <w:rPr>
          <w:rFonts w:ascii="標楷體" w:hAnsi="標楷體" w:eastAsia="標楷體"/>
          <w:sz w:val="28"/>
        </w:rPr>
        <w:t>茯苓</w:t>
      </w:r>
      <w:r>
        <w:rPr>
          <w:rFonts w:ascii="標楷體" w:hAnsi="標楷體" w:eastAsia="標楷體"/>
          <w:sz w:val="20"/>
        </w:rPr>
        <w:t xml:space="preserve">五錢 </w:t>
      </w:r>
      <w:r>
        <w:rPr>
          <w:rFonts w:ascii="標楷體" w:hAnsi="標楷體" w:eastAsia="標楷體"/>
          <w:sz w:val="28"/>
        </w:rPr>
        <w:t>白芍</w:t>
      </w:r>
      <w:r>
        <w:rPr>
          <w:rFonts w:ascii="標楷體" w:hAnsi="標楷體" w:eastAsia="標楷體"/>
          <w:sz w:val="20"/>
        </w:rPr>
        <w:t xml:space="preserve">三錢 </w:t>
      </w:r>
    </w:p>
    <w:p>
      <w:pPr>
        <w:pStyle w:val="Normal"/>
        <w:snapToGrid w:val="false"/>
        <w:spacing w:lineRule="atLeast" w:line="20"/>
        <w:jc w:val="both"/>
        <w:rPr/>
      </w:pPr>
      <w:r>
        <w:rPr>
          <w:rFonts w:eastAsia="標楷體" w:cs="標楷體" w:ascii="標楷體" w:hAnsi="標楷體"/>
          <w:sz w:val="28"/>
        </w:rPr>
        <w:t xml:space="preserve">    </w:t>
      </w:r>
      <w:r>
        <w:rPr>
          <w:rFonts w:ascii="標楷體" w:hAnsi="標楷體" w:eastAsia="標楷體"/>
          <w:sz w:val="28"/>
        </w:rPr>
        <w:t>生薑</w:t>
      </w:r>
      <w:r>
        <w:rPr>
          <w:rFonts w:eastAsia="標楷體" w:ascii="標楷體" w:hAnsi="標楷體"/>
          <w:sz w:val="28"/>
        </w:rPr>
        <w:t>2</w:t>
      </w:r>
      <w:r>
        <w:rPr>
          <w:rFonts w:ascii="標楷體" w:hAnsi="標楷體" w:eastAsia="標楷體"/>
          <w:sz w:val="28"/>
        </w:rPr>
        <w:t>片 桔梗</w:t>
      </w:r>
      <w:r>
        <w:rPr>
          <w:rFonts w:ascii="標楷體" w:hAnsi="標楷體" w:eastAsia="標楷體"/>
          <w:sz w:val="20"/>
        </w:rPr>
        <w:t xml:space="preserve">二錢 </w:t>
      </w:r>
      <w:r>
        <w:rPr>
          <w:rFonts w:ascii="標楷體" w:hAnsi="標楷體" w:eastAsia="標楷體"/>
          <w:sz w:val="28"/>
        </w:rPr>
        <w:t>厚朴</w:t>
      </w:r>
      <w:r>
        <w:rPr>
          <w:rFonts w:ascii="標楷體" w:hAnsi="標楷體" w:eastAsia="標楷體"/>
          <w:sz w:val="20"/>
        </w:rPr>
        <w:t xml:space="preserve">二錢 </w:t>
      </w:r>
      <w:r>
        <w:rPr>
          <w:rFonts w:ascii="標楷體" w:hAnsi="標楷體" w:eastAsia="標楷體"/>
          <w:sz w:val="28"/>
        </w:rPr>
        <w:t>桂枝</w:t>
      </w:r>
      <w:r>
        <w:rPr>
          <w:rFonts w:ascii="標楷體" w:hAnsi="標楷體" w:eastAsia="標楷體"/>
          <w:sz w:val="20"/>
        </w:rPr>
        <w:t xml:space="preserve">一錢 </w:t>
      </w:r>
      <w:r>
        <w:rPr>
          <w:rFonts w:ascii="標楷體" w:hAnsi="標楷體" w:eastAsia="標楷體"/>
          <w:sz w:val="28"/>
        </w:rPr>
        <w:t>桑白皮</w:t>
      </w:r>
      <w:r>
        <w:rPr>
          <w:rFonts w:ascii="標楷體" w:hAnsi="標楷體" w:eastAsia="標楷體"/>
          <w:sz w:val="20"/>
        </w:rPr>
        <w:t xml:space="preserve">二錢 </w:t>
      </w:r>
      <w:r>
        <w:rPr>
          <w:rFonts w:ascii="標楷體" w:hAnsi="標楷體" w:eastAsia="標楷體"/>
          <w:sz w:val="28"/>
        </w:rPr>
        <w:t>大棗</w:t>
      </w:r>
      <w:r>
        <w:rPr>
          <w:rFonts w:eastAsia="標楷體" w:ascii="標楷體" w:hAnsi="標楷體"/>
          <w:sz w:val="28"/>
        </w:rPr>
        <w:t>3</w:t>
      </w:r>
      <w:r>
        <w:rPr>
          <w:rFonts w:ascii="標楷體" w:hAnsi="標楷體" w:eastAsia="標楷體"/>
          <w:sz w:val="28"/>
        </w:rPr>
        <w:t xml:space="preserve">個  </w:t>
      </w:r>
    </w:p>
    <w:p>
      <w:pPr>
        <w:pStyle w:val="Normal"/>
        <w:snapToGrid w:val="false"/>
        <w:spacing w:lineRule="atLeast" w:line="20"/>
        <w:jc w:val="both"/>
        <w:rPr/>
      </w:pPr>
      <w:r>
        <w:rPr>
          <w:rFonts w:eastAsia="標楷體" w:cs="標楷體" w:ascii="標楷體" w:hAnsi="標楷體"/>
          <w:sz w:val="28"/>
        </w:rPr>
        <w:t xml:space="preserve">    </w:t>
      </w:r>
      <w:r>
        <w:rPr>
          <w:rFonts w:ascii="標楷體" w:hAnsi="標楷體" w:eastAsia="標楷體"/>
          <w:sz w:val="28"/>
        </w:rPr>
        <w:t>車前子</w:t>
      </w:r>
      <w:r>
        <w:rPr>
          <w:rFonts w:ascii="標楷體" w:hAnsi="標楷體" w:eastAsia="標楷體"/>
          <w:sz w:val="20"/>
        </w:rPr>
        <w:t xml:space="preserve">二錢 </w:t>
      </w:r>
      <w:r>
        <w:rPr>
          <w:rFonts w:ascii="標楷體" w:hAnsi="標楷體" w:eastAsia="標楷體"/>
          <w:sz w:val="28"/>
        </w:rPr>
        <w:t>澤瀉</w:t>
      </w:r>
      <w:r>
        <w:rPr>
          <w:rFonts w:ascii="標楷體" w:hAnsi="標楷體" w:eastAsia="標楷體"/>
          <w:sz w:val="20"/>
        </w:rPr>
        <w:t xml:space="preserve">二錢 </w:t>
      </w:r>
      <w:r>
        <w:rPr>
          <w:rFonts w:ascii="標楷體" w:hAnsi="標楷體" w:eastAsia="標楷體"/>
          <w:sz w:val="28"/>
        </w:rPr>
        <w:t>地龍</w:t>
      </w:r>
      <w:r>
        <w:rPr>
          <w:rFonts w:ascii="標楷體" w:hAnsi="標楷體" w:eastAsia="標楷體"/>
          <w:sz w:val="20"/>
        </w:rPr>
        <w:t xml:space="preserve">二錢 </w:t>
      </w:r>
      <w:r>
        <w:rPr>
          <w:rFonts w:ascii="標楷體" w:hAnsi="標楷體" w:eastAsia="標楷體"/>
          <w:sz w:val="28"/>
        </w:rPr>
        <w:t>銀花</w:t>
      </w:r>
      <w:r>
        <w:rPr>
          <w:rFonts w:ascii="標楷體" w:hAnsi="標楷體" w:eastAsia="標楷體"/>
          <w:sz w:val="20"/>
        </w:rPr>
        <w:t xml:space="preserve">三錢 </w:t>
      </w:r>
      <w:r>
        <w:rPr>
          <w:rFonts w:ascii="標楷體" w:hAnsi="標楷體" w:eastAsia="標楷體"/>
          <w:sz w:val="28"/>
        </w:rPr>
        <w:t>杏仁</w:t>
      </w:r>
      <w:r>
        <w:rPr>
          <w:rFonts w:ascii="標楷體" w:hAnsi="標楷體" w:eastAsia="標楷體"/>
          <w:sz w:val="20"/>
        </w:rPr>
        <w:t>二錢</w:t>
      </w:r>
      <w:r>
        <w:rPr>
          <w:rFonts w:ascii="標楷體" w:hAnsi="標楷體" w:eastAsia="標楷體"/>
          <w:sz w:val="28"/>
        </w:rPr>
        <w:t>。</w:t>
      </w:r>
    </w:p>
    <w:p>
      <w:pPr>
        <w:pStyle w:val="Normal"/>
        <w:snapToGrid w:val="false"/>
        <w:spacing w:lineRule="atLeast" w:line="20"/>
        <w:jc w:val="both"/>
        <w:rPr>
          <w:rFonts w:ascii="標楷體" w:hAnsi="標楷體" w:eastAsia="標楷體"/>
          <w:b/>
          <w:b/>
          <w:sz w:val="28"/>
        </w:rPr>
      </w:pPr>
      <w:r>
        <w:rPr>
          <w:rFonts w:eastAsia="標楷體" w:cs="標楷體" w:ascii="標楷體" w:hAnsi="標楷體"/>
          <w:sz w:val="28"/>
        </w:rPr>
        <w:t xml:space="preserve">    </w:t>
      </w:r>
      <w:r>
        <w:rPr>
          <w:rFonts w:ascii="標楷體" w:hAnsi="標楷體" w:eastAsia="標楷體"/>
          <w:sz w:val="28"/>
        </w:rPr>
        <w:t>濃縮藥粉：射干麻黃湯</w:t>
      </w:r>
      <w:r>
        <w:rPr>
          <w:rFonts w:eastAsia="標楷體" w:ascii="標楷體" w:hAnsi="標楷體"/>
          <w:sz w:val="28"/>
        </w:rPr>
        <w:t xml:space="preserve">2.5 </w:t>
      </w:r>
      <w:r>
        <w:rPr>
          <w:rFonts w:ascii="標楷體" w:hAnsi="標楷體" w:eastAsia="標楷體"/>
          <w:sz w:val="28"/>
        </w:rPr>
        <w:t>止嗽散</w:t>
      </w:r>
      <w:r>
        <w:rPr>
          <w:rFonts w:eastAsia="標楷體" w:ascii="標楷體" w:hAnsi="標楷體"/>
          <w:sz w:val="28"/>
        </w:rPr>
        <w:t xml:space="preserve">1.5  </w:t>
      </w:r>
      <w:r>
        <w:rPr>
          <w:rFonts w:ascii="標楷體" w:hAnsi="標楷體" w:eastAsia="標楷體"/>
          <w:sz w:val="28"/>
        </w:rPr>
        <w:t>間隔服用（一日三次）</w:t>
      </w:r>
    </w:p>
    <w:p>
      <w:pPr>
        <w:pStyle w:val="Normal"/>
        <w:snapToGrid w:val="false"/>
        <w:spacing w:lineRule="atLeast" w:line="20"/>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辨證用藥分析</w:t>
      </w:r>
      <w:r>
        <w:rPr>
          <w:rFonts w:eastAsia="標楷體" w:ascii="標楷體" w:hAnsi="標楷體"/>
          <w:b/>
          <w:sz w:val="28"/>
        </w:rPr>
        <w:t>:</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為加強利水效果，故在上方之基礎上加上車前子、澤瀉、地龍等利濕藥，並加上銀花、杏仁等輕宣肺衛之藥。並用射干麻黃湯、止嗽散等辛溫宣肺之方，以治療咳嗽。</w:t>
      </w:r>
    </w:p>
    <w:p>
      <w:pPr>
        <w:pStyle w:val="Normal"/>
        <w:snapToGrid w:val="false"/>
        <w:spacing w:lineRule="atLeast" w:line="20"/>
        <w:jc w:val="both"/>
        <w:rPr/>
      </w:pPr>
      <w:r>
        <w:rPr>
          <w:rFonts w:eastAsia="標楷體" w:cs="標楷體" w:ascii="標楷體" w:hAnsi="標楷體"/>
          <w:sz w:val="28"/>
        </w:rPr>
        <w:t xml:space="preserve">   </w:t>
      </w:r>
      <w:r>
        <w:rPr>
          <w:rFonts w:ascii="標楷體" w:hAnsi="標楷體" w:eastAsia="標楷體"/>
          <w:sz w:val="28"/>
        </w:rPr>
        <w:t>【</w:t>
      </w:r>
      <w:r>
        <w:rPr>
          <w:rFonts w:eastAsia="標楷體" w:ascii="標楷體" w:hAnsi="標楷體"/>
          <w:sz w:val="28"/>
        </w:rPr>
        <w:t>1998:1.8</w:t>
      </w:r>
      <w:r>
        <w:rPr>
          <w:rFonts w:eastAsia="標楷體" w:ascii="標楷體" w:hAnsi="標楷體"/>
          <w:sz w:val="28"/>
        </w:rPr>
        <w:t>-</w:t>
      </w:r>
      <w:r>
        <w:rPr>
          <w:rFonts w:eastAsia="標楷體" w:ascii="標楷體" w:hAnsi="標楷體"/>
          <w:sz w:val="28"/>
        </w:rPr>
        <w:t>1</w:t>
      </w:r>
      <w:r>
        <w:rPr>
          <w:rFonts w:eastAsia="標楷體" w:ascii="標楷體" w:hAnsi="標楷體"/>
          <w:sz w:val="28"/>
        </w:rPr>
        <w:t>.</w:t>
      </w:r>
      <w:r>
        <w:rPr>
          <w:rFonts w:eastAsia="標楷體" w:ascii="標楷體" w:hAnsi="標楷體"/>
          <w:sz w:val="28"/>
        </w:rPr>
        <w:t>11</w:t>
      </w:r>
      <w:r>
        <w:rPr>
          <w:rFonts w:ascii="標楷體" w:hAnsi="標楷體" w:eastAsia="標楷體"/>
          <w:sz w:val="28"/>
        </w:rPr>
        <w:t>】</w:t>
      </w:r>
    </w:p>
    <w:p>
      <w:pPr>
        <w:pStyle w:val="Normal"/>
        <w:snapToGrid w:val="false"/>
        <w:spacing w:lineRule="atLeast" w:line="20"/>
        <w:jc w:val="both"/>
        <w:rPr/>
      </w:pPr>
      <w:r>
        <w:rPr>
          <w:rFonts w:eastAsia="標楷體" w:cs="標楷體" w:ascii="標楷體" w:hAnsi="標楷體"/>
          <w:sz w:val="28"/>
        </w:rPr>
        <w:t xml:space="preserve">    </w:t>
      </w:r>
      <w:r>
        <w:rPr>
          <w:rFonts w:ascii="標楷體" w:hAnsi="標楷體" w:eastAsia="標楷體"/>
          <w:sz w:val="28"/>
        </w:rPr>
        <w:t>主訴</w:t>
      </w:r>
      <w:r>
        <w:rPr>
          <w:rFonts w:eastAsia="標楷體" w:ascii="標楷體" w:hAnsi="標楷體"/>
          <w:sz w:val="28"/>
        </w:rPr>
        <w:t>;</w:t>
      </w:r>
      <w:r>
        <w:rPr>
          <w:rFonts w:eastAsia="標楷體" w:ascii="標楷體" w:hAnsi="標楷體"/>
        </w:rPr>
        <w:t xml:space="preserve"> </w:t>
      </w:r>
      <w:r>
        <w:rPr>
          <w:rFonts w:ascii="標楷體" w:hAnsi="標楷體" w:eastAsia="標楷體"/>
          <w:sz w:val="28"/>
        </w:rPr>
        <w:t>咳嗽，咳後腹痛，下肢仍水腫。</w:t>
      </w:r>
    </w:p>
    <w:p>
      <w:pPr>
        <w:pStyle w:val="Normal"/>
        <w:snapToGrid w:val="false"/>
        <w:spacing w:lineRule="atLeast" w:line="20"/>
        <w:jc w:val="both"/>
        <w:rPr/>
      </w:pPr>
      <w:r>
        <w:rPr>
          <w:rFonts w:eastAsia="標楷體" w:cs="標楷體" w:ascii="標楷體" w:hAnsi="標楷體"/>
          <w:sz w:val="28"/>
        </w:rPr>
        <w:t xml:space="preserve">    </w:t>
      </w:r>
      <w:r>
        <w:rPr>
          <w:rFonts w:ascii="標楷體" w:hAnsi="標楷體" w:eastAsia="標楷體"/>
          <w:sz w:val="28"/>
        </w:rPr>
        <w:t>望</w:t>
      </w:r>
      <w:r>
        <w:rPr>
          <w:rFonts w:eastAsia="標楷體" w:ascii="標楷體" w:hAnsi="標楷體"/>
          <w:sz w:val="28"/>
        </w:rPr>
        <w:t>:</w:t>
      </w:r>
      <w:r>
        <w:rPr>
          <w:rFonts w:eastAsia="標楷體" w:ascii="標楷體" w:hAnsi="標楷體"/>
        </w:rPr>
        <w:t xml:space="preserve"> </w:t>
      </w:r>
      <w:r>
        <w:rPr>
          <w:rFonts w:ascii="標楷體" w:hAnsi="標楷體" w:eastAsia="標楷體"/>
          <w:sz w:val="28"/>
        </w:rPr>
        <w:t>舌質紅，少苔，舌面乾。</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聞</w:t>
      </w:r>
      <w:r>
        <w:rPr>
          <w:rFonts w:eastAsia="標楷體" w:ascii="標楷體" w:hAnsi="標楷體"/>
          <w:sz w:val="28"/>
        </w:rPr>
        <w:t>:</w:t>
      </w:r>
      <w:r>
        <w:rPr>
          <w:rFonts w:ascii="標楷體" w:hAnsi="標楷體" w:eastAsia="標楷體"/>
          <w:sz w:val="28"/>
        </w:rPr>
        <w:t>語音仍低微。</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問</w:t>
      </w:r>
      <w:r>
        <w:rPr>
          <w:rFonts w:eastAsia="標楷體" w:ascii="標楷體" w:hAnsi="標楷體"/>
          <w:sz w:val="28"/>
        </w:rPr>
        <w:t>:</w:t>
      </w:r>
      <w:r>
        <w:rPr>
          <w:rFonts w:ascii="標楷體" w:hAnsi="標楷體" w:eastAsia="標楷體"/>
          <w:sz w:val="28"/>
        </w:rPr>
        <w:t>手腳冰冷，口乾喜熱飲，偶陣咳無痰。</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切</w:t>
      </w:r>
      <w:r>
        <w:rPr>
          <w:rFonts w:eastAsia="標楷體" w:ascii="標楷體" w:hAnsi="標楷體"/>
          <w:sz w:val="28"/>
        </w:rPr>
        <w:t>:</w:t>
      </w:r>
      <w:r>
        <w:rPr>
          <w:rFonts w:eastAsia="標楷體" w:ascii="標楷體" w:hAnsi="標楷體"/>
        </w:rPr>
        <w:t xml:space="preserve"> </w:t>
      </w:r>
      <w:r>
        <w:rPr>
          <w:rFonts w:ascii="標楷體" w:hAnsi="標楷體" w:eastAsia="標楷體"/>
          <w:sz w:val="28"/>
        </w:rPr>
        <w:t>左沈滑數，右寸關滑，尺沈。</w:t>
      </w:r>
      <w:r>
        <w:rPr>
          <w:rFonts w:ascii="標楷體" w:hAnsi="標楷體" w:eastAsia="標楷體"/>
        </w:rPr>
        <w:t xml:space="preserve"> </w:t>
      </w:r>
    </w:p>
    <w:p>
      <w:pPr>
        <w:pStyle w:val="Normal"/>
        <w:snapToGrid w:val="false"/>
        <w:spacing w:lineRule="atLeast" w:line="20"/>
        <w:jc w:val="both"/>
        <w:rPr>
          <w:rFonts w:ascii="標楷體" w:hAnsi="標楷體" w:eastAsia="標楷體"/>
          <w:sz w:val="28"/>
        </w:rPr>
      </w:pPr>
      <w:r>
        <w:rPr>
          <w:rFonts w:eastAsia="標楷體" w:cs="標楷體" w:ascii="標楷體" w:hAnsi="標楷體"/>
          <w:b/>
          <w:sz w:val="28"/>
        </w:rPr>
        <w:t xml:space="preserve">    </w:t>
      </w:r>
      <w:r>
        <w:rPr>
          <w:rFonts w:ascii="標楷體" w:hAnsi="標楷體" w:eastAsia="標楷體"/>
          <w:b/>
          <w:sz w:val="28"/>
        </w:rPr>
        <w:t>辨證</w:t>
      </w:r>
      <w:r>
        <w:rPr>
          <w:rFonts w:eastAsia="標楷體" w:ascii="標楷體" w:hAnsi="標楷體"/>
          <w:b/>
          <w:sz w:val="28"/>
        </w:rPr>
        <w:t>:</w:t>
      </w:r>
      <w:r>
        <w:rPr>
          <w:rFonts w:ascii="標楷體" w:hAnsi="標楷體" w:eastAsia="標楷體"/>
          <w:sz w:val="28"/>
        </w:rPr>
        <w:t>風水</w:t>
      </w:r>
    </w:p>
    <w:p>
      <w:pPr>
        <w:pStyle w:val="Normal"/>
        <w:snapToGrid w:val="false"/>
        <w:spacing w:lineRule="atLeast" w:line="20"/>
        <w:jc w:val="both"/>
        <w:rPr>
          <w:rFonts w:ascii="標楷體" w:hAnsi="標楷體" w:eastAsia="標楷體"/>
          <w:sz w:val="28"/>
        </w:rPr>
      </w:pPr>
      <w:r>
        <w:rPr>
          <w:rFonts w:eastAsia="標楷體" w:cs="標楷體" w:ascii="標楷體" w:hAnsi="標楷體"/>
          <w:b/>
          <w:sz w:val="32"/>
        </w:rPr>
        <w:t xml:space="preserve"> </w:t>
      </w:r>
      <w:r>
        <w:rPr>
          <w:rFonts w:eastAsia="標楷體" w:cs="標楷體" w:ascii="標楷體" w:hAnsi="標楷體"/>
          <w:b/>
          <w:sz w:val="28"/>
        </w:rPr>
        <w:t xml:space="preserve">   </w:t>
      </w:r>
      <w:r>
        <w:rPr>
          <w:rFonts w:ascii="標楷體" w:hAnsi="標楷體" w:eastAsia="標楷體"/>
          <w:b/>
          <w:sz w:val="28"/>
        </w:rPr>
        <w:t>處方</w:t>
      </w:r>
      <w:r>
        <w:rPr>
          <w:rFonts w:eastAsia="標楷體" w:ascii="標楷體" w:hAnsi="標楷體"/>
          <w:b/>
          <w:sz w:val="28"/>
        </w:rPr>
        <w:t>:</w:t>
      </w:r>
    </w:p>
    <w:p>
      <w:pPr>
        <w:pStyle w:val="Normal"/>
        <w:snapToGrid w:val="false"/>
        <w:spacing w:lineRule="atLeast" w:line="20"/>
        <w:jc w:val="both"/>
        <w:rPr/>
      </w:pPr>
      <w:r>
        <w:rPr>
          <w:rFonts w:eastAsia="標楷體" w:cs="標楷體" w:ascii="標楷體" w:hAnsi="標楷體"/>
          <w:sz w:val="28"/>
        </w:rPr>
        <w:t xml:space="preserve">    </w:t>
      </w:r>
      <w:r>
        <w:rPr>
          <w:rFonts w:ascii="標楷體" w:hAnsi="標楷體" w:eastAsia="標楷體"/>
          <w:sz w:val="28"/>
        </w:rPr>
        <w:t>麻黃</w:t>
      </w:r>
      <w:r>
        <w:rPr>
          <w:rFonts w:ascii="標楷體" w:hAnsi="標楷體" w:eastAsia="標楷體"/>
          <w:sz w:val="20"/>
        </w:rPr>
        <w:t xml:space="preserve">一錢 </w:t>
      </w:r>
      <w:r>
        <w:rPr>
          <w:rFonts w:ascii="標楷體" w:hAnsi="標楷體" w:eastAsia="標楷體"/>
          <w:sz w:val="28"/>
        </w:rPr>
        <w:t>杏仁</w:t>
      </w:r>
      <w:r>
        <w:rPr>
          <w:rFonts w:ascii="標楷體" w:hAnsi="標楷體" w:eastAsia="標楷體"/>
          <w:sz w:val="20"/>
        </w:rPr>
        <w:t xml:space="preserve">二錢 </w:t>
      </w:r>
      <w:r>
        <w:rPr>
          <w:rFonts w:ascii="標楷體" w:hAnsi="標楷體" w:eastAsia="標楷體"/>
          <w:sz w:val="28"/>
        </w:rPr>
        <w:t>石膏</w:t>
      </w:r>
      <w:r>
        <w:rPr>
          <w:rFonts w:ascii="標楷體" w:hAnsi="標楷體" w:eastAsia="標楷體"/>
          <w:sz w:val="20"/>
        </w:rPr>
        <w:t>三錢</w:t>
      </w:r>
      <w:r>
        <w:rPr>
          <w:rFonts w:ascii="標楷體" w:hAnsi="標楷體" w:eastAsia="標楷體"/>
          <w:sz w:val="28"/>
        </w:rPr>
        <w:t>（先煎） 甘草</w:t>
      </w:r>
      <w:r>
        <w:rPr>
          <w:rFonts w:ascii="標楷體" w:hAnsi="標楷體" w:eastAsia="標楷體"/>
          <w:sz w:val="20"/>
        </w:rPr>
        <w:t xml:space="preserve">一錢 </w:t>
      </w:r>
      <w:r>
        <w:rPr>
          <w:rFonts w:ascii="標楷體" w:hAnsi="標楷體" w:eastAsia="標楷體"/>
          <w:sz w:val="28"/>
        </w:rPr>
        <w:t>白朮</w:t>
      </w:r>
      <w:r>
        <w:rPr>
          <w:rFonts w:ascii="標楷體" w:hAnsi="標楷體" w:eastAsia="標楷體"/>
          <w:sz w:val="20"/>
        </w:rPr>
        <w:t xml:space="preserve">三錢 </w:t>
      </w:r>
      <w:r>
        <w:rPr>
          <w:rFonts w:ascii="標楷體" w:hAnsi="標楷體" w:eastAsia="標楷體"/>
          <w:sz w:val="28"/>
        </w:rPr>
        <w:t>茯苓</w:t>
      </w:r>
      <w:r>
        <w:rPr>
          <w:rFonts w:ascii="標楷體" w:hAnsi="標楷體" w:eastAsia="標楷體"/>
          <w:sz w:val="20"/>
        </w:rPr>
        <w:t>五錢</w:t>
      </w:r>
      <w:r>
        <w:rPr>
          <w:rFonts w:ascii="標楷體" w:hAnsi="標楷體" w:eastAsia="標楷體"/>
          <w:sz w:val="28"/>
        </w:rPr>
        <w:t xml:space="preserve"> </w:t>
      </w:r>
    </w:p>
    <w:p>
      <w:pPr>
        <w:pStyle w:val="Normal"/>
        <w:snapToGrid w:val="false"/>
        <w:spacing w:lineRule="atLeast" w:line="20"/>
        <w:jc w:val="both"/>
        <w:rPr/>
      </w:pPr>
      <w:r>
        <w:rPr>
          <w:rFonts w:eastAsia="標楷體" w:cs="標楷體" w:ascii="標楷體" w:hAnsi="標楷體"/>
          <w:sz w:val="28"/>
        </w:rPr>
        <w:t xml:space="preserve">    </w:t>
      </w:r>
      <w:r>
        <w:rPr>
          <w:rFonts w:ascii="標楷體" w:hAnsi="標楷體" w:eastAsia="標楷體"/>
          <w:sz w:val="28"/>
        </w:rPr>
        <w:t>豬苓</w:t>
      </w:r>
      <w:r>
        <w:rPr>
          <w:rFonts w:ascii="標楷體" w:hAnsi="標楷體" w:eastAsia="標楷體"/>
          <w:sz w:val="20"/>
        </w:rPr>
        <w:t xml:space="preserve">三錢 </w:t>
      </w:r>
      <w:r>
        <w:rPr>
          <w:rFonts w:ascii="標楷體" w:hAnsi="標楷體" w:eastAsia="標楷體"/>
          <w:sz w:val="28"/>
        </w:rPr>
        <w:t>桂枝</w:t>
      </w:r>
      <w:r>
        <w:rPr>
          <w:rFonts w:ascii="標楷體" w:hAnsi="標楷體" w:eastAsia="標楷體"/>
          <w:sz w:val="20"/>
        </w:rPr>
        <w:t xml:space="preserve">二錢 </w:t>
      </w:r>
      <w:r>
        <w:rPr>
          <w:rFonts w:ascii="標楷體" w:hAnsi="標楷體" w:eastAsia="標楷體"/>
          <w:sz w:val="28"/>
        </w:rPr>
        <w:t>澤瀉</w:t>
      </w:r>
      <w:r>
        <w:rPr>
          <w:rFonts w:ascii="標楷體" w:hAnsi="標楷體" w:eastAsia="標楷體"/>
          <w:sz w:val="20"/>
        </w:rPr>
        <w:t xml:space="preserve">三錢 </w:t>
      </w:r>
      <w:r>
        <w:rPr>
          <w:rFonts w:ascii="標楷體" w:hAnsi="標楷體" w:eastAsia="標楷體"/>
          <w:sz w:val="28"/>
        </w:rPr>
        <w:t>桑白皮</w:t>
      </w:r>
      <w:r>
        <w:rPr>
          <w:rFonts w:ascii="標楷體" w:hAnsi="標楷體" w:eastAsia="標楷體"/>
          <w:sz w:val="20"/>
        </w:rPr>
        <w:t xml:space="preserve">二錢 </w:t>
      </w:r>
      <w:r>
        <w:rPr>
          <w:rFonts w:ascii="標楷體" w:hAnsi="標楷體" w:eastAsia="標楷體"/>
          <w:sz w:val="28"/>
        </w:rPr>
        <w:t>生薑</w:t>
      </w:r>
      <w:r>
        <w:rPr>
          <w:rFonts w:eastAsia="標楷體" w:ascii="標楷體" w:hAnsi="標楷體"/>
          <w:sz w:val="20"/>
        </w:rPr>
        <w:t>2</w:t>
      </w:r>
      <w:r>
        <w:rPr>
          <w:rFonts w:ascii="標楷體" w:hAnsi="標楷體" w:eastAsia="標楷體"/>
          <w:sz w:val="20"/>
        </w:rPr>
        <w:t xml:space="preserve">片 </w:t>
      </w:r>
      <w:r>
        <w:rPr>
          <w:rFonts w:ascii="標楷體" w:hAnsi="標楷體" w:eastAsia="標楷體"/>
          <w:sz w:val="28"/>
        </w:rPr>
        <w:t>大棗</w:t>
      </w:r>
      <w:r>
        <w:rPr>
          <w:rFonts w:eastAsia="標楷體" w:ascii="標楷體" w:hAnsi="標楷體"/>
          <w:sz w:val="20"/>
        </w:rPr>
        <w:t>2</w:t>
      </w:r>
      <w:r>
        <w:rPr>
          <w:rFonts w:ascii="標楷體" w:hAnsi="標楷體" w:eastAsia="標楷體"/>
          <w:sz w:val="20"/>
        </w:rPr>
        <w:t xml:space="preserve">個 </w:t>
      </w:r>
      <w:r>
        <w:rPr>
          <w:rFonts w:ascii="標楷體" w:hAnsi="標楷體" w:eastAsia="標楷體"/>
          <w:sz w:val="28"/>
        </w:rPr>
        <w:t>車前子</w:t>
      </w:r>
      <w:r>
        <w:rPr>
          <w:rFonts w:ascii="標楷體" w:hAnsi="標楷體" w:eastAsia="標楷體"/>
          <w:sz w:val="20"/>
        </w:rPr>
        <w:t>二</w:t>
      </w:r>
    </w:p>
    <w:p>
      <w:pPr>
        <w:pStyle w:val="Normal"/>
        <w:snapToGrid w:val="false"/>
        <w:spacing w:lineRule="atLeast" w:line="20"/>
        <w:jc w:val="both"/>
        <w:rPr>
          <w:rFonts w:ascii="標楷體" w:hAnsi="標楷體" w:eastAsia="標楷體"/>
          <w:sz w:val="28"/>
        </w:rPr>
      </w:pPr>
      <w:r>
        <w:rPr>
          <w:rFonts w:eastAsia="標楷體" w:cs="標楷體" w:ascii="標楷體" w:hAnsi="標楷體"/>
          <w:sz w:val="20"/>
        </w:rPr>
        <w:t xml:space="preserve">      </w:t>
      </w:r>
      <w:r>
        <w:rPr>
          <w:rFonts w:ascii="標楷體" w:hAnsi="標楷體" w:eastAsia="標楷體"/>
          <w:sz w:val="20"/>
        </w:rPr>
        <w:t xml:space="preserve">錢 </w:t>
      </w:r>
      <w:r>
        <w:rPr>
          <w:rFonts w:ascii="標楷體" w:hAnsi="標楷體" w:eastAsia="標楷體"/>
          <w:sz w:val="28"/>
        </w:rPr>
        <w:t>地龍</w:t>
      </w:r>
      <w:r>
        <w:rPr>
          <w:rFonts w:ascii="標楷體" w:hAnsi="標楷體" w:eastAsia="標楷體"/>
          <w:sz w:val="20"/>
        </w:rPr>
        <w:t xml:space="preserve">二錢 </w:t>
      </w:r>
      <w:r>
        <w:rPr>
          <w:rFonts w:ascii="標楷體" w:hAnsi="標楷體" w:eastAsia="標楷體"/>
          <w:sz w:val="28"/>
        </w:rPr>
        <w:t>銀花</w:t>
      </w:r>
      <w:r>
        <w:rPr>
          <w:rFonts w:ascii="標楷體" w:hAnsi="標楷體" w:eastAsia="標楷體"/>
          <w:sz w:val="20"/>
        </w:rPr>
        <w:t xml:space="preserve">二錢 </w:t>
      </w:r>
      <w:r>
        <w:rPr>
          <w:rFonts w:ascii="標楷體" w:hAnsi="標楷體" w:eastAsia="標楷體"/>
          <w:sz w:val="28"/>
        </w:rPr>
        <w:t>連翹</w:t>
      </w:r>
      <w:r>
        <w:rPr>
          <w:rFonts w:ascii="標楷體" w:hAnsi="標楷體" w:eastAsia="標楷體"/>
          <w:sz w:val="20"/>
        </w:rPr>
        <w:t>二錢</w:t>
      </w:r>
      <w:r>
        <w:rPr>
          <w:rFonts w:ascii="標楷體" w:hAnsi="標楷體" w:eastAsia="標楷體"/>
          <w:sz w:val="28"/>
        </w:rPr>
        <w:t>。</w:t>
      </w:r>
    </w:p>
    <w:p>
      <w:pPr>
        <w:pStyle w:val="Normal"/>
        <w:snapToGrid w:val="false"/>
        <w:spacing w:lineRule="atLeast" w:line="20"/>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辨證用藥分析</w:t>
      </w:r>
      <w:r>
        <w:rPr>
          <w:rFonts w:eastAsia="標楷體" w:ascii="標楷體" w:hAnsi="標楷體"/>
          <w:b/>
          <w:sz w:val="28"/>
        </w:rPr>
        <w:t>:</w:t>
      </w:r>
    </w:p>
    <w:p>
      <w:pPr>
        <w:pStyle w:val="Normal"/>
        <w:snapToGrid w:val="false"/>
        <w:spacing w:lineRule="atLeast" w:line="20"/>
        <w:jc w:val="both"/>
        <w:rPr/>
      </w:pPr>
      <w:r>
        <w:rPr>
          <w:rFonts w:eastAsia="標楷體" w:cs="標楷體" w:ascii="標楷體" w:hAnsi="標楷體"/>
          <w:sz w:val="28"/>
        </w:rPr>
        <w:t xml:space="preserve">    </w:t>
      </w:r>
      <w:r>
        <w:rPr>
          <w:rFonts w:ascii="標楷體" w:hAnsi="標楷體" w:eastAsia="標楷體"/>
          <w:sz w:val="28"/>
        </w:rPr>
        <w:t>雖然本患者有陽虛的見證，因此加入附子，但其體重下降情形並不如預期，再仔細觀察，其雖有陽虛情形，但精神表現尚可，活動力亦佳，且未出現喘悸等症，知其虛象並不如想像中嚴重。根據正氣尚存，先袪其邪的治療原則底下，於是將溫陽藥去除，仍沿用越婢五苓散的方向治療，加上車錢子、地龍等利濕藥，並加上銀花、連翹等輕宣肺衛之藥。</w:t>
      </w:r>
    </w:p>
    <w:p>
      <w:pPr>
        <w:pStyle w:val="Normal"/>
        <w:snapToGrid w:val="false"/>
        <w:spacing w:lineRule="atLeast" w:line="20"/>
        <w:jc w:val="both"/>
        <w:rPr/>
      </w:pPr>
      <w:r>
        <w:rPr>
          <w:rFonts w:eastAsia="標楷體" w:cs="標楷體" w:ascii="標楷體" w:hAnsi="標楷體"/>
          <w:sz w:val="28"/>
        </w:rPr>
        <w:t xml:space="preserve">   </w:t>
      </w:r>
      <w:r>
        <w:rPr>
          <w:rFonts w:ascii="標楷體" w:hAnsi="標楷體" w:eastAsia="標楷體"/>
          <w:sz w:val="28"/>
        </w:rPr>
        <w:t>【</w:t>
      </w:r>
      <w:r>
        <w:rPr>
          <w:rFonts w:eastAsia="標楷體" w:ascii="標楷體" w:hAnsi="標楷體"/>
          <w:sz w:val="28"/>
        </w:rPr>
        <w:t>1998:1.12</w:t>
      </w:r>
      <w:r>
        <w:rPr>
          <w:rFonts w:eastAsia="標楷體" w:ascii="標楷體" w:hAnsi="標楷體"/>
          <w:sz w:val="28"/>
        </w:rPr>
        <w:t>-</w:t>
      </w:r>
      <w:r>
        <w:rPr>
          <w:rFonts w:eastAsia="標楷體" w:ascii="標楷體" w:hAnsi="標楷體"/>
          <w:sz w:val="28"/>
        </w:rPr>
        <w:t>1</w:t>
      </w:r>
      <w:r>
        <w:rPr>
          <w:rFonts w:eastAsia="標楷體" w:ascii="標楷體" w:hAnsi="標楷體"/>
          <w:sz w:val="28"/>
        </w:rPr>
        <w:t>.</w:t>
      </w:r>
      <w:r>
        <w:rPr>
          <w:rFonts w:eastAsia="標楷體" w:ascii="標楷體" w:hAnsi="標楷體"/>
          <w:sz w:val="28"/>
        </w:rPr>
        <w:t>15</w:t>
      </w:r>
      <w:r>
        <w:rPr>
          <w:rFonts w:ascii="標楷體" w:hAnsi="標楷體" w:eastAsia="標楷體"/>
          <w:sz w:val="28"/>
        </w:rPr>
        <w:t>】</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望</w:t>
      </w:r>
      <w:r>
        <w:rPr>
          <w:rFonts w:eastAsia="標楷體" w:ascii="標楷體" w:hAnsi="標楷體"/>
          <w:sz w:val="28"/>
        </w:rPr>
        <w:t xml:space="preserve">: </w:t>
      </w:r>
      <w:r>
        <w:rPr>
          <w:rFonts w:ascii="標楷體" w:hAnsi="標楷體" w:eastAsia="標楷體"/>
          <w:sz w:val="28"/>
        </w:rPr>
        <w:t>面白，唇白，舌紅乾、薄黃苔，面有憂容。</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聞</w:t>
      </w:r>
      <w:r>
        <w:rPr>
          <w:rFonts w:eastAsia="標楷體" w:ascii="標楷體" w:hAnsi="標楷體"/>
          <w:sz w:val="28"/>
        </w:rPr>
        <w:t>:</w:t>
      </w:r>
      <w:r>
        <w:rPr>
          <w:rFonts w:ascii="標楷體" w:hAnsi="標楷體" w:eastAsia="標楷體"/>
          <w:sz w:val="28"/>
        </w:rPr>
        <w:t>無特殊氣味。</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問</w:t>
      </w:r>
      <w:r>
        <w:rPr>
          <w:rFonts w:eastAsia="標楷體" w:ascii="標楷體" w:hAnsi="標楷體"/>
          <w:sz w:val="28"/>
        </w:rPr>
        <w:t>:</w:t>
      </w:r>
      <w:r>
        <w:rPr>
          <w:rFonts w:ascii="標楷體" w:hAnsi="標楷體" w:eastAsia="標楷體"/>
          <w:sz w:val="28"/>
        </w:rPr>
        <w:t>咳嗽減輕，倦怠感，夜尿，口乾不欲飲。</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切</w:t>
      </w:r>
      <w:r>
        <w:rPr>
          <w:rFonts w:eastAsia="標楷體" w:ascii="標楷體" w:hAnsi="標楷體"/>
          <w:sz w:val="28"/>
        </w:rPr>
        <w:t>:</w:t>
      </w:r>
      <w:r>
        <w:rPr>
          <w:rFonts w:ascii="標楷體" w:hAnsi="標楷體" w:eastAsia="標楷體"/>
          <w:sz w:val="28"/>
        </w:rPr>
        <w:t>脈沉滑數</w:t>
      </w:r>
    </w:p>
    <w:p>
      <w:pPr>
        <w:pStyle w:val="Normal"/>
        <w:snapToGrid w:val="false"/>
        <w:spacing w:lineRule="atLeast" w:line="20"/>
        <w:jc w:val="both"/>
        <w:rPr>
          <w:rFonts w:ascii="標楷體" w:hAnsi="標楷體" w:eastAsia="標楷體"/>
          <w:sz w:val="28"/>
        </w:rPr>
      </w:pPr>
      <w:r>
        <w:rPr>
          <w:rFonts w:eastAsia="標楷體" w:cs="標楷體" w:ascii="標楷體" w:hAnsi="標楷體"/>
          <w:b/>
          <w:sz w:val="28"/>
        </w:rPr>
        <w:t xml:space="preserve">    </w:t>
      </w:r>
      <w:r>
        <w:rPr>
          <w:rFonts w:ascii="標楷體" w:hAnsi="標楷體" w:eastAsia="標楷體"/>
          <w:b/>
          <w:sz w:val="28"/>
        </w:rPr>
        <w:t>辨證</w:t>
      </w:r>
      <w:r>
        <w:rPr>
          <w:rFonts w:eastAsia="標楷體" w:ascii="標楷體" w:hAnsi="標楷體"/>
          <w:b/>
          <w:sz w:val="28"/>
        </w:rPr>
        <w:t>:</w:t>
      </w:r>
      <w:r>
        <w:rPr>
          <w:rFonts w:ascii="標楷體" w:hAnsi="標楷體" w:eastAsia="標楷體"/>
          <w:sz w:val="28"/>
        </w:rPr>
        <w:t xml:space="preserve">風水、肝鬱   </w:t>
      </w:r>
    </w:p>
    <w:p>
      <w:pPr>
        <w:pStyle w:val="Normal"/>
        <w:snapToGrid w:val="false"/>
        <w:spacing w:lineRule="atLeast" w:line="20"/>
        <w:jc w:val="both"/>
        <w:rPr/>
      </w:pPr>
      <w:r>
        <w:rPr>
          <w:rFonts w:eastAsia="標楷體" w:cs="標楷體" w:ascii="標楷體" w:hAnsi="標楷體"/>
          <w:b/>
          <w:sz w:val="32"/>
        </w:rPr>
        <w:t xml:space="preserve"> </w:t>
      </w:r>
      <w:r>
        <w:rPr>
          <w:rFonts w:eastAsia="標楷體" w:cs="標楷體" w:ascii="標楷體" w:hAnsi="標楷體"/>
          <w:b/>
          <w:sz w:val="28"/>
        </w:rPr>
        <w:t xml:space="preserve">   </w:t>
      </w:r>
      <w:r>
        <w:rPr>
          <w:rFonts w:ascii="標楷體" w:hAnsi="標楷體" w:eastAsia="標楷體"/>
          <w:b/>
          <w:sz w:val="28"/>
        </w:rPr>
        <w:t>處方</w:t>
      </w:r>
      <w:r>
        <w:rPr>
          <w:rFonts w:eastAsia="標楷體" w:ascii="標楷體" w:hAnsi="標楷體"/>
          <w:b/>
          <w:sz w:val="28"/>
        </w:rPr>
        <w:t>:</w:t>
      </w:r>
      <w:r>
        <w:rPr>
          <w:rFonts w:ascii="標楷體" w:hAnsi="標楷體" w:eastAsia="標楷體"/>
          <w:sz w:val="28"/>
        </w:rPr>
        <w:t>上方加扁豆</w:t>
      </w:r>
      <w:r>
        <w:rPr>
          <w:rFonts w:ascii="標楷體" w:hAnsi="標楷體" w:eastAsia="標楷體"/>
          <w:sz w:val="20"/>
        </w:rPr>
        <w:t>二錢</w:t>
      </w:r>
      <w:r>
        <w:rPr>
          <w:rFonts w:eastAsia="標楷體" w:ascii="標楷體" w:hAnsi="標楷體"/>
          <w:sz w:val="28"/>
        </w:rPr>
        <w:t>,</w:t>
      </w:r>
      <w:r>
        <w:rPr>
          <w:rFonts w:ascii="標楷體" w:hAnsi="標楷體" w:eastAsia="標楷體"/>
          <w:sz w:val="28"/>
        </w:rPr>
        <w:t>薏苡仁</w:t>
      </w:r>
      <w:r>
        <w:rPr>
          <w:rFonts w:ascii="標楷體" w:hAnsi="標楷體" w:eastAsia="標楷體"/>
          <w:sz w:val="20"/>
        </w:rPr>
        <w:t>二錢</w:t>
      </w:r>
      <w:r>
        <w:rPr>
          <w:rFonts w:eastAsia="標楷體" w:ascii="標楷體" w:hAnsi="標楷體"/>
          <w:sz w:val="28"/>
        </w:rPr>
        <w:t>,</w:t>
      </w:r>
      <w:r>
        <w:rPr>
          <w:rFonts w:ascii="標楷體" w:hAnsi="標楷體" w:eastAsia="標楷體"/>
          <w:sz w:val="28"/>
        </w:rPr>
        <w:t>山藥</w:t>
      </w:r>
      <w:r>
        <w:rPr>
          <w:rFonts w:ascii="標楷體" w:hAnsi="標楷體" w:eastAsia="標楷體"/>
          <w:sz w:val="20"/>
        </w:rPr>
        <w:t>三錢</w:t>
      </w:r>
      <w:r>
        <w:rPr>
          <w:rFonts w:eastAsia="標楷體" w:ascii="標楷體" w:hAnsi="標楷體"/>
          <w:sz w:val="28"/>
        </w:rPr>
        <w:t>,</w:t>
      </w:r>
      <w:r>
        <w:rPr>
          <w:rFonts w:ascii="標楷體" w:hAnsi="標楷體" w:eastAsia="標楷體"/>
          <w:sz w:val="28"/>
        </w:rPr>
        <w:t>柴胡</w:t>
      </w:r>
      <w:r>
        <w:rPr>
          <w:rFonts w:ascii="標楷體" w:hAnsi="標楷體" w:eastAsia="標楷體"/>
          <w:sz w:val="20"/>
        </w:rPr>
        <w:t>二錢</w:t>
      </w:r>
      <w:r>
        <w:rPr>
          <w:rFonts w:eastAsia="標楷體" w:ascii="標楷體" w:hAnsi="標楷體"/>
          <w:sz w:val="28"/>
        </w:rPr>
        <w:t>,</w:t>
      </w:r>
      <w:r>
        <w:rPr>
          <w:rFonts w:ascii="標楷體" w:hAnsi="標楷體" w:eastAsia="標楷體"/>
          <w:sz w:val="28"/>
        </w:rPr>
        <w:t>黃芩</w:t>
      </w:r>
      <w:r>
        <w:rPr>
          <w:rFonts w:ascii="標楷體" w:hAnsi="標楷體" w:eastAsia="標楷體"/>
          <w:sz w:val="20"/>
        </w:rPr>
        <w:t>二錢</w:t>
      </w:r>
      <w:r>
        <w:rPr>
          <w:rFonts w:eastAsia="標楷體" w:ascii="標楷體" w:hAnsi="標楷體"/>
          <w:sz w:val="28"/>
        </w:rPr>
        <w:t>,</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枳殼</w:t>
      </w:r>
      <w:r>
        <w:rPr>
          <w:rFonts w:ascii="標楷體" w:hAnsi="標楷體" w:eastAsia="標楷體"/>
          <w:sz w:val="20"/>
        </w:rPr>
        <w:t>二錢</w:t>
      </w:r>
    </w:p>
    <w:p>
      <w:pPr>
        <w:pStyle w:val="Normal"/>
        <w:snapToGrid w:val="false"/>
        <w:spacing w:lineRule="atLeast" w:line="20"/>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辨證用藥分析</w:t>
      </w:r>
      <w:r>
        <w:rPr>
          <w:rFonts w:eastAsia="標楷體" w:ascii="標楷體" w:hAnsi="標楷體"/>
          <w:b/>
          <w:sz w:val="28"/>
        </w:rPr>
        <w:t>:</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至此，患者之體重經過以上用藥之後，又呈下降狀態，此時發現患者苔稍薄黃、口乾、面有憂容、知有肝鬱的情形，且熱象漸露，故加疏肝清熱之藥。</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w:t>
      </w:r>
      <w:r>
        <w:rPr>
          <w:rFonts w:eastAsia="標楷體" w:ascii="標楷體" w:hAnsi="標楷體"/>
          <w:sz w:val="28"/>
        </w:rPr>
        <w:t>1998:1.15.10pm</w:t>
      </w:r>
      <w:r>
        <w:rPr>
          <w:rFonts w:ascii="標楷體" w:hAnsi="標楷體" w:eastAsia="標楷體"/>
          <w:sz w:val="28"/>
        </w:rPr>
        <w:t>】</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主訴：服藥後約</w:t>
      </w:r>
      <w:r>
        <w:rPr>
          <w:rFonts w:eastAsia="標楷體" w:ascii="標楷體" w:hAnsi="標楷體"/>
          <w:sz w:val="28"/>
        </w:rPr>
        <w:t>2</w:t>
      </w:r>
      <w:r>
        <w:rPr>
          <w:rFonts w:ascii="標楷體" w:hAnsi="標楷體" w:eastAsia="標楷體"/>
          <w:sz w:val="28"/>
        </w:rPr>
        <w:t xml:space="preserve">分鐘吐之，嘔吐物有酸味。 </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望</w:t>
      </w:r>
      <w:r>
        <w:rPr>
          <w:rFonts w:eastAsia="標楷體" w:ascii="標楷體" w:hAnsi="標楷體"/>
          <w:sz w:val="28"/>
        </w:rPr>
        <w:t xml:space="preserve">: </w:t>
      </w:r>
      <w:r>
        <w:rPr>
          <w:rFonts w:ascii="標楷體" w:hAnsi="標楷體" w:eastAsia="標楷體"/>
          <w:sz w:val="28"/>
        </w:rPr>
        <w:t>面有憂容，舌紅苔薄白</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問</w:t>
      </w:r>
      <w:r>
        <w:rPr>
          <w:rFonts w:eastAsia="標楷體" w:ascii="標楷體" w:hAnsi="標楷體"/>
          <w:sz w:val="28"/>
        </w:rPr>
        <w:t xml:space="preserve">: </w:t>
      </w:r>
      <w:r>
        <w:rPr>
          <w:rFonts w:ascii="標楷體" w:hAnsi="標楷體" w:eastAsia="標楷體"/>
          <w:sz w:val="28"/>
        </w:rPr>
        <w:t>胃有嘈雜感，並有心下痞，隨後有腹瀉。</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切</w:t>
      </w:r>
      <w:r>
        <w:rPr>
          <w:rFonts w:eastAsia="標楷體" w:ascii="標楷體" w:hAnsi="標楷體"/>
          <w:sz w:val="28"/>
        </w:rPr>
        <w:t>:</w:t>
      </w:r>
      <w:r>
        <w:rPr>
          <w:rFonts w:ascii="標楷體" w:hAnsi="標楷體" w:eastAsia="標楷體"/>
          <w:sz w:val="28"/>
        </w:rPr>
        <w:t>脈沉細弱</w:t>
      </w:r>
    </w:p>
    <w:p>
      <w:pPr>
        <w:pStyle w:val="Normal"/>
        <w:snapToGrid w:val="false"/>
        <w:spacing w:lineRule="atLeast" w:line="20"/>
        <w:jc w:val="both"/>
        <w:rPr/>
      </w:pPr>
      <w:r>
        <w:rPr>
          <w:rFonts w:eastAsia="標楷體" w:cs="標楷體" w:ascii="標楷體" w:hAnsi="標楷體"/>
          <w:b/>
          <w:sz w:val="28"/>
        </w:rPr>
        <w:t xml:space="preserve">    </w:t>
      </w:r>
      <w:r>
        <w:rPr>
          <w:rFonts w:ascii="標楷體" w:hAnsi="標楷體" w:eastAsia="標楷體"/>
          <w:b/>
          <w:sz w:val="28"/>
        </w:rPr>
        <w:t>中醫辨證</w:t>
      </w:r>
      <w:r>
        <w:rPr>
          <w:rFonts w:eastAsia="標楷體" w:ascii="標楷體" w:hAnsi="標楷體"/>
          <w:b/>
          <w:sz w:val="28"/>
        </w:rPr>
        <w:t>:</w:t>
      </w:r>
      <w:r>
        <w:rPr>
          <w:rFonts w:ascii="標楷體" w:hAnsi="標楷體" w:eastAsia="標楷體"/>
          <w:sz w:val="28"/>
        </w:rPr>
        <w:t>脾胃寒熱夾雜，升降失司</w:t>
      </w:r>
    </w:p>
    <w:p>
      <w:pPr>
        <w:pStyle w:val="Normal"/>
        <w:snapToGrid w:val="false"/>
        <w:spacing w:lineRule="atLeast" w:line="20"/>
        <w:jc w:val="both"/>
        <w:rPr/>
      </w:pPr>
      <w:r>
        <w:rPr>
          <w:rFonts w:eastAsia="標楷體" w:cs="標楷體" w:ascii="標楷體" w:hAnsi="標楷體"/>
          <w:b/>
          <w:sz w:val="28"/>
        </w:rPr>
        <w:t xml:space="preserve">    </w:t>
      </w:r>
      <w:r>
        <w:rPr>
          <w:rFonts w:ascii="標楷體" w:hAnsi="標楷體" w:eastAsia="標楷體"/>
          <w:b/>
          <w:sz w:val="28"/>
        </w:rPr>
        <w:t>西醫診斷：</w:t>
      </w:r>
      <w:r>
        <w:rPr>
          <w:rFonts w:ascii="標楷體" w:hAnsi="標楷體" w:eastAsia="標楷體"/>
          <w:sz w:val="28"/>
        </w:rPr>
        <w:t>疑急性胃炎</w:t>
      </w:r>
      <w:r>
        <w:rPr>
          <w:rFonts w:ascii="標楷體" w:hAnsi="標楷體" w:eastAsia="標楷體"/>
          <w:b/>
          <w:sz w:val="28"/>
        </w:rPr>
        <w:t xml:space="preserve">    </w:t>
      </w:r>
    </w:p>
    <w:p>
      <w:pPr>
        <w:pStyle w:val="Normal"/>
        <w:snapToGrid w:val="false"/>
        <w:spacing w:lineRule="atLeast" w:line="20"/>
        <w:jc w:val="both"/>
        <w:rPr/>
      </w:pPr>
      <w:r>
        <w:rPr>
          <w:rFonts w:eastAsia="標楷體" w:cs="標楷體" w:ascii="標楷體" w:hAnsi="標楷體"/>
          <w:b/>
          <w:sz w:val="28"/>
        </w:rPr>
        <w:t xml:space="preserve">    </w:t>
      </w:r>
      <w:r>
        <w:rPr>
          <w:rFonts w:ascii="標楷體" w:hAnsi="標楷體" w:eastAsia="標楷體"/>
          <w:b/>
          <w:sz w:val="28"/>
        </w:rPr>
        <w:t>治則</w:t>
      </w:r>
      <w:r>
        <w:rPr>
          <w:rFonts w:eastAsia="標楷體" w:ascii="標楷體" w:hAnsi="標楷體"/>
          <w:b/>
          <w:sz w:val="28"/>
        </w:rPr>
        <w:t>:</w:t>
      </w:r>
      <w:r>
        <w:rPr>
          <w:rFonts w:ascii="標楷體" w:hAnsi="標楷體" w:eastAsia="標楷體"/>
          <w:sz w:val="28"/>
        </w:rPr>
        <w:t>辛開苦降、和胃降嘔</w:t>
      </w:r>
    </w:p>
    <w:p>
      <w:pPr>
        <w:pStyle w:val="Normal"/>
        <w:snapToGrid w:val="false"/>
        <w:spacing w:lineRule="atLeast" w:line="20"/>
        <w:jc w:val="both"/>
        <w:rPr/>
      </w:pPr>
      <w:r>
        <w:rPr>
          <w:rFonts w:eastAsia="標楷體" w:cs="標楷體" w:ascii="標楷體" w:hAnsi="標楷體"/>
          <w:b/>
          <w:sz w:val="28"/>
        </w:rPr>
        <w:t xml:space="preserve">    </w:t>
      </w:r>
      <w:r>
        <w:rPr>
          <w:rFonts w:ascii="標楷體" w:hAnsi="標楷體" w:eastAsia="標楷體"/>
          <w:b/>
          <w:sz w:val="28"/>
        </w:rPr>
        <w:t>用藥</w:t>
      </w:r>
      <w:r>
        <w:rPr>
          <w:rFonts w:eastAsia="標楷體" w:ascii="標楷體" w:hAnsi="標楷體"/>
          <w:b/>
          <w:sz w:val="28"/>
        </w:rPr>
        <w:t>:</w:t>
      </w:r>
      <w:r>
        <w:rPr>
          <w:rFonts w:ascii="標楷體" w:hAnsi="標楷體" w:eastAsia="標楷體"/>
          <w:sz w:val="28"/>
        </w:rPr>
        <w:t>半夏瀉心湯</w:t>
      </w:r>
      <w:r>
        <w:rPr>
          <w:rFonts w:eastAsia="標楷體" w:ascii="標楷體" w:hAnsi="標楷體"/>
          <w:sz w:val="28"/>
        </w:rPr>
        <w:t>2</w:t>
      </w:r>
      <w:r>
        <w:rPr>
          <w:rFonts w:ascii="標楷體" w:hAnsi="標楷體" w:eastAsia="標楷體"/>
          <w:sz w:val="28"/>
        </w:rPr>
        <w:t>克     芍藥甘草湯</w:t>
      </w:r>
      <w:r>
        <w:rPr>
          <w:rFonts w:eastAsia="標楷體" w:ascii="標楷體" w:hAnsi="標楷體"/>
          <w:sz w:val="28"/>
        </w:rPr>
        <w:t>2</w:t>
      </w:r>
      <w:r>
        <w:rPr>
          <w:rFonts w:ascii="標楷體" w:hAnsi="標楷體" w:eastAsia="標楷體"/>
          <w:sz w:val="28"/>
        </w:rPr>
        <w:t>克    臨時服用</w:t>
      </w:r>
    </w:p>
    <w:p>
      <w:pPr>
        <w:pStyle w:val="Normal"/>
        <w:snapToGrid w:val="false"/>
        <w:spacing w:lineRule="atLeast" w:line="20"/>
        <w:jc w:val="both"/>
        <w:rPr/>
      </w:pPr>
      <w:r>
        <w:rPr>
          <w:rFonts w:eastAsia="標楷體" w:cs="標楷體" w:ascii="標楷體" w:hAnsi="標楷體"/>
          <w:sz w:val="28"/>
        </w:rPr>
        <w:t xml:space="preserve">    </w:t>
      </w:r>
      <w:r>
        <w:rPr>
          <w:rFonts w:ascii="標楷體" w:hAnsi="標楷體" w:eastAsia="標楷體"/>
          <w:b/>
          <w:sz w:val="28"/>
        </w:rPr>
        <w:t>針灸：</w:t>
      </w:r>
      <w:r>
        <w:rPr>
          <w:rFonts w:ascii="標楷體" w:hAnsi="標楷體" w:eastAsia="標楷體"/>
          <w:sz w:val="28"/>
        </w:rPr>
        <w:t>內關（右），足三里（右）</w:t>
      </w:r>
    </w:p>
    <w:p>
      <w:pPr>
        <w:pStyle w:val="Normal"/>
        <w:snapToGrid w:val="false"/>
        <w:spacing w:lineRule="atLeast" w:line="20"/>
        <w:jc w:val="both"/>
        <w:rPr/>
      </w:pPr>
      <w:r>
        <w:rPr>
          <w:rFonts w:eastAsia="標楷體" w:cs="標楷體" w:ascii="標楷體" w:hAnsi="標楷體"/>
          <w:sz w:val="28"/>
        </w:rPr>
        <w:t xml:space="preserve">    </w:t>
      </w:r>
      <w:r>
        <w:rPr>
          <w:rFonts w:ascii="標楷體" w:hAnsi="標楷體" w:eastAsia="標楷體"/>
          <w:b/>
          <w:sz w:val="28"/>
        </w:rPr>
        <w:t>處置：</w:t>
      </w:r>
      <w:r>
        <w:rPr>
          <w:rFonts w:ascii="標楷體" w:hAnsi="標楷體" w:eastAsia="標楷體"/>
          <w:sz w:val="28"/>
        </w:rPr>
        <w:t>經上法處理後，均告無效，患者仍有吐利現象，為防萬</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 xml:space="preserve">一，會診西醫處理。     </w:t>
      </w:r>
    </w:p>
    <w:p>
      <w:pPr>
        <w:pStyle w:val="Normal"/>
        <w:overflowPunct w:val="false"/>
        <w:autoSpaceDE w:val="false"/>
        <w:snapToGrid w:val="false"/>
        <w:spacing w:lineRule="atLeast" w:line="20"/>
        <w:jc w:val="both"/>
        <w:rPr/>
      </w:pPr>
      <w:r>
        <w:rPr>
          <w:rFonts w:eastAsia="標楷體" w:cs="標楷體" w:ascii="標楷體" w:hAnsi="標楷體"/>
          <w:b/>
          <w:sz w:val="28"/>
        </w:rPr>
        <w:t xml:space="preserve">    </w:t>
      </w:r>
      <w:r>
        <w:rPr>
          <w:rFonts w:ascii="標楷體" w:hAnsi="標楷體" w:eastAsia="標楷體"/>
          <w:b/>
          <w:sz w:val="28"/>
        </w:rPr>
        <w:t>辨證用藥分析</w:t>
      </w:r>
      <w:r>
        <w:rPr>
          <w:rFonts w:eastAsia="標楷體" w:ascii="標楷體" w:hAnsi="標楷體"/>
          <w:b/>
          <w:sz w:val="28"/>
        </w:rPr>
        <w:t>:</w:t>
      </w:r>
      <w:r>
        <w:rPr>
          <w:rFonts w:eastAsia="標楷體" w:cs="MS Sans Serif;Arial" w:ascii="標楷體" w:hAnsi="標楷體"/>
        </w:rPr>
        <w:t xml:space="preserve"> </w:t>
      </w:r>
    </w:p>
    <w:p>
      <w:pPr>
        <w:pStyle w:val="Normal"/>
        <w:overflowPunct w:val="false"/>
        <w:autoSpaceDE w:val="false"/>
        <w:snapToGrid w:val="false"/>
        <w:spacing w:lineRule="atLeast" w:line="20"/>
        <w:jc w:val="both"/>
        <w:rPr/>
      </w:pPr>
      <w:r>
        <w:rPr>
          <w:rFonts w:eastAsia="標楷體" w:cs="標楷體" w:ascii="標楷體" w:hAnsi="標楷體"/>
          <w:sz w:val="28"/>
        </w:rPr>
        <w:t xml:space="preserve">    </w:t>
      </w:r>
      <w:r>
        <w:rPr>
          <w:rFonts w:ascii="標楷體" w:hAnsi="標楷體" w:cs="MS Sans Serif;Arial" w:eastAsia="標楷體"/>
          <w:sz w:val="28"/>
        </w:rPr>
        <w:t>此患者之所以會發生吐利，應和胃中虛冷較有關。</w:t>
      </w:r>
      <w:r>
        <w:rPr>
          <w:rFonts w:ascii="標楷體" w:hAnsi="標楷體" w:cs="MS Sans Serif;Arial" w:eastAsia="標楷體"/>
          <w:sz w:val="28"/>
        </w:rPr>
        <w:t xml:space="preserve"> </w:t>
      </w:r>
      <w:r>
        <w:rPr>
          <w:rFonts w:eastAsia="標楷體" w:cs="MS Sans Serif;Arial" w:ascii="標楷體" w:hAnsi="標楷體"/>
          <w:sz w:val="28"/>
        </w:rPr>
        <w:t>&lt;&lt;</w:t>
      </w:r>
      <w:r>
        <w:rPr>
          <w:rFonts w:ascii="標楷體" w:hAnsi="標楷體" w:cs="MS Sans Serif;Arial" w:eastAsia="標楷體"/>
          <w:sz w:val="28"/>
        </w:rPr>
        <w:t>傷寒論</w:t>
      </w:r>
      <w:r>
        <w:rPr>
          <w:rFonts w:eastAsia="標楷體" w:cs="MS Sans Serif;Arial" w:ascii="標楷體" w:hAnsi="標楷體"/>
          <w:sz w:val="28"/>
        </w:rPr>
        <w:t>&gt;&gt;:</w:t>
      </w:r>
      <w:r>
        <w:rPr>
          <w:rFonts w:ascii="標楷體" w:hAnsi="標楷體" w:cs="MS Sans Serif;Arial" w:eastAsia="標楷體"/>
          <w:sz w:val="28"/>
        </w:rPr>
        <w:t>「發汗後，水藥不得入口為逆，若更發汗，必吐下不止。」吳謙註解本條文，稱其為胃中虛冷故也。本患者素體陽虛，加上用越婢湯類發汗，導致其胃中更虛冷，因此服藥最好是飯後半小時較佳，若飯後隨即飲藥，在胃中冷的情況底下，當然會發生吐利的情形，以下條文可為佐證：</w:t>
      </w:r>
    </w:p>
    <w:p>
      <w:pPr>
        <w:pStyle w:val="Normal"/>
        <w:overflowPunct w:val="false"/>
        <w:autoSpaceDE w:val="false"/>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eastAsia="標楷體" w:cs="MS Sans Serif;Arial" w:ascii="標楷體" w:hAnsi="標楷體"/>
          <w:sz w:val="28"/>
        </w:rPr>
        <w:t>&lt;&lt;</w:t>
      </w:r>
      <w:r>
        <w:rPr>
          <w:rFonts w:ascii="標楷體" w:hAnsi="標楷體" w:cs="MS Sans Serif;Arial" w:eastAsia="標楷體"/>
          <w:sz w:val="28"/>
        </w:rPr>
        <w:t>傷寒論</w:t>
      </w:r>
      <w:r>
        <w:rPr>
          <w:rFonts w:eastAsia="標楷體" w:cs="MS Sans Serif;Arial" w:ascii="標楷體" w:hAnsi="標楷體"/>
          <w:sz w:val="28"/>
        </w:rPr>
        <w:t>&gt;&gt;:</w:t>
      </w:r>
      <w:r>
        <w:rPr>
          <w:rFonts w:ascii="標楷體" w:hAnsi="標楷體" w:cs="MS Sans Serif;Arial" w:eastAsia="標楷體"/>
          <w:sz w:val="28"/>
        </w:rPr>
        <w:t>「傷寒大吐、大下之，極虛，復極汗出者，以其人外氣怫鬱，復與之水，以發其汗，因得噦。所以然者，胃中寒冷故也。」</w:t>
      </w:r>
    </w:p>
    <w:p>
      <w:pPr>
        <w:pStyle w:val="Normal"/>
        <w:overflowPunct w:val="false"/>
        <w:autoSpaceDE w:val="false"/>
        <w:snapToGrid w:val="false"/>
        <w:spacing w:lineRule="atLeast" w:line="20"/>
        <w:jc w:val="both"/>
        <w:rPr/>
      </w:pPr>
      <w:r>
        <w:rPr>
          <w:rFonts w:eastAsia="標楷體" w:cs="標楷體" w:ascii="標楷體" w:hAnsi="標楷體"/>
          <w:sz w:val="28"/>
        </w:rPr>
        <w:t xml:space="preserve">    </w:t>
      </w:r>
      <w:r>
        <w:rPr>
          <w:rFonts w:eastAsia="標楷體" w:cs="MS Sans Serif;Arial" w:ascii="標楷體" w:hAnsi="標楷體"/>
          <w:sz w:val="28"/>
        </w:rPr>
        <w:t>&lt;&lt;</w:t>
      </w:r>
      <w:r>
        <w:rPr>
          <w:rFonts w:ascii="標楷體" w:hAnsi="標楷體" w:cs="MS Sans Serif;Arial" w:eastAsia="標楷體"/>
          <w:sz w:val="28"/>
        </w:rPr>
        <w:t>傷寒論</w:t>
      </w:r>
      <w:r>
        <w:rPr>
          <w:rFonts w:eastAsia="標楷體" w:cs="MS Sans Serif;Arial" w:ascii="標楷體" w:hAnsi="標楷體"/>
          <w:sz w:val="28"/>
        </w:rPr>
        <w:t>&gt;&gt;:</w:t>
      </w:r>
      <w:r>
        <w:rPr>
          <w:rFonts w:ascii="標楷體" w:hAnsi="標楷體" w:cs="MS Sans Serif;Arial" w:eastAsia="標楷體"/>
          <w:sz w:val="28"/>
        </w:rPr>
        <w:t>「病人脈數，數為熱，當消穀引食，而反吐者，此以發汗令陽氣微，膈氣虛，脈乃數也，數為客熱，不能消穀，以胃中虛冷，故吐也。」可見在胃中冷的情況之下，對於患者的用藥是要非常小心的。</w:t>
      </w:r>
    </w:p>
    <w:p>
      <w:pPr>
        <w:pStyle w:val="Normal"/>
        <w:snapToGrid w:val="false"/>
        <w:spacing w:lineRule="atLeast" w:line="20"/>
        <w:jc w:val="both"/>
        <w:rPr>
          <w:rFonts w:ascii="標楷體" w:hAnsi="標楷體" w:eastAsia="標楷體" w:cs="MS Sans Serif;Arial"/>
        </w:rPr>
      </w:pPr>
      <w:r>
        <w:rPr>
          <w:rFonts w:eastAsia="標楷體" w:cs="標楷體" w:ascii="標楷體" w:hAnsi="標楷體"/>
          <w:sz w:val="28"/>
        </w:rPr>
        <w:t xml:space="preserve">    </w:t>
      </w:r>
      <w:r>
        <w:rPr>
          <w:rFonts w:ascii="標楷體" w:hAnsi="標楷體" w:eastAsia="標楷體"/>
          <w:sz w:val="28"/>
        </w:rPr>
        <w:t>【</w:t>
      </w:r>
      <w:r>
        <w:rPr>
          <w:rFonts w:eastAsia="標楷體" w:ascii="標楷體" w:hAnsi="標楷體"/>
          <w:sz w:val="28"/>
        </w:rPr>
        <w:t>1998:1.16</w:t>
      </w:r>
      <w:r>
        <w:rPr>
          <w:rFonts w:eastAsia="標楷體" w:ascii="標楷體" w:hAnsi="標楷體"/>
          <w:sz w:val="28"/>
        </w:rPr>
        <w:t>-</w:t>
      </w:r>
      <w:r>
        <w:rPr>
          <w:rFonts w:eastAsia="標楷體" w:ascii="標楷體" w:hAnsi="標楷體"/>
          <w:sz w:val="28"/>
        </w:rPr>
        <w:t>1</w:t>
      </w:r>
      <w:r>
        <w:rPr>
          <w:rFonts w:eastAsia="標楷體" w:ascii="標楷體" w:hAnsi="標楷體"/>
          <w:sz w:val="28"/>
        </w:rPr>
        <w:t>.</w:t>
      </w:r>
      <w:r>
        <w:rPr>
          <w:rFonts w:eastAsia="標楷體" w:ascii="標楷體" w:hAnsi="標楷體"/>
          <w:sz w:val="28"/>
        </w:rPr>
        <w:t>19</w:t>
      </w:r>
      <w:r>
        <w:rPr>
          <w:rFonts w:ascii="標楷體" w:hAnsi="標楷體" w:eastAsia="標楷體"/>
          <w:sz w:val="28"/>
        </w:rPr>
        <w:t>】</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望</w:t>
      </w:r>
      <w:r>
        <w:rPr>
          <w:rFonts w:eastAsia="標楷體" w:ascii="標楷體" w:hAnsi="標楷體"/>
          <w:sz w:val="28"/>
        </w:rPr>
        <w:t>:</w:t>
      </w:r>
      <w:r>
        <w:rPr>
          <w:rFonts w:ascii="標楷體" w:hAnsi="標楷體" w:eastAsia="標楷體"/>
          <w:sz w:val="28"/>
        </w:rPr>
        <w:t>面稍白、有倦容，舌紅少苔而乾，下肢腫。</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聞</w:t>
      </w:r>
      <w:r>
        <w:rPr>
          <w:rFonts w:eastAsia="標楷體" w:ascii="標楷體" w:hAnsi="標楷體"/>
          <w:sz w:val="28"/>
        </w:rPr>
        <w:t>:</w:t>
      </w:r>
      <w:r>
        <w:rPr>
          <w:rFonts w:ascii="標楷體" w:hAnsi="標楷體" w:eastAsia="標楷體"/>
          <w:sz w:val="28"/>
        </w:rPr>
        <w:t>無特殊氣味。</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問</w:t>
      </w:r>
      <w:r>
        <w:rPr>
          <w:rFonts w:eastAsia="標楷體" w:ascii="標楷體" w:hAnsi="標楷體"/>
          <w:sz w:val="28"/>
        </w:rPr>
        <w:t>:</w:t>
      </w:r>
      <w:r>
        <w:rPr>
          <w:rFonts w:ascii="標楷體" w:hAnsi="標楷體" w:eastAsia="標楷體"/>
          <w:sz w:val="28"/>
        </w:rPr>
        <w:t>患者之吐利情形漸趨緩和，腹微脹、便軟、納差、口乾。</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切</w:t>
      </w:r>
      <w:r>
        <w:rPr>
          <w:rFonts w:eastAsia="標楷體" w:ascii="標楷體" w:hAnsi="標楷體"/>
          <w:sz w:val="28"/>
        </w:rPr>
        <w:t>:</w:t>
      </w:r>
      <w:r>
        <w:rPr>
          <w:rFonts w:ascii="標楷體" w:hAnsi="標楷體" w:eastAsia="標楷體"/>
          <w:sz w:val="28"/>
        </w:rPr>
        <w:t>左沈、關滑數、尺沈滑，右寸關浮滑數，尺沈。</w:t>
      </w:r>
    </w:p>
    <w:p>
      <w:pPr>
        <w:pStyle w:val="Normal"/>
        <w:snapToGrid w:val="false"/>
        <w:spacing w:lineRule="atLeast" w:line="20"/>
        <w:jc w:val="both"/>
        <w:rPr/>
      </w:pPr>
      <w:r>
        <w:rPr>
          <w:rFonts w:eastAsia="標楷體" w:cs="標楷體" w:ascii="標楷體" w:hAnsi="標楷體"/>
          <w:b/>
          <w:sz w:val="28"/>
        </w:rPr>
        <w:t xml:space="preserve">     </w:t>
      </w:r>
      <w:r>
        <w:rPr>
          <w:rFonts w:ascii="標楷體" w:hAnsi="標楷體" w:eastAsia="標楷體"/>
          <w:b/>
          <w:sz w:val="28"/>
        </w:rPr>
        <w:t>辨證</w:t>
      </w:r>
      <w:r>
        <w:rPr>
          <w:rFonts w:eastAsia="標楷體" w:ascii="標楷體" w:hAnsi="標楷體"/>
          <w:b/>
          <w:sz w:val="28"/>
        </w:rPr>
        <w:t>:</w:t>
      </w:r>
      <w:r>
        <w:rPr>
          <w:rFonts w:ascii="標楷體" w:hAnsi="標楷體" w:eastAsia="標楷體"/>
          <w:sz w:val="28"/>
        </w:rPr>
        <w:t>脾氣虛夾濕熱，熱重於濕。</w:t>
      </w:r>
    </w:p>
    <w:p>
      <w:pPr>
        <w:pStyle w:val="Normal"/>
        <w:snapToGrid w:val="false"/>
        <w:spacing w:lineRule="atLeast" w:line="20"/>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治則</w:t>
      </w:r>
      <w:r>
        <w:rPr>
          <w:rFonts w:eastAsia="標楷體" w:ascii="標楷體" w:hAnsi="標楷體"/>
          <w:b/>
          <w:sz w:val="28"/>
        </w:rPr>
        <w:t>:</w:t>
      </w:r>
      <w:r>
        <w:rPr>
          <w:rFonts w:ascii="標楷體" w:hAnsi="標楷體" w:eastAsia="標楷體"/>
          <w:sz w:val="28"/>
        </w:rPr>
        <w:t>健脾、清熱利濕</w:t>
      </w:r>
    </w:p>
    <w:p>
      <w:pPr>
        <w:pStyle w:val="Normal"/>
        <w:snapToGrid w:val="false"/>
        <w:spacing w:lineRule="atLeast" w:line="20"/>
        <w:jc w:val="both"/>
        <w:rPr>
          <w:rFonts w:ascii="標楷體" w:hAnsi="標楷體" w:eastAsia="標楷體"/>
          <w:sz w:val="28"/>
        </w:rPr>
      </w:pPr>
      <w:r>
        <w:rPr>
          <w:rFonts w:eastAsia="標楷體" w:cs="標楷體" w:ascii="標楷體" w:hAnsi="標楷體"/>
          <w:b/>
          <w:sz w:val="28"/>
        </w:rPr>
        <w:t xml:space="preserve">    </w:t>
      </w:r>
      <w:r>
        <w:rPr>
          <w:rFonts w:ascii="標楷體" w:hAnsi="標楷體" w:eastAsia="標楷體"/>
          <w:b/>
          <w:sz w:val="28"/>
        </w:rPr>
        <w:t>用藥</w:t>
      </w:r>
      <w:r>
        <w:rPr>
          <w:rFonts w:eastAsia="標楷體" w:ascii="標楷體" w:hAnsi="標楷體"/>
          <w:b/>
          <w:sz w:val="28"/>
        </w:rPr>
        <w:t>:</w:t>
      </w:r>
      <w:r>
        <w:rPr>
          <w:rFonts w:ascii="標楷體" w:hAnsi="標楷體" w:eastAsia="標楷體"/>
          <w:sz w:val="28"/>
        </w:rPr>
        <w:t>參苓白朮散</w:t>
      </w:r>
      <w:r>
        <w:rPr>
          <w:rFonts w:eastAsia="標楷體" w:ascii="標楷體" w:hAnsi="標楷體"/>
          <w:sz w:val="20"/>
        </w:rPr>
        <w:t>2.5</w:t>
      </w:r>
      <w:r>
        <w:rPr>
          <w:rFonts w:ascii="標楷體" w:hAnsi="標楷體" w:eastAsia="標楷體"/>
          <w:sz w:val="20"/>
        </w:rPr>
        <w:t xml:space="preserve">克 </w:t>
      </w:r>
      <w:r>
        <w:rPr>
          <w:rFonts w:ascii="標楷體" w:hAnsi="標楷體" w:eastAsia="標楷體"/>
          <w:sz w:val="28"/>
        </w:rPr>
        <w:t>黃芩</w:t>
      </w:r>
      <w:r>
        <w:rPr>
          <w:rFonts w:eastAsia="標楷體" w:ascii="標楷體" w:hAnsi="標楷體"/>
          <w:sz w:val="20"/>
        </w:rPr>
        <w:t>0.5</w:t>
      </w:r>
      <w:r>
        <w:rPr>
          <w:rFonts w:ascii="標楷體" w:hAnsi="標楷體" w:eastAsia="標楷體"/>
          <w:sz w:val="20"/>
        </w:rPr>
        <w:t xml:space="preserve">克 </w:t>
      </w:r>
      <w:r>
        <w:rPr>
          <w:rFonts w:ascii="標楷體" w:hAnsi="標楷體" w:eastAsia="標楷體"/>
          <w:sz w:val="28"/>
        </w:rPr>
        <w:t>黃柏</w:t>
      </w:r>
      <w:r>
        <w:rPr>
          <w:rFonts w:eastAsia="標楷體" w:ascii="標楷體" w:hAnsi="標楷體"/>
          <w:sz w:val="20"/>
        </w:rPr>
        <w:t>0.5</w:t>
      </w:r>
      <w:r>
        <w:rPr>
          <w:rFonts w:ascii="標楷體" w:hAnsi="標楷體" w:eastAsia="標楷體"/>
          <w:sz w:val="20"/>
        </w:rPr>
        <w:t xml:space="preserve">克    </w:t>
      </w:r>
      <w:r>
        <w:rPr>
          <w:rFonts w:ascii="標楷體" w:hAnsi="標楷體" w:eastAsia="標楷體"/>
        </w:rPr>
        <w:t xml:space="preserve"> 每天三餐服用</w:t>
      </w:r>
    </w:p>
    <w:p>
      <w:pPr>
        <w:pStyle w:val="Normal"/>
        <w:snapToGrid w:val="false"/>
        <w:spacing w:lineRule="atLeast" w:line="20"/>
        <w:jc w:val="both"/>
        <w:rPr>
          <w:rFonts w:ascii="標楷體" w:hAnsi="標楷體" w:eastAsia="標楷體"/>
          <w:b/>
          <w:b/>
          <w:sz w:val="28"/>
        </w:rPr>
      </w:pPr>
      <w:r>
        <w:rPr>
          <w:rFonts w:eastAsia="標楷體" w:cs="標楷體" w:ascii="標楷體" w:hAnsi="標楷體"/>
          <w:sz w:val="28"/>
        </w:rPr>
        <w:t xml:space="preserve">    </w:t>
      </w:r>
      <w:r>
        <w:rPr>
          <w:rFonts w:ascii="標楷體" w:hAnsi="標楷體" w:eastAsia="標楷體"/>
          <w:b/>
          <w:sz w:val="28"/>
        </w:rPr>
        <w:t>辨證用藥分析</w:t>
      </w:r>
      <w:r>
        <w:rPr>
          <w:rFonts w:eastAsia="標楷體" w:ascii="標楷體" w:hAnsi="標楷體"/>
          <w:b/>
          <w:sz w:val="28"/>
        </w:rPr>
        <w:t>:</w:t>
      </w:r>
      <w:r>
        <w:rPr>
          <w:rFonts w:ascii="標楷體" w:hAnsi="標楷體" w:eastAsia="標楷體"/>
          <w:sz w:val="28"/>
        </w:rPr>
        <w:t>本患者始初之吐利情形較重時，暫時停用所有飲食，包括藥物，待其症狀漸漸恢復時，處方以濃縮藥粉，以固護其胃，患者出現腹微脹、便軟、納差等脾虛之現象，故處方以健脾藥，且其有口乾、脈數、苔乾等熱象，故加用清熱藥。由於此時著重在調理其腸胃之問題，因此其水腫在這段時間並沒有明顯之下降。</w:t>
      </w:r>
    </w:p>
    <w:p>
      <w:pPr>
        <w:pStyle w:val="Normal"/>
        <w:snapToGrid w:val="false"/>
        <w:spacing w:lineRule="atLeast" w:line="20"/>
        <w:jc w:val="both"/>
        <w:rPr>
          <w:rFonts w:ascii="標楷體" w:hAnsi="標楷體" w:eastAsia="標楷體" w:cs="MS Sans Serif;Arial"/>
        </w:rPr>
      </w:pPr>
      <w:r>
        <w:rPr>
          <w:rFonts w:eastAsia="標楷體" w:cs="標楷體" w:ascii="標楷體" w:hAnsi="標楷體"/>
          <w:sz w:val="28"/>
        </w:rPr>
        <w:t xml:space="preserve">    </w:t>
      </w:r>
      <w:r>
        <w:rPr>
          <w:rFonts w:ascii="標楷體" w:hAnsi="標楷體" w:eastAsia="標楷體"/>
          <w:sz w:val="28"/>
        </w:rPr>
        <w:t>【</w:t>
      </w:r>
      <w:r>
        <w:rPr>
          <w:rFonts w:eastAsia="標楷體" w:ascii="標楷體" w:hAnsi="標楷體"/>
          <w:sz w:val="28"/>
        </w:rPr>
        <w:t>1998:1.20</w:t>
      </w:r>
      <w:r>
        <w:rPr>
          <w:rFonts w:eastAsia="標楷體" w:ascii="標楷體" w:hAnsi="標楷體"/>
          <w:sz w:val="28"/>
        </w:rPr>
        <w:t>-</w:t>
      </w:r>
      <w:r>
        <w:rPr>
          <w:rFonts w:eastAsia="標楷體" w:ascii="標楷體" w:hAnsi="標楷體"/>
          <w:sz w:val="28"/>
        </w:rPr>
        <w:t>1</w:t>
      </w:r>
      <w:r>
        <w:rPr>
          <w:rFonts w:eastAsia="標楷體" w:ascii="標楷體" w:hAnsi="標楷體"/>
          <w:sz w:val="28"/>
        </w:rPr>
        <w:t>.</w:t>
      </w:r>
      <w:r>
        <w:rPr>
          <w:rFonts w:eastAsia="標楷體" w:ascii="標楷體" w:hAnsi="標楷體"/>
          <w:sz w:val="28"/>
        </w:rPr>
        <w:t>24</w:t>
      </w:r>
      <w:r>
        <w:rPr>
          <w:rFonts w:ascii="標楷體" w:hAnsi="標楷體" w:eastAsia="標楷體"/>
          <w:sz w:val="28"/>
        </w:rPr>
        <w:t>】</w:t>
      </w:r>
    </w:p>
    <w:p>
      <w:pPr>
        <w:pStyle w:val="Normal"/>
        <w:snapToGrid w:val="false"/>
        <w:spacing w:lineRule="atLeast" w:line="20"/>
        <w:jc w:val="both"/>
        <w:rPr/>
      </w:pPr>
      <w:r>
        <w:rPr>
          <w:rFonts w:eastAsia="標楷體" w:cs="標楷體" w:ascii="標楷體" w:hAnsi="標楷體"/>
          <w:b/>
          <w:sz w:val="28"/>
        </w:rPr>
        <w:t xml:space="preserve">    </w:t>
      </w:r>
      <w:r>
        <w:rPr>
          <w:rFonts w:eastAsia="標楷體" w:cs="標楷體" w:ascii="標楷體" w:hAnsi="標楷體"/>
          <w:sz w:val="28"/>
        </w:rPr>
        <w:t xml:space="preserve"> </w:t>
      </w:r>
      <w:r>
        <w:rPr>
          <w:rFonts w:ascii="標楷體" w:hAnsi="標楷體" w:eastAsia="標楷體"/>
          <w:sz w:val="28"/>
        </w:rPr>
        <w:t>望</w:t>
      </w:r>
      <w:r>
        <w:rPr>
          <w:rFonts w:eastAsia="標楷體" w:ascii="標楷體" w:hAnsi="標楷體"/>
          <w:sz w:val="28"/>
        </w:rPr>
        <w:t xml:space="preserve">: </w:t>
      </w:r>
      <w:r>
        <w:rPr>
          <w:rFonts w:ascii="標楷體" w:hAnsi="標楷體" w:eastAsia="標楷體"/>
          <w:sz w:val="28"/>
        </w:rPr>
        <w:t>面色白，舌淡紅，苔薄白。</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聞</w:t>
      </w:r>
      <w:r>
        <w:rPr>
          <w:rFonts w:eastAsia="標楷體" w:ascii="標楷體" w:hAnsi="標楷體"/>
          <w:sz w:val="28"/>
        </w:rPr>
        <w:t>:</w:t>
      </w:r>
      <w:r>
        <w:rPr>
          <w:rFonts w:ascii="標楷體" w:hAnsi="標楷體" w:eastAsia="標楷體"/>
          <w:sz w:val="28"/>
        </w:rPr>
        <w:t>無特殊氣味。</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問</w:t>
      </w:r>
      <w:r>
        <w:rPr>
          <w:rFonts w:eastAsia="標楷體" w:ascii="標楷體" w:hAnsi="標楷體"/>
          <w:sz w:val="28"/>
        </w:rPr>
        <w:t>:</w:t>
      </w:r>
      <w:r>
        <w:rPr>
          <w:rFonts w:ascii="標楷體" w:hAnsi="標楷體" w:eastAsia="標楷體"/>
          <w:sz w:val="28"/>
        </w:rPr>
        <w:t>下肢水腫，站起肢冷色紅，平躺則肢熱色白。</w:t>
      </w:r>
    </w:p>
    <w:p>
      <w:pPr>
        <w:pStyle w:val="Normal"/>
        <w:snapToGrid w:val="false"/>
        <w:spacing w:lineRule="atLeast" w:line="20"/>
        <w:jc w:val="both"/>
        <w:rPr>
          <w:rFonts w:ascii="標楷體" w:hAnsi="標楷體" w:eastAsia="標楷體"/>
          <w:b/>
          <w:b/>
          <w:sz w:val="28"/>
        </w:rPr>
      </w:pPr>
      <w:r>
        <w:rPr>
          <w:rFonts w:eastAsia="標楷體" w:cs="標楷體" w:ascii="標楷體" w:hAnsi="標楷體"/>
          <w:sz w:val="28"/>
        </w:rPr>
        <w:t xml:space="preserve">     </w:t>
      </w:r>
      <w:r>
        <w:rPr>
          <w:rFonts w:ascii="標楷體" w:hAnsi="標楷體" w:eastAsia="標楷體"/>
          <w:sz w:val="28"/>
        </w:rPr>
        <w:t>切</w:t>
      </w:r>
      <w:r>
        <w:rPr>
          <w:rFonts w:eastAsia="標楷體" w:ascii="標楷體" w:hAnsi="標楷體"/>
          <w:sz w:val="28"/>
        </w:rPr>
        <w:t>:</w:t>
      </w:r>
      <w:r>
        <w:rPr>
          <w:rFonts w:eastAsia="標楷體" w:ascii="標楷體" w:hAnsi="標楷體"/>
          <w:b/>
          <w:sz w:val="28"/>
        </w:rPr>
        <w:t xml:space="preserve"> </w:t>
      </w:r>
      <w:r>
        <w:rPr>
          <w:rFonts w:ascii="標楷體" w:hAnsi="標楷體" w:eastAsia="標楷體"/>
          <w:sz w:val="28"/>
        </w:rPr>
        <w:t>脈滑，左關及兩尺沈。</w:t>
      </w:r>
    </w:p>
    <w:p>
      <w:pPr>
        <w:pStyle w:val="Normal"/>
        <w:snapToGrid w:val="false"/>
        <w:spacing w:lineRule="atLeast" w:line="20"/>
        <w:jc w:val="both"/>
        <w:rPr/>
      </w:pPr>
      <w:r>
        <w:rPr>
          <w:rFonts w:eastAsia="標楷體" w:cs="標楷體" w:ascii="標楷體" w:hAnsi="標楷體"/>
          <w:b/>
          <w:sz w:val="28"/>
        </w:rPr>
        <w:t xml:space="preserve">    </w:t>
      </w:r>
      <w:r>
        <w:rPr>
          <w:rFonts w:ascii="標楷體" w:hAnsi="標楷體" w:eastAsia="標楷體"/>
          <w:b/>
          <w:sz w:val="28"/>
        </w:rPr>
        <w:t>辨證</w:t>
      </w:r>
      <w:r>
        <w:rPr>
          <w:rFonts w:eastAsia="標楷體" w:ascii="標楷體" w:hAnsi="標楷體"/>
          <w:b/>
          <w:sz w:val="28"/>
        </w:rPr>
        <w:t>:</w:t>
      </w:r>
      <w:r>
        <w:rPr>
          <w:rFonts w:ascii="標楷體" w:hAnsi="標楷體" w:eastAsia="標楷體"/>
          <w:sz w:val="28"/>
        </w:rPr>
        <w:t>水濕氾濫、氣滯血瘀</w:t>
      </w:r>
    </w:p>
    <w:p>
      <w:pPr>
        <w:pStyle w:val="Normal"/>
        <w:snapToGrid w:val="false"/>
        <w:spacing w:lineRule="atLeast" w:line="20"/>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治則</w:t>
      </w:r>
      <w:r>
        <w:rPr>
          <w:rFonts w:eastAsia="標楷體" w:ascii="標楷體" w:hAnsi="標楷體"/>
          <w:b/>
          <w:sz w:val="28"/>
        </w:rPr>
        <w:t>:</w:t>
      </w:r>
      <w:r>
        <w:rPr>
          <w:rFonts w:ascii="標楷體" w:hAnsi="標楷體" w:eastAsia="標楷體"/>
          <w:sz w:val="28"/>
        </w:rPr>
        <w:t>健脾利水、活血化瘀</w:t>
      </w:r>
    </w:p>
    <w:p>
      <w:pPr>
        <w:pStyle w:val="Normal"/>
        <w:snapToGrid w:val="false"/>
        <w:spacing w:lineRule="atLeast" w:line="20"/>
        <w:jc w:val="both"/>
        <w:rPr/>
      </w:pPr>
      <w:r>
        <w:rPr>
          <w:rFonts w:eastAsia="標楷體" w:cs="標楷體" w:ascii="標楷體" w:hAnsi="標楷體"/>
          <w:b/>
          <w:sz w:val="28"/>
        </w:rPr>
        <w:t xml:space="preserve">    </w:t>
      </w:r>
      <w:r>
        <w:rPr>
          <w:rFonts w:ascii="標楷體" w:hAnsi="標楷體" w:eastAsia="標楷體"/>
          <w:b/>
          <w:sz w:val="28"/>
        </w:rPr>
        <w:t>用藥</w:t>
      </w:r>
      <w:r>
        <w:rPr>
          <w:rFonts w:eastAsia="標楷體" w:ascii="標楷體" w:hAnsi="標楷體"/>
          <w:b/>
          <w:sz w:val="28"/>
        </w:rPr>
        <w:t>:</w:t>
      </w:r>
      <w:r>
        <w:rPr>
          <w:rFonts w:ascii="標楷體" w:hAnsi="標楷體" w:eastAsia="標楷體"/>
          <w:sz w:val="28"/>
        </w:rPr>
        <w:t>茯苓</w:t>
      </w:r>
      <w:r>
        <w:rPr>
          <w:rFonts w:ascii="標楷體" w:hAnsi="標楷體" w:eastAsia="標楷體"/>
          <w:sz w:val="20"/>
        </w:rPr>
        <w:t xml:space="preserve">六錢 </w:t>
      </w:r>
      <w:r>
        <w:rPr>
          <w:rFonts w:ascii="標楷體" w:hAnsi="標楷體" w:eastAsia="標楷體"/>
          <w:sz w:val="28"/>
        </w:rPr>
        <w:t>白朮</w:t>
      </w:r>
      <w:r>
        <w:rPr>
          <w:rFonts w:ascii="標楷體" w:hAnsi="標楷體" w:eastAsia="標楷體"/>
          <w:sz w:val="20"/>
        </w:rPr>
        <w:t xml:space="preserve">五錢 </w:t>
      </w:r>
      <w:r>
        <w:rPr>
          <w:rFonts w:ascii="標楷體" w:hAnsi="標楷體" w:eastAsia="標楷體"/>
          <w:sz w:val="28"/>
        </w:rPr>
        <w:t>厚朴</w:t>
      </w:r>
      <w:r>
        <w:rPr>
          <w:rFonts w:ascii="標楷體" w:hAnsi="標楷體" w:eastAsia="標楷體"/>
          <w:sz w:val="20"/>
        </w:rPr>
        <w:t xml:space="preserve">二錢 </w:t>
      </w:r>
      <w:r>
        <w:rPr>
          <w:rFonts w:ascii="標楷體" w:hAnsi="標楷體" w:eastAsia="標楷體"/>
          <w:sz w:val="28"/>
        </w:rPr>
        <w:t>豬苓</w:t>
      </w:r>
      <w:r>
        <w:rPr>
          <w:rFonts w:ascii="標楷體" w:hAnsi="標楷體" w:eastAsia="標楷體"/>
          <w:sz w:val="20"/>
        </w:rPr>
        <w:t xml:space="preserve">三錢 </w:t>
      </w:r>
      <w:r>
        <w:rPr>
          <w:rFonts w:ascii="標楷體" w:hAnsi="標楷體" w:eastAsia="標楷體"/>
          <w:sz w:val="28"/>
        </w:rPr>
        <w:t>桑白皮</w:t>
      </w:r>
      <w:r>
        <w:rPr>
          <w:rFonts w:ascii="標楷體" w:hAnsi="標楷體" w:eastAsia="標楷體"/>
          <w:sz w:val="20"/>
        </w:rPr>
        <w:t xml:space="preserve">二錢 </w:t>
      </w:r>
      <w:r>
        <w:rPr>
          <w:rFonts w:ascii="標楷體" w:hAnsi="標楷體" w:eastAsia="標楷體"/>
          <w:sz w:val="28"/>
        </w:rPr>
        <w:t>車前子</w:t>
      </w:r>
      <w:r>
        <w:rPr>
          <w:rFonts w:ascii="標楷體" w:hAnsi="標楷體" w:eastAsia="標楷體"/>
          <w:sz w:val="20"/>
        </w:rPr>
        <w:t>五</w:t>
      </w:r>
    </w:p>
    <w:p>
      <w:pPr>
        <w:pStyle w:val="Normal"/>
        <w:snapToGrid w:val="false"/>
        <w:spacing w:lineRule="atLeast" w:line="20"/>
        <w:jc w:val="both"/>
        <w:rPr/>
      </w:pPr>
      <w:r>
        <w:rPr>
          <w:rFonts w:eastAsia="標楷體" w:cs="標楷體" w:ascii="標楷體" w:hAnsi="標楷體"/>
          <w:sz w:val="20"/>
        </w:rPr>
        <w:t xml:space="preserve">             </w:t>
      </w:r>
      <w:r>
        <w:rPr>
          <w:rFonts w:ascii="標楷體" w:hAnsi="標楷體" w:eastAsia="標楷體"/>
          <w:sz w:val="20"/>
        </w:rPr>
        <w:t xml:space="preserve">錢 </w:t>
      </w:r>
      <w:r>
        <w:rPr>
          <w:rFonts w:ascii="標楷體" w:hAnsi="標楷體" w:eastAsia="標楷體"/>
          <w:sz w:val="28"/>
        </w:rPr>
        <w:t>紅花</w:t>
      </w:r>
      <w:r>
        <w:rPr>
          <w:rFonts w:ascii="標楷體" w:hAnsi="標楷體" w:eastAsia="標楷體"/>
          <w:sz w:val="20"/>
        </w:rPr>
        <w:t xml:space="preserve">一錢 </w:t>
      </w:r>
      <w:r>
        <w:rPr>
          <w:rFonts w:ascii="標楷體" w:hAnsi="標楷體" w:eastAsia="標楷體"/>
          <w:sz w:val="28"/>
        </w:rPr>
        <w:t>澤瀉</w:t>
      </w:r>
      <w:r>
        <w:rPr>
          <w:rFonts w:ascii="標楷體" w:hAnsi="標楷體" w:eastAsia="標楷體"/>
          <w:sz w:val="20"/>
        </w:rPr>
        <w:t xml:space="preserve">三錢 </w:t>
      </w:r>
      <w:r>
        <w:rPr>
          <w:rFonts w:ascii="標楷體" w:hAnsi="標楷體" w:eastAsia="標楷體"/>
          <w:sz w:val="28"/>
        </w:rPr>
        <w:t>陳皮</w:t>
      </w:r>
      <w:r>
        <w:rPr>
          <w:rFonts w:ascii="標楷體" w:hAnsi="標楷體" w:eastAsia="標楷體"/>
          <w:sz w:val="20"/>
        </w:rPr>
        <w:t xml:space="preserve">二錢 </w:t>
      </w:r>
      <w:r>
        <w:rPr>
          <w:rFonts w:ascii="標楷體" w:hAnsi="標楷體" w:eastAsia="標楷體"/>
          <w:sz w:val="28"/>
        </w:rPr>
        <w:t>丹參</w:t>
      </w:r>
      <w:r>
        <w:rPr>
          <w:rFonts w:ascii="標楷體" w:hAnsi="標楷體" w:eastAsia="標楷體"/>
          <w:sz w:val="20"/>
        </w:rPr>
        <w:t xml:space="preserve">二錢 </w:t>
      </w:r>
      <w:r>
        <w:rPr>
          <w:rFonts w:ascii="標楷體" w:hAnsi="標楷體" w:eastAsia="標楷體"/>
          <w:sz w:val="28"/>
        </w:rPr>
        <w:t>益母草</w:t>
      </w:r>
      <w:r>
        <w:rPr>
          <w:rFonts w:ascii="標楷體" w:hAnsi="標楷體" w:eastAsia="標楷體"/>
          <w:sz w:val="20"/>
        </w:rPr>
        <w:t>二錢</w:t>
      </w:r>
      <w:r>
        <w:rPr>
          <w:rFonts w:ascii="標楷體" w:hAnsi="標楷體" w:eastAsia="標楷體"/>
          <w:sz w:val="28"/>
        </w:rPr>
        <w:t>。</w:t>
      </w:r>
    </w:p>
    <w:p>
      <w:pPr>
        <w:pStyle w:val="Normal"/>
        <w:snapToGrid w:val="false"/>
        <w:spacing w:lineRule="atLeast" w:line="20"/>
        <w:jc w:val="both"/>
        <w:rPr/>
      </w:pPr>
      <w:r>
        <w:rPr>
          <w:rFonts w:eastAsia="標楷體" w:cs="標楷體" w:ascii="標楷體" w:hAnsi="標楷體"/>
          <w:b/>
          <w:sz w:val="28"/>
        </w:rPr>
        <w:t xml:space="preserve">    </w:t>
      </w:r>
      <w:r>
        <w:rPr>
          <w:rFonts w:ascii="標楷體" w:hAnsi="標楷體" w:eastAsia="標楷體"/>
          <w:b/>
          <w:sz w:val="28"/>
        </w:rPr>
        <w:t>西醫處置：</w:t>
      </w:r>
      <w:r>
        <w:rPr>
          <w:rFonts w:ascii="標楷體" w:hAnsi="標楷體" w:eastAsia="標楷體"/>
          <w:sz w:val="28"/>
        </w:rPr>
        <w:t xml:space="preserve">一月二十一日及一月二十二日分別注入白蛋白一瓶， </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以及利尿劑一支。</w:t>
      </w:r>
    </w:p>
    <w:p>
      <w:pPr>
        <w:pStyle w:val="Normal"/>
        <w:snapToGrid w:val="false"/>
        <w:spacing w:lineRule="atLeast" w:line="20"/>
        <w:jc w:val="both"/>
        <w:rPr/>
      </w:pPr>
      <w:r>
        <w:rPr>
          <w:rFonts w:eastAsia="標楷體" w:cs="標楷體" w:ascii="標楷體" w:hAnsi="標楷體"/>
          <w:sz w:val="28"/>
        </w:rPr>
        <w:t xml:space="preserve">    </w:t>
      </w:r>
      <w:r>
        <w:rPr>
          <w:rFonts w:ascii="標楷體" w:hAnsi="標楷體" w:eastAsia="標楷體"/>
          <w:b/>
          <w:sz w:val="28"/>
        </w:rPr>
        <w:t>辨證用藥分析</w:t>
      </w:r>
      <w:r>
        <w:rPr>
          <w:rFonts w:eastAsia="標楷體" w:ascii="標楷體" w:hAnsi="標楷體"/>
          <w:b/>
          <w:sz w:val="28"/>
        </w:rPr>
        <w:t>:</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本患者治療至今，水腫消退的情形又進入另一瓶頸，依「久病入絡」，「血不利則為水」等觀念，加上患者有下肢顏色改變的情形，故加強活血化瘀藥的使用。注入白蛋白及利尿劑，水腫有下降跡象。</w:t>
      </w:r>
    </w:p>
    <w:p>
      <w:pPr>
        <w:pStyle w:val="Normal"/>
        <w:snapToGrid w:val="false"/>
        <w:spacing w:lineRule="atLeast" w:line="20"/>
        <w:jc w:val="both"/>
        <w:rPr>
          <w:rFonts w:ascii="標楷體" w:hAnsi="標楷體" w:eastAsia="標楷體"/>
          <w:b/>
          <w:b/>
          <w:sz w:val="28"/>
        </w:rPr>
      </w:pPr>
      <w:r>
        <w:rPr>
          <w:rFonts w:eastAsia="標楷體" w:cs="標楷體" w:ascii="標楷體" w:hAnsi="標楷體"/>
          <w:sz w:val="28"/>
        </w:rPr>
        <w:t xml:space="preserve">    </w:t>
      </w:r>
      <w:r>
        <w:rPr>
          <w:rFonts w:ascii="標楷體" w:hAnsi="標楷體" w:eastAsia="標楷體"/>
          <w:sz w:val="28"/>
        </w:rPr>
        <w:t>【</w:t>
      </w:r>
      <w:r>
        <w:rPr>
          <w:rFonts w:eastAsia="標楷體" w:ascii="標楷體" w:hAnsi="標楷體"/>
          <w:sz w:val="28"/>
        </w:rPr>
        <w:t>1998:1.25</w:t>
      </w:r>
      <w:r>
        <w:rPr>
          <w:rFonts w:eastAsia="標楷體" w:ascii="標楷體" w:hAnsi="標楷體"/>
          <w:sz w:val="28"/>
        </w:rPr>
        <w:t>-</w:t>
      </w:r>
      <w:r>
        <w:rPr>
          <w:rFonts w:eastAsia="標楷體" w:ascii="標楷體" w:hAnsi="標楷體"/>
          <w:sz w:val="28"/>
        </w:rPr>
        <w:t>1</w:t>
      </w:r>
      <w:r>
        <w:rPr>
          <w:rFonts w:eastAsia="標楷體" w:ascii="標楷體" w:hAnsi="標楷體"/>
          <w:sz w:val="28"/>
        </w:rPr>
        <w:t>.</w:t>
      </w:r>
      <w:r>
        <w:rPr>
          <w:rFonts w:eastAsia="標楷體" w:ascii="標楷體" w:hAnsi="標楷體"/>
          <w:sz w:val="28"/>
        </w:rPr>
        <w:t>28</w:t>
      </w:r>
      <w:r>
        <w:rPr>
          <w:rFonts w:ascii="標楷體" w:hAnsi="標楷體" w:eastAsia="標楷體"/>
          <w:sz w:val="28"/>
        </w:rPr>
        <w:t>】</w:t>
      </w:r>
    </w:p>
    <w:p>
      <w:pPr>
        <w:pStyle w:val="Normal"/>
        <w:snapToGrid w:val="false"/>
        <w:spacing w:lineRule="atLeast" w:line="20"/>
        <w:jc w:val="both"/>
        <w:rPr/>
      </w:pPr>
      <w:r>
        <w:rPr>
          <w:rFonts w:eastAsia="標楷體" w:cs="標楷體" w:ascii="標楷體" w:hAnsi="標楷體"/>
          <w:b/>
          <w:sz w:val="28"/>
        </w:rPr>
        <w:t xml:space="preserve">    </w:t>
      </w:r>
      <w:r>
        <w:rPr>
          <w:rFonts w:eastAsia="標楷體" w:cs="標楷體" w:ascii="標楷體" w:hAnsi="標楷體"/>
          <w:sz w:val="28"/>
        </w:rPr>
        <w:t xml:space="preserve"> </w:t>
      </w:r>
      <w:r>
        <w:rPr>
          <w:rFonts w:ascii="標楷體" w:hAnsi="標楷體" w:eastAsia="標楷體"/>
          <w:sz w:val="28"/>
        </w:rPr>
        <w:t>望</w:t>
      </w:r>
      <w:r>
        <w:rPr>
          <w:rFonts w:eastAsia="標楷體" w:ascii="標楷體" w:hAnsi="標楷體"/>
          <w:sz w:val="28"/>
        </w:rPr>
        <w:t>:</w:t>
      </w:r>
      <w:r>
        <w:rPr>
          <w:rFonts w:ascii="標楷體" w:hAnsi="標楷體" w:eastAsia="標楷體"/>
          <w:sz w:val="28"/>
        </w:rPr>
        <w:t>下肢仍水腫，色略紅，舌淡紅，苔薄白。</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聞</w:t>
      </w:r>
      <w:r>
        <w:rPr>
          <w:rFonts w:eastAsia="標楷體" w:ascii="標楷體" w:hAnsi="標楷體"/>
          <w:sz w:val="28"/>
        </w:rPr>
        <w:t>:</w:t>
      </w:r>
      <w:r>
        <w:rPr>
          <w:rFonts w:ascii="標楷體" w:hAnsi="標楷體" w:eastAsia="標楷體"/>
          <w:sz w:val="28"/>
        </w:rPr>
        <w:t>無特殊氣味。     問</w:t>
      </w:r>
      <w:r>
        <w:rPr>
          <w:rFonts w:eastAsia="標楷體" w:ascii="標楷體" w:hAnsi="標楷體"/>
          <w:sz w:val="28"/>
        </w:rPr>
        <w:t>:</w:t>
      </w:r>
      <w:r>
        <w:rPr>
          <w:rFonts w:ascii="標楷體" w:hAnsi="標楷體" w:eastAsia="標楷體"/>
          <w:sz w:val="28"/>
        </w:rPr>
        <w:t>口微渴，大便一行，成形。</w:t>
      </w:r>
    </w:p>
    <w:p>
      <w:pPr>
        <w:pStyle w:val="Normal"/>
        <w:snapToGrid w:val="false"/>
        <w:spacing w:lineRule="atLeast" w:line="20"/>
        <w:jc w:val="both"/>
        <w:rPr>
          <w:rFonts w:ascii="標楷體" w:hAnsi="標楷體" w:eastAsia="標楷體"/>
          <w:b/>
          <w:b/>
          <w:sz w:val="28"/>
        </w:rPr>
      </w:pPr>
      <w:r>
        <w:rPr>
          <w:rFonts w:eastAsia="標楷體" w:cs="標楷體" w:ascii="標楷體" w:hAnsi="標楷體"/>
          <w:sz w:val="28"/>
        </w:rPr>
        <w:t xml:space="preserve">     </w:t>
      </w:r>
      <w:r>
        <w:rPr>
          <w:rFonts w:ascii="標楷體" w:hAnsi="標楷體" w:eastAsia="標楷體"/>
          <w:sz w:val="28"/>
        </w:rPr>
        <w:t>切</w:t>
      </w:r>
      <w:r>
        <w:rPr>
          <w:rFonts w:eastAsia="標楷體" w:ascii="標楷體" w:hAnsi="標楷體"/>
          <w:sz w:val="28"/>
        </w:rPr>
        <w:t xml:space="preserve">: </w:t>
      </w:r>
      <w:r>
        <w:rPr>
          <w:rFonts w:ascii="標楷體" w:hAnsi="標楷體" w:eastAsia="標楷體"/>
          <w:sz w:val="28"/>
        </w:rPr>
        <w:t>左緩滑，右寸關滑，尺沈滑。</w:t>
      </w:r>
    </w:p>
    <w:p>
      <w:pPr>
        <w:pStyle w:val="Normal"/>
        <w:snapToGrid w:val="false"/>
        <w:spacing w:lineRule="atLeast" w:line="20"/>
        <w:jc w:val="both"/>
        <w:rPr/>
      </w:pPr>
      <w:r>
        <w:rPr>
          <w:rFonts w:eastAsia="標楷體" w:cs="標楷體" w:ascii="標楷體" w:hAnsi="標楷體"/>
          <w:b/>
          <w:sz w:val="28"/>
        </w:rPr>
        <w:t xml:space="preserve">    </w:t>
      </w:r>
      <w:r>
        <w:rPr>
          <w:rFonts w:ascii="標楷體" w:hAnsi="標楷體" w:eastAsia="標楷體"/>
          <w:b/>
          <w:sz w:val="28"/>
        </w:rPr>
        <w:t>辨證</w:t>
      </w:r>
      <w:r>
        <w:rPr>
          <w:rFonts w:eastAsia="標楷體" w:ascii="標楷體" w:hAnsi="標楷體"/>
          <w:b/>
          <w:sz w:val="28"/>
        </w:rPr>
        <w:t>:</w:t>
      </w:r>
      <w:r>
        <w:rPr>
          <w:rFonts w:ascii="標楷體" w:hAnsi="標楷體" w:eastAsia="標楷體"/>
          <w:sz w:val="28"/>
        </w:rPr>
        <w:t>水濕氾濫、溼熱蘊結</w:t>
      </w:r>
    </w:p>
    <w:p>
      <w:pPr>
        <w:pStyle w:val="Normal"/>
        <w:snapToGrid w:val="false"/>
        <w:spacing w:lineRule="atLeast" w:line="20"/>
        <w:jc w:val="both"/>
        <w:rPr>
          <w:rFonts w:ascii="標楷體" w:hAnsi="標楷體" w:eastAsia="標楷體"/>
          <w:b/>
          <w:b/>
          <w:sz w:val="28"/>
        </w:rPr>
      </w:pPr>
      <w:r>
        <w:rPr>
          <w:rFonts w:eastAsia="標楷體" w:cs="標楷體" w:ascii="標楷體" w:hAnsi="標楷體"/>
          <w:b/>
          <w:sz w:val="28"/>
        </w:rPr>
        <w:t xml:space="preserve">    </w:t>
      </w:r>
      <w:r>
        <w:rPr>
          <w:rFonts w:ascii="標楷體" w:hAnsi="標楷體" w:eastAsia="標楷體"/>
          <w:b/>
          <w:sz w:val="28"/>
        </w:rPr>
        <w:t>治則</w:t>
      </w:r>
      <w:r>
        <w:rPr>
          <w:rFonts w:eastAsia="標楷體" w:ascii="標楷體" w:hAnsi="標楷體"/>
          <w:b/>
          <w:sz w:val="28"/>
        </w:rPr>
        <w:t>:</w:t>
      </w:r>
      <w:r>
        <w:rPr>
          <w:rFonts w:ascii="標楷體" w:hAnsi="標楷體" w:eastAsia="標楷體"/>
          <w:sz w:val="28"/>
        </w:rPr>
        <w:t>健脾益氣利水</w:t>
      </w:r>
    </w:p>
    <w:p>
      <w:pPr>
        <w:pStyle w:val="Normal"/>
        <w:snapToGrid w:val="false"/>
        <w:spacing w:lineRule="atLeast" w:line="20"/>
        <w:jc w:val="both"/>
        <w:rPr/>
      </w:pPr>
      <w:r>
        <w:rPr>
          <w:rFonts w:eastAsia="標楷體" w:cs="標楷體" w:ascii="標楷體" w:hAnsi="標楷體"/>
          <w:b/>
          <w:sz w:val="28"/>
        </w:rPr>
        <w:t xml:space="preserve">    </w:t>
      </w:r>
      <w:r>
        <w:rPr>
          <w:rFonts w:ascii="標楷體" w:hAnsi="標楷體" w:eastAsia="標楷體"/>
          <w:b/>
          <w:sz w:val="28"/>
        </w:rPr>
        <w:t>用藥</w:t>
      </w:r>
      <w:r>
        <w:rPr>
          <w:rFonts w:eastAsia="標楷體" w:ascii="標楷體" w:hAnsi="標楷體"/>
          <w:b/>
          <w:sz w:val="28"/>
        </w:rPr>
        <w:t>:</w:t>
      </w:r>
      <w:r>
        <w:rPr>
          <w:rFonts w:ascii="標楷體" w:hAnsi="標楷體" w:eastAsia="標楷體"/>
          <w:sz w:val="28"/>
        </w:rPr>
        <w:t>茯苓</w:t>
      </w:r>
      <w:r>
        <w:rPr>
          <w:rFonts w:ascii="標楷體" w:hAnsi="標楷體" w:eastAsia="標楷體"/>
          <w:sz w:val="20"/>
        </w:rPr>
        <w:t xml:space="preserve">五錢 </w:t>
      </w:r>
      <w:r>
        <w:rPr>
          <w:rFonts w:ascii="標楷體" w:hAnsi="標楷體" w:eastAsia="標楷體"/>
          <w:sz w:val="28"/>
        </w:rPr>
        <w:t>豬苓</w:t>
      </w:r>
      <w:r>
        <w:rPr>
          <w:rFonts w:ascii="標楷體" w:hAnsi="標楷體" w:eastAsia="標楷體"/>
          <w:sz w:val="20"/>
        </w:rPr>
        <w:t xml:space="preserve">三錢 </w:t>
      </w:r>
      <w:r>
        <w:rPr>
          <w:rFonts w:ascii="標楷體" w:hAnsi="標楷體" w:eastAsia="標楷體"/>
          <w:sz w:val="28"/>
        </w:rPr>
        <w:t>澤瀉</w:t>
      </w:r>
      <w:r>
        <w:rPr>
          <w:rFonts w:ascii="標楷體" w:hAnsi="標楷體" w:eastAsia="標楷體"/>
          <w:sz w:val="20"/>
        </w:rPr>
        <w:t xml:space="preserve">二錢 </w:t>
      </w:r>
      <w:r>
        <w:rPr>
          <w:rFonts w:ascii="標楷體" w:hAnsi="標楷體" w:eastAsia="標楷體"/>
          <w:sz w:val="28"/>
        </w:rPr>
        <w:t>桂枝</w:t>
      </w:r>
      <w:r>
        <w:rPr>
          <w:rFonts w:ascii="標楷體" w:hAnsi="標楷體" w:eastAsia="標楷體"/>
          <w:sz w:val="20"/>
        </w:rPr>
        <w:t xml:space="preserve">二錢 </w:t>
      </w:r>
      <w:r>
        <w:rPr>
          <w:rFonts w:ascii="標楷體" w:hAnsi="標楷體" w:eastAsia="標楷體"/>
          <w:sz w:val="28"/>
        </w:rPr>
        <w:t>白朮</w:t>
      </w:r>
      <w:r>
        <w:rPr>
          <w:rFonts w:ascii="標楷體" w:hAnsi="標楷體" w:eastAsia="標楷體"/>
          <w:sz w:val="20"/>
        </w:rPr>
        <w:t xml:space="preserve">三錢 </w:t>
      </w:r>
      <w:r>
        <w:rPr>
          <w:rFonts w:ascii="標楷體" w:hAnsi="標楷體" w:eastAsia="標楷體"/>
          <w:sz w:val="28"/>
        </w:rPr>
        <w:t>桑白皮</w:t>
      </w:r>
      <w:r>
        <w:rPr>
          <w:rFonts w:ascii="標楷體" w:hAnsi="標楷體" w:eastAsia="標楷體"/>
          <w:sz w:val="20"/>
        </w:rPr>
        <w:t>二錢</w:t>
      </w:r>
      <w:r>
        <w:rPr>
          <w:rFonts w:eastAsia="標楷體" w:ascii="標楷體" w:hAnsi="標楷體"/>
          <w:sz w:val="28"/>
        </w:rPr>
        <w:t>,</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厚朴</w:t>
      </w:r>
      <w:r>
        <w:rPr>
          <w:rFonts w:ascii="標楷體" w:hAnsi="標楷體" w:eastAsia="標楷體"/>
          <w:sz w:val="20"/>
        </w:rPr>
        <w:t xml:space="preserve">二錢 </w:t>
      </w:r>
      <w:r>
        <w:rPr>
          <w:rFonts w:ascii="標楷體" w:hAnsi="標楷體" w:eastAsia="標楷體"/>
          <w:sz w:val="28"/>
        </w:rPr>
        <w:t>車前子</w:t>
      </w:r>
      <w:r>
        <w:rPr>
          <w:rFonts w:ascii="標楷體" w:hAnsi="標楷體" w:eastAsia="標楷體"/>
          <w:sz w:val="20"/>
        </w:rPr>
        <w:t xml:space="preserve">五錢 </w:t>
      </w:r>
      <w:r>
        <w:rPr>
          <w:rFonts w:ascii="標楷體" w:hAnsi="標楷體" w:eastAsia="標楷體"/>
          <w:sz w:val="28"/>
        </w:rPr>
        <w:t>益母草</w:t>
      </w:r>
      <w:r>
        <w:rPr>
          <w:rFonts w:ascii="標楷體" w:hAnsi="標楷體" w:eastAsia="標楷體"/>
          <w:sz w:val="20"/>
        </w:rPr>
        <w:t xml:space="preserve">三錢 </w:t>
      </w:r>
      <w:r>
        <w:rPr>
          <w:rFonts w:ascii="標楷體" w:hAnsi="標楷體" w:eastAsia="標楷體"/>
          <w:sz w:val="28"/>
        </w:rPr>
        <w:t>薏苡仁</w:t>
      </w:r>
      <w:r>
        <w:rPr>
          <w:rFonts w:ascii="標楷體" w:hAnsi="標楷體" w:eastAsia="標楷體"/>
          <w:sz w:val="20"/>
        </w:rPr>
        <w:t xml:space="preserve">三錢 </w:t>
      </w:r>
      <w:r>
        <w:rPr>
          <w:rFonts w:ascii="標楷體" w:hAnsi="標楷體" w:eastAsia="標楷體"/>
          <w:sz w:val="28"/>
        </w:rPr>
        <w:t>漢防己</w:t>
      </w:r>
      <w:r>
        <w:rPr>
          <w:rFonts w:ascii="標楷體" w:hAnsi="標楷體" w:eastAsia="標楷體"/>
          <w:sz w:val="20"/>
        </w:rPr>
        <w:t xml:space="preserve">三錢 </w:t>
      </w:r>
      <w:r>
        <w:rPr>
          <w:rFonts w:ascii="標楷體" w:hAnsi="標楷體" w:eastAsia="標楷體"/>
          <w:sz w:val="28"/>
        </w:rPr>
        <w:t>黃耆</w:t>
      </w:r>
      <w:r>
        <w:rPr>
          <w:rFonts w:ascii="標楷體" w:hAnsi="標楷體" w:eastAsia="標楷體"/>
          <w:sz w:val="20"/>
        </w:rPr>
        <w:t>五錢</w:t>
      </w:r>
    </w:p>
    <w:p>
      <w:pPr>
        <w:pStyle w:val="Normal"/>
        <w:snapToGrid w:val="false"/>
        <w:spacing w:lineRule="atLeast" w:line="20"/>
        <w:jc w:val="both"/>
        <w:rPr/>
      </w:pPr>
      <w:r>
        <w:rPr>
          <w:rFonts w:eastAsia="標楷體" w:cs="標楷體" w:ascii="標楷體" w:hAnsi="標楷體"/>
          <w:sz w:val="28"/>
        </w:rPr>
        <w:t xml:space="preserve">    </w:t>
      </w:r>
      <w:r>
        <w:rPr>
          <w:rFonts w:ascii="標楷體" w:hAnsi="標楷體" w:eastAsia="標楷體"/>
          <w:b/>
          <w:sz w:val="28"/>
        </w:rPr>
        <w:t>辨證用藥分析</w:t>
      </w:r>
      <w:r>
        <w:rPr>
          <w:rFonts w:eastAsia="標楷體" w:ascii="標楷體" w:hAnsi="標楷體"/>
          <w:b/>
          <w:sz w:val="28"/>
        </w:rPr>
        <w:t>:</w:t>
      </w:r>
    </w:p>
    <w:p>
      <w:pPr>
        <w:pStyle w:val="Normal"/>
        <w:snapToGrid w:val="false"/>
        <w:spacing w:lineRule="atLeast" w:line="20"/>
        <w:jc w:val="both"/>
        <w:rPr/>
      </w:pPr>
      <w:r>
        <w:rPr>
          <w:rFonts w:eastAsia="標楷體" w:cs="標楷體" w:ascii="標楷體" w:hAnsi="標楷體"/>
          <w:sz w:val="28"/>
        </w:rPr>
        <w:t xml:space="preserve">    </w:t>
      </w:r>
      <w:r>
        <w:rPr>
          <w:rFonts w:eastAsia="標楷體" w:ascii="標楷體" w:hAnsi="標楷體"/>
          <w:sz w:val="28"/>
        </w:rPr>
        <w:t>&lt;&lt;</w:t>
      </w:r>
      <w:r>
        <w:rPr>
          <w:rFonts w:ascii="標楷體" w:hAnsi="標楷體" w:eastAsia="標楷體"/>
          <w:sz w:val="28"/>
        </w:rPr>
        <w:t>金匱要略</w:t>
      </w:r>
      <w:r>
        <w:rPr>
          <w:rFonts w:eastAsia="標楷體" w:ascii="標楷體" w:hAnsi="標楷體"/>
          <w:sz w:val="28"/>
        </w:rPr>
        <w:t>&gt;&gt;:</w:t>
      </w:r>
      <w:r>
        <w:rPr>
          <w:rFonts w:ascii="標楷體" w:hAnsi="標楷體" w:eastAsia="標楷體"/>
          <w:sz w:val="28"/>
        </w:rPr>
        <w:t>「</w:t>
      </w:r>
      <w:r>
        <w:rPr>
          <w:rFonts w:ascii="標楷體" w:hAnsi="標楷體" w:cs="MS Sans Serif;Arial" w:eastAsia="標楷體"/>
          <w:sz w:val="28"/>
        </w:rPr>
        <w:t>風濕，脈浮，身重，汗出惡風者，防己黃耆湯主之。</w:t>
      </w:r>
      <w:r>
        <w:rPr>
          <w:rFonts w:ascii="標楷體" w:hAnsi="標楷體" w:eastAsia="標楷體"/>
          <w:sz w:val="28"/>
        </w:rPr>
        <w:t>」風濕在表，表衛不固，非一般汗劑可用，當益氣固表，故以防己黃耆湯治之。由上可知本方以防己利水，佐白朮袪濕，用黃耆益氣固表，合五苓散及薏苡仁、車前子利濕行水，益母草活血利濕、厚朴健脾益氣利濕。</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用藥至今，患者水腫程度只剩下肢微腫不消，其他症狀大致已漸趨穩定，故主其回家休養，門診追蹤即可，並且每天服用類固醇七顆。</w:t>
      </w:r>
    </w:p>
    <w:p>
      <w:pPr>
        <w:pStyle w:val="Normal"/>
        <w:snapToGrid w:val="false"/>
        <w:spacing w:lineRule="atLeast" w:line="20"/>
        <w:jc w:val="both"/>
        <w:rPr>
          <w:rFonts w:ascii="標楷體" w:hAnsi="標楷體" w:eastAsia="標楷體"/>
          <w:sz w:val="28"/>
        </w:rPr>
      </w:pPr>
      <w:r>
        <w:rPr>
          <w:rFonts w:eastAsia="標楷體" w:ascii="標楷體" w:hAnsi="標楷體"/>
          <w:sz w:val="28"/>
        </w:rPr>
      </w:r>
    </w:p>
    <w:p>
      <w:pPr>
        <w:pStyle w:val="Normal"/>
        <w:snapToGrid w:val="false"/>
        <w:spacing w:lineRule="atLeast" w:line="20"/>
        <w:jc w:val="center"/>
        <w:rPr>
          <w:rFonts w:ascii="標楷體" w:hAnsi="標楷體" w:eastAsia="標楷體"/>
          <w:b/>
          <w:b/>
          <w:sz w:val="32"/>
        </w:rPr>
      </w:pPr>
      <w:r>
        <w:rPr>
          <w:rFonts w:ascii="標楷體" w:hAnsi="標楷體" w:eastAsia="標楷體"/>
          <w:b/>
          <w:sz w:val="32"/>
        </w:rPr>
        <w:t>出院後追蹤</w:t>
      </w:r>
    </w:p>
    <w:p>
      <w:pPr>
        <w:pStyle w:val="Normal"/>
        <w:snapToGrid w:val="false"/>
        <w:spacing w:lineRule="atLeast" w:line="20"/>
        <w:jc w:val="both"/>
        <w:rPr>
          <w:rFonts w:ascii="標楷體" w:hAnsi="標楷體" w:eastAsia="標楷體" w:cs="標楷體"/>
          <w:sz w:val="28"/>
        </w:rPr>
      </w:pPr>
      <w:r>
        <w:rPr>
          <w:rFonts w:eastAsia="標楷體" w:cs="標楷體" w:ascii="標楷體" w:hAnsi="標楷體"/>
          <w:sz w:val="28"/>
        </w:rPr>
        <w:t xml:space="preserve">    </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本患者注入白蛋白之後，水腫雖有下降，但只有施打後的兩天，每天下降一公斤，之後即不再下降。雖然繼續使用中藥，但其利下肢水腫之速度仍然有限，故輔以類固醇療法以加速患者之痊癒。</w:t>
      </w:r>
    </w:p>
    <w:p>
      <w:pPr>
        <w:pStyle w:val="Normal"/>
        <w:snapToGrid w:val="false"/>
        <w:spacing w:lineRule="atLeast" w:line="20"/>
        <w:jc w:val="both"/>
        <w:rPr/>
      </w:pPr>
      <w:r>
        <w:rPr>
          <w:rFonts w:eastAsia="標楷體" w:cs="標楷體" w:ascii="標楷體" w:hAnsi="標楷體"/>
          <w:sz w:val="28"/>
        </w:rPr>
        <w:t xml:space="preserve">    </w:t>
      </w:r>
      <w:r>
        <w:rPr>
          <w:rFonts w:ascii="標楷體" w:hAnsi="標楷體" w:eastAsia="標楷體"/>
          <w:sz w:val="28"/>
        </w:rPr>
        <w:t>本患者出院後，三天內回診，發現其下肢水腫的情形更嚴重</w:t>
      </w:r>
      <w:r>
        <w:rPr>
          <w:rFonts w:eastAsia="標楷體" w:ascii="標楷體" w:hAnsi="標楷體"/>
          <w:sz w:val="28"/>
        </w:rPr>
        <w:t>(</w:t>
      </w:r>
      <w:r>
        <w:rPr>
          <w:rFonts w:ascii="標楷體" w:hAnsi="標楷體" w:eastAsia="標楷體"/>
          <w:sz w:val="28"/>
        </w:rPr>
        <w:t>由出院前的</w:t>
      </w:r>
      <w:r>
        <w:rPr>
          <w:rFonts w:eastAsia="標楷體" w:ascii="標楷體" w:hAnsi="標楷體"/>
          <w:sz w:val="28"/>
        </w:rPr>
        <w:t>59</w:t>
      </w:r>
      <w:r>
        <w:rPr>
          <w:rFonts w:ascii="標楷體" w:hAnsi="標楷體" w:eastAsia="標楷體"/>
          <w:sz w:val="28"/>
        </w:rPr>
        <w:t>公斤變成至今</w:t>
      </w:r>
      <w:r>
        <w:rPr>
          <w:rFonts w:eastAsia="標楷體" w:ascii="標楷體" w:hAnsi="標楷體"/>
          <w:sz w:val="28"/>
        </w:rPr>
        <w:t>61</w:t>
      </w:r>
      <w:r>
        <w:rPr>
          <w:rFonts w:ascii="標楷體" w:hAnsi="標楷體" w:eastAsia="標楷體"/>
          <w:sz w:val="28"/>
        </w:rPr>
        <w:t>公斤</w:t>
      </w:r>
      <w:r>
        <w:rPr>
          <w:rFonts w:eastAsia="標楷體" w:ascii="標楷體" w:hAnsi="標楷體"/>
          <w:sz w:val="28"/>
        </w:rPr>
        <w:t>)</w:t>
      </w:r>
      <w:r>
        <w:rPr>
          <w:rFonts w:ascii="標楷體" w:hAnsi="標楷體" w:eastAsia="標楷體"/>
          <w:sz w:val="28"/>
        </w:rPr>
        <w:t>，原因是類固醇剛開始使用時，會有鈉鉀滯留的情形，造成水腫症狀加重，再加上患者回家後開始操煩家事，因此產生症劇。囑患者不用擔心，別太操勞，要多休息。</w:t>
      </w:r>
    </w:p>
    <w:p>
      <w:pPr>
        <w:pStyle w:val="Normal"/>
        <w:snapToGrid w:val="false"/>
        <w:spacing w:lineRule="atLeast" w:line="20"/>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患者過五天後，於二月九日來複診，發現其下肢水腫已完全消除，五天利水六公斤（由</w:t>
      </w:r>
      <w:r>
        <w:rPr>
          <w:rFonts w:eastAsia="標楷體" w:ascii="標楷體" w:hAnsi="標楷體"/>
          <w:sz w:val="28"/>
        </w:rPr>
        <w:t>61</w:t>
      </w:r>
      <w:r>
        <w:rPr>
          <w:rFonts w:ascii="標楷體" w:hAnsi="標楷體" w:eastAsia="標楷體"/>
          <w:sz w:val="28"/>
        </w:rPr>
        <w:t>公斤降至</w:t>
      </w:r>
      <w:r>
        <w:rPr>
          <w:rFonts w:eastAsia="標楷體" w:ascii="標楷體" w:hAnsi="標楷體"/>
          <w:sz w:val="28"/>
        </w:rPr>
        <w:t>55</w:t>
      </w:r>
      <w:r>
        <w:rPr>
          <w:rFonts w:ascii="標楷體" w:hAnsi="標楷體" w:eastAsia="標楷體"/>
          <w:sz w:val="28"/>
        </w:rPr>
        <w:t>公斤），倍覺疲勞，有頭暈、口乾的現象，故給予益氣養陰之方以復其津氣，鞏固至今已數星期，水腫現象不復現。</w:t>
      </w:r>
    </w:p>
    <w:p>
      <w:pPr>
        <w:pStyle w:val="Normal"/>
        <w:snapToGrid w:val="false"/>
        <w:spacing w:lineRule="atLeast" w:line="20"/>
        <w:jc w:val="both"/>
        <w:rPr>
          <w:rFonts w:ascii="標楷體" w:hAnsi="標楷體" w:eastAsia="標楷體"/>
          <w:sz w:val="28"/>
        </w:rPr>
      </w:pPr>
      <w:r>
        <w:rPr>
          <w:rFonts w:eastAsia="標楷體" w:ascii="標楷體" w:hAnsi="標楷體"/>
          <w:sz w:val="28"/>
        </w:rPr>
      </w:r>
    </w:p>
    <w:p>
      <w:pPr>
        <w:pStyle w:val="Normal"/>
        <w:snapToGrid w:val="false"/>
        <w:spacing w:lineRule="atLeast" w:line="20"/>
        <w:jc w:val="both"/>
        <w:rPr>
          <w:rFonts w:ascii="標楷體" w:hAnsi="標楷體" w:eastAsia="標楷體"/>
          <w:sz w:val="28"/>
        </w:rPr>
      </w:pPr>
      <w:r>
        <w:rPr>
          <w:rFonts w:eastAsia="標楷體" w:ascii="標楷體" w:hAnsi="標楷體"/>
          <w:sz w:val="28"/>
        </w:rPr>
      </w:r>
    </w:p>
    <w:p>
      <w:pPr>
        <w:pStyle w:val="Normal"/>
        <w:snapToGrid w:val="false"/>
        <w:spacing w:lineRule="atLeast" w:line="20"/>
        <w:jc w:val="both"/>
        <w:rPr>
          <w:rFonts w:ascii="標楷體" w:hAnsi="標楷體" w:eastAsia="標楷體"/>
          <w:sz w:val="28"/>
        </w:rPr>
      </w:pPr>
      <w:r>
        <w:rPr>
          <w:rFonts w:eastAsia="標楷體" w:ascii="標楷體" w:hAnsi="標楷體"/>
          <w:sz w:val="28"/>
        </w:rPr>
      </w:r>
    </w:p>
    <w:p>
      <w:pPr>
        <w:pStyle w:val="Normal"/>
        <w:snapToGrid w:val="false"/>
        <w:spacing w:lineRule="atLeast" w:line="20"/>
        <w:jc w:val="both"/>
        <w:rPr>
          <w:rFonts w:ascii="標楷體" w:hAnsi="標楷體" w:eastAsia="標楷體"/>
          <w:sz w:val="28"/>
        </w:rPr>
      </w:pPr>
      <w:r>
        <w:rPr>
          <w:rFonts w:eastAsia="標楷體" w:ascii="標楷體" w:hAnsi="標楷體"/>
          <w:sz w:val="28"/>
        </w:rPr>
      </w:r>
    </w:p>
    <w:p>
      <w:pPr>
        <w:pStyle w:val="Normal"/>
        <w:snapToGrid w:val="false"/>
        <w:spacing w:lineRule="atLeast" w:line="20"/>
        <w:jc w:val="both"/>
        <w:rPr>
          <w:rFonts w:ascii="標楷體" w:hAnsi="標楷體" w:eastAsia="標楷體"/>
          <w:sz w:val="28"/>
        </w:rPr>
      </w:pPr>
      <w:r>
        <w:rPr>
          <w:rFonts w:eastAsia="標楷體" w:ascii="標楷體" w:hAnsi="標楷體"/>
          <w:sz w:val="28"/>
        </w:rPr>
      </w:r>
    </w:p>
    <w:p>
      <w:pPr>
        <w:pStyle w:val="Normal"/>
        <w:snapToGrid w:val="false"/>
        <w:spacing w:lineRule="atLeast" w:line="20"/>
        <w:jc w:val="both"/>
        <w:rPr>
          <w:rFonts w:ascii="標楷體" w:hAnsi="標楷體" w:eastAsia="標楷體"/>
          <w:sz w:val="28"/>
        </w:rPr>
      </w:pPr>
      <w:r>
        <w:rPr>
          <w:rFonts w:eastAsia="標楷體" w:ascii="標楷體" w:hAnsi="標楷體"/>
          <w:sz w:val="28"/>
        </w:rPr>
      </w:r>
    </w:p>
    <w:p>
      <w:pPr>
        <w:pStyle w:val="Normal"/>
        <w:snapToGrid w:val="false"/>
        <w:spacing w:lineRule="atLeast" w:line="20"/>
        <w:jc w:val="both"/>
        <w:rPr>
          <w:rFonts w:ascii="標楷體" w:hAnsi="標楷體" w:eastAsia="標楷體"/>
          <w:sz w:val="28"/>
        </w:rPr>
      </w:pPr>
      <w:r>
        <w:rPr>
          <w:rFonts w:eastAsia="標楷體" w:ascii="標楷體" w:hAnsi="標楷體"/>
          <w:sz w:val="28"/>
        </w:rPr>
      </w:r>
    </w:p>
    <w:p>
      <w:pPr>
        <w:pStyle w:val="Normal"/>
        <w:snapToGrid w:val="false"/>
        <w:spacing w:lineRule="atLeast" w:line="20"/>
        <w:jc w:val="both"/>
        <w:rPr>
          <w:rFonts w:ascii="標楷體" w:hAnsi="標楷體" w:eastAsia="標楷體"/>
          <w:sz w:val="28"/>
        </w:rPr>
      </w:pPr>
      <w:r>
        <w:rPr>
          <w:rFonts w:eastAsia="標楷體" w:ascii="標楷體" w:hAnsi="標楷體"/>
          <w:sz w:val="28"/>
        </w:rPr>
      </w:r>
    </w:p>
    <w:p>
      <w:pPr>
        <w:pStyle w:val="Normal"/>
        <w:snapToGrid w:val="false"/>
        <w:spacing w:lineRule="atLeast" w:line="20"/>
        <w:jc w:val="both"/>
        <w:rPr>
          <w:rFonts w:ascii="標楷體" w:hAnsi="標楷體" w:eastAsia="標楷體"/>
          <w:sz w:val="28"/>
        </w:rPr>
      </w:pPr>
      <w:r>
        <w:rPr>
          <w:rFonts w:eastAsia="標楷體" w:ascii="標楷體" w:hAnsi="標楷體"/>
          <w:sz w:val="28"/>
        </w:rPr>
      </w:r>
    </w:p>
    <w:p>
      <w:pPr>
        <w:pStyle w:val="Normal"/>
        <w:snapToGrid w:val="false"/>
        <w:spacing w:lineRule="atLeast" w:line="20"/>
        <w:jc w:val="center"/>
        <w:rPr>
          <w:rFonts w:ascii="標楷體" w:hAnsi="標楷體" w:eastAsia="標楷體"/>
          <w:b/>
          <w:b/>
          <w:sz w:val="32"/>
        </w:rPr>
      </w:pPr>
      <w:r>
        <w:rPr>
          <w:rFonts w:ascii="標楷體" w:hAnsi="標楷體" w:eastAsia="標楷體"/>
          <w:b/>
          <w:sz w:val="32"/>
        </w:rPr>
        <w:t>歐氏病歷整體回顧</w:t>
      </w:r>
    </w:p>
    <w:p>
      <w:pPr>
        <w:pStyle w:val="Normal"/>
        <w:snapToGrid w:val="false"/>
        <w:spacing w:lineRule="atLeast" w:line="20"/>
        <w:jc w:val="both"/>
        <w:rPr>
          <w:rFonts w:ascii="標楷體" w:hAnsi="標楷體" w:eastAsia="標楷體"/>
          <w:b/>
          <w:b/>
          <w:sz w:val="32"/>
        </w:rPr>
      </w:pPr>
      <w:r>
        <w:rPr>
          <w:rFonts w:eastAsia="標楷體" w:ascii="標楷體" w:hAnsi="標楷體"/>
          <w:b/>
          <w:sz w:val="32"/>
        </w:rPr>
      </w:r>
    </w:p>
    <w:p>
      <w:pPr>
        <w:pStyle w:val="Normal"/>
        <w:snapToGrid w:val="false"/>
        <w:spacing w:lineRule="atLeast" w:line="20"/>
        <w:jc w:val="both"/>
        <w:rPr/>
      </w:pPr>
      <w:r>
        <w:rPr>
          <w:rFonts w:eastAsia="標楷體" w:cs="標楷體" w:ascii="標楷體" w:hAnsi="標楷體"/>
          <w:sz w:val="28"/>
        </w:rPr>
        <w:t xml:space="preserve">    </w:t>
      </w:r>
      <w:r>
        <w:rPr>
          <w:rFonts w:eastAsia="Wingdings" w:cs="Wingdings" w:ascii="Wingdings" w:hAnsi="Wingdings"/>
          <w:sz w:val="28"/>
        </w:rPr>
        <w:t></w:t>
      </w:r>
      <w:r>
        <w:rPr>
          <w:rFonts w:ascii="標楷體" w:hAnsi="標楷體" w:eastAsia="標楷體"/>
          <w:sz w:val="28"/>
        </w:rPr>
        <w:t>本患者於住院前七天，以越婢五苓散合五皮飲加銀翹散為基本方</w:t>
      </w:r>
      <w:r>
        <w:rPr>
          <w:rFonts w:eastAsia="標楷體" w:ascii="標楷體" w:hAnsi="標楷體"/>
          <w:sz w:val="28"/>
        </w:rPr>
        <w:t>(</w:t>
      </w:r>
      <w:r>
        <w:rPr>
          <w:rFonts w:ascii="標楷體" w:hAnsi="標楷體" w:eastAsia="標楷體"/>
          <w:sz w:val="28"/>
        </w:rPr>
        <w:t>水煎藥</w:t>
      </w:r>
      <w:r>
        <w:rPr>
          <w:rFonts w:eastAsia="標楷體" w:ascii="標楷體" w:hAnsi="標楷體"/>
          <w:sz w:val="28"/>
        </w:rPr>
        <w:t>)</w:t>
      </w:r>
      <w:r>
        <w:rPr>
          <w:rFonts w:ascii="標楷體" w:hAnsi="標楷體" w:eastAsia="標楷體"/>
          <w:sz w:val="28"/>
        </w:rPr>
        <w:t>治療，一星期內體重減輕了</w:t>
      </w:r>
      <w:r>
        <w:rPr>
          <w:rFonts w:eastAsia="標楷體" w:ascii="標楷體" w:hAnsi="標楷體"/>
          <w:sz w:val="28"/>
        </w:rPr>
        <w:t>4.5</w:t>
      </w:r>
      <w:r>
        <w:rPr>
          <w:rFonts w:ascii="標楷體" w:hAnsi="標楷體" w:eastAsia="標楷體"/>
          <w:sz w:val="28"/>
        </w:rPr>
        <w:t>公斤，為求更進一步加強治療，於是收住院。</w:t>
      </w:r>
    </w:p>
    <w:p>
      <w:pPr>
        <w:pStyle w:val="TextBody"/>
        <w:spacing w:lineRule="atLeast" w:line="20"/>
        <w:jc w:val="both"/>
        <w:rPr/>
      </w:pPr>
      <w:r>
        <w:rPr>
          <w:rFonts w:eastAsia="標楷體" w:cs="標楷體" w:ascii="標楷體" w:hAnsi="標楷體"/>
        </w:rPr>
        <w:t xml:space="preserve">    </w:t>
      </w:r>
      <w:r>
        <w:rPr>
          <w:rFonts w:eastAsia="Wingdings" w:cs="Wingdings" w:ascii="Wingdings" w:hAnsi="Wingdings"/>
        </w:rPr>
        <w:t></w:t>
      </w:r>
      <w:r>
        <w:rPr>
          <w:rFonts w:ascii="標楷體" w:hAnsi="標楷體" w:eastAsia="標楷體"/>
        </w:rPr>
        <w:t>不管是濃縮中藥或水煎藥，由此患者觀之，其療效之出現為一</w:t>
      </w:r>
      <w:r>
        <w:rPr>
          <w:rFonts w:ascii="標楷體" w:hAnsi="標楷體" w:eastAsia="標楷體"/>
        </w:rPr>
        <w:t>、</w:t>
      </w:r>
      <w:r>
        <w:rPr>
          <w:rFonts w:ascii="標楷體" w:hAnsi="標楷體" w:eastAsia="標楷體"/>
        </w:rPr>
        <w:t>二天之後，且濃縮中藥之療效有待評估，因其使用之後，體重下降之速度有限，甚至產生不降反升的情形。</w:t>
      </w:r>
    </w:p>
    <w:p>
      <w:pPr>
        <w:pStyle w:val="TextBody"/>
        <w:spacing w:lineRule="atLeast" w:line="20"/>
        <w:jc w:val="both"/>
        <w:rPr/>
      </w:pPr>
      <w:r>
        <w:rPr>
          <w:rFonts w:eastAsia="標楷體" w:cs="標楷體" w:ascii="標楷體" w:hAnsi="標楷體"/>
        </w:rPr>
        <w:t xml:space="preserve">    </w:t>
      </w:r>
      <w:r>
        <w:rPr>
          <w:rFonts w:eastAsia="Wingdings" w:cs="Wingdings" w:ascii="Wingdings" w:hAnsi="Wingdings"/>
        </w:rPr>
        <w:t></w:t>
      </w:r>
      <w:r>
        <w:rPr>
          <w:rFonts w:ascii="標楷體" w:hAnsi="標楷體" w:eastAsia="標楷體"/>
        </w:rPr>
        <w:t>本患者曾使用附子補陽，甚至加入疏肝藥，最後證明效果均不佳，雖然治水腫可從脾、腎、肝等臟腑著手，但秉持著正氣仍存，先袪邪的原則，故當治以宣肺袪風利濕為主，總之以分清主次為要。</w:t>
      </w:r>
    </w:p>
    <w:p>
      <w:pPr>
        <w:pStyle w:val="Normal"/>
        <w:snapToGrid w:val="false"/>
        <w:spacing w:lineRule="atLeast" w:line="20"/>
        <w:jc w:val="both"/>
        <w:rPr/>
      </w:pPr>
      <w:r>
        <w:rPr>
          <w:rFonts w:eastAsia="標楷體" w:cs="標楷體" w:ascii="標楷體" w:hAnsi="標楷體"/>
          <w:sz w:val="28"/>
        </w:rPr>
        <w:t xml:space="preserve">    </w:t>
      </w:r>
      <w:r>
        <w:rPr>
          <w:rFonts w:eastAsia="Wingdings" w:cs="Wingdings" w:ascii="Wingdings" w:hAnsi="Wingdings"/>
          <w:sz w:val="28"/>
        </w:rPr>
        <w:t></w:t>
      </w:r>
      <w:r>
        <w:rPr>
          <w:rFonts w:ascii="標楷體" w:hAnsi="標楷體" w:eastAsia="標楷體"/>
          <w:sz w:val="28"/>
        </w:rPr>
        <w:t>此患者由於胃中虛冷，服用水煎藥，有吐利的情形發生，日後當建議患者飯後半小時服藥方為適當時機。</w:t>
      </w:r>
    </w:p>
    <w:p>
      <w:pPr>
        <w:pStyle w:val="Normal"/>
        <w:snapToGrid w:val="false"/>
        <w:spacing w:lineRule="atLeast" w:line="20"/>
        <w:jc w:val="both"/>
        <w:rPr/>
      </w:pPr>
      <w:r>
        <w:rPr>
          <w:rFonts w:eastAsia="標楷體" w:cs="標楷體" w:ascii="標楷體" w:hAnsi="標楷體"/>
          <w:sz w:val="28"/>
        </w:rPr>
        <w:t xml:space="preserve">    </w:t>
      </w:r>
      <w:r>
        <w:rPr>
          <w:rFonts w:eastAsia="Wingdings" w:cs="Wingdings" w:ascii="Wingdings" w:hAnsi="Wingdings"/>
          <w:sz w:val="28"/>
        </w:rPr>
        <w:t></w:t>
      </w:r>
      <w:r>
        <w:rPr>
          <w:rFonts w:ascii="標楷體" w:hAnsi="標楷體" w:eastAsia="標楷體"/>
          <w:sz w:val="28"/>
        </w:rPr>
        <w:t>血不利則為水，故而患者加入活血化瘀藥之時機是重要的。     何時加益氣固表袪濕之防己黃耆湯，其時機之選擇亦屬重要。</w:t>
      </w:r>
    </w:p>
    <w:p>
      <w:pPr>
        <w:pStyle w:val="Normal"/>
        <w:snapToGrid w:val="false"/>
        <w:spacing w:lineRule="atLeast" w:line="20"/>
        <w:jc w:val="both"/>
        <w:rPr/>
      </w:pPr>
      <w:r>
        <w:rPr>
          <w:rFonts w:eastAsia="標楷體" w:cs="標楷體" w:ascii="標楷體" w:hAnsi="標楷體"/>
          <w:sz w:val="28"/>
        </w:rPr>
        <w:t xml:space="preserve">    </w:t>
      </w:r>
      <w:r>
        <w:rPr>
          <w:rFonts w:eastAsia="Wingdings" w:cs="Wingdings" w:ascii="Wingdings" w:hAnsi="Wingdings"/>
          <w:sz w:val="28"/>
        </w:rPr>
        <w:t></w:t>
      </w:r>
      <w:r>
        <w:rPr>
          <w:rFonts w:ascii="標楷體" w:hAnsi="標楷體" w:eastAsia="標楷體"/>
          <w:sz w:val="28"/>
        </w:rPr>
        <w:t>由治療本患者可知，使用中藥一段時間之後，復加入西藥之類固醇，不但療效增加，而且類固醇劑量幾乎可以減半使用，不獨可以減輕其副作用，而且對日後之劑量遞減亦有一定之幫助，對於提升患者之生活品質及心理因素均有一定之助益。</w:t>
      </w:r>
    </w:p>
    <w:p>
      <w:pPr>
        <w:pStyle w:val="Normal"/>
        <w:snapToGrid w:val="false"/>
        <w:spacing w:lineRule="atLeast" w:line="20"/>
        <w:jc w:val="both"/>
        <w:rPr/>
      </w:pPr>
      <w:r>
        <w:rPr>
          <w:rFonts w:eastAsia="標楷體" w:cs="標楷體" w:ascii="標楷體" w:hAnsi="標楷體"/>
          <w:sz w:val="28"/>
        </w:rPr>
        <w:t xml:space="preserve">    </w:t>
      </w:r>
      <w:r>
        <w:rPr>
          <w:rFonts w:eastAsia="Wingdings" w:cs="Wingdings" w:ascii="Wingdings" w:hAnsi="Wingdings"/>
          <w:sz w:val="28"/>
        </w:rPr>
        <w:t></w:t>
      </w:r>
      <w:r>
        <w:rPr>
          <w:rFonts w:ascii="標楷體" w:hAnsi="標楷體" w:eastAsia="標楷體"/>
          <w:sz w:val="28"/>
        </w:rPr>
        <w:t>患者之二十四小時蛋白尿不降反升，當和檢體之取樣有關。</w:t>
      </w:r>
    </w:p>
    <w:p>
      <w:pPr>
        <w:pStyle w:val="Normal"/>
        <w:snapToGrid w:val="false"/>
        <w:spacing w:lineRule="atLeast" w:line="20"/>
        <w:jc w:val="both"/>
        <w:rPr/>
      </w:pPr>
      <w:r>
        <w:rPr>
          <w:rFonts w:eastAsia="標楷體" w:cs="標楷體" w:ascii="標楷體" w:hAnsi="標楷體"/>
          <w:sz w:val="28"/>
        </w:rPr>
        <w:t xml:space="preserve">    </w:t>
      </w:r>
      <w:r>
        <w:rPr>
          <w:rFonts w:eastAsia="Wingdings" w:cs="Wingdings" w:ascii="Wingdings" w:hAnsi="Wingdings"/>
          <w:sz w:val="28"/>
        </w:rPr>
        <w:t></w:t>
      </w:r>
      <w:r>
        <w:rPr>
          <w:rFonts w:ascii="標楷體" w:hAnsi="標楷體" w:eastAsia="標楷體"/>
          <w:sz w:val="28"/>
        </w:rPr>
        <w:t>患者之膽固醇治後已降至正常。</w:t>
      </w:r>
    </w:p>
    <w:p>
      <w:pPr>
        <w:pStyle w:val="Normal"/>
        <w:snapToGrid w:val="false"/>
        <w:spacing w:lineRule="atLeast" w:line="20"/>
        <w:jc w:val="both"/>
        <w:rPr/>
      </w:pPr>
      <w:r>
        <w:rPr>
          <w:rFonts w:eastAsia="標楷體" w:cs="標楷體" w:ascii="標楷體" w:hAnsi="標楷體"/>
          <w:sz w:val="28"/>
        </w:rPr>
        <w:t xml:space="preserve">    </w:t>
      </w:r>
      <w:r>
        <w:rPr>
          <w:rFonts w:eastAsia="Wingdings" w:cs="Wingdings" w:ascii="Wingdings" w:hAnsi="Wingdings"/>
          <w:sz w:val="28"/>
        </w:rPr>
        <w:t></w:t>
      </w:r>
      <w:r>
        <w:rPr>
          <w:rFonts w:ascii="標楷體" w:hAnsi="標楷體" w:eastAsia="標楷體"/>
          <w:sz w:val="28"/>
        </w:rPr>
        <w:t>患者對飲水及飲食之服用，已到了過度小心的地步，腎病症候群的患者對蛋白質之攝取是不用過度強調的，均衡即可。飲水雖要限制，但如果過分限制的話，會造成血行不暢，反而會影響病情。</w:t>
      </w:r>
    </w:p>
    <w:p>
      <w:pPr>
        <w:pStyle w:val="Normal"/>
        <w:snapToGrid w:val="false"/>
        <w:spacing w:lineRule="atLeast" w:line="20"/>
        <w:jc w:val="both"/>
        <w:rPr/>
      </w:pPr>
      <w:r>
        <w:rPr>
          <w:rFonts w:eastAsia="標楷體" w:cs="標楷體" w:ascii="標楷體" w:hAnsi="標楷體"/>
          <w:sz w:val="28"/>
        </w:rPr>
        <w:t xml:space="preserve">    </w:t>
      </w:r>
      <w:r>
        <w:rPr>
          <w:rFonts w:eastAsia="Wingdings" w:cs="Wingdings" w:ascii="Wingdings" w:hAnsi="Wingdings"/>
          <w:sz w:val="28"/>
        </w:rPr>
        <w:t></w:t>
      </w:r>
      <w:r>
        <w:rPr>
          <w:rFonts w:ascii="標楷體" w:hAnsi="標楷體" w:eastAsia="標楷體"/>
          <w:sz w:val="28"/>
        </w:rPr>
        <w:t>本患者雖然水腫全消，但日後對於血中白蛋白以及蛋白尿之追蹤是重要的，並且藥鞏固療效，以預防其再復發。</w:t>
      </w:r>
      <w:r>
        <w:br w:type="page"/>
      </w:r>
    </w:p>
    <w:p>
      <w:pPr>
        <w:pStyle w:val="Normal"/>
        <w:snapToGrid w:val="false"/>
        <w:spacing w:lineRule="atLeast" w:line="20"/>
        <w:jc w:val="both"/>
        <w:rPr>
          <w:rFonts w:ascii="華康細圓體" w:hAnsi="華康細圓體" w:eastAsia="標楷體"/>
          <w:sz w:val="28"/>
        </w:rPr>
      </w:pPr>
      <w:r>
        <w:rPr>
          <w:rFonts w:eastAsia="標楷體" w:ascii="華康細圓體" w:hAnsi="華康細圓體"/>
          <w:sz w:val="28"/>
        </w:rPr>
      </w:r>
    </w:p>
    <w:p>
      <w:pPr>
        <w:pStyle w:val="Normal"/>
        <w:snapToGrid w:val="false"/>
        <w:jc w:val="center"/>
        <w:rPr>
          <w:rFonts w:eastAsia="標楷體"/>
          <w:b/>
          <w:b/>
          <w:sz w:val="32"/>
        </w:rPr>
      </w:pPr>
      <w:r>
        <w:rPr>
          <w:rFonts w:eastAsia="標楷體"/>
          <w:b/>
          <w:sz w:val="32"/>
        </w:rPr>
        <w:t>結論</w:t>
      </w:r>
    </w:p>
    <w:p>
      <w:pPr>
        <w:pStyle w:val="Normal"/>
        <w:snapToGrid w:val="false"/>
        <w:rPr>
          <w:rFonts w:eastAsia="標楷體"/>
          <w:b/>
          <w:b/>
          <w:sz w:val="28"/>
        </w:rPr>
      </w:pPr>
      <w:r>
        <w:rPr>
          <w:rFonts w:eastAsia="標楷體"/>
          <w:b/>
          <w:sz w:val="28"/>
        </w:rPr>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根據古代典籍對水腫的相關描述，可整理出一套對腎病症候群相關的描述，從而對其發病機轉及致病因子加以整理，以提供臨床治療模式。中醫認為本病是正虛造成邪湊的結果，所謂「邪之所湊，其氣必虛」，「正氣存內，邪不可干」，此邪可以是外感或原因不明所造成者，或繼發性原因，如紅斑性狼瘡、藥物、癌症所形成者。邪犯之後可造成脾腎氣虛，精微物質流失的結果，三焦氣化不利，終成水停，其中瘀血可惡化本病，因此治療本病除袪風除邪之外，並當從健脾固腎、活血化瘀方向治之。</w:t>
      </w:r>
    </w:p>
    <w:p>
      <w:pPr>
        <w:pStyle w:val="Normal"/>
        <w:snapToGrid w:val="false"/>
        <w:jc w:val="both"/>
        <w:rPr/>
      </w:pPr>
      <w:r>
        <w:rPr>
          <w:rFonts w:eastAsia="標楷體" w:cs="標楷體" w:ascii="標楷體" w:hAnsi="標楷體"/>
          <w:sz w:val="28"/>
        </w:rPr>
        <w:t xml:space="preserve">    </w:t>
      </w:r>
      <w:r>
        <w:rPr>
          <w:rFonts w:ascii="標楷體" w:hAnsi="標楷體" w:eastAsia="標楷體"/>
          <w:sz w:val="28"/>
        </w:rPr>
        <w:t>除了從水腫可探討中醫對腎病症候群的相關描述及治療模式之外，亦可從虛勞、瘀血、尿血、腰痛等腎病症候群相關臨床表現，對本病加以論述瞭解，從而提供本虛標實的治療方法。此外，腎病症候群的病理分型亦可對治療提供一定的方向，例如和上呼吸道感染有關的病理分型有微小病變型、膜增生第一型及免疫球蛋白甲型（</w:t>
      </w:r>
      <w:r>
        <w:rPr>
          <w:rFonts w:eastAsia="標楷體" w:cs="Arial" w:ascii="標楷體" w:hAnsi="標楷體"/>
          <w:sz w:val="28"/>
        </w:rPr>
        <w:t>I</w:t>
      </w:r>
      <w:r>
        <w:rPr>
          <w:rFonts w:eastAsia="標楷體" w:cs="Arial" w:ascii="標楷體" w:hAnsi="標楷體"/>
          <w:sz w:val="28"/>
        </w:rPr>
        <w:t>g</w:t>
      </w:r>
      <w:r>
        <w:rPr>
          <w:rFonts w:eastAsia="標楷體" w:cs="Arial" w:ascii="標楷體" w:hAnsi="標楷體"/>
          <w:sz w:val="28"/>
        </w:rPr>
        <w:t>A</w:t>
      </w:r>
      <w:r>
        <w:rPr>
          <w:rFonts w:ascii="標楷體" w:hAnsi="標楷體" w:eastAsia="標楷體"/>
          <w:sz w:val="28"/>
        </w:rPr>
        <w:t>），可從袪風利水方向治療之，和上呼吸道感染較沒關的膜型腎病變則可以袪濕活血利水為主，局部硬化型則可以活血化瘀為主。</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中醫典籍浩如煙海，如欲對相關疾病加以探尋整理則事半功倍，本計畫即利用已整理好之古代醫籍光碟片，對腎病症候群的中醫相關描述加以探索整理之，不只對本病可作一詳細之探討，在時間上亦作了許多節省。</w:t>
      </w:r>
      <w:r>
        <w:br w:type="page"/>
      </w:r>
    </w:p>
    <w:p>
      <w:pPr>
        <w:pStyle w:val="Normal"/>
        <w:snapToGrid w:val="false"/>
        <w:rPr>
          <w:rFonts w:ascii="標楷體" w:hAnsi="標楷體" w:eastAsia="標楷體"/>
          <w:sz w:val="32"/>
        </w:rPr>
      </w:pPr>
      <w:r>
        <w:rPr>
          <w:rFonts w:eastAsia="標楷體" w:ascii="標楷體" w:hAnsi="標楷體"/>
          <w:sz w:val="32"/>
        </w:rPr>
      </w:r>
    </w:p>
    <w:p>
      <w:pPr>
        <w:pStyle w:val="Normal"/>
        <w:snapToGrid w:val="false"/>
        <w:jc w:val="center"/>
        <w:rPr>
          <w:rFonts w:ascii="標楷體" w:hAnsi="標楷體" w:eastAsia="標楷體"/>
          <w:b/>
          <w:b/>
          <w:sz w:val="32"/>
        </w:rPr>
      </w:pPr>
      <w:r>
        <w:rPr>
          <w:rFonts w:ascii="標楷體" w:hAnsi="標楷體" w:eastAsia="標楷體"/>
          <w:b/>
          <w:sz w:val="32"/>
        </w:rPr>
        <w:t>參考文獻</w:t>
      </w:r>
    </w:p>
    <w:p>
      <w:pPr>
        <w:pStyle w:val="Normal"/>
        <w:snapToGrid w:val="false"/>
        <w:jc w:val="center"/>
        <w:rPr>
          <w:rFonts w:ascii="標楷體" w:hAnsi="標楷體" w:eastAsia="標楷體"/>
          <w:b/>
          <w:b/>
          <w:sz w:val="32"/>
        </w:rPr>
      </w:pPr>
      <w:r>
        <w:rPr>
          <w:rFonts w:eastAsia="標楷體" w:ascii="標楷體" w:hAnsi="標楷體"/>
          <w:b/>
          <w:sz w:val="32"/>
        </w:rPr>
      </w:r>
    </w:p>
    <w:p>
      <w:pPr>
        <w:pStyle w:val="Normal"/>
        <w:numPr>
          <w:ilvl w:val="0"/>
          <w:numId w:val="16"/>
        </w:numPr>
        <w:snapToGrid w:val="false"/>
        <w:jc w:val="both"/>
        <w:rPr>
          <w:rFonts w:ascii="標楷體" w:hAnsi="標楷體" w:eastAsia="標楷體"/>
          <w:sz w:val="28"/>
        </w:rPr>
      </w:pPr>
      <w:r>
        <w:rPr>
          <w:rFonts w:ascii="標楷體" w:hAnsi="標楷體" w:eastAsia="標楷體"/>
          <w:sz w:val="28"/>
        </w:rPr>
        <w:t>唐、王冰，重廣補註黃帝內經素問，國立中國醫藥研究所出版社，</w:t>
      </w:r>
    </w:p>
    <w:p>
      <w:pPr>
        <w:pStyle w:val="Normal"/>
        <w:snapToGrid w:val="false"/>
        <w:jc w:val="both"/>
        <w:rPr/>
      </w:pPr>
      <w:r>
        <w:rPr>
          <w:rFonts w:eastAsia="標楷體" w:cs="標楷體" w:ascii="標楷體" w:hAnsi="標楷體"/>
          <w:sz w:val="28"/>
        </w:rPr>
        <w:t xml:space="preserve">  </w:t>
      </w:r>
      <w:r>
        <w:rPr>
          <w:rFonts w:eastAsia="標楷體" w:ascii="標楷體" w:hAnsi="標楷體"/>
          <w:sz w:val="28"/>
        </w:rPr>
        <w:t>1989</w:t>
      </w:r>
      <w:r>
        <w:rPr>
          <w:rFonts w:ascii="標楷體" w:hAnsi="標楷體" w:eastAsia="標楷體"/>
          <w:sz w:val="28"/>
        </w:rPr>
        <w:t>。</w:t>
      </w:r>
    </w:p>
    <w:p>
      <w:pPr>
        <w:pStyle w:val="Normal"/>
        <w:numPr>
          <w:ilvl w:val="0"/>
          <w:numId w:val="16"/>
        </w:numPr>
        <w:snapToGrid w:val="false"/>
        <w:jc w:val="both"/>
        <w:rPr>
          <w:rFonts w:ascii="標楷體" w:hAnsi="標楷體" w:eastAsia="標楷體"/>
          <w:sz w:val="28"/>
        </w:rPr>
      </w:pPr>
      <w:r>
        <w:rPr>
          <w:rFonts w:ascii="標楷體" w:hAnsi="標楷體" w:eastAsia="標楷體"/>
          <w:sz w:val="28"/>
        </w:rPr>
        <w:t>唐、王冰，黃帝素問靈樞經。何清湖主編，傳世藏書，海南國際</w:t>
      </w:r>
    </w:p>
    <w:p>
      <w:pPr>
        <w:pStyle w:val="Normal"/>
        <w:snapToGrid w:val="false"/>
        <w:jc w:val="both"/>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新聞出版中心，湖南，</w:t>
      </w:r>
      <w:r>
        <w:rPr>
          <w:rFonts w:eastAsia="標楷體" w:ascii="標楷體" w:hAnsi="標楷體"/>
          <w:sz w:val="28"/>
        </w:rPr>
        <w:t>1995</w:t>
      </w:r>
      <w:r>
        <w:rPr>
          <w:rFonts w:ascii="標楷體" w:hAnsi="標楷體" w:eastAsia="標楷體"/>
          <w:sz w:val="28"/>
        </w:rPr>
        <w:t>。</w:t>
      </w:r>
    </w:p>
    <w:p>
      <w:pPr>
        <w:pStyle w:val="Normal"/>
        <w:numPr>
          <w:ilvl w:val="0"/>
          <w:numId w:val="16"/>
        </w:numPr>
        <w:snapToGrid w:val="false"/>
        <w:rPr>
          <w:rFonts w:ascii="標楷體" w:hAnsi="標楷體" w:eastAsia="標楷體"/>
          <w:sz w:val="28"/>
        </w:rPr>
      </w:pPr>
      <w:r>
        <w:rPr>
          <w:rFonts w:ascii="標楷體" w:hAnsi="標楷體" w:eastAsia="標楷體"/>
          <w:sz w:val="28"/>
        </w:rPr>
        <w:t>黃維三，難經發揮，正中書局，台北，</w:t>
      </w:r>
      <w:r>
        <w:rPr>
          <w:rFonts w:eastAsia="標楷體" w:ascii="標楷體" w:hAnsi="標楷體"/>
          <w:sz w:val="28"/>
        </w:rPr>
        <w:t>1994</w:t>
      </w:r>
      <w:r>
        <w:rPr>
          <w:rFonts w:ascii="標楷體" w:hAnsi="標楷體" w:eastAsia="標楷體"/>
          <w:sz w:val="28"/>
        </w:rPr>
        <w:t>。</w:t>
      </w:r>
    </w:p>
    <w:p>
      <w:pPr>
        <w:pStyle w:val="Normal"/>
        <w:numPr>
          <w:ilvl w:val="0"/>
          <w:numId w:val="16"/>
        </w:numPr>
        <w:snapToGrid w:val="false"/>
        <w:rPr/>
      </w:pPr>
      <w:r>
        <w:rPr>
          <w:rFonts w:ascii="標楷體" w:hAnsi="標楷體" w:eastAsia="標楷體"/>
          <w:sz w:val="28"/>
        </w:rPr>
        <w:t>漢、張仲景，傷寒論。何清湖主編，傳世藏書，海南國際新聞出版中心，湖南，</w:t>
      </w:r>
      <w:r>
        <w:rPr>
          <w:rFonts w:eastAsia="標楷體" w:ascii="標楷體" w:hAnsi="標楷體"/>
          <w:sz w:val="28"/>
        </w:rPr>
        <w:t>1995</w:t>
      </w:r>
      <w:r>
        <w:rPr>
          <w:rFonts w:ascii="標楷體" w:hAnsi="標楷體" w:eastAsia="標楷體"/>
          <w:sz w:val="28"/>
        </w:rPr>
        <w:t>。</w:t>
      </w:r>
    </w:p>
    <w:p>
      <w:pPr>
        <w:pStyle w:val="Normal"/>
        <w:numPr>
          <w:ilvl w:val="0"/>
          <w:numId w:val="16"/>
        </w:numPr>
        <w:snapToGrid w:val="false"/>
        <w:rPr/>
      </w:pPr>
      <w:r>
        <w:rPr>
          <w:rFonts w:ascii="標楷體" w:hAnsi="標楷體" w:eastAsia="標楷體"/>
          <w:sz w:val="28"/>
        </w:rPr>
        <w:t>漢、張仲景，金匱要略。何清湖主編，傳世藏書，海南國際新聞出版中心，湖南，</w:t>
      </w:r>
      <w:r>
        <w:rPr>
          <w:rFonts w:eastAsia="標楷體" w:ascii="標楷體" w:hAnsi="標楷體"/>
          <w:sz w:val="28"/>
        </w:rPr>
        <w:t>1995</w:t>
      </w:r>
      <w:r>
        <w:rPr>
          <w:rFonts w:ascii="標楷體" w:hAnsi="標楷體" w:eastAsia="標楷體"/>
          <w:sz w:val="28"/>
        </w:rPr>
        <w:t>。</w:t>
      </w:r>
    </w:p>
    <w:p>
      <w:pPr>
        <w:pStyle w:val="Normal"/>
        <w:snapToGrid w:val="false"/>
        <w:rPr>
          <w:rFonts w:ascii="標楷體" w:hAnsi="標楷體" w:eastAsia="標楷體"/>
          <w:sz w:val="28"/>
        </w:rPr>
      </w:pPr>
      <w:r>
        <w:rPr>
          <w:rFonts w:eastAsia="標楷體" w:ascii="標楷體" w:hAnsi="標楷體"/>
          <w:sz w:val="28"/>
        </w:rPr>
        <w:t>6.</w:t>
      </w:r>
      <w:r>
        <w:rPr>
          <w:rFonts w:ascii="標楷體" w:hAnsi="標楷體" w:eastAsia="標楷體"/>
          <w:sz w:val="28"/>
        </w:rPr>
        <w:t>漢、華陀，中藏經。李聰甫主編，中藏經校注，人民衛生出版社</w:t>
      </w:r>
    </w:p>
    <w:p>
      <w:pPr>
        <w:pStyle w:val="Normal"/>
        <w:snapToGrid w:val="false"/>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，北京，</w:t>
      </w:r>
      <w:r>
        <w:rPr>
          <w:rFonts w:eastAsia="標楷體" w:ascii="標楷體" w:hAnsi="標楷體"/>
          <w:sz w:val="28"/>
        </w:rPr>
        <w:t>1990</w:t>
      </w:r>
      <w:r>
        <w:rPr>
          <w:rFonts w:ascii="標楷體" w:hAnsi="標楷體" w:eastAsia="標楷體"/>
          <w:sz w:val="28"/>
        </w:rPr>
        <w:t>。</w:t>
      </w:r>
    </w:p>
    <w:p>
      <w:pPr>
        <w:pStyle w:val="Normal"/>
        <w:snapToGrid w:val="false"/>
        <w:rPr>
          <w:rFonts w:ascii="標楷體" w:hAnsi="標楷體" w:eastAsia="標楷體"/>
          <w:sz w:val="28"/>
        </w:rPr>
      </w:pPr>
      <w:r>
        <w:rPr>
          <w:rFonts w:eastAsia="標楷體" w:ascii="標楷體" w:hAnsi="標楷體"/>
          <w:sz w:val="28"/>
        </w:rPr>
        <w:t>7.</w:t>
      </w:r>
      <w:r>
        <w:rPr>
          <w:rFonts w:ascii="標楷體" w:hAnsi="標楷體" w:eastAsia="標楷體"/>
          <w:sz w:val="28"/>
        </w:rPr>
        <w:t>隋、巢元方，諸病源候論。丁光迪主編，諸病源候論校注，人民</w:t>
      </w:r>
    </w:p>
    <w:p>
      <w:pPr>
        <w:pStyle w:val="Normal"/>
        <w:snapToGrid w:val="false"/>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衛生出版社，北京，</w:t>
      </w:r>
      <w:r>
        <w:rPr>
          <w:rFonts w:eastAsia="標楷體" w:ascii="標楷體" w:hAnsi="標楷體"/>
          <w:sz w:val="28"/>
        </w:rPr>
        <w:t>1991</w:t>
      </w:r>
      <w:r>
        <w:rPr>
          <w:rFonts w:ascii="標楷體" w:hAnsi="標楷體" w:eastAsia="標楷體"/>
          <w:sz w:val="28"/>
        </w:rPr>
        <w:t>。</w:t>
      </w:r>
    </w:p>
    <w:p>
      <w:pPr>
        <w:pStyle w:val="Normal"/>
        <w:snapToGrid w:val="false"/>
        <w:rPr>
          <w:rFonts w:ascii="標楷體" w:hAnsi="標楷體" w:eastAsia="標楷體"/>
          <w:sz w:val="28"/>
        </w:rPr>
      </w:pPr>
      <w:r>
        <w:rPr>
          <w:rFonts w:eastAsia="標楷體" w:ascii="標楷體" w:hAnsi="標楷體"/>
          <w:sz w:val="28"/>
        </w:rPr>
        <w:t>8.</w:t>
      </w:r>
      <w:r>
        <w:rPr>
          <w:rFonts w:ascii="標楷體" w:hAnsi="標楷體" w:eastAsia="標楷體"/>
          <w:sz w:val="28"/>
        </w:rPr>
        <w:t>唐、孫思邈，備急千金要方。一木編校，千金方，吉林人民出版</w:t>
      </w:r>
    </w:p>
    <w:p>
      <w:pPr>
        <w:pStyle w:val="Normal"/>
        <w:snapToGrid w:val="false"/>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社，吉林，</w:t>
      </w:r>
      <w:r>
        <w:rPr>
          <w:rFonts w:eastAsia="標楷體" w:ascii="標楷體" w:hAnsi="標楷體"/>
          <w:sz w:val="28"/>
        </w:rPr>
        <w:t>1994</w:t>
      </w:r>
      <w:r>
        <w:rPr>
          <w:rFonts w:ascii="標楷體" w:hAnsi="標楷體" w:eastAsia="標楷體"/>
          <w:sz w:val="28"/>
        </w:rPr>
        <w:t>。</w:t>
      </w:r>
    </w:p>
    <w:p>
      <w:pPr>
        <w:pStyle w:val="Normal"/>
        <w:snapToGrid w:val="false"/>
        <w:rPr>
          <w:rFonts w:ascii="標楷體" w:hAnsi="標楷體" w:eastAsia="標楷體"/>
          <w:sz w:val="28"/>
        </w:rPr>
      </w:pPr>
      <w:r>
        <w:rPr>
          <w:rFonts w:eastAsia="標楷體" w:ascii="標楷體" w:hAnsi="標楷體"/>
          <w:sz w:val="28"/>
        </w:rPr>
        <w:t>9.</w:t>
      </w:r>
      <w:r>
        <w:rPr>
          <w:rFonts w:ascii="標楷體" w:hAnsi="標楷體" w:eastAsia="標楷體"/>
          <w:sz w:val="28"/>
        </w:rPr>
        <w:t>唐、孫思邈，千金翼方。何清湖主編，傳世藏書，海南國際新聞</w:t>
      </w:r>
    </w:p>
    <w:p>
      <w:pPr>
        <w:pStyle w:val="Normal"/>
        <w:snapToGrid w:val="false"/>
        <w:rPr/>
      </w:pPr>
      <w:r>
        <w:rPr>
          <w:rFonts w:eastAsia="標楷體" w:cs="標楷體" w:ascii="標楷體" w:hAnsi="標楷體"/>
          <w:sz w:val="28"/>
        </w:rPr>
        <w:t xml:space="preserve">  </w:t>
      </w:r>
      <w:r>
        <w:rPr>
          <w:rFonts w:ascii="標楷體" w:hAnsi="標楷體" w:eastAsia="標楷體"/>
          <w:sz w:val="28"/>
        </w:rPr>
        <w:t>出版中心，湖南，</w:t>
      </w:r>
      <w:r>
        <w:rPr>
          <w:rFonts w:eastAsia="標楷體" w:ascii="標楷體" w:hAnsi="標楷體"/>
          <w:sz w:val="28"/>
        </w:rPr>
        <w:t>1995</w:t>
      </w:r>
      <w:r>
        <w:rPr>
          <w:rFonts w:ascii="標楷體" w:hAnsi="標楷體" w:eastAsia="標楷體"/>
          <w:sz w:val="28"/>
        </w:rPr>
        <w:t>。</w:t>
      </w:r>
    </w:p>
    <w:p>
      <w:pPr>
        <w:pStyle w:val="Normal"/>
        <w:snapToGrid w:val="false"/>
        <w:rPr>
          <w:rFonts w:ascii="標楷體" w:hAnsi="標楷體" w:eastAsia="標楷體"/>
          <w:sz w:val="28"/>
        </w:rPr>
      </w:pPr>
      <w:r>
        <w:rPr>
          <w:rFonts w:eastAsia="標楷體" w:ascii="標楷體" w:hAnsi="標楷體"/>
          <w:sz w:val="28"/>
        </w:rPr>
        <w:t>10.</w:t>
      </w:r>
      <w:r>
        <w:rPr>
          <w:rFonts w:ascii="標楷體" w:hAnsi="標楷體" w:eastAsia="標楷體"/>
          <w:sz w:val="28"/>
        </w:rPr>
        <w:t xml:space="preserve">唐、王燾，外台祕要。何清湖主編，傳世藏書，海南國際新聞出 </w:t>
      </w:r>
    </w:p>
    <w:p>
      <w:pPr>
        <w:pStyle w:val="Normal"/>
        <w:snapToGrid w:val="false"/>
        <w:rPr/>
      </w:pPr>
      <w:r>
        <w:rPr>
          <w:rFonts w:eastAsia="標楷體" w:cs="標楷體" w:ascii="標楷體" w:hAnsi="標楷體"/>
          <w:sz w:val="28"/>
        </w:rPr>
        <w:t xml:space="preserve">  </w:t>
      </w:r>
      <w:r>
        <w:rPr>
          <w:rFonts w:ascii="標楷體" w:hAnsi="標楷體" w:eastAsia="標楷體"/>
          <w:sz w:val="28"/>
        </w:rPr>
        <w:t>版中心，湖南，</w:t>
      </w:r>
      <w:r>
        <w:rPr>
          <w:rFonts w:eastAsia="標楷體" w:ascii="標楷體" w:hAnsi="標楷體"/>
          <w:sz w:val="28"/>
        </w:rPr>
        <w:t>1995</w:t>
      </w:r>
      <w:r>
        <w:rPr>
          <w:rFonts w:ascii="標楷體" w:hAnsi="標楷體" w:eastAsia="標楷體"/>
          <w:sz w:val="28"/>
        </w:rPr>
        <w:t>。</w:t>
      </w:r>
    </w:p>
    <w:p>
      <w:pPr>
        <w:pStyle w:val="Normal"/>
        <w:snapToGrid w:val="false"/>
        <w:spacing w:lineRule="atLeast" w:line="20"/>
        <w:rPr>
          <w:rFonts w:ascii="標楷體" w:hAnsi="標楷體" w:eastAsia="標楷體"/>
          <w:sz w:val="28"/>
        </w:rPr>
      </w:pPr>
      <w:r>
        <w:rPr>
          <w:rFonts w:eastAsia="標楷體" w:ascii="標楷體" w:hAnsi="標楷體"/>
          <w:sz w:val="28"/>
        </w:rPr>
        <w:t>11.</w:t>
      </w:r>
      <w:r>
        <w:rPr>
          <w:rFonts w:ascii="標楷體" w:hAnsi="標楷體" w:eastAsia="標楷體"/>
          <w:sz w:val="28"/>
        </w:rPr>
        <w:t xml:space="preserve">宋、陳師文，太平惠民和劑局方。何清湖主編，傳世藏書，海南 </w:t>
      </w:r>
    </w:p>
    <w:p>
      <w:pPr>
        <w:pStyle w:val="Normal"/>
        <w:snapToGrid w:val="false"/>
        <w:spacing w:lineRule="atLeast" w:line="20"/>
        <w:rPr/>
      </w:pPr>
      <w:r>
        <w:rPr>
          <w:rFonts w:eastAsia="標楷體" w:cs="標楷體" w:ascii="標楷體" w:hAnsi="標楷體"/>
          <w:sz w:val="28"/>
        </w:rPr>
        <w:t xml:space="preserve">   </w:t>
      </w:r>
      <w:r>
        <w:rPr>
          <w:rFonts w:ascii="標楷體" w:hAnsi="標楷體" w:eastAsia="標楷體"/>
          <w:sz w:val="28"/>
        </w:rPr>
        <w:t>國際新聞出版中心，湖南，</w:t>
      </w:r>
      <w:r>
        <w:rPr>
          <w:rFonts w:eastAsia="標楷體" w:ascii="標楷體" w:hAnsi="標楷體"/>
          <w:sz w:val="28"/>
        </w:rPr>
        <w:t>1995</w:t>
      </w:r>
      <w:r>
        <w:rPr>
          <w:rFonts w:ascii="標楷體" w:hAnsi="標楷體" w:eastAsia="標楷體"/>
          <w:sz w:val="28"/>
        </w:rPr>
        <w:t>。</w:t>
      </w:r>
    </w:p>
    <w:p>
      <w:pPr>
        <w:pStyle w:val="Normal"/>
        <w:snapToGrid w:val="false"/>
        <w:spacing w:lineRule="atLeast" w:line="20"/>
        <w:rPr>
          <w:rFonts w:ascii="標楷體" w:hAnsi="標楷體" w:eastAsia="標楷體"/>
          <w:sz w:val="28"/>
        </w:rPr>
      </w:pPr>
      <w:r>
        <w:rPr>
          <w:rFonts w:eastAsia="標楷體" w:ascii="標楷體" w:hAnsi="標楷體"/>
          <w:sz w:val="28"/>
        </w:rPr>
        <w:t>12.</w:t>
      </w:r>
      <w:r>
        <w:rPr>
          <w:rFonts w:ascii="標楷體" w:hAnsi="標楷體" w:eastAsia="標楷體"/>
          <w:sz w:val="28"/>
        </w:rPr>
        <w:t>宋、錢乙，小兒藥證直訣。何清湖主編，傳世藏書，海南國際新</w:t>
      </w:r>
    </w:p>
    <w:p>
      <w:pPr>
        <w:pStyle w:val="Normal"/>
        <w:snapToGrid w:val="false"/>
        <w:spacing w:lineRule="atLeast" w:line="20"/>
        <w:rPr/>
      </w:pPr>
      <w:r>
        <w:rPr>
          <w:rFonts w:eastAsia="標楷體" w:cs="標楷體" w:ascii="標楷體" w:hAnsi="標楷體"/>
          <w:sz w:val="28"/>
        </w:rPr>
        <w:t xml:space="preserve">   </w:t>
      </w:r>
      <w:r>
        <w:rPr>
          <w:rFonts w:ascii="標楷體" w:hAnsi="標楷體" w:eastAsia="標楷體"/>
          <w:sz w:val="28"/>
        </w:rPr>
        <w:t>聞出版中心，湖南，</w:t>
      </w:r>
      <w:r>
        <w:rPr>
          <w:rFonts w:eastAsia="標楷體" w:ascii="標楷體" w:hAnsi="標楷體"/>
          <w:sz w:val="28"/>
        </w:rPr>
        <w:t>1995</w:t>
      </w:r>
      <w:r>
        <w:rPr>
          <w:rFonts w:ascii="標楷體" w:hAnsi="標楷體" w:eastAsia="標楷體"/>
          <w:sz w:val="28"/>
        </w:rPr>
        <w:t>。</w:t>
      </w:r>
    </w:p>
    <w:p>
      <w:pPr>
        <w:pStyle w:val="Normal"/>
        <w:snapToGrid w:val="false"/>
        <w:spacing w:lineRule="atLeast" w:line="20"/>
        <w:rPr>
          <w:rFonts w:ascii="標楷體" w:hAnsi="標楷體" w:eastAsia="標楷體"/>
          <w:sz w:val="28"/>
        </w:rPr>
      </w:pPr>
      <w:r>
        <w:rPr>
          <w:rFonts w:eastAsia="標楷體" w:ascii="標楷體" w:hAnsi="標楷體"/>
          <w:sz w:val="28"/>
        </w:rPr>
        <w:t>13.</w:t>
      </w:r>
      <w:r>
        <w:rPr>
          <w:rFonts w:ascii="標楷體" w:hAnsi="標楷體" w:eastAsia="標楷體"/>
          <w:sz w:val="28"/>
        </w:rPr>
        <w:t>宋、朱肱，類證活人書。何清湖主編，傳世藏書，海南國際新聞</w:t>
      </w:r>
    </w:p>
    <w:p>
      <w:pPr>
        <w:pStyle w:val="Normal"/>
        <w:snapToGrid w:val="false"/>
        <w:spacing w:lineRule="atLeast" w:line="20"/>
        <w:rPr/>
      </w:pPr>
      <w:r>
        <w:rPr>
          <w:rFonts w:eastAsia="標楷體" w:cs="標楷體" w:ascii="標楷體" w:hAnsi="標楷體"/>
          <w:sz w:val="28"/>
        </w:rPr>
        <w:t xml:space="preserve">   </w:t>
      </w:r>
      <w:r>
        <w:rPr>
          <w:rFonts w:ascii="標楷體" w:hAnsi="標楷體" w:eastAsia="標楷體"/>
          <w:sz w:val="28"/>
        </w:rPr>
        <w:t>出版中心，湖南，</w:t>
      </w:r>
      <w:r>
        <w:rPr>
          <w:rFonts w:eastAsia="標楷體" w:ascii="標楷體" w:hAnsi="標楷體"/>
          <w:sz w:val="28"/>
        </w:rPr>
        <w:t>1995</w:t>
      </w:r>
      <w:r>
        <w:rPr>
          <w:rFonts w:ascii="標楷體" w:hAnsi="標楷體" w:eastAsia="標楷體"/>
          <w:sz w:val="28"/>
        </w:rPr>
        <w:t>。</w:t>
      </w:r>
    </w:p>
    <w:p>
      <w:pPr>
        <w:pStyle w:val="Normal"/>
        <w:snapToGrid w:val="false"/>
        <w:spacing w:lineRule="atLeast" w:line="20"/>
        <w:rPr/>
      </w:pPr>
      <w:r>
        <w:rPr>
          <w:rFonts w:eastAsia="標楷體" w:ascii="標楷體" w:hAnsi="標楷體"/>
          <w:sz w:val="28"/>
        </w:rPr>
        <w:t>14.</w:t>
      </w:r>
      <w:r>
        <w:rPr>
          <w:rFonts w:ascii="標楷體" w:hAnsi="標楷體" w:eastAsia="標楷體"/>
          <w:sz w:val="28"/>
        </w:rPr>
        <w:t>元、朱震亨，丹溪醫集，人民衛生出版社，北京，</w:t>
      </w:r>
      <w:r>
        <w:rPr>
          <w:rFonts w:eastAsia="標楷體" w:ascii="標楷體" w:hAnsi="標楷體"/>
          <w:sz w:val="28"/>
        </w:rPr>
        <w:t>1993</w:t>
      </w:r>
      <w:r>
        <w:rPr>
          <w:rFonts w:ascii="標楷體" w:hAnsi="標楷體" w:eastAsia="標楷體"/>
          <w:sz w:val="28"/>
        </w:rPr>
        <w:t>。</w:t>
      </w:r>
    </w:p>
    <w:p>
      <w:pPr>
        <w:pStyle w:val="Normal"/>
        <w:snapToGrid w:val="false"/>
        <w:spacing w:lineRule="atLeast" w:line="20"/>
        <w:rPr>
          <w:rFonts w:ascii="標楷體" w:hAnsi="標楷體" w:eastAsia="標楷體"/>
          <w:sz w:val="28"/>
        </w:rPr>
      </w:pPr>
      <w:r>
        <w:rPr>
          <w:rFonts w:eastAsia="標楷體" w:ascii="標楷體" w:hAnsi="標楷體"/>
          <w:sz w:val="28"/>
        </w:rPr>
        <w:t>15.</w:t>
      </w:r>
      <w:r>
        <w:rPr>
          <w:rFonts w:ascii="標楷體" w:hAnsi="標楷體" w:eastAsia="標楷體"/>
          <w:sz w:val="28"/>
        </w:rPr>
        <w:t>明、張景岳，類經。何清湖主編，傳世藏書，海南國際新聞出版</w:t>
      </w:r>
    </w:p>
    <w:p>
      <w:pPr>
        <w:pStyle w:val="Normal"/>
        <w:snapToGrid w:val="false"/>
        <w:spacing w:lineRule="atLeast" w:line="20"/>
        <w:rPr/>
      </w:pPr>
      <w:r>
        <w:rPr>
          <w:rFonts w:eastAsia="標楷體" w:cs="標楷體" w:ascii="標楷體" w:hAnsi="標楷體"/>
          <w:sz w:val="28"/>
        </w:rPr>
        <w:t xml:space="preserve">   </w:t>
      </w:r>
      <w:r>
        <w:rPr>
          <w:rFonts w:ascii="標楷體" w:hAnsi="標楷體" w:eastAsia="標楷體"/>
          <w:sz w:val="28"/>
        </w:rPr>
        <w:t>中心，湖南，</w:t>
      </w:r>
      <w:r>
        <w:rPr>
          <w:rFonts w:eastAsia="標楷體" w:ascii="標楷體" w:hAnsi="標楷體"/>
          <w:sz w:val="28"/>
        </w:rPr>
        <w:t>1995</w:t>
      </w:r>
      <w:r>
        <w:rPr>
          <w:rFonts w:ascii="標楷體" w:hAnsi="標楷體" w:eastAsia="標楷體"/>
          <w:sz w:val="28"/>
        </w:rPr>
        <w:t>。</w:t>
      </w:r>
    </w:p>
    <w:p>
      <w:pPr>
        <w:pStyle w:val="Normal"/>
        <w:snapToGrid w:val="false"/>
        <w:spacing w:lineRule="atLeast" w:line="20"/>
        <w:rPr>
          <w:rFonts w:ascii="標楷體" w:hAnsi="標楷體" w:eastAsia="標楷體"/>
          <w:sz w:val="28"/>
        </w:rPr>
      </w:pPr>
      <w:r>
        <w:rPr>
          <w:rFonts w:eastAsia="標楷體" w:ascii="標楷體" w:hAnsi="標楷體"/>
          <w:sz w:val="28"/>
        </w:rPr>
        <w:t>16.</w:t>
      </w:r>
      <w:r>
        <w:rPr>
          <w:rFonts w:ascii="標楷體" w:hAnsi="標楷體" w:eastAsia="標楷體"/>
          <w:sz w:val="28"/>
        </w:rPr>
        <w:t>明、張景岳，景岳全書，台聯國風出版社，台北，</w:t>
      </w:r>
      <w:r>
        <w:rPr>
          <w:rFonts w:eastAsia="標楷體" w:ascii="標楷體" w:hAnsi="標楷體"/>
          <w:sz w:val="28"/>
        </w:rPr>
        <w:t>1980</w:t>
      </w:r>
      <w:r>
        <w:rPr>
          <w:rFonts w:ascii="標楷體" w:hAnsi="標楷體" w:eastAsia="標楷體"/>
          <w:sz w:val="28"/>
        </w:rPr>
        <w:t>。</w:t>
      </w:r>
    </w:p>
    <w:p>
      <w:pPr>
        <w:pStyle w:val="Normal"/>
        <w:snapToGrid w:val="false"/>
        <w:spacing w:lineRule="atLeast" w:line="20"/>
        <w:rPr>
          <w:rFonts w:ascii="標楷體" w:hAnsi="標楷體" w:eastAsia="標楷體"/>
          <w:sz w:val="28"/>
        </w:rPr>
      </w:pPr>
      <w:r>
        <w:rPr>
          <w:rFonts w:eastAsia="標楷體" w:ascii="標楷體" w:hAnsi="標楷體"/>
          <w:sz w:val="28"/>
        </w:rPr>
        <w:t>17.</w:t>
      </w:r>
      <w:r>
        <w:rPr>
          <w:rFonts w:ascii="標楷體" w:hAnsi="標楷體" w:eastAsia="標楷體"/>
          <w:sz w:val="28"/>
        </w:rPr>
        <w:t>明、楊繼洲，針灸大成，遼寧科學技術出版社，瀋陽，</w:t>
      </w:r>
      <w:r>
        <w:rPr>
          <w:rFonts w:eastAsia="標楷體" w:ascii="標楷體" w:hAnsi="標楷體"/>
          <w:sz w:val="28"/>
        </w:rPr>
        <w:t>1997</w:t>
      </w:r>
      <w:r>
        <w:rPr>
          <w:rFonts w:ascii="標楷體" w:hAnsi="標楷體" w:eastAsia="標楷體"/>
          <w:sz w:val="28"/>
        </w:rPr>
        <w:t>。</w:t>
      </w:r>
    </w:p>
    <w:p>
      <w:pPr>
        <w:pStyle w:val="Normal"/>
        <w:snapToGrid w:val="false"/>
        <w:spacing w:lineRule="atLeast" w:line="20"/>
        <w:rPr>
          <w:rFonts w:ascii="標楷體" w:hAnsi="標楷體" w:eastAsia="標楷體"/>
          <w:sz w:val="28"/>
        </w:rPr>
      </w:pPr>
      <w:r>
        <w:rPr>
          <w:rFonts w:eastAsia="標楷體" w:ascii="標楷體" w:hAnsi="標楷體"/>
          <w:sz w:val="28"/>
        </w:rPr>
        <w:t>18.</w:t>
      </w:r>
      <w:r>
        <w:rPr>
          <w:rFonts w:ascii="標楷體" w:hAnsi="標楷體" w:eastAsia="標楷體"/>
          <w:sz w:val="28"/>
        </w:rPr>
        <w:t>晉、皇甫謐，針灸甲乙經。何清湖主編，傳世藏書，海南國際</w:t>
      </w:r>
    </w:p>
    <w:p>
      <w:pPr>
        <w:pStyle w:val="Normal"/>
        <w:snapToGrid w:val="false"/>
        <w:spacing w:lineRule="atLeast" w:line="20"/>
        <w:rPr/>
      </w:pPr>
      <w:r>
        <w:rPr>
          <w:rFonts w:eastAsia="標楷體" w:cs="標楷體" w:ascii="標楷體" w:hAnsi="標楷體"/>
          <w:sz w:val="28"/>
        </w:rPr>
        <w:t xml:space="preserve">   </w:t>
      </w:r>
      <w:r>
        <w:rPr>
          <w:rFonts w:ascii="標楷體" w:hAnsi="標楷體" w:eastAsia="標楷體"/>
          <w:sz w:val="28"/>
        </w:rPr>
        <w:t>新聞出版中心，湖南，</w:t>
      </w:r>
      <w:r>
        <w:rPr>
          <w:rFonts w:eastAsia="標楷體" w:ascii="標楷體" w:hAnsi="標楷體"/>
          <w:sz w:val="28"/>
        </w:rPr>
        <w:t>1995</w:t>
      </w:r>
      <w:r>
        <w:rPr>
          <w:rFonts w:ascii="標楷體" w:hAnsi="標楷體" w:eastAsia="標楷體"/>
          <w:sz w:val="28"/>
        </w:rPr>
        <w:t>。</w:t>
      </w:r>
    </w:p>
    <w:p>
      <w:pPr>
        <w:pStyle w:val="Normal"/>
        <w:snapToGrid w:val="false"/>
        <w:spacing w:lineRule="atLeast" w:line="20"/>
        <w:rPr/>
      </w:pPr>
      <w:r>
        <w:rPr>
          <w:rFonts w:eastAsia="標楷體" w:ascii="標楷體" w:hAnsi="標楷體"/>
          <w:sz w:val="28"/>
        </w:rPr>
        <w:t>19.</w:t>
      </w:r>
      <w:r>
        <w:rPr>
          <w:rFonts w:ascii="標楷體" w:hAnsi="標楷體" w:eastAsia="標楷體"/>
          <w:sz w:val="28"/>
        </w:rPr>
        <w:t>明、孫一奎，醫旨緒餘，上海古籍出版社，上海，</w:t>
      </w:r>
      <w:r>
        <w:rPr>
          <w:rFonts w:eastAsia="標楷體" w:ascii="標楷體" w:hAnsi="標楷體"/>
          <w:sz w:val="28"/>
        </w:rPr>
        <w:t>1994</w:t>
      </w:r>
      <w:r>
        <w:rPr>
          <w:rFonts w:ascii="標楷體" w:hAnsi="標楷體" w:eastAsia="標楷體"/>
          <w:sz w:val="28"/>
        </w:rPr>
        <w:t>。</w:t>
      </w:r>
    </w:p>
    <w:p>
      <w:pPr>
        <w:pStyle w:val="Normal"/>
        <w:snapToGrid w:val="false"/>
        <w:spacing w:lineRule="atLeast" w:line="20"/>
        <w:rPr>
          <w:rFonts w:ascii="標楷體" w:hAnsi="標楷體" w:eastAsia="標楷體"/>
          <w:sz w:val="28"/>
        </w:rPr>
      </w:pPr>
      <w:r>
        <w:rPr>
          <w:rFonts w:eastAsia="標楷體" w:ascii="標楷體" w:hAnsi="標楷體"/>
          <w:sz w:val="28"/>
        </w:rPr>
        <w:t>20.</w:t>
      </w:r>
      <w:r>
        <w:rPr>
          <w:rFonts w:ascii="標楷體" w:hAnsi="標楷體" w:eastAsia="標楷體"/>
          <w:sz w:val="28"/>
        </w:rPr>
        <w:t>明、綺石，理虛元鑑。何清湖主編，傳世藏書，海南國際新聞出</w:t>
      </w:r>
    </w:p>
    <w:p>
      <w:pPr>
        <w:pStyle w:val="Normal"/>
        <w:snapToGrid w:val="false"/>
        <w:spacing w:lineRule="atLeast" w:line="20"/>
        <w:rPr/>
      </w:pPr>
      <w:r>
        <w:rPr>
          <w:rFonts w:eastAsia="標楷體" w:cs="標楷體" w:ascii="標楷體" w:hAnsi="標楷體"/>
          <w:sz w:val="28"/>
        </w:rPr>
        <w:t xml:space="preserve">   </w:t>
      </w:r>
      <w:r>
        <w:rPr>
          <w:rFonts w:ascii="標楷體" w:hAnsi="標楷體" w:eastAsia="標楷體"/>
          <w:sz w:val="28"/>
        </w:rPr>
        <w:t>版中心，湖南，</w:t>
      </w:r>
      <w:r>
        <w:rPr>
          <w:rFonts w:eastAsia="標楷體" w:ascii="標楷體" w:hAnsi="標楷體"/>
          <w:sz w:val="28"/>
        </w:rPr>
        <w:t>1995</w:t>
      </w:r>
      <w:r>
        <w:rPr>
          <w:rFonts w:ascii="標楷體" w:hAnsi="標楷體" w:eastAsia="標楷體"/>
          <w:sz w:val="28"/>
        </w:rPr>
        <w:t>。</w:t>
      </w:r>
    </w:p>
    <w:p>
      <w:pPr>
        <w:pStyle w:val="Normal"/>
        <w:snapToGrid w:val="false"/>
        <w:spacing w:lineRule="atLeast" w:line="20"/>
        <w:rPr/>
      </w:pPr>
      <w:r>
        <w:rPr>
          <w:rFonts w:eastAsia="標楷體" w:ascii="標楷體" w:hAnsi="標楷體"/>
          <w:sz w:val="28"/>
        </w:rPr>
        <w:t>21.</w:t>
      </w:r>
      <w:r>
        <w:rPr>
          <w:rFonts w:ascii="標楷體" w:hAnsi="標楷體" w:eastAsia="標楷體"/>
          <w:sz w:val="28"/>
        </w:rPr>
        <w:t>明、虞博，醫學正傳，人民衛生出版社，北京，</w:t>
      </w:r>
      <w:r>
        <w:rPr>
          <w:rFonts w:eastAsia="標楷體" w:ascii="標楷體" w:hAnsi="標楷體"/>
          <w:sz w:val="28"/>
        </w:rPr>
        <w:t>1981</w:t>
      </w:r>
      <w:r>
        <w:rPr>
          <w:rFonts w:ascii="標楷體" w:hAnsi="標楷體" w:eastAsia="標楷體"/>
          <w:sz w:val="28"/>
        </w:rPr>
        <w:t>。</w:t>
      </w:r>
    </w:p>
    <w:p>
      <w:pPr>
        <w:pStyle w:val="Normal"/>
        <w:snapToGrid w:val="false"/>
        <w:spacing w:lineRule="atLeast" w:line="20"/>
        <w:rPr>
          <w:rFonts w:ascii="標楷體" w:hAnsi="標楷體" w:eastAsia="標楷體"/>
          <w:sz w:val="28"/>
        </w:rPr>
      </w:pPr>
      <w:r>
        <w:rPr>
          <w:rFonts w:eastAsia="標楷體" w:ascii="標楷體" w:hAnsi="標楷體"/>
          <w:sz w:val="28"/>
        </w:rPr>
        <w:t>22.</w:t>
      </w:r>
      <w:r>
        <w:rPr>
          <w:rFonts w:ascii="標楷體" w:hAnsi="標楷體" w:eastAsia="標楷體"/>
          <w:sz w:val="28"/>
        </w:rPr>
        <w:t>明、李梴，醫學入門，江西科學技術出版社，江西，</w:t>
      </w:r>
      <w:r>
        <w:rPr>
          <w:rFonts w:eastAsia="標楷體" w:ascii="標楷體" w:hAnsi="標楷體"/>
          <w:sz w:val="28"/>
        </w:rPr>
        <w:t>1</w:t>
      </w:r>
      <w:r>
        <w:rPr>
          <w:rFonts w:eastAsia="標楷體" w:ascii="標楷體" w:hAnsi="標楷體"/>
          <w:sz w:val="28"/>
        </w:rPr>
        <w:t>988</w:t>
      </w:r>
      <w:r>
        <w:rPr>
          <w:rFonts w:ascii="標楷體" w:hAnsi="標楷體" w:eastAsia="標楷體"/>
          <w:sz w:val="28"/>
        </w:rPr>
        <w:t>。</w:t>
      </w:r>
    </w:p>
    <w:p>
      <w:pPr>
        <w:pStyle w:val="Normal"/>
        <w:snapToGrid w:val="false"/>
        <w:spacing w:lineRule="atLeast" w:line="20"/>
        <w:rPr>
          <w:rFonts w:ascii="標楷體" w:hAnsi="標楷體" w:eastAsia="標楷體"/>
          <w:sz w:val="28"/>
        </w:rPr>
      </w:pPr>
      <w:r>
        <w:rPr>
          <w:rFonts w:eastAsia="標楷體" w:ascii="標楷體" w:hAnsi="標楷體"/>
          <w:sz w:val="28"/>
        </w:rPr>
        <w:t>23.</w:t>
      </w:r>
      <w:r>
        <w:rPr>
          <w:rFonts w:ascii="標楷體" w:hAnsi="標楷體" w:eastAsia="標楷體"/>
          <w:sz w:val="28"/>
        </w:rPr>
        <w:t>清、馮兆張，馮氏錦囊秘錄，太冠出版社，台南，</w:t>
      </w:r>
      <w:r>
        <w:rPr>
          <w:rFonts w:eastAsia="標楷體" w:ascii="標楷體" w:hAnsi="標楷體"/>
          <w:sz w:val="28"/>
        </w:rPr>
        <w:t>1979</w:t>
      </w:r>
      <w:r>
        <w:rPr>
          <w:rFonts w:ascii="標楷體" w:hAnsi="標楷體" w:eastAsia="標楷體"/>
          <w:sz w:val="28"/>
        </w:rPr>
        <w:t>。</w:t>
      </w:r>
    </w:p>
    <w:p>
      <w:pPr>
        <w:pStyle w:val="Normal"/>
        <w:snapToGrid w:val="false"/>
        <w:spacing w:lineRule="atLeast" w:line="20"/>
        <w:rPr/>
      </w:pPr>
      <w:r>
        <w:rPr>
          <w:rFonts w:eastAsia="標楷體" w:ascii="標楷體" w:hAnsi="標楷體"/>
          <w:sz w:val="28"/>
        </w:rPr>
        <w:t>24.</w:t>
      </w:r>
      <w:r>
        <w:rPr>
          <w:rFonts w:ascii="標楷體" w:hAnsi="標楷體" w:eastAsia="標楷體"/>
          <w:sz w:val="28"/>
        </w:rPr>
        <w:t>清、徐靈胎，徐靈胎醫書全書，五洲出版社，台北，</w:t>
      </w:r>
      <w:r>
        <w:rPr>
          <w:rFonts w:eastAsia="標楷體" w:ascii="標楷體" w:hAnsi="標楷體"/>
          <w:sz w:val="28"/>
        </w:rPr>
        <w:t>1990</w:t>
      </w:r>
      <w:r>
        <w:rPr>
          <w:rFonts w:ascii="標楷體" w:hAnsi="標楷體" w:eastAsia="標楷體"/>
          <w:sz w:val="28"/>
        </w:rPr>
        <w:t>。</w:t>
      </w:r>
    </w:p>
    <w:p>
      <w:pPr>
        <w:pStyle w:val="Normal"/>
        <w:snapToGrid w:val="false"/>
        <w:spacing w:lineRule="atLeast" w:line="20"/>
        <w:rPr/>
      </w:pPr>
      <w:r>
        <w:rPr>
          <w:rFonts w:eastAsia="標楷體" w:ascii="標楷體" w:hAnsi="標楷體"/>
          <w:sz w:val="28"/>
        </w:rPr>
        <w:t>25.</w:t>
      </w:r>
      <w:r>
        <w:rPr>
          <w:rFonts w:ascii="標楷體" w:hAnsi="標楷體" w:eastAsia="標楷體"/>
          <w:sz w:val="28"/>
        </w:rPr>
        <w:t>清</w:t>
      </w:r>
      <w:r>
        <w:rPr>
          <w:rFonts w:ascii="標楷體" w:hAnsi="標楷體" w:eastAsia="標楷體"/>
          <w:sz w:val="28"/>
        </w:rPr>
        <w:t>、</w:t>
      </w:r>
      <w:r>
        <w:rPr>
          <w:rFonts w:ascii="標楷體" w:hAnsi="標楷體" w:eastAsia="標楷體"/>
          <w:sz w:val="28"/>
        </w:rPr>
        <w:t>林佩琴，類證治裁，中國中醫藥出版社，北京</w:t>
      </w:r>
      <w:r>
        <w:rPr>
          <w:rFonts w:eastAsia="標楷體" w:ascii="標楷體" w:hAnsi="標楷體"/>
          <w:sz w:val="28"/>
        </w:rPr>
        <w:t>1997</w:t>
      </w:r>
      <w:r>
        <w:rPr>
          <w:rFonts w:ascii="標楷體" w:hAnsi="標楷體" w:eastAsia="標楷體"/>
          <w:sz w:val="28"/>
        </w:rPr>
        <w:t>。</w:t>
      </w:r>
    </w:p>
    <w:p>
      <w:pPr>
        <w:pStyle w:val="Normal"/>
        <w:snapToGrid w:val="false"/>
        <w:spacing w:lineRule="atLeast" w:line="20"/>
        <w:rPr/>
      </w:pPr>
      <w:r>
        <w:rPr>
          <w:rFonts w:eastAsia="標楷體" w:ascii="標楷體" w:hAnsi="標楷體"/>
          <w:sz w:val="28"/>
        </w:rPr>
        <w:t xml:space="preserve">26. </w:t>
      </w:r>
      <w:r>
        <w:rPr>
          <w:rFonts w:ascii="標楷體" w:hAnsi="標楷體" w:eastAsia="標楷體"/>
          <w:sz w:val="28"/>
        </w:rPr>
        <w:t>清、沈金鰲，雜病源流犀燭，中國中醫藥出版社，北京，</w:t>
      </w:r>
      <w:r>
        <w:rPr>
          <w:rFonts w:eastAsia="標楷體" w:ascii="標楷體" w:hAnsi="標楷體"/>
          <w:sz w:val="28"/>
        </w:rPr>
        <w:t>1994</w:t>
      </w:r>
      <w:r>
        <w:rPr>
          <w:rFonts w:ascii="標楷體" w:hAnsi="標楷體" w:eastAsia="標楷體"/>
          <w:sz w:val="28"/>
        </w:rPr>
        <w:t>。</w:t>
      </w:r>
    </w:p>
    <w:p>
      <w:pPr>
        <w:pStyle w:val="Normal"/>
        <w:snapToGrid w:val="false"/>
        <w:spacing w:lineRule="atLeast" w:line="20"/>
        <w:rPr/>
      </w:pPr>
      <w:r>
        <w:rPr>
          <w:rFonts w:eastAsia="標楷體" w:ascii="標楷體" w:hAnsi="標楷體"/>
          <w:sz w:val="28"/>
        </w:rPr>
        <w:t>27.</w:t>
      </w:r>
      <w:r>
        <w:rPr>
          <w:rFonts w:ascii="標楷體" w:hAnsi="標楷體" w:eastAsia="標楷體"/>
          <w:sz w:val="28"/>
        </w:rPr>
        <w:t>清、葉天士，臨症指南醫案，新文豐出版社，台北，</w:t>
      </w:r>
      <w:r>
        <w:rPr>
          <w:rFonts w:eastAsia="標楷體" w:ascii="標楷體" w:hAnsi="標楷體"/>
          <w:sz w:val="28"/>
        </w:rPr>
        <w:t>1</w:t>
      </w:r>
      <w:r>
        <w:rPr>
          <w:rFonts w:eastAsia="標楷體" w:ascii="標楷體" w:hAnsi="標楷體"/>
          <w:sz w:val="28"/>
        </w:rPr>
        <w:t>980</w:t>
      </w:r>
      <w:r>
        <w:rPr>
          <w:rFonts w:ascii="標楷體" w:hAnsi="標楷體" w:eastAsia="標楷體"/>
          <w:sz w:val="28"/>
        </w:rPr>
        <w:t>。</w:t>
      </w:r>
    </w:p>
    <w:p>
      <w:pPr>
        <w:pStyle w:val="Normal"/>
        <w:snapToGrid w:val="false"/>
        <w:spacing w:lineRule="atLeast" w:line="20"/>
        <w:rPr>
          <w:rFonts w:ascii="標楷體" w:hAnsi="標楷體" w:eastAsia="標楷體"/>
          <w:sz w:val="28"/>
        </w:rPr>
      </w:pPr>
      <w:r>
        <w:rPr>
          <w:rFonts w:eastAsia="標楷體" w:ascii="標楷體" w:hAnsi="標楷體"/>
          <w:sz w:val="28"/>
        </w:rPr>
        <w:t>28.</w:t>
      </w:r>
      <w:r>
        <w:rPr>
          <w:rFonts w:ascii="標楷體" w:hAnsi="標楷體" w:eastAsia="標楷體"/>
          <w:sz w:val="28"/>
        </w:rPr>
        <w:t>清、薛生白，濕熱病篇。何清湖主編，傳世藏書，海南國際新聞</w:t>
      </w:r>
    </w:p>
    <w:p>
      <w:pPr>
        <w:pStyle w:val="Normal"/>
        <w:snapToGrid w:val="false"/>
        <w:spacing w:lineRule="atLeast" w:line="20"/>
        <w:rPr/>
      </w:pPr>
      <w:r>
        <w:rPr>
          <w:rFonts w:eastAsia="標楷體" w:cs="標楷體" w:ascii="標楷體" w:hAnsi="標楷體"/>
          <w:sz w:val="28"/>
        </w:rPr>
        <w:t xml:space="preserve">   </w:t>
      </w:r>
      <w:r>
        <w:rPr>
          <w:rFonts w:ascii="標楷體" w:hAnsi="標楷體" w:eastAsia="標楷體"/>
          <w:sz w:val="28"/>
        </w:rPr>
        <w:t>出版中心，湖南，</w:t>
      </w:r>
      <w:r>
        <w:rPr>
          <w:rFonts w:eastAsia="標楷體" w:ascii="標楷體" w:hAnsi="標楷體"/>
          <w:sz w:val="28"/>
        </w:rPr>
        <w:t>1995</w:t>
      </w:r>
      <w:r>
        <w:rPr>
          <w:rFonts w:ascii="標楷體" w:hAnsi="標楷體" w:eastAsia="標楷體"/>
          <w:sz w:val="28"/>
        </w:rPr>
        <w:t>。</w:t>
      </w:r>
    </w:p>
    <w:p>
      <w:pPr>
        <w:pStyle w:val="Normal"/>
        <w:snapToGrid w:val="false"/>
        <w:spacing w:lineRule="atLeast" w:line="20"/>
        <w:rPr>
          <w:rFonts w:ascii="標楷體" w:hAnsi="標楷體" w:eastAsia="標楷體"/>
          <w:sz w:val="28"/>
        </w:rPr>
      </w:pPr>
      <w:r>
        <w:rPr>
          <w:rFonts w:eastAsia="標楷體" w:ascii="標楷體" w:hAnsi="標楷體"/>
          <w:sz w:val="28"/>
        </w:rPr>
        <w:t>29.</w:t>
      </w:r>
      <w:r>
        <w:rPr>
          <w:rFonts w:ascii="標楷體" w:hAnsi="標楷體" w:eastAsia="標楷體"/>
          <w:sz w:val="28"/>
        </w:rPr>
        <w:t xml:space="preserve">清、王孟英，溫熱經緯。何清湖主編，傳世藏書，海南國際新聞 </w:t>
      </w:r>
    </w:p>
    <w:p>
      <w:pPr>
        <w:pStyle w:val="Normal"/>
        <w:snapToGrid w:val="false"/>
        <w:spacing w:lineRule="atLeast" w:line="20"/>
        <w:rPr/>
      </w:pPr>
      <w:r>
        <w:rPr>
          <w:rFonts w:eastAsia="標楷體" w:cs="標楷體" w:ascii="標楷體" w:hAnsi="標楷體"/>
          <w:sz w:val="28"/>
        </w:rPr>
        <w:t xml:space="preserve">   </w:t>
      </w:r>
      <w:r>
        <w:rPr>
          <w:rFonts w:ascii="標楷體" w:hAnsi="標楷體" w:eastAsia="標楷體"/>
          <w:sz w:val="28"/>
        </w:rPr>
        <w:t>出版中心，湖南，</w:t>
      </w:r>
      <w:r>
        <w:rPr>
          <w:rFonts w:eastAsia="標楷體" w:ascii="標楷體" w:hAnsi="標楷體"/>
          <w:sz w:val="28"/>
        </w:rPr>
        <w:t>1995</w:t>
      </w:r>
      <w:r>
        <w:rPr>
          <w:rFonts w:ascii="標楷體" w:hAnsi="標楷體" w:eastAsia="標楷體"/>
          <w:sz w:val="28"/>
        </w:rPr>
        <w:t>。</w:t>
      </w:r>
    </w:p>
    <w:p>
      <w:pPr>
        <w:pStyle w:val="Normal"/>
        <w:snapToGrid w:val="false"/>
        <w:spacing w:lineRule="atLeast" w:line="20"/>
        <w:rPr>
          <w:rFonts w:ascii="標楷體" w:hAnsi="標楷體" w:eastAsia="標楷體"/>
          <w:sz w:val="28"/>
        </w:rPr>
      </w:pPr>
      <w:r>
        <w:rPr>
          <w:rFonts w:eastAsia="標楷體" w:ascii="標楷體" w:hAnsi="標楷體"/>
          <w:sz w:val="28"/>
        </w:rPr>
        <w:t>30.</w:t>
      </w:r>
      <w:r>
        <w:rPr>
          <w:rFonts w:ascii="標楷體" w:hAnsi="標楷體" w:eastAsia="標楷體"/>
          <w:sz w:val="28"/>
        </w:rPr>
        <w:t>清、吳瑭，溫病條辨。傳世藏書，海南國際新聞出版中心，湖南，</w:t>
      </w:r>
    </w:p>
    <w:p>
      <w:pPr>
        <w:pStyle w:val="Normal"/>
        <w:snapToGrid w:val="false"/>
        <w:spacing w:lineRule="atLeast" w:line="20"/>
        <w:rPr/>
      </w:pPr>
      <w:r>
        <w:rPr>
          <w:rFonts w:eastAsia="標楷體" w:cs="標楷體" w:ascii="標楷體" w:hAnsi="標楷體"/>
          <w:sz w:val="28"/>
        </w:rPr>
        <w:t xml:space="preserve">   </w:t>
      </w:r>
      <w:r>
        <w:rPr>
          <w:rFonts w:eastAsia="標楷體" w:ascii="標楷體" w:hAnsi="標楷體"/>
          <w:sz w:val="28"/>
        </w:rPr>
        <w:t>1995</w:t>
      </w:r>
      <w:r>
        <w:rPr>
          <w:rFonts w:ascii="標楷體" w:hAnsi="標楷體" w:eastAsia="標楷體"/>
          <w:sz w:val="28"/>
        </w:rPr>
        <w:t>。</w:t>
      </w:r>
    </w:p>
    <w:p>
      <w:pPr>
        <w:pStyle w:val="Normal"/>
        <w:snapToGrid w:val="false"/>
        <w:spacing w:lineRule="atLeast" w:line="20"/>
        <w:rPr>
          <w:rFonts w:ascii="標楷體" w:hAnsi="標楷體" w:eastAsia="標楷體"/>
          <w:sz w:val="28"/>
        </w:rPr>
      </w:pPr>
      <w:r>
        <w:rPr>
          <w:rFonts w:eastAsia="標楷體" w:ascii="標楷體" w:hAnsi="標楷體"/>
          <w:sz w:val="28"/>
        </w:rPr>
        <w:t>31.</w:t>
      </w:r>
      <w:r>
        <w:rPr>
          <w:rFonts w:ascii="標楷體" w:hAnsi="標楷體" w:eastAsia="標楷體"/>
          <w:sz w:val="28"/>
        </w:rPr>
        <w:t>清、吳瑭，吳鞠通醫案，中國中醫出版社，北京，</w:t>
      </w:r>
      <w:r>
        <w:rPr>
          <w:rFonts w:eastAsia="標楷體" w:ascii="標楷體" w:hAnsi="標楷體"/>
          <w:sz w:val="28"/>
        </w:rPr>
        <w:t>1998</w:t>
      </w:r>
      <w:r>
        <w:rPr>
          <w:rFonts w:ascii="標楷體" w:hAnsi="標楷體" w:eastAsia="標楷體"/>
          <w:sz w:val="28"/>
        </w:rPr>
        <w:t>。</w:t>
      </w:r>
    </w:p>
    <w:p>
      <w:pPr>
        <w:pStyle w:val="Normal"/>
        <w:snapToGrid w:val="false"/>
        <w:spacing w:lineRule="atLeast" w:line="20"/>
        <w:rPr>
          <w:rFonts w:ascii="標楷體" w:hAnsi="標楷體" w:eastAsia="標楷體"/>
          <w:sz w:val="28"/>
        </w:rPr>
      </w:pPr>
      <w:r>
        <w:rPr>
          <w:rFonts w:eastAsia="標楷體" w:ascii="標楷體" w:hAnsi="標楷體"/>
          <w:sz w:val="28"/>
        </w:rPr>
        <w:t>32.</w:t>
      </w:r>
      <w:r>
        <w:rPr>
          <w:rFonts w:ascii="標楷體" w:hAnsi="標楷體" w:eastAsia="標楷體"/>
          <w:sz w:val="28"/>
        </w:rPr>
        <w:t>清、張錫純，醫學衷中參西錄，河北科學技術出版社，</w:t>
      </w:r>
      <w:r>
        <w:rPr>
          <w:rFonts w:eastAsia="標楷體" w:ascii="標楷體" w:hAnsi="標楷體"/>
          <w:sz w:val="28"/>
        </w:rPr>
        <w:t>1</w:t>
      </w:r>
      <w:r>
        <w:rPr>
          <w:rFonts w:eastAsia="標楷體" w:ascii="標楷體" w:hAnsi="標楷體"/>
          <w:sz w:val="28"/>
        </w:rPr>
        <w:t>994</w:t>
      </w:r>
      <w:r>
        <w:rPr>
          <w:rFonts w:ascii="標楷體" w:hAnsi="標楷體" w:eastAsia="標楷體"/>
          <w:sz w:val="28"/>
        </w:rPr>
        <w:t>。</w:t>
      </w:r>
    </w:p>
    <w:p>
      <w:pPr>
        <w:pStyle w:val="Normal"/>
        <w:snapToGrid w:val="false"/>
        <w:spacing w:lineRule="atLeast" w:line="20"/>
        <w:rPr>
          <w:rFonts w:ascii="標楷體" w:hAnsi="標楷體" w:eastAsia="標楷體"/>
          <w:sz w:val="28"/>
        </w:rPr>
      </w:pPr>
      <w:r>
        <w:rPr>
          <w:rFonts w:eastAsia="標楷體" w:ascii="標楷體" w:hAnsi="標楷體"/>
          <w:sz w:val="28"/>
        </w:rPr>
        <w:t>33.</w:t>
      </w:r>
      <w:r>
        <w:rPr>
          <w:rFonts w:ascii="標楷體" w:hAnsi="標楷體" w:eastAsia="標楷體"/>
          <w:sz w:val="28"/>
        </w:rPr>
        <w:t>唐宗海，血證論，力行書局有限公司，台北，</w:t>
      </w:r>
      <w:r>
        <w:rPr>
          <w:rFonts w:eastAsia="標楷體" w:ascii="標楷體" w:hAnsi="標楷體"/>
          <w:sz w:val="28"/>
        </w:rPr>
        <w:t>1992</w:t>
      </w:r>
      <w:r>
        <w:rPr>
          <w:rFonts w:ascii="標楷體" w:hAnsi="標楷體" w:eastAsia="標楷體"/>
          <w:sz w:val="28"/>
        </w:rPr>
        <w:t>。</w:t>
      </w:r>
    </w:p>
    <w:p>
      <w:pPr>
        <w:pStyle w:val="Normal"/>
        <w:snapToGrid w:val="false"/>
        <w:spacing w:lineRule="atLeast" w:line="20"/>
        <w:rPr/>
      </w:pPr>
      <w:r>
        <w:rPr>
          <w:rFonts w:eastAsia="標楷體" w:ascii="標楷體" w:hAnsi="標楷體"/>
          <w:sz w:val="28"/>
        </w:rPr>
        <w:t>34.</w:t>
      </w:r>
      <w:r>
        <w:rPr>
          <w:rFonts w:ascii="標楷體" w:hAnsi="標楷體" w:eastAsia="標楷體"/>
          <w:sz w:val="28"/>
        </w:rPr>
        <w:t>清、王清任，醫林改錯，台聯國風出版社，台北，</w:t>
      </w:r>
      <w:r>
        <w:rPr>
          <w:rFonts w:eastAsia="標楷體" w:ascii="標楷體" w:hAnsi="標楷體"/>
          <w:sz w:val="28"/>
        </w:rPr>
        <w:t>1991</w:t>
      </w:r>
      <w:r>
        <w:rPr>
          <w:rFonts w:ascii="標楷體" w:hAnsi="標楷體" w:eastAsia="標楷體"/>
          <w:sz w:val="28"/>
        </w:rPr>
        <w:t>。</w:t>
      </w:r>
    </w:p>
    <w:p>
      <w:pPr>
        <w:pStyle w:val="Normal"/>
        <w:snapToGrid w:val="false"/>
        <w:spacing w:lineRule="atLeast" w:line="20"/>
        <w:rPr/>
      </w:pPr>
      <w:r>
        <w:rPr>
          <w:rFonts w:eastAsia="標楷體" w:ascii="標楷體" w:hAnsi="標楷體"/>
          <w:sz w:val="28"/>
        </w:rPr>
        <w:t>35</w:t>
      </w:r>
      <w:r>
        <w:rPr>
          <w:rFonts w:eastAsia="標楷體" w:ascii="標楷體" w:hAnsi="標楷體"/>
          <w:sz w:val="28"/>
        </w:rPr>
        <w:t>.</w:t>
      </w:r>
      <w:r>
        <w:rPr>
          <w:rFonts w:ascii="標楷體" w:hAnsi="標楷體" w:eastAsia="標楷體"/>
          <w:sz w:val="28"/>
        </w:rPr>
        <w:t>王洪圖總主編，黃帝內經研究大成，北京出版社，北京，</w:t>
      </w:r>
      <w:r>
        <w:rPr>
          <w:rFonts w:eastAsia="標楷體" w:ascii="標楷體" w:hAnsi="標楷體"/>
          <w:sz w:val="28"/>
        </w:rPr>
        <w:t>1997</w:t>
      </w:r>
      <w:r>
        <w:rPr>
          <w:rFonts w:ascii="標楷體" w:hAnsi="標楷體" w:eastAsia="標楷體"/>
          <w:sz w:val="28"/>
        </w:rPr>
        <w:t>。</w:t>
      </w:r>
    </w:p>
    <w:p>
      <w:pPr>
        <w:pStyle w:val="Normal"/>
        <w:snapToGrid w:val="false"/>
        <w:spacing w:lineRule="atLeast" w:line="20"/>
        <w:rPr/>
      </w:pPr>
      <w:r>
        <w:rPr>
          <w:rFonts w:eastAsia="標楷體" w:ascii="標楷體" w:hAnsi="標楷體"/>
          <w:sz w:val="28"/>
        </w:rPr>
        <w:t>36</w:t>
      </w:r>
      <w:r>
        <w:rPr>
          <w:rFonts w:eastAsia="標楷體" w:ascii="標楷體" w:hAnsi="標楷體"/>
          <w:sz w:val="28"/>
        </w:rPr>
        <w:t>.</w:t>
      </w:r>
      <w:r>
        <w:rPr>
          <w:rFonts w:ascii="標楷體" w:hAnsi="標楷體" w:eastAsia="標楷體"/>
          <w:sz w:val="28"/>
        </w:rPr>
        <w:t>雷順群主編，</w:t>
      </w:r>
      <w:r>
        <w:rPr>
          <w:rFonts w:eastAsia="標楷體" w:ascii="標楷體" w:hAnsi="標楷體"/>
          <w:sz w:val="28"/>
        </w:rPr>
        <w:t>&lt;&lt;</w:t>
      </w:r>
      <w:r>
        <w:rPr>
          <w:rFonts w:ascii="標楷體" w:hAnsi="標楷體" w:eastAsia="標楷體"/>
          <w:sz w:val="28"/>
        </w:rPr>
        <w:t>內經</w:t>
      </w:r>
      <w:r>
        <w:rPr>
          <w:rFonts w:eastAsia="標楷體" w:ascii="標楷體" w:hAnsi="標楷體"/>
          <w:sz w:val="28"/>
        </w:rPr>
        <w:t>&gt;&gt;</w:t>
      </w:r>
      <w:r>
        <w:rPr>
          <w:rFonts w:ascii="標楷體" w:hAnsi="標楷體" w:eastAsia="標楷體"/>
          <w:sz w:val="28"/>
        </w:rPr>
        <w:t>多學科研究，江蘇科學技術出版社，江蘇，</w:t>
      </w:r>
    </w:p>
    <w:p>
      <w:pPr>
        <w:pStyle w:val="Normal"/>
        <w:snapToGrid w:val="false"/>
        <w:spacing w:lineRule="atLeast" w:line="20"/>
        <w:rPr>
          <w:rFonts w:ascii="標楷體" w:hAnsi="標楷體" w:eastAsia="標楷體"/>
          <w:sz w:val="28"/>
        </w:rPr>
      </w:pPr>
      <w:r>
        <w:rPr>
          <w:rFonts w:eastAsia="標楷體" w:cs="標楷體" w:ascii="標楷體" w:hAnsi="標楷體"/>
          <w:sz w:val="28"/>
        </w:rPr>
        <w:t xml:space="preserve">   </w:t>
      </w:r>
      <w:r>
        <w:rPr>
          <w:rFonts w:eastAsia="標楷體" w:ascii="標楷體" w:hAnsi="標楷體"/>
          <w:sz w:val="28"/>
        </w:rPr>
        <w:t>1990</w:t>
      </w:r>
      <w:r>
        <w:rPr>
          <w:rFonts w:ascii="標楷體" w:hAnsi="標楷體" w:eastAsia="標楷體"/>
          <w:sz w:val="28"/>
        </w:rPr>
        <w:t>。</w:t>
      </w:r>
    </w:p>
    <w:p>
      <w:pPr>
        <w:pStyle w:val="Normal"/>
        <w:snapToGrid w:val="false"/>
        <w:spacing w:lineRule="atLeast" w:line="20"/>
        <w:rPr/>
      </w:pPr>
      <w:r>
        <w:rPr>
          <w:rFonts w:eastAsia="標楷體" w:ascii="標楷體" w:hAnsi="標楷體"/>
          <w:sz w:val="28"/>
        </w:rPr>
        <w:t>37</w:t>
      </w:r>
      <w:r>
        <w:rPr>
          <w:rFonts w:eastAsia="標楷體" w:ascii="標楷體" w:hAnsi="標楷體"/>
          <w:sz w:val="28"/>
        </w:rPr>
        <w:t>.</w:t>
      </w:r>
      <w:r>
        <w:rPr>
          <w:rFonts w:ascii="標楷體" w:hAnsi="標楷體" w:eastAsia="標楷體"/>
          <w:sz w:val="28"/>
        </w:rPr>
        <w:t>柯雪帆等主編，中醫外感病辨治，人民衛生出版社，北京，</w:t>
      </w:r>
      <w:r>
        <w:rPr>
          <w:rFonts w:eastAsia="標楷體" w:ascii="標楷體" w:hAnsi="標楷體"/>
          <w:sz w:val="28"/>
        </w:rPr>
        <w:t>1993</w:t>
      </w:r>
      <w:r>
        <w:rPr>
          <w:rFonts w:ascii="標楷體" w:hAnsi="標楷體" w:eastAsia="標楷體"/>
          <w:sz w:val="28"/>
        </w:rPr>
        <w:t>。</w:t>
      </w:r>
    </w:p>
    <w:p>
      <w:pPr>
        <w:pStyle w:val="Normal"/>
        <w:snapToGrid w:val="false"/>
        <w:spacing w:lineRule="atLeast" w:line="20"/>
        <w:rPr/>
      </w:pPr>
      <w:r>
        <w:rPr>
          <w:rFonts w:eastAsia="標楷體" w:ascii="標楷體" w:hAnsi="標楷體"/>
          <w:sz w:val="28"/>
        </w:rPr>
        <w:t>3</w:t>
      </w:r>
      <w:r>
        <w:rPr>
          <w:rFonts w:eastAsia="標楷體" w:ascii="標楷體" w:hAnsi="標楷體"/>
          <w:sz w:val="28"/>
        </w:rPr>
        <w:t>8</w:t>
      </w:r>
      <w:r>
        <w:rPr>
          <w:rFonts w:eastAsia="標楷體" w:ascii="標楷體" w:hAnsi="標楷體"/>
          <w:sz w:val="28"/>
        </w:rPr>
        <w:t>.</w:t>
      </w:r>
      <w:r>
        <w:rPr>
          <w:rFonts w:ascii="標楷體" w:hAnsi="標楷體" w:eastAsia="標楷體"/>
          <w:sz w:val="28"/>
        </w:rPr>
        <w:t>吳銀根等主編，中醫外感熱病學，上海科學技術出版社，上海，</w:t>
      </w:r>
    </w:p>
    <w:p>
      <w:pPr>
        <w:pStyle w:val="Normal"/>
        <w:snapToGrid w:val="false"/>
        <w:spacing w:lineRule="atLeast" w:line="20"/>
        <w:rPr>
          <w:rFonts w:ascii="標楷體" w:hAnsi="標楷體" w:eastAsia="標楷體"/>
          <w:sz w:val="28"/>
        </w:rPr>
      </w:pPr>
      <w:r>
        <w:rPr>
          <w:rFonts w:eastAsia="標楷體" w:cs="標楷體" w:ascii="標楷體" w:hAnsi="標楷體"/>
          <w:sz w:val="28"/>
        </w:rPr>
        <w:t xml:space="preserve">   </w:t>
      </w:r>
      <w:r>
        <w:rPr>
          <w:rFonts w:eastAsia="標楷體" w:ascii="標楷體" w:hAnsi="標楷體"/>
          <w:sz w:val="28"/>
        </w:rPr>
        <w:t>1991</w:t>
      </w:r>
      <w:r>
        <w:rPr>
          <w:rFonts w:ascii="標楷體" w:hAnsi="標楷體" w:eastAsia="標楷體"/>
          <w:sz w:val="28"/>
        </w:rPr>
        <w:t>。</w:t>
      </w:r>
    </w:p>
    <w:p>
      <w:pPr>
        <w:pStyle w:val="Normal"/>
        <w:snapToGrid w:val="false"/>
        <w:spacing w:lineRule="atLeast" w:line="20"/>
        <w:rPr>
          <w:rFonts w:ascii="標楷體" w:hAnsi="標楷體" w:eastAsia="標楷體"/>
          <w:sz w:val="28"/>
        </w:rPr>
      </w:pPr>
      <w:r>
        <w:rPr>
          <w:rFonts w:eastAsia="標楷體" w:ascii="標楷體" w:hAnsi="標楷體"/>
          <w:sz w:val="28"/>
        </w:rPr>
        <w:t>39</w:t>
      </w:r>
      <w:r>
        <w:rPr>
          <w:rFonts w:eastAsia="標楷體" w:ascii="標楷體" w:hAnsi="標楷體"/>
          <w:sz w:val="28"/>
        </w:rPr>
        <w:t>.</w:t>
      </w:r>
      <w:r>
        <w:rPr>
          <w:rFonts w:ascii="標楷體" w:hAnsi="標楷體" w:eastAsia="標楷體"/>
          <w:sz w:val="28"/>
        </w:rPr>
        <w:t>沈慶法主編，中醫臨床腎臟病學，上海科學技術文獻出版社，</w:t>
      </w:r>
    </w:p>
    <w:p>
      <w:pPr>
        <w:pStyle w:val="Normal"/>
        <w:snapToGrid w:val="false"/>
        <w:spacing w:lineRule="atLeast" w:line="20"/>
        <w:rPr/>
      </w:pPr>
      <w:r>
        <w:rPr>
          <w:rFonts w:eastAsia="標楷體" w:cs="標楷體" w:ascii="標楷體" w:hAnsi="標楷體"/>
          <w:sz w:val="28"/>
        </w:rPr>
        <w:t xml:space="preserve">   </w:t>
      </w:r>
      <w:r>
        <w:rPr>
          <w:rFonts w:eastAsia="標楷體" w:ascii="標楷體" w:hAnsi="標楷體"/>
          <w:sz w:val="28"/>
        </w:rPr>
        <w:t>1</w:t>
      </w:r>
      <w:r>
        <w:rPr>
          <w:rFonts w:eastAsia="標楷體" w:ascii="標楷體" w:hAnsi="標楷體"/>
          <w:sz w:val="28"/>
        </w:rPr>
        <w:t>998</w:t>
      </w:r>
      <w:r>
        <w:rPr>
          <w:rFonts w:ascii="標楷體" w:hAnsi="標楷體" w:eastAsia="標楷體"/>
          <w:sz w:val="28"/>
        </w:rPr>
        <w:t>。</w:t>
      </w:r>
    </w:p>
    <w:p>
      <w:pPr>
        <w:pStyle w:val="Normal"/>
        <w:snapToGrid w:val="false"/>
        <w:spacing w:lineRule="atLeast" w:line="20"/>
        <w:rPr/>
      </w:pPr>
      <w:r>
        <w:rPr>
          <w:rFonts w:eastAsia="標楷體" w:ascii="標楷體" w:hAnsi="標楷體"/>
          <w:sz w:val="28"/>
        </w:rPr>
        <w:t>40</w:t>
      </w:r>
      <w:r>
        <w:rPr>
          <w:rFonts w:eastAsia="標楷體" w:ascii="標楷體" w:hAnsi="標楷體"/>
          <w:sz w:val="28"/>
        </w:rPr>
        <w:t>.</w:t>
      </w:r>
      <w:r>
        <w:rPr>
          <w:rFonts w:ascii="標楷體" w:hAnsi="標楷體" w:eastAsia="標楷體"/>
          <w:sz w:val="28"/>
        </w:rPr>
        <w:t>時振聲，時氏中醫腎臟病學，中國醫藥科技出版社，北京，</w:t>
      </w:r>
      <w:r>
        <w:rPr>
          <w:rFonts w:eastAsia="標楷體" w:ascii="標楷體" w:hAnsi="標楷體"/>
          <w:sz w:val="28"/>
        </w:rPr>
        <w:t>1997</w:t>
      </w:r>
      <w:r>
        <w:rPr>
          <w:rFonts w:ascii="標楷體" w:hAnsi="標楷體" w:eastAsia="標楷體"/>
          <w:sz w:val="28"/>
        </w:rPr>
        <w:t>。</w:t>
      </w:r>
    </w:p>
    <w:p>
      <w:pPr>
        <w:pStyle w:val="Normal"/>
        <w:snapToGrid w:val="false"/>
        <w:spacing w:lineRule="atLeast" w:line="20"/>
        <w:rPr/>
      </w:pPr>
      <w:r>
        <w:rPr>
          <w:rFonts w:eastAsia="標楷體" w:ascii="標楷體" w:hAnsi="標楷體"/>
          <w:sz w:val="28"/>
        </w:rPr>
        <w:t>41</w:t>
      </w:r>
      <w:r>
        <w:rPr>
          <w:rFonts w:eastAsia="標楷體" w:ascii="標楷體" w:hAnsi="標楷體"/>
          <w:sz w:val="28"/>
        </w:rPr>
        <w:t>.</w:t>
      </w:r>
      <w:r>
        <w:rPr>
          <w:rFonts w:ascii="標楷體" w:hAnsi="標楷體" w:eastAsia="標楷體"/>
          <w:sz w:val="28"/>
        </w:rPr>
        <w:t>張天、陳以平主編，實用中醫腎病學，上海中醫學院出版社，上</w:t>
      </w:r>
    </w:p>
    <w:p>
      <w:pPr>
        <w:pStyle w:val="Normal"/>
        <w:snapToGrid w:val="false"/>
        <w:spacing w:lineRule="atLeast" w:line="20"/>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海，</w:t>
      </w:r>
      <w:r>
        <w:rPr>
          <w:rFonts w:eastAsia="標楷體" w:ascii="標楷體" w:hAnsi="標楷體"/>
          <w:sz w:val="28"/>
        </w:rPr>
        <w:t>1992</w:t>
      </w:r>
      <w:r>
        <w:rPr>
          <w:rFonts w:ascii="標楷體" w:hAnsi="標楷體" w:eastAsia="標楷體"/>
          <w:sz w:val="28"/>
        </w:rPr>
        <w:t>。</w:t>
      </w:r>
    </w:p>
    <w:p>
      <w:pPr>
        <w:pStyle w:val="Normal"/>
        <w:snapToGrid w:val="false"/>
        <w:spacing w:lineRule="atLeast" w:line="20"/>
        <w:rPr/>
      </w:pPr>
      <w:r>
        <w:rPr>
          <w:rFonts w:eastAsia="標楷體" w:ascii="標楷體" w:hAnsi="標楷體"/>
          <w:sz w:val="28"/>
        </w:rPr>
        <w:t>42</w:t>
      </w:r>
      <w:r>
        <w:rPr>
          <w:rFonts w:eastAsia="標楷體" w:ascii="標楷體" w:hAnsi="標楷體"/>
          <w:sz w:val="28"/>
        </w:rPr>
        <w:t>.</w:t>
      </w:r>
      <w:r>
        <w:rPr>
          <w:rFonts w:ascii="標楷體" w:hAnsi="標楷體" w:eastAsia="標楷體"/>
          <w:sz w:val="28"/>
        </w:rPr>
        <w:t>沈自尹，腎的研究，上海科學技術出版社，上海，</w:t>
      </w:r>
      <w:r>
        <w:rPr>
          <w:rFonts w:eastAsia="標楷體" w:ascii="標楷體" w:hAnsi="標楷體"/>
          <w:sz w:val="28"/>
        </w:rPr>
        <w:t>1990</w:t>
      </w:r>
      <w:r>
        <w:rPr>
          <w:rFonts w:ascii="標楷體" w:hAnsi="標楷體" w:eastAsia="標楷體"/>
          <w:sz w:val="28"/>
        </w:rPr>
        <w:t>。</w:t>
      </w:r>
    </w:p>
    <w:p>
      <w:pPr>
        <w:pStyle w:val="Normal"/>
        <w:snapToGrid w:val="false"/>
        <w:spacing w:lineRule="atLeast" w:line="20"/>
        <w:rPr/>
      </w:pPr>
      <w:r>
        <w:rPr>
          <w:rFonts w:eastAsia="標楷體" w:ascii="標楷體" w:hAnsi="標楷體"/>
          <w:sz w:val="28"/>
        </w:rPr>
        <w:t>43</w:t>
      </w:r>
      <w:r>
        <w:rPr>
          <w:rFonts w:eastAsia="標楷體" w:ascii="標楷體" w:hAnsi="標楷體"/>
          <w:sz w:val="28"/>
        </w:rPr>
        <w:t>.</w:t>
      </w:r>
      <w:r>
        <w:rPr>
          <w:rFonts w:ascii="標楷體" w:hAnsi="標楷體" w:eastAsia="標楷體"/>
          <w:sz w:val="28"/>
        </w:rPr>
        <w:t>葉任高，腎臟病臨床略要，人民衛生出版社，北京，</w:t>
      </w:r>
      <w:r>
        <w:rPr>
          <w:rFonts w:eastAsia="標楷體" w:ascii="標楷體" w:hAnsi="標楷體"/>
          <w:sz w:val="28"/>
        </w:rPr>
        <w:t>1997</w:t>
      </w:r>
      <w:r>
        <w:rPr>
          <w:rFonts w:ascii="標楷體" w:hAnsi="標楷體" w:eastAsia="標楷體"/>
          <w:sz w:val="28"/>
        </w:rPr>
        <w:t>。</w:t>
      </w:r>
    </w:p>
    <w:p>
      <w:pPr>
        <w:pStyle w:val="Normal"/>
        <w:snapToGrid w:val="false"/>
        <w:spacing w:lineRule="atLeast" w:line="20"/>
        <w:rPr/>
      </w:pPr>
      <w:r>
        <w:rPr>
          <w:rFonts w:eastAsia="標楷體" w:ascii="標楷體" w:hAnsi="標楷體"/>
          <w:sz w:val="28"/>
        </w:rPr>
        <w:t>44.</w:t>
      </w:r>
      <w:r>
        <w:rPr>
          <w:rFonts w:ascii="標楷體" w:hAnsi="標楷體" w:eastAsia="標楷體"/>
          <w:sz w:val="28"/>
        </w:rPr>
        <w:t>周鳳龍等，腎病綜合徵，中國中醫藥出版社，</w:t>
      </w:r>
      <w:r>
        <w:rPr>
          <w:rFonts w:eastAsia="標楷體" w:ascii="標楷體" w:hAnsi="標楷體"/>
          <w:sz w:val="28"/>
        </w:rPr>
        <w:t>1992</w:t>
      </w:r>
      <w:r>
        <w:rPr>
          <w:rFonts w:ascii="標楷體" w:hAnsi="標楷體" w:eastAsia="標楷體"/>
          <w:sz w:val="28"/>
        </w:rPr>
        <w:t>。</w:t>
      </w:r>
    </w:p>
    <w:p>
      <w:pPr>
        <w:pStyle w:val="Normal"/>
        <w:snapToGrid w:val="false"/>
        <w:spacing w:lineRule="atLeast" w:line="20"/>
        <w:rPr/>
      </w:pPr>
      <w:r>
        <w:rPr>
          <w:rFonts w:eastAsia="標楷體" w:ascii="標楷體" w:hAnsi="標楷體"/>
          <w:sz w:val="28"/>
        </w:rPr>
        <w:t>45</w:t>
      </w:r>
      <w:r>
        <w:rPr>
          <w:rFonts w:eastAsia="標楷體" w:ascii="標楷體" w:hAnsi="標楷體"/>
          <w:sz w:val="28"/>
        </w:rPr>
        <w:t>.</w:t>
      </w:r>
      <w:r>
        <w:rPr>
          <w:rFonts w:ascii="標楷體" w:hAnsi="標楷體" w:eastAsia="標楷體"/>
          <w:sz w:val="28"/>
        </w:rPr>
        <w:t>江自敏、呂宏生、劉玉寧主編，中西醫臨床腎病學，中國中醫藥</w:t>
      </w:r>
    </w:p>
    <w:p>
      <w:pPr>
        <w:pStyle w:val="Normal"/>
        <w:snapToGrid w:val="false"/>
        <w:spacing w:lineRule="atLeast" w:line="20"/>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出版社，北京，</w:t>
      </w:r>
      <w:r>
        <w:rPr>
          <w:rFonts w:eastAsia="標楷體" w:ascii="標楷體" w:hAnsi="標楷體"/>
          <w:sz w:val="28"/>
        </w:rPr>
        <w:t>1997</w:t>
      </w:r>
      <w:r>
        <w:rPr>
          <w:rFonts w:ascii="標楷體" w:hAnsi="標楷體" w:eastAsia="標楷體"/>
          <w:sz w:val="28"/>
        </w:rPr>
        <w:t>。</w:t>
      </w:r>
    </w:p>
    <w:p>
      <w:pPr>
        <w:pStyle w:val="Normal"/>
        <w:snapToGrid w:val="false"/>
        <w:spacing w:lineRule="atLeast" w:line="20"/>
        <w:rPr/>
      </w:pPr>
      <w:r>
        <w:rPr>
          <w:rFonts w:eastAsia="標楷體" w:ascii="標楷體" w:hAnsi="標楷體"/>
          <w:sz w:val="28"/>
        </w:rPr>
        <w:t>46</w:t>
      </w:r>
      <w:r>
        <w:rPr>
          <w:rFonts w:eastAsia="標楷體" w:ascii="標楷體" w:hAnsi="標楷體"/>
          <w:sz w:val="28"/>
        </w:rPr>
        <w:t>.</w:t>
      </w:r>
      <w:r>
        <w:rPr>
          <w:rFonts w:ascii="標楷體" w:hAnsi="標楷體" w:eastAsia="標楷體"/>
          <w:sz w:val="28"/>
        </w:rPr>
        <w:t>張大寧，實用中醫腎病學，中國醫藥科技出版社，天津，</w:t>
      </w:r>
      <w:r>
        <w:rPr>
          <w:rFonts w:eastAsia="標楷體" w:ascii="標楷體" w:hAnsi="標楷體"/>
          <w:sz w:val="28"/>
        </w:rPr>
        <w:t>1996</w:t>
      </w:r>
      <w:r>
        <w:rPr>
          <w:rFonts w:ascii="標楷體" w:hAnsi="標楷體" w:eastAsia="標楷體"/>
          <w:sz w:val="28"/>
        </w:rPr>
        <w:t>。</w:t>
      </w:r>
    </w:p>
    <w:p>
      <w:pPr>
        <w:pStyle w:val="Normal"/>
        <w:snapToGrid w:val="false"/>
        <w:spacing w:lineRule="atLeast" w:line="20"/>
        <w:rPr/>
      </w:pPr>
      <w:r>
        <w:rPr>
          <w:rFonts w:eastAsia="標楷體" w:ascii="標楷體" w:hAnsi="標楷體"/>
          <w:sz w:val="28"/>
        </w:rPr>
        <w:t>47</w:t>
      </w:r>
      <w:r>
        <w:rPr>
          <w:rFonts w:eastAsia="標楷體" w:ascii="標楷體" w:hAnsi="標楷體"/>
          <w:sz w:val="28"/>
        </w:rPr>
        <w:t>.</w:t>
      </w:r>
      <w:r>
        <w:rPr>
          <w:rFonts w:ascii="標楷體" w:hAnsi="標楷體" w:eastAsia="標楷體"/>
          <w:sz w:val="28"/>
        </w:rPr>
        <w:t>郭兆安，慢性腎功能衰竭的中西醫治療，中國中醫藥出版社，北</w:t>
      </w:r>
    </w:p>
    <w:p>
      <w:pPr>
        <w:pStyle w:val="Normal"/>
        <w:snapToGrid w:val="false"/>
        <w:spacing w:lineRule="atLeast" w:line="20"/>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京，</w:t>
      </w:r>
      <w:r>
        <w:rPr>
          <w:rFonts w:eastAsia="標楷體" w:ascii="標楷體" w:hAnsi="標楷體"/>
          <w:sz w:val="28"/>
        </w:rPr>
        <w:t>1996</w:t>
      </w:r>
      <w:r>
        <w:rPr>
          <w:rFonts w:ascii="標楷體" w:hAnsi="標楷體" w:eastAsia="標楷體"/>
          <w:sz w:val="28"/>
        </w:rPr>
        <w:t>。</w:t>
      </w:r>
    </w:p>
    <w:p>
      <w:pPr>
        <w:pStyle w:val="Normal"/>
        <w:snapToGrid w:val="false"/>
        <w:spacing w:lineRule="atLeast" w:line="20"/>
        <w:rPr/>
      </w:pPr>
      <w:r>
        <w:rPr>
          <w:rFonts w:eastAsia="標楷體" w:ascii="標楷體" w:hAnsi="標楷體"/>
          <w:sz w:val="28"/>
        </w:rPr>
        <w:t>48</w:t>
      </w:r>
      <w:r>
        <w:rPr>
          <w:rFonts w:eastAsia="標楷體" w:ascii="標楷體" w:hAnsi="標楷體"/>
          <w:sz w:val="28"/>
        </w:rPr>
        <w:t>.</w:t>
      </w:r>
      <w:r>
        <w:rPr>
          <w:rFonts w:ascii="標楷體" w:hAnsi="標楷體" w:eastAsia="標楷體"/>
          <w:sz w:val="28"/>
        </w:rPr>
        <w:t>朱寧主編，腎功能衰竭防治</w:t>
      </w:r>
      <w:r>
        <w:rPr>
          <w:rFonts w:eastAsia="標楷體" w:ascii="標楷體" w:hAnsi="標楷體"/>
          <w:sz w:val="28"/>
        </w:rPr>
        <w:t>300</w:t>
      </w:r>
      <w:r>
        <w:rPr>
          <w:rFonts w:ascii="標楷體" w:hAnsi="標楷體" w:eastAsia="標楷體"/>
          <w:sz w:val="28"/>
        </w:rPr>
        <w:t>問，金盾出版社，北京，</w:t>
      </w:r>
      <w:r>
        <w:rPr>
          <w:rFonts w:eastAsia="標楷體" w:ascii="標楷體" w:hAnsi="標楷體"/>
          <w:sz w:val="28"/>
        </w:rPr>
        <w:t>1996</w:t>
      </w:r>
      <w:r>
        <w:rPr>
          <w:rFonts w:ascii="標楷體" w:hAnsi="標楷體" w:eastAsia="標楷體"/>
          <w:sz w:val="28"/>
        </w:rPr>
        <w:t>。</w:t>
      </w:r>
    </w:p>
    <w:p>
      <w:pPr>
        <w:pStyle w:val="Normal"/>
        <w:snapToGrid w:val="false"/>
        <w:spacing w:lineRule="atLeast" w:line="20"/>
        <w:rPr/>
      </w:pPr>
      <w:r>
        <w:rPr>
          <w:rFonts w:eastAsia="標楷體" w:ascii="標楷體" w:hAnsi="標楷體"/>
          <w:sz w:val="28"/>
        </w:rPr>
        <w:t>49</w:t>
      </w:r>
      <w:r>
        <w:rPr>
          <w:rFonts w:eastAsia="標楷體" w:ascii="標楷體" w:hAnsi="標楷體"/>
          <w:sz w:val="28"/>
        </w:rPr>
        <w:t>.</w:t>
      </w:r>
      <w:r>
        <w:rPr>
          <w:rFonts w:ascii="標楷體" w:hAnsi="標楷體" w:eastAsia="標楷體"/>
          <w:sz w:val="28"/>
        </w:rPr>
        <w:t>戴新民編，水氣症證治，啟業書局有限公司，台北，</w:t>
      </w:r>
      <w:r>
        <w:rPr>
          <w:rFonts w:eastAsia="標楷體" w:ascii="標楷體" w:hAnsi="標楷體"/>
          <w:sz w:val="28"/>
        </w:rPr>
        <w:t>1987</w:t>
      </w:r>
      <w:r>
        <w:rPr>
          <w:rFonts w:ascii="標楷體" w:hAnsi="標楷體" w:eastAsia="標楷體"/>
          <w:sz w:val="28"/>
        </w:rPr>
        <w:t>。</w:t>
      </w:r>
    </w:p>
    <w:p>
      <w:pPr>
        <w:pStyle w:val="Normal"/>
        <w:snapToGrid w:val="false"/>
        <w:spacing w:lineRule="atLeast" w:line="20"/>
        <w:rPr/>
      </w:pPr>
      <w:r>
        <w:rPr>
          <w:rFonts w:eastAsia="標楷體" w:ascii="標楷體" w:hAnsi="標楷體"/>
          <w:sz w:val="28"/>
        </w:rPr>
        <w:t>50</w:t>
      </w:r>
      <w:r>
        <w:rPr>
          <w:rFonts w:eastAsia="標楷體" w:ascii="標楷體" w:hAnsi="標楷體"/>
          <w:sz w:val="28"/>
        </w:rPr>
        <w:t>.</w:t>
      </w:r>
      <w:r>
        <w:rPr>
          <w:rFonts w:ascii="標楷體" w:hAnsi="標楷體" w:eastAsia="標楷體"/>
          <w:sz w:val="28"/>
        </w:rPr>
        <w:t>劉燕玲編著，水腫，中國中醫藥出版社，北京，</w:t>
      </w:r>
      <w:r>
        <w:rPr>
          <w:rFonts w:eastAsia="標楷體" w:ascii="標楷體" w:hAnsi="標楷體"/>
          <w:sz w:val="28"/>
        </w:rPr>
        <w:t>1995</w:t>
      </w:r>
      <w:r>
        <w:rPr>
          <w:rFonts w:ascii="標楷體" w:hAnsi="標楷體" w:eastAsia="標楷體"/>
          <w:sz w:val="28"/>
        </w:rPr>
        <w:t>。</w:t>
      </w:r>
    </w:p>
    <w:p>
      <w:pPr>
        <w:pStyle w:val="Normal"/>
        <w:snapToGrid w:val="false"/>
        <w:spacing w:lineRule="atLeast" w:line="20"/>
        <w:rPr/>
      </w:pPr>
      <w:r>
        <w:rPr>
          <w:rFonts w:eastAsia="標楷體" w:ascii="標楷體" w:hAnsi="標楷體"/>
          <w:sz w:val="28"/>
        </w:rPr>
        <w:t>51</w:t>
      </w:r>
      <w:r>
        <w:rPr>
          <w:rFonts w:eastAsia="標楷體" w:ascii="標楷體" w:hAnsi="標楷體"/>
          <w:sz w:val="28"/>
        </w:rPr>
        <w:t>.</w:t>
      </w:r>
      <w:r>
        <w:rPr>
          <w:rFonts w:ascii="標楷體" w:hAnsi="標楷體" w:eastAsia="標楷體"/>
          <w:sz w:val="28"/>
        </w:rPr>
        <w:t>于俊生主編，中西醫結合診治水腫與積液，科學技術文獻出版社，</w:t>
      </w:r>
    </w:p>
    <w:p>
      <w:pPr>
        <w:pStyle w:val="Normal"/>
        <w:snapToGrid w:val="false"/>
        <w:spacing w:lineRule="atLeast" w:line="20"/>
        <w:rPr/>
      </w:pPr>
      <w:r>
        <w:rPr>
          <w:rFonts w:eastAsia="標楷體" w:cs="標楷體" w:ascii="標楷體" w:hAnsi="標楷體"/>
          <w:sz w:val="28"/>
        </w:rPr>
        <w:t xml:space="preserve">   </w:t>
      </w:r>
      <w:r>
        <w:rPr>
          <w:rFonts w:ascii="標楷體" w:hAnsi="標楷體" w:eastAsia="標楷體"/>
          <w:sz w:val="28"/>
        </w:rPr>
        <w:t>北京，</w:t>
      </w:r>
      <w:r>
        <w:rPr>
          <w:rFonts w:eastAsia="標楷體" w:ascii="標楷體" w:hAnsi="標楷體"/>
          <w:sz w:val="28"/>
        </w:rPr>
        <w:t>1998</w:t>
      </w:r>
      <w:r>
        <w:rPr>
          <w:rFonts w:ascii="標楷體" w:hAnsi="標楷體" w:eastAsia="標楷體"/>
          <w:sz w:val="28"/>
        </w:rPr>
        <w:t>。</w:t>
      </w:r>
      <w:r>
        <w:rPr>
          <w:rFonts w:ascii="標楷體" w:hAnsi="標楷體" w:eastAsia="標楷體"/>
          <w:sz w:val="28"/>
        </w:rPr>
        <w:t xml:space="preserve"> </w:t>
      </w:r>
    </w:p>
    <w:p>
      <w:pPr>
        <w:pStyle w:val="Normal"/>
        <w:snapToGrid w:val="false"/>
        <w:spacing w:lineRule="atLeast" w:line="20"/>
        <w:rPr/>
      </w:pPr>
      <w:r>
        <w:rPr>
          <w:rFonts w:eastAsia="標楷體" w:ascii="標楷體" w:hAnsi="標楷體"/>
          <w:sz w:val="28"/>
        </w:rPr>
        <w:t>52</w:t>
      </w:r>
      <w:r>
        <w:rPr>
          <w:rFonts w:eastAsia="標楷體" w:ascii="標楷體" w:hAnsi="標楷體"/>
          <w:sz w:val="28"/>
        </w:rPr>
        <w:t>.</w:t>
      </w:r>
      <w:r>
        <w:rPr>
          <w:rFonts w:ascii="標楷體" w:hAnsi="標楷體" w:eastAsia="標楷體"/>
          <w:sz w:val="28"/>
        </w:rPr>
        <w:t>吳敦序主編，中醫基礎理論，上海科學技術出版社，上海，</w:t>
      </w:r>
      <w:r>
        <w:rPr>
          <w:rFonts w:eastAsia="標楷體" w:ascii="標楷體" w:hAnsi="標楷體"/>
          <w:sz w:val="28"/>
        </w:rPr>
        <w:t>1995</w:t>
      </w:r>
      <w:r>
        <w:rPr>
          <w:rFonts w:ascii="標楷體" w:hAnsi="標楷體" w:eastAsia="標楷體"/>
          <w:sz w:val="28"/>
        </w:rPr>
        <w:t>。</w:t>
      </w:r>
    </w:p>
    <w:p>
      <w:pPr>
        <w:pStyle w:val="Normal"/>
        <w:snapToGrid w:val="false"/>
        <w:spacing w:lineRule="atLeast" w:line="20"/>
        <w:rPr/>
      </w:pPr>
      <w:r>
        <w:rPr>
          <w:rFonts w:eastAsia="標楷體" w:ascii="標楷體" w:hAnsi="標楷體"/>
          <w:sz w:val="28"/>
        </w:rPr>
        <w:t>53</w:t>
      </w:r>
      <w:r>
        <w:rPr>
          <w:rFonts w:eastAsia="標楷體" w:ascii="標楷體" w:hAnsi="標楷體"/>
          <w:sz w:val="28"/>
        </w:rPr>
        <w:t>.</w:t>
      </w:r>
      <w:r>
        <w:rPr>
          <w:rFonts w:ascii="標楷體" w:hAnsi="標楷體" w:eastAsia="標楷體"/>
          <w:sz w:val="28"/>
        </w:rPr>
        <w:t>柯雪帆主編，中醫辨證學，上海中醫學院出版社，上海，</w:t>
      </w:r>
      <w:r>
        <w:rPr>
          <w:rFonts w:eastAsia="標楷體" w:ascii="標楷體" w:hAnsi="標楷體"/>
          <w:sz w:val="28"/>
        </w:rPr>
        <w:t>1987</w:t>
      </w:r>
      <w:r>
        <w:rPr>
          <w:rFonts w:ascii="標楷體" w:hAnsi="標楷體" w:eastAsia="標楷體"/>
          <w:sz w:val="28"/>
        </w:rPr>
        <w:t>。</w:t>
      </w:r>
    </w:p>
    <w:p>
      <w:pPr>
        <w:pStyle w:val="Normal"/>
        <w:snapToGrid w:val="false"/>
        <w:spacing w:lineRule="atLeast" w:line="20"/>
        <w:rPr/>
      </w:pPr>
      <w:r>
        <w:rPr>
          <w:rFonts w:eastAsia="標楷體" w:ascii="標楷體" w:hAnsi="標楷體"/>
          <w:sz w:val="28"/>
        </w:rPr>
        <w:t>54</w:t>
      </w:r>
      <w:r>
        <w:rPr>
          <w:rFonts w:eastAsia="標楷體" w:ascii="標楷體" w:hAnsi="標楷體"/>
          <w:sz w:val="28"/>
        </w:rPr>
        <w:t>.</w:t>
      </w:r>
      <w:r>
        <w:rPr>
          <w:rFonts w:ascii="標楷體" w:hAnsi="標楷體" w:eastAsia="標楷體"/>
          <w:sz w:val="28"/>
        </w:rPr>
        <w:t>鄧鐵濤，中醫診斷學，人民衛生出版社，北京，</w:t>
      </w:r>
      <w:r>
        <w:rPr>
          <w:rFonts w:eastAsia="標楷體" w:ascii="標楷體" w:hAnsi="標楷體"/>
          <w:sz w:val="28"/>
        </w:rPr>
        <w:t>1994</w:t>
      </w:r>
      <w:r>
        <w:rPr>
          <w:rFonts w:ascii="標楷體" w:hAnsi="標楷體" w:eastAsia="標楷體"/>
          <w:sz w:val="28"/>
        </w:rPr>
        <w:t>。</w:t>
      </w:r>
    </w:p>
    <w:p>
      <w:pPr>
        <w:pStyle w:val="Normal"/>
        <w:snapToGrid w:val="false"/>
        <w:spacing w:lineRule="atLeast" w:line="20"/>
        <w:rPr/>
      </w:pPr>
      <w:r>
        <w:rPr>
          <w:rFonts w:eastAsia="標楷體" w:ascii="標楷體" w:hAnsi="標楷體"/>
          <w:sz w:val="28"/>
        </w:rPr>
        <w:t>55</w:t>
      </w:r>
      <w:r>
        <w:rPr>
          <w:rFonts w:eastAsia="標楷體" w:ascii="標楷體" w:hAnsi="標楷體"/>
          <w:sz w:val="28"/>
        </w:rPr>
        <w:t>.</w:t>
      </w:r>
      <w:r>
        <w:rPr>
          <w:rFonts w:ascii="標楷體" w:hAnsi="標楷體" w:eastAsia="標楷體"/>
          <w:sz w:val="28"/>
        </w:rPr>
        <w:t>柯雪帆，中醫症狀學，上海中醫學院出版社，上海，</w:t>
      </w:r>
      <w:r>
        <w:rPr>
          <w:rFonts w:eastAsia="標楷體" w:ascii="標楷體" w:hAnsi="標楷體"/>
          <w:sz w:val="28"/>
        </w:rPr>
        <w:t>1988</w:t>
      </w:r>
      <w:r>
        <w:rPr>
          <w:rFonts w:ascii="標楷體" w:hAnsi="標楷體" w:eastAsia="標楷體"/>
          <w:sz w:val="28"/>
        </w:rPr>
        <w:t>。</w:t>
      </w:r>
    </w:p>
    <w:p>
      <w:pPr>
        <w:pStyle w:val="Normal"/>
        <w:snapToGrid w:val="false"/>
        <w:spacing w:lineRule="atLeast" w:line="20"/>
        <w:rPr/>
      </w:pPr>
      <w:r>
        <w:rPr>
          <w:rFonts w:eastAsia="標楷體" w:ascii="標楷體" w:hAnsi="標楷體"/>
          <w:sz w:val="28"/>
        </w:rPr>
        <w:t>56</w:t>
      </w:r>
      <w:r>
        <w:rPr>
          <w:rFonts w:eastAsia="標楷體" w:ascii="標楷體" w:hAnsi="標楷體"/>
          <w:sz w:val="28"/>
        </w:rPr>
        <w:t>.</w:t>
      </w:r>
      <w:r>
        <w:rPr>
          <w:rFonts w:ascii="標楷體" w:hAnsi="標楷體" w:eastAsia="標楷體"/>
          <w:sz w:val="28"/>
        </w:rPr>
        <w:t>王琦主編，中醫臟象學，人民衛生出版社，北京，</w:t>
      </w:r>
      <w:r>
        <w:rPr>
          <w:rFonts w:eastAsia="標楷體" w:ascii="標楷體" w:hAnsi="標楷體"/>
          <w:sz w:val="28"/>
        </w:rPr>
        <w:t>1997</w:t>
      </w:r>
      <w:r>
        <w:rPr>
          <w:rFonts w:ascii="標楷體" w:hAnsi="標楷體" w:eastAsia="標楷體"/>
          <w:sz w:val="28"/>
        </w:rPr>
        <w:t>。</w:t>
      </w:r>
    </w:p>
    <w:p>
      <w:pPr>
        <w:pStyle w:val="Normal"/>
        <w:snapToGrid w:val="false"/>
        <w:spacing w:lineRule="atLeast" w:line="20"/>
        <w:rPr/>
      </w:pPr>
      <w:r>
        <w:rPr>
          <w:rFonts w:eastAsia="標楷體" w:ascii="標楷體" w:hAnsi="標楷體"/>
          <w:sz w:val="28"/>
        </w:rPr>
        <w:t>57</w:t>
      </w:r>
      <w:r>
        <w:rPr>
          <w:rFonts w:eastAsia="標楷體" w:ascii="標楷體" w:hAnsi="標楷體"/>
          <w:sz w:val="28"/>
        </w:rPr>
        <w:t>.</w:t>
      </w:r>
      <w:r>
        <w:rPr>
          <w:rFonts w:ascii="標楷體" w:hAnsi="標楷體" w:eastAsia="標楷體"/>
          <w:sz w:val="28"/>
        </w:rPr>
        <w:t>羅仁編著，郁證論，華南理工大學出版社，廣州，</w:t>
      </w:r>
      <w:r>
        <w:rPr>
          <w:rFonts w:eastAsia="標楷體" w:ascii="標楷體" w:hAnsi="標楷體"/>
          <w:sz w:val="28"/>
        </w:rPr>
        <w:t>1995</w:t>
      </w:r>
      <w:r>
        <w:rPr>
          <w:rFonts w:ascii="標楷體" w:hAnsi="標楷體" w:eastAsia="標楷體"/>
          <w:sz w:val="28"/>
        </w:rPr>
        <w:t>。</w:t>
      </w:r>
    </w:p>
    <w:p>
      <w:pPr>
        <w:pStyle w:val="Normal"/>
        <w:snapToGrid w:val="false"/>
        <w:spacing w:lineRule="atLeast" w:line="20"/>
        <w:rPr/>
      </w:pPr>
      <w:r>
        <w:rPr>
          <w:rFonts w:eastAsia="標楷體" w:ascii="標楷體" w:hAnsi="標楷體"/>
          <w:sz w:val="28"/>
        </w:rPr>
        <w:t>5</w:t>
      </w:r>
      <w:r>
        <w:rPr>
          <w:rFonts w:eastAsia="標楷體" w:ascii="標楷體" w:hAnsi="標楷體"/>
          <w:sz w:val="28"/>
        </w:rPr>
        <w:t>8</w:t>
      </w:r>
      <w:r>
        <w:rPr>
          <w:rFonts w:eastAsia="標楷體" w:ascii="標楷體" w:hAnsi="標楷體"/>
          <w:sz w:val="28"/>
        </w:rPr>
        <w:t>.</w:t>
      </w:r>
      <w:r>
        <w:rPr>
          <w:rFonts w:ascii="標楷體" w:hAnsi="標楷體" w:eastAsia="標楷體"/>
          <w:sz w:val="28"/>
        </w:rPr>
        <w:t>田維君、魏桂芝編著，陰虛證治，江西科學技術出版社，南昌，</w:t>
      </w:r>
    </w:p>
    <w:p>
      <w:pPr>
        <w:pStyle w:val="Normal"/>
        <w:snapToGrid w:val="false"/>
        <w:spacing w:lineRule="atLeast" w:line="20"/>
        <w:rPr>
          <w:rFonts w:ascii="標楷體" w:hAnsi="標楷體" w:eastAsia="標楷體"/>
          <w:sz w:val="28"/>
        </w:rPr>
      </w:pPr>
      <w:r>
        <w:rPr>
          <w:rFonts w:eastAsia="標楷體" w:cs="標楷體" w:ascii="標楷體" w:hAnsi="標楷體"/>
          <w:sz w:val="28"/>
        </w:rPr>
        <w:t xml:space="preserve">   </w:t>
      </w:r>
      <w:r>
        <w:rPr>
          <w:rFonts w:eastAsia="標楷體" w:ascii="標楷體" w:hAnsi="標楷體"/>
          <w:sz w:val="28"/>
        </w:rPr>
        <w:t>1996</w:t>
      </w:r>
      <w:r>
        <w:rPr>
          <w:rFonts w:ascii="標楷體" w:hAnsi="標楷體" w:eastAsia="標楷體"/>
          <w:sz w:val="28"/>
        </w:rPr>
        <w:t>。</w:t>
      </w:r>
    </w:p>
    <w:p>
      <w:pPr>
        <w:pStyle w:val="Normal"/>
        <w:snapToGrid w:val="false"/>
        <w:spacing w:lineRule="atLeast" w:line="20"/>
        <w:rPr/>
      </w:pPr>
      <w:r>
        <w:rPr>
          <w:rFonts w:eastAsia="標楷體" w:ascii="標楷體" w:hAnsi="標楷體"/>
          <w:sz w:val="28"/>
        </w:rPr>
        <w:t>59.</w:t>
      </w:r>
      <w:r>
        <w:rPr>
          <w:rFonts w:ascii="標楷體" w:hAnsi="標楷體" w:eastAsia="標楷體"/>
          <w:sz w:val="28"/>
        </w:rPr>
        <w:t>李經緯，鄧鐵濤等主編，中醫大辭典，人民衛生出版社，北京</w:t>
      </w:r>
      <w:r>
        <w:rPr>
          <w:rFonts w:ascii="標楷體" w:hAnsi="標楷體" w:eastAsia="標楷體"/>
          <w:sz w:val="28"/>
        </w:rPr>
        <w:t>，</w:t>
      </w:r>
    </w:p>
    <w:p>
      <w:pPr>
        <w:pStyle w:val="Normal"/>
        <w:snapToGrid w:val="false"/>
        <w:spacing w:lineRule="atLeast" w:line="20"/>
        <w:rPr/>
      </w:pPr>
      <w:r>
        <w:rPr>
          <w:rFonts w:eastAsia="標楷體" w:cs="標楷體" w:ascii="標楷體" w:hAnsi="標楷體"/>
          <w:sz w:val="28"/>
        </w:rPr>
        <w:t xml:space="preserve">   </w:t>
      </w:r>
      <w:r>
        <w:rPr>
          <w:rFonts w:eastAsia="標楷體" w:ascii="標楷體" w:hAnsi="標楷體"/>
          <w:sz w:val="28"/>
        </w:rPr>
        <w:t>1995</w:t>
      </w:r>
      <w:r>
        <w:rPr>
          <w:rFonts w:ascii="標楷體" w:hAnsi="標楷體" w:eastAsia="標楷體"/>
          <w:sz w:val="28"/>
        </w:rPr>
        <w:t>。</w:t>
      </w:r>
    </w:p>
    <w:p>
      <w:pPr>
        <w:pStyle w:val="Normal"/>
        <w:snapToGrid w:val="false"/>
        <w:spacing w:lineRule="atLeast" w:line="20"/>
        <w:rPr/>
      </w:pPr>
      <w:r>
        <w:rPr>
          <w:rFonts w:eastAsia="標楷體" w:ascii="標楷體" w:hAnsi="標楷體"/>
          <w:sz w:val="28"/>
        </w:rPr>
        <w:t>60</w:t>
      </w:r>
      <w:r>
        <w:rPr>
          <w:rFonts w:eastAsia="標楷體" w:ascii="標楷體" w:hAnsi="標楷體"/>
          <w:sz w:val="28"/>
        </w:rPr>
        <w:t>.</w:t>
      </w:r>
      <w:r>
        <w:rPr>
          <w:rFonts w:ascii="標楷體" w:hAnsi="標楷體" w:eastAsia="標楷體"/>
          <w:sz w:val="28"/>
        </w:rPr>
        <w:t>陳華，中醫的科學原理，臺灣商務印書館股份有限公司，台北，</w:t>
      </w:r>
    </w:p>
    <w:p>
      <w:pPr>
        <w:pStyle w:val="Normal"/>
        <w:snapToGrid w:val="false"/>
        <w:spacing w:lineRule="atLeast" w:line="20"/>
        <w:rPr>
          <w:rFonts w:ascii="標楷體" w:hAnsi="標楷體" w:eastAsia="標楷體"/>
          <w:sz w:val="28"/>
        </w:rPr>
      </w:pPr>
      <w:r>
        <w:rPr>
          <w:rFonts w:eastAsia="標楷體" w:cs="標楷體" w:ascii="標楷體" w:hAnsi="標楷體"/>
          <w:sz w:val="28"/>
        </w:rPr>
        <w:t xml:space="preserve">   </w:t>
      </w:r>
      <w:r>
        <w:rPr>
          <w:rFonts w:eastAsia="標楷體" w:ascii="標楷體" w:hAnsi="標楷體"/>
          <w:sz w:val="28"/>
        </w:rPr>
        <w:t>1994</w:t>
      </w:r>
      <w:r>
        <w:rPr>
          <w:rFonts w:ascii="標楷體" w:hAnsi="標楷體" w:eastAsia="標楷體"/>
          <w:sz w:val="28"/>
        </w:rPr>
        <w:t>。</w:t>
      </w:r>
    </w:p>
    <w:p>
      <w:pPr>
        <w:pStyle w:val="Normal"/>
        <w:snapToGrid w:val="false"/>
        <w:spacing w:lineRule="atLeast" w:line="20"/>
        <w:rPr>
          <w:rFonts w:ascii="標楷體" w:hAnsi="標楷體" w:eastAsia="標楷體"/>
          <w:sz w:val="28"/>
        </w:rPr>
      </w:pPr>
      <w:r>
        <w:rPr>
          <w:rFonts w:eastAsia="標楷體" w:ascii="標楷體" w:hAnsi="標楷體"/>
          <w:sz w:val="28"/>
        </w:rPr>
        <w:t>61.</w:t>
      </w:r>
      <w:r>
        <w:rPr>
          <w:rFonts w:ascii="標楷體" w:hAnsi="標楷體" w:eastAsia="標楷體"/>
          <w:sz w:val="28"/>
        </w:rPr>
        <w:t>邱德文主編，中醫經典著作思路與方法研究，貴州科技出版社</w:t>
      </w:r>
    </w:p>
    <w:p>
      <w:pPr>
        <w:pStyle w:val="Normal"/>
        <w:snapToGrid w:val="false"/>
        <w:spacing w:lineRule="atLeast" w:line="20"/>
        <w:rPr/>
      </w:pPr>
      <w:r>
        <w:rPr>
          <w:rFonts w:eastAsia="標楷體" w:ascii="標楷體" w:hAnsi="標楷體"/>
          <w:sz w:val="28"/>
        </w:rPr>
        <w:t>62</w:t>
      </w:r>
      <w:r>
        <w:rPr>
          <w:rFonts w:eastAsia="標楷體" w:ascii="標楷體" w:hAnsi="標楷體"/>
          <w:sz w:val="28"/>
        </w:rPr>
        <w:t>.</w:t>
      </w:r>
      <w:r>
        <w:rPr>
          <w:rFonts w:ascii="標楷體" w:hAnsi="標楷體" w:eastAsia="標楷體"/>
          <w:sz w:val="28"/>
        </w:rPr>
        <w:t>邱文德主編，中醫方法學概論，貴州科技出版社，貴陽，</w:t>
      </w:r>
      <w:r>
        <w:rPr>
          <w:rFonts w:eastAsia="標楷體" w:ascii="標楷體" w:hAnsi="標楷體"/>
          <w:sz w:val="28"/>
        </w:rPr>
        <w:t>1993</w:t>
      </w:r>
      <w:r>
        <w:rPr>
          <w:rFonts w:ascii="標楷體" w:hAnsi="標楷體" w:eastAsia="標楷體"/>
          <w:sz w:val="28"/>
        </w:rPr>
        <w:t>。</w:t>
      </w:r>
    </w:p>
    <w:p>
      <w:pPr>
        <w:pStyle w:val="Normal"/>
        <w:snapToGrid w:val="false"/>
        <w:spacing w:lineRule="atLeast" w:line="20"/>
        <w:rPr>
          <w:rFonts w:ascii="標楷體" w:hAnsi="標楷體" w:eastAsia="標楷體"/>
          <w:sz w:val="28"/>
        </w:rPr>
      </w:pPr>
      <w:r>
        <w:rPr>
          <w:rFonts w:eastAsia="標楷體" w:ascii="標楷體" w:hAnsi="標楷體"/>
          <w:sz w:val="28"/>
        </w:rPr>
        <w:t>63</w:t>
      </w:r>
      <w:r>
        <w:rPr>
          <w:rFonts w:eastAsia="標楷體" w:ascii="標楷體" w:hAnsi="標楷體"/>
          <w:sz w:val="28"/>
        </w:rPr>
        <w:t>.</w:t>
      </w:r>
      <w:r>
        <w:rPr>
          <w:rFonts w:ascii="標楷體" w:hAnsi="標楷體" w:eastAsia="標楷體"/>
          <w:sz w:val="28"/>
        </w:rPr>
        <w:t>邱德文主編，中醫方法學概論，貴州科技出版社，貴陽，</w:t>
      </w:r>
      <w:r>
        <w:rPr>
          <w:rFonts w:eastAsia="標楷體" w:ascii="標楷體" w:hAnsi="標楷體"/>
          <w:sz w:val="28"/>
        </w:rPr>
        <w:t>1993</w:t>
      </w:r>
      <w:r>
        <w:rPr>
          <w:rFonts w:ascii="標楷體" w:hAnsi="標楷體" w:eastAsia="標楷體"/>
          <w:sz w:val="28"/>
        </w:rPr>
        <w:t>。</w:t>
      </w:r>
    </w:p>
    <w:p>
      <w:pPr>
        <w:pStyle w:val="Normal"/>
        <w:snapToGrid w:val="false"/>
        <w:spacing w:lineRule="atLeast" w:line="20"/>
        <w:rPr/>
      </w:pPr>
      <w:r>
        <w:rPr>
          <w:rFonts w:eastAsia="標楷體" w:ascii="標楷體" w:hAnsi="標楷體"/>
          <w:sz w:val="28"/>
        </w:rPr>
        <w:t>64</w:t>
      </w:r>
      <w:r>
        <w:rPr>
          <w:rFonts w:eastAsia="標楷體" w:ascii="標楷體" w:hAnsi="標楷體"/>
          <w:sz w:val="28"/>
        </w:rPr>
        <w:t>.</w:t>
      </w:r>
      <w:r>
        <w:rPr>
          <w:rFonts w:ascii="標楷體" w:hAnsi="標楷體" w:eastAsia="標楷體"/>
          <w:sz w:val="28"/>
        </w:rPr>
        <w:t>寇華星、林建予編著，中醫免疫醫學，湖北科學技術出版社，湖</w:t>
      </w:r>
    </w:p>
    <w:p>
      <w:pPr>
        <w:pStyle w:val="Normal"/>
        <w:snapToGrid w:val="false"/>
        <w:spacing w:lineRule="atLeast" w:line="20"/>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北，</w:t>
      </w:r>
      <w:r>
        <w:rPr>
          <w:rFonts w:eastAsia="標楷體" w:ascii="標楷體" w:hAnsi="標楷體"/>
          <w:sz w:val="28"/>
        </w:rPr>
        <w:t>1997</w:t>
      </w:r>
      <w:r>
        <w:rPr>
          <w:rFonts w:ascii="標楷體" w:hAnsi="標楷體" w:eastAsia="標楷體"/>
          <w:sz w:val="28"/>
        </w:rPr>
        <w:t>。</w:t>
      </w:r>
    </w:p>
    <w:p>
      <w:pPr>
        <w:pStyle w:val="Normal"/>
        <w:snapToGrid w:val="false"/>
        <w:spacing w:lineRule="atLeast" w:line="20"/>
        <w:rPr/>
      </w:pPr>
      <w:r>
        <w:rPr>
          <w:rFonts w:eastAsia="標楷體" w:ascii="標楷體" w:hAnsi="標楷體"/>
          <w:sz w:val="28"/>
        </w:rPr>
        <w:t>65</w:t>
      </w:r>
      <w:r>
        <w:rPr>
          <w:rFonts w:eastAsia="標楷體" w:ascii="標楷體" w:hAnsi="標楷體"/>
          <w:sz w:val="28"/>
        </w:rPr>
        <w:t>.</w:t>
      </w:r>
      <w:r>
        <w:rPr>
          <w:rFonts w:ascii="標楷體" w:hAnsi="標楷體" w:eastAsia="標楷體"/>
          <w:sz w:val="28"/>
        </w:rPr>
        <w:t>程紹恩等主編，中醫證候診斷治療學，北京科學技術出版社，北</w:t>
      </w:r>
    </w:p>
    <w:p>
      <w:pPr>
        <w:pStyle w:val="Normal"/>
        <w:snapToGrid w:val="false"/>
        <w:spacing w:lineRule="atLeast" w:line="20"/>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京，</w:t>
      </w:r>
      <w:r>
        <w:rPr>
          <w:rFonts w:eastAsia="標楷體" w:ascii="標楷體" w:hAnsi="標楷體"/>
          <w:sz w:val="28"/>
        </w:rPr>
        <w:t>1993</w:t>
      </w:r>
      <w:r>
        <w:rPr>
          <w:rFonts w:ascii="標楷體" w:hAnsi="標楷體" w:eastAsia="標楷體"/>
          <w:sz w:val="28"/>
        </w:rPr>
        <w:t>。</w:t>
      </w:r>
    </w:p>
    <w:p>
      <w:pPr>
        <w:pStyle w:val="Normal"/>
        <w:snapToGrid w:val="false"/>
        <w:spacing w:lineRule="atLeast" w:line="20"/>
        <w:rPr/>
      </w:pPr>
      <w:r>
        <w:rPr>
          <w:rFonts w:eastAsia="標楷體" w:ascii="標楷體" w:hAnsi="標楷體"/>
          <w:sz w:val="28"/>
        </w:rPr>
        <w:t>66.</w:t>
      </w:r>
      <w:r>
        <w:rPr>
          <w:rFonts w:ascii="標楷體" w:hAnsi="標楷體" w:eastAsia="標楷體"/>
          <w:sz w:val="28"/>
        </w:rPr>
        <w:t>徐嵩年，水腫的治法及臨床應用，上海中醫藥雜誌，（</w:t>
      </w:r>
      <w:r>
        <w:rPr>
          <w:rFonts w:eastAsia="標楷體" w:ascii="標楷體" w:hAnsi="標楷體"/>
          <w:sz w:val="28"/>
        </w:rPr>
        <w:t>7</w:t>
      </w:r>
      <w:r>
        <w:rPr>
          <w:rFonts w:ascii="標楷體" w:hAnsi="標楷體" w:eastAsia="標楷體"/>
          <w:sz w:val="28"/>
        </w:rPr>
        <w:t>）</w:t>
      </w:r>
      <w:r>
        <w:rPr>
          <w:rFonts w:eastAsia="標楷體" w:ascii="標楷體" w:hAnsi="標楷體"/>
          <w:sz w:val="28"/>
        </w:rPr>
        <w:t>5</w:t>
      </w:r>
      <w:r>
        <w:rPr>
          <w:rFonts w:ascii="標楷體" w:hAnsi="標楷體" w:eastAsia="標楷體"/>
          <w:sz w:val="28"/>
        </w:rPr>
        <w:t>，</w:t>
      </w:r>
      <w:r>
        <w:rPr>
          <w:rFonts w:eastAsia="標楷體" w:ascii="標楷體" w:hAnsi="標楷體"/>
          <w:sz w:val="28"/>
        </w:rPr>
        <w:t>1982</w:t>
      </w:r>
      <w:r>
        <w:rPr>
          <w:rFonts w:ascii="標楷體" w:hAnsi="標楷體" w:eastAsia="標楷體"/>
          <w:sz w:val="28"/>
        </w:rPr>
        <w:t>。</w:t>
      </w:r>
    </w:p>
    <w:p>
      <w:pPr>
        <w:pStyle w:val="Normal"/>
        <w:snapToGrid w:val="false"/>
        <w:spacing w:lineRule="atLeast" w:line="20"/>
        <w:rPr/>
      </w:pPr>
      <w:r>
        <w:rPr>
          <w:rFonts w:eastAsia="標楷體" w:ascii="標楷體" w:hAnsi="標楷體"/>
          <w:sz w:val="28"/>
        </w:rPr>
        <w:t>67</w:t>
      </w:r>
      <w:r>
        <w:rPr>
          <w:rFonts w:eastAsia="標楷體" w:ascii="標楷體" w:hAnsi="標楷體"/>
          <w:sz w:val="28"/>
        </w:rPr>
        <w:t>.</w:t>
      </w:r>
      <w:r>
        <w:rPr>
          <w:rFonts w:ascii="標楷體" w:hAnsi="標楷體" w:eastAsia="標楷體"/>
          <w:sz w:val="28"/>
        </w:rPr>
        <w:t>陳以平等：益氣活血化濕法為主治療膜型腎病臨床及動物實驗研</w:t>
      </w:r>
    </w:p>
    <w:p>
      <w:pPr>
        <w:pStyle w:val="Normal"/>
        <w:snapToGrid w:val="false"/>
        <w:spacing w:lineRule="atLeast" w:line="20"/>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究。中醫雜誌，（</w:t>
      </w:r>
      <w:r>
        <w:rPr>
          <w:rFonts w:eastAsia="標楷體" w:ascii="標楷體" w:hAnsi="標楷體"/>
          <w:sz w:val="28"/>
        </w:rPr>
        <w:t>2</w:t>
      </w:r>
      <w:r>
        <w:rPr>
          <w:rFonts w:ascii="標楷體" w:hAnsi="標楷體" w:eastAsia="標楷體"/>
          <w:sz w:val="28"/>
        </w:rPr>
        <w:t>）</w:t>
      </w:r>
      <w:r>
        <w:rPr>
          <w:rFonts w:ascii="標楷體" w:hAnsi="標楷體" w:eastAsia="標楷體"/>
          <w:sz w:val="28"/>
        </w:rPr>
        <w:t>，</w:t>
      </w:r>
      <w:r>
        <w:rPr>
          <w:rFonts w:eastAsia="標楷體" w:ascii="標楷體" w:hAnsi="標楷體"/>
          <w:sz w:val="28"/>
        </w:rPr>
        <w:t>1987</w:t>
      </w:r>
      <w:r>
        <w:rPr>
          <w:rFonts w:ascii="標楷體" w:hAnsi="標楷體" w:eastAsia="標楷體"/>
          <w:sz w:val="28"/>
        </w:rPr>
        <w:t>。</w:t>
      </w:r>
    </w:p>
    <w:p>
      <w:pPr>
        <w:pStyle w:val="Normal"/>
        <w:snapToGrid w:val="false"/>
        <w:spacing w:lineRule="atLeast" w:line="20"/>
        <w:rPr>
          <w:rFonts w:ascii="標楷體" w:hAnsi="標楷體" w:eastAsia="標楷體"/>
          <w:sz w:val="28"/>
        </w:rPr>
      </w:pPr>
      <w:r>
        <w:rPr>
          <w:rFonts w:eastAsia="標楷體" w:ascii="標楷體" w:hAnsi="標楷體"/>
          <w:sz w:val="28"/>
        </w:rPr>
        <w:t>68.</w:t>
      </w:r>
      <w:r>
        <w:rPr>
          <w:rFonts w:ascii="標楷體" w:hAnsi="標楷體" w:eastAsia="標楷體"/>
          <w:sz w:val="28"/>
        </w:rPr>
        <w:t>陳以平，</w:t>
      </w:r>
      <w:r>
        <w:rPr>
          <w:rFonts w:ascii="標楷體" w:hAnsi="標楷體" w:eastAsia="標楷體"/>
          <w:sz w:val="28"/>
        </w:rPr>
        <w:t>中醫辨證治療</w:t>
      </w:r>
      <w:r>
        <w:rPr>
          <w:rFonts w:eastAsia="標楷體" w:cs="Arial" w:ascii="標楷體" w:hAnsi="標楷體"/>
          <w:sz w:val="28"/>
        </w:rPr>
        <w:t>IgA</w:t>
      </w:r>
      <w:r>
        <w:rPr>
          <w:rFonts w:ascii="標楷體" w:hAnsi="標楷體" w:cs="Arial" w:eastAsia="標楷體"/>
          <w:sz w:val="28"/>
        </w:rPr>
        <w:t>腎病</w:t>
      </w:r>
      <w:r>
        <w:rPr>
          <w:rFonts w:eastAsia="標楷體" w:ascii="標楷體" w:hAnsi="標楷體"/>
          <w:sz w:val="28"/>
        </w:rPr>
        <w:t>23</w:t>
      </w:r>
      <w:r>
        <w:rPr>
          <w:rFonts w:ascii="標楷體" w:hAnsi="標楷體" w:eastAsia="標楷體"/>
          <w:sz w:val="28"/>
        </w:rPr>
        <w:t>例，中西醫結合雜誌，</w:t>
      </w:r>
      <w:r>
        <w:rPr>
          <w:rFonts w:eastAsia="標楷體" w:ascii="標楷體" w:hAnsi="標楷體"/>
          <w:sz w:val="28"/>
        </w:rPr>
        <w:t>8</w:t>
      </w:r>
      <w:r>
        <w:rPr>
          <w:rFonts w:ascii="標楷體" w:hAnsi="標楷體" w:eastAsia="標楷體"/>
          <w:sz w:val="28"/>
        </w:rPr>
        <w:t>，</w:t>
      </w:r>
      <w:r>
        <w:rPr>
          <w:rFonts w:eastAsia="標楷體" w:ascii="標楷體" w:hAnsi="標楷體"/>
          <w:sz w:val="28"/>
        </w:rPr>
        <w:t>p.</w:t>
      </w:r>
      <w:r>
        <w:rPr>
          <w:rFonts w:eastAsia="標楷體" w:ascii="標楷體" w:hAnsi="標楷體"/>
          <w:sz w:val="28"/>
        </w:rPr>
        <w:t>556</w:t>
      </w:r>
      <w:r>
        <w:rPr>
          <w:rFonts w:ascii="標楷體" w:hAnsi="標楷體" w:eastAsia="標楷體"/>
          <w:sz w:val="28"/>
        </w:rPr>
        <w:t>，</w:t>
      </w:r>
    </w:p>
    <w:p>
      <w:pPr>
        <w:pStyle w:val="Normal"/>
        <w:snapToGrid w:val="false"/>
        <w:spacing w:lineRule="atLeast" w:line="20"/>
        <w:rPr>
          <w:rFonts w:ascii="標楷體" w:hAnsi="標楷體" w:eastAsia="標楷體"/>
          <w:sz w:val="28"/>
        </w:rPr>
      </w:pPr>
      <w:r>
        <w:rPr>
          <w:rFonts w:eastAsia="標楷體" w:cs="標楷體" w:ascii="標楷體" w:hAnsi="標楷體"/>
          <w:sz w:val="28"/>
        </w:rPr>
        <w:t xml:space="preserve">   </w:t>
      </w:r>
      <w:r>
        <w:rPr>
          <w:rFonts w:eastAsia="標楷體" w:ascii="標楷體" w:hAnsi="標楷體"/>
          <w:sz w:val="28"/>
        </w:rPr>
        <w:t>1988</w:t>
      </w:r>
      <w:r>
        <w:rPr>
          <w:rFonts w:ascii="標楷體" w:hAnsi="標楷體" w:eastAsia="標楷體"/>
          <w:sz w:val="28"/>
        </w:rPr>
        <w:t>。</w:t>
      </w:r>
    </w:p>
    <w:p>
      <w:pPr>
        <w:pStyle w:val="Normal"/>
        <w:snapToGrid w:val="false"/>
        <w:spacing w:lineRule="atLeast" w:line="20"/>
        <w:rPr>
          <w:rFonts w:ascii="標楷體" w:hAnsi="標楷體" w:eastAsia="標楷體"/>
          <w:sz w:val="28"/>
        </w:rPr>
      </w:pPr>
      <w:r>
        <w:rPr>
          <w:rFonts w:eastAsia="標楷體" w:ascii="標楷體" w:hAnsi="標楷體"/>
          <w:sz w:val="28"/>
        </w:rPr>
        <w:t>69</w:t>
      </w:r>
      <w:r>
        <w:rPr>
          <w:rFonts w:eastAsia="標楷體" w:ascii="標楷體" w:hAnsi="標楷體"/>
          <w:sz w:val="28"/>
        </w:rPr>
        <w:t>.</w:t>
      </w:r>
      <w:r>
        <w:rPr>
          <w:rFonts w:ascii="標楷體" w:hAnsi="標楷體" w:eastAsia="標楷體"/>
          <w:sz w:val="28"/>
        </w:rPr>
        <w:t>陸軍、周易謙、崔愛東，成人原發性腎病綜合癥的中醫辯證與病</w:t>
      </w:r>
    </w:p>
    <w:p>
      <w:pPr>
        <w:pStyle w:val="Normal"/>
        <w:snapToGrid w:val="false"/>
        <w:spacing w:lineRule="atLeast" w:line="20"/>
        <w:rPr/>
      </w:pPr>
      <w:r>
        <w:rPr>
          <w:rFonts w:eastAsia="標楷體" w:cs="標楷體" w:ascii="標楷體" w:hAnsi="標楷體"/>
          <w:sz w:val="28"/>
        </w:rPr>
        <w:t xml:space="preserve">   </w:t>
      </w:r>
      <w:r>
        <w:rPr>
          <w:rFonts w:ascii="標楷體" w:hAnsi="標楷體" w:eastAsia="標楷體"/>
          <w:sz w:val="28"/>
        </w:rPr>
        <w:t>理類型的關係，實用中西醫結合雜誌，（</w:t>
      </w:r>
      <w:r>
        <w:rPr>
          <w:rFonts w:eastAsia="標楷體" w:ascii="標楷體" w:hAnsi="標楷體"/>
          <w:sz w:val="28"/>
        </w:rPr>
        <w:t>11</w:t>
      </w:r>
      <w:r>
        <w:rPr>
          <w:rFonts w:ascii="標楷體" w:hAnsi="標楷體" w:eastAsia="標楷體"/>
          <w:sz w:val="28"/>
        </w:rPr>
        <w:t>）</w:t>
      </w:r>
      <w:r>
        <w:rPr>
          <w:rFonts w:eastAsia="標楷體" w:ascii="標楷體" w:hAnsi="標楷體"/>
          <w:sz w:val="28"/>
        </w:rPr>
        <w:t>10</w:t>
      </w:r>
      <w:r>
        <w:rPr>
          <w:rFonts w:ascii="標楷體" w:hAnsi="標楷體" w:eastAsia="標楷體"/>
          <w:sz w:val="28"/>
        </w:rPr>
        <w:t>，</w:t>
      </w:r>
      <w:r>
        <w:rPr>
          <w:rFonts w:eastAsia="標楷體" w:ascii="標楷體" w:hAnsi="標楷體"/>
          <w:sz w:val="28"/>
        </w:rPr>
        <w:t>p.</w:t>
      </w:r>
      <w:r>
        <w:rPr>
          <w:rFonts w:eastAsia="標楷體" w:ascii="標楷體" w:hAnsi="標楷體"/>
          <w:sz w:val="28"/>
        </w:rPr>
        <w:t>863</w:t>
      </w:r>
      <w:r>
        <w:rPr>
          <w:rFonts w:ascii="標楷體" w:hAnsi="標楷體" w:eastAsia="標楷體"/>
          <w:sz w:val="28"/>
        </w:rPr>
        <w:t>～</w:t>
      </w:r>
      <w:r>
        <w:rPr>
          <w:rFonts w:eastAsia="標楷體" w:ascii="標楷體" w:hAnsi="標楷體"/>
          <w:sz w:val="28"/>
        </w:rPr>
        <w:t>864</w:t>
      </w:r>
      <w:r>
        <w:rPr>
          <w:rFonts w:ascii="標楷體" w:hAnsi="標楷體" w:eastAsia="標楷體"/>
          <w:sz w:val="28"/>
        </w:rPr>
        <w:t>。</w:t>
      </w:r>
    </w:p>
    <w:p>
      <w:pPr>
        <w:pStyle w:val="Normal"/>
        <w:snapToGrid w:val="false"/>
        <w:spacing w:lineRule="atLeast" w:line="20"/>
        <w:rPr/>
      </w:pPr>
      <w:r>
        <w:rPr>
          <w:rFonts w:eastAsia="標楷體" w:ascii="標楷體" w:hAnsi="標楷體"/>
          <w:sz w:val="28"/>
        </w:rPr>
        <w:t>7</w:t>
      </w:r>
      <w:r>
        <w:rPr>
          <w:rFonts w:eastAsia="標楷體" w:ascii="標楷體" w:hAnsi="標楷體"/>
          <w:sz w:val="28"/>
        </w:rPr>
        <w:t>0.</w:t>
      </w:r>
      <w:r>
        <w:rPr>
          <w:rFonts w:ascii="標楷體" w:hAnsi="標楷體" w:eastAsia="標楷體"/>
          <w:sz w:val="28"/>
        </w:rPr>
        <w:t>斯建中，略論腎病綜合症是痰瘀同病，實用中西醫結合雜誌，（</w:t>
      </w:r>
      <w:r>
        <w:rPr>
          <w:rFonts w:eastAsia="標楷體" w:ascii="標楷體" w:hAnsi="標楷體"/>
          <w:sz w:val="28"/>
        </w:rPr>
        <w:t>9</w:t>
      </w:r>
      <w:r>
        <w:rPr>
          <w:rFonts w:ascii="標楷體" w:hAnsi="標楷體" w:eastAsia="標楷體"/>
          <w:sz w:val="28"/>
        </w:rPr>
        <w:t>）</w:t>
      </w:r>
    </w:p>
    <w:p>
      <w:pPr>
        <w:pStyle w:val="Normal"/>
        <w:snapToGrid w:val="false"/>
        <w:spacing w:lineRule="atLeast" w:line="20"/>
        <w:rPr/>
      </w:pPr>
      <w:r>
        <w:rPr>
          <w:rFonts w:eastAsia="標楷體" w:cs="標楷體" w:ascii="標楷體" w:hAnsi="標楷體"/>
          <w:sz w:val="28"/>
        </w:rPr>
        <w:t xml:space="preserve">   </w:t>
      </w:r>
      <w:r>
        <w:rPr>
          <w:rFonts w:eastAsia="標楷體" w:ascii="標楷體" w:hAnsi="標楷體"/>
          <w:sz w:val="28"/>
        </w:rPr>
        <w:t>10</w:t>
      </w:r>
      <w:r>
        <w:rPr>
          <w:rFonts w:ascii="標楷體" w:hAnsi="標楷體" w:eastAsia="標楷體"/>
          <w:sz w:val="28"/>
        </w:rPr>
        <w:t>，</w:t>
      </w:r>
      <w:r>
        <w:rPr>
          <w:rFonts w:eastAsia="標楷體" w:ascii="標楷體" w:hAnsi="標楷體"/>
          <w:sz w:val="28"/>
        </w:rPr>
        <w:t>p.</w:t>
      </w:r>
      <w:r>
        <w:rPr>
          <w:rFonts w:eastAsia="標楷體" w:ascii="標楷體" w:hAnsi="標楷體"/>
          <w:sz w:val="28"/>
        </w:rPr>
        <w:t>588</w:t>
      </w:r>
      <w:r>
        <w:rPr>
          <w:rFonts w:ascii="標楷體" w:hAnsi="標楷體" w:eastAsia="標楷體"/>
          <w:sz w:val="28"/>
        </w:rPr>
        <w:t>～</w:t>
      </w:r>
      <w:r>
        <w:rPr>
          <w:rFonts w:eastAsia="標楷體" w:ascii="標楷體" w:hAnsi="標楷體"/>
          <w:sz w:val="28"/>
        </w:rPr>
        <w:t>589</w:t>
      </w:r>
      <w:r>
        <w:rPr>
          <w:rFonts w:ascii="標楷體" w:hAnsi="標楷體" w:eastAsia="標楷體"/>
          <w:sz w:val="28"/>
        </w:rPr>
        <w:t>，</w:t>
      </w:r>
      <w:r>
        <w:rPr>
          <w:rFonts w:eastAsia="標楷體" w:ascii="標楷體" w:hAnsi="標楷體"/>
          <w:sz w:val="28"/>
        </w:rPr>
        <w:t>1996</w:t>
      </w:r>
      <w:r>
        <w:rPr>
          <w:rFonts w:ascii="標楷體" w:hAnsi="標楷體" w:eastAsia="標楷體"/>
          <w:sz w:val="28"/>
        </w:rPr>
        <w:t>。</w:t>
      </w:r>
    </w:p>
    <w:p>
      <w:pPr>
        <w:pStyle w:val="Normal"/>
        <w:snapToGrid w:val="false"/>
        <w:spacing w:lineRule="atLeast" w:line="20"/>
        <w:rPr/>
      </w:pPr>
      <w:r>
        <w:rPr>
          <w:rFonts w:eastAsia="標楷體" w:ascii="標楷體" w:hAnsi="標楷體"/>
          <w:sz w:val="28"/>
        </w:rPr>
        <w:t>71</w:t>
      </w:r>
      <w:r>
        <w:rPr>
          <w:rFonts w:eastAsia="標楷體" w:ascii="標楷體" w:hAnsi="標楷體"/>
          <w:sz w:val="28"/>
        </w:rPr>
        <w:t>.</w:t>
      </w:r>
      <w:r>
        <w:rPr>
          <w:rFonts w:ascii="標楷體" w:hAnsi="標楷體" w:eastAsia="標楷體"/>
          <w:sz w:val="28"/>
        </w:rPr>
        <w:t>王明生、傳文錄，攻毒法治療腎病蛋白尿的思路與方法，新中醫，</w:t>
      </w:r>
    </w:p>
    <w:p>
      <w:pPr>
        <w:pStyle w:val="Normal"/>
        <w:snapToGrid w:val="false"/>
        <w:spacing w:lineRule="atLeast" w:line="20"/>
        <w:rPr/>
      </w:pPr>
      <w:r>
        <w:rPr>
          <w:rFonts w:eastAsia="標楷體" w:cs="標楷體" w:ascii="標楷體" w:hAnsi="標楷體"/>
          <w:sz w:val="28"/>
        </w:rPr>
        <w:t xml:space="preserve">   </w:t>
      </w:r>
      <w:r>
        <w:rPr>
          <w:rFonts w:ascii="標楷體" w:hAnsi="標楷體" w:eastAsia="標楷體"/>
          <w:sz w:val="28"/>
        </w:rPr>
        <w:t>（</w:t>
      </w:r>
      <w:r>
        <w:rPr>
          <w:rFonts w:eastAsia="標楷體" w:ascii="標楷體" w:hAnsi="標楷體"/>
          <w:sz w:val="28"/>
        </w:rPr>
        <w:t>30</w:t>
      </w:r>
      <w:r>
        <w:rPr>
          <w:rFonts w:ascii="標楷體" w:hAnsi="標楷體" w:eastAsia="標楷體"/>
          <w:sz w:val="28"/>
        </w:rPr>
        <w:t>）</w:t>
      </w:r>
      <w:r>
        <w:rPr>
          <w:rFonts w:eastAsia="標楷體" w:ascii="標楷體" w:hAnsi="標楷體"/>
          <w:sz w:val="28"/>
        </w:rPr>
        <w:t>11</w:t>
      </w:r>
      <w:r>
        <w:rPr>
          <w:rFonts w:ascii="標楷體" w:hAnsi="標楷體" w:eastAsia="標楷體"/>
          <w:sz w:val="28"/>
        </w:rPr>
        <w:t>，</w:t>
      </w:r>
      <w:r>
        <w:rPr>
          <w:rFonts w:eastAsia="標楷體" w:ascii="標楷體" w:hAnsi="標楷體"/>
          <w:sz w:val="28"/>
        </w:rPr>
        <w:t>p.</w:t>
      </w:r>
      <w:r>
        <w:rPr>
          <w:rFonts w:eastAsia="標楷體" w:ascii="標楷體" w:hAnsi="標楷體"/>
          <w:sz w:val="28"/>
        </w:rPr>
        <w:t>3</w:t>
      </w:r>
      <w:r>
        <w:rPr>
          <w:rFonts w:ascii="標楷體" w:hAnsi="標楷體" w:eastAsia="標楷體"/>
          <w:sz w:val="28"/>
        </w:rPr>
        <w:t>～</w:t>
      </w:r>
      <w:r>
        <w:rPr>
          <w:rFonts w:eastAsia="標楷體" w:ascii="標楷體" w:hAnsi="標楷體"/>
          <w:sz w:val="28"/>
        </w:rPr>
        <w:t>4</w:t>
      </w:r>
      <w:r>
        <w:rPr>
          <w:rFonts w:ascii="標楷體" w:hAnsi="標楷體" w:eastAsia="標楷體"/>
          <w:sz w:val="28"/>
        </w:rPr>
        <w:t>，</w:t>
      </w:r>
      <w:r>
        <w:rPr>
          <w:rFonts w:eastAsia="標楷體" w:ascii="標楷體" w:hAnsi="標楷體"/>
          <w:sz w:val="28"/>
        </w:rPr>
        <w:t>1998</w:t>
      </w:r>
      <w:r>
        <w:rPr>
          <w:rFonts w:ascii="標楷體" w:hAnsi="標楷體" w:eastAsia="標楷體"/>
          <w:sz w:val="28"/>
        </w:rPr>
        <w:t>。</w:t>
      </w:r>
    </w:p>
    <w:p>
      <w:pPr>
        <w:pStyle w:val="Normal"/>
        <w:snapToGrid w:val="false"/>
        <w:spacing w:lineRule="atLeast" w:line="20"/>
        <w:rPr/>
      </w:pPr>
      <w:r>
        <w:rPr>
          <w:rFonts w:eastAsia="標楷體" w:ascii="標楷體" w:hAnsi="標楷體"/>
          <w:sz w:val="28"/>
        </w:rPr>
        <w:t>7</w:t>
      </w:r>
      <w:r>
        <w:rPr>
          <w:rFonts w:eastAsia="標楷體" w:ascii="標楷體" w:hAnsi="標楷體"/>
          <w:sz w:val="28"/>
        </w:rPr>
        <w:t>2.</w:t>
      </w:r>
      <w:r>
        <w:rPr>
          <w:rFonts w:ascii="標楷體" w:hAnsi="標楷體" w:eastAsia="標楷體"/>
          <w:sz w:val="28"/>
        </w:rPr>
        <w:t>聶莉芳，調理脾胃法運用於腎病綜合徵與慢性腎衰的體會，新中</w:t>
      </w:r>
    </w:p>
    <w:p>
      <w:pPr>
        <w:pStyle w:val="Normal"/>
        <w:snapToGrid w:val="false"/>
        <w:spacing w:lineRule="atLeast" w:line="20"/>
        <w:rPr/>
      </w:pPr>
      <w:r>
        <w:rPr>
          <w:rFonts w:eastAsia="標楷體" w:cs="標楷體" w:ascii="標楷體" w:hAnsi="標楷體"/>
          <w:sz w:val="28"/>
        </w:rPr>
        <w:t xml:space="preserve">   </w:t>
      </w:r>
      <w:r>
        <w:rPr>
          <w:rFonts w:ascii="標楷體" w:hAnsi="標楷體" w:eastAsia="標楷體"/>
          <w:sz w:val="28"/>
        </w:rPr>
        <w:t>醫，</w:t>
      </w:r>
      <w:r>
        <w:rPr>
          <w:rFonts w:eastAsia="標楷體" w:ascii="標楷體" w:hAnsi="標楷體"/>
          <w:sz w:val="28"/>
        </w:rPr>
        <w:t>9</w:t>
      </w:r>
      <w:r>
        <w:rPr>
          <w:rFonts w:ascii="標楷體" w:hAnsi="標楷體" w:eastAsia="標楷體"/>
          <w:sz w:val="28"/>
        </w:rPr>
        <w:t>，</w:t>
      </w:r>
      <w:r>
        <w:rPr>
          <w:rFonts w:eastAsia="標楷體" w:ascii="標楷體" w:hAnsi="標楷體"/>
          <w:sz w:val="28"/>
        </w:rPr>
        <w:t>p.</w:t>
      </w:r>
      <w:r>
        <w:rPr>
          <w:rFonts w:eastAsia="標楷體" w:ascii="標楷體" w:hAnsi="標楷體"/>
          <w:sz w:val="28"/>
        </w:rPr>
        <w:t>9</w:t>
      </w:r>
      <w:r>
        <w:rPr>
          <w:rFonts w:ascii="標楷體" w:hAnsi="標楷體" w:eastAsia="標楷體"/>
          <w:sz w:val="28"/>
        </w:rPr>
        <w:t>～</w:t>
      </w:r>
      <w:r>
        <w:rPr>
          <w:rFonts w:eastAsia="標楷體" w:ascii="標楷體" w:hAnsi="標楷體"/>
          <w:sz w:val="28"/>
        </w:rPr>
        <w:t>10</w:t>
      </w:r>
      <w:r>
        <w:rPr>
          <w:rFonts w:ascii="標楷體" w:hAnsi="標楷體" w:eastAsia="標楷體"/>
          <w:sz w:val="28"/>
        </w:rPr>
        <w:t>，</w:t>
      </w:r>
      <w:r>
        <w:rPr>
          <w:rFonts w:eastAsia="標楷體" w:ascii="標楷體" w:hAnsi="標楷體"/>
          <w:sz w:val="28"/>
        </w:rPr>
        <w:t>1991</w:t>
      </w:r>
      <w:r>
        <w:rPr>
          <w:rFonts w:ascii="標楷體" w:hAnsi="標楷體" w:eastAsia="標楷體"/>
          <w:sz w:val="28"/>
        </w:rPr>
        <w:t>。</w:t>
      </w:r>
    </w:p>
    <w:p>
      <w:pPr>
        <w:pStyle w:val="Normal"/>
        <w:snapToGrid w:val="false"/>
        <w:spacing w:lineRule="atLeast" w:line="20"/>
        <w:rPr/>
      </w:pPr>
      <w:r>
        <w:rPr>
          <w:rFonts w:eastAsia="標楷體" w:ascii="標楷體" w:hAnsi="標楷體"/>
          <w:sz w:val="28"/>
        </w:rPr>
        <w:t>73</w:t>
      </w:r>
      <w:r>
        <w:rPr>
          <w:rFonts w:eastAsia="標楷體" w:ascii="標楷體" w:hAnsi="標楷體"/>
          <w:sz w:val="28"/>
        </w:rPr>
        <w:t>.</w:t>
      </w:r>
      <w:r>
        <w:rPr>
          <w:rFonts w:ascii="標楷體" w:hAnsi="標楷體" w:eastAsia="標楷體"/>
          <w:sz w:val="28"/>
        </w:rPr>
        <w:t>包力，固腎方治療腎病綜合癥驗案，中醫藥信息，</w:t>
      </w:r>
      <w:r>
        <w:rPr>
          <w:rFonts w:eastAsia="標楷體" w:ascii="標楷體" w:hAnsi="標楷體"/>
          <w:sz w:val="28"/>
        </w:rPr>
        <w:t>6</w:t>
      </w:r>
      <w:r>
        <w:rPr>
          <w:rFonts w:ascii="標楷體" w:hAnsi="標楷體" w:eastAsia="標楷體"/>
          <w:sz w:val="28"/>
        </w:rPr>
        <w:t>，</w:t>
      </w:r>
      <w:r>
        <w:rPr>
          <w:rFonts w:eastAsia="標楷體" w:ascii="標楷體" w:hAnsi="標楷體"/>
          <w:sz w:val="28"/>
        </w:rPr>
        <w:t>p.</w:t>
      </w:r>
      <w:r>
        <w:rPr>
          <w:rFonts w:eastAsia="標楷體" w:ascii="標楷體" w:hAnsi="標楷體"/>
          <w:sz w:val="28"/>
        </w:rPr>
        <w:t>24</w:t>
      </w:r>
      <w:r>
        <w:rPr>
          <w:rFonts w:ascii="標楷體" w:hAnsi="標楷體" w:eastAsia="標楷體"/>
          <w:sz w:val="28"/>
        </w:rPr>
        <w:t>，</w:t>
      </w:r>
      <w:r>
        <w:rPr>
          <w:rFonts w:eastAsia="標楷體" w:ascii="標楷體" w:hAnsi="標楷體"/>
          <w:sz w:val="28"/>
        </w:rPr>
        <w:t>1995</w:t>
      </w:r>
      <w:r>
        <w:rPr>
          <w:rFonts w:ascii="標楷體" w:hAnsi="標楷體" w:eastAsia="標楷體"/>
          <w:sz w:val="28"/>
        </w:rPr>
        <w:t>。</w:t>
      </w:r>
    </w:p>
    <w:p>
      <w:pPr>
        <w:pStyle w:val="Normal"/>
        <w:snapToGrid w:val="false"/>
        <w:spacing w:lineRule="atLeast" w:line="20"/>
        <w:rPr/>
      </w:pPr>
      <w:r>
        <w:rPr>
          <w:rFonts w:eastAsia="標楷體" w:ascii="標楷體" w:hAnsi="標楷體"/>
          <w:sz w:val="28"/>
        </w:rPr>
        <w:t>74</w:t>
      </w:r>
      <w:r>
        <w:rPr>
          <w:rFonts w:eastAsia="標楷體" w:ascii="標楷體" w:hAnsi="標楷體"/>
          <w:sz w:val="28"/>
        </w:rPr>
        <w:t>.</w:t>
      </w:r>
      <w:r>
        <w:rPr>
          <w:rFonts w:ascii="標楷體" w:hAnsi="標楷體" w:eastAsia="標楷體"/>
          <w:sz w:val="28"/>
        </w:rPr>
        <w:t>侯長安、許志雄、薛巧珍，滋補腎陰腎陽在腎病綜合癥治療中的</w:t>
      </w:r>
    </w:p>
    <w:p>
      <w:pPr>
        <w:pStyle w:val="Normal"/>
        <w:snapToGrid w:val="false"/>
        <w:spacing w:lineRule="atLeast" w:line="20"/>
        <w:rPr/>
      </w:pPr>
      <w:r>
        <w:rPr>
          <w:rFonts w:eastAsia="標楷體" w:cs="標楷體" w:ascii="標楷體" w:hAnsi="標楷體"/>
          <w:sz w:val="28"/>
        </w:rPr>
        <w:t xml:space="preserve">   </w:t>
      </w:r>
      <w:r>
        <w:rPr>
          <w:rFonts w:ascii="標楷體" w:hAnsi="標楷體" w:eastAsia="標楷體"/>
          <w:sz w:val="28"/>
        </w:rPr>
        <w:t>應用，實用中西醫結合雜誌，（</w:t>
      </w:r>
      <w:r>
        <w:rPr>
          <w:rFonts w:eastAsia="標楷體" w:ascii="標楷體" w:hAnsi="標楷體"/>
          <w:sz w:val="28"/>
        </w:rPr>
        <w:t>11</w:t>
      </w:r>
      <w:r>
        <w:rPr>
          <w:rFonts w:ascii="標楷體" w:hAnsi="標楷體" w:eastAsia="標楷體"/>
          <w:sz w:val="28"/>
        </w:rPr>
        <w:t>）</w:t>
      </w:r>
      <w:r>
        <w:rPr>
          <w:rFonts w:eastAsia="標楷體" w:ascii="標楷體" w:hAnsi="標楷體"/>
          <w:sz w:val="28"/>
        </w:rPr>
        <w:t>22</w:t>
      </w:r>
      <w:r>
        <w:rPr>
          <w:rFonts w:ascii="標楷體" w:hAnsi="標楷體" w:eastAsia="標楷體"/>
          <w:sz w:val="28"/>
        </w:rPr>
        <w:t>，</w:t>
      </w:r>
      <w:r>
        <w:rPr>
          <w:rFonts w:eastAsia="標楷體" w:ascii="標楷體" w:hAnsi="標楷體"/>
          <w:sz w:val="28"/>
        </w:rPr>
        <w:t>p.</w:t>
      </w:r>
      <w:r>
        <w:rPr>
          <w:rFonts w:eastAsia="標楷體" w:ascii="標楷體" w:hAnsi="標楷體"/>
          <w:sz w:val="28"/>
        </w:rPr>
        <w:t>2155</w:t>
      </w:r>
      <w:r>
        <w:rPr>
          <w:rFonts w:ascii="標楷體" w:hAnsi="標楷體" w:eastAsia="標楷體"/>
          <w:sz w:val="28"/>
        </w:rPr>
        <w:t>～</w:t>
      </w:r>
      <w:r>
        <w:rPr>
          <w:rFonts w:eastAsia="標楷體" w:ascii="標楷體" w:hAnsi="標楷體"/>
          <w:sz w:val="28"/>
        </w:rPr>
        <w:t>2156</w:t>
      </w:r>
      <w:r>
        <w:rPr>
          <w:rFonts w:ascii="標楷體" w:hAnsi="標楷體" w:eastAsia="標楷體"/>
          <w:sz w:val="28"/>
        </w:rPr>
        <w:t>。</w:t>
      </w:r>
    </w:p>
    <w:p>
      <w:pPr>
        <w:pStyle w:val="Normal"/>
        <w:snapToGrid w:val="false"/>
        <w:spacing w:lineRule="atLeast" w:line="20"/>
        <w:rPr/>
      </w:pPr>
      <w:r>
        <w:rPr>
          <w:rFonts w:eastAsia="標楷體" w:ascii="標楷體" w:hAnsi="標楷體"/>
          <w:sz w:val="28"/>
        </w:rPr>
        <w:t>75.</w:t>
      </w:r>
      <w:r>
        <w:rPr>
          <w:rFonts w:ascii="標楷體" w:hAnsi="標楷體" w:eastAsia="標楷體"/>
          <w:sz w:val="28"/>
        </w:rPr>
        <w:t>張洪濤、陳茂杰，補陽還五湯對腎病綜合癥高凝狀態的影響，實</w:t>
      </w:r>
    </w:p>
    <w:p>
      <w:pPr>
        <w:pStyle w:val="Normal"/>
        <w:snapToGrid w:val="false"/>
        <w:spacing w:lineRule="atLeast" w:line="20"/>
        <w:rPr/>
      </w:pPr>
      <w:r>
        <w:rPr>
          <w:rFonts w:eastAsia="標楷體" w:cs="標楷體" w:ascii="標楷體" w:hAnsi="標楷體"/>
          <w:sz w:val="28"/>
        </w:rPr>
        <w:t xml:space="preserve">   </w:t>
      </w:r>
      <w:r>
        <w:rPr>
          <w:rFonts w:ascii="標楷體" w:hAnsi="標楷體" w:eastAsia="標楷體"/>
          <w:sz w:val="28"/>
        </w:rPr>
        <w:t>用中西醫結合雜誌，（</w:t>
      </w:r>
      <w:r>
        <w:rPr>
          <w:rFonts w:eastAsia="標楷體" w:ascii="標楷體" w:hAnsi="標楷體"/>
          <w:sz w:val="28"/>
        </w:rPr>
        <w:t>11</w:t>
      </w:r>
      <w:r>
        <w:rPr>
          <w:rFonts w:ascii="標楷體" w:hAnsi="標楷體" w:eastAsia="標楷體"/>
          <w:sz w:val="28"/>
        </w:rPr>
        <w:t>）</w:t>
      </w:r>
      <w:r>
        <w:rPr>
          <w:rFonts w:eastAsia="標楷體" w:ascii="標楷體" w:hAnsi="標楷體"/>
          <w:sz w:val="28"/>
        </w:rPr>
        <w:t>23</w:t>
      </w:r>
      <w:r>
        <w:rPr>
          <w:rFonts w:ascii="標楷體" w:hAnsi="標楷體" w:eastAsia="標楷體"/>
          <w:sz w:val="28"/>
        </w:rPr>
        <w:t>，</w:t>
      </w:r>
      <w:r>
        <w:rPr>
          <w:rFonts w:eastAsia="標楷體" w:ascii="標楷體" w:hAnsi="標楷體"/>
          <w:sz w:val="28"/>
        </w:rPr>
        <w:t>1998</w:t>
      </w:r>
      <w:r>
        <w:rPr>
          <w:rFonts w:ascii="標楷體" w:hAnsi="標楷體" w:eastAsia="標楷體"/>
          <w:sz w:val="28"/>
        </w:rPr>
        <w:t>。</w:t>
      </w:r>
    </w:p>
    <w:p>
      <w:pPr>
        <w:pStyle w:val="Normal"/>
        <w:snapToGrid w:val="false"/>
        <w:spacing w:lineRule="atLeast" w:line="20"/>
        <w:rPr>
          <w:rFonts w:ascii="標楷體" w:hAnsi="標楷體" w:eastAsia="標楷體"/>
          <w:sz w:val="28"/>
        </w:rPr>
      </w:pPr>
      <w:r>
        <w:rPr>
          <w:rFonts w:eastAsia="標楷體" w:ascii="標楷體" w:hAnsi="標楷體"/>
          <w:sz w:val="28"/>
        </w:rPr>
        <w:t>76.</w:t>
      </w:r>
      <w:r>
        <w:rPr>
          <w:rFonts w:ascii="標楷體" w:hAnsi="標楷體" w:eastAsia="標楷體"/>
          <w:sz w:val="28"/>
        </w:rPr>
        <w:t>趙德光、趙欣、張基棟、陳軍，補陽還五湯治療腎病綜合癥高凝</w:t>
      </w:r>
    </w:p>
    <w:p>
      <w:pPr>
        <w:pStyle w:val="Normal"/>
        <w:snapToGrid w:val="false"/>
        <w:spacing w:lineRule="atLeast" w:line="20"/>
        <w:rPr/>
      </w:pPr>
      <w:r>
        <w:rPr>
          <w:rFonts w:eastAsia="標楷體" w:cs="標楷體" w:ascii="標楷體" w:hAnsi="標楷體"/>
          <w:sz w:val="28"/>
        </w:rPr>
        <w:t xml:space="preserve">   </w:t>
      </w:r>
      <w:r>
        <w:rPr>
          <w:rFonts w:ascii="標楷體" w:hAnsi="標楷體" w:eastAsia="標楷體"/>
          <w:sz w:val="28"/>
        </w:rPr>
        <w:t>狀態的臨床觀察，北京中醫，</w:t>
      </w:r>
      <w:r>
        <w:rPr>
          <w:rFonts w:eastAsia="標楷體" w:ascii="標楷體" w:hAnsi="標楷體"/>
          <w:sz w:val="28"/>
        </w:rPr>
        <w:t>1</w:t>
      </w:r>
      <w:r>
        <w:rPr>
          <w:rFonts w:ascii="標楷體" w:hAnsi="標楷體" w:eastAsia="標楷體"/>
          <w:sz w:val="28"/>
        </w:rPr>
        <w:t>，</w:t>
      </w:r>
      <w:r>
        <w:rPr>
          <w:rFonts w:eastAsia="標楷體" w:ascii="標楷體" w:hAnsi="標楷體"/>
          <w:sz w:val="28"/>
        </w:rPr>
        <w:t>p.</w:t>
      </w:r>
      <w:r>
        <w:rPr>
          <w:rFonts w:eastAsia="標楷體" w:ascii="標楷體" w:hAnsi="標楷體"/>
          <w:sz w:val="28"/>
        </w:rPr>
        <w:t>21</w:t>
      </w:r>
      <w:r>
        <w:rPr>
          <w:rFonts w:ascii="標楷體" w:hAnsi="標楷體" w:eastAsia="標楷體"/>
          <w:sz w:val="28"/>
        </w:rPr>
        <w:t>～</w:t>
      </w:r>
      <w:r>
        <w:rPr>
          <w:rFonts w:eastAsia="標楷體" w:ascii="標楷體" w:hAnsi="標楷體"/>
          <w:sz w:val="28"/>
        </w:rPr>
        <w:t>22</w:t>
      </w:r>
      <w:r>
        <w:rPr>
          <w:rFonts w:ascii="標楷體" w:hAnsi="標楷體" w:eastAsia="標楷體"/>
          <w:sz w:val="28"/>
        </w:rPr>
        <w:t>，</w:t>
      </w:r>
      <w:r>
        <w:rPr>
          <w:rFonts w:eastAsia="標楷體" w:ascii="標楷體" w:hAnsi="標楷體"/>
          <w:sz w:val="28"/>
        </w:rPr>
        <w:t>1999</w:t>
      </w:r>
      <w:r>
        <w:rPr>
          <w:rFonts w:ascii="標楷體" w:hAnsi="標楷體" w:eastAsia="標楷體"/>
          <w:sz w:val="28"/>
        </w:rPr>
        <w:t>。</w:t>
      </w:r>
    </w:p>
    <w:p>
      <w:pPr>
        <w:pStyle w:val="Normal"/>
        <w:snapToGrid w:val="false"/>
        <w:spacing w:lineRule="atLeast" w:line="20"/>
        <w:rPr>
          <w:rFonts w:ascii="標楷體" w:hAnsi="標楷體" w:eastAsia="標楷體"/>
          <w:sz w:val="28"/>
        </w:rPr>
      </w:pPr>
      <w:r>
        <w:rPr>
          <w:rFonts w:eastAsia="標楷體" w:ascii="標楷體" w:hAnsi="標楷體"/>
          <w:sz w:val="28"/>
        </w:rPr>
        <w:t>77</w:t>
      </w:r>
      <w:r>
        <w:rPr>
          <w:rFonts w:eastAsia="標楷體" w:ascii="標楷體" w:hAnsi="標楷體"/>
          <w:sz w:val="28"/>
        </w:rPr>
        <w:t>.</w:t>
      </w:r>
      <w:r>
        <w:rPr>
          <w:rFonts w:ascii="標楷體" w:hAnsi="標楷體" w:eastAsia="標楷體"/>
          <w:sz w:val="28"/>
        </w:rPr>
        <w:t>余鑒，血府逐瘀湯治療腎病綜合癥</w:t>
      </w:r>
      <w:r>
        <w:rPr>
          <w:rFonts w:eastAsia="標楷體" w:ascii="標楷體" w:hAnsi="標楷體"/>
          <w:sz w:val="28"/>
        </w:rPr>
        <w:t>38</w:t>
      </w:r>
      <w:r>
        <w:rPr>
          <w:rFonts w:ascii="標楷體" w:hAnsi="標楷體" w:eastAsia="標楷體"/>
          <w:sz w:val="28"/>
        </w:rPr>
        <w:t>例療效觀察，浙江中醫雜</w:t>
      </w:r>
    </w:p>
    <w:p>
      <w:pPr>
        <w:pStyle w:val="Normal"/>
        <w:snapToGrid w:val="false"/>
        <w:spacing w:lineRule="atLeast" w:line="20"/>
        <w:rPr/>
      </w:pPr>
      <w:r>
        <w:rPr>
          <w:rFonts w:eastAsia="標楷體" w:cs="標楷體" w:ascii="標楷體" w:hAnsi="標楷體"/>
          <w:sz w:val="28"/>
        </w:rPr>
        <w:t xml:space="preserve">   </w:t>
      </w:r>
      <w:r>
        <w:rPr>
          <w:rFonts w:ascii="標楷體" w:hAnsi="標楷體" w:eastAsia="標楷體"/>
          <w:sz w:val="28"/>
        </w:rPr>
        <w:t>誌，</w:t>
      </w:r>
      <w:r>
        <w:rPr>
          <w:rFonts w:eastAsia="標楷體" w:ascii="標楷體" w:hAnsi="標楷體"/>
          <w:sz w:val="28"/>
        </w:rPr>
        <w:t>3</w:t>
      </w:r>
      <w:r>
        <w:rPr>
          <w:rFonts w:ascii="標楷體" w:hAnsi="標楷體" w:eastAsia="標楷體"/>
          <w:sz w:val="28"/>
        </w:rPr>
        <w:t>，</w:t>
      </w:r>
      <w:r>
        <w:rPr>
          <w:rFonts w:eastAsia="標楷體" w:ascii="標楷體" w:hAnsi="標楷體"/>
          <w:sz w:val="28"/>
        </w:rPr>
        <w:t>p.</w:t>
      </w:r>
      <w:r>
        <w:rPr>
          <w:rFonts w:eastAsia="標楷體" w:ascii="標楷體" w:hAnsi="標楷體"/>
          <w:sz w:val="28"/>
        </w:rPr>
        <w:t>107</w:t>
      </w:r>
      <w:r>
        <w:rPr>
          <w:rFonts w:ascii="標楷體" w:hAnsi="標楷體" w:eastAsia="標楷體"/>
          <w:sz w:val="28"/>
        </w:rPr>
        <w:t>，</w:t>
      </w:r>
      <w:r>
        <w:rPr>
          <w:rFonts w:eastAsia="標楷體" w:ascii="標楷體" w:hAnsi="標楷體"/>
          <w:sz w:val="28"/>
        </w:rPr>
        <w:t>1993</w:t>
      </w:r>
      <w:r>
        <w:rPr>
          <w:rFonts w:ascii="標楷體" w:hAnsi="標楷體" w:eastAsia="標楷體"/>
          <w:sz w:val="28"/>
        </w:rPr>
        <w:t>。</w:t>
      </w:r>
    </w:p>
    <w:p>
      <w:pPr>
        <w:pStyle w:val="Normal"/>
        <w:snapToGrid w:val="false"/>
        <w:spacing w:lineRule="atLeast" w:line="20"/>
        <w:rPr/>
      </w:pPr>
      <w:r>
        <w:rPr>
          <w:rFonts w:eastAsia="標楷體" w:ascii="標楷體" w:hAnsi="標楷體"/>
          <w:sz w:val="28"/>
        </w:rPr>
        <w:t>78</w:t>
      </w:r>
      <w:r>
        <w:rPr>
          <w:rFonts w:eastAsia="標楷體" w:ascii="標楷體" w:hAnsi="標楷體"/>
          <w:sz w:val="28"/>
        </w:rPr>
        <w:t>.</w:t>
      </w:r>
      <w:r>
        <w:rPr>
          <w:rFonts w:ascii="標楷體" w:hAnsi="標楷體" w:eastAsia="標楷體"/>
          <w:sz w:val="28"/>
        </w:rPr>
        <w:t>曾慶英、任光友等，「開鬼門、潔淨府」主體法治療腎病綜合癥</w:t>
      </w:r>
    </w:p>
    <w:p>
      <w:pPr>
        <w:pStyle w:val="Normal"/>
        <w:snapToGrid w:val="false"/>
        <w:spacing w:lineRule="atLeast" w:line="20"/>
        <w:rPr>
          <w:rFonts w:ascii="標楷體" w:hAnsi="標楷體" w:eastAsia="標楷體"/>
          <w:sz w:val="28"/>
        </w:rPr>
      </w:pPr>
      <w:r>
        <w:rPr>
          <w:rFonts w:ascii="標楷體" w:hAnsi="標楷體" w:eastAsia="標楷體"/>
          <w:sz w:val="28"/>
        </w:rPr>
        <w:t>　　－附</w:t>
      </w:r>
      <w:r>
        <w:rPr>
          <w:rFonts w:eastAsia="標楷體" w:ascii="標楷體" w:hAnsi="標楷體"/>
          <w:sz w:val="28"/>
        </w:rPr>
        <w:t>50</w:t>
      </w:r>
      <w:r>
        <w:rPr>
          <w:rFonts w:ascii="標楷體" w:hAnsi="標楷體" w:eastAsia="標楷體"/>
          <w:sz w:val="28"/>
        </w:rPr>
        <w:t>例病例分析及實驗研究，貴陽中醫學院學報，</w:t>
      </w:r>
      <w:r>
        <w:rPr>
          <w:rFonts w:eastAsia="標楷體" w:ascii="標楷體" w:hAnsi="標楷體"/>
          <w:sz w:val="28"/>
        </w:rPr>
        <w:t>1</w:t>
      </w:r>
      <w:r>
        <w:rPr>
          <w:rFonts w:ascii="標楷體" w:hAnsi="標楷體" w:eastAsia="標楷體"/>
          <w:sz w:val="28"/>
        </w:rPr>
        <w:t>，</w:t>
      </w:r>
      <w:r>
        <w:rPr>
          <w:rFonts w:eastAsia="標楷體" w:ascii="標楷體" w:hAnsi="標楷體"/>
          <w:sz w:val="28"/>
        </w:rPr>
        <w:t>p.18</w:t>
      </w:r>
    </w:p>
    <w:p>
      <w:pPr>
        <w:pStyle w:val="Normal"/>
        <w:snapToGrid w:val="false"/>
        <w:spacing w:lineRule="atLeast" w:line="20"/>
        <w:rPr>
          <w:rFonts w:ascii="標楷體" w:hAnsi="標楷體" w:eastAsia="標楷體"/>
          <w:sz w:val="28"/>
        </w:rPr>
      </w:pPr>
      <w:r>
        <w:rPr>
          <w:rFonts w:ascii="標楷體" w:hAnsi="標楷體" w:eastAsia="標楷體"/>
          <w:sz w:val="28"/>
        </w:rPr>
        <w:t>　　～</w:t>
      </w:r>
      <w:r>
        <w:rPr>
          <w:rFonts w:eastAsia="標楷體" w:ascii="標楷體" w:hAnsi="標楷體"/>
          <w:sz w:val="28"/>
        </w:rPr>
        <w:t>20</w:t>
      </w:r>
      <w:r>
        <w:rPr>
          <w:rFonts w:ascii="標楷體" w:hAnsi="標楷體" w:eastAsia="標楷體"/>
          <w:sz w:val="28"/>
        </w:rPr>
        <w:t>，</w:t>
      </w:r>
      <w:r>
        <w:rPr>
          <w:rFonts w:eastAsia="標楷體" w:ascii="標楷體" w:hAnsi="標楷體"/>
          <w:sz w:val="28"/>
        </w:rPr>
        <w:t>1991</w:t>
      </w:r>
      <w:r>
        <w:rPr>
          <w:rFonts w:ascii="標楷體" w:hAnsi="標楷體" w:eastAsia="標楷體"/>
          <w:sz w:val="28"/>
        </w:rPr>
        <w:t>。</w:t>
      </w:r>
      <w:r>
        <w:rPr>
          <w:rFonts w:ascii="標楷體" w:hAnsi="標楷體" w:eastAsia="標楷體"/>
          <w:sz w:val="28"/>
        </w:rPr>
        <w:t xml:space="preserve"> </w:t>
      </w:r>
    </w:p>
    <w:p>
      <w:pPr>
        <w:pStyle w:val="Normal"/>
        <w:snapToGrid w:val="false"/>
        <w:spacing w:lineRule="atLeast" w:line="20"/>
        <w:rPr/>
      </w:pPr>
      <w:r>
        <w:rPr>
          <w:rFonts w:eastAsia="標楷體" w:ascii="標楷體" w:hAnsi="標楷體"/>
          <w:sz w:val="28"/>
        </w:rPr>
        <w:t>79</w:t>
      </w:r>
      <w:r>
        <w:rPr>
          <w:rFonts w:eastAsia="標楷體" w:ascii="標楷體" w:hAnsi="標楷體"/>
          <w:sz w:val="28"/>
        </w:rPr>
        <w:t>.</w:t>
      </w:r>
      <w:r>
        <w:rPr>
          <w:rFonts w:ascii="標楷體" w:hAnsi="標楷體" w:eastAsia="標楷體"/>
          <w:sz w:val="28"/>
        </w:rPr>
        <w:t>張菊蓮、王意誠，中西醫結合治療腎病綜合癥</w:t>
      </w:r>
      <w:r>
        <w:rPr>
          <w:rFonts w:eastAsia="標楷體" w:ascii="標楷體" w:hAnsi="標楷體"/>
          <w:sz w:val="28"/>
        </w:rPr>
        <w:t>41</w:t>
      </w:r>
      <w:r>
        <w:rPr>
          <w:rFonts w:ascii="標楷體" w:hAnsi="標楷體" w:eastAsia="標楷體"/>
          <w:sz w:val="28"/>
        </w:rPr>
        <w:t>例，陝西中醫，</w:t>
      </w:r>
    </w:p>
    <w:p>
      <w:pPr>
        <w:pStyle w:val="Normal"/>
        <w:snapToGrid w:val="false"/>
        <w:spacing w:lineRule="atLeast" w:line="20"/>
        <w:rPr/>
      </w:pPr>
      <w:r>
        <w:rPr>
          <w:rFonts w:eastAsia="標楷體" w:cs="標楷體" w:ascii="標楷體" w:hAnsi="標楷體"/>
          <w:sz w:val="28"/>
        </w:rPr>
        <w:t xml:space="preserve">   </w:t>
      </w:r>
      <w:r>
        <w:rPr>
          <w:rFonts w:ascii="標楷體" w:hAnsi="標楷體" w:eastAsia="標楷體"/>
          <w:sz w:val="28"/>
        </w:rPr>
        <w:t>（</w:t>
      </w:r>
      <w:r>
        <w:rPr>
          <w:rFonts w:eastAsia="標楷體" w:ascii="標楷體" w:hAnsi="標楷體"/>
          <w:sz w:val="28"/>
        </w:rPr>
        <w:t>14</w:t>
      </w:r>
      <w:r>
        <w:rPr>
          <w:rFonts w:ascii="標楷體" w:hAnsi="標楷體" w:eastAsia="標楷體"/>
          <w:sz w:val="28"/>
        </w:rPr>
        <w:t>）</w:t>
      </w:r>
      <w:r>
        <w:rPr>
          <w:rFonts w:eastAsia="標楷體" w:ascii="標楷體" w:hAnsi="標楷體"/>
          <w:sz w:val="28"/>
        </w:rPr>
        <w:t>4</w:t>
      </w:r>
      <w:r>
        <w:rPr>
          <w:rFonts w:ascii="標楷體" w:hAnsi="標楷體" w:eastAsia="標楷體"/>
          <w:sz w:val="28"/>
        </w:rPr>
        <w:t>，</w:t>
      </w:r>
      <w:r>
        <w:rPr>
          <w:rFonts w:eastAsia="標楷體" w:ascii="標楷體" w:hAnsi="標楷體"/>
          <w:sz w:val="28"/>
        </w:rPr>
        <w:t>p.</w:t>
      </w:r>
      <w:r>
        <w:rPr>
          <w:rFonts w:eastAsia="標楷體" w:ascii="標楷體" w:hAnsi="標楷體"/>
          <w:sz w:val="28"/>
        </w:rPr>
        <w:t>158</w:t>
      </w:r>
      <w:r>
        <w:rPr>
          <w:rFonts w:ascii="標楷體" w:hAnsi="標楷體" w:eastAsia="標楷體"/>
          <w:sz w:val="28"/>
        </w:rPr>
        <w:t>，</w:t>
      </w:r>
      <w:r>
        <w:rPr>
          <w:rFonts w:eastAsia="標楷體" w:ascii="標楷體" w:hAnsi="標楷體"/>
          <w:sz w:val="28"/>
        </w:rPr>
        <w:t>1993</w:t>
      </w:r>
      <w:r>
        <w:rPr>
          <w:rFonts w:ascii="標楷體" w:hAnsi="標楷體" w:eastAsia="標楷體"/>
          <w:sz w:val="28"/>
        </w:rPr>
        <w:t>．</w:t>
      </w:r>
    </w:p>
    <w:p>
      <w:pPr>
        <w:pStyle w:val="Normal"/>
        <w:snapToGrid w:val="false"/>
        <w:spacing w:lineRule="atLeast" w:line="20"/>
        <w:rPr/>
      </w:pPr>
      <w:r>
        <w:rPr>
          <w:rFonts w:eastAsia="標楷體" w:ascii="標楷體" w:hAnsi="標楷體"/>
          <w:sz w:val="28"/>
        </w:rPr>
        <w:t>80</w:t>
      </w:r>
      <w:r>
        <w:rPr>
          <w:rFonts w:eastAsia="標楷體" w:ascii="標楷體" w:hAnsi="標楷體"/>
          <w:sz w:val="28"/>
        </w:rPr>
        <w:t>.</w:t>
      </w:r>
      <w:r>
        <w:rPr>
          <w:rFonts w:ascii="標楷體" w:hAnsi="標楷體" w:eastAsia="標楷體"/>
          <w:sz w:val="28"/>
        </w:rPr>
        <w:t>肖才德，分期論治腎病綜合癥</w:t>
      </w:r>
      <w:r>
        <w:rPr>
          <w:rFonts w:eastAsia="標楷體" w:ascii="標楷體" w:hAnsi="標楷體"/>
          <w:sz w:val="28"/>
        </w:rPr>
        <w:t>23</w:t>
      </w:r>
      <w:r>
        <w:rPr>
          <w:rFonts w:ascii="標楷體" w:hAnsi="標楷體" w:eastAsia="標楷體"/>
          <w:sz w:val="28"/>
        </w:rPr>
        <w:t>例療效觀察，湖南中醫雜誌，</w:t>
      </w:r>
      <w:r>
        <w:rPr>
          <w:rFonts w:eastAsia="標楷體" w:ascii="標楷體" w:hAnsi="標楷體"/>
          <w:sz w:val="28"/>
        </w:rPr>
        <w:t>3</w:t>
      </w:r>
      <w:r>
        <w:rPr>
          <w:rFonts w:ascii="標楷體" w:hAnsi="標楷體" w:eastAsia="標楷體"/>
          <w:sz w:val="28"/>
        </w:rPr>
        <w:t>，</w:t>
      </w:r>
    </w:p>
    <w:p>
      <w:pPr>
        <w:pStyle w:val="Normal"/>
        <w:snapToGrid w:val="false"/>
        <w:spacing w:lineRule="atLeast" w:line="20"/>
        <w:rPr/>
      </w:pPr>
      <w:r>
        <w:rPr>
          <w:rFonts w:eastAsia="標楷體" w:cs="標楷體" w:ascii="標楷體" w:hAnsi="標楷體"/>
          <w:sz w:val="28"/>
        </w:rPr>
        <w:t xml:space="preserve">   </w:t>
      </w:r>
      <w:r>
        <w:rPr>
          <w:rFonts w:eastAsia="標楷體" w:ascii="標楷體" w:hAnsi="標楷體"/>
          <w:sz w:val="28"/>
        </w:rPr>
        <w:t>p.</w:t>
      </w:r>
      <w:r>
        <w:rPr>
          <w:rFonts w:eastAsia="標楷體" w:ascii="標楷體" w:hAnsi="標楷體"/>
          <w:sz w:val="28"/>
        </w:rPr>
        <w:t>2</w:t>
      </w:r>
      <w:r>
        <w:rPr>
          <w:rFonts w:ascii="標楷體" w:hAnsi="標楷體" w:eastAsia="標楷體"/>
          <w:sz w:val="28"/>
        </w:rPr>
        <w:t>～</w:t>
      </w:r>
      <w:r>
        <w:rPr>
          <w:rFonts w:eastAsia="標楷體" w:ascii="標楷體" w:hAnsi="標楷體"/>
          <w:sz w:val="28"/>
        </w:rPr>
        <w:t>4</w:t>
      </w:r>
      <w:r>
        <w:rPr>
          <w:rFonts w:ascii="標楷體" w:hAnsi="標楷體" w:eastAsia="標楷體"/>
          <w:sz w:val="28"/>
        </w:rPr>
        <w:t>，</w:t>
      </w:r>
      <w:r>
        <w:rPr>
          <w:rFonts w:eastAsia="標楷體" w:ascii="標楷體" w:hAnsi="標楷體"/>
          <w:sz w:val="28"/>
        </w:rPr>
        <w:t>1991</w:t>
      </w:r>
      <w:r>
        <w:rPr>
          <w:rFonts w:ascii="標楷體" w:hAnsi="標楷體" w:eastAsia="標楷體"/>
          <w:sz w:val="28"/>
        </w:rPr>
        <w:t>。</w:t>
      </w:r>
    </w:p>
    <w:p>
      <w:pPr>
        <w:pStyle w:val="Normal"/>
        <w:snapToGrid w:val="false"/>
        <w:spacing w:lineRule="atLeast" w:line="20"/>
        <w:rPr/>
      </w:pPr>
      <w:r>
        <w:rPr>
          <w:rFonts w:eastAsia="標楷體" w:ascii="標楷體" w:hAnsi="標楷體"/>
          <w:sz w:val="28"/>
        </w:rPr>
        <w:t>81</w:t>
      </w:r>
      <w:r>
        <w:rPr>
          <w:rFonts w:eastAsia="標楷體" w:ascii="標楷體" w:hAnsi="標楷體"/>
          <w:sz w:val="28"/>
        </w:rPr>
        <w:t>.</w:t>
      </w:r>
      <w:r>
        <w:rPr>
          <w:rFonts w:ascii="標楷體" w:hAnsi="標楷體" w:eastAsia="標楷體"/>
          <w:sz w:val="28"/>
        </w:rPr>
        <w:t>蓋庄豪，兒童腎病綜合癥</w:t>
      </w:r>
      <w:r>
        <w:rPr>
          <w:rFonts w:eastAsia="標楷體" w:ascii="標楷體" w:hAnsi="標楷體"/>
          <w:sz w:val="28"/>
        </w:rPr>
        <w:t>31</w:t>
      </w:r>
      <w:r>
        <w:rPr>
          <w:rFonts w:ascii="標楷體" w:hAnsi="標楷體" w:eastAsia="標楷體"/>
          <w:sz w:val="28"/>
        </w:rPr>
        <w:t>例療效比較觀察，湖南中醫雜誌，</w:t>
      </w:r>
      <w:r>
        <w:rPr>
          <w:rFonts w:eastAsia="標楷體" w:ascii="標楷體" w:hAnsi="標楷體"/>
          <w:sz w:val="28"/>
        </w:rPr>
        <w:t>2</w:t>
      </w:r>
      <w:r>
        <w:rPr>
          <w:rFonts w:ascii="標楷體" w:hAnsi="標楷體" w:eastAsia="標楷體"/>
          <w:sz w:val="28"/>
        </w:rPr>
        <w:t>，</w:t>
      </w:r>
    </w:p>
    <w:p>
      <w:pPr>
        <w:pStyle w:val="Normal"/>
        <w:snapToGrid w:val="false"/>
        <w:spacing w:lineRule="atLeast" w:line="20"/>
        <w:rPr>
          <w:rFonts w:ascii="標楷體" w:hAnsi="標楷體" w:eastAsia="標楷體"/>
          <w:sz w:val="28"/>
        </w:rPr>
      </w:pPr>
      <w:r>
        <w:rPr>
          <w:rFonts w:eastAsia="標楷體" w:cs="標楷體" w:ascii="標楷體" w:hAnsi="標楷體"/>
          <w:sz w:val="28"/>
        </w:rPr>
        <w:t xml:space="preserve">   </w:t>
      </w:r>
      <w:r>
        <w:rPr>
          <w:rFonts w:eastAsia="標楷體" w:ascii="標楷體" w:hAnsi="標楷體"/>
          <w:sz w:val="28"/>
        </w:rPr>
        <w:t>p.</w:t>
      </w:r>
      <w:r>
        <w:rPr>
          <w:rFonts w:eastAsia="標楷體" w:ascii="標楷體" w:hAnsi="標楷體"/>
          <w:sz w:val="28"/>
        </w:rPr>
        <w:t>40</w:t>
      </w:r>
      <w:r>
        <w:rPr>
          <w:rFonts w:ascii="標楷體" w:hAnsi="標楷體" w:eastAsia="標楷體"/>
          <w:sz w:val="28"/>
        </w:rPr>
        <w:t>～</w:t>
      </w:r>
      <w:r>
        <w:rPr>
          <w:rFonts w:eastAsia="標楷體" w:ascii="標楷體" w:hAnsi="標楷體"/>
          <w:sz w:val="28"/>
        </w:rPr>
        <w:t>41</w:t>
      </w:r>
      <w:r>
        <w:rPr>
          <w:rFonts w:ascii="標楷體" w:hAnsi="標楷體" w:eastAsia="標楷體"/>
          <w:sz w:val="28"/>
        </w:rPr>
        <w:t>，</w:t>
      </w:r>
      <w:r>
        <w:rPr>
          <w:rFonts w:eastAsia="標楷體" w:ascii="標楷體" w:hAnsi="標楷體"/>
          <w:sz w:val="28"/>
        </w:rPr>
        <w:t>1991</w:t>
      </w:r>
      <w:r>
        <w:rPr>
          <w:rFonts w:ascii="標楷體" w:hAnsi="標楷體" w:eastAsia="標楷體"/>
          <w:sz w:val="28"/>
        </w:rPr>
        <w:t>。</w:t>
      </w:r>
    </w:p>
    <w:p>
      <w:pPr>
        <w:pStyle w:val="Normal"/>
        <w:snapToGrid w:val="false"/>
        <w:spacing w:lineRule="atLeast" w:line="20"/>
        <w:rPr/>
      </w:pPr>
      <w:r>
        <w:rPr>
          <w:rFonts w:eastAsia="標楷體" w:ascii="標楷體" w:hAnsi="標楷體"/>
          <w:sz w:val="28"/>
        </w:rPr>
        <w:t>8</w:t>
      </w:r>
      <w:r>
        <w:rPr>
          <w:rFonts w:eastAsia="標楷體" w:ascii="標楷體" w:hAnsi="標楷體"/>
          <w:sz w:val="28"/>
        </w:rPr>
        <w:t>2.</w:t>
      </w:r>
      <w:r>
        <w:rPr>
          <w:rFonts w:ascii="標楷體" w:hAnsi="標楷體" w:eastAsia="標楷體"/>
          <w:sz w:val="28"/>
        </w:rPr>
        <w:t>肖淑琴、鄭軍、陳萍，中醫治療</w:t>
      </w:r>
      <w:r>
        <w:rPr>
          <w:rFonts w:eastAsia="標楷體" w:ascii="標楷體" w:hAnsi="標楷體"/>
          <w:sz w:val="28"/>
        </w:rPr>
        <w:t>74</w:t>
      </w:r>
      <w:r>
        <w:rPr>
          <w:rFonts w:ascii="標楷體" w:hAnsi="標楷體" w:eastAsia="標楷體"/>
          <w:sz w:val="28"/>
        </w:rPr>
        <w:t>例小兒腎病綜合癥，中醫雜</w:t>
      </w:r>
    </w:p>
    <w:p>
      <w:pPr>
        <w:pStyle w:val="Normal"/>
        <w:snapToGrid w:val="false"/>
        <w:spacing w:lineRule="atLeast" w:line="20"/>
        <w:rPr/>
      </w:pPr>
      <w:r>
        <w:rPr>
          <w:rFonts w:ascii="標楷體" w:hAnsi="標楷體" w:eastAsia="標楷體"/>
          <w:sz w:val="28"/>
        </w:rPr>
        <w:t>　　誌，</w:t>
      </w:r>
      <w:r>
        <w:rPr>
          <w:rFonts w:eastAsia="標楷體" w:ascii="標楷體" w:hAnsi="標楷體"/>
          <w:sz w:val="28"/>
        </w:rPr>
        <w:t>3</w:t>
      </w:r>
      <w:r>
        <w:rPr>
          <w:rFonts w:eastAsia="標楷體" w:ascii="標楷體" w:hAnsi="標楷體"/>
          <w:sz w:val="28"/>
        </w:rPr>
        <w:t>, p.</w:t>
      </w:r>
      <w:r>
        <w:rPr>
          <w:rFonts w:eastAsia="標楷體" w:ascii="標楷體" w:hAnsi="標楷體"/>
          <w:sz w:val="28"/>
        </w:rPr>
        <w:t>33</w:t>
      </w:r>
      <w:r>
        <w:rPr>
          <w:rFonts w:ascii="標楷體" w:hAnsi="標楷體" w:eastAsia="標楷體"/>
          <w:sz w:val="28"/>
        </w:rPr>
        <w:t>～</w:t>
      </w:r>
      <w:r>
        <w:rPr>
          <w:rFonts w:eastAsia="標楷體" w:ascii="標楷體" w:hAnsi="標楷體"/>
          <w:sz w:val="28"/>
        </w:rPr>
        <w:t>34</w:t>
      </w:r>
      <w:r>
        <w:rPr>
          <w:rFonts w:ascii="標楷體" w:hAnsi="標楷體" w:eastAsia="標楷體"/>
          <w:sz w:val="28"/>
        </w:rPr>
        <w:t>，</w:t>
      </w:r>
      <w:r>
        <w:rPr>
          <w:rFonts w:eastAsia="標楷體" w:ascii="標楷體" w:hAnsi="標楷體"/>
          <w:sz w:val="28"/>
        </w:rPr>
        <w:t>1991</w:t>
      </w:r>
      <w:r>
        <w:rPr>
          <w:rFonts w:ascii="標楷體" w:hAnsi="標楷體" w:eastAsia="標楷體"/>
          <w:sz w:val="28"/>
        </w:rPr>
        <w:t>。</w:t>
      </w:r>
    </w:p>
    <w:p>
      <w:pPr>
        <w:pStyle w:val="Normal"/>
        <w:snapToGrid w:val="false"/>
        <w:spacing w:lineRule="atLeast" w:line="20"/>
        <w:rPr/>
      </w:pPr>
      <w:r>
        <w:rPr>
          <w:rFonts w:eastAsia="標楷體" w:ascii="標楷體" w:hAnsi="標楷體"/>
          <w:sz w:val="28"/>
        </w:rPr>
        <w:t>83</w:t>
      </w:r>
      <w:r>
        <w:rPr>
          <w:rFonts w:eastAsia="標楷體" w:ascii="標楷體" w:hAnsi="標楷體"/>
          <w:sz w:val="28"/>
        </w:rPr>
        <w:t>.</w:t>
      </w:r>
      <w:r>
        <w:rPr>
          <w:rFonts w:ascii="標楷體" w:hAnsi="標楷體" w:eastAsia="標楷體"/>
          <w:sz w:val="28"/>
        </w:rPr>
        <w:t>楊光裕、上官玉梅等，腎病綜合癥</w:t>
      </w:r>
      <w:r>
        <w:rPr>
          <w:rFonts w:eastAsia="標楷體" w:ascii="標楷體" w:hAnsi="標楷體"/>
          <w:sz w:val="28"/>
        </w:rPr>
        <w:t>218</w:t>
      </w:r>
      <w:r>
        <w:rPr>
          <w:rFonts w:ascii="標楷體" w:hAnsi="標楷體" w:eastAsia="標楷體"/>
          <w:sz w:val="28"/>
        </w:rPr>
        <w:t>例療效對比觀察，中華腎</w:t>
      </w:r>
    </w:p>
    <w:p>
      <w:pPr>
        <w:pStyle w:val="Normal"/>
        <w:snapToGrid w:val="false"/>
        <w:spacing w:lineRule="atLeast" w:line="20"/>
        <w:rPr/>
      </w:pPr>
      <w:r>
        <w:rPr>
          <w:rFonts w:ascii="標楷體" w:hAnsi="標楷體" w:eastAsia="標楷體"/>
          <w:sz w:val="28"/>
        </w:rPr>
        <w:t>　　臟病雜誌，（</w:t>
      </w:r>
      <w:r>
        <w:rPr>
          <w:rFonts w:eastAsia="標楷體" w:ascii="標楷體" w:hAnsi="標楷體"/>
          <w:sz w:val="28"/>
        </w:rPr>
        <w:t>7</w:t>
      </w:r>
      <w:r>
        <w:rPr>
          <w:rFonts w:ascii="標楷體" w:hAnsi="標楷體" w:eastAsia="標楷體"/>
          <w:sz w:val="28"/>
        </w:rPr>
        <w:t>）</w:t>
      </w:r>
      <w:r>
        <w:rPr>
          <w:rFonts w:eastAsia="標楷體" w:ascii="標楷體" w:hAnsi="標楷體"/>
          <w:sz w:val="28"/>
        </w:rPr>
        <w:t>2</w:t>
      </w:r>
      <w:r>
        <w:rPr>
          <w:rFonts w:ascii="標楷體" w:hAnsi="標楷體" w:eastAsia="標楷體"/>
          <w:sz w:val="28"/>
        </w:rPr>
        <w:t>，</w:t>
      </w:r>
      <w:r>
        <w:rPr>
          <w:rFonts w:eastAsia="標楷體" w:ascii="標楷體" w:hAnsi="標楷體"/>
          <w:sz w:val="28"/>
        </w:rPr>
        <w:t>p.</w:t>
      </w:r>
      <w:r>
        <w:rPr>
          <w:rFonts w:eastAsia="標楷體" w:ascii="標楷體" w:hAnsi="標楷體"/>
          <w:sz w:val="28"/>
        </w:rPr>
        <w:t>106</w:t>
      </w:r>
      <w:r>
        <w:rPr>
          <w:rFonts w:ascii="標楷體" w:hAnsi="標楷體" w:eastAsia="標楷體"/>
          <w:sz w:val="28"/>
        </w:rPr>
        <w:t>～</w:t>
      </w:r>
      <w:r>
        <w:rPr>
          <w:rFonts w:eastAsia="標楷體" w:ascii="標楷體" w:hAnsi="標楷體"/>
          <w:sz w:val="28"/>
        </w:rPr>
        <w:t>107</w:t>
      </w:r>
      <w:r>
        <w:rPr>
          <w:rFonts w:ascii="標楷體" w:hAnsi="標楷體" w:eastAsia="標楷體"/>
          <w:sz w:val="28"/>
        </w:rPr>
        <w:t>，</w:t>
      </w:r>
      <w:r>
        <w:rPr>
          <w:rFonts w:eastAsia="標楷體" w:ascii="標楷體" w:hAnsi="標楷體"/>
          <w:sz w:val="28"/>
        </w:rPr>
        <w:t>1991</w:t>
      </w:r>
      <w:r>
        <w:rPr>
          <w:rFonts w:ascii="標楷體" w:hAnsi="標楷體" w:eastAsia="標楷體"/>
          <w:sz w:val="28"/>
        </w:rPr>
        <w:t>。</w:t>
      </w:r>
    </w:p>
    <w:p>
      <w:pPr>
        <w:pStyle w:val="Normal"/>
        <w:snapToGrid w:val="false"/>
        <w:spacing w:lineRule="atLeast" w:line="20"/>
        <w:rPr/>
      </w:pPr>
      <w:r>
        <w:rPr>
          <w:rFonts w:eastAsia="標楷體" w:ascii="標楷體" w:hAnsi="標楷體"/>
          <w:sz w:val="28"/>
        </w:rPr>
        <w:t>84</w:t>
      </w:r>
      <w:r>
        <w:rPr>
          <w:rFonts w:eastAsia="標楷體" w:ascii="標楷體" w:hAnsi="標楷體"/>
          <w:sz w:val="28"/>
        </w:rPr>
        <w:t>.</w:t>
      </w:r>
      <w:r>
        <w:rPr>
          <w:rFonts w:ascii="標楷體" w:hAnsi="標楷體" w:eastAsia="標楷體"/>
          <w:sz w:val="28"/>
        </w:rPr>
        <w:t>王玉秀，多種藥物聯合治療成人腎病綜合癥</w:t>
      </w:r>
      <w:r>
        <w:rPr>
          <w:rFonts w:eastAsia="標楷體" w:ascii="標楷體" w:hAnsi="標楷體"/>
          <w:sz w:val="28"/>
        </w:rPr>
        <w:t>22</w:t>
      </w:r>
      <w:r>
        <w:rPr>
          <w:rFonts w:ascii="標楷體" w:hAnsi="標楷體" w:eastAsia="標楷體"/>
          <w:sz w:val="28"/>
        </w:rPr>
        <w:t>例，河北醫藥，</w:t>
      </w:r>
    </w:p>
    <w:p>
      <w:pPr>
        <w:pStyle w:val="Normal"/>
        <w:snapToGrid w:val="false"/>
        <w:spacing w:lineRule="atLeast" w:line="20"/>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w:t>
      </w:r>
      <w:r>
        <w:rPr>
          <w:rFonts w:eastAsia="標楷體" w:ascii="標楷體" w:hAnsi="標楷體"/>
          <w:sz w:val="28"/>
        </w:rPr>
        <w:t>12</w:t>
      </w:r>
      <w:r>
        <w:rPr>
          <w:rFonts w:ascii="標楷體" w:hAnsi="標楷體" w:eastAsia="標楷體"/>
          <w:sz w:val="28"/>
        </w:rPr>
        <w:t>）</w:t>
      </w:r>
      <w:r>
        <w:rPr>
          <w:rFonts w:eastAsia="標楷體" w:ascii="標楷體" w:hAnsi="標楷體"/>
          <w:sz w:val="28"/>
        </w:rPr>
        <w:t>4</w:t>
      </w:r>
      <w:r>
        <w:rPr>
          <w:rFonts w:ascii="標楷體" w:hAnsi="標楷體" w:eastAsia="標楷體"/>
          <w:sz w:val="28"/>
        </w:rPr>
        <w:t>，</w:t>
      </w:r>
      <w:r>
        <w:rPr>
          <w:rFonts w:eastAsia="標楷體" w:ascii="標楷體" w:hAnsi="標楷體"/>
          <w:sz w:val="28"/>
        </w:rPr>
        <w:t>p.225</w:t>
      </w:r>
      <w:r>
        <w:rPr>
          <w:rFonts w:ascii="標楷體" w:hAnsi="標楷體" w:eastAsia="標楷體"/>
          <w:sz w:val="28"/>
        </w:rPr>
        <w:t>～</w:t>
      </w:r>
      <w:r>
        <w:rPr>
          <w:rFonts w:eastAsia="標楷體" w:ascii="標楷體" w:hAnsi="標楷體"/>
          <w:sz w:val="28"/>
        </w:rPr>
        <w:t>226</w:t>
      </w:r>
      <w:r>
        <w:rPr>
          <w:rFonts w:ascii="標楷體" w:hAnsi="標楷體" w:eastAsia="標楷體"/>
          <w:sz w:val="28"/>
        </w:rPr>
        <w:t>，</w:t>
      </w:r>
      <w:r>
        <w:rPr>
          <w:rFonts w:eastAsia="標楷體" w:ascii="標楷體" w:hAnsi="標楷體"/>
          <w:sz w:val="28"/>
        </w:rPr>
        <w:t>1990</w:t>
      </w:r>
      <w:r>
        <w:rPr>
          <w:rFonts w:ascii="標楷體" w:hAnsi="標楷體" w:eastAsia="標楷體"/>
          <w:sz w:val="28"/>
        </w:rPr>
        <w:t>。</w:t>
      </w:r>
    </w:p>
    <w:p>
      <w:pPr>
        <w:pStyle w:val="Normal"/>
        <w:snapToGrid w:val="false"/>
        <w:spacing w:lineRule="atLeast" w:line="20"/>
        <w:rPr/>
      </w:pPr>
      <w:r>
        <w:rPr>
          <w:rFonts w:eastAsia="標楷體" w:ascii="標楷體" w:hAnsi="標楷體"/>
          <w:sz w:val="28"/>
        </w:rPr>
        <w:t>85</w:t>
      </w:r>
      <w:r>
        <w:rPr>
          <w:rFonts w:eastAsia="標楷體" w:ascii="標楷體" w:hAnsi="標楷體"/>
          <w:sz w:val="28"/>
        </w:rPr>
        <w:t>.</w:t>
      </w:r>
      <w:r>
        <w:rPr>
          <w:rFonts w:ascii="標楷體" w:hAnsi="標楷體" w:eastAsia="標楷體"/>
          <w:sz w:val="28"/>
        </w:rPr>
        <w:t>張書琴、張振卿，中西醫結合治療腎病綜合癥</w:t>
      </w:r>
      <w:r>
        <w:rPr>
          <w:rFonts w:eastAsia="標楷體" w:ascii="標楷體" w:hAnsi="標楷體"/>
          <w:sz w:val="28"/>
        </w:rPr>
        <w:t>190</w:t>
      </w:r>
      <w:r>
        <w:rPr>
          <w:rFonts w:ascii="標楷體" w:hAnsi="標楷體" w:eastAsia="標楷體"/>
          <w:sz w:val="28"/>
        </w:rPr>
        <w:t>例療效觀察，</w:t>
      </w:r>
    </w:p>
    <w:p>
      <w:pPr>
        <w:pStyle w:val="Normal"/>
        <w:snapToGrid w:val="false"/>
        <w:spacing w:lineRule="atLeast" w:line="20"/>
        <w:rPr/>
      </w:pPr>
      <w:r>
        <w:rPr>
          <w:rFonts w:eastAsia="標楷體" w:cs="標楷體" w:ascii="標楷體" w:hAnsi="標楷體"/>
          <w:sz w:val="28"/>
        </w:rPr>
        <w:t xml:space="preserve">   </w:t>
      </w:r>
      <w:r>
        <w:rPr>
          <w:rFonts w:ascii="標楷體" w:hAnsi="標楷體" w:eastAsia="標楷體"/>
          <w:sz w:val="28"/>
        </w:rPr>
        <w:t>實用中西醫結合雜誌，（</w:t>
      </w:r>
      <w:r>
        <w:rPr>
          <w:rFonts w:eastAsia="標楷體" w:ascii="標楷體" w:hAnsi="標楷體"/>
          <w:sz w:val="28"/>
        </w:rPr>
        <w:t>11</w:t>
      </w:r>
      <w:r>
        <w:rPr>
          <w:rFonts w:ascii="標楷體" w:hAnsi="標楷體" w:eastAsia="標楷體"/>
          <w:sz w:val="28"/>
        </w:rPr>
        <w:t>）</w:t>
      </w:r>
      <w:r>
        <w:rPr>
          <w:rFonts w:eastAsia="標楷體" w:ascii="標楷體" w:hAnsi="標楷體"/>
          <w:sz w:val="28"/>
        </w:rPr>
        <w:t>22</w:t>
      </w:r>
      <w:r>
        <w:rPr>
          <w:rFonts w:ascii="標楷體" w:hAnsi="標楷體" w:eastAsia="標楷體"/>
          <w:sz w:val="28"/>
        </w:rPr>
        <w:t>，</w:t>
      </w:r>
      <w:r>
        <w:rPr>
          <w:rFonts w:eastAsia="標楷體" w:ascii="標楷體" w:hAnsi="標楷體"/>
          <w:sz w:val="28"/>
        </w:rPr>
        <w:t>p.</w:t>
      </w:r>
      <w:r>
        <w:rPr>
          <w:rFonts w:eastAsia="標楷體" w:ascii="標楷體" w:hAnsi="標楷體"/>
          <w:sz w:val="28"/>
        </w:rPr>
        <w:t>2159</w:t>
      </w:r>
      <w:r>
        <w:rPr>
          <w:rFonts w:ascii="標楷體" w:hAnsi="標楷體" w:eastAsia="標楷體"/>
          <w:sz w:val="28"/>
        </w:rPr>
        <w:t>，</w:t>
      </w:r>
      <w:r>
        <w:rPr>
          <w:rFonts w:eastAsia="標楷體" w:ascii="標楷體" w:hAnsi="標楷體"/>
          <w:sz w:val="28"/>
        </w:rPr>
        <w:t>1998</w:t>
      </w:r>
      <w:r>
        <w:rPr>
          <w:rFonts w:ascii="標楷體" w:hAnsi="標楷體" w:eastAsia="標楷體"/>
          <w:sz w:val="28"/>
        </w:rPr>
        <w:t>。</w:t>
      </w:r>
    </w:p>
    <w:p>
      <w:pPr>
        <w:pStyle w:val="Normal"/>
        <w:snapToGrid w:val="false"/>
        <w:spacing w:lineRule="atLeast" w:line="20"/>
        <w:rPr/>
      </w:pPr>
      <w:r>
        <w:rPr>
          <w:rFonts w:eastAsia="標楷體" w:ascii="標楷體" w:hAnsi="標楷體"/>
          <w:sz w:val="28"/>
        </w:rPr>
        <w:t>86</w:t>
      </w:r>
      <w:r>
        <w:rPr>
          <w:rFonts w:eastAsia="標楷體" w:ascii="標楷體" w:hAnsi="標楷體"/>
          <w:sz w:val="28"/>
        </w:rPr>
        <w:t>.</w:t>
      </w:r>
      <w:r>
        <w:rPr>
          <w:rFonts w:ascii="標楷體" w:hAnsi="標楷體" w:eastAsia="標楷體"/>
          <w:sz w:val="28"/>
        </w:rPr>
        <w:t>楊慶賓，中西醫結合治療腎病綜合癥</w:t>
      </w:r>
      <w:r>
        <w:rPr>
          <w:rFonts w:eastAsia="標楷體" w:ascii="標楷體" w:hAnsi="標楷體"/>
          <w:sz w:val="28"/>
        </w:rPr>
        <w:t>15</w:t>
      </w:r>
      <w:r>
        <w:rPr>
          <w:rFonts w:ascii="標楷體" w:hAnsi="標楷體" w:eastAsia="標楷體"/>
          <w:sz w:val="28"/>
        </w:rPr>
        <w:t>例療效觀察，實用中西</w:t>
      </w:r>
    </w:p>
    <w:p>
      <w:pPr>
        <w:pStyle w:val="Normal"/>
        <w:snapToGrid w:val="false"/>
        <w:spacing w:lineRule="atLeast" w:line="20"/>
        <w:rPr/>
      </w:pPr>
      <w:r>
        <w:rPr>
          <w:rFonts w:eastAsia="標楷體" w:cs="標楷體" w:ascii="標楷體" w:hAnsi="標楷體"/>
          <w:sz w:val="28"/>
        </w:rPr>
        <w:t xml:space="preserve">   </w:t>
      </w:r>
      <w:r>
        <w:rPr>
          <w:rFonts w:ascii="標楷體" w:hAnsi="標楷體" w:eastAsia="標楷體"/>
          <w:sz w:val="28"/>
        </w:rPr>
        <w:t>醫結合雜誌，（</w:t>
      </w:r>
      <w:r>
        <w:rPr>
          <w:rFonts w:eastAsia="標楷體" w:ascii="標楷體" w:hAnsi="標楷體"/>
          <w:sz w:val="28"/>
        </w:rPr>
        <w:t>11</w:t>
      </w:r>
      <w:r>
        <w:rPr>
          <w:rFonts w:ascii="標楷體" w:hAnsi="標楷體" w:eastAsia="標楷體"/>
          <w:sz w:val="28"/>
        </w:rPr>
        <w:t>）</w:t>
      </w:r>
      <w:r>
        <w:rPr>
          <w:rFonts w:eastAsia="標楷體" w:ascii="標楷體" w:hAnsi="標楷體"/>
          <w:sz w:val="28"/>
        </w:rPr>
        <w:t>23</w:t>
      </w:r>
      <w:r>
        <w:rPr>
          <w:rFonts w:ascii="標楷體" w:hAnsi="標楷體" w:eastAsia="標楷體"/>
          <w:sz w:val="28"/>
        </w:rPr>
        <w:t>，</w:t>
      </w:r>
      <w:r>
        <w:rPr>
          <w:rFonts w:eastAsia="標楷體" w:ascii="標楷體" w:hAnsi="標楷體"/>
          <w:sz w:val="28"/>
        </w:rPr>
        <w:t>p.</w:t>
      </w:r>
      <w:r>
        <w:rPr>
          <w:rFonts w:eastAsia="標楷體" w:ascii="標楷體" w:hAnsi="標楷體"/>
          <w:sz w:val="28"/>
        </w:rPr>
        <w:t>2249</w:t>
      </w:r>
      <w:r>
        <w:rPr>
          <w:rFonts w:ascii="標楷體" w:hAnsi="標楷體" w:eastAsia="標楷體"/>
          <w:sz w:val="28"/>
        </w:rPr>
        <w:t>，</w:t>
      </w:r>
      <w:r>
        <w:rPr>
          <w:rFonts w:eastAsia="標楷體" w:ascii="標楷體" w:hAnsi="標楷體"/>
          <w:sz w:val="28"/>
        </w:rPr>
        <w:t>1998</w:t>
      </w:r>
      <w:r>
        <w:rPr>
          <w:rFonts w:ascii="標楷體" w:hAnsi="標楷體" w:eastAsia="標楷體"/>
          <w:sz w:val="28"/>
        </w:rPr>
        <w:t>。</w:t>
      </w:r>
    </w:p>
    <w:p>
      <w:pPr>
        <w:pStyle w:val="Normal"/>
        <w:snapToGrid w:val="false"/>
        <w:spacing w:lineRule="atLeast" w:line="20"/>
        <w:rPr/>
      </w:pPr>
      <w:r>
        <w:rPr>
          <w:rFonts w:eastAsia="標楷體" w:ascii="標楷體" w:hAnsi="標楷體"/>
          <w:sz w:val="28"/>
        </w:rPr>
        <w:t>8</w:t>
      </w:r>
      <w:r>
        <w:rPr>
          <w:rFonts w:eastAsia="標楷體" w:ascii="標楷體" w:hAnsi="標楷體"/>
          <w:sz w:val="28"/>
        </w:rPr>
        <w:t>7</w:t>
      </w:r>
      <w:r>
        <w:rPr>
          <w:rFonts w:eastAsia="標楷體" w:ascii="標楷體" w:hAnsi="標楷體"/>
          <w:sz w:val="28"/>
        </w:rPr>
        <w:t>.</w:t>
      </w:r>
      <w:r>
        <w:rPr>
          <w:rFonts w:ascii="標楷體" w:hAnsi="標楷體" w:eastAsia="標楷體"/>
          <w:sz w:val="28"/>
        </w:rPr>
        <w:t>呂軍，中西醫結合治療腎病綜合癥</w:t>
      </w:r>
      <w:r>
        <w:rPr>
          <w:rFonts w:eastAsia="標楷體" w:ascii="標楷體" w:hAnsi="標楷體"/>
          <w:sz w:val="28"/>
        </w:rPr>
        <w:t>120</w:t>
      </w:r>
      <w:r>
        <w:rPr>
          <w:rFonts w:ascii="標楷體" w:hAnsi="標楷體" w:eastAsia="標楷體"/>
          <w:sz w:val="28"/>
        </w:rPr>
        <w:t>例，實用中西醫結合雜誌，</w:t>
      </w:r>
    </w:p>
    <w:p>
      <w:pPr>
        <w:pStyle w:val="Normal"/>
        <w:snapToGrid w:val="false"/>
        <w:spacing w:lineRule="atLeast" w:line="20"/>
        <w:rPr/>
      </w:pPr>
      <w:r>
        <w:rPr>
          <w:rFonts w:eastAsia="標楷體" w:cs="標楷體" w:ascii="標楷體" w:hAnsi="標楷體"/>
          <w:sz w:val="28"/>
        </w:rPr>
        <w:t xml:space="preserve">   </w:t>
      </w:r>
      <w:r>
        <w:rPr>
          <w:rFonts w:ascii="標楷體" w:hAnsi="標楷體" w:eastAsia="標楷體"/>
          <w:sz w:val="28"/>
        </w:rPr>
        <w:t>（</w:t>
      </w:r>
      <w:r>
        <w:rPr>
          <w:rFonts w:eastAsia="標楷體" w:ascii="標楷體" w:hAnsi="標楷體"/>
          <w:sz w:val="28"/>
        </w:rPr>
        <w:t>11</w:t>
      </w:r>
      <w:r>
        <w:rPr>
          <w:rFonts w:ascii="標楷體" w:hAnsi="標楷體" w:eastAsia="標楷體"/>
          <w:sz w:val="28"/>
        </w:rPr>
        <w:t>）</w:t>
      </w:r>
      <w:r>
        <w:rPr>
          <w:rFonts w:eastAsia="標楷體" w:ascii="標楷體" w:hAnsi="標楷體"/>
          <w:sz w:val="28"/>
        </w:rPr>
        <w:t>10</w:t>
      </w:r>
      <w:r>
        <w:rPr>
          <w:rFonts w:ascii="標楷體" w:hAnsi="標楷體" w:eastAsia="標楷體"/>
          <w:sz w:val="28"/>
        </w:rPr>
        <w:t>，</w:t>
      </w:r>
      <w:r>
        <w:rPr>
          <w:rFonts w:eastAsia="標楷體" w:ascii="標楷體" w:hAnsi="標楷體"/>
          <w:sz w:val="28"/>
        </w:rPr>
        <w:t>p.</w:t>
      </w:r>
      <w:r>
        <w:rPr>
          <w:rFonts w:eastAsia="標楷體" w:ascii="標楷體" w:hAnsi="標楷體"/>
          <w:sz w:val="28"/>
        </w:rPr>
        <w:t>871</w:t>
      </w:r>
      <w:r>
        <w:rPr>
          <w:rFonts w:ascii="標楷體" w:hAnsi="標楷體" w:eastAsia="標楷體"/>
          <w:sz w:val="28"/>
        </w:rPr>
        <w:t>，</w:t>
      </w:r>
      <w:r>
        <w:rPr>
          <w:rFonts w:eastAsia="標楷體" w:ascii="標楷體" w:hAnsi="標楷體"/>
          <w:sz w:val="28"/>
        </w:rPr>
        <w:t>1998</w:t>
      </w:r>
      <w:r>
        <w:rPr>
          <w:rFonts w:ascii="標楷體" w:hAnsi="標楷體" w:eastAsia="標楷體"/>
          <w:sz w:val="28"/>
        </w:rPr>
        <w:t>。</w:t>
      </w:r>
    </w:p>
    <w:p>
      <w:pPr>
        <w:pStyle w:val="Normal"/>
        <w:snapToGrid w:val="false"/>
        <w:spacing w:lineRule="atLeast" w:line="20"/>
        <w:rPr/>
      </w:pPr>
      <w:r>
        <w:rPr>
          <w:rFonts w:eastAsia="標楷體" w:ascii="標楷體" w:hAnsi="標楷體"/>
          <w:sz w:val="28"/>
        </w:rPr>
        <w:t>88</w:t>
      </w:r>
      <w:r>
        <w:rPr>
          <w:rFonts w:eastAsia="標楷體" w:ascii="標楷體" w:hAnsi="標楷體"/>
          <w:sz w:val="28"/>
        </w:rPr>
        <w:t>.</w:t>
      </w:r>
      <w:r>
        <w:rPr>
          <w:rFonts w:ascii="標楷體" w:hAnsi="標楷體" w:eastAsia="標楷體"/>
          <w:sz w:val="28"/>
        </w:rPr>
        <w:t>朱保權、楊永紅，腎復散減少小兒腎病綜合癥復發的療效觀察，</w:t>
      </w:r>
    </w:p>
    <w:p>
      <w:pPr>
        <w:pStyle w:val="Normal"/>
        <w:snapToGrid w:val="false"/>
        <w:spacing w:lineRule="atLeast" w:line="20"/>
        <w:rPr/>
      </w:pPr>
      <w:r>
        <w:rPr>
          <w:rFonts w:eastAsia="標楷體" w:cs="標楷體" w:ascii="標楷體" w:hAnsi="標楷體"/>
          <w:sz w:val="28"/>
        </w:rPr>
        <w:t xml:space="preserve">   </w:t>
      </w:r>
      <w:r>
        <w:rPr>
          <w:rFonts w:ascii="標楷體" w:hAnsi="標楷體" w:eastAsia="標楷體"/>
          <w:sz w:val="28"/>
        </w:rPr>
        <w:t>北京中醫大學學報，（</w:t>
      </w:r>
      <w:r>
        <w:rPr>
          <w:rFonts w:eastAsia="標楷體" w:ascii="標楷體" w:hAnsi="標楷體"/>
          <w:sz w:val="28"/>
        </w:rPr>
        <w:t>22</w:t>
      </w:r>
      <w:r>
        <w:rPr>
          <w:rFonts w:ascii="標楷體" w:hAnsi="標楷體" w:eastAsia="標楷體"/>
          <w:sz w:val="28"/>
        </w:rPr>
        <w:t>）</w:t>
      </w:r>
      <w:r>
        <w:rPr>
          <w:rFonts w:eastAsia="標楷體" w:ascii="標楷體" w:hAnsi="標楷體"/>
          <w:sz w:val="28"/>
        </w:rPr>
        <w:t>2</w:t>
      </w:r>
      <w:r>
        <w:rPr>
          <w:rFonts w:ascii="標楷體" w:hAnsi="標楷體" w:eastAsia="標楷體"/>
          <w:sz w:val="28"/>
        </w:rPr>
        <w:t>，</w:t>
      </w:r>
      <w:r>
        <w:rPr>
          <w:rFonts w:eastAsia="標楷體" w:ascii="標楷體" w:hAnsi="標楷體"/>
          <w:sz w:val="28"/>
        </w:rPr>
        <w:t>p.43</w:t>
      </w:r>
      <w:r>
        <w:rPr>
          <w:rFonts w:ascii="標楷體" w:hAnsi="標楷體" w:eastAsia="標楷體"/>
          <w:sz w:val="28"/>
        </w:rPr>
        <w:t>～</w:t>
      </w:r>
      <w:r>
        <w:rPr>
          <w:rFonts w:eastAsia="標楷體" w:ascii="標楷體" w:hAnsi="標楷體"/>
          <w:sz w:val="28"/>
        </w:rPr>
        <w:t>44</w:t>
      </w:r>
      <w:r>
        <w:rPr>
          <w:rFonts w:ascii="標楷體" w:hAnsi="標楷體" w:eastAsia="標楷體"/>
          <w:sz w:val="28"/>
        </w:rPr>
        <w:t>，</w:t>
      </w:r>
      <w:r>
        <w:rPr>
          <w:rFonts w:eastAsia="標楷體" w:ascii="標楷體" w:hAnsi="標楷體"/>
          <w:sz w:val="28"/>
        </w:rPr>
        <w:t>1999</w:t>
      </w:r>
      <w:r>
        <w:rPr>
          <w:rFonts w:ascii="標楷體" w:hAnsi="標楷體" w:eastAsia="標楷體"/>
          <w:sz w:val="28"/>
        </w:rPr>
        <w:t>。</w:t>
      </w:r>
    </w:p>
    <w:p>
      <w:pPr>
        <w:pStyle w:val="Normal"/>
        <w:snapToGrid w:val="false"/>
        <w:spacing w:lineRule="atLeast" w:line="20"/>
        <w:rPr/>
      </w:pPr>
      <w:r>
        <w:rPr>
          <w:rFonts w:eastAsia="標楷體" w:ascii="標楷體" w:hAnsi="標楷體"/>
          <w:sz w:val="28"/>
        </w:rPr>
        <w:t>89</w:t>
      </w:r>
      <w:r>
        <w:rPr>
          <w:rFonts w:eastAsia="標楷體" w:ascii="標楷體" w:hAnsi="標楷體"/>
          <w:sz w:val="28"/>
        </w:rPr>
        <w:t>.</w:t>
      </w:r>
      <w:r>
        <w:rPr>
          <w:rFonts w:ascii="標楷體" w:hAnsi="標楷體" w:eastAsia="標楷體"/>
          <w:sz w:val="28"/>
        </w:rPr>
        <w:t>姚熙慧、賀玉珍，腎炎康復配合激素治療成人原發性腎病綜合癥</w:t>
      </w:r>
    </w:p>
    <w:p>
      <w:pPr>
        <w:pStyle w:val="Normal"/>
        <w:snapToGrid w:val="false"/>
        <w:spacing w:lineRule="atLeast" w:line="20"/>
        <w:rPr/>
      </w:pPr>
      <w:r>
        <w:rPr>
          <w:rFonts w:eastAsia="標楷體" w:cs="標楷體" w:ascii="標楷體" w:hAnsi="標楷體"/>
          <w:sz w:val="28"/>
        </w:rPr>
        <w:t xml:space="preserve">   </w:t>
      </w:r>
      <w:r>
        <w:rPr>
          <w:rFonts w:ascii="標楷體" w:hAnsi="標楷體" w:eastAsia="標楷體"/>
          <w:sz w:val="28"/>
        </w:rPr>
        <w:t>的治療分析，天津中醫學院學報，（</w:t>
      </w:r>
      <w:r>
        <w:rPr>
          <w:rFonts w:eastAsia="標楷體" w:ascii="標楷體" w:hAnsi="標楷體"/>
          <w:sz w:val="28"/>
        </w:rPr>
        <w:t>17</w:t>
      </w:r>
      <w:r>
        <w:rPr>
          <w:rFonts w:ascii="標楷體" w:hAnsi="標楷體" w:eastAsia="標楷體"/>
          <w:sz w:val="28"/>
        </w:rPr>
        <w:t>）</w:t>
      </w:r>
      <w:r>
        <w:rPr>
          <w:rFonts w:eastAsia="標楷體" w:ascii="標楷體" w:hAnsi="標楷體"/>
          <w:sz w:val="28"/>
        </w:rPr>
        <w:t>3</w:t>
      </w:r>
      <w:r>
        <w:rPr>
          <w:rFonts w:ascii="標楷體" w:hAnsi="標楷體" w:eastAsia="標楷體"/>
          <w:sz w:val="28"/>
        </w:rPr>
        <w:t>，</w:t>
      </w:r>
      <w:r>
        <w:rPr>
          <w:rFonts w:eastAsia="標楷體" w:ascii="標楷體" w:hAnsi="標楷體"/>
          <w:sz w:val="28"/>
        </w:rPr>
        <w:tab/>
        <w:t>p.</w:t>
      </w:r>
      <w:r>
        <w:rPr>
          <w:rFonts w:eastAsia="標楷體" w:ascii="標楷體" w:hAnsi="標楷體"/>
          <w:sz w:val="28"/>
        </w:rPr>
        <w:t>11</w:t>
      </w:r>
      <w:r>
        <w:rPr>
          <w:rFonts w:ascii="標楷體" w:hAnsi="標楷體" w:eastAsia="標楷體"/>
          <w:sz w:val="28"/>
        </w:rPr>
        <w:t>～</w:t>
      </w:r>
      <w:r>
        <w:rPr>
          <w:rFonts w:eastAsia="標楷體" w:ascii="標楷體" w:hAnsi="標楷體"/>
          <w:sz w:val="28"/>
        </w:rPr>
        <w:t>12</w:t>
      </w:r>
      <w:r>
        <w:rPr>
          <w:rFonts w:ascii="標楷體" w:hAnsi="標楷體" w:eastAsia="標楷體"/>
          <w:sz w:val="28"/>
        </w:rPr>
        <w:t>，</w:t>
      </w:r>
      <w:r>
        <w:rPr>
          <w:rFonts w:eastAsia="標楷體" w:ascii="標楷體" w:hAnsi="標楷體"/>
          <w:sz w:val="28"/>
        </w:rPr>
        <w:t>1998</w:t>
      </w:r>
      <w:r>
        <w:rPr>
          <w:rFonts w:ascii="標楷體" w:hAnsi="標楷體" w:eastAsia="標楷體"/>
          <w:sz w:val="28"/>
        </w:rPr>
        <w:t>。</w:t>
      </w:r>
    </w:p>
    <w:p>
      <w:pPr>
        <w:pStyle w:val="Normal"/>
        <w:snapToGrid w:val="false"/>
        <w:spacing w:lineRule="atLeast" w:line="20"/>
        <w:rPr/>
      </w:pPr>
      <w:r>
        <w:rPr>
          <w:rFonts w:eastAsia="標楷體" w:ascii="標楷體" w:hAnsi="標楷體"/>
          <w:sz w:val="28"/>
        </w:rPr>
        <w:t>90</w:t>
      </w:r>
      <w:r>
        <w:rPr>
          <w:rFonts w:eastAsia="標楷體" w:ascii="標楷體" w:hAnsi="標楷體"/>
          <w:sz w:val="28"/>
        </w:rPr>
        <w:t>.</w:t>
      </w:r>
      <w:r>
        <w:rPr>
          <w:rFonts w:ascii="標楷體" w:hAnsi="標楷體" w:eastAsia="標楷體"/>
          <w:sz w:val="28"/>
        </w:rPr>
        <w:t>王琴、張貴榮，復方丹參注射治療小兒腎病綜合癥的臨床觀察，</w:t>
      </w:r>
    </w:p>
    <w:p>
      <w:pPr>
        <w:pStyle w:val="Normal"/>
        <w:snapToGrid w:val="false"/>
        <w:spacing w:lineRule="atLeast" w:line="20"/>
        <w:rPr/>
      </w:pPr>
      <w:r>
        <w:rPr>
          <w:rFonts w:eastAsia="標楷體" w:cs="標楷體" w:ascii="標楷體" w:hAnsi="標楷體"/>
          <w:sz w:val="28"/>
        </w:rPr>
        <w:t xml:space="preserve">   </w:t>
      </w:r>
      <w:r>
        <w:rPr>
          <w:rFonts w:ascii="標楷體" w:hAnsi="標楷體" w:eastAsia="標楷體"/>
          <w:sz w:val="28"/>
        </w:rPr>
        <w:t>天津中醫學院學報，（</w:t>
      </w:r>
      <w:r>
        <w:rPr>
          <w:rFonts w:eastAsia="標楷體" w:ascii="標楷體" w:hAnsi="標楷體"/>
          <w:sz w:val="28"/>
        </w:rPr>
        <w:t>17</w:t>
      </w:r>
      <w:r>
        <w:rPr>
          <w:rFonts w:ascii="標楷體" w:hAnsi="標楷體" w:eastAsia="標楷體"/>
          <w:sz w:val="28"/>
        </w:rPr>
        <w:t>）</w:t>
      </w:r>
      <w:r>
        <w:rPr>
          <w:rFonts w:eastAsia="標楷體" w:ascii="標楷體" w:hAnsi="標楷體"/>
          <w:sz w:val="28"/>
        </w:rPr>
        <w:t>3</w:t>
      </w:r>
      <w:r>
        <w:rPr>
          <w:rFonts w:ascii="標楷體" w:hAnsi="標楷體" w:eastAsia="標楷體"/>
          <w:sz w:val="28"/>
        </w:rPr>
        <w:t>，</w:t>
      </w:r>
      <w:r>
        <w:rPr>
          <w:rFonts w:eastAsia="標楷體" w:ascii="標楷體" w:hAnsi="標楷體"/>
          <w:sz w:val="28"/>
        </w:rPr>
        <w:t>p.</w:t>
      </w:r>
      <w:r>
        <w:rPr>
          <w:rFonts w:eastAsia="標楷體" w:ascii="標楷體" w:hAnsi="標楷體"/>
          <w:sz w:val="28"/>
        </w:rPr>
        <w:t>12</w:t>
      </w:r>
      <w:r>
        <w:rPr>
          <w:rFonts w:ascii="標楷體" w:hAnsi="標楷體" w:eastAsia="標楷體"/>
          <w:sz w:val="28"/>
        </w:rPr>
        <w:t>，</w:t>
      </w:r>
      <w:r>
        <w:rPr>
          <w:rFonts w:eastAsia="標楷體" w:ascii="標楷體" w:hAnsi="標楷體"/>
          <w:sz w:val="28"/>
        </w:rPr>
        <w:t>1998</w:t>
      </w:r>
      <w:r>
        <w:rPr>
          <w:rFonts w:ascii="標楷體" w:hAnsi="標楷體" w:eastAsia="標楷體"/>
          <w:sz w:val="28"/>
        </w:rPr>
        <w:t>。</w:t>
      </w:r>
    </w:p>
    <w:p>
      <w:pPr>
        <w:pStyle w:val="Normal"/>
        <w:snapToGrid w:val="false"/>
        <w:spacing w:lineRule="atLeast" w:line="20"/>
        <w:rPr/>
      </w:pPr>
      <w:r>
        <w:rPr>
          <w:rFonts w:eastAsia="標楷體" w:ascii="標楷體" w:hAnsi="標楷體"/>
          <w:sz w:val="28"/>
        </w:rPr>
        <w:t>91</w:t>
      </w:r>
      <w:r>
        <w:rPr>
          <w:rFonts w:eastAsia="標楷體" w:ascii="標楷體" w:hAnsi="標楷體"/>
          <w:sz w:val="28"/>
        </w:rPr>
        <w:t>.</w:t>
      </w:r>
      <w:r>
        <w:rPr>
          <w:rFonts w:ascii="標楷體" w:hAnsi="標楷體" w:eastAsia="標楷體"/>
          <w:sz w:val="28"/>
        </w:rPr>
        <w:t>徐景芳，難治性腎病綜合癥治療的若干問題，甘肅中醫學院學報，</w:t>
      </w:r>
    </w:p>
    <w:p>
      <w:pPr>
        <w:pStyle w:val="Normal"/>
        <w:snapToGrid w:val="false"/>
        <w:spacing w:lineRule="atLeast" w:line="20"/>
        <w:rPr/>
      </w:pPr>
      <w:r>
        <w:rPr>
          <w:rFonts w:eastAsia="標楷體" w:cs="標楷體" w:ascii="標楷體" w:hAnsi="標楷體"/>
          <w:sz w:val="28"/>
        </w:rPr>
        <w:t xml:space="preserve">   </w:t>
      </w:r>
      <w:r>
        <w:rPr>
          <w:rFonts w:ascii="標楷體" w:hAnsi="標楷體" w:eastAsia="標楷體"/>
          <w:sz w:val="28"/>
        </w:rPr>
        <w:t>（</w:t>
      </w:r>
      <w:r>
        <w:rPr>
          <w:rFonts w:eastAsia="標楷體" w:ascii="標楷體" w:hAnsi="標楷體"/>
          <w:sz w:val="28"/>
        </w:rPr>
        <w:t>11</w:t>
      </w:r>
      <w:r>
        <w:rPr>
          <w:rFonts w:ascii="標楷體" w:hAnsi="標楷體" w:eastAsia="標楷體"/>
          <w:sz w:val="28"/>
        </w:rPr>
        <w:t>）</w:t>
      </w:r>
      <w:r>
        <w:rPr>
          <w:rFonts w:eastAsia="標楷體" w:ascii="標楷體" w:hAnsi="標楷體"/>
          <w:sz w:val="28"/>
        </w:rPr>
        <w:t>3</w:t>
      </w:r>
      <w:r>
        <w:rPr>
          <w:rFonts w:ascii="標楷體" w:hAnsi="標楷體" w:eastAsia="標楷體"/>
          <w:sz w:val="28"/>
        </w:rPr>
        <w:t>，</w:t>
      </w:r>
      <w:r>
        <w:rPr>
          <w:rFonts w:eastAsia="標楷體" w:ascii="標楷體" w:hAnsi="標楷體"/>
          <w:sz w:val="28"/>
        </w:rPr>
        <w:t>p.</w:t>
      </w:r>
      <w:r>
        <w:rPr>
          <w:rFonts w:eastAsia="標楷體" w:ascii="標楷體" w:hAnsi="標楷體"/>
          <w:sz w:val="28"/>
        </w:rPr>
        <w:t>17</w:t>
      </w:r>
      <w:r>
        <w:rPr>
          <w:rFonts w:ascii="標楷體" w:hAnsi="標楷體" w:eastAsia="標楷體"/>
          <w:sz w:val="28"/>
        </w:rPr>
        <w:t>～</w:t>
      </w:r>
      <w:r>
        <w:rPr>
          <w:rFonts w:eastAsia="標楷體" w:ascii="標楷體" w:hAnsi="標楷體"/>
          <w:sz w:val="28"/>
        </w:rPr>
        <w:t>18</w:t>
      </w:r>
      <w:r>
        <w:rPr>
          <w:rFonts w:ascii="標楷體" w:hAnsi="標楷體" w:eastAsia="標楷體"/>
          <w:sz w:val="28"/>
        </w:rPr>
        <w:t>，</w:t>
      </w:r>
      <w:r>
        <w:rPr>
          <w:rFonts w:eastAsia="標楷體" w:ascii="標楷體" w:hAnsi="標楷體"/>
          <w:sz w:val="28"/>
        </w:rPr>
        <w:t>1994</w:t>
      </w:r>
      <w:r>
        <w:rPr>
          <w:rFonts w:ascii="標楷體" w:hAnsi="標楷體" w:eastAsia="標楷體"/>
          <w:sz w:val="28"/>
        </w:rPr>
        <w:t>。</w:t>
      </w:r>
    </w:p>
    <w:p>
      <w:pPr>
        <w:pStyle w:val="Normal"/>
        <w:snapToGrid w:val="false"/>
        <w:spacing w:lineRule="atLeast" w:line="20"/>
        <w:rPr/>
      </w:pPr>
      <w:r>
        <w:rPr>
          <w:rFonts w:eastAsia="標楷體" w:ascii="標楷體" w:hAnsi="標楷體"/>
          <w:sz w:val="28"/>
        </w:rPr>
        <w:t>9</w:t>
      </w:r>
      <w:r>
        <w:rPr>
          <w:rFonts w:eastAsia="標楷體" w:ascii="標楷體" w:hAnsi="標楷體"/>
          <w:sz w:val="28"/>
        </w:rPr>
        <w:t>2.</w:t>
      </w:r>
      <w:r>
        <w:rPr>
          <w:rFonts w:ascii="標楷體" w:hAnsi="標楷體" w:eastAsia="標楷體"/>
          <w:sz w:val="28"/>
        </w:rPr>
        <w:t>徐大基、李奮，難治性腎病綜合癥的中醫治療進展，遼寧中醫雜</w:t>
      </w:r>
    </w:p>
    <w:p>
      <w:pPr>
        <w:pStyle w:val="Normal"/>
        <w:snapToGrid w:val="false"/>
        <w:spacing w:lineRule="atLeast" w:line="20"/>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誌，（</w:t>
      </w:r>
      <w:r>
        <w:rPr>
          <w:rFonts w:eastAsia="標楷體" w:ascii="標楷體" w:hAnsi="標楷體"/>
          <w:sz w:val="28"/>
        </w:rPr>
        <w:t>25</w:t>
      </w:r>
      <w:r>
        <w:rPr>
          <w:rFonts w:ascii="標楷體" w:hAnsi="標楷體" w:eastAsia="標楷體"/>
          <w:sz w:val="28"/>
        </w:rPr>
        <w:t>）</w:t>
      </w:r>
      <w:r>
        <w:rPr>
          <w:rFonts w:eastAsia="標楷體" w:ascii="標楷體" w:hAnsi="標楷體"/>
          <w:sz w:val="28"/>
        </w:rPr>
        <w:t>11</w:t>
      </w:r>
      <w:r>
        <w:rPr>
          <w:rFonts w:ascii="標楷體" w:hAnsi="標楷體" w:eastAsia="標楷體"/>
          <w:sz w:val="28"/>
        </w:rPr>
        <w:t>，</w:t>
      </w:r>
      <w:r>
        <w:rPr>
          <w:rFonts w:eastAsia="標楷體" w:ascii="標楷體" w:hAnsi="標楷體"/>
          <w:sz w:val="28"/>
        </w:rPr>
        <w:t>541</w:t>
      </w:r>
      <w:r>
        <w:rPr>
          <w:rFonts w:ascii="標楷體" w:hAnsi="標楷體" w:eastAsia="標楷體"/>
          <w:sz w:val="28"/>
        </w:rPr>
        <w:t>～</w:t>
      </w:r>
      <w:r>
        <w:rPr>
          <w:rFonts w:eastAsia="標楷體" w:ascii="標楷體" w:hAnsi="標楷體"/>
          <w:sz w:val="28"/>
        </w:rPr>
        <w:t>542</w:t>
      </w:r>
      <w:r>
        <w:rPr>
          <w:rFonts w:ascii="標楷體" w:hAnsi="標楷體" w:eastAsia="標楷體"/>
          <w:sz w:val="28"/>
        </w:rPr>
        <w:t>，</w:t>
      </w:r>
      <w:r>
        <w:rPr>
          <w:rFonts w:eastAsia="標楷體" w:ascii="標楷體" w:hAnsi="標楷體"/>
          <w:sz w:val="28"/>
        </w:rPr>
        <w:t>1998</w:t>
      </w:r>
      <w:r>
        <w:rPr>
          <w:rFonts w:ascii="標楷體" w:hAnsi="標楷體" w:eastAsia="標楷體"/>
          <w:sz w:val="28"/>
        </w:rPr>
        <w:t>。</w:t>
      </w:r>
    </w:p>
    <w:p>
      <w:pPr>
        <w:pStyle w:val="Normal"/>
        <w:snapToGrid w:val="false"/>
        <w:spacing w:lineRule="atLeast" w:line="20"/>
        <w:rPr/>
      </w:pPr>
      <w:r>
        <w:rPr>
          <w:rFonts w:eastAsia="標楷體" w:ascii="標楷體" w:hAnsi="標楷體"/>
          <w:sz w:val="28"/>
        </w:rPr>
        <w:t>93</w:t>
      </w:r>
      <w:r>
        <w:rPr>
          <w:rFonts w:eastAsia="標楷體" w:ascii="標楷體" w:hAnsi="標楷體"/>
          <w:sz w:val="28"/>
        </w:rPr>
        <w:t>.</w:t>
      </w:r>
      <w:r>
        <w:rPr>
          <w:rFonts w:ascii="標楷體" w:hAnsi="標楷體" w:eastAsia="標楷體"/>
          <w:sz w:val="28"/>
        </w:rPr>
        <w:t>傳玉素、倪青，時振聲教授治療難治性腎病綜合癥的經驗，新中</w:t>
      </w:r>
    </w:p>
    <w:p>
      <w:pPr>
        <w:pStyle w:val="Normal"/>
        <w:snapToGrid w:val="false"/>
        <w:spacing w:lineRule="atLeast" w:line="20"/>
        <w:rPr/>
      </w:pPr>
      <w:r>
        <w:rPr>
          <w:rFonts w:eastAsia="標楷體" w:cs="標楷體" w:ascii="標楷體" w:hAnsi="標楷體"/>
          <w:sz w:val="28"/>
        </w:rPr>
        <w:t xml:space="preserve">   </w:t>
      </w:r>
      <w:r>
        <w:rPr>
          <w:rFonts w:ascii="標楷體" w:hAnsi="標楷體" w:eastAsia="標楷體"/>
          <w:sz w:val="28"/>
        </w:rPr>
        <w:t>醫，（</w:t>
      </w:r>
      <w:r>
        <w:rPr>
          <w:rFonts w:eastAsia="標楷體" w:ascii="標楷體" w:hAnsi="標楷體"/>
          <w:sz w:val="28"/>
        </w:rPr>
        <w:t>30</w:t>
      </w:r>
      <w:r>
        <w:rPr>
          <w:rFonts w:ascii="標楷體" w:hAnsi="標楷體" w:eastAsia="標楷體"/>
          <w:sz w:val="28"/>
        </w:rPr>
        <w:t>）</w:t>
      </w:r>
      <w:r>
        <w:rPr>
          <w:rFonts w:eastAsia="標楷體" w:ascii="標楷體" w:hAnsi="標楷體"/>
          <w:sz w:val="28"/>
        </w:rPr>
        <w:t>11</w:t>
      </w:r>
      <w:r>
        <w:rPr>
          <w:rFonts w:ascii="標楷體" w:hAnsi="標楷體" w:eastAsia="標楷體"/>
          <w:sz w:val="28"/>
        </w:rPr>
        <w:t>，</w:t>
      </w:r>
      <w:r>
        <w:rPr>
          <w:rFonts w:eastAsia="標楷體" w:ascii="標楷體" w:hAnsi="標楷體"/>
          <w:sz w:val="28"/>
        </w:rPr>
        <w:t>p.</w:t>
      </w:r>
      <w:r>
        <w:rPr>
          <w:rFonts w:eastAsia="標楷體" w:ascii="標楷體" w:hAnsi="標楷體"/>
          <w:sz w:val="28"/>
        </w:rPr>
        <w:t>7</w:t>
      </w:r>
      <w:r>
        <w:rPr>
          <w:rFonts w:ascii="標楷體" w:hAnsi="標楷體" w:eastAsia="標楷體"/>
          <w:sz w:val="28"/>
        </w:rPr>
        <w:t>～</w:t>
      </w:r>
      <w:r>
        <w:rPr>
          <w:rFonts w:eastAsia="標楷體" w:ascii="標楷體" w:hAnsi="標楷體"/>
          <w:sz w:val="28"/>
        </w:rPr>
        <w:t>8</w:t>
      </w:r>
      <w:r>
        <w:rPr>
          <w:rFonts w:ascii="標楷體" w:hAnsi="標楷體" w:eastAsia="標楷體"/>
          <w:sz w:val="28"/>
        </w:rPr>
        <w:t>，</w:t>
      </w:r>
      <w:r>
        <w:rPr>
          <w:rFonts w:eastAsia="標楷體" w:ascii="標楷體" w:hAnsi="標楷體"/>
          <w:sz w:val="28"/>
        </w:rPr>
        <w:t>1998</w:t>
      </w:r>
      <w:r>
        <w:rPr>
          <w:rFonts w:ascii="標楷體" w:hAnsi="標楷體" w:eastAsia="標楷體"/>
          <w:sz w:val="28"/>
        </w:rPr>
        <w:t>。</w:t>
      </w:r>
    </w:p>
    <w:p>
      <w:pPr>
        <w:pStyle w:val="Normal"/>
        <w:snapToGrid w:val="false"/>
        <w:spacing w:lineRule="atLeast" w:line="20"/>
        <w:rPr/>
      </w:pPr>
      <w:r>
        <w:rPr>
          <w:rFonts w:eastAsia="標楷體" w:ascii="標楷體" w:hAnsi="標楷體"/>
          <w:sz w:val="28"/>
        </w:rPr>
        <w:t>94</w:t>
      </w:r>
      <w:r>
        <w:rPr>
          <w:rFonts w:eastAsia="標楷體" w:ascii="標楷體" w:hAnsi="標楷體"/>
          <w:sz w:val="28"/>
        </w:rPr>
        <w:t>.</w:t>
      </w:r>
      <w:r>
        <w:rPr>
          <w:rFonts w:ascii="標楷體" w:hAnsi="標楷體" w:eastAsia="標楷體"/>
          <w:sz w:val="28"/>
        </w:rPr>
        <w:t>張振忠、張英，腎病綜合癥中醫臨床研究進展，陝西中醫函授，</w:t>
      </w:r>
    </w:p>
    <w:p>
      <w:pPr>
        <w:pStyle w:val="Normal"/>
        <w:snapToGrid w:val="false"/>
        <w:spacing w:lineRule="atLeast" w:line="20"/>
        <w:rPr/>
      </w:pPr>
      <w:r>
        <w:rPr>
          <w:rFonts w:eastAsia="標楷體" w:cs="標楷體" w:ascii="標楷體" w:hAnsi="標楷體"/>
          <w:sz w:val="28"/>
        </w:rPr>
        <w:t xml:space="preserve">   </w:t>
      </w:r>
      <w:r>
        <w:rPr>
          <w:rFonts w:eastAsia="標楷體" w:ascii="標楷體" w:hAnsi="標楷體"/>
          <w:sz w:val="28"/>
        </w:rPr>
        <w:t>3</w:t>
      </w:r>
      <w:r>
        <w:rPr>
          <w:rFonts w:ascii="標楷體" w:hAnsi="標楷體" w:eastAsia="標楷體"/>
          <w:sz w:val="28"/>
        </w:rPr>
        <w:t>，</w:t>
      </w:r>
      <w:r>
        <w:rPr>
          <w:rFonts w:eastAsia="標楷體" w:ascii="標楷體" w:hAnsi="標楷體"/>
          <w:sz w:val="28"/>
        </w:rPr>
        <w:t>p.4</w:t>
      </w:r>
      <w:r>
        <w:rPr>
          <w:rFonts w:eastAsia="標楷體" w:ascii="標楷體" w:hAnsi="標楷體"/>
          <w:sz w:val="28"/>
        </w:rPr>
        <w:t>5</w:t>
      </w:r>
      <w:r>
        <w:rPr>
          <w:rFonts w:ascii="標楷體" w:hAnsi="標楷體" w:eastAsia="標楷體"/>
          <w:sz w:val="28"/>
        </w:rPr>
        <w:t>～</w:t>
      </w:r>
      <w:r>
        <w:rPr>
          <w:rFonts w:eastAsia="標楷體" w:ascii="標楷體" w:hAnsi="標楷體"/>
          <w:sz w:val="28"/>
        </w:rPr>
        <w:t>46</w:t>
      </w:r>
      <w:r>
        <w:rPr>
          <w:rFonts w:ascii="標楷體" w:hAnsi="標楷體" w:eastAsia="標楷體"/>
          <w:sz w:val="28"/>
        </w:rPr>
        <w:t>，</w:t>
      </w:r>
      <w:r>
        <w:rPr>
          <w:rFonts w:eastAsia="標楷體" w:ascii="標楷體" w:hAnsi="標楷體"/>
          <w:sz w:val="28"/>
        </w:rPr>
        <w:t>1998</w:t>
      </w:r>
      <w:r>
        <w:rPr>
          <w:rFonts w:ascii="標楷體" w:hAnsi="標楷體" w:eastAsia="標楷體"/>
          <w:sz w:val="28"/>
        </w:rPr>
        <w:t>。</w:t>
      </w:r>
    </w:p>
    <w:p>
      <w:pPr>
        <w:pStyle w:val="Normal"/>
        <w:snapToGrid w:val="false"/>
        <w:spacing w:lineRule="atLeast" w:line="20"/>
        <w:rPr/>
      </w:pPr>
      <w:r>
        <w:rPr>
          <w:rFonts w:eastAsia="標楷體" w:ascii="標楷體" w:hAnsi="標楷體"/>
          <w:sz w:val="28"/>
        </w:rPr>
        <w:t>95</w:t>
      </w:r>
      <w:r>
        <w:rPr>
          <w:rFonts w:eastAsia="標楷體" w:ascii="標楷體" w:hAnsi="標楷體"/>
          <w:sz w:val="28"/>
        </w:rPr>
        <w:t>.</w:t>
      </w:r>
      <w:r>
        <w:rPr>
          <w:rFonts w:ascii="標楷體" w:hAnsi="標楷體" w:eastAsia="標楷體"/>
          <w:sz w:val="28"/>
        </w:rPr>
        <w:t>錢桐蓀，腎病綜合癥治療的某些新觀念，實用內科雜誌，（</w:t>
      </w:r>
      <w:r>
        <w:rPr>
          <w:rFonts w:eastAsia="標楷體" w:ascii="標楷體" w:hAnsi="標楷體"/>
          <w:sz w:val="28"/>
        </w:rPr>
        <w:t>11</w:t>
      </w:r>
      <w:r>
        <w:rPr>
          <w:rFonts w:ascii="標楷體" w:hAnsi="標楷體" w:eastAsia="標楷體"/>
          <w:sz w:val="28"/>
        </w:rPr>
        <w:t>）</w:t>
      </w:r>
      <w:r>
        <w:rPr>
          <w:rFonts w:eastAsia="標楷體" w:ascii="標楷體" w:hAnsi="標楷體"/>
          <w:sz w:val="28"/>
        </w:rPr>
        <w:t>5</w:t>
      </w:r>
      <w:r>
        <w:rPr>
          <w:rFonts w:ascii="標楷體" w:hAnsi="標楷體" w:eastAsia="標楷體"/>
          <w:sz w:val="28"/>
        </w:rPr>
        <w:t>，</w:t>
      </w:r>
    </w:p>
    <w:p>
      <w:pPr>
        <w:pStyle w:val="Normal"/>
        <w:snapToGrid w:val="false"/>
        <w:spacing w:lineRule="atLeast" w:line="20"/>
        <w:rPr>
          <w:rFonts w:ascii="標楷體" w:hAnsi="標楷體" w:eastAsia="標楷體"/>
          <w:sz w:val="28"/>
        </w:rPr>
      </w:pPr>
      <w:r>
        <w:rPr>
          <w:rFonts w:eastAsia="標楷體" w:cs="標楷體" w:ascii="標楷體" w:hAnsi="標楷體"/>
          <w:sz w:val="28"/>
        </w:rPr>
        <w:t xml:space="preserve">   </w:t>
      </w:r>
      <w:r>
        <w:rPr>
          <w:rFonts w:eastAsia="標楷體" w:ascii="標楷體" w:hAnsi="標楷體"/>
          <w:sz w:val="28"/>
        </w:rPr>
        <w:t>p.</w:t>
      </w:r>
      <w:r>
        <w:rPr>
          <w:rFonts w:eastAsia="標楷體" w:ascii="標楷體" w:hAnsi="標楷體"/>
          <w:sz w:val="28"/>
        </w:rPr>
        <w:t>175</w:t>
      </w:r>
      <w:r>
        <w:rPr>
          <w:rFonts w:ascii="標楷體" w:hAnsi="標楷體" w:eastAsia="標楷體"/>
          <w:sz w:val="28"/>
        </w:rPr>
        <w:t>～</w:t>
      </w:r>
      <w:r>
        <w:rPr>
          <w:rFonts w:eastAsia="標楷體" w:ascii="標楷體" w:hAnsi="標楷體"/>
          <w:sz w:val="28"/>
        </w:rPr>
        <w:t>276</w:t>
      </w:r>
      <w:r>
        <w:rPr>
          <w:rFonts w:ascii="標楷體" w:hAnsi="標楷體" w:eastAsia="標楷體"/>
          <w:sz w:val="28"/>
        </w:rPr>
        <w:t>，</w:t>
      </w:r>
      <w:r>
        <w:rPr>
          <w:rFonts w:eastAsia="標楷體" w:ascii="標楷體" w:hAnsi="標楷體"/>
          <w:sz w:val="28"/>
        </w:rPr>
        <w:t>1991</w:t>
      </w:r>
      <w:r>
        <w:rPr>
          <w:rFonts w:ascii="標楷體" w:hAnsi="標楷體" w:eastAsia="標楷體"/>
          <w:sz w:val="28"/>
        </w:rPr>
        <w:t>。</w:t>
      </w:r>
    </w:p>
    <w:p>
      <w:pPr>
        <w:pStyle w:val="Normal"/>
        <w:snapToGrid w:val="false"/>
        <w:spacing w:lineRule="atLeast" w:line="20"/>
        <w:rPr/>
      </w:pPr>
      <w:r>
        <w:rPr>
          <w:rFonts w:eastAsia="標楷體" w:ascii="標楷體" w:hAnsi="標楷體"/>
          <w:sz w:val="28"/>
        </w:rPr>
        <w:t>96</w:t>
      </w:r>
      <w:r>
        <w:rPr>
          <w:rFonts w:eastAsia="標楷體" w:ascii="標楷體" w:hAnsi="標楷體"/>
          <w:sz w:val="28"/>
        </w:rPr>
        <w:t>.</w:t>
      </w:r>
      <w:r>
        <w:rPr>
          <w:rFonts w:ascii="標楷體" w:hAnsi="標楷體" w:eastAsia="標楷體"/>
          <w:sz w:val="28"/>
        </w:rPr>
        <w:t>施賽珠，中西醫結合治療腎病綜合癥的臨床分析，中醫雜誌，</w:t>
      </w:r>
      <w:r>
        <w:rPr>
          <w:rFonts w:eastAsia="標楷體" w:ascii="標楷體" w:hAnsi="標楷體"/>
          <w:sz w:val="28"/>
        </w:rPr>
        <w:t>4</w:t>
      </w:r>
      <w:r>
        <w:rPr>
          <w:rFonts w:ascii="標楷體" w:hAnsi="標楷體" w:eastAsia="標楷體"/>
          <w:sz w:val="28"/>
        </w:rPr>
        <w:t>，</w:t>
      </w:r>
    </w:p>
    <w:p>
      <w:pPr>
        <w:pStyle w:val="Normal"/>
        <w:snapToGrid w:val="false"/>
        <w:spacing w:lineRule="atLeast" w:line="20"/>
        <w:rPr/>
      </w:pPr>
      <w:r>
        <w:rPr>
          <w:rFonts w:eastAsia="標楷體" w:cs="標楷體" w:ascii="標楷體" w:hAnsi="標楷體"/>
          <w:sz w:val="28"/>
        </w:rPr>
        <w:t xml:space="preserve">   </w:t>
      </w:r>
      <w:r>
        <w:rPr>
          <w:rFonts w:eastAsia="標楷體" w:ascii="標楷體" w:hAnsi="標楷體"/>
          <w:sz w:val="28"/>
        </w:rPr>
        <w:t>p.</w:t>
      </w:r>
      <w:r>
        <w:rPr>
          <w:rFonts w:eastAsia="標楷體" w:ascii="標楷體" w:hAnsi="標楷體"/>
          <w:sz w:val="28"/>
        </w:rPr>
        <w:t>34</w:t>
      </w:r>
      <w:r>
        <w:rPr>
          <w:rFonts w:ascii="標楷體" w:hAnsi="標楷體" w:eastAsia="標楷體"/>
          <w:sz w:val="28"/>
        </w:rPr>
        <w:t>～</w:t>
      </w:r>
      <w:r>
        <w:rPr>
          <w:rFonts w:eastAsia="標楷體" w:ascii="標楷體" w:hAnsi="標楷體"/>
          <w:sz w:val="28"/>
        </w:rPr>
        <w:t>36</w:t>
      </w:r>
      <w:r>
        <w:rPr>
          <w:rFonts w:ascii="標楷體" w:hAnsi="標楷體" w:eastAsia="標楷體"/>
          <w:sz w:val="28"/>
        </w:rPr>
        <w:t>，</w:t>
      </w:r>
      <w:r>
        <w:rPr>
          <w:rFonts w:eastAsia="標楷體" w:ascii="標楷體" w:hAnsi="標楷體"/>
          <w:sz w:val="28"/>
        </w:rPr>
        <w:t>1991</w:t>
      </w:r>
      <w:r>
        <w:rPr>
          <w:rFonts w:ascii="標楷體" w:hAnsi="標楷體" w:eastAsia="標楷體"/>
          <w:sz w:val="28"/>
        </w:rPr>
        <w:t>。</w:t>
      </w:r>
    </w:p>
    <w:p>
      <w:pPr>
        <w:pStyle w:val="Normal"/>
        <w:snapToGrid w:val="false"/>
        <w:spacing w:lineRule="atLeast" w:line="20"/>
        <w:rPr/>
      </w:pPr>
      <w:r>
        <w:rPr>
          <w:rFonts w:eastAsia="標楷體" w:ascii="標楷體" w:hAnsi="標楷體"/>
          <w:sz w:val="28"/>
        </w:rPr>
        <w:t>97</w:t>
      </w:r>
      <w:r>
        <w:rPr>
          <w:rFonts w:eastAsia="標楷體" w:ascii="標楷體" w:hAnsi="標楷體"/>
          <w:sz w:val="28"/>
        </w:rPr>
        <w:t>.</w:t>
      </w:r>
      <w:r>
        <w:rPr>
          <w:rFonts w:ascii="標楷體" w:hAnsi="標楷體" w:eastAsia="標楷體"/>
          <w:sz w:val="28"/>
        </w:rPr>
        <w:t>周民權、張穎娟，中西醫結合治療腎病綜合癥</w:t>
      </w:r>
      <w:r>
        <w:rPr>
          <w:rFonts w:eastAsia="標楷體" w:ascii="標楷體" w:hAnsi="標楷體"/>
          <w:sz w:val="28"/>
        </w:rPr>
        <w:t>II</w:t>
      </w:r>
      <w:r>
        <w:rPr>
          <w:rFonts w:ascii="標楷體" w:hAnsi="標楷體" w:eastAsia="標楷體"/>
          <w:sz w:val="28"/>
        </w:rPr>
        <w:t>型的體會，黑</w:t>
      </w:r>
    </w:p>
    <w:p>
      <w:pPr>
        <w:pStyle w:val="Normal"/>
        <w:snapToGrid w:val="false"/>
        <w:spacing w:lineRule="atLeast" w:line="20"/>
        <w:rPr/>
      </w:pPr>
      <w:r>
        <w:rPr>
          <w:rFonts w:eastAsia="標楷體" w:cs="標楷體" w:ascii="標楷體" w:hAnsi="標楷體"/>
          <w:sz w:val="28"/>
        </w:rPr>
        <w:t xml:space="preserve">   </w:t>
      </w:r>
      <w:r>
        <w:rPr>
          <w:rFonts w:ascii="標楷體" w:hAnsi="標楷體" w:eastAsia="標楷體"/>
          <w:sz w:val="28"/>
        </w:rPr>
        <w:t>龍江中醫藥，</w:t>
      </w:r>
      <w:r>
        <w:rPr>
          <w:rFonts w:eastAsia="標楷體" w:ascii="標楷體" w:hAnsi="標楷體"/>
          <w:sz w:val="28"/>
        </w:rPr>
        <w:t>2</w:t>
      </w:r>
      <w:r>
        <w:rPr>
          <w:rFonts w:ascii="標楷體" w:hAnsi="標楷體" w:eastAsia="標楷體"/>
          <w:sz w:val="28"/>
        </w:rPr>
        <w:t>，</w:t>
      </w:r>
      <w:r>
        <w:rPr>
          <w:rFonts w:eastAsia="標楷體" w:ascii="標楷體" w:hAnsi="標楷體"/>
          <w:sz w:val="28"/>
        </w:rPr>
        <w:t>P.</w:t>
      </w:r>
      <w:r>
        <w:rPr>
          <w:rFonts w:eastAsia="標楷體" w:ascii="標楷體" w:hAnsi="標楷體"/>
          <w:sz w:val="28"/>
        </w:rPr>
        <w:t>8</w:t>
      </w:r>
      <w:r>
        <w:rPr>
          <w:rFonts w:ascii="標楷體" w:hAnsi="標楷體" w:eastAsia="標楷體"/>
          <w:sz w:val="28"/>
        </w:rPr>
        <w:t>～</w:t>
      </w:r>
      <w:r>
        <w:rPr>
          <w:rFonts w:eastAsia="標楷體" w:ascii="標楷體" w:hAnsi="標楷體"/>
          <w:sz w:val="28"/>
        </w:rPr>
        <w:t>10</w:t>
      </w:r>
      <w:r>
        <w:rPr>
          <w:rFonts w:ascii="標楷體" w:hAnsi="標楷體" w:eastAsia="標楷體"/>
          <w:sz w:val="28"/>
        </w:rPr>
        <w:t>，</w:t>
      </w:r>
      <w:r>
        <w:rPr>
          <w:rFonts w:eastAsia="標楷體" w:ascii="標楷體" w:hAnsi="標楷體"/>
          <w:sz w:val="28"/>
        </w:rPr>
        <w:t>1997</w:t>
      </w:r>
      <w:r>
        <w:rPr>
          <w:rFonts w:ascii="標楷體" w:hAnsi="標楷體" w:eastAsia="標楷體"/>
          <w:sz w:val="28"/>
        </w:rPr>
        <w:t>。</w:t>
      </w:r>
    </w:p>
    <w:p>
      <w:pPr>
        <w:pStyle w:val="Normal"/>
        <w:snapToGrid w:val="false"/>
        <w:spacing w:lineRule="atLeast" w:line="20"/>
        <w:rPr/>
      </w:pPr>
      <w:r>
        <w:rPr>
          <w:rFonts w:eastAsia="標楷體" w:ascii="標楷體" w:hAnsi="標楷體"/>
          <w:sz w:val="28"/>
        </w:rPr>
        <w:t>98</w:t>
      </w:r>
      <w:r>
        <w:rPr>
          <w:rFonts w:eastAsia="標楷體" w:ascii="標楷體" w:hAnsi="標楷體"/>
          <w:sz w:val="28"/>
        </w:rPr>
        <w:t>.</w:t>
      </w:r>
      <w:r>
        <w:rPr>
          <w:rFonts w:ascii="標楷體" w:hAnsi="標楷體" w:eastAsia="標楷體"/>
          <w:sz w:val="28"/>
        </w:rPr>
        <w:t>楊霽云，小兒腎病綜合癥的某些進展，實用兒科臨床雜誌，（</w:t>
      </w:r>
      <w:r>
        <w:rPr>
          <w:rFonts w:eastAsia="標楷體" w:ascii="標楷體" w:hAnsi="標楷體"/>
          <w:sz w:val="28"/>
        </w:rPr>
        <w:t>7</w:t>
      </w:r>
      <w:r>
        <w:rPr>
          <w:rFonts w:ascii="標楷體" w:hAnsi="標楷體" w:eastAsia="標楷體"/>
          <w:sz w:val="28"/>
        </w:rPr>
        <w:t>）</w:t>
      </w:r>
    </w:p>
    <w:p>
      <w:pPr>
        <w:pStyle w:val="Normal"/>
        <w:snapToGrid w:val="false"/>
        <w:spacing w:lineRule="atLeast" w:line="20"/>
        <w:rPr/>
      </w:pPr>
      <w:r>
        <w:rPr>
          <w:rFonts w:eastAsia="標楷體" w:cs="標楷體" w:ascii="標楷體" w:hAnsi="標楷體"/>
          <w:sz w:val="28"/>
        </w:rPr>
        <w:t xml:space="preserve">   </w:t>
      </w:r>
      <w:r>
        <w:rPr>
          <w:rFonts w:eastAsia="標楷體" w:ascii="標楷體" w:hAnsi="標楷體"/>
          <w:sz w:val="28"/>
        </w:rPr>
        <w:t>2</w:t>
      </w:r>
      <w:r>
        <w:rPr>
          <w:rFonts w:ascii="標楷體" w:hAnsi="標楷體" w:eastAsia="標楷體"/>
          <w:sz w:val="28"/>
        </w:rPr>
        <w:t>，</w:t>
      </w:r>
      <w:r>
        <w:rPr>
          <w:rFonts w:eastAsia="標楷體" w:ascii="標楷體" w:hAnsi="標楷體"/>
          <w:sz w:val="28"/>
        </w:rPr>
        <w:t>p.</w:t>
      </w:r>
      <w:r>
        <w:rPr>
          <w:rFonts w:eastAsia="標楷體" w:ascii="標楷體" w:hAnsi="標楷體"/>
          <w:sz w:val="28"/>
        </w:rPr>
        <w:t>89</w:t>
      </w:r>
      <w:r>
        <w:rPr>
          <w:rFonts w:ascii="標楷體" w:hAnsi="標楷體" w:eastAsia="標楷體"/>
          <w:sz w:val="28"/>
        </w:rPr>
        <w:t>～</w:t>
      </w:r>
      <w:r>
        <w:rPr>
          <w:rFonts w:eastAsia="標楷體" w:ascii="標楷體" w:hAnsi="標楷體"/>
          <w:sz w:val="28"/>
        </w:rPr>
        <w:t>90</w:t>
      </w:r>
      <w:r>
        <w:rPr>
          <w:rFonts w:ascii="標楷體" w:hAnsi="標楷體" w:eastAsia="標楷體"/>
          <w:sz w:val="28"/>
        </w:rPr>
        <w:t>，</w:t>
      </w:r>
      <w:r>
        <w:rPr>
          <w:rFonts w:eastAsia="標楷體" w:ascii="標楷體" w:hAnsi="標楷體"/>
          <w:sz w:val="28"/>
        </w:rPr>
        <w:t>1992</w:t>
      </w:r>
      <w:r>
        <w:rPr>
          <w:rFonts w:ascii="標楷體" w:hAnsi="標楷體" w:eastAsia="標楷體"/>
          <w:sz w:val="28"/>
        </w:rPr>
        <w:t>。</w:t>
      </w:r>
    </w:p>
    <w:p>
      <w:pPr>
        <w:pStyle w:val="Normal"/>
        <w:snapToGrid w:val="false"/>
        <w:spacing w:lineRule="atLeast" w:line="20"/>
        <w:rPr/>
      </w:pPr>
      <w:r>
        <w:rPr>
          <w:rFonts w:eastAsia="標楷體" w:ascii="標楷體" w:hAnsi="標楷體"/>
          <w:sz w:val="28"/>
        </w:rPr>
        <w:t>99.</w:t>
      </w:r>
      <w:r>
        <w:rPr>
          <w:rFonts w:ascii="標楷體" w:hAnsi="標楷體" w:eastAsia="標楷體"/>
          <w:sz w:val="28"/>
        </w:rPr>
        <w:t>方畇霏，淺談腎病綜合癥的辯證施護，中國中醫急症，（</w:t>
      </w:r>
      <w:r>
        <w:rPr>
          <w:rFonts w:eastAsia="標楷體" w:ascii="標楷體" w:hAnsi="標楷體"/>
          <w:sz w:val="28"/>
        </w:rPr>
        <w:t>8</w:t>
      </w:r>
      <w:r>
        <w:rPr>
          <w:rFonts w:ascii="標楷體" w:hAnsi="標楷體" w:eastAsia="標楷體"/>
          <w:sz w:val="28"/>
        </w:rPr>
        <w:t>）</w:t>
      </w:r>
      <w:r>
        <w:rPr>
          <w:rFonts w:eastAsia="標楷體" w:ascii="標楷體" w:hAnsi="標楷體"/>
          <w:sz w:val="28"/>
        </w:rPr>
        <w:t>2</w:t>
      </w:r>
      <w:r>
        <w:rPr>
          <w:rFonts w:ascii="標楷體" w:hAnsi="標楷體" w:eastAsia="標楷體"/>
          <w:sz w:val="28"/>
        </w:rPr>
        <w:t>，</w:t>
      </w:r>
    </w:p>
    <w:p>
      <w:pPr>
        <w:pStyle w:val="Normal"/>
        <w:snapToGrid w:val="false"/>
        <w:spacing w:lineRule="atLeast" w:line="20"/>
        <w:rPr/>
      </w:pPr>
      <w:r>
        <w:rPr>
          <w:rFonts w:eastAsia="標楷體" w:cs="標楷體" w:ascii="標楷體" w:hAnsi="標楷體"/>
          <w:sz w:val="28"/>
        </w:rPr>
        <w:t xml:space="preserve">   </w:t>
      </w:r>
      <w:r>
        <w:rPr>
          <w:rFonts w:eastAsia="標楷體" w:ascii="標楷體" w:hAnsi="標楷體"/>
          <w:sz w:val="28"/>
        </w:rPr>
        <w:t>p.</w:t>
      </w:r>
      <w:r>
        <w:rPr>
          <w:rFonts w:eastAsia="標楷體" w:ascii="標楷體" w:hAnsi="標楷體"/>
          <w:sz w:val="28"/>
        </w:rPr>
        <w:t>88</w:t>
      </w:r>
      <w:r>
        <w:rPr>
          <w:rFonts w:ascii="標楷體" w:hAnsi="標楷體" w:eastAsia="標楷體"/>
          <w:sz w:val="28"/>
        </w:rPr>
        <w:t>～</w:t>
      </w:r>
      <w:r>
        <w:rPr>
          <w:rFonts w:eastAsia="標楷體" w:ascii="標楷體" w:hAnsi="標楷體"/>
          <w:sz w:val="28"/>
        </w:rPr>
        <w:t>89</w:t>
      </w:r>
      <w:r>
        <w:rPr>
          <w:rFonts w:ascii="標楷體" w:hAnsi="標楷體" w:eastAsia="標楷體"/>
          <w:sz w:val="28"/>
        </w:rPr>
        <w:t>，</w:t>
      </w:r>
      <w:r>
        <w:rPr>
          <w:rFonts w:eastAsia="標楷體" w:ascii="標楷體" w:hAnsi="標楷體"/>
          <w:sz w:val="28"/>
        </w:rPr>
        <w:t>1999</w:t>
      </w:r>
      <w:r>
        <w:rPr>
          <w:rFonts w:ascii="標楷體" w:hAnsi="標楷體" w:eastAsia="標楷體"/>
          <w:sz w:val="28"/>
        </w:rPr>
        <w:t>。</w:t>
      </w:r>
    </w:p>
    <w:p>
      <w:pPr>
        <w:pStyle w:val="Normal"/>
        <w:snapToGrid w:val="false"/>
        <w:spacing w:lineRule="atLeast" w:line="20"/>
        <w:ind w:left="720" w:hanging="720"/>
        <w:rPr/>
      </w:pPr>
      <w:r>
        <w:rPr>
          <w:rFonts w:eastAsia="標楷體" w:ascii="標楷體" w:hAnsi="標楷體"/>
          <w:sz w:val="28"/>
        </w:rPr>
        <w:t>100</w:t>
      </w:r>
      <w:r>
        <w:rPr>
          <w:rFonts w:eastAsia="華康細圓體" w:ascii="華康細圓體" w:hAnsi="華康細圓體"/>
          <w:sz w:val="28"/>
        </w:rPr>
        <w:t>. Donald W., Gerhard G. : The kidney physiology and pathophys.iology 2</w:t>
      </w:r>
      <w:r>
        <w:rPr>
          <w:rFonts w:eastAsia="華康細圓體" w:ascii="華康細圓體" w:hAnsi="華康細圓體"/>
          <w:sz w:val="28"/>
          <w:vertAlign w:val="superscript"/>
        </w:rPr>
        <w:t>nd</w:t>
      </w:r>
      <w:r>
        <w:rPr>
          <w:rFonts w:eastAsia="華康細圓體" w:ascii="華康細圓體" w:hAnsi="華康細圓體"/>
          <w:sz w:val="28"/>
        </w:rPr>
        <w:t xml:space="preserve"> ed, Raven Press, 1995.</w:t>
      </w:r>
    </w:p>
    <w:p>
      <w:pPr>
        <w:pStyle w:val="Normal"/>
        <w:snapToGrid w:val="false"/>
        <w:ind w:left="720" w:hanging="720"/>
        <w:rPr/>
      </w:pPr>
      <w:r>
        <w:rPr>
          <w:rFonts w:eastAsia="標楷體" w:ascii="標楷體" w:hAnsi="標楷體"/>
          <w:sz w:val="28"/>
        </w:rPr>
        <w:t>101.</w:t>
      </w:r>
      <w:r>
        <w:rPr>
          <w:rFonts w:eastAsia="華康細圓體" w:ascii="華康細圓體" w:hAnsi="華康細圓體"/>
          <w:sz w:val="28"/>
        </w:rPr>
        <w:t>Glassock C. Adler : Primary glomerular diseases.  Textbook of Nephrology, 3rd ed.  Williams &amp; Wilkins, Baltimore,  pp.1423-1469, 1995.</w:t>
      </w:r>
    </w:p>
    <w:p>
      <w:pPr>
        <w:pStyle w:val="Normal"/>
        <w:snapToGrid w:val="false"/>
        <w:spacing w:lineRule="atLeast" w:line="20"/>
        <w:ind w:left="720" w:hanging="720"/>
        <w:rPr>
          <w:rFonts w:ascii="華康細圓體" w:hAnsi="華康細圓體"/>
          <w:sz w:val="28"/>
        </w:rPr>
      </w:pPr>
      <w:r>
        <w:rPr>
          <w:rFonts w:eastAsia="標楷體" w:ascii="標楷體" w:hAnsi="標楷體"/>
          <w:sz w:val="28"/>
        </w:rPr>
        <w:t>102</w:t>
      </w:r>
      <w:r>
        <w:rPr>
          <w:rFonts w:eastAsia="華康細圓體" w:ascii="華康細圓體" w:hAnsi="華康細圓體"/>
          <w:sz w:val="28"/>
        </w:rPr>
        <w:t xml:space="preserve">. </w:t>
      </w:r>
      <w:r>
        <w:rPr>
          <w:rFonts w:ascii="華康細圓體" w:hAnsi="華康細圓體"/>
          <w:sz w:val="28"/>
        </w:rPr>
        <w:t>Anthony S Fauci</w:t>
      </w:r>
      <w:r>
        <w:rPr>
          <w:rFonts w:eastAsia="超研澤細圓;細明體" w:ascii="華康細圓體" w:hAnsi="華康細圓體"/>
          <w:sz w:val="28"/>
        </w:rPr>
        <w:t xml:space="preserve"> et al: Harrison’s Principles of Internal Medicine. 14</w:t>
      </w:r>
      <w:r>
        <w:rPr>
          <w:rFonts w:eastAsia="超研澤細圓;細明體" w:ascii="華康細圓體" w:hAnsi="華康細圓體"/>
          <w:sz w:val="28"/>
          <w:vertAlign w:val="superscript"/>
        </w:rPr>
        <w:t xml:space="preserve">th  </w:t>
      </w:r>
      <w:r>
        <w:rPr>
          <w:rFonts w:eastAsia="超研澤細圓;細明體" w:ascii="華康細圓體" w:hAnsi="華康細圓體"/>
          <w:sz w:val="28"/>
        </w:rPr>
        <w:t>ed. New York : Mcgraw-Hill, 1998.</w:t>
      </w:r>
    </w:p>
    <w:p>
      <w:pPr>
        <w:pStyle w:val="Normal"/>
        <w:snapToGrid w:val="false"/>
        <w:spacing w:lineRule="atLeast" w:line="20"/>
        <w:ind w:left="720" w:hanging="720"/>
        <w:rPr>
          <w:rFonts w:ascii="華康細圓體" w:hAnsi="華康細圓體"/>
          <w:sz w:val="28"/>
        </w:rPr>
      </w:pPr>
      <w:r>
        <w:rPr>
          <w:rFonts w:eastAsia="標楷體" w:ascii="標楷體" w:hAnsi="標楷體"/>
          <w:sz w:val="28"/>
        </w:rPr>
        <w:t>103.</w:t>
      </w:r>
      <w:r>
        <w:rPr>
          <w:rFonts w:ascii="華康細圓體" w:hAnsi="華康細圓體"/>
          <w:sz w:val="28"/>
        </w:rPr>
        <w:t>Arthur C. Guyton et al : Human Physiology and Mechanism of Disease. 6</w:t>
      </w:r>
      <w:r>
        <w:rPr>
          <w:rFonts w:ascii="華康細圓體" w:hAnsi="華康細圓體"/>
          <w:sz w:val="28"/>
          <w:vertAlign w:val="superscript"/>
        </w:rPr>
        <w:t>th</w:t>
      </w:r>
      <w:r>
        <w:rPr>
          <w:rFonts w:ascii="華康細圓體" w:hAnsi="華康細圓體"/>
          <w:sz w:val="28"/>
        </w:rPr>
        <w:t xml:space="preserve"> ed.  Philadelphia : WB Saunders, pp. 229, 1997.</w:t>
      </w:r>
    </w:p>
    <w:p>
      <w:pPr>
        <w:pStyle w:val="Footnote"/>
        <w:snapToGrid w:val="false"/>
        <w:spacing w:lineRule="atLeast" w:line="20"/>
        <w:ind w:left="720" w:hanging="720"/>
        <w:rPr/>
      </w:pPr>
      <w:r>
        <w:rPr>
          <w:rFonts w:ascii="標楷體" w:hAnsi="標楷體"/>
          <w:sz w:val="28"/>
        </w:rPr>
        <w:t>104</w:t>
      </w:r>
      <w:r>
        <w:rPr>
          <w:rFonts w:ascii="華康細圓體" w:hAnsi="華康細圓體"/>
          <w:sz w:val="28"/>
        </w:rPr>
        <w:t>. Lawrence M. Tierney et al: Current Medical &amp; Treatment. 37</w:t>
      </w:r>
      <w:r>
        <w:rPr>
          <w:rFonts w:ascii="華康細圓體" w:hAnsi="華康細圓體"/>
          <w:sz w:val="28"/>
          <w:vertAlign w:val="superscript"/>
        </w:rPr>
        <w:t>th</w:t>
      </w:r>
      <w:r>
        <w:rPr>
          <w:rFonts w:ascii="華康細圓體" w:hAnsi="華康細圓體"/>
          <w:sz w:val="28"/>
        </w:rPr>
        <w:t xml:space="preserve"> ed. Stamford: Appleton &amp; Lange, 1999.</w:t>
      </w:r>
    </w:p>
    <w:p>
      <w:pPr>
        <w:pStyle w:val="Normal"/>
        <w:snapToGrid w:val="false"/>
        <w:spacing w:lineRule="atLeast" w:line="20"/>
        <w:ind w:left="720" w:hanging="720"/>
        <w:rPr/>
      </w:pPr>
      <w:r>
        <w:rPr>
          <w:rFonts w:eastAsia="超研澤細圓;細明體" w:ascii="標楷體" w:hAnsi="標楷體"/>
          <w:sz w:val="28"/>
        </w:rPr>
        <w:t>105</w:t>
      </w:r>
      <w:r>
        <w:rPr>
          <w:rFonts w:eastAsia="超研澤細圓;細明體" w:ascii="華康細圓體" w:hAnsi="華康細圓體"/>
          <w:sz w:val="28"/>
        </w:rPr>
        <w:t>. Willan F. Gangong</w:t>
      </w:r>
      <w:r>
        <w:rPr>
          <w:rFonts w:eastAsia="超研澤細圓;細明體" w:ascii="華康細圓體" w:hAnsi="華康細圓體"/>
          <w:sz w:val="28"/>
        </w:rPr>
        <w:t xml:space="preserve">: </w:t>
      </w:r>
      <w:r>
        <w:rPr>
          <w:rFonts w:eastAsia="超研澤細圓;細明體" w:ascii="華康細圓體" w:hAnsi="華康細圓體"/>
          <w:sz w:val="28"/>
        </w:rPr>
        <w:t xml:space="preserve">Review of Medical Physiology, </w:t>
      </w:r>
      <w:r>
        <w:rPr>
          <w:rFonts w:eastAsia="超研澤細圓;細明體" w:ascii="華康細圓體" w:hAnsi="華康細圓體"/>
          <w:sz w:val="28"/>
        </w:rPr>
        <w:t>1</w:t>
      </w:r>
      <w:r>
        <w:rPr>
          <w:rFonts w:ascii="華康細圓體" w:hAnsi="華康細圓體"/>
          <w:sz w:val="28"/>
        </w:rPr>
        <w:t>8</w:t>
      </w:r>
      <w:r>
        <w:rPr>
          <w:rFonts w:ascii="華康細圓體" w:hAnsi="華康細圓體"/>
          <w:sz w:val="28"/>
          <w:vertAlign w:val="superscript"/>
        </w:rPr>
        <w:t>th</w:t>
      </w:r>
      <w:r>
        <w:rPr>
          <w:rFonts w:ascii="華康細圓體" w:hAnsi="華康細圓體"/>
          <w:sz w:val="28"/>
        </w:rPr>
        <w:t xml:space="preserve"> ed.</w:t>
      </w:r>
      <w:r>
        <w:rPr>
          <w:rFonts w:eastAsia="超研澤細圓;細明體" w:ascii="華康細圓體" w:hAnsi="華康細圓體"/>
          <w:sz w:val="28"/>
        </w:rPr>
        <w:t xml:space="preserve"> Appleton &amp; Lange, East Norwalk, 199</w:t>
      </w:r>
      <w:r>
        <w:rPr>
          <w:rFonts w:eastAsia="超研澤細圓;細明體" w:ascii="華康細圓體" w:hAnsi="華康細圓體"/>
          <w:sz w:val="28"/>
        </w:rPr>
        <w:t>7</w:t>
      </w:r>
      <w:r>
        <w:rPr>
          <w:rFonts w:eastAsia="超研澤細圓;細明體" w:ascii="華康細圓體" w:hAnsi="華康細圓體"/>
          <w:sz w:val="28"/>
        </w:rPr>
        <w:t>.</w:t>
      </w:r>
    </w:p>
    <w:p>
      <w:pPr>
        <w:pStyle w:val="Normal"/>
        <w:snapToGrid w:val="false"/>
        <w:spacing w:lineRule="atLeast" w:line="20"/>
        <w:ind w:left="720" w:hanging="720"/>
        <w:rPr/>
      </w:pPr>
      <w:r>
        <w:rPr>
          <w:rFonts w:eastAsia="標楷體" w:ascii="標楷體" w:hAnsi="標楷體"/>
          <w:sz w:val="28"/>
        </w:rPr>
        <w:t>106.</w:t>
      </w:r>
      <w:r>
        <w:rPr>
          <w:rFonts w:eastAsia="華康細圓體" w:ascii="華康細圓體" w:hAnsi="華康細圓體"/>
          <w:sz w:val="28"/>
        </w:rPr>
        <w:t xml:space="preserve">Barratt TM, Clark GB: Minimal change nephrotic syndrome and </w:t>
      </w:r>
    </w:p>
    <w:p>
      <w:pPr>
        <w:pStyle w:val="Normal"/>
        <w:snapToGrid w:val="false"/>
        <w:spacing w:lineRule="atLeast" w:line="20"/>
        <w:ind w:left="720" w:hanging="720"/>
        <w:rPr>
          <w:rFonts w:ascii="華康細圓體" w:hAnsi="華康細圓體" w:eastAsia="華康細圓體"/>
          <w:sz w:val="28"/>
        </w:rPr>
      </w:pPr>
      <w:r>
        <w:rPr>
          <w:rFonts w:eastAsia="華康細圓體" w:cs="華康細圓體" w:ascii="華康細圓體" w:hAnsi="華康細圓體"/>
          <w:sz w:val="28"/>
        </w:rPr>
        <w:t xml:space="preserve">    </w:t>
      </w:r>
      <w:r>
        <w:rPr>
          <w:rFonts w:eastAsia="華康細圓體" w:ascii="華康細圓體" w:hAnsi="華康細圓體"/>
          <w:sz w:val="28"/>
        </w:rPr>
        <w:tab/>
        <w:t xml:space="preserve">focal and segmental glomerulosclerosis.  In: Holliday MA, </w:t>
      </w:r>
    </w:p>
    <w:p>
      <w:pPr>
        <w:pStyle w:val="Normal"/>
        <w:snapToGrid w:val="false"/>
        <w:spacing w:lineRule="atLeast" w:line="20"/>
        <w:ind w:left="720" w:hanging="720"/>
        <w:rPr>
          <w:rFonts w:ascii="華康細圓體" w:hAnsi="華康細圓體" w:eastAsia="華康細圓體"/>
          <w:sz w:val="28"/>
        </w:rPr>
      </w:pPr>
      <w:r>
        <w:rPr>
          <w:rFonts w:eastAsia="華康細圓體" w:cs="華康細圓體" w:ascii="華康細圓體" w:hAnsi="華康細圓體"/>
          <w:sz w:val="28"/>
        </w:rPr>
        <w:t xml:space="preserve">    </w:t>
      </w:r>
      <w:r>
        <w:rPr>
          <w:rFonts w:eastAsia="華康細圓體" w:ascii="華康細圓體" w:hAnsi="華康細圓體"/>
          <w:sz w:val="28"/>
        </w:rPr>
        <w:tab/>
        <w:t xml:space="preserve">Barratt TM, Avner ED (eds) Pediatric Nephrology, 3rd ed. </w:t>
      </w:r>
    </w:p>
    <w:p>
      <w:pPr>
        <w:pStyle w:val="Normal"/>
        <w:snapToGrid w:val="false"/>
        <w:spacing w:lineRule="atLeast" w:line="20"/>
        <w:ind w:left="720" w:hanging="720"/>
        <w:rPr>
          <w:rFonts w:ascii="華康細圓體" w:hAnsi="華康細圓體" w:eastAsia="華康細圓體"/>
          <w:sz w:val="28"/>
        </w:rPr>
      </w:pPr>
      <w:r>
        <w:rPr>
          <w:rFonts w:eastAsia="華康細圓體" w:cs="華康細圓體" w:ascii="華康細圓體" w:hAnsi="華康細圓體"/>
          <w:sz w:val="28"/>
        </w:rPr>
        <w:t xml:space="preserve">    </w:t>
      </w:r>
      <w:r>
        <w:rPr>
          <w:rFonts w:eastAsia="華康細圓體" w:ascii="華康細圓體" w:hAnsi="華康細圓體"/>
          <w:sz w:val="28"/>
        </w:rPr>
        <w:tab/>
        <w:t>Williams and Wilkins, London,  pp.767-787, 1993.</w:t>
      </w:r>
    </w:p>
    <w:p>
      <w:pPr>
        <w:pStyle w:val="Normal"/>
        <w:snapToGrid w:val="false"/>
        <w:spacing w:lineRule="atLeast" w:line="20"/>
        <w:ind w:left="720" w:hanging="720"/>
        <w:rPr/>
      </w:pPr>
      <w:r>
        <w:rPr>
          <w:rFonts w:eastAsia="標楷體" w:ascii="標楷體" w:hAnsi="標楷體"/>
          <w:sz w:val="28"/>
        </w:rPr>
        <w:t>107</w:t>
      </w:r>
      <w:r>
        <w:rPr>
          <w:rFonts w:eastAsia="華康細圓體" w:ascii="華康細圓體" w:hAnsi="華康細圓體"/>
          <w:sz w:val="28"/>
        </w:rPr>
        <w:t>. Schieppati A, Mosconi L, Perna A, et al: Prognosis of untreated patients with idiopathic membranous nephropathy.  N Engl J Med 329:85-89, 1993.</w:t>
      </w:r>
    </w:p>
    <w:p>
      <w:pPr>
        <w:pStyle w:val="Normal"/>
        <w:widowControl/>
        <w:autoSpaceDE w:val="false"/>
        <w:snapToGrid w:val="false"/>
        <w:spacing w:lineRule="atLeast" w:line="20"/>
        <w:ind w:left="720" w:hanging="720"/>
        <w:textAlignment w:val="bottom"/>
        <w:rPr/>
      </w:pPr>
      <w:r>
        <w:rPr>
          <w:rFonts w:eastAsia="標楷體" w:ascii="標楷體" w:hAnsi="標楷體"/>
          <w:sz w:val="28"/>
        </w:rPr>
        <w:t>108</w:t>
      </w:r>
      <w:r>
        <w:rPr>
          <w:rFonts w:eastAsia="華康細圓體" w:ascii="華康細圓體" w:hAnsi="華康細圓體"/>
          <w:sz w:val="28"/>
        </w:rPr>
        <w:t xml:space="preserve">. Aiexopoulos E, Sakellariou G. Memmos D, et al: Cyclophosphamide provides no additional benefit to steroid therapy in the treatment of idiopathic membranous nephropathy.  Am J Kindney Dis 21:497-503, 1993. </w:t>
      </w:r>
      <w:r>
        <w:br w:type="page"/>
      </w:r>
    </w:p>
    <w:p>
      <w:pPr>
        <w:pStyle w:val="Normal"/>
        <w:widowControl/>
        <w:autoSpaceDE w:val="false"/>
        <w:snapToGrid w:val="false"/>
        <w:spacing w:lineRule="atLeast" w:line="20"/>
        <w:textAlignment w:val="bottom"/>
        <w:rPr>
          <w:rFonts w:ascii="華康細圓體" w:hAnsi="華康細圓體" w:eastAsia="華康細圓體"/>
          <w:sz w:val="28"/>
        </w:rPr>
      </w:pPr>
      <w:r>
        <w:rPr>
          <w:rFonts w:eastAsia="華康細圓體" w:ascii="華康細圓體" w:hAnsi="華康細圓體"/>
          <w:sz w:val="28"/>
        </w:rPr>
      </w:r>
    </w:p>
    <w:sectPr>
      <w:footerReference w:type="default" r:id="rId6"/>
      <w:endnotePr>
        <w:numFmt w:val="lowerRoman"/>
      </w:endnotePr>
      <w:type w:val="nextPage"/>
      <w:pgSz w:w="11906" w:h="16838"/>
      <w:pgMar w:left="1800" w:right="1800" w:header="0" w:top="1440" w:footer="992" w:bottom="1440" w:gutter="0"/>
      <w:pgNumType w:fmt="decimal"/>
      <w:formProt w:val="false"/>
      <w:textDirection w:val="lrTb"/>
      <w:docGrid w:type="lines" w:linePitch="360" w:charSpace="0"/>
    </w:sectPr>
  </w:body>
</w:document>
</file>

<file path=word/endnotes.xml><?xml version="1.0" encoding="utf-8"?>
<w:end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endnote w:id="0" w:type="separator">
    <w:p>
      <w:r>
        <w:separator/>
      </w:r>
    </w:p>
  </w:endnote>
  <w:endnote w:id="1" w:type="continuationSeparator">
    <w:p>
      <w:r>
        <w:continuationSeparator/>
      </w:r>
    </w:p>
  </w:endnote>
  <w:endnote w:id="2">
    <w:p>
      <w:pPr>
        <w:pStyle w:val="Endnote"/>
        <w:rPr/>
      </w:pPr>
      <w:r>
        <w:rPr>
          <w:rStyle w:val="EndnoteCharacters"/>
        </w:rPr>
        <w:endnoteRef/>
        <w:tab/>
        <w:t>1)</w:t>
      </w:r>
      <w:r>
        <w:rPr/>
        <w:t xml:space="preserve"> </w:t>
      </w:r>
    </w:p>
  </w:endnote>
  <w:endnote w:id="3">
    <w:p>
      <w:pPr>
        <w:pStyle w:val="Endnote"/>
        <w:rPr/>
      </w:pPr>
      <w:r>
        <w:rPr>
          <w:rStyle w:val="EndnoteCharacters"/>
        </w:rPr>
        <w:endnoteRef/>
        <w:tab/>
        <w:t>2)</w:t>
      </w:r>
      <w:r>
        <w:rPr/>
        <w:t xml:space="preserve"> </w:t>
      </w:r>
    </w:p>
  </w:endnote>
  <w:endnote w:id="4">
    <w:p>
      <w:pPr>
        <w:pStyle w:val="Endnote"/>
        <w:rPr/>
      </w:pPr>
      <w:r>
        <w:rPr>
          <w:rStyle w:val="EndnoteCharacters"/>
        </w:rPr>
        <w:endnoteRef/>
        <w:tab/>
        <w:t>3)</w:t>
      </w:r>
      <w:r>
        <w:rPr/>
        <w:t xml:space="preserve"> </w:t>
      </w:r>
    </w:p>
  </w:endnote>
  <w:endnote w:id="5">
    <w:p>
      <w:pPr>
        <w:pStyle w:val="Endnote"/>
        <w:rPr/>
      </w:pPr>
      <w:r>
        <w:rPr>
          <w:rStyle w:val="EndnoteCharacters"/>
        </w:rPr>
        <w:endnoteRef/>
        <w:tab/>
        <w:t>4)</w:t>
      </w:r>
      <w:r>
        <w:rPr/>
        <w:t xml:space="preserve"> </w:t>
      </w:r>
    </w:p>
  </w:endnote>
  <w:endnote w:id="6">
    <w:p>
      <w:pPr>
        <w:pStyle w:val="Endnote"/>
        <w:rPr/>
      </w:pPr>
      <w:r>
        <w:rPr>
          <w:rStyle w:val="EndnoteCharacters"/>
        </w:rPr>
        <w:endnoteRef/>
        <w:tab/>
        <w:t>5)</w:t>
      </w:r>
      <w:r>
        <w:rPr/>
        <w:t xml:space="preserve"> </w:t>
      </w:r>
    </w:p>
  </w:endnote>
  <w:endnote w:id="7">
    <w:p>
      <w:pPr>
        <w:pStyle w:val="Endnote"/>
        <w:rPr/>
      </w:pPr>
      <w:r>
        <w:rPr>
          <w:rStyle w:val="EndnoteCharacters"/>
        </w:rPr>
        <w:endnoteRef/>
        <w:tab/>
        <w:t>6)</w:t>
      </w:r>
      <w:r>
        <w:rPr/>
        <w:t xml:space="preserve"> </w:t>
      </w:r>
    </w:p>
  </w:endnote>
  <w:endnote w:id="8">
    <w:p>
      <w:pPr>
        <w:pStyle w:val="Endnote"/>
        <w:rPr/>
      </w:pPr>
      <w:r>
        <w:rPr>
          <w:rStyle w:val="EndnoteCharacters"/>
        </w:rPr>
        <w:endnoteRef/>
        <w:tab/>
        <w:t>7)</w:t>
      </w:r>
      <w:r>
        <w:rPr/>
        <w:t xml:space="preserve"> </w:t>
      </w:r>
    </w:p>
  </w:endnote>
  <w:endnote w:id="9">
    <w:p>
      <w:pPr>
        <w:pStyle w:val="Endnote"/>
        <w:rPr/>
      </w:pPr>
      <w:r>
        <w:rPr>
          <w:rStyle w:val="EndnoteCharacters"/>
        </w:rPr>
        <w:endnoteRef/>
        <w:tab/>
        <w:t>8)</w:t>
      </w:r>
      <w:r>
        <w:rPr/>
        <w:t xml:space="preserve"> </w:t>
      </w:r>
    </w:p>
  </w:endnote>
  <w:endnote w:id="10">
    <w:p>
      <w:pPr>
        <w:pStyle w:val="Endnote"/>
        <w:rPr/>
      </w:pPr>
      <w:r>
        <w:rPr>
          <w:rStyle w:val="EndnoteCharacters"/>
        </w:rPr>
        <w:endnoteRef/>
        <w:tab/>
        <w:t>9)</w:t>
      </w:r>
      <w:r>
        <w:rPr/>
        <w:t xml:space="preserve"> </w:t>
      </w:r>
    </w:p>
  </w:endnote>
  <w:endnote w:id="11">
    <w:p>
      <w:pPr>
        <w:pStyle w:val="Endnote"/>
        <w:rPr/>
      </w:pPr>
      <w:r>
        <w:rPr>
          <w:rStyle w:val="EndnoteCharacters"/>
        </w:rPr>
        <w:endnoteRef/>
        <w:tab/>
        <w:t>10)</w:t>
      </w:r>
      <w:r>
        <w:rPr/>
        <w:t xml:space="preserve"> </w:t>
      </w:r>
    </w:p>
  </w:endnote>
  <w:endnote w:id="12">
    <w:p>
      <w:pPr>
        <w:pStyle w:val="Endnote"/>
        <w:rPr/>
      </w:pPr>
      <w:r>
        <w:rPr>
          <w:rStyle w:val="EndnoteCharacters"/>
        </w:rPr>
        <w:endnoteRef/>
        <w:tab/>
        <w:t>11)</w:t>
      </w:r>
      <w:r>
        <w:rPr/>
        <w:t xml:space="preserve"> </w:t>
      </w:r>
    </w:p>
  </w:endnote>
  <w:endnote w:id="13">
    <w:p>
      <w:pPr>
        <w:pStyle w:val="Endnote"/>
        <w:rPr/>
      </w:pPr>
      <w:r>
        <w:rPr>
          <w:rStyle w:val="EndnoteCharacters"/>
        </w:rPr>
        <w:endnoteRef/>
        <w:tab/>
        <w:t>12)</w:t>
      </w:r>
      <w:r>
        <w:rPr/>
        <w:t xml:space="preserve"> </w:t>
      </w:r>
    </w:p>
  </w:endnote>
  <w:endnote w:id="14">
    <w:p>
      <w:pPr>
        <w:pStyle w:val="Endnote"/>
        <w:rPr/>
      </w:pPr>
      <w:r>
        <w:rPr>
          <w:rStyle w:val="EndnoteCharacters"/>
        </w:rPr>
        <w:endnoteRef/>
        <w:tab/>
        <w:t>13)</w:t>
      </w:r>
      <w:r>
        <w:rPr/>
        <w:t xml:space="preserve"> </w:t>
      </w:r>
    </w:p>
  </w:endnote>
  <w:endnote w:id="15">
    <w:p>
      <w:pPr>
        <w:pStyle w:val="Endnote"/>
        <w:rPr/>
      </w:pPr>
      <w:r>
        <w:rPr>
          <w:rStyle w:val="EndnoteCharacters"/>
        </w:rPr>
        <w:endnoteRef/>
        <w:tab/>
        <w:t>14)</w:t>
      </w:r>
      <w:r>
        <w:rPr/>
        <w:t xml:space="preserve"> </w:t>
      </w:r>
    </w:p>
  </w:endnote>
  <w:endnote w:id="16">
    <w:p>
      <w:pPr>
        <w:pStyle w:val="Endnote"/>
        <w:rPr/>
      </w:pPr>
      <w:r>
        <w:rPr>
          <w:rStyle w:val="EndnoteCharacters"/>
        </w:rPr>
        <w:endnoteRef/>
        <w:tab/>
        <w:t>15)</w:t>
      </w:r>
      <w:r>
        <w:rPr/>
        <w:t xml:space="preserve"> </w:t>
      </w:r>
    </w:p>
  </w:endnote>
  <w:endnote w:id="17">
    <w:p>
      <w:pPr>
        <w:pStyle w:val="Endnote"/>
        <w:rPr/>
      </w:pPr>
      <w:r>
        <w:rPr>
          <w:rStyle w:val="EndnoteCharacters"/>
        </w:rPr>
        <w:endnoteRef/>
        <w:tab/>
        <w:t>16)</w:t>
      </w:r>
      <w:r>
        <w:rPr/>
        <w:t xml:space="preserve"> </w:t>
      </w:r>
    </w:p>
  </w:endnote>
  <w:endnote w:id="18">
    <w:p>
      <w:pPr>
        <w:pStyle w:val="Endnote"/>
        <w:rPr/>
      </w:pPr>
      <w:r>
        <w:rPr>
          <w:rStyle w:val="EndnoteCharacters"/>
        </w:rPr>
        <w:endnoteRef/>
        <w:tab/>
        <w:t>17)</w:t>
      </w:r>
      <w:r>
        <w:rPr/>
        <w:t xml:space="preserve"> </w:t>
      </w:r>
    </w:p>
  </w:endnote>
  <w:endnote w:id="19">
    <w:p>
      <w:pPr>
        <w:pStyle w:val="Endnote"/>
        <w:rPr/>
      </w:pPr>
      <w:r>
        <w:rPr>
          <w:rStyle w:val="EndnoteCharacters"/>
        </w:rPr>
        <w:endnoteRef/>
        <w:tab/>
        <w:t>18)</w:t>
      </w:r>
      <w:r>
        <w:rPr/>
        <w:t xml:space="preserve"> </w:t>
      </w:r>
    </w:p>
  </w:endnote>
  <w:endnote w:id="20">
    <w:p>
      <w:pPr>
        <w:pStyle w:val="Endnote"/>
        <w:rPr/>
      </w:pPr>
      <w:r>
        <w:rPr>
          <w:rStyle w:val="EndnoteCharacters"/>
        </w:rPr>
        <w:endnoteRef/>
        <w:tab/>
        <w:t>19)</w:t>
      </w:r>
      <w:r>
        <w:rPr/>
        <w:t xml:space="preserve"> </w:t>
      </w:r>
    </w:p>
  </w:endnote>
  <w:endnote w:id="21">
    <w:p>
      <w:pPr>
        <w:pStyle w:val="Endnote"/>
        <w:rPr/>
      </w:pPr>
      <w:r>
        <w:rPr>
          <w:rStyle w:val="EndnoteCharacters"/>
        </w:rPr>
        <w:endnoteRef/>
        <w:tab/>
        <w:t>20)</w:t>
      </w:r>
      <w:r>
        <w:rPr/>
        <w:t xml:space="preserve"> </w:t>
      </w:r>
    </w:p>
  </w:endnote>
  <w:endnote w:id="22">
    <w:p>
      <w:pPr>
        <w:pStyle w:val="Endnote"/>
        <w:rPr/>
      </w:pPr>
      <w:r>
        <w:rPr>
          <w:rStyle w:val="EndnoteCharacters"/>
        </w:rPr>
        <w:endnoteRef/>
        <w:tab/>
        <w:t>21)</w:t>
      </w:r>
      <w:r>
        <w:rPr/>
        <w:t xml:space="preserve"> </w:t>
      </w:r>
    </w:p>
  </w:endnote>
  <w:endnote w:id="23">
    <w:p>
      <w:pPr>
        <w:pStyle w:val="Endnote"/>
        <w:rPr/>
      </w:pPr>
      <w:r>
        <w:rPr>
          <w:rStyle w:val="EndnoteCharacters"/>
        </w:rPr>
        <w:endnoteRef/>
        <w:tab/>
        <w:t>22)</w:t>
      </w:r>
      <w:r>
        <w:rPr/>
        <w:t xml:space="preserve"> </w:t>
      </w:r>
    </w:p>
  </w:endnote>
  <w:endnote w:id="24">
    <w:p>
      <w:pPr>
        <w:pStyle w:val="Endnote"/>
        <w:rPr/>
      </w:pPr>
      <w:r>
        <w:rPr>
          <w:rStyle w:val="EndnoteCharacters"/>
        </w:rPr>
        <w:endnoteRef/>
        <w:tab/>
        <w:t>23)</w:t>
      </w:r>
      <w:r>
        <w:rPr/>
        <w:t xml:space="preserve"> </w:t>
      </w:r>
    </w:p>
  </w:endnote>
  <w:endnote w:id="25">
    <w:p>
      <w:pPr>
        <w:pStyle w:val="Endnote"/>
        <w:rPr/>
      </w:pPr>
      <w:r>
        <w:rPr>
          <w:rStyle w:val="EndnoteCharacters"/>
        </w:rPr>
        <w:endnoteRef/>
        <w:tab/>
        <w:t>24)</w:t>
      </w:r>
      <w:r>
        <w:rPr/>
        <w:t xml:space="preserve"> </w:t>
      </w:r>
    </w:p>
  </w:endnote>
  <w:endnote w:id="26">
    <w:p>
      <w:pPr>
        <w:pStyle w:val="Endnote"/>
        <w:rPr/>
      </w:pPr>
      <w:r>
        <w:rPr>
          <w:rStyle w:val="EndnoteCharacters"/>
        </w:rPr>
        <w:endnoteRef/>
        <w:tab/>
        <w:t>25)</w:t>
      </w:r>
      <w:r>
        <w:rPr/>
        <w:t xml:space="preserve"> </w:t>
      </w:r>
    </w:p>
  </w:endnote>
  <w:endnote w:id="27">
    <w:p>
      <w:pPr>
        <w:pStyle w:val="Endnote"/>
        <w:rPr/>
      </w:pPr>
      <w:r>
        <w:rPr>
          <w:rStyle w:val="EndnoteCharacters"/>
        </w:rPr>
        <w:endnoteRef/>
        <w:tab/>
        <w:t>26)</w:t>
      </w:r>
      <w:r>
        <w:rPr/>
        <w:t xml:space="preserve"> </w:t>
      </w:r>
    </w:p>
  </w:endnote>
  <w:endnote w:id="28">
    <w:p>
      <w:pPr>
        <w:pStyle w:val="Endnote"/>
        <w:rPr/>
      </w:pPr>
      <w:r>
        <w:rPr>
          <w:rStyle w:val="EndnoteCharacters"/>
        </w:rPr>
        <w:endnoteRef/>
        <w:tab/>
        <w:t>27)</w:t>
      </w:r>
      <w:r>
        <w:rPr/>
        <w:t xml:space="preserve"> </w:t>
      </w:r>
    </w:p>
  </w:endnote>
  <w:endnote w:id="29">
    <w:p>
      <w:pPr>
        <w:pStyle w:val="Endnote"/>
        <w:rPr/>
      </w:pPr>
      <w:r>
        <w:rPr>
          <w:rStyle w:val="EndnoteCharacters"/>
        </w:rPr>
        <w:endnoteRef/>
        <w:tab/>
        <w:t>28)</w:t>
      </w:r>
      <w:r>
        <w:rPr/>
        <w:t xml:space="preserve"> </w:t>
      </w:r>
    </w:p>
  </w:endnote>
  <w:endnote w:id="30">
    <w:p>
      <w:pPr>
        <w:pStyle w:val="Endnote"/>
        <w:rPr/>
      </w:pPr>
      <w:r>
        <w:rPr>
          <w:rStyle w:val="EndnoteCharacters"/>
        </w:rPr>
        <w:endnoteRef/>
        <w:tab/>
        <w:t>29)</w:t>
      </w:r>
      <w:r>
        <w:rPr/>
        <w:t xml:space="preserve"> </w:t>
      </w:r>
    </w:p>
  </w:endnote>
  <w:endnote w:id="31">
    <w:p>
      <w:pPr>
        <w:pStyle w:val="Endnote"/>
        <w:rPr/>
      </w:pPr>
      <w:r>
        <w:rPr>
          <w:rStyle w:val="EndnoteCharacters"/>
        </w:rPr>
        <w:endnoteRef/>
        <w:tab/>
        <w:t>30)</w:t>
      </w:r>
      <w:r>
        <w:rPr/>
        <w:t xml:space="preserve"> </w:t>
      </w:r>
    </w:p>
  </w:endnote>
  <w:endnote w:id="32">
    <w:p>
      <w:pPr>
        <w:pStyle w:val="Endnote"/>
        <w:rPr/>
      </w:pPr>
      <w:r>
        <w:rPr>
          <w:rStyle w:val="EndnoteCharacters"/>
        </w:rPr>
        <w:endnoteRef/>
        <w:tab/>
        <w:t>31)</w:t>
      </w:r>
      <w:r>
        <w:rPr/>
        <w:t xml:space="preserve"> </w:t>
      </w:r>
    </w:p>
  </w:endnote>
  <w:endnote w:id="33">
    <w:p>
      <w:pPr>
        <w:pStyle w:val="Endnote"/>
        <w:rPr/>
      </w:pPr>
      <w:r>
        <w:rPr>
          <w:rStyle w:val="EndnoteCharacters"/>
        </w:rPr>
        <w:endnoteRef/>
        <w:tab/>
        <w:t>32)</w:t>
      </w:r>
      <w:r>
        <w:rPr/>
        <w:t xml:space="preserve"> </w:t>
      </w:r>
    </w:p>
  </w:endnote>
  <w:endnote w:id="34">
    <w:p>
      <w:pPr>
        <w:pStyle w:val="Endnote"/>
        <w:rPr/>
      </w:pPr>
      <w:r>
        <w:rPr>
          <w:rStyle w:val="EndnoteCharacters"/>
        </w:rPr>
        <w:endnoteRef/>
        <w:tab/>
        <w:t>33)</w:t>
      </w:r>
      <w:r>
        <w:rPr/>
        <w:t xml:space="preserve"> </w:t>
      </w:r>
    </w:p>
  </w:endnote>
  <w:endnote w:id="35">
    <w:p>
      <w:pPr>
        <w:pStyle w:val="Endnote"/>
        <w:rPr/>
      </w:pPr>
      <w:r>
        <w:rPr>
          <w:rStyle w:val="EndnoteCharacters"/>
        </w:rPr>
        <w:endnoteRef/>
        <w:tab/>
        <w:t>34)</w:t>
      </w:r>
      <w:r>
        <w:rPr/>
        <w:t xml:space="preserve"> </w:t>
      </w:r>
    </w:p>
  </w:endnote>
  <w:endnote w:id="36">
    <w:p>
      <w:pPr>
        <w:pStyle w:val="Endnote"/>
        <w:rPr/>
      </w:pPr>
      <w:r>
        <w:rPr>
          <w:rStyle w:val="EndnoteCharacters"/>
        </w:rPr>
        <w:endnoteRef/>
        <w:tab/>
        <w:t>35)</w:t>
      </w:r>
      <w:r>
        <w:rPr/>
        <w:t xml:space="preserve"> </w:t>
      </w:r>
    </w:p>
  </w:endnote>
  <w:endnote w:id="37">
    <w:p>
      <w:pPr>
        <w:pStyle w:val="Endnote"/>
        <w:rPr/>
      </w:pPr>
      <w:r>
        <w:rPr>
          <w:rStyle w:val="EndnoteCharacters"/>
        </w:rPr>
        <w:endnoteRef/>
        <w:tab/>
        <w:t>36)</w:t>
      </w:r>
      <w:r>
        <w:rPr/>
        <w:t xml:space="preserve"> </w:t>
      </w:r>
    </w:p>
  </w:endnote>
  <w:endnote w:id="38">
    <w:p>
      <w:pPr>
        <w:pStyle w:val="Endnote"/>
        <w:rPr/>
      </w:pPr>
      <w:r>
        <w:rPr>
          <w:rStyle w:val="EndnoteCharacters"/>
        </w:rPr>
        <w:endnoteRef/>
        <w:tab/>
        <w:t>37)</w:t>
      </w:r>
      <w:r>
        <w:rPr/>
        <w:t xml:space="preserve"> </w:t>
      </w:r>
    </w:p>
  </w:endnote>
  <w:endnote w:id="39">
    <w:p>
      <w:pPr>
        <w:pStyle w:val="Endnote"/>
        <w:rPr/>
      </w:pPr>
      <w:r>
        <w:rPr>
          <w:rStyle w:val="EndnoteCharacters"/>
        </w:rPr>
        <w:endnoteRef/>
        <w:tab/>
        <w:t>38)</w:t>
      </w:r>
      <w:r>
        <w:rPr/>
        <w:t xml:space="preserve"> </w:t>
      </w:r>
    </w:p>
  </w:endnote>
  <w:endnote w:id="40">
    <w:p>
      <w:pPr>
        <w:pStyle w:val="Endnote"/>
        <w:rPr/>
      </w:pPr>
      <w:r>
        <w:rPr>
          <w:rStyle w:val="EndnoteCharacters"/>
        </w:rPr>
        <w:endnoteRef/>
        <w:tab/>
        <w:t>39)</w:t>
      </w:r>
      <w:r>
        <w:rPr/>
        <w:t xml:space="preserve"> </w:t>
      </w:r>
    </w:p>
  </w:endnote>
  <w:endnote w:id="41">
    <w:p>
      <w:pPr>
        <w:pStyle w:val="Endnote"/>
        <w:rPr/>
      </w:pPr>
      <w:r>
        <w:rPr>
          <w:rStyle w:val="EndnoteCharacters"/>
        </w:rPr>
        <w:endnoteRef/>
        <w:tab/>
        <w:t>40)</w:t>
      </w:r>
      <w:r>
        <w:rPr/>
        <w:t xml:space="preserve"> </w:t>
      </w:r>
    </w:p>
  </w:endnote>
  <w:endnote w:id="42">
    <w:p>
      <w:pPr>
        <w:pStyle w:val="Endnote"/>
        <w:rPr/>
      </w:pPr>
      <w:r>
        <w:rPr>
          <w:rStyle w:val="EndnoteCharacters"/>
        </w:rPr>
        <w:endnoteRef/>
        <w:tab/>
        <w:t>41)</w:t>
      </w:r>
      <w:r>
        <w:rPr/>
        <w:t xml:space="preserve"> </w:t>
      </w:r>
    </w:p>
  </w:endnote>
  <w:endnote w:id="43">
    <w:p>
      <w:pPr>
        <w:pStyle w:val="Endnote"/>
        <w:rPr/>
      </w:pPr>
      <w:r>
        <w:rPr>
          <w:rStyle w:val="EndnoteCharacters"/>
        </w:rPr>
        <w:endnoteRef/>
        <w:tab/>
        <w:t>42)</w:t>
      </w:r>
      <w:r>
        <w:rPr/>
        <w:t xml:space="preserve"> </w:t>
      </w:r>
    </w:p>
  </w:endnote>
  <w:endnote w:id="44">
    <w:p>
      <w:pPr>
        <w:pStyle w:val="Endnote"/>
        <w:rPr/>
      </w:pPr>
      <w:r>
        <w:rPr>
          <w:rStyle w:val="EndnoteCharacters"/>
        </w:rPr>
        <w:endnoteRef/>
        <w:tab/>
        <w:t>43)</w:t>
      </w:r>
    </w:p>
  </w:endnote>
</w:endnote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標楷體">
    <w:charset w:val="88"/>
    <w:family w:val="script"/>
    <w:pitch w:val="default"/>
  </w:font>
  <w:font w:name="超研澤細圓">
    <w:altName w:val="細明體"/>
    <w:charset w:val="88"/>
    <w:family w:val="modern"/>
    <w:pitch w:val="default"/>
  </w:font>
  <w:font w:name="Wingdings">
    <w:charset w:val="02"/>
    <w:family w:val="auto"/>
    <w:pitch w:val="variable"/>
  </w:font>
  <w:font w:name="華康細圓體">
    <w:charset w:val="88"/>
    <w:family w:val="modern"/>
    <w:pitch w:val="default"/>
  </w:font>
  <w:font w:name="全真楷書">
    <w:charset w:val="88"/>
    <w:family w:val="modern"/>
    <w:pitch w:val="default"/>
  </w:font>
  <w:font w:name="新細明體">
    <w:altName w:val="PMingLiU"/>
    <w:charset w:val="88"/>
    <w:family w:val="roman"/>
    <w:pitch w:val="variable"/>
  </w:font>
  <w:font w:name="超研澤特圓">
    <w:altName w:val="細明體"/>
    <w:charset w:val="88"/>
    <w:family w:val="modern"/>
    <w:pitch w:val="default"/>
  </w:font>
  <w:font w:name="Liberation Sans">
    <w:altName w:val="Arial"/>
    <w:charset w:val="00"/>
    <w:family w:val="swiss"/>
    <w:pitch w:val="variable"/>
  </w:font>
  <w:font w:name="Monotype Sorts">
    <w:altName w:val="Symbol"/>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r>
      <mc:AlternateContent>
        <mc:Choice Requires="wps">
          <w:drawing>
            <wp:anchor behindDoc="0" distT="0" distB="0" distL="0" distR="0" simplePos="0" locked="0" layoutInCell="1" allowOverlap="1" relativeHeight="7">
              <wp:simplePos x="0" y="0"/>
              <wp:positionH relativeFrom="margin">
                <wp:align>center</wp:align>
              </wp:positionH>
              <wp:positionV relativeFrom="paragraph">
                <wp:posOffset>635</wp:posOffset>
              </wp:positionV>
              <wp:extent cx="64135" cy="228600"/>
              <wp:effectExtent l="0" t="0" r="0" b="0"/>
              <wp:wrapSquare wrapText="largest"/>
              <wp:docPr id="1" name="Frame1"/>
              <a:graphic xmlns:a="http://schemas.openxmlformats.org/drawingml/2006/main">
                <a:graphicData uri="http://schemas.microsoft.com/office/word/2010/wordprocessingShape">
                  <wps:wsp>
                    <wps:cNvSpPr txBox="1"/>
                    <wps:spPr>
                      <a:xfrm>
                        <a:off x="0" y="0"/>
                        <a:ext cx="64135" cy="228600"/>
                      </a:xfrm>
                      <a:prstGeom prst="rect"/>
                      <a:solidFill>
                        <a:srgbClr val="FFFFFF">
                          <a:alpha val="0"/>
                        </a:srgbClr>
                      </a:solidFill>
                    </wps:spPr>
                    <wps:txbx>
                      <w:txbxContent>
                        <w:p>
                          <w:pPr>
                            <w:pStyle w:val="Footer"/>
                            <w:rPr>
                              <w:rStyle w:val="PageNumber"/>
                            </w:rPr>
                          </w:pPr>
                          <w:r>
                            <w:rPr>
                              <w:rStyle w:val="PageNumber"/>
                            </w:rPr>
                            <w:fldChar w:fldCharType="begin"/>
                          </w:r>
                          <w:r>
                            <w:instrText> PAGE </w:instrText>
                          </w:r>
                          <w:r>
                            <w:fldChar w:fldCharType="separate"/>
                          </w:r>
                          <w:r>
                            <w:t>3</w:t>
                          </w:r>
                          <w:r>
                            <w:fldChar w:fldCharType="end"/>
                          </w:r>
                        </w:p>
                      </w:txbxContent>
                    </wps:txbx>
                    <wps:bodyPr anchor="t">
                      <a:noAutofit/>
                    </wps:bodyPr>
                  </wps:wsp>
                </a:graphicData>
              </a:graphic>
            </wp:anchor>
          </w:drawing>
        </mc:Choice>
        <mc:Fallback>
          <w:pict>
            <v:rect fillcolor="#FFFFFF" style="position:absolute;rotation:0;width:5.05pt;height:18pt;mso-wrap-distance-left:0pt;mso-wrap-distance-right:0pt;mso-wrap-distance-top:0pt;mso-wrap-distance-bottom:0pt;margin-top:0.05pt;mso-position-vertical-relative:text;margin-left:205.15pt;mso-position-horizontal:center;mso-position-horizontal-relative:margin">
              <v:fill opacity="0f"/>
              <v:textbox>
                <w:txbxContent>
                  <w:p>
                    <w:pPr>
                      <w:pStyle w:val="Footer"/>
                      <w:rPr>
                        <w:rStyle w:val="PageNumber"/>
                      </w:rPr>
                    </w:pPr>
                    <w:r>
                      <w:rPr>
                        <w:rStyle w:val="PageNumber"/>
                      </w:rPr>
                      <w:fldChar w:fldCharType="begin"/>
                    </w:r>
                    <w:r>
                      <w:instrText> PAGE </w:instrText>
                    </w:r>
                    <w:r>
                      <w:fldChar w:fldCharType="separate"/>
                    </w:r>
                    <w:r>
                      <w:t>3</w:t>
                    </w:r>
                    <w:r>
                      <w:fldChar w:fldCharType="end"/>
                    </w:r>
                  </w:p>
                </w:txbxContent>
              </v:textbox>
              <w10:wrap type="square" side="largest"/>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r>
      <mc:AlternateContent>
        <mc:Choice Requires="wps">
          <w:drawing>
            <wp:anchor behindDoc="0" distT="0" distB="0" distL="0" distR="0" simplePos="0" locked="0" layoutInCell="1" allowOverlap="1" relativeHeight="51">
              <wp:simplePos x="0" y="0"/>
              <wp:positionH relativeFrom="margin">
                <wp:align>center</wp:align>
              </wp:positionH>
              <wp:positionV relativeFrom="paragraph">
                <wp:posOffset>635</wp:posOffset>
              </wp:positionV>
              <wp:extent cx="127635" cy="228600"/>
              <wp:effectExtent l="0" t="0" r="0" b="0"/>
              <wp:wrapSquare wrapText="largest"/>
              <wp:docPr id="29" name="Frame2"/>
              <a:graphic xmlns:a="http://schemas.openxmlformats.org/drawingml/2006/main">
                <a:graphicData uri="http://schemas.microsoft.com/office/word/2010/wordprocessingShape">
                  <wps:wsp>
                    <wps:cNvSpPr txBox="1"/>
                    <wps:spPr>
                      <a:xfrm>
                        <a:off x="0" y="0"/>
                        <a:ext cx="127635" cy="228600"/>
                      </a:xfrm>
                      <a:prstGeom prst="rect"/>
                      <a:solidFill>
                        <a:srgbClr val="FFFFFF">
                          <a:alpha val="0"/>
                        </a:srgbClr>
                      </a:solidFill>
                    </wps:spPr>
                    <wps:txbx>
                      <w:txbxContent>
                        <w:p>
                          <w:pPr>
                            <w:pStyle w:val="Footer"/>
                            <w:rPr/>
                          </w:pPr>
                          <w:r>
                            <w:rPr>
                              <w:rStyle w:val="PageNumber"/>
                            </w:rPr>
                            <w:fldChar w:fldCharType="begin"/>
                          </w:r>
                          <w:r>
                            <w:instrText> PAGE </w:instrText>
                          </w:r>
                          <w:r>
                            <w:fldChar w:fldCharType="separate"/>
                          </w:r>
                          <w:r>
                            <w:t>82</w:t>
                          </w:r>
                          <w:r>
                            <w:fldChar w:fldCharType="end"/>
                          </w:r>
                        </w:p>
                      </w:txbxContent>
                    </wps:txbx>
                    <wps:bodyPr anchor="t">
                      <a:noAutofit/>
                    </wps:bodyPr>
                  </wps:wsp>
                </a:graphicData>
              </a:graphic>
            </wp:anchor>
          </w:drawing>
        </mc:Choice>
        <mc:Fallback>
          <w:pict>
            <v:rect fillcolor="#FFFFFF" style="position:absolute;rotation:0;width:10.05pt;height:18pt;mso-wrap-distance-left:0pt;mso-wrap-distance-right:0pt;mso-wrap-distance-top:0pt;mso-wrap-distance-bottom:0pt;margin-top:0.05pt;mso-position-vertical-relative:text;margin-left:202.65pt;mso-position-horizontal:center;mso-position-horizontal-relative:margin">
              <v:fill opacity="0f"/>
              <v:textbox>
                <w:txbxContent>
                  <w:p>
                    <w:pPr>
                      <w:pStyle w:val="Footer"/>
                      <w:rPr/>
                    </w:pPr>
                    <w:r>
                      <w:rPr>
                        <w:rStyle w:val="PageNumber"/>
                      </w:rPr>
                      <w:fldChar w:fldCharType="begin"/>
                    </w:r>
                    <w:r>
                      <w:instrText> PAGE </w:instrText>
                    </w:r>
                    <w:r>
                      <w:fldChar w:fldCharType="separate"/>
                    </w:r>
                    <w:r>
                      <w:t>82</w:t>
                    </w:r>
                    <w:r>
                      <w:fldChar w:fldCharType="end"/>
                    </w:r>
                  </w:p>
                </w:txbxContent>
              </v:textbox>
              <w10:wrap type="square" side="largest"/>
            </v:rect>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chineseCountingThousand"/>
      <w:lvlText w:val="第%1節"/>
      <w:lvlJc w:val="left"/>
      <w:pPr>
        <w:tabs>
          <w:tab w:val="num" w:pos="1965"/>
        </w:tabs>
        <w:ind w:left="1965" w:hanging="1125"/>
      </w:pPr>
      <w:rPr>
        <w:sz w:val="28"/>
        <w:rFonts w:ascii="標楷體" w:hAnsi="標楷體" w:eastAsia="標楷體"/>
      </w:rPr>
    </w:lvl>
  </w:abstractNum>
  <w:abstractNum w:abstractNumId="2">
    <w:lvl w:ilvl="0">
      <w:start w:val="3"/>
      <w:numFmt w:val="decimal"/>
      <w:lvlText w:val="%1."/>
      <w:lvlJc w:val="left"/>
      <w:pPr>
        <w:tabs>
          <w:tab w:val="num" w:pos="270"/>
        </w:tabs>
        <w:ind w:left="780" w:hanging="270"/>
      </w:pPr>
      <w:rPr>
        <w:sz w:val="28"/>
        <w:i w:val="false"/>
        <w:u w:val="none"/>
        <w:b w:val="false"/>
        <w:rFonts w:ascii="超研澤細圓;細明體" w:hAnsi="超研澤細圓;細明體" w:eastAsia="超研澤細圓;細明體"/>
      </w:rPr>
    </w:lvl>
  </w:abstractNum>
  <w:abstractNum w:abstractNumId="3">
    <w:lvl w:ilvl="0">
      <w:start w:val="29"/>
      <w:numFmt w:val="decimal"/>
      <w:lvlText w:val="%1."/>
      <w:lvlJc w:val="left"/>
      <w:pPr>
        <w:tabs>
          <w:tab w:val="num" w:pos="420"/>
        </w:tabs>
        <w:ind w:left="420" w:hanging="420"/>
      </w:pPr>
      <w:rPr>
        <w:sz w:val="28"/>
        <w:i w:val="false"/>
        <w:u w:val="none"/>
        <w:b w:val="false"/>
        <w:rFonts w:ascii="超研澤細圓;細明體" w:hAnsi="超研澤細圓;細明體" w:eastAsia="超研澤細圓;細明體"/>
      </w:rPr>
    </w:lvl>
  </w:abstractNum>
  <w:abstractNum w:abstractNumId="4">
    <w:lvl w:ilvl="0">
      <w:start w:val="2"/>
      <w:numFmt w:val="chineseCountingThousand"/>
      <w:lvlText w:val="第%1篇"/>
      <w:lvlJc w:val="left"/>
      <w:pPr>
        <w:tabs>
          <w:tab w:val="num" w:pos="1440"/>
        </w:tabs>
        <w:ind w:left="1440" w:hanging="1440"/>
      </w:pPr>
      <w:rPr/>
    </w:lvl>
  </w:abstractNum>
  <w:abstractNum w:abstractNumId="5">
    <w:lvl w:ilvl="0">
      <w:start w:val="43"/>
      <w:numFmt w:val="decimal"/>
      <w:lvlText w:val="%1."/>
      <w:lvlJc w:val="left"/>
      <w:pPr>
        <w:tabs>
          <w:tab w:val="num" w:pos="420"/>
        </w:tabs>
        <w:ind w:left="420" w:hanging="420"/>
      </w:pPr>
      <w:rPr>
        <w:sz w:val="28"/>
        <w:i w:val="false"/>
        <w:u w:val="none"/>
        <w:b w:val="false"/>
        <w:rFonts w:ascii="超研澤細圓;細明體" w:hAnsi="超研澤細圓;細明體" w:eastAsia="超研澤細圓;細明體"/>
      </w:rPr>
    </w:lvl>
  </w:abstractNum>
  <w:abstractNum w:abstractNumId="6">
    <w:lvl w:ilvl="0">
      <w:start w:val="6"/>
      <w:numFmt w:val="chineseCountingThousand"/>
      <w:lvlText w:val="第%1章"/>
      <w:lvlJc w:val="left"/>
      <w:pPr>
        <w:tabs>
          <w:tab w:val="num" w:pos="1545"/>
        </w:tabs>
        <w:ind w:left="1545" w:hanging="1125"/>
      </w:pPr>
      <w:rPr>
        <w:sz w:val="28"/>
        <w:rFonts w:ascii="標楷體" w:hAnsi="標楷體" w:eastAsia="標楷體"/>
      </w:rPr>
    </w:lvl>
  </w:abstractNum>
  <w:abstractNum w:abstractNumId="7">
    <w:lvl w:ilvl="0">
      <w:start w:val="22"/>
      <w:numFmt w:val="decimal"/>
      <w:lvlText w:val="%1."/>
      <w:lvlJc w:val="left"/>
      <w:pPr>
        <w:tabs>
          <w:tab w:val="num" w:pos="420"/>
        </w:tabs>
        <w:ind w:left="420" w:hanging="420"/>
      </w:pPr>
      <w:rPr>
        <w:sz w:val="28"/>
        <w:i w:val="false"/>
        <w:u w:val="none"/>
        <w:b w:val="false"/>
        <w:rFonts w:ascii="超研澤細圓;細明體" w:hAnsi="超研澤細圓;細明體" w:eastAsia="超研澤細圓;細明體"/>
      </w:rPr>
    </w:lvl>
  </w:abstractNum>
  <w:abstractNum w:abstractNumId="8">
    <w:lvl w:ilvl="0">
      <w:start w:val="1"/>
      <w:numFmt w:val="chineseCountingThousand"/>
      <w:lvlText w:val="第%1節"/>
      <w:lvlJc w:val="left"/>
      <w:pPr>
        <w:tabs>
          <w:tab w:val="num" w:pos="1965"/>
        </w:tabs>
        <w:ind w:left="1965" w:hanging="1125"/>
      </w:pPr>
      <w:rPr>
        <w:sz w:val="28"/>
        <w:rFonts w:ascii="標楷體" w:hAnsi="標楷體" w:eastAsia="標楷體"/>
      </w:rPr>
    </w:lvl>
  </w:abstractNum>
  <w:abstractNum w:abstractNumId="9">
    <w:lvl w:ilvl="0">
      <w:start w:val="2"/>
      <w:numFmt w:val="decimal"/>
      <w:lvlText w:val="%1."/>
      <w:lvlJc w:val="left"/>
      <w:pPr>
        <w:tabs>
          <w:tab w:val="num" w:pos="285"/>
        </w:tabs>
        <w:ind w:left="840" w:hanging="285"/>
      </w:pPr>
      <w:rPr>
        <w:sz w:val="28"/>
        <w:i w:val="false"/>
        <w:u w:val="none"/>
        <w:b w:val="false"/>
        <w:rFonts w:ascii="華康細圓體" w:hAnsi="華康細圓體" w:eastAsia="華康細圓體"/>
      </w:rPr>
    </w:lvl>
  </w:abstractNum>
  <w:abstractNum w:abstractNumId="10">
    <w:lvl w:ilvl="0">
      <w:start w:val="1"/>
      <w:numFmt w:val="decimal"/>
      <w:lvlText w:val="%1."/>
      <w:lvlJc w:val="left"/>
      <w:pPr>
        <w:tabs>
          <w:tab w:val="num" w:pos="540"/>
        </w:tabs>
        <w:ind w:left="540" w:hanging="180"/>
      </w:pPr>
      <w:rPr/>
    </w:lvl>
  </w:abstractNum>
  <w:abstractNum w:abstractNumId="11">
    <w:lvl w:ilvl="0">
      <w:start w:val="1"/>
      <w:numFmt w:val="chineseCountingThousand"/>
      <w:lvlText w:val="%1、"/>
      <w:lvlJc w:val="left"/>
      <w:pPr>
        <w:tabs>
          <w:tab w:val="num" w:pos="1545"/>
        </w:tabs>
        <w:ind w:left="1545" w:hanging="570"/>
      </w:pPr>
      <w:rPr>
        <w:sz w:val="28"/>
        <w:rFonts w:ascii="標楷體" w:hAnsi="標楷體" w:eastAsia="標楷體"/>
      </w:rPr>
    </w:lvl>
  </w:abstractNum>
  <w:abstractNum w:abstractNumId="12">
    <w:lvl w:ilvl="0">
      <w:start w:val="12"/>
      <w:numFmt w:val="decimal"/>
      <w:lvlText w:val="%1."/>
      <w:lvlJc w:val="left"/>
      <w:pPr>
        <w:tabs>
          <w:tab w:val="num" w:pos="420"/>
        </w:tabs>
        <w:ind w:left="420" w:hanging="420"/>
      </w:pPr>
      <w:rPr>
        <w:sz w:val="28"/>
        <w:i w:val="false"/>
        <w:u w:val="none"/>
        <w:b w:val="false"/>
        <w:rFonts w:ascii="超研澤細圓;細明體" w:hAnsi="超研澤細圓;細明體" w:eastAsia="超研澤細圓;細明體"/>
      </w:rPr>
    </w:lvl>
  </w:abstractNum>
  <w:abstractNum w:abstractNumId="13">
    <w:lvl w:ilvl="0">
      <w:start w:val="1"/>
      <w:numFmt w:val="chineseCountingThousand"/>
      <w:lvlText w:val="第%1節"/>
      <w:lvlJc w:val="left"/>
      <w:pPr>
        <w:tabs>
          <w:tab w:val="num" w:pos="1965"/>
        </w:tabs>
        <w:ind w:left="1965" w:hanging="1125"/>
      </w:pPr>
      <w:rPr>
        <w:sz w:val="28"/>
        <w:rFonts w:ascii="標楷體" w:hAnsi="標楷體" w:eastAsia="標楷體"/>
      </w:rPr>
    </w:lvl>
  </w:abstractNum>
  <w:abstractNum w:abstractNumId="14">
    <w:lvl w:ilvl="0">
      <w:start w:val="8"/>
      <w:numFmt w:val="chineseCountingThousand"/>
      <w:lvlText w:val="第%1章"/>
      <w:lvlJc w:val="left"/>
      <w:pPr>
        <w:tabs>
          <w:tab w:val="num" w:pos="1290"/>
        </w:tabs>
        <w:ind w:left="1290" w:hanging="870"/>
      </w:pPr>
      <w:rPr>
        <w:sz w:val="28"/>
        <w:rFonts w:ascii="標楷體" w:hAnsi="標楷體" w:eastAsia="標楷體"/>
      </w:rPr>
    </w:lvl>
  </w:abstractNum>
  <w:abstractNum w:abstractNumId="15">
    <w:lvl w:ilvl="0">
      <w:start w:val="1"/>
      <w:numFmt w:val="chineseCountingThousand"/>
      <w:lvlText w:val="第%1節"/>
      <w:lvlJc w:val="left"/>
      <w:pPr>
        <w:tabs>
          <w:tab w:val="num" w:pos="1815"/>
        </w:tabs>
        <w:ind w:left="1815" w:hanging="1110"/>
      </w:pPr>
      <w:rPr>
        <w:sz w:val="28"/>
        <w:rFonts w:ascii="標楷體" w:hAnsi="標楷體" w:eastAsia="標楷體"/>
      </w:rPr>
    </w:lvl>
  </w:abstractNum>
  <w:abstractNum w:abstractNumId="16">
    <w:lvl w:ilvl="0">
      <w:start w:val="1"/>
      <w:numFmt w:val="decimal"/>
      <w:lvlText w:val="%1."/>
      <w:lvlJc w:val="left"/>
      <w:pPr>
        <w:tabs>
          <w:tab w:val="num" w:pos="285"/>
        </w:tabs>
        <w:ind w:left="285" w:hanging="285"/>
      </w:pPr>
      <w:rPr>
        <w:sz w:val="28"/>
        <w:rFonts w:ascii="標楷體" w:hAnsi="標楷體" w:eastAsia="標楷體"/>
      </w:rPr>
    </w:lvl>
  </w:abstractNum>
  <w:abstractNum w:abstractNumId="17">
    <w:lvl w:ilvl="0">
      <w:start w:val="1"/>
      <w:numFmt w:val="chineseCountingThousand"/>
      <w:lvlText w:val="第%1節"/>
      <w:lvlJc w:val="left"/>
      <w:pPr>
        <w:tabs>
          <w:tab w:val="num" w:pos="1965"/>
        </w:tabs>
        <w:ind w:left="1965" w:hanging="1125"/>
      </w:pPr>
      <w:rPr>
        <w:sz w:val="28"/>
        <w:rFonts w:ascii="標楷體" w:hAnsi="標楷體" w:eastAsia="標楷體"/>
      </w:rPr>
    </w:lvl>
  </w:abstractNum>
  <w:abstractNum w:abstractNumId="18">
    <w:lvl w:ilvl="0">
      <w:start w:val="1"/>
      <w:numFmt w:val="chineseCountingThousand"/>
      <w:lvlText w:val="第%1章"/>
      <w:lvlJc w:val="left"/>
      <w:pPr>
        <w:tabs>
          <w:tab w:val="num" w:pos="1545"/>
        </w:tabs>
        <w:ind w:left="1545" w:hanging="1125"/>
      </w:pPr>
      <w:rPr>
        <w:sz w:val="28"/>
        <w:rFonts w:ascii="標楷體" w:hAnsi="標楷體" w:eastAsia="標楷體"/>
      </w:rPr>
    </w:lvl>
  </w:abstractNum>
  <w:abstractNum w:abstractNumId="19">
    <w:lvl w:ilvl="0">
      <w:numFmt w:val="bullet"/>
      <w:lvlText w:val=""/>
      <w:lvlJc w:val="left"/>
      <w:pPr>
        <w:tabs>
          <w:tab w:val="num" w:pos="425"/>
        </w:tabs>
        <w:ind w:left="1955" w:hanging="425"/>
      </w:pPr>
      <w:rPr>
        <w:rFonts w:ascii="Wingdings" w:hAnsi="Wingdings" w:cs="Wingdings" w:hint="default"/>
        <w:sz w:val="28"/>
        <w:rFonts w:cs="Wingdings"/>
      </w:rPr>
    </w:lvl>
  </w:abstractNum>
  <w:abstractNum w:abstractNumId="20">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w="http://schemas.openxmlformats.org/wordprocessingml/2006/main">
  <w:zoom w:percent="75"/>
  <w:defaultTabStop w:val="480"/>
  <w:compat>
    <w:doNotExpandShiftReturn/>
  </w:compat>
  <w:endnotePr>
    <w:numFmt w:val="lowerRoman"/>
    <w:endnote w:id="0"/>
    <w:endnote w:id="1"/>
  </w:end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Mono" w:cs="Noto Sans Devanagari UI"/>
        <w:szCs w:val="24"/>
        <w:lang w:val="en-US" w:eastAsia="zh-CN" w:bidi="hi-IN"/>
      </w:rPr>
    </w:rPrDefault>
    <w:pPrDefault>
      <w:pPr/>
    </w:pPrDefault>
  </w:docDefaults>
  <w:style w:type="paragraph" w:styleId="Normal">
    <w:name w:val="Normal"/>
    <w:qFormat/>
    <w:pPr>
      <w:widowControl w:val="false"/>
      <w:bidi w:val="0"/>
    </w:pPr>
    <w:rPr>
      <w:rFonts w:ascii="Times New Roman" w:hAnsi="Times New Roman" w:eastAsia="新細明體;PMingLiU" w:cs="Times New Roman"/>
      <w:color w:val="auto"/>
      <w:kern w:val="2"/>
      <w:sz w:val="24"/>
      <w:szCs w:val="20"/>
      <w:lang w:val="en-US" w:eastAsia="zh-TW" w:bidi="ar-SA"/>
    </w:rPr>
  </w:style>
  <w:style w:type="character" w:styleId="WW8Num1z0">
    <w:name w:val="WW8Num1z0"/>
    <w:qFormat/>
    <w:rPr/>
  </w:style>
  <w:style w:type="character" w:styleId="WW8Num2z0">
    <w:name w:val="WW8Num2z0"/>
    <w:qFormat/>
    <w:rPr>
      <w:rFonts w:ascii="標楷體" w:hAnsi="標楷體" w:eastAsia="標楷體"/>
      <w:sz w:val="28"/>
    </w:rPr>
  </w:style>
  <w:style w:type="character" w:styleId="WW8Num3z0">
    <w:name w:val="WW8Num3z0"/>
    <w:qFormat/>
    <w:rPr/>
  </w:style>
  <w:style w:type="character" w:styleId="WW8Num4z0">
    <w:name w:val="WW8Num4z0"/>
    <w:qFormat/>
    <w:rPr/>
  </w:style>
  <w:style w:type="character" w:styleId="WW8Num5z0">
    <w:name w:val="WW8Num5z0"/>
    <w:qFormat/>
    <w:rPr/>
  </w:style>
  <w:style w:type="character" w:styleId="WW8Num6z0">
    <w:name w:val="WW8Num6z0"/>
    <w:qFormat/>
    <w:rPr>
      <w:rFonts w:ascii="超研澤細圓;細明體" w:hAnsi="超研澤細圓;細明體" w:eastAsia="超研澤細圓;細明體"/>
      <w:b w:val="false"/>
      <w:i w:val="false"/>
      <w:sz w:val="28"/>
      <w:u w:val="none"/>
    </w:rPr>
  </w:style>
  <w:style w:type="character" w:styleId="WW8Num7z0">
    <w:name w:val="WW8Num7z0"/>
    <w:qFormat/>
    <w:rPr/>
  </w:style>
  <w:style w:type="character" w:styleId="WW8Num8z0">
    <w:name w:val="WW8Num8z0"/>
    <w:qFormat/>
    <w:rPr>
      <w:rFonts w:ascii="Wingdings" w:hAnsi="Wingdings" w:cs="Wingdings"/>
    </w:rPr>
  </w:style>
  <w:style w:type="character" w:styleId="WW8Num9z0">
    <w:name w:val="WW8Num9z0"/>
    <w:qFormat/>
    <w:rPr>
      <w:rFonts w:ascii="Times New Roman" w:hAnsi="Times New Roman" w:cs="Times New Roman"/>
      <w:b w:val="false"/>
      <w:i w:val="false"/>
      <w:sz w:val="28"/>
      <w:u w:val="none"/>
    </w:rPr>
  </w:style>
  <w:style w:type="character" w:styleId="WW8Num10z0">
    <w:name w:val="WW8Num10z0"/>
    <w:qFormat/>
    <w:rPr>
      <w:rFonts w:ascii="超研澤細圓;細明體" w:hAnsi="超研澤細圓;細明體" w:eastAsia="超研澤細圓;細明體"/>
      <w:b w:val="false"/>
      <w:i w:val="false"/>
      <w:sz w:val="28"/>
      <w:u w:val="none"/>
    </w:rPr>
  </w:style>
  <w:style w:type="character" w:styleId="WW8Num11z0">
    <w:name w:val="WW8Num11z0"/>
    <w:qFormat/>
    <w:rPr/>
  </w:style>
  <w:style w:type="character" w:styleId="WW8Num12z0">
    <w:name w:val="WW8Num12z0"/>
    <w:qFormat/>
    <w:rPr/>
  </w:style>
  <w:style w:type="character" w:styleId="WW8Num13z0">
    <w:name w:val="WW8Num13z0"/>
    <w:qFormat/>
    <w:rPr/>
  </w:style>
  <w:style w:type="character" w:styleId="WW8Num14z0">
    <w:name w:val="WW8Num14z0"/>
    <w:qFormat/>
    <w:rPr/>
  </w:style>
  <w:style w:type="character" w:styleId="WW8Num15z0">
    <w:name w:val="WW8Num15z0"/>
    <w:qFormat/>
    <w:rPr>
      <w:rFonts w:ascii="華康細圓體" w:hAnsi="華康細圓體" w:eastAsia="華康細圓體"/>
      <w:b w:val="false"/>
      <w:i w:val="false"/>
      <w:sz w:val="22"/>
      <w:u w:val="none"/>
    </w:rPr>
  </w:style>
  <w:style w:type="character" w:styleId="WW8Num16z0">
    <w:name w:val="WW8Num16z0"/>
    <w:qFormat/>
    <w:rPr/>
  </w:style>
  <w:style w:type="character" w:styleId="WW8Num17z0">
    <w:name w:val="WW8Num17z0"/>
    <w:qFormat/>
    <w:rPr/>
  </w:style>
  <w:style w:type="character" w:styleId="WW8Num18z0">
    <w:name w:val="WW8Num18z0"/>
    <w:qFormat/>
    <w:rPr/>
  </w:style>
  <w:style w:type="character" w:styleId="WW8Num19z0">
    <w:name w:val="WW8Num19z0"/>
    <w:qFormat/>
    <w:rPr>
      <w:rFonts w:ascii="全真楷書" w:hAnsi="全真楷書" w:eastAsia="全真楷書"/>
      <w:b w:val="false"/>
      <w:i w:val="false"/>
      <w:sz w:val="22"/>
      <w:u w:val="none"/>
    </w:rPr>
  </w:style>
  <w:style w:type="character" w:styleId="WW8Num20z0">
    <w:name w:val="WW8Num20z0"/>
    <w:qFormat/>
    <w:rPr/>
  </w:style>
  <w:style w:type="character" w:styleId="WW8Num21z0">
    <w:name w:val="WW8Num21z0"/>
    <w:qFormat/>
    <w:rPr>
      <w:rFonts w:ascii="超研澤細圓;細明體" w:hAnsi="超研澤細圓;細明體" w:eastAsia="超研澤細圓;細明體"/>
      <w:b w:val="false"/>
      <w:i w:val="false"/>
      <w:sz w:val="28"/>
      <w:u w:val="none"/>
    </w:rPr>
  </w:style>
  <w:style w:type="character" w:styleId="WW8Num22z0">
    <w:name w:val="WW8Num22z0"/>
    <w:qFormat/>
    <w:rPr>
      <w:rFonts w:ascii="新細明體;PMingLiU" w:hAnsi="新細明體;PMingLiU"/>
    </w:rPr>
  </w:style>
  <w:style w:type="character" w:styleId="WW8Num23z0">
    <w:name w:val="WW8Num23z0"/>
    <w:qFormat/>
    <w:rPr>
      <w:rFonts w:ascii="標楷體" w:hAnsi="標楷體" w:eastAsia="標楷體"/>
      <w:sz w:val="28"/>
    </w:rPr>
  </w:style>
  <w:style w:type="character" w:styleId="WW8Num24z0">
    <w:name w:val="WW8Num24z0"/>
    <w:qFormat/>
    <w:rPr>
      <w:rFonts w:ascii="全真楷書" w:hAnsi="全真楷書" w:eastAsia="全真楷書"/>
      <w:b w:val="false"/>
      <w:i w:val="false"/>
      <w:sz w:val="22"/>
      <w:u w:val="none"/>
    </w:rPr>
  </w:style>
  <w:style w:type="character" w:styleId="WW8Num25z0">
    <w:name w:val="WW8Num25z0"/>
    <w:qFormat/>
    <w:rPr/>
  </w:style>
  <w:style w:type="character" w:styleId="WW8Num26z0">
    <w:name w:val="WW8Num26z0"/>
    <w:qFormat/>
    <w:rPr>
      <w:rFonts w:ascii="超研澤特圓;細明體" w:hAnsi="超研澤特圓;細明體" w:eastAsia="超研澤特圓;細明體"/>
      <w:b w:val="false"/>
      <w:i w:val="false"/>
      <w:sz w:val="28"/>
      <w:u w:val="none"/>
    </w:rPr>
  </w:style>
  <w:style w:type="character" w:styleId="WW8Num27z0">
    <w:name w:val="WW8Num27z0"/>
    <w:qFormat/>
    <w:rPr>
      <w:rFonts w:ascii="華康細圓體" w:hAnsi="華康細圓體" w:eastAsia="華康細圓體"/>
      <w:b w:val="false"/>
      <w:i w:val="false"/>
      <w:sz w:val="22"/>
      <w:u w:val="none"/>
    </w:rPr>
  </w:style>
  <w:style w:type="character" w:styleId="WW8Num28z0">
    <w:name w:val="WW8Num28z0"/>
    <w:qFormat/>
    <w:rPr/>
  </w:style>
  <w:style w:type="character" w:styleId="WW8Num29z0">
    <w:name w:val="WW8Num29z0"/>
    <w:qFormat/>
    <w:rPr>
      <w:rFonts w:ascii="超研澤細圓;細明體" w:hAnsi="超研澤細圓;細明體" w:eastAsia="超研澤細圓;細明體"/>
      <w:b w:val="false"/>
      <w:i w:val="false"/>
      <w:sz w:val="28"/>
      <w:u w:val="none"/>
    </w:rPr>
  </w:style>
  <w:style w:type="character" w:styleId="WW8Num30z0">
    <w:name w:val="WW8Num30z0"/>
    <w:qFormat/>
    <w:rPr>
      <w:rFonts w:ascii="標楷體" w:hAnsi="標楷體" w:eastAsia="標楷體"/>
      <w:sz w:val="28"/>
    </w:rPr>
  </w:style>
  <w:style w:type="character" w:styleId="WW8Num31z0">
    <w:name w:val="WW8Num31z0"/>
    <w:qFormat/>
    <w:rPr>
      <w:rFonts w:ascii="華康細圓體" w:hAnsi="華康細圓體" w:eastAsia="華康細圓體"/>
      <w:b w:val="false"/>
      <w:i w:val="false"/>
      <w:sz w:val="28"/>
      <w:u w:val="none"/>
    </w:rPr>
  </w:style>
  <w:style w:type="character" w:styleId="WW8Num32z0">
    <w:name w:val="WW8Num32z0"/>
    <w:qFormat/>
    <w:rPr/>
  </w:style>
  <w:style w:type="character" w:styleId="WW8Num33z0">
    <w:name w:val="WW8Num33z0"/>
    <w:qFormat/>
    <w:rPr/>
  </w:style>
  <w:style w:type="character" w:styleId="WW8Num34z0">
    <w:name w:val="WW8Num34z0"/>
    <w:qFormat/>
    <w:rPr/>
  </w:style>
  <w:style w:type="character" w:styleId="WW8Num35z0">
    <w:name w:val="WW8Num35z0"/>
    <w:qFormat/>
    <w:rPr/>
  </w:style>
  <w:style w:type="character" w:styleId="WW8Num36z0">
    <w:name w:val="WW8Num36z0"/>
    <w:qFormat/>
    <w:rPr>
      <w:rFonts w:ascii="標楷體" w:hAnsi="標楷體" w:eastAsia="標楷體"/>
      <w:sz w:val="28"/>
    </w:rPr>
  </w:style>
  <w:style w:type="character" w:styleId="WW8Num37z0">
    <w:name w:val="WW8Num37z0"/>
    <w:qFormat/>
    <w:rPr>
      <w:rFonts w:ascii="Times New Roman" w:hAnsi="Times New Roman" w:cs="Times New Roman"/>
      <w:b w:val="false"/>
      <w:i w:val="false"/>
      <w:sz w:val="28"/>
      <w:u w:val="none"/>
    </w:rPr>
  </w:style>
  <w:style w:type="character" w:styleId="WW8Num38z0">
    <w:name w:val="WW8Num38z0"/>
    <w:qFormat/>
    <w:rPr>
      <w:rFonts w:ascii="超研澤細圓;細明體" w:hAnsi="超研澤細圓;細明體" w:eastAsia="超研澤細圓;細明體"/>
      <w:b w:val="false"/>
      <w:i w:val="false"/>
      <w:sz w:val="22"/>
      <w:u w:val="none"/>
    </w:rPr>
  </w:style>
  <w:style w:type="character" w:styleId="WW8Num39z0">
    <w:name w:val="WW8Num39z0"/>
    <w:qFormat/>
    <w:rPr>
      <w:rFonts w:ascii="超研澤細圓;細明體" w:hAnsi="超研澤細圓;細明體" w:eastAsia="超研澤細圓;細明體"/>
      <w:b w:val="false"/>
      <w:i w:val="false"/>
      <w:sz w:val="22"/>
      <w:u w:val="none"/>
    </w:rPr>
  </w:style>
  <w:style w:type="character" w:styleId="WW8Num40z0">
    <w:name w:val="WW8Num40z0"/>
    <w:qFormat/>
    <w:rPr>
      <w:rFonts w:ascii="超研澤細圓;細明體" w:hAnsi="超研澤細圓;細明體" w:eastAsia="超研澤細圓;細明體"/>
      <w:b w:val="false"/>
      <w:i w:val="false"/>
      <w:sz w:val="28"/>
      <w:u w:val="none"/>
    </w:rPr>
  </w:style>
  <w:style w:type="character" w:styleId="WW8Num41z0">
    <w:name w:val="WW8Num41z0"/>
    <w:qFormat/>
    <w:rPr/>
  </w:style>
  <w:style w:type="character" w:styleId="WW8Num42z0">
    <w:name w:val="WW8Num42z0"/>
    <w:qFormat/>
    <w:rPr/>
  </w:style>
  <w:style w:type="character" w:styleId="WW8Num43z0">
    <w:name w:val="WW8Num43z0"/>
    <w:qFormat/>
    <w:rPr>
      <w:rFonts w:ascii="全真楷書" w:hAnsi="全真楷書" w:eastAsia="全真楷書"/>
      <w:b w:val="false"/>
      <w:i w:val="false"/>
      <w:sz w:val="22"/>
      <w:u w:val="none"/>
    </w:rPr>
  </w:style>
  <w:style w:type="character" w:styleId="WW8Num44z0">
    <w:name w:val="WW8Num44z0"/>
    <w:qFormat/>
    <w:rPr>
      <w:b/>
    </w:rPr>
  </w:style>
  <w:style w:type="character" w:styleId="WW8Num45z0">
    <w:name w:val="WW8Num45z0"/>
    <w:qFormat/>
    <w:rPr>
      <w:rFonts w:ascii="華康細圓體" w:hAnsi="華康細圓體" w:eastAsia="華康細圓體"/>
      <w:b w:val="false"/>
      <w:i w:val="false"/>
      <w:sz w:val="22"/>
      <w:u w:val="none"/>
    </w:rPr>
  </w:style>
  <w:style w:type="character" w:styleId="WW8Num46z0">
    <w:name w:val="WW8Num46z0"/>
    <w:qFormat/>
    <w:rPr/>
  </w:style>
  <w:style w:type="character" w:styleId="WW8Num47z0">
    <w:name w:val="WW8Num47z0"/>
    <w:qFormat/>
    <w:rPr>
      <w:rFonts w:ascii="標楷體" w:hAnsi="標楷體" w:eastAsia="標楷體"/>
      <w:sz w:val="28"/>
    </w:rPr>
  </w:style>
  <w:style w:type="character" w:styleId="WW8Num48z0">
    <w:name w:val="WW8Num48z0"/>
    <w:qFormat/>
    <w:rPr/>
  </w:style>
  <w:style w:type="character" w:styleId="WW8Num49z0">
    <w:name w:val="WW8Num49z0"/>
    <w:qFormat/>
    <w:rPr/>
  </w:style>
  <w:style w:type="character" w:styleId="WW8Num50z0">
    <w:name w:val="WW8Num50z0"/>
    <w:qFormat/>
    <w:rPr/>
  </w:style>
  <w:style w:type="character" w:styleId="WW8Num51z0">
    <w:name w:val="WW8Num51z0"/>
    <w:qFormat/>
    <w:rPr/>
  </w:style>
  <w:style w:type="character" w:styleId="WW8Num52z0">
    <w:name w:val="WW8Num52z0"/>
    <w:qFormat/>
    <w:rPr/>
  </w:style>
  <w:style w:type="character" w:styleId="WW8Num53z0">
    <w:name w:val="WW8Num53z0"/>
    <w:qFormat/>
    <w:rPr/>
  </w:style>
  <w:style w:type="character" w:styleId="WW8Num54z0">
    <w:name w:val="WW8Num54z0"/>
    <w:qFormat/>
    <w:rPr/>
  </w:style>
  <w:style w:type="character" w:styleId="WW8Num55z0">
    <w:name w:val="WW8Num55z0"/>
    <w:qFormat/>
    <w:rPr>
      <w:b/>
    </w:rPr>
  </w:style>
  <w:style w:type="character" w:styleId="WW8Num56z0">
    <w:name w:val="WW8Num56z0"/>
    <w:qFormat/>
    <w:rPr/>
  </w:style>
  <w:style w:type="character" w:styleId="WW8Num57z0">
    <w:name w:val="WW8Num57z0"/>
    <w:qFormat/>
    <w:rPr/>
  </w:style>
  <w:style w:type="character" w:styleId="WW8Num58z0">
    <w:name w:val="WW8Num58z0"/>
    <w:qFormat/>
    <w:rPr/>
  </w:style>
  <w:style w:type="character" w:styleId="WW8Num59z0">
    <w:name w:val="WW8Num59z0"/>
    <w:qFormat/>
    <w:rPr>
      <w:rFonts w:ascii="超研澤細圓;細明體" w:hAnsi="超研澤細圓;細明體" w:eastAsia="超研澤細圓;細明體"/>
      <w:b w:val="false"/>
      <w:i w:val="false"/>
      <w:sz w:val="22"/>
      <w:u w:val="none"/>
    </w:rPr>
  </w:style>
  <w:style w:type="character" w:styleId="WW8Num60z0">
    <w:name w:val="WW8Num60z0"/>
    <w:qFormat/>
    <w:rPr/>
  </w:style>
  <w:style w:type="character" w:styleId="WW8Num61z0">
    <w:name w:val="WW8Num61z0"/>
    <w:qFormat/>
    <w:rPr>
      <w:rFonts w:ascii="標楷體" w:hAnsi="標楷體" w:eastAsia="標楷體"/>
      <w:sz w:val="28"/>
    </w:rPr>
  </w:style>
  <w:style w:type="character" w:styleId="WW8Num62z0">
    <w:name w:val="WW8Num62z0"/>
    <w:qFormat/>
    <w:rPr>
      <w:rFonts w:ascii="全真楷書" w:hAnsi="全真楷書" w:eastAsia="全真楷書"/>
      <w:b w:val="false"/>
      <w:i w:val="false"/>
      <w:sz w:val="22"/>
      <w:u w:val="none"/>
    </w:rPr>
  </w:style>
  <w:style w:type="character" w:styleId="WW8Num63z0">
    <w:name w:val="WW8Num63z0"/>
    <w:qFormat/>
    <w:rPr/>
  </w:style>
  <w:style w:type="character" w:styleId="WW8Num64z0">
    <w:name w:val="WW8Num64z0"/>
    <w:qFormat/>
    <w:rPr/>
  </w:style>
  <w:style w:type="character" w:styleId="WW8Num65z0">
    <w:name w:val="WW8Num65z0"/>
    <w:qFormat/>
    <w:rPr>
      <w:rFonts w:ascii="標楷體" w:hAnsi="標楷體" w:eastAsia="標楷體"/>
      <w:sz w:val="28"/>
    </w:rPr>
  </w:style>
  <w:style w:type="character" w:styleId="WW8Num66z0">
    <w:name w:val="WW8Num66z0"/>
    <w:qFormat/>
    <w:rPr>
      <w:rFonts w:ascii="標楷體" w:hAnsi="標楷體" w:eastAsia="標楷體"/>
      <w:sz w:val="28"/>
    </w:rPr>
  </w:style>
  <w:style w:type="character" w:styleId="WW8Num67z0">
    <w:name w:val="WW8Num67z0"/>
    <w:qFormat/>
    <w:rPr>
      <w:rFonts w:ascii="標楷體" w:hAnsi="標楷體" w:eastAsia="標楷體"/>
      <w:sz w:val="28"/>
    </w:rPr>
  </w:style>
  <w:style w:type="character" w:styleId="WW8Num68z0">
    <w:name w:val="WW8Num68z0"/>
    <w:qFormat/>
    <w:rPr/>
  </w:style>
  <w:style w:type="character" w:styleId="WW8Num69z0">
    <w:name w:val="WW8Num69z0"/>
    <w:qFormat/>
    <w:rPr>
      <w:rFonts w:ascii="標楷體" w:hAnsi="標楷體" w:eastAsia="標楷體"/>
      <w:sz w:val="28"/>
    </w:rPr>
  </w:style>
  <w:style w:type="character" w:styleId="WW8Num70z0">
    <w:name w:val="WW8Num70z0"/>
    <w:qFormat/>
    <w:rPr>
      <w:rFonts w:ascii="超研澤細圓;細明體" w:hAnsi="超研澤細圓;細明體" w:eastAsia="超研澤細圓;細明體"/>
      <w:b w:val="false"/>
      <w:i w:val="false"/>
      <w:sz w:val="22"/>
      <w:u w:val="none"/>
    </w:rPr>
  </w:style>
  <w:style w:type="character" w:styleId="WW8Num71z0">
    <w:name w:val="WW8Num71z0"/>
    <w:qFormat/>
    <w:rPr/>
  </w:style>
  <w:style w:type="character" w:styleId="WW8Num72z0">
    <w:name w:val="WW8Num72z0"/>
    <w:qFormat/>
    <w:rPr/>
  </w:style>
  <w:style w:type="character" w:styleId="WW8Num73z0">
    <w:name w:val="WW8Num73z0"/>
    <w:qFormat/>
    <w:rPr/>
  </w:style>
  <w:style w:type="character" w:styleId="WW8NumSt18z0">
    <w:name w:val="WW8NumSt18z0"/>
    <w:qFormat/>
    <w:rPr>
      <w:rFonts w:ascii="Wingdings" w:hAnsi="Wingdings" w:eastAsia="標楷體" w:cs="Wingdings"/>
      <w:sz w:val="28"/>
    </w:rPr>
  </w:style>
  <w:style w:type="character" w:styleId="WW8NumSt33z0">
    <w:name w:val="WW8NumSt33z0"/>
    <w:qFormat/>
    <w:rPr>
      <w:rFonts w:ascii="Wingdings" w:hAnsi="Wingdings" w:cs="Wingdings"/>
      <w:b w:val="false"/>
      <w:i w:val="false"/>
      <w:sz w:val="28"/>
      <w:u w:val="none"/>
    </w:rPr>
  </w:style>
  <w:style w:type="character" w:styleId="WW8NumSt69z0">
    <w:name w:val="WW8NumSt69z0"/>
    <w:qFormat/>
    <w:rPr>
      <w:rFonts w:ascii="華康細圓體" w:hAnsi="華康細圓體" w:eastAsia="華康細圓體"/>
      <w:b w:val="false"/>
      <w:i w:val="false"/>
      <w:sz w:val="22"/>
      <w:u w:val="none"/>
    </w:rPr>
  </w:style>
  <w:style w:type="character" w:styleId="WW8NumSt71z0">
    <w:name w:val="WW8NumSt71z0"/>
    <w:qFormat/>
    <w:rPr>
      <w:rFonts w:ascii="華康細圓體" w:hAnsi="華康細圓體" w:eastAsia="華康細圓體"/>
      <w:b w:val="false"/>
      <w:i w:val="false"/>
      <w:sz w:val="22"/>
      <w:u w:val="none"/>
    </w:rPr>
  </w:style>
  <w:style w:type="character" w:styleId="Style14">
    <w:name w:val="預設段落字型"/>
    <w:qFormat/>
    <w:rPr/>
  </w:style>
  <w:style w:type="character" w:styleId="EndnoteCharacters">
    <w:name w:val="Endnote Characters"/>
    <w:basedOn w:val="Style14"/>
    <w:qFormat/>
    <w:rPr>
      <w:vertAlign w:val="superscript"/>
    </w:rPr>
  </w:style>
  <w:style w:type="character" w:styleId="PageNumber">
    <w:name w:val="Page Number"/>
    <w:basedOn w:val="Style14"/>
    <w:rPr/>
  </w:style>
  <w:style w:type="character" w:styleId="EndnoteAnchor">
    <w:name w:val="Endnote Anchor"/>
    <w:rPr>
      <w:vertAlign w:val="superscript"/>
    </w:rPr>
  </w:style>
  <w:style w:type="character" w:styleId="FootnoteAnchor">
    <w:name w:val="Footnote Anchor"/>
    <w:rPr>
      <w:vertAlign w:val="superscript"/>
    </w:rPr>
  </w:style>
  <w:style w:type="character" w:styleId="FootnoteCharacters">
    <w:name w:val="Footnote Characters"/>
    <w:qFormat/>
    <w:rPr/>
  </w:style>
  <w:style w:type="paragraph" w:styleId="Heading">
    <w:name w:val="Heading"/>
    <w:basedOn w:val="Normal"/>
    <w:next w:val="TextBody"/>
    <w:qFormat/>
    <w:pPr>
      <w:keepNext w:val="true"/>
      <w:spacing w:before="240" w:after="120"/>
    </w:pPr>
    <w:rPr>
      <w:rFonts w:ascii="Liberation Sans" w:hAnsi="Liberation Sans" w:eastAsia="DejaVu Sans Mono" w:cs="Noto Sans Devanagari UI"/>
      <w:sz w:val="28"/>
      <w:szCs w:val="28"/>
    </w:rPr>
  </w:style>
  <w:style w:type="paragraph" w:styleId="TextBody">
    <w:name w:val="Body Text"/>
    <w:basedOn w:val="Normal"/>
    <w:pPr>
      <w:snapToGrid w:val="false"/>
    </w:pPr>
    <w:rPr>
      <w:rFonts w:eastAsia="華康細圓體"/>
      <w:sz w:val="28"/>
    </w:rPr>
  </w:style>
  <w:style w:type="paragraph" w:styleId="List">
    <w:name w:val="List"/>
    <w:basedOn w:val="TextBody"/>
    <w:pPr/>
    <w:rPr>
      <w:rFonts w:cs="Noto Sans Devanagari UI"/>
    </w:rPr>
  </w:style>
  <w:style w:type="paragraph" w:styleId="Caption">
    <w:name w:val="Caption"/>
    <w:basedOn w:val="Normal"/>
    <w:qFormat/>
    <w:pPr>
      <w:suppressLineNumbers/>
      <w:spacing w:before="120" w:after="120"/>
    </w:pPr>
    <w:rPr>
      <w:rFonts w:cs="Noto Sans Devanagari UI"/>
      <w:i/>
      <w:iCs/>
      <w:sz w:val="24"/>
      <w:szCs w:val="24"/>
    </w:rPr>
  </w:style>
  <w:style w:type="paragraph" w:styleId="Index">
    <w:name w:val="Index"/>
    <w:basedOn w:val="Normal"/>
    <w:qFormat/>
    <w:pPr>
      <w:suppressLineNumbers/>
    </w:pPr>
    <w:rPr>
      <w:rFonts w:cs="Noto Sans Devanagari UI"/>
    </w:rPr>
  </w:style>
  <w:style w:type="paragraph" w:styleId="Style15">
    <w:name w:val="文件引導"/>
    <w:basedOn w:val="Normal"/>
    <w:qFormat/>
    <w:pPr>
      <w:shd w:fill="000080" w:val="clear"/>
    </w:pPr>
    <w:rPr>
      <w:rFonts w:ascii="Arial" w:hAnsi="Arial" w:cs="Arial"/>
    </w:rPr>
  </w:style>
  <w:style w:type="paragraph" w:styleId="TextBodyIndent">
    <w:name w:val="Body Text Indent"/>
    <w:basedOn w:val="Normal"/>
    <w:pPr>
      <w:tabs>
        <w:tab w:val="left" w:pos="3060" w:leader="none"/>
      </w:tabs>
      <w:snapToGrid w:val="false"/>
      <w:ind w:firstLine="540"/>
      <w:jc w:val="both"/>
    </w:pPr>
    <w:rPr>
      <w:sz w:val="28"/>
    </w:rPr>
  </w:style>
  <w:style w:type="paragraph" w:styleId="Endnote">
    <w:name w:val="Endnote Text"/>
    <w:basedOn w:val="Normal"/>
    <w:pPr>
      <w:spacing w:lineRule="atLeast" w:line="360"/>
      <w:textAlignment w:val="baseline"/>
    </w:pPr>
    <w:rPr>
      <w:rFonts w:eastAsia="細明體;MingLiU"/>
      <w:kern w:val="2"/>
    </w:rPr>
  </w:style>
  <w:style w:type="paragraph" w:styleId="2">
    <w:name w:val="本文縮排 2"/>
    <w:basedOn w:val="Normal"/>
    <w:qFormat/>
    <w:pPr>
      <w:ind w:left="1955" w:hanging="0"/>
    </w:pPr>
    <w:rPr>
      <w:rFonts w:ascii="超研澤細圓;細明體" w:hAnsi="超研澤細圓;細明體" w:eastAsia="超研澤細圓;細明體"/>
      <w:sz w:val="28"/>
    </w:rPr>
  </w:style>
  <w:style w:type="paragraph" w:styleId="21">
    <w:name w:val="本文 2"/>
    <w:basedOn w:val="Normal"/>
    <w:qFormat/>
    <w:pPr>
      <w:snapToGrid w:val="false"/>
      <w:spacing w:lineRule="atLeast" w:line="20"/>
      <w:jc w:val="both"/>
    </w:pPr>
    <w:rPr>
      <w:rFonts w:ascii="華康細圓體" w:hAnsi="華康細圓體" w:eastAsia="華康細圓體"/>
      <w:sz w:val="28"/>
    </w:rPr>
  </w:style>
  <w:style w:type="paragraph" w:styleId="3">
    <w:name w:val="本文縮排 3"/>
    <w:basedOn w:val="Normal"/>
    <w:qFormat/>
    <w:pPr>
      <w:snapToGrid w:val="false"/>
      <w:ind w:firstLine="555"/>
      <w:jc w:val="both"/>
    </w:pPr>
    <w:rPr>
      <w:rFonts w:ascii="華康細圓體" w:hAnsi="華康細圓體" w:eastAsia="華康細圓體"/>
      <w:sz w:val="28"/>
    </w:rPr>
  </w:style>
  <w:style w:type="paragraph" w:styleId="Footer">
    <w:name w:val="Footer"/>
    <w:basedOn w:val="Normal"/>
    <w:pPr>
      <w:tabs>
        <w:tab w:val="center" w:pos="4153" w:leader="none"/>
        <w:tab w:val="right" w:pos="8306" w:leader="none"/>
      </w:tabs>
      <w:spacing w:lineRule="atLeast" w:line="360"/>
      <w:textAlignment w:val="baseline"/>
    </w:pPr>
    <w:rPr>
      <w:kern w:val="2"/>
      <w:sz w:val="20"/>
    </w:rPr>
  </w:style>
  <w:style w:type="paragraph" w:styleId="Footnote">
    <w:name w:val="Footnote Text"/>
    <w:basedOn w:val="Normal"/>
    <w:pPr>
      <w:spacing w:lineRule="atLeast" w:line="360"/>
      <w:textAlignment w:val="baseline"/>
    </w:pPr>
    <w:rPr>
      <w:kern w:val="2"/>
      <w:sz w:val="20"/>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 w:type="numbering" w:styleId="WW8Num23">
    <w:name w:val="WW8Num23"/>
    <w:qFormat/>
  </w:style>
  <w:style w:type="numbering" w:styleId="WW8Num24">
    <w:name w:val="WW8Num24"/>
    <w:qFormat/>
  </w:style>
  <w:style w:type="numbering" w:styleId="WW8Num25">
    <w:name w:val="WW8Num25"/>
    <w:qFormat/>
  </w:style>
  <w:style w:type="numbering" w:styleId="WW8Num26">
    <w:name w:val="WW8Num26"/>
    <w:qFormat/>
  </w:style>
  <w:style w:type="numbering" w:styleId="WW8Num27">
    <w:name w:val="WW8Num27"/>
    <w:qFormat/>
  </w:style>
  <w:style w:type="numbering" w:styleId="WW8Num28">
    <w:name w:val="WW8Num28"/>
    <w:qFormat/>
  </w:style>
  <w:style w:type="numbering" w:styleId="WW8Num29">
    <w:name w:val="WW8Num29"/>
    <w:qFormat/>
  </w:style>
  <w:style w:type="numbering" w:styleId="WW8Num30">
    <w:name w:val="WW8Num30"/>
    <w:qFormat/>
  </w:style>
  <w:style w:type="numbering" w:styleId="WW8Num31">
    <w:name w:val="WW8Num31"/>
    <w:qFormat/>
  </w:style>
  <w:style w:type="numbering" w:styleId="WW8Num32">
    <w:name w:val="WW8Num32"/>
    <w:qFormat/>
  </w:style>
  <w:style w:type="numbering" w:styleId="WW8Num33">
    <w:name w:val="WW8Num33"/>
    <w:qFormat/>
  </w:style>
  <w:style w:type="numbering" w:styleId="WW8Num34">
    <w:name w:val="WW8Num34"/>
    <w:qFormat/>
  </w:style>
  <w:style w:type="numbering" w:styleId="WW8Num35">
    <w:name w:val="WW8Num35"/>
    <w:qFormat/>
  </w:style>
  <w:style w:type="numbering" w:styleId="WW8Num36">
    <w:name w:val="WW8Num36"/>
    <w:qFormat/>
  </w:style>
  <w:style w:type="numbering" w:styleId="WW8Num37">
    <w:name w:val="WW8Num37"/>
    <w:qFormat/>
  </w:style>
  <w:style w:type="numbering" w:styleId="WW8Num38">
    <w:name w:val="WW8Num38"/>
    <w:qFormat/>
  </w:style>
  <w:style w:type="numbering" w:styleId="WW8Num39">
    <w:name w:val="WW8Num39"/>
    <w:qFormat/>
  </w:style>
  <w:style w:type="numbering" w:styleId="WW8Num40">
    <w:name w:val="WW8Num40"/>
    <w:qFormat/>
  </w:style>
  <w:style w:type="numbering" w:styleId="WW8Num41">
    <w:name w:val="WW8Num41"/>
    <w:qFormat/>
  </w:style>
  <w:style w:type="numbering" w:styleId="WW8Num42">
    <w:name w:val="WW8Num42"/>
    <w:qFormat/>
  </w:style>
  <w:style w:type="numbering" w:styleId="WW8Num43">
    <w:name w:val="WW8Num43"/>
    <w:qFormat/>
  </w:style>
  <w:style w:type="numbering" w:styleId="WW8Num44">
    <w:name w:val="WW8Num44"/>
    <w:qFormat/>
  </w:style>
  <w:style w:type="numbering" w:styleId="WW8Num45">
    <w:name w:val="WW8Num45"/>
    <w:qFormat/>
  </w:style>
  <w:style w:type="numbering" w:styleId="WW8Num46">
    <w:name w:val="WW8Num46"/>
    <w:qFormat/>
  </w:style>
  <w:style w:type="numbering" w:styleId="WW8Num47">
    <w:name w:val="WW8Num47"/>
    <w:qFormat/>
  </w:style>
  <w:style w:type="numbering" w:styleId="WW8Num48">
    <w:name w:val="WW8Num48"/>
    <w:qFormat/>
  </w:style>
  <w:style w:type="numbering" w:styleId="WW8Num49">
    <w:name w:val="WW8Num49"/>
    <w:qFormat/>
  </w:style>
  <w:style w:type="numbering" w:styleId="WW8Num50">
    <w:name w:val="WW8Num50"/>
    <w:qFormat/>
  </w:style>
  <w:style w:type="numbering" w:styleId="WW8Num51">
    <w:name w:val="WW8Num51"/>
    <w:qFormat/>
  </w:style>
  <w:style w:type="numbering" w:styleId="WW8Num52">
    <w:name w:val="WW8Num52"/>
    <w:qFormat/>
  </w:style>
  <w:style w:type="numbering" w:styleId="WW8Num53">
    <w:name w:val="WW8Num53"/>
    <w:qFormat/>
  </w:style>
  <w:style w:type="numbering" w:styleId="WW8Num54">
    <w:name w:val="WW8Num54"/>
    <w:qFormat/>
  </w:style>
  <w:style w:type="numbering" w:styleId="WW8Num55">
    <w:name w:val="WW8Num55"/>
    <w:qFormat/>
  </w:style>
  <w:style w:type="numbering" w:styleId="WW8Num56">
    <w:name w:val="WW8Num56"/>
    <w:qFormat/>
  </w:style>
  <w:style w:type="numbering" w:styleId="WW8Num57">
    <w:name w:val="WW8Num57"/>
    <w:qFormat/>
  </w:style>
  <w:style w:type="numbering" w:styleId="WW8Num58">
    <w:name w:val="WW8Num58"/>
    <w:qFormat/>
  </w:style>
  <w:style w:type="numbering" w:styleId="WW8Num59">
    <w:name w:val="WW8Num59"/>
    <w:qFormat/>
  </w:style>
  <w:style w:type="numbering" w:styleId="WW8Num60">
    <w:name w:val="WW8Num60"/>
    <w:qFormat/>
  </w:style>
  <w:style w:type="numbering" w:styleId="WW8Num61">
    <w:name w:val="WW8Num61"/>
    <w:qFormat/>
  </w:style>
  <w:style w:type="numbering" w:styleId="WW8Num62">
    <w:name w:val="WW8Num62"/>
    <w:qFormat/>
  </w:style>
  <w:style w:type="numbering" w:styleId="WW8Num63">
    <w:name w:val="WW8Num63"/>
    <w:qFormat/>
  </w:style>
  <w:style w:type="numbering" w:styleId="WW8Num64">
    <w:name w:val="WW8Num64"/>
    <w:qFormat/>
  </w:style>
  <w:style w:type="numbering" w:styleId="WW8Num65">
    <w:name w:val="WW8Num65"/>
    <w:qFormat/>
  </w:style>
  <w:style w:type="numbering" w:styleId="WW8Num66">
    <w:name w:val="WW8Num66"/>
    <w:qFormat/>
  </w:style>
  <w:style w:type="numbering" w:styleId="WW8Num67">
    <w:name w:val="WW8Num67"/>
    <w:qFormat/>
  </w:style>
  <w:style w:type="numbering" w:styleId="WW8Num68">
    <w:name w:val="WW8Num68"/>
    <w:qFormat/>
  </w:style>
  <w:style w:type="numbering" w:styleId="WW8Num69">
    <w:name w:val="WW8Num69"/>
    <w:qFormat/>
  </w:style>
  <w:style w:type="numbering" w:styleId="WW8Num70">
    <w:name w:val="WW8Num70"/>
    <w:qFormat/>
  </w:style>
  <w:style w:type="numbering" w:styleId="WW8Num71">
    <w:name w:val="WW8Num71"/>
    <w:qFormat/>
  </w:style>
  <w:style w:type="numbering" w:styleId="WW8Num72">
    <w:name w:val="WW8Num72"/>
    <w:qFormat/>
  </w:style>
  <w:style w:type="numbering" w:styleId="WW8Num73">
    <w:name w:val="WW8Num7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footer" Target="footer2.xml"/><Relationship Id="rId7" Type="http://schemas.openxmlformats.org/officeDocument/2006/relationships/endnotes" Target="endnotes.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Template>
  <TotalTime>56</TotalTime>
  <Application>LibreOffice/5.4.7.2$Linux_X86_64 LibreOffice_project/c838ef25c16710f8838b1faec480ebba495259d0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2000-12-14T02:10:00Z</dcterms:created>
  <dc:creator>湯國材</dc:creator>
  <dc:description/>
  <dc:language>en-US</dc:language>
  <cp:lastModifiedBy>Royal</cp:lastModifiedBy>
  <cp:lastPrinted>2001-01-08T09:03:00Z</cp:lastPrinted>
  <dcterms:modified xsi:type="dcterms:W3CDTF">2005-09-19T00:31:00Z</dcterms:modified>
  <cp:revision>7</cp:revision>
  <dc:subject/>
  <dc:title>目錄</dc:title>
</cp:coreProperties>
</file>