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3C38" w14:textId="77777777" w:rsidR="00000000" w:rsidRDefault="00533D0F">
      <w:pPr>
        <w:pStyle w:val="a7"/>
        <w:rPr>
          <w:rFonts w:hint="eastAsia"/>
        </w:rPr>
      </w:pPr>
      <w:r>
        <w:rPr>
          <w:rFonts w:hint="eastAsia"/>
        </w:rPr>
        <w:t>曾經營中藥者申請繼續經營中藥販賣業務處理原則</w:t>
      </w:r>
    </w:p>
    <w:p w14:paraId="5A08D19C" w14:textId="77777777" w:rsidR="00000000" w:rsidRDefault="00533D0F">
      <w:pPr>
        <w:ind w:left="280" w:hangingChars="100" w:hanging="280"/>
        <w:rPr>
          <w:rFonts w:eastAsia="標楷體" w:hint="eastAsia"/>
          <w:sz w:val="28"/>
        </w:rPr>
      </w:pPr>
      <w:r>
        <w:rPr>
          <w:rFonts w:eastAsia="標楷體" w:hint="eastAsia"/>
          <w:sz w:val="28"/>
        </w:rPr>
        <w:tab/>
        <w:t xml:space="preserve">                                                96.08.15</w:t>
      </w:r>
    </w:p>
    <w:p w14:paraId="1F5E4064" w14:textId="77777777" w:rsidR="00000000" w:rsidRDefault="00533D0F">
      <w:pPr>
        <w:numPr>
          <w:ilvl w:val="0"/>
          <w:numId w:val="3"/>
        </w:numPr>
        <w:spacing w:line="500" w:lineRule="exact"/>
        <w:rPr>
          <w:rFonts w:eastAsia="標楷體" w:hint="eastAsia"/>
          <w:sz w:val="28"/>
        </w:rPr>
      </w:pPr>
      <w:r>
        <w:rPr>
          <w:rFonts w:eastAsia="標楷體" w:hint="eastAsia"/>
          <w:sz w:val="28"/>
        </w:rPr>
        <w:t>申請人資格</w:t>
      </w:r>
    </w:p>
    <w:p w14:paraId="7DD90A53" w14:textId="77777777" w:rsidR="00000000" w:rsidRDefault="00533D0F">
      <w:pPr>
        <w:spacing w:line="500" w:lineRule="exact"/>
        <w:ind w:leftChars="117" w:left="1121" w:hangingChars="300" w:hanging="840"/>
        <w:rPr>
          <w:rFonts w:eastAsia="標楷體" w:hint="eastAsia"/>
          <w:sz w:val="28"/>
        </w:rPr>
      </w:pPr>
      <w:r>
        <w:rPr>
          <w:rFonts w:eastAsia="標楷體" w:hint="eastAsia"/>
          <w:sz w:val="28"/>
        </w:rPr>
        <w:t>（一）須符合藥事法第</w:t>
      </w:r>
      <w:r>
        <w:rPr>
          <w:rFonts w:eastAsia="標楷體" w:hint="eastAsia"/>
          <w:sz w:val="28"/>
        </w:rPr>
        <w:t>103</w:t>
      </w:r>
      <w:r>
        <w:rPr>
          <w:rFonts w:eastAsia="標楷體" w:hint="eastAsia"/>
          <w:sz w:val="28"/>
        </w:rPr>
        <w:t>條第</w:t>
      </w:r>
      <w:r>
        <w:rPr>
          <w:rFonts w:eastAsia="標楷體" w:hint="eastAsia"/>
          <w:sz w:val="28"/>
        </w:rPr>
        <w:t>2</w:t>
      </w:r>
      <w:r>
        <w:rPr>
          <w:rFonts w:eastAsia="標楷體" w:hint="eastAsia"/>
          <w:sz w:val="28"/>
        </w:rPr>
        <w:t>項規定，於民國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日前，已經營中藥者。</w:t>
      </w:r>
    </w:p>
    <w:p w14:paraId="0A6E15BB" w14:textId="77777777" w:rsidR="00000000" w:rsidRDefault="00533D0F">
      <w:pPr>
        <w:spacing w:line="500" w:lineRule="exact"/>
        <w:ind w:firstLineChars="100" w:firstLine="280"/>
        <w:rPr>
          <w:rFonts w:eastAsia="標楷體" w:hint="eastAsia"/>
          <w:sz w:val="28"/>
        </w:rPr>
      </w:pPr>
      <w:r>
        <w:rPr>
          <w:rFonts w:eastAsia="標楷體" w:hint="eastAsia"/>
          <w:sz w:val="28"/>
        </w:rPr>
        <w:t>（二）證明文件</w:t>
      </w:r>
    </w:p>
    <w:p w14:paraId="3C4458E9" w14:textId="77777777" w:rsidR="00000000" w:rsidRDefault="00533D0F">
      <w:pPr>
        <w:spacing w:line="500" w:lineRule="exact"/>
        <w:ind w:leftChars="117" w:left="1121" w:hangingChars="300" w:hanging="840"/>
        <w:rPr>
          <w:rFonts w:eastAsia="標楷體" w:hint="eastAsia"/>
          <w:sz w:val="28"/>
          <w:szCs w:val="20"/>
        </w:rPr>
      </w:pPr>
      <w:r>
        <w:rPr>
          <w:rFonts w:eastAsia="標楷體" w:hint="eastAsia"/>
          <w:sz w:val="28"/>
        </w:rPr>
        <w:t xml:space="preserve">    1.</w:t>
      </w:r>
      <w:r>
        <w:rPr>
          <w:rFonts w:eastAsia="標楷體" w:hint="eastAsia"/>
          <w:sz w:val="28"/>
        </w:rPr>
        <w:t>應檢具下列資料之</w:t>
      </w:r>
      <w:proofErr w:type="gramStart"/>
      <w:r>
        <w:rPr>
          <w:rFonts w:eastAsia="標楷體" w:hint="eastAsia"/>
          <w:sz w:val="28"/>
        </w:rPr>
        <w:t>ㄧ</w:t>
      </w:r>
      <w:proofErr w:type="gramEnd"/>
      <w:r>
        <w:rPr>
          <w:rFonts w:eastAsia="標楷體" w:hint="eastAsia"/>
          <w:sz w:val="28"/>
          <w:szCs w:val="20"/>
        </w:rPr>
        <w:t>：</w:t>
      </w:r>
    </w:p>
    <w:p w14:paraId="2513C268" w14:textId="77777777" w:rsidR="00000000" w:rsidRDefault="00533D0F">
      <w:pPr>
        <w:numPr>
          <w:ilvl w:val="0"/>
          <w:numId w:val="9"/>
        </w:numPr>
        <w:spacing w:line="500" w:lineRule="exact"/>
        <w:rPr>
          <w:rFonts w:eastAsia="標楷體" w:hint="eastAsia"/>
          <w:sz w:val="28"/>
          <w:szCs w:val="20"/>
        </w:rPr>
      </w:pPr>
      <w:r>
        <w:rPr>
          <w:rFonts w:eastAsia="標楷體" w:hint="eastAsia"/>
          <w:sz w:val="28"/>
          <w:szCs w:val="20"/>
        </w:rPr>
        <w:t>地方衛生主管機關查核登記有案之文件資料。</w:t>
      </w:r>
    </w:p>
    <w:p w14:paraId="0215C882" w14:textId="77777777" w:rsidR="00000000" w:rsidRDefault="00533D0F">
      <w:pPr>
        <w:numPr>
          <w:ilvl w:val="0"/>
          <w:numId w:val="9"/>
        </w:numPr>
        <w:spacing w:line="500" w:lineRule="exact"/>
        <w:rPr>
          <w:rFonts w:eastAsia="標楷體" w:hint="eastAsia"/>
          <w:sz w:val="28"/>
        </w:rPr>
      </w:pPr>
      <w:r>
        <w:rPr>
          <w:rFonts w:eastAsia="標楷體" w:hint="eastAsia"/>
          <w:sz w:val="28"/>
          <w:szCs w:val="20"/>
        </w:rPr>
        <w:t>公司執照或營利事業登記資料。</w:t>
      </w:r>
    </w:p>
    <w:p w14:paraId="18B9C399" w14:textId="77777777" w:rsidR="00000000" w:rsidRDefault="00533D0F">
      <w:pPr>
        <w:numPr>
          <w:ilvl w:val="0"/>
          <w:numId w:val="9"/>
        </w:numPr>
        <w:spacing w:line="500" w:lineRule="exact"/>
        <w:rPr>
          <w:rFonts w:eastAsia="標楷體" w:hint="eastAsia"/>
          <w:sz w:val="28"/>
        </w:rPr>
      </w:pPr>
      <w:r>
        <w:rPr>
          <w:rFonts w:eastAsia="標楷體" w:hint="eastAsia"/>
          <w:sz w:val="28"/>
          <w:szCs w:val="20"/>
        </w:rPr>
        <w:t>由直轄市、</w:t>
      </w:r>
      <w:r>
        <w:rPr>
          <w:rFonts w:eastAsia="標楷體" w:hint="eastAsia"/>
          <w:sz w:val="28"/>
        </w:rPr>
        <w:t>縣（市）政府或其所屬衛生局、工商管理機關</w:t>
      </w:r>
      <w:r>
        <w:rPr>
          <w:rFonts w:eastAsia="標楷體" w:hint="eastAsia"/>
          <w:sz w:val="28"/>
          <w:szCs w:val="20"/>
        </w:rPr>
        <w:t>開具之證明文件。</w:t>
      </w:r>
    </w:p>
    <w:p w14:paraId="29918A0B" w14:textId="77777777" w:rsidR="00000000" w:rsidRDefault="00533D0F">
      <w:pPr>
        <w:spacing w:line="500" w:lineRule="exact"/>
        <w:ind w:leftChars="351" w:left="1122" w:hangingChars="100" w:hanging="280"/>
        <w:rPr>
          <w:rFonts w:eastAsia="標楷體" w:hint="eastAsia"/>
          <w:sz w:val="28"/>
        </w:rPr>
      </w:pPr>
      <w:r>
        <w:rPr>
          <w:rFonts w:eastAsia="標楷體" w:hint="eastAsia"/>
          <w:sz w:val="28"/>
        </w:rPr>
        <w:t>2.</w:t>
      </w:r>
      <w:r>
        <w:rPr>
          <w:rFonts w:eastAsia="標楷體" w:hint="eastAsia"/>
          <w:sz w:val="28"/>
        </w:rPr>
        <w:t>證明文件必須明確列有商號名稱、地址、負責人，經營事項須為「中藥」</w:t>
      </w:r>
      <w:r>
        <w:rPr>
          <w:rFonts w:eastAsia="標楷體" w:hint="eastAsia"/>
          <w:sz w:val="28"/>
        </w:rPr>
        <w:t>、「</w:t>
      </w:r>
      <w:proofErr w:type="gramStart"/>
      <w:r>
        <w:rPr>
          <w:rFonts w:eastAsia="標楷體" w:hint="eastAsia"/>
          <w:sz w:val="28"/>
        </w:rPr>
        <w:t>蔘</w:t>
      </w:r>
      <w:proofErr w:type="gramEnd"/>
      <w:r>
        <w:rPr>
          <w:rFonts w:eastAsia="標楷體" w:hint="eastAsia"/>
          <w:sz w:val="28"/>
        </w:rPr>
        <w:t>藥」或「漢藥」買賣，並註明負責人確為於民國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日前已經營中藥者。</w:t>
      </w:r>
    </w:p>
    <w:p w14:paraId="4F69A116" w14:textId="77777777" w:rsidR="00000000" w:rsidRDefault="00533D0F">
      <w:pPr>
        <w:spacing w:line="500" w:lineRule="exact"/>
        <w:ind w:leftChars="351" w:left="1122" w:hangingChars="100" w:hanging="280"/>
        <w:rPr>
          <w:rFonts w:eastAsia="標楷體" w:hint="eastAsia"/>
          <w:sz w:val="28"/>
        </w:rPr>
      </w:pPr>
      <w:r>
        <w:rPr>
          <w:rFonts w:eastAsia="標楷體" w:hint="eastAsia"/>
          <w:sz w:val="28"/>
        </w:rPr>
        <w:t>3.</w:t>
      </w:r>
      <w:r>
        <w:rPr>
          <w:rFonts w:eastAsia="標楷體" w:hint="eastAsia"/>
          <w:sz w:val="28"/>
        </w:rPr>
        <w:t>證明文件必須具備公文書要件，載有日期、文號及由主官簽章，且不得加</w:t>
      </w:r>
      <w:proofErr w:type="gramStart"/>
      <w:r>
        <w:rPr>
          <w:rFonts w:eastAsia="標楷體" w:hint="eastAsia"/>
          <w:sz w:val="28"/>
        </w:rPr>
        <w:t>註</w:t>
      </w:r>
      <w:proofErr w:type="gramEnd"/>
      <w:r>
        <w:rPr>
          <w:rFonts w:eastAsia="標楷體" w:hint="eastAsia"/>
          <w:sz w:val="28"/>
        </w:rPr>
        <w:t>附帶條件，如「本證明係依據某村里鄰長之陳述而核發」或「本證明如有不實由申請人自行負責」等文字。</w:t>
      </w:r>
    </w:p>
    <w:p w14:paraId="2255A1B6" w14:textId="77777777" w:rsidR="00000000" w:rsidRDefault="00533D0F">
      <w:pPr>
        <w:spacing w:line="500" w:lineRule="exact"/>
        <w:ind w:leftChars="351" w:left="1122" w:hangingChars="100" w:hanging="280"/>
        <w:rPr>
          <w:rFonts w:eastAsia="標楷體" w:hint="eastAsia"/>
          <w:sz w:val="28"/>
        </w:rPr>
      </w:pPr>
      <w:r>
        <w:rPr>
          <w:rFonts w:eastAsia="標楷體" w:hint="eastAsia"/>
          <w:sz w:val="28"/>
        </w:rPr>
        <w:t>4.</w:t>
      </w:r>
      <w:r>
        <w:rPr>
          <w:rFonts w:eastAsia="標楷體" w:hint="eastAsia"/>
          <w:sz w:val="28"/>
        </w:rPr>
        <w:t>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日前經營中藥之處所，其地址如與現行申請之地址不同時，必須另行檢具下列資料：</w:t>
      </w:r>
    </w:p>
    <w:p w14:paraId="4A2978FE" w14:textId="77777777" w:rsidR="00000000" w:rsidRDefault="00533D0F">
      <w:pPr>
        <w:numPr>
          <w:ilvl w:val="0"/>
          <w:numId w:val="12"/>
        </w:numPr>
        <w:spacing w:line="500" w:lineRule="exact"/>
        <w:rPr>
          <w:rFonts w:eastAsia="標楷體" w:hint="eastAsia"/>
          <w:sz w:val="28"/>
        </w:rPr>
      </w:pPr>
      <w:r>
        <w:rPr>
          <w:rFonts w:eastAsia="標楷體" w:hint="eastAsia"/>
          <w:sz w:val="28"/>
        </w:rPr>
        <w:t>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日前</w:t>
      </w:r>
      <w:r>
        <w:rPr>
          <w:rFonts w:eastAsia="標楷體" w:hint="eastAsia"/>
          <w:sz w:val="28"/>
          <w:szCs w:val="20"/>
        </w:rPr>
        <w:t>經營中藥處所地址之證明文件</w:t>
      </w:r>
      <w:r>
        <w:rPr>
          <w:rFonts w:eastAsia="標楷體" w:hint="eastAsia"/>
          <w:sz w:val="28"/>
        </w:rPr>
        <w:t>。</w:t>
      </w:r>
    </w:p>
    <w:p w14:paraId="341372C1" w14:textId="77777777" w:rsidR="00000000" w:rsidRDefault="00533D0F">
      <w:pPr>
        <w:numPr>
          <w:ilvl w:val="0"/>
          <w:numId w:val="12"/>
        </w:numPr>
        <w:spacing w:line="500" w:lineRule="exact"/>
        <w:rPr>
          <w:rFonts w:eastAsia="標楷體" w:hint="eastAsia"/>
          <w:sz w:val="28"/>
        </w:rPr>
      </w:pPr>
      <w:r>
        <w:rPr>
          <w:rFonts w:eastAsia="標楷體" w:hint="eastAsia"/>
          <w:sz w:val="28"/>
        </w:rPr>
        <w:t>足以證明異動前後之地址</w:t>
      </w:r>
      <w:proofErr w:type="gramStart"/>
      <w:r>
        <w:rPr>
          <w:rFonts w:eastAsia="標楷體" w:hint="eastAsia"/>
          <w:sz w:val="28"/>
        </w:rPr>
        <w:t>及其異動</w:t>
      </w:r>
      <w:proofErr w:type="gramEnd"/>
      <w:r>
        <w:rPr>
          <w:rFonts w:eastAsia="標楷體" w:hint="eastAsia"/>
          <w:sz w:val="28"/>
        </w:rPr>
        <w:t>日期之戶籍資料，或</w:t>
      </w:r>
      <w:r>
        <w:rPr>
          <w:rFonts w:eastAsia="標楷體" w:hint="eastAsia"/>
          <w:sz w:val="28"/>
        </w:rPr>
        <w:t xml:space="preserve"> </w:t>
      </w:r>
      <w:r>
        <w:rPr>
          <w:rFonts w:eastAsia="標楷體" w:hint="eastAsia"/>
          <w:sz w:val="28"/>
        </w:rPr>
        <w:t>由現地址之村、里長或中藥商業同業公會出具相關證明文件。</w:t>
      </w:r>
    </w:p>
    <w:p w14:paraId="69261EB7" w14:textId="77777777" w:rsidR="00000000" w:rsidRDefault="00533D0F">
      <w:pPr>
        <w:spacing w:line="500" w:lineRule="exact"/>
        <w:ind w:leftChars="117" w:left="1121" w:hangingChars="300" w:hanging="840"/>
        <w:rPr>
          <w:rFonts w:eastAsia="標楷體" w:hint="eastAsia"/>
          <w:sz w:val="28"/>
        </w:rPr>
      </w:pPr>
      <w:r>
        <w:rPr>
          <w:rFonts w:eastAsia="標楷體" w:hint="eastAsia"/>
          <w:sz w:val="28"/>
        </w:rPr>
        <w:t>（三）修習下列</w:t>
      </w:r>
      <w:r>
        <w:rPr>
          <w:rFonts w:eastAsia="標楷體" w:hint="eastAsia"/>
          <w:sz w:val="28"/>
        </w:rPr>
        <w:t>中藥課程達適當標準</w:t>
      </w:r>
      <w:r>
        <w:rPr>
          <w:rFonts w:ascii="標楷體" w:eastAsia="標楷體" w:hAnsi="標楷體"/>
          <w:sz w:val="28"/>
        </w:rPr>
        <w:t>並經考試及格</w:t>
      </w:r>
      <w:r>
        <w:rPr>
          <w:rFonts w:eastAsia="標楷體" w:hint="eastAsia"/>
          <w:sz w:val="28"/>
        </w:rPr>
        <w:t>之證明文件：</w:t>
      </w:r>
    </w:p>
    <w:p w14:paraId="7675530E" w14:textId="77777777" w:rsidR="00000000" w:rsidRDefault="00533D0F">
      <w:pPr>
        <w:pStyle w:val="a6"/>
        <w:spacing w:line="500" w:lineRule="exact"/>
        <w:ind w:leftChars="351" w:left="1122" w:hangingChars="100" w:hanging="280"/>
        <w:rPr>
          <w:rFonts w:ascii="Times New Roman" w:eastAsia="標楷體" w:hAnsi="Times New Roman"/>
          <w:szCs w:val="24"/>
        </w:rPr>
      </w:pPr>
      <w:r>
        <w:rPr>
          <w:rFonts w:ascii="Times New Roman" w:eastAsia="標楷體" w:hAnsi="Times New Roman"/>
          <w:sz w:val="28"/>
          <w:szCs w:val="24"/>
        </w:rPr>
        <w:t>1.</w:t>
      </w:r>
      <w:r>
        <w:rPr>
          <w:rFonts w:ascii="Times New Roman" w:eastAsia="標楷體" w:hAnsi="Times New Roman"/>
          <w:sz w:val="28"/>
          <w:szCs w:val="24"/>
        </w:rPr>
        <w:t>中藥概論</w:t>
      </w:r>
      <w:r>
        <w:rPr>
          <w:rFonts w:ascii="Times New Roman" w:eastAsia="標楷體" w:hAnsi="Times New Roman"/>
          <w:sz w:val="28"/>
          <w:szCs w:val="24"/>
        </w:rPr>
        <w:t>18</w:t>
      </w:r>
      <w:r>
        <w:rPr>
          <w:rFonts w:ascii="Times New Roman" w:eastAsia="標楷體" w:hAnsi="Times New Roman"/>
          <w:sz w:val="28"/>
          <w:szCs w:val="24"/>
        </w:rPr>
        <w:t>小時以上，包括中藥發展史、中藥材之應用及其管理。</w:t>
      </w:r>
    </w:p>
    <w:p w14:paraId="0E00349A" w14:textId="77777777" w:rsidR="00000000" w:rsidRDefault="00533D0F">
      <w:pPr>
        <w:pStyle w:val="a6"/>
        <w:spacing w:line="500" w:lineRule="exact"/>
        <w:ind w:left="1200" w:hangingChars="500" w:hanging="1200"/>
        <w:rPr>
          <w:rFonts w:ascii="Times New Roman" w:eastAsia="標楷體" w:hAnsi="Times New Roman"/>
          <w:sz w:val="28"/>
          <w:szCs w:val="24"/>
        </w:rPr>
      </w:pPr>
      <w:r>
        <w:rPr>
          <w:rFonts w:ascii="Times New Roman" w:eastAsia="標楷體" w:hAnsi="Times New Roman"/>
          <w:szCs w:val="24"/>
        </w:rPr>
        <w:lastRenderedPageBreak/>
        <w:t xml:space="preserve"> </w:t>
      </w:r>
      <w:r>
        <w:rPr>
          <w:rFonts w:ascii="Times New Roman" w:eastAsia="標楷體" w:hAnsi="Times New Roman"/>
          <w:sz w:val="28"/>
          <w:szCs w:val="24"/>
        </w:rPr>
        <w:t xml:space="preserve">     2.</w:t>
      </w:r>
      <w:r>
        <w:rPr>
          <w:rFonts w:ascii="Times New Roman" w:eastAsia="標楷體" w:hAnsi="Times New Roman"/>
          <w:sz w:val="28"/>
          <w:szCs w:val="24"/>
        </w:rPr>
        <w:t>本草</w:t>
      </w:r>
      <w:r>
        <w:rPr>
          <w:rFonts w:ascii="Times New Roman" w:eastAsia="標楷體" w:hAnsi="Times New Roman"/>
          <w:sz w:val="28"/>
          <w:szCs w:val="24"/>
        </w:rPr>
        <w:t>18</w:t>
      </w:r>
      <w:r>
        <w:rPr>
          <w:rFonts w:ascii="Times New Roman" w:eastAsia="標楷體" w:hAnsi="Times New Roman"/>
          <w:sz w:val="28"/>
          <w:szCs w:val="24"/>
        </w:rPr>
        <w:t>小時以上，包括本草綱目、中藥之性能、配伍及禁忌之研討。</w:t>
      </w:r>
    </w:p>
    <w:p w14:paraId="38EEBCCE" w14:textId="77777777" w:rsidR="00000000" w:rsidRDefault="00533D0F">
      <w:pPr>
        <w:pStyle w:val="a6"/>
        <w:spacing w:line="500" w:lineRule="exact"/>
        <w:ind w:leftChars="375" w:left="1079" w:hangingChars="64" w:hanging="179"/>
        <w:rPr>
          <w:rFonts w:ascii="Times New Roman" w:eastAsia="標楷體" w:hAnsi="Times New Roman"/>
          <w:sz w:val="28"/>
          <w:szCs w:val="24"/>
        </w:rPr>
      </w:pPr>
      <w:r>
        <w:rPr>
          <w:rFonts w:ascii="Times New Roman" w:eastAsia="標楷體" w:hAnsi="Times New Roman"/>
          <w:sz w:val="28"/>
          <w:szCs w:val="24"/>
        </w:rPr>
        <w:t>3.</w:t>
      </w:r>
      <w:r>
        <w:rPr>
          <w:rFonts w:ascii="Times New Roman" w:eastAsia="標楷體" w:hAnsi="Times New Roman"/>
          <w:sz w:val="28"/>
          <w:szCs w:val="24"/>
        </w:rPr>
        <w:t>中藥炮製</w:t>
      </w:r>
      <w:r>
        <w:rPr>
          <w:rFonts w:ascii="Times New Roman" w:eastAsia="標楷體" w:hAnsi="Times New Roman"/>
          <w:sz w:val="28"/>
          <w:szCs w:val="24"/>
        </w:rPr>
        <w:t>36</w:t>
      </w:r>
      <w:r>
        <w:rPr>
          <w:rFonts w:ascii="Times New Roman" w:eastAsia="標楷體" w:hAnsi="Times New Roman"/>
          <w:sz w:val="28"/>
          <w:szCs w:val="24"/>
        </w:rPr>
        <w:t>小時以上，包括中藥材之煉、炮、炙、煨、伏、</w:t>
      </w:r>
      <w:proofErr w:type="gramStart"/>
      <w:r>
        <w:rPr>
          <w:rFonts w:ascii="Times New Roman" w:eastAsia="標楷體" w:hAnsi="Times New Roman"/>
          <w:sz w:val="28"/>
          <w:szCs w:val="24"/>
        </w:rPr>
        <w:t>曝及其他</w:t>
      </w:r>
      <w:proofErr w:type="gramEnd"/>
      <w:r>
        <w:rPr>
          <w:rFonts w:ascii="Times New Roman" w:eastAsia="標楷體" w:hAnsi="Times New Roman"/>
          <w:sz w:val="28"/>
          <w:szCs w:val="24"/>
        </w:rPr>
        <w:t>加工調製方法之研究及其實驗。</w:t>
      </w:r>
    </w:p>
    <w:p w14:paraId="39CE01E7" w14:textId="77777777" w:rsidR="00000000" w:rsidRDefault="00533D0F">
      <w:pPr>
        <w:pStyle w:val="a6"/>
        <w:spacing w:line="500" w:lineRule="exact"/>
        <w:ind w:leftChars="351" w:left="1122" w:hangingChars="100" w:hanging="280"/>
        <w:rPr>
          <w:rFonts w:ascii="Times New Roman" w:eastAsia="標楷體" w:hAnsi="Times New Roman"/>
          <w:sz w:val="28"/>
          <w:szCs w:val="24"/>
        </w:rPr>
      </w:pPr>
      <w:r>
        <w:rPr>
          <w:rFonts w:ascii="Times New Roman" w:eastAsia="標楷體" w:hAnsi="Times New Roman"/>
          <w:sz w:val="28"/>
          <w:szCs w:val="24"/>
        </w:rPr>
        <w:t>4.</w:t>
      </w:r>
      <w:r>
        <w:rPr>
          <w:rFonts w:ascii="Times New Roman" w:eastAsia="標楷體" w:hAnsi="Times New Roman"/>
          <w:sz w:val="28"/>
          <w:szCs w:val="24"/>
        </w:rPr>
        <w:t>生藥學</w:t>
      </w:r>
      <w:r>
        <w:rPr>
          <w:rFonts w:ascii="Times New Roman" w:eastAsia="標楷體" w:hAnsi="Times New Roman"/>
          <w:sz w:val="28"/>
          <w:szCs w:val="24"/>
        </w:rPr>
        <w:t>72</w:t>
      </w:r>
      <w:r>
        <w:rPr>
          <w:rFonts w:ascii="Times New Roman" w:eastAsia="標楷體" w:hAnsi="Times New Roman"/>
          <w:sz w:val="28"/>
          <w:szCs w:val="24"/>
        </w:rPr>
        <w:t>小時以上，包括藥材辨識、藥用植物、動物、礦物學及各該藥物藥理、藥效之分析研究及其實驗。</w:t>
      </w:r>
    </w:p>
    <w:p w14:paraId="2F2BD74E" w14:textId="77777777" w:rsidR="00000000" w:rsidRDefault="00533D0F">
      <w:pPr>
        <w:spacing w:line="500" w:lineRule="exact"/>
        <w:ind w:leftChars="375" w:left="1110" w:hangingChars="75" w:hanging="210"/>
        <w:rPr>
          <w:rFonts w:eastAsia="標楷體" w:hint="eastAsia"/>
          <w:sz w:val="28"/>
        </w:rPr>
      </w:pPr>
      <w:r>
        <w:rPr>
          <w:rFonts w:eastAsia="標楷體"/>
          <w:sz w:val="28"/>
        </w:rPr>
        <w:t>5.</w:t>
      </w:r>
      <w:r>
        <w:rPr>
          <w:rFonts w:eastAsia="標楷體"/>
          <w:sz w:val="28"/>
        </w:rPr>
        <w:t>藥事法規</w:t>
      </w:r>
      <w:r>
        <w:rPr>
          <w:rFonts w:eastAsia="標楷體"/>
          <w:sz w:val="28"/>
        </w:rPr>
        <w:t>18</w:t>
      </w:r>
      <w:r>
        <w:rPr>
          <w:rFonts w:eastAsia="標楷體"/>
          <w:sz w:val="28"/>
        </w:rPr>
        <w:t>小時</w:t>
      </w:r>
      <w:r>
        <w:rPr>
          <w:rFonts w:eastAsia="標楷體" w:hint="eastAsia"/>
          <w:sz w:val="28"/>
        </w:rPr>
        <w:t>以上，</w:t>
      </w:r>
      <w:r>
        <w:rPr>
          <w:rFonts w:ascii="標楷體" w:eastAsia="標楷體" w:hAnsi="標楷體"/>
          <w:sz w:val="28"/>
        </w:rPr>
        <w:t>包括藥事法及其施行細則。</w:t>
      </w:r>
    </w:p>
    <w:p w14:paraId="3FEFA3C0" w14:textId="77777777" w:rsidR="00000000" w:rsidRDefault="00533D0F">
      <w:pPr>
        <w:spacing w:line="500" w:lineRule="exact"/>
        <w:ind w:left="560" w:hangingChars="200" w:hanging="560"/>
        <w:rPr>
          <w:rFonts w:eastAsia="標楷體" w:hint="eastAsia"/>
          <w:sz w:val="28"/>
        </w:rPr>
      </w:pPr>
      <w:r>
        <w:rPr>
          <w:rFonts w:eastAsia="標楷體" w:hint="eastAsia"/>
          <w:sz w:val="28"/>
        </w:rPr>
        <w:t>二、申請及審查程序</w:t>
      </w:r>
    </w:p>
    <w:p w14:paraId="6769E379" w14:textId="77777777" w:rsidR="00000000" w:rsidRDefault="00533D0F">
      <w:pPr>
        <w:pStyle w:val="2"/>
        <w:tabs>
          <w:tab w:val="left" w:pos="720"/>
        </w:tabs>
        <w:ind w:leftChars="155" w:left="1212"/>
        <w:rPr>
          <w:rFonts w:hint="eastAsia"/>
        </w:rPr>
      </w:pPr>
      <w:r>
        <w:rPr>
          <w:rFonts w:hint="eastAsia"/>
        </w:rPr>
        <w:t>（一）申請人應先向所在地之中藥商公會申請，經初核後，</w:t>
      </w:r>
      <w:r>
        <w:rPr>
          <w:rFonts w:hint="eastAsia"/>
        </w:rPr>
        <w:t>由公會函轉各直轄市、縣（市）衛生局審查。</w:t>
      </w:r>
    </w:p>
    <w:p w14:paraId="64489A48" w14:textId="77777777" w:rsidR="00000000" w:rsidRDefault="00533D0F">
      <w:pPr>
        <w:pStyle w:val="2"/>
        <w:tabs>
          <w:tab w:val="left" w:pos="720"/>
        </w:tabs>
        <w:ind w:leftChars="155" w:left="1212"/>
        <w:rPr>
          <w:rFonts w:hint="eastAsia"/>
        </w:rPr>
      </w:pPr>
      <w:r>
        <w:rPr>
          <w:rFonts w:hint="eastAsia"/>
        </w:rPr>
        <w:t>（二）直轄市、縣（市）衛生局應注意下列事項，確實檢視申請人所附證明文件資料，並辦理實地查核：</w:t>
      </w:r>
    </w:p>
    <w:p w14:paraId="5053A9A0" w14:textId="77777777" w:rsidR="00000000" w:rsidRDefault="00533D0F">
      <w:pPr>
        <w:spacing w:line="500" w:lineRule="exact"/>
        <w:ind w:leftChars="351" w:left="1122" w:hangingChars="100" w:hanging="280"/>
        <w:rPr>
          <w:rFonts w:eastAsia="標楷體" w:hint="eastAsia"/>
          <w:sz w:val="28"/>
        </w:rPr>
      </w:pPr>
      <w:r>
        <w:rPr>
          <w:rFonts w:eastAsia="標楷體" w:hint="eastAsia"/>
          <w:sz w:val="28"/>
        </w:rPr>
        <w:t>1.</w:t>
      </w:r>
      <w:proofErr w:type="gramStart"/>
      <w:r>
        <w:rPr>
          <w:rFonts w:eastAsia="標楷體" w:hint="eastAsia"/>
          <w:sz w:val="28"/>
        </w:rPr>
        <w:t>覈</w:t>
      </w:r>
      <w:proofErr w:type="gramEnd"/>
      <w:r>
        <w:rPr>
          <w:rFonts w:eastAsia="標楷體" w:hint="eastAsia"/>
          <w:sz w:val="28"/>
        </w:rPr>
        <w:t>實審視申請人於民國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日前，經營中藥時之年齡資格及親自執業能力，是否合理，有無違常</w:t>
      </w:r>
      <w:proofErr w:type="gramStart"/>
      <w:r>
        <w:rPr>
          <w:rFonts w:eastAsia="標楷體" w:hint="eastAsia"/>
          <w:sz w:val="28"/>
        </w:rPr>
        <w:t>不</w:t>
      </w:r>
      <w:proofErr w:type="gramEnd"/>
      <w:r>
        <w:rPr>
          <w:rFonts w:eastAsia="標楷體" w:hint="eastAsia"/>
          <w:sz w:val="28"/>
        </w:rPr>
        <w:t>實情事。</w:t>
      </w:r>
    </w:p>
    <w:p w14:paraId="349F476D" w14:textId="77777777" w:rsidR="00000000" w:rsidRDefault="00533D0F">
      <w:pPr>
        <w:spacing w:line="500" w:lineRule="exact"/>
        <w:ind w:leftChars="351" w:left="1122" w:hangingChars="100" w:hanging="280"/>
        <w:rPr>
          <w:rFonts w:eastAsia="標楷體" w:hint="eastAsia"/>
          <w:sz w:val="28"/>
        </w:rPr>
      </w:pPr>
      <w:r>
        <w:rPr>
          <w:rFonts w:eastAsia="標楷體" w:hint="eastAsia"/>
          <w:sz w:val="28"/>
        </w:rPr>
        <w:t>2.</w:t>
      </w:r>
      <w:r>
        <w:rPr>
          <w:rFonts w:eastAsia="標楷體" w:hint="eastAsia"/>
          <w:sz w:val="28"/>
          <w:szCs w:val="20"/>
        </w:rPr>
        <w:t>藥事法第</w:t>
      </w:r>
      <w:r>
        <w:rPr>
          <w:rFonts w:eastAsia="標楷體" w:hint="eastAsia"/>
          <w:sz w:val="28"/>
          <w:szCs w:val="20"/>
        </w:rPr>
        <w:t>103</w:t>
      </w:r>
      <w:r>
        <w:rPr>
          <w:rFonts w:eastAsia="標楷體" w:hint="eastAsia"/>
          <w:sz w:val="28"/>
          <w:szCs w:val="20"/>
        </w:rPr>
        <w:t>條第</w:t>
      </w:r>
      <w:r>
        <w:rPr>
          <w:rFonts w:eastAsia="標楷體" w:hint="eastAsia"/>
          <w:sz w:val="28"/>
          <w:szCs w:val="20"/>
        </w:rPr>
        <w:t>2</w:t>
      </w:r>
      <w:r>
        <w:rPr>
          <w:rFonts w:eastAsia="標楷體" w:hint="eastAsia"/>
          <w:sz w:val="28"/>
          <w:szCs w:val="20"/>
        </w:rPr>
        <w:t>項係規範經營人權益，不得以父母傳子女、</w:t>
      </w:r>
      <w:proofErr w:type="gramStart"/>
      <w:r>
        <w:rPr>
          <w:rFonts w:eastAsia="標楷體" w:hint="eastAsia"/>
          <w:sz w:val="28"/>
          <w:szCs w:val="20"/>
        </w:rPr>
        <w:t>夫傳妻等</w:t>
      </w:r>
      <w:proofErr w:type="gramEnd"/>
      <w:r>
        <w:rPr>
          <w:rFonts w:eastAsia="標楷體" w:hint="eastAsia"/>
          <w:sz w:val="28"/>
          <w:szCs w:val="20"/>
        </w:rPr>
        <w:t>之繼承為由申請。</w:t>
      </w:r>
    </w:p>
    <w:p w14:paraId="5D83F471" w14:textId="77777777" w:rsidR="00000000" w:rsidRDefault="00533D0F">
      <w:pPr>
        <w:spacing w:line="500" w:lineRule="exact"/>
        <w:ind w:firstLineChars="321" w:firstLine="899"/>
        <w:rPr>
          <w:rFonts w:eastAsia="標楷體" w:hint="eastAsia"/>
          <w:sz w:val="28"/>
        </w:rPr>
      </w:pPr>
      <w:r>
        <w:rPr>
          <w:rFonts w:eastAsia="標楷體" w:hint="eastAsia"/>
          <w:sz w:val="28"/>
          <w:szCs w:val="20"/>
        </w:rPr>
        <w:t>3.</w:t>
      </w:r>
      <w:r>
        <w:rPr>
          <w:rFonts w:ascii="標楷體" w:eastAsia="標楷體" w:hAnsi="標楷體" w:hint="eastAsia"/>
          <w:sz w:val="28"/>
          <w:szCs w:val="20"/>
        </w:rPr>
        <w:t>經營青草店者，不得申請。</w:t>
      </w:r>
    </w:p>
    <w:p w14:paraId="2A4576B5" w14:textId="77777777" w:rsidR="00000000" w:rsidRDefault="00533D0F">
      <w:pPr>
        <w:spacing w:line="500" w:lineRule="exact"/>
        <w:ind w:leftChars="375" w:left="1180" w:hangingChars="100" w:hanging="280"/>
        <w:rPr>
          <w:rFonts w:eastAsia="標楷體" w:hint="eastAsia"/>
          <w:sz w:val="28"/>
        </w:rPr>
      </w:pPr>
      <w:r>
        <w:rPr>
          <w:rFonts w:eastAsia="標楷體" w:hint="eastAsia"/>
          <w:sz w:val="28"/>
          <w:szCs w:val="20"/>
        </w:rPr>
        <w:t>4.</w:t>
      </w:r>
      <w:r>
        <w:rPr>
          <w:rFonts w:eastAsia="標楷體" w:hint="eastAsia"/>
          <w:sz w:val="28"/>
          <w:szCs w:val="20"/>
        </w:rPr>
        <w:t>申請經營中藥販賣業務之同址，不得有其他商號或機構。</w:t>
      </w:r>
    </w:p>
    <w:p w14:paraId="45E7C78F" w14:textId="77777777" w:rsidR="00000000" w:rsidRDefault="00533D0F">
      <w:pPr>
        <w:spacing w:line="500" w:lineRule="exact"/>
        <w:ind w:leftChars="117" w:left="1121" w:hangingChars="300" w:hanging="840"/>
        <w:rPr>
          <w:rFonts w:eastAsia="標楷體" w:hint="eastAsia"/>
          <w:color w:val="008000"/>
          <w:sz w:val="28"/>
        </w:rPr>
      </w:pPr>
      <w:r>
        <w:rPr>
          <w:rFonts w:eastAsia="標楷體" w:hint="eastAsia"/>
          <w:sz w:val="28"/>
        </w:rPr>
        <w:t>（三）經審查通過得繼續經營中藥販賣業務之申請人，得向直轄市、縣（市）衛生局申請核准登記為中藥販</w:t>
      </w:r>
      <w:r>
        <w:rPr>
          <w:rFonts w:eastAsia="標楷體" w:hint="eastAsia"/>
          <w:sz w:val="28"/>
        </w:rPr>
        <w:t>賣業者，其業務範圍依藥事法第</w:t>
      </w:r>
      <w:r>
        <w:rPr>
          <w:rFonts w:eastAsia="標楷體" w:hint="eastAsia"/>
          <w:sz w:val="28"/>
        </w:rPr>
        <w:t>103</w:t>
      </w:r>
      <w:r>
        <w:rPr>
          <w:rFonts w:eastAsia="標楷體" w:hint="eastAsia"/>
          <w:sz w:val="28"/>
        </w:rPr>
        <w:t>條第</w:t>
      </w:r>
      <w:r>
        <w:rPr>
          <w:rFonts w:eastAsia="標楷體" w:hint="eastAsia"/>
          <w:sz w:val="28"/>
        </w:rPr>
        <w:t>3</w:t>
      </w:r>
      <w:r>
        <w:rPr>
          <w:rFonts w:eastAsia="標楷體" w:hint="eastAsia"/>
          <w:sz w:val="28"/>
        </w:rPr>
        <w:t>項之規定。</w:t>
      </w:r>
    </w:p>
    <w:p w14:paraId="67DF8F90" w14:textId="77777777" w:rsidR="00000000" w:rsidRDefault="00533D0F">
      <w:pPr>
        <w:spacing w:line="500" w:lineRule="exact"/>
        <w:ind w:leftChars="117" w:left="1121" w:hangingChars="300" w:hanging="840"/>
        <w:rPr>
          <w:rFonts w:eastAsia="標楷體" w:hint="eastAsia"/>
          <w:sz w:val="28"/>
        </w:rPr>
      </w:pPr>
      <w:r>
        <w:rPr>
          <w:rFonts w:eastAsia="標楷體" w:hint="eastAsia"/>
          <w:sz w:val="28"/>
        </w:rPr>
        <w:t>（四）各直轄市、縣（市）衛生局應將每年審查通過之申請人於次年</w:t>
      </w:r>
      <w:r>
        <w:rPr>
          <w:rFonts w:eastAsia="標楷體" w:hint="eastAsia"/>
          <w:sz w:val="28"/>
        </w:rPr>
        <w:t>1</w:t>
      </w:r>
      <w:r>
        <w:rPr>
          <w:rFonts w:eastAsia="標楷體" w:hint="eastAsia"/>
          <w:sz w:val="28"/>
        </w:rPr>
        <w:t>月</w:t>
      </w:r>
      <w:r>
        <w:rPr>
          <w:rFonts w:eastAsia="標楷體" w:hint="eastAsia"/>
          <w:sz w:val="28"/>
        </w:rPr>
        <w:t>31</w:t>
      </w:r>
      <w:r>
        <w:rPr>
          <w:rFonts w:eastAsia="標楷體" w:hint="eastAsia"/>
          <w:sz w:val="28"/>
        </w:rPr>
        <w:t>日彙報行政院衛生署中醫藥委員會。</w:t>
      </w:r>
    </w:p>
    <w:p w14:paraId="0693869F" w14:textId="77777777" w:rsidR="00533D0F" w:rsidRDefault="00533D0F">
      <w:pPr>
        <w:pStyle w:val="a6"/>
        <w:spacing w:line="500" w:lineRule="exact"/>
        <w:ind w:leftChars="1" w:left="562" w:hangingChars="200" w:hanging="560"/>
      </w:pPr>
      <w:r>
        <w:rPr>
          <w:rFonts w:ascii="標楷體" w:eastAsia="標楷體"/>
          <w:sz w:val="28"/>
        </w:rPr>
        <w:t>三、</w:t>
      </w:r>
      <w:r>
        <w:rPr>
          <w:rFonts w:ascii="標楷體" w:eastAsia="標楷體" w:hAnsi="標楷體"/>
          <w:sz w:val="28"/>
        </w:rPr>
        <w:t>申請人資格項下所稱之中藥課程，以由中華民國中藥商業同業公會全國聯合會委託國立中國醫藥研究所或其他醫學院校</w:t>
      </w:r>
      <w:r>
        <w:rPr>
          <w:rFonts w:ascii="標楷體" w:eastAsia="標楷體" w:hAnsi="標楷體"/>
          <w:sz w:val="28"/>
        </w:rPr>
        <w:t xml:space="preserve"> (</w:t>
      </w:r>
      <w:r>
        <w:rPr>
          <w:rFonts w:ascii="標楷體" w:eastAsia="標楷體" w:hAnsi="標楷體"/>
          <w:sz w:val="28"/>
        </w:rPr>
        <w:t>所</w:t>
      </w:r>
      <w:r>
        <w:rPr>
          <w:rFonts w:ascii="標楷體" w:eastAsia="標楷體" w:hAnsi="標楷體"/>
          <w:sz w:val="28"/>
        </w:rPr>
        <w:t>)</w:t>
      </w:r>
      <w:r>
        <w:rPr>
          <w:rFonts w:ascii="標楷體" w:eastAsia="標楷體" w:hAnsi="標楷體"/>
          <w:sz w:val="28"/>
        </w:rPr>
        <w:t>開設之相關課程為限。</w:t>
      </w:r>
    </w:p>
    <w:sectPr w:rsidR="00533D0F">
      <w:footerReference w:type="even"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31710" w14:textId="77777777" w:rsidR="00533D0F" w:rsidRDefault="00533D0F">
      <w:r>
        <w:separator/>
      </w:r>
    </w:p>
  </w:endnote>
  <w:endnote w:type="continuationSeparator" w:id="0">
    <w:p w14:paraId="39A14DF6" w14:textId="77777777" w:rsidR="00533D0F" w:rsidRDefault="00533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D2D42" w14:textId="77777777" w:rsidR="00000000" w:rsidRDefault="00533D0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5EDE0F06" w14:textId="77777777" w:rsidR="00000000" w:rsidRDefault="00533D0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337A4" w14:textId="77777777" w:rsidR="00000000" w:rsidRDefault="00533D0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14:paraId="340A5D07" w14:textId="77777777" w:rsidR="00000000" w:rsidRDefault="00533D0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F47E2" w14:textId="77777777" w:rsidR="00533D0F" w:rsidRDefault="00533D0F">
      <w:r>
        <w:separator/>
      </w:r>
    </w:p>
  </w:footnote>
  <w:footnote w:type="continuationSeparator" w:id="0">
    <w:p w14:paraId="545FA36B" w14:textId="77777777" w:rsidR="00533D0F" w:rsidRDefault="00533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54EB6"/>
    <w:multiLevelType w:val="hybridMultilevel"/>
    <w:tmpl w:val="A0267096"/>
    <w:lvl w:ilvl="0" w:tplc="64C414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2CA1040"/>
    <w:multiLevelType w:val="hybridMultilevel"/>
    <w:tmpl w:val="BE7C347E"/>
    <w:lvl w:ilvl="0" w:tplc="0FAEEBB4">
      <w:start w:val="1"/>
      <w:numFmt w:val="taiwaneseCountingThousand"/>
      <w:lvlText w:val="（%1）"/>
      <w:lvlJc w:val="left"/>
      <w:pPr>
        <w:tabs>
          <w:tab w:val="num" w:pos="1080"/>
        </w:tabs>
        <w:ind w:left="1080" w:hanging="1080"/>
      </w:pPr>
      <w:rPr>
        <w:rFonts w:hint="eastAsia"/>
      </w:rPr>
    </w:lvl>
    <w:lvl w:ilvl="1" w:tplc="4C20BE6A">
      <w:start w:val="1"/>
      <w:numFmt w:val="decimal"/>
      <w:lvlText w:val="%2."/>
      <w:lvlJc w:val="left"/>
      <w:pPr>
        <w:tabs>
          <w:tab w:val="num" w:pos="840"/>
        </w:tabs>
        <w:ind w:left="840" w:hanging="360"/>
      </w:pPr>
      <w:rPr>
        <w:rFonts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E2A6C6E"/>
    <w:multiLevelType w:val="hybridMultilevel"/>
    <w:tmpl w:val="F42C0184"/>
    <w:lvl w:ilvl="0" w:tplc="3BEC421E">
      <w:start w:val="1"/>
      <w:numFmt w:val="taiwaneseCountingThousand"/>
      <w:lvlText w:val="（%1）"/>
      <w:lvlJc w:val="left"/>
      <w:pPr>
        <w:tabs>
          <w:tab w:val="num" w:pos="811"/>
        </w:tabs>
        <w:ind w:left="811" w:hanging="720"/>
      </w:pPr>
      <w:rPr>
        <w:rFonts w:hint="eastAsia"/>
      </w:rPr>
    </w:lvl>
    <w:lvl w:ilvl="1" w:tplc="04090019" w:tentative="1">
      <w:start w:val="1"/>
      <w:numFmt w:val="ideographTraditional"/>
      <w:lvlText w:val="%2、"/>
      <w:lvlJc w:val="left"/>
      <w:pPr>
        <w:tabs>
          <w:tab w:val="num" w:pos="1051"/>
        </w:tabs>
        <w:ind w:left="1051" w:hanging="480"/>
      </w:pPr>
    </w:lvl>
    <w:lvl w:ilvl="2" w:tplc="0409001B" w:tentative="1">
      <w:start w:val="1"/>
      <w:numFmt w:val="lowerRoman"/>
      <w:lvlText w:val="%3."/>
      <w:lvlJc w:val="right"/>
      <w:pPr>
        <w:tabs>
          <w:tab w:val="num" w:pos="1531"/>
        </w:tabs>
        <w:ind w:left="1531" w:hanging="480"/>
      </w:pPr>
    </w:lvl>
    <w:lvl w:ilvl="3" w:tplc="0409000F" w:tentative="1">
      <w:start w:val="1"/>
      <w:numFmt w:val="decimal"/>
      <w:lvlText w:val="%4."/>
      <w:lvlJc w:val="left"/>
      <w:pPr>
        <w:tabs>
          <w:tab w:val="num" w:pos="2011"/>
        </w:tabs>
        <w:ind w:left="2011" w:hanging="480"/>
      </w:pPr>
    </w:lvl>
    <w:lvl w:ilvl="4" w:tplc="04090019" w:tentative="1">
      <w:start w:val="1"/>
      <w:numFmt w:val="ideographTraditional"/>
      <w:lvlText w:val="%5、"/>
      <w:lvlJc w:val="left"/>
      <w:pPr>
        <w:tabs>
          <w:tab w:val="num" w:pos="2491"/>
        </w:tabs>
        <w:ind w:left="2491" w:hanging="480"/>
      </w:pPr>
    </w:lvl>
    <w:lvl w:ilvl="5" w:tplc="0409001B" w:tentative="1">
      <w:start w:val="1"/>
      <w:numFmt w:val="lowerRoman"/>
      <w:lvlText w:val="%6."/>
      <w:lvlJc w:val="right"/>
      <w:pPr>
        <w:tabs>
          <w:tab w:val="num" w:pos="2971"/>
        </w:tabs>
        <w:ind w:left="2971" w:hanging="480"/>
      </w:pPr>
    </w:lvl>
    <w:lvl w:ilvl="6" w:tplc="0409000F" w:tentative="1">
      <w:start w:val="1"/>
      <w:numFmt w:val="decimal"/>
      <w:lvlText w:val="%7."/>
      <w:lvlJc w:val="left"/>
      <w:pPr>
        <w:tabs>
          <w:tab w:val="num" w:pos="3451"/>
        </w:tabs>
        <w:ind w:left="3451" w:hanging="480"/>
      </w:pPr>
    </w:lvl>
    <w:lvl w:ilvl="7" w:tplc="04090019" w:tentative="1">
      <w:start w:val="1"/>
      <w:numFmt w:val="ideographTraditional"/>
      <w:lvlText w:val="%8、"/>
      <w:lvlJc w:val="left"/>
      <w:pPr>
        <w:tabs>
          <w:tab w:val="num" w:pos="3931"/>
        </w:tabs>
        <w:ind w:left="3931" w:hanging="480"/>
      </w:pPr>
    </w:lvl>
    <w:lvl w:ilvl="8" w:tplc="0409001B" w:tentative="1">
      <w:start w:val="1"/>
      <w:numFmt w:val="lowerRoman"/>
      <w:lvlText w:val="%9."/>
      <w:lvlJc w:val="right"/>
      <w:pPr>
        <w:tabs>
          <w:tab w:val="num" w:pos="4411"/>
        </w:tabs>
        <w:ind w:left="4411" w:hanging="480"/>
      </w:pPr>
    </w:lvl>
  </w:abstractNum>
  <w:abstractNum w:abstractNumId="3" w15:restartNumberingAfterBreak="0">
    <w:nsid w:val="206C7C93"/>
    <w:multiLevelType w:val="hybridMultilevel"/>
    <w:tmpl w:val="67E2CE68"/>
    <w:lvl w:ilvl="0" w:tplc="47A61D6E">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4BD031C6"/>
    <w:multiLevelType w:val="hybridMultilevel"/>
    <w:tmpl w:val="9050E446"/>
    <w:lvl w:ilvl="0" w:tplc="F252D5AA">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15:restartNumberingAfterBreak="0">
    <w:nsid w:val="50F51F49"/>
    <w:multiLevelType w:val="hybridMultilevel"/>
    <w:tmpl w:val="F1D403AC"/>
    <w:lvl w:ilvl="0" w:tplc="3FD417AE">
      <w:start w:val="1"/>
      <w:numFmt w:val="decimal"/>
      <w:lvlText w:val="（%1）"/>
      <w:lvlJc w:val="left"/>
      <w:pPr>
        <w:tabs>
          <w:tab w:val="num" w:pos="1562"/>
        </w:tabs>
        <w:ind w:left="1562" w:hanging="720"/>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6" w15:restartNumberingAfterBreak="0">
    <w:nsid w:val="5A4435D9"/>
    <w:multiLevelType w:val="hybridMultilevel"/>
    <w:tmpl w:val="C2E2F034"/>
    <w:lvl w:ilvl="0" w:tplc="1F266EA8">
      <w:start w:val="1"/>
      <w:numFmt w:val="decimal"/>
      <w:lvlText w:val="（%1）"/>
      <w:lvlJc w:val="left"/>
      <w:pPr>
        <w:tabs>
          <w:tab w:val="num" w:pos="1555"/>
        </w:tabs>
        <w:ind w:left="1555" w:hanging="720"/>
      </w:pPr>
      <w:rPr>
        <w:rFonts w:hint="eastAsia"/>
      </w:rPr>
    </w:lvl>
    <w:lvl w:ilvl="1" w:tplc="04090019" w:tentative="1">
      <w:start w:val="1"/>
      <w:numFmt w:val="ideographTraditional"/>
      <w:lvlText w:val="%2、"/>
      <w:lvlJc w:val="left"/>
      <w:pPr>
        <w:tabs>
          <w:tab w:val="num" w:pos="1795"/>
        </w:tabs>
        <w:ind w:left="1795" w:hanging="480"/>
      </w:pPr>
    </w:lvl>
    <w:lvl w:ilvl="2" w:tplc="0409001B" w:tentative="1">
      <w:start w:val="1"/>
      <w:numFmt w:val="lowerRoman"/>
      <w:lvlText w:val="%3."/>
      <w:lvlJc w:val="right"/>
      <w:pPr>
        <w:tabs>
          <w:tab w:val="num" w:pos="2275"/>
        </w:tabs>
        <w:ind w:left="2275" w:hanging="480"/>
      </w:pPr>
    </w:lvl>
    <w:lvl w:ilvl="3" w:tplc="0409000F" w:tentative="1">
      <w:start w:val="1"/>
      <w:numFmt w:val="decimal"/>
      <w:lvlText w:val="%4."/>
      <w:lvlJc w:val="left"/>
      <w:pPr>
        <w:tabs>
          <w:tab w:val="num" w:pos="2755"/>
        </w:tabs>
        <w:ind w:left="2755" w:hanging="480"/>
      </w:pPr>
    </w:lvl>
    <w:lvl w:ilvl="4" w:tplc="04090019" w:tentative="1">
      <w:start w:val="1"/>
      <w:numFmt w:val="ideographTraditional"/>
      <w:lvlText w:val="%5、"/>
      <w:lvlJc w:val="left"/>
      <w:pPr>
        <w:tabs>
          <w:tab w:val="num" w:pos="3235"/>
        </w:tabs>
        <w:ind w:left="3235" w:hanging="480"/>
      </w:pPr>
    </w:lvl>
    <w:lvl w:ilvl="5" w:tplc="0409001B" w:tentative="1">
      <w:start w:val="1"/>
      <w:numFmt w:val="lowerRoman"/>
      <w:lvlText w:val="%6."/>
      <w:lvlJc w:val="right"/>
      <w:pPr>
        <w:tabs>
          <w:tab w:val="num" w:pos="3715"/>
        </w:tabs>
        <w:ind w:left="3715" w:hanging="480"/>
      </w:pPr>
    </w:lvl>
    <w:lvl w:ilvl="6" w:tplc="0409000F" w:tentative="1">
      <w:start w:val="1"/>
      <w:numFmt w:val="decimal"/>
      <w:lvlText w:val="%7."/>
      <w:lvlJc w:val="left"/>
      <w:pPr>
        <w:tabs>
          <w:tab w:val="num" w:pos="4195"/>
        </w:tabs>
        <w:ind w:left="4195" w:hanging="480"/>
      </w:pPr>
    </w:lvl>
    <w:lvl w:ilvl="7" w:tplc="04090019" w:tentative="1">
      <w:start w:val="1"/>
      <w:numFmt w:val="ideographTraditional"/>
      <w:lvlText w:val="%8、"/>
      <w:lvlJc w:val="left"/>
      <w:pPr>
        <w:tabs>
          <w:tab w:val="num" w:pos="4675"/>
        </w:tabs>
        <w:ind w:left="4675" w:hanging="480"/>
      </w:pPr>
    </w:lvl>
    <w:lvl w:ilvl="8" w:tplc="0409001B" w:tentative="1">
      <w:start w:val="1"/>
      <w:numFmt w:val="lowerRoman"/>
      <w:lvlText w:val="%9."/>
      <w:lvlJc w:val="right"/>
      <w:pPr>
        <w:tabs>
          <w:tab w:val="num" w:pos="5155"/>
        </w:tabs>
        <w:ind w:left="5155" w:hanging="480"/>
      </w:pPr>
    </w:lvl>
  </w:abstractNum>
  <w:abstractNum w:abstractNumId="7" w15:restartNumberingAfterBreak="0">
    <w:nsid w:val="665068F4"/>
    <w:multiLevelType w:val="hybridMultilevel"/>
    <w:tmpl w:val="96641B50"/>
    <w:lvl w:ilvl="0" w:tplc="9CD40A6E">
      <w:start w:val="1"/>
      <w:numFmt w:val="decimal"/>
      <w:lvlText w:val="%1."/>
      <w:lvlJc w:val="left"/>
      <w:pPr>
        <w:tabs>
          <w:tab w:val="num" w:pos="930"/>
        </w:tabs>
        <w:ind w:left="930" w:hanging="360"/>
      </w:pPr>
      <w:rPr>
        <w:rFonts w:ascii="Times New Roman" w:hAnsi="Times New Roman" w:hint="eastAsia"/>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8" w15:restartNumberingAfterBreak="0">
    <w:nsid w:val="69424B7D"/>
    <w:multiLevelType w:val="hybridMultilevel"/>
    <w:tmpl w:val="18D2B716"/>
    <w:lvl w:ilvl="0" w:tplc="D3863CAC">
      <w:start w:val="1"/>
      <w:numFmt w:val="taiwaneseCountingThousand"/>
      <w:lvlText w:val="%1、"/>
      <w:lvlJc w:val="left"/>
      <w:pPr>
        <w:tabs>
          <w:tab w:val="num" w:pos="720"/>
        </w:tabs>
        <w:ind w:left="720" w:hanging="720"/>
      </w:pPr>
      <w:rPr>
        <w:rFonts w:hint="eastAsia"/>
      </w:rPr>
    </w:lvl>
    <w:lvl w:ilvl="1" w:tplc="8F8C8FF4">
      <w:start w:val="1"/>
      <w:numFmt w:val="taiwaneseCountingThousand"/>
      <w:lvlText w:val="（%2）"/>
      <w:lvlJc w:val="left"/>
      <w:pPr>
        <w:tabs>
          <w:tab w:val="num" w:pos="1560"/>
        </w:tabs>
        <w:ind w:left="1560" w:hanging="1080"/>
      </w:pPr>
      <w:rPr>
        <w:rFonts w:hint="eastAsia"/>
      </w:rPr>
    </w:lvl>
    <w:lvl w:ilvl="2" w:tplc="773CC1F4">
      <w:start w:val="1"/>
      <w:numFmt w:val="decimal"/>
      <w:lvlText w:val="%3."/>
      <w:lvlJc w:val="left"/>
      <w:pPr>
        <w:tabs>
          <w:tab w:val="num" w:pos="1320"/>
        </w:tabs>
        <w:ind w:left="1320" w:hanging="360"/>
      </w:pPr>
      <w:rPr>
        <w:rFonts w:hint="eastAsia"/>
      </w:rPr>
    </w:lvl>
    <w:lvl w:ilvl="3" w:tplc="CEF40EFC">
      <w:start w:val="1"/>
      <w:numFmt w:val="decimal"/>
      <w:lvlText w:val="（%4）"/>
      <w:lvlJc w:val="left"/>
      <w:pPr>
        <w:tabs>
          <w:tab w:val="num" w:pos="2445"/>
        </w:tabs>
        <w:ind w:left="2445" w:hanging="1005"/>
      </w:pPr>
      <w:rPr>
        <w:rFonts w:hint="eastAsia"/>
      </w:rPr>
    </w:lvl>
    <w:lvl w:ilvl="4" w:tplc="6E8EB72E">
      <w:start w:val="2"/>
      <w:numFmt w:val="decimal"/>
      <w:lvlText w:val="（%5"/>
      <w:lvlJc w:val="left"/>
      <w:pPr>
        <w:tabs>
          <w:tab w:val="num" w:pos="2640"/>
        </w:tabs>
        <w:ind w:left="2640" w:hanging="7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6BB1415B"/>
    <w:multiLevelType w:val="hybridMultilevel"/>
    <w:tmpl w:val="5C28DD92"/>
    <w:lvl w:ilvl="0" w:tplc="1186BAF8">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 w15:restartNumberingAfterBreak="0">
    <w:nsid w:val="6C065EE6"/>
    <w:multiLevelType w:val="hybridMultilevel"/>
    <w:tmpl w:val="22126FCC"/>
    <w:lvl w:ilvl="0" w:tplc="4350BE90">
      <w:start w:val="1"/>
      <w:numFmt w:val="decimal"/>
      <w:lvlText w:val="%1."/>
      <w:lvlJc w:val="left"/>
      <w:pPr>
        <w:tabs>
          <w:tab w:val="num" w:pos="990"/>
        </w:tabs>
        <w:ind w:left="990" w:hanging="360"/>
      </w:pPr>
      <w:rPr>
        <w:rFonts w:hint="eastAsia"/>
      </w:rPr>
    </w:lvl>
    <w:lvl w:ilvl="1" w:tplc="6EE4B518">
      <w:start w:val="1"/>
      <w:numFmt w:val="decimal"/>
      <w:lvlText w:val="（%2）"/>
      <w:lvlJc w:val="left"/>
      <w:pPr>
        <w:tabs>
          <w:tab w:val="num" w:pos="1830"/>
        </w:tabs>
        <w:ind w:left="1830" w:hanging="720"/>
      </w:pPr>
      <w:rPr>
        <w:rFonts w:hint="eastAsia"/>
      </w:r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abstractNum w:abstractNumId="11" w15:restartNumberingAfterBreak="0">
    <w:nsid w:val="797E18E2"/>
    <w:multiLevelType w:val="hybridMultilevel"/>
    <w:tmpl w:val="C6621E94"/>
    <w:lvl w:ilvl="0" w:tplc="62C486BC">
      <w:start w:val="1"/>
      <w:numFmt w:val="taiwaneseCountingThousand"/>
      <w:lvlText w:val="（%1）"/>
      <w:lvlJc w:val="left"/>
      <w:pPr>
        <w:tabs>
          <w:tab w:val="num" w:pos="768"/>
        </w:tabs>
        <w:ind w:left="768" w:hanging="720"/>
      </w:pPr>
      <w:rPr>
        <w:rFonts w:hint="eastAsia"/>
      </w:rPr>
    </w:lvl>
    <w:lvl w:ilvl="1" w:tplc="673016C0">
      <w:start w:val="1"/>
      <w:numFmt w:val="decimal"/>
      <w:lvlText w:val="%2."/>
      <w:lvlJc w:val="left"/>
      <w:pPr>
        <w:tabs>
          <w:tab w:val="num" w:pos="888"/>
        </w:tabs>
        <w:ind w:left="888" w:hanging="360"/>
      </w:pPr>
      <w:rPr>
        <w:rFonts w:hint="eastAsia"/>
      </w:r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num w:numId="1">
    <w:abstractNumId w:val="4"/>
  </w:num>
  <w:num w:numId="2">
    <w:abstractNumId w:val="9"/>
  </w:num>
  <w:num w:numId="3">
    <w:abstractNumId w:val="8"/>
  </w:num>
  <w:num w:numId="4">
    <w:abstractNumId w:val="1"/>
  </w:num>
  <w:num w:numId="5">
    <w:abstractNumId w:val="10"/>
  </w:num>
  <w:num w:numId="6">
    <w:abstractNumId w:val="3"/>
  </w:num>
  <w:num w:numId="7">
    <w:abstractNumId w:val="11"/>
  </w:num>
  <w:num w:numId="8">
    <w:abstractNumId w:val="0"/>
  </w:num>
  <w:num w:numId="9">
    <w:abstractNumId w:val="6"/>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37"/>
    <w:rsid w:val="00533D0F"/>
    <w:rsid w:val="00C24E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31338"/>
  <w15:chartTrackingRefBased/>
  <w15:docId w15:val="{507FEADD-543F-4043-B3CE-096AE50EC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szCs w:val="20"/>
    </w:rPr>
  </w:style>
  <w:style w:type="character" w:styleId="a4">
    <w:name w:val="page number"/>
    <w:basedOn w:val="a0"/>
    <w:semiHidden/>
  </w:style>
  <w:style w:type="paragraph" w:styleId="a5">
    <w:name w:val="Body Text Indent"/>
    <w:basedOn w:val="a"/>
    <w:semiHidden/>
    <w:pPr>
      <w:spacing w:line="500" w:lineRule="exact"/>
      <w:ind w:left="640" w:hangingChars="200" w:hanging="640"/>
    </w:pPr>
    <w:rPr>
      <w:rFonts w:eastAsia="標楷體"/>
      <w:sz w:val="32"/>
    </w:rPr>
  </w:style>
  <w:style w:type="paragraph" w:styleId="a6">
    <w:name w:val="Plain Text"/>
    <w:basedOn w:val="a"/>
    <w:semiHidden/>
    <w:pPr>
      <w:adjustRightInd w:val="0"/>
      <w:spacing w:line="360" w:lineRule="atLeast"/>
    </w:pPr>
    <w:rPr>
      <w:rFonts w:ascii="細明體" w:eastAsia="細明體" w:hAnsi="Courier New" w:hint="eastAsia"/>
      <w:kern w:val="0"/>
      <w:szCs w:val="20"/>
    </w:rPr>
  </w:style>
  <w:style w:type="paragraph" w:styleId="2">
    <w:name w:val="Body Text Indent 2"/>
    <w:basedOn w:val="a"/>
    <w:semiHidden/>
    <w:pPr>
      <w:spacing w:line="500" w:lineRule="exact"/>
      <w:ind w:leftChars="20" w:left="888" w:hangingChars="300" w:hanging="840"/>
    </w:pPr>
    <w:rPr>
      <w:rFonts w:eastAsia="標楷體"/>
      <w:sz w:val="28"/>
    </w:rPr>
  </w:style>
  <w:style w:type="paragraph" w:styleId="a7">
    <w:name w:val="Body Text"/>
    <w:basedOn w:val="a"/>
    <w:semiHidden/>
    <w:rPr>
      <w:rFonts w:eastAsia="標楷體"/>
      <w:sz w:val="36"/>
      <w:szCs w:val="32"/>
    </w:rPr>
  </w:style>
  <w:style w:type="paragraph" w:styleId="a8">
    <w:name w:val="header"/>
    <w:basedOn w:val="a"/>
    <w:link w:val="a9"/>
    <w:uiPriority w:val="99"/>
    <w:unhideWhenUsed/>
    <w:rsid w:val="00C24E37"/>
    <w:pPr>
      <w:tabs>
        <w:tab w:val="center" w:pos="4153"/>
        <w:tab w:val="right" w:pos="8306"/>
      </w:tabs>
      <w:snapToGrid w:val="0"/>
    </w:pPr>
    <w:rPr>
      <w:sz w:val="20"/>
      <w:szCs w:val="20"/>
    </w:rPr>
  </w:style>
  <w:style w:type="character" w:customStyle="1" w:styleId="a9">
    <w:name w:val="頁首 字元"/>
    <w:basedOn w:val="a0"/>
    <w:link w:val="a8"/>
    <w:uiPriority w:val="99"/>
    <w:rsid w:val="00C24E3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174</Words>
  <Characters>996</Characters>
  <Application>Microsoft Office Word</Application>
  <DocSecurity>0</DocSecurity>
  <Lines>8</Lines>
  <Paragraphs>2</Paragraphs>
  <ScaleCrop>false</ScaleCrop>
  <HeadingPairs>
    <vt:vector size="2" baseType="variant">
      <vt:variant>
        <vt:lpstr>標題</vt:lpstr>
      </vt:variant>
      <vt:variant>
        <vt:i4>1</vt:i4>
      </vt:variant>
    </vt:vector>
  </HeadingPairs>
  <TitlesOfParts>
    <vt:vector size="1" baseType="lpstr">
      <vt:lpstr>「業者申請藥事法第103條第2項中藥從業人員列冊登記，改由各直轄市、縣（市）衛生局逕行核處」之處理原則：</vt:lpstr>
    </vt:vector>
  </TitlesOfParts>
  <Company>行政院衛生署</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中醫藥司藍晨榕</cp:lastModifiedBy>
  <cp:revision>2</cp:revision>
  <cp:lastPrinted>2007-08-09T03:37:00Z</cp:lastPrinted>
  <dcterms:created xsi:type="dcterms:W3CDTF">2025-05-16T00:52:00Z</dcterms:created>
  <dcterms:modified xsi:type="dcterms:W3CDTF">2025-05-16T00:52:00Z</dcterms:modified>
  <cp:category> </cp:category>
</cp:coreProperties>
</file>