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134"/>
        <w:gridCol w:w="1134"/>
        <w:gridCol w:w="992"/>
        <w:gridCol w:w="993"/>
        <w:gridCol w:w="1076"/>
      </w:tblGrid>
      <w:tr w:rsidR="006B42F3" w:rsidTr="002D3BA5">
        <w:tc>
          <w:tcPr>
            <w:tcW w:w="10682" w:type="dxa"/>
            <w:gridSpan w:val="7"/>
            <w:tcBorders>
              <w:bottom w:val="single" w:sz="24" w:space="0" w:color="auto"/>
            </w:tcBorders>
          </w:tcPr>
          <w:p w:rsidR="00401224" w:rsidRPr="00C34EC3" w:rsidRDefault="003B601C" w:rsidP="002D3BA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="006B42F3" w:rsidRPr="00C34EC3">
              <w:rPr>
                <w:rFonts w:ascii="標楷體" w:eastAsia="標楷體" w:hAnsi="標楷體" w:hint="eastAsia"/>
                <w:szCs w:val="24"/>
              </w:rPr>
              <w:t>年度</w:t>
            </w:r>
            <w:r w:rsidR="00C34EC3" w:rsidRPr="00C34EC3">
              <w:rPr>
                <w:rFonts w:ascii="標楷體" w:eastAsia="標楷體" w:hAnsi="標楷體" w:hint="eastAsia"/>
                <w:szCs w:val="24"/>
              </w:rPr>
              <w:t>衛生福利部</w:t>
            </w:r>
            <w:r w:rsidR="006B42F3" w:rsidRPr="00C34EC3">
              <w:rPr>
                <w:rFonts w:ascii="標楷體" w:eastAsia="標楷體" w:hAnsi="標楷體" w:hint="eastAsia"/>
                <w:szCs w:val="24"/>
              </w:rPr>
              <w:t>研發替代役研發</w:t>
            </w:r>
            <w:r w:rsidR="00C34EC3" w:rsidRPr="00C34EC3">
              <w:rPr>
                <w:rFonts w:ascii="標楷體" w:eastAsia="標楷體" w:hAnsi="標楷體" w:hint="eastAsia"/>
                <w:szCs w:val="24"/>
              </w:rPr>
              <w:t>員額</w:t>
            </w:r>
            <w:r w:rsidR="006B42F3" w:rsidRPr="00C34EC3">
              <w:rPr>
                <w:rFonts w:ascii="標楷體" w:eastAsia="標楷體" w:hAnsi="標楷體" w:hint="eastAsia"/>
                <w:szCs w:val="24"/>
              </w:rPr>
              <w:t>需求</w:t>
            </w:r>
          </w:p>
        </w:tc>
      </w:tr>
      <w:tr w:rsidR="00401224" w:rsidTr="002D3BA5">
        <w:tc>
          <w:tcPr>
            <w:tcW w:w="1526" w:type="dxa"/>
            <w:vMerge w:val="restart"/>
            <w:tcBorders>
              <w:top w:val="single" w:sz="24" w:space="0" w:color="auto"/>
            </w:tcBorders>
          </w:tcPr>
          <w:p w:rsidR="006B42F3" w:rsidRPr="00C34EC3" w:rsidRDefault="006B42F3" w:rsidP="006644D1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研發部門</w:t>
            </w:r>
          </w:p>
        </w:tc>
        <w:tc>
          <w:tcPr>
            <w:tcW w:w="3827" w:type="dxa"/>
            <w:vMerge w:val="restart"/>
            <w:tcBorders>
              <w:top w:val="single" w:sz="24" w:space="0" w:color="auto"/>
            </w:tcBorders>
          </w:tcPr>
          <w:p w:rsidR="006B42F3" w:rsidRPr="00C34EC3" w:rsidRDefault="006B42F3" w:rsidP="006B42F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工作性質/內容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</w:tcBorders>
          </w:tcPr>
          <w:p w:rsidR="006B42F3" w:rsidRPr="00C34EC3" w:rsidRDefault="006B42F3" w:rsidP="00C34EC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役男職務專長需求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:rsidR="006B42F3" w:rsidRPr="00C34EC3" w:rsidRDefault="006B42F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專長需用員額數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</w:tcBorders>
          </w:tcPr>
          <w:p w:rsidR="006B42F3" w:rsidRPr="00C34EC3" w:rsidRDefault="006B42F3" w:rsidP="006B42F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可能工作地點</w:t>
            </w:r>
          </w:p>
        </w:tc>
      </w:tr>
      <w:tr w:rsidR="006644D1" w:rsidTr="009E5FBE">
        <w:trPr>
          <w:trHeight w:val="253"/>
        </w:trPr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6B42F3" w:rsidRPr="00C34EC3" w:rsidRDefault="006B42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24" w:space="0" w:color="auto"/>
            </w:tcBorders>
          </w:tcPr>
          <w:p w:rsidR="006B42F3" w:rsidRPr="00C34EC3" w:rsidRDefault="006B42F3" w:rsidP="006B42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4" w:space="0" w:color="auto"/>
            </w:tcBorders>
          </w:tcPr>
          <w:p w:rsidR="006B42F3" w:rsidRPr="00C34EC3" w:rsidRDefault="006B42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B42F3" w:rsidRPr="00C34EC3" w:rsidRDefault="006B42F3" w:rsidP="00C34EC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6B42F3" w:rsidRPr="00C34EC3" w:rsidRDefault="006B42F3" w:rsidP="006B42F3">
            <w:pPr>
              <w:rPr>
                <w:rFonts w:ascii="標楷體" w:eastAsia="標楷體" w:hAnsi="標楷體"/>
                <w:szCs w:val="24"/>
              </w:rPr>
            </w:pPr>
            <w:r w:rsidRPr="00C34EC3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1076" w:type="dxa"/>
            <w:vMerge/>
            <w:tcBorders>
              <w:bottom w:val="single" w:sz="24" w:space="0" w:color="auto"/>
            </w:tcBorders>
          </w:tcPr>
          <w:p w:rsidR="006B42F3" w:rsidRPr="00C34EC3" w:rsidRDefault="006B42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4D1" w:rsidTr="00401224">
        <w:tc>
          <w:tcPr>
            <w:tcW w:w="1526" w:type="dxa"/>
          </w:tcPr>
          <w:p w:rsidR="001A51F5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科技發展組</w:t>
            </w:r>
          </w:p>
        </w:tc>
        <w:tc>
          <w:tcPr>
            <w:tcW w:w="3827" w:type="dxa"/>
          </w:tcPr>
          <w:p w:rsidR="001A51F5" w:rsidRPr="00CC576B" w:rsidRDefault="001C567B" w:rsidP="00A66974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食品安全管理研究計畫規劃生物統計研究計畫規劃，撰寫衛生福利部研發成果管理機制計畫書，包含盤點歷年研發成果及專利</w:t>
            </w:r>
            <w:r w:rsidR="009B2AA8" w:rsidRPr="00CC576B">
              <w:rPr>
                <w:rFonts w:ascii="標楷體" w:eastAsia="標楷體" w:hAnsi="標楷體" w:hint="eastAsia"/>
                <w:szCs w:val="24"/>
              </w:rPr>
              <w:t>、制定專利申請授權讓與管理機制，及建立管理系統平台。</w:t>
            </w:r>
          </w:p>
        </w:tc>
        <w:tc>
          <w:tcPr>
            <w:tcW w:w="1134" w:type="dxa"/>
          </w:tcPr>
          <w:p w:rsidR="001A51F5" w:rsidRPr="00CC576B" w:rsidRDefault="001C567B">
            <w:pPr>
              <w:rPr>
                <w:rFonts w:ascii="標楷體" w:eastAsia="標楷體" w:hAnsi="標楷體"/>
              </w:rPr>
            </w:pPr>
            <w:r w:rsidRPr="00CC576B">
              <w:rPr>
                <w:rFonts w:ascii="標楷體" w:eastAsia="標楷體" w:hAnsi="標楷體" w:hint="eastAsia"/>
              </w:rPr>
              <w:t>食品科學</w:t>
            </w:r>
          </w:p>
        </w:tc>
        <w:tc>
          <w:tcPr>
            <w:tcW w:w="1134" w:type="dxa"/>
          </w:tcPr>
          <w:p w:rsidR="001A51F5" w:rsidRPr="00CC576B" w:rsidRDefault="001C567B">
            <w:pPr>
              <w:rPr>
                <w:rFonts w:ascii="標楷體" w:eastAsia="標楷體" w:hAnsi="標楷體"/>
              </w:rPr>
            </w:pPr>
            <w:r w:rsidRPr="00CC576B">
              <w:rPr>
                <w:rFonts w:ascii="標楷體" w:eastAsia="標楷體" w:hAnsi="標楷體" w:hint="eastAsia"/>
              </w:rPr>
              <w:t>醫學技術及檢驗學類</w:t>
            </w:r>
          </w:p>
        </w:tc>
        <w:tc>
          <w:tcPr>
            <w:tcW w:w="992" w:type="dxa"/>
          </w:tcPr>
          <w:p w:rsidR="001A51F5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3" w:type="dxa"/>
          </w:tcPr>
          <w:p w:rsidR="001A51F5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76" w:type="dxa"/>
          </w:tcPr>
          <w:p w:rsidR="001A51F5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9E5FBE">
        <w:tc>
          <w:tcPr>
            <w:tcW w:w="1526" w:type="dxa"/>
            <w:tcBorders>
              <w:bottom w:val="single" w:sz="24" w:space="0" w:color="auto"/>
            </w:tcBorders>
          </w:tcPr>
          <w:p w:rsidR="001C567B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科技發展組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1C567B" w:rsidRPr="00CC576B" w:rsidRDefault="009B2AA8" w:rsidP="00C34EC3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食品安全管理研究計畫規劃生物統計研究計畫規劃。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1C567B" w:rsidRPr="00CC576B" w:rsidRDefault="001C567B" w:rsidP="006644D1">
            <w:pPr>
              <w:rPr>
                <w:rFonts w:ascii="標楷體" w:eastAsia="標楷體" w:hAnsi="標楷體"/>
              </w:rPr>
            </w:pPr>
            <w:r w:rsidRPr="00CC576B">
              <w:rPr>
                <w:rFonts w:ascii="標楷體" w:eastAsia="標楷體" w:hAnsi="標楷體" w:hint="eastAsia"/>
              </w:rPr>
              <w:t>食品科學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1C567B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</w:rPr>
              <w:t>醫學技術及檢驗學類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C567B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C567B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:rsidR="001C567B" w:rsidRPr="00CC576B" w:rsidRDefault="001C567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9E5FBE">
        <w:tc>
          <w:tcPr>
            <w:tcW w:w="1526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協助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提升機療品質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及計畫規劃。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</w:tcBorders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401224">
        <w:tc>
          <w:tcPr>
            <w:tcW w:w="1526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因應網路革命興起及老年化社會來臨，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擬更多元、更彈性之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政管理模式。</w:t>
            </w:r>
          </w:p>
        </w:tc>
        <w:tc>
          <w:tcPr>
            <w:tcW w:w="1134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電算機一般學類</w:t>
            </w:r>
          </w:p>
        </w:tc>
        <w:tc>
          <w:tcPr>
            <w:tcW w:w="992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1C567B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提維護及擴充資訊系統專案需求，並協調、控管其他系統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接等事項。</w:t>
            </w:r>
          </w:p>
        </w:tc>
        <w:tc>
          <w:tcPr>
            <w:tcW w:w="1134" w:type="dxa"/>
          </w:tcPr>
          <w:p w:rsidR="009B2AA8" w:rsidRPr="00CC576B" w:rsidRDefault="009B2AA8" w:rsidP="006644D1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</w:tcPr>
          <w:p w:rsidR="009B2AA8" w:rsidRPr="00CC576B" w:rsidRDefault="009B2AA8" w:rsidP="006644D1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電算機一般學類</w:t>
            </w:r>
          </w:p>
        </w:tc>
        <w:tc>
          <w:tcPr>
            <w:tcW w:w="992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9B2AA8" w:rsidP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緊急醫療相關法案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析與醫療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轉診網絡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體系制度規劃與管理。</w:t>
            </w:r>
          </w:p>
        </w:tc>
        <w:tc>
          <w:tcPr>
            <w:tcW w:w="1134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一般法律學類</w:t>
            </w:r>
          </w:p>
        </w:tc>
        <w:tc>
          <w:tcPr>
            <w:tcW w:w="1134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992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緊急醫療資訊系統評估分析與管理。</w:t>
            </w:r>
          </w:p>
        </w:tc>
        <w:tc>
          <w:tcPr>
            <w:tcW w:w="1134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電算機應用學類</w:t>
            </w:r>
          </w:p>
        </w:tc>
        <w:tc>
          <w:tcPr>
            <w:tcW w:w="1134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9B2AA8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醫療衛生業務相關資訊系統(如醫療法人管理系統、衛生財團法人資訊管理系統、醫療糾紛鑑定資訊系統等)</w:t>
            </w:r>
            <w:r w:rsidR="00E44C2A">
              <w:rPr>
                <w:rFonts w:ascii="標楷體" w:eastAsia="標楷體" w:hAnsi="標楷體" w:hint="eastAsia"/>
                <w:szCs w:val="24"/>
              </w:rPr>
              <w:t>開發維運、資料維護、統計分析資訊應用與作業流程簡化之創新研發規劃</w:t>
            </w:r>
            <w:r w:rsidRPr="00CC576B">
              <w:rPr>
                <w:rFonts w:ascii="標楷體" w:eastAsia="標楷體" w:hAnsi="標楷體" w:hint="eastAsia"/>
                <w:szCs w:val="24"/>
              </w:rPr>
              <w:t>事宜。</w:t>
            </w:r>
          </w:p>
        </w:tc>
        <w:tc>
          <w:tcPr>
            <w:tcW w:w="1134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電資工程學類</w:t>
            </w:r>
          </w:p>
        </w:tc>
        <w:tc>
          <w:tcPr>
            <w:tcW w:w="1134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9B2AA8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醫療衛生業務相關法規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議與醫療衛生團體之財務會計管理制度相關研究、相關資料之處理、應用及統計分析，並提出創新之策進作為。</w:t>
            </w:r>
          </w:p>
        </w:tc>
        <w:tc>
          <w:tcPr>
            <w:tcW w:w="1134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一般法律學類</w:t>
            </w:r>
          </w:p>
        </w:tc>
        <w:tc>
          <w:tcPr>
            <w:tcW w:w="1134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會計學類</w:t>
            </w:r>
          </w:p>
        </w:tc>
        <w:tc>
          <w:tcPr>
            <w:tcW w:w="992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9B2AA8" w:rsidTr="00401224">
        <w:tc>
          <w:tcPr>
            <w:tcW w:w="1526" w:type="dxa"/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協助提升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事人力規劃、品質提升、勞動權益促進、研究計畫撰擬及相關政策內容研發。</w:t>
            </w:r>
          </w:p>
        </w:tc>
        <w:tc>
          <w:tcPr>
            <w:tcW w:w="1134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一般法律學類</w:t>
            </w:r>
          </w:p>
        </w:tc>
        <w:tc>
          <w:tcPr>
            <w:tcW w:w="992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9E5FBE">
        <w:tc>
          <w:tcPr>
            <w:tcW w:w="1526" w:type="dxa"/>
            <w:tcBorders>
              <w:bottom w:val="single" w:sz="24" w:space="0" w:color="auto"/>
            </w:tcBorders>
          </w:tcPr>
          <w:p w:rsidR="009B2AA8" w:rsidRPr="00CC576B" w:rsidRDefault="009B2AA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C576B">
              <w:rPr>
                <w:rFonts w:ascii="標楷體" w:eastAsia="標楷體" w:hAnsi="標楷體" w:hint="eastAsia"/>
                <w:szCs w:val="24"/>
              </w:rPr>
              <w:t>事司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生物科技法律及相關政策內容</w:t>
            </w:r>
            <w:proofErr w:type="gramStart"/>
            <w:r w:rsidRPr="00CC576B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</w:p>
          <w:p w:rsidR="009B2AA8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擬。</w:t>
            </w:r>
          </w:p>
          <w:p w:rsidR="00CC576B" w:rsidRPr="00CC576B" w:rsidRDefault="00CC5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一般法律學類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生物科技學類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:rsidR="009B2AA8" w:rsidRPr="00CC576B" w:rsidRDefault="00CC576B">
            <w:pPr>
              <w:rPr>
                <w:rFonts w:ascii="標楷體" w:eastAsia="標楷體" w:hAnsi="標楷體"/>
                <w:szCs w:val="24"/>
              </w:rPr>
            </w:pPr>
            <w:r w:rsidRPr="00CC576B"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9E5FBE">
        <w:tc>
          <w:tcPr>
            <w:tcW w:w="1526" w:type="dxa"/>
            <w:tcBorders>
              <w:top w:val="single" w:sz="24" w:space="0" w:color="auto"/>
            </w:tcBorders>
          </w:tcPr>
          <w:p w:rsidR="009B2AA8" w:rsidRPr="00C34EC3" w:rsidRDefault="00CC5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國際合作組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9B2AA8" w:rsidRPr="00C34EC3" w:rsidRDefault="00CC5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協助推動參與國際組職及機制如WHO等;推動與歐美雙邊衛生交流;協調援外合作事務等。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B2AA8" w:rsidRPr="00C34EC3" w:rsidRDefault="00CC576B" w:rsidP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生物科技學類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B2AA8" w:rsidRPr="00C34EC3" w:rsidRDefault="00CC576B" w:rsidP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B2AA8" w:rsidRPr="00C34EC3" w:rsidRDefault="00CC5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9B2AA8" w:rsidRPr="00C34EC3" w:rsidRDefault="00CC5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</w:tcBorders>
          </w:tcPr>
          <w:p w:rsidR="009B2AA8" w:rsidRPr="00C34EC3" w:rsidRDefault="00CC5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2D3BA5">
        <w:tc>
          <w:tcPr>
            <w:tcW w:w="1526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國際合作組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協助兩岸(ECFA、醫藥衛生合作)、雙邊醫藥衛生合作交流(台非、台日、台紐)</w:t>
            </w:r>
            <w:r w:rsidR="00D0756A">
              <w:rPr>
                <w:rFonts w:ascii="標楷體" w:eastAsia="標楷體" w:hAnsi="標楷體" w:hint="eastAsia"/>
                <w:szCs w:val="24"/>
              </w:rPr>
              <w:t>及國</w:t>
            </w:r>
            <w:r>
              <w:rPr>
                <w:rFonts w:ascii="標楷體" w:eastAsia="標楷體" w:hAnsi="標楷體" w:hint="eastAsia"/>
                <w:szCs w:val="24"/>
              </w:rPr>
              <w:t>際經貿衛生等業務彙集。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34EC3" w:rsidRDefault="007B6882" w:rsidP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生物科技學類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34EC3" w:rsidRDefault="007B6882" w:rsidP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9B2AA8" w:rsidRPr="00C34EC3" w:rsidRDefault="00D075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2D3BA5">
        <w:tc>
          <w:tcPr>
            <w:tcW w:w="1526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秘書處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辦理「本部智慧辦公大樓各項工程與設施設備之為運管理事項」及相關專業資料之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析。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土木工程學類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機械工程學類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2D3BA5">
        <w:tc>
          <w:tcPr>
            <w:tcW w:w="1526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秘書處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辦理本部財產、物品及出納等事務管理及相關資料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析。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一般商業學類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其他商業及管理學類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7B6882">
        <w:tc>
          <w:tcPr>
            <w:tcW w:w="1526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護理及健康照護司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 w:rsidP="00D075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辦理長</w:t>
            </w:r>
            <w:r w:rsidR="00D0756A">
              <w:rPr>
                <w:rFonts w:ascii="標楷體" w:eastAsia="標楷體" w:hAnsi="標楷體" w:hint="eastAsia"/>
                <w:szCs w:val="24"/>
              </w:rPr>
              <w:t>照</w:t>
            </w:r>
            <w:r>
              <w:rPr>
                <w:rFonts w:ascii="標楷體" w:eastAsia="標楷體" w:hAnsi="標楷體" w:hint="eastAsia"/>
                <w:szCs w:val="24"/>
              </w:rPr>
              <w:t>十年計畫2.0服務需求資料統計分析及其他臨時機辦事項。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其他醫藥衛生學類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7B6882">
        <w:tc>
          <w:tcPr>
            <w:tcW w:w="1526" w:type="dxa"/>
            <w:tcBorders>
              <w:bottom w:val="single" w:sz="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護理及健康照護司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2AA8" w:rsidRPr="00C34EC3" w:rsidRDefault="00E44C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辦理護產系統及護理</w:t>
            </w:r>
            <w:r w:rsidR="007B6882">
              <w:rPr>
                <w:rFonts w:ascii="標楷體" w:eastAsia="標楷體" w:hAnsi="標楷體" w:hint="eastAsia"/>
                <w:szCs w:val="24"/>
              </w:rPr>
              <w:t>人力資料分析及其他臨時交辦事項。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其他醫藥衛生學類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7B6882" w:rsidTr="007B6882">
        <w:tc>
          <w:tcPr>
            <w:tcW w:w="1526" w:type="dxa"/>
            <w:tcBorders>
              <w:bottom w:val="single" w:sz="4" w:space="0" w:color="auto"/>
            </w:tcBorders>
          </w:tcPr>
          <w:p w:rsidR="007B6882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護理及健康照護司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辦理原住民離島地區醫療保健資料分析及臨時交辦事項。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6882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7B6882" w:rsidTr="007B6882">
        <w:tc>
          <w:tcPr>
            <w:tcW w:w="1526" w:type="dxa"/>
            <w:tcBorders>
              <w:bottom w:val="single" w:sz="4" w:space="0" w:color="auto"/>
            </w:tcBorders>
          </w:tcPr>
          <w:p w:rsidR="007B6882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護理及健康照護司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辦理法規及機構管理資料分析及其他臨時交辦事項。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882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6882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7B6882">
        <w:tc>
          <w:tcPr>
            <w:tcW w:w="1526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7B6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護理及健康照護司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E44C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辦理長照</w:t>
            </w:r>
            <w:bookmarkStart w:id="0" w:name="_GoBack"/>
            <w:bookmarkEnd w:id="0"/>
            <w:r w:rsidR="006644D1">
              <w:rPr>
                <w:rFonts w:ascii="標楷體" w:eastAsia="標楷體" w:hAnsi="標楷體" w:hint="eastAsia"/>
                <w:szCs w:val="24"/>
              </w:rPr>
              <w:t>十年計畫2.0政策推展資料統計分析及其他較辦事項。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2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6644D1"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6644D1" w:rsidP="00D075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中醫藥司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6644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協助提升中醫師素質計畫及中醫多元發展、民俗調理職能基準</w:t>
            </w:r>
            <w:r w:rsidR="00566DDD">
              <w:rPr>
                <w:rFonts w:ascii="標楷體" w:eastAsia="標楷體" w:hAnsi="標楷體" w:hint="eastAsia"/>
                <w:szCs w:val="24"/>
              </w:rPr>
              <w:t>、職能導向課程等。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566DD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9B2AA8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566DDD">
        <w:tc>
          <w:tcPr>
            <w:tcW w:w="1526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心理及口腔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健康司</w:t>
            </w:r>
            <w:proofErr w:type="gramEnd"/>
          </w:p>
        </w:tc>
        <w:tc>
          <w:tcPr>
            <w:tcW w:w="3827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 w:rsidP="00566DDD">
            <w:pPr>
              <w:tabs>
                <w:tab w:val="left" w:pos="2413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心理健康政策規劃及推動。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心理學類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4" w:space="0" w:color="auto"/>
            </w:tcBorders>
          </w:tcPr>
          <w:p w:rsidR="006644D1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566DDD">
        <w:tc>
          <w:tcPr>
            <w:tcW w:w="1526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心理及口腔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健康司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口腔健康政策規劃及推動。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醫管學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公共衛生學類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832F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24" w:space="0" w:color="auto"/>
            </w:tcBorders>
          </w:tcPr>
          <w:p w:rsidR="006644D1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6644D1"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社會救助及社工司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推動本部社會救助e化服務宅配到家計畫、弱勢e</w:t>
            </w:r>
            <w:r w:rsidR="00D0756A">
              <w:rPr>
                <w:rFonts w:ascii="標楷體" w:eastAsia="標楷體" w:hAnsi="標楷體" w:hint="eastAsia"/>
                <w:szCs w:val="24"/>
              </w:rPr>
              <w:t>關懷全</w:t>
            </w:r>
            <w:r>
              <w:rPr>
                <w:rFonts w:ascii="標楷體" w:eastAsia="標楷體" w:hAnsi="標楷體" w:hint="eastAsia"/>
                <w:szCs w:val="24"/>
              </w:rPr>
              <w:t>國社會福利資源整合系統維運及低收入戶及中低收入戶相關業務。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電算機一般學類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社會工作學類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566D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7853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</w:p>
        </w:tc>
      </w:tr>
      <w:tr w:rsidR="006644D1" w:rsidTr="006644D1"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832F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6644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6644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6644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C66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D075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</w:tcPr>
          <w:p w:rsidR="006644D1" w:rsidRPr="00C34EC3" w:rsidRDefault="006644D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42093" w:rsidRDefault="00342093"/>
    <w:p w:rsidR="001E49DE" w:rsidRDefault="001E49DE"/>
    <w:p w:rsidR="00C66E4C" w:rsidRDefault="00C66E4C"/>
    <w:p w:rsidR="00C66E4C" w:rsidRDefault="00C66E4C"/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lastRenderedPageBreak/>
        <w:t>主旨：有關本部</w:t>
      </w:r>
      <w:proofErr w:type="gramStart"/>
      <w:r w:rsidRPr="00AA32B6">
        <w:rPr>
          <w:rFonts w:ascii="標楷體" w:eastAsia="標楷體" w:hAnsi="標楷體" w:hint="eastAsia"/>
        </w:rPr>
        <w:t>107</w:t>
      </w:r>
      <w:proofErr w:type="gramEnd"/>
      <w:r w:rsidRPr="00AA32B6">
        <w:rPr>
          <w:rFonts w:ascii="標楷體" w:eastAsia="標楷體" w:hAnsi="標楷體" w:hint="eastAsia"/>
        </w:rPr>
        <w:t>年度研發替代役甄選辦法之公告事宜，</w:t>
      </w:r>
      <w:proofErr w:type="gramStart"/>
      <w:r w:rsidRPr="00AA32B6">
        <w:rPr>
          <w:rFonts w:ascii="標楷體" w:eastAsia="標楷體" w:hAnsi="標楷體" w:hint="eastAsia"/>
        </w:rPr>
        <w:t>請核示</w:t>
      </w:r>
      <w:proofErr w:type="gramEnd"/>
      <w:r w:rsidRPr="00AA32B6">
        <w:rPr>
          <w:rFonts w:ascii="標楷體" w:eastAsia="標楷體" w:hAnsi="標楷體" w:hint="eastAsia"/>
        </w:rPr>
        <w:t>。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說明：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一、依據內政部役政署106年12月5日役署</w:t>
      </w:r>
      <w:proofErr w:type="gramStart"/>
      <w:r w:rsidRPr="00AA32B6">
        <w:rPr>
          <w:rFonts w:ascii="標楷體" w:eastAsia="標楷體" w:hAnsi="標楷體" w:hint="eastAsia"/>
        </w:rPr>
        <w:t>甄</w:t>
      </w:r>
      <w:proofErr w:type="gramEnd"/>
      <w:r w:rsidRPr="00AA32B6">
        <w:rPr>
          <w:rFonts w:ascii="標楷體" w:eastAsia="標楷體" w:hAnsi="標楷體" w:hint="eastAsia"/>
        </w:rPr>
        <w:t>字第1065011088號通知書辦理（如附件1），依通知本部具</w:t>
      </w:r>
      <w:proofErr w:type="gramStart"/>
      <w:r w:rsidRPr="00AA32B6">
        <w:rPr>
          <w:rFonts w:ascii="標楷體" w:eastAsia="標楷體" w:hAnsi="標楷體" w:hint="eastAsia"/>
        </w:rPr>
        <w:t>107</w:t>
      </w:r>
      <w:proofErr w:type="gramEnd"/>
      <w:r w:rsidRPr="00AA32B6">
        <w:rPr>
          <w:rFonts w:ascii="標楷體" w:eastAsia="標楷體" w:hAnsi="標楷體" w:hint="eastAsia"/>
        </w:rPr>
        <w:t>年度研發</w:t>
      </w:r>
      <w:proofErr w:type="gramStart"/>
      <w:r w:rsidRPr="00AA32B6">
        <w:rPr>
          <w:rFonts w:ascii="標楷體" w:eastAsia="標楷體" w:hAnsi="標楷體" w:hint="eastAsia"/>
        </w:rPr>
        <w:t>替代役核配</w:t>
      </w:r>
      <w:proofErr w:type="gramEnd"/>
      <w:r w:rsidRPr="00AA32B6">
        <w:rPr>
          <w:rFonts w:ascii="標楷體" w:eastAsia="標楷體" w:hAnsi="標楷體" w:hint="eastAsia"/>
        </w:rPr>
        <w:t>資格，且核定員額數為28人。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二、另依據研發及產業訓儲替代役役男報名暨用人單位甄選作業時程表（如附件2），辦理本部</w:t>
      </w:r>
      <w:proofErr w:type="gramStart"/>
      <w:r w:rsidRPr="00AA32B6">
        <w:rPr>
          <w:rFonts w:ascii="標楷體" w:eastAsia="標楷體" w:hAnsi="標楷體" w:hint="eastAsia"/>
        </w:rPr>
        <w:t>107</w:t>
      </w:r>
      <w:proofErr w:type="gramEnd"/>
      <w:r w:rsidRPr="00AA32B6">
        <w:rPr>
          <w:rFonts w:ascii="標楷體" w:eastAsia="標楷體" w:hAnsi="標楷體" w:hint="eastAsia"/>
        </w:rPr>
        <w:t>年度研發替代役甄選公告事宜如下：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(</w:t>
      </w:r>
      <w:proofErr w:type="gramStart"/>
      <w:r w:rsidRPr="00AA32B6">
        <w:rPr>
          <w:rFonts w:ascii="標楷體" w:eastAsia="標楷體" w:hAnsi="標楷體" w:hint="eastAsia"/>
        </w:rPr>
        <w:t>一</w:t>
      </w:r>
      <w:proofErr w:type="gramEnd"/>
      <w:r w:rsidRPr="00AA32B6">
        <w:rPr>
          <w:rFonts w:ascii="標楷體" w:eastAsia="標楷體" w:hAnsi="標楷體" w:hint="eastAsia"/>
        </w:rPr>
        <w:t>)用人單位應於核配員額公告後3</w:t>
      </w:r>
      <w:proofErr w:type="gramStart"/>
      <w:r w:rsidRPr="00AA32B6">
        <w:rPr>
          <w:rFonts w:ascii="標楷體" w:eastAsia="標楷體" w:hAnsi="標楷體" w:hint="eastAsia"/>
        </w:rPr>
        <w:t>週</w:t>
      </w:r>
      <w:proofErr w:type="gramEnd"/>
      <w:r w:rsidRPr="00AA32B6">
        <w:rPr>
          <w:rFonts w:ascii="標楷體" w:eastAsia="標楷體" w:hAnsi="標楷體" w:hint="eastAsia"/>
        </w:rPr>
        <w:t>內完成服務</w:t>
      </w:r>
      <w:proofErr w:type="gramStart"/>
      <w:r w:rsidRPr="00AA32B6">
        <w:rPr>
          <w:rFonts w:ascii="標楷體" w:eastAsia="標楷體" w:hAnsi="標楷體" w:hint="eastAsia"/>
        </w:rPr>
        <w:t>契約及服勤</w:t>
      </w:r>
      <w:proofErr w:type="gramEnd"/>
      <w:r w:rsidRPr="00AA32B6">
        <w:rPr>
          <w:rFonts w:ascii="標楷體" w:eastAsia="標楷體" w:hAnsi="標楷體" w:hint="eastAsia"/>
        </w:rPr>
        <w:t>管理規定登錄</w:t>
      </w:r>
      <w:proofErr w:type="gramStart"/>
      <w:r w:rsidRPr="00AA32B6">
        <w:rPr>
          <w:rFonts w:ascii="標楷體" w:eastAsia="標楷體" w:hAnsi="標楷體" w:hint="eastAsia"/>
        </w:rPr>
        <w:t>及線上備查</w:t>
      </w:r>
      <w:proofErr w:type="gramEnd"/>
      <w:r w:rsidRPr="00AA32B6">
        <w:rPr>
          <w:rFonts w:ascii="標楷體" w:eastAsia="標楷體" w:hAnsi="標楷體" w:hint="eastAsia"/>
        </w:rPr>
        <w:t>作業，</w:t>
      </w:r>
      <w:proofErr w:type="gramStart"/>
      <w:r w:rsidRPr="00AA32B6">
        <w:rPr>
          <w:rFonts w:ascii="標楷體" w:eastAsia="標楷體" w:hAnsi="標楷體" w:hint="eastAsia"/>
        </w:rPr>
        <w:t>本組業</w:t>
      </w:r>
      <w:proofErr w:type="gramEnd"/>
      <w:r w:rsidRPr="00AA32B6">
        <w:rPr>
          <w:rFonts w:ascii="標楷體" w:eastAsia="標楷體" w:hAnsi="標楷體" w:hint="eastAsia"/>
        </w:rPr>
        <w:t>於</w:t>
      </w:r>
      <w:proofErr w:type="gramStart"/>
      <w:r w:rsidRPr="00AA32B6">
        <w:rPr>
          <w:rFonts w:ascii="標楷體" w:eastAsia="標楷體" w:hAnsi="標楷體" w:hint="eastAsia"/>
        </w:rPr>
        <w:t>106年11月1日至役政</w:t>
      </w:r>
      <w:proofErr w:type="gramEnd"/>
      <w:r w:rsidRPr="00AA32B6">
        <w:rPr>
          <w:rFonts w:ascii="標楷體" w:eastAsia="標楷體" w:hAnsi="標楷體" w:hint="eastAsia"/>
        </w:rPr>
        <w:t>署網站完成服務</w:t>
      </w:r>
      <w:proofErr w:type="gramStart"/>
      <w:r w:rsidRPr="00AA32B6">
        <w:rPr>
          <w:rFonts w:ascii="標楷體" w:eastAsia="標楷體" w:hAnsi="標楷體" w:hint="eastAsia"/>
        </w:rPr>
        <w:t>契約及服勤</w:t>
      </w:r>
      <w:proofErr w:type="gramEnd"/>
      <w:r w:rsidRPr="00AA32B6">
        <w:rPr>
          <w:rFonts w:ascii="標楷體" w:eastAsia="標楷體" w:hAnsi="標楷體" w:hint="eastAsia"/>
        </w:rPr>
        <w:t>管理規定登錄。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(二)經公告核配員額之用人單位，應於員額核配公告後1個月內至資訊管理系統登錄「用人單位甄選作業具體公告事項」，供役男報名時查詢參考，</w:t>
      </w:r>
      <w:proofErr w:type="gramStart"/>
      <w:r w:rsidRPr="00AA32B6">
        <w:rPr>
          <w:rFonts w:ascii="標楷體" w:eastAsia="標楷體" w:hAnsi="標楷體" w:hint="eastAsia"/>
        </w:rPr>
        <w:t>並得編印</w:t>
      </w:r>
      <w:proofErr w:type="gramEnd"/>
      <w:r w:rsidRPr="00AA32B6">
        <w:rPr>
          <w:rFonts w:ascii="標楷體" w:eastAsia="標楷體" w:hAnsi="標楷體" w:hint="eastAsia"/>
        </w:rPr>
        <w:t>成宣導資料，送各院校協助宣導。未依規定於期限內至資訊管理系統登錄「用人單位甄選作業具體公告事項」者，將納入本制度管理考核及獎懲作業之違規事證。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(三)本部107年替代役第1次甄選訂於107年2月9日截止報名，於同年2月13日前辦理甄選面試會議，於同年2月26日前線上勾選預備錄用役男，並於2月27日前函報第1次預備錄用役男名冊。</w:t>
      </w:r>
    </w:p>
    <w:p w:rsidR="00AA32B6" w:rsidRPr="00AA32B6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(四)若第1次甄選錄取員額未達28名，則於甄選結束後更新相關文件並上網公告</w:t>
      </w:r>
      <w:proofErr w:type="gramStart"/>
      <w:r w:rsidRPr="00AA32B6">
        <w:rPr>
          <w:rFonts w:ascii="標楷體" w:eastAsia="標楷體" w:hAnsi="標楷體" w:hint="eastAsia"/>
        </w:rPr>
        <w:t>併</w:t>
      </w:r>
      <w:proofErr w:type="gramEnd"/>
      <w:r w:rsidRPr="00AA32B6">
        <w:rPr>
          <w:rFonts w:ascii="標楷體" w:eastAsia="標楷體" w:hAnsi="標楷體" w:hint="eastAsia"/>
        </w:rPr>
        <w:t>辦理第2次甄選作業；若第2次甄選後錄取員額仍未達28名，則於甄選結束後更新相關文件並上網公告</w:t>
      </w:r>
      <w:proofErr w:type="gramStart"/>
      <w:r w:rsidRPr="00AA32B6">
        <w:rPr>
          <w:rFonts w:ascii="標楷體" w:eastAsia="標楷體" w:hAnsi="標楷體" w:hint="eastAsia"/>
        </w:rPr>
        <w:t>併</w:t>
      </w:r>
      <w:proofErr w:type="gramEnd"/>
      <w:r w:rsidRPr="00AA32B6">
        <w:rPr>
          <w:rFonts w:ascii="標楷體" w:eastAsia="標楷體" w:hAnsi="標楷體" w:hint="eastAsia"/>
        </w:rPr>
        <w:t>辦理第3次甄選作業。</w:t>
      </w:r>
    </w:p>
    <w:p w:rsidR="001E49DE" w:rsidRPr="00357E1B" w:rsidRDefault="00AA32B6" w:rsidP="00AA32B6">
      <w:pPr>
        <w:rPr>
          <w:rFonts w:ascii="標楷體" w:eastAsia="標楷體" w:hAnsi="標楷體"/>
        </w:rPr>
      </w:pPr>
      <w:r w:rsidRPr="00AA32B6">
        <w:rPr>
          <w:rFonts w:ascii="標楷體" w:eastAsia="標楷體" w:hAnsi="標楷體" w:hint="eastAsia"/>
        </w:rPr>
        <w:t>擬辦：</w:t>
      </w:r>
      <w:proofErr w:type="gramStart"/>
      <w:r w:rsidRPr="00AA32B6">
        <w:rPr>
          <w:rFonts w:ascii="標楷體" w:eastAsia="標楷體" w:hAnsi="標楷體" w:hint="eastAsia"/>
        </w:rPr>
        <w:t>如蒙核可</w:t>
      </w:r>
      <w:proofErr w:type="gramEnd"/>
      <w:r w:rsidRPr="00AA32B6">
        <w:rPr>
          <w:rFonts w:ascii="標楷體" w:eastAsia="標楷體" w:hAnsi="標楷體" w:hint="eastAsia"/>
        </w:rPr>
        <w:t>，將依甄選作業時程表及相關規定辦理本部</w:t>
      </w:r>
      <w:proofErr w:type="gramStart"/>
      <w:r w:rsidRPr="00AA32B6">
        <w:rPr>
          <w:rFonts w:ascii="標楷體" w:eastAsia="標楷體" w:hAnsi="標楷體" w:hint="eastAsia"/>
        </w:rPr>
        <w:t>107</w:t>
      </w:r>
      <w:proofErr w:type="gramEnd"/>
      <w:r w:rsidRPr="00AA32B6">
        <w:rPr>
          <w:rFonts w:ascii="標楷體" w:eastAsia="標楷體" w:hAnsi="標楷體" w:hint="eastAsia"/>
        </w:rPr>
        <w:t>年度研發替代役甄選辦法之公告及甄選作業。</w:t>
      </w:r>
    </w:p>
    <w:sectPr w:rsidR="001E49DE" w:rsidRPr="00357E1B" w:rsidSect="001A5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8" w:rsidRDefault="00260A08" w:rsidP="00A66974">
      <w:r>
        <w:separator/>
      </w:r>
    </w:p>
  </w:endnote>
  <w:endnote w:type="continuationSeparator" w:id="0">
    <w:p w:rsidR="00260A08" w:rsidRDefault="00260A08" w:rsidP="00A6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8" w:rsidRDefault="00260A08" w:rsidP="00A66974">
      <w:r>
        <w:separator/>
      </w:r>
    </w:p>
  </w:footnote>
  <w:footnote w:type="continuationSeparator" w:id="0">
    <w:p w:rsidR="00260A08" w:rsidRDefault="00260A08" w:rsidP="00A6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5"/>
    <w:rsid w:val="001652E6"/>
    <w:rsid w:val="00176BEF"/>
    <w:rsid w:val="001A51F5"/>
    <w:rsid w:val="001C567B"/>
    <w:rsid w:val="001E49DE"/>
    <w:rsid w:val="00260A08"/>
    <w:rsid w:val="002D3BA5"/>
    <w:rsid w:val="00342093"/>
    <w:rsid w:val="00357E1B"/>
    <w:rsid w:val="003B601C"/>
    <w:rsid w:val="003C562E"/>
    <w:rsid w:val="00401224"/>
    <w:rsid w:val="00402AF1"/>
    <w:rsid w:val="00450D62"/>
    <w:rsid w:val="00566DDD"/>
    <w:rsid w:val="006644D1"/>
    <w:rsid w:val="006B42F3"/>
    <w:rsid w:val="007853AD"/>
    <w:rsid w:val="007B6882"/>
    <w:rsid w:val="00832FA2"/>
    <w:rsid w:val="009B2AA8"/>
    <w:rsid w:val="009E5FBE"/>
    <w:rsid w:val="00A66974"/>
    <w:rsid w:val="00AA32B6"/>
    <w:rsid w:val="00B8480F"/>
    <w:rsid w:val="00C166BE"/>
    <w:rsid w:val="00C34EC3"/>
    <w:rsid w:val="00C66E4C"/>
    <w:rsid w:val="00CC576B"/>
    <w:rsid w:val="00D0756A"/>
    <w:rsid w:val="00E44C2A"/>
    <w:rsid w:val="00EF5F20"/>
    <w:rsid w:val="00F52D0A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974"/>
    <w:rPr>
      <w:sz w:val="20"/>
      <w:szCs w:val="20"/>
    </w:rPr>
  </w:style>
  <w:style w:type="paragraph" w:customStyle="1" w:styleId="Default">
    <w:name w:val="Default"/>
    <w:rsid w:val="00402A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974"/>
    <w:rPr>
      <w:sz w:val="20"/>
      <w:szCs w:val="20"/>
    </w:rPr>
  </w:style>
  <w:style w:type="paragraph" w:customStyle="1" w:styleId="Default">
    <w:name w:val="Default"/>
    <w:rsid w:val="00402A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335</Words>
  <Characters>1911</Characters>
  <Application>Microsoft Office Word</Application>
  <DocSecurity>0</DocSecurity>
  <Lines>15</Lines>
  <Paragraphs>4</Paragraphs>
  <ScaleCrop>false</ScaleCrop>
  <Company>SYNNEX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科技發展組洪培凱</dc:creator>
  <cp:lastModifiedBy>科技發展組黃伊駿</cp:lastModifiedBy>
  <cp:revision>13</cp:revision>
  <cp:lastPrinted>2017-04-06T03:53:00Z</cp:lastPrinted>
  <dcterms:created xsi:type="dcterms:W3CDTF">2017-04-06T03:19:00Z</dcterms:created>
  <dcterms:modified xsi:type="dcterms:W3CDTF">2017-12-25T03:42:00Z</dcterms:modified>
</cp:coreProperties>
</file>